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A9446C">
      <w:pPr>
        <w:pStyle w:val="2"/>
        <w:spacing w:line="360" w:lineRule="auto"/>
        <w:jc w:val="center"/>
        <w:rPr>
          <w:rFonts w:hint="eastAsia"/>
        </w:rPr>
      </w:pPr>
      <w:r>
        <w:rPr>
          <w:rFonts w:hint="eastAsia" w:ascii="仿宋" w:hAnsi="仿宋" w:eastAsia="仿宋" w:cs="仿宋"/>
          <w:b/>
          <w:sz w:val="40"/>
          <w:szCs w:val="40"/>
        </w:rPr>
        <w:t>采购需求</w:t>
      </w:r>
      <w:bookmarkStart w:id="2" w:name="_GoBack"/>
      <w:bookmarkEnd w:id="2"/>
    </w:p>
    <w:p w14:paraId="752EC19C">
      <w:pPr>
        <w:pStyle w:val="2"/>
        <w:spacing w:line="360" w:lineRule="auto"/>
        <w:jc w:val="center"/>
      </w:pPr>
      <w:r>
        <w:rPr>
          <w:rFonts w:hint="eastAsia"/>
        </w:rPr>
        <w:t>第1包</w:t>
      </w:r>
    </w:p>
    <w:p w14:paraId="38B3E60B">
      <w:pPr>
        <w:numPr>
          <w:ilvl w:val="0"/>
          <w:numId w:val="1"/>
        </w:numPr>
        <w:spacing w:line="360" w:lineRule="auto"/>
        <w:ind w:firstLine="482" w:firstLineChars="200"/>
        <w:contextualSpacing/>
        <w:jc w:val="left"/>
        <w:rPr>
          <w:rFonts w:ascii="仿宋" w:hAnsi="仿宋" w:eastAsia="仿宋" w:cs="宋体"/>
          <w:b/>
          <w:sz w:val="24"/>
        </w:rPr>
      </w:pPr>
      <w:r>
        <w:rPr>
          <w:rFonts w:hint="eastAsia" w:ascii="仿宋" w:hAnsi="仿宋" w:eastAsia="仿宋" w:cs="宋体"/>
          <w:b/>
          <w:sz w:val="24"/>
        </w:rPr>
        <w:t>采购标的</w:t>
      </w:r>
    </w:p>
    <w:p w14:paraId="4BF5BFAC">
      <w:pPr>
        <w:spacing w:line="360" w:lineRule="auto"/>
        <w:ind w:firstLine="482"/>
        <w:contextualSpacing/>
        <w:rPr>
          <w:rFonts w:ascii="仿宋" w:hAnsi="仿宋" w:eastAsia="仿宋" w:cs="宋体"/>
          <w:b/>
          <w:bCs/>
          <w:sz w:val="24"/>
        </w:rPr>
      </w:pPr>
      <w:r>
        <w:rPr>
          <w:rFonts w:hint="eastAsia" w:ascii="仿宋" w:hAnsi="仿宋" w:eastAsia="仿宋" w:cs="宋体"/>
          <w:b/>
          <w:bCs/>
          <w:sz w:val="24"/>
        </w:rPr>
        <w:t>1.采购标的</w:t>
      </w:r>
    </w:p>
    <w:tbl>
      <w:tblPr>
        <w:tblStyle w:val="4"/>
        <w:tblW w:w="8296" w:type="dxa"/>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0"/>
        <w:gridCol w:w="3114"/>
        <w:gridCol w:w="1202"/>
        <w:gridCol w:w="3090"/>
      </w:tblGrid>
      <w:tr w14:paraId="645AD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0" w:type="dxa"/>
            <w:vAlign w:val="center"/>
          </w:tcPr>
          <w:p w14:paraId="30CDE6BE">
            <w:pPr>
              <w:spacing w:line="360" w:lineRule="auto"/>
              <w:contextualSpacing/>
              <w:rPr>
                <w:rFonts w:ascii="仿宋" w:hAnsi="仿宋" w:eastAsia="仿宋" w:cs="宋体"/>
                <w:b/>
                <w:bCs/>
                <w:sz w:val="24"/>
              </w:rPr>
            </w:pPr>
            <w:r>
              <w:rPr>
                <w:rFonts w:hint="eastAsia" w:ascii="仿宋" w:hAnsi="仿宋" w:eastAsia="仿宋" w:cs="宋体"/>
                <w:b/>
                <w:bCs/>
                <w:sz w:val="24"/>
              </w:rPr>
              <w:t>包号</w:t>
            </w:r>
          </w:p>
        </w:tc>
        <w:tc>
          <w:tcPr>
            <w:tcW w:w="3114" w:type="dxa"/>
            <w:vAlign w:val="center"/>
          </w:tcPr>
          <w:p w14:paraId="3F0FC118">
            <w:pPr>
              <w:spacing w:line="360" w:lineRule="auto"/>
              <w:contextualSpacing/>
              <w:jc w:val="center"/>
              <w:rPr>
                <w:rFonts w:ascii="仿宋" w:hAnsi="仿宋" w:eastAsia="仿宋" w:cs="宋体"/>
                <w:b/>
                <w:bCs/>
                <w:sz w:val="24"/>
              </w:rPr>
            </w:pPr>
            <w:r>
              <w:rPr>
                <w:rFonts w:hint="eastAsia" w:ascii="仿宋" w:hAnsi="仿宋" w:eastAsia="仿宋" w:cs="宋体"/>
                <w:b/>
                <w:bCs/>
                <w:sz w:val="24"/>
              </w:rPr>
              <w:t>标的名称</w:t>
            </w:r>
          </w:p>
        </w:tc>
        <w:tc>
          <w:tcPr>
            <w:tcW w:w="1202" w:type="dxa"/>
            <w:vAlign w:val="center"/>
          </w:tcPr>
          <w:p w14:paraId="61103215">
            <w:pPr>
              <w:spacing w:line="360" w:lineRule="auto"/>
              <w:contextualSpacing/>
              <w:jc w:val="center"/>
              <w:rPr>
                <w:rFonts w:ascii="仿宋" w:hAnsi="仿宋" w:eastAsia="仿宋" w:cs="宋体"/>
                <w:b/>
                <w:bCs/>
                <w:sz w:val="24"/>
              </w:rPr>
            </w:pPr>
            <w:r>
              <w:rPr>
                <w:rFonts w:hint="eastAsia" w:ascii="仿宋" w:hAnsi="仿宋" w:eastAsia="仿宋" w:cs="宋体"/>
                <w:b/>
                <w:bCs/>
                <w:sz w:val="24"/>
              </w:rPr>
              <w:t>数量</w:t>
            </w:r>
          </w:p>
        </w:tc>
        <w:tc>
          <w:tcPr>
            <w:tcW w:w="3090" w:type="dxa"/>
            <w:vAlign w:val="center"/>
          </w:tcPr>
          <w:p w14:paraId="04C97F00">
            <w:pPr>
              <w:spacing w:line="360" w:lineRule="auto"/>
              <w:contextualSpacing/>
              <w:jc w:val="center"/>
              <w:rPr>
                <w:rFonts w:ascii="仿宋" w:hAnsi="仿宋" w:eastAsia="仿宋" w:cs="宋体"/>
                <w:b/>
                <w:bCs/>
                <w:sz w:val="24"/>
              </w:rPr>
            </w:pPr>
            <w:r>
              <w:rPr>
                <w:rFonts w:hint="eastAsia" w:ascii="仿宋" w:hAnsi="仿宋" w:eastAsia="仿宋" w:cs="宋体"/>
                <w:b/>
                <w:bCs/>
                <w:sz w:val="24"/>
              </w:rPr>
              <w:t>是否接受进口产品</w:t>
            </w:r>
          </w:p>
        </w:tc>
      </w:tr>
      <w:tr w14:paraId="3356B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0" w:type="dxa"/>
            <w:vAlign w:val="center"/>
          </w:tcPr>
          <w:p w14:paraId="3A856944">
            <w:pPr>
              <w:spacing w:line="360" w:lineRule="auto"/>
              <w:contextualSpacing/>
              <w:jc w:val="center"/>
              <w:rPr>
                <w:rFonts w:ascii="仿宋" w:hAnsi="仿宋" w:eastAsia="仿宋" w:cs="宋体"/>
                <w:bCs/>
                <w:sz w:val="24"/>
              </w:rPr>
            </w:pPr>
            <w:r>
              <w:rPr>
                <w:rFonts w:hint="eastAsia" w:ascii="仿宋" w:hAnsi="仿宋" w:eastAsia="仿宋" w:cs="宋体"/>
                <w:bCs/>
                <w:sz w:val="24"/>
              </w:rPr>
              <w:t>1</w:t>
            </w:r>
          </w:p>
        </w:tc>
        <w:tc>
          <w:tcPr>
            <w:tcW w:w="3114" w:type="dxa"/>
            <w:vAlign w:val="center"/>
          </w:tcPr>
          <w:p w14:paraId="4CFCC70C">
            <w:pPr>
              <w:spacing w:line="360" w:lineRule="auto"/>
              <w:contextualSpacing/>
              <w:jc w:val="center"/>
              <w:rPr>
                <w:rFonts w:ascii="仿宋" w:hAnsi="仿宋" w:eastAsia="仿宋" w:cs="宋体"/>
                <w:bCs/>
                <w:sz w:val="24"/>
              </w:rPr>
            </w:pPr>
            <w:r>
              <w:rPr>
                <w:rFonts w:hint="eastAsia" w:ascii="仿宋" w:hAnsi="仿宋" w:eastAsia="仿宋"/>
                <w:sz w:val="24"/>
              </w:rPr>
              <w:t>在线课程资源建设服务购置</w:t>
            </w:r>
          </w:p>
        </w:tc>
        <w:tc>
          <w:tcPr>
            <w:tcW w:w="1202" w:type="dxa"/>
            <w:vAlign w:val="center"/>
          </w:tcPr>
          <w:p w14:paraId="3DF3BD3E">
            <w:pPr>
              <w:spacing w:line="360" w:lineRule="auto"/>
              <w:contextualSpacing/>
              <w:jc w:val="center"/>
              <w:rPr>
                <w:rFonts w:ascii="仿宋" w:hAnsi="仿宋" w:eastAsia="仿宋" w:cs="宋体"/>
                <w:bCs/>
                <w:sz w:val="24"/>
              </w:rPr>
            </w:pPr>
            <w:r>
              <w:rPr>
                <w:rFonts w:hint="eastAsia" w:ascii="仿宋" w:hAnsi="仿宋" w:eastAsia="仿宋" w:cs="宋体"/>
                <w:bCs/>
                <w:sz w:val="24"/>
              </w:rPr>
              <w:t>1项</w:t>
            </w:r>
          </w:p>
        </w:tc>
        <w:tc>
          <w:tcPr>
            <w:tcW w:w="3090" w:type="dxa"/>
            <w:vAlign w:val="center"/>
          </w:tcPr>
          <w:p w14:paraId="51F10BA3">
            <w:pPr>
              <w:spacing w:line="360" w:lineRule="auto"/>
              <w:contextualSpacing/>
              <w:jc w:val="center"/>
              <w:rPr>
                <w:rFonts w:ascii="仿宋" w:hAnsi="仿宋" w:eastAsia="仿宋" w:cs="宋体"/>
                <w:bCs/>
                <w:sz w:val="24"/>
              </w:rPr>
            </w:pPr>
            <w:r>
              <w:rPr>
                <w:rFonts w:hint="eastAsia" w:ascii="仿宋" w:hAnsi="仿宋" w:eastAsia="仿宋" w:cs="宋体"/>
                <w:bCs/>
                <w:sz w:val="24"/>
              </w:rPr>
              <w:t>否</w:t>
            </w:r>
          </w:p>
        </w:tc>
      </w:tr>
    </w:tbl>
    <w:p w14:paraId="2FF46229">
      <w:pPr>
        <w:spacing w:line="360" w:lineRule="auto"/>
        <w:ind w:firstLine="482"/>
        <w:contextualSpacing/>
        <w:rPr>
          <w:rFonts w:ascii="仿宋" w:hAnsi="仿宋" w:eastAsia="仿宋" w:cs="宋体"/>
          <w:b/>
          <w:bCs/>
          <w:sz w:val="24"/>
        </w:rPr>
      </w:pPr>
      <w:r>
        <w:rPr>
          <w:rFonts w:hint="eastAsia" w:ascii="仿宋" w:hAnsi="仿宋" w:eastAsia="仿宋" w:cs="宋体"/>
          <w:b/>
          <w:bCs/>
          <w:sz w:val="24"/>
        </w:rPr>
        <w:t>2.项目背景/项目概述</w:t>
      </w:r>
    </w:p>
    <w:p w14:paraId="74E62911">
      <w:pPr>
        <w:spacing w:line="360" w:lineRule="auto"/>
        <w:ind w:firstLine="480"/>
        <w:rPr>
          <w:rFonts w:ascii="仿宋" w:hAnsi="仿宋" w:eastAsia="仿宋" w:cs="仿宋"/>
          <w:sz w:val="24"/>
        </w:rPr>
      </w:pPr>
      <w:r>
        <w:rPr>
          <w:rFonts w:hint="eastAsia" w:ascii="仿宋" w:hAnsi="仿宋" w:eastAsia="仿宋" w:cs="仿宋"/>
          <w:sz w:val="24"/>
          <w:lang w:bidi="ar"/>
        </w:rPr>
        <w:t>为积极落实国家教育数字化战略行动，提高我校课程建设质量，助力专业数智化转型，提升人才培养成效，特对我校10门市级精品课资源素材进行更新，并新建7门</w:t>
      </w:r>
      <w:r>
        <w:rPr>
          <w:rFonts w:hint="eastAsia" w:ascii="仿宋" w:hAnsi="仿宋" w:eastAsia="仿宋" w:cs="仿宋"/>
          <w:sz w:val="24"/>
        </w:rPr>
        <w:t>校级线上精品课，要求投标人提供课程建设培训、开发与制作、在线课程平台上线运行，以及课程内容审读服务。项目建设要求按照教育部《职业教育专业教学资源库建设指南》标准化课程“能学、辅教、促改”的功能定位，和国家精品在线开放课程建设要求，进行一体化设计，项目建设成果可适应“互联网＋职业教育”发展需求，满足线上学习和线上线下混合教学的需要，支持参评省部级及国家级精品课、专业教学资源库、课程思政示范课程等各类标志性教学成果。</w:t>
      </w:r>
    </w:p>
    <w:p w14:paraId="236465E9">
      <w:pPr>
        <w:numPr>
          <w:ilvl w:val="0"/>
          <w:numId w:val="1"/>
        </w:numPr>
        <w:spacing w:line="360" w:lineRule="auto"/>
        <w:ind w:firstLine="482" w:firstLineChars="200"/>
        <w:contextualSpacing/>
        <w:jc w:val="left"/>
        <w:rPr>
          <w:rFonts w:ascii="仿宋" w:hAnsi="仿宋" w:eastAsia="仿宋" w:cs="宋体"/>
          <w:b/>
          <w:sz w:val="24"/>
        </w:rPr>
      </w:pPr>
      <w:r>
        <w:rPr>
          <w:rFonts w:hint="eastAsia" w:ascii="仿宋" w:hAnsi="仿宋" w:eastAsia="仿宋" w:cs="宋体"/>
          <w:b/>
          <w:sz w:val="24"/>
        </w:rPr>
        <w:t>商务要求</w:t>
      </w:r>
    </w:p>
    <w:p w14:paraId="47036B88">
      <w:pPr>
        <w:spacing w:line="360" w:lineRule="auto"/>
        <w:ind w:firstLine="482"/>
        <w:contextualSpacing/>
        <w:rPr>
          <w:rFonts w:ascii="仿宋" w:hAnsi="仿宋" w:eastAsia="仿宋" w:cs="宋体"/>
          <w:b/>
          <w:sz w:val="24"/>
        </w:rPr>
      </w:pPr>
      <w:r>
        <w:rPr>
          <w:rFonts w:hint="eastAsia" w:ascii="仿宋" w:hAnsi="仿宋" w:eastAsia="仿宋" w:cs="宋体"/>
          <w:b/>
          <w:sz w:val="24"/>
        </w:rPr>
        <w:t>1.交付（实施）的时间（期限）和地点（范围）</w:t>
      </w:r>
    </w:p>
    <w:p w14:paraId="4A226F1A">
      <w:pPr>
        <w:spacing w:line="360" w:lineRule="auto"/>
        <w:ind w:firstLine="480" w:firstLineChars="200"/>
        <w:rPr>
          <w:rFonts w:ascii="仿宋" w:hAnsi="仿宋" w:eastAsia="仿宋" w:cs="宋体"/>
          <w:color w:val="000000"/>
          <w:sz w:val="24"/>
        </w:rPr>
      </w:pPr>
      <w:r>
        <w:rPr>
          <w:rFonts w:hint="eastAsia" w:ascii="仿宋" w:hAnsi="仿宋" w:eastAsia="仿宋"/>
          <w:sz w:val="24"/>
        </w:rPr>
        <w:t>交付时间：合同签订后 180 日内。供应商应保证在要求时间内完成全部服务,符合国家标准、行业规范和合同等相关文件的要求。</w:t>
      </w:r>
    </w:p>
    <w:p w14:paraId="32C95FC6">
      <w:pPr>
        <w:spacing w:line="360" w:lineRule="auto"/>
        <w:ind w:firstLine="480" w:firstLineChars="200"/>
        <w:rPr>
          <w:rFonts w:ascii="仿宋" w:hAnsi="仿宋" w:eastAsia="仿宋" w:cs="宋体"/>
          <w:sz w:val="24"/>
        </w:rPr>
      </w:pPr>
      <w:r>
        <w:rPr>
          <w:rFonts w:hint="eastAsia" w:ascii="仿宋" w:hAnsi="仿宋" w:eastAsia="仿宋" w:cs="宋体"/>
          <w:sz w:val="24"/>
        </w:rPr>
        <w:t>地点：</w:t>
      </w:r>
      <w:r>
        <w:rPr>
          <w:rFonts w:hint="eastAsia" w:ascii="仿宋" w:hAnsi="仿宋" w:eastAsia="仿宋"/>
          <w:sz w:val="24"/>
        </w:rPr>
        <w:t>北京卫生职业学院新院区：北京市通州区漷兴北一街与漷城西一路交叉口东南角。</w:t>
      </w:r>
    </w:p>
    <w:p w14:paraId="2876A36A">
      <w:pPr>
        <w:numPr>
          <w:ilvl w:val="0"/>
          <w:numId w:val="2"/>
        </w:numPr>
        <w:spacing w:line="360" w:lineRule="auto"/>
        <w:ind w:firstLine="482"/>
        <w:contextualSpacing/>
        <w:rPr>
          <w:rFonts w:ascii="仿宋" w:hAnsi="仿宋" w:eastAsia="仿宋" w:cs="宋体"/>
          <w:b/>
          <w:sz w:val="24"/>
        </w:rPr>
      </w:pPr>
      <w:r>
        <w:rPr>
          <w:rFonts w:hint="eastAsia" w:ascii="仿宋" w:hAnsi="仿宋" w:eastAsia="仿宋" w:cs="宋体"/>
          <w:b/>
          <w:sz w:val="24"/>
        </w:rPr>
        <w:t>付款条件（进度和方式）</w:t>
      </w:r>
    </w:p>
    <w:p w14:paraId="6B366DDB">
      <w:pPr>
        <w:spacing w:before="40" w:after="40" w:line="360" w:lineRule="auto"/>
        <w:ind w:firstLine="480"/>
        <w:jc w:val="left"/>
      </w:pPr>
      <w:r>
        <w:rPr>
          <w:rFonts w:ascii="仿宋" w:hAnsi="仿宋" w:eastAsia="仿宋"/>
          <w:sz w:val="24"/>
        </w:rPr>
        <w:t>合同签订后，甲方在30个工作日内按合同及约定向乙方支付合同总金额的</w:t>
      </w:r>
      <w:r>
        <w:rPr>
          <w:rFonts w:hint="eastAsia" w:ascii="仿宋" w:hAnsi="仿宋" w:eastAsia="仿宋"/>
          <w:sz w:val="24"/>
        </w:rPr>
        <w:t>50%</w:t>
      </w:r>
      <w:r>
        <w:rPr>
          <w:rFonts w:ascii="仿宋" w:hAnsi="仿宋" w:eastAsia="仿宋"/>
          <w:sz w:val="24"/>
        </w:rPr>
        <w:t>作为首付款；项目</w:t>
      </w:r>
      <w:r>
        <w:rPr>
          <w:rFonts w:hint="eastAsia" w:ascii="仿宋" w:hAnsi="仿宋" w:eastAsia="仿宋"/>
          <w:sz w:val="24"/>
        </w:rPr>
        <w:t>验收</w:t>
      </w:r>
      <w:r>
        <w:rPr>
          <w:rFonts w:ascii="仿宋" w:hAnsi="仿宋" w:eastAsia="仿宋"/>
          <w:sz w:val="24"/>
        </w:rPr>
        <w:t>合格且财政资金拨付到位后，甲方在30个工作日内按合同及约定向乙方支付</w:t>
      </w:r>
      <w:r>
        <w:rPr>
          <w:rFonts w:hint="eastAsia" w:ascii="仿宋" w:hAnsi="仿宋" w:eastAsia="仿宋"/>
          <w:sz w:val="24"/>
        </w:rPr>
        <w:t>剩余</w:t>
      </w:r>
      <w:r>
        <w:rPr>
          <w:rFonts w:ascii="仿宋" w:hAnsi="仿宋" w:eastAsia="仿宋"/>
          <w:sz w:val="24"/>
        </w:rPr>
        <w:t>的</w:t>
      </w:r>
      <w:r>
        <w:rPr>
          <w:rFonts w:hint="eastAsia" w:ascii="仿宋" w:hAnsi="仿宋" w:eastAsia="仿宋"/>
          <w:sz w:val="24"/>
        </w:rPr>
        <w:t>50</w:t>
      </w:r>
      <w:r>
        <w:rPr>
          <w:rFonts w:ascii="仿宋" w:hAnsi="仿宋" w:eastAsia="仿宋"/>
          <w:sz w:val="24"/>
        </w:rPr>
        <w:t>%作为尾款。</w:t>
      </w:r>
    </w:p>
    <w:p w14:paraId="50648428">
      <w:pPr>
        <w:spacing w:line="360" w:lineRule="auto"/>
        <w:ind w:firstLine="482"/>
        <w:contextualSpacing/>
      </w:pPr>
      <w:r>
        <w:rPr>
          <w:rFonts w:ascii="仿宋" w:hAnsi="仿宋" w:eastAsia="仿宋"/>
          <w:sz w:val="24"/>
        </w:rPr>
        <w:t>可约定提供中标通知书、合同、验收合格报告、发票原件等材料，经财务部门审核后，向中标人支付剩余合同价款</w:t>
      </w:r>
      <w:r>
        <w:rPr>
          <w:rFonts w:hint="eastAsia" w:ascii="仿宋" w:hAnsi="仿宋" w:eastAsia="仿宋"/>
          <w:sz w:val="24"/>
        </w:rPr>
        <w:t>。</w:t>
      </w:r>
    </w:p>
    <w:p w14:paraId="2DE2EEEC">
      <w:pPr>
        <w:spacing w:line="360" w:lineRule="auto"/>
        <w:contextualSpacing/>
        <w:rPr>
          <w:rFonts w:ascii="仿宋" w:hAnsi="仿宋" w:eastAsia="仿宋" w:cs="宋体"/>
          <w:b/>
          <w:sz w:val="24"/>
        </w:rPr>
      </w:pPr>
    </w:p>
    <w:p w14:paraId="2CF85948">
      <w:pPr>
        <w:spacing w:line="360" w:lineRule="auto"/>
        <w:ind w:firstLine="480"/>
        <w:rPr>
          <w:rFonts w:ascii="仿宋" w:hAnsi="仿宋" w:eastAsia="仿宋"/>
          <w:sz w:val="24"/>
        </w:rPr>
      </w:pPr>
    </w:p>
    <w:p w14:paraId="0D393E59">
      <w:pPr>
        <w:spacing w:line="360" w:lineRule="auto"/>
        <w:ind w:firstLine="482"/>
        <w:rPr>
          <w:rFonts w:ascii="仿宋" w:hAnsi="仿宋" w:eastAsia="仿宋" w:cs="宋体"/>
          <w:b/>
          <w:sz w:val="24"/>
        </w:rPr>
      </w:pPr>
      <w:r>
        <w:rPr>
          <w:rFonts w:hint="eastAsia" w:ascii="仿宋" w:hAnsi="仿宋" w:eastAsia="仿宋" w:cs="宋体"/>
          <w:b/>
          <w:sz w:val="24"/>
        </w:rPr>
        <w:t>3.</w:t>
      </w:r>
      <w:r>
        <w:rPr>
          <w:rFonts w:ascii="仿宋" w:hAnsi="仿宋" w:eastAsia="仿宋" w:cs="宋体"/>
          <w:b/>
          <w:sz w:val="24"/>
        </w:rPr>
        <w:t>包装和运输</w:t>
      </w:r>
    </w:p>
    <w:p w14:paraId="1C05C491">
      <w:pPr>
        <w:spacing w:line="360" w:lineRule="auto"/>
        <w:ind w:firstLine="480"/>
        <w:rPr>
          <w:rFonts w:ascii="仿宋" w:hAnsi="仿宋" w:eastAsia="仿宋"/>
          <w:sz w:val="24"/>
        </w:rPr>
      </w:pPr>
      <w:r>
        <w:rPr>
          <w:rFonts w:hint="eastAsia" w:ascii="仿宋" w:hAnsi="仿宋" w:eastAsia="仿宋"/>
          <w:sz w:val="24"/>
        </w:rPr>
        <w:t>无。</w:t>
      </w:r>
    </w:p>
    <w:p w14:paraId="2DD31408">
      <w:pPr>
        <w:spacing w:line="360" w:lineRule="auto"/>
        <w:ind w:firstLine="482"/>
        <w:rPr>
          <w:rFonts w:ascii="仿宋" w:hAnsi="仿宋" w:eastAsia="仿宋"/>
          <w:sz w:val="24"/>
        </w:rPr>
      </w:pPr>
      <w:r>
        <w:rPr>
          <w:rFonts w:hint="eastAsia" w:ascii="仿宋" w:hAnsi="仿宋" w:eastAsia="仿宋" w:cs="宋体"/>
          <w:b/>
          <w:sz w:val="24"/>
        </w:rPr>
        <w:t>4.</w:t>
      </w:r>
      <w:r>
        <w:rPr>
          <w:rFonts w:ascii="仿宋" w:hAnsi="仿宋" w:eastAsia="仿宋" w:cs="宋体"/>
          <w:b/>
          <w:sz w:val="24"/>
        </w:rPr>
        <w:t>售后服务（质保期）（如适用）</w:t>
      </w:r>
    </w:p>
    <w:p w14:paraId="4EA0C58A">
      <w:pPr>
        <w:spacing w:line="360" w:lineRule="auto"/>
        <w:ind w:firstLine="482"/>
        <w:rPr>
          <w:rFonts w:ascii="仿宋" w:hAnsi="仿宋" w:eastAsia="仿宋" w:cs="宋体"/>
          <w:bCs/>
          <w:sz w:val="24"/>
        </w:rPr>
      </w:pPr>
      <w:r>
        <w:rPr>
          <w:rFonts w:hint="eastAsia" w:ascii="仿宋" w:hAnsi="仿宋" w:eastAsia="仿宋" w:cs="宋体"/>
          <w:bCs/>
          <w:sz w:val="24"/>
        </w:rPr>
        <w:t>本项目免费质量保证期要求不低于 1 年。免费质量保证期从项目实施完成且经采购人验收合格后开始计算。</w:t>
      </w:r>
      <w:r>
        <w:rPr>
          <w:rFonts w:hint="eastAsia" w:ascii="仿宋" w:hAnsi="仿宋" w:eastAsia="仿宋"/>
          <w:sz w:val="24"/>
        </w:rPr>
        <w:t>质保期内，中标人应提供课程资源的技术支持、平台运行维护、内容更新调整等服务。</w:t>
      </w:r>
    </w:p>
    <w:p w14:paraId="5B292562">
      <w:pPr>
        <w:spacing w:line="360" w:lineRule="auto"/>
        <w:ind w:firstLine="482"/>
        <w:rPr>
          <w:rFonts w:ascii="仿宋" w:hAnsi="仿宋" w:eastAsia="仿宋" w:cs="宋体"/>
          <w:bCs/>
          <w:sz w:val="24"/>
        </w:rPr>
      </w:pPr>
    </w:p>
    <w:p w14:paraId="3C8BDFC9">
      <w:pPr>
        <w:spacing w:line="360" w:lineRule="auto"/>
        <w:ind w:firstLine="482"/>
        <w:rPr>
          <w:rFonts w:ascii="仿宋" w:hAnsi="仿宋" w:eastAsia="仿宋" w:cs="宋体"/>
          <w:sz w:val="24"/>
        </w:rPr>
      </w:pPr>
      <w:r>
        <w:rPr>
          <w:rFonts w:hint="eastAsia" w:ascii="仿宋" w:hAnsi="仿宋" w:eastAsia="仿宋" w:cs="宋体"/>
          <w:b/>
          <w:sz w:val="24"/>
        </w:rPr>
        <w:t>5.</w:t>
      </w:r>
      <w:r>
        <w:rPr>
          <w:rFonts w:ascii="仿宋" w:hAnsi="仿宋" w:eastAsia="仿宋" w:cs="宋体"/>
          <w:b/>
          <w:sz w:val="24"/>
        </w:rPr>
        <w:t>保险（</w:t>
      </w:r>
      <w:r>
        <w:rPr>
          <w:rFonts w:hint="eastAsia" w:ascii="仿宋" w:hAnsi="仿宋" w:eastAsia="仿宋" w:cs="宋体"/>
          <w:b/>
          <w:sz w:val="24"/>
        </w:rPr>
        <w:t>不</w:t>
      </w:r>
      <w:r>
        <w:rPr>
          <w:rFonts w:ascii="仿宋" w:hAnsi="仿宋" w:eastAsia="仿宋" w:cs="宋体"/>
          <w:b/>
          <w:sz w:val="24"/>
        </w:rPr>
        <w:t>适用）</w:t>
      </w:r>
    </w:p>
    <w:p w14:paraId="40FA9C52">
      <w:pPr>
        <w:spacing w:line="360" w:lineRule="auto"/>
        <w:ind w:firstLine="480"/>
        <w:rPr>
          <w:rFonts w:ascii="仿宋" w:hAnsi="仿宋" w:eastAsia="仿宋"/>
          <w:sz w:val="24"/>
        </w:rPr>
      </w:pPr>
      <w:r>
        <w:rPr>
          <w:rFonts w:hint="eastAsia" w:ascii="仿宋" w:hAnsi="仿宋" w:eastAsia="仿宋"/>
          <w:sz w:val="24"/>
        </w:rPr>
        <w:t>无。</w:t>
      </w:r>
    </w:p>
    <w:p w14:paraId="5D0ABB02">
      <w:pPr>
        <w:spacing w:line="360" w:lineRule="auto"/>
        <w:ind w:firstLine="482"/>
        <w:rPr>
          <w:rFonts w:ascii="仿宋" w:hAnsi="仿宋" w:eastAsia="仿宋" w:cs="宋体"/>
          <w:sz w:val="24"/>
        </w:rPr>
      </w:pPr>
    </w:p>
    <w:p w14:paraId="647DF97C">
      <w:pPr>
        <w:numPr>
          <w:ilvl w:val="0"/>
          <w:numId w:val="1"/>
        </w:numPr>
        <w:spacing w:line="360" w:lineRule="auto"/>
        <w:ind w:firstLine="482" w:firstLineChars="200"/>
        <w:contextualSpacing/>
        <w:jc w:val="left"/>
        <w:rPr>
          <w:rFonts w:ascii="仿宋" w:hAnsi="仿宋" w:eastAsia="仿宋" w:cs="宋体"/>
          <w:b/>
          <w:sz w:val="24"/>
        </w:rPr>
      </w:pPr>
      <w:r>
        <w:rPr>
          <w:rFonts w:hint="eastAsia" w:ascii="仿宋" w:hAnsi="仿宋" w:eastAsia="仿宋" w:cs="宋体"/>
          <w:b/>
          <w:sz w:val="24"/>
        </w:rPr>
        <w:t>技术要求</w:t>
      </w:r>
    </w:p>
    <w:p w14:paraId="606690BF">
      <w:pPr>
        <w:spacing w:line="360" w:lineRule="auto"/>
        <w:ind w:firstLine="503"/>
        <w:rPr>
          <w:rFonts w:ascii="仿宋" w:hAnsi="仿宋" w:eastAsia="仿宋"/>
          <w:b/>
          <w:sz w:val="24"/>
        </w:rPr>
      </w:pPr>
      <w:r>
        <w:rPr>
          <w:rFonts w:ascii="仿宋" w:hAnsi="仿宋" w:eastAsia="仿宋" w:cs="Arial"/>
          <w:b/>
          <w:w w:val="105"/>
          <w:sz w:val="24"/>
        </w:rPr>
        <w:t>1.</w:t>
      </w:r>
      <w:r>
        <w:rPr>
          <w:rFonts w:ascii="仿宋" w:hAnsi="仿宋" w:eastAsia="仿宋"/>
          <w:b/>
          <w:w w:val="105"/>
          <w:sz w:val="24"/>
        </w:rPr>
        <w:t>基本要求</w:t>
      </w:r>
    </w:p>
    <w:p w14:paraId="7BFC6CE6">
      <w:pPr>
        <w:spacing w:line="360" w:lineRule="auto"/>
        <w:ind w:firstLine="480"/>
        <w:rPr>
          <w:rFonts w:ascii="仿宋" w:hAnsi="仿宋" w:eastAsia="仿宋"/>
          <w:b/>
          <w:sz w:val="24"/>
        </w:rPr>
      </w:pPr>
      <w:r>
        <w:rPr>
          <w:rFonts w:ascii="仿宋" w:hAnsi="仿宋" w:eastAsia="仿宋" w:cs="Arial"/>
          <w:b/>
          <w:sz w:val="24"/>
        </w:rPr>
        <w:t>1.1</w:t>
      </w:r>
      <w:r>
        <w:rPr>
          <w:rFonts w:ascii="仿宋" w:hAnsi="仿宋" w:eastAsia="仿宋"/>
          <w:b/>
          <w:sz w:val="24"/>
        </w:rPr>
        <w:t>采购标的需实现的功能或者目标</w:t>
      </w:r>
      <w:r>
        <w:rPr>
          <w:rFonts w:hint="eastAsia" w:ascii="仿宋" w:hAnsi="仿宋" w:eastAsia="仿宋"/>
          <w:b/>
          <w:sz w:val="24"/>
        </w:rPr>
        <w:t>。</w:t>
      </w:r>
    </w:p>
    <w:p w14:paraId="2F330689">
      <w:pPr>
        <w:spacing w:line="360" w:lineRule="auto"/>
        <w:ind w:firstLine="480"/>
      </w:pPr>
      <w:r>
        <w:rPr>
          <w:rFonts w:hint="eastAsia" w:ascii="仿宋" w:hAnsi="仿宋" w:eastAsia="仿宋" w:cs="仿宋"/>
        </w:rPr>
        <w:t>为积极落实国家教育数字化战略行动，提高我校课程建设质量，助力专业数智化转型，提升人才培养成效，特对我校10门市级精品课资源素材进行更新，并新建7门校级线上精品课，要求投标人提供课程建设培训、开发与制作、在线课程平台上线运行，以及课程内容审读服务。项目建设要求按照教育部《职业教育专业教学资源库建设指南》标准化课程“能学、辅教、促改”的功能定位，和国家精品在线开放课程建设要求，进行一体化设计，项目建设成果可适应“互联网＋职业教育”发展需求，满足线上学习和线上线下混合教学的需要，</w:t>
      </w:r>
      <w:r>
        <w:rPr>
          <w:rFonts w:hint="eastAsia" w:ascii="仿宋" w:hAnsi="仿宋" w:eastAsia="仿宋" w:cs="仿宋"/>
          <w:sz w:val="24"/>
        </w:rPr>
        <w:t>支持参评省部级及国家级精品课、专业教学资源库、课程思政示范课程等各类标志性教学成果。</w:t>
      </w:r>
    </w:p>
    <w:p w14:paraId="369AB456">
      <w:pPr>
        <w:spacing w:line="360" w:lineRule="auto"/>
        <w:ind w:firstLine="480"/>
        <w:rPr>
          <w:rFonts w:ascii="仿宋" w:hAnsi="仿宋" w:eastAsia="仿宋"/>
          <w:b/>
          <w:sz w:val="24"/>
        </w:rPr>
      </w:pPr>
      <w:r>
        <w:rPr>
          <w:rFonts w:ascii="仿宋" w:hAnsi="仿宋" w:eastAsia="仿宋" w:cs="Arial"/>
          <w:b/>
          <w:sz w:val="24"/>
        </w:rPr>
        <w:t>1.2</w:t>
      </w:r>
      <w:r>
        <w:rPr>
          <w:rFonts w:ascii="仿宋" w:hAnsi="仿宋" w:eastAsia="仿宋"/>
          <w:b/>
          <w:sz w:val="24"/>
        </w:rPr>
        <w:t>需执行的国家相关标准、行业标准、地方标准或者其他标准、规范</w:t>
      </w:r>
    </w:p>
    <w:p w14:paraId="1E1FD93B">
      <w:pPr>
        <w:spacing w:line="360" w:lineRule="auto"/>
        <w:ind w:firstLine="480"/>
        <w:rPr>
          <w:rFonts w:ascii="仿宋" w:hAnsi="仿宋" w:eastAsia="仿宋" w:cs="仿宋"/>
          <w:sz w:val="24"/>
        </w:rPr>
      </w:pPr>
      <w:r>
        <w:rPr>
          <w:rFonts w:hint="eastAsia" w:ascii="仿宋" w:hAnsi="仿宋" w:eastAsia="仿宋" w:cs="仿宋"/>
          <w:sz w:val="24"/>
        </w:rPr>
        <w:t>项目建设要求按照教育部《职业教育专业教学资源库建设指南》标准化课程“能学、辅教、促改”的功能定位，和国家精品在线开放课程建设要求，进行一体化设计，项目建设成果可适应“互联网＋职业教育”发展需求，满足线上学习和线上线下混合教学的需要，支持参评省部级及国家级精品课、专业教学资源库、课程思政示范课程等各类标志性教学成果。</w:t>
      </w:r>
    </w:p>
    <w:p w14:paraId="046F49BC">
      <w:pPr>
        <w:pStyle w:val="2"/>
        <w:spacing w:line="360" w:lineRule="auto"/>
      </w:pPr>
    </w:p>
    <w:p w14:paraId="55C92AF3">
      <w:pPr>
        <w:spacing w:line="360" w:lineRule="auto"/>
        <w:ind w:firstLine="480"/>
        <w:rPr>
          <w:rFonts w:ascii="仿宋" w:hAnsi="仿宋" w:eastAsia="仿宋"/>
          <w:b/>
          <w:sz w:val="24"/>
        </w:rPr>
      </w:pPr>
      <w:r>
        <w:rPr>
          <w:rFonts w:ascii="仿宋" w:hAnsi="仿宋" w:eastAsia="仿宋" w:cs="Arial"/>
          <w:b/>
          <w:sz w:val="24"/>
        </w:rPr>
        <w:t>2.</w:t>
      </w:r>
      <w:r>
        <w:rPr>
          <w:rFonts w:ascii="仿宋" w:hAnsi="仿宋" w:eastAsia="仿宋"/>
          <w:b/>
          <w:sz w:val="24"/>
        </w:rPr>
        <w:t>服务内容及要求</w:t>
      </w:r>
      <w:r>
        <w:rPr>
          <w:rFonts w:ascii="仿宋" w:hAnsi="仿宋" w:eastAsia="仿宋" w:cs="Arial"/>
          <w:b/>
          <w:sz w:val="24"/>
        </w:rPr>
        <w:t>/</w:t>
      </w:r>
      <w:r>
        <w:rPr>
          <w:rFonts w:ascii="仿宋" w:hAnsi="仿宋" w:eastAsia="仿宋"/>
          <w:b/>
          <w:sz w:val="24"/>
        </w:rPr>
        <w:t>货物技术要求</w:t>
      </w:r>
    </w:p>
    <w:p w14:paraId="18A280EE">
      <w:pPr>
        <w:spacing w:line="360" w:lineRule="auto"/>
        <w:ind w:firstLine="480"/>
        <w:rPr>
          <w:rFonts w:ascii="仿宋" w:hAnsi="仿宋" w:eastAsia="仿宋"/>
          <w:b/>
          <w:sz w:val="24"/>
        </w:rPr>
      </w:pPr>
      <w:r>
        <w:rPr>
          <w:rFonts w:ascii="仿宋" w:hAnsi="仿宋" w:eastAsia="仿宋" w:cs="Arial"/>
          <w:b/>
          <w:sz w:val="24"/>
        </w:rPr>
        <w:t>2.1</w:t>
      </w:r>
      <w:r>
        <w:rPr>
          <w:rFonts w:ascii="仿宋" w:hAnsi="仿宋" w:eastAsia="仿宋"/>
          <w:b/>
          <w:sz w:val="24"/>
        </w:rPr>
        <w:t>采购标的需满足的性能、材料、结构、外观、质量、安全、技术规格、物理特性等要求</w:t>
      </w:r>
      <w:r>
        <w:rPr>
          <w:rFonts w:hint="eastAsia" w:ascii="仿宋" w:hAnsi="仿宋" w:eastAsia="仿宋"/>
          <w:b/>
          <w:sz w:val="24"/>
        </w:rPr>
        <w:t>。</w:t>
      </w:r>
    </w:p>
    <w:p w14:paraId="6FBAE3DB">
      <w:pPr>
        <w:pStyle w:val="7"/>
        <w:widowControl/>
        <w:numPr>
          <w:ilvl w:val="0"/>
          <w:numId w:val="3"/>
        </w:numPr>
        <w:spacing w:line="360" w:lineRule="auto"/>
        <w:ind w:firstLine="482" w:firstLineChars="200"/>
        <w:textAlignment w:val="baseline"/>
        <w:outlineLvl w:val="2"/>
        <w:rPr>
          <w:rFonts w:hint="default" w:ascii="仿宋" w:hAnsi="仿宋" w:eastAsia="仿宋" w:cs="仿宋"/>
          <w:b/>
          <w:bCs/>
        </w:rPr>
      </w:pPr>
      <w:r>
        <w:rPr>
          <w:rFonts w:ascii="仿宋" w:hAnsi="仿宋" w:eastAsia="仿宋" w:cs="仿宋"/>
          <w:b/>
          <w:bCs/>
        </w:rPr>
        <w:t>建设需求</w:t>
      </w:r>
    </w:p>
    <w:tbl>
      <w:tblPr>
        <w:tblStyle w:val="4"/>
        <w:tblW w:w="5138" w:type="pct"/>
        <w:tblInd w:w="-239" w:type="dxa"/>
        <w:tblLayout w:type="fixed"/>
        <w:tblCellMar>
          <w:top w:w="0" w:type="dxa"/>
          <w:left w:w="108" w:type="dxa"/>
          <w:bottom w:w="0" w:type="dxa"/>
          <w:right w:w="108" w:type="dxa"/>
        </w:tblCellMar>
      </w:tblPr>
      <w:tblGrid>
        <w:gridCol w:w="870"/>
        <w:gridCol w:w="1370"/>
        <w:gridCol w:w="5691"/>
        <w:gridCol w:w="928"/>
      </w:tblGrid>
      <w:tr w14:paraId="45A4395D">
        <w:tblPrEx>
          <w:tblCellMar>
            <w:top w:w="0" w:type="dxa"/>
            <w:left w:w="108" w:type="dxa"/>
            <w:bottom w:w="0" w:type="dxa"/>
            <w:right w:w="108" w:type="dxa"/>
          </w:tblCellMar>
        </w:tblPrEx>
        <w:tc>
          <w:tcPr>
            <w:tcW w:w="4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0BFA5">
            <w:pPr>
              <w:widowControl/>
              <w:spacing w:line="360" w:lineRule="auto"/>
              <w:jc w:val="center"/>
              <w:textAlignment w:val="center"/>
              <w:rPr>
                <w:rFonts w:ascii="仿宋" w:hAnsi="仿宋" w:eastAsia="仿宋" w:cs="宋体"/>
                <w:b/>
                <w:bCs/>
                <w:color w:val="000000"/>
                <w:sz w:val="22"/>
              </w:rPr>
            </w:pPr>
            <w:r>
              <w:rPr>
                <w:rFonts w:hint="eastAsia" w:ascii="仿宋" w:hAnsi="仿宋" w:eastAsia="仿宋" w:cs="宋体"/>
                <w:b/>
                <w:bCs/>
                <w:color w:val="000000"/>
                <w:kern w:val="0"/>
                <w:sz w:val="22"/>
                <w:lang w:bidi="ar"/>
              </w:rPr>
              <w:t>项目名称</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4BEC7">
            <w:pPr>
              <w:widowControl/>
              <w:spacing w:line="360" w:lineRule="auto"/>
              <w:jc w:val="center"/>
              <w:textAlignment w:val="center"/>
              <w:rPr>
                <w:rFonts w:ascii="仿宋" w:hAnsi="仿宋" w:eastAsia="仿宋" w:cs="宋体"/>
                <w:b/>
                <w:bCs/>
                <w:color w:val="000000"/>
                <w:sz w:val="22"/>
              </w:rPr>
            </w:pPr>
            <w:r>
              <w:rPr>
                <w:rFonts w:hint="eastAsia" w:ascii="仿宋" w:hAnsi="仿宋" w:eastAsia="仿宋" w:cs="宋体"/>
                <w:b/>
                <w:bCs/>
                <w:color w:val="000000"/>
                <w:kern w:val="0"/>
                <w:sz w:val="22"/>
                <w:lang w:bidi="ar"/>
              </w:rPr>
              <w:t>项目明细名称</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15B7C1">
            <w:pPr>
              <w:widowControl/>
              <w:spacing w:line="360" w:lineRule="auto"/>
              <w:jc w:val="center"/>
              <w:textAlignment w:val="center"/>
              <w:rPr>
                <w:rFonts w:ascii="仿宋" w:hAnsi="仿宋" w:eastAsia="仿宋" w:cs="宋体"/>
                <w:b/>
                <w:bCs/>
                <w:color w:val="000000"/>
                <w:sz w:val="22"/>
              </w:rPr>
            </w:pPr>
            <w:r>
              <w:rPr>
                <w:rFonts w:hint="eastAsia" w:ascii="仿宋" w:hAnsi="仿宋" w:eastAsia="仿宋" w:cs="宋体"/>
                <w:b/>
                <w:bCs/>
                <w:color w:val="000000"/>
                <w:kern w:val="0"/>
                <w:sz w:val="22"/>
                <w:lang w:bidi="ar"/>
              </w:rPr>
              <w:t>技术参数</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4B66F">
            <w:pPr>
              <w:widowControl/>
              <w:spacing w:line="360" w:lineRule="auto"/>
              <w:jc w:val="center"/>
              <w:textAlignment w:val="center"/>
              <w:rPr>
                <w:rFonts w:ascii="仿宋" w:hAnsi="仿宋" w:eastAsia="仿宋" w:cs="宋体"/>
                <w:b/>
                <w:bCs/>
                <w:color w:val="000000"/>
                <w:sz w:val="22"/>
              </w:rPr>
            </w:pPr>
            <w:r>
              <w:rPr>
                <w:rFonts w:hint="eastAsia" w:ascii="仿宋" w:hAnsi="仿宋" w:eastAsia="仿宋" w:cs="宋体"/>
                <w:b/>
                <w:bCs/>
                <w:color w:val="000000"/>
                <w:kern w:val="0"/>
                <w:sz w:val="22"/>
                <w:lang w:bidi="ar"/>
              </w:rPr>
              <w:t>建设数量（个）</w:t>
            </w:r>
          </w:p>
        </w:tc>
      </w:tr>
      <w:tr w14:paraId="5484EBEE">
        <w:tblPrEx>
          <w:tblCellMar>
            <w:top w:w="0" w:type="dxa"/>
            <w:left w:w="108" w:type="dxa"/>
            <w:bottom w:w="0" w:type="dxa"/>
            <w:right w:w="108" w:type="dxa"/>
          </w:tblCellMar>
        </w:tblPrEx>
        <w:tc>
          <w:tcPr>
            <w:tcW w:w="4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AAF189">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7门校级在线课程</w:t>
            </w: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8CF27">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课程简介视频制作</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695E7">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按照2023职业教育在线精品课程课程概述要求准备。内容含基本信息、课程设计、课程建设、课程实施、教学环境、教学效果和特色创新之处等。5-10分钟视频，教师出镜不少于3分钟。课程负责人出镜，加动画效果和配乐包装。</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14F36">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7</w:t>
            </w:r>
          </w:p>
        </w:tc>
      </w:tr>
      <w:tr w14:paraId="1F0D0200">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96B2FB">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26830">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常规任务书编辑审读</w:t>
            </w:r>
          </w:p>
        </w:tc>
        <w:tc>
          <w:tcPr>
            <w:tcW w:w="32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8FDC1">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为每门课程包含的“常规学习任务工单”，提供专业编辑审校加工服务。</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9AE4A">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108</w:t>
            </w:r>
          </w:p>
        </w:tc>
      </w:tr>
      <w:tr w14:paraId="78A56AA3">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F873A">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EF91E">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拓展任务书编辑审读</w:t>
            </w:r>
          </w:p>
        </w:tc>
        <w:tc>
          <w:tcPr>
            <w:tcW w:w="32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D651F">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为每门课程包含的“拓展学习任务工单”，提供专业编辑审校加工服务。</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145DD">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sz w:val="22"/>
              </w:rPr>
              <w:t>82</w:t>
            </w:r>
          </w:p>
        </w:tc>
      </w:tr>
      <w:tr w14:paraId="680B89AB">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B0C96">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CE2A5">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课件PPT优化</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15DEF">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1.PPT逐页美化，用通用子库，图像、图形应清晰，图形要符合国家相关绘制标准；文中所用计量符号应符合国家相关标准。</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2.多个页面均有的相同元素，如背景、按钮、标题、页码等，可以使用幻灯片母版来实现，每讲15-20屏左右。</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3.使用Windows系统默认字体，不使用仿宋、细圆等过细字体；文字要醒目，避免使用与背景色相近的字体颜色；如有特殊字体，应转化为图形文件。</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4.恰当使用组合：某些插图中位置相对固定的文本框、数学公式以及图片等应采用组合方式，避免产生相对位移。</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A3E6E">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350</w:t>
            </w:r>
          </w:p>
        </w:tc>
      </w:tr>
      <w:tr w14:paraId="01193503">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DF4D8">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B88B0">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微课程视频制作</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4052F">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 微课程要求以视频为主要载体，围绕某个知识点/技能点内容展开、基于教学设计的学习资源。含片头、片尾、教师出镜拍摄，可包含PPT、情景视频、动画穿插，后期剪辑合成。</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2. 微课程内容应符合我国法律法规，尊重各民族的风俗习惯，版权不存在争议。</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3. 每个微课程时长8-10 min；教师出镜讲解及与PPT画面适当穿插；背景音乐优雅、轻松。</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4. 字幕要使用符合国家标准的规范字，不出现繁体字、异体字（国家规定的除外)、错别字；字幕的字体、大小、色彩搭配、摆放位置、停留时间、出入屏方式力求与其他要素（画面、解说词、音乐）配合适当，不能破坏原有画面。</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5. 视频要求图像清晰，声音和画面同步，播放时没有明显的噪点，播放流畅。</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6. 根据课程内容提供片头、片尾策划案例，时长5-10秒。</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7.每帧图像颜色数不低于256色或灰度级不低于128级，码率3M以上，帧率不低于25 fps，分辨率不低于1024×576（16:9）。</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1EA89">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sz w:val="22"/>
              </w:rPr>
              <w:t>330</w:t>
            </w:r>
          </w:p>
        </w:tc>
      </w:tr>
      <w:tr w14:paraId="5438DB36">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69F37">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6F7BD">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情景视频制作</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254CE">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1.既可以作为微课程视频的穿插素材，又可以独立作为知识点的组课资源或冗余资源，时长根据具体的实训任务或实操场景需要，控制在1-10min之间。</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2. 内容应符合我国法律法规，尊重各民族的风俗习惯，版权不存在争议。</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3. 字幕要使用符合国家标准的规范字，不出现繁体字、异体字（国家规定的除外)、错别字；字幕的字体、大小、色彩搭配、摆放位置、停留时间、出入屏方式力求与其他要素（画面、解说词、音乐）配合适当，不能破坏原有画面。</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4. 视频要求图像清晰，声音和画面同步，播放时没有明显的噪点，播放流畅。</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5.每帧图像颜色数不低于256色或灰度级不低于128级，码率3M以上，帧率不低于25 fps，分辨率不低于1024×576（16:9）。</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84DCF">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70</w:t>
            </w:r>
          </w:p>
        </w:tc>
      </w:tr>
      <w:tr w14:paraId="35AD9139">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D9AD8A">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291F2">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虚拟仿真交互式资源制作</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237DB7">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虚拟仿真交互式资源适用于以人物、动物、设备、完整的较复杂仪器等包含大量看不着、难再现部件的模型三维动画为主，每个虚仿交互式资源包含8-10个左右的交互步骤（具体步骤数量以实训场景的实际需要为准，原则上不超过10个）。通过H5形式封装后，可以作为这一门课程的组课资源，也可以作为数字教材的配套资源。</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响应：使用CSS媒体查询和弹性布局等技术来实现响应。</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2.交互反馈:及时、明确地向用户反馈其操作的结果或状态。使用动画、提示消息、状态指示器等方式来增强用户的交互反馈体验,帮助用户更好地理解状态和行为。</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3.动画效果：合理运用动画效果来增强用户体验，但不要过度使用，以免影响加载速度。使用CSS3动画.JavaScript动画库等技术来实现流畅、自然的动画效果。</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4.H5封装：交互式资源采用H5封装，并进行H5封装后的技术测试，确保跨平台兼容性和交互性。包含资源整合、H5框架开发、功能测试、部署上线。集成小程序、APP接口，实现无缝传播。在封装过程中，进行兼容测试环节，多设备模拟，记录问题日志，然后优化调整。</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5677D">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sz w:val="22"/>
              </w:rPr>
              <w:t>9</w:t>
            </w:r>
          </w:p>
        </w:tc>
      </w:tr>
      <w:tr w14:paraId="0B608E67">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C50EF">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F0EC3">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三维动画视频制作</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C78D51">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1.既可以作为微课程视频的穿插素材，又可以独立作为知识点的组课资源或冗余资源，时长(20-30s)左右。</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2.三维动画中如果有文字，文字要醒目，文字的字体、字号与内容协调，字体颜色避免与背景色相近；如果有解说，配音应标准，无噪音，声音悦耳，音量适当，快慢适度，流畅自然。</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3.三维动画色彩造型应和谐，画面简洁、清晰、界面友好。如果为交互动画，交互设计合理，操作简单；动画连续，节奏合理，帧和帧之间的关联性要强；动画演播过程要流畅，静止画面时间不超过5秒钟。</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4.采用mp4存储格式。</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E8403">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64</w:t>
            </w:r>
          </w:p>
        </w:tc>
      </w:tr>
      <w:tr w14:paraId="15324DE9">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5C9FB">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C65A5">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二维动画视频制作</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15ABB">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1.既可以作为微课程视频的穿插素材，又可以独立作为知识点的组课资源或冗余资源，时长(20-30s)左右。</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2.动画中如果有文字，文字要醒目，文字的字体、字号与内容协调，字体颜色避免与背景色相近；如果有解说，配音应标准，无噪音，声音悦耳，音量适当，快慢适度，流畅自然</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3.动画色彩造型应和谐，画面简洁、清晰、界面友好。如果为交互动画，交互设计合理，操作简单；动画连续，节奏合理，帧和帧之间的关联性要强；动画演播过程要流畅，静止画面时间不超过5秒钟。</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4.采用mp4存储格式。</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553A7">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sz w:val="22"/>
              </w:rPr>
              <w:t>162</w:t>
            </w:r>
          </w:p>
        </w:tc>
      </w:tr>
      <w:tr w14:paraId="6D1B9962">
        <w:tblPrEx>
          <w:tblCellMar>
            <w:top w:w="0" w:type="dxa"/>
            <w:left w:w="108" w:type="dxa"/>
            <w:bottom w:w="0" w:type="dxa"/>
            <w:right w:w="108" w:type="dxa"/>
          </w:tblCellMar>
        </w:tblPrEx>
        <w:tc>
          <w:tcPr>
            <w:tcW w:w="49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5E4C9A">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10门市级在线精品课</w:t>
            </w: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564FA">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课程简介视频制作</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96E8E">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按照2023职业教育在线精品课程课程概述要求准备。内容含基本信息、课程设计、课程建设、课程实施、教学环境、教学效果和特色创新之处等。5-10分钟视频，教师出镜不少于3分钟。课程负责人出镜，加动画效果和配乐包装。</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6C25F">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9</w:t>
            </w:r>
          </w:p>
        </w:tc>
      </w:tr>
      <w:tr w14:paraId="246B021B">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809C2">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F9DEC">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常规任务书编辑审读</w:t>
            </w:r>
          </w:p>
        </w:tc>
        <w:tc>
          <w:tcPr>
            <w:tcW w:w="32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58E58">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为每门课程包含的“常规学习任务工单”，提供专业编辑审校加工服务。</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ADC5A">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25</w:t>
            </w:r>
          </w:p>
        </w:tc>
      </w:tr>
      <w:tr w14:paraId="6D8C97F9">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EAC5F">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55652">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拓展任务书编辑审读</w:t>
            </w:r>
          </w:p>
        </w:tc>
        <w:tc>
          <w:tcPr>
            <w:tcW w:w="32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E87F9">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为每门课程包含的“拓展学习任务工单”，提供专业编辑审校加工服务。</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589AF">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20</w:t>
            </w:r>
          </w:p>
        </w:tc>
      </w:tr>
      <w:tr w14:paraId="705D48A7">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B31F7">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28D07">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课件PPT优化</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16472C">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1.PPT逐页美化，用通用子库，图像、图形应清晰，图形要符合国家相关绘制标准；文中所用计量符号应符合国家相关标准。</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2.多个页面均有的相同元素，如背景、按钮、标题、页码等，可以使用幻灯片母版来实现，每讲15-20屏左右。</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3.使用Windows系统默认字体，不使用仿宋、细圆等过细字体；文字要醒目，避免使用与背景色相近的字体颜色；如有特殊字体，应转化为图形文件。</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4.恰当使用组合：某些插图中位置相对固定的文本框、数学公式以及图片等应采用组合方式，避免产生相对位移。</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42C90">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25</w:t>
            </w:r>
          </w:p>
        </w:tc>
      </w:tr>
      <w:tr w14:paraId="1C36B956">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CAF0A">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EDABD">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微课程视频制作</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5CA7A">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 微课程要求以视频为主要载体，围绕某个知识点/技能点内容展开、基于教学设计的学习资源。含片头、片尾、教师出镜拍摄，可包含PPT、情景视频、动画穿插，后期剪辑合成。</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2. 微课程内容应符合我国法律法规，尊重各民族的风俗习惯，版权不存在争议。</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3. 每个微课程时长8-10 min；教师出镜讲解及与PPT画面适当穿插；背景音乐优雅、轻松。</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4. 字幕要使用符合国家标准的规范字，不出现繁体字、异体字（国家规定的除外)、错别字；字幕的字体、大小、色彩搭配、摆放位置、停留时间、出入屏方式力求与其他要素（画面、解说词、音乐）配合适当，不能破坏原有画面。</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5. 视频要求图像清晰，声音和画面同步，播放时没有明显的噪点，播放流畅。</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6. 根据课程内容提供片头、片尾策划案例，时长5-10秒。</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7.每帧图像颜色数不低于256色或灰度级不低于128级，码率3M以上，帧率不低于25 fps，分辨率不低于1024×576（16:9）。</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8F340">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99</w:t>
            </w:r>
          </w:p>
        </w:tc>
      </w:tr>
      <w:tr w14:paraId="12691CB6">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5D2F5">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02FE5">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情景视频制作</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D3192">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1.既可以作为微课程视频的穿插素材，又可以独立作为知识点的组课资源或冗余资源，时长根据具体的实训任务或实操场景需要，控制在8-10min之间。</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2. 内容应符合我国法律法规，尊重各民族的风俗习惯，版权不存在争议。</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3. 字幕要使用符合国家标准的规范字，不出现繁体字、异体字（国家规定的除外)、错别字；字幕的字体、大小、色彩搭配、摆放位置、停留时间、出入屏方式力求与其他要素（画面、解说词、音乐）配合适当，不能破坏原有画面。</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4. 视频要求图像清晰，声音和画面同步，播放时没有明显的噪点，播放流畅。</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5.每帧图像颜色数不低于256色或灰度级不低于128级，码率3M以上，帧率不低于25 fps，分辨率不低于1024×576（16:9）。</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8556A">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79</w:t>
            </w:r>
          </w:p>
        </w:tc>
      </w:tr>
      <w:tr w14:paraId="2D5435FE">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8BB758">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161AB">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虚拟仿真交互式资源制作</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D8E4E5">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虚拟仿真交互式资源适用于以人物、动物、设备、完整的较复杂仪器等包含大量看不着、难再现部件的模型三维动画为主，每个虚仿交互式资源包含8-10个左右的交互步骤（具体步骤数量以实训场景的实际需要为准，原则上不超过10个）。通过H5形式封装后，可以作为这一门课程的组课资源，也可以作为数字教材的配套资源。</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响应：使用CSS媒体查询和弹性布局等技术来实现响应。</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2.交互反馈:及时、明确地向用户反馈其操作的结果或状态。使用动画、提示消息、状态指示器等方式来增强用户的交互反馈体验,帮助用户更好地理解状态和行为。</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3.动画效果：合理运用动画效果来增强用户体验，但不要过度使用，以免影响加载速度。使用CSS3动画.JavaScript动画库等技术来实现流畅、自然的动画效果。</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4.H5封装：交互式资源采用H5封装，并进行H5封装后的技术测试，确保跨平台兼容性和交互性。包含资源整合、H5框架开发、功能测试、部署上线。集成小程序、APP接口，实现无缝传播。在封装过程中，进行兼容测试环节，多设备模拟，记录问题日志，然后优化调整。</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AFDE8">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11</w:t>
            </w:r>
          </w:p>
        </w:tc>
      </w:tr>
      <w:tr w14:paraId="09E1AD34">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312F6">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CDD3D">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三维动画视频制作</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3DB61">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1.既可以作为微课程视频的穿插素材，又可以独立作为知识点的组课资源或冗余资源，时长(20-30s)左右。</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2.三维动画中如果有文字，文字要醒目，文字的字体、字号与内容协调，字体颜色避免与背景色相近；如果有解说，配音应标准，无噪音，声音悦耳，音量适当，快慢适度，流畅自然。</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3.三维动画色彩造型应和谐，画面简洁、清晰、界面友好。如果为交互动画，交互设计合理，操作简单；动画连续，节奏合理，帧和帧之间的关联性要强；动画演播过程要流畅，静止画面时间不超过5秒钟。</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4.采用mp4存储格式。</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4C70F">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kern w:val="0"/>
                <w:sz w:val="22"/>
                <w:lang w:bidi="ar"/>
              </w:rPr>
              <w:t>15</w:t>
            </w:r>
          </w:p>
        </w:tc>
      </w:tr>
      <w:tr w14:paraId="6A58B529">
        <w:tblPrEx>
          <w:tblCellMar>
            <w:top w:w="0" w:type="dxa"/>
            <w:left w:w="108" w:type="dxa"/>
            <w:bottom w:w="0" w:type="dxa"/>
            <w:right w:w="108" w:type="dxa"/>
          </w:tblCellMar>
        </w:tblPrEx>
        <w:tc>
          <w:tcPr>
            <w:tcW w:w="49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87BED">
            <w:pPr>
              <w:spacing w:line="360" w:lineRule="auto"/>
              <w:rPr>
                <w:rFonts w:ascii="仿宋" w:hAnsi="仿宋" w:eastAsia="仿宋" w:cs="宋体"/>
                <w:color w:val="000000"/>
                <w:sz w:val="22"/>
              </w:rPr>
            </w:pP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A3E7B">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二维动画视频制作</w:t>
            </w:r>
          </w:p>
        </w:tc>
        <w:tc>
          <w:tcPr>
            <w:tcW w:w="32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CFB4A">
            <w:pPr>
              <w:widowControl/>
              <w:spacing w:line="360" w:lineRule="auto"/>
              <w:jc w:val="left"/>
              <w:textAlignment w:val="center"/>
              <w:rPr>
                <w:rFonts w:ascii="仿宋" w:hAnsi="仿宋" w:eastAsia="仿宋" w:cs="宋体"/>
                <w:color w:val="000000"/>
                <w:sz w:val="22"/>
              </w:rPr>
            </w:pPr>
            <w:r>
              <w:rPr>
                <w:rFonts w:hint="eastAsia" w:ascii="仿宋" w:hAnsi="仿宋" w:eastAsia="仿宋" w:cs="宋体"/>
                <w:color w:val="000000"/>
                <w:kern w:val="0"/>
                <w:sz w:val="22"/>
                <w:lang w:bidi="ar"/>
              </w:rPr>
              <w:t>1.既可以作为微课程视频的穿插素材，又可以独立作为知识点的组课资源或冗余资源，时长(20-30s)左右。</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2.动画中如果有文字，文字要醒目，文字的字体、字号与内容协调，字体颜色避免与背景色相近；如果有解说，配音应标准，无噪音，声音悦耳，音量适当，快慢适度，流畅自然</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3.动画色彩造型应和谐，画面简洁、清晰、界面友好。如果为交互动画，交互设计合理，操作简单；动画连续，节奏合理，帧和帧之间的关联性要强；动画演播过程要流畅，静止画面时间不超过5秒钟。</w:t>
            </w:r>
            <w:r>
              <w:rPr>
                <w:rFonts w:hint="eastAsia" w:ascii="仿宋" w:hAnsi="仿宋" w:eastAsia="仿宋" w:cs="宋体"/>
                <w:color w:val="000000"/>
                <w:kern w:val="0"/>
                <w:sz w:val="22"/>
                <w:lang w:bidi="ar"/>
              </w:rPr>
              <w:br w:type="textWrapping"/>
            </w:r>
            <w:r>
              <w:rPr>
                <w:rFonts w:hint="eastAsia" w:ascii="仿宋" w:hAnsi="仿宋" w:eastAsia="仿宋" w:cs="宋体"/>
                <w:color w:val="000000"/>
                <w:kern w:val="0"/>
                <w:sz w:val="22"/>
                <w:lang w:bidi="ar"/>
              </w:rPr>
              <w:t>4.采用mp4存储格式。</w:t>
            </w:r>
          </w:p>
        </w:tc>
        <w:tc>
          <w:tcPr>
            <w:tcW w:w="5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4D415">
            <w:pPr>
              <w:widowControl/>
              <w:spacing w:line="360" w:lineRule="auto"/>
              <w:jc w:val="center"/>
              <w:textAlignment w:val="center"/>
              <w:rPr>
                <w:rFonts w:ascii="仿宋" w:hAnsi="仿宋" w:eastAsia="仿宋" w:cs="宋体"/>
                <w:color w:val="000000"/>
                <w:sz w:val="22"/>
              </w:rPr>
            </w:pPr>
            <w:r>
              <w:rPr>
                <w:rFonts w:hint="eastAsia" w:ascii="仿宋" w:hAnsi="仿宋" w:eastAsia="仿宋" w:cs="宋体"/>
                <w:color w:val="000000"/>
                <w:sz w:val="22"/>
              </w:rPr>
              <w:t>38</w:t>
            </w:r>
          </w:p>
        </w:tc>
      </w:tr>
    </w:tbl>
    <w:p w14:paraId="2E0F1575">
      <w:pPr>
        <w:pStyle w:val="7"/>
        <w:widowControl/>
        <w:spacing w:line="360" w:lineRule="auto"/>
        <w:textAlignment w:val="baseline"/>
        <w:outlineLvl w:val="2"/>
        <w:rPr>
          <w:rFonts w:hint="default" w:ascii="仿宋_GB2312" w:hAnsi="仿宋_GB2312" w:eastAsia="仿宋_GB2312" w:cs="仿宋_GB2312"/>
          <w:b/>
          <w:bCs/>
          <w:sz w:val="32"/>
          <w:szCs w:val="32"/>
        </w:rPr>
      </w:pPr>
    </w:p>
    <w:p w14:paraId="5F6CC9E3">
      <w:pPr>
        <w:pStyle w:val="7"/>
        <w:widowControl/>
        <w:spacing w:line="360" w:lineRule="auto"/>
        <w:textAlignment w:val="baseline"/>
        <w:rPr>
          <w:rFonts w:hint="default" w:ascii="仿宋" w:hAnsi="仿宋" w:eastAsia="仿宋" w:cs="仿宋"/>
          <w:b/>
          <w:bCs/>
          <w:color w:val="000000"/>
          <w:lang w:bidi="ar"/>
        </w:rPr>
      </w:pPr>
      <w:r>
        <w:rPr>
          <w:rFonts w:ascii="仿宋" w:hAnsi="仿宋" w:eastAsia="仿宋" w:cs="仿宋"/>
          <w:b/>
          <w:bCs/>
          <w:color w:val="000000"/>
          <w:lang w:bidi="ar"/>
        </w:rPr>
        <w:t>注：★微课视频、二维动画、三维动画计划开发的数量，可在项目建设过程中根据教师实际需要进行必要调整，各类型资源数量还可以互抵，1个三维动画可相当于2个二维动画或微课视频，最终交付制作的资源数量将以双方最终约定的课程建设方案为准，上下浮动不超5%。</w:t>
      </w:r>
      <w:r>
        <w:rPr>
          <w:rStyle w:val="6"/>
          <w:rFonts w:ascii="仿宋" w:hAnsi="仿宋" w:eastAsia="仿宋" w:cs="仿宋"/>
          <w:b/>
          <w:bCs/>
          <w:kern w:val="2"/>
          <w:sz w:val="24"/>
          <w:szCs w:val="24"/>
        </w:rPr>
        <w:t>（投标人须提供承诺，格式自拟并加盖公章）</w:t>
      </w:r>
    </w:p>
    <w:p w14:paraId="00E321A5">
      <w:pPr>
        <w:spacing w:line="360" w:lineRule="auto"/>
        <w:ind w:firstLine="480"/>
        <w:rPr>
          <w:rFonts w:ascii="仿宋" w:hAnsi="仿宋" w:eastAsia="仿宋"/>
          <w:b/>
          <w:sz w:val="24"/>
        </w:rPr>
      </w:pPr>
    </w:p>
    <w:p w14:paraId="2530C8D1">
      <w:pPr>
        <w:pStyle w:val="2"/>
        <w:spacing w:line="360" w:lineRule="auto"/>
      </w:pPr>
    </w:p>
    <w:p w14:paraId="17C81ACB">
      <w:pPr>
        <w:spacing w:line="360" w:lineRule="auto"/>
        <w:ind w:firstLine="480"/>
        <w:rPr>
          <w:rFonts w:ascii="仿宋" w:hAnsi="仿宋" w:eastAsia="仿宋"/>
          <w:b/>
          <w:sz w:val="24"/>
        </w:rPr>
      </w:pPr>
      <w:r>
        <w:rPr>
          <w:rFonts w:ascii="仿宋" w:hAnsi="仿宋" w:eastAsia="仿宋" w:cs="Arial"/>
          <w:b/>
          <w:sz w:val="24"/>
        </w:rPr>
        <w:t>2.2</w:t>
      </w:r>
      <w:r>
        <w:rPr>
          <w:rFonts w:ascii="仿宋" w:hAnsi="仿宋" w:eastAsia="仿宋"/>
          <w:b/>
          <w:sz w:val="24"/>
        </w:rPr>
        <w:t>采购标的需满足的服务标准、期限、效率等要求</w:t>
      </w:r>
    </w:p>
    <w:p w14:paraId="134FCE1C">
      <w:pPr>
        <w:pStyle w:val="3"/>
        <w:spacing w:beforeAutospacing="0" w:afterAutospacing="0" w:line="360" w:lineRule="auto"/>
        <w:ind w:firstLine="480" w:firstLineChars="200"/>
        <w:textAlignment w:val="baseline"/>
        <w:rPr>
          <w:rFonts w:ascii="仿宋" w:hAnsi="仿宋" w:eastAsia="仿宋" w:cs="等线"/>
          <w:bCs/>
        </w:rPr>
      </w:pPr>
      <w:r>
        <w:rPr>
          <w:rFonts w:hint="eastAsia" w:ascii="仿宋" w:hAnsi="仿宋" w:eastAsia="仿宋" w:cs="等线"/>
          <w:bCs/>
        </w:rPr>
        <w:t>交付时间</w:t>
      </w:r>
      <w:r>
        <w:rPr>
          <w:rFonts w:hint="eastAsia" w:ascii="仿宋" w:hAnsi="仿宋" w:eastAsia="仿宋" w:cs="等线"/>
          <w:bCs/>
          <w:lang w:val="zh-TW" w:eastAsia="zh-TW"/>
        </w:rPr>
        <w:t xml:space="preserve">：合同签订后 </w:t>
      </w:r>
      <w:r>
        <w:rPr>
          <w:rFonts w:hint="eastAsia" w:ascii="仿宋" w:hAnsi="仿宋" w:eastAsia="仿宋" w:cs="等线"/>
          <w:bCs/>
        </w:rPr>
        <w:t>180</w:t>
      </w:r>
      <w:r>
        <w:rPr>
          <w:rFonts w:hint="eastAsia" w:ascii="仿宋" w:hAnsi="仿宋" w:eastAsia="仿宋" w:cs="等线"/>
          <w:bCs/>
          <w:lang w:val="zh-TW" w:eastAsia="zh-TW"/>
        </w:rPr>
        <w:t>日内</w:t>
      </w:r>
      <w:r>
        <w:rPr>
          <w:rFonts w:hint="eastAsia" w:ascii="仿宋" w:hAnsi="仿宋" w:eastAsia="仿宋" w:cs="等线"/>
          <w:bCs/>
          <w:lang w:val="zh-TW"/>
        </w:rPr>
        <w:t>。投标人</w:t>
      </w:r>
      <w:r>
        <w:rPr>
          <w:rFonts w:hint="eastAsia" w:ascii="仿宋" w:hAnsi="仿宋" w:eastAsia="仿宋" w:cs="等线"/>
          <w:bCs/>
          <w:lang w:val="zh-TW" w:eastAsia="zh-TW"/>
        </w:rPr>
        <w:t>应保证在要求时间内完成全部服务,符合国家标准、行业规范和合同等相关文件的要求。</w:t>
      </w:r>
    </w:p>
    <w:p w14:paraId="6E283851">
      <w:pPr>
        <w:pStyle w:val="2"/>
        <w:spacing w:line="360" w:lineRule="auto"/>
        <w:rPr>
          <w:lang w:val="zh-TW" w:eastAsia="zh-TW"/>
        </w:rPr>
      </w:pPr>
    </w:p>
    <w:p w14:paraId="7431FBE6">
      <w:pPr>
        <w:spacing w:line="360" w:lineRule="auto"/>
        <w:ind w:firstLine="480"/>
        <w:rPr>
          <w:rFonts w:ascii="仿宋" w:hAnsi="仿宋" w:eastAsia="仿宋"/>
          <w:b/>
          <w:sz w:val="24"/>
        </w:rPr>
      </w:pPr>
      <w:r>
        <w:rPr>
          <w:rFonts w:ascii="仿宋" w:hAnsi="仿宋" w:eastAsia="仿宋" w:cs="Arial"/>
          <w:b/>
          <w:sz w:val="24"/>
        </w:rPr>
        <w:t>2.3</w:t>
      </w:r>
      <w:r>
        <w:rPr>
          <w:rFonts w:ascii="仿宋" w:hAnsi="仿宋" w:eastAsia="仿宋"/>
          <w:b/>
          <w:sz w:val="24"/>
        </w:rPr>
        <w:t>为落实政府采购政策需满足的要求</w:t>
      </w:r>
    </w:p>
    <w:p w14:paraId="22D3DA7E">
      <w:pPr>
        <w:spacing w:line="360" w:lineRule="auto"/>
        <w:ind w:firstLine="480"/>
        <w:rPr>
          <w:rFonts w:ascii="仿宋" w:hAnsi="仿宋" w:eastAsia="仿宋" w:cs="宋体"/>
          <w:sz w:val="24"/>
        </w:rPr>
      </w:pPr>
      <w:r>
        <w:rPr>
          <w:rFonts w:hint="eastAsia" w:ascii="仿宋" w:hAnsi="仿宋" w:eastAsia="仿宋" w:cs="宋体"/>
          <w:sz w:val="24"/>
        </w:rPr>
        <w:t>（1）促进中小企业发展政策：根据《政府采购促进中小企业发展管理办法》规定，本项目采购服务由小型或微型企业承接的，投标人应出具招标文件要求的《中小企业声明函》给予证明，否则评标时不予认可。投标人应对提交的中小企业声明函的真实性负责，提交的中小企业声明函不真实的，应承担相应的法律责任（注：依据《政府采购促进中小企业发展管理办法》规定享受扶持政策获得政府采购合同的小微企业不得将合同分包给大中型企业，中型企业不得将合同分包给大型企业）。</w:t>
      </w:r>
    </w:p>
    <w:p w14:paraId="27A0EE63">
      <w:pPr>
        <w:spacing w:line="360" w:lineRule="auto"/>
        <w:ind w:firstLine="480"/>
        <w:rPr>
          <w:rFonts w:ascii="仿宋" w:hAnsi="仿宋" w:eastAsia="仿宋" w:cs="宋体"/>
          <w:sz w:val="24"/>
        </w:rPr>
      </w:pPr>
      <w:r>
        <w:rPr>
          <w:rFonts w:hint="eastAsia" w:ascii="仿宋" w:hAnsi="仿宋" w:eastAsia="仿宋" w:cs="宋体"/>
          <w:sz w:val="24"/>
        </w:rPr>
        <w:t>（2）监狱企业扶持政策：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14:paraId="77DD9462">
      <w:pPr>
        <w:spacing w:line="360" w:lineRule="auto"/>
        <w:ind w:firstLine="480"/>
        <w:rPr>
          <w:rFonts w:ascii="仿宋" w:hAnsi="仿宋" w:eastAsia="仿宋" w:cs="宋体"/>
          <w:sz w:val="24"/>
        </w:rPr>
      </w:pPr>
      <w:r>
        <w:rPr>
          <w:rFonts w:hint="eastAsia" w:ascii="仿宋" w:hAnsi="仿宋" w:eastAsia="仿宋" w:cs="宋体"/>
          <w:sz w:val="24"/>
        </w:rPr>
        <w:t>（3）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14:paraId="7B05EB5F">
      <w:pPr>
        <w:spacing w:line="360" w:lineRule="auto"/>
        <w:ind w:firstLine="480"/>
        <w:rPr>
          <w:rFonts w:ascii="仿宋" w:hAnsi="仿宋" w:eastAsia="仿宋" w:cs="宋体"/>
          <w:sz w:val="24"/>
        </w:rPr>
      </w:pPr>
      <w:r>
        <w:rPr>
          <w:rFonts w:hint="eastAsia" w:ascii="仿宋" w:hAnsi="仿宋" w:eastAsia="仿宋" w:cs="宋体"/>
          <w:sz w:val="24"/>
        </w:rPr>
        <w:t>（4）鼓励节能政策：投标人的投标产品属于财政部、发展改革委公布的“节能产品政府采购品目清单”范围的，投标人需提供国家确定的认证机构出具的、处于有效期之内的节能产品认证证书。国家确定的认证机构和节能产品获证产品信息可从市场监管总局组建的节能产品、环境标志产品认证结果信息发布平台或中国政府采购网（www.ccgp.gov.cn）建立的认证结果信息发布平台链接中查询下载。</w:t>
      </w:r>
    </w:p>
    <w:p w14:paraId="6A853E54">
      <w:pPr>
        <w:pStyle w:val="2"/>
        <w:spacing w:line="360" w:lineRule="auto"/>
        <w:ind w:firstLine="480"/>
        <w:rPr>
          <w:rFonts w:ascii="仿宋" w:hAnsi="仿宋" w:eastAsia="仿宋"/>
        </w:rPr>
      </w:pPr>
      <w:r>
        <w:rPr>
          <w:rFonts w:hint="eastAsia" w:ascii="仿宋" w:hAnsi="仿宋" w:eastAsia="仿宋" w:cs="宋体"/>
        </w:rPr>
        <w:t>（5）鼓励环保政策：投标人的投标产品属于财政部、生态环境部公布的“环境标志产品政府采购品目清单”范围的，投标人需提供国家确定的认证机构出具的、处于有效期之内的环境标志产品认证证书。国家确定的认证机构和环境标志产品获证产品信息可从市场监管总局组建的节能产品、环境标志产品认证结果信息发布平台或中国政府采购网（www.ccgp.gov.cn）建立的认证结果信息发布平台链接中查询下载。</w:t>
      </w:r>
    </w:p>
    <w:p w14:paraId="65CFE5EA">
      <w:pPr>
        <w:pStyle w:val="2"/>
        <w:spacing w:line="360" w:lineRule="auto"/>
        <w:ind w:firstLine="480"/>
        <w:rPr>
          <w:rFonts w:ascii="仿宋" w:hAnsi="仿宋" w:eastAsia="仿宋"/>
        </w:rPr>
      </w:pPr>
      <w:r>
        <w:rPr>
          <w:rFonts w:hint="eastAsia" w:ascii="仿宋" w:hAnsi="仿宋" w:eastAsia="仿宋"/>
        </w:rPr>
        <w:t>（6）实施本国产品标准及相关政策：依据《国务院办公厅关于在政府采购中实施本国产品标准及相关政策的通知》（国办发〔2025〕34号）规定，本项目供应商所投产品在中国境内生产，即在中华人民共和国关境内实现从原材料、组件到产品的属性改变。且在中国境内生产的组件成本占比应当达到规定比例，依法对本国产品给予价格评审优惠，对本国产品的报价给予20%的价格扣除，用扣除后的价格参与评审。投标人应出具招标文件要求的证明材料给予证明，否则评标时不予认可。投标人应对提交的证明材料真实性负责，提交证明材料不真实的，应承担相应的法律责任。</w:t>
      </w:r>
    </w:p>
    <w:p w14:paraId="62D4067A">
      <w:pPr>
        <w:spacing w:line="360" w:lineRule="auto"/>
        <w:ind w:firstLine="480"/>
        <w:rPr>
          <w:rFonts w:ascii="仿宋" w:hAnsi="仿宋" w:eastAsia="仿宋"/>
          <w:b/>
          <w:sz w:val="24"/>
        </w:rPr>
      </w:pPr>
      <w:r>
        <w:rPr>
          <w:rFonts w:ascii="仿宋" w:hAnsi="仿宋" w:eastAsia="仿宋" w:cs="Arial"/>
          <w:b/>
          <w:sz w:val="24"/>
        </w:rPr>
        <w:t>2.4</w:t>
      </w:r>
      <w:r>
        <w:rPr>
          <w:rFonts w:ascii="仿宋" w:hAnsi="仿宋" w:eastAsia="仿宋"/>
          <w:b/>
          <w:sz w:val="24"/>
        </w:rPr>
        <w:t>采购标的其他技术、服务等要求</w:t>
      </w:r>
    </w:p>
    <w:p w14:paraId="41FCAA24">
      <w:pPr>
        <w:widowControl/>
        <w:spacing w:line="360" w:lineRule="auto"/>
        <w:ind w:firstLine="482" w:firstLineChars="200"/>
        <w:textAlignment w:val="baseline"/>
        <w:outlineLvl w:val="1"/>
        <w:rPr>
          <w:rFonts w:ascii="仿宋" w:hAnsi="仿宋" w:eastAsia="仿宋" w:cs="仿宋"/>
          <w:b/>
          <w:sz w:val="24"/>
        </w:rPr>
      </w:pPr>
      <w:r>
        <w:rPr>
          <w:rFonts w:hint="eastAsia" w:ascii="仿宋" w:hAnsi="仿宋" w:eastAsia="仿宋" w:cs="仿宋"/>
          <w:b/>
          <w:sz w:val="24"/>
        </w:rPr>
        <w:t>一、项目实施及保障措施要求</w:t>
      </w:r>
    </w:p>
    <w:p w14:paraId="63CF6948">
      <w:pPr>
        <w:pStyle w:val="7"/>
        <w:widowControl/>
        <w:spacing w:line="360" w:lineRule="auto"/>
        <w:ind w:firstLine="482" w:firstLineChars="200"/>
        <w:textAlignment w:val="baseline"/>
        <w:outlineLvl w:val="2"/>
        <w:rPr>
          <w:rFonts w:hint="default" w:ascii="仿宋" w:hAnsi="仿宋" w:eastAsia="仿宋" w:cs="仿宋"/>
        </w:rPr>
      </w:pPr>
      <w:r>
        <w:rPr>
          <w:rFonts w:ascii="仿宋" w:hAnsi="仿宋" w:eastAsia="仿宋" w:cs="仿宋"/>
          <w:b/>
          <w:bCs/>
        </w:rPr>
        <w:t>（一）课程运行支持和人员培训</w:t>
      </w:r>
    </w:p>
    <w:p w14:paraId="20D7CEEB">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本项目投标人需要为所建设的职业教育在线精品课程提供课程运行所需的公共运行平台。该平台须符合教育部《职业教育专业教学资源库建设指南》要求，向用户提供免费服务，不对库内资源设置使用权限和用于商业目的。</w:t>
      </w:r>
    </w:p>
    <w:p w14:paraId="09A0940E">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本项目所有完成建设的课程都要同步部署到上述课程平台，投标人需对学校课程教学团队进行不少于一次的集中培训和项目进行过程中的常态化线上培训以及日常在线指导服务，帮助课程团队完成课程资源建设、上线、搭课和教学部署工作。具体培训内容可包括：</w:t>
      </w:r>
    </w:p>
    <w:p w14:paraId="7E4A3275">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1.基于国家最新政策的专业资源库及在线开放课程建设方案</w:t>
      </w:r>
    </w:p>
    <w:p w14:paraId="6A08F30D">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2.如果课程拟支撑专业（群）资源库建设，资源库的总体要求和顶层设计</w:t>
      </w:r>
    </w:p>
    <w:p w14:paraId="3A400E52">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3.课程大纲确定及知识点或技能点确定</w:t>
      </w:r>
    </w:p>
    <w:p w14:paraId="77FEB1E5">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4.结合专业特色和资源库建设要求确定拟建资源和媒体类型</w:t>
      </w:r>
    </w:p>
    <w:p w14:paraId="48F9AD12">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5.微课程的教学设计、脚本撰写和拍摄准备</w:t>
      </w:r>
    </w:p>
    <w:p w14:paraId="669289CF">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6.资源入库、平台应用及推广培训，数字教材建设及平台应用培训</w:t>
      </w:r>
    </w:p>
    <w:p w14:paraId="65F5617C">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7.对标申报相关国家项目时平台数据信息表的提供</w:t>
      </w:r>
    </w:p>
    <w:p w14:paraId="0FFA4863">
      <w:pPr>
        <w:pStyle w:val="3"/>
        <w:spacing w:beforeAutospacing="0" w:afterAutospacing="0" w:line="360" w:lineRule="auto"/>
        <w:textAlignment w:val="baseline"/>
        <w:rPr>
          <w:rFonts w:ascii="仿宋" w:hAnsi="仿宋" w:eastAsia="仿宋" w:cs="仿宋"/>
          <w:lang w:bidi="ar"/>
        </w:rPr>
      </w:pPr>
    </w:p>
    <w:p w14:paraId="25FFA9E9">
      <w:pPr>
        <w:pStyle w:val="7"/>
        <w:widowControl/>
        <w:spacing w:line="360" w:lineRule="auto"/>
        <w:ind w:firstLine="482" w:firstLineChars="200"/>
        <w:textAlignment w:val="baseline"/>
        <w:outlineLvl w:val="2"/>
        <w:rPr>
          <w:rFonts w:hint="default" w:ascii="仿宋" w:hAnsi="仿宋" w:eastAsia="仿宋" w:cs="仿宋"/>
          <w:b/>
          <w:bCs/>
        </w:rPr>
      </w:pPr>
      <w:r>
        <w:rPr>
          <w:rFonts w:ascii="仿宋" w:hAnsi="仿宋" w:eastAsia="仿宋" w:cs="仿宋"/>
          <w:b/>
          <w:bCs/>
        </w:rPr>
        <w:t>（二）实施进度</w:t>
      </w:r>
    </w:p>
    <w:p w14:paraId="4B97A5FA">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1.合同签订后的180日内完成全部课程资源开发及成品的交付工作。</w:t>
      </w:r>
    </w:p>
    <w:p w14:paraId="601633F8">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2.中标人在拍摄和制作过程中须按照采购人要求交付视频小样或成品。</w:t>
      </w:r>
    </w:p>
    <w:p w14:paraId="2FDA432E">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3.经初审、复审后，中标人交付的最终成品经采购人组织专家审核通过后方可完成交付。课程成品不符合质量要求，没有通过专家审核的，须于收到反馈意见后10日内完成修改，并最终通过采购人的审核。</w:t>
      </w:r>
    </w:p>
    <w:p w14:paraId="68E49EAD">
      <w:pPr>
        <w:spacing w:line="360" w:lineRule="auto"/>
        <w:ind w:firstLine="480" w:firstLineChars="200"/>
        <w:rPr>
          <w:rFonts w:ascii="仿宋" w:hAnsi="仿宋" w:eastAsia="仿宋" w:cs="仿宋"/>
          <w:sz w:val="24"/>
        </w:rPr>
      </w:pPr>
    </w:p>
    <w:p w14:paraId="1C5727C8">
      <w:pPr>
        <w:pStyle w:val="7"/>
        <w:widowControl/>
        <w:spacing w:line="360" w:lineRule="auto"/>
        <w:ind w:firstLine="482" w:firstLineChars="200"/>
        <w:textAlignment w:val="baseline"/>
        <w:outlineLvl w:val="2"/>
        <w:rPr>
          <w:rFonts w:hint="default" w:ascii="仿宋" w:hAnsi="仿宋" w:eastAsia="仿宋" w:cs="仿宋"/>
          <w:b/>
          <w:bCs/>
        </w:rPr>
      </w:pPr>
      <w:r>
        <w:rPr>
          <w:rFonts w:ascii="仿宋" w:hAnsi="仿宋" w:eastAsia="仿宋" w:cs="仿宋"/>
          <w:b/>
          <w:bCs/>
        </w:rPr>
        <w:t>（三）课程质量保障及审校服务</w:t>
      </w:r>
    </w:p>
    <w:p w14:paraId="6D93FA2A">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为了提高本项目在线课程的制作水平，并保障课程建设团队的知识产权，投标人要对以MOOC形式运行的在线开放课程进行内容审读服务，审读方式包括课程运行平台AI人工智能审核和编辑审读两种方式：</w:t>
      </w:r>
    </w:p>
    <w:p w14:paraId="65202980">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（1）课程运行平台AI人工智能审核：投标人提供的课程公共运行平台能对上线课程的文档、图片、视频等资源进行涉政、涉黄、广告或文字违规等情况进行风险标识。</w:t>
      </w:r>
    </w:p>
    <w:p w14:paraId="6FD9537B">
      <w:pPr>
        <w:pStyle w:val="3"/>
        <w:spacing w:beforeAutospacing="0" w:afterAutospacing="0" w:line="360" w:lineRule="auto"/>
        <w:ind w:firstLine="480" w:firstLineChars="200"/>
        <w:textAlignment w:val="baseline"/>
        <w:rPr>
          <w:rFonts w:ascii="仿宋" w:hAnsi="仿宋" w:eastAsia="仿宋" w:cs="仿宋"/>
          <w:lang w:bidi="ar"/>
        </w:rPr>
      </w:pPr>
      <w:r>
        <w:rPr>
          <w:rFonts w:hint="eastAsia" w:ascii="仿宋" w:hAnsi="仿宋" w:eastAsia="仿宋" w:cs="仿宋"/>
          <w:lang w:bidi="ar"/>
        </w:rPr>
        <w:t>（2）编辑审读：投标人配备的课程建设团队应具备课程资源审读及编校能力，课程资源审读工作需由相关专业的编导或正规出版社的编辑、编审团队进行审核，严格按照正规出版审校流程，对课程资源的意识形态、知识产权、名词术语等进行审核。</w:t>
      </w:r>
    </w:p>
    <w:p w14:paraId="48CE8CE3">
      <w:pPr>
        <w:spacing w:line="360" w:lineRule="auto"/>
        <w:ind w:firstLine="482" w:firstLineChars="200"/>
        <w:rPr>
          <w:rFonts w:ascii="仿宋" w:hAnsi="仿宋" w:eastAsia="仿宋" w:cs="仿宋_GB2312"/>
          <w:b/>
          <w:kern w:val="0"/>
          <w:sz w:val="24"/>
          <w:lang w:bidi="ar"/>
        </w:rPr>
      </w:pPr>
      <w:r>
        <w:rPr>
          <w:rFonts w:hint="eastAsia" w:ascii="仿宋" w:hAnsi="仿宋" w:eastAsia="仿宋" w:cs="仿宋_GB2312"/>
          <w:b/>
          <w:kern w:val="0"/>
          <w:sz w:val="24"/>
          <w:lang w:bidi="ar"/>
        </w:rPr>
        <w:t>（四）项目团队人员要求</w:t>
      </w:r>
    </w:p>
    <w:p w14:paraId="079DDECD">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为保障本项目在线精品课程建设质量，投标人须配备专业、稳定的项目团队。投标人需要为本项目设立项目负责人，须提供完整的项目服务团队人员配置方案，人员安排和构成须合理，配置充足，权责分明，分工明确，团队成员须具备相关项目经验。</w:t>
      </w:r>
    </w:p>
    <w:p w14:paraId="3FD5C57E">
      <w:pPr>
        <w:spacing w:line="360" w:lineRule="auto"/>
        <w:ind w:firstLine="482" w:firstLineChars="200"/>
        <w:rPr>
          <w:rFonts w:ascii="仿宋" w:hAnsi="仿宋" w:eastAsia="仿宋" w:cs="仿宋_GB2312"/>
          <w:b/>
          <w:kern w:val="0"/>
          <w:sz w:val="24"/>
          <w:lang w:bidi="ar"/>
        </w:rPr>
      </w:pPr>
      <w:r>
        <w:rPr>
          <w:rFonts w:hint="eastAsia" w:ascii="仿宋" w:hAnsi="仿宋" w:eastAsia="仿宋" w:cs="仿宋_GB2312"/>
          <w:b/>
          <w:kern w:val="0"/>
          <w:sz w:val="24"/>
          <w:lang w:bidi="ar"/>
        </w:rPr>
        <w:t>（五）制作设备要求</w:t>
      </w:r>
    </w:p>
    <w:p w14:paraId="282CA6E1">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投标人须为本项目搭建相适应的课程制作中心，配备齐全的课程制作设备，具体包括但不限于：课程视频资源制作设备、课程动画及非线性编辑制作设备、录音棚音频工作站设备、教师微课制作设备等。</w:t>
      </w:r>
    </w:p>
    <w:p w14:paraId="64CFE5BA">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所有设备须满足医药卫生类专业课程视频录制、动画制作、音频录制的技术要求。</w:t>
      </w:r>
    </w:p>
    <w:p w14:paraId="13616573">
      <w:pPr>
        <w:spacing w:line="360" w:lineRule="auto"/>
        <w:ind w:firstLine="482" w:firstLineChars="200"/>
        <w:rPr>
          <w:rFonts w:ascii="仿宋" w:hAnsi="仿宋" w:eastAsia="仿宋" w:cs="仿宋_GB2312"/>
          <w:b/>
          <w:kern w:val="0"/>
          <w:sz w:val="24"/>
          <w:lang w:bidi="ar"/>
        </w:rPr>
      </w:pPr>
      <w:r>
        <w:rPr>
          <w:rFonts w:hint="eastAsia" w:ascii="仿宋" w:hAnsi="仿宋" w:eastAsia="仿宋" w:cs="仿宋_GB2312"/>
          <w:b/>
          <w:kern w:val="0"/>
          <w:sz w:val="24"/>
          <w:lang w:bidi="ar"/>
        </w:rPr>
        <w:t>（六）课程知识体系架构与课程脚本要求</w:t>
      </w:r>
    </w:p>
    <w:p w14:paraId="5BB4ECD9">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1. 课程知识体系架构要求</w:t>
      </w:r>
    </w:p>
    <w:p w14:paraId="7DBC6F3E">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须准确把握医药卫生类专业课程的知识技能架构，符合《职业教育在线精品课程建设标准》要求，体现 "岗课赛证" 融合理念，对接临床岗位实际需求，贴合医药卫生类专业人才培养目标；教学内容须与临床工作内容紧密结合，体现职业教育特色；</w:t>
      </w:r>
    </w:p>
    <w:p w14:paraId="367ACE82">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2. 课程脚本要求</w:t>
      </w:r>
    </w:p>
    <w:p w14:paraId="08DDCED1">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每门课程须编制详细的课程脚本，包括但不限于：课堂实录脚本、情景视频脚本、动画脚本等；</w:t>
      </w:r>
    </w:p>
    <w:p w14:paraId="0F493DB8">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脚本须符合医药卫生类专业特点，确保专业术语准确、操作流程规范。</w:t>
      </w:r>
    </w:p>
    <w:p w14:paraId="6F79756B">
      <w:pPr>
        <w:spacing w:line="360" w:lineRule="auto"/>
        <w:ind w:firstLine="482" w:firstLineChars="200"/>
        <w:rPr>
          <w:rFonts w:ascii="仿宋" w:hAnsi="仿宋" w:eastAsia="仿宋" w:cs="仿宋_GB2312"/>
          <w:b/>
          <w:kern w:val="0"/>
          <w:sz w:val="24"/>
          <w:lang w:bidi="ar"/>
        </w:rPr>
      </w:pPr>
      <w:r>
        <w:rPr>
          <w:rFonts w:hint="eastAsia" w:ascii="仿宋" w:hAnsi="仿宋" w:eastAsia="仿宋" w:cs="仿宋_GB2312"/>
          <w:b/>
          <w:kern w:val="0"/>
          <w:sz w:val="24"/>
          <w:lang w:bidi="ar"/>
        </w:rPr>
        <w:t>（七）应急方案要求</w:t>
      </w:r>
    </w:p>
    <w:p w14:paraId="30CF1BA6">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投标人须为本项目制定完善、切实可行的应急预案，包括但不限于：项目进度延误应急预案、设备故障应急预案、人员变动应急预案、质量问题应急预案、不可抗力应急预案、数据安全应急预案等。</w:t>
      </w:r>
    </w:p>
    <w:p w14:paraId="3F4989ED">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应急预案须细致合理、切实可行、有针对性，具有及时的应对措施，能够从实际出发满足采购人需求。</w:t>
      </w:r>
    </w:p>
    <w:p w14:paraId="12C98245">
      <w:pPr>
        <w:pStyle w:val="3"/>
        <w:spacing w:beforeAutospacing="0" w:afterAutospacing="0" w:line="360" w:lineRule="auto"/>
        <w:ind w:firstLine="480" w:firstLineChars="200"/>
        <w:textAlignment w:val="baseline"/>
        <w:rPr>
          <w:rFonts w:ascii="仿宋" w:hAnsi="仿宋" w:eastAsia="仿宋" w:cs="仿宋"/>
          <w:lang w:bidi="ar"/>
        </w:rPr>
      </w:pPr>
    </w:p>
    <w:p w14:paraId="169E338F">
      <w:pPr>
        <w:spacing w:line="360" w:lineRule="auto"/>
        <w:ind w:firstLine="480"/>
        <w:rPr>
          <w:rFonts w:ascii="仿宋" w:hAnsi="仿宋" w:eastAsia="仿宋" w:cs="宋体"/>
          <w:b/>
          <w:kern w:val="0"/>
          <w:sz w:val="24"/>
        </w:rPr>
      </w:pPr>
    </w:p>
    <w:p w14:paraId="088B99D4">
      <w:pPr>
        <w:numPr>
          <w:ilvl w:val="0"/>
          <w:numId w:val="4"/>
        </w:numPr>
        <w:spacing w:line="360" w:lineRule="auto"/>
        <w:ind w:firstLine="480"/>
        <w:rPr>
          <w:rFonts w:ascii="仿宋" w:hAnsi="仿宋" w:eastAsia="仿宋" w:cs="Arial"/>
          <w:b/>
          <w:sz w:val="24"/>
        </w:rPr>
      </w:pPr>
      <w:r>
        <w:rPr>
          <w:rFonts w:hint="eastAsia" w:ascii="仿宋" w:hAnsi="仿宋" w:eastAsia="仿宋" w:cs="Arial"/>
          <w:b/>
          <w:sz w:val="24"/>
        </w:rPr>
        <w:t>验收标准</w:t>
      </w:r>
    </w:p>
    <w:p w14:paraId="14B9E9AF">
      <w:pPr>
        <w:spacing w:line="360" w:lineRule="auto"/>
        <w:ind w:firstLine="480" w:firstLineChars="200"/>
        <w:rPr>
          <w:rFonts w:ascii="仿宋" w:hAnsi="仿宋" w:eastAsia="仿宋" w:cs="仿宋"/>
          <w:kern w:val="0"/>
          <w:sz w:val="24"/>
          <w:lang w:bidi="ar"/>
        </w:rPr>
      </w:pPr>
      <w:r>
        <w:rPr>
          <w:rFonts w:hint="eastAsia" w:ascii="仿宋" w:hAnsi="仿宋" w:eastAsia="仿宋" w:cs="仿宋"/>
          <w:kern w:val="0"/>
          <w:sz w:val="24"/>
          <w:lang w:bidi="ar"/>
        </w:rPr>
        <w:t>项目实施完成后，由供应商提出验收申请，项目单位同意后，按照学校制定的验收办法，相关部门及人员形成验收小组，验收小组根据采购文件、投标文件、合同等项目文件约定内容对项目进行验收。若课程成品不符合质量要求、未通过专家审核的，供应商须于收到反馈意见后10日内完成修改，并最终通过校方的审核。</w:t>
      </w:r>
    </w:p>
    <w:p w14:paraId="75F1F7C2">
      <w:pPr>
        <w:spacing w:line="360" w:lineRule="auto"/>
        <w:rPr>
          <w:rFonts w:ascii="仿宋" w:hAnsi="仿宋" w:eastAsia="仿宋" w:cs="Arial"/>
          <w:b/>
          <w:sz w:val="24"/>
        </w:rPr>
      </w:pPr>
    </w:p>
    <w:p w14:paraId="649FFC75">
      <w:pPr>
        <w:spacing w:line="360" w:lineRule="auto"/>
        <w:sectPr>
          <w:pgSz w:w="11906" w:h="16838"/>
          <w:pgMar w:top="1440" w:right="1800" w:bottom="1440" w:left="1701" w:header="851" w:footer="992" w:gutter="0"/>
          <w:cols w:space="425" w:num="1"/>
          <w:docGrid w:type="lines" w:linePitch="312" w:charSpace="0"/>
        </w:sectPr>
      </w:pPr>
      <w:r>
        <w:br w:type="page"/>
      </w:r>
    </w:p>
    <w:p w14:paraId="1CEF90B1">
      <w:pPr>
        <w:spacing w:line="360" w:lineRule="auto"/>
      </w:pPr>
    </w:p>
    <w:p w14:paraId="76B35F3D">
      <w:pPr>
        <w:pStyle w:val="2"/>
        <w:spacing w:line="360" w:lineRule="auto"/>
        <w:jc w:val="center"/>
      </w:pPr>
      <w:r>
        <w:rPr>
          <w:rFonts w:hint="eastAsia"/>
        </w:rPr>
        <w:t>第2包</w:t>
      </w:r>
    </w:p>
    <w:p w14:paraId="62E5D17F">
      <w:pPr>
        <w:numPr>
          <w:ilvl w:val="0"/>
          <w:numId w:val="5"/>
        </w:numPr>
        <w:spacing w:line="360" w:lineRule="auto"/>
        <w:ind w:firstLine="482" w:firstLineChars="200"/>
        <w:contextualSpacing/>
        <w:jc w:val="left"/>
        <w:rPr>
          <w:rFonts w:ascii="仿宋" w:hAnsi="仿宋" w:eastAsia="仿宋" w:cs="宋体"/>
          <w:b/>
          <w:sz w:val="24"/>
        </w:rPr>
      </w:pPr>
      <w:r>
        <w:rPr>
          <w:rFonts w:hint="eastAsia" w:ascii="仿宋" w:hAnsi="仿宋" w:eastAsia="仿宋" w:cs="宋体"/>
          <w:b/>
          <w:sz w:val="24"/>
        </w:rPr>
        <w:t>采购标的</w:t>
      </w:r>
    </w:p>
    <w:p w14:paraId="2ABFA139">
      <w:pPr>
        <w:spacing w:line="360" w:lineRule="auto"/>
        <w:ind w:firstLine="482"/>
        <w:contextualSpacing/>
        <w:rPr>
          <w:rFonts w:ascii="仿宋" w:hAnsi="仿宋" w:eastAsia="仿宋" w:cs="宋体"/>
          <w:b/>
          <w:bCs/>
          <w:sz w:val="24"/>
        </w:rPr>
      </w:pPr>
      <w:r>
        <w:rPr>
          <w:rFonts w:hint="eastAsia" w:ascii="仿宋" w:hAnsi="仿宋" w:eastAsia="仿宋" w:cs="宋体"/>
          <w:b/>
          <w:bCs/>
          <w:sz w:val="24"/>
        </w:rPr>
        <w:t>1.采购标的</w:t>
      </w:r>
    </w:p>
    <w:tbl>
      <w:tblPr>
        <w:tblStyle w:val="4"/>
        <w:tblW w:w="8296" w:type="dxa"/>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0"/>
        <w:gridCol w:w="3114"/>
        <w:gridCol w:w="1202"/>
        <w:gridCol w:w="3090"/>
      </w:tblGrid>
      <w:tr w14:paraId="3CFCAF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0" w:type="dxa"/>
            <w:vAlign w:val="center"/>
          </w:tcPr>
          <w:p w14:paraId="479FB37A">
            <w:pPr>
              <w:spacing w:line="360" w:lineRule="auto"/>
              <w:contextualSpacing/>
              <w:rPr>
                <w:rFonts w:ascii="仿宋" w:hAnsi="仿宋" w:eastAsia="仿宋" w:cs="宋体"/>
                <w:b/>
                <w:bCs/>
                <w:sz w:val="24"/>
              </w:rPr>
            </w:pPr>
            <w:r>
              <w:rPr>
                <w:rFonts w:hint="eastAsia" w:ascii="仿宋" w:hAnsi="仿宋" w:eastAsia="仿宋" w:cs="宋体"/>
                <w:b/>
                <w:bCs/>
                <w:sz w:val="24"/>
              </w:rPr>
              <w:t>包号</w:t>
            </w:r>
          </w:p>
        </w:tc>
        <w:tc>
          <w:tcPr>
            <w:tcW w:w="3114" w:type="dxa"/>
            <w:vAlign w:val="center"/>
          </w:tcPr>
          <w:p w14:paraId="4AD06533">
            <w:pPr>
              <w:spacing w:line="360" w:lineRule="auto"/>
              <w:contextualSpacing/>
              <w:jc w:val="center"/>
              <w:rPr>
                <w:rFonts w:ascii="仿宋" w:hAnsi="仿宋" w:eastAsia="仿宋" w:cs="宋体"/>
                <w:b/>
                <w:bCs/>
                <w:sz w:val="24"/>
              </w:rPr>
            </w:pPr>
            <w:r>
              <w:rPr>
                <w:rFonts w:hint="eastAsia" w:ascii="仿宋" w:hAnsi="仿宋" w:eastAsia="仿宋" w:cs="宋体"/>
                <w:b/>
                <w:bCs/>
                <w:sz w:val="24"/>
              </w:rPr>
              <w:t>标的名称</w:t>
            </w:r>
          </w:p>
        </w:tc>
        <w:tc>
          <w:tcPr>
            <w:tcW w:w="1202" w:type="dxa"/>
            <w:vAlign w:val="center"/>
          </w:tcPr>
          <w:p w14:paraId="6669632D">
            <w:pPr>
              <w:spacing w:line="360" w:lineRule="auto"/>
              <w:contextualSpacing/>
              <w:jc w:val="center"/>
              <w:rPr>
                <w:rFonts w:ascii="仿宋" w:hAnsi="仿宋" w:eastAsia="仿宋" w:cs="宋体"/>
                <w:b/>
                <w:bCs/>
                <w:sz w:val="24"/>
              </w:rPr>
            </w:pPr>
            <w:r>
              <w:rPr>
                <w:rFonts w:hint="eastAsia" w:ascii="仿宋" w:hAnsi="仿宋" w:eastAsia="仿宋" w:cs="宋体"/>
                <w:b/>
                <w:bCs/>
                <w:sz w:val="24"/>
              </w:rPr>
              <w:t>数量</w:t>
            </w:r>
          </w:p>
        </w:tc>
        <w:tc>
          <w:tcPr>
            <w:tcW w:w="3090" w:type="dxa"/>
            <w:vAlign w:val="center"/>
          </w:tcPr>
          <w:p w14:paraId="7CB93DEA">
            <w:pPr>
              <w:spacing w:line="360" w:lineRule="auto"/>
              <w:contextualSpacing/>
              <w:jc w:val="center"/>
              <w:rPr>
                <w:rFonts w:ascii="仿宋" w:hAnsi="仿宋" w:eastAsia="仿宋" w:cs="宋体"/>
                <w:b/>
                <w:bCs/>
                <w:sz w:val="24"/>
              </w:rPr>
            </w:pPr>
            <w:r>
              <w:rPr>
                <w:rFonts w:hint="eastAsia" w:ascii="仿宋" w:hAnsi="仿宋" w:eastAsia="仿宋" w:cs="宋体"/>
                <w:b/>
                <w:bCs/>
                <w:sz w:val="24"/>
              </w:rPr>
              <w:t>是否接受进口产品</w:t>
            </w:r>
          </w:p>
        </w:tc>
      </w:tr>
      <w:tr w14:paraId="4D20D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90" w:type="dxa"/>
            <w:vAlign w:val="center"/>
          </w:tcPr>
          <w:p w14:paraId="2216782D">
            <w:pPr>
              <w:spacing w:line="360" w:lineRule="auto"/>
              <w:contextualSpacing/>
              <w:jc w:val="center"/>
              <w:rPr>
                <w:rFonts w:ascii="仿宋" w:hAnsi="仿宋" w:eastAsia="仿宋" w:cs="宋体"/>
                <w:bCs/>
                <w:sz w:val="24"/>
              </w:rPr>
            </w:pPr>
            <w:r>
              <w:rPr>
                <w:rFonts w:hint="eastAsia" w:ascii="仿宋" w:hAnsi="仿宋" w:eastAsia="仿宋" w:cs="宋体"/>
                <w:bCs/>
                <w:sz w:val="24"/>
              </w:rPr>
              <w:t>2</w:t>
            </w:r>
          </w:p>
        </w:tc>
        <w:tc>
          <w:tcPr>
            <w:tcW w:w="3114" w:type="dxa"/>
            <w:vAlign w:val="center"/>
          </w:tcPr>
          <w:p w14:paraId="5FEC9766">
            <w:pPr>
              <w:spacing w:line="360" w:lineRule="auto"/>
              <w:contextualSpacing/>
              <w:jc w:val="center"/>
              <w:rPr>
                <w:rFonts w:ascii="仿宋" w:hAnsi="仿宋" w:eastAsia="仿宋" w:cs="宋体"/>
                <w:bCs/>
                <w:sz w:val="24"/>
              </w:rPr>
            </w:pPr>
            <w:r>
              <w:rPr>
                <w:rFonts w:hint="eastAsia" w:ascii="仿宋" w:hAnsi="仿宋" w:eastAsia="仿宋"/>
                <w:sz w:val="24"/>
              </w:rPr>
              <w:t>线下课程资源建设服务购置</w:t>
            </w:r>
          </w:p>
        </w:tc>
        <w:tc>
          <w:tcPr>
            <w:tcW w:w="1202" w:type="dxa"/>
            <w:vAlign w:val="center"/>
          </w:tcPr>
          <w:p w14:paraId="368D1999">
            <w:pPr>
              <w:spacing w:line="360" w:lineRule="auto"/>
              <w:contextualSpacing/>
              <w:jc w:val="center"/>
              <w:rPr>
                <w:rFonts w:ascii="仿宋" w:hAnsi="仿宋" w:eastAsia="仿宋" w:cs="宋体"/>
                <w:bCs/>
                <w:sz w:val="24"/>
              </w:rPr>
            </w:pPr>
            <w:r>
              <w:rPr>
                <w:rFonts w:hint="eastAsia" w:ascii="仿宋" w:hAnsi="仿宋" w:eastAsia="仿宋" w:cs="宋体"/>
                <w:bCs/>
                <w:sz w:val="24"/>
              </w:rPr>
              <w:t>1项</w:t>
            </w:r>
          </w:p>
        </w:tc>
        <w:tc>
          <w:tcPr>
            <w:tcW w:w="3090" w:type="dxa"/>
            <w:vAlign w:val="center"/>
          </w:tcPr>
          <w:p w14:paraId="622FF3C3">
            <w:pPr>
              <w:spacing w:line="360" w:lineRule="auto"/>
              <w:contextualSpacing/>
              <w:jc w:val="center"/>
              <w:rPr>
                <w:rFonts w:ascii="仿宋" w:hAnsi="仿宋" w:eastAsia="仿宋" w:cs="宋体"/>
                <w:bCs/>
                <w:sz w:val="24"/>
              </w:rPr>
            </w:pPr>
            <w:r>
              <w:rPr>
                <w:rFonts w:hint="eastAsia" w:ascii="仿宋" w:hAnsi="仿宋" w:eastAsia="仿宋" w:cs="宋体"/>
                <w:bCs/>
                <w:sz w:val="24"/>
              </w:rPr>
              <w:t>否</w:t>
            </w:r>
          </w:p>
        </w:tc>
      </w:tr>
    </w:tbl>
    <w:p w14:paraId="0848D7A1">
      <w:pPr>
        <w:spacing w:line="360" w:lineRule="auto"/>
        <w:ind w:firstLine="482"/>
        <w:contextualSpacing/>
        <w:rPr>
          <w:rFonts w:ascii="仿宋" w:hAnsi="仿宋" w:eastAsia="仿宋" w:cs="宋体"/>
          <w:b/>
          <w:bCs/>
          <w:sz w:val="24"/>
        </w:rPr>
      </w:pPr>
      <w:r>
        <w:rPr>
          <w:rFonts w:hint="eastAsia" w:ascii="仿宋" w:hAnsi="仿宋" w:eastAsia="仿宋" w:cs="宋体"/>
          <w:b/>
          <w:bCs/>
          <w:sz w:val="24"/>
        </w:rPr>
        <w:t>2.项目背景/项目概述</w:t>
      </w:r>
    </w:p>
    <w:p w14:paraId="2380D835">
      <w:pPr>
        <w:spacing w:line="360" w:lineRule="auto"/>
        <w:ind w:firstLine="480"/>
        <w:rPr>
          <w:rFonts w:ascii="仿宋" w:hAnsi="仿宋" w:eastAsia="仿宋" w:cs="仿宋"/>
          <w:color w:val="000000"/>
          <w:sz w:val="24"/>
        </w:rPr>
      </w:pPr>
      <w:r>
        <w:rPr>
          <w:rFonts w:hint="eastAsia" w:ascii="仿宋" w:hAnsi="仿宋" w:eastAsia="仿宋" w:cs="仿宋"/>
          <w:color w:val="000000"/>
          <w:sz w:val="24"/>
        </w:rPr>
        <w:t>为积极落实国家教育数字化战略行动，提高我校课程建设质量，助力医药卫生类专业数智化转型，提升线下课堂人才培养成效，我校新建7门校级线下精品课，本次采购线下精品课程建设、课程配套教学资源开发制作服务。项目严格遵照教育部《职业教育专业教学资源库建设指南》“能学、辅教、促改”功能定位与国家线下精品课程建设规范一体化设计，全部资源立足实体课堂面授、理实一体化授课、实训实操教学使用场景，兼顾线下常规授课与课中混合式辅助教学，适配卫生职业院校课堂教学、校内实训教学需求，资源可依托校内平台辅助课前预习、课中演示、课后巩固，贴合“互联网+职业教育”落地线下课堂的发展要求，满足线上线下混合教学的需要。</w:t>
      </w:r>
    </w:p>
    <w:p w14:paraId="3E215302">
      <w:pPr>
        <w:spacing w:line="360" w:lineRule="auto"/>
        <w:ind w:firstLine="480"/>
        <w:rPr>
          <w:rFonts w:ascii="仿宋" w:hAnsi="仿宋" w:eastAsia="仿宋" w:cs="仿宋"/>
          <w:color w:val="000000"/>
          <w:sz w:val="24"/>
        </w:rPr>
      </w:pPr>
      <w:r>
        <w:rPr>
          <w:rFonts w:hint="eastAsia" w:ascii="仿宋" w:hAnsi="仿宋" w:eastAsia="仿宋" w:cs="仿宋"/>
          <w:color w:val="000000"/>
          <w:sz w:val="24"/>
        </w:rPr>
        <w:t>当前，教育部、北京市均出台相关政策，要求持续建设国家精品课程，推动实践教学改革，落实课程思政常态化。线下精品课程作为课堂教学改革的核心载体，是落实上述政策要求的关键抓手。同时，教育信息化已成为全球教育发展的重要趋势，线下精品课并非排斥技术，而是需要利用先进的信息技术重塑线下课堂形态。通过本项目建设，可满足教育信息化发展的需求，为教师开展理实一体化、项目式教学提供多样化素材，通过学情分析精准掌握学情，实现“以学生为中心”的教学，提升教学质量，助力学校新一轮教学改革，落实国家及北京市相关职业教育政策要求。</w:t>
      </w:r>
    </w:p>
    <w:p w14:paraId="7CD0C229">
      <w:pPr>
        <w:numPr>
          <w:ilvl w:val="0"/>
          <w:numId w:val="5"/>
        </w:numPr>
        <w:spacing w:line="360" w:lineRule="auto"/>
        <w:ind w:firstLine="482" w:firstLineChars="200"/>
        <w:contextualSpacing/>
        <w:jc w:val="left"/>
        <w:rPr>
          <w:rFonts w:ascii="仿宋" w:hAnsi="仿宋" w:eastAsia="仿宋" w:cs="宋体"/>
          <w:b/>
          <w:sz w:val="24"/>
        </w:rPr>
      </w:pPr>
      <w:r>
        <w:rPr>
          <w:rFonts w:hint="eastAsia" w:ascii="仿宋" w:hAnsi="仿宋" w:eastAsia="仿宋" w:cs="宋体"/>
          <w:b/>
          <w:sz w:val="24"/>
        </w:rPr>
        <w:t>商务要求</w:t>
      </w:r>
    </w:p>
    <w:p w14:paraId="2B000769">
      <w:pPr>
        <w:spacing w:line="360" w:lineRule="auto"/>
        <w:ind w:firstLine="482"/>
        <w:contextualSpacing/>
        <w:rPr>
          <w:rFonts w:ascii="仿宋" w:hAnsi="仿宋" w:eastAsia="仿宋" w:cs="宋体"/>
          <w:b/>
          <w:sz w:val="24"/>
        </w:rPr>
      </w:pPr>
      <w:r>
        <w:rPr>
          <w:rFonts w:hint="eastAsia" w:ascii="仿宋" w:hAnsi="仿宋" w:eastAsia="仿宋" w:cs="宋体"/>
          <w:b/>
          <w:sz w:val="24"/>
        </w:rPr>
        <w:t>1.交付（实施）的时间（期限）和地点（范围）</w:t>
      </w:r>
    </w:p>
    <w:p w14:paraId="7FC0FAA7">
      <w:pPr>
        <w:spacing w:line="360" w:lineRule="auto"/>
        <w:ind w:firstLine="480" w:firstLineChars="200"/>
        <w:rPr>
          <w:rFonts w:ascii="仿宋" w:hAnsi="仿宋" w:eastAsia="仿宋" w:cs="宋体"/>
          <w:color w:val="000000"/>
          <w:sz w:val="24"/>
        </w:rPr>
      </w:pPr>
      <w:r>
        <w:rPr>
          <w:rFonts w:hint="eastAsia" w:ascii="仿宋" w:hAnsi="仿宋" w:eastAsia="仿宋" w:cs="宋体"/>
          <w:sz w:val="24"/>
        </w:rPr>
        <w:t>交付时间：</w:t>
      </w:r>
      <w:r>
        <w:rPr>
          <w:rFonts w:hint="eastAsia" w:ascii="仿宋" w:hAnsi="仿宋" w:eastAsia="仿宋"/>
          <w:sz w:val="24"/>
        </w:rPr>
        <w:t>合同签订后的180日内完成全部课程资源开发及成品的交付工作。中标人在拍摄和制作过程中须按照采购人要求交付视频小样或成品。经初审、复审后，中标人交付的最终成品经采购人组织专家审核通过后方可完成交付。课程成品不符合质量要求，没有通过专家审核的，须于收到反馈意见后10日内完成修改，并最终通过采购人的审核。</w:t>
      </w:r>
    </w:p>
    <w:p w14:paraId="2DB0C261">
      <w:pPr>
        <w:spacing w:line="360" w:lineRule="auto"/>
        <w:ind w:firstLine="480"/>
        <w:rPr>
          <w:rFonts w:ascii="仿宋" w:hAnsi="仿宋" w:eastAsia="仿宋" w:cs="宋体"/>
          <w:sz w:val="24"/>
        </w:rPr>
      </w:pPr>
      <w:r>
        <w:rPr>
          <w:rFonts w:hint="eastAsia" w:ascii="仿宋" w:hAnsi="仿宋" w:eastAsia="仿宋" w:cs="宋体"/>
          <w:sz w:val="24"/>
        </w:rPr>
        <w:t>地点：</w:t>
      </w:r>
      <w:r>
        <w:rPr>
          <w:rFonts w:hint="eastAsia" w:ascii="仿宋" w:hAnsi="仿宋" w:eastAsia="仿宋"/>
          <w:sz w:val="24"/>
        </w:rPr>
        <w:t>北京卫生职业学院新院区：北京市通州区漷兴北一街与漷城西一路交叉口东南角。</w:t>
      </w:r>
    </w:p>
    <w:p w14:paraId="579E2548">
      <w:pPr>
        <w:spacing w:line="360" w:lineRule="auto"/>
        <w:ind w:firstLine="482"/>
        <w:contextualSpacing/>
      </w:pPr>
      <w:r>
        <w:rPr>
          <w:rFonts w:hint="eastAsia" w:ascii="仿宋" w:hAnsi="仿宋" w:eastAsia="仿宋" w:cs="宋体"/>
          <w:b/>
          <w:sz w:val="24"/>
        </w:rPr>
        <w:t>2.付款条件（进度和方式）</w:t>
      </w:r>
    </w:p>
    <w:p w14:paraId="49ACDEF0">
      <w:pPr>
        <w:spacing w:before="40" w:after="40" w:line="360" w:lineRule="auto"/>
        <w:ind w:firstLine="480"/>
        <w:jc w:val="left"/>
      </w:pPr>
      <w:r>
        <w:rPr>
          <w:rFonts w:ascii="仿宋" w:hAnsi="仿宋" w:eastAsia="仿宋"/>
          <w:sz w:val="24"/>
        </w:rPr>
        <w:t>合同签订后，甲方在30个工作日内按合同及约定向乙方支付合同总金额的</w:t>
      </w:r>
      <w:r>
        <w:rPr>
          <w:rFonts w:hint="eastAsia" w:ascii="仿宋" w:hAnsi="仿宋" w:eastAsia="仿宋"/>
          <w:sz w:val="24"/>
        </w:rPr>
        <w:t>50%</w:t>
      </w:r>
      <w:r>
        <w:rPr>
          <w:rFonts w:ascii="仿宋" w:hAnsi="仿宋" w:eastAsia="仿宋"/>
          <w:sz w:val="24"/>
        </w:rPr>
        <w:t>作为首付款；项目</w:t>
      </w:r>
      <w:r>
        <w:rPr>
          <w:rFonts w:hint="eastAsia" w:ascii="仿宋" w:hAnsi="仿宋" w:eastAsia="仿宋"/>
          <w:sz w:val="24"/>
        </w:rPr>
        <w:t>验收</w:t>
      </w:r>
      <w:r>
        <w:rPr>
          <w:rFonts w:ascii="仿宋" w:hAnsi="仿宋" w:eastAsia="仿宋"/>
          <w:sz w:val="24"/>
        </w:rPr>
        <w:t>合格且财政资金拨付到位后，甲方在30个工作日内按合同及约定向乙方支付</w:t>
      </w:r>
      <w:r>
        <w:rPr>
          <w:rFonts w:hint="eastAsia" w:ascii="仿宋" w:hAnsi="仿宋" w:eastAsia="仿宋"/>
          <w:sz w:val="24"/>
        </w:rPr>
        <w:t>剩余</w:t>
      </w:r>
      <w:r>
        <w:rPr>
          <w:rFonts w:ascii="仿宋" w:hAnsi="仿宋" w:eastAsia="仿宋"/>
          <w:sz w:val="24"/>
        </w:rPr>
        <w:t>的</w:t>
      </w:r>
      <w:r>
        <w:rPr>
          <w:rFonts w:hint="eastAsia" w:ascii="仿宋" w:hAnsi="仿宋" w:eastAsia="仿宋"/>
          <w:sz w:val="24"/>
        </w:rPr>
        <w:t>50</w:t>
      </w:r>
      <w:r>
        <w:rPr>
          <w:rFonts w:ascii="仿宋" w:hAnsi="仿宋" w:eastAsia="仿宋"/>
          <w:sz w:val="24"/>
        </w:rPr>
        <w:t>%作为尾款。</w:t>
      </w:r>
    </w:p>
    <w:p w14:paraId="40354E0C">
      <w:pPr>
        <w:spacing w:line="360" w:lineRule="auto"/>
        <w:ind w:firstLine="482"/>
        <w:contextualSpacing/>
      </w:pPr>
      <w:r>
        <w:rPr>
          <w:rFonts w:ascii="仿宋" w:hAnsi="仿宋" w:eastAsia="仿宋"/>
          <w:sz w:val="24"/>
        </w:rPr>
        <w:t>可约定提供中标通知书、合同、验收合格报告、发票原件等材料，经财务部门审核后，向中标人支付剩余合同价款</w:t>
      </w:r>
      <w:r>
        <w:rPr>
          <w:rFonts w:hint="eastAsia" w:ascii="仿宋" w:hAnsi="仿宋" w:eastAsia="仿宋"/>
          <w:sz w:val="24"/>
        </w:rPr>
        <w:t>。</w:t>
      </w:r>
    </w:p>
    <w:p w14:paraId="5F2B56C5">
      <w:pPr>
        <w:spacing w:line="360" w:lineRule="auto"/>
        <w:ind w:firstLine="480"/>
        <w:rPr>
          <w:rFonts w:ascii="仿宋" w:hAnsi="仿宋" w:eastAsia="仿宋"/>
          <w:sz w:val="24"/>
        </w:rPr>
      </w:pPr>
    </w:p>
    <w:p w14:paraId="1D082B27">
      <w:pPr>
        <w:spacing w:line="360" w:lineRule="auto"/>
        <w:ind w:firstLine="482" w:firstLineChars="200"/>
        <w:rPr>
          <w:rFonts w:ascii="仿宋" w:hAnsi="仿宋" w:eastAsia="仿宋" w:cs="宋体"/>
          <w:b/>
          <w:sz w:val="24"/>
        </w:rPr>
      </w:pPr>
      <w:r>
        <w:rPr>
          <w:rFonts w:hint="eastAsia" w:ascii="仿宋" w:hAnsi="仿宋" w:eastAsia="仿宋" w:cs="宋体"/>
          <w:b/>
          <w:sz w:val="24"/>
        </w:rPr>
        <w:t>3.</w:t>
      </w:r>
      <w:r>
        <w:rPr>
          <w:rFonts w:ascii="仿宋" w:hAnsi="仿宋" w:eastAsia="仿宋" w:cs="宋体"/>
          <w:b/>
          <w:sz w:val="24"/>
        </w:rPr>
        <w:t>包装和运输</w:t>
      </w:r>
    </w:p>
    <w:p w14:paraId="75957150">
      <w:pPr>
        <w:spacing w:line="360" w:lineRule="auto"/>
        <w:ind w:left="480"/>
        <w:rPr>
          <w:rFonts w:ascii="仿宋" w:hAnsi="仿宋" w:eastAsia="仿宋" w:cs="宋体"/>
          <w:b/>
          <w:sz w:val="24"/>
        </w:rPr>
      </w:pPr>
      <w:r>
        <w:rPr>
          <w:rFonts w:hint="eastAsia" w:ascii="仿宋" w:hAnsi="仿宋" w:eastAsia="仿宋" w:cs="宋体"/>
          <w:b/>
          <w:sz w:val="24"/>
        </w:rPr>
        <w:t>无</w:t>
      </w:r>
    </w:p>
    <w:p w14:paraId="1CD30D10">
      <w:pPr>
        <w:spacing w:line="360" w:lineRule="auto"/>
        <w:ind w:left="480"/>
        <w:rPr>
          <w:rFonts w:ascii="仿宋" w:hAnsi="仿宋" w:eastAsia="仿宋" w:cs="宋体"/>
          <w:b/>
          <w:sz w:val="24"/>
        </w:rPr>
      </w:pPr>
    </w:p>
    <w:p w14:paraId="729B9432">
      <w:pPr>
        <w:spacing w:line="360" w:lineRule="auto"/>
        <w:ind w:firstLine="482"/>
        <w:rPr>
          <w:rFonts w:ascii="仿宋" w:hAnsi="仿宋" w:eastAsia="仿宋"/>
          <w:sz w:val="24"/>
        </w:rPr>
      </w:pPr>
      <w:r>
        <w:rPr>
          <w:rFonts w:hint="eastAsia" w:ascii="仿宋" w:hAnsi="仿宋" w:eastAsia="仿宋" w:cs="宋体"/>
          <w:b/>
          <w:sz w:val="24"/>
        </w:rPr>
        <w:t>4.</w:t>
      </w:r>
      <w:r>
        <w:rPr>
          <w:rFonts w:ascii="仿宋" w:hAnsi="仿宋" w:eastAsia="仿宋" w:cs="宋体"/>
          <w:b/>
          <w:sz w:val="24"/>
        </w:rPr>
        <w:t>售后服务（质保期）（如适用）</w:t>
      </w:r>
    </w:p>
    <w:p w14:paraId="62894C17">
      <w:pPr>
        <w:spacing w:line="360" w:lineRule="auto"/>
        <w:ind w:firstLine="480" w:firstLineChars="200"/>
        <w:rPr>
          <w:rFonts w:ascii="仿宋" w:hAnsi="仿宋" w:eastAsia="仿宋"/>
          <w:sz w:val="24"/>
        </w:rPr>
      </w:pPr>
      <w:r>
        <w:rPr>
          <w:rFonts w:hint="eastAsia" w:ascii="仿宋" w:hAnsi="仿宋" w:eastAsia="仿宋"/>
          <w:sz w:val="24"/>
        </w:rPr>
        <w:t>本项目免费质量保证期要求不低于1年。免费质量保证期从课程资源全部交付、部署到公共运行课程平台并经采购人综合验收合格后开始计算。质保期内，中标人应提供课程资源的技术支持、平台运行维护、内容更新调整等服务。</w:t>
      </w:r>
    </w:p>
    <w:p w14:paraId="3BA81CD2">
      <w:pPr>
        <w:spacing w:line="360" w:lineRule="auto"/>
        <w:ind w:firstLine="482"/>
        <w:rPr>
          <w:rFonts w:ascii="仿宋" w:hAnsi="仿宋" w:eastAsia="仿宋" w:cs="宋体"/>
          <w:sz w:val="24"/>
        </w:rPr>
      </w:pPr>
      <w:r>
        <w:rPr>
          <w:rFonts w:hint="eastAsia" w:ascii="仿宋" w:hAnsi="仿宋" w:eastAsia="仿宋" w:cs="宋体"/>
          <w:b/>
          <w:sz w:val="24"/>
        </w:rPr>
        <w:t>5.</w:t>
      </w:r>
      <w:r>
        <w:rPr>
          <w:rFonts w:ascii="仿宋" w:hAnsi="仿宋" w:eastAsia="仿宋" w:cs="宋体"/>
          <w:b/>
          <w:sz w:val="24"/>
        </w:rPr>
        <w:t>保险（</w:t>
      </w:r>
      <w:r>
        <w:rPr>
          <w:rFonts w:hint="eastAsia" w:ascii="仿宋" w:hAnsi="仿宋" w:eastAsia="仿宋" w:cs="宋体"/>
          <w:b/>
          <w:sz w:val="24"/>
        </w:rPr>
        <w:t>不</w:t>
      </w:r>
      <w:r>
        <w:rPr>
          <w:rFonts w:ascii="仿宋" w:hAnsi="仿宋" w:eastAsia="仿宋" w:cs="宋体"/>
          <w:b/>
          <w:sz w:val="24"/>
        </w:rPr>
        <w:t>适用）</w:t>
      </w:r>
    </w:p>
    <w:p w14:paraId="415462FB">
      <w:pPr>
        <w:spacing w:line="360" w:lineRule="auto"/>
        <w:ind w:firstLine="480"/>
        <w:rPr>
          <w:rFonts w:ascii="仿宋" w:hAnsi="仿宋" w:eastAsia="仿宋"/>
          <w:sz w:val="24"/>
        </w:rPr>
      </w:pPr>
      <w:r>
        <w:rPr>
          <w:rFonts w:hint="eastAsia" w:ascii="仿宋" w:hAnsi="仿宋" w:eastAsia="仿宋"/>
          <w:sz w:val="24"/>
        </w:rPr>
        <w:t>无。</w:t>
      </w:r>
    </w:p>
    <w:p w14:paraId="6524D0F8">
      <w:pPr>
        <w:spacing w:line="360" w:lineRule="auto"/>
        <w:ind w:firstLine="482"/>
        <w:rPr>
          <w:rFonts w:ascii="仿宋" w:hAnsi="仿宋" w:eastAsia="仿宋" w:cs="宋体"/>
          <w:sz w:val="24"/>
        </w:rPr>
      </w:pPr>
    </w:p>
    <w:p w14:paraId="59105B0D">
      <w:pPr>
        <w:numPr>
          <w:ilvl w:val="0"/>
          <w:numId w:val="5"/>
        </w:numPr>
        <w:spacing w:line="360" w:lineRule="auto"/>
        <w:ind w:firstLine="482" w:firstLineChars="200"/>
        <w:contextualSpacing/>
        <w:jc w:val="left"/>
        <w:rPr>
          <w:rFonts w:ascii="仿宋" w:hAnsi="仿宋" w:eastAsia="仿宋" w:cs="宋体"/>
          <w:b/>
          <w:sz w:val="24"/>
        </w:rPr>
      </w:pPr>
      <w:r>
        <w:rPr>
          <w:rFonts w:hint="eastAsia" w:ascii="仿宋" w:hAnsi="仿宋" w:eastAsia="仿宋" w:cs="宋体"/>
          <w:b/>
          <w:sz w:val="24"/>
        </w:rPr>
        <w:t>技术要求</w:t>
      </w:r>
    </w:p>
    <w:p w14:paraId="7A7E0EBE">
      <w:pPr>
        <w:spacing w:line="360" w:lineRule="auto"/>
        <w:ind w:firstLine="503"/>
        <w:rPr>
          <w:rFonts w:ascii="仿宋" w:hAnsi="仿宋" w:eastAsia="仿宋"/>
          <w:b/>
          <w:sz w:val="24"/>
        </w:rPr>
      </w:pPr>
      <w:r>
        <w:rPr>
          <w:rFonts w:ascii="仿宋" w:hAnsi="仿宋" w:eastAsia="仿宋" w:cs="Arial"/>
          <w:b/>
          <w:w w:val="105"/>
          <w:sz w:val="24"/>
        </w:rPr>
        <w:t>1.</w:t>
      </w:r>
      <w:r>
        <w:rPr>
          <w:rFonts w:ascii="仿宋" w:hAnsi="仿宋" w:eastAsia="仿宋"/>
          <w:b/>
          <w:w w:val="105"/>
          <w:sz w:val="24"/>
        </w:rPr>
        <w:t>基本要求</w:t>
      </w:r>
    </w:p>
    <w:p w14:paraId="548EAF89">
      <w:pPr>
        <w:spacing w:line="360" w:lineRule="auto"/>
        <w:ind w:firstLine="480"/>
        <w:rPr>
          <w:rFonts w:ascii="仿宋" w:hAnsi="仿宋" w:eastAsia="仿宋"/>
          <w:b/>
          <w:sz w:val="24"/>
        </w:rPr>
      </w:pPr>
      <w:r>
        <w:rPr>
          <w:rFonts w:ascii="仿宋" w:hAnsi="仿宋" w:eastAsia="仿宋" w:cs="Arial"/>
          <w:b/>
          <w:sz w:val="24"/>
        </w:rPr>
        <w:t>1.1</w:t>
      </w:r>
      <w:r>
        <w:rPr>
          <w:rFonts w:ascii="仿宋" w:hAnsi="仿宋" w:eastAsia="仿宋"/>
          <w:b/>
          <w:sz w:val="24"/>
        </w:rPr>
        <w:t>采购标的需实现的功能或者目标</w:t>
      </w:r>
      <w:r>
        <w:rPr>
          <w:rFonts w:hint="eastAsia" w:ascii="仿宋" w:hAnsi="仿宋" w:eastAsia="仿宋"/>
          <w:b/>
          <w:sz w:val="24"/>
        </w:rPr>
        <w:t>。</w:t>
      </w:r>
    </w:p>
    <w:p w14:paraId="7D1DE5E8">
      <w:pPr>
        <w:tabs>
          <w:tab w:val="left" w:pos="420"/>
        </w:tabs>
        <w:spacing w:line="360" w:lineRule="auto"/>
        <w:ind w:firstLine="480" w:firstLineChars="200"/>
        <w:rPr>
          <w:rFonts w:ascii="仿宋" w:hAnsi="仿宋" w:eastAsia="仿宋" w:cs="仿宋"/>
          <w:sz w:val="24"/>
        </w:rPr>
      </w:pPr>
      <w:r>
        <w:rPr>
          <w:rFonts w:hint="eastAsia" w:ascii="仿宋" w:hAnsi="仿宋" w:eastAsia="仿宋" w:cs="仿宋"/>
          <w:sz w:val="24"/>
        </w:rPr>
        <w:t>为积极落实国家教育数字化战略行动，提高我校课程建设质量，助力医药卫生类专业数智化转型，提升线下课堂人才培养成效，我校新建7门校级线下精品课，本次采购线下精品课程建设、课程配套教学资源开发制作服务。项目严格遵照教育部《职业教育专业教学资源库建设指南》“能学、辅教、促改”功能定位与国家线下精品课程建设规范一体化设计，全部资源立足实体课堂面授、理实一体化授课、实训实操教学使用场景，兼顾线下常规授课与课中混合式辅助教学，适配卫生职业院校课堂教学、校内实训教学需求，资源可依托校内平台辅助课前预习、课中演示、课后巩固，贴合“互联网+职业教育”落地线下课堂的发展要求，满足线上线下混合教学的需要。</w:t>
      </w:r>
    </w:p>
    <w:p w14:paraId="1EB567F0">
      <w:pPr>
        <w:tabs>
          <w:tab w:val="left" w:pos="420"/>
        </w:tabs>
        <w:spacing w:line="360" w:lineRule="auto"/>
        <w:ind w:firstLine="480" w:firstLineChars="200"/>
        <w:rPr>
          <w:rFonts w:ascii="仿宋" w:hAnsi="仿宋" w:eastAsia="仿宋" w:cs="仿宋"/>
          <w:sz w:val="24"/>
        </w:rPr>
      </w:pPr>
      <w:r>
        <w:rPr>
          <w:rFonts w:hint="eastAsia" w:ascii="仿宋" w:hAnsi="仿宋" w:eastAsia="仿宋" w:cs="仿宋"/>
          <w:sz w:val="24"/>
        </w:rPr>
        <w:t>当前，教育部、北京市均出台相关政策，要求持续建设国家精品课程，推动实践教学改革，落实课程思政常态化。线下精品课程作为课堂教学改革的核心载体，是落实上述政策要求的关键抓手。同时，教育信息化已成为全球教育发展的重要趋势，线下精品课并非排斥技术，而是需要利用先进的信息技术重塑线下课堂形态。通过本项目建设，可满足教育信息化发展的需求，为教师开展理实一体化、项目式教学提供多样化素材，通过学情分析精准掌握学情，实现“以学生为中心”的教学，提升教学质量，助力学校新一轮教学改革，落实国家及北京市相关职业教育政策要求。</w:t>
      </w:r>
    </w:p>
    <w:p w14:paraId="16019333">
      <w:pPr>
        <w:pStyle w:val="2"/>
        <w:spacing w:line="360" w:lineRule="auto"/>
        <w:rPr>
          <w:rFonts w:ascii="仿宋" w:hAnsi="仿宋" w:eastAsia="仿宋" w:cs="仿宋"/>
        </w:rPr>
      </w:pPr>
    </w:p>
    <w:p w14:paraId="49A25B45">
      <w:pPr>
        <w:pStyle w:val="2"/>
        <w:spacing w:line="360" w:lineRule="auto"/>
      </w:pPr>
    </w:p>
    <w:p w14:paraId="18EB3307">
      <w:pPr>
        <w:spacing w:line="360" w:lineRule="auto"/>
        <w:ind w:firstLine="480"/>
        <w:rPr>
          <w:rFonts w:ascii="仿宋" w:hAnsi="仿宋" w:eastAsia="仿宋"/>
          <w:b/>
          <w:sz w:val="24"/>
        </w:rPr>
      </w:pPr>
      <w:r>
        <w:rPr>
          <w:rFonts w:ascii="仿宋" w:hAnsi="仿宋" w:eastAsia="仿宋" w:cs="Arial"/>
          <w:b/>
          <w:sz w:val="24"/>
        </w:rPr>
        <w:t>1.2</w:t>
      </w:r>
      <w:r>
        <w:rPr>
          <w:rFonts w:ascii="仿宋" w:hAnsi="仿宋" w:eastAsia="仿宋"/>
          <w:b/>
          <w:sz w:val="24"/>
        </w:rPr>
        <w:t>需执行的国家相关标准、行业标准、地方标准或者其他标准、规范</w:t>
      </w:r>
    </w:p>
    <w:p w14:paraId="0D4B5297">
      <w:pPr>
        <w:spacing w:before="40" w:after="40" w:line="360" w:lineRule="auto"/>
        <w:ind w:left="420" w:leftChars="200" w:firstLine="60" w:firstLineChars="25"/>
        <w:jc w:val="left"/>
        <w:rPr>
          <w:rFonts w:hint="eastAsia"/>
        </w:rPr>
      </w:pPr>
      <w:r>
        <w:rPr>
          <w:rFonts w:ascii="仿宋" w:hAnsi="仿宋" w:eastAsia="仿宋"/>
          <w:sz w:val="24"/>
        </w:rPr>
        <w:t>本项目执行的标准和规范包括但不限于以下：</w:t>
      </w:r>
      <w:r>
        <w:rPr>
          <w:rFonts w:ascii="仿宋" w:hAnsi="仿宋" w:eastAsia="仿宋"/>
          <w:sz w:val="24"/>
        </w:rPr>
        <w:br w:type="textWrapping"/>
      </w:r>
      <w:r>
        <w:rPr>
          <w:rFonts w:ascii="仿宋" w:hAnsi="仿宋" w:eastAsia="仿宋"/>
          <w:sz w:val="24"/>
        </w:rPr>
        <w:t>（1）《职业教育专业教学资源库建设指南》教育部</w:t>
      </w:r>
      <w:r>
        <w:rPr>
          <w:rFonts w:ascii="仿宋" w:hAnsi="仿宋" w:eastAsia="仿宋"/>
          <w:sz w:val="24"/>
        </w:rPr>
        <w:br w:type="textWrapping"/>
      </w:r>
      <w:r>
        <w:rPr>
          <w:rFonts w:ascii="仿宋" w:hAnsi="仿宋" w:eastAsia="仿宋"/>
          <w:sz w:val="24"/>
        </w:rPr>
        <w:t>（2）《职业教育一流核心课程建设标准（线下）》教育部</w:t>
      </w:r>
      <w:r>
        <w:rPr>
          <w:rFonts w:ascii="仿宋" w:hAnsi="仿宋" w:eastAsia="仿宋"/>
          <w:sz w:val="24"/>
        </w:rPr>
        <w:br w:type="textWrapping"/>
      </w:r>
      <w:r>
        <w:rPr>
          <w:rFonts w:ascii="仿宋" w:hAnsi="仿宋" w:eastAsia="仿宋"/>
          <w:sz w:val="24"/>
        </w:rPr>
        <w:t>（3）《信息技术学习、教育和培训—在线课程》GB/T 36642-2018</w:t>
      </w:r>
      <w:r>
        <w:rPr>
          <w:rFonts w:ascii="仿宋" w:hAnsi="仿宋" w:eastAsia="仿宋"/>
          <w:sz w:val="24"/>
        </w:rPr>
        <w:br w:type="textWrapping"/>
      </w:r>
      <w:r>
        <w:rPr>
          <w:rFonts w:ascii="仿宋" w:hAnsi="仿宋" w:eastAsia="仿宋"/>
          <w:sz w:val="24"/>
        </w:rPr>
        <w:t>（4）《信息技术学习、教育和培训—在线课程测评规范》GB/T 38835-2020</w:t>
      </w:r>
      <w:r>
        <w:rPr>
          <w:rFonts w:ascii="仿宋" w:hAnsi="仿宋" w:eastAsia="仿宋"/>
          <w:sz w:val="24"/>
        </w:rPr>
        <w:br w:type="textWrapping"/>
      </w:r>
      <w:r>
        <w:rPr>
          <w:rFonts w:ascii="仿宋" w:hAnsi="仿宋" w:eastAsia="仿宋"/>
          <w:sz w:val="24"/>
        </w:rPr>
        <w:t>（5）《多媒体教学环境设计规范》GB/T 36341-2018</w:t>
      </w:r>
      <w:r>
        <w:rPr>
          <w:rFonts w:ascii="仿宋" w:hAnsi="仿宋" w:eastAsia="仿宋"/>
          <w:sz w:val="24"/>
        </w:rPr>
        <w:br w:type="textWrapping"/>
      </w:r>
      <w:r>
        <w:rPr>
          <w:rFonts w:ascii="仿宋" w:hAnsi="仿宋" w:eastAsia="仿宋"/>
          <w:sz w:val="24"/>
        </w:rPr>
        <w:t>（6）《教育信息化标准化工作管理办法》教科信厅〔2025〕1 号</w:t>
      </w:r>
    </w:p>
    <w:p w14:paraId="14AEF3D6">
      <w:pPr>
        <w:spacing w:before="40" w:after="40" w:line="360" w:lineRule="auto"/>
        <w:ind w:left="420" w:leftChars="200" w:firstLine="60" w:firstLineChars="25"/>
        <w:jc w:val="left"/>
        <w:rPr>
          <w:rFonts w:hint="eastAsia"/>
        </w:rPr>
      </w:pPr>
      <w:r>
        <w:rPr>
          <w:rFonts w:ascii="仿宋" w:hAnsi="仿宋" w:eastAsia="仿宋"/>
          <w:sz w:val="24"/>
        </w:rPr>
        <w:t>（</w:t>
      </w:r>
      <w:r>
        <w:rPr>
          <w:rFonts w:hint="eastAsia" w:ascii="仿宋" w:hAnsi="仿宋" w:eastAsia="仿宋"/>
          <w:sz w:val="24"/>
        </w:rPr>
        <w:t>7</w:t>
      </w:r>
      <w:r>
        <w:rPr>
          <w:rFonts w:ascii="仿宋" w:hAnsi="仿宋" w:eastAsia="仿宋"/>
          <w:sz w:val="24"/>
        </w:rPr>
        <w:t>）《网络课程建设技术规范》CELTS-30</w:t>
      </w:r>
    </w:p>
    <w:p w14:paraId="0A504031">
      <w:pPr>
        <w:spacing w:before="40" w:after="40" w:line="360" w:lineRule="auto"/>
        <w:ind w:left="420" w:leftChars="200" w:firstLine="60" w:firstLineChars="25"/>
        <w:jc w:val="left"/>
      </w:pPr>
      <w:r>
        <w:rPr>
          <w:rFonts w:ascii="仿宋" w:hAnsi="仿宋" w:eastAsia="仿宋"/>
          <w:sz w:val="24"/>
        </w:rPr>
        <w:t>（</w:t>
      </w:r>
      <w:r>
        <w:rPr>
          <w:rFonts w:hint="eastAsia" w:ascii="仿宋" w:hAnsi="仿宋" w:eastAsia="仿宋"/>
          <w:sz w:val="24"/>
        </w:rPr>
        <w:t>8</w:t>
      </w:r>
      <w:r>
        <w:rPr>
          <w:rFonts w:ascii="仿宋" w:hAnsi="仿宋" w:eastAsia="仿宋"/>
          <w:sz w:val="24"/>
        </w:rPr>
        <w:t>）《关于深化职业教育教学关键要素改革的意见》教育部2026年</w:t>
      </w:r>
    </w:p>
    <w:p w14:paraId="635E283A">
      <w:pPr>
        <w:spacing w:line="360" w:lineRule="auto"/>
        <w:ind w:firstLine="480"/>
        <w:rPr>
          <w:rFonts w:ascii="仿宋" w:hAnsi="仿宋" w:eastAsia="仿宋"/>
          <w:b/>
          <w:sz w:val="24"/>
        </w:rPr>
      </w:pPr>
    </w:p>
    <w:p w14:paraId="1F2E0D38">
      <w:pPr>
        <w:spacing w:line="360" w:lineRule="auto"/>
        <w:ind w:firstLine="480"/>
        <w:rPr>
          <w:rFonts w:ascii="仿宋" w:hAnsi="仿宋" w:eastAsia="仿宋" w:cs="宋体"/>
          <w:sz w:val="24"/>
        </w:rPr>
      </w:pPr>
    </w:p>
    <w:p w14:paraId="306B6F01">
      <w:pPr>
        <w:pStyle w:val="2"/>
        <w:spacing w:line="360" w:lineRule="auto"/>
      </w:pPr>
    </w:p>
    <w:p w14:paraId="47D6379B">
      <w:pPr>
        <w:spacing w:line="360" w:lineRule="auto"/>
        <w:ind w:firstLine="480"/>
        <w:rPr>
          <w:rFonts w:ascii="仿宋" w:hAnsi="仿宋" w:eastAsia="仿宋"/>
          <w:b/>
          <w:sz w:val="24"/>
        </w:rPr>
      </w:pPr>
      <w:r>
        <w:rPr>
          <w:rFonts w:ascii="仿宋" w:hAnsi="仿宋" w:eastAsia="仿宋" w:cs="Arial"/>
          <w:b/>
          <w:sz w:val="24"/>
        </w:rPr>
        <w:t>2.</w:t>
      </w:r>
      <w:r>
        <w:rPr>
          <w:rFonts w:ascii="仿宋" w:hAnsi="仿宋" w:eastAsia="仿宋"/>
          <w:b/>
          <w:sz w:val="24"/>
        </w:rPr>
        <w:t>服务内容及要求</w:t>
      </w:r>
      <w:r>
        <w:rPr>
          <w:rFonts w:ascii="仿宋" w:hAnsi="仿宋" w:eastAsia="仿宋" w:cs="Arial"/>
          <w:b/>
          <w:sz w:val="24"/>
        </w:rPr>
        <w:t>/</w:t>
      </w:r>
      <w:r>
        <w:rPr>
          <w:rFonts w:ascii="仿宋" w:hAnsi="仿宋" w:eastAsia="仿宋"/>
          <w:b/>
          <w:sz w:val="24"/>
        </w:rPr>
        <w:t>货物技术要求</w:t>
      </w:r>
    </w:p>
    <w:p w14:paraId="0FFAA2FC">
      <w:pPr>
        <w:spacing w:line="360" w:lineRule="auto"/>
        <w:ind w:firstLine="480"/>
        <w:rPr>
          <w:rFonts w:ascii="仿宋" w:hAnsi="仿宋" w:eastAsia="仿宋"/>
          <w:b/>
          <w:sz w:val="24"/>
        </w:rPr>
      </w:pPr>
      <w:r>
        <w:rPr>
          <w:rFonts w:ascii="仿宋" w:hAnsi="仿宋" w:eastAsia="仿宋" w:cs="Arial"/>
          <w:b/>
          <w:sz w:val="24"/>
        </w:rPr>
        <w:t>2.1</w:t>
      </w:r>
      <w:r>
        <w:rPr>
          <w:rFonts w:ascii="仿宋" w:hAnsi="仿宋" w:eastAsia="仿宋"/>
          <w:b/>
          <w:sz w:val="24"/>
        </w:rPr>
        <w:t>采购标的需满足的性能、材料、结构、外观、质量、安全、技术规格、物理特性等要求</w:t>
      </w:r>
      <w:r>
        <w:rPr>
          <w:rFonts w:hint="eastAsia" w:ascii="仿宋" w:hAnsi="仿宋" w:eastAsia="仿宋"/>
          <w:b/>
          <w:sz w:val="24"/>
        </w:rPr>
        <w:t>。</w:t>
      </w:r>
    </w:p>
    <w:p w14:paraId="7487052F">
      <w:pPr>
        <w:pStyle w:val="7"/>
        <w:widowControl/>
        <w:spacing w:line="360" w:lineRule="auto"/>
        <w:ind w:firstLine="482" w:firstLineChars="200"/>
        <w:textAlignment w:val="baseline"/>
        <w:outlineLvl w:val="2"/>
        <w:rPr>
          <w:rFonts w:hint="default" w:ascii="仿宋" w:hAnsi="仿宋" w:eastAsia="仿宋" w:cs="仿宋"/>
          <w:b/>
          <w:bCs/>
        </w:rPr>
      </w:pPr>
      <w:r>
        <w:rPr>
          <w:rFonts w:ascii="仿宋" w:hAnsi="仿宋" w:eastAsia="仿宋" w:cs="仿宋"/>
          <w:b/>
          <w:bCs/>
        </w:rPr>
        <w:t>（一）建设需求</w:t>
      </w:r>
    </w:p>
    <w:tbl>
      <w:tblPr>
        <w:tblStyle w:val="4"/>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559"/>
        <w:gridCol w:w="6237"/>
        <w:gridCol w:w="992"/>
      </w:tblGrid>
      <w:tr w14:paraId="44FBF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851" w:type="dxa"/>
            <w:tcBorders>
              <w:top w:val="single" w:color="auto" w:sz="4" w:space="0"/>
              <w:left w:val="single" w:color="auto" w:sz="4" w:space="0"/>
              <w:bottom w:val="single" w:color="auto" w:sz="4" w:space="0"/>
              <w:right w:val="single" w:color="auto" w:sz="4" w:space="0"/>
            </w:tcBorders>
            <w:vAlign w:val="center"/>
          </w:tcPr>
          <w:p w14:paraId="2F1E8F00">
            <w:pPr>
              <w:spacing w:line="360" w:lineRule="auto"/>
              <w:rPr>
                <w:rFonts w:ascii="仿宋" w:hAnsi="仿宋" w:eastAsia="仿宋"/>
                <w:b/>
                <w:bCs/>
                <w:sz w:val="24"/>
              </w:rPr>
            </w:pPr>
            <w:bookmarkStart w:id="0" w:name="_Hlk209518906"/>
            <w:bookmarkStart w:id="1" w:name="OLE_LINK29"/>
            <w:r>
              <w:rPr>
                <w:rFonts w:hint="eastAsia" w:ascii="仿宋" w:hAnsi="仿宋" w:eastAsia="仿宋"/>
                <w:b/>
                <w:bCs/>
                <w:sz w:val="24"/>
              </w:rPr>
              <w:t>序号</w:t>
            </w:r>
          </w:p>
        </w:tc>
        <w:tc>
          <w:tcPr>
            <w:tcW w:w="1559" w:type="dxa"/>
            <w:tcBorders>
              <w:top w:val="single" w:color="auto" w:sz="4" w:space="0"/>
              <w:left w:val="single" w:color="auto" w:sz="4" w:space="0"/>
              <w:bottom w:val="single" w:color="auto" w:sz="4" w:space="0"/>
              <w:right w:val="single" w:color="auto" w:sz="4" w:space="0"/>
            </w:tcBorders>
            <w:vAlign w:val="center"/>
          </w:tcPr>
          <w:p w14:paraId="6CECB1DC">
            <w:pPr>
              <w:spacing w:line="360" w:lineRule="auto"/>
              <w:rPr>
                <w:rFonts w:ascii="仿宋" w:hAnsi="仿宋" w:eastAsia="仿宋"/>
                <w:b/>
                <w:bCs/>
                <w:sz w:val="24"/>
              </w:rPr>
            </w:pPr>
            <w:r>
              <w:rPr>
                <w:rFonts w:hint="eastAsia" w:ascii="仿宋" w:hAnsi="仿宋" w:eastAsia="仿宋" w:cs="宋体"/>
                <w:b/>
                <w:bCs/>
                <w:color w:val="000000"/>
                <w:kern w:val="0"/>
                <w:sz w:val="22"/>
                <w:lang w:bidi="ar"/>
              </w:rPr>
              <w:t>项目明细名称</w:t>
            </w:r>
          </w:p>
        </w:tc>
        <w:tc>
          <w:tcPr>
            <w:tcW w:w="6237" w:type="dxa"/>
            <w:tcBorders>
              <w:top w:val="single" w:color="auto" w:sz="4" w:space="0"/>
              <w:left w:val="single" w:color="auto" w:sz="4" w:space="0"/>
              <w:bottom w:val="single" w:color="auto" w:sz="4" w:space="0"/>
              <w:right w:val="single" w:color="auto" w:sz="4" w:space="0"/>
            </w:tcBorders>
            <w:vAlign w:val="center"/>
          </w:tcPr>
          <w:p w14:paraId="12FCBD82">
            <w:pPr>
              <w:spacing w:line="360" w:lineRule="auto"/>
              <w:rPr>
                <w:rFonts w:ascii="仿宋" w:hAnsi="仿宋" w:eastAsia="仿宋"/>
                <w:b/>
                <w:bCs/>
                <w:sz w:val="24"/>
              </w:rPr>
            </w:pPr>
            <w:r>
              <w:rPr>
                <w:rFonts w:hint="eastAsia" w:ascii="仿宋" w:hAnsi="仿宋" w:eastAsia="仿宋"/>
                <w:b/>
                <w:bCs/>
                <w:sz w:val="24"/>
              </w:rPr>
              <w:t>技术参数</w:t>
            </w:r>
          </w:p>
        </w:tc>
        <w:tc>
          <w:tcPr>
            <w:tcW w:w="992" w:type="dxa"/>
            <w:tcBorders>
              <w:top w:val="single" w:color="auto" w:sz="4" w:space="0"/>
              <w:left w:val="single" w:color="auto" w:sz="4" w:space="0"/>
              <w:bottom w:val="single" w:color="auto" w:sz="4" w:space="0"/>
              <w:right w:val="single" w:color="auto" w:sz="4" w:space="0"/>
            </w:tcBorders>
            <w:vAlign w:val="center"/>
          </w:tcPr>
          <w:p w14:paraId="09E52C6C">
            <w:pPr>
              <w:spacing w:line="360" w:lineRule="auto"/>
              <w:rPr>
                <w:rFonts w:ascii="仿宋" w:hAnsi="仿宋" w:eastAsia="仿宋"/>
                <w:b/>
                <w:bCs/>
                <w:sz w:val="24"/>
              </w:rPr>
            </w:pPr>
            <w:r>
              <w:rPr>
                <w:rFonts w:hint="eastAsia" w:ascii="仿宋" w:hAnsi="仿宋" w:eastAsia="仿宋"/>
                <w:b/>
                <w:bCs/>
                <w:sz w:val="24"/>
              </w:rPr>
              <w:t>数量</w:t>
            </w:r>
          </w:p>
        </w:tc>
      </w:tr>
      <w:tr w14:paraId="03EA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4" w:hRule="atLeast"/>
        </w:trPr>
        <w:tc>
          <w:tcPr>
            <w:tcW w:w="851" w:type="dxa"/>
            <w:tcBorders>
              <w:top w:val="single" w:color="auto" w:sz="4" w:space="0"/>
              <w:left w:val="single" w:color="auto" w:sz="4" w:space="0"/>
              <w:bottom w:val="single" w:color="auto" w:sz="4" w:space="0"/>
              <w:right w:val="single" w:color="auto" w:sz="4" w:space="0"/>
            </w:tcBorders>
          </w:tcPr>
          <w:p w14:paraId="1CDA1E47">
            <w:pPr>
              <w:spacing w:line="360" w:lineRule="auto"/>
              <w:jc w:val="center"/>
              <w:rPr>
                <w:rFonts w:ascii="仿宋" w:hAnsi="仿宋" w:eastAsia="仿宋"/>
                <w:b/>
                <w:szCs w:val="21"/>
              </w:rPr>
            </w:pPr>
            <w:r>
              <w:rPr>
                <w:rFonts w:ascii="仿宋" w:hAnsi="仿宋" w:eastAsia="仿宋"/>
                <w:szCs w:val="21"/>
              </w:rPr>
              <w:t>1</w:t>
            </w:r>
          </w:p>
        </w:tc>
        <w:tc>
          <w:tcPr>
            <w:tcW w:w="1559" w:type="dxa"/>
            <w:tcBorders>
              <w:top w:val="single" w:color="auto" w:sz="4" w:space="0"/>
              <w:left w:val="single" w:color="auto" w:sz="4" w:space="0"/>
              <w:bottom w:val="single" w:color="auto" w:sz="4" w:space="0"/>
              <w:right w:val="single" w:color="auto" w:sz="4" w:space="0"/>
            </w:tcBorders>
          </w:tcPr>
          <w:p w14:paraId="5BDA1C44">
            <w:pPr>
              <w:spacing w:line="360" w:lineRule="auto"/>
              <w:jc w:val="left"/>
              <w:rPr>
                <w:rFonts w:ascii="仿宋" w:hAnsi="仿宋" w:eastAsia="仿宋"/>
                <w:b/>
                <w:szCs w:val="21"/>
              </w:rPr>
            </w:pPr>
            <w:r>
              <w:rPr>
                <w:rFonts w:ascii="仿宋" w:hAnsi="仿宋" w:eastAsia="仿宋"/>
                <w:szCs w:val="21"/>
              </w:rPr>
              <w:t>课程简介视频</w:t>
            </w:r>
            <w:r>
              <w:rPr>
                <w:rFonts w:hint="eastAsia" w:ascii="仿宋" w:hAnsi="仿宋" w:eastAsia="仿宋"/>
                <w:szCs w:val="21"/>
              </w:rPr>
              <w:t>制作</w:t>
            </w:r>
          </w:p>
        </w:tc>
        <w:tc>
          <w:tcPr>
            <w:tcW w:w="6237" w:type="dxa"/>
            <w:tcBorders>
              <w:top w:val="single" w:color="auto" w:sz="4" w:space="0"/>
              <w:left w:val="single" w:color="auto" w:sz="4" w:space="0"/>
              <w:bottom w:val="single" w:color="auto" w:sz="4" w:space="0"/>
              <w:right w:val="single" w:color="auto" w:sz="4" w:space="0"/>
            </w:tcBorders>
          </w:tcPr>
          <w:p w14:paraId="186D6BA5">
            <w:pPr>
              <w:spacing w:line="360" w:lineRule="auto"/>
              <w:jc w:val="left"/>
              <w:rPr>
                <w:rFonts w:ascii="仿宋" w:hAnsi="仿宋" w:eastAsia="仿宋"/>
                <w:b/>
                <w:szCs w:val="21"/>
              </w:rPr>
            </w:pPr>
            <w:r>
              <w:rPr>
                <w:rFonts w:ascii="仿宋" w:hAnsi="仿宋" w:eastAsia="仿宋"/>
                <w:szCs w:val="21"/>
              </w:rPr>
              <w:t>按照《职业教育一流核心课程建设标准（线下）》课程概述要求准备。内容含基本信息、课程设计、课程建设、课程实施、教学环境、教学效果和特色创新之处等，重点展示线下课堂教学特色、实训实践环境和"教—学—做—评"一体化教学模式。5-10分钟视频，教师出镜不少于3分钟。画面适配线下课堂宣讲、课程汇报、教学展示场景，搭配轻量化动画与合规配乐包装，画面庄重规范，符合职业教育线下精品课评审、课堂展示使用要求，无版权纠纷。</w:t>
            </w:r>
          </w:p>
        </w:tc>
        <w:tc>
          <w:tcPr>
            <w:tcW w:w="992" w:type="dxa"/>
            <w:tcBorders>
              <w:top w:val="single" w:color="auto" w:sz="4" w:space="0"/>
              <w:left w:val="single" w:color="auto" w:sz="4" w:space="0"/>
              <w:bottom w:val="single" w:color="auto" w:sz="4" w:space="0"/>
              <w:right w:val="single" w:color="auto" w:sz="4" w:space="0"/>
            </w:tcBorders>
          </w:tcPr>
          <w:p w14:paraId="6CA23E18">
            <w:pPr>
              <w:spacing w:line="360" w:lineRule="auto"/>
              <w:jc w:val="center"/>
              <w:rPr>
                <w:rFonts w:ascii="仿宋" w:hAnsi="仿宋" w:eastAsia="仿宋"/>
                <w:b/>
                <w:szCs w:val="21"/>
              </w:rPr>
            </w:pPr>
            <w:r>
              <w:rPr>
                <w:rFonts w:ascii="仿宋" w:hAnsi="仿宋" w:eastAsia="仿宋"/>
                <w:szCs w:val="21"/>
              </w:rPr>
              <w:t>7</w:t>
            </w:r>
          </w:p>
        </w:tc>
      </w:tr>
      <w:tr w14:paraId="5DDB2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51" w:type="dxa"/>
            <w:tcBorders>
              <w:top w:val="single" w:color="auto" w:sz="4" w:space="0"/>
              <w:left w:val="single" w:color="auto" w:sz="4" w:space="0"/>
              <w:bottom w:val="single" w:color="auto" w:sz="4" w:space="0"/>
              <w:right w:val="single" w:color="auto" w:sz="4" w:space="0"/>
            </w:tcBorders>
          </w:tcPr>
          <w:p w14:paraId="06E7A815">
            <w:pPr>
              <w:spacing w:line="360" w:lineRule="auto"/>
              <w:jc w:val="center"/>
              <w:rPr>
                <w:rFonts w:ascii="仿宋" w:hAnsi="仿宋" w:eastAsia="仿宋"/>
                <w:b/>
                <w:szCs w:val="21"/>
              </w:rPr>
            </w:pPr>
            <w:r>
              <w:rPr>
                <w:rFonts w:ascii="仿宋" w:hAnsi="仿宋" w:eastAsia="仿宋"/>
                <w:szCs w:val="21"/>
              </w:rPr>
              <w:t>2</w:t>
            </w:r>
          </w:p>
        </w:tc>
        <w:tc>
          <w:tcPr>
            <w:tcW w:w="1559" w:type="dxa"/>
            <w:tcBorders>
              <w:top w:val="single" w:color="auto" w:sz="4" w:space="0"/>
              <w:left w:val="single" w:color="auto" w:sz="4" w:space="0"/>
              <w:bottom w:val="single" w:color="auto" w:sz="4" w:space="0"/>
              <w:right w:val="single" w:color="auto" w:sz="4" w:space="0"/>
            </w:tcBorders>
          </w:tcPr>
          <w:p w14:paraId="79AFB9BD">
            <w:pPr>
              <w:spacing w:line="360" w:lineRule="auto"/>
              <w:jc w:val="left"/>
              <w:rPr>
                <w:rFonts w:ascii="仿宋" w:hAnsi="仿宋" w:eastAsia="仿宋"/>
                <w:b/>
                <w:szCs w:val="21"/>
              </w:rPr>
            </w:pPr>
            <w:r>
              <w:rPr>
                <w:rFonts w:ascii="仿宋" w:hAnsi="仿宋" w:eastAsia="仿宋"/>
                <w:szCs w:val="21"/>
              </w:rPr>
              <w:t>课堂实录</w:t>
            </w:r>
          </w:p>
        </w:tc>
        <w:tc>
          <w:tcPr>
            <w:tcW w:w="6237" w:type="dxa"/>
            <w:tcBorders>
              <w:top w:val="single" w:color="auto" w:sz="4" w:space="0"/>
              <w:left w:val="single" w:color="auto" w:sz="4" w:space="0"/>
              <w:bottom w:val="single" w:color="auto" w:sz="4" w:space="0"/>
              <w:right w:val="single" w:color="auto" w:sz="4" w:space="0"/>
            </w:tcBorders>
          </w:tcPr>
          <w:p w14:paraId="681B7070">
            <w:pPr>
              <w:spacing w:line="360" w:lineRule="auto"/>
              <w:jc w:val="left"/>
              <w:rPr>
                <w:rFonts w:ascii="仿宋" w:hAnsi="仿宋" w:eastAsia="仿宋"/>
                <w:b/>
                <w:szCs w:val="21"/>
              </w:rPr>
            </w:pPr>
            <w:r>
              <w:rPr>
                <w:rFonts w:ascii="仿宋" w:hAnsi="仿宋" w:eastAsia="仿宋"/>
                <w:szCs w:val="21"/>
              </w:rPr>
              <w:t>1.每门课录制1节（40-45分钟），完整还原真实线下教学场景，包含课堂全景、教师授课近景、学生课堂互动、实操训练、小组研讨等核心画面。现场采光均匀、无频闪、无杂物、无冗余画面，完全还原常态化线下教学状态。</w:t>
            </w:r>
            <w:r>
              <w:rPr>
                <w:rFonts w:ascii="仿宋" w:hAnsi="仿宋" w:eastAsia="仿宋"/>
                <w:szCs w:val="21"/>
              </w:rPr>
              <w:br w:type="textWrapping"/>
            </w:r>
            <w:r>
              <w:rPr>
                <w:rFonts w:ascii="仿宋" w:hAnsi="仿宋" w:eastAsia="仿宋"/>
                <w:szCs w:val="21"/>
              </w:rPr>
              <w:t>2.人声清晰无杂音、爆音。教师讲课声音清晰无杂音，学生发言可听清；AAC编码，采样率不低于44.1kHz。</w:t>
            </w:r>
            <w:r>
              <w:rPr>
                <w:rFonts w:ascii="仿宋" w:hAnsi="仿宋" w:eastAsia="仿宋"/>
                <w:szCs w:val="21"/>
              </w:rPr>
              <w:br w:type="textWrapping"/>
            </w:r>
            <w:r>
              <w:rPr>
                <w:rFonts w:ascii="仿宋" w:hAnsi="仿宋" w:eastAsia="仿宋"/>
                <w:szCs w:val="21"/>
              </w:rPr>
              <w:t>3.视频配备准确的中文字幕，字幕与声音同步率不低于95%。</w:t>
            </w:r>
            <w:r>
              <w:rPr>
                <w:rFonts w:ascii="仿宋" w:hAnsi="仿宋" w:eastAsia="仿宋"/>
                <w:szCs w:val="21"/>
              </w:rPr>
              <w:br w:type="textWrapping"/>
            </w:r>
            <w:r>
              <w:rPr>
                <w:rFonts w:ascii="仿宋" w:hAnsi="仿宋" w:eastAsia="仿宋"/>
                <w:szCs w:val="21"/>
              </w:rPr>
              <w:t>4.每个视频文件开头应包含课程名称、教学单元、授课教师、授课时间等信息。</w:t>
            </w:r>
          </w:p>
        </w:tc>
        <w:tc>
          <w:tcPr>
            <w:tcW w:w="992" w:type="dxa"/>
            <w:tcBorders>
              <w:top w:val="single" w:color="auto" w:sz="4" w:space="0"/>
              <w:left w:val="single" w:color="auto" w:sz="4" w:space="0"/>
              <w:bottom w:val="single" w:color="auto" w:sz="4" w:space="0"/>
              <w:right w:val="single" w:color="auto" w:sz="4" w:space="0"/>
            </w:tcBorders>
          </w:tcPr>
          <w:p w14:paraId="62018B90">
            <w:pPr>
              <w:spacing w:line="360" w:lineRule="auto"/>
              <w:jc w:val="center"/>
              <w:rPr>
                <w:rFonts w:ascii="仿宋" w:hAnsi="仿宋" w:eastAsia="仿宋"/>
                <w:b/>
                <w:szCs w:val="21"/>
              </w:rPr>
            </w:pPr>
            <w:r>
              <w:rPr>
                <w:rFonts w:ascii="仿宋" w:hAnsi="仿宋" w:eastAsia="仿宋"/>
                <w:szCs w:val="21"/>
              </w:rPr>
              <w:t>7</w:t>
            </w:r>
          </w:p>
        </w:tc>
      </w:tr>
      <w:tr w14:paraId="7B23E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851" w:type="dxa"/>
            <w:tcBorders>
              <w:top w:val="single" w:color="auto" w:sz="4" w:space="0"/>
              <w:left w:val="single" w:color="auto" w:sz="4" w:space="0"/>
              <w:bottom w:val="single" w:color="auto" w:sz="4" w:space="0"/>
              <w:right w:val="single" w:color="auto" w:sz="4" w:space="0"/>
            </w:tcBorders>
          </w:tcPr>
          <w:p w14:paraId="1A91FE9F">
            <w:pPr>
              <w:spacing w:line="360" w:lineRule="auto"/>
              <w:jc w:val="center"/>
              <w:rPr>
                <w:rFonts w:ascii="仿宋" w:hAnsi="仿宋" w:eastAsia="仿宋"/>
                <w:b/>
                <w:szCs w:val="21"/>
              </w:rPr>
            </w:pPr>
            <w:r>
              <w:rPr>
                <w:rFonts w:ascii="仿宋" w:hAnsi="仿宋" w:eastAsia="仿宋"/>
                <w:szCs w:val="21"/>
              </w:rPr>
              <w:t>3</w:t>
            </w:r>
          </w:p>
        </w:tc>
        <w:tc>
          <w:tcPr>
            <w:tcW w:w="1559" w:type="dxa"/>
            <w:tcBorders>
              <w:top w:val="single" w:color="auto" w:sz="4" w:space="0"/>
              <w:left w:val="single" w:color="auto" w:sz="4" w:space="0"/>
              <w:bottom w:val="single" w:color="auto" w:sz="4" w:space="0"/>
              <w:right w:val="single" w:color="auto" w:sz="4" w:space="0"/>
            </w:tcBorders>
          </w:tcPr>
          <w:p w14:paraId="3927CA48">
            <w:pPr>
              <w:spacing w:line="360" w:lineRule="auto"/>
              <w:jc w:val="left"/>
              <w:rPr>
                <w:rFonts w:ascii="仿宋" w:hAnsi="仿宋" w:eastAsia="仿宋"/>
                <w:b/>
                <w:szCs w:val="21"/>
              </w:rPr>
            </w:pPr>
            <w:r>
              <w:rPr>
                <w:rFonts w:ascii="仿宋" w:hAnsi="仿宋" w:eastAsia="仿宋"/>
                <w:szCs w:val="21"/>
              </w:rPr>
              <w:t>常规任务书优化</w:t>
            </w:r>
          </w:p>
        </w:tc>
        <w:tc>
          <w:tcPr>
            <w:tcW w:w="6237" w:type="dxa"/>
            <w:tcBorders>
              <w:top w:val="single" w:color="auto" w:sz="4" w:space="0"/>
              <w:left w:val="single" w:color="auto" w:sz="4" w:space="0"/>
              <w:bottom w:val="single" w:color="auto" w:sz="4" w:space="0"/>
              <w:right w:val="single" w:color="auto" w:sz="4" w:space="0"/>
            </w:tcBorders>
          </w:tcPr>
          <w:p w14:paraId="5C261A82">
            <w:pPr>
              <w:spacing w:line="360" w:lineRule="auto"/>
              <w:jc w:val="left"/>
              <w:rPr>
                <w:rFonts w:ascii="仿宋" w:hAnsi="仿宋" w:eastAsia="仿宋"/>
                <w:b/>
                <w:szCs w:val="21"/>
              </w:rPr>
            </w:pPr>
            <w:r>
              <w:rPr>
                <w:rFonts w:ascii="仿宋" w:hAnsi="仿宋" w:eastAsia="仿宋"/>
                <w:szCs w:val="21"/>
              </w:rPr>
              <w:t>提供专业辅助设计、编辑、审校服务。任务书应突出线下课堂互动环节和实训实践环节的任务设计，包含课堂讨论任务、小组合作任务、实训操作任务、案例分析任务等，体现"做中学、学中做"的职业教育特色。</w:t>
            </w:r>
          </w:p>
        </w:tc>
        <w:tc>
          <w:tcPr>
            <w:tcW w:w="992" w:type="dxa"/>
            <w:tcBorders>
              <w:top w:val="single" w:color="auto" w:sz="4" w:space="0"/>
              <w:left w:val="single" w:color="auto" w:sz="4" w:space="0"/>
              <w:bottom w:val="single" w:color="auto" w:sz="4" w:space="0"/>
              <w:right w:val="single" w:color="auto" w:sz="4" w:space="0"/>
            </w:tcBorders>
          </w:tcPr>
          <w:p w14:paraId="22968E5A">
            <w:pPr>
              <w:spacing w:line="360" w:lineRule="auto"/>
              <w:jc w:val="center"/>
              <w:rPr>
                <w:rFonts w:ascii="仿宋" w:hAnsi="仿宋" w:eastAsia="仿宋"/>
                <w:b/>
                <w:szCs w:val="21"/>
              </w:rPr>
            </w:pPr>
            <w:r>
              <w:rPr>
                <w:rFonts w:ascii="仿宋" w:hAnsi="仿宋" w:eastAsia="仿宋"/>
                <w:szCs w:val="21"/>
              </w:rPr>
              <w:t>130</w:t>
            </w:r>
          </w:p>
        </w:tc>
      </w:tr>
      <w:tr w14:paraId="1F7D9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851" w:type="dxa"/>
            <w:tcBorders>
              <w:top w:val="single" w:color="auto" w:sz="4" w:space="0"/>
              <w:left w:val="single" w:color="auto" w:sz="4" w:space="0"/>
              <w:bottom w:val="single" w:color="auto" w:sz="4" w:space="0"/>
              <w:right w:val="single" w:color="auto" w:sz="4" w:space="0"/>
            </w:tcBorders>
          </w:tcPr>
          <w:p w14:paraId="243791B2">
            <w:pPr>
              <w:spacing w:line="360" w:lineRule="auto"/>
              <w:jc w:val="center"/>
              <w:rPr>
                <w:rFonts w:ascii="仿宋" w:hAnsi="仿宋" w:eastAsia="仿宋"/>
                <w:b/>
                <w:szCs w:val="21"/>
              </w:rPr>
            </w:pPr>
            <w:r>
              <w:rPr>
                <w:rFonts w:ascii="仿宋" w:hAnsi="仿宋" w:eastAsia="仿宋"/>
                <w:szCs w:val="21"/>
              </w:rPr>
              <w:t>4</w:t>
            </w:r>
          </w:p>
        </w:tc>
        <w:tc>
          <w:tcPr>
            <w:tcW w:w="1559" w:type="dxa"/>
            <w:tcBorders>
              <w:top w:val="single" w:color="auto" w:sz="4" w:space="0"/>
              <w:left w:val="single" w:color="auto" w:sz="4" w:space="0"/>
              <w:bottom w:val="single" w:color="auto" w:sz="4" w:space="0"/>
              <w:right w:val="single" w:color="auto" w:sz="4" w:space="0"/>
            </w:tcBorders>
          </w:tcPr>
          <w:p w14:paraId="0B5B23D5">
            <w:pPr>
              <w:spacing w:line="360" w:lineRule="auto"/>
              <w:jc w:val="left"/>
              <w:rPr>
                <w:rFonts w:ascii="仿宋" w:hAnsi="仿宋" w:eastAsia="仿宋"/>
                <w:b/>
                <w:szCs w:val="21"/>
              </w:rPr>
            </w:pPr>
            <w:r>
              <w:rPr>
                <w:rFonts w:ascii="仿宋" w:hAnsi="仿宋" w:eastAsia="仿宋"/>
                <w:szCs w:val="21"/>
              </w:rPr>
              <w:t>拓展任务书优化</w:t>
            </w:r>
          </w:p>
        </w:tc>
        <w:tc>
          <w:tcPr>
            <w:tcW w:w="6237" w:type="dxa"/>
            <w:tcBorders>
              <w:top w:val="single" w:color="auto" w:sz="4" w:space="0"/>
              <w:left w:val="single" w:color="auto" w:sz="4" w:space="0"/>
              <w:bottom w:val="single" w:color="auto" w:sz="4" w:space="0"/>
              <w:right w:val="single" w:color="auto" w:sz="4" w:space="0"/>
            </w:tcBorders>
          </w:tcPr>
          <w:p w14:paraId="636F4B11">
            <w:pPr>
              <w:spacing w:line="360" w:lineRule="auto"/>
              <w:jc w:val="left"/>
              <w:rPr>
                <w:rFonts w:ascii="仿宋" w:hAnsi="仿宋" w:eastAsia="仿宋"/>
                <w:b/>
                <w:szCs w:val="21"/>
              </w:rPr>
            </w:pPr>
            <w:r>
              <w:rPr>
                <w:rFonts w:ascii="仿宋" w:hAnsi="仿宋" w:eastAsia="仿宋"/>
                <w:szCs w:val="21"/>
              </w:rPr>
              <w:t>提供专业辅助设计、编辑、审校服务。拓展任务书应体现课后实践延伸和综合能力提升，包含临床案例分析、综合实训项目、社区实践任务等，与课堂教学内容紧密衔接。</w:t>
            </w:r>
          </w:p>
        </w:tc>
        <w:tc>
          <w:tcPr>
            <w:tcW w:w="992" w:type="dxa"/>
            <w:tcBorders>
              <w:top w:val="single" w:color="auto" w:sz="4" w:space="0"/>
              <w:left w:val="single" w:color="auto" w:sz="4" w:space="0"/>
              <w:bottom w:val="single" w:color="auto" w:sz="4" w:space="0"/>
              <w:right w:val="single" w:color="auto" w:sz="4" w:space="0"/>
            </w:tcBorders>
          </w:tcPr>
          <w:p w14:paraId="65AFC80C">
            <w:pPr>
              <w:spacing w:line="360" w:lineRule="auto"/>
              <w:jc w:val="center"/>
              <w:rPr>
                <w:rFonts w:ascii="仿宋" w:hAnsi="仿宋" w:eastAsia="仿宋"/>
                <w:b/>
                <w:szCs w:val="21"/>
              </w:rPr>
            </w:pPr>
            <w:r>
              <w:rPr>
                <w:rFonts w:ascii="仿宋" w:hAnsi="仿宋" w:eastAsia="仿宋"/>
                <w:szCs w:val="21"/>
              </w:rPr>
              <w:t>55</w:t>
            </w:r>
          </w:p>
        </w:tc>
      </w:tr>
      <w:tr w14:paraId="62707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851" w:type="dxa"/>
            <w:tcBorders>
              <w:top w:val="single" w:color="auto" w:sz="4" w:space="0"/>
              <w:left w:val="single" w:color="auto" w:sz="4" w:space="0"/>
              <w:bottom w:val="single" w:color="auto" w:sz="4" w:space="0"/>
              <w:right w:val="single" w:color="auto" w:sz="4" w:space="0"/>
            </w:tcBorders>
          </w:tcPr>
          <w:p w14:paraId="06A83D46">
            <w:pPr>
              <w:spacing w:line="360" w:lineRule="auto"/>
              <w:jc w:val="center"/>
              <w:rPr>
                <w:rFonts w:ascii="仿宋" w:hAnsi="仿宋" w:eastAsia="仿宋"/>
                <w:b/>
                <w:szCs w:val="21"/>
              </w:rPr>
            </w:pPr>
            <w:r>
              <w:rPr>
                <w:rFonts w:ascii="仿宋" w:hAnsi="仿宋" w:eastAsia="仿宋"/>
                <w:szCs w:val="21"/>
              </w:rPr>
              <w:t>5</w:t>
            </w:r>
          </w:p>
        </w:tc>
        <w:tc>
          <w:tcPr>
            <w:tcW w:w="1559" w:type="dxa"/>
            <w:tcBorders>
              <w:top w:val="single" w:color="auto" w:sz="4" w:space="0"/>
              <w:left w:val="single" w:color="auto" w:sz="4" w:space="0"/>
              <w:bottom w:val="single" w:color="auto" w:sz="4" w:space="0"/>
              <w:right w:val="single" w:color="auto" w:sz="4" w:space="0"/>
            </w:tcBorders>
          </w:tcPr>
          <w:p w14:paraId="5C52A611">
            <w:pPr>
              <w:spacing w:line="360" w:lineRule="auto"/>
              <w:jc w:val="left"/>
              <w:rPr>
                <w:rFonts w:ascii="仿宋" w:hAnsi="仿宋" w:eastAsia="仿宋"/>
                <w:b/>
                <w:szCs w:val="21"/>
              </w:rPr>
            </w:pPr>
            <w:r>
              <w:rPr>
                <w:rFonts w:ascii="仿宋" w:hAnsi="仿宋" w:eastAsia="仿宋"/>
                <w:szCs w:val="21"/>
              </w:rPr>
              <w:t>课件PPT优化</w:t>
            </w:r>
            <w:r>
              <w:rPr>
                <w:rFonts w:ascii="仿宋" w:hAnsi="仿宋" w:eastAsia="仿宋"/>
                <w:szCs w:val="21"/>
              </w:rPr>
              <w:br w:type="textWrapping"/>
            </w:r>
          </w:p>
        </w:tc>
        <w:tc>
          <w:tcPr>
            <w:tcW w:w="6237" w:type="dxa"/>
            <w:tcBorders>
              <w:top w:val="single" w:color="auto" w:sz="4" w:space="0"/>
              <w:left w:val="single" w:color="auto" w:sz="4" w:space="0"/>
              <w:bottom w:val="single" w:color="auto" w:sz="4" w:space="0"/>
              <w:right w:val="single" w:color="auto" w:sz="4" w:space="0"/>
            </w:tcBorders>
          </w:tcPr>
          <w:p w14:paraId="7F453BB0">
            <w:pPr>
              <w:spacing w:line="360" w:lineRule="auto"/>
              <w:jc w:val="left"/>
              <w:rPr>
                <w:rFonts w:ascii="仿宋" w:hAnsi="仿宋" w:eastAsia="仿宋"/>
                <w:b/>
                <w:szCs w:val="21"/>
              </w:rPr>
            </w:pPr>
            <w:r>
              <w:rPr>
                <w:rFonts w:ascii="仿宋" w:hAnsi="仿宋" w:eastAsia="仿宋"/>
                <w:szCs w:val="21"/>
              </w:rPr>
              <w:t>1.PPT逐页美化，用通用子库，图像、图形应清晰，图形要符合国家相关绘制标准；文中所用计量符号应符合国家相关标准。</w:t>
            </w:r>
            <w:r>
              <w:rPr>
                <w:rFonts w:ascii="仿宋" w:hAnsi="仿宋" w:eastAsia="仿宋"/>
                <w:szCs w:val="21"/>
              </w:rPr>
              <w:br w:type="textWrapping"/>
            </w:r>
            <w:r>
              <w:rPr>
                <w:rFonts w:ascii="仿宋" w:hAnsi="仿宋" w:eastAsia="仿宋"/>
                <w:szCs w:val="21"/>
              </w:rPr>
              <w:t>2.多个页面均有的相同元素，如背景、按钮、标题、页码等，可以使用幻灯片母版来实现，每讲15-20屏左右。</w:t>
            </w:r>
            <w:r>
              <w:rPr>
                <w:rFonts w:ascii="仿宋" w:hAnsi="仿宋" w:eastAsia="仿宋"/>
                <w:szCs w:val="21"/>
              </w:rPr>
              <w:br w:type="textWrapping"/>
            </w:r>
            <w:r>
              <w:rPr>
                <w:rFonts w:ascii="仿宋" w:hAnsi="仿宋" w:eastAsia="仿宋"/>
                <w:szCs w:val="21"/>
              </w:rPr>
              <w:t>3.使用Windows系统默认字体，不使用仿宋、细圆等过细字体；文字要醒目，避免使用与背景色相近的字体颜色；如有特殊字体，应转化为图形文件。</w:t>
            </w:r>
            <w:r>
              <w:rPr>
                <w:rFonts w:ascii="仿宋" w:hAnsi="仿宋" w:eastAsia="仿宋"/>
                <w:szCs w:val="21"/>
              </w:rPr>
              <w:br w:type="textWrapping"/>
            </w:r>
            <w:r>
              <w:rPr>
                <w:rFonts w:ascii="仿宋" w:hAnsi="仿宋" w:eastAsia="仿宋"/>
                <w:szCs w:val="21"/>
              </w:rPr>
              <w:t>4.恰当使用组合：某些插图中位置相对固定的文本框、数学公式以及图片等应采用组合方式，避免产生相对位移。</w:t>
            </w:r>
          </w:p>
        </w:tc>
        <w:tc>
          <w:tcPr>
            <w:tcW w:w="992" w:type="dxa"/>
            <w:tcBorders>
              <w:top w:val="single" w:color="auto" w:sz="4" w:space="0"/>
              <w:left w:val="single" w:color="auto" w:sz="4" w:space="0"/>
              <w:bottom w:val="single" w:color="auto" w:sz="4" w:space="0"/>
              <w:right w:val="single" w:color="auto" w:sz="4" w:space="0"/>
            </w:tcBorders>
          </w:tcPr>
          <w:p w14:paraId="10E562A9">
            <w:pPr>
              <w:spacing w:line="360" w:lineRule="auto"/>
              <w:jc w:val="center"/>
              <w:rPr>
                <w:rFonts w:ascii="仿宋" w:hAnsi="仿宋" w:eastAsia="仿宋"/>
                <w:b/>
                <w:szCs w:val="21"/>
              </w:rPr>
            </w:pPr>
            <w:r>
              <w:rPr>
                <w:rFonts w:ascii="仿宋" w:hAnsi="仿宋" w:eastAsia="仿宋"/>
                <w:szCs w:val="21"/>
              </w:rPr>
              <w:t>130</w:t>
            </w:r>
          </w:p>
        </w:tc>
      </w:tr>
      <w:tr w14:paraId="74BEE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851" w:type="dxa"/>
            <w:tcBorders>
              <w:top w:val="single" w:color="auto" w:sz="4" w:space="0"/>
              <w:left w:val="single" w:color="auto" w:sz="4" w:space="0"/>
              <w:bottom w:val="single" w:color="auto" w:sz="4" w:space="0"/>
              <w:right w:val="single" w:color="auto" w:sz="4" w:space="0"/>
            </w:tcBorders>
          </w:tcPr>
          <w:p w14:paraId="261E414C">
            <w:pPr>
              <w:spacing w:line="360" w:lineRule="auto"/>
              <w:jc w:val="center"/>
              <w:rPr>
                <w:rFonts w:ascii="仿宋" w:hAnsi="仿宋" w:eastAsia="仿宋"/>
                <w:b/>
                <w:szCs w:val="21"/>
              </w:rPr>
            </w:pPr>
            <w:r>
              <w:rPr>
                <w:rFonts w:ascii="仿宋" w:hAnsi="仿宋" w:eastAsia="仿宋"/>
                <w:szCs w:val="21"/>
              </w:rPr>
              <w:t>6</w:t>
            </w:r>
          </w:p>
        </w:tc>
        <w:tc>
          <w:tcPr>
            <w:tcW w:w="1559" w:type="dxa"/>
            <w:tcBorders>
              <w:top w:val="single" w:color="auto" w:sz="4" w:space="0"/>
              <w:left w:val="single" w:color="auto" w:sz="4" w:space="0"/>
              <w:bottom w:val="single" w:color="auto" w:sz="4" w:space="0"/>
              <w:right w:val="single" w:color="auto" w:sz="4" w:space="0"/>
            </w:tcBorders>
          </w:tcPr>
          <w:p w14:paraId="24C250BB">
            <w:pPr>
              <w:spacing w:line="360" w:lineRule="auto"/>
              <w:jc w:val="left"/>
              <w:rPr>
                <w:rFonts w:ascii="仿宋" w:hAnsi="仿宋" w:eastAsia="仿宋"/>
                <w:b/>
                <w:szCs w:val="21"/>
              </w:rPr>
            </w:pPr>
            <w:r>
              <w:rPr>
                <w:rFonts w:ascii="仿宋" w:hAnsi="仿宋" w:eastAsia="仿宋"/>
                <w:szCs w:val="21"/>
              </w:rPr>
              <w:t>情景视频</w:t>
            </w:r>
            <w:r>
              <w:rPr>
                <w:rFonts w:hint="eastAsia" w:ascii="仿宋" w:hAnsi="仿宋" w:eastAsia="仿宋"/>
                <w:szCs w:val="21"/>
              </w:rPr>
              <w:t>制作</w:t>
            </w:r>
            <w:r>
              <w:rPr>
                <w:rFonts w:ascii="仿宋" w:hAnsi="仿宋" w:eastAsia="仿宋"/>
                <w:szCs w:val="21"/>
              </w:rPr>
              <w:br w:type="textWrapping"/>
            </w:r>
          </w:p>
        </w:tc>
        <w:tc>
          <w:tcPr>
            <w:tcW w:w="6237" w:type="dxa"/>
            <w:tcBorders>
              <w:top w:val="single" w:color="auto" w:sz="4" w:space="0"/>
              <w:left w:val="single" w:color="auto" w:sz="4" w:space="0"/>
              <w:bottom w:val="single" w:color="auto" w:sz="4" w:space="0"/>
              <w:right w:val="single" w:color="auto" w:sz="4" w:space="0"/>
            </w:tcBorders>
          </w:tcPr>
          <w:p w14:paraId="2FDFA7A8">
            <w:pPr>
              <w:spacing w:line="360" w:lineRule="auto"/>
              <w:jc w:val="left"/>
              <w:rPr>
                <w:rFonts w:ascii="仿宋" w:hAnsi="仿宋" w:eastAsia="仿宋"/>
                <w:b/>
                <w:szCs w:val="21"/>
              </w:rPr>
            </w:pPr>
            <w:r>
              <w:rPr>
                <w:rFonts w:ascii="仿宋" w:hAnsi="仿宋" w:eastAsia="仿宋"/>
                <w:szCs w:val="21"/>
              </w:rPr>
              <w:t>1.线下课堂情景教学、实训演示、案例讲解场景，时长根据具体的实训任务或实操场景需要，控制在10分钟左右，可直接嵌入线下课堂授课环节，用于课前导入、课中演示、实训示范、案例剖析。</w:t>
            </w:r>
            <w:r>
              <w:rPr>
                <w:rFonts w:ascii="仿宋" w:hAnsi="仿宋" w:eastAsia="仿宋"/>
                <w:szCs w:val="21"/>
              </w:rPr>
              <w:br w:type="textWrapping"/>
            </w:r>
            <w:r>
              <w:rPr>
                <w:rFonts w:ascii="仿宋" w:hAnsi="仿宋" w:eastAsia="仿宋"/>
                <w:szCs w:val="21"/>
              </w:rPr>
              <w:t>2.内容符合国家法律法规与行业规范，无版权、肖像权争议。</w:t>
            </w:r>
            <w:r>
              <w:rPr>
                <w:rFonts w:ascii="仿宋" w:hAnsi="仿宋" w:eastAsia="仿宋"/>
                <w:szCs w:val="21"/>
              </w:rPr>
              <w:br w:type="textWrapping"/>
            </w:r>
            <w:r>
              <w:rPr>
                <w:rFonts w:ascii="仿宋" w:hAnsi="仿宋" w:eastAsia="仿宋"/>
                <w:szCs w:val="21"/>
              </w:rPr>
              <w:t>3.字幕采用国家标准规范汉字，无错字、异体字，字幕大小、配色、停留时长适配线下课堂大屏观看。</w:t>
            </w:r>
            <w:r>
              <w:rPr>
                <w:rFonts w:ascii="仿宋" w:hAnsi="仿宋" w:eastAsia="仿宋"/>
                <w:szCs w:val="21"/>
              </w:rPr>
              <w:br w:type="textWrapping"/>
            </w:r>
            <w:r>
              <w:rPr>
                <w:rFonts w:ascii="仿宋" w:hAnsi="仿宋" w:eastAsia="仿宋"/>
                <w:szCs w:val="21"/>
              </w:rPr>
              <w:t>4.画面清晰、音画同步、播放流畅，无噪点卡顿。</w:t>
            </w:r>
            <w:r>
              <w:rPr>
                <w:rFonts w:ascii="仿宋" w:hAnsi="仿宋" w:eastAsia="仿宋"/>
                <w:szCs w:val="21"/>
              </w:rPr>
              <w:br w:type="textWrapping"/>
            </w:r>
            <w:r>
              <w:rPr>
                <w:rFonts w:ascii="仿宋" w:hAnsi="仿宋" w:eastAsia="仿宋"/>
                <w:szCs w:val="21"/>
              </w:rPr>
              <w:t>5.每帧图像颜色数不低于256色或灰度级不低于128级，码率3M以上，帧率不低于25 fps，分辨率不低于1280×720（16:9）。</w:t>
            </w:r>
            <w:r>
              <w:rPr>
                <w:rFonts w:ascii="仿宋" w:hAnsi="仿宋" w:eastAsia="仿宋"/>
                <w:szCs w:val="21"/>
              </w:rPr>
              <w:br w:type="textWrapping"/>
            </w:r>
            <w:r>
              <w:rPr>
                <w:rFonts w:ascii="仿宋" w:hAnsi="仿宋" w:eastAsia="仿宋"/>
                <w:szCs w:val="21"/>
              </w:rPr>
              <w:t>6.情景视频应突出线下实训教学特色，包含操作规范演示、临床情境模拟、工作流程展示。</w:t>
            </w:r>
          </w:p>
        </w:tc>
        <w:tc>
          <w:tcPr>
            <w:tcW w:w="992" w:type="dxa"/>
            <w:tcBorders>
              <w:top w:val="single" w:color="auto" w:sz="4" w:space="0"/>
              <w:left w:val="single" w:color="auto" w:sz="4" w:space="0"/>
              <w:bottom w:val="single" w:color="auto" w:sz="4" w:space="0"/>
              <w:right w:val="single" w:color="auto" w:sz="4" w:space="0"/>
            </w:tcBorders>
          </w:tcPr>
          <w:p w14:paraId="6ABC98B9">
            <w:pPr>
              <w:spacing w:line="360" w:lineRule="auto"/>
              <w:jc w:val="center"/>
              <w:rPr>
                <w:rFonts w:ascii="仿宋" w:hAnsi="仿宋" w:eastAsia="仿宋"/>
                <w:b/>
                <w:szCs w:val="21"/>
              </w:rPr>
            </w:pPr>
            <w:r>
              <w:rPr>
                <w:rFonts w:ascii="仿宋" w:hAnsi="仿宋" w:eastAsia="仿宋"/>
                <w:szCs w:val="21"/>
              </w:rPr>
              <w:t>120</w:t>
            </w:r>
          </w:p>
        </w:tc>
      </w:tr>
      <w:tr w14:paraId="1E9D0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851" w:type="dxa"/>
            <w:tcBorders>
              <w:top w:val="single" w:color="auto" w:sz="4" w:space="0"/>
              <w:left w:val="single" w:color="auto" w:sz="4" w:space="0"/>
              <w:bottom w:val="single" w:color="auto" w:sz="4" w:space="0"/>
              <w:right w:val="single" w:color="auto" w:sz="4" w:space="0"/>
            </w:tcBorders>
          </w:tcPr>
          <w:p w14:paraId="0974AD0A">
            <w:pPr>
              <w:spacing w:line="360" w:lineRule="auto"/>
              <w:jc w:val="center"/>
              <w:rPr>
                <w:rFonts w:ascii="仿宋" w:hAnsi="仿宋" w:eastAsia="仿宋"/>
                <w:b/>
                <w:szCs w:val="21"/>
              </w:rPr>
            </w:pPr>
            <w:r>
              <w:rPr>
                <w:rFonts w:ascii="仿宋" w:hAnsi="仿宋" w:eastAsia="仿宋"/>
                <w:szCs w:val="21"/>
              </w:rPr>
              <w:t>7</w:t>
            </w:r>
          </w:p>
        </w:tc>
        <w:tc>
          <w:tcPr>
            <w:tcW w:w="1559" w:type="dxa"/>
            <w:tcBorders>
              <w:top w:val="single" w:color="auto" w:sz="4" w:space="0"/>
              <w:left w:val="single" w:color="auto" w:sz="4" w:space="0"/>
              <w:bottom w:val="single" w:color="auto" w:sz="4" w:space="0"/>
              <w:right w:val="single" w:color="auto" w:sz="4" w:space="0"/>
            </w:tcBorders>
          </w:tcPr>
          <w:p w14:paraId="13ABB8E1">
            <w:pPr>
              <w:spacing w:line="360" w:lineRule="auto"/>
              <w:jc w:val="left"/>
              <w:rPr>
                <w:rFonts w:ascii="仿宋" w:hAnsi="仿宋" w:eastAsia="仿宋"/>
                <w:b/>
                <w:szCs w:val="21"/>
              </w:rPr>
            </w:pPr>
            <w:r>
              <w:rPr>
                <w:rFonts w:ascii="仿宋" w:hAnsi="仿宋" w:eastAsia="仿宋"/>
                <w:szCs w:val="21"/>
              </w:rPr>
              <w:t>三维动画视频</w:t>
            </w:r>
            <w:r>
              <w:rPr>
                <w:rFonts w:hint="eastAsia" w:ascii="仿宋" w:hAnsi="仿宋" w:eastAsia="仿宋"/>
                <w:szCs w:val="21"/>
              </w:rPr>
              <w:t>制作</w:t>
            </w:r>
            <w:r>
              <w:rPr>
                <w:rFonts w:ascii="仿宋" w:hAnsi="仿宋" w:eastAsia="仿宋"/>
                <w:szCs w:val="21"/>
              </w:rPr>
              <w:br w:type="textWrapping"/>
            </w:r>
          </w:p>
        </w:tc>
        <w:tc>
          <w:tcPr>
            <w:tcW w:w="6237" w:type="dxa"/>
            <w:tcBorders>
              <w:top w:val="single" w:color="auto" w:sz="4" w:space="0"/>
              <w:left w:val="single" w:color="auto" w:sz="4" w:space="0"/>
              <w:bottom w:val="single" w:color="auto" w:sz="4" w:space="0"/>
              <w:right w:val="single" w:color="auto" w:sz="4" w:space="0"/>
            </w:tcBorders>
          </w:tcPr>
          <w:p w14:paraId="66743FA4">
            <w:pPr>
              <w:spacing w:line="360" w:lineRule="auto"/>
              <w:jc w:val="left"/>
              <w:rPr>
                <w:rFonts w:ascii="仿宋" w:hAnsi="仿宋" w:eastAsia="仿宋"/>
                <w:b/>
                <w:szCs w:val="21"/>
              </w:rPr>
            </w:pPr>
            <w:r>
              <w:rPr>
                <w:rFonts w:ascii="仿宋" w:hAnsi="仿宋" w:eastAsia="仿宋"/>
                <w:szCs w:val="21"/>
              </w:rPr>
              <w:t>1.适配线下课堂重难点可视化演示、复杂实操原理讲解场景，单条时长约20秒，用于线下课堂快速拆解卫生类专业复杂操作、人体结构、设备原理、实训流程等重难点内容。</w:t>
            </w:r>
            <w:r>
              <w:rPr>
                <w:rFonts w:ascii="仿宋" w:hAnsi="仿宋" w:eastAsia="仿宋"/>
                <w:szCs w:val="21"/>
              </w:rPr>
              <w:br w:type="textWrapping"/>
            </w:r>
            <w:r>
              <w:rPr>
                <w:rFonts w:ascii="仿宋" w:hAnsi="仿宋" w:eastAsia="仿宋"/>
                <w:szCs w:val="21"/>
              </w:rPr>
              <w:t>2.画面简洁清晰、色彩和谐、专业适配卫生类教学场景，界面友好。</w:t>
            </w:r>
            <w:r>
              <w:rPr>
                <w:rFonts w:ascii="仿宋" w:hAnsi="仿宋" w:eastAsia="仿宋"/>
                <w:szCs w:val="21"/>
              </w:rPr>
              <w:br w:type="textWrapping"/>
            </w:r>
            <w:r>
              <w:rPr>
                <w:rFonts w:ascii="仿宋" w:hAnsi="仿宋" w:eastAsia="仿宋"/>
                <w:szCs w:val="21"/>
              </w:rPr>
              <w:t>3.文字醒目、配色合理，配音标准清晰、无噪音，语速适配课堂讲解节奏。</w:t>
            </w:r>
            <w:r>
              <w:rPr>
                <w:rFonts w:ascii="仿宋" w:hAnsi="仿宋" w:eastAsia="仿宋"/>
                <w:szCs w:val="21"/>
              </w:rPr>
              <w:br w:type="textWrapping"/>
            </w:r>
            <w:r>
              <w:rPr>
                <w:rFonts w:ascii="仿宋" w:hAnsi="仿宋" w:eastAsia="仿宋"/>
                <w:szCs w:val="21"/>
              </w:rPr>
              <w:t>4.三维动画色彩造型应和谐，画面简洁、清晰、界面友好。如果为交互动画，交互设计合理，操作简单；动画连续，节奏合理，帧和帧之间的关联性要强；动画演播过程要流畅，静止画面时间不超过5秒钟，适配线下课堂穿插演示、快速解惑教学需求。</w:t>
            </w:r>
            <w:r>
              <w:rPr>
                <w:rFonts w:ascii="仿宋" w:hAnsi="仿宋" w:eastAsia="仿宋"/>
                <w:szCs w:val="21"/>
              </w:rPr>
              <w:br w:type="textWrapping"/>
            </w:r>
            <w:r>
              <w:rPr>
                <w:rFonts w:ascii="仿宋" w:hAnsi="仿宋" w:eastAsia="仿宋"/>
                <w:szCs w:val="21"/>
              </w:rPr>
              <w:t>5.采用mp4存储格式，分辨率不低于1280×720。</w:t>
            </w:r>
          </w:p>
        </w:tc>
        <w:tc>
          <w:tcPr>
            <w:tcW w:w="992" w:type="dxa"/>
            <w:tcBorders>
              <w:top w:val="single" w:color="auto" w:sz="4" w:space="0"/>
              <w:left w:val="single" w:color="auto" w:sz="4" w:space="0"/>
              <w:bottom w:val="single" w:color="auto" w:sz="4" w:space="0"/>
              <w:right w:val="single" w:color="auto" w:sz="4" w:space="0"/>
            </w:tcBorders>
          </w:tcPr>
          <w:p w14:paraId="27D4079B">
            <w:pPr>
              <w:spacing w:line="360" w:lineRule="auto"/>
              <w:jc w:val="center"/>
              <w:rPr>
                <w:rFonts w:ascii="仿宋" w:hAnsi="仿宋" w:eastAsia="仿宋"/>
                <w:b/>
                <w:szCs w:val="21"/>
              </w:rPr>
            </w:pPr>
            <w:r>
              <w:rPr>
                <w:rFonts w:ascii="仿宋" w:hAnsi="仿宋" w:eastAsia="仿宋"/>
                <w:szCs w:val="21"/>
              </w:rPr>
              <w:t>7</w:t>
            </w:r>
          </w:p>
        </w:tc>
      </w:tr>
      <w:tr w14:paraId="7B484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851" w:type="dxa"/>
            <w:tcBorders>
              <w:top w:val="single" w:color="auto" w:sz="4" w:space="0"/>
              <w:left w:val="single" w:color="auto" w:sz="4" w:space="0"/>
              <w:bottom w:val="single" w:color="auto" w:sz="4" w:space="0"/>
              <w:right w:val="single" w:color="auto" w:sz="4" w:space="0"/>
            </w:tcBorders>
          </w:tcPr>
          <w:p w14:paraId="3E077FA6">
            <w:pPr>
              <w:spacing w:line="360" w:lineRule="auto"/>
              <w:jc w:val="center"/>
              <w:rPr>
                <w:rFonts w:ascii="仿宋" w:hAnsi="仿宋" w:eastAsia="仿宋"/>
                <w:b/>
                <w:szCs w:val="21"/>
              </w:rPr>
            </w:pPr>
            <w:r>
              <w:rPr>
                <w:rFonts w:ascii="仿宋" w:hAnsi="仿宋" w:eastAsia="仿宋"/>
                <w:szCs w:val="21"/>
              </w:rPr>
              <w:t>8</w:t>
            </w:r>
          </w:p>
        </w:tc>
        <w:tc>
          <w:tcPr>
            <w:tcW w:w="1559" w:type="dxa"/>
            <w:tcBorders>
              <w:top w:val="single" w:color="auto" w:sz="4" w:space="0"/>
              <w:left w:val="single" w:color="auto" w:sz="4" w:space="0"/>
              <w:bottom w:val="single" w:color="auto" w:sz="4" w:space="0"/>
              <w:right w:val="single" w:color="auto" w:sz="4" w:space="0"/>
            </w:tcBorders>
          </w:tcPr>
          <w:p w14:paraId="154B3CD2">
            <w:pPr>
              <w:spacing w:line="360" w:lineRule="auto"/>
              <w:jc w:val="left"/>
              <w:rPr>
                <w:rFonts w:ascii="仿宋" w:hAnsi="仿宋" w:eastAsia="仿宋"/>
                <w:b/>
                <w:szCs w:val="21"/>
              </w:rPr>
            </w:pPr>
            <w:r>
              <w:rPr>
                <w:rFonts w:ascii="仿宋" w:hAnsi="仿宋" w:eastAsia="仿宋"/>
                <w:szCs w:val="21"/>
              </w:rPr>
              <w:t>二维动画视频</w:t>
            </w:r>
            <w:r>
              <w:rPr>
                <w:rFonts w:hint="eastAsia" w:ascii="仿宋" w:hAnsi="仿宋" w:eastAsia="仿宋"/>
                <w:szCs w:val="21"/>
              </w:rPr>
              <w:t>制作</w:t>
            </w:r>
            <w:r>
              <w:rPr>
                <w:rFonts w:ascii="仿宋" w:hAnsi="仿宋" w:eastAsia="仿宋"/>
                <w:szCs w:val="21"/>
              </w:rPr>
              <w:br w:type="textWrapping"/>
            </w:r>
          </w:p>
        </w:tc>
        <w:tc>
          <w:tcPr>
            <w:tcW w:w="6237" w:type="dxa"/>
            <w:tcBorders>
              <w:top w:val="single" w:color="auto" w:sz="4" w:space="0"/>
              <w:left w:val="single" w:color="auto" w:sz="4" w:space="0"/>
              <w:bottom w:val="single" w:color="auto" w:sz="4" w:space="0"/>
              <w:right w:val="single" w:color="auto" w:sz="4" w:space="0"/>
            </w:tcBorders>
          </w:tcPr>
          <w:p w14:paraId="5C23ECD7">
            <w:pPr>
              <w:spacing w:line="360" w:lineRule="auto"/>
              <w:jc w:val="left"/>
              <w:rPr>
                <w:rFonts w:ascii="仿宋" w:hAnsi="仿宋" w:eastAsia="仿宋"/>
                <w:b/>
                <w:szCs w:val="21"/>
              </w:rPr>
            </w:pPr>
            <w:r>
              <w:rPr>
                <w:rFonts w:ascii="仿宋" w:hAnsi="仿宋" w:eastAsia="仿宋"/>
                <w:szCs w:val="21"/>
              </w:rPr>
              <w:t>1.适配线下课堂碎片化教学、知识点复盘、实训流程梳理场景，服务线下课堂知识点通俗化讲解，针对医学流程、操作规范制作演示动画，单条时长约30秒。</w:t>
            </w:r>
            <w:r>
              <w:rPr>
                <w:rFonts w:ascii="仿宋" w:hAnsi="仿宋" w:eastAsia="仿宋"/>
                <w:szCs w:val="21"/>
              </w:rPr>
              <w:br w:type="textWrapping"/>
            </w:r>
            <w:r>
              <w:rPr>
                <w:rFonts w:ascii="仿宋" w:hAnsi="仿宋" w:eastAsia="仿宋"/>
                <w:szCs w:val="21"/>
              </w:rPr>
              <w:t>2.动画画面规范整洁、色彩协调，贴合卫生类职教教学风格。</w:t>
            </w:r>
            <w:r>
              <w:rPr>
                <w:rFonts w:ascii="仿宋" w:hAnsi="仿宋" w:eastAsia="仿宋"/>
                <w:szCs w:val="21"/>
              </w:rPr>
              <w:br w:type="textWrapping"/>
            </w:r>
            <w:r>
              <w:rPr>
                <w:rFonts w:ascii="仿宋" w:hAnsi="仿宋" w:eastAsia="仿宋"/>
                <w:szCs w:val="21"/>
              </w:rPr>
              <w:t>3.文字醒目、配音标准规范，无杂音、无错漏信息，适配课堂集体观看学习。</w:t>
            </w:r>
            <w:r>
              <w:rPr>
                <w:rFonts w:ascii="仿宋" w:hAnsi="仿宋" w:eastAsia="仿宋"/>
                <w:szCs w:val="21"/>
              </w:rPr>
              <w:br w:type="textWrapping"/>
            </w:r>
            <w:r>
              <w:rPr>
                <w:rFonts w:ascii="仿宋" w:hAnsi="仿宋" w:eastAsia="仿宋"/>
                <w:szCs w:val="21"/>
              </w:rPr>
              <w:t>4.动画色彩造型和谐，画面简洁清晰，适配大屏幕投影；动画连续，节奏合理，帧间关联性强，演播流畅，静止画面时间不超过5秒钟，适配线下课堂教学节奏。</w:t>
            </w:r>
            <w:r>
              <w:rPr>
                <w:rFonts w:ascii="仿宋" w:hAnsi="仿宋" w:eastAsia="仿宋"/>
                <w:szCs w:val="21"/>
              </w:rPr>
              <w:br w:type="textWrapping"/>
            </w:r>
            <w:r>
              <w:rPr>
                <w:rFonts w:ascii="仿宋" w:hAnsi="仿宋" w:eastAsia="仿宋"/>
                <w:szCs w:val="21"/>
              </w:rPr>
              <w:t>5.采用mp4存储格式，分辨率不低于1280×720。</w:t>
            </w:r>
          </w:p>
        </w:tc>
        <w:tc>
          <w:tcPr>
            <w:tcW w:w="992" w:type="dxa"/>
            <w:tcBorders>
              <w:top w:val="single" w:color="auto" w:sz="4" w:space="0"/>
              <w:left w:val="single" w:color="auto" w:sz="4" w:space="0"/>
              <w:bottom w:val="single" w:color="auto" w:sz="4" w:space="0"/>
              <w:right w:val="single" w:color="auto" w:sz="4" w:space="0"/>
            </w:tcBorders>
          </w:tcPr>
          <w:p w14:paraId="4FD252FF">
            <w:pPr>
              <w:spacing w:line="360" w:lineRule="auto"/>
              <w:jc w:val="center"/>
              <w:rPr>
                <w:rFonts w:ascii="仿宋" w:hAnsi="仿宋" w:eastAsia="仿宋"/>
                <w:b/>
                <w:szCs w:val="21"/>
              </w:rPr>
            </w:pPr>
            <w:r>
              <w:rPr>
                <w:rFonts w:ascii="仿宋" w:hAnsi="仿宋" w:eastAsia="仿宋"/>
                <w:szCs w:val="21"/>
              </w:rPr>
              <w:t>7</w:t>
            </w:r>
          </w:p>
          <w:bookmarkEnd w:id="0"/>
        </w:tc>
      </w:tr>
      <w:bookmarkEnd w:id="1"/>
    </w:tbl>
    <w:p w14:paraId="2126A7BC">
      <w:pPr>
        <w:pStyle w:val="7"/>
        <w:widowControl/>
        <w:spacing w:line="360" w:lineRule="auto"/>
        <w:ind w:firstLine="480" w:firstLineChars="200"/>
        <w:textAlignment w:val="baseline"/>
        <w:outlineLvl w:val="2"/>
        <w:rPr>
          <w:rFonts w:hint="default"/>
        </w:rPr>
      </w:pPr>
      <w:r>
        <w:rPr>
          <w:rFonts w:ascii="仿宋" w:hAnsi="仿宋" w:eastAsia="仿宋" w:cs="仿宋"/>
        </w:rPr>
        <w:t xml:space="preserve">   </w:t>
      </w:r>
    </w:p>
    <w:p w14:paraId="2F6C6D1A">
      <w:pPr>
        <w:spacing w:line="360" w:lineRule="auto"/>
        <w:ind w:firstLine="480"/>
        <w:rPr>
          <w:rFonts w:ascii="仿宋" w:hAnsi="仿宋" w:eastAsia="仿宋"/>
          <w:b/>
          <w:sz w:val="24"/>
        </w:rPr>
      </w:pPr>
      <w:r>
        <w:rPr>
          <w:rFonts w:ascii="仿宋" w:hAnsi="仿宋" w:eastAsia="仿宋" w:cs="Arial"/>
          <w:b/>
          <w:sz w:val="24"/>
        </w:rPr>
        <w:t>2.2</w:t>
      </w:r>
      <w:r>
        <w:rPr>
          <w:rFonts w:ascii="仿宋" w:hAnsi="仿宋" w:eastAsia="仿宋"/>
          <w:b/>
          <w:sz w:val="24"/>
        </w:rPr>
        <w:t>采购标的需满足的服务标准、期限、效率等要求</w:t>
      </w:r>
    </w:p>
    <w:p w14:paraId="296C0842">
      <w:pPr>
        <w:spacing w:line="360" w:lineRule="auto"/>
        <w:ind w:firstLine="480" w:firstLineChars="200"/>
        <w:rPr>
          <w:rFonts w:ascii="仿宋" w:hAnsi="仿宋" w:eastAsia="仿宋" w:cs="仿宋"/>
          <w:lang w:bidi="ar"/>
        </w:rPr>
      </w:pPr>
      <w:r>
        <w:rPr>
          <w:rFonts w:hint="eastAsia" w:ascii="仿宋" w:hAnsi="仿宋" w:eastAsia="仿宋"/>
          <w:sz w:val="24"/>
          <w:lang w:val="zh-TW" w:eastAsia="zh-TW"/>
        </w:rPr>
        <w:t>服务期限：</w:t>
      </w:r>
      <w:r>
        <w:rPr>
          <w:rFonts w:hint="eastAsia" w:ascii="仿宋" w:hAnsi="仿宋" w:eastAsia="仿宋"/>
          <w:sz w:val="24"/>
        </w:rPr>
        <w:t>合同签订后的180日内完成全部课程资源开发及成品的交付工作。中标人在拍摄和制作过程中须按照采购人要求交付视频小样或成品。经初审、复审后，中标人交付的最终成品经采购人组织专家审核通过后方可完成交付。课程成品不符合质量要求，没有通过专家审核的，须于收到反馈意见后10日内完成修改，并最终通过采购人的审核。</w:t>
      </w:r>
    </w:p>
    <w:p w14:paraId="7AECA88D">
      <w:pPr>
        <w:spacing w:line="360" w:lineRule="auto"/>
        <w:ind w:firstLine="480"/>
        <w:rPr>
          <w:rFonts w:ascii="仿宋" w:hAnsi="仿宋" w:eastAsia="仿宋" w:cs="等线"/>
          <w:bCs/>
          <w:sz w:val="24"/>
        </w:rPr>
      </w:pPr>
    </w:p>
    <w:p w14:paraId="03F151F2">
      <w:pPr>
        <w:pStyle w:val="2"/>
        <w:spacing w:line="360" w:lineRule="auto"/>
        <w:rPr>
          <w:lang w:val="zh-TW" w:eastAsia="zh-TW"/>
        </w:rPr>
      </w:pPr>
    </w:p>
    <w:p w14:paraId="6E35CDC4">
      <w:pPr>
        <w:spacing w:line="360" w:lineRule="auto"/>
        <w:ind w:firstLine="480"/>
        <w:rPr>
          <w:rFonts w:ascii="仿宋" w:hAnsi="仿宋" w:eastAsia="仿宋"/>
          <w:b/>
          <w:sz w:val="24"/>
        </w:rPr>
      </w:pPr>
      <w:r>
        <w:rPr>
          <w:rFonts w:ascii="仿宋" w:hAnsi="仿宋" w:eastAsia="仿宋" w:cs="Arial"/>
          <w:b/>
          <w:sz w:val="24"/>
        </w:rPr>
        <w:t>2.3</w:t>
      </w:r>
      <w:r>
        <w:rPr>
          <w:rFonts w:ascii="仿宋" w:hAnsi="仿宋" w:eastAsia="仿宋"/>
          <w:b/>
          <w:sz w:val="24"/>
        </w:rPr>
        <w:t>为落实政府采购政策需满足的要求</w:t>
      </w:r>
    </w:p>
    <w:p w14:paraId="1184A597">
      <w:pPr>
        <w:spacing w:line="360" w:lineRule="auto"/>
        <w:ind w:firstLine="480"/>
        <w:rPr>
          <w:rFonts w:ascii="仿宋" w:hAnsi="仿宋" w:eastAsia="仿宋" w:cs="宋体"/>
          <w:sz w:val="24"/>
        </w:rPr>
      </w:pPr>
      <w:r>
        <w:rPr>
          <w:rFonts w:hint="eastAsia" w:ascii="仿宋" w:hAnsi="仿宋" w:eastAsia="仿宋" w:cs="宋体"/>
          <w:sz w:val="24"/>
        </w:rPr>
        <w:t>（1）促进中小企业发展政策：根据《政府采购促进中小企业发展管理办法》规定，本项目采购服务由小型或微型企业承接的，投标人应出具招标文件要求的《中小企业声明函》给予证明，否则评标时不予认可。投标人应对提交的中小企业声明函的真实性负责，提交的中小企业声明函不真实的，应承担相应的法律责任（注：依据《政府采购促进中小企业发展管理办法》规定享受扶持政策获得政府采购合同的小微企业不得将合同分包给大中型企业，中型企业不得将合同分包给大型企业）。</w:t>
      </w:r>
    </w:p>
    <w:p w14:paraId="7C521BA8">
      <w:pPr>
        <w:spacing w:line="360" w:lineRule="auto"/>
        <w:ind w:firstLine="480"/>
        <w:rPr>
          <w:rFonts w:ascii="仿宋" w:hAnsi="仿宋" w:eastAsia="仿宋" w:cs="宋体"/>
          <w:sz w:val="24"/>
        </w:rPr>
      </w:pPr>
      <w:r>
        <w:rPr>
          <w:rFonts w:hint="eastAsia" w:ascii="仿宋" w:hAnsi="仿宋" w:eastAsia="仿宋" w:cs="宋体"/>
          <w:sz w:val="24"/>
        </w:rPr>
        <w:t>（2）监狱企业扶持政策：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14:paraId="02672447">
      <w:pPr>
        <w:spacing w:line="360" w:lineRule="auto"/>
        <w:ind w:firstLine="480"/>
        <w:rPr>
          <w:rFonts w:ascii="仿宋" w:hAnsi="仿宋" w:eastAsia="仿宋" w:cs="宋体"/>
          <w:sz w:val="24"/>
        </w:rPr>
      </w:pPr>
      <w:r>
        <w:rPr>
          <w:rFonts w:hint="eastAsia" w:ascii="仿宋" w:hAnsi="仿宋" w:eastAsia="仿宋" w:cs="宋体"/>
          <w:sz w:val="24"/>
        </w:rPr>
        <w:t>（3）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14:paraId="36516B35">
      <w:pPr>
        <w:spacing w:line="360" w:lineRule="auto"/>
        <w:ind w:firstLine="480"/>
        <w:rPr>
          <w:rFonts w:ascii="仿宋" w:hAnsi="仿宋" w:eastAsia="仿宋" w:cs="宋体"/>
          <w:sz w:val="24"/>
        </w:rPr>
      </w:pPr>
      <w:r>
        <w:rPr>
          <w:rFonts w:hint="eastAsia" w:ascii="仿宋" w:hAnsi="仿宋" w:eastAsia="仿宋" w:cs="宋体"/>
          <w:sz w:val="24"/>
        </w:rPr>
        <w:t>（4）鼓励节能政策：投标人的投标产品属于财政部、发展改革委公布的“节能产品政府采购品目清单”范围的，投标人需提供国家确定的认证机构出具的、处于有效期之内的节能产品认证证书。国家确定的认证机构和节能产品获证产品信息可从市场监管总局组建的节能产品、环境标志产品认证结果信息发布平台或中国政府采购网（www.ccgp.gov.cn）建立的认证结果信息发布平台链接中查询下载。</w:t>
      </w:r>
    </w:p>
    <w:p w14:paraId="53536E99">
      <w:pPr>
        <w:pStyle w:val="2"/>
        <w:spacing w:line="360" w:lineRule="auto"/>
        <w:ind w:firstLine="480"/>
        <w:rPr>
          <w:rFonts w:ascii="仿宋" w:hAnsi="仿宋" w:eastAsia="仿宋"/>
        </w:rPr>
      </w:pPr>
      <w:r>
        <w:rPr>
          <w:rFonts w:hint="eastAsia" w:ascii="仿宋" w:hAnsi="仿宋" w:eastAsia="仿宋" w:cs="宋体"/>
        </w:rPr>
        <w:t>（5）鼓励环保政策：投标人的投标产品属于财政部、生态环境部公布的“环境标志产品政府采购品目清单”范围的，投标人需提供国家确定的认证机构出具的、处于有效期之内的环境标志产品认证证书。国家确定的认证机构和环境标志产品获证产品信息可从市场监管总局组建的节能产品、环境标志产品认证结果信息发布平台或中国政府采购网（www.ccgp.gov.cn）建立的认证结果信息发布平台链接中查询下载。</w:t>
      </w:r>
    </w:p>
    <w:p w14:paraId="686BB3A4">
      <w:pPr>
        <w:pStyle w:val="2"/>
        <w:spacing w:line="360" w:lineRule="auto"/>
        <w:ind w:firstLine="480"/>
        <w:rPr>
          <w:rFonts w:ascii="仿宋" w:hAnsi="仿宋" w:eastAsia="仿宋"/>
        </w:rPr>
      </w:pPr>
      <w:r>
        <w:rPr>
          <w:rFonts w:hint="eastAsia" w:ascii="仿宋" w:hAnsi="仿宋" w:eastAsia="仿宋"/>
        </w:rPr>
        <w:t>（6）实施本国产品标准及相关政策：依据《国务院办公厅关于在政府采购中实施本国产品标准及相关政策的通知》（国办发〔2025〕34号）规定，本项目供应商所投产品在中国境内生产，即在中华人民共和国关境内实现从原材料、组件到产品的属性改变。且在中国境内生产的组件成本占比应当达到规定比例，依法对本国产品给予价格评审优惠，对本国产品的报价给予20%的价格扣除，用扣除后的价格参与评审。投标人应出具招标文件要求的证明材料给予证明，否则评标时不予认可。投标人应对提交的证明材料真实性负责，提交证明材料不真实的，应承担相应的法律责任。</w:t>
      </w:r>
    </w:p>
    <w:p w14:paraId="4863BC85">
      <w:pPr>
        <w:spacing w:line="360" w:lineRule="auto"/>
        <w:ind w:firstLine="480"/>
        <w:rPr>
          <w:rFonts w:ascii="仿宋" w:hAnsi="仿宋" w:eastAsia="仿宋"/>
          <w:b/>
          <w:sz w:val="24"/>
        </w:rPr>
      </w:pPr>
      <w:r>
        <w:rPr>
          <w:rFonts w:ascii="仿宋" w:hAnsi="仿宋" w:eastAsia="仿宋" w:cs="Arial"/>
          <w:b/>
          <w:sz w:val="24"/>
        </w:rPr>
        <w:t>2.4</w:t>
      </w:r>
      <w:r>
        <w:rPr>
          <w:rFonts w:ascii="仿宋" w:hAnsi="仿宋" w:eastAsia="仿宋"/>
          <w:b/>
          <w:sz w:val="24"/>
        </w:rPr>
        <w:t>采购标的其他技术、服务等要求</w:t>
      </w:r>
    </w:p>
    <w:p w14:paraId="396B505C">
      <w:pPr>
        <w:widowControl/>
        <w:spacing w:line="360" w:lineRule="auto"/>
        <w:ind w:firstLine="482" w:firstLineChars="200"/>
        <w:textAlignment w:val="baseline"/>
        <w:outlineLvl w:val="1"/>
        <w:rPr>
          <w:rFonts w:ascii="仿宋" w:hAnsi="仿宋" w:eastAsia="仿宋" w:cs="仿宋"/>
          <w:b/>
          <w:sz w:val="24"/>
        </w:rPr>
      </w:pPr>
      <w:r>
        <w:rPr>
          <w:rFonts w:hint="eastAsia" w:ascii="仿宋" w:hAnsi="仿宋" w:eastAsia="仿宋" w:cs="仿宋"/>
          <w:b/>
          <w:sz w:val="24"/>
        </w:rPr>
        <w:t>一、项目实施及保障措施要求</w:t>
      </w:r>
    </w:p>
    <w:p w14:paraId="5429B2E6">
      <w:pPr>
        <w:pStyle w:val="7"/>
        <w:widowControl/>
        <w:spacing w:line="360" w:lineRule="auto"/>
        <w:ind w:firstLine="482" w:firstLineChars="200"/>
        <w:textAlignment w:val="baseline"/>
        <w:outlineLvl w:val="2"/>
        <w:rPr>
          <w:rFonts w:hint="default" w:ascii="仿宋" w:hAnsi="仿宋" w:eastAsia="仿宋" w:cs="仿宋_GB2312"/>
        </w:rPr>
      </w:pPr>
      <w:r>
        <w:rPr>
          <w:rFonts w:ascii="仿宋" w:hAnsi="仿宋" w:eastAsia="仿宋" w:cs="仿宋_GB2312"/>
          <w:b/>
          <w:bCs/>
        </w:rPr>
        <w:t>（一）课程运行支持和人员培训</w:t>
      </w:r>
    </w:p>
    <w:p w14:paraId="5ADE8E47">
      <w:pPr>
        <w:pStyle w:val="3"/>
        <w:spacing w:before="0" w:beforeAutospacing="0" w:after="0" w:afterAutospacing="0" w:line="360" w:lineRule="auto"/>
        <w:ind w:firstLine="480" w:firstLineChars="200"/>
        <w:textAlignment w:val="baseline"/>
        <w:rPr>
          <w:rFonts w:ascii="仿宋" w:hAnsi="仿宋" w:eastAsia="仿宋" w:cs="仿宋_GB2312"/>
          <w:lang w:bidi="ar"/>
        </w:rPr>
      </w:pPr>
      <w:r>
        <w:rPr>
          <w:rFonts w:hint="eastAsia" w:ascii="仿宋" w:hAnsi="仿宋" w:eastAsia="仿宋" w:cs="仿宋_GB2312"/>
          <w:lang w:bidi="ar"/>
        </w:rPr>
        <w:t>本项目所有完成建设的课程都要同步部署到公共运行课程平台，投标人需对学校课程教学团队进行不少于一次的集中培训和项目进行过程中的常态化线上培训以及日常在线指导服务，帮助课程团队完成课程资源建设、上线、搭课和教学部署工作。具体培训内容可包括：</w:t>
      </w:r>
    </w:p>
    <w:p w14:paraId="0033043E">
      <w:pPr>
        <w:pStyle w:val="3"/>
        <w:spacing w:before="0" w:beforeAutospacing="0" w:after="0" w:afterAutospacing="0" w:line="360" w:lineRule="auto"/>
        <w:ind w:firstLine="480" w:firstLineChars="200"/>
        <w:textAlignment w:val="baseline"/>
        <w:rPr>
          <w:rFonts w:ascii="仿宋" w:hAnsi="仿宋" w:eastAsia="仿宋" w:cs="仿宋_GB2312"/>
          <w:lang w:bidi="ar"/>
        </w:rPr>
      </w:pPr>
      <w:r>
        <w:rPr>
          <w:rFonts w:hint="eastAsia" w:ascii="仿宋" w:hAnsi="仿宋" w:eastAsia="仿宋" w:cs="仿宋_GB2312"/>
          <w:lang w:bidi="ar"/>
        </w:rPr>
        <w:t>1.基于国家最新政策的专业资源库及线下精品课程建设方案</w:t>
      </w:r>
    </w:p>
    <w:p w14:paraId="52754AB7">
      <w:pPr>
        <w:pStyle w:val="3"/>
        <w:spacing w:before="0" w:beforeAutospacing="0" w:after="0" w:afterAutospacing="0" w:line="360" w:lineRule="auto"/>
        <w:ind w:firstLine="480" w:firstLineChars="200"/>
        <w:textAlignment w:val="baseline"/>
        <w:rPr>
          <w:rFonts w:ascii="仿宋" w:hAnsi="仿宋" w:eastAsia="仿宋" w:cs="仿宋_GB2312"/>
          <w:lang w:bidi="ar"/>
        </w:rPr>
      </w:pPr>
      <w:r>
        <w:rPr>
          <w:rFonts w:hint="eastAsia" w:ascii="仿宋" w:hAnsi="仿宋" w:eastAsia="仿宋" w:cs="仿宋_GB2312"/>
          <w:lang w:bidi="ar"/>
        </w:rPr>
        <w:t>2.如果课程拟支撑专业（群）资源库建设，资源库的总体要求和顶层设计</w:t>
      </w:r>
    </w:p>
    <w:p w14:paraId="194248D1">
      <w:pPr>
        <w:pStyle w:val="3"/>
        <w:spacing w:before="0" w:beforeAutospacing="0" w:after="0" w:afterAutospacing="0" w:line="360" w:lineRule="auto"/>
        <w:ind w:firstLine="480" w:firstLineChars="200"/>
        <w:textAlignment w:val="baseline"/>
        <w:rPr>
          <w:rFonts w:ascii="仿宋" w:hAnsi="仿宋" w:eastAsia="仿宋" w:cs="仿宋_GB2312"/>
          <w:lang w:bidi="ar"/>
        </w:rPr>
      </w:pPr>
      <w:r>
        <w:rPr>
          <w:rFonts w:hint="eastAsia" w:ascii="仿宋" w:hAnsi="仿宋" w:eastAsia="仿宋" w:cs="仿宋_GB2312"/>
          <w:lang w:bidi="ar"/>
        </w:rPr>
        <w:t>3.课程大纲确定及知识点或技能点确定</w:t>
      </w:r>
    </w:p>
    <w:p w14:paraId="150A01A3">
      <w:pPr>
        <w:pStyle w:val="3"/>
        <w:spacing w:before="0" w:beforeAutospacing="0" w:after="0" w:afterAutospacing="0" w:line="360" w:lineRule="auto"/>
        <w:ind w:firstLine="480" w:firstLineChars="200"/>
        <w:textAlignment w:val="baseline"/>
        <w:rPr>
          <w:rFonts w:ascii="仿宋" w:hAnsi="仿宋" w:eastAsia="仿宋" w:cs="仿宋_GB2312"/>
          <w:lang w:bidi="ar"/>
        </w:rPr>
      </w:pPr>
      <w:r>
        <w:rPr>
          <w:rFonts w:hint="eastAsia" w:ascii="仿宋" w:hAnsi="仿宋" w:eastAsia="仿宋" w:cs="仿宋_GB2312"/>
          <w:lang w:bidi="ar"/>
        </w:rPr>
        <w:t>4.结合专业特色和线下课程建设要求确定拟建资源和媒体类型</w:t>
      </w:r>
    </w:p>
    <w:p w14:paraId="5843E202">
      <w:pPr>
        <w:pStyle w:val="3"/>
        <w:spacing w:before="0" w:beforeAutospacing="0" w:after="0" w:afterAutospacing="0" w:line="360" w:lineRule="auto"/>
        <w:ind w:firstLine="480" w:firstLineChars="200"/>
        <w:textAlignment w:val="baseline"/>
        <w:rPr>
          <w:rFonts w:ascii="仿宋" w:hAnsi="仿宋" w:eastAsia="仿宋" w:cs="仿宋_GB2312"/>
          <w:lang w:bidi="ar"/>
        </w:rPr>
      </w:pPr>
      <w:r>
        <w:rPr>
          <w:rFonts w:hint="eastAsia" w:ascii="仿宋" w:hAnsi="仿宋" w:eastAsia="仿宋" w:cs="仿宋_GB2312"/>
          <w:lang w:bidi="ar"/>
        </w:rPr>
        <w:t>5.课堂教学设计、课堂实录脚本撰写和拍摄准备</w:t>
      </w:r>
    </w:p>
    <w:p w14:paraId="1213E401">
      <w:pPr>
        <w:pStyle w:val="3"/>
        <w:spacing w:before="0" w:beforeAutospacing="0" w:after="0" w:afterAutospacing="0" w:line="360" w:lineRule="auto"/>
        <w:ind w:firstLine="480" w:firstLineChars="200"/>
        <w:textAlignment w:val="baseline"/>
        <w:rPr>
          <w:rFonts w:ascii="仿宋" w:hAnsi="仿宋" w:eastAsia="仿宋" w:cs="仿宋_GB2312"/>
          <w:lang w:bidi="ar"/>
        </w:rPr>
      </w:pPr>
      <w:r>
        <w:rPr>
          <w:rFonts w:hint="eastAsia" w:ascii="仿宋" w:hAnsi="仿宋" w:eastAsia="仿宋" w:cs="仿宋_GB2312"/>
          <w:lang w:bidi="ar"/>
        </w:rPr>
        <w:t>6.资源入库、平台应用及推广培训，数字教材建设及平台应用培训</w:t>
      </w:r>
    </w:p>
    <w:p w14:paraId="1960E3F6">
      <w:pPr>
        <w:pStyle w:val="3"/>
        <w:spacing w:before="0" w:beforeAutospacing="0" w:after="0" w:afterAutospacing="0" w:line="360" w:lineRule="auto"/>
        <w:ind w:firstLine="480" w:firstLineChars="200"/>
        <w:textAlignment w:val="baseline"/>
        <w:rPr>
          <w:rFonts w:ascii="仿宋" w:hAnsi="仿宋" w:eastAsia="仿宋" w:cs="仿宋_GB2312"/>
          <w:lang w:bidi="ar"/>
        </w:rPr>
      </w:pPr>
      <w:r>
        <w:rPr>
          <w:rFonts w:hint="eastAsia" w:ascii="仿宋" w:hAnsi="仿宋" w:eastAsia="仿宋" w:cs="仿宋_GB2312"/>
          <w:lang w:bidi="ar"/>
        </w:rPr>
        <w:t>7.对标申报相关国家项目时平台数据信息表的提供</w:t>
      </w:r>
    </w:p>
    <w:p w14:paraId="288C3311">
      <w:pPr>
        <w:pStyle w:val="3"/>
        <w:spacing w:beforeAutospacing="0" w:afterAutospacing="0" w:line="360" w:lineRule="auto"/>
        <w:textAlignment w:val="baseline"/>
        <w:rPr>
          <w:rFonts w:ascii="仿宋" w:hAnsi="仿宋" w:eastAsia="仿宋" w:cs="仿宋_GB2312"/>
          <w:lang w:bidi="ar"/>
        </w:rPr>
      </w:pPr>
    </w:p>
    <w:p w14:paraId="2BB32E2B">
      <w:pPr>
        <w:pStyle w:val="7"/>
        <w:widowControl/>
        <w:spacing w:line="360" w:lineRule="auto"/>
        <w:ind w:firstLine="482" w:firstLineChars="200"/>
        <w:textAlignment w:val="baseline"/>
        <w:outlineLvl w:val="2"/>
        <w:rPr>
          <w:rFonts w:hint="default" w:ascii="仿宋" w:hAnsi="仿宋" w:eastAsia="仿宋" w:cs="仿宋_GB2312"/>
          <w:b/>
          <w:bCs/>
        </w:rPr>
      </w:pPr>
      <w:r>
        <w:rPr>
          <w:rFonts w:ascii="仿宋" w:hAnsi="仿宋" w:eastAsia="仿宋" w:cs="仿宋_GB2312"/>
          <w:b/>
          <w:bCs/>
        </w:rPr>
        <w:t>（二）实施进度</w:t>
      </w:r>
    </w:p>
    <w:p w14:paraId="31B25080">
      <w:pPr>
        <w:pStyle w:val="3"/>
        <w:spacing w:beforeAutospacing="0" w:afterAutospacing="0" w:line="360" w:lineRule="auto"/>
        <w:ind w:firstLine="480" w:firstLineChars="200"/>
        <w:textAlignment w:val="baseline"/>
        <w:rPr>
          <w:rFonts w:ascii="仿宋" w:hAnsi="仿宋" w:eastAsia="仿宋" w:cs="仿宋_GB2312"/>
          <w:lang w:bidi="ar"/>
        </w:rPr>
      </w:pPr>
      <w:r>
        <w:rPr>
          <w:rFonts w:hint="eastAsia" w:ascii="仿宋" w:hAnsi="仿宋" w:eastAsia="仿宋" w:cs="仿宋_GB2312"/>
          <w:lang w:bidi="ar"/>
        </w:rPr>
        <w:t>1.</w:t>
      </w:r>
      <w:r>
        <w:rPr>
          <w:rFonts w:hint="eastAsia" w:ascii="仿宋" w:hAnsi="仿宋" w:eastAsia="仿宋" w:cs="仿宋"/>
          <w:lang w:bidi="ar"/>
        </w:rPr>
        <w:t xml:space="preserve"> 合同签订后</w:t>
      </w:r>
      <w:r>
        <w:rPr>
          <w:rFonts w:hint="eastAsia" w:ascii="仿宋" w:hAnsi="仿宋" w:eastAsia="仿宋" w:cs="仿宋_GB2312"/>
          <w:lang w:bidi="ar"/>
        </w:rPr>
        <w:t>的180日内完成全部课程资源开发及成品的交付工作。</w:t>
      </w:r>
    </w:p>
    <w:p w14:paraId="74956D62">
      <w:pPr>
        <w:pStyle w:val="3"/>
        <w:spacing w:beforeAutospacing="0" w:afterAutospacing="0" w:line="360" w:lineRule="auto"/>
        <w:ind w:firstLine="480" w:firstLineChars="200"/>
        <w:textAlignment w:val="baseline"/>
        <w:rPr>
          <w:rFonts w:ascii="仿宋" w:hAnsi="仿宋" w:eastAsia="仿宋" w:cs="仿宋_GB2312"/>
          <w:lang w:bidi="ar"/>
        </w:rPr>
      </w:pPr>
      <w:r>
        <w:rPr>
          <w:rFonts w:hint="eastAsia" w:ascii="仿宋" w:hAnsi="仿宋" w:eastAsia="仿宋" w:cs="仿宋_GB2312"/>
          <w:lang w:bidi="ar"/>
        </w:rPr>
        <w:t>2.中标人在拍摄和制作过程中须按照采购人要求交付视频小样或成品。</w:t>
      </w:r>
    </w:p>
    <w:p w14:paraId="3CBF921A">
      <w:pPr>
        <w:pStyle w:val="3"/>
        <w:spacing w:beforeAutospacing="0" w:afterAutospacing="0" w:line="360" w:lineRule="auto"/>
        <w:ind w:firstLine="480" w:firstLineChars="200"/>
        <w:textAlignment w:val="baseline"/>
        <w:rPr>
          <w:rFonts w:ascii="仿宋" w:hAnsi="仿宋" w:eastAsia="仿宋" w:cs="仿宋_GB2312"/>
          <w:lang w:bidi="ar"/>
        </w:rPr>
      </w:pPr>
      <w:r>
        <w:rPr>
          <w:rFonts w:hint="eastAsia" w:ascii="仿宋" w:hAnsi="仿宋" w:eastAsia="仿宋" w:cs="仿宋_GB2312"/>
          <w:lang w:bidi="ar"/>
        </w:rPr>
        <w:t>3.经初审、复审后，中标人交付的最终成品经采购人组织专家审核通过后方可完成交付。课程成品不符合质量要求，没有通过专家审核的，须于收到反馈意见后10日内完成修改，并最终通过采购人的审核。</w:t>
      </w:r>
    </w:p>
    <w:p w14:paraId="7C128CE0">
      <w:pPr>
        <w:spacing w:line="360" w:lineRule="auto"/>
        <w:ind w:firstLine="480" w:firstLineChars="200"/>
        <w:rPr>
          <w:rFonts w:ascii="仿宋" w:hAnsi="仿宋" w:eastAsia="仿宋"/>
          <w:sz w:val="24"/>
        </w:rPr>
      </w:pPr>
    </w:p>
    <w:p w14:paraId="0A5BD448">
      <w:pPr>
        <w:pStyle w:val="7"/>
        <w:widowControl/>
        <w:spacing w:line="360" w:lineRule="auto"/>
        <w:ind w:firstLine="482" w:firstLineChars="200"/>
        <w:textAlignment w:val="baseline"/>
        <w:outlineLvl w:val="2"/>
        <w:rPr>
          <w:rFonts w:hint="default" w:ascii="仿宋" w:hAnsi="仿宋" w:eastAsia="仿宋" w:cs="仿宋_GB2312"/>
          <w:b/>
          <w:bCs/>
        </w:rPr>
      </w:pPr>
      <w:r>
        <w:rPr>
          <w:rFonts w:ascii="仿宋" w:hAnsi="仿宋" w:eastAsia="仿宋" w:cs="仿宋_GB2312"/>
          <w:b/>
          <w:bCs/>
        </w:rPr>
        <w:t>（三）课程质量保障及审校服务</w:t>
      </w:r>
    </w:p>
    <w:p w14:paraId="3C877234">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围绕线下课堂理论+实训授课需求开展全流程内容审读，采用平台AI智能筛查+医药专业编审双重复核机制，保障课程内容适配卫生类线下教学标准：</w:t>
      </w:r>
    </w:p>
    <w:p w14:paraId="2C4CF6C7">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平台AI人工智能审核：依托配套资源平台，自动筛查课件、视频、文档中违规用语、违规画面、侵权素材、错字别字，对风险内容标注预警。</w:t>
      </w:r>
    </w:p>
    <w:p w14:paraId="1F5CFD78">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专业编辑审读：由医药相关专业编审、医学行业编辑参照医药教材出版规范、临床诊疗标准开展内容审校，重点核查专业名词、操作流程、医学常识、意识形态及版权问题，确保所有资源内容严谨合规，适配校内线下课堂、实训室常态化教学使用。</w:t>
      </w:r>
    </w:p>
    <w:p w14:paraId="769C6CAE">
      <w:pPr>
        <w:spacing w:line="360" w:lineRule="auto"/>
        <w:ind w:firstLine="482" w:firstLineChars="200"/>
        <w:rPr>
          <w:rFonts w:ascii="仿宋" w:hAnsi="仿宋" w:eastAsia="仿宋" w:cs="仿宋_GB2312"/>
          <w:b/>
          <w:kern w:val="0"/>
          <w:sz w:val="24"/>
          <w:lang w:bidi="ar"/>
        </w:rPr>
      </w:pPr>
      <w:r>
        <w:rPr>
          <w:rFonts w:hint="eastAsia" w:ascii="仿宋" w:hAnsi="仿宋" w:eastAsia="仿宋" w:cs="仿宋_GB2312"/>
          <w:b/>
          <w:kern w:val="0"/>
          <w:sz w:val="24"/>
          <w:lang w:bidi="ar"/>
        </w:rPr>
        <w:t>（四）项目团队人员要求</w:t>
      </w:r>
    </w:p>
    <w:p w14:paraId="0FB4CF1C">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为保障本项目线下精品课程建设质量，投标人须配备专业、稳定的项目团队。投标人需要为本项目设立项目负责人，须提供完整的项目服务团队人员配置方案，人员安排和构成须合理，配置充足，权责分明，分工明确，团队成员须具备相关项目经验。</w:t>
      </w:r>
    </w:p>
    <w:p w14:paraId="3D341776">
      <w:pPr>
        <w:spacing w:line="360" w:lineRule="auto"/>
        <w:ind w:firstLine="482" w:firstLineChars="200"/>
        <w:rPr>
          <w:rFonts w:ascii="仿宋" w:hAnsi="仿宋" w:eastAsia="仿宋" w:cs="仿宋_GB2312"/>
          <w:b/>
          <w:kern w:val="0"/>
          <w:sz w:val="24"/>
          <w:lang w:bidi="ar"/>
        </w:rPr>
      </w:pPr>
      <w:r>
        <w:rPr>
          <w:rFonts w:hint="eastAsia" w:ascii="仿宋" w:hAnsi="仿宋" w:eastAsia="仿宋" w:cs="仿宋_GB2312"/>
          <w:b/>
          <w:kern w:val="0"/>
          <w:sz w:val="24"/>
          <w:lang w:bidi="ar"/>
        </w:rPr>
        <w:t>（五）制作设备要求</w:t>
      </w:r>
    </w:p>
    <w:p w14:paraId="42AA71EA">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投标人须为本项目搭建相适应的课程制作中心，配备齐全的课程制作设备，具体包括但不限于：课程视频资源制作设备、课程动画及非线性编辑制作设备、录音棚音频工作站设备、教师微课制作设备等。</w:t>
      </w:r>
    </w:p>
    <w:p w14:paraId="39F5805C">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所有设备须满足医药卫生类专业课程视频录制、动画制作、音频录制的技术要求。</w:t>
      </w:r>
    </w:p>
    <w:p w14:paraId="62DD01E6">
      <w:pPr>
        <w:spacing w:line="360" w:lineRule="auto"/>
        <w:ind w:firstLine="482" w:firstLineChars="200"/>
        <w:rPr>
          <w:rFonts w:ascii="仿宋" w:hAnsi="仿宋" w:eastAsia="仿宋" w:cs="仿宋_GB2312"/>
          <w:b/>
          <w:kern w:val="0"/>
          <w:sz w:val="24"/>
          <w:lang w:bidi="ar"/>
        </w:rPr>
      </w:pPr>
      <w:r>
        <w:rPr>
          <w:rFonts w:hint="eastAsia" w:ascii="仿宋" w:hAnsi="仿宋" w:eastAsia="仿宋" w:cs="仿宋_GB2312"/>
          <w:b/>
          <w:kern w:val="0"/>
          <w:sz w:val="24"/>
          <w:lang w:bidi="ar"/>
        </w:rPr>
        <w:t>（六）课程知识体系架构与课程脚本要求</w:t>
      </w:r>
    </w:p>
    <w:p w14:paraId="60B869F0">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1. 课程知识体系架构要求</w:t>
      </w:r>
    </w:p>
    <w:p w14:paraId="27983A4D">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须准确把握医药卫生类专业课程的知识技能架构，符合《职业教育一流核心课程建设标准（线下）》要求，体现 "岗课赛证" 融合理念，对接临床岗位实际需求，贴合医药卫生类专业人才培养目标；教学内容须与临床工作内容紧密结合，体现职业教育特色；</w:t>
      </w:r>
    </w:p>
    <w:p w14:paraId="18A1C2A4">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2. 课程脚本要求</w:t>
      </w:r>
    </w:p>
    <w:p w14:paraId="04E829DE">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每门课程须编制详细的课程脚本，包括但不限于：课堂实录脚本、情景视频脚本、动画脚本等；</w:t>
      </w:r>
    </w:p>
    <w:p w14:paraId="08869E3F">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脚本须符合医药卫生类专业特点，确保专业术语准确、操作流程规范。</w:t>
      </w:r>
    </w:p>
    <w:p w14:paraId="3C0B74DF">
      <w:pPr>
        <w:spacing w:line="360" w:lineRule="auto"/>
        <w:ind w:firstLine="482" w:firstLineChars="200"/>
        <w:rPr>
          <w:rFonts w:ascii="仿宋" w:hAnsi="仿宋" w:eastAsia="仿宋" w:cs="仿宋_GB2312"/>
          <w:b/>
          <w:kern w:val="0"/>
          <w:sz w:val="24"/>
          <w:lang w:bidi="ar"/>
        </w:rPr>
      </w:pPr>
      <w:r>
        <w:rPr>
          <w:rFonts w:hint="eastAsia" w:ascii="仿宋" w:hAnsi="仿宋" w:eastAsia="仿宋" w:cs="仿宋_GB2312"/>
          <w:b/>
          <w:kern w:val="0"/>
          <w:sz w:val="24"/>
          <w:lang w:bidi="ar"/>
        </w:rPr>
        <w:t>（七）应急方案要求</w:t>
      </w:r>
    </w:p>
    <w:p w14:paraId="36075E0B">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投标人须为本项目制定完善、切实可行的应急预案，包括但不限于：项目进度延误应急预案、设备故障应急预案、人员变动应急预案、质量问题应急预案、不可抗力应急预案、数据安全应急预案等。</w:t>
      </w:r>
    </w:p>
    <w:p w14:paraId="5BC648E0">
      <w:pPr>
        <w:spacing w:line="360" w:lineRule="auto"/>
        <w:ind w:firstLine="480" w:firstLineChars="200"/>
        <w:rPr>
          <w:rFonts w:ascii="仿宋" w:hAnsi="仿宋" w:eastAsia="仿宋" w:cs="仿宋_GB2312"/>
          <w:kern w:val="0"/>
          <w:sz w:val="24"/>
          <w:lang w:bidi="ar"/>
        </w:rPr>
      </w:pPr>
      <w:r>
        <w:rPr>
          <w:rFonts w:hint="eastAsia" w:ascii="仿宋" w:hAnsi="仿宋" w:eastAsia="仿宋" w:cs="仿宋_GB2312"/>
          <w:kern w:val="0"/>
          <w:sz w:val="24"/>
          <w:lang w:bidi="ar"/>
        </w:rPr>
        <w:t>应急预案须细致合理、切实可行、有针对性，具有及时的应对措施，能够从实际出发满足采购人需求。</w:t>
      </w:r>
    </w:p>
    <w:p w14:paraId="4471962F">
      <w:pPr>
        <w:spacing w:line="360" w:lineRule="auto"/>
        <w:ind w:firstLine="480" w:firstLineChars="200"/>
        <w:rPr>
          <w:rFonts w:ascii="仿宋" w:hAnsi="仿宋" w:eastAsia="仿宋" w:cs="仿宋_GB2312"/>
          <w:kern w:val="0"/>
          <w:sz w:val="24"/>
          <w:lang w:bidi="ar"/>
        </w:rPr>
      </w:pPr>
    </w:p>
    <w:p w14:paraId="1A4D0B36">
      <w:pPr>
        <w:spacing w:line="360" w:lineRule="auto"/>
        <w:ind w:firstLine="480"/>
        <w:rPr>
          <w:rFonts w:ascii="仿宋" w:hAnsi="仿宋" w:eastAsia="仿宋" w:cs="宋体"/>
          <w:b/>
          <w:kern w:val="0"/>
          <w:sz w:val="24"/>
        </w:rPr>
      </w:pPr>
    </w:p>
    <w:p w14:paraId="60A5AAA6">
      <w:pPr>
        <w:spacing w:line="360" w:lineRule="auto"/>
        <w:ind w:firstLine="480"/>
        <w:rPr>
          <w:rFonts w:ascii="仿宋" w:hAnsi="仿宋" w:eastAsia="仿宋" w:cs="Arial"/>
          <w:b/>
          <w:sz w:val="24"/>
        </w:rPr>
      </w:pPr>
      <w:r>
        <w:rPr>
          <w:rFonts w:hint="eastAsia" w:ascii="仿宋" w:hAnsi="仿宋" w:eastAsia="仿宋" w:cs="Arial"/>
          <w:b/>
          <w:sz w:val="24"/>
        </w:rPr>
        <w:t>3.验收标准</w:t>
      </w:r>
    </w:p>
    <w:p w14:paraId="2308DF3E">
      <w:pPr>
        <w:spacing w:line="360" w:lineRule="auto"/>
        <w:ind w:firstLine="480" w:firstLineChars="200"/>
        <w:rPr>
          <w:rFonts w:ascii="仿宋" w:hAnsi="仿宋" w:eastAsia="仿宋"/>
          <w:sz w:val="24"/>
        </w:rPr>
      </w:pPr>
      <w:r>
        <w:rPr>
          <w:rFonts w:hint="eastAsia" w:ascii="仿宋" w:hAnsi="仿宋" w:eastAsia="仿宋"/>
          <w:sz w:val="24"/>
        </w:rPr>
        <w:t>项目交付后，由中标人提出验收申请，项目单位同意后，按照学校制定的验收办法，相关部门及人员形成验收小组，验收小组根据采购文件、投标文件、合同等项目文件约定内容对项目进行综合验收。验收标准包括但不限于：</w:t>
      </w:r>
    </w:p>
    <w:p w14:paraId="7B5B911E">
      <w:pPr>
        <w:spacing w:line="360" w:lineRule="auto"/>
        <w:ind w:firstLine="480" w:firstLineChars="200"/>
        <w:rPr>
          <w:rFonts w:ascii="仿宋" w:hAnsi="仿宋" w:eastAsia="仿宋"/>
          <w:sz w:val="24"/>
        </w:rPr>
      </w:pPr>
      <w:r>
        <w:rPr>
          <w:rFonts w:hint="eastAsia" w:ascii="仿宋" w:hAnsi="仿宋" w:eastAsia="仿宋"/>
          <w:sz w:val="24"/>
        </w:rPr>
        <w:t>（1）课程资源数量、质量符合合同约定及采购需求要求；</w:t>
      </w:r>
    </w:p>
    <w:p w14:paraId="71660FFC">
      <w:pPr>
        <w:spacing w:line="360" w:lineRule="auto"/>
        <w:ind w:firstLine="480" w:firstLineChars="200"/>
        <w:rPr>
          <w:rFonts w:ascii="仿宋" w:hAnsi="仿宋" w:eastAsia="仿宋"/>
          <w:sz w:val="24"/>
        </w:rPr>
      </w:pPr>
      <w:r>
        <w:rPr>
          <w:rFonts w:hint="eastAsia" w:ascii="仿宋" w:hAnsi="仿宋" w:eastAsia="仿宋"/>
          <w:sz w:val="24"/>
        </w:rPr>
        <w:t>（2）课程资源内容准确、规范，符合医药卫生类专业教学标准；</w:t>
      </w:r>
    </w:p>
    <w:p w14:paraId="72FC3E77">
      <w:pPr>
        <w:spacing w:line="360" w:lineRule="auto"/>
        <w:ind w:firstLine="480" w:firstLineChars="200"/>
        <w:rPr>
          <w:rFonts w:ascii="仿宋" w:hAnsi="仿宋" w:eastAsia="仿宋"/>
          <w:sz w:val="24"/>
        </w:rPr>
      </w:pPr>
      <w:r>
        <w:rPr>
          <w:rFonts w:hint="eastAsia" w:ascii="仿宋" w:hAnsi="仿宋" w:eastAsia="仿宋"/>
          <w:sz w:val="24"/>
        </w:rPr>
        <w:t>（3）视频、动画等多媒体资源技术参数符合需求一览表中的技术要求；</w:t>
      </w:r>
    </w:p>
    <w:p w14:paraId="5EE11B8D">
      <w:pPr>
        <w:spacing w:line="360" w:lineRule="auto"/>
        <w:ind w:firstLine="480" w:firstLineChars="200"/>
        <w:rPr>
          <w:rFonts w:ascii="仿宋" w:hAnsi="仿宋" w:eastAsia="仿宋"/>
          <w:sz w:val="24"/>
        </w:rPr>
      </w:pPr>
      <w:r>
        <w:rPr>
          <w:rFonts w:hint="eastAsia" w:ascii="仿宋" w:hAnsi="仿宋" w:eastAsia="仿宋"/>
          <w:sz w:val="24"/>
        </w:rPr>
        <w:t>（4）课程资源通过编审审核；</w:t>
      </w:r>
    </w:p>
    <w:p w14:paraId="72AA07D4">
      <w:pPr>
        <w:spacing w:line="360" w:lineRule="auto"/>
        <w:ind w:firstLine="480" w:firstLineChars="200"/>
        <w:rPr>
          <w:rFonts w:ascii="仿宋" w:hAnsi="仿宋" w:eastAsia="仿宋"/>
          <w:sz w:val="24"/>
        </w:rPr>
      </w:pPr>
      <w:r>
        <w:rPr>
          <w:rFonts w:hint="eastAsia" w:ascii="仿宋" w:hAnsi="仿宋" w:eastAsia="仿宋"/>
          <w:sz w:val="24"/>
        </w:rPr>
        <w:t>（5）课程已同步部署到公共运行课程平台并可正常使用。</w:t>
      </w:r>
    </w:p>
    <w:p w14:paraId="592C2040">
      <w:pPr>
        <w:pStyle w:val="2"/>
        <w:spacing w:line="360" w:lineRule="auto"/>
        <w:rPr>
          <w:rFonts w:ascii="仿宋" w:hAnsi="仿宋" w:eastAsia="仿宋"/>
        </w:rPr>
      </w:pPr>
      <w:r>
        <w:rPr>
          <w:rFonts w:hint="eastAsia" w:ascii="仿宋" w:hAnsi="仿宋" w:eastAsia="仿宋"/>
        </w:rPr>
        <w:t>如验收达不到规定要求，采购人有权要求中标人整改或拒绝付款，中标供应商若违约，采购人将依法追究相应法律责任。</w:t>
      </w:r>
    </w:p>
    <w:p w14:paraId="6BDF0B42">
      <w:pPr>
        <w:pStyle w:val="2"/>
        <w:spacing w:line="360" w:lineRule="auto"/>
        <w:rPr>
          <w:rFonts w:ascii="仿宋" w:hAnsi="仿宋" w:eastAsia="仿宋"/>
        </w:rPr>
      </w:pPr>
    </w:p>
    <w:p w14:paraId="5AF5505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ongti sc">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F877BA"/>
    <w:multiLevelType w:val="multilevel"/>
    <w:tmpl w:val="C3F877BA"/>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C8F00CBB"/>
    <w:multiLevelType w:val="singleLevel"/>
    <w:tmpl w:val="C8F00CBB"/>
    <w:lvl w:ilvl="0" w:tentative="0">
      <w:start w:val="3"/>
      <w:numFmt w:val="decimal"/>
      <w:lvlText w:val="%1."/>
      <w:lvlJc w:val="left"/>
      <w:pPr>
        <w:tabs>
          <w:tab w:val="left" w:pos="312"/>
        </w:tabs>
        <w:ind w:left="150"/>
      </w:pPr>
    </w:lvl>
  </w:abstractNum>
  <w:abstractNum w:abstractNumId="2">
    <w:nsid w:val="13851098"/>
    <w:multiLevelType w:val="multilevel"/>
    <w:tmpl w:val="13851098"/>
    <w:lvl w:ilvl="0" w:tentative="0">
      <w:start w:val="1"/>
      <w:numFmt w:val="japaneseCounting"/>
      <w:lvlText w:val="%1、"/>
      <w:lvlJc w:val="left"/>
      <w:pPr>
        <w:ind w:left="500" w:hanging="5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3D310BC"/>
    <w:multiLevelType w:val="singleLevel"/>
    <w:tmpl w:val="33D310BC"/>
    <w:lvl w:ilvl="0" w:tentative="0">
      <w:start w:val="1"/>
      <w:numFmt w:val="chineseCounting"/>
      <w:suff w:val="nothing"/>
      <w:lvlText w:val="（%1）"/>
      <w:lvlJc w:val="left"/>
      <w:rPr>
        <w:rFonts w:hint="eastAsia"/>
      </w:rPr>
    </w:lvl>
  </w:abstractNum>
  <w:abstractNum w:abstractNumId="4">
    <w:nsid w:val="59CD8BF4"/>
    <w:multiLevelType w:val="singleLevel"/>
    <w:tmpl w:val="59CD8BF4"/>
    <w:lvl w:ilvl="0" w:tentative="0">
      <w:start w:val="2"/>
      <w:numFmt w:val="decimal"/>
      <w:lvlText w:val="%1."/>
      <w:lvlJc w:val="left"/>
      <w:pPr>
        <w:tabs>
          <w:tab w:val="left" w:pos="312"/>
        </w:tabs>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166179"/>
    <w:rsid w:val="0C2F779B"/>
    <w:rsid w:val="39C33723"/>
    <w:rsid w:val="5A094754"/>
    <w:rsid w:val="5D443CF5"/>
    <w:rsid w:val="68570D81"/>
    <w:rsid w:val="687114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autoSpaceDE w:val="0"/>
      <w:autoSpaceDN w:val="0"/>
      <w:adjustRightInd w:val="0"/>
      <w:ind w:firstLine="420"/>
      <w:jc w:val="left"/>
    </w:pPr>
    <w:rPr>
      <w:rFonts w:ascii="宋体"/>
      <w:sz w:val="24"/>
    </w:rPr>
  </w:style>
  <w:style w:type="paragraph" w:styleId="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character" w:styleId="6">
    <w:name w:val="annotation reference"/>
    <w:qFormat/>
    <w:uiPriority w:val="0"/>
    <w:rPr>
      <w:sz w:val="21"/>
      <w:szCs w:val="21"/>
    </w:rPr>
  </w:style>
  <w:style w:type="paragraph" w:customStyle="1" w:styleId="7">
    <w:name w:val="p10"/>
    <w:basedOn w:val="1"/>
    <w:qFormat/>
    <w:uiPriority w:val="0"/>
    <w:pPr>
      <w:jc w:val="left"/>
    </w:pPr>
    <w:rPr>
      <w:rFonts w:hint="eastAsia" w:ascii="songti sc" w:hAnsi="songti sc" w:eastAsia="songti sc"/>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2026-06-23T03:41:05Z</dcterms:created>
  <dc:creator>Lenovo</dc:creator>
  <cp:lastModifiedBy>侯…</cp:lastModifiedBy>
  <dcterms:modified xsi:type="dcterms:W3CDTF">2026-06-23T03:42:11Z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eyJoZGlkIjoiMDliYTE1YWVlODRmM2EyYTZkZDM1M2IzMWRlMzJjMzciLCJ1c2VySWQiOiI0Nzk1NTExODAifQ==</vt:lpwstr>
  </property>
  <property fmtid="{D5CDD505-2E9C-101B-9397-08002B2CF9AE}" pid="4" name="ICV">
    <vt:lpwstr>FCB366AD8FD44AC0A5558934D50528E8_12</vt:lpwstr>
  </property>
</Properties>
</file>