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委托承办组团赴澳门参加第29届澳门国际贸易投资展览会“福建馆”布展装修服务</w:t>
      </w:r>
    </w:p>
    <w:p>
      <w:pPr>
        <w:pStyle w:val="null3"/>
        <w:jc w:val="center"/>
        <w:outlineLvl w:val="2"/>
      </w:pPr>
      <w:r>
        <w:rPr>
          <w:sz w:val="28"/>
          <w:b/>
        </w:rPr>
        <w:t>备案编号：</w:t>
      </w:r>
      <w:r>
        <w:rPr>
          <w:sz w:val="28"/>
          <w:b/>
        </w:rPr>
        <w:t>CGXM-2024-350001-08300[2024]05426</w:t>
      </w:r>
    </w:p>
    <w:p>
      <w:pPr>
        <w:pStyle w:val="null3"/>
        <w:jc w:val="center"/>
        <w:outlineLvl w:val="2"/>
      </w:pPr>
      <w:r>
        <w:rPr>
          <w:sz w:val="28"/>
          <w:b/>
        </w:rPr>
        <w:t>项目编号：</w:t>
      </w:r>
      <w:r>
        <w:rPr>
          <w:sz w:val="28"/>
          <w:b/>
        </w:rPr>
        <w:t>[350001]FJTH[CS]2024006</w:t>
      </w:r>
    </w:p>
    <w:p>
      <w:pPr>
        <w:pStyle w:val="null3"/>
        <w:jc w:val="center"/>
        <w:outlineLvl w:val="2"/>
      </w:pPr>
      <w:r>
        <w:rPr>
          <w:sz w:val="28"/>
          <w:b/>
        </w:rPr>
        <w:t>采购人：</w:t>
      </w:r>
      <w:r>
        <w:rPr>
          <w:sz w:val="28"/>
          <w:b/>
        </w:rPr>
        <w:t>福建省商务厅</w:t>
      </w:r>
    </w:p>
    <w:p>
      <w:pPr>
        <w:pStyle w:val="null3"/>
        <w:jc w:val="center"/>
        <w:outlineLvl w:val="2"/>
      </w:pPr>
      <w:r>
        <w:rPr>
          <w:sz w:val="28"/>
          <w:b/>
        </w:rPr>
        <w:t>代理机构：</w:t>
      </w:r>
      <w:r>
        <w:rPr>
          <w:sz w:val="28"/>
          <w:b/>
        </w:rPr>
        <w:t>福建省天海招标有限公司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福建省商务厅</w:t>
      </w:r>
      <w:r>
        <w:rPr/>
        <w:t xml:space="preserve"> 已根据政府采购相关法律法规，经相应程序确定采用 竞争性磋商 方式组织 </w:t>
      </w:r>
      <w:r>
        <w:rPr/>
        <w:t>委托承办组团赴澳门参加第29届澳门国际贸易投资展览会“福建馆”布展装修服务</w:t>
      </w:r>
      <w:r>
        <w:rPr/>
        <w:t xml:space="preserve"> 项目（以下简称：“本项目”）的政府采购活动， </w:t>
      </w:r>
      <w:r>
        <w:rPr/>
        <w:t>现欢迎国内合格的供应商前来参加。</w:t>
      </w:r>
      <w:r>
        <w:rPr/>
        <w:t xml:space="preserve"> 本项目由采购人委托 </w:t>
      </w:r>
      <w:r>
        <w:rPr/>
        <w:t>福建省天海招标有限公司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委托承办组团赴澳门参加第29届澳门国际贸易投资展览会“福建馆”布展装修服务</w:t>
      </w:r>
    </w:p>
    <w:p>
      <w:pPr>
        <w:pStyle w:val="null3"/>
        <w:ind w:firstLine="480"/>
        <w:jc w:val="left"/>
        <w:outlineLvl w:val="2"/>
      </w:pPr>
      <w:r>
        <w:rPr>
          <w:sz w:val="28"/>
          <w:b/>
        </w:rPr>
        <w:t>2.备案编号</w:t>
      </w:r>
      <w:r>
        <w:rPr>
          <w:sz w:val="28"/>
          <w:b/>
        </w:rPr>
        <w:t xml:space="preserve">： </w:t>
      </w:r>
      <w:r>
        <w:rPr>
          <w:sz w:val="28"/>
          <w:b/>
        </w:rPr>
        <w:t>CGXM-2024-350001-08300[2024]05426</w:t>
      </w:r>
    </w:p>
    <w:p>
      <w:pPr>
        <w:pStyle w:val="null3"/>
        <w:ind w:firstLine="480"/>
        <w:jc w:val="left"/>
        <w:outlineLvl w:val="2"/>
      </w:pPr>
      <w:r>
        <w:rPr>
          <w:sz w:val="28"/>
          <w:b/>
        </w:rPr>
        <w:t>3.项目编号</w:t>
      </w:r>
      <w:r>
        <w:rPr>
          <w:sz w:val="28"/>
          <w:b/>
        </w:rPr>
        <w:t xml:space="preserve">： </w:t>
      </w:r>
      <w:r>
        <w:rPr>
          <w:sz w:val="28"/>
          <w:b/>
        </w:rPr>
        <w:t>[350001]FJTH[CS]2024006</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930,000.00</w:t>
      </w:r>
    </w:p>
    <w:p>
      <w:pPr>
        <w:pStyle w:val="null3"/>
        <w:jc w:val="left"/>
      </w:pPr>
      <w:r>
        <w:rPr/>
        <w:t>采购包最高限价（元）: 930,000.00</w:t>
      </w:r>
    </w:p>
    <w:p>
      <w:pPr>
        <w:pStyle w:val="null3"/>
        <w:jc w:val="left"/>
      </w:pPr>
      <w:r>
        <w:rPr/>
        <w:t>采购包保证金金额（元）: 9,300.00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委托承办澳门国际贸易投资展览会“福建馆”布展装修服务</w:t>
            </w:r>
          </w:p>
        </w:tc>
        <w:tc>
          <w:tcPr>
            <w:tcW w:type="dxa" w:w="1187"/>
          </w:tcPr>
          <w:p>
            <w:pPr>
              <w:pStyle w:val="null3"/>
              <w:jc w:val="right"/>
            </w:pPr>
            <w:r>
              <w:rPr/>
              <w:t>1.00</w:t>
            </w:r>
          </w:p>
        </w:tc>
        <w:tc>
          <w:tcPr>
            <w:tcW w:type="dxa" w:w="1187"/>
          </w:tcPr>
          <w:p>
            <w:pPr>
              <w:pStyle w:val="null3"/>
              <w:jc w:val="right"/>
            </w:pPr>
            <w:r>
              <w:rPr/>
              <w:t>930,000.00</w:t>
            </w:r>
          </w:p>
        </w:tc>
        <w:tc>
          <w:tcPr>
            <w:tcW w:type="dxa" w:w="1187"/>
          </w:tcPr>
          <w:p>
            <w:pPr>
              <w:pStyle w:val="null3"/>
              <w:jc w:val="left"/>
            </w:pPr>
            <w:r>
              <w:rPr/>
              <w:t>项</w:t>
            </w:r>
          </w:p>
        </w:tc>
        <w:tc>
          <w:tcPr>
            <w:tcW w:type="dxa" w:w="1187"/>
          </w:tcPr>
          <w:p>
            <w:pPr>
              <w:pStyle w:val="null3"/>
              <w:jc w:val="left"/>
            </w:pPr>
            <w:r>
              <w:rPr/>
              <w:t>租赁和商务服务业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委托承办澳门国际贸易投资展览会“福建馆”布展装修服务</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930,000.00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委托承办澳门国际贸易投资展览会“福建馆”布展装修服务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委托承办澳门国际贸易投资展览会“福建馆”布展装修服务</w:t>
            </w:r>
          </w:p>
        </w:tc>
        <w:tc>
          <w:tcPr>
            <w:tcW w:type="dxa" w:w="2076"/>
          </w:tcPr>
          <w:p>
            <w:pPr>
              <w:pStyle w:val="null3"/>
              <w:jc w:val="left"/>
            </w:pPr>
            <w:r>
              <w:rPr/>
              <w:t>委托承办澳门国际贸易投资展览会“福建馆”布展装修服务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930,000.00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根据《政府采购促进中小企业发展管理办法》（财库〔2020〕46号）文件，本项目专门面向中小企业采购（中小微企业、监狱企业、残疾人福利性单位）。1、供应商须提供《中小企业声明函》；2、监狱企业参加采购活动时，可不提供《中小企业声明函》，应提供由省级以上监狱管理局、戒毒管理局（含新疆生产建设兵团）出具的属于监狱企业的证明文件，监狱企业视同小型、微型企业； 3、符合条件的残疾人福利性单位参加采购活动时，应提供《残疾人福利性单位声明函》，并对声明的真实性负责。残疾人福利性单位视同小型、微型企业。※供应商应按照采购文件第五章 规定要求提供《中小企业声明函》或《残疾人福利性单位声明函》。(本项目为服务类采购项目，采购标的对应的中小企业划分标准所属行业为：租赁和商务服务业。）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福建省商务厅</w:t>
      </w:r>
    </w:p>
    <w:p>
      <w:pPr>
        <w:pStyle w:val="null3"/>
        <w:ind w:firstLine="960"/>
        <w:jc w:val="left"/>
      </w:pPr>
      <w:r>
        <w:rPr/>
        <w:t xml:space="preserve"> 地址： </w:t>
      </w:r>
      <w:r>
        <w:rPr/>
        <w:t>福建省福州市鼓楼区铜盘路118号</w:t>
      </w:r>
    </w:p>
    <w:p>
      <w:pPr>
        <w:pStyle w:val="null3"/>
        <w:jc w:val="left"/>
      </w:pPr>
      <w:r>
        <w:rPr/>
        <w:t xml:space="preserve"> 邮编： </w:t>
      </w:r>
      <w:r>
        <w:rPr/>
        <w:t>350001</w:t>
      </w:r>
    </w:p>
    <w:p>
      <w:pPr>
        <w:pStyle w:val="null3"/>
        <w:jc w:val="left"/>
      </w:pPr>
      <w:r>
        <w:rPr/>
        <w:t xml:space="preserve"> 联系人： </w:t>
      </w:r>
      <w:r>
        <w:rPr/>
        <w:t>张文犇</w:t>
      </w:r>
    </w:p>
    <w:p>
      <w:pPr>
        <w:pStyle w:val="null3"/>
        <w:jc w:val="left"/>
      </w:pPr>
      <w:r>
        <w:rPr/>
        <w:t xml:space="preserve"> 联系电话： </w:t>
      </w:r>
      <w:r>
        <w:rPr/>
        <w:t>0591-87270329</w:t>
      </w:r>
    </w:p>
    <w:p>
      <w:pPr>
        <w:pStyle w:val="null3"/>
        <w:ind w:firstLine="480"/>
        <w:jc w:val="left"/>
        <w:outlineLvl w:val="2"/>
      </w:pPr>
      <w:r>
        <w:rPr>
          <w:sz w:val="28"/>
          <w:b/>
        </w:rPr>
        <w:t>14、代理机构</w:t>
      </w:r>
      <w:r>
        <w:rPr>
          <w:sz w:val="28"/>
          <w:b/>
        </w:rPr>
        <w:t>：</w:t>
      </w:r>
      <w:r>
        <w:rPr>
          <w:sz w:val="28"/>
          <w:b/>
        </w:rPr>
        <w:t>福建省天海招标有限公司</w:t>
      </w:r>
    </w:p>
    <w:p>
      <w:pPr>
        <w:pStyle w:val="null3"/>
        <w:ind w:firstLine="960"/>
        <w:jc w:val="left"/>
      </w:pPr>
      <w:r>
        <w:rPr/>
        <w:t xml:space="preserve"> 地址： </w:t>
      </w:r>
      <w:r>
        <w:rPr/>
        <w:t>鼓东街道营迹路69号恒力创富中心西塔8层</w:t>
      </w:r>
    </w:p>
    <w:p>
      <w:pPr>
        <w:pStyle w:val="null3"/>
        <w:jc w:val="left"/>
      </w:pPr>
      <w:r>
        <w:rPr/>
        <w:t xml:space="preserve"> 邮编： </w:t>
      </w:r>
      <w:r>
        <w:rPr/>
        <w:t>350001</w:t>
      </w:r>
    </w:p>
    <w:p>
      <w:pPr>
        <w:pStyle w:val="null3"/>
        <w:jc w:val="left"/>
      </w:pPr>
      <w:r>
        <w:rPr/>
        <w:t xml:space="preserve"> 联系人： </w:t>
      </w:r>
      <w:r>
        <w:rPr/>
        <w:t>赖梅莲、张慧华、刘爱爱</w:t>
      </w:r>
    </w:p>
    <w:p>
      <w:pPr>
        <w:pStyle w:val="null3"/>
        <w:jc w:val="left"/>
      </w:pPr>
      <w:r>
        <w:rPr/>
        <w:t xml:space="preserve"> 联系电话： </w:t>
      </w:r>
      <w:r>
        <w:rPr/>
        <w:t>0591-87878462-803/820</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福建省天海招标有限公司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根据《政府采购促进中小企业发展管理办法》（财库〔2020〕46号）文件，本项目专门面向中小企业采购（中小微企业、监狱企业、残疾人福利性单位）。1、供应商须提供《中小企业声明函》；2、监狱企业参加采购活动时，可不提供《中小企业声明函》，应提供由省级以上监狱管理局、戒毒管理局（含新疆生产建设兵团）出具的属于监狱企业的证明文件，监狱企业视同小型、微型企业； 3、符合条件的残疾人福利性单位参加采购活动时，应提供《残疾人福利性单位声明函》，并对声明的真实性负责。残疾人福利性单位视同小型、微型企业。※供应商应按照采购文件第五章 规定要求提供《中小企业声明函》或《残疾人福利性单位声明函》。(本项目为服务类采购项目，采购标的对应的中小企业划分标准所属行业为：租赁和商务服务业。）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福建省财政厅政府采购监督管理办公室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代理服务费收费标准：100万元以下按成交总金额的1.5%收取。招标服务费由成交人在领取成交通知书前以现金、转账等付款方式一次性付清。 服务费专用账户：户名：福建省天海招标有限公司屏南分公司；开户行：屏南县农村信用合作联社；账号：9060710010010000067766。</w:t>
            </w:r>
          </w:p>
          <w:p>
            <w:pPr>
              <w:pStyle w:val="null3"/>
              <w:jc w:val="left"/>
            </w:pPr>
            <w:r>
              <w:rPr/>
              <w:t xml:space="preserve"> (2)其他：</w:t>
            </w:r>
          </w:p>
          <w:p>
            <w:pPr>
              <w:pStyle w:val="null3"/>
              <w:jc w:val="left"/>
            </w:pPr>
            <w:r>
              <w:rPr/>
              <w:t>成交人在领取成交通知书时，应向招标代理机构提供与电子响应文件相同的纸质响应文件（加盖成交人单位公章）2套。</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1、技术参数响应情况</w:t>
            </w:r>
          </w:p>
        </w:tc>
        <w:tc>
          <w:tcPr>
            <w:tcW w:type="dxa" w:w="831"/>
          </w:tcPr>
          <w:p>
            <w:pPr>
              <w:pStyle w:val="null3"/>
              <w:jc w:val="right"/>
            </w:pPr>
            <w:r>
              <w:rPr/>
              <w:t>30.0000</w:t>
            </w:r>
          </w:p>
        </w:tc>
        <w:tc>
          <w:tcPr>
            <w:tcW w:type="dxa" w:w="4153"/>
          </w:tcPr>
          <w:p>
            <w:pPr>
              <w:pStyle w:val="null3"/>
              <w:jc w:val="left"/>
            </w:pPr>
            <w:r>
              <w:rPr/>
              <w:t>根据供应商对磋商文件第三章采购内容及要求“二、技术要求”中的各项要求的响应、承诺情况，由磋商小组进行评分：完全满足磋商文件要求的得30分；以“★”标示的内容为不允许负偏离的实质性要求，否则视为无效响应，其余技术参数（共15项），每负偏离一项扣2分，扣完为止；正偏离不加分。</w:t>
            </w:r>
          </w:p>
        </w:tc>
      </w:tr>
      <w:tr>
        <w:tc>
          <w:tcPr>
            <w:tcW w:type="dxa" w:w="3322"/>
          </w:tcPr>
          <w:p>
            <w:pPr>
              <w:pStyle w:val="null3"/>
              <w:jc w:val="left"/>
            </w:pPr>
            <w:r>
              <w:rPr/>
              <w:t>2、公共布展设计方案（福建元素）</w:t>
            </w:r>
          </w:p>
        </w:tc>
        <w:tc>
          <w:tcPr>
            <w:tcW w:type="dxa" w:w="831"/>
          </w:tcPr>
          <w:p>
            <w:pPr>
              <w:pStyle w:val="null3"/>
              <w:jc w:val="right"/>
            </w:pPr>
            <w:r>
              <w:rPr/>
              <w:t>3.0000</w:t>
            </w:r>
          </w:p>
        </w:tc>
        <w:tc>
          <w:tcPr>
            <w:tcW w:type="dxa" w:w="4153"/>
          </w:tcPr>
          <w:p>
            <w:pPr>
              <w:pStyle w:val="null3"/>
              <w:jc w:val="left"/>
            </w:pPr>
            <w:r>
              <w:rPr/>
              <w:t>根据供应商针对本项目提供的公共布展设计方案（包括但不限于：是否体现以“新时代、新征程、新福建”为主题，设置福味飘香、福享食尚、福茶生活、福见商旅、福潮国风等“五福”展区等要求），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3、公共布展设计方案—整体设计</w:t>
            </w:r>
          </w:p>
        </w:tc>
        <w:tc>
          <w:tcPr>
            <w:tcW w:type="dxa" w:w="831"/>
          </w:tcPr>
          <w:p>
            <w:pPr>
              <w:pStyle w:val="null3"/>
              <w:jc w:val="right"/>
            </w:pPr>
            <w:r>
              <w:rPr/>
              <w:t>3.0000</w:t>
            </w:r>
          </w:p>
        </w:tc>
        <w:tc>
          <w:tcPr>
            <w:tcW w:type="dxa" w:w="4153"/>
          </w:tcPr>
          <w:p>
            <w:pPr>
              <w:pStyle w:val="null3"/>
              <w:jc w:val="left"/>
            </w:pPr>
            <w:r>
              <w:rPr/>
              <w:t>根据供应商提供的整体设计方案（包括但不限于：是否具有创新、整体设计造型及效果是否具有视觉冲击力和震撼力、是否体现各展区的展品特色、是否简洁），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4、公共布展设计-图纸</w:t>
            </w:r>
          </w:p>
        </w:tc>
        <w:tc>
          <w:tcPr>
            <w:tcW w:type="dxa" w:w="831"/>
          </w:tcPr>
          <w:p>
            <w:pPr>
              <w:pStyle w:val="null3"/>
              <w:jc w:val="right"/>
            </w:pPr>
            <w:r>
              <w:rPr/>
              <w:t>3.0000</w:t>
            </w:r>
          </w:p>
        </w:tc>
        <w:tc>
          <w:tcPr>
            <w:tcW w:type="dxa" w:w="4153"/>
          </w:tcPr>
          <w:p>
            <w:pPr>
              <w:pStyle w:val="null3"/>
              <w:jc w:val="left"/>
            </w:pPr>
            <w:r>
              <w:rPr/>
              <w:t>根据供应商提供的图纸【平面设计图、立体设计图、彩色立体效果图（电子效果图和纸质版效果图）】包括①有关用电资料（含电气结线图，电气分布图及用电总量）、②具体的工程图、平面图，由磋商小组进行评分：能够完整提供上述图纸且具有详细图纸说明的得3分；能够完整提供上述图纸但未提供详细图纸说明的得2分；仅提供部分图纸的得1分；未提供的不得分。</w:t>
            </w:r>
          </w:p>
        </w:tc>
      </w:tr>
      <w:tr>
        <w:tc>
          <w:tcPr>
            <w:tcW w:type="dxa" w:w="3322"/>
          </w:tcPr>
          <w:p>
            <w:pPr>
              <w:pStyle w:val="null3"/>
              <w:jc w:val="left"/>
            </w:pPr>
            <w:r>
              <w:rPr/>
              <w:t>5、项目实施重难点分析方案</w:t>
            </w:r>
          </w:p>
        </w:tc>
        <w:tc>
          <w:tcPr>
            <w:tcW w:type="dxa" w:w="831"/>
          </w:tcPr>
          <w:p>
            <w:pPr>
              <w:pStyle w:val="null3"/>
              <w:jc w:val="right"/>
            </w:pPr>
            <w:r>
              <w:rPr/>
              <w:t>3.0000</w:t>
            </w:r>
          </w:p>
        </w:tc>
        <w:tc>
          <w:tcPr>
            <w:tcW w:type="dxa" w:w="4153"/>
          </w:tcPr>
          <w:p>
            <w:pPr>
              <w:pStyle w:val="null3"/>
              <w:jc w:val="left"/>
            </w:pPr>
            <w:r>
              <w:rPr/>
              <w:t>根据供应商针对本项目提供的项目实施重难点分析方案（包括但不限于：实施计划对实施过程中的重点分析、难点分析、以及应对办法），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6、公共布展设计方案—空间布局</w:t>
            </w:r>
          </w:p>
        </w:tc>
        <w:tc>
          <w:tcPr>
            <w:tcW w:type="dxa" w:w="831"/>
          </w:tcPr>
          <w:p>
            <w:pPr>
              <w:pStyle w:val="null3"/>
              <w:jc w:val="right"/>
            </w:pPr>
            <w:r>
              <w:rPr/>
              <w:t>3.0000</w:t>
            </w:r>
          </w:p>
        </w:tc>
        <w:tc>
          <w:tcPr>
            <w:tcW w:type="dxa" w:w="4153"/>
          </w:tcPr>
          <w:p>
            <w:pPr>
              <w:pStyle w:val="null3"/>
              <w:jc w:val="left"/>
            </w:pPr>
            <w:r>
              <w:rPr/>
              <w:t>根据供应商针对本项目提供的公共布展设计方案-空间布局（包括但不限于：整体设计空间规划布局、图片及视频等宣传与实物展示安排的合理），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7、突发事件应急预案及相应措施</w:t>
            </w:r>
          </w:p>
        </w:tc>
        <w:tc>
          <w:tcPr>
            <w:tcW w:type="dxa" w:w="831"/>
          </w:tcPr>
          <w:p>
            <w:pPr>
              <w:pStyle w:val="null3"/>
              <w:jc w:val="right"/>
            </w:pPr>
            <w:r>
              <w:rPr/>
              <w:t>3.0000</w:t>
            </w:r>
          </w:p>
        </w:tc>
        <w:tc>
          <w:tcPr>
            <w:tcW w:type="dxa" w:w="4153"/>
          </w:tcPr>
          <w:p>
            <w:pPr>
              <w:pStyle w:val="null3"/>
              <w:jc w:val="left"/>
            </w:pPr>
            <w:r>
              <w:rPr/>
              <w:t>根据供应商针对本项目提供的突发事件应急预案及相应的措施【包括但不限于：暴雨天气、火灾、以及意外事故有人员伤亡的处理情况（包括人员安排、处置措施、后勤保障等）】，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2.8分，未提供的不得分。</w:t>
            </w:r>
          </w:p>
        </w:tc>
      </w:tr>
      <w:tr>
        <w:tc>
          <w:tcPr>
            <w:tcW w:type="dxa" w:w="3322"/>
          </w:tcPr>
          <w:p>
            <w:pPr>
              <w:pStyle w:val="null3"/>
              <w:jc w:val="left"/>
            </w:pPr>
            <w:r>
              <w:rPr/>
              <w:t>8、布展设计-低碳环保方案</w:t>
            </w:r>
          </w:p>
        </w:tc>
        <w:tc>
          <w:tcPr>
            <w:tcW w:type="dxa" w:w="831"/>
          </w:tcPr>
          <w:p>
            <w:pPr>
              <w:pStyle w:val="null3"/>
              <w:jc w:val="right"/>
            </w:pPr>
            <w:r>
              <w:rPr/>
              <w:t>3.0000</w:t>
            </w:r>
          </w:p>
        </w:tc>
        <w:tc>
          <w:tcPr>
            <w:tcW w:type="dxa" w:w="4153"/>
          </w:tcPr>
          <w:p>
            <w:pPr>
              <w:pStyle w:val="null3"/>
              <w:jc w:val="left"/>
            </w:pPr>
            <w:r>
              <w:rPr/>
              <w:t>根据供应商针对本项目提供的布展设计-低碳环保选用（包括但不限于：材料是否低碳环保、可循环布展材料的使用率情况；主题展区是否贴合展会主题、设计新颖，充分应用高清显示设备，以及其它高新技术显示设备、声光电设备等进行展示），由磋商小组进行评分：布展设计环保，可循环布展材料使用率高的得3分；布展设计部分环保，可循环布展材料使用率低的得2.9分；布展设计不环保，未使用可循环布展材料的不得分。</w:t>
            </w:r>
          </w:p>
        </w:tc>
      </w:tr>
      <w:tr>
        <w:tc>
          <w:tcPr>
            <w:tcW w:type="dxa" w:w="3322"/>
          </w:tcPr>
          <w:p>
            <w:pPr>
              <w:pStyle w:val="null3"/>
              <w:jc w:val="left"/>
            </w:pPr>
            <w:r>
              <w:rPr/>
              <w:t>9、项目实施方案</w:t>
            </w:r>
          </w:p>
        </w:tc>
        <w:tc>
          <w:tcPr>
            <w:tcW w:type="dxa" w:w="831"/>
          </w:tcPr>
          <w:p>
            <w:pPr>
              <w:pStyle w:val="null3"/>
              <w:jc w:val="right"/>
            </w:pPr>
            <w:r>
              <w:rPr/>
              <w:t>3.0000</w:t>
            </w:r>
          </w:p>
        </w:tc>
        <w:tc>
          <w:tcPr>
            <w:tcW w:type="dxa" w:w="4153"/>
          </w:tcPr>
          <w:p>
            <w:pPr>
              <w:pStyle w:val="null3"/>
              <w:jc w:val="left"/>
            </w:pPr>
            <w:r>
              <w:rPr/>
              <w:t>根据供应商针对本项目提供的项目实施方案（包括但不限于：实施计划、实施过程的可操作程度情况、工期进度、进度控制、关键时间节点把握情况），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10、展会搭建方案</w:t>
            </w:r>
          </w:p>
        </w:tc>
        <w:tc>
          <w:tcPr>
            <w:tcW w:type="dxa" w:w="831"/>
          </w:tcPr>
          <w:p>
            <w:pPr>
              <w:pStyle w:val="null3"/>
              <w:jc w:val="right"/>
            </w:pPr>
            <w:r>
              <w:rPr/>
              <w:t>3.0000</w:t>
            </w:r>
          </w:p>
        </w:tc>
        <w:tc>
          <w:tcPr>
            <w:tcW w:type="dxa" w:w="4153"/>
          </w:tcPr>
          <w:p>
            <w:pPr>
              <w:pStyle w:val="null3"/>
              <w:jc w:val="left"/>
            </w:pPr>
            <w:r>
              <w:rPr/>
              <w:t>根据供应商提供的展会搭建方案（包括但不限于：与活动时间拟定的进度安排契合度，控制时间节点把握，是否承诺能按时保质完成项目搭建）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11、质量保障措施</w:t>
            </w:r>
          </w:p>
        </w:tc>
        <w:tc>
          <w:tcPr>
            <w:tcW w:type="dxa" w:w="831"/>
          </w:tcPr>
          <w:p>
            <w:pPr>
              <w:pStyle w:val="null3"/>
              <w:jc w:val="right"/>
            </w:pPr>
            <w:r>
              <w:rPr/>
              <w:t>3.0000</w:t>
            </w:r>
          </w:p>
        </w:tc>
        <w:tc>
          <w:tcPr>
            <w:tcW w:type="dxa" w:w="4153"/>
          </w:tcPr>
          <w:p>
            <w:pPr>
              <w:pStyle w:val="null3"/>
              <w:jc w:val="left"/>
            </w:pPr>
            <w:r>
              <w:rPr/>
              <w:t>根据供应商针对本项目提供的质量保障措施（包括但不限于：施工搭建质量保障措施、质量承诺），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2.7分，未提供的不得分。</w:t>
            </w:r>
          </w:p>
        </w:tc>
      </w:tr>
      <w:tr>
        <w:tc>
          <w:tcPr>
            <w:tcW w:type="dxa" w:w="3322"/>
          </w:tcPr>
          <w:p>
            <w:pPr>
              <w:pStyle w:val="null3"/>
              <w:jc w:val="left"/>
            </w:pPr>
            <w:r>
              <w:rPr/>
              <w:t>12、施工方案</w:t>
            </w:r>
          </w:p>
        </w:tc>
        <w:tc>
          <w:tcPr>
            <w:tcW w:type="dxa" w:w="831"/>
          </w:tcPr>
          <w:p>
            <w:pPr>
              <w:pStyle w:val="null3"/>
              <w:jc w:val="right"/>
            </w:pPr>
            <w:r>
              <w:rPr/>
              <w:t>3.0000</w:t>
            </w:r>
          </w:p>
        </w:tc>
        <w:tc>
          <w:tcPr>
            <w:tcW w:type="dxa" w:w="4153"/>
          </w:tcPr>
          <w:p>
            <w:pPr>
              <w:pStyle w:val="null3"/>
              <w:jc w:val="left"/>
            </w:pPr>
            <w:r>
              <w:rPr/>
              <w:t>根据供应商针对本项目提供的施工方案（包括但不限于：材料质量、用电、消防、结构安全），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2.8分，未提供的不得分。</w:t>
            </w:r>
          </w:p>
        </w:tc>
      </w:tr>
      <w:tr>
        <w:tc>
          <w:tcPr>
            <w:tcW w:type="dxa" w:w="3322"/>
          </w:tcPr>
          <w:p>
            <w:pPr>
              <w:pStyle w:val="null3"/>
              <w:jc w:val="left"/>
            </w:pPr>
            <w:r>
              <w:rPr/>
              <w:t>13、人员配备方案</w:t>
            </w:r>
          </w:p>
        </w:tc>
        <w:tc>
          <w:tcPr>
            <w:tcW w:type="dxa" w:w="831"/>
          </w:tcPr>
          <w:p>
            <w:pPr>
              <w:pStyle w:val="null3"/>
              <w:jc w:val="right"/>
            </w:pPr>
            <w:r>
              <w:rPr/>
              <w:t>3.0000</w:t>
            </w:r>
          </w:p>
        </w:tc>
        <w:tc>
          <w:tcPr>
            <w:tcW w:type="dxa" w:w="4153"/>
          </w:tcPr>
          <w:p>
            <w:pPr>
              <w:pStyle w:val="null3"/>
              <w:jc w:val="left"/>
            </w:pPr>
            <w:r>
              <w:rPr/>
              <w:t>根据供应商针对本项目提供的人员配备方案(包括但不限于：人员配备、配备人员的工作经验情况、岗位分工要求)，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2.8分，未提供的不得分。</w:t>
            </w:r>
          </w:p>
        </w:tc>
      </w:tr>
      <w:tr>
        <w:tc>
          <w:tcPr>
            <w:tcW w:type="dxa" w:w="3322"/>
          </w:tcPr>
          <w:p>
            <w:pPr>
              <w:pStyle w:val="null3"/>
              <w:jc w:val="left"/>
            </w:pPr>
            <w:r>
              <w:rPr/>
              <w:t>14、服务方案</w:t>
            </w:r>
          </w:p>
        </w:tc>
        <w:tc>
          <w:tcPr>
            <w:tcW w:type="dxa" w:w="831"/>
          </w:tcPr>
          <w:p>
            <w:pPr>
              <w:pStyle w:val="null3"/>
              <w:jc w:val="right"/>
            </w:pPr>
            <w:r>
              <w:rPr/>
              <w:t>3.0000</w:t>
            </w:r>
          </w:p>
        </w:tc>
        <w:tc>
          <w:tcPr>
            <w:tcW w:type="dxa" w:w="4153"/>
          </w:tcPr>
          <w:p>
            <w:pPr>
              <w:pStyle w:val="null3"/>
              <w:jc w:val="left"/>
            </w:pPr>
            <w:r>
              <w:rPr/>
              <w:t>根据供应商针对本项目提供的服务方案(包括但不限于：服务响应时间、响应方式、工作协调等情况)，由磋商小组进行评分：方案包含的要点齐全无缺漏项、内容与要点相符、项目针对性和方案可操作性强、内容完善且能够有利于项目建设实施的得3分；方案所包含的要点齐全、内容与要点相符，但仅有纲要内容简略，未展开阐述的得2.9分；方案所包含的要点有缺漏或内容存在错误的得2.8分，未提供的不得分。</w:t>
            </w:r>
          </w:p>
        </w:tc>
      </w:tr>
    </w:tbl>
    <w:p>
      <w:pPr>
        <w:pStyle w:val="null3"/>
        <w:jc w:val="left"/>
      </w:pPr>
      <w:r>
        <w:rPr/>
        <w:t>商务部分评分PB 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响应承诺</w:t>
            </w:r>
          </w:p>
        </w:tc>
        <w:tc>
          <w:tcPr>
            <w:tcW w:type="dxa" w:w="831"/>
          </w:tcPr>
          <w:p>
            <w:pPr>
              <w:pStyle w:val="null3"/>
              <w:jc w:val="right"/>
            </w:pPr>
            <w:r>
              <w:rPr/>
              <w:t>2.0000</w:t>
            </w:r>
          </w:p>
        </w:tc>
        <w:tc>
          <w:tcPr>
            <w:tcW w:type="dxa" w:w="4153"/>
          </w:tcPr>
          <w:p>
            <w:pPr>
              <w:pStyle w:val="null3"/>
              <w:jc w:val="left"/>
            </w:pPr>
            <w:r>
              <w:rPr/>
              <w:t>根据供应商提供的承诺：成交后在展会期间全程提供展台现场维护工作以及全程协助负责展馆中展位维护、物料保管及相关财产安全，能做到随叫随到的得2分。需提供承诺函（格式自拟），未提供的不得分。</w:t>
            </w:r>
          </w:p>
        </w:tc>
      </w:tr>
      <w:tr>
        <w:tc>
          <w:tcPr>
            <w:tcW w:type="dxa" w:w="3322"/>
          </w:tcPr>
          <w:p>
            <w:pPr>
              <w:pStyle w:val="null3"/>
              <w:jc w:val="left"/>
            </w:pPr>
            <w:r>
              <w:rPr/>
              <w:t>工期承诺</w:t>
            </w:r>
          </w:p>
        </w:tc>
        <w:tc>
          <w:tcPr>
            <w:tcW w:type="dxa" w:w="831"/>
          </w:tcPr>
          <w:p>
            <w:pPr>
              <w:pStyle w:val="null3"/>
              <w:jc w:val="right"/>
            </w:pPr>
            <w:r>
              <w:rPr/>
              <w:t>1.0000</w:t>
            </w:r>
          </w:p>
        </w:tc>
        <w:tc>
          <w:tcPr>
            <w:tcW w:type="dxa" w:w="4153"/>
          </w:tcPr>
          <w:p>
            <w:pPr>
              <w:pStyle w:val="null3"/>
              <w:jc w:val="left"/>
            </w:pPr>
            <w:r>
              <w:rPr/>
              <w:t>根据供应商提供的承诺：在承办会展期间具备相应项目承接能力，不因供应商自身原因造成工期延误等系列问题的得1分。需提供承诺函（格式自拟），未提供的不得分。</w:t>
            </w:r>
          </w:p>
        </w:tc>
      </w:tr>
      <w:tr>
        <w:tc>
          <w:tcPr>
            <w:tcW w:type="dxa" w:w="3322"/>
          </w:tcPr>
          <w:p>
            <w:pPr>
              <w:pStyle w:val="null3"/>
              <w:jc w:val="left"/>
            </w:pPr>
            <w:r>
              <w:rPr/>
              <w:t>3、业绩</w:t>
            </w:r>
          </w:p>
        </w:tc>
        <w:tc>
          <w:tcPr>
            <w:tcW w:type="dxa" w:w="831"/>
          </w:tcPr>
          <w:p>
            <w:pPr>
              <w:pStyle w:val="null3"/>
              <w:jc w:val="right"/>
            </w:pPr>
            <w:r>
              <w:rPr/>
              <w:t>4.0000</w:t>
            </w:r>
          </w:p>
        </w:tc>
        <w:tc>
          <w:tcPr>
            <w:tcW w:type="dxa" w:w="4153"/>
          </w:tcPr>
          <w:p>
            <w:pPr>
              <w:pStyle w:val="null3"/>
              <w:jc w:val="left"/>
            </w:pPr>
            <w:r>
              <w:rPr/>
              <w:t>根据供应商提供自2021年1月1日起至本项目提交响应文件截止时间止（以合同签订时间为准），由供应商独立完成的同类型项目业绩进行评分：每提供1份业绩证明材料的得1分，满分4分。注：供应商须提供该业绩项目的中标（成交）公告（提供相关网站中标公告的下载网页并注明网址）、中标（成交）通知书复印件、采购合同文本复印件、验收报告或能够证明该业绩项目已经采购人验收合格的相关证明文件复印件，所有材料缺一不可，否则不得分。评标过程中如发现填报不实，本项不得分。合同履行过程中发现本项有虚假者，取消其成交资格，并追究相应的法律责任和进行相应的赔偿。</w:t>
            </w:r>
          </w:p>
        </w:tc>
      </w:tr>
      <w:tr>
        <w:tc>
          <w:tcPr>
            <w:tcW w:type="dxa" w:w="3322"/>
          </w:tcPr>
          <w:p>
            <w:pPr>
              <w:pStyle w:val="null3"/>
              <w:jc w:val="left"/>
            </w:pPr>
            <w:r>
              <w:rPr/>
              <w:t>4、客户满意度</w:t>
            </w:r>
          </w:p>
        </w:tc>
        <w:tc>
          <w:tcPr>
            <w:tcW w:type="dxa" w:w="831"/>
          </w:tcPr>
          <w:p>
            <w:pPr>
              <w:pStyle w:val="null3"/>
              <w:jc w:val="right"/>
            </w:pPr>
            <w:r>
              <w:rPr/>
              <w:t>4.0000</w:t>
            </w:r>
          </w:p>
        </w:tc>
        <w:tc>
          <w:tcPr>
            <w:tcW w:type="dxa" w:w="4153"/>
          </w:tcPr>
          <w:p>
            <w:pPr>
              <w:pStyle w:val="null3"/>
              <w:jc w:val="left"/>
            </w:pPr>
            <w:r>
              <w:rPr/>
              <w:t>根据供应商自2021年1月1日起至投标截止日期止（日期以合同签订时间为准），由供应商服务过的用户单位出具的项目服务满意证明材料进行评分：每提供1份客户评价为满意的证明材料得1分，满分4分。注：评分在90分以上，或者具有好评、优、满意等表述的为满意的评价均可。注：参与本项业绩与商务部分其他业绩不重复得分。</w:t>
            </w:r>
          </w:p>
        </w:tc>
      </w:tr>
      <w:tr>
        <w:tc>
          <w:tcPr>
            <w:tcW w:type="dxa" w:w="3322"/>
          </w:tcPr>
          <w:p>
            <w:pPr>
              <w:pStyle w:val="null3"/>
              <w:jc w:val="left"/>
            </w:pPr>
            <w:r>
              <w:rPr/>
              <w:t>5、会展设计师资格</w:t>
            </w:r>
          </w:p>
        </w:tc>
        <w:tc>
          <w:tcPr>
            <w:tcW w:type="dxa" w:w="831"/>
          </w:tcPr>
          <w:p>
            <w:pPr>
              <w:pStyle w:val="null3"/>
              <w:jc w:val="right"/>
            </w:pPr>
            <w:r>
              <w:rPr/>
              <w:t>3.0000</w:t>
            </w:r>
          </w:p>
        </w:tc>
        <w:tc>
          <w:tcPr>
            <w:tcW w:type="dxa" w:w="4153"/>
          </w:tcPr>
          <w:p>
            <w:pPr>
              <w:pStyle w:val="null3"/>
              <w:jc w:val="left"/>
            </w:pPr>
            <w:r>
              <w:rPr/>
              <w:t>根据供应商拟派本项目设计人员具备会展设计师职业资格证的，每提供一名的得1.5分，满分3分。注：需提供证书复印件、劳动合同复印件及供应商为其缴纳的投标截止时间前六个月任一个月的依法缴纳社会保障资金的凭据，未提供或提供不完整的不得分。</w:t>
            </w:r>
          </w:p>
        </w:tc>
      </w:tr>
      <w:tr>
        <w:tc>
          <w:tcPr>
            <w:tcW w:type="dxa" w:w="3322"/>
          </w:tcPr>
          <w:p>
            <w:pPr>
              <w:pStyle w:val="null3"/>
              <w:jc w:val="left"/>
            </w:pPr>
            <w:r>
              <w:rPr/>
              <w:t>6、设计人员情况</w:t>
            </w:r>
          </w:p>
        </w:tc>
        <w:tc>
          <w:tcPr>
            <w:tcW w:type="dxa" w:w="831"/>
          </w:tcPr>
          <w:p>
            <w:pPr>
              <w:pStyle w:val="null3"/>
              <w:jc w:val="right"/>
            </w:pPr>
            <w:r>
              <w:rPr/>
              <w:t>4.0000</w:t>
            </w:r>
          </w:p>
        </w:tc>
        <w:tc>
          <w:tcPr>
            <w:tcW w:type="dxa" w:w="4153"/>
          </w:tcPr>
          <w:p>
            <w:pPr>
              <w:pStyle w:val="null3"/>
              <w:jc w:val="left"/>
            </w:pPr>
            <w:r>
              <w:rPr/>
              <w:t>根据供应商拟派本项目设计人员具备安全员、监理师、会展策划师职业资格证书的，每提供1份相关人员证书的得1分，满分4分。（同一人员提供不同种类证书的不予重复计算得分，不同人员提供同一种类证书的不予重复计算得分）。注：需提供证书复印件、劳动合同复印件及供应商为其缴纳的投标截止时间前六个月任一个月的依法缴纳社会保障资金的凭据，未提供的不得分。</w:t>
            </w:r>
          </w:p>
        </w:tc>
      </w:tr>
      <w:tr>
        <w:tc>
          <w:tcPr>
            <w:tcW w:type="dxa" w:w="3322"/>
          </w:tcPr>
          <w:p>
            <w:pPr>
              <w:pStyle w:val="null3"/>
              <w:jc w:val="left"/>
            </w:pPr>
            <w:r>
              <w:rPr/>
              <w:t>7、各环节负责人</w:t>
            </w:r>
          </w:p>
        </w:tc>
        <w:tc>
          <w:tcPr>
            <w:tcW w:type="dxa" w:w="831"/>
          </w:tcPr>
          <w:p>
            <w:pPr>
              <w:pStyle w:val="null3"/>
              <w:jc w:val="right"/>
            </w:pPr>
            <w:r>
              <w:rPr/>
              <w:t>3.0000</w:t>
            </w:r>
          </w:p>
        </w:tc>
        <w:tc>
          <w:tcPr>
            <w:tcW w:type="dxa" w:w="4153"/>
          </w:tcPr>
          <w:p>
            <w:pPr>
              <w:pStyle w:val="null3"/>
              <w:jc w:val="left"/>
            </w:pPr>
            <w:r>
              <w:rPr/>
              <w:t>根据供应商是否列明各环节负责人（含总负责人、工程组和设计组等）的名单，以及承诺各环节负责人（含总负责人、工程组和设计组等）24小时手机畅通、随时响应情况，由磋商小组进行综合评分：列明各环节负责人名单且承诺各环节负责人24小时手机畅通、随时响应的得3分；列明各环节负责人名单，但未承诺各环节负责人24小时手机畅通、随时响应的得2分；仅列明部分环节负责人名单的得1分；其他不得分，需提供承诺函（格式自拟）。</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（1）供应商的技术部分实际得分少于磋商文件设定的技术部分总分50%的；即视为技术部分未实质性响应磋商文件要求，按无效响应处理； （2）属于磋商文件规定的符合性审查不合格情形的；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（1）磋商文件第三章采购内容及要求中“三、商务条件”其全部条款内容均为不允许负偏离的实质性要求。（2）属于磋商文件规定的符合性审查不合格情形的；</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1"/>
        </w:rPr>
        <w:t>由澳门贸易投资促进局主办的第</w:t>
      </w:r>
      <w:r>
        <w:rPr>
          <w:rFonts w:ascii="宋体" w:hAnsi="宋体" w:cs="宋体" w:eastAsia="宋体"/>
          <w:sz w:val="21"/>
        </w:rPr>
        <w:t>29届澳门国际贸易投资展览会（以下简称MIF），将于2024年10月16日至19日在澳门威尼斯人金光会展举办。省商务厅在第29届澳门国际贸易投资展览会上设立“福建馆”，以“新时代、新征程、新福建”主题，传播“福文化”等重点内容，规划设置“福建形象展区”和“五福”展区。</w:t>
      </w:r>
    </w:p>
    <w:p>
      <w:pPr>
        <w:pStyle w:val="null3"/>
        <w:ind w:firstLine="420"/>
        <w:jc w:val="left"/>
      </w:pPr>
      <w:r>
        <w:rPr>
          <w:rFonts w:ascii="宋体" w:hAnsi="宋体" w:cs="宋体" w:eastAsia="宋体"/>
          <w:sz w:val="21"/>
        </w:rPr>
        <w:t>1.布展时间：2024年10月15日中午12：00前完成布展工作。展览时间：2024年10月16日-19日；撤展时间：2024年10月19日下午（具体时间以参展商手册为准）；</w:t>
      </w:r>
    </w:p>
    <w:p>
      <w:pPr>
        <w:pStyle w:val="null3"/>
        <w:ind w:firstLine="420"/>
        <w:jc w:val="left"/>
      </w:pPr>
      <w:r>
        <w:rPr>
          <w:rFonts w:ascii="宋体" w:hAnsi="宋体" w:cs="宋体" w:eastAsia="宋体"/>
          <w:sz w:val="21"/>
        </w:rPr>
        <w:t>2.施工地址：澳门威尼斯人金光会展；</w:t>
      </w:r>
    </w:p>
    <w:p>
      <w:pPr>
        <w:pStyle w:val="null3"/>
        <w:ind w:firstLine="420"/>
        <w:jc w:val="left"/>
      </w:pPr>
      <w:r>
        <w:rPr>
          <w:rFonts w:ascii="宋体" w:hAnsi="宋体" w:cs="宋体" w:eastAsia="宋体"/>
          <w:sz w:val="21"/>
        </w:rPr>
        <w:t>3.展区面积：300平方米</w:t>
      </w:r>
    </w:p>
    <w:p>
      <w:pPr>
        <w:pStyle w:val="null3"/>
        <w:ind w:firstLine="420"/>
        <w:jc w:val="left"/>
      </w:pPr>
      <w:r>
        <w:drawing>
          <wp:inline distT="0" distR="0" distB="0" distL="0">
            <wp:extent cx="5274310" cy="296003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2960031"/>
                    </a:xfrm>
                    <a:prstGeom prst="rect">
                      <a:avLst/>
                    </a:prstGeom>
                  </pic:spPr>
                </pic:pic>
              </a:graphicData>
            </a:graphic>
          </wp:inline>
        </w:drawing>
      </w:r>
    </w:p>
    <w:p>
      <w:pPr>
        <w:pStyle w:val="null3"/>
        <w:ind w:firstLine="420"/>
        <w:jc w:val="left"/>
      </w:pPr>
      <w:r>
        <w:rPr>
          <w:rFonts w:ascii="宋体" w:hAnsi="宋体" w:cs="宋体" w:eastAsia="宋体"/>
          <w:sz w:val="21"/>
        </w:rPr>
        <w:t>4.展示形式：采取特装展示方式。</w:t>
      </w:r>
    </w:p>
    <w:p>
      <w:pPr>
        <w:pStyle w:val="null3"/>
        <w:jc w:val="both"/>
        <w:outlineLvl w:val="2"/>
      </w:pPr>
      <w:r>
        <w:rPr>
          <w:sz w:val="28"/>
          <w:b/>
        </w:rPr>
        <w:t>二、技术要求</w:t>
      </w:r>
    </w:p>
    <w:p>
      <w:pPr>
        <w:pStyle w:val="null3"/>
        <w:jc w:val="left"/>
      </w:pPr>
      <w:r>
        <w:rPr>
          <w:rFonts w:ascii="宋体" w:hAnsi="宋体" w:cs="宋体" w:eastAsia="宋体"/>
          <w:sz w:val="21"/>
        </w:rPr>
        <w:t>（一）整体设计要求</w:t>
      </w:r>
    </w:p>
    <w:p>
      <w:pPr>
        <w:pStyle w:val="null3"/>
        <w:ind w:firstLine="420"/>
        <w:jc w:val="left"/>
      </w:pPr>
      <w:r>
        <w:rPr>
          <w:rFonts w:ascii="宋体" w:hAnsi="宋体" w:cs="宋体" w:eastAsia="宋体"/>
          <w:sz w:val="21"/>
        </w:rPr>
        <w:t>1.设计方案必须以“新时代、新征程、新福建”主题，运用现代设计理念、高科技元素，并结合福建“福品”品牌元素，搭建美观、时尚、数字化的展馆。</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w:t>
      </w:r>
    </w:p>
    <w:p>
      <w:pPr>
        <w:pStyle w:val="null3"/>
        <w:ind w:firstLine="400"/>
        <w:jc w:val="left"/>
      </w:pPr>
      <w:r>
        <w:rPr>
          <w:rFonts w:ascii="宋体" w:hAnsi="宋体" w:cs="宋体" w:eastAsia="宋体"/>
        </w:rPr>
        <w:t>★</w:t>
      </w:r>
      <w:r>
        <w:rPr>
          <w:rFonts w:ascii="宋体" w:hAnsi="宋体" w:cs="宋体" w:eastAsia="宋体"/>
          <w:sz w:val="21"/>
        </w:rPr>
        <w:t>2.福建馆必须以整体特装的形式来呈现，设置福建形象展区和福味飘香、福享食尚、福茶生活、福见商旅、福潮国风等“五福”展区。同时，根据设计方案、主题展板需要、实物展品需要租赁高清显示设备，包括不限于LED屏、液晶屏、触控屏以及其它高新技术显示设备、声光电设备等。</w:t>
      </w:r>
    </w:p>
    <w:p>
      <w:pPr>
        <w:pStyle w:val="null3"/>
        <w:ind w:firstLine="420"/>
        <w:jc w:val="left"/>
      </w:pPr>
      <w:r>
        <w:rPr>
          <w:rFonts w:ascii="宋体" w:hAnsi="宋体" w:cs="宋体" w:eastAsia="宋体"/>
          <w:sz w:val="21"/>
        </w:rPr>
        <w:t>3.企业展台需要配置液晶电视或ipad,并配置铭牌（产品名和企业名）及二维码，二维码扫描后可进一步获得展品公司简介等。</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2</w:t>
      </w:r>
      <w:r>
        <w:rPr>
          <w:rFonts w:ascii="宋体" w:hAnsi="宋体" w:cs="宋体" w:eastAsia="宋体"/>
          <w:sz w:val="20"/>
        </w:rPr>
        <w:t>）</w:t>
      </w:r>
    </w:p>
    <w:p>
      <w:pPr>
        <w:pStyle w:val="null3"/>
        <w:ind w:firstLine="420"/>
        <w:jc w:val="left"/>
      </w:pPr>
      <w:r>
        <w:rPr>
          <w:rFonts w:ascii="宋体" w:hAnsi="宋体" w:cs="宋体" w:eastAsia="宋体"/>
          <w:sz w:val="21"/>
        </w:rPr>
        <w:t>4.布展必须突出“展洽结合、提升实效”为主的原则，结合福建省团的参展实务与招商需求，在展馆合适的位置设置洽谈交流位置，提升项目对接的实效性。</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3</w:t>
      </w:r>
      <w:r>
        <w:rPr>
          <w:rFonts w:ascii="宋体" w:hAnsi="宋体" w:cs="宋体" w:eastAsia="宋体"/>
          <w:sz w:val="20"/>
        </w:rPr>
        <w:t>）</w:t>
      </w:r>
    </w:p>
    <w:p>
      <w:pPr>
        <w:pStyle w:val="null3"/>
        <w:ind w:firstLine="420"/>
        <w:jc w:val="left"/>
      </w:pPr>
      <w:r>
        <w:rPr>
          <w:rFonts w:ascii="宋体" w:hAnsi="宋体" w:cs="宋体" w:eastAsia="宋体"/>
          <w:sz w:val="21"/>
        </w:rPr>
        <w:t>5</w:t>
      </w:r>
      <w:r>
        <w:rPr>
          <w:rFonts w:ascii="宋体" w:hAnsi="宋体" w:cs="宋体" w:eastAsia="宋体"/>
          <w:sz w:val="21"/>
        </w:rPr>
        <w:t>.展区设计若出现抄袭或雷同痕迹，经确认后，采购人有权取消其成交资格。</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4</w:t>
      </w:r>
      <w:r>
        <w:rPr>
          <w:rFonts w:ascii="宋体" w:hAnsi="宋体" w:cs="宋体" w:eastAsia="宋体"/>
          <w:sz w:val="20"/>
        </w:rPr>
        <w:t>）</w:t>
      </w:r>
    </w:p>
    <w:p>
      <w:pPr>
        <w:pStyle w:val="null3"/>
        <w:ind w:firstLine="420"/>
        <w:jc w:val="left"/>
      </w:pPr>
      <w:r>
        <w:rPr>
          <w:rFonts w:ascii="宋体" w:hAnsi="宋体" w:cs="宋体" w:eastAsia="宋体"/>
          <w:sz w:val="21"/>
        </w:rPr>
        <w:t>（二）施工布展要求</w:t>
      </w:r>
    </w:p>
    <w:p>
      <w:pPr>
        <w:pStyle w:val="null3"/>
        <w:ind w:firstLine="420"/>
        <w:jc w:val="left"/>
      </w:pPr>
      <w:r>
        <w:rPr>
          <w:rFonts w:ascii="宋体" w:hAnsi="宋体" w:cs="宋体" w:eastAsia="宋体"/>
          <w:sz w:val="21"/>
        </w:rPr>
        <w:t>1.施工布展方案设计必须整体特装、造型简洁明亮、色调统一，简约大方，通过运用高清显示设备等展现参展企业展品和福建特色，应在布展设计中留有足够空间供参展企业展品、模型陈列摆放。并根据企业需求配备相关器具，如冰柜与电磁炉等电器。</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5</w:t>
      </w:r>
      <w:r>
        <w:rPr>
          <w:rFonts w:ascii="宋体" w:hAnsi="宋体" w:cs="宋体" w:eastAsia="宋体"/>
          <w:sz w:val="20"/>
        </w:rPr>
        <w:t>）</w:t>
      </w:r>
    </w:p>
    <w:p>
      <w:pPr>
        <w:pStyle w:val="null3"/>
        <w:ind w:firstLine="400"/>
        <w:jc w:val="left"/>
      </w:pPr>
      <w:r>
        <w:rPr>
          <w:rFonts w:ascii="宋体" w:hAnsi="宋体" w:cs="宋体" w:eastAsia="宋体"/>
        </w:rPr>
        <w:t>★</w:t>
      </w:r>
      <w:r>
        <w:rPr>
          <w:rFonts w:ascii="宋体" w:hAnsi="宋体" w:cs="宋体" w:eastAsia="宋体"/>
          <w:sz w:val="21"/>
        </w:rPr>
        <w:t>2.成交人必须在大会规定的时间内完成全部搭建工作，确保参展企业顺利布展，展览结束后，做好公共布展的撤展工作。</w:t>
      </w:r>
    </w:p>
    <w:p>
      <w:pPr>
        <w:pStyle w:val="null3"/>
        <w:ind w:firstLine="420"/>
        <w:jc w:val="left"/>
      </w:pPr>
      <w:r>
        <w:rPr>
          <w:rFonts w:ascii="宋体" w:hAnsi="宋体" w:cs="宋体" w:eastAsia="宋体"/>
          <w:sz w:val="21"/>
        </w:rPr>
        <w:t>3.布展设计体现低碳环保理念，不制作大面积实体墙、力求结构通透，保证时视野开阔、人流通畅。</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6</w:t>
      </w:r>
      <w:r>
        <w:rPr>
          <w:rFonts w:ascii="宋体" w:hAnsi="宋体" w:cs="宋体" w:eastAsia="宋体"/>
          <w:sz w:val="20"/>
        </w:rPr>
        <w:t>）</w:t>
      </w:r>
    </w:p>
    <w:p>
      <w:pPr>
        <w:pStyle w:val="null3"/>
        <w:ind w:firstLine="420"/>
        <w:jc w:val="left"/>
      </w:pPr>
      <w:r>
        <w:rPr>
          <w:rFonts w:ascii="宋体" w:hAnsi="宋体" w:cs="宋体" w:eastAsia="宋体"/>
          <w:sz w:val="21"/>
        </w:rPr>
        <w:t>4.展示区域布置科学合理，利于展览、参观、交流、洽谈，展示区与洽谈区安排合理。</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7</w:t>
      </w:r>
      <w:r>
        <w:rPr>
          <w:rFonts w:ascii="宋体" w:hAnsi="宋体" w:cs="宋体" w:eastAsia="宋体"/>
          <w:sz w:val="20"/>
        </w:rPr>
        <w:t>）</w:t>
      </w:r>
    </w:p>
    <w:p>
      <w:pPr>
        <w:pStyle w:val="null3"/>
        <w:ind w:firstLine="400"/>
        <w:jc w:val="left"/>
      </w:pPr>
      <w:r>
        <w:rPr>
          <w:rFonts w:ascii="宋体" w:hAnsi="宋体" w:cs="宋体" w:eastAsia="宋体"/>
        </w:rPr>
        <w:t>★</w:t>
      </w:r>
      <w:r>
        <w:rPr>
          <w:rFonts w:ascii="宋体" w:hAnsi="宋体" w:cs="宋体" w:eastAsia="宋体"/>
          <w:sz w:val="21"/>
        </w:rPr>
        <w:t>5.成交人需指定1名公司负责人员，全程负责开展期间的展区硬件维护工作，协助企业做好展品物流运输与展区布置，并另外指定不少于1人全程协助业主负责展馆中展位维护、物料保管及相关财产安全工作。</w:t>
      </w:r>
    </w:p>
    <w:p>
      <w:pPr>
        <w:pStyle w:val="null3"/>
        <w:ind w:firstLine="420"/>
        <w:jc w:val="left"/>
      </w:pPr>
      <w:r>
        <w:rPr>
          <w:rFonts w:ascii="宋体" w:hAnsi="宋体" w:cs="宋体" w:eastAsia="宋体"/>
          <w:sz w:val="21"/>
        </w:rPr>
        <w:t>6.成交人负责展览结束后的撤展工作，并承担相关费用。</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8</w:t>
      </w:r>
      <w:r>
        <w:rPr>
          <w:rFonts w:ascii="宋体" w:hAnsi="宋体" w:cs="宋体" w:eastAsia="宋体"/>
          <w:sz w:val="20"/>
        </w:rPr>
        <w:t>）</w:t>
      </w:r>
    </w:p>
    <w:p>
      <w:pPr>
        <w:pStyle w:val="null3"/>
        <w:ind w:firstLine="420"/>
        <w:jc w:val="left"/>
      </w:pPr>
      <w:r>
        <w:rPr>
          <w:rFonts w:ascii="宋体" w:hAnsi="宋体" w:cs="宋体" w:eastAsia="宋体"/>
          <w:sz w:val="21"/>
        </w:rPr>
        <w:t>7.成交人需负责工地的安全、防火、保卫工作，负责施工现场的一切成品及工程设施的保护和及时清理垃圾，做到文明施工。</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9</w:t>
      </w:r>
      <w:r>
        <w:rPr>
          <w:rFonts w:ascii="宋体" w:hAnsi="宋体" w:cs="宋体" w:eastAsia="宋体"/>
          <w:sz w:val="20"/>
        </w:rPr>
        <w:t>）</w:t>
      </w:r>
    </w:p>
    <w:p>
      <w:pPr>
        <w:pStyle w:val="null3"/>
        <w:ind w:firstLine="420"/>
        <w:jc w:val="left"/>
      </w:pPr>
      <w:r>
        <w:rPr>
          <w:rFonts w:ascii="宋体" w:hAnsi="宋体" w:cs="宋体" w:eastAsia="宋体"/>
          <w:sz w:val="21"/>
        </w:rPr>
        <w:t>8.成交人须保障业主在使用该布展设计方案时不受到第三方关于侵犯专利权、商标权或工业设计权等知识产权的指控与纠纷。如甲方因此而遭致损失的，乙方应赔偿该损失。</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w:t>
      </w:r>
      <w:r>
        <w:rPr>
          <w:rFonts w:ascii="宋体" w:hAnsi="宋体" w:cs="宋体" w:eastAsia="宋体"/>
          <w:sz w:val="20"/>
        </w:rPr>
        <w:t>0</w:t>
      </w:r>
      <w:r>
        <w:rPr>
          <w:rFonts w:ascii="宋体" w:hAnsi="宋体" w:cs="宋体" w:eastAsia="宋体"/>
          <w:sz w:val="20"/>
        </w:rPr>
        <w:t>）</w:t>
      </w:r>
    </w:p>
    <w:p>
      <w:pPr>
        <w:pStyle w:val="null3"/>
        <w:ind w:firstLine="400"/>
        <w:jc w:val="left"/>
      </w:pPr>
      <w:r>
        <w:rPr>
          <w:rFonts w:ascii="宋体" w:hAnsi="宋体" w:cs="宋体" w:eastAsia="宋体"/>
        </w:rPr>
        <w:t>★</w:t>
      </w:r>
      <w:r>
        <w:rPr>
          <w:rFonts w:ascii="宋体" w:hAnsi="宋体" w:cs="宋体" w:eastAsia="宋体"/>
          <w:sz w:val="21"/>
        </w:rPr>
        <w:t>9.所有设计、施工必须严格遵守澳门当地相关法律法规及组委会布展安全管理相关规定。对施工人员的管理﹑安全负全责，对违反规定所引发的安全事故，施工方应负全部责任。</w:t>
      </w:r>
    </w:p>
    <w:p>
      <w:pPr>
        <w:pStyle w:val="null3"/>
        <w:ind w:firstLine="420"/>
        <w:jc w:val="left"/>
      </w:pPr>
      <w:r>
        <w:rPr>
          <w:rFonts w:ascii="宋体" w:hAnsi="宋体" w:cs="宋体" w:eastAsia="宋体"/>
          <w:sz w:val="21"/>
        </w:rPr>
        <w:t>10.成交人在接到采购人通知后，及时与组委会联系，并按其要求办理相关报馆布展事宜，确保工程进度。如搭建过程中出现违反大会布展安全管理规定，并因违章施工质量问题引起事故和造成后果的；或未能按规定完成搭建工程的情况，采购人有权追究相关责任。</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11</w:t>
      </w:r>
      <w:r>
        <w:rPr>
          <w:rFonts w:ascii="宋体" w:hAnsi="宋体" w:cs="宋体" w:eastAsia="宋体"/>
          <w:sz w:val="20"/>
        </w:rPr>
        <w:t>）</w:t>
      </w:r>
    </w:p>
    <w:p>
      <w:pPr>
        <w:pStyle w:val="null3"/>
        <w:ind w:firstLine="420"/>
        <w:jc w:val="left"/>
      </w:pPr>
      <w:r>
        <w:rPr>
          <w:rFonts w:ascii="宋体" w:hAnsi="宋体" w:cs="宋体" w:eastAsia="宋体"/>
          <w:sz w:val="21"/>
        </w:rPr>
        <w:t>（三）其他要求</w:t>
      </w:r>
    </w:p>
    <w:p>
      <w:pPr>
        <w:pStyle w:val="null3"/>
        <w:ind w:firstLine="420"/>
        <w:jc w:val="left"/>
      </w:pPr>
      <w:r>
        <w:rPr>
          <w:rFonts w:ascii="宋体" w:hAnsi="宋体" w:cs="宋体" w:eastAsia="宋体"/>
          <w:sz w:val="21"/>
        </w:rPr>
        <w:t>1.按照组委会规定时间先行代付第29届澳门国际贸易投资展览会（MIF）福建馆展位费。</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12</w:t>
      </w:r>
      <w:r>
        <w:rPr>
          <w:rFonts w:ascii="宋体" w:hAnsi="宋体" w:cs="宋体" w:eastAsia="宋体"/>
          <w:sz w:val="20"/>
        </w:rPr>
        <w:t>）</w:t>
      </w:r>
    </w:p>
    <w:p>
      <w:pPr>
        <w:pStyle w:val="null3"/>
        <w:ind w:firstLine="420"/>
        <w:jc w:val="left"/>
      </w:pPr>
      <w:r>
        <w:rPr>
          <w:rFonts w:ascii="宋体" w:hAnsi="宋体" w:cs="宋体" w:eastAsia="宋体"/>
          <w:sz w:val="21"/>
        </w:rPr>
        <w:t>2.征集“福品”品牌产品：从我省福味飘香、福享食尚、福茶生活、福见商旅、福潮国风等福品类别中的头部创新企业中征集产品，用于福建馆福品展示区展览展示。</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13</w:t>
      </w:r>
      <w:r>
        <w:rPr>
          <w:rFonts w:ascii="宋体" w:hAnsi="宋体" w:cs="宋体" w:eastAsia="宋体"/>
          <w:sz w:val="20"/>
        </w:rPr>
        <w:t>）</w:t>
      </w:r>
    </w:p>
    <w:p>
      <w:pPr>
        <w:pStyle w:val="null3"/>
        <w:ind w:firstLine="420"/>
        <w:jc w:val="left"/>
      </w:pPr>
      <w:r>
        <w:rPr>
          <w:rFonts w:ascii="宋体" w:hAnsi="宋体" w:cs="宋体" w:eastAsia="宋体"/>
          <w:sz w:val="21"/>
        </w:rPr>
        <w:t>3.协助参展企业运输展品赴澳门参展，展会结束后统一运回，并承担相关费用。</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14</w:t>
      </w:r>
      <w:r>
        <w:rPr>
          <w:rFonts w:ascii="宋体" w:hAnsi="宋体" w:cs="宋体" w:eastAsia="宋体"/>
          <w:sz w:val="20"/>
        </w:rPr>
        <w:t>）</w:t>
      </w:r>
    </w:p>
    <w:p>
      <w:pPr>
        <w:pStyle w:val="null3"/>
        <w:ind w:firstLine="420"/>
        <w:jc w:val="left"/>
      </w:pPr>
      <w:r>
        <w:rPr>
          <w:rFonts w:ascii="宋体" w:hAnsi="宋体" w:cs="宋体" w:eastAsia="宋体"/>
          <w:sz w:val="21"/>
        </w:rPr>
        <w:t>4.根据要求，协助做好项目验收、费用结算、审计等工作。</w:t>
      </w:r>
      <w:r>
        <w:rPr>
          <w:rFonts w:ascii="宋体" w:hAnsi="宋体" w:cs="宋体" w:eastAsia="宋体"/>
          <w:sz w:val="20"/>
        </w:rPr>
        <w:t>（评</w:t>
      </w:r>
      <w:r>
        <w:rPr>
          <w:rFonts w:ascii="宋体" w:hAnsi="宋体" w:cs="宋体" w:eastAsia="宋体"/>
          <w:sz w:val="20"/>
        </w:rPr>
        <w:t>审</w:t>
      </w:r>
      <w:r>
        <w:rPr>
          <w:rFonts w:ascii="宋体" w:hAnsi="宋体" w:cs="宋体" w:eastAsia="宋体"/>
          <w:sz w:val="20"/>
        </w:rPr>
        <w:t>项</w:t>
      </w:r>
      <w:r>
        <w:rPr>
          <w:rFonts w:ascii="宋体" w:hAnsi="宋体" w:cs="宋体" w:eastAsia="宋体"/>
          <w:sz w:val="20"/>
        </w:rPr>
        <w:t>15</w:t>
      </w:r>
      <w:r>
        <w:rPr>
          <w:rFonts w:ascii="宋体" w:hAnsi="宋体" w:cs="宋体" w:eastAsia="宋体"/>
          <w:sz w:val="20"/>
        </w:rPr>
        <w:t>）</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合同签订生效后于2024年10月15日中午12：00前完成布展工作并交付采购人验收。</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本项目在合同签订后成交人应按照采购人要求，定期将工作情况交付采购人审定，审核通过后方可实施。</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所有设备、材料安装及展馆施工完毕后，成交人对所有设备、材料的性能进行自检，对展馆的施工质量进行自检。检验结果必须符合磋商文件要求、响应文件响应、设计方案以及合同中相关条款，同时提请采购方开展现场验收</w:t>
            </w:r>
          </w:p>
          <w:p>
            <w:pPr>
              <w:pStyle w:val="null3"/>
            </w:pPr>
            <w:r>
              <w:rPr/>
              <w:t>2、期次2，说明：验收与最终验收：采购人对照服务项目完成情况进行验收，如有项目未按要求完成，采购人有权扣除相应费用。</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1、在所有服务项目履行完毕，并验收合格后30个工作日内付清，付款前成交人须提供等额发票（支付时间不一致的以此处为准），达到付款条件起30日内，支付合同总金额的100.00%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1"/>
          <w:b/>
        </w:rPr>
        <w:t>★8、违约责任</w:t>
      </w:r>
    </w:p>
    <w:p>
      <w:pPr>
        <w:pStyle w:val="null3"/>
        <w:ind w:firstLine="420"/>
        <w:jc w:val="left"/>
      </w:pPr>
      <w:r>
        <w:rPr>
          <w:rFonts w:ascii="宋体" w:hAnsi="宋体" w:cs="宋体" w:eastAsia="宋体"/>
          <w:sz w:val="21"/>
        </w:rPr>
        <w:t>8.1因成交人原因造成采购合同无法按时签订，视为成交人违约，成交人违约对采购人造成的损失的，需另行支付相应的赔偿。</w:t>
      </w:r>
    </w:p>
    <w:p>
      <w:pPr>
        <w:pStyle w:val="null3"/>
        <w:ind w:firstLine="420"/>
        <w:jc w:val="left"/>
      </w:pPr>
      <w:r>
        <w:rPr>
          <w:rFonts w:ascii="宋体" w:hAnsi="宋体" w:cs="宋体" w:eastAsia="宋体"/>
          <w:sz w:val="21"/>
        </w:rPr>
        <w:t>8.2在签定采购合同之后，成交人未按合同规定提供服务的，视为成交人违约，对采购人造成的损失的，成交人需支付相应的赔偿。</w:t>
      </w:r>
    </w:p>
    <w:p>
      <w:pPr>
        <w:pStyle w:val="null3"/>
        <w:ind w:firstLine="420"/>
        <w:jc w:val="left"/>
      </w:pPr>
      <w:r>
        <w:rPr>
          <w:rFonts w:ascii="宋体" w:hAnsi="宋体" w:cs="宋体" w:eastAsia="宋体"/>
          <w:sz w:val="21"/>
        </w:rPr>
        <w:t>8.3在签定采购合同之后，成交人未能按合同规定履行其义务的；视为成交人违约，对采购人造成的损失的，成交人需支付相应的赔偿。</w:t>
      </w:r>
    </w:p>
    <w:p>
      <w:pPr>
        <w:pStyle w:val="null3"/>
        <w:ind w:firstLine="420"/>
        <w:jc w:val="left"/>
      </w:pPr>
      <w:r>
        <w:rPr>
          <w:rFonts w:ascii="宋体" w:hAnsi="宋体" w:cs="宋体" w:eastAsia="宋体"/>
          <w:sz w:val="21"/>
        </w:rPr>
        <w:t>8.4在签定采购合同之后，成交人要求解除合同的，视为成交人违约，对采购人造成的损失的，成交人需支付相应的赔偿。</w:t>
      </w:r>
    </w:p>
    <w:p>
      <w:pPr>
        <w:pStyle w:val="null3"/>
        <w:ind w:firstLine="420"/>
        <w:jc w:val="left"/>
      </w:pPr>
      <w:r>
        <w:rPr>
          <w:rFonts w:ascii="宋体" w:hAnsi="宋体" w:cs="宋体" w:eastAsia="宋体"/>
          <w:sz w:val="21"/>
        </w:rPr>
        <w:t>8.5成交人履行义务不符合合同约定时，采购人有权提出赔偿。</w:t>
      </w:r>
    </w:p>
    <w:p>
      <w:pPr>
        <w:pStyle w:val="null3"/>
        <w:ind w:firstLine="420"/>
        <w:jc w:val="left"/>
      </w:pPr>
      <w:r>
        <w:rPr>
          <w:rFonts w:ascii="宋体" w:hAnsi="宋体" w:cs="宋体" w:eastAsia="宋体"/>
          <w:sz w:val="21"/>
        </w:rPr>
        <w:t>8.6因成交人原因发生重大质量事故，除依约承担赔偿责任外，还将按有关质量管理办法规定执行。同时，采购人有权保留更换成交人的权利，并报相关行政主管部门处罚。</w:t>
      </w:r>
    </w:p>
    <w:p>
      <w:pPr>
        <w:pStyle w:val="null3"/>
        <w:ind w:firstLine="420"/>
        <w:jc w:val="left"/>
      </w:pPr>
      <w:r>
        <w:rPr>
          <w:rFonts w:ascii="宋体" w:hAnsi="宋体" w:cs="宋体" w:eastAsia="宋体"/>
          <w:sz w:val="21"/>
        </w:rPr>
        <w:t>8.7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20"/>
        <w:jc w:val="left"/>
      </w:pPr>
      <w:r>
        <w:rPr>
          <w:rFonts w:ascii="宋体" w:hAnsi="宋体" w:cs="宋体" w:eastAsia="宋体"/>
          <w:sz w:val="21"/>
        </w:rPr>
        <w:t>8.8在明确违约责任后，成交人应在接到书面通知书起七天内支付违约金、赔偿金等。</w:t>
      </w:r>
    </w:p>
    <w:p>
      <w:pPr>
        <w:pStyle w:val="null3"/>
        <w:ind w:firstLine="420"/>
        <w:jc w:val="left"/>
      </w:pPr>
      <w:r>
        <w:rPr>
          <w:rFonts w:ascii="宋体" w:hAnsi="宋体" w:cs="宋体" w:eastAsia="宋体"/>
          <w:sz w:val="21"/>
        </w:rPr>
        <w:t>8.9本磋商文件未明确的其它约定事项或条款，待采购人与成交人签订合同时，由双方协商订立。</w:t>
      </w:r>
    </w:p>
    <w:p>
      <w:pPr>
        <w:pStyle w:val="null3"/>
        <w:ind w:firstLine="422"/>
        <w:jc w:val="left"/>
      </w:pPr>
      <w:r>
        <w:rPr>
          <w:rFonts w:ascii="宋体" w:hAnsi="宋体" w:cs="宋体" w:eastAsia="宋体"/>
          <w:sz w:val="21"/>
          <w:b/>
        </w:rPr>
        <w:t>★</w:t>
      </w:r>
      <w:r>
        <w:rPr>
          <w:rFonts w:ascii="宋体" w:hAnsi="宋体" w:cs="宋体" w:eastAsia="宋体"/>
          <w:sz w:val="21"/>
        </w:rPr>
        <w:t>9、项目验收</w:t>
      </w:r>
    </w:p>
    <w:p>
      <w:pPr>
        <w:pStyle w:val="null3"/>
        <w:ind w:firstLine="420"/>
        <w:jc w:val="left"/>
      </w:pPr>
      <w:r>
        <w:rPr>
          <w:rFonts w:ascii="宋体" w:hAnsi="宋体" w:cs="宋体" w:eastAsia="宋体"/>
          <w:sz w:val="21"/>
        </w:rPr>
        <w:t>9.1所有设备、材料安装及展馆施工完毕后，要求成交供应商对所有设备、材料的性能进行自检，对展馆的施工质量进行自检。检验结果必须符合磋商文件要求、响应文件响应、设计方案以及合同中相关条款，同时向采购人提供自检纪录。</w:t>
      </w:r>
    </w:p>
    <w:p>
      <w:pPr>
        <w:pStyle w:val="null3"/>
        <w:ind w:firstLine="420"/>
        <w:jc w:val="left"/>
      </w:pPr>
      <w:r>
        <w:rPr>
          <w:rFonts w:ascii="宋体" w:hAnsi="宋体" w:cs="宋体" w:eastAsia="宋体"/>
          <w:sz w:val="21"/>
        </w:rPr>
        <w:t>9.2验收与最终验收：成交人自检后，成交人与采购人按国家或行业验收标准、招标文件及合同相关条款要求本项目的服务、设备、材料及施工全部内容进行验收。若发现不符合国家或行业验收标准及合同相关条款要求的需立即进行更换、调整或维修，并通过最终验收。拒不更换、调整或维修的，采购人有权拒绝验收。</w:t>
      </w:r>
    </w:p>
    <w:p>
      <w:pPr>
        <w:pStyle w:val="null3"/>
        <w:ind w:firstLine="420"/>
        <w:jc w:val="left"/>
      </w:pPr>
      <w:r>
        <w:rPr>
          <w:rFonts w:ascii="宋体" w:hAnsi="宋体" w:cs="宋体" w:eastAsia="宋体"/>
          <w:sz w:val="21"/>
        </w:rPr>
        <w:t>★10、知识产权</w:t>
      </w:r>
    </w:p>
    <w:p>
      <w:pPr>
        <w:pStyle w:val="null3"/>
        <w:ind w:firstLine="420"/>
        <w:jc w:val="left"/>
      </w:pPr>
      <w:r>
        <w:rPr>
          <w:rFonts w:ascii="宋体" w:hAnsi="宋体" w:cs="宋体" w:eastAsia="宋体"/>
          <w:sz w:val="21"/>
        </w:rPr>
        <w:t>10.1、供应商须保障采购人在使用使用该布展设计方案或其任何一部分时不受到第三方关于侵犯专利权、商标权或工业设计权等知识产权的指控与纠纷。如果任何第三方提出侵权指控与采购人无关，供应商须与第三方交涉并承担可能发生的责任与一切费用。如采购人因此而遭致损失的，供应商应赔偿该损失。</w:t>
      </w:r>
    </w:p>
    <w:p>
      <w:pPr>
        <w:pStyle w:val="null3"/>
        <w:ind w:firstLine="420"/>
        <w:jc w:val="left"/>
      </w:pPr>
      <w:r>
        <w:rPr>
          <w:rFonts w:ascii="宋体" w:hAnsi="宋体" w:cs="宋体" w:eastAsia="宋体"/>
          <w:sz w:val="21"/>
        </w:rPr>
        <w:t>10.2供应商须保障采购人在使用该展区设计方案或其任何一部分时不受到第三方关于侵犯专利权、商标权或工业设计权等知识产权的指控与纠纷。如果任何第三方提出侵权指控与采购人无关，供应商须与第三方交涉并承担可能发生的责任与一切费用。供应 商提供的展区设计方案若出现抄袭或雷同痕迹，经确认后，采购人有权取消其成交资格；如采购人因此而遭致损失的，供应商应赔偿该损失。</w:t>
      </w:r>
    </w:p>
    <w:p>
      <w:pPr>
        <w:pStyle w:val="null3"/>
        <w:jc w:val="left"/>
        <w:outlineLvl w:val="2"/>
      </w:pPr>
      <w:r>
        <w:rPr>
          <w:sz w:val="28"/>
          <w:b/>
        </w:rPr>
        <w:t>四、其他事项</w:t>
      </w:r>
    </w:p>
    <w:p>
      <w:pPr>
        <w:pStyle w:val="null3"/>
        <w:jc w:val="left"/>
      </w:pPr>
      <w:r>
        <w:rPr/>
        <w:t>1、除采购文件另有规定外，若出现有关法律、法规和规章有强制性规定但采购文件未列明的情形，则供应商应按照有关法律、法规和规章强制性规定执行。 2、报价要求：2.1.供应商报价应该包含展馆特装管理费、水电费等相关一切费用；2.2详细报价中请标明所用工艺、材料、尺寸、数量及单价；2.3详细报价应完整、详细，并列明包含布展中应配备的设备及在方案实施中可能发生的费用。</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[350001]FJTH[CS]2024006</w:t>
      </w:r>
    </w:p>
    <w:p>
      <w:pPr>
        <w:pStyle w:val="null3"/>
        <w:jc w:val="left"/>
      </w:pPr>
      <w:r>
        <w:rPr/>
        <w:t>项目名称：</w:t>
      </w:r>
      <w:r>
        <w:rPr/>
        <w:t>委托承办组团赴澳门参加第29届澳门国际贸易投资展览会“福建馆”布展装修服务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委托承办组团赴澳门参加第29届澳门国际贸易投资展览会“福建馆”布展装修服务</w:t>
            </w:r>
          </w:p>
        </w:tc>
        <w:tc>
          <w:tcPr>
            <w:tcW w:type="dxa" w:w="1661"/>
          </w:tcPr>
          <w:p>
            <w:pPr>
              <w:pStyle w:val="null3"/>
              <w:jc w:val="left"/>
            </w:pPr>
            <w:r>
              <w:rPr/>
              <w:t xml:space="preserve"> 930000.0000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[350001]FJTH[CS]2024006</w:t>
      </w:r>
    </w:p>
    <w:p>
      <w:pPr>
        <w:pStyle w:val="null3"/>
        <w:jc w:val="left"/>
      </w:pPr>
      <w:r>
        <w:rPr/>
        <w:t>项目名称：</w:t>
      </w:r>
      <w:r>
        <w:rPr/>
        <w:t>委托承办组团赴澳门参加第29届澳门国际贸易投资展览会“福建馆”布展装修服务</w:t>
      </w:r>
    </w:p>
    <w:p>
      <w:pPr>
        <w:pStyle w:val="null3"/>
        <w:jc w:val="left"/>
      </w:pPr>
      <w:r>
        <w:rPr/>
        <w:t xml:space="preserve"> 委托承办澳门国际贸易投资展览会“福建馆”布展装修服务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委托承办澳门国际贸易投资展览会“福建馆”布展装修服务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930000.0000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