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F650D7">
      <w:pPr>
        <w:pStyle w:val="26"/>
        <w:ind w:left="0" w:leftChars="0" w:firstLine="0" w:firstLineChars="0"/>
        <w:jc w:val="center"/>
        <w:rPr>
          <w:rFonts w:hint="default" w:ascii="宋体" w:hAnsi="宋体" w:eastAsia="宋体" w:cs="宋体"/>
          <w:b/>
          <w:bCs/>
          <w:caps/>
          <w:color w:val="auto"/>
          <w:spacing w:val="20"/>
          <w:kern w:val="2"/>
          <w:sz w:val="60"/>
          <w:szCs w:val="60"/>
          <w:highlight w:val="none"/>
          <w:lang w:val="en-US" w:eastAsia="zh-CN" w:bidi="ar-SA"/>
        </w:rPr>
      </w:pPr>
      <w:r>
        <w:rPr>
          <w:rFonts w:hint="eastAsia" w:ascii="宋体" w:eastAsia="宋体" w:cs="宋体"/>
          <w:b/>
          <w:bCs/>
          <w:caps/>
          <w:color w:val="auto"/>
          <w:spacing w:val="20"/>
          <w:kern w:val="2"/>
          <w:sz w:val="60"/>
          <w:szCs w:val="60"/>
          <w:highlight w:val="none"/>
          <w:lang w:val="en-US" w:eastAsia="zh-CN" w:bidi="ar-SA"/>
        </w:rPr>
        <w:t>胜境街道后矿社区大河乌猪肉制品加工设施项目</w:t>
      </w:r>
    </w:p>
    <w:p w14:paraId="6F4429DF">
      <w:pPr>
        <w:pStyle w:val="26"/>
        <w:ind w:left="0" w:leftChars="0" w:firstLine="0" w:firstLineChars="0"/>
        <w:jc w:val="both"/>
        <w:rPr>
          <w:rFonts w:hint="eastAsia" w:ascii="宋体" w:hAnsi="宋体" w:eastAsia="宋体" w:cs="宋体"/>
          <w:b/>
          <w:bCs/>
          <w:caps/>
          <w:color w:val="auto"/>
          <w:spacing w:val="20"/>
          <w:kern w:val="2"/>
          <w:sz w:val="44"/>
          <w:szCs w:val="44"/>
          <w:highlight w:val="none"/>
          <w:lang w:val="en-US" w:eastAsia="zh-CN" w:bidi="ar-SA"/>
        </w:rPr>
      </w:pPr>
    </w:p>
    <w:p w14:paraId="58C0BAEE">
      <w:pPr>
        <w:pStyle w:val="26"/>
        <w:rPr>
          <w:rFonts w:hint="eastAsia" w:ascii="宋体" w:hAnsi="宋体" w:eastAsia="宋体" w:cs="宋体"/>
          <w:b/>
          <w:bCs/>
          <w:caps/>
          <w:color w:val="auto"/>
          <w:spacing w:val="20"/>
          <w:kern w:val="2"/>
          <w:sz w:val="40"/>
          <w:szCs w:val="40"/>
          <w:highlight w:val="none"/>
          <w:lang w:val="en-US" w:eastAsia="zh-CN" w:bidi="ar-SA"/>
        </w:rPr>
      </w:pPr>
    </w:p>
    <w:p w14:paraId="2B6236A2">
      <w:pPr>
        <w:pStyle w:val="26"/>
        <w:rPr>
          <w:rFonts w:hint="eastAsia" w:ascii="宋体" w:hAnsi="宋体" w:eastAsia="宋体" w:cs="宋体"/>
          <w:b/>
          <w:bCs/>
          <w:caps/>
          <w:color w:val="auto"/>
          <w:spacing w:val="20"/>
          <w:kern w:val="2"/>
          <w:sz w:val="40"/>
          <w:szCs w:val="40"/>
          <w:highlight w:val="none"/>
          <w:lang w:val="en-US" w:eastAsia="zh-CN" w:bidi="ar-SA"/>
        </w:rPr>
      </w:pPr>
    </w:p>
    <w:p w14:paraId="15F46E64">
      <w:pPr>
        <w:pStyle w:val="26"/>
        <w:rPr>
          <w:rFonts w:hint="eastAsia"/>
          <w:highlight w:val="none"/>
          <w:lang w:eastAsia="zh-CN"/>
        </w:rPr>
      </w:pPr>
    </w:p>
    <w:p w14:paraId="1C610B6B">
      <w:pPr>
        <w:adjustRightInd w:val="0"/>
        <w:snapToGrid w:val="0"/>
        <w:spacing w:line="360" w:lineRule="auto"/>
        <w:jc w:val="center"/>
        <w:outlineLvl w:val="0"/>
        <w:rPr>
          <w:rFonts w:hint="eastAsia" w:ascii="宋体" w:hAnsi="宋体"/>
          <w:b/>
          <w:color w:val="auto"/>
          <w:spacing w:val="20"/>
          <w:kern w:val="2"/>
          <w:sz w:val="112"/>
          <w:szCs w:val="112"/>
          <w:highlight w:val="none"/>
        </w:rPr>
      </w:pPr>
      <w:bookmarkStart w:id="0" w:name="_Toc12396"/>
      <w:bookmarkStart w:id="1" w:name="_Toc10538"/>
      <w:bookmarkStart w:id="2" w:name="_Toc15448"/>
      <w:r>
        <w:rPr>
          <w:rFonts w:hint="eastAsia" w:ascii="宋体" w:hAnsi="宋体"/>
          <w:b/>
          <w:color w:val="auto"/>
          <w:spacing w:val="20"/>
          <w:kern w:val="2"/>
          <w:sz w:val="72"/>
          <w:szCs w:val="72"/>
          <w:highlight w:val="none"/>
        </w:rPr>
        <w:t>竞争性磋商文件</w:t>
      </w:r>
      <w:bookmarkEnd w:id="0"/>
      <w:bookmarkEnd w:id="1"/>
      <w:bookmarkEnd w:id="2"/>
    </w:p>
    <w:p w14:paraId="0977D4AB">
      <w:pPr>
        <w:tabs>
          <w:tab w:val="left" w:pos="2903"/>
          <w:tab w:val="center" w:pos="4410"/>
        </w:tabs>
        <w:adjustRightInd w:val="0"/>
        <w:snapToGrid w:val="0"/>
        <w:spacing w:line="360" w:lineRule="auto"/>
        <w:jc w:val="center"/>
        <w:rPr>
          <w:rFonts w:hint="default" w:ascii="宋体" w:hAnsi="宋体" w:eastAsia="宋体"/>
          <w:color w:val="auto"/>
          <w:sz w:val="28"/>
          <w:szCs w:val="28"/>
          <w:highlight w:val="none"/>
          <w:lang w:val="en-US" w:eastAsia="zh-CN"/>
        </w:rPr>
      </w:pPr>
      <w:r>
        <w:rPr>
          <w:rFonts w:hint="eastAsia" w:ascii="宋体" w:hAnsi="宋体" w:eastAsia="宋体" w:cs="Times New Roman"/>
          <w:snapToGrid/>
          <w:color w:val="auto"/>
          <w:kern w:val="2"/>
          <w:sz w:val="25"/>
          <w:szCs w:val="20"/>
          <w:highlight w:val="none"/>
          <w:lang w:eastAsia="zh-CN"/>
        </w:rPr>
        <w:t>项目编号：FC2026704</w:t>
      </w:r>
    </w:p>
    <w:p w14:paraId="61BA4AF1">
      <w:pPr>
        <w:rPr>
          <w:rFonts w:hint="eastAsia" w:ascii="宋体" w:hAnsi="宋体"/>
          <w:color w:val="auto"/>
          <w:highlight w:val="none"/>
        </w:rPr>
      </w:pPr>
    </w:p>
    <w:p w14:paraId="2E34A1C8">
      <w:pPr>
        <w:rPr>
          <w:rFonts w:hint="eastAsia" w:ascii="宋体" w:hAnsi="宋体"/>
          <w:color w:val="auto"/>
          <w:highlight w:val="none"/>
        </w:rPr>
      </w:pPr>
    </w:p>
    <w:p w14:paraId="26AAE2A0">
      <w:pPr>
        <w:rPr>
          <w:rFonts w:hint="eastAsia" w:ascii="宋体" w:hAnsi="宋体"/>
          <w:color w:val="auto"/>
          <w:highlight w:val="none"/>
        </w:rPr>
      </w:pPr>
    </w:p>
    <w:p w14:paraId="30F80753">
      <w:pPr>
        <w:rPr>
          <w:rFonts w:hint="eastAsia" w:ascii="宋体" w:hAnsi="宋体"/>
          <w:color w:val="auto"/>
          <w:highlight w:val="none"/>
        </w:rPr>
      </w:pPr>
    </w:p>
    <w:p w14:paraId="63FAF79E">
      <w:pPr>
        <w:rPr>
          <w:rFonts w:hint="eastAsia" w:ascii="宋体" w:hAnsi="宋体"/>
          <w:color w:val="auto"/>
          <w:highlight w:val="none"/>
        </w:rPr>
      </w:pPr>
    </w:p>
    <w:p w14:paraId="6ED48355">
      <w:pPr>
        <w:pStyle w:val="20"/>
        <w:rPr>
          <w:rFonts w:hint="eastAsia"/>
        </w:rPr>
      </w:pPr>
    </w:p>
    <w:p w14:paraId="1FB7EF90">
      <w:pPr>
        <w:adjustRightInd w:val="0"/>
        <w:snapToGrid w:val="0"/>
        <w:spacing w:line="360" w:lineRule="auto"/>
        <w:rPr>
          <w:rFonts w:hint="eastAsia" w:ascii="宋体" w:hAnsi="宋体"/>
          <w:color w:val="auto"/>
          <w:sz w:val="32"/>
          <w:szCs w:val="32"/>
          <w:highlight w:val="none"/>
        </w:rPr>
      </w:pPr>
    </w:p>
    <w:p w14:paraId="2845D9E9">
      <w:pPr>
        <w:spacing w:line="240" w:lineRule="atLeast"/>
        <w:jc w:val="center"/>
        <w:outlineLvl w:val="0"/>
        <w:rPr>
          <w:rFonts w:hint="eastAsia" w:ascii="宋体" w:hAnsi="宋体"/>
          <w:b/>
          <w:bCs/>
          <w:color w:val="auto"/>
          <w:sz w:val="32"/>
          <w:szCs w:val="32"/>
          <w:highlight w:val="none"/>
          <w:lang w:val="en-US" w:eastAsia="zh-CN"/>
        </w:rPr>
      </w:pPr>
      <w:bookmarkStart w:id="3" w:name="_Toc25354"/>
      <w:bookmarkStart w:id="4" w:name="_Toc25172"/>
      <w:bookmarkStart w:id="5" w:name="_Toc15318"/>
      <w:r>
        <w:rPr>
          <w:rFonts w:hint="eastAsia" w:ascii="宋体" w:hAnsi="宋体"/>
          <w:b/>
          <w:bCs/>
          <w:color w:val="auto"/>
          <w:sz w:val="32"/>
          <w:szCs w:val="32"/>
          <w:highlight w:val="none"/>
        </w:rPr>
        <w:t>采购人</w:t>
      </w:r>
      <w:r>
        <w:rPr>
          <w:rFonts w:hint="eastAsia" w:ascii="宋体" w:hAnsi="宋体"/>
          <w:b/>
          <w:bCs/>
          <w:color w:val="auto"/>
          <w:sz w:val="32"/>
          <w:szCs w:val="32"/>
          <w:highlight w:val="none"/>
          <w:lang w:eastAsia="zh-CN"/>
        </w:rPr>
        <w:t>：</w:t>
      </w:r>
      <w:bookmarkEnd w:id="3"/>
      <w:bookmarkEnd w:id="4"/>
      <w:bookmarkEnd w:id="5"/>
      <w:r>
        <w:rPr>
          <w:rFonts w:hint="eastAsia" w:ascii="宋体" w:hAnsi="宋体"/>
          <w:b/>
          <w:bCs/>
          <w:color w:val="auto"/>
          <w:sz w:val="32"/>
          <w:szCs w:val="32"/>
          <w:highlight w:val="none"/>
          <w:lang w:eastAsia="zh-CN"/>
        </w:rPr>
        <w:t>富源县人民政府胜境街道办事处</w:t>
      </w:r>
    </w:p>
    <w:p w14:paraId="5438201B">
      <w:pPr>
        <w:spacing w:line="240" w:lineRule="atLeast"/>
        <w:ind w:firstLine="643" w:firstLineChars="200"/>
        <w:jc w:val="center"/>
        <w:outlineLvl w:val="0"/>
        <w:rPr>
          <w:rFonts w:hint="eastAsia" w:ascii="宋体" w:hAnsi="宋体"/>
          <w:b/>
          <w:bCs/>
          <w:color w:val="auto"/>
          <w:sz w:val="32"/>
          <w:szCs w:val="32"/>
          <w:highlight w:val="none"/>
        </w:rPr>
      </w:pPr>
    </w:p>
    <w:p w14:paraId="08824FB0">
      <w:pPr>
        <w:spacing w:line="240" w:lineRule="atLeast"/>
        <w:jc w:val="center"/>
        <w:outlineLvl w:val="0"/>
        <w:rPr>
          <w:rFonts w:hint="eastAsia" w:ascii="宋体" w:hAnsi="宋体"/>
          <w:b/>
          <w:bCs/>
          <w:color w:val="auto"/>
          <w:sz w:val="32"/>
          <w:szCs w:val="32"/>
          <w:highlight w:val="none"/>
        </w:rPr>
      </w:pPr>
      <w:r>
        <w:rPr>
          <w:rFonts w:hint="eastAsia" w:ascii="宋体" w:hAnsi="宋体"/>
          <w:b/>
          <w:bCs/>
          <w:color w:val="auto"/>
          <w:sz w:val="32"/>
          <w:szCs w:val="32"/>
          <w:highlight w:val="none"/>
        </w:rPr>
        <w:t>采购代理机构：</w:t>
      </w:r>
      <w:r>
        <w:rPr>
          <w:rFonts w:hint="eastAsia" w:ascii="宋体" w:hAnsi="宋体"/>
          <w:b/>
          <w:bCs/>
          <w:color w:val="auto"/>
          <w:sz w:val="32"/>
          <w:szCs w:val="32"/>
          <w:highlight w:val="none"/>
          <w:lang w:eastAsia="zh-CN"/>
        </w:rPr>
        <w:t>云南福诚招标有限公司</w:t>
      </w:r>
    </w:p>
    <w:p w14:paraId="431ABCAC">
      <w:pPr>
        <w:spacing w:line="240" w:lineRule="atLeast"/>
        <w:ind w:firstLine="643" w:firstLineChars="200"/>
        <w:jc w:val="center"/>
        <w:outlineLvl w:val="0"/>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日 </w:t>
      </w:r>
      <w:r>
        <w:rPr>
          <w:rFonts w:hint="eastAsia" w:ascii="宋体" w:hAnsi="宋体"/>
          <w:b/>
          <w:bCs/>
          <w:color w:val="auto"/>
          <w:sz w:val="32"/>
          <w:szCs w:val="32"/>
          <w:highlight w:val="none"/>
          <w:lang w:val="en-US" w:eastAsia="zh-CN"/>
        </w:rPr>
        <w:t xml:space="preserve"> </w:t>
      </w:r>
      <w:r>
        <w:rPr>
          <w:rFonts w:hint="eastAsia" w:ascii="宋体" w:hAnsi="宋体"/>
          <w:b/>
          <w:bCs/>
          <w:color w:val="auto"/>
          <w:sz w:val="32"/>
          <w:szCs w:val="32"/>
          <w:highlight w:val="none"/>
        </w:rPr>
        <w:t>期：202</w:t>
      </w:r>
      <w:r>
        <w:rPr>
          <w:rFonts w:hint="eastAsia" w:ascii="宋体" w:hAnsi="宋体"/>
          <w:b/>
          <w:bCs/>
          <w:color w:val="auto"/>
          <w:sz w:val="32"/>
          <w:szCs w:val="32"/>
          <w:highlight w:val="none"/>
          <w:lang w:val="en-US" w:eastAsia="zh-CN"/>
        </w:rPr>
        <w:t>6</w:t>
      </w:r>
      <w:r>
        <w:rPr>
          <w:rFonts w:hint="eastAsia" w:ascii="宋体" w:hAnsi="宋体"/>
          <w:b/>
          <w:bCs/>
          <w:color w:val="auto"/>
          <w:sz w:val="32"/>
          <w:szCs w:val="32"/>
          <w:highlight w:val="none"/>
        </w:rPr>
        <w:t>年</w:t>
      </w:r>
      <w:r>
        <w:rPr>
          <w:rFonts w:hint="eastAsia" w:ascii="宋体" w:hAnsi="宋体"/>
          <w:b/>
          <w:bCs/>
          <w:color w:val="auto"/>
          <w:sz w:val="32"/>
          <w:szCs w:val="32"/>
          <w:highlight w:val="none"/>
          <w:lang w:val="en-US" w:eastAsia="zh-CN"/>
        </w:rPr>
        <w:t>07</w:t>
      </w:r>
      <w:r>
        <w:rPr>
          <w:rFonts w:hint="eastAsia" w:ascii="宋体" w:hAnsi="宋体"/>
          <w:b/>
          <w:bCs/>
          <w:color w:val="auto"/>
          <w:sz w:val="32"/>
          <w:szCs w:val="32"/>
          <w:highlight w:val="none"/>
        </w:rPr>
        <w:t>月</w:t>
      </w:r>
    </w:p>
    <w:p w14:paraId="64EB05CB">
      <w:pPr>
        <w:rPr>
          <w:rFonts w:hint="eastAsia" w:asciiTheme="minorEastAsia" w:hAnsiTheme="minorEastAsia" w:eastAsiaTheme="minorEastAsia" w:cstheme="minorEastAsia"/>
          <w:b/>
          <w:bCs/>
          <w:sz w:val="44"/>
          <w:szCs w:val="44"/>
          <w:highlight w:val="none"/>
        </w:rPr>
      </w:pPr>
      <w:bookmarkStart w:id="6" w:name="_Toc19437"/>
      <w:bookmarkStart w:id="7" w:name="_Toc23788"/>
      <w:bookmarkStart w:id="8" w:name="_Toc20606"/>
      <w:r>
        <w:rPr>
          <w:rFonts w:hint="eastAsia" w:asciiTheme="minorEastAsia" w:hAnsiTheme="minorEastAsia" w:eastAsiaTheme="minorEastAsia" w:cstheme="minorEastAsia"/>
          <w:b/>
          <w:bCs/>
          <w:sz w:val="44"/>
          <w:szCs w:val="44"/>
          <w:highlight w:val="none"/>
        </w:rPr>
        <w:br w:type="page"/>
      </w:r>
    </w:p>
    <w:p w14:paraId="62BB2C25">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outlineLvl w:val="0"/>
        <w:rPr>
          <w:rFonts w:hint="eastAsia" w:ascii="宋体" w:hAnsi="Courier New" w:eastAsia="宋体" w:cs="Times New Roman"/>
          <w:b/>
          <w:bCs/>
          <w:color w:val="auto"/>
          <w:sz w:val="28"/>
          <w:szCs w:val="28"/>
          <w:lang w:eastAsia="zh-CN"/>
        </w:rPr>
      </w:pPr>
      <w:r>
        <w:rPr>
          <w:rFonts w:hint="eastAsia" w:asciiTheme="minorEastAsia" w:hAnsiTheme="minorEastAsia" w:eastAsiaTheme="minorEastAsia" w:cstheme="minorEastAsia"/>
          <w:b/>
          <w:bCs/>
          <w:sz w:val="44"/>
          <w:szCs w:val="44"/>
          <w:highlight w:val="none"/>
        </w:rPr>
        <w:t>目</w:t>
      </w:r>
      <w:r>
        <w:rPr>
          <w:rFonts w:hint="eastAsia" w:asciiTheme="minorEastAsia" w:hAnsiTheme="minorEastAsia" w:eastAsiaTheme="minorEastAsia" w:cstheme="minorEastAsia"/>
          <w:b/>
          <w:bCs/>
          <w:sz w:val="44"/>
          <w:szCs w:val="44"/>
          <w:highlight w:val="none"/>
        </w:rPr>
        <w:tab/>
      </w:r>
      <w:r>
        <w:rPr>
          <w:rFonts w:hint="eastAsia" w:asciiTheme="minorEastAsia" w:hAnsiTheme="minorEastAsia" w:cstheme="minorEastAsia"/>
          <w:b/>
          <w:bCs/>
          <w:sz w:val="44"/>
          <w:szCs w:val="44"/>
          <w:highlight w:val="none"/>
          <w:lang w:val="en-US" w:eastAsia="zh-CN"/>
        </w:rPr>
        <w:tab/>
      </w:r>
      <w:r>
        <w:rPr>
          <w:rFonts w:hint="eastAsia" w:asciiTheme="minorEastAsia" w:hAnsiTheme="minorEastAsia" w:eastAsiaTheme="minorEastAsia" w:cstheme="minorEastAsia"/>
          <w:b/>
          <w:bCs/>
          <w:sz w:val="44"/>
          <w:szCs w:val="44"/>
          <w:highlight w:val="none"/>
        </w:rPr>
        <w:t>录</w:t>
      </w:r>
      <w:bookmarkEnd w:id="6"/>
      <w:bookmarkEnd w:id="7"/>
      <w:bookmarkEnd w:id="8"/>
    </w:p>
    <w:sdt>
      <w:sdtPr>
        <w:rPr>
          <w:rFonts w:ascii="宋体" w:hAnsi="宋体" w:eastAsia="宋体" w:cstheme="minorBidi"/>
          <w:kern w:val="2"/>
          <w:sz w:val="21"/>
          <w:szCs w:val="24"/>
          <w:lang w:val="en-US" w:eastAsia="zh-CN" w:bidi="ar-SA"/>
        </w:rPr>
        <w:id w:val="147454115"/>
        <w15:color w:val="DBDBDB"/>
        <w:docPartObj>
          <w:docPartGallery w:val="Table of Contents"/>
          <w:docPartUnique/>
        </w:docPartObj>
      </w:sdtPr>
      <w:sdtEndPr>
        <w:rPr>
          <w:rFonts w:hint="eastAsia" w:asciiTheme="minorHAnsi" w:hAnsiTheme="minorHAnsi" w:eastAsiaTheme="minorEastAsia" w:cstheme="minorBidi"/>
          <w:b/>
          <w:kern w:val="2"/>
          <w:sz w:val="21"/>
          <w:szCs w:val="24"/>
          <w:lang w:val="en-US" w:eastAsia="zh-CN" w:bidi="ar-SA"/>
        </w:rPr>
      </w:sdtEndPr>
      <w:sdtContent>
        <w:p w14:paraId="48C10D41">
          <w:pPr>
            <w:spacing w:before="0" w:beforeLines="0" w:after="0" w:afterLines="0" w:line="240" w:lineRule="auto"/>
            <w:ind w:left="0" w:leftChars="0" w:right="0" w:rightChars="0" w:firstLine="0" w:firstLineChars="0"/>
            <w:jc w:val="center"/>
          </w:pPr>
        </w:p>
        <w:p w14:paraId="014BE6AF">
          <w:pPr>
            <w:pStyle w:val="66"/>
            <w:keepNext w:val="0"/>
            <w:keepLines w:val="0"/>
            <w:pageBreakBefore w:val="0"/>
            <w:widowControl/>
            <w:tabs>
              <w:tab w:val="right" w:pos="2400"/>
              <w:tab w:val="right" w:leader="dot" w:pos="8845"/>
            </w:tabs>
            <w:kinsoku/>
            <w:wordWrap/>
            <w:overflowPunct/>
            <w:topLinePunct w:val="0"/>
            <w:autoSpaceDE/>
            <w:autoSpaceDN/>
            <w:bidi w:val="0"/>
            <w:adjustRightInd/>
            <w:snapToGrid/>
            <w:spacing w:line="600" w:lineRule="auto"/>
            <w:textAlignment w:val="auto"/>
            <w:rPr>
              <w:rFonts w:hint="eastAsia" w:ascii="宋体" w:hAnsi="宋体" w:eastAsia="宋体" w:cs="宋体"/>
              <w:b w:val="0"/>
              <w:bCs/>
              <w:sz w:val="28"/>
              <w:szCs w:val="28"/>
            </w:rPr>
          </w:pPr>
          <w:r>
            <w:rPr>
              <w:rFonts w:hint="eastAsia" w:ascii="宋体" w:hAnsi="宋体" w:eastAsia="宋体" w:cs="宋体"/>
              <w:b w:val="0"/>
              <w:bCs/>
              <w:kern w:val="2"/>
              <w:sz w:val="28"/>
              <w:szCs w:val="28"/>
              <w:lang w:val="en-US" w:eastAsia="zh-CN" w:bidi="ar-SA"/>
            </w:rPr>
            <w:fldChar w:fldCharType="begin"/>
          </w:r>
          <w:r>
            <w:rPr>
              <w:rFonts w:hint="eastAsia" w:ascii="宋体" w:hAnsi="宋体" w:eastAsia="宋体" w:cs="宋体"/>
              <w:b w:val="0"/>
              <w:bCs/>
              <w:kern w:val="2"/>
              <w:sz w:val="28"/>
              <w:szCs w:val="28"/>
              <w:lang w:val="en-US" w:eastAsia="zh-CN" w:bidi="ar-SA"/>
            </w:rPr>
            <w:instrText xml:space="preserve">TOC \o "1-2" \h \u </w:instrText>
          </w:r>
          <w:r>
            <w:rPr>
              <w:rFonts w:hint="eastAsia" w:ascii="宋体" w:hAnsi="宋体" w:eastAsia="宋体" w:cs="宋体"/>
              <w:b w:val="0"/>
              <w:bCs/>
              <w:kern w:val="2"/>
              <w:sz w:val="28"/>
              <w:szCs w:val="28"/>
              <w:lang w:val="en-US" w:eastAsia="zh-CN" w:bidi="ar-SA"/>
            </w:rPr>
            <w:fldChar w:fldCharType="separate"/>
          </w:r>
          <w:r>
            <w:rPr>
              <w:rFonts w:hint="eastAsia" w:ascii="宋体" w:hAnsi="宋体" w:eastAsia="宋体" w:cs="宋体"/>
              <w:b w:val="0"/>
              <w:bCs/>
              <w:kern w:val="2"/>
              <w:sz w:val="28"/>
              <w:szCs w:val="28"/>
              <w:lang w:val="en-US" w:eastAsia="zh-CN" w:bidi="ar-SA"/>
            </w:rPr>
            <w:fldChar w:fldCharType="begin"/>
          </w:r>
          <w:r>
            <w:rPr>
              <w:rFonts w:hint="eastAsia" w:ascii="宋体" w:hAnsi="宋体" w:eastAsia="宋体" w:cs="宋体"/>
              <w:b w:val="0"/>
              <w:bCs/>
              <w:kern w:val="2"/>
              <w:sz w:val="28"/>
              <w:szCs w:val="28"/>
              <w:lang w:val="en-US" w:eastAsia="zh-CN" w:bidi="ar-SA"/>
            </w:rPr>
            <w:instrText xml:space="preserve"> HYPERLINK \l _Toc5124 </w:instrText>
          </w:r>
          <w:r>
            <w:rPr>
              <w:rFonts w:hint="eastAsia" w:ascii="宋体" w:hAnsi="宋体" w:eastAsia="宋体" w:cs="宋体"/>
              <w:b w:val="0"/>
              <w:bCs/>
              <w:kern w:val="2"/>
              <w:sz w:val="28"/>
              <w:szCs w:val="28"/>
              <w:lang w:val="en-US" w:eastAsia="zh-CN" w:bidi="ar-SA"/>
            </w:rPr>
            <w:fldChar w:fldCharType="separate"/>
          </w:r>
          <w:r>
            <w:rPr>
              <w:rFonts w:hint="eastAsia" w:ascii="宋体" w:hAnsi="宋体" w:eastAsia="宋体" w:cs="宋体"/>
              <w:b w:val="0"/>
              <w:bCs/>
              <w:kern w:val="0"/>
              <w:sz w:val="28"/>
              <w:szCs w:val="28"/>
            </w:rPr>
            <w:t>第一章</w:t>
          </w:r>
          <w:r>
            <w:rPr>
              <w:rFonts w:hint="eastAsia" w:ascii="宋体" w:hAnsi="宋体" w:eastAsia="宋体" w:cs="宋体"/>
              <w:b w:val="0"/>
              <w:bCs/>
              <w:kern w:val="0"/>
              <w:sz w:val="28"/>
              <w:szCs w:val="28"/>
              <w:lang w:val="en-US" w:eastAsia="zh-CN"/>
            </w:rPr>
            <w:t xml:space="preserve">  </w:t>
          </w:r>
          <w:r>
            <w:rPr>
              <w:rFonts w:hint="eastAsia" w:ascii="宋体" w:hAnsi="宋体" w:eastAsia="宋体" w:cs="宋体"/>
              <w:b w:val="0"/>
              <w:bCs/>
              <w:kern w:val="0"/>
              <w:sz w:val="28"/>
              <w:szCs w:val="28"/>
            </w:rPr>
            <w:t>竞争性磋商公告</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_Toc5124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2</w:t>
          </w:r>
          <w:r>
            <w:rPr>
              <w:rFonts w:hint="eastAsia" w:ascii="宋体" w:hAnsi="宋体" w:eastAsia="宋体" w:cs="宋体"/>
              <w:b w:val="0"/>
              <w:bCs/>
              <w:sz w:val="28"/>
              <w:szCs w:val="28"/>
            </w:rPr>
            <w:fldChar w:fldCharType="end"/>
          </w:r>
          <w:r>
            <w:rPr>
              <w:rFonts w:hint="eastAsia" w:ascii="宋体" w:hAnsi="宋体" w:eastAsia="宋体" w:cs="宋体"/>
              <w:b w:val="0"/>
              <w:bCs/>
              <w:kern w:val="2"/>
              <w:sz w:val="28"/>
              <w:szCs w:val="28"/>
              <w:lang w:val="en-US" w:eastAsia="zh-CN" w:bidi="ar-SA"/>
            </w:rPr>
            <w:fldChar w:fldCharType="end"/>
          </w:r>
        </w:p>
        <w:p w14:paraId="3203CB41">
          <w:pPr>
            <w:pStyle w:val="66"/>
            <w:keepNext w:val="0"/>
            <w:keepLines w:val="0"/>
            <w:pageBreakBefore w:val="0"/>
            <w:widowControl/>
            <w:tabs>
              <w:tab w:val="right" w:pos="2800"/>
              <w:tab w:val="right" w:leader="dot" w:pos="8845"/>
            </w:tabs>
            <w:kinsoku/>
            <w:wordWrap/>
            <w:overflowPunct/>
            <w:topLinePunct w:val="0"/>
            <w:autoSpaceDE/>
            <w:autoSpaceDN/>
            <w:bidi w:val="0"/>
            <w:adjustRightInd/>
            <w:snapToGrid/>
            <w:spacing w:line="600" w:lineRule="auto"/>
            <w:textAlignment w:val="auto"/>
            <w:rPr>
              <w:rFonts w:hint="eastAsia" w:ascii="宋体" w:hAnsi="宋体" w:eastAsia="宋体" w:cs="宋体"/>
              <w:b w:val="0"/>
              <w:bCs/>
              <w:sz w:val="28"/>
              <w:szCs w:val="28"/>
            </w:rPr>
          </w:pPr>
          <w:r>
            <w:rPr>
              <w:rFonts w:hint="eastAsia" w:ascii="宋体" w:hAnsi="宋体" w:eastAsia="宋体" w:cs="宋体"/>
              <w:b w:val="0"/>
              <w:bCs/>
              <w:kern w:val="2"/>
              <w:sz w:val="28"/>
              <w:szCs w:val="28"/>
              <w:lang w:val="en-US" w:eastAsia="zh-CN" w:bidi="ar-SA"/>
            </w:rPr>
            <w:fldChar w:fldCharType="begin"/>
          </w:r>
          <w:r>
            <w:rPr>
              <w:rFonts w:hint="eastAsia" w:ascii="宋体" w:hAnsi="宋体" w:eastAsia="宋体" w:cs="宋体"/>
              <w:b w:val="0"/>
              <w:bCs/>
              <w:kern w:val="2"/>
              <w:sz w:val="28"/>
              <w:szCs w:val="28"/>
              <w:lang w:val="en-US" w:eastAsia="zh-CN" w:bidi="ar-SA"/>
            </w:rPr>
            <w:instrText xml:space="preserve"> HYPERLINK \l _Toc30348 </w:instrText>
          </w:r>
          <w:r>
            <w:rPr>
              <w:rFonts w:hint="eastAsia" w:ascii="宋体" w:hAnsi="宋体" w:eastAsia="宋体" w:cs="宋体"/>
              <w:b w:val="0"/>
              <w:bCs/>
              <w:kern w:val="2"/>
              <w:sz w:val="28"/>
              <w:szCs w:val="28"/>
              <w:lang w:val="en-US" w:eastAsia="zh-CN" w:bidi="ar-SA"/>
            </w:rPr>
            <w:fldChar w:fldCharType="separate"/>
          </w:r>
          <w:r>
            <w:rPr>
              <w:rFonts w:hint="eastAsia" w:ascii="宋体" w:hAnsi="宋体" w:eastAsia="宋体" w:cs="宋体"/>
              <w:b w:val="0"/>
              <w:bCs/>
              <w:kern w:val="0"/>
              <w:sz w:val="28"/>
              <w:szCs w:val="28"/>
            </w:rPr>
            <w:t>第</w:t>
          </w:r>
          <w:r>
            <w:rPr>
              <w:rFonts w:hint="eastAsia" w:ascii="宋体" w:hAnsi="宋体" w:eastAsia="宋体" w:cs="宋体"/>
              <w:b w:val="0"/>
              <w:bCs/>
              <w:kern w:val="0"/>
              <w:sz w:val="28"/>
              <w:szCs w:val="28"/>
              <w:lang w:eastAsia="zh-CN"/>
            </w:rPr>
            <w:t>二</w:t>
          </w:r>
          <w:r>
            <w:rPr>
              <w:rFonts w:hint="eastAsia" w:ascii="宋体" w:hAnsi="宋体" w:eastAsia="宋体" w:cs="宋体"/>
              <w:b w:val="0"/>
              <w:bCs/>
              <w:kern w:val="0"/>
              <w:sz w:val="28"/>
              <w:szCs w:val="28"/>
            </w:rPr>
            <w:t>章</w:t>
          </w:r>
          <w:r>
            <w:rPr>
              <w:rFonts w:hint="eastAsia" w:ascii="宋体" w:hAnsi="宋体" w:eastAsia="宋体" w:cs="宋体"/>
              <w:b w:val="0"/>
              <w:bCs/>
              <w:kern w:val="0"/>
              <w:sz w:val="28"/>
              <w:szCs w:val="28"/>
              <w:lang w:val="en-US" w:eastAsia="zh-CN"/>
            </w:rPr>
            <w:tab/>
          </w:r>
          <w:r>
            <w:rPr>
              <w:rFonts w:hint="eastAsia" w:ascii="宋体" w:hAnsi="宋体" w:eastAsia="宋体" w:cs="宋体"/>
              <w:b w:val="0"/>
              <w:bCs/>
              <w:kern w:val="0"/>
              <w:sz w:val="28"/>
              <w:szCs w:val="28"/>
              <w:lang w:val="en-US" w:eastAsia="zh-CN"/>
            </w:rPr>
            <w:t xml:space="preserve">  </w:t>
          </w:r>
          <w:r>
            <w:rPr>
              <w:rFonts w:hint="eastAsia" w:ascii="宋体" w:hAnsi="宋体" w:eastAsia="宋体" w:cs="宋体"/>
              <w:b w:val="0"/>
              <w:bCs/>
              <w:kern w:val="0"/>
              <w:sz w:val="28"/>
              <w:szCs w:val="28"/>
              <w:lang w:eastAsia="zh-CN"/>
            </w:rPr>
            <w:t>供应商须知及供应商须知前附表</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_Toc30348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6</w:t>
          </w:r>
          <w:r>
            <w:rPr>
              <w:rFonts w:hint="eastAsia" w:ascii="宋体" w:hAnsi="宋体" w:eastAsia="宋体" w:cs="宋体"/>
              <w:b w:val="0"/>
              <w:bCs/>
              <w:sz w:val="28"/>
              <w:szCs w:val="28"/>
            </w:rPr>
            <w:fldChar w:fldCharType="end"/>
          </w:r>
          <w:r>
            <w:rPr>
              <w:rFonts w:hint="eastAsia" w:ascii="宋体" w:hAnsi="宋体" w:eastAsia="宋体" w:cs="宋体"/>
              <w:b w:val="0"/>
              <w:bCs/>
              <w:kern w:val="2"/>
              <w:sz w:val="28"/>
              <w:szCs w:val="28"/>
              <w:lang w:val="en-US" w:eastAsia="zh-CN" w:bidi="ar-SA"/>
            </w:rPr>
            <w:fldChar w:fldCharType="end"/>
          </w:r>
        </w:p>
        <w:p w14:paraId="54C1B551">
          <w:pPr>
            <w:pStyle w:val="66"/>
            <w:keepNext w:val="0"/>
            <w:keepLines w:val="0"/>
            <w:pageBreakBefore w:val="0"/>
            <w:widowControl/>
            <w:tabs>
              <w:tab w:val="right" w:leader="dot" w:pos="8845"/>
            </w:tabs>
            <w:kinsoku/>
            <w:wordWrap/>
            <w:overflowPunct/>
            <w:topLinePunct w:val="0"/>
            <w:autoSpaceDE/>
            <w:autoSpaceDN/>
            <w:bidi w:val="0"/>
            <w:adjustRightInd/>
            <w:snapToGrid/>
            <w:spacing w:line="600" w:lineRule="auto"/>
            <w:textAlignment w:val="auto"/>
            <w:rPr>
              <w:rFonts w:hint="eastAsia" w:ascii="宋体" w:hAnsi="宋体" w:eastAsia="宋体" w:cs="宋体"/>
              <w:b w:val="0"/>
              <w:bCs/>
              <w:sz w:val="28"/>
              <w:szCs w:val="28"/>
            </w:rPr>
          </w:pPr>
          <w:r>
            <w:rPr>
              <w:rFonts w:hint="eastAsia" w:ascii="宋体" w:hAnsi="宋体" w:eastAsia="宋体" w:cs="宋体"/>
              <w:b w:val="0"/>
              <w:bCs/>
              <w:kern w:val="2"/>
              <w:sz w:val="28"/>
              <w:szCs w:val="28"/>
              <w:lang w:val="en-US" w:eastAsia="zh-CN" w:bidi="ar-SA"/>
            </w:rPr>
            <w:fldChar w:fldCharType="begin"/>
          </w:r>
          <w:r>
            <w:rPr>
              <w:rFonts w:hint="eastAsia" w:ascii="宋体" w:hAnsi="宋体" w:eastAsia="宋体" w:cs="宋体"/>
              <w:b w:val="0"/>
              <w:bCs/>
              <w:kern w:val="2"/>
              <w:sz w:val="28"/>
              <w:szCs w:val="28"/>
              <w:lang w:val="en-US" w:eastAsia="zh-CN" w:bidi="ar-SA"/>
            </w:rPr>
            <w:instrText xml:space="preserve"> HYPERLINK \l _Toc16223 </w:instrText>
          </w:r>
          <w:r>
            <w:rPr>
              <w:rFonts w:hint="eastAsia" w:ascii="宋体" w:hAnsi="宋体" w:eastAsia="宋体" w:cs="宋体"/>
              <w:b w:val="0"/>
              <w:bCs/>
              <w:kern w:val="2"/>
              <w:sz w:val="28"/>
              <w:szCs w:val="28"/>
              <w:lang w:val="en-US" w:eastAsia="zh-CN" w:bidi="ar-SA"/>
            </w:rPr>
            <w:fldChar w:fldCharType="separate"/>
          </w:r>
          <w:r>
            <w:rPr>
              <w:rFonts w:hint="eastAsia" w:ascii="宋体" w:hAnsi="宋体" w:eastAsia="宋体" w:cs="宋体"/>
              <w:b w:val="0"/>
              <w:bCs/>
              <w:kern w:val="0"/>
              <w:sz w:val="28"/>
              <w:szCs w:val="28"/>
              <w:highlight w:val="none"/>
            </w:rPr>
            <w:t>第</w:t>
          </w:r>
          <w:r>
            <w:rPr>
              <w:rFonts w:hint="eastAsia" w:ascii="宋体" w:hAnsi="宋体" w:eastAsia="宋体" w:cs="宋体"/>
              <w:b w:val="0"/>
              <w:bCs/>
              <w:kern w:val="0"/>
              <w:sz w:val="28"/>
              <w:szCs w:val="28"/>
              <w:highlight w:val="none"/>
              <w:lang w:eastAsia="zh-CN"/>
            </w:rPr>
            <w:t>三</w:t>
          </w:r>
          <w:r>
            <w:rPr>
              <w:rFonts w:hint="eastAsia" w:ascii="宋体" w:hAnsi="宋体" w:eastAsia="宋体" w:cs="宋体"/>
              <w:b w:val="0"/>
              <w:bCs/>
              <w:kern w:val="0"/>
              <w:sz w:val="28"/>
              <w:szCs w:val="28"/>
              <w:highlight w:val="none"/>
            </w:rPr>
            <w:t>章</w:t>
          </w:r>
          <w:r>
            <w:rPr>
              <w:rFonts w:hint="eastAsia" w:ascii="宋体" w:hAnsi="宋体" w:eastAsia="宋体" w:cs="宋体"/>
              <w:b w:val="0"/>
              <w:bCs/>
              <w:kern w:val="0"/>
              <w:sz w:val="28"/>
              <w:szCs w:val="28"/>
              <w:highlight w:val="none"/>
              <w:lang w:val="en-US" w:eastAsia="zh-CN"/>
            </w:rPr>
            <w:t xml:space="preserve">  </w:t>
          </w:r>
          <w:r>
            <w:rPr>
              <w:rFonts w:hint="eastAsia" w:ascii="宋体" w:hAnsi="宋体" w:eastAsia="宋体" w:cs="宋体"/>
              <w:b w:val="0"/>
              <w:bCs/>
              <w:kern w:val="0"/>
              <w:sz w:val="28"/>
              <w:szCs w:val="28"/>
              <w:highlight w:val="none"/>
              <w:lang w:eastAsia="zh-CN"/>
            </w:rPr>
            <w:t>竞争性</w:t>
          </w:r>
          <w:r>
            <w:rPr>
              <w:rFonts w:hint="eastAsia" w:ascii="宋体" w:hAnsi="宋体" w:eastAsia="宋体" w:cs="宋体"/>
              <w:b w:val="0"/>
              <w:bCs/>
              <w:kern w:val="0"/>
              <w:sz w:val="28"/>
              <w:szCs w:val="28"/>
              <w:highlight w:val="none"/>
            </w:rPr>
            <w:t>磋商</w:t>
          </w:r>
          <w:r>
            <w:rPr>
              <w:rFonts w:hint="eastAsia" w:ascii="宋体" w:hAnsi="宋体" w:eastAsia="宋体" w:cs="宋体"/>
              <w:b w:val="0"/>
              <w:bCs/>
              <w:kern w:val="0"/>
              <w:sz w:val="28"/>
              <w:szCs w:val="28"/>
              <w:highlight w:val="none"/>
              <w:lang w:eastAsia="zh-CN"/>
            </w:rPr>
            <w:t>办</w:t>
          </w:r>
          <w:r>
            <w:rPr>
              <w:rFonts w:hint="eastAsia" w:ascii="宋体" w:hAnsi="宋体" w:eastAsia="宋体" w:cs="宋体"/>
              <w:b w:val="0"/>
              <w:bCs/>
              <w:kern w:val="0"/>
              <w:sz w:val="28"/>
              <w:szCs w:val="28"/>
              <w:highlight w:val="none"/>
            </w:rPr>
            <w:t>法（</w:t>
          </w:r>
          <w:r>
            <w:rPr>
              <w:rFonts w:hint="eastAsia" w:ascii="宋体" w:hAnsi="宋体" w:eastAsia="宋体" w:cs="宋体"/>
              <w:b w:val="0"/>
              <w:bCs/>
              <w:kern w:val="0"/>
              <w:sz w:val="28"/>
              <w:szCs w:val="28"/>
              <w:highlight w:val="none"/>
              <w:lang w:eastAsia="zh-CN"/>
            </w:rPr>
            <w:t>综合评分法）</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_Toc16223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28</w:t>
          </w:r>
          <w:r>
            <w:rPr>
              <w:rFonts w:hint="eastAsia" w:ascii="宋体" w:hAnsi="宋体" w:eastAsia="宋体" w:cs="宋体"/>
              <w:b w:val="0"/>
              <w:bCs/>
              <w:sz w:val="28"/>
              <w:szCs w:val="28"/>
            </w:rPr>
            <w:fldChar w:fldCharType="end"/>
          </w:r>
          <w:r>
            <w:rPr>
              <w:rFonts w:hint="eastAsia" w:ascii="宋体" w:hAnsi="宋体" w:eastAsia="宋体" w:cs="宋体"/>
              <w:b w:val="0"/>
              <w:bCs/>
              <w:kern w:val="2"/>
              <w:sz w:val="28"/>
              <w:szCs w:val="28"/>
              <w:lang w:val="en-US" w:eastAsia="zh-CN" w:bidi="ar-SA"/>
            </w:rPr>
            <w:fldChar w:fldCharType="end"/>
          </w:r>
        </w:p>
        <w:p w14:paraId="19F5544C">
          <w:pPr>
            <w:pStyle w:val="66"/>
            <w:keepNext w:val="0"/>
            <w:keepLines w:val="0"/>
            <w:pageBreakBefore w:val="0"/>
            <w:widowControl/>
            <w:tabs>
              <w:tab w:val="right" w:leader="dot" w:pos="8845"/>
            </w:tabs>
            <w:kinsoku/>
            <w:wordWrap/>
            <w:overflowPunct/>
            <w:topLinePunct w:val="0"/>
            <w:autoSpaceDE/>
            <w:autoSpaceDN/>
            <w:bidi w:val="0"/>
            <w:adjustRightInd/>
            <w:snapToGrid/>
            <w:spacing w:line="600" w:lineRule="auto"/>
            <w:textAlignment w:val="auto"/>
            <w:rPr>
              <w:rFonts w:hint="eastAsia" w:ascii="宋体" w:hAnsi="宋体" w:eastAsia="宋体" w:cs="宋体"/>
              <w:b w:val="0"/>
              <w:bCs/>
              <w:sz w:val="28"/>
              <w:szCs w:val="28"/>
            </w:rPr>
          </w:pPr>
          <w:r>
            <w:rPr>
              <w:rFonts w:hint="eastAsia" w:ascii="宋体" w:hAnsi="宋体" w:eastAsia="宋体" w:cs="宋体"/>
              <w:b w:val="0"/>
              <w:bCs/>
              <w:kern w:val="2"/>
              <w:sz w:val="28"/>
              <w:szCs w:val="28"/>
              <w:lang w:val="en-US" w:eastAsia="zh-CN" w:bidi="ar-SA"/>
            </w:rPr>
            <w:fldChar w:fldCharType="begin"/>
          </w:r>
          <w:r>
            <w:rPr>
              <w:rFonts w:hint="eastAsia" w:ascii="宋体" w:hAnsi="宋体" w:eastAsia="宋体" w:cs="宋体"/>
              <w:b w:val="0"/>
              <w:bCs/>
              <w:kern w:val="2"/>
              <w:sz w:val="28"/>
              <w:szCs w:val="28"/>
              <w:lang w:val="en-US" w:eastAsia="zh-CN" w:bidi="ar-SA"/>
            </w:rPr>
            <w:instrText xml:space="preserve"> HYPERLINK \l _Toc31881 </w:instrText>
          </w:r>
          <w:r>
            <w:rPr>
              <w:rFonts w:hint="eastAsia" w:ascii="宋体" w:hAnsi="宋体" w:eastAsia="宋体" w:cs="宋体"/>
              <w:b w:val="0"/>
              <w:bCs/>
              <w:kern w:val="2"/>
              <w:sz w:val="28"/>
              <w:szCs w:val="28"/>
              <w:lang w:val="en-US" w:eastAsia="zh-CN" w:bidi="ar-SA"/>
            </w:rPr>
            <w:fldChar w:fldCharType="separate"/>
          </w:r>
          <w:r>
            <w:rPr>
              <w:rFonts w:hint="eastAsia" w:ascii="宋体" w:hAnsi="宋体" w:eastAsia="宋体" w:cs="宋体"/>
              <w:b w:val="0"/>
              <w:bCs/>
              <w:kern w:val="0"/>
              <w:sz w:val="28"/>
              <w:szCs w:val="28"/>
              <w:highlight w:val="none"/>
              <w:lang w:val="en-US" w:eastAsia="zh-CN"/>
            </w:rPr>
            <w:t>第四章  采购需求</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_Toc31881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39</w:t>
          </w:r>
          <w:r>
            <w:rPr>
              <w:rFonts w:hint="eastAsia" w:ascii="宋体" w:hAnsi="宋体" w:eastAsia="宋体" w:cs="宋体"/>
              <w:b w:val="0"/>
              <w:bCs/>
              <w:sz w:val="28"/>
              <w:szCs w:val="28"/>
            </w:rPr>
            <w:fldChar w:fldCharType="end"/>
          </w:r>
          <w:r>
            <w:rPr>
              <w:rFonts w:hint="eastAsia" w:ascii="宋体" w:hAnsi="宋体" w:eastAsia="宋体" w:cs="宋体"/>
              <w:b w:val="0"/>
              <w:bCs/>
              <w:kern w:val="2"/>
              <w:sz w:val="28"/>
              <w:szCs w:val="28"/>
              <w:lang w:val="en-US" w:eastAsia="zh-CN" w:bidi="ar-SA"/>
            </w:rPr>
            <w:fldChar w:fldCharType="end"/>
          </w:r>
        </w:p>
        <w:p w14:paraId="47185F72">
          <w:pPr>
            <w:pStyle w:val="66"/>
            <w:keepNext w:val="0"/>
            <w:keepLines w:val="0"/>
            <w:pageBreakBefore w:val="0"/>
            <w:widowControl/>
            <w:tabs>
              <w:tab w:val="right" w:pos="2800"/>
              <w:tab w:val="right" w:leader="dot" w:pos="8845"/>
            </w:tabs>
            <w:kinsoku/>
            <w:wordWrap/>
            <w:overflowPunct/>
            <w:topLinePunct w:val="0"/>
            <w:autoSpaceDE/>
            <w:autoSpaceDN/>
            <w:bidi w:val="0"/>
            <w:adjustRightInd/>
            <w:snapToGrid/>
            <w:spacing w:line="600" w:lineRule="auto"/>
            <w:textAlignment w:val="auto"/>
            <w:rPr>
              <w:rFonts w:hint="eastAsia" w:ascii="宋体" w:hAnsi="宋体" w:eastAsia="宋体" w:cs="宋体"/>
              <w:b w:val="0"/>
              <w:bCs/>
              <w:sz w:val="28"/>
              <w:szCs w:val="28"/>
            </w:rPr>
          </w:pPr>
          <w:r>
            <w:rPr>
              <w:rFonts w:hint="eastAsia" w:ascii="宋体" w:hAnsi="宋体" w:eastAsia="宋体" w:cs="宋体"/>
              <w:b w:val="0"/>
              <w:bCs/>
              <w:kern w:val="2"/>
              <w:sz w:val="28"/>
              <w:szCs w:val="28"/>
              <w:lang w:val="en-US" w:eastAsia="zh-CN" w:bidi="ar-SA"/>
            </w:rPr>
            <w:fldChar w:fldCharType="begin"/>
          </w:r>
          <w:r>
            <w:rPr>
              <w:rFonts w:hint="eastAsia" w:ascii="宋体" w:hAnsi="宋体" w:eastAsia="宋体" w:cs="宋体"/>
              <w:b w:val="0"/>
              <w:bCs/>
              <w:kern w:val="2"/>
              <w:sz w:val="28"/>
              <w:szCs w:val="28"/>
              <w:lang w:val="en-US" w:eastAsia="zh-CN" w:bidi="ar-SA"/>
            </w:rPr>
            <w:instrText xml:space="preserve"> HYPERLINK \l _Toc20788 </w:instrText>
          </w:r>
          <w:r>
            <w:rPr>
              <w:rFonts w:hint="eastAsia" w:ascii="宋体" w:hAnsi="宋体" w:eastAsia="宋体" w:cs="宋体"/>
              <w:b w:val="0"/>
              <w:bCs/>
              <w:kern w:val="2"/>
              <w:sz w:val="28"/>
              <w:szCs w:val="28"/>
              <w:lang w:val="en-US" w:eastAsia="zh-CN" w:bidi="ar-SA"/>
            </w:rPr>
            <w:fldChar w:fldCharType="separate"/>
          </w:r>
          <w:r>
            <w:rPr>
              <w:rFonts w:hint="eastAsia" w:ascii="宋体" w:hAnsi="宋体" w:eastAsia="宋体" w:cs="宋体"/>
              <w:b w:val="0"/>
              <w:bCs/>
              <w:kern w:val="0"/>
              <w:sz w:val="28"/>
              <w:szCs w:val="28"/>
              <w:lang w:val="en-US" w:eastAsia="zh-CN"/>
            </w:rPr>
            <w:t>第五章  竞争性磋商响应文件格式</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_Toc20788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42</w:t>
          </w:r>
          <w:r>
            <w:rPr>
              <w:rFonts w:hint="eastAsia" w:ascii="宋体" w:hAnsi="宋体" w:eastAsia="宋体" w:cs="宋体"/>
              <w:b w:val="0"/>
              <w:bCs/>
              <w:sz w:val="28"/>
              <w:szCs w:val="28"/>
            </w:rPr>
            <w:fldChar w:fldCharType="end"/>
          </w:r>
          <w:r>
            <w:rPr>
              <w:rFonts w:hint="eastAsia" w:ascii="宋体" w:hAnsi="宋体" w:eastAsia="宋体" w:cs="宋体"/>
              <w:b w:val="0"/>
              <w:bCs/>
              <w:kern w:val="2"/>
              <w:sz w:val="28"/>
              <w:szCs w:val="28"/>
              <w:lang w:val="en-US" w:eastAsia="zh-CN" w:bidi="ar-SA"/>
            </w:rPr>
            <w:fldChar w:fldCharType="end"/>
          </w:r>
        </w:p>
        <w:p w14:paraId="3B3BE22F">
          <w:pPr>
            <w:pStyle w:val="66"/>
            <w:keepNext w:val="0"/>
            <w:keepLines w:val="0"/>
            <w:pageBreakBefore w:val="0"/>
            <w:widowControl/>
            <w:tabs>
              <w:tab w:val="right" w:leader="dot" w:pos="8845"/>
            </w:tabs>
            <w:kinsoku/>
            <w:wordWrap/>
            <w:overflowPunct/>
            <w:topLinePunct w:val="0"/>
            <w:autoSpaceDE/>
            <w:autoSpaceDN/>
            <w:bidi w:val="0"/>
            <w:adjustRightInd/>
            <w:snapToGrid/>
            <w:spacing w:line="600" w:lineRule="auto"/>
            <w:textAlignment w:val="auto"/>
            <w:rPr>
              <w:rFonts w:hint="eastAsia" w:ascii="宋体" w:hAnsi="宋体" w:eastAsia="宋体" w:cs="宋体"/>
              <w:b w:val="0"/>
              <w:bCs/>
              <w:sz w:val="28"/>
              <w:szCs w:val="28"/>
            </w:rPr>
          </w:pPr>
          <w:r>
            <w:rPr>
              <w:rFonts w:hint="eastAsia" w:ascii="宋体" w:hAnsi="宋体" w:eastAsia="宋体" w:cs="宋体"/>
              <w:b w:val="0"/>
              <w:bCs/>
              <w:kern w:val="2"/>
              <w:sz w:val="28"/>
              <w:szCs w:val="28"/>
              <w:lang w:val="en-US" w:eastAsia="zh-CN" w:bidi="ar-SA"/>
            </w:rPr>
            <w:fldChar w:fldCharType="begin"/>
          </w:r>
          <w:r>
            <w:rPr>
              <w:rFonts w:hint="eastAsia" w:ascii="宋体" w:hAnsi="宋体" w:eastAsia="宋体" w:cs="宋体"/>
              <w:b w:val="0"/>
              <w:bCs/>
              <w:kern w:val="2"/>
              <w:sz w:val="28"/>
              <w:szCs w:val="28"/>
              <w:lang w:val="en-US" w:eastAsia="zh-CN" w:bidi="ar-SA"/>
            </w:rPr>
            <w:instrText xml:space="preserve"> HYPERLINK \l _Toc12898 </w:instrText>
          </w:r>
          <w:r>
            <w:rPr>
              <w:rFonts w:hint="eastAsia" w:ascii="宋体" w:hAnsi="宋体" w:eastAsia="宋体" w:cs="宋体"/>
              <w:b w:val="0"/>
              <w:bCs/>
              <w:kern w:val="2"/>
              <w:sz w:val="28"/>
              <w:szCs w:val="28"/>
              <w:lang w:val="en-US" w:eastAsia="zh-CN" w:bidi="ar-SA"/>
            </w:rPr>
            <w:fldChar w:fldCharType="separate"/>
          </w:r>
          <w:r>
            <w:rPr>
              <w:rFonts w:hint="eastAsia" w:ascii="宋体" w:hAnsi="宋体" w:eastAsia="宋体" w:cs="宋体"/>
              <w:b w:val="0"/>
              <w:bCs/>
              <w:sz w:val="28"/>
              <w:szCs w:val="28"/>
              <w:lang w:val="en-US" w:eastAsia="zh-CN"/>
            </w:rPr>
            <w:t>第六章  合同书样本</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_Toc12898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64</w:t>
          </w:r>
          <w:r>
            <w:rPr>
              <w:rFonts w:hint="eastAsia" w:ascii="宋体" w:hAnsi="宋体" w:eastAsia="宋体" w:cs="宋体"/>
              <w:b w:val="0"/>
              <w:bCs/>
              <w:sz w:val="28"/>
              <w:szCs w:val="28"/>
            </w:rPr>
            <w:fldChar w:fldCharType="end"/>
          </w:r>
          <w:r>
            <w:rPr>
              <w:rFonts w:hint="eastAsia" w:ascii="宋体" w:hAnsi="宋体" w:eastAsia="宋体" w:cs="宋体"/>
              <w:b w:val="0"/>
              <w:bCs/>
              <w:kern w:val="2"/>
              <w:sz w:val="28"/>
              <w:szCs w:val="28"/>
              <w:lang w:val="en-US" w:eastAsia="zh-CN" w:bidi="ar-SA"/>
            </w:rPr>
            <w:fldChar w:fldCharType="end"/>
          </w:r>
        </w:p>
        <w:p w14:paraId="1B9E7F6C">
          <w:pPr>
            <w:keepNext w:val="0"/>
            <w:keepLines w:val="0"/>
            <w:pageBreakBefore w:val="0"/>
            <w:kinsoku/>
            <w:wordWrap/>
            <w:overflowPunct/>
            <w:topLinePunct w:val="0"/>
            <w:autoSpaceDE/>
            <w:autoSpaceDN/>
            <w:bidi w:val="0"/>
            <w:adjustRightInd/>
            <w:snapToGrid/>
            <w:spacing w:line="600" w:lineRule="auto"/>
            <w:textAlignment w:val="auto"/>
            <w:rPr>
              <w:rFonts w:hint="eastAsia" w:asciiTheme="minorHAnsi" w:hAnsiTheme="minorHAnsi" w:eastAsiaTheme="minorEastAsia" w:cstheme="minorBidi"/>
              <w:b/>
              <w:kern w:val="2"/>
              <w:sz w:val="21"/>
              <w:szCs w:val="24"/>
              <w:lang w:val="en-US" w:eastAsia="zh-CN" w:bidi="ar-SA"/>
            </w:rPr>
          </w:pPr>
          <w:r>
            <w:rPr>
              <w:rFonts w:hint="eastAsia" w:ascii="宋体" w:hAnsi="宋体" w:eastAsia="宋体" w:cs="宋体"/>
              <w:b w:val="0"/>
              <w:bCs/>
              <w:kern w:val="2"/>
              <w:sz w:val="28"/>
              <w:szCs w:val="28"/>
              <w:lang w:val="en-US" w:eastAsia="zh-CN" w:bidi="ar-SA"/>
            </w:rPr>
            <w:fldChar w:fldCharType="end"/>
          </w:r>
        </w:p>
      </w:sdtContent>
    </w:sdt>
    <w:p w14:paraId="6A4C8FBF">
      <w:pPr>
        <w:rPr>
          <w:rStyle w:val="52"/>
          <w:rFonts w:hint="eastAsia" w:ascii="黑体" w:hAnsi="黑体" w:eastAsia="宋体" w:cs="宋体"/>
          <w:b/>
          <w:bCs/>
          <w:color w:val="auto"/>
          <w:kern w:val="0"/>
          <w:sz w:val="44"/>
          <w:szCs w:val="44"/>
        </w:rPr>
      </w:pPr>
      <w:bookmarkStart w:id="9" w:name="_Toc31986"/>
      <w:bookmarkStart w:id="10" w:name="_Toc5124"/>
      <w:bookmarkStart w:id="11" w:name="_Toc11901"/>
      <w:r>
        <w:rPr>
          <w:rStyle w:val="52"/>
          <w:rFonts w:hint="eastAsia" w:ascii="黑体" w:hAnsi="黑体" w:eastAsia="宋体" w:cs="宋体"/>
          <w:b/>
          <w:bCs/>
          <w:color w:val="auto"/>
          <w:kern w:val="0"/>
          <w:sz w:val="44"/>
          <w:szCs w:val="44"/>
        </w:rPr>
        <w:br w:type="page"/>
      </w:r>
    </w:p>
    <w:p w14:paraId="197B1873">
      <w:pPr>
        <w:widowControl/>
        <w:spacing w:line="360" w:lineRule="auto"/>
        <w:jc w:val="center"/>
        <w:outlineLvl w:val="0"/>
        <w:rPr>
          <w:rStyle w:val="52"/>
          <w:rFonts w:hint="eastAsia" w:ascii="黑体" w:hAnsi="黑体" w:eastAsia="宋体" w:cs="宋体"/>
          <w:b/>
          <w:bCs/>
          <w:color w:val="auto"/>
          <w:kern w:val="0"/>
          <w:sz w:val="44"/>
          <w:szCs w:val="44"/>
        </w:rPr>
      </w:pPr>
      <w:r>
        <w:rPr>
          <w:rStyle w:val="52"/>
          <w:rFonts w:hint="eastAsia" w:ascii="黑体" w:hAnsi="黑体" w:eastAsia="宋体" w:cs="宋体"/>
          <w:b/>
          <w:bCs/>
          <w:color w:val="auto"/>
          <w:kern w:val="0"/>
          <w:sz w:val="44"/>
          <w:szCs w:val="44"/>
        </w:rPr>
        <w:t>第一章</w:t>
      </w:r>
      <w:r>
        <w:rPr>
          <w:rStyle w:val="52"/>
          <w:rFonts w:hint="eastAsia" w:ascii="黑体" w:hAnsi="黑体" w:eastAsia="宋体" w:cs="宋体"/>
          <w:b/>
          <w:bCs/>
          <w:color w:val="auto"/>
          <w:kern w:val="0"/>
          <w:sz w:val="44"/>
          <w:szCs w:val="44"/>
          <w:lang w:val="en-US" w:eastAsia="zh-CN"/>
        </w:rPr>
        <w:tab/>
      </w:r>
      <w:r>
        <w:rPr>
          <w:rStyle w:val="52"/>
          <w:rFonts w:hint="eastAsia" w:ascii="黑体" w:hAnsi="黑体" w:eastAsia="宋体" w:cs="宋体"/>
          <w:b/>
          <w:bCs/>
          <w:color w:val="auto"/>
          <w:kern w:val="0"/>
          <w:sz w:val="44"/>
          <w:szCs w:val="44"/>
        </w:rPr>
        <w:t>竞争性磋商公告</w:t>
      </w:r>
      <w:bookmarkEnd w:id="9"/>
      <w:bookmarkEnd w:id="10"/>
      <w:bookmarkEnd w:id="11"/>
    </w:p>
    <w:p w14:paraId="30882097">
      <w:pPr>
        <w:keepNext w:val="0"/>
        <w:keepLines w:val="0"/>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right="0"/>
        <w:textAlignment w:val="auto"/>
        <w:rPr>
          <w:rFonts w:hint="eastAsia" w:ascii="Times New Roman" w:hAnsi="Times New Roman" w:eastAsia="宋体" w:cs="宋体"/>
          <w:i w:val="0"/>
          <w:iCs w:val="0"/>
          <w:caps w:val="0"/>
          <w:smallCaps w:val="0"/>
          <w:color w:val="auto"/>
          <w:sz w:val="24"/>
          <w:szCs w:val="24"/>
          <w:highlight w:val="none"/>
        </w:rPr>
      </w:pPr>
      <w:bookmarkStart w:id="12" w:name="_Toc32031"/>
      <w:bookmarkEnd w:id="12"/>
      <w:bookmarkStart w:id="13" w:name="_Toc29108"/>
      <w:bookmarkEnd w:id="13"/>
      <w:r>
        <w:rPr>
          <w:rFonts w:hint="eastAsia" w:ascii="Times New Roman" w:hAnsi="Times New Roman" w:eastAsia="宋体" w:cs="宋体"/>
          <w:i w:val="0"/>
          <w:iCs w:val="0"/>
          <w:caps w:val="0"/>
          <w:smallCaps w:val="0"/>
          <w:color w:val="auto"/>
          <w:sz w:val="24"/>
          <w:szCs w:val="24"/>
          <w:highlight w:val="none"/>
        </w:rPr>
        <w:t>项目概况</w:t>
      </w:r>
    </w:p>
    <w:p w14:paraId="7AD96B83">
      <w:pPr>
        <w:keepNext w:val="0"/>
        <w:keepLines w:val="0"/>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u w:val="none"/>
        </w:rPr>
      </w:pPr>
      <w:r>
        <w:rPr>
          <w:rFonts w:hint="eastAsia" w:ascii="Times New Roman" w:hAnsi="Times New Roman" w:eastAsia="宋体" w:cs="宋体"/>
          <w:i w:val="0"/>
          <w:iCs w:val="0"/>
          <w:caps w:val="0"/>
          <w:smallCaps w:val="0"/>
          <w:color w:val="auto"/>
          <w:sz w:val="24"/>
          <w:szCs w:val="24"/>
          <w:highlight w:val="none"/>
          <w:u w:val="none"/>
          <w:lang w:eastAsia="zh-CN"/>
        </w:rPr>
        <w:t>胜境街道后矿社区大河乌猪肉制品加工设施项目</w:t>
      </w:r>
      <w:r>
        <w:rPr>
          <w:rFonts w:hint="eastAsia" w:ascii="Times New Roman" w:hAnsi="Times New Roman" w:eastAsia="宋体" w:cs="宋体"/>
          <w:i w:val="0"/>
          <w:iCs w:val="0"/>
          <w:caps w:val="0"/>
          <w:smallCaps w:val="0"/>
          <w:color w:val="auto"/>
          <w:sz w:val="24"/>
          <w:szCs w:val="24"/>
          <w:highlight w:val="none"/>
          <w:u w:val="none"/>
        </w:rPr>
        <w:t>的潜在供应商应在</w:t>
      </w:r>
      <w:r>
        <w:rPr>
          <w:rFonts w:hint="eastAsia" w:ascii="Times New Roman" w:hAnsi="Times New Roman" w:eastAsia="宋体" w:cs="宋体"/>
          <w:caps w:val="0"/>
          <w:smallCaps w:val="0"/>
          <w:color w:val="auto"/>
          <w:kern w:val="2"/>
          <w:sz w:val="24"/>
          <w:szCs w:val="24"/>
          <w:highlight w:val="none"/>
          <w:u w:val="none"/>
          <w:lang w:bidi="ar"/>
        </w:rPr>
        <w:t>政采云平台</w:t>
      </w:r>
      <w:r>
        <w:rPr>
          <w:rFonts w:hint="eastAsia" w:ascii="Times New Roman" w:hAnsi="Times New Roman" w:eastAsia="宋体" w:cs="宋体"/>
          <w:caps w:val="0"/>
          <w:smallCaps w:val="0"/>
          <w:color w:val="auto"/>
          <w:kern w:val="2"/>
          <w:sz w:val="24"/>
          <w:szCs w:val="24"/>
          <w:highlight w:val="none"/>
          <w:u w:val="none"/>
          <w:lang w:eastAsia="zh-CN" w:bidi="ar"/>
        </w:rPr>
        <w:t>(</w:t>
      </w:r>
      <w:r>
        <w:rPr>
          <w:rFonts w:hint="eastAsia" w:ascii="Times New Roman" w:hAnsi="Times New Roman" w:eastAsia="宋体" w:cs="宋体"/>
          <w:caps w:val="0"/>
          <w:smallCaps w:val="0"/>
          <w:color w:val="auto"/>
          <w:kern w:val="2"/>
          <w:sz w:val="24"/>
          <w:szCs w:val="24"/>
          <w:highlight w:val="none"/>
          <w:u w:val="none"/>
          <w:lang w:bidi="ar"/>
        </w:rPr>
        <w:t>https://www.zcygov.cn/</w:t>
      </w:r>
      <w:r>
        <w:rPr>
          <w:rFonts w:hint="eastAsia" w:ascii="Times New Roman" w:hAnsi="Times New Roman" w:eastAsia="宋体" w:cs="宋体"/>
          <w:caps w:val="0"/>
          <w:smallCaps w:val="0"/>
          <w:color w:val="auto"/>
          <w:kern w:val="2"/>
          <w:sz w:val="24"/>
          <w:szCs w:val="24"/>
          <w:highlight w:val="none"/>
          <w:u w:val="none"/>
          <w:lang w:eastAsia="zh-CN" w:bidi="ar"/>
        </w:rPr>
        <w:t>)</w:t>
      </w:r>
      <w:r>
        <w:rPr>
          <w:rFonts w:hint="eastAsia" w:ascii="Times New Roman" w:hAnsi="Times New Roman" w:eastAsia="宋体" w:cs="宋体"/>
          <w:caps w:val="0"/>
          <w:smallCaps w:val="0"/>
          <w:color w:val="auto"/>
          <w:kern w:val="2"/>
          <w:sz w:val="24"/>
          <w:szCs w:val="24"/>
          <w:highlight w:val="none"/>
          <w:u w:val="none"/>
          <w:lang w:val="en-US" w:eastAsia="zh-CN" w:bidi="ar"/>
        </w:rPr>
        <w:t>线上</w:t>
      </w:r>
      <w:r>
        <w:rPr>
          <w:rFonts w:hint="eastAsia" w:ascii="Times New Roman" w:hAnsi="Times New Roman" w:eastAsia="宋体" w:cs="宋体"/>
          <w:i w:val="0"/>
          <w:iCs w:val="0"/>
          <w:caps w:val="0"/>
          <w:smallCaps w:val="0"/>
          <w:color w:val="auto"/>
          <w:sz w:val="24"/>
          <w:szCs w:val="24"/>
          <w:highlight w:val="none"/>
          <w:u w:val="none"/>
        </w:rPr>
        <w:t>获取采购文件，并于</w:t>
      </w:r>
      <w:r>
        <w:rPr>
          <w:rFonts w:hint="eastAsia" w:asciiTheme="minorEastAsia" w:hAnsiTheme="minorEastAsia" w:eastAsiaTheme="minorEastAsia" w:cstheme="minorEastAsia"/>
          <w:i w:val="0"/>
          <w:iCs w:val="0"/>
          <w:caps w:val="0"/>
          <w:smallCaps w:val="0"/>
          <w:color w:val="auto"/>
          <w:sz w:val="24"/>
          <w:szCs w:val="24"/>
          <w:highlight w:val="none"/>
          <w:u w:val="none"/>
          <w:lang w:val="en-US" w:eastAsia="zh-CN"/>
        </w:rPr>
        <w:t>2026年7月</w:t>
      </w:r>
      <w:r>
        <w:rPr>
          <w:rFonts w:hint="eastAsia" w:asciiTheme="minorEastAsia" w:hAnsiTheme="minorEastAsia" w:eastAsiaTheme="minorEastAsia" w:cstheme="minorEastAsia"/>
          <w:bCs/>
          <w:i w:val="0"/>
          <w:iCs w:val="0"/>
          <w:caps w:val="0"/>
          <w:smallCaps w:val="0"/>
          <w:color w:val="auto"/>
          <w:sz w:val="24"/>
          <w:szCs w:val="24"/>
          <w:highlight w:val="none"/>
          <w:u w:val="none"/>
          <w:lang w:val="en-US" w:eastAsia="zh-CN"/>
        </w:rPr>
        <w:t>28</w:t>
      </w:r>
      <w:r>
        <w:rPr>
          <w:rFonts w:hint="eastAsia" w:asciiTheme="minorEastAsia" w:hAnsiTheme="minorEastAsia" w:eastAsiaTheme="minorEastAsia" w:cstheme="minorEastAsia"/>
          <w:bCs/>
          <w:i w:val="0"/>
          <w:iCs w:val="0"/>
          <w:caps w:val="0"/>
          <w:smallCaps w:val="0"/>
          <w:color w:val="auto"/>
          <w:sz w:val="24"/>
          <w:szCs w:val="24"/>
          <w:highlight w:val="none"/>
          <w:u w:val="none"/>
        </w:rPr>
        <w:t>日</w:t>
      </w:r>
      <w:r>
        <w:rPr>
          <w:rFonts w:hint="eastAsia" w:asciiTheme="minorEastAsia" w:hAnsiTheme="minorEastAsia" w:eastAsiaTheme="minorEastAsia" w:cstheme="minorEastAsia"/>
          <w:bCs/>
          <w:i w:val="0"/>
          <w:iCs w:val="0"/>
          <w:caps w:val="0"/>
          <w:smallCaps w:val="0"/>
          <w:color w:val="auto"/>
          <w:sz w:val="24"/>
          <w:szCs w:val="24"/>
          <w:highlight w:val="none"/>
          <w:u w:val="none"/>
          <w:lang w:val="en-US" w:eastAsia="zh-CN"/>
        </w:rPr>
        <w:t>15</w:t>
      </w:r>
      <w:r>
        <w:rPr>
          <w:rFonts w:hint="eastAsia" w:asciiTheme="minorEastAsia" w:hAnsiTheme="minorEastAsia" w:eastAsiaTheme="minorEastAsia" w:cstheme="minorEastAsia"/>
          <w:bCs/>
          <w:i w:val="0"/>
          <w:iCs w:val="0"/>
          <w:caps w:val="0"/>
          <w:smallCaps w:val="0"/>
          <w:color w:val="auto"/>
          <w:sz w:val="24"/>
          <w:szCs w:val="24"/>
          <w:highlight w:val="none"/>
          <w:u w:val="none"/>
        </w:rPr>
        <w:t>点</w:t>
      </w:r>
      <w:r>
        <w:rPr>
          <w:rFonts w:hint="eastAsia" w:asciiTheme="minorEastAsia" w:hAnsiTheme="minorEastAsia" w:eastAsiaTheme="minorEastAsia" w:cstheme="minorEastAsia"/>
          <w:bCs/>
          <w:i w:val="0"/>
          <w:iCs w:val="0"/>
          <w:caps w:val="0"/>
          <w:smallCaps w:val="0"/>
          <w:color w:val="auto"/>
          <w:sz w:val="24"/>
          <w:szCs w:val="24"/>
          <w:highlight w:val="none"/>
          <w:u w:val="none"/>
          <w:lang w:val="en-US" w:eastAsia="zh-CN"/>
        </w:rPr>
        <w:t>00</w:t>
      </w:r>
      <w:r>
        <w:rPr>
          <w:rFonts w:hint="eastAsia" w:asciiTheme="minorEastAsia" w:hAnsiTheme="minorEastAsia" w:eastAsiaTheme="minorEastAsia" w:cstheme="minorEastAsia"/>
          <w:bCs/>
          <w:i w:val="0"/>
          <w:iCs w:val="0"/>
          <w:caps w:val="0"/>
          <w:smallCaps w:val="0"/>
          <w:color w:val="auto"/>
          <w:sz w:val="24"/>
          <w:szCs w:val="24"/>
          <w:highlight w:val="none"/>
          <w:u w:val="none"/>
        </w:rPr>
        <w:t>分</w:t>
      </w:r>
      <w:r>
        <w:rPr>
          <w:rFonts w:hint="eastAsia" w:asciiTheme="minorEastAsia" w:hAnsiTheme="minorEastAsia" w:eastAsiaTheme="minorEastAsia" w:cstheme="minorEastAsia"/>
          <w:bCs/>
          <w:i w:val="0"/>
          <w:iCs w:val="0"/>
          <w:caps w:val="0"/>
          <w:smallCaps w:val="0"/>
          <w:color w:val="auto"/>
          <w:sz w:val="24"/>
          <w:szCs w:val="24"/>
          <w:highlight w:val="none"/>
          <w:u w:val="none"/>
          <w:lang w:eastAsia="zh-CN"/>
        </w:rPr>
        <w:t>(</w:t>
      </w:r>
      <w:r>
        <w:rPr>
          <w:rFonts w:hint="eastAsia" w:ascii="Times New Roman" w:hAnsi="Times New Roman" w:eastAsia="宋体" w:cs="宋体"/>
          <w:bCs/>
          <w:i w:val="0"/>
          <w:iCs w:val="0"/>
          <w:caps w:val="0"/>
          <w:smallCaps w:val="0"/>
          <w:color w:val="auto"/>
          <w:sz w:val="24"/>
          <w:szCs w:val="24"/>
          <w:highlight w:val="none"/>
          <w:u w:val="none"/>
        </w:rPr>
        <w:t>北京时间</w:t>
      </w:r>
      <w:r>
        <w:rPr>
          <w:rFonts w:hint="eastAsia" w:ascii="Times New Roman" w:hAnsi="Times New Roman" w:eastAsia="宋体" w:cs="宋体"/>
          <w:bCs/>
          <w:i w:val="0"/>
          <w:iCs w:val="0"/>
          <w:caps w:val="0"/>
          <w:smallCaps w:val="0"/>
          <w:color w:val="auto"/>
          <w:sz w:val="24"/>
          <w:szCs w:val="24"/>
          <w:highlight w:val="none"/>
          <w:u w:val="none"/>
          <w:lang w:eastAsia="zh-CN"/>
        </w:rPr>
        <w:t>)</w:t>
      </w:r>
      <w:r>
        <w:rPr>
          <w:rFonts w:hint="eastAsia" w:ascii="Times New Roman" w:hAnsi="Times New Roman" w:eastAsia="宋体" w:cs="宋体"/>
          <w:bCs/>
          <w:i w:val="0"/>
          <w:iCs w:val="0"/>
          <w:caps w:val="0"/>
          <w:smallCaps w:val="0"/>
          <w:color w:val="auto"/>
          <w:sz w:val="24"/>
          <w:szCs w:val="24"/>
          <w:highlight w:val="none"/>
          <w:u w:val="none"/>
        </w:rPr>
        <w:t>前提交响应文件</w:t>
      </w:r>
      <w:r>
        <w:rPr>
          <w:rFonts w:hint="eastAsia" w:ascii="Times New Roman" w:hAnsi="Times New Roman" w:eastAsia="宋体" w:cs="宋体"/>
          <w:i w:val="0"/>
          <w:iCs w:val="0"/>
          <w:caps w:val="0"/>
          <w:smallCaps w:val="0"/>
          <w:color w:val="auto"/>
          <w:sz w:val="24"/>
          <w:szCs w:val="24"/>
          <w:highlight w:val="none"/>
          <w:u w:val="none"/>
        </w:rPr>
        <w:t>。</w:t>
      </w:r>
    </w:p>
    <w:p w14:paraId="41FE7655">
      <w:pPr>
        <w:pStyle w:val="3"/>
        <w:keepNext w:val="0"/>
        <w:keepLines w:val="0"/>
        <w:pageBreakBefore w:val="0"/>
        <w:kinsoku/>
        <w:wordWrap/>
        <w:overflowPunct/>
        <w:topLinePunct w:val="0"/>
        <w:autoSpaceDE/>
        <w:autoSpaceDN/>
        <w:bidi w:val="0"/>
        <w:adjustRightInd/>
        <w:snapToGrid/>
        <w:spacing w:before="0" w:after="0" w:line="360" w:lineRule="auto"/>
        <w:ind w:left="0" w:leftChars="0" w:right="0"/>
        <w:textAlignment w:val="auto"/>
        <w:rPr>
          <w:rFonts w:hint="eastAsia" w:ascii="Times New Roman" w:hAnsi="Times New Roman" w:eastAsia="宋体" w:cs="宋体"/>
          <w:b/>
          <w:bCs w:val="0"/>
          <w:i w:val="0"/>
          <w:iCs w:val="0"/>
          <w:caps w:val="0"/>
          <w:smallCaps w:val="0"/>
          <w:color w:val="auto"/>
          <w:sz w:val="24"/>
          <w:szCs w:val="24"/>
          <w:highlight w:val="none"/>
        </w:rPr>
      </w:pPr>
      <w:bookmarkStart w:id="14" w:name="_Toc28510"/>
      <w:bookmarkStart w:id="15" w:name="_Toc4829"/>
      <w:bookmarkStart w:id="16" w:name="_Toc10879"/>
      <w:bookmarkStart w:id="17" w:name="_Toc21224"/>
      <w:bookmarkStart w:id="18" w:name="_Toc35393798"/>
      <w:bookmarkStart w:id="19" w:name="_Toc6080"/>
      <w:bookmarkStart w:id="20" w:name="_Toc19425"/>
      <w:bookmarkStart w:id="21" w:name="_Toc35393629"/>
      <w:bookmarkStart w:id="22" w:name="_Toc21195"/>
      <w:bookmarkStart w:id="23" w:name="_Toc2948"/>
      <w:bookmarkStart w:id="24" w:name="_Toc28359012"/>
      <w:bookmarkStart w:id="25" w:name="_Toc30667"/>
      <w:bookmarkStart w:id="26" w:name="_Toc28359089"/>
      <w:bookmarkStart w:id="27" w:name="_Toc2740"/>
      <w:r>
        <w:rPr>
          <w:rFonts w:hint="eastAsia" w:ascii="Times New Roman" w:hAnsi="Times New Roman" w:eastAsia="宋体" w:cs="宋体"/>
          <w:b/>
          <w:bCs w:val="0"/>
          <w:i w:val="0"/>
          <w:iCs w:val="0"/>
          <w:caps w:val="0"/>
          <w:smallCaps w:val="0"/>
          <w:color w:val="auto"/>
          <w:sz w:val="24"/>
          <w:szCs w:val="24"/>
          <w:highlight w:val="none"/>
        </w:rPr>
        <w:t>一、项目基本情况</w:t>
      </w:r>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4E450E46">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FF0000"/>
          <w:sz w:val="24"/>
          <w:szCs w:val="24"/>
          <w:highlight w:val="none"/>
          <w:lang w:eastAsia="zh-CN"/>
        </w:rPr>
      </w:pPr>
      <w:r>
        <w:rPr>
          <w:rFonts w:hint="eastAsia" w:ascii="Times New Roman" w:hAnsi="Times New Roman" w:eastAsia="宋体" w:cs="宋体"/>
          <w:i w:val="0"/>
          <w:iCs w:val="0"/>
          <w:caps w:val="0"/>
          <w:smallCaps w:val="0"/>
          <w:color w:val="auto"/>
          <w:sz w:val="24"/>
          <w:szCs w:val="24"/>
          <w:highlight w:val="none"/>
          <w:lang w:eastAsia="zh-CN"/>
        </w:rPr>
        <w:t>项目编号：</w:t>
      </w:r>
      <w:r>
        <w:rPr>
          <w:rFonts w:hint="eastAsia" w:ascii="Times New Roman" w:hAnsi="Times New Roman" w:eastAsia="宋体" w:cs="宋体"/>
          <w:i w:val="0"/>
          <w:iCs w:val="0"/>
          <w:caps w:val="0"/>
          <w:smallCaps w:val="0"/>
          <w:color w:val="auto"/>
          <w:sz w:val="24"/>
          <w:szCs w:val="24"/>
          <w:highlight w:val="none"/>
          <w:lang w:val="en-US" w:eastAsia="zh-CN"/>
        </w:rPr>
        <w:t>FC2026704</w:t>
      </w:r>
    </w:p>
    <w:p w14:paraId="3EADB881">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u w:val="single"/>
          <w:lang w:eastAsia="zh-CN"/>
        </w:rPr>
      </w:pPr>
      <w:r>
        <w:rPr>
          <w:rFonts w:hint="eastAsia" w:ascii="Times New Roman" w:hAnsi="Times New Roman" w:eastAsia="宋体" w:cs="宋体"/>
          <w:i w:val="0"/>
          <w:iCs w:val="0"/>
          <w:caps w:val="0"/>
          <w:smallCaps w:val="0"/>
          <w:color w:val="auto"/>
          <w:sz w:val="24"/>
          <w:szCs w:val="24"/>
          <w:highlight w:val="none"/>
          <w:lang w:eastAsia="zh-CN"/>
        </w:rPr>
        <w:t>项目名称：胜境街道后矿社区大河乌猪肉制品加工设施项目</w:t>
      </w:r>
    </w:p>
    <w:p w14:paraId="77E4D330">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default"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采购方式：竞争性磋商</w:t>
      </w:r>
    </w:p>
    <w:p w14:paraId="3C4F09B4">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heme="minorEastAsia" w:hAnsiTheme="minorEastAsia" w:eastAsiaTheme="minorEastAsia" w:cstheme="minorEastAsia"/>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预算金额（万元）：</w:t>
      </w:r>
      <w:r>
        <w:rPr>
          <w:rFonts w:hint="eastAsia" w:asciiTheme="minorEastAsia" w:hAnsiTheme="minorEastAsia" w:eastAsiaTheme="minorEastAsia" w:cstheme="minorEastAsia"/>
          <w:i w:val="0"/>
          <w:iCs w:val="0"/>
          <w:caps w:val="0"/>
          <w:smallCaps w:val="0"/>
          <w:color w:val="auto"/>
          <w:sz w:val="24"/>
          <w:szCs w:val="24"/>
          <w:highlight w:val="none"/>
          <w:lang w:val="en-US" w:eastAsia="zh-CN"/>
        </w:rPr>
        <w:t>300.00</w:t>
      </w:r>
    </w:p>
    <w:p w14:paraId="48EF4FB1">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heme="minorEastAsia" w:hAnsiTheme="minorEastAsia" w:eastAsiaTheme="minorEastAsia" w:cstheme="minorEastAsia"/>
          <w:i w:val="0"/>
          <w:iCs w:val="0"/>
          <w:caps w:val="0"/>
          <w:smallCaps w:val="0"/>
          <w:color w:val="auto"/>
          <w:sz w:val="24"/>
          <w:szCs w:val="24"/>
          <w:highlight w:val="none"/>
          <w:lang w:val="en-US" w:eastAsia="zh-CN"/>
        </w:rPr>
      </w:pPr>
      <w:r>
        <w:rPr>
          <w:rFonts w:hint="eastAsia" w:asciiTheme="minorEastAsia" w:hAnsiTheme="minorEastAsia" w:eastAsiaTheme="minorEastAsia" w:cstheme="minorEastAsia"/>
          <w:i w:val="0"/>
          <w:iCs w:val="0"/>
          <w:caps w:val="0"/>
          <w:smallCaps w:val="0"/>
          <w:color w:val="auto"/>
          <w:sz w:val="24"/>
          <w:szCs w:val="24"/>
          <w:highlight w:val="none"/>
          <w:lang w:val="en-US" w:eastAsia="zh-CN"/>
        </w:rPr>
        <w:t>最高限价（元）：2929085.40</w:t>
      </w:r>
    </w:p>
    <w:p w14:paraId="22A794EC">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default"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采购需求：</w:t>
      </w:r>
      <w:bookmarkStart w:id="28" w:name="_Toc31760"/>
      <w:bookmarkStart w:id="29" w:name="_Toc5876"/>
      <w:bookmarkStart w:id="30" w:name="_Toc28359090"/>
      <w:bookmarkStart w:id="31" w:name="_Toc35393799"/>
      <w:bookmarkStart w:id="32" w:name="_Toc13415"/>
      <w:bookmarkStart w:id="33" w:name="_Toc31411"/>
      <w:bookmarkStart w:id="34" w:name="_Toc16743"/>
      <w:bookmarkStart w:id="35" w:name="_Toc5293"/>
      <w:bookmarkStart w:id="36" w:name="_Toc4861"/>
      <w:bookmarkStart w:id="37" w:name="_Toc17151"/>
      <w:bookmarkStart w:id="38" w:name="_Toc35393630"/>
      <w:bookmarkStart w:id="39" w:name="_Toc28359013"/>
      <w:bookmarkStart w:id="40" w:name="_Toc5356"/>
      <w:r>
        <w:rPr>
          <w:rFonts w:hint="eastAsia" w:ascii="Times New Roman" w:hAnsi="Times New Roman" w:eastAsia="宋体" w:cs="宋体"/>
          <w:i w:val="0"/>
          <w:iCs w:val="0"/>
          <w:caps w:val="0"/>
          <w:smallCaps w:val="0"/>
          <w:color w:val="auto"/>
          <w:sz w:val="24"/>
          <w:szCs w:val="24"/>
          <w:highlight w:val="none"/>
          <w:lang w:val="en-US" w:eastAsia="zh-CN"/>
        </w:rPr>
        <w:t>在胜境街道后矿社区实施大河乌猪肉制品加工设施建设。建设内容:1、建设大河乌猪生态食用油脂提炼及油渣、乌猪系列副食品加工车间一间160平方米，土建及墙体改造，墙体无菌净化板，车间内地面排水及无菌地面地砖，水电安装及蒸汽排放1个，容器清洗台2个电加热夹层锅，精炼罐、灌装罐等配套设备购置以及安装；2、对大河乌猪肉制品加工所有车间实施生产污水排放及改造给排水工程。其中将现有车间外围明沟(20厘米)扩建到40厘米宽的暗管排放到隔油池，长度800米，增加120立方米三级隔油池，加过滤网及抽污设备；3、实施厂区生产用水水质提升，增加60立方米蓄水池2个，增加一组日净化能力达100立方米的自来水净化设备以及大功率增压泵2组；具体详见竞争性磋商文件第四章“采购需求”及本项目“招标工程量清单”。</w:t>
      </w:r>
    </w:p>
    <w:p w14:paraId="400DA272">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合同履行期限</w:t>
      </w:r>
      <w:r>
        <w:rPr>
          <w:rFonts w:hint="eastAsia" w:ascii="宋体" w:hAnsi="宋体"/>
          <w:color w:val="auto"/>
          <w:sz w:val="24"/>
          <w:szCs w:val="24"/>
          <w:highlight w:val="none"/>
          <w:lang w:val="en-US" w:eastAsia="zh-CN"/>
        </w:rPr>
        <w:t>（施工工期）</w:t>
      </w:r>
      <w:r>
        <w:rPr>
          <w:rFonts w:hint="eastAsia" w:ascii="Times New Roman" w:hAnsi="Times New Roman" w:eastAsia="宋体" w:cs="宋体"/>
          <w:i w:val="0"/>
          <w:iCs w:val="0"/>
          <w:caps w:val="0"/>
          <w:smallCaps w:val="0"/>
          <w:color w:val="auto"/>
          <w:sz w:val="24"/>
          <w:szCs w:val="24"/>
          <w:highlight w:val="none"/>
          <w:lang w:val="en-US" w:eastAsia="zh-CN"/>
        </w:rPr>
        <w:t>：</w:t>
      </w:r>
      <w:bookmarkEnd w:id="28"/>
      <w:bookmarkEnd w:id="29"/>
      <w:r>
        <w:rPr>
          <w:rFonts w:hint="eastAsia" w:ascii="Times New Roman" w:hAnsi="Times New Roman" w:eastAsia="宋体" w:cs="宋体"/>
          <w:i w:val="0"/>
          <w:iCs w:val="0"/>
          <w:caps w:val="0"/>
          <w:smallCaps w:val="0"/>
          <w:color w:val="auto"/>
          <w:sz w:val="24"/>
          <w:szCs w:val="24"/>
          <w:highlight w:val="none"/>
          <w:lang w:val="en-US" w:eastAsia="zh-CN"/>
        </w:rPr>
        <w:t>90日历天。</w:t>
      </w:r>
    </w:p>
    <w:p w14:paraId="0000F790">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default" w:ascii="Times New Roman" w:hAnsi="Times New Roman" w:eastAsia="宋体" w:cs="宋体"/>
          <w:i w:val="0"/>
          <w:iCs w:val="0"/>
          <w:caps w:val="0"/>
          <w:smallCaps w:val="0"/>
          <w:color w:val="auto"/>
          <w:sz w:val="24"/>
          <w:szCs w:val="24"/>
          <w:highlight w:val="none"/>
          <w:lang w:val="en-US" w:eastAsia="zh-CN"/>
        </w:rPr>
      </w:pPr>
      <w:bookmarkStart w:id="41" w:name="_Toc18629"/>
      <w:bookmarkStart w:id="42" w:name="_Toc16424"/>
      <w:r>
        <w:rPr>
          <w:rFonts w:hint="eastAsia" w:ascii="Times New Roman" w:hAnsi="Times New Roman" w:eastAsia="宋体" w:cs="宋体"/>
          <w:i w:val="0"/>
          <w:iCs w:val="0"/>
          <w:caps w:val="0"/>
          <w:smallCaps w:val="0"/>
          <w:color w:val="auto"/>
          <w:sz w:val="24"/>
          <w:szCs w:val="24"/>
          <w:highlight w:val="none"/>
          <w:lang w:val="en-US" w:eastAsia="zh-CN"/>
        </w:rPr>
        <w:t>本项目（否）接受联合体投标。</w:t>
      </w:r>
      <w:bookmarkEnd w:id="41"/>
      <w:bookmarkEnd w:id="42"/>
    </w:p>
    <w:p w14:paraId="79D22D6E">
      <w:pPr>
        <w:pStyle w:val="3"/>
        <w:keepNext w:val="0"/>
        <w:keepLines w:val="0"/>
        <w:pageBreakBefore w:val="0"/>
        <w:kinsoku/>
        <w:wordWrap/>
        <w:overflowPunct/>
        <w:topLinePunct w:val="0"/>
        <w:autoSpaceDE/>
        <w:autoSpaceDN/>
        <w:bidi w:val="0"/>
        <w:adjustRightInd/>
        <w:snapToGrid/>
        <w:spacing w:before="0" w:after="0" w:line="360" w:lineRule="auto"/>
        <w:ind w:left="0" w:leftChars="0" w:right="0"/>
        <w:textAlignment w:val="auto"/>
        <w:rPr>
          <w:rFonts w:hint="eastAsia" w:ascii="Times New Roman" w:hAnsi="Times New Roman" w:eastAsia="宋体" w:cs="宋体"/>
          <w:b/>
          <w:bCs w:val="0"/>
          <w:i w:val="0"/>
          <w:iCs w:val="0"/>
          <w:caps w:val="0"/>
          <w:smallCaps w:val="0"/>
          <w:color w:val="auto"/>
          <w:sz w:val="24"/>
          <w:szCs w:val="24"/>
          <w:highlight w:val="none"/>
        </w:rPr>
      </w:pPr>
      <w:bookmarkStart w:id="43" w:name="_Toc5190"/>
      <w:bookmarkStart w:id="44" w:name="_Toc2182"/>
      <w:bookmarkStart w:id="45" w:name="_Toc27865"/>
      <w:r>
        <w:rPr>
          <w:rFonts w:hint="eastAsia" w:ascii="Times New Roman" w:hAnsi="Times New Roman" w:eastAsia="宋体" w:cs="宋体"/>
          <w:b/>
          <w:bCs w:val="0"/>
          <w:i w:val="0"/>
          <w:iCs w:val="0"/>
          <w:caps w:val="0"/>
          <w:smallCaps w:val="0"/>
          <w:color w:val="auto"/>
          <w:sz w:val="24"/>
          <w:szCs w:val="24"/>
          <w:highlight w:val="none"/>
        </w:rPr>
        <w:t>二、申请人的资格要求</w:t>
      </w:r>
      <w:bookmarkEnd w:id="30"/>
      <w:bookmarkEnd w:id="31"/>
      <w:bookmarkEnd w:id="32"/>
      <w:bookmarkEnd w:id="33"/>
      <w:bookmarkEnd w:id="34"/>
      <w:bookmarkEnd w:id="35"/>
      <w:bookmarkEnd w:id="36"/>
      <w:bookmarkEnd w:id="37"/>
      <w:bookmarkEnd w:id="38"/>
      <w:bookmarkEnd w:id="39"/>
      <w:bookmarkEnd w:id="40"/>
      <w:bookmarkEnd w:id="43"/>
      <w:bookmarkEnd w:id="44"/>
      <w:bookmarkEnd w:id="45"/>
    </w:p>
    <w:p w14:paraId="56D64B07">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val="en-US" w:eastAsia="zh-CN"/>
        </w:rPr>
      </w:pPr>
      <w:bookmarkStart w:id="46" w:name="_Toc28359091"/>
      <w:bookmarkStart w:id="47" w:name="_Toc28359014"/>
      <w:r>
        <w:rPr>
          <w:rFonts w:hint="eastAsia" w:ascii="Times New Roman" w:hAnsi="Times New Roman" w:eastAsia="宋体" w:cs="宋体"/>
          <w:i w:val="0"/>
          <w:iCs w:val="0"/>
          <w:caps w:val="0"/>
          <w:smallCaps w:val="0"/>
          <w:color w:val="auto"/>
          <w:sz w:val="24"/>
          <w:szCs w:val="24"/>
          <w:highlight w:val="none"/>
          <w:lang w:val="en-US" w:eastAsia="zh-CN"/>
        </w:rPr>
        <w:t>1.参与投标的供应商必须具备《政府采购法》第二十二条规定的条件，依据《曲靖市财政局关于对政府采购供应商资格条件试行“承诺+信用管理”准入管理制的通知》(曲财采【2023】16号)规定，在政府采购活动中，供应商只需在资格审查环节提供满足下列相应条件的资格承诺函，不再需要提供相应证明资料:</w:t>
      </w:r>
    </w:p>
    <w:p w14:paraId="00CCBD15">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（1）具有独立承担民事责任的能力；</w:t>
      </w:r>
    </w:p>
    <w:p w14:paraId="68C95D7C">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（2）具有良好的商业信誉和健全的财务会计制度；</w:t>
      </w:r>
    </w:p>
    <w:p w14:paraId="2CC4851D">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（3）有依法缴纳税收和社会保障资金的良好记录；</w:t>
      </w:r>
    </w:p>
    <w:p w14:paraId="7F9D8058">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（4）具有履行合同所必需的设备和专业技术能力；</w:t>
      </w:r>
    </w:p>
    <w:p w14:paraId="53751433">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（5）参加本次政府采购活动前三年内，在经营活动中没有重大违法记录；</w:t>
      </w:r>
    </w:p>
    <w:p w14:paraId="48655899">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（6）在投标(响应)截止日期前未被列入失信被执行人名单、重大税收违法案件当事人名单、政府采购严重违法失信行为记录名单；</w:t>
      </w:r>
    </w:p>
    <w:p w14:paraId="417AA1D0">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7）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14:paraId="40514CE3">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注：存在不良信用记录的供应商，在信用修复前不适用承诺制。</w:t>
      </w:r>
    </w:p>
    <w:p w14:paraId="218E895A">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2.落实政府采购政策需满足的资格要求：</w:t>
      </w:r>
    </w:p>
    <w:p w14:paraId="2570C4A5">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2.1.根据财政部、工业和信息化部关于印发《政府采购促进中小企业发展管理办法》的通知（财库〔2020〕46号）、财政部《关于进一步加大政府采购支持中小企业力度的通知》（财库〔2022〕19号），本项目专门面向中小企业采购，符合文件要求的供应商应提交《中小企业声明函》，并上传至电子投标文件中，详见磋商文件。</w:t>
      </w:r>
    </w:p>
    <w:p w14:paraId="7BA69364">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3.本项目的特定要求：</w:t>
      </w:r>
    </w:p>
    <w:p w14:paraId="2B88697A">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（1）具备建设行政主管部门颁发的建筑工程施工总承包叁级及以上资质；</w:t>
      </w:r>
    </w:p>
    <w:p w14:paraId="08F136B6">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（2）具有有效的安全生产许可证；</w:t>
      </w:r>
    </w:p>
    <w:p w14:paraId="0AAD1ED0">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（3）拟投入项目管理人员：配备项目经理1人（具有建筑工程专业二级及以上建造师注册证书和安全生产考核合格证书且无在建、待建项目）。</w:t>
      </w:r>
    </w:p>
    <w:p w14:paraId="3124CFA8">
      <w:pPr>
        <w:pStyle w:val="3"/>
        <w:keepNext w:val="0"/>
        <w:keepLines w:val="0"/>
        <w:pageBreakBefore w:val="0"/>
        <w:kinsoku/>
        <w:wordWrap/>
        <w:overflowPunct/>
        <w:topLinePunct w:val="0"/>
        <w:autoSpaceDE/>
        <w:autoSpaceDN/>
        <w:bidi w:val="0"/>
        <w:adjustRightInd/>
        <w:snapToGrid/>
        <w:spacing w:before="0" w:after="0" w:line="360" w:lineRule="auto"/>
        <w:ind w:left="0" w:leftChars="0" w:right="0"/>
        <w:textAlignment w:val="auto"/>
        <w:rPr>
          <w:rFonts w:hint="eastAsia" w:ascii="Times New Roman" w:hAnsi="Times New Roman" w:eastAsia="宋体" w:cs="宋体"/>
          <w:b/>
          <w:bCs w:val="0"/>
          <w:i w:val="0"/>
          <w:iCs w:val="0"/>
          <w:caps w:val="0"/>
          <w:smallCaps w:val="0"/>
          <w:color w:val="auto"/>
          <w:sz w:val="24"/>
          <w:szCs w:val="24"/>
          <w:highlight w:val="none"/>
        </w:rPr>
      </w:pPr>
      <w:bookmarkStart w:id="48" w:name="_Toc4466"/>
      <w:bookmarkStart w:id="49" w:name="_Toc15494"/>
      <w:bookmarkStart w:id="50" w:name="_Toc6342"/>
      <w:bookmarkStart w:id="51" w:name="_Toc35393800"/>
      <w:bookmarkStart w:id="52" w:name="_Toc17800"/>
      <w:bookmarkStart w:id="53" w:name="_Toc11140"/>
      <w:bookmarkStart w:id="54" w:name="_Toc32619"/>
      <w:bookmarkStart w:id="55" w:name="_Toc35393631"/>
      <w:bookmarkStart w:id="56" w:name="_Toc27052"/>
      <w:bookmarkStart w:id="57" w:name="_Toc30920"/>
      <w:bookmarkStart w:id="58" w:name="_Toc21703"/>
      <w:bookmarkStart w:id="59" w:name="_Toc4403"/>
      <w:r>
        <w:rPr>
          <w:rFonts w:hint="eastAsia" w:ascii="Times New Roman" w:hAnsi="Times New Roman" w:eastAsia="宋体" w:cs="宋体"/>
          <w:b/>
          <w:bCs w:val="0"/>
          <w:i w:val="0"/>
          <w:iCs w:val="0"/>
          <w:caps w:val="0"/>
          <w:smallCaps w:val="0"/>
          <w:color w:val="auto"/>
          <w:sz w:val="24"/>
          <w:szCs w:val="24"/>
          <w:highlight w:val="none"/>
        </w:rPr>
        <w:t>三、获取采购文件</w:t>
      </w:r>
      <w:bookmarkEnd w:id="46"/>
      <w:bookmarkEnd w:id="47"/>
      <w:bookmarkEnd w:id="48"/>
      <w:bookmarkEnd w:id="49"/>
      <w:bookmarkEnd w:id="50"/>
      <w:bookmarkEnd w:id="51"/>
      <w:bookmarkEnd w:id="52"/>
      <w:bookmarkEnd w:id="53"/>
      <w:bookmarkEnd w:id="54"/>
      <w:bookmarkEnd w:id="55"/>
      <w:bookmarkEnd w:id="56"/>
      <w:bookmarkEnd w:id="57"/>
      <w:bookmarkEnd w:id="58"/>
      <w:bookmarkEnd w:id="59"/>
    </w:p>
    <w:p w14:paraId="1A79DA1E">
      <w:pPr>
        <w:keepNext w:val="0"/>
        <w:keepLines w:val="0"/>
        <w:pageBreakBefore w:val="0"/>
        <w:kinsoku/>
        <w:wordWrap/>
        <w:overflowPunct/>
        <w:topLinePunct w:val="0"/>
        <w:autoSpaceDE/>
        <w:autoSpaceDN/>
        <w:bidi w:val="0"/>
        <w:adjustRightInd/>
        <w:snapToGrid/>
        <w:spacing w:line="360" w:lineRule="auto"/>
        <w:ind w:left="0" w:leftChars="0" w:right="0" w:firstLine="540"/>
        <w:textAlignment w:val="auto"/>
        <w:rPr>
          <w:rFonts w:hint="eastAsia" w:asciiTheme="minorEastAsia" w:hAnsiTheme="minorEastAsia" w:eastAsiaTheme="minorEastAsia" w:cstheme="minorEastAsia"/>
          <w:i w:val="0"/>
          <w:iCs w:val="0"/>
          <w:caps w:val="0"/>
          <w:smallCaps w:val="0"/>
          <w:color w:val="auto"/>
          <w:sz w:val="24"/>
          <w:szCs w:val="24"/>
          <w:highlight w:val="none"/>
          <w:lang w:eastAsia="zh-CN"/>
        </w:rPr>
      </w:pPr>
      <w:r>
        <w:rPr>
          <w:rFonts w:hint="eastAsia" w:ascii="Times New Roman" w:hAnsi="Times New Roman" w:eastAsia="宋体" w:cs="宋体"/>
          <w:i w:val="0"/>
          <w:iCs w:val="0"/>
          <w:caps w:val="0"/>
          <w:smallCaps w:val="0"/>
          <w:color w:val="auto"/>
          <w:sz w:val="24"/>
          <w:szCs w:val="24"/>
          <w:highlight w:val="none"/>
        </w:rPr>
        <w:t>时</w:t>
      </w:r>
      <w:r>
        <w:rPr>
          <w:rFonts w:hint="eastAsia" w:ascii="Times New Roman" w:hAnsi="Times New Roman" w:eastAsia="宋体" w:cs="宋体"/>
          <w:i w:val="0"/>
          <w:iCs w:val="0"/>
          <w:caps w:val="0"/>
          <w:smallCaps w:val="0"/>
          <w:color w:val="auto"/>
          <w:sz w:val="24"/>
          <w:szCs w:val="24"/>
          <w:highlight w:val="none"/>
          <w:u w:val="none"/>
        </w:rPr>
        <w:t>间：</w:t>
      </w:r>
      <w:r>
        <w:rPr>
          <w:rFonts w:hint="eastAsia" w:asciiTheme="minorEastAsia" w:hAnsiTheme="minorEastAsia" w:eastAsiaTheme="minorEastAsia" w:cstheme="minorEastAsia"/>
          <w:i w:val="0"/>
          <w:iCs w:val="0"/>
          <w:caps w:val="0"/>
          <w:smallCaps w:val="0"/>
          <w:color w:val="auto"/>
          <w:sz w:val="24"/>
          <w:szCs w:val="24"/>
          <w:highlight w:val="none"/>
          <w:u w:val="none"/>
          <w:lang w:val="en-US" w:eastAsia="zh-CN"/>
        </w:rPr>
        <w:t>2026年7月15</w:t>
      </w:r>
      <w:r>
        <w:rPr>
          <w:rFonts w:hint="eastAsia" w:asciiTheme="minorEastAsia" w:hAnsiTheme="minorEastAsia" w:eastAsiaTheme="minorEastAsia" w:cstheme="minorEastAsia"/>
          <w:i w:val="0"/>
          <w:iCs w:val="0"/>
          <w:caps w:val="0"/>
          <w:smallCaps w:val="0"/>
          <w:color w:val="auto"/>
          <w:sz w:val="24"/>
          <w:szCs w:val="24"/>
          <w:highlight w:val="none"/>
          <w:u w:val="none"/>
        </w:rPr>
        <w:t>日至</w:t>
      </w:r>
      <w:r>
        <w:rPr>
          <w:rFonts w:hint="eastAsia" w:asciiTheme="minorEastAsia" w:hAnsiTheme="minorEastAsia" w:eastAsiaTheme="minorEastAsia" w:cstheme="minorEastAsia"/>
          <w:i w:val="0"/>
          <w:iCs w:val="0"/>
          <w:caps w:val="0"/>
          <w:smallCaps w:val="0"/>
          <w:color w:val="auto"/>
          <w:sz w:val="24"/>
          <w:szCs w:val="24"/>
          <w:highlight w:val="none"/>
          <w:u w:val="none"/>
          <w:lang w:val="en-US" w:eastAsia="zh-CN"/>
        </w:rPr>
        <w:t>2026年7月22</w:t>
      </w:r>
      <w:r>
        <w:rPr>
          <w:rFonts w:hint="eastAsia" w:asciiTheme="minorEastAsia" w:hAnsiTheme="minorEastAsia" w:eastAsiaTheme="minorEastAsia" w:cstheme="minorEastAsia"/>
          <w:i w:val="0"/>
          <w:iCs w:val="0"/>
          <w:caps w:val="0"/>
          <w:smallCaps w:val="0"/>
          <w:color w:val="auto"/>
          <w:sz w:val="24"/>
          <w:szCs w:val="24"/>
          <w:highlight w:val="none"/>
          <w:u w:val="none"/>
        </w:rPr>
        <w:t>日，</w:t>
      </w:r>
      <w:r>
        <w:rPr>
          <w:rFonts w:hint="eastAsia" w:asciiTheme="minorEastAsia" w:hAnsiTheme="minorEastAsia" w:eastAsiaTheme="minorEastAsia" w:cstheme="minorEastAsia"/>
          <w:i w:val="0"/>
          <w:iCs w:val="0"/>
          <w:caps w:val="0"/>
          <w:smallCaps w:val="0"/>
          <w:color w:val="auto"/>
          <w:sz w:val="24"/>
          <w:szCs w:val="24"/>
          <w:highlight w:val="none"/>
        </w:rPr>
        <w:t>每天上午0</w:t>
      </w:r>
      <w:r>
        <w:rPr>
          <w:rFonts w:hint="eastAsia" w:asciiTheme="minorEastAsia" w:hAnsiTheme="minorEastAsia" w:eastAsiaTheme="minorEastAsia" w:cstheme="minorEastAsia"/>
          <w:i w:val="0"/>
          <w:iCs w:val="0"/>
          <w:caps w:val="0"/>
          <w:smallCaps w:val="0"/>
          <w:color w:val="auto"/>
          <w:sz w:val="24"/>
          <w:szCs w:val="24"/>
          <w:highlight w:val="none"/>
          <w:lang w:val="en-US" w:eastAsia="zh-CN"/>
        </w:rPr>
        <w:t>6</w:t>
      </w:r>
      <w:r>
        <w:rPr>
          <w:rFonts w:hint="eastAsia" w:asciiTheme="minorEastAsia" w:hAnsiTheme="minorEastAsia" w:eastAsiaTheme="minorEastAsia" w:cstheme="minorEastAsia"/>
          <w:i w:val="0"/>
          <w:iCs w:val="0"/>
          <w:caps w:val="0"/>
          <w:smallCaps w:val="0"/>
          <w:color w:val="auto"/>
          <w:sz w:val="24"/>
          <w:szCs w:val="24"/>
          <w:highlight w:val="none"/>
        </w:rPr>
        <w:t>时00分至12时00分，下午12时00分至23时59分</w:t>
      </w:r>
      <w:r>
        <w:rPr>
          <w:rFonts w:hint="eastAsia" w:asciiTheme="minorEastAsia" w:hAnsiTheme="minorEastAsia" w:eastAsiaTheme="minorEastAsia" w:cstheme="minorEastAsia"/>
          <w:i w:val="0"/>
          <w:iCs w:val="0"/>
          <w:caps w:val="0"/>
          <w:smallCaps w:val="0"/>
          <w:color w:val="auto"/>
          <w:sz w:val="24"/>
          <w:szCs w:val="24"/>
          <w:highlight w:val="none"/>
          <w:lang w:eastAsia="zh-CN"/>
        </w:rPr>
        <w:t>(</w:t>
      </w:r>
      <w:r>
        <w:rPr>
          <w:rFonts w:hint="eastAsia" w:asciiTheme="minorEastAsia" w:hAnsiTheme="minorEastAsia" w:eastAsiaTheme="minorEastAsia" w:cstheme="minorEastAsia"/>
          <w:i w:val="0"/>
          <w:iCs w:val="0"/>
          <w:caps w:val="0"/>
          <w:smallCaps w:val="0"/>
          <w:color w:val="auto"/>
          <w:sz w:val="24"/>
          <w:szCs w:val="24"/>
          <w:highlight w:val="none"/>
        </w:rPr>
        <w:t>北京时间，法定节假日除外</w:t>
      </w:r>
      <w:r>
        <w:rPr>
          <w:rFonts w:hint="eastAsia" w:asciiTheme="minorEastAsia" w:hAnsiTheme="minorEastAsia" w:eastAsiaTheme="minorEastAsia" w:cstheme="minorEastAsia"/>
          <w:i w:val="0"/>
          <w:iCs w:val="0"/>
          <w:caps w:val="0"/>
          <w:smallCaps w:val="0"/>
          <w:color w:val="auto"/>
          <w:sz w:val="24"/>
          <w:szCs w:val="24"/>
          <w:highlight w:val="none"/>
          <w:lang w:eastAsia="zh-CN"/>
        </w:rPr>
        <w:t>)；</w:t>
      </w:r>
    </w:p>
    <w:p w14:paraId="4606B4DD">
      <w:pPr>
        <w:keepNext w:val="0"/>
        <w:keepLines w:val="0"/>
        <w:pageBreakBefore w:val="0"/>
        <w:kinsoku/>
        <w:wordWrap/>
        <w:overflowPunct/>
        <w:topLinePunct w:val="0"/>
        <w:autoSpaceDE/>
        <w:autoSpaceDN/>
        <w:bidi w:val="0"/>
        <w:adjustRightInd/>
        <w:snapToGrid/>
        <w:spacing w:line="360" w:lineRule="auto"/>
        <w:ind w:left="0" w:leftChars="0" w:right="0" w:firstLine="540"/>
        <w:textAlignment w:val="auto"/>
        <w:rPr>
          <w:rFonts w:hint="default"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rPr>
        <w:t>地点：</w:t>
      </w:r>
      <w:r>
        <w:rPr>
          <w:rFonts w:hint="eastAsia" w:ascii="Times New Roman" w:hAnsi="Times New Roman" w:eastAsia="宋体" w:cs="宋体"/>
          <w:i w:val="0"/>
          <w:iCs w:val="0"/>
          <w:caps w:val="0"/>
          <w:smallCaps w:val="0"/>
          <w:color w:val="auto"/>
          <w:sz w:val="24"/>
          <w:szCs w:val="24"/>
          <w:highlight w:val="none"/>
          <w:lang w:val="en-US" w:eastAsia="zh-CN"/>
        </w:rPr>
        <w:t>政采云平台线上获取</w:t>
      </w:r>
    </w:p>
    <w:p w14:paraId="587A0F55">
      <w:pPr>
        <w:keepNext w:val="0"/>
        <w:keepLines w:val="0"/>
        <w:pageBreakBefore w:val="0"/>
        <w:kinsoku/>
        <w:wordWrap/>
        <w:overflowPunct/>
        <w:topLinePunct w:val="0"/>
        <w:autoSpaceDE/>
        <w:autoSpaceDN/>
        <w:bidi w:val="0"/>
        <w:adjustRightInd/>
        <w:snapToGrid/>
        <w:spacing w:line="360" w:lineRule="auto"/>
        <w:ind w:left="0" w:leftChars="0" w:right="0" w:firstLine="540"/>
        <w:textAlignment w:val="auto"/>
        <w:rPr>
          <w:rFonts w:hint="eastAsia" w:ascii="Times New Roman" w:hAnsi="Times New Roman" w:eastAsia="宋体" w:cs="宋体"/>
          <w:i w:val="0"/>
          <w:iCs w:val="0"/>
          <w:caps w:val="0"/>
          <w:smallCaps w:val="0"/>
          <w:color w:val="auto"/>
          <w:sz w:val="24"/>
          <w:szCs w:val="24"/>
          <w:highlight w:val="none"/>
          <w:u w:val="single"/>
          <w:lang w:eastAsia="zh-CN"/>
        </w:rPr>
      </w:pPr>
      <w:r>
        <w:rPr>
          <w:rFonts w:hint="eastAsia" w:ascii="Times New Roman" w:hAnsi="Times New Roman" w:eastAsia="宋体" w:cs="宋体"/>
          <w:i w:val="0"/>
          <w:iCs w:val="0"/>
          <w:caps w:val="0"/>
          <w:smallCaps w:val="0"/>
          <w:color w:val="auto"/>
          <w:sz w:val="24"/>
          <w:szCs w:val="24"/>
          <w:highlight w:val="none"/>
          <w:lang w:val="en-US" w:eastAsia="zh-CN"/>
        </w:rPr>
        <w:t>供应商</w:t>
      </w:r>
      <w:r>
        <w:rPr>
          <w:rFonts w:hint="eastAsia" w:ascii="Times New Roman" w:hAnsi="Times New Roman" w:eastAsia="宋体" w:cs="宋体"/>
          <w:i w:val="0"/>
          <w:iCs w:val="0"/>
          <w:caps w:val="0"/>
          <w:smallCaps w:val="0"/>
          <w:color w:val="auto"/>
          <w:sz w:val="24"/>
          <w:szCs w:val="24"/>
          <w:highlight w:val="none"/>
        </w:rPr>
        <w:t>可自行在政采云平台</w:t>
      </w:r>
      <w:r>
        <w:rPr>
          <w:rFonts w:hint="eastAsia" w:ascii="Times New Roman" w:hAnsi="Times New Roman" w:eastAsia="宋体" w:cs="宋体"/>
          <w:i w:val="0"/>
          <w:iCs w:val="0"/>
          <w:caps w:val="0"/>
          <w:smallCaps w:val="0"/>
          <w:color w:val="auto"/>
          <w:sz w:val="24"/>
          <w:szCs w:val="24"/>
          <w:highlight w:val="none"/>
          <w:lang w:eastAsia="zh-CN"/>
        </w:rPr>
        <w:t>(</w:t>
      </w:r>
      <w:r>
        <w:rPr>
          <w:rFonts w:hint="eastAsia" w:ascii="Times New Roman" w:hAnsi="Times New Roman" w:eastAsia="宋体" w:cs="宋体"/>
          <w:i w:val="0"/>
          <w:iCs w:val="0"/>
          <w:caps w:val="0"/>
          <w:smallCaps w:val="0"/>
          <w:color w:val="auto"/>
          <w:sz w:val="24"/>
          <w:szCs w:val="24"/>
          <w:highlight w:val="none"/>
        </w:rPr>
        <w:t>http：//www.zcygov.cn</w:t>
      </w:r>
      <w:r>
        <w:rPr>
          <w:rFonts w:hint="eastAsia" w:ascii="Times New Roman" w:hAnsi="Times New Roman" w:eastAsia="宋体" w:cs="宋体"/>
          <w:i w:val="0"/>
          <w:iCs w:val="0"/>
          <w:caps w:val="0"/>
          <w:smallCaps w:val="0"/>
          <w:color w:val="auto"/>
          <w:sz w:val="24"/>
          <w:szCs w:val="24"/>
          <w:highlight w:val="none"/>
          <w:lang w:eastAsia="zh-CN"/>
        </w:rPr>
        <w:t>)</w:t>
      </w:r>
      <w:r>
        <w:rPr>
          <w:rFonts w:hint="eastAsia" w:ascii="Times New Roman" w:hAnsi="Times New Roman" w:eastAsia="宋体" w:cs="宋体"/>
          <w:i w:val="0"/>
          <w:iCs w:val="0"/>
          <w:caps w:val="0"/>
          <w:smallCaps w:val="0"/>
          <w:color w:val="auto"/>
          <w:sz w:val="24"/>
          <w:szCs w:val="24"/>
          <w:highlight w:val="none"/>
        </w:rPr>
        <w:t>下载</w:t>
      </w:r>
      <w:r>
        <w:rPr>
          <w:rFonts w:hint="eastAsia" w:ascii="Times New Roman" w:hAnsi="Times New Roman" w:eastAsia="宋体" w:cs="宋体"/>
          <w:i w:val="0"/>
          <w:iCs w:val="0"/>
          <w:caps w:val="0"/>
          <w:smallCaps w:val="0"/>
          <w:color w:val="auto"/>
          <w:sz w:val="24"/>
          <w:szCs w:val="24"/>
          <w:highlight w:val="none"/>
          <w:lang w:val="en-US" w:eastAsia="zh-CN"/>
        </w:rPr>
        <w:t>采购</w:t>
      </w:r>
      <w:r>
        <w:rPr>
          <w:rFonts w:hint="eastAsia" w:ascii="Times New Roman" w:hAnsi="Times New Roman" w:eastAsia="宋体" w:cs="宋体"/>
          <w:i w:val="0"/>
          <w:iCs w:val="0"/>
          <w:caps w:val="0"/>
          <w:smallCaps w:val="0"/>
          <w:color w:val="auto"/>
          <w:sz w:val="24"/>
          <w:szCs w:val="24"/>
          <w:highlight w:val="none"/>
        </w:rPr>
        <w:t>文件</w:t>
      </w:r>
      <w:r>
        <w:rPr>
          <w:rFonts w:hint="eastAsia" w:ascii="Times New Roman" w:hAnsi="Times New Roman" w:eastAsia="宋体" w:cs="宋体"/>
          <w:i w:val="0"/>
          <w:iCs w:val="0"/>
          <w:caps w:val="0"/>
          <w:smallCaps w:val="0"/>
          <w:color w:val="auto"/>
          <w:sz w:val="24"/>
          <w:szCs w:val="24"/>
          <w:highlight w:val="none"/>
          <w:lang w:eastAsia="zh-CN"/>
        </w:rPr>
        <w:t>(</w:t>
      </w:r>
      <w:r>
        <w:rPr>
          <w:rFonts w:hint="eastAsia" w:ascii="Times New Roman" w:hAnsi="Times New Roman" w:eastAsia="宋体" w:cs="宋体"/>
          <w:i w:val="0"/>
          <w:iCs w:val="0"/>
          <w:caps w:val="0"/>
          <w:smallCaps w:val="0"/>
          <w:color w:val="auto"/>
          <w:sz w:val="24"/>
          <w:szCs w:val="24"/>
          <w:highlight w:val="none"/>
        </w:rPr>
        <w:t>操作路径：登录“政采云”平台-项目采购-获取</w:t>
      </w:r>
      <w:r>
        <w:rPr>
          <w:rFonts w:hint="eastAsia" w:ascii="Times New Roman" w:hAnsi="Times New Roman" w:eastAsia="宋体" w:cs="宋体"/>
          <w:i w:val="0"/>
          <w:iCs w:val="0"/>
          <w:caps w:val="0"/>
          <w:smallCaps w:val="0"/>
          <w:color w:val="auto"/>
          <w:sz w:val="24"/>
          <w:szCs w:val="24"/>
          <w:highlight w:val="none"/>
          <w:lang w:val="en-US" w:eastAsia="zh-CN"/>
        </w:rPr>
        <w:t>采购</w:t>
      </w:r>
      <w:r>
        <w:rPr>
          <w:rFonts w:hint="eastAsia" w:ascii="Times New Roman" w:hAnsi="Times New Roman" w:eastAsia="宋体" w:cs="宋体"/>
          <w:i w:val="0"/>
          <w:iCs w:val="0"/>
          <w:caps w:val="0"/>
          <w:smallCaps w:val="0"/>
          <w:color w:val="auto"/>
          <w:sz w:val="24"/>
          <w:szCs w:val="24"/>
          <w:highlight w:val="none"/>
        </w:rPr>
        <w:t>文件-找到本项目-点击“申请获取</w:t>
      </w:r>
      <w:r>
        <w:rPr>
          <w:rFonts w:hint="eastAsia" w:ascii="Times New Roman" w:hAnsi="Times New Roman" w:eastAsia="宋体" w:cs="宋体"/>
          <w:i w:val="0"/>
          <w:iCs w:val="0"/>
          <w:caps w:val="0"/>
          <w:smallCaps w:val="0"/>
          <w:color w:val="auto"/>
          <w:sz w:val="24"/>
          <w:szCs w:val="24"/>
          <w:highlight w:val="none"/>
          <w:lang w:val="en-US" w:eastAsia="zh-CN"/>
        </w:rPr>
        <w:t>采购</w:t>
      </w:r>
      <w:r>
        <w:rPr>
          <w:rFonts w:hint="eastAsia" w:ascii="Times New Roman" w:hAnsi="Times New Roman" w:eastAsia="宋体" w:cs="宋体"/>
          <w:i w:val="0"/>
          <w:iCs w:val="0"/>
          <w:caps w:val="0"/>
          <w:smallCaps w:val="0"/>
          <w:color w:val="auto"/>
          <w:sz w:val="24"/>
          <w:szCs w:val="24"/>
          <w:highlight w:val="none"/>
        </w:rPr>
        <w:t>文件”</w:t>
      </w:r>
      <w:r>
        <w:rPr>
          <w:rFonts w:hint="eastAsia" w:ascii="Times New Roman" w:hAnsi="Times New Roman" w:eastAsia="宋体" w:cs="宋体"/>
          <w:i w:val="0"/>
          <w:iCs w:val="0"/>
          <w:caps w:val="0"/>
          <w:smallCaps w:val="0"/>
          <w:color w:val="auto"/>
          <w:sz w:val="24"/>
          <w:szCs w:val="24"/>
          <w:highlight w:val="none"/>
          <w:lang w:eastAsia="zh-CN"/>
        </w:rPr>
        <w:t>)</w:t>
      </w:r>
      <w:r>
        <w:rPr>
          <w:rFonts w:hint="eastAsia" w:ascii="Times New Roman" w:hAnsi="Times New Roman" w:eastAsia="宋体" w:cs="宋体"/>
          <w:i w:val="0"/>
          <w:iCs w:val="0"/>
          <w:caps w:val="0"/>
          <w:smallCaps w:val="0"/>
          <w:color w:val="auto"/>
          <w:sz w:val="24"/>
          <w:szCs w:val="24"/>
          <w:highlight w:val="none"/>
        </w:rPr>
        <w:t>，电子</w:t>
      </w:r>
      <w:r>
        <w:rPr>
          <w:rFonts w:hint="eastAsia" w:ascii="Times New Roman" w:hAnsi="Times New Roman" w:eastAsia="宋体" w:cs="宋体"/>
          <w:i w:val="0"/>
          <w:iCs w:val="0"/>
          <w:caps w:val="0"/>
          <w:smallCaps w:val="0"/>
          <w:color w:val="auto"/>
          <w:sz w:val="24"/>
          <w:szCs w:val="24"/>
          <w:highlight w:val="none"/>
          <w:lang w:val="en-US" w:eastAsia="zh-CN"/>
        </w:rPr>
        <w:t>响应</w:t>
      </w:r>
      <w:r>
        <w:rPr>
          <w:rFonts w:hint="eastAsia" w:ascii="Times New Roman" w:hAnsi="Times New Roman" w:eastAsia="宋体" w:cs="宋体"/>
          <w:i w:val="0"/>
          <w:iCs w:val="0"/>
          <w:caps w:val="0"/>
          <w:smallCaps w:val="0"/>
          <w:color w:val="auto"/>
          <w:sz w:val="24"/>
          <w:szCs w:val="24"/>
          <w:highlight w:val="none"/>
        </w:rPr>
        <w:t>文件制作需要基于政采云平台</w:t>
      </w:r>
      <w:r>
        <w:rPr>
          <w:rFonts w:hint="eastAsia" w:ascii="Times New Roman" w:hAnsi="Times New Roman" w:eastAsia="宋体" w:cs="宋体"/>
          <w:i w:val="0"/>
          <w:iCs w:val="0"/>
          <w:caps w:val="0"/>
          <w:smallCaps w:val="0"/>
          <w:color w:val="auto"/>
          <w:sz w:val="24"/>
          <w:szCs w:val="24"/>
          <w:highlight w:val="none"/>
          <w:lang w:eastAsia="zh-CN"/>
        </w:rPr>
        <w:t>(</w:t>
      </w:r>
      <w:r>
        <w:rPr>
          <w:rFonts w:hint="eastAsia" w:ascii="Times New Roman" w:hAnsi="Times New Roman" w:eastAsia="宋体" w:cs="宋体"/>
          <w:i w:val="0"/>
          <w:iCs w:val="0"/>
          <w:caps w:val="0"/>
          <w:smallCaps w:val="0"/>
          <w:color w:val="auto"/>
          <w:sz w:val="24"/>
          <w:szCs w:val="24"/>
          <w:highlight w:val="none"/>
        </w:rPr>
        <w:t>http：//www.zcygov.cn</w:t>
      </w:r>
      <w:r>
        <w:rPr>
          <w:rFonts w:hint="eastAsia" w:ascii="Times New Roman" w:hAnsi="Times New Roman" w:eastAsia="宋体" w:cs="宋体"/>
          <w:i w:val="0"/>
          <w:iCs w:val="0"/>
          <w:caps w:val="0"/>
          <w:smallCaps w:val="0"/>
          <w:color w:val="auto"/>
          <w:sz w:val="24"/>
          <w:szCs w:val="24"/>
          <w:highlight w:val="none"/>
          <w:lang w:eastAsia="zh-CN"/>
        </w:rPr>
        <w:t>)</w:t>
      </w:r>
      <w:r>
        <w:rPr>
          <w:rFonts w:hint="eastAsia" w:ascii="Times New Roman" w:hAnsi="Times New Roman" w:eastAsia="宋体" w:cs="宋体"/>
          <w:i w:val="0"/>
          <w:iCs w:val="0"/>
          <w:caps w:val="0"/>
          <w:smallCaps w:val="0"/>
          <w:color w:val="auto"/>
          <w:sz w:val="24"/>
          <w:szCs w:val="24"/>
          <w:highlight w:val="none"/>
        </w:rPr>
        <w:t>获取的</w:t>
      </w:r>
      <w:r>
        <w:rPr>
          <w:rFonts w:hint="eastAsia" w:ascii="Times New Roman" w:hAnsi="Times New Roman" w:eastAsia="宋体" w:cs="宋体"/>
          <w:i w:val="0"/>
          <w:iCs w:val="0"/>
          <w:caps w:val="0"/>
          <w:smallCaps w:val="0"/>
          <w:color w:val="auto"/>
          <w:sz w:val="24"/>
          <w:szCs w:val="24"/>
          <w:highlight w:val="none"/>
          <w:lang w:val="en-US" w:eastAsia="zh-CN"/>
        </w:rPr>
        <w:t>采购</w:t>
      </w:r>
      <w:r>
        <w:rPr>
          <w:rFonts w:hint="eastAsia" w:ascii="Times New Roman" w:hAnsi="Times New Roman" w:eastAsia="宋体" w:cs="宋体"/>
          <w:i w:val="0"/>
          <w:iCs w:val="0"/>
          <w:caps w:val="0"/>
          <w:smallCaps w:val="0"/>
          <w:color w:val="auto"/>
          <w:sz w:val="24"/>
          <w:szCs w:val="24"/>
          <w:highlight w:val="none"/>
        </w:rPr>
        <w:t>文件编制</w:t>
      </w:r>
      <w:r>
        <w:rPr>
          <w:rFonts w:hint="eastAsia" w:ascii="Times New Roman" w:hAnsi="Times New Roman" w:eastAsia="宋体" w:cs="宋体"/>
          <w:i w:val="0"/>
          <w:iCs w:val="0"/>
          <w:caps w:val="0"/>
          <w:smallCaps w:val="0"/>
          <w:color w:val="auto"/>
          <w:sz w:val="24"/>
          <w:szCs w:val="24"/>
          <w:highlight w:val="none"/>
          <w:lang w:eastAsia="zh-CN"/>
        </w:rPr>
        <w:t>。</w:t>
      </w:r>
    </w:p>
    <w:p w14:paraId="0391F652">
      <w:pPr>
        <w:keepNext w:val="0"/>
        <w:keepLines w:val="0"/>
        <w:pageBreakBefore w:val="0"/>
        <w:kinsoku/>
        <w:wordWrap/>
        <w:overflowPunct/>
        <w:topLinePunct w:val="0"/>
        <w:autoSpaceDE/>
        <w:autoSpaceDN/>
        <w:bidi w:val="0"/>
        <w:adjustRightInd/>
        <w:snapToGrid/>
        <w:spacing w:line="360" w:lineRule="auto"/>
        <w:ind w:left="0" w:leftChars="0" w:right="0" w:firstLine="540"/>
        <w:textAlignment w:val="auto"/>
        <w:rPr>
          <w:rFonts w:hint="eastAsia" w:ascii="Times New Roman" w:hAnsi="Times New Roman" w:eastAsia="宋体" w:cs="宋体"/>
          <w:i w:val="0"/>
          <w:iCs w:val="0"/>
          <w:caps w:val="0"/>
          <w:smallCaps w:val="0"/>
          <w:color w:val="auto"/>
          <w:sz w:val="24"/>
          <w:szCs w:val="24"/>
          <w:highlight w:val="none"/>
          <w:u w:val="single"/>
          <w:lang w:eastAsia="zh-CN"/>
        </w:rPr>
      </w:pPr>
      <w:r>
        <w:rPr>
          <w:rFonts w:hint="eastAsia" w:ascii="Times New Roman" w:hAnsi="Times New Roman" w:eastAsia="宋体" w:cs="宋体"/>
          <w:i w:val="0"/>
          <w:iCs w:val="0"/>
          <w:caps w:val="0"/>
          <w:smallCaps w:val="0"/>
          <w:color w:val="auto"/>
          <w:sz w:val="24"/>
          <w:szCs w:val="24"/>
          <w:highlight w:val="none"/>
        </w:rPr>
        <w:t>方式：凡有意参加</w:t>
      </w:r>
      <w:r>
        <w:rPr>
          <w:rFonts w:hint="eastAsia" w:ascii="Times New Roman" w:hAnsi="Times New Roman" w:eastAsia="宋体" w:cs="宋体"/>
          <w:i w:val="0"/>
          <w:iCs w:val="0"/>
          <w:caps w:val="0"/>
          <w:smallCaps w:val="0"/>
          <w:color w:val="auto"/>
          <w:sz w:val="24"/>
          <w:szCs w:val="24"/>
          <w:highlight w:val="none"/>
          <w:lang w:val="en-US" w:eastAsia="zh-CN"/>
        </w:rPr>
        <w:t>磋商</w:t>
      </w:r>
      <w:r>
        <w:rPr>
          <w:rFonts w:hint="eastAsia" w:ascii="Times New Roman" w:hAnsi="Times New Roman" w:eastAsia="宋体" w:cs="宋体"/>
          <w:i w:val="0"/>
          <w:iCs w:val="0"/>
          <w:caps w:val="0"/>
          <w:smallCaps w:val="0"/>
          <w:color w:val="auto"/>
          <w:sz w:val="24"/>
          <w:szCs w:val="24"/>
          <w:highlight w:val="none"/>
        </w:rPr>
        <w:t>者，须在政采云平台办理数字证书</w:t>
      </w:r>
      <w:r>
        <w:rPr>
          <w:rFonts w:hint="eastAsia" w:ascii="Times New Roman" w:hAnsi="Times New Roman" w:eastAsia="宋体" w:cs="宋体"/>
          <w:i w:val="0"/>
          <w:iCs w:val="0"/>
          <w:caps w:val="0"/>
          <w:smallCaps w:val="0"/>
          <w:color w:val="auto"/>
          <w:sz w:val="24"/>
          <w:szCs w:val="24"/>
          <w:highlight w:val="none"/>
          <w:lang w:eastAsia="zh-CN"/>
        </w:rPr>
        <w:t>(</w:t>
      </w:r>
      <w:r>
        <w:rPr>
          <w:rFonts w:hint="eastAsia" w:ascii="Times New Roman" w:hAnsi="Times New Roman" w:eastAsia="宋体" w:cs="宋体"/>
          <w:i w:val="0"/>
          <w:iCs w:val="0"/>
          <w:caps w:val="0"/>
          <w:smallCaps w:val="0"/>
          <w:color w:val="auto"/>
          <w:sz w:val="24"/>
          <w:szCs w:val="24"/>
          <w:highlight w:val="none"/>
        </w:rPr>
        <w:t>CA</w:t>
      </w:r>
      <w:r>
        <w:rPr>
          <w:rFonts w:hint="eastAsia" w:ascii="Times New Roman" w:hAnsi="Times New Roman" w:eastAsia="宋体" w:cs="宋体"/>
          <w:i w:val="0"/>
          <w:iCs w:val="0"/>
          <w:caps w:val="0"/>
          <w:smallCaps w:val="0"/>
          <w:color w:val="auto"/>
          <w:sz w:val="24"/>
          <w:szCs w:val="24"/>
          <w:highlight w:val="none"/>
          <w:lang w:eastAsia="zh-CN"/>
        </w:rPr>
        <w:t>)</w:t>
      </w:r>
      <w:r>
        <w:rPr>
          <w:rFonts w:hint="eastAsia" w:ascii="Times New Roman" w:hAnsi="Times New Roman" w:eastAsia="宋体" w:cs="宋体"/>
          <w:i w:val="0"/>
          <w:iCs w:val="0"/>
          <w:caps w:val="0"/>
          <w:smallCaps w:val="0"/>
          <w:color w:val="auto"/>
          <w:sz w:val="24"/>
          <w:szCs w:val="24"/>
          <w:highlight w:val="none"/>
        </w:rPr>
        <w:t>，CA申领链接：https://middle.zcygov.cn/ca/apply/list?_app_=zcy.sys，并在政采云绑定数字证书</w:t>
      </w:r>
      <w:r>
        <w:rPr>
          <w:rFonts w:hint="eastAsia" w:ascii="Times New Roman" w:hAnsi="Times New Roman" w:eastAsia="宋体" w:cs="宋体"/>
          <w:i w:val="0"/>
          <w:iCs w:val="0"/>
          <w:caps w:val="0"/>
          <w:smallCaps w:val="0"/>
          <w:color w:val="auto"/>
          <w:sz w:val="24"/>
          <w:szCs w:val="24"/>
          <w:highlight w:val="none"/>
          <w:lang w:eastAsia="zh-CN"/>
        </w:rPr>
        <w:t>(</w:t>
      </w:r>
      <w:r>
        <w:rPr>
          <w:rFonts w:hint="eastAsia" w:ascii="Times New Roman" w:hAnsi="Times New Roman" w:eastAsia="宋体" w:cs="宋体"/>
          <w:i w:val="0"/>
          <w:iCs w:val="0"/>
          <w:caps w:val="0"/>
          <w:smallCaps w:val="0"/>
          <w:color w:val="auto"/>
          <w:sz w:val="24"/>
          <w:szCs w:val="24"/>
          <w:highlight w:val="none"/>
        </w:rPr>
        <w:t>CA</w:t>
      </w:r>
      <w:r>
        <w:rPr>
          <w:rFonts w:hint="eastAsia" w:ascii="Times New Roman" w:hAnsi="Times New Roman" w:eastAsia="宋体" w:cs="宋体"/>
          <w:i w:val="0"/>
          <w:iCs w:val="0"/>
          <w:caps w:val="0"/>
          <w:smallCaps w:val="0"/>
          <w:color w:val="auto"/>
          <w:sz w:val="24"/>
          <w:szCs w:val="24"/>
          <w:highlight w:val="none"/>
          <w:lang w:eastAsia="zh-CN"/>
        </w:rPr>
        <w:t>)</w:t>
      </w:r>
      <w:r>
        <w:rPr>
          <w:rFonts w:hint="eastAsia" w:ascii="Times New Roman" w:hAnsi="Times New Roman" w:eastAsia="宋体" w:cs="宋体"/>
          <w:i w:val="0"/>
          <w:iCs w:val="0"/>
          <w:caps w:val="0"/>
          <w:smallCaps w:val="0"/>
          <w:color w:val="auto"/>
          <w:sz w:val="24"/>
          <w:szCs w:val="24"/>
          <w:highlight w:val="none"/>
        </w:rPr>
        <w:t>后在网上获取</w:t>
      </w:r>
      <w:r>
        <w:rPr>
          <w:rFonts w:hint="eastAsia" w:ascii="Times New Roman" w:hAnsi="Times New Roman" w:eastAsia="宋体" w:cs="宋体"/>
          <w:i w:val="0"/>
          <w:iCs w:val="0"/>
          <w:caps w:val="0"/>
          <w:smallCaps w:val="0"/>
          <w:color w:val="auto"/>
          <w:sz w:val="24"/>
          <w:szCs w:val="24"/>
          <w:highlight w:val="none"/>
          <w:lang w:val="en-US" w:eastAsia="zh-CN"/>
        </w:rPr>
        <w:t>采购</w:t>
      </w:r>
      <w:r>
        <w:rPr>
          <w:rFonts w:hint="eastAsia" w:ascii="Times New Roman" w:hAnsi="Times New Roman" w:eastAsia="宋体" w:cs="宋体"/>
          <w:i w:val="0"/>
          <w:iCs w:val="0"/>
          <w:caps w:val="0"/>
          <w:smallCaps w:val="0"/>
          <w:color w:val="auto"/>
          <w:sz w:val="24"/>
          <w:szCs w:val="24"/>
          <w:highlight w:val="none"/>
        </w:rPr>
        <w:t>文件</w:t>
      </w:r>
      <w:r>
        <w:rPr>
          <w:rFonts w:hint="eastAsia" w:ascii="Times New Roman" w:hAnsi="Times New Roman" w:eastAsia="宋体" w:cs="宋体"/>
          <w:i w:val="0"/>
          <w:iCs w:val="0"/>
          <w:caps w:val="0"/>
          <w:smallCaps w:val="0"/>
          <w:color w:val="auto"/>
          <w:sz w:val="24"/>
          <w:szCs w:val="24"/>
          <w:highlight w:val="none"/>
          <w:lang w:eastAsia="zh-CN"/>
        </w:rPr>
        <w:t>及其他</w:t>
      </w:r>
      <w:r>
        <w:rPr>
          <w:rFonts w:hint="eastAsia" w:ascii="Times New Roman" w:hAnsi="Times New Roman" w:eastAsia="宋体" w:cs="宋体"/>
          <w:i w:val="0"/>
          <w:iCs w:val="0"/>
          <w:caps w:val="0"/>
          <w:smallCaps w:val="0"/>
          <w:color w:val="auto"/>
          <w:sz w:val="24"/>
          <w:szCs w:val="24"/>
          <w:highlight w:val="none"/>
        </w:rPr>
        <w:t>采购资料，数字证书</w:t>
      </w:r>
      <w:r>
        <w:rPr>
          <w:rFonts w:hint="eastAsia" w:ascii="Times New Roman" w:hAnsi="Times New Roman" w:eastAsia="宋体" w:cs="宋体"/>
          <w:i w:val="0"/>
          <w:iCs w:val="0"/>
          <w:caps w:val="0"/>
          <w:smallCaps w:val="0"/>
          <w:color w:val="auto"/>
          <w:sz w:val="24"/>
          <w:szCs w:val="24"/>
          <w:highlight w:val="none"/>
          <w:lang w:eastAsia="zh-CN"/>
        </w:rPr>
        <w:t>(</w:t>
      </w:r>
      <w:r>
        <w:rPr>
          <w:rFonts w:hint="eastAsia" w:ascii="Times New Roman" w:hAnsi="Times New Roman" w:eastAsia="宋体" w:cs="宋体"/>
          <w:i w:val="0"/>
          <w:iCs w:val="0"/>
          <w:caps w:val="0"/>
          <w:smallCaps w:val="0"/>
          <w:color w:val="auto"/>
          <w:sz w:val="24"/>
          <w:szCs w:val="24"/>
          <w:highlight w:val="none"/>
        </w:rPr>
        <w:t>CA</w:t>
      </w:r>
      <w:r>
        <w:rPr>
          <w:rFonts w:hint="eastAsia" w:ascii="Times New Roman" w:hAnsi="Times New Roman" w:eastAsia="宋体" w:cs="宋体"/>
          <w:i w:val="0"/>
          <w:iCs w:val="0"/>
          <w:caps w:val="0"/>
          <w:smallCaps w:val="0"/>
          <w:color w:val="auto"/>
          <w:sz w:val="24"/>
          <w:szCs w:val="24"/>
          <w:highlight w:val="none"/>
          <w:lang w:eastAsia="zh-CN"/>
        </w:rPr>
        <w:t>)</w:t>
      </w:r>
      <w:r>
        <w:rPr>
          <w:rFonts w:hint="eastAsia" w:ascii="Times New Roman" w:hAnsi="Times New Roman" w:eastAsia="宋体" w:cs="宋体"/>
          <w:i w:val="0"/>
          <w:iCs w:val="0"/>
          <w:caps w:val="0"/>
          <w:smallCaps w:val="0"/>
          <w:color w:val="auto"/>
          <w:sz w:val="24"/>
          <w:szCs w:val="24"/>
          <w:highlight w:val="none"/>
        </w:rPr>
        <w:t>详见其办理流程。注：云南本地供应商如之前已在云南 CA在线数字证书办理网进行过注册并办理过企业数字证书</w:t>
      </w:r>
      <w:r>
        <w:rPr>
          <w:rFonts w:hint="eastAsia" w:ascii="Times New Roman" w:hAnsi="Times New Roman" w:eastAsia="宋体" w:cs="宋体"/>
          <w:i w:val="0"/>
          <w:iCs w:val="0"/>
          <w:caps w:val="0"/>
          <w:smallCaps w:val="0"/>
          <w:color w:val="auto"/>
          <w:sz w:val="24"/>
          <w:szCs w:val="24"/>
          <w:highlight w:val="none"/>
          <w:lang w:eastAsia="zh-CN"/>
        </w:rPr>
        <w:t>(</w:t>
      </w:r>
      <w:r>
        <w:rPr>
          <w:rFonts w:hint="eastAsia" w:ascii="Times New Roman" w:hAnsi="Times New Roman" w:eastAsia="宋体" w:cs="宋体"/>
          <w:i w:val="0"/>
          <w:iCs w:val="0"/>
          <w:caps w:val="0"/>
          <w:smallCaps w:val="0"/>
          <w:color w:val="auto"/>
          <w:sz w:val="24"/>
          <w:szCs w:val="24"/>
          <w:highlight w:val="none"/>
        </w:rPr>
        <w:t>CA</w:t>
      </w:r>
      <w:r>
        <w:rPr>
          <w:rFonts w:hint="eastAsia" w:ascii="Times New Roman" w:hAnsi="Times New Roman" w:eastAsia="宋体" w:cs="宋体"/>
          <w:i w:val="0"/>
          <w:iCs w:val="0"/>
          <w:caps w:val="0"/>
          <w:smallCaps w:val="0"/>
          <w:color w:val="auto"/>
          <w:sz w:val="24"/>
          <w:szCs w:val="24"/>
          <w:highlight w:val="none"/>
          <w:lang w:eastAsia="zh-CN"/>
        </w:rPr>
        <w:t>)</w:t>
      </w:r>
      <w:r>
        <w:rPr>
          <w:rFonts w:hint="eastAsia" w:ascii="Times New Roman" w:hAnsi="Times New Roman" w:eastAsia="宋体" w:cs="宋体"/>
          <w:i w:val="0"/>
          <w:iCs w:val="0"/>
          <w:caps w:val="0"/>
          <w:smallCaps w:val="0"/>
          <w:color w:val="auto"/>
          <w:sz w:val="24"/>
          <w:szCs w:val="24"/>
          <w:highlight w:val="none"/>
        </w:rPr>
        <w:t>，直接绑定即可，无需重复办理。外省供应商在政采云平台办理的其他CA可直接使用，无需重复办理</w:t>
      </w:r>
      <w:r>
        <w:rPr>
          <w:rFonts w:hint="eastAsia" w:ascii="Times New Roman" w:hAnsi="Times New Roman" w:eastAsia="宋体" w:cs="宋体"/>
          <w:i w:val="0"/>
          <w:iCs w:val="0"/>
          <w:caps w:val="0"/>
          <w:smallCaps w:val="0"/>
          <w:color w:val="auto"/>
          <w:sz w:val="24"/>
          <w:szCs w:val="24"/>
          <w:highlight w:val="none"/>
          <w:lang w:eastAsia="zh-CN"/>
        </w:rPr>
        <w:t>。</w:t>
      </w:r>
    </w:p>
    <w:p w14:paraId="26A94700">
      <w:pPr>
        <w:keepNext w:val="0"/>
        <w:keepLines w:val="0"/>
        <w:pageBreakBefore w:val="0"/>
        <w:kinsoku/>
        <w:wordWrap/>
        <w:overflowPunct/>
        <w:topLinePunct w:val="0"/>
        <w:autoSpaceDE/>
        <w:autoSpaceDN/>
        <w:bidi w:val="0"/>
        <w:adjustRightInd/>
        <w:snapToGrid/>
        <w:spacing w:line="360" w:lineRule="auto"/>
        <w:ind w:left="0" w:leftChars="0" w:right="0" w:firstLine="540"/>
        <w:textAlignment w:val="auto"/>
        <w:rPr>
          <w:rFonts w:hint="default"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rPr>
        <w:t>售价：</w:t>
      </w:r>
      <w:r>
        <w:rPr>
          <w:rFonts w:hint="eastAsia" w:ascii="Times New Roman" w:hAnsi="Times New Roman" w:eastAsia="宋体" w:cs="宋体"/>
          <w:i w:val="0"/>
          <w:iCs w:val="0"/>
          <w:caps w:val="0"/>
          <w:smallCaps w:val="0"/>
          <w:color w:val="auto"/>
          <w:sz w:val="24"/>
          <w:szCs w:val="24"/>
          <w:highlight w:val="none"/>
          <w:lang w:val="en-US" w:eastAsia="zh-CN"/>
        </w:rPr>
        <w:t>0元。</w:t>
      </w:r>
    </w:p>
    <w:p w14:paraId="330E52CB">
      <w:pPr>
        <w:pStyle w:val="3"/>
        <w:keepNext w:val="0"/>
        <w:keepLines w:val="0"/>
        <w:pageBreakBefore w:val="0"/>
        <w:kinsoku/>
        <w:wordWrap/>
        <w:overflowPunct/>
        <w:topLinePunct w:val="0"/>
        <w:autoSpaceDE/>
        <w:autoSpaceDN/>
        <w:bidi w:val="0"/>
        <w:adjustRightInd/>
        <w:snapToGrid/>
        <w:spacing w:before="0" w:after="0" w:line="360" w:lineRule="auto"/>
        <w:ind w:left="0" w:leftChars="0" w:right="0"/>
        <w:textAlignment w:val="auto"/>
        <w:rPr>
          <w:rFonts w:hint="eastAsia" w:ascii="Times New Roman" w:hAnsi="Times New Roman" w:eastAsia="宋体" w:cs="宋体"/>
          <w:b/>
          <w:bCs w:val="0"/>
          <w:i w:val="0"/>
          <w:iCs w:val="0"/>
          <w:caps w:val="0"/>
          <w:smallCaps w:val="0"/>
          <w:color w:val="auto"/>
          <w:sz w:val="24"/>
          <w:szCs w:val="24"/>
          <w:highlight w:val="none"/>
        </w:rPr>
      </w:pPr>
      <w:bookmarkStart w:id="60" w:name="_Toc7497"/>
      <w:bookmarkStart w:id="61" w:name="_Toc10287"/>
      <w:bookmarkStart w:id="62" w:name="_Toc28359092"/>
      <w:bookmarkStart w:id="63" w:name="_Toc24026"/>
      <w:bookmarkStart w:id="64" w:name="_Toc23334"/>
      <w:bookmarkStart w:id="65" w:name="_Toc14853"/>
      <w:bookmarkStart w:id="66" w:name="_Toc35393801"/>
      <w:bookmarkStart w:id="67" w:name="_Toc9060"/>
      <w:bookmarkStart w:id="68" w:name="_Toc26665"/>
      <w:bookmarkStart w:id="69" w:name="_Toc28359015"/>
      <w:bookmarkStart w:id="70" w:name="_Toc3429"/>
      <w:bookmarkStart w:id="71" w:name="_Toc25636"/>
      <w:bookmarkStart w:id="72" w:name="_Toc35393632"/>
      <w:bookmarkStart w:id="73" w:name="_Toc1611"/>
      <w:r>
        <w:rPr>
          <w:rFonts w:hint="eastAsia" w:ascii="Times New Roman" w:hAnsi="Times New Roman" w:eastAsia="宋体" w:cs="宋体"/>
          <w:b/>
          <w:bCs w:val="0"/>
          <w:i w:val="0"/>
          <w:iCs w:val="0"/>
          <w:caps w:val="0"/>
          <w:smallCaps w:val="0"/>
          <w:color w:val="auto"/>
          <w:sz w:val="24"/>
          <w:szCs w:val="24"/>
          <w:highlight w:val="none"/>
        </w:rPr>
        <w:t>四、响应文件提交</w:t>
      </w:r>
      <w:bookmarkEnd w:id="60"/>
      <w:bookmarkEnd w:id="61"/>
      <w:bookmarkEnd w:id="62"/>
      <w:bookmarkEnd w:id="63"/>
      <w:bookmarkEnd w:id="64"/>
      <w:bookmarkEnd w:id="65"/>
      <w:bookmarkEnd w:id="66"/>
      <w:bookmarkEnd w:id="67"/>
      <w:bookmarkEnd w:id="68"/>
      <w:bookmarkEnd w:id="69"/>
      <w:bookmarkEnd w:id="70"/>
      <w:bookmarkEnd w:id="71"/>
      <w:bookmarkEnd w:id="72"/>
      <w:bookmarkEnd w:id="73"/>
    </w:p>
    <w:p w14:paraId="209DDC76">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eastAsia="zh-CN"/>
        </w:rPr>
      </w:pPr>
      <w:r>
        <w:rPr>
          <w:rFonts w:hint="eastAsia" w:ascii="Times New Roman" w:hAnsi="Times New Roman" w:eastAsia="宋体" w:cs="宋体"/>
          <w:i w:val="0"/>
          <w:iCs w:val="0"/>
          <w:caps w:val="0"/>
          <w:smallCaps w:val="0"/>
          <w:color w:val="auto"/>
          <w:sz w:val="24"/>
          <w:szCs w:val="24"/>
          <w:highlight w:val="none"/>
        </w:rPr>
        <w:t>截止时间：</w:t>
      </w:r>
      <w:r>
        <w:rPr>
          <w:rFonts w:hint="eastAsia" w:asciiTheme="minorEastAsia" w:hAnsiTheme="minorEastAsia" w:eastAsiaTheme="minorEastAsia" w:cstheme="minorEastAsia"/>
          <w:i w:val="0"/>
          <w:iCs w:val="0"/>
          <w:caps w:val="0"/>
          <w:smallCaps w:val="0"/>
          <w:color w:val="auto"/>
          <w:sz w:val="24"/>
          <w:szCs w:val="24"/>
          <w:highlight w:val="none"/>
          <w:lang w:val="en-US" w:eastAsia="zh-CN"/>
        </w:rPr>
        <w:t>2026年7月28</w:t>
      </w:r>
      <w:r>
        <w:rPr>
          <w:rFonts w:hint="eastAsia" w:asciiTheme="minorEastAsia" w:hAnsiTheme="minorEastAsia" w:eastAsiaTheme="minorEastAsia" w:cstheme="minorEastAsia"/>
          <w:i w:val="0"/>
          <w:iCs w:val="0"/>
          <w:caps w:val="0"/>
          <w:smallCaps w:val="0"/>
          <w:color w:val="auto"/>
          <w:sz w:val="24"/>
          <w:szCs w:val="24"/>
          <w:highlight w:val="none"/>
        </w:rPr>
        <w:t>日</w:t>
      </w:r>
      <w:r>
        <w:rPr>
          <w:rFonts w:hint="eastAsia" w:asciiTheme="minorEastAsia" w:hAnsiTheme="minorEastAsia" w:eastAsiaTheme="minorEastAsia" w:cstheme="minorEastAsia"/>
          <w:i w:val="0"/>
          <w:iCs w:val="0"/>
          <w:caps w:val="0"/>
          <w:smallCaps w:val="0"/>
          <w:color w:val="auto"/>
          <w:sz w:val="24"/>
          <w:szCs w:val="24"/>
          <w:highlight w:val="none"/>
          <w:lang w:val="en-US" w:eastAsia="zh-CN"/>
        </w:rPr>
        <w:t>15</w:t>
      </w:r>
      <w:r>
        <w:rPr>
          <w:rFonts w:hint="eastAsia" w:asciiTheme="minorEastAsia" w:hAnsiTheme="minorEastAsia" w:eastAsiaTheme="minorEastAsia" w:cstheme="minorEastAsia"/>
          <w:i w:val="0"/>
          <w:iCs w:val="0"/>
          <w:caps w:val="0"/>
          <w:smallCaps w:val="0"/>
          <w:color w:val="auto"/>
          <w:sz w:val="24"/>
          <w:szCs w:val="24"/>
          <w:highlight w:val="none"/>
        </w:rPr>
        <w:t>点</w:t>
      </w:r>
      <w:r>
        <w:rPr>
          <w:rFonts w:hint="eastAsia" w:asciiTheme="minorEastAsia" w:hAnsiTheme="minorEastAsia" w:eastAsiaTheme="minorEastAsia" w:cstheme="minorEastAsia"/>
          <w:i w:val="0"/>
          <w:iCs w:val="0"/>
          <w:caps w:val="0"/>
          <w:smallCaps w:val="0"/>
          <w:color w:val="auto"/>
          <w:sz w:val="24"/>
          <w:szCs w:val="24"/>
          <w:highlight w:val="none"/>
          <w:lang w:val="en-US" w:eastAsia="zh-CN"/>
        </w:rPr>
        <w:t>00</w:t>
      </w:r>
      <w:r>
        <w:rPr>
          <w:rFonts w:hint="eastAsia" w:asciiTheme="minorEastAsia" w:hAnsiTheme="minorEastAsia" w:eastAsiaTheme="minorEastAsia" w:cstheme="minorEastAsia"/>
          <w:i w:val="0"/>
          <w:iCs w:val="0"/>
          <w:caps w:val="0"/>
          <w:smallCaps w:val="0"/>
          <w:color w:val="auto"/>
          <w:sz w:val="24"/>
          <w:szCs w:val="24"/>
          <w:highlight w:val="none"/>
        </w:rPr>
        <w:t>分</w:t>
      </w:r>
      <w:r>
        <w:rPr>
          <w:rFonts w:hint="eastAsia" w:asciiTheme="minorEastAsia" w:hAnsiTheme="minorEastAsia" w:eastAsiaTheme="minorEastAsia" w:cstheme="minorEastAsia"/>
          <w:i w:val="0"/>
          <w:iCs w:val="0"/>
          <w:caps w:val="0"/>
          <w:smallCaps w:val="0"/>
          <w:color w:val="auto"/>
          <w:sz w:val="24"/>
          <w:szCs w:val="24"/>
          <w:highlight w:val="none"/>
          <w:lang w:eastAsia="zh-CN"/>
        </w:rPr>
        <w:t>（</w:t>
      </w:r>
      <w:r>
        <w:rPr>
          <w:rFonts w:hint="eastAsia" w:asciiTheme="minorEastAsia" w:hAnsiTheme="minorEastAsia" w:eastAsiaTheme="minorEastAsia" w:cstheme="minorEastAsia"/>
          <w:i w:val="0"/>
          <w:iCs w:val="0"/>
          <w:caps w:val="0"/>
          <w:smallCaps w:val="0"/>
          <w:color w:val="auto"/>
          <w:sz w:val="24"/>
          <w:szCs w:val="24"/>
          <w:highlight w:val="none"/>
        </w:rPr>
        <w:t>北京时间</w:t>
      </w:r>
      <w:r>
        <w:rPr>
          <w:rFonts w:hint="eastAsia" w:asciiTheme="minorEastAsia" w:hAnsiTheme="minorEastAsia" w:eastAsiaTheme="minorEastAsia" w:cstheme="minorEastAsia"/>
          <w:i w:val="0"/>
          <w:iCs w:val="0"/>
          <w:caps w:val="0"/>
          <w:smallCaps w:val="0"/>
          <w:color w:val="auto"/>
          <w:sz w:val="24"/>
          <w:szCs w:val="24"/>
          <w:highlight w:val="none"/>
          <w:lang w:eastAsia="zh-CN"/>
        </w:rPr>
        <w:t>）；</w:t>
      </w:r>
    </w:p>
    <w:p w14:paraId="6D692DDA">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rPr>
        <w:t>地点：</w:t>
      </w:r>
      <w:r>
        <w:rPr>
          <w:rFonts w:hint="eastAsia" w:ascii="Times New Roman" w:hAnsi="Times New Roman" w:eastAsia="宋体" w:cs="宋体"/>
          <w:i w:val="0"/>
          <w:iCs w:val="0"/>
          <w:caps w:val="0"/>
          <w:smallCaps w:val="0"/>
          <w:color w:val="auto"/>
          <w:sz w:val="24"/>
          <w:szCs w:val="24"/>
          <w:highlight w:val="none"/>
          <w:lang w:val="en-US" w:eastAsia="zh-CN"/>
        </w:rPr>
        <w:t>请登录政采云投标客户端投标，政府采购云平台（https://www.zcygov.cn/）网上开标大厅。</w:t>
      </w:r>
    </w:p>
    <w:p w14:paraId="41E84BA8">
      <w:pPr>
        <w:pStyle w:val="3"/>
        <w:keepNext w:val="0"/>
        <w:keepLines w:val="0"/>
        <w:pageBreakBefore w:val="0"/>
        <w:kinsoku/>
        <w:wordWrap/>
        <w:overflowPunct/>
        <w:topLinePunct w:val="0"/>
        <w:autoSpaceDE/>
        <w:autoSpaceDN/>
        <w:bidi w:val="0"/>
        <w:adjustRightInd/>
        <w:snapToGrid/>
        <w:spacing w:before="0" w:after="0" w:line="360" w:lineRule="auto"/>
        <w:ind w:left="0" w:leftChars="0" w:right="0"/>
        <w:textAlignment w:val="auto"/>
        <w:rPr>
          <w:rFonts w:hint="eastAsia" w:ascii="Times New Roman" w:hAnsi="Times New Roman" w:eastAsia="宋体" w:cs="宋体"/>
          <w:b/>
          <w:bCs w:val="0"/>
          <w:i w:val="0"/>
          <w:iCs w:val="0"/>
          <w:caps w:val="0"/>
          <w:smallCaps w:val="0"/>
          <w:color w:val="auto"/>
          <w:sz w:val="24"/>
          <w:szCs w:val="24"/>
          <w:highlight w:val="none"/>
        </w:rPr>
      </w:pPr>
      <w:bookmarkStart w:id="74" w:name="_Toc22119"/>
      <w:bookmarkStart w:id="75" w:name="_Toc35393802"/>
      <w:bookmarkStart w:id="76" w:name="_Toc22172"/>
      <w:bookmarkStart w:id="77" w:name="_Toc12446"/>
      <w:bookmarkStart w:id="78" w:name="_Toc18202"/>
      <w:bookmarkStart w:id="79" w:name="_Toc24133"/>
      <w:bookmarkStart w:id="80" w:name="_Toc28359093"/>
      <w:bookmarkStart w:id="81" w:name="_Toc35393633"/>
      <w:bookmarkStart w:id="82" w:name="_Toc9511"/>
      <w:bookmarkStart w:id="83" w:name="_Toc11432"/>
      <w:bookmarkStart w:id="84" w:name="_Toc18082"/>
      <w:bookmarkStart w:id="85" w:name="_Toc17641"/>
      <w:bookmarkStart w:id="86" w:name="_Toc28359016"/>
      <w:r>
        <w:rPr>
          <w:rFonts w:hint="eastAsia" w:ascii="Times New Roman" w:hAnsi="Times New Roman" w:eastAsia="宋体" w:cs="宋体"/>
          <w:b/>
          <w:bCs w:val="0"/>
          <w:i w:val="0"/>
          <w:iCs w:val="0"/>
          <w:caps w:val="0"/>
          <w:smallCaps w:val="0"/>
          <w:color w:val="auto"/>
          <w:sz w:val="24"/>
          <w:szCs w:val="24"/>
          <w:highlight w:val="none"/>
        </w:rPr>
        <w:t>五、</w:t>
      </w:r>
      <w:r>
        <w:rPr>
          <w:rFonts w:hint="eastAsia" w:ascii="Times New Roman" w:hAnsi="Times New Roman" w:eastAsia="宋体" w:cs="宋体"/>
          <w:b/>
          <w:bCs w:val="0"/>
          <w:i w:val="0"/>
          <w:iCs w:val="0"/>
          <w:caps w:val="0"/>
          <w:smallCaps w:val="0"/>
          <w:color w:val="auto"/>
          <w:sz w:val="24"/>
          <w:szCs w:val="24"/>
          <w:highlight w:val="none"/>
          <w:lang w:val="en-US" w:eastAsia="zh-CN"/>
        </w:rPr>
        <w:t>响应文件</w:t>
      </w:r>
      <w:r>
        <w:rPr>
          <w:rFonts w:hint="eastAsia" w:ascii="Times New Roman" w:hAnsi="Times New Roman" w:eastAsia="宋体" w:cs="宋体"/>
          <w:b/>
          <w:bCs w:val="0"/>
          <w:i w:val="0"/>
          <w:iCs w:val="0"/>
          <w:caps w:val="0"/>
          <w:smallCaps w:val="0"/>
          <w:color w:val="auto"/>
          <w:sz w:val="24"/>
          <w:szCs w:val="24"/>
          <w:highlight w:val="none"/>
        </w:rPr>
        <w:t>开启</w:t>
      </w:r>
      <w:bookmarkEnd w:id="74"/>
      <w:bookmarkEnd w:id="75"/>
      <w:bookmarkEnd w:id="76"/>
      <w:bookmarkEnd w:id="77"/>
      <w:bookmarkEnd w:id="78"/>
      <w:bookmarkEnd w:id="79"/>
      <w:bookmarkEnd w:id="80"/>
      <w:bookmarkEnd w:id="81"/>
      <w:bookmarkEnd w:id="82"/>
      <w:bookmarkEnd w:id="83"/>
      <w:bookmarkEnd w:id="84"/>
      <w:bookmarkEnd w:id="85"/>
      <w:bookmarkEnd w:id="86"/>
    </w:p>
    <w:p w14:paraId="6DA94CA2">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时间：</w:t>
      </w:r>
      <w:r>
        <w:rPr>
          <w:rFonts w:hint="eastAsia" w:asciiTheme="minorEastAsia" w:hAnsiTheme="minorEastAsia" w:eastAsiaTheme="minorEastAsia" w:cstheme="minorEastAsia"/>
          <w:i w:val="0"/>
          <w:iCs w:val="0"/>
          <w:caps w:val="0"/>
          <w:smallCaps w:val="0"/>
          <w:color w:val="auto"/>
          <w:sz w:val="24"/>
          <w:szCs w:val="24"/>
          <w:highlight w:val="none"/>
          <w:lang w:val="en-US" w:eastAsia="zh-CN"/>
        </w:rPr>
        <w:t>2026年7月28</w:t>
      </w:r>
      <w:r>
        <w:rPr>
          <w:rFonts w:hint="eastAsia" w:asciiTheme="minorEastAsia" w:hAnsiTheme="minorEastAsia" w:eastAsiaTheme="minorEastAsia" w:cstheme="minorEastAsia"/>
          <w:i w:val="0"/>
          <w:iCs w:val="0"/>
          <w:caps w:val="0"/>
          <w:smallCaps w:val="0"/>
          <w:color w:val="auto"/>
          <w:sz w:val="24"/>
          <w:szCs w:val="24"/>
          <w:highlight w:val="none"/>
        </w:rPr>
        <w:t>日</w:t>
      </w:r>
      <w:r>
        <w:rPr>
          <w:rFonts w:hint="eastAsia" w:asciiTheme="minorEastAsia" w:hAnsiTheme="minorEastAsia" w:eastAsiaTheme="minorEastAsia" w:cstheme="minorEastAsia"/>
          <w:i w:val="0"/>
          <w:iCs w:val="0"/>
          <w:caps w:val="0"/>
          <w:smallCaps w:val="0"/>
          <w:color w:val="auto"/>
          <w:sz w:val="24"/>
          <w:szCs w:val="24"/>
          <w:highlight w:val="none"/>
          <w:lang w:val="en-US" w:eastAsia="zh-CN"/>
        </w:rPr>
        <w:t>15</w:t>
      </w:r>
      <w:r>
        <w:rPr>
          <w:rFonts w:hint="eastAsia" w:asciiTheme="minorEastAsia" w:hAnsiTheme="minorEastAsia" w:eastAsiaTheme="minorEastAsia" w:cstheme="minorEastAsia"/>
          <w:i w:val="0"/>
          <w:iCs w:val="0"/>
          <w:caps w:val="0"/>
          <w:smallCaps w:val="0"/>
          <w:color w:val="auto"/>
          <w:sz w:val="24"/>
          <w:szCs w:val="24"/>
          <w:highlight w:val="none"/>
        </w:rPr>
        <w:t>点</w:t>
      </w:r>
      <w:r>
        <w:rPr>
          <w:rFonts w:hint="eastAsia" w:asciiTheme="minorEastAsia" w:hAnsiTheme="minorEastAsia" w:eastAsiaTheme="minorEastAsia" w:cstheme="minorEastAsia"/>
          <w:i w:val="0"/>
          <w:iCs w:val="0"/>
          <w:caps w:val="0"/>
          <w:smallCaps w:val="0"/>
          <w:color w:val="auto"/>
          <w:sz w:val="24"/>
          <w:szCs w:val="24"/>
          <w:highlight w:val="none"/>
          <w:lang w:val="en-US" w:eastAsia="zh-CN"/>
        </w:rPr>
        <w:t>00</w:t>
      </w:r>
      <w:r>
        <w:rPr>
          <w:rFonts w:hint="eastAsia" w:asciiTheme="minorEastAsia" w:hAnsiTheme="minorEastAsia" w:eastAsiaTheme="minorEastAsia" w:cstheme="minorEastAsia"/>
          <w:i w:val="0"/>
          <w:iCs w:val="0"/>
          <w:caps w:val="0"/>
          <w:smallCaps w:val="0"/>
          <w:color w:val="auto"/>
          <w:sz w:val="24"/>
          <w:szCs w:val="24"/>
          <w:highlight w:val="none"/>
        </w:rPr>
        <w:t>分</w:t>
      </w:r>
      <w:r>
        <w:rPr>
          <w:rFonts w:hint="eastAsia" w:asciiTheme="minorEastAsia" w:hAnsiTheme="minorEastAsia" w:eastAsiaTheme="minorEastAsia" w:cstheme="minorEastAsia"/>
          <w:i w:val="0"/>
          <w:iCs w:val="0"/>
          <w:caps w:val="0"/>
          <w:smallCaps w:val="0"/>
          <w:color w:val="auto"/>
          <w:sz w:val="24"/>
          <w:szCs w:val="24"/>
          <w:highlight w:val="none"/>
          <w:lang w:eastAsia="zh-CN"/>
        </w:rPr>
        <w:t>（</w:t>
      </w:r>
      <w:r>
        <w:rPr>
          <w:rFonts w:hint="eastAsia" w:asciiTheme="minorEastAsia" w:hAnsiTheme="minorEastAsia" w:eastAsiaTheme="minorEastAsia" w:cstheme="minorEastAsia"/>
          <w:i w:val="0"/>
          <w:iCs w:val="0"/>
          <w:caps w:val="0"/>
          <w:smallCaps w:val="0"/>
          <w:color w:val="auto"/>
          <w:sz w:val="24"/>
          <w:szCs w:val="24"/>
          <w:highlight w:val="none"/>
        </w:rPr>
        <w:t>北京时间</w:t>
      </w:r>
      <w:r>
        <w:rPr>
          <w:rFonts w:hint="eastAsia" w:asciiTheme="minorEastAsia" w:hAnsiTheme="minorEastAsia" w:eastAsiaTheme="minorEastAsia" w:cstheme="minorEastAsia"/>
          <w:i w:val="0"/>
          <w:iCs w:val="0"/>
          <w:caps w:val="0"/>
          <w:smallCaps w:val="0"/>
          <w:color w:val="auto"/>
          <w:sz w:val="24"/>
          <w:szCs w:val="24"/>
          <w:highlight w:val="none"/>
          <w:lang w:eastAsia="zh-CN"/>
        </w:rPr>
        <w:t>）；</w:t>
      </w:r>
    </w:p>
    <w:p w14:paraId="5A7DFC11">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地点：采购人及采购代理机构在政采云线上开标大厅通过“政采云”平台线上组织对供应商响应文件进行解密，供应商登陆“政采云”开标大厅，使用供应商编制响应文件时的加密数字证书对响应文件进行解密。</w:t>
      </w:r>
    </w:p>
    <w:p w14:paraId="3CB8C3A1">
      <w:pPr>
        <w:pStyle w:val="3"/>
        <w:keepNext w:val="0"/>
        <w:keepLines w:val="0"/>
        <w:pageBreakBefore w:val="0"/>
        <w:kinsoku/>
        <w:wordWrap/>
        <w:overflowPunct/>
        <w:topLinePunct w:val="0"/>
        <w:autoSpaceDE/>
        <w:autoSpaceDN/>
        <w:bidi w:val="0"/>
        <w:adjustRightInd/>
        <w:snapToGrid/>
        <w:spacing w:before="0" w:after="0" w:line="360" w:lineRule="auto"/>
        <w:ind w:left="0" w:leftChars="0" w:right="0"/>
        <w:textAlignment w:val="auto"/>
        <w:rPr>
          <w:rFonts w:hint="eastAsia" w:ascii="Times New Roman" w:hAnsi="Times New Roman" w:eastAsia="宋体" w:cs="宋体"/>
          <w:b/>
          <w:bCs w:val="0"/>
          <w:i w:val="0"/>
          <w:iCs w:val="0"/>
          <w:caps w:val="0"/>
          <w:smallCaps w:val="0"/>
          <w:color w:val="auto"/>
          <w:sz w:val="24"/>
          <w:szCs w:val="24"/>
          <w:highlight w:val="none"/>
        </w:rPr>
      </w:pPr>
      <w:bookmarkStart w:id="87" w:name="_Toc1"/>
      <w:bookmarkStart w:id="88" w:name="_Toc35393634"/>
      <w:bookmarkStart w:id="89" w:name="_Toc28359094"/>
      <w:bookmarkStart w:id="90" w:name="_Toc19045"/>
      <w:bookmarkStart w:id="91" w:name="_Toc5968"/>
      <w:bookmarkStart w:id="92" w:name="_Toc35393803"/>
      <w:bookmarkStart w:id="93" w:name="_Toc16555"/>
      <w:bookmarkStart w:id="94" w:name="_Toc30903"/>
      <w:bookmarkStart w:id="95" w:name="_Toc9028"/>
      <w:bookmarkStart w:id="96" w:name="_Toc28359017"/>
      <w:bookmarkStart w:id="97" w:name="_Toc18702"/>
      <w:bookmarkStart w:id="98" w:name="_Toc10530"/>
      <w:bookmarkStart w:id="99" w:name="_Toc9986"/>
      <w:r>
        <w:rPr>
          <w:rFonts w:hint="eastAsia" w:ascii="Times New Roman" w:hAnsi="Times New Roman" w:eastAsia="宋体" w:cs="宋体"/>
          <w:b/>
          <w:bCs w:val="0"/>
          <w:i w:val="0"/>
          <w:iCs w:val="0"/>
          <w:caps w:val="0"/>
          <w:smallCaps w:val="0"/>
          <w:color w:val="auto"/>
          <w:sz w:val="24"/>
          <w:szCs w:val="24"/>
          <w:highlight w:val="none"/>
          <w:lang w:val="en-US" w:eastAsia="zh-CN"/>
        </w:rPr>
        <w:t>六</w:t>
      </w:r>
      <w:r>
        <w:rPr>
          <w:rFonts w:hint="eastAsia" w:ascii="Times New Roman" w:hAnsi="Times New Roman" w:eastAsia="宋体" w:cs="宋体"/>
          <w:b/>
          <w:bCs w:val="0"/>
          <w:i w:val="0"/>
          <w:iCs w:val="0"/>
          <w:caps w:val="0"/>
          <w:smallCaps w:val="0"/>
          <w:color w:val="auto"/>
          <w:sz w:val="24"/>
          <w:szCs w:val="24"/>
          <w:highlight w:val="none"/>
        </w:rPr>
        <w:t>、公告期限</w:t>
      </w:r>
      <w:bookmarkEnd w:id="87"/>
      <w:bookmarkEnd w:id="88"/>
      <w:bookmarkEnd w:id="89"/>
      <w:bookmarkEnd w:id="90"/>
      <w:bookmarkEnd w:id="91"/>
      <w:bookmarkEnd w:id="92"/>
      <w:bookmarkEnd w:id="93"/>
      <w:bookmarkEnd w:id="94"/>
      <w:bookmarkEnd w:id="95"/>
      <w:bookmarkEnd w:id="96"/>
      <w:bookmarkEnd w:id="97"/>
      <w:bookmarkEnd w:id="98"/>
      <w:bookmarkEnd w:id="99"/>
    </w:p>
    <w:p w14:paraId="485EE54A">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kern w:val="0"/>
          <w:sz w:val="24"/>
          <w:szCs w:val="24"/>
          <w:highlight w:val="none"/>
        </w:rPr>
      </w:pPr>
      <w:r>
        <w:rPr>
          <w:rFonts w:hint="eastAsia" w:ascii="Times New Roman" w:hAnsi="Times New Roman" w:eastAsia="宋体" w:cs="宋体"/>
          <w:i w:val="0"/>
          <w:iCs w:val="0"/>
          <w:caps w:val="0"/>
          <w:smallCaps w:val="0"/>
          <w:color w:val="auto"/>
          <w:kern w:val="0"/>
          <w:sz w:val="24"/>
          <w:szCs w:val="24"/>
          <w:highlight w:val="none"/>
        </w:rPr>
        <w:t>自本公告发布之日起</w:t>
      </w:r>
      <w:r>
        <w:rPr>
          <w:rFonts w:hint="eastAsia" w:ascii="Times New Roman" w:hAnsi="Times New Roman" w:eastAsia="宋体" w:cs="宋体"/>
          <w:i w:val="0"/>
          <w:iCs w:val="0"/>
          <w:caps w:val="0"/>
          <w:smallCaps w:val="0"/>
          <w:color w:val="auto"/>
          <w:kern w:val="0"/>
          <w:sz w:val="24"/>
          <w:szCs w:val="24"/>
          <w:highlight w:val="none"/>
          <w:lang w:val="en-US" w:eastAsia="zh-CN"/>
        </w:rPr>
        <w:t>5</w:t>
      </w:r>
      <w:r>
        <w:rPr>
          <w:rFonts w:hint="eastAsia" w:ascii="Times New Roman" w:hAnsi="Times New Roman" w:eastAsia="宋体" w:cs="宋体"/>
          <w:i w:val="0"/>
          <w:iCs w:val="0"/>
          <w:caps w:val="0"/>
          <w:smallCaps w:val="0"/>
          <w:color w:val="auto"/>
          <w:kern w:val="0"/>
          <w:sz w:val="24"/>
          <w:szCs w:val="24"/>
          <w:highlight w:val="none"/>
        </w:rPr>
        <w:t>个工作日。</w:t>
      </w:r>
    </w:p>
    <w:p w14:paraId="52803E3B">
      <w:pPr>
        <w:pStyle w:val="3"/>
        <w:keepNext w:val="0"/>
        <w:keepLines w:val="0"/>
        <w:pageBreakBefore w:val="0"/>
        <w:kinsoku/>
        <w:wordWrap/>
        <w:overflowPunct/>
        <w:topLinePunct w:val="0"/>
        <w:autoSpaceDE/>
        <w:autoSpaceDN/>
        <w:bidi w:val="0"/>
        <w:adjustRightInd/>
        <w:snapToGrid/>
        <w:spacing w:before="0" w:after="0" w:line="360" w:lineRule="auto"/>
        <w:ind w:left="0" w:leftChars="0" w:right="0"/>
        <w:textAlignment w:val="auto"/>
        <w:rPr>
          <w:rFonts w:hint="eastAsia" w:ascii="Times New Roman" w:hAnsi="Times New Roman" w:eastAsia="宋体" w:cs="宋体"/>
          <w:b/>
          <w:bCs w:val="0"/>
          <w:i w:val="0"/>
          <w:iCs w:val="0"/>
          <w:caps w:val="0"/>
          <w:smallCaps w:val="0"/>
          <w:color w:val="auto"/>
          <w:sz w:val="24"/>
          <w:szCs w:val="24"/>
          <w:highlight w:val="none"/>
        </w:rPr>
      </w:pPr>
      <w:bookmarkStart w:id="100" w:name="_Toc35393635"/>
      <w:bookmarkStart w:id="101" w:name="_Toc13443"/>
      <w:bookmarkStart w:id="102" w:name="_Toc29435"/>
      <w:bookmarkStart w:id="103" w:name="_Toc8017"/>
      <w:bookmarkStart w:id="104" w:name="_Toc25104"/>
      <w:bookmarkStart w:id="105" w:name="_Toc12012"/>
      <w:bookmarkStart w:id="106" w:name="_Toc7561"/>
      <w:bookmarkStart w:id="107" w:name="_Toc6"/>
      <w:bookmarkStart w:id="108" w:name="_Toc6650"/>
      <w:bookmarkStart w:id="109" w:name="_Toc32710"/>
      <w:bookmarkStart w:id="110" w:name="_Toc35393804"/>
      <w:bookmarkStart w:id="111" w:name="_Toc4452"/>
      <w:r>
        <w:rPr>
          <w:rFonts w:hint="eastAsia" w:ascii="Times New Roman" w:hAnsi="Times New Roman" w:eastAsia="宋体" w:cs="宋体"/>
          <w:b/>
          <w:bCs w:val="0"/>
          <w:i w:val="0"/>
          <w:iCs w:val="0"/>
          <w:caps w:val="0"/>
          <w:smallCaps w:val="0"/>
          <w:color w:val="auto"/>
          <w:sz w:val="24"/>
          <w:szCs w:val="24"/>
          <w:highlight w:val="none"/>
          <w:lang w:val="en-US" w:eastAsia="zh-CN"/>
        </w:rPr>
        <w:t>八</w:t>
      </w:r>
      <w:r>
        <w:rPr>
          <w:rFonts w:hint="eastAsia" w:ascii="Times New Roman" w:hAnsi="Times New Roman" w:eastAsia="宋体" w:cs="宋体"/>
          <w:b/>
          <w:bCs w:val="0"/>
          <w:i w:val="0"/>
          <w:iCs w:val="0"/>
          <w:caps w:val="0"/>
          <w:smallCaps w:val="0"/>
          <w:color w:val="auto"/>
          <w:sz w:val="24"/>
          <w:szCs w:val="24"/>
          <w:highlight w:val="none"/>
        </w:rPr>
        <w:t>、其他补充事宜</w:t>
      </w:r>
      <w:bookmarkEnd w:id="100"/>
      <w:bookmarkEnd w:id="101"/>
      <w:bookmarkEnd w:id="102"/>
      <w:bookmarkEnd w:id="103"/>
      <w:bookmarkEnd w:id="104"/>
      <w:bookmarkEnd w:id="105"/>
      <w:bookmarkEnd w:id="106"/>
      <w:bookmarkEnd w:id="107"/>
      <w:bookmarkEnd w:id="108"/>
      <w:bookmarkEnd w:id="109"/>
      <w:bookmarkEnd w:id="110"/>
      <w:bookmarkEnd w:id="111"/>
    </w:p>
    <w:p w14:paraId="1FB74C16">
      <w:pPr>
        <w:spacing w:line="360" w:lineRule="auto"/>
        <w:ind w:firstLine="480" w:firstLineChars="200"/>
        <w:rPr>
          <w:rFonts w:hint="eastAsia" w:ascii="宋体" w:hAnsi="宋体" w:eastAsia="宋体" w:cs="宋体"/>
          <w:color w:val="000000"/>
          <w:kern w:val="0"/>
          <w:sz w:val="24"/>
          <w:highlight w:val="none"/>
        </w:rPr>
      </w:pPr>
      <w:bookmarkStart w:id="112" w:name="_Toc1667"/>
      <w:bookmarkStart w:id="113" w:name="_Toc21315"/>
      <w:bookmarkStart w:id="114" w:name="_Toc6658"/>
      <w:bookmarkStart w:id="115" w:name="_Toc35393636"/>
      <w:bookmarkStart w:id="116" w:name="_Toc19070"/>
      <w:bookmarkStart w:id="117" w:name="_Toc4422"/>
      <w:bookmarkStart w:id="118" w:name="_Toc28359018"/>
      <w:bookmarkStart w:id="119" w:name="_Toc21391"/>
      <w:bookmarkStart w:id="120" w:name="_Toc28359095"/>
      <w:bookmarkStart w:id="121" w:name="_Toc35393805"/>
      <w:bookmarkStart w:id="122" w:name="_Toc20163"/>
      <w:bookmarkStart w:id="123" w:name="_Toc13804"/>
      <w:bookmarkStart w:id="124" w:name="_Toc31428"/>
      <w:bookmarkStart w:id="125" w:name="_Toc13770"/>
      <w:r>
        <w:rPr>
          <w:rFonts w:hint="eastAsia" w:ascii="宋体" w:hAnsi="宋体" w:eastAsia="宋体" w:cs="宋体"/>
          <w:color w:val="000000"/>
          <w:kern w:val="0"/>
          <w:sz w:val="24"/>
          <w:highlight w:val="none"/>
          <w:lang w:val="en-US" w:eastAsia="zh-CN"/>
        </w:rPr>
        <w:t>本次采购公告在云南省政府采购网（http://www.yngp.com/index.html）、“政采云”平台（http：www.zcygov.cn）上发布，我方对其他网站或媒体转载的公告及公告内容不承担可能危及第三人利害关系的任何法律责任。</w:t>
      </w:r>
    </w:p>
    <w:p w14:paraId="0ADF65B7">
      <w:pPr>
        <w:pStyle w:val="3"/>
        <w:keepNext w:val="0"/>
        <w:keepLines w:val="0"/>
        <w:pageBreakBefore w:val="0"/>
        <w:kinsoku/>
        <w:wordWrap/>
        <w:overflowPunct/>
        <w:topLinePunct w:val="0"/>
        <w:autoSpaceDE/>
        <w:autoSpaceDN/>
        <w:bidi w:val="0"/>
        <w:adjustRightInd/>
        <w:snapToGrid/>
        <w:spacing w:before="0" w:after="0" w:line="360" w:lineRule="auto"/>
        <w:ind w:left="0" w:leftChars="0" w:right="0"/>
        <w:textAlignment w:val="auto"/>
        <w:rPr>
          <w:rFonts w:hint="eastAsia" w:ascii="Times New Roman" w:hAnsi="Times New Roman" w:eastAsia="宋体" w:cs="宋体"/>
          <w:b/>
          <w:bCs w:val="0"/>
          <w:i w:val="0"/>
          <w:iCs w:val="0"/>
          <w:caps w:val="0"/>
          <w:smallCaps w:val="0"/>
          <w:color w:val="auto"/>
          <w:sz w:val="24"/>
          <w:szCs w:val="24"/>
          <w:highlight w:val="none"/>
          <w:lang w:val="en-US" w:eastAsia="zh-CN"/>
        </w:rPr>
      </w:pPr>
      <w:r>
        <w:rPr>
          <w:rFonts w:hint="eastAsia" w:ascii="Times New Roman" w:hAnsi="Times New Roman" w:eastAsia="宋体" w:cs="宋体"/>
          <w:b/>
          <w:bCs w:val="0"/>
          <w:i w:val="0"/>
          <w:iCs w:val="0"/>
          <w:caps w:val="0"/>
          <w:smallCaps w:val="0"/>
          <w:color w:val="auto"/>
          <w:sz w:val="24"/>
          <w:szCs w:val="24"/>
          <w:highlight w:val="none"/>
          <w:lang w:val="en-US" w:eastAsia="zh-CN"/>
        </w:rPr>
        <w:t>九、凡对本次采购提出询问，请按以下方式联系</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p w14:paraId="63006FF6">
      <w:pPr>
        <w:pageBreakBefore w:val="0"/>
        <w:widowControl/>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7FF26B70">
      <w:pPr>
        <w:pageBreakBefore w:val="0"/>
        <w:widowControl/>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名 称：</w:t>
      </w:r>
      <w:r>
        <w:rPr>
          <w:rFonts w:hint="eastAsia" w:ascii="宋体" w:hAnsi="宋体" w:cs="宋体"/>
          <w:color w:val="auto"/>
          <w:sz w:val="24"/>
          <w:szCs w:val="24"/>
          <w:highlight w:val="none"/>
          <w:u w:val="none"/>
          <w:lang w:eastAsia="zh-CN"/>
        </w:rPr>
        <w:t>富源县人民政府胜境街道办事处</w:t>
      </w:r>
      <w:r>
        <w:rPr>
          <w:rFonts w:hint="eastAsia" w:ascii="宋体" w:hAnsi="宋体" w:eastAsia="宋体" w:cs="宋体"/>
          <w:color w:val="auto"/>
          <w:sz w:val="24"/>
          <w:szCs w:val="24"/>
          <w:highlight w:val="none"/>
          <w:u w:val="none"/>
        </w:rPr>
        <w:t xml:space="preserve"> </w:t>
      </w:r>
    </w:p>
    <w:p w14:paraId="14D5ED33">
      <w:pPr>
        <w:pageBreakBefore w:val="0"/>
        <w:widowControl/>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地 址：</w:t>
      </w:r>
      <w:r>
        <w:rPr>
          <w:rFonts w:hint="eastAsia" w:ascii="宋体" w:hAnsi="宋体" w:cs="宋体"/>
          <w:color w:val="auto"/>
          <w:sz w:val="24"/>
          <w:szCs w:val="24"/>
          <w:highlight w:val="none"/>
          <w:u w:val="none"/>
          <w:lang w:val="zh-TW" w:eastAsia="zh-CN"/>
        </w:rPr>
        <w:t>富源县胜境街道外山口社区</w:t>
      </w:r>
    </w:p>
    <w:p w14:paraId="34617BC1">
      <w:pPr>
        <w:pageBreakBefore w:val="0"/>
        <w:widowControl/>
        <w:kinsoku/>
        <w:wordWrap/>
        <w:overflowPunct/>
        <w:topLinePunct w:val="0"/>
        <w:autoSpaceDE/>
        <w:autoSpaceDN/>
        <w:bidi w:val="0"/>
        <w:adjustRightInd/>
        <w:snapToGrid w:val="0"/>
        <w:spacing w:line="360" w:lineRule="auto"/>
        <w:ind w:firstLine="420"/>
        <w:jc w:val="left"/>
        <w:textAlignment w:val="auto"/>
        <w:rPr>
          <w:rFonts w:hint="default" w:ascii="宋体" w:hAnsi="宋体" w:eastAsia="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联系人：肖老师</w:t>
      </w:r>
    </w:p>
    <w:p w14:paraId="5DE3EA6A">
      <w:pPr>
        <w:pageBreakBefore w:val="0"/>
        <w:widowControl/>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联系方式：</w:t>
      </w:r>
      <w:bookmarkStart w:id="126" w:name="_Toc28359086"/>
      <w:bookmarkStart w:id="127" w:name="_Toc28359009"/>
      <w:r>
        <w:rPr>
          <w:rFonts w:hint="eastAsia" w:ascii="宋体" w:hAnsi="宋体" w:eastAsia="宋体" w:cs="宋体"/>
          <w:color w:val="auto"/>
          <w:sz w:val="24"/>
          <w:szCs w:val="24"/>
          <w:highlight w:val="none"/>
          <w:u w:val="none"/>
        </w:rPr>
        <w:t>15877896060</w:t>
      </w:r>
    </w:p>
    <w:p w14:paraId="03CF4F91">
      <w:pPr>
        <w:pageBreakBefore w:val="0"/>
        <w:widowControl/>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4"/>
          <w:highlight w:val="none"/>
          <w:u w:val="none"/>
        </w:rPr>
      </w:pPr>
    </w:p>
    <w:p w14:paraId="09CC026D">
      <w:pPr>
        <w:pageBreakBefore w:val="0"/>
        <w:widowControl/>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2.采购代理机构信息</w:t>
      </w:r>
      <w:bookmarkEnd w:id="126"/>
      <w:bookmarkEnd w:id="127"/>
    </w:p>
    <w:p w14:paraId="75BDD7A0">
      <w:pPr>
        <w:pageBreakBefore w:val="0"/>
        <w:widowControl/>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名 称：</w:t>
      </w:r>
      <w:r>
        <w:rPr>
          <w:rFonts w:hint="eastAsia" w:ascii="宋体" w:hAnsi="宋体" w:cs="宋体"/>
          <w:color w:val="auto"/>
          <w:sz w:val="24"/>
          <w:szCs w:val="24"/>
          <w:highlight w:val="none"/>
          <w:u w:val="none"/>
          <w:lang w:eastAsia="zh-CN"/>
        </w:rPr>
        <w:t>云南福诚招标有限公司</w:t>
      </w:r>
    </w:p>
    <w:p w14:paraId="3CFD86EF">
      <w:pPr>
        <w:pageBreakBefore w:val="0"/>
        <w:widowControl/>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地 址：</w:t>
      </w:r>
      <w:r>
        <w:rPr>
          <w:rFonts w:hint="eastAsia" w:ascii="宋体" w:hAnsi="宋体" w:cs="宋体"/>
          <w:color w:val="auto"/>
          <w:sz w:val="24"/>
          <w:szCs w:val="24"/>
          <w:highlight w:val="none"/>
          <w:u w:val="none"/>
          <w:lang w:eastAsia="zh-CN"/>
        </w:rPr>
        <w:t>云南省曲靖市麒麟区文华街道办事处学苑社区科创路223号（和顺佳园F幢-002号商铺）</w:t>
      </w:r>
    </w:p>
    <w:p w14:paraId="01BDB417">
      <w:pPr>
        <w:pageBreakBefore w:val="0"/>
        <w:widowControl/>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kern w:val="0"/>
          <w:sz w:val="24"/>
          <w:szCs w:val="24"/>
          <w:lang w:val="en-US" w:eastAsia="en-US"/>
        </w:rPr>
      </w:pPr>
      <w:r>
        <w:rPr>
          <w:rFonts w:hint="eastAsia" w:ascii="宋体" w:hAnsi="宋体" w:eastAsia="宋体" w:cs="宋体"/>
          <w:color w:val="auto"/>
          <w:kern w:val="0"/>
          <w:sz w:val="24"/>
          <w:szCs w:val="24"/>
          <w:lang w:val="en-US" w:eastAsia="en-US"/>
        </w:rPr>
        <w:t>联系人：</w:t>
      </w:r>
      <w:r>
        <w:rPr>
          <w:rFonts w:hint="eastAsia" w:ascii="宋体" w:hAnsi="宋体" w:cs="宋体"/>
          <w:color w:val="auto"/>
          <w:sz w:val="24"/>
          <w:szCs w:val="24"/>
          <w:lang w:val="en-US" w:eastAsia="zh-CN"/>
        </w:rPr>
        <w:t>安工</w:t>
      </w:r>
    </w:p>
    <w:p w14:paraId="6FE949AA">
      <w:pPr>
        <w:pageBreakBefore w:val="0"/>
        <w:widowControl/>
        <w:kinsoku/>
        <w:wordWrap/>
        <w:overflowPunct/>
        <w:topLinePunct w:val="0"/>
        <w:autoSpaceDE/>
        <w:autoSpaceDN/>
        <w:bidi w:val="0"/>
        <w:adjustRightInd/>
        <w:snapToGrid w:val="0"/>
        <w:spacing w:line="360" w:lineRule="auto"/>
        <w:ind w:firstLine="420"/>
        <w:jc w:val="left"/>
        <w:textAlignment w:val="auto"/>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联系方式：</w:t>
      </w:r>
      <w:bookmarkStart w:id="128" w:name="_Toc28359010"/>
      <w:bookmarkStart w:id="129" w:name="_Toc28359087"/>
      <w:r>
        <w:rPr>
          <w:rFonts w:hint="eastAsia" w:ascii="宋体" w:hAnsi="宋体" w:cs="宋体"/>
          <w:color w:val="auto"/>
          <w:sz w:val="24"/>
          <w:szCs w:val="24"/>
          <w:highlight w:val="none"/>
          <w:u w:val="none"/>
          <w:lang w:val="en-US" w:eastAsia="zh-CN"/>
        </w:rPr>
        <w:t>15187929070</w:t>
      </w:r>
    </w:p>
    <w:p w14:paraId="54DF7DBF">
      <w:pPr>
        <w:pageBreakBefore w:val="0"/>
        <w:widowControl/>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4"/>
          <w:highlight w:val="none"/>
          <w:u w:val="none"/>
        </w:rPr>
      </w:pPr>
    </w:p>
    <w:p w14:paraId="1E88B6B5">
      <w:pPr>
        <w:pageBreakBefore w:val="0"/>
        <w:widowControl/>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3.项目联系方式</w:t>
      </w:r>
      <w:bookmarkEnd w:id="128"/>
      <w:bookmarkEnd w:id="129"/>
    </w:p>
    <w:p w14:paraId="78449AFF">
      <w:pPr>
        <w:pageBreakBefore w:val="0"/>
        <w:widowControl/>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项目联系人：</w:t>
      </w:r>
      <w:r>
        <w:rPr>
          <w:rFonts w:hint="eastAsia" w:ascii="宋体" w:hAnsi="宋体" w:eastAsia="宋体" w:cs="宋体"/>
          <w:color w:val="auto"/>
          <w:sz w:val="24"/>
          <w:szCs w:val="24"/>
          <w:highlight w:val="none"/>
          <w:u w:val="none"/>
          <w:lang w:val="en-US" w:eastAsia="zh-CN"/>
        </w:rPr>
        <w:t>安</w:t>
      </w:r>
      <w:r>
        <w:rPr>
          <w:rFonts w:hint="eastAsia" w:ascii="宋体" w:hAnsi="宋体" w:cs="宋体"/>
          <w:color w:val="auto"/>
          <w:sz w:val="24"/>
          <w:szCs w:val="24"/>
          <w:highlight w:val="none"/>
          <w:u w:val="none"/>
          <w:lang w:val="en-US" w:eastAsia="zh-CN"/>
        </w:rPr>
        <w:t>工</w:t>
      </w:r>
    </w:p>
    <w:p w14:paraId="110951A8">
      <w:pPr>
        <w:pageBreakBefore w:val="0"/>
        <w:widowControl/>
        <w:kinsoku/>
        <w:wordWrap/>
        <w:overflowPunct/>
        <w:topLinePunct w:val="0"/>
        <w:autoSpaceDE/>
        <w:autoSpaceDN/>
        <w:bidi w:val="0"/>
        <w:adjustRightInd/>
        <w:snapToGrid w:val="0"/>
        <w:spacing w:line="360" w:lineRule="auto"/>
        <w:ind w:firstLine="420"/>
        <w:jc w:val="left"/>
        <w:textAlignment w:val="auto"/>
        <w:rPr>
          <w:rFonts w:hint="eastAsia" w:ascii="宋体" w:hAnsi="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电      话：</w:t>
      </w:r>
      <w:r>
        <w:rPr>
          <w:rFonts w:hint="eastAsia" w:ascii="宋体" w:hAnsi="宋体" w:cs="宋体"/>
          <w:color w:val="auto"/>
          <w:sz w:val="24"/>
          <w:szCs w:val="24"/>
          <w:highlight w:val="none"/>
          <w:u w:val="none"/>
          <w:lang w:eastAsia="zh-CN"/>
        </w:rPr>
        <w:t>15187929070</w:t>
      </w:r>
    </w:p>
    <w:p w14:paraId="1E8FB467">
      <w:pPr>
        <w:rPr>
          <w:rFonts w:hint="eastAsia" w:ascii="方正黑体_GBK" w:hAnsi="方正黑体_GBK" w:eastAsia="方正黑体_GBK" w:cs="方正黑体_GBK"/>
          <w:sz w:val="44"/>
          <w:szCs w:val="44"/>
        </w:rPr>
      </w:pPr>
      <w:r>
        <w:rPr>
          <w:rStyle w:val="52"/>
          <w:rFonts w:hint="eastAsia"/>
          <w:b/>
          <w:bCs/>
          <w:color w:val="auto"/>
          <w:sz w:val="21"/>
          <w:szCs w:val="21"/>
        </w:rPr>
        <w:br w:type="page"/>
      </w:r>
    </w:p>
    <w:p w14:paraId="54E0119F">
      <w:pPr>
        <w:widowControl/>
        <w:spacing w:line="360" w:lineRule="auto"/>
        <w:jc w:val="center"/>
        <w:outlineLvl w:val="0"/>
        <w:rPr>
          <w:rStyle w:val="52"/>
          <w:rFonts w:hint="eastAsia" w:ascii="黑体" w:hAnsi="黑体" w:eastAsia="宋体" w:cs="宋体"/>
          <w:b/>
          <w:bCs/>
          <w:color w:val="auto"/>
          <w:kern w:val="0"/>
          <w:sz w:val="44"/>
          <w:szCs w:val="44"/>
        </w:rPr>
      </w:pPr>
      <w:bookmarkStart w:id="130" w:name="_Toc16062"/>
      <w:bookmarkStart w:id="131" w:name="_Toc30348"/>
      <w:bookmarkStart w:id="132" w:name="_Toc29792"/>
      <w:r>
        <w:rPr>
          <w:rStyle w:val="52"/>
          <w:rFonts w:hint="eastAsia" w:ascii="黑体" w:hAnsi="黑体" w:eastAsia="宋体" w:cs="宋体"/>
          <w:b/>
          <w:bCs/>
          <w:color w:val="auto"/>
          <w:kern w:val="0"/>
          <w:sz w:val="44"/>
          <w:szCs w:val="44"/>
        </w:rPr>
        <w:t>第</w:t>
      </w:r>
      <w:r>
        <w:rPr>
          <w:rStyle w:val="52"/>
          <w:rFonts w:hint="eastAsia" w:ascii="黑体" w:hAnsi="黑体" w:eastAsia="宋体" w:cs="宋体"/>
          <w:b/>
          <w:bCs/>
          <w:color w:val="auto"/>
          <w:kern w:val="0"/>
          <w:sz w:val="44"/>
          <w:szCs w:val="44"/>
          <w:lang w:eastAsia="zh-CN"/>
        </w:rPr>
        <w:t>二</w:t>
      </w:r>
      <w:r>
        <w:rPr>
          <w:rStyle w:val="52"/>
          <w:rFonts w:hint="eastAsia" w:ascii="黑体" w:hAnsi="黑体" w:eastAsia="宋体" w:cs="宋体"/>
          <w:b/>
          <w:bCs/>
          <w:color w:val="auto"/>
          <w:kern w:val="0"/>
          <w:sz w:val="44"/>
          <w:szCs w:val="44"/>
        </w:rPr>
        <w:t>章</w:t>
      </w:r>
      <w:r>
        <w:rPr>
          <w:rStyle w:val="52"/>
          <w:rFonts w:hint="eastAsia" w:ascii="黑体" w:hAnsi="黑体" w:eastAsia="宋体" w:cs="宋体"/>
          <w:b/>
          <w:bCs/>
          <w:color w:val="auto"/>
          <w:kern w:val="0"/>
          <w:sz w:val="44"/>
          <w:szCs w:val="44"/>
          <w:lang w:val="en-US" w:eastAsia="zh-CN"/>
        </w:rPr>
        <w:tab/>
      </w:r>
      <w:r>
        <w:rPr>
          <w:rStyle w:val="52"/>
          <w:rFonts w:hint="eastAsia" w:ascii="黑体" w:hAnsi="黑体" w:eastAsia="宋体" w:cs="宋体"/>
          <w:b/>
          <w:bCs/>
          <w:color w:val="auto"/>
          <w:kern w:val="0"/>
          <w:sz w:val="44"/>
          <w:szCs w:val="44"/>
          <w:lang w:eastAsia="zh-CN"/>
        </w:rPr>
        <w:t>供应商须知及供应商须知前附表</w:t>
      </w:r>
      <w:bookmarkEnd w:id="130"/>
      <w:bookmarkEnd w:id="131"/>
      <w:bookmarkEnd w:id="132"/>
    </w:p>
    <w:p w14:paraId="2AA17B43">
      <w:pPr>
        <w:pStyle w:val="3"/>
        <w:bidi w:val="0"/>
        <w:spacing w:line="240" w:lineRule="auto"/>
        <w:jc w:val="center"/>
        <w:rPr>
          <w:rFonts w:hint="eastAsia"/>
        </w:rPr>
      </w:pPr>
      <w:bookmarkStart w:id="133" w:name="_Toc30207"/>
      <w:bookmarkStart w:id="134" w:name="_Toc200958288"/>
      <w:bookmarkStart w:id="135" w:name="_Toc19171"/>
      <w:bookmarkStart w:id="136" w:name="_Toc2073"/>
      <w:r>
        <w:rPr>
          <w:rFonts w:hint="eastAsia"/>
          <w:lang w:eastAsia="zh-CN"/>
        </w:rPr>
        <w:t>供应商须知</w:t>
      </w:r>
      <w:r>
        <w:rPr>
          <w:rFonts w:hint="eastAsia"/>
        </w:rPr>
        <w:t>前附表</w:t>
      </w:r>
      <w:bookmarkEnd w:id="133"/>
      <w:bookmarkEnd w:id="134"/>
      <w:bookmarkEnd w:id="135"/>
      <w:bookmarkEnd w:id="136"/>
    </w:p>
    <w:tbl>
      <w:tblPr>
        <w:tblStyle w:val="28"/>
        <w:tblW w:w="9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2211"/>
        <w:gridCol w:w="6477"/>
      </w:tblGrid>
      <w:tr w14:paraId="56387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050" w:type="dxa"/>
            <w:vAlign w:val="center"/>
          </w:tcPr>
          <w:p w14:paraId="012D9B70">
            <w:pPr>
              <w:pStyle w:val="15"/>
              <w:spacing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条款号</w:t>
            </w:r>
          </w:p>
        </w:tc>
        <w:tc>
          <w:tcPr>
            <w:tcW w:w="2211" w:type="dxa"/>
            <w:vAlign w:val="center"/>
          </w:tcPr>
          <w:p w14:paraId="4F6D2565">
            <w:pPr>
              <w:pStyle w:val="15"/>
              <w:shd w:val="clear" w:color="auto" w:fill="auto"/>
              <w:spacing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条款名称</w:t>
            </w:r>
          </w:p>
        </w:tc>
        <w:tc>
          <w:tcPr>
            <w:tcW w:w="6477" w:type="dxa"/>
            <w:vAlign w:val="center"/>
          </w:tcPr>
          <w:p w14:paraId="24397B31">
            <w:pPr>
              <w:pStyle w:val="15"/>
              <w:shd w:val="clear" w:color="auto" w:fill="auto"/>
              <w:spacing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编列内容</w:t>
            </w:r>
          </w:p>
        </w:tc>
      </w:tr>
      <w:tr w14:paraId="043F8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0" w:type="dxa"/>
            <w:vAlign w:val="center"/>
          </w:tcPr>
          <w:p w14:paraId="2E35969E">
            <w:pPr>
              <w:pStyle w:val="15"/>
              <w:spacing w:line="360" w:lineRule="auto"/>
              <w:jc w:val="center"/>
              <w:rPr>
                <w:rFonts w:hint="default"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1.1.2</w:t>
            </w:r>
          </w:p>
        </w:tc>
        <w:tc>
          <w:tcPr>
            <w:tcW w:w="2211" w:type="dxa"/>
            <w:vAlign w:val="center"/>
          </w:tcPr>
          <w:p w14:paraId="3C6C5F39">
            <w:pPr>
              <w:pStyle w:val="15"/>
              <w:shd w:val="clear" w:color="auto" w:fill="auto"/>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采购人</w:t>
            </w:r>
          </w:p>
        </w:tc>
        <w:tc>
          <w:tcPr>
            <w:tcW w:w="6477" w:type="dxa"/>
            <w:vAlign w:val="center"/>
          </w:tcPr>
          <w:p w14:paraId="32DEABD4">
            <w:pPr>
              <w:pStyle w:val="15"/>
              <w:shd w:val="clear" w:color="auto" w:fill="auto"/>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名 称：富源县人民政府胜境街道办事处 </w:t>
            </w:r>
          </w:p>
          <w:p w14:paraId="0F7CDF96">
            <w:pPr>
              <w:pStyle w:val="15"/>
              <w:shd w:val="clear" w:color="auto" w:fill="auto"/>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地 址：富源县胜境街道外山口社区</w:t>
            </w:r>
          </w:p>
          <w:p w14:paraId="1E0B8AD5">
            <w:pPr>
              <w:pStyle w:val="15"/>
              <w:shd w:val="clear" w:color="auto" w:fill="auto"/>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联系人：肖老师</w:t>
            </w:r>
          </w:p>
          <w:p w14:paraId="4402F98A">
            <w:pPr>
              <w:pStyle w:val="15"/>
              <w:shd w:val="clear" w:color="auto" w:fill="auto"/>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联系方式：15877896060</w:t>
            </w:r>
          </w:p>
        </w:tc>
      </w:tr>
      <w:tr w14:paraId="6DB4E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0" w:type="dxa"/>
            <w:vAlign w:val="center"/>
          </w:tcPr>
          <w:p w14:paraId="2DF734AD">
            <w:pPr>
              <w:spacing w:line="360" w:lineRule="auto"/>
              <w:jc w:val="center"/>
              <w:rPr>
                <w:rFonts w:hint="default" w:asciiTheme="minorEastAsia" w:hAnsiTheme="minorEastAsia" w:eastAsiaTheme="minorEastAsia" w:cstheme="minorEastAsia"/>
                <w:kern w:val="0"/>
                <w:sz w:val="24"/>
                <w:szCs w:val="24"/>
                <w:lang w:val="en-US" w:eastAsia="zh-CN"/>
              </w:rPr>
            </w:pPr>
            <w:r>
              <w:rPr>
                <w:rFonts w:hint="eastAsia" w:asciiTheme="minorEastAsia" w:hAnsiTheme="minorEastAsia" w:cstheme="minorEastAsia"/>
                <w:kern w:val="0"/>
                <w:sz w:val="24"/>
                <w:szCs w:val="24"/>
                <w:lang w:val="en-US" w:eastAsia="zh-CN"/>
              </w:rPr>
              <w:t>1.1.4</w:t>
            </w:r>
          </w:p>
        </w:tc>
        <w:tc>
          <w:tcPr>
            <w:tcW w:w="2211" w:type="dxa"/>
            <w:vAlign w:val="center"/>
          </w:tcPr>
          <w:p w14:paraId="73416658">
            <w:pPr>
              <w:pStyle w:val="15"/>
              <w:spacing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采购代理机构</w:t>
            </w:r>
          </w:p>
        </w:tc>
        <w:tc>
          <w:tcPr>
            <w:tcW w:w="6477" w:type="dxa"/>
            <w:vAlign w:val="center"/>
          </w:tcPr>
          <w:p w14:paraId="6E3AA017">
            <w:pPr>
              <w:pStyle w:val="15"/>
              <w:shd w:val="clear" w:color="auto" w:fill="auto"/>
              <w:spacing w:line="360" w:lineRule="auto"/>
              <w:rPr>
                <w:rFonts w:hint="eastAsia" w:asciiTheme="minorEastAsia" w:hAnsiTheme="minorEastAsia" w:eastAsiaTheme="minorEastAsia" w:cstheme="minorEastAsia"/>
                <w:kern w:val="0"/>
                <w:sz w:val="24"/>
                <w:szCs w:val="24"/>
                <w:lang w:eastAsia="zh-CN"/>
              </w:rPr>
            </w:pPr>
            <w:r>
              <w:rPr>
                <w:rFonts w:hint="eastAsia" w:asciiTheme="minorEastAsia" w:hAnsiTheme="minorEastAsia" w:eastAsiaTheme="minorEastAsia" w:cstheme="minorEastAsia"/>
                <w:kern w:val="0"/>
                <w:sz w:val="24"/>
                <w:szCs w:val="24"/>
                <w:lang w:eastAsia="zh-CN"/>
              </w:rPr>
              <w:t>名 称：云南福诚招标有限公司</w:t>
            </w:r>
          </w:p>
          <w:p w14:paraId="573F0369">
            <w:pPr>
              <w:pStyle w:val="15"/>
              <w:shd w:val="clear" w:color="auto" w:fill="auto"/>
              <w:spacing w:line="360" w:lineRule="auto"/>
              <w:rPr>
                <w:rFonts w:hint="eastAsia" w:asciiTheme="minorEastAsia" w:hAnsiTheme="minorEastAsia" w:eastAsiaTheme="minorEastAsia" w:cstheme="minorEastAsia"/>
                <w:kern w:val="0"/>
                <w:sz w:val="24"/>
                <w:szCs w:val="24"/>
                <w:lang w:eastAsia="zh-CN"/>
              </w:rPr>
            </w:pPr>
            <w:r>
              <w:rPr>
                <w:rFonts w:hint="eastAsia" w:asciiTheme="minorEastAsia" w:hAnsiTheme="minorEastAsia" w:eastAsiaTheme="minorEastAsia" w:cstheme="minorEastAsia"/>
                <w:kern w:val="0"/>
                <w:sz w:val="24"/>
                <w:szCs w:val="24"/>
                <w:lang w:eastAsia="zh-CN"/>
              </w:rPr>
              <w:t>地 址：云南省曲靖市麒麟区文华街道办事处学苑社区科创路223号（和顺佳园F幢-002号商铺）</w:t>
            </w:r>
          </w:p>
          <w:p w14:paraId="7AC72EB9">
            <w:pPr>
              <w:pStyle w:val="15"/>
              <w:shd w:val="clear" w:color="auto" w:fill="auto"/>
              <w:spacing w:line="360" w:lineRule="auto"/>
              <w:rPr>
                <w:rFonts w:hint="eastAsia" w:asciiTheme="minorEastAsia" w:hAnsiTheme="minorEastAsia" w:eastAsiaTheme="minorEastAsia" w:cstheme="minorEastAsia"/>
                <w:kern w:val="0"/>
                <w:sz w:val="24"/>
                <w:szCs w:val="24"/>
                <w:lang w:eastAsia="zh-CN"/>
              </w:rPr>
            </w:pPr>
            <w:r>
              <w:rPr>
                <w:rFonts w:hint="eastAsia" w:asciiTheme="minorEastAsia" w:hAnsiTheme="minorEastAsia" w:eastAsiaTheme="minorEastAsia" w:cstheme="minorEastAsia"/>
                <w:kern w:val="0"/>
                <w:sz w:val="24"/>
                <w:szCs w:val="24"/>
                <w:lang w:eastAsia="zh-CN"/>
              </w:rPr>
              <w:t>联系人：安工</w:t>
            </w:r>
          </w:p>
          <w:p w14:paraId="424EFB40">
            <w:pPr>
              <w:pStyle w:val="15"/>
              <w:shd w:val="clear" w:color="auto" w:fill="auto"/>
              <w:spacing w:line="360" w:lineRule="auto"/>
              <w:rPr>
                <w:rFonts w:hint="eastAsia" w:asciiTheme="minorEastAsia" w:hAnsiTheme="minorEastAsia" w:eastAsiaTheme="minorEastAsia" w:cstheme="minorEastAsia"/>
                <w:kern w:val="0"/>
                <w:sz w:val="24"/>
                <w:szCs w:val="24"/>
                <w:lang w:eastAsia="zh-CN"/>
              </w:rPr>
            </w:pPr>
            <w:r>
              <w:rPr>
                <w:rFonts w:hint="eastAsia" w:asciiTheme="minorEastAsia" w:hAnsiTheme="minorEastAsia" w:eastAsiaTheme="minorEastAsia" w:cstheme="minorEastAsia"/>
                <w:kern w:val="0"/>
                <w:sz w:val="24"/>
                <w:szCs w:val="24"/>
                <w:lang w:eastAsia="zh-CN"/>
              </w:rPr>
              <w:t>联系方式：15187929070</w:t>
            </w:r>
          </w:p>
        </w:tc>
      </w:tr>
      <w:tr w14:paraId="37F4A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50" w:type="dxa"/>
            <w:vMerge w:val="restart"/>
            <w:vAlign w:val="center"/>
          </w:tcPr>
          <w:p w14:paraId="18A68560">
            <w:pPr>
              <w:pStyle w:val="15"/>
              <w:spacing w:line="360" w:lineRule="auto"/>
              <w:jc w:val="center"/>
              <w:rPr>
                <w:rFonts w:hint="default"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1.2.2</w:t>
            </w:r>
          </w:p>
        </w:tc>
        <w:tc>
          <w:tcPr>
            <w:tcW w:w="2211" w:type="dxa"/>
            <w:shd w:val="clear" w:color="auto" w:fill="auto"/>
            <w:vAlign w:val="center"/>
          </w:tcPr>
          <w:p w14:paraId="09132DC0">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Theme="minorEastAsia" w:cstheme="minorBidi"/>
                <w:color w:val="auto"/>
                <w:kern w:val="2"/>
                <w:sz w:val="24"/>
                <w:szCs w:val="24"/>
                <w:highlight w:val="none"/>
                <w:lang w:val="en-US" w:eastAsia="zh-CN" w:bidi="ar-SA"/>
              </w:rPr>
            </w:pPr>
            <w:r>
              <w:rPr>
                <w:rFonts w:hint="eastAsia" w:ascii="宋体" w:hAnsi="宋体"/>
                <w:color w:val="auto"/>
                <w:sz w:val="24"/>
                <w:szCs w:val="24"/>
                <w:highlight w:val="none"/>
              </w:rPr>
              <w:t>资金来源</w:t>
            </w:r>
          </w:p>
        </w:tc>
        <w:tc>
          <w:tcPr>
            <w:tcW w:w="6477" w:type="dxa"/>
            <w:shd w:val="clear" w:color="auto" w:fill="auto"/>
            <w:vAlign w:val="center"/>
          </w:tcPr>
          <w:p w14:paraId="7FEE7611">
            <w:pPr>
              <w:pStyle w:val="58"/>
              <w:keepNext w:val="0"/>
              <w:keepLines w:val="0"/>
              <w:pageBreakBefore w:val="0"/>
              <w:widowControl/>
              <w:kinsoku/>
              <w:wordWrap/>
              <w:overflowPunct/>
              <w:topLinePunct w:val="0"/>
              <w:autoSpaceDE/>
              <w:autoSpaceDN/>
              <w:bidi w:val="0"/>
              <w:adjustRightInd/>
              <w:snapToGrid/>
              <w:spacing w:line="480" w:lineRule="exact"/>
              <w:textAlignment w:val="auto"/>
              <w:rPr>
                <w:rFonts w:hint="default" w:ascii="宋体" w:hAnsi="宋体" w:eastAsia="宋体" w:cstheme="minorBidi"/>
                <w:color w:val="auto"/>
                <w:kern w:val="2"/>
                <w:sz w:val="24"/>
                <w:szCs w:val="24"/>
                <w:highlight w:val="none"/>
                <w:lang w:val="en-US" w:eastAsia="zh-CN" w:bidi="ar-SA"/>
              </w:rPr>
            </w:pPr>
            <w:r>
              <w:rPr>
                <w:rFonts w:hint="eastAsia" w:eastAsia="宋体" w:cstheme="minorBidi"/>
                <w:color w:val="auto"/>
                <w:kern w:val="2"/>
                <w:sz w:val="24"/>
                <w:szCs w:val="24"/>
                <w:highlight w:val="none"/>
                <w:lang w:val="en-US" w:eastAsia="zh-CN" w:bidi="ar-SA"/>
              </w:rPr>
              <w:t>财政资金</w:t>
            </w:r>
          </w:p>
        </w:tc>
      </w:tr>
      <w:tr w14:paraId="091A3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0" w:type="dxa"/>
            <w:vMerge w:val="continue"/>
            <w:shd w:val="clear" w:color="auto" w:fill="auto"/>
            <w:vAlign w:val="center"/>
          </w:tcPr>
          <w:p w14:paraId="63ACD5D4">
            <w:pPr>
              <w:pStyle w:val="15"/>
              <w:spacing w:line="360" w:lineRule="auto"/>
              <w:jc w:val="center"/>
              <w:rPr>
                <w:rFonts w:hint="default" w:asciiTheme="minorEastAsia" w:hAnsiTheme="minorEastAsia" w:eastAsiaTheme="minorEastAsia" w:cstheme="minorEastAsia"/>
                <w:kern w:val="0"/>
                <w:sz w:val="24"/>
                <w:szCs w:val="24"/>
                <w:lang w:val="en-US" w:eastAsia="zh-CN" w:bidi="ar-SA"/>
              </w:rPr>
            </w:pPr>
          </w:p>
        </w:tc>
        <w:tc>
          <w:tcPr>
            <w:tcW w:w="2211" w:type="dxa"/>
            <w:shd w:val="clear" w:color="auto" w:fill="auto"/>
            <w:vAlign w:val="center"/>
          </w:tcPr>
          <w:p w14:paraId="3732E08E">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Theme="minorEastAsia" w:cstheme="minorBidi"/>
                <w:color w:val="auto"/>
                <w:kern w:val="2"/>
                <w:sz w:val="24"/>
                <w:szCs w:val="24"/>
                <w:highlight w:val="none"/>
                <w:lang w:val="en-US" w:eastAsia="zh-CN" w:bidi="ar-SA"/>
              </w:rPr>
            </w:pPr>
            <w:r>
              <w:rPr>
                <w:rFonts w:hint="eastAsia" w:ascii="宋体" w:hAnsi="宋体"/>
                <w:color w:val="auto"/>
                <w:sz w:val="24"/>
                <w:szCs w:val="24"/>
                <w:highlight w:val="none"/>
              </w:rPr>
              <w:t>资金落实情况</w:t>
            </w:r>
          </w:p>
        </w:tc>
        <w:tc>
          <w:tcPr>
            <w:tcW w:w="6477" w:type="dxa"/>
            <w:shd w:val="clear" w:color="auto" w:fill="auto"/>
            <w:vAlign w:val="center"/>
          </w:tcPr>
          <w:p w14:paraId="4BDBD331">
            <w:pPr>
              <w:pStyle w:val="58"/>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宋体" w:hAnsi="宋体" w:eastAsiaTheme="minorEastAsia" w:cstheme="minorBidi"/>
                <w:color w:val="auto"/>
                <w:kern w:val="2"/>
                <w:sz w:val="24"/>
                <w:szCs w:val="24"/>
                <w:highlight w:val="none"/>
                <w:lang w:val="en-US" w:eastAsia="zh-CN" w:bidi="ar-SA"/>
              </w:rPr>
            </w:pPr>
            <w:r>
              <w:rPr>
                <w:rFonts w:hint="eastAsia"/>
                <w:color w:val="auto"/>
                <w:sz w:val="24"/>
                <w:szCs w:val="24"/>
                <w:highlight w:val="none"/>
              </w:rPr>
              <w:t>已落实</w:t>
            </w:r>
          </w:p>
        </w:tc>
      </w:tr>
      <w:tr w14:paraId="2BC63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0" w:type="dxa"/>
            <w:shd w:val="clear" w:color="auto" w:fill="auto"/>
            <w:vAlign w:val="center"/>
          </w:tcPr>
          <w:p w14:paraId="5464C8D9">
            <w:pPr>
              <w:pStyle w:val="15"/>
              <w:spacing w:line="360" w:lineRule="auto"/>
              <w:jc w:val="center"/>
              <w:rPr>
                <w:rFonts w:hint="default"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1.3.1</w:t>
            </w:r>
          </w:p>
        </w:tc>
        <w:tc>
          <w:tcPr>
            <w:tcW w:w="2211" w:type="dxa"/>
            <w:shd w:val="clear" w:color="auto" w:fill="auto"/>
            <w:vAlign w:val="center"/>
          </w:tcPr>
          <w:p w14:paraId="5B35BAA1">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宋体" w:hAnsi="宋体" w:eastAsiaTheme="minorEastAsia"/>
                <w:color w:val="auto"/>
                <w:sz w:val="24"/>
                <w:szCs w:val="24"/>
                <w:highlight w:val="none"/>
                <w:lang w:val="en-US" w:eastAsia="zh-CN"/>
              </w:rPr>
            </w:pPr>
            <w:r>
              <w:rPr>
                <w:rFonts w:hint="eastAsia" w:ascii="宋体" w:hAnsi="宋体"/>
                <w:color w:val="auto"/>
                <w:sz w:val="24"/>
                <w:szCs w:val="24"/>
                <w:highlight w:val="none"/>
                <w:lang w:val="en-US" w:eastAsia="zh-CN"/>
              </w:rPr>
              <w:t>采购需求</w:t>
            </w:r>
          </w:p>
        </w:tc>
        <w:tc>
          <w:tcPr>
            <w:tcW w:w="6477" w:type="dxa"/>
            <w:shd w:val="clear" w:color="auto" w:fill="auto"/>
            <w:vAlign w:val="center"/>
          </w:tcPr>
          <w:p w14:paraId="37E5D076">
            <w:pPr>
              <w:pStyle w:val="58"/>
              <w:keepNext w:val="0"/>
              <w:keepLines w:val="0"/>
              <w:pageBreakBefore w:val="0"/>
              <w:widowControl/>
              <w:kinsoku/>
              <w:wordWrap/>
              <w:overflowPunct/>
              <w:topLinePunct w:val="0"/>
              <w:autoSpaceDE/>
              <w:autoSpaceDN/>
              <w:bidi w:val="0"/>
              <w:adjustRightInd/>
              <w:snapToGrid/>
              <w:spacing w:line="480" w:lineRule="exact"/>
              <w:textAlignment w:val="auto"/>
              <w:rPr>
                <w:rFonts w:hint="eastAsia" w:eastAsiaTheme="minorEastAsia"/>
                <w:color w:val="FF0000"/>
                <w:sz w:val="24"/>
                <w:szCs w:val="24"/>
                <w:highlight w:val="none"/>
                <w:lang w:val="en-US" w:eastAsia="zh-CN"/>
              </w:rPr>
            </w:pPr>
            <w:r>
              <w:rPr>
                <w:rFonts w:hint="eastAsia" w:ascii="宋体" w:hAnsi="宋体" w:eastAsia="宋体" w:cstheme="minorBidi"/>
                <w:color w:val="auto"/>
                <w:kern w:val="2"/>
                <w:sz w:val="24"/>
                <w:szCs w:val="24"/>
                <w:highlight w:val="none"/>
                <w:lang w:val="en-US" w:eastAsia="zh-CN" w:bidi="ar-SA"/>
              </w:rPr>
              <w:t>在胜境街道后矿社区实施大河乌猪肉制品加工设施建设。建设内容:1、建设大河乌猪生态食用油脂提炼及油渣、乌猪系列副食品加工车间一间160平方米，土建及墙体改造，墙体无菌净化板，车间内地面排水及无菌地面地砖，水电安装及蒸汽排放1个，容器清洗台2个电加热夹层锅，精炼罐、灌装罐等配套设备购置以及安装；2、对大河乌猪肉制品加工所有车间实施生产污水排放及改造给排水工程。其中将现有车间外围明沟(20厘米)扩建到40厘米宽的暗管排放到隔油池，长度800米，增加120立方米三级隔油池，加过滤网及抽污设备；3、实施厂区生产用水水质提升，增加60立方米蓄水池2个，增加一组日净化能力达100立方米的自来水净化设备以及大功率增压泵2组；具体详见竞争性磋商文件第四章“采购需求”及本项目“招标工程量清单”。</w:t>
            </w:r>
          </w:p>
        </w:tc>
      </w:tr>
      <w:tr w14:paraId="2669D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0" w:type="dxa"/>
            <w:shd w:val="clear" w:color="auto" w:fill="auto"/>
            <w:vAlign w:val="center"/>
          </w:tcPr>
          <w:p w14:paraId="379C65E9">
            <w:pPr>
              <w:pStyle w:val="15"/>
              <w:spacing w:line="360" w:lineRule="auto"/>
              <w:jc w:val="center"/>
              <w:rPr>
                <w:rFonts w:hint="default"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1.3.2</w:t>
            </w:r>
          </w:p>
        </w:tc>
        <w:tc>
          <w:tcPr>
            <w:tcW w:w="2211" w:type="dxa"/>
            <w:shd w:val="clear" w:color="auto" w:fill="auto"/>
            <w:vAlign w:val="center"/>
          </w:tcPr>
          <w:p w14:paraId="5D30601D">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合同履行期限</w:t>
            </w:r>
          </w:p>
          <w:p w14:paraId="2F36DC3D">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（施工工期）</w:t>
            </w:r>
          </w:p>
        </w:tc>
        <w:tc>
          <w:tcPr>
            <w:tcW w:w="6477" w:type="dxa"/>
            <w:shd w:val="clear" w:color="auto" w:fill="auto"/>
            <w:vAlign w:val="center"/>
          </w:tcPr>
          <w:p w14:paraId="6724EF57">
            <w:pPr>
              <w:pStyle w:val="58"/>
              <w:keepNext w:val="0"/>
              <w:keepLines w:val="0"/>
              <w:pageBreakBefore w:val="0"/>
              <w:widowControl/>
              <w:kinsoku/>
              <w:wordWrap/>
              <w:overflowPunct/>
              <w:topLinePunct w:val="0"/>
              <w:autoSpaceDE/>
              <w:autoSpaceDN/>
              <w:bidi w:val="0"/>
              <w:adjustRightInd/>
              <w:snapToGrid/>
              <w:spacing w:line="480" w:lineRule="exact"/>
              <w:textAlignment w:val="auto"/>
              <w:rPr>
                <w:rFonts w:hint="eastAsia"/>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90日历天。</w:t>
            </w:r>
          </w:p>
        </w:tc>
      </w:tr>
      <w:tr w14:paraId="51C0F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0" w:type="dxa"/>
            <w:shd w:val="clear" w:color="auto" w:fill="auto"/>
            <w:vAlign w:val="center"/>
          </w:tcPr>
          <w:p w14:paraId="4FA34A85">
            <w:pPr>
              <w:pStyle w:val="15"/>
              <w:spacing w:line="360" w:lineRule="auto"/>
              <w:jc w:val="center"/>
              <w:rPr>
                <w:rFonts w:hint="default"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bidi="ar-SA"/>
              </w:rPr>
              <w:t>1.4.1</w:t>
            </w:r>
          </w:p>
        </w:tc>
        <w:tc>
          <w:tcPr>
            <w:tcW w:w="2211" w:type="dxa"/>
            <w:vAlign w:val="center"/>
          </w:tcPr>
          <w:p w14:paraId="7F8414E3">
            <w:pPr>
              <w:pStyle w:val="15"/>
              <w:spacing w:line="360" w:lineRule="auto"/>
              <w:jc w:val="center"/>
              <w:rPr>
                <w:rFonts w:hint="eastAsia" w:asciiTheme="minorEastAsia" w:hAnsiTheme="minorEastAsia" w:eastAsiaTheme="minorEastAsia" w:cstheme="minorEastAsia"/>
                <w:kern w:val="0"/>
                <w:sz w:val="24"/>
                <w:szCs w:val="24"/>
                <w:highlight w:val="none"/>
                <w:lang w:eastAsia="zh-CN"/>
              </w:rPr>
            </w:pPr>
            <w:r>
              <w:rPr>
                <w:rFonts w:hint="eastAsia" w:asciiTheme="minorEastAsia" w:hAnsiTheme="minorEastAsia" w:eastAsiaTheme="minorEastAsia" w:cstheme="minorEastAsia"/>
                <w:kern w:val="0"/>
                <w:sz w:val="24"/>
                <w:szCs w:val="24"/>
                <w:highlight w:val="none"/>
                <w:lang w:eastAsia="zh-CN"/>
              </w:rPr>
              <w:t>供应商资格</w:t>
            </w:r>
          </w:p>
          <w:p w14:paraId="3EA8AB04">
            <w:pPr>
              <w:pStyle w:val="15"/>
              <w:spacing w:line="360" w:lineRule="auto"/>
              <w:jc w:val="center"/>
              <w:rPr>
                <w:rFonts w:hint="eastAsia" w:asciiTheme="minorEastAsia" w:hAnsiTheme="minorEastAsia" w:eastAsiaTheme="minorEastAsia" w:cstheme="minorEastAsia"/>
                <w:kern w:val="0"/>
                <w:sz w:val="24"/>
                <w:szCs w:val="24"/>
                <w:lang w:eastAsia="zh-CN"/>
              </w:rPr>
            </w:pPr>
            <w:r>
              <w:rPr>
                <w:rFonts w:hint="eastAsia" w:asciiTheme="minorEastAsia" w:hAnsiTheme="minorEastAsia" w:eastAsiaTheme="minorEastAsia" w:cstheme="minorEastAsia"/>
                <w:kern w:val="0"/>
                <w:sz w:val="24"/>
                <w:szCs w:val="24"/>
                <w:highlight w:val="none"/>
                <w:lang w:eastAsia="zh-CN"/>
              </w:rPr>
              <w:t>要求</w:t>
            </w:r>
          </w:p>
        </w:tc>
        <w:tc>
          <w:tcPr>
            <w:tcW w:w="6477" w:type="dxa"/>
            <w:vAlign w:val="center"/>
          </w:tcPr>
          <w:p w14:paraId="5C1B5E5E">
            <w:pPr>
              <w:pStyle w:val="58"/>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Theme="minorEastAsia" w:hAnsiTheme="minorEastAsia" w:eastAsiaTheme="minorEastAsia" w:cstheme="minorEastAsia"/>
                <w:i w:val="0"/>
                <w:iCs w:val="0"/>
                <w:caps w:val="0"/>
                <w:smallCaps w:val="0"/>
                <w:color w:val="auto"/>
                <w:sz w:val="24"/>
                <w:szCs w:val="24"/>
                <w:highlight w:val="none"/>
                <w:lang w:val="en-US" w:eastAsia="zh-CN"/>
              </w:rPr>
            </w:pPr>
            <w:r>
              <w:rPr>
                <w:rFonts w:hint="eastAsia" w:asciiTheme="minorEastAsia" w:hAnsiTheme="minorEastAsia" w:eastAsiaTheme="minorEastAsia" w:cstheme="minorEastAsia"/>
                <w:i w:val="0"/>
                <w:iCs w:val="0"/>
                <w:caps w:val="0"/>
                <w:smallCaps w:val="0"/>
                <w:color w:val="auto"/>
                <w:sz w:val="24"/>
                <w:szCs w:val="24"/>
                <w:highlight w:val="none"/>
                <w:lang w:val="en-US" w:eastAsia="zh-CN"/>
              </w:rPr>
              <w:t>1.参与投标的供应商必须具备《政府采购法》第二十二条规定的条件，依据《曲靖市财政局关于对政府采购供应商资格条件试行“承诺+信用管理”准入管理制的通知》(曲财采【2023】16号)规定，在政府采购活动中，供应商只需在资格审查环节提供满足下列相应条件的资格承诺函，不再需要提供相应证明资料:</w:t>
            </w:r>
          </w:p>
          <w:p w14:paraId="63084AAE">
            <w:pPr>
              <w:pStyle w:val="58"/>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Theme="minorEastAsia" w:hAnsiTheme="minorEastAsia" w:eastAsiaTheme="minorEastAsia" w:cstheme="minorEastAsia"/>
                <w:i w:val="0"/>
                <w:iCs w:val="0"/>
                <w:caps w:val="0"/>
                <w:smallCaps w:val="0"/>
                <w:color w:val="auto"/>
                <w:sz w:val="24"/>
                <w:szCs w:val="24"/>
                <w:highlight w:val="none"/>
                <w:lang w:val="en-US" w:eastAsia="zh-CN"/>
              </w:rPr>
            </w:pPr>
            <w:r>
              <w:rPr>
                <w:rFonts w:hint="eastAsia" w:asciiTheme="minorEastAsia" w:hAnsiTheme="minorEastAsia" w:eastAsiaTheme="minorEastAsia" w:cstheme="minorEastAsia"/>
                <w:i w:val="0"/>
                <w:iCs w:val="0"/>
                <w:caps w:val="0"/>
                <w:smallCaps w:val="0"/>
                <w:color w:val="auto"/>
                <w:sz w:val="24"/>
                <w:szCs w:val="24"/>
                <w:highlight w:val="none"/>
                <w:lang w:val="en-US" w:eastAsia="zh-CN"/>
              </w:rPr>
              <w:t>（1）具有独立承担民事责任的能力；</w:t>
            </w:r>
          </w:p>
          <w:p w14:paraId="2BA9BFD9">
            <w:pPr>
              <w:pStyle w:val="58"/>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Theme="minorEastAsia" w:hAnsiTheme="minorEastAsia" w:eastAsiaTheme="minorEastAsia" w:cstheme="minorEastAsia"/>
                <w:i w:val="0"/>
                <w:iCs w:val="0"/>
                <w:caps w:val="0"/>
                <w:smallCaps w:val="0"/>
                <w:color w:val="auto"/>
                <w:sz w:val="24"/>
                <w:szCs w:val="24"/>
                <w:highlight w:val="none"/>
                <w:lang w:val="en-US" w:eastAsia="zh-CN"/>
              </w:rPr>
            </w:pPr>
            <w:r>
              <w:rPr>
                <w:rFonts w:hint="eastAsia" w:asciiTheme="minorEastAsia" w:hAnsiTheme="minorEastAsia" w:eastAsiaTheme="minorEastAsia" w:cstheme="minorEastAsia"/>
                <w:i w:val="0"/>
                <w:iCs w:val="0"/>
                <w:caps w:val="0"/>
                <w:smallCaps w:val="0"/>
                <w:color w:val="auto"/>
                <w:sz w:val="24"/>
                <w:szCs w:val="24"/>
                <w:highlight w:val="none"/>
                <w:lang w:val="en-US" w:eastAsia="zh-CN"/>
              </w:rPr>
              <w:t>（2）具有良好的商业信誉和健全的财务会计制度；</w:t>
            </w:r>
          </w:p>
          <w:p w14:paraId="17569540">
            <w:pPr>
              <w:pStyle w:val="58"/>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Theme="minorEastAsia" w:hAnsiTheme="minorEastAsia" w:eastAsiaTheme="minorEastAsia" w:cstheme="minorEastAsia"/>
                <w:i w:val="0"/>
                <w:iCs w:val="0"/>
                <w:caps w:val="0"/>
                <w:smallCaps w:val="0"/>
                <w:color w:val="auto"/>
                <w:sz w:val="24"/>
                <w:szCs w:val="24"/>
                <w:highlight w:val="none"/>
                <w:lang w:val="en-US" w:eastAsia="zh-CN"/>
              </w:rPr>
            </w:pPr>
            <w:r>
              <w:rPr>
                <w:rFonts w:hint="eastAsia" w:asciiTheme="minorEastAsia" w:hAnsiTheme="minorEastAsia" w:eastAsiaTheme="minorEastAsia" w:cstheme="minorEastAsia"/>
                <w:i w:val="0"/>
                <w:iCs w:val="0"/>
                <w:caps w:val="0"/>
                <w:smallCaps w:val="0"/>
                <w:color w:val="auto"/>
                <w:sz w:val="24"/>
                <w:szCs w:val="24"/>
                <w:highlight w:val="none"/>
                <w:lang w:val="en-US" w:eastAsia="zh-CN"/>
              </w:rPr>
              <w:t>（3）有依法缴纳税收和社会保障资金的良好记录；</w:t>
            </w:r>
          </w:p>
          <w:p w14:paraId="17086440">
            <w:pPr>
              <w:pStyle w:val="58"/>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Theme="minorEastAsia" w:hAnsiTheme="minorEastAsia" w:eastAsiaTheme="minorEastAsia" w:cstheme="minorEastAsia"/>
                <w:i w:val="0"/>
                <w:iCs w:val="0"/>
                <w:caps w:val="0"/>
                <w:smallCaps w:val="0"/>
                <w:color w:val="auto"/>
                <w:sz w:val="24"/>
                <w:szCs w:val="24"/>
                <w:highlight w:val="none"/>
                <w:lang w:val="en-US" w:eastAsia="zh-CN"/>
              </w:rPr>
            </w:pPr>
            <w:r>
              <w:rPr>
                <w:rFonts w:hint="eastAsia" w:asciiTheme="minorEastAsia" w:hAnsiTheme="minorEastAsia" w:eastAsiaTheme="minorEastAsia" w:cstheme="minorEastAsia"/>
                <w:i w:val="0"/>
                <w:iCs w:val="0"/>
                <w:caps w:val="0"/>
                <w:smallCaps w:val="0"/>
                <w:color w:val="auto"/>
                <w:sz w:val="24"/>
                <w:szCs w:val="24"/>
                <w:highlight w:val="none"/>
                <w:lang w:val="en-US" w:eastAsia="zh-CN"/>
              </w:rPr>
              <w:t>（4）具有履行合同所必需的设备和专业技术能力；</w:t>
            </w:r>
          </w:p>
          <w:p w14:paraId="71EFA2F6">
            <w:pPr>
              <w:pStyle w:val="58"/>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Theme="minorEastAsia" w:hAnsiTheme="minorEastAsia" w:eastAsiaTheme="minorEastAsia" w:cstheme="minorEastAsia"/>
                <w:i w:val="0"/>
                <w:iCs w:val="0"/>
                <w:caps w:val="0"/>
                <w:smallCaps w:val="0"/>
                <w:color w:val="auto"/>
                <w:sz w:val="24"/>
                <w:szCs w:val="24"/>
                <w:highlight w:val="none"/>
                <w:lang w:val="en-US" w:eastAsia="zh-CN"/>
              </w:rPr>
            </w:pPr>
            <w:r>
              <w:rPr>
                <w:rFonts w:hint="eastAsia" w:asciiTheme="minorEastAsia" w:hAnsiTheme="minorEastAsia" w:eastAsiaTheme="minorEastAsia" w:cstheme="minorEastAsia"/>
                <w:i w:val="0"/>
                <w:iCs w:val="0"/>
                <w:caps w:val="0"/>
                <w:smallCaps w:val="0"/>
                <w:color w:val="auto"/>
                <w:sz w:val="24"/>
                <w:szCs w:val="24"/>
                <w:highlight w:val="none"/>
                <w:lang w:val="en-US" w:eastAsia="zh-CN"/>
              </w:rPr>
              <w:t>（5）参加本次政府采购活动前三年内，在经营活动中没有重大违法记录；</w:t>
            </w:r>
          </w:p>
          <w:p w14:paraId="4E8C4624">
            <w:pPr>
              <w:pStyle w:val="58"/>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Theme="minorEastAsia" w:hAnsiTheme="minorEastAsia" w:eastAsiaTheme="minorEastAsia" w:cstheme="minorEastAsia"/>
                <w:i w:val="0"/>
                <w:iCs w:val="0"/>
                <w:caps w:val="0"/>
                <w:smallCaps w:val="0"/>
                <w:color w:val="auto"/>
                <w:sz w:val="24"/>
                <w:szCs w:val="24"/>
                <w:highlight w:val="none"/>
                <w:lang w:val="en-US" w:eastAsia="zh-CN"/>
              </w:rPr>
            </w:pPr>
            <w:r>
              <w:rPr>
                <w:rFonts w:hint="eastAsia" w:asciiTheme="minorEastAsia" w:hAnsiTheme="minorEastAsia" w:eastAsiaTheme="minorEastAsia" w:cstheme="minorEastAsia"/>
                <w:i w:val="0"/>
                <w:iCs w:val="0"/>
                <w:caps w:val="0"/>
                <w:smallCaps w:val="0"/>
                <w:color w:val="auto"/>
                <w:sz w:val="24"/>
                <w:szCs w:val="24"/>
                <w:highlight w:val="none"/>
                <w:lang w:val="en-US" w:eastAsia="zh-CN"/>
              </w:rPr>
              <w:t>（6）在投标(响应)截止日期前未被列入失信被执行人名单、重大税收违法案件当事人名单、政府采购严重违法失信行为记录名单；</w:t>
            </w:r>
          </w:p>
          <w:p w14:paraId="1BA404A6">
            <w:pPr>
              <w:pStyle w:val="58"/>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Theme="minorEastAsia" w:hAnsiTheme="minorEastAsia" w:eastAsiaTheme="minorEastAsia" w:cstheme="minorEastAsia"/>
                <w:i w:val="0"/>
                <w:iCs w:val="0"/>
                <w:caps w:val="0"/>
                <w:smallCaps w:val="0"/>
                <w:color w:val="auto"/>
                <w:sz w:val="24"/>
                <w:szCs w:val="24"/>
                <w:highlight w:val="none"/>
                <w:lang w:val="en-US" w:eastAsia="zh-CN"/>
              </w:rPr>
            </w:pPr>
            <w:r>
              <w:rPr>
                <w:rFonts w:hint="eastAsia" w:asciiTheme="minorEastAsia" w:hAnsiTheme="minorEastAsia" w:eastAsiaTheme="minorEastAsia" w:cstheme="minorEastAsia"/>
                <w:i w:val="0"/>
                <w:iCs w:val="0"/>
                <w:caps w:val="0"/>
                <w:smallCaps w:val="0"/>
                <w:color w:val="auto"/>
                <w:sz w:val="24"/>
                <w:szCs w:val="24"/>
                <w:highlight w:val="none"/>
                <w:lang w:val="en-US" w:eastAsia="zh-CN"/>
              </w:rPr>
              <w:t>（7）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14:paraId="0BD3884E">
            <w:pPr>
              <w:pStyle w:val="58"/>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Theme="minorEastAsia" w:hAnsiTheme="minorEastAsia" w:eastAsiaTheme="minorEastAsia" w:cstheme="minorEastAsia"/>
                <w:i w:val="0"/>
                <w:iCs w:val="0"/>
                <w:caps w:val="0"/>
                <w:smallCaps w:val="0"/>
                <w:color w:val="auto"/>
                <w:sz w:val="24"/>
                <w:szCs w:val="24"/>
                <w:highlight w:val="none"/>
                <w:lang w:val="en-US" w:eastAsia="zh-CN"/>
              </w:rPr>
            </w:pPr>
            <w:r>
              <w:rPr>
                <w:rFonts w:hint="eastAsia" w:asciiTheme="minorEastAsia" w:hAnsiTheme="minorEastAsia" w:eastAsiaTheme="minorEastAsia" w:cstheme="minorEastAsia"/>
                <w:i w:val="0"/>
                <w:iCs w:val="0"/>
                <w:caps w:val="0"/>
                <w:smallCaps w:val="0"/>
                <w:color w:val="auto"/>
                <w:sz w:val="24"/>
                <w:szCs w:val="24"/>
                <w:highlight w:val="none"/>
                <w:lang w:val="en-US" w:eastAsia="zh-CN"/>
              </w:rPr>
              <w:t>注：存在不良信用记录的供应商，在信用修复前不适用承诺制。</w:t>
            </w:r>
          </w:p>
          <w:p w14:paraId="1C5354A5">
            <w:pPr>
              <w:pStyle w:val="58"/>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Theme="minorEastAsia" w:hAnsiTheme="minorEastAsia" w:eastAsiaTheme="minorEastAsia" w:cstheme="minorEastAsia"/>
                <w:i w:val="0"/>
                <w:iCs w:val="0"/>
                <w:caps w:val="0"/>
                <w:smallCaps w:val="0"/>
                <w:color w:val="auto"/>
                <w:sz w:val="24"/>
                <w:szCs w:val="24"/>
                <w:highlight w:val="none"/>
                <w:lang w:val="en-US" w:eastAsia="zh-CN"/>
              </w:rPr>
            </w:pPr>
            <w:r>
              <w:rPr>
                <w:rFonts w:hint="eastAsia" w:asciiTheme="minorEastAsia" w:hAnsiTheme="minorEastAsia" w:eastAsiaTheme="minorEastAsia" w:cstheme="minorEastAsia"/>
                <w:i w:val="0"/>
                <w:iCs w:val="0"/>
                <w:caps w:val="0"/>
                <w:smallCaps w:val="0"/>
                <w:color w:val="auto"/>
                <w:sz w:val="24"/>
                <w:szCs w:val="24"/>
                <w:highlight w:val="none"/>
                <w:lang w:val="en-US" w:eastAsia="zh-CN"/>
              </w:rPr>
              <w:t>2.落实政府采购政策需满足的资格要求：</w:t>
            </w:r>
          </w:p>
          <w:p w14:paraId="016765DB">
            <w:pPr>
              <w:pStyle w:val="58"/>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Theme="minorEastAsia" w:hAnsiTheme="minorEastAsia" w:eastAsiaTheme="minorEastAsia" w:cstheme="minorEastAsia"/>
                <w:i w:val="0"/>
                <w:iCs w:val="0"/>
                <w:caps w:val="0"/>
                <w:smallCaps w:val="0"/>
                <w:color w:val="auto"/>
                <w:sz w:val="24"/>
                <w:szCs w:val="24"/>
                <w:highlight w:val="none"/>
                <w:lang w:val="en-US" w:eastAsia="zh-CN"/>
              </w:rPr>
            </w:pPr>
            <w:r>
              <w:rPr>
                <w:rFonts w:hint="eastAsia" w:asciiTheme="minorEastAsia" w:hAnsiTheme="minorEastAsia" w:eastAsiaTheme="minorEastAsia" w:cstheme="minorEastAsia"/>
                <w:i w:val="0"/>
                <w:iCs w:val="0"/>
                <w:caps w:val="0"/>
                <w:smallCaps w:val="0"/>
                <w:color w:val="auto"/>
                <w:sz w:val="24"/>
                <w:szCs w:val="24"/>
                <w:highlight w:val="none"/>
                <w:lang w:val="en-US" w:eastAsia="zh-CN"/>
              </w:rPr>
              <w:t>2.1.根据财政部、工业和信息化部关于印发《政府采购促进中小企业发展管理办法》的通知（财库〔2020〕46号）、财政部《关于进一步加大政府采购支持中小企业力度的通知》（财库〔2022〕19号），本项目专门面向中小企业采购，符合文件要求的供应商应提交《中小企业声明函》，并上传至电子投标文件中，详见磋商文件。</w:t>
            </w:r>
          </w:p>
          <w:p w14:paraId="69577864">
            <w:pPr>
              <w:pStyle w:val="58"/>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Theme="minorEastAsia" w:hAnsiTheme="minorEastAsia" w:eastAsiaTheme="minorEastAsia" w:cstheme="minorEastAsia"/>
                <w:i w:val="0"/>
                <w:iCs w:val="0"/>
                <w:caps w:val="0"/>
                <w:smallCaps w:val="0"/>
                <w:color w:val="auto"/>
                <w:sz w:val="24"/>
                <w:szCs w:val="24"/>
                <w:highlight w:val="none"/>
                <w:lang w:val="en-US" w:eastAsia="zh-CN"/>
              </w:rPr>
            </w:pPr>
            <w:r>
              <w:rPr>
                <w:rFonts w:hint="eastAsia" w:asciiTheme="minorEastAsia" w:hAnsiTheme="minorEastAsia" w:eastAsiaTheme="minorEastAsia" w:cstheme="minorEastAsia"/>
                <w:i w:val="0"/>
                <w:iCs w:val="0"/>
                <w:caps w:val="0"/>
                <w:smallCaps w:val="0"/>
                <w:color w:val="auto"/>
                <w:sz w:val="24"/>
                <w:szCs w:val="24"/>
                <w:highlight w:val="none"/>
                <w:lang w:val="en-US" w:eastAsia="zh-CN"/>
              </w:rPr>
              <w:t>3.本项目的特定要求：</w:t>
            </w:r>
          </w:p>
          <w:p w14:paraId="0D718AB9">
            <w:pPr>
              <w:pStyle w:val="58"/>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Theme="minorEastAsia" w:hAnsiTheme="minorEastAsia" w:eastAsiaTheme="minorEastAsia" w:cstheme="minorEastAsia"/>
                <w:i w:val="0"/>
                <w:iCs w:val="0"/>
                <w:caps w:val="0"/>
                <w:smallCaps w:val="0"/>
                <w:color w:val="auto"/>
                <w:sz w:val="24"/>
                <w:szCs w:val="24"/>
                <w:highlight w:val="none"/>
                <w:lang w:val="en-US" w:eastAsia="zh-CN"/>
              </w:rPr>
            </w:pPr>
            <w:r>
              <w:rPr>
                <w:rFonts w:hint="eastAsia" w:asciiTheme="minorEastAsia" w:hAnsiTheme="minorEastAsia" w:eastAsiaTheme="minorEastAsia" w:cstheme="minorEastAsia"/>
                <w:i w:val="0"/>
                <w:iCs w:val="0"/>
                <w:caps w:val="0"/>
                <w:smallCaps w:val="0"/>
                <w:color w:val="auto"/>
                <w:sz w:val="24"/>
                <w:szCs w:val="24"/>
                <w:highlight w:val="none"/>
                <w:lang w:val="en-US" w:eastAsia="zh-CN"/>
              </w:rPr>
              <w:t>（1）具备建设行政主管部门颁发的建筑工程施工总承包叁级及以上资质；</w:t>
            </w:r>
          </w:p>
          <w:p w14:paraId="6DC712BF">
            <w:pPr>
              <w:pStyle w:val="58"/>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Theme="minorEastAsia" w:hAnsiTheme="minorEastAsia" w:eastAsiaTheme="minorEastAsia" w:cstheme="minorEastAsia"/>
                <w:i w:val="0"/>
                <w:iCs w:val="0"/>
                <w:caps w:val="0"/>
                <w:smallCaps w:val="0"/>
                <w:color w:val="auto"/>
                <w:sz w:val="24"/>
                <w:szCs w:val="24"/>
                <w:highlight w:val="none"/>
                <w:lang w:val="en-US" w:eastAsia="zh-CN"/>
              </w:rPr>
            </w:pPr>
            <w:r>
              <w:rPr>
                <w:rFonts w:hint="eastAsia" w:asciiTheme="minorEastAsia" w:hAnsiTheme="minorEastAsia" w:eastAsiaTheme="minorEastAsia" w:cstheme="minorEastAsia"/>
                <w:i w:val="0"/>
                <w:iCs w:val="0"/>
                <w:caps w:val="0"/>
                <w:smallCaps w:val="0"/>
                <w:color w:val="auto"/>
                <w:sz w:val="24"/>
                <w:szCs w:val="24"/>
                <w:highlight w:val="none"/>
                <w:lang w:val="en-US" w:eastAsia="zh-CN"/>
              </w:rPr>
              <w:t>（2）具有有效的安全生产许可证；</w:t>
            </w:r>
          </w:p>
          <w:p w14:paraId="7D4F8AEA">
            <w:pPr>
              <w:pStyle w:val="58"/>
              <w:keepNext w:val="0"/>
              <w:keepLines w:val="0"/>
              <w:pageBreakBefore w:val="0"/>
              <w:widowControl/>
              <w:kinsoku/>
              <w:wordWrap/>
              <w:overflowPunct/>
              <w:topLinePunct w:val="0"/>
              <w:autoSpaceDE/>
              <w:autoSpaceDN/>
              <w:bidi w:val="0"/>
              <w:adjustRightInd/>
              <w:snapToGrid/>
              <w:spacing w:line="480" w:lineRule="exact"/>
              <w:textAlignment w:val="auto"/>
              <w:rPr>
                <w:rFonts w:hint="eastAsia"/>
                <w:lang w:eastAsia="zh-CN"/>
              </w:rPr>
            </w:pPr>
            <w:r>
              <w:rPr>
                <w:rFonts w:hint="eastAsia" w:asciiTheme="minorEastAsia" w:hAnsiTheme="minorEastAsia" w:eastAsiaTheme="minorEastAsia" w:cstheme="minorEastAsia"/>
                <w:i w:val="0"/>
                <w:iCs w:val="0"/>
                <w:caps w:val="0"/>
                <w:smallCaps w:val="0"/>
                <w:color w:val="auto"/>
                <w:sz w:val="24"/>
                <w:szCs w:val="24"/>
                <w:highlight w:val="none"/>
                <w:lang w:val="en-US" w:eastAsia="zh-CN"/>
              </w:rPr>
              <w:t>（3）拟投入项目管理人员：配备项目经理1人（具有建筑工程专业二级及以上建造师注册证书和安全生产考核合格证书且无在建、待建项目）。</w:t>
            </w:r>
          </w:p>
        </w:tc>
      </w:tr>
      <w:tr w14:paraId="1CA15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0" w:type="dxa"/>
            <w:shd w:val="clear" w:color="auto" w:fill="auto"/>
            <w:vAlign w:val="center"/>
          </w:tcPr>
          <w:p w14:paraId="6AC36D30">
            <w:pPr>
              <w:pStyle w:val="15"/>
              <w:spacing w:line="360" w:lineRule="auto"/>
              <w:jc w:val="center"/>
              <w:rPr>
                <w:rFonts w:hint="default"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1.4.3</w:t>
            </w:r>
          </w:p>
        </w:tc>
        <w:tc>
          <w:tcPr>
            <w:tcW w:w="2211" w:type="dxa"/>
            <w:vAlign w:val="center"/>
          </w:tcPr>
          <w:p w14:paraId="1C91303E">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kern w:val="0"/>
                <w:sz w:val="24"/>
                <w:szCs w:val="24"/>
                <w:highlight w:val="none"/>
                <w:lang w:eastAsia="zh-CN"/>
              </w:rPr>
            </w:pPr>
            <w:r>
              <w:rPr>
                <w:rFonts w:hint="eastAsia" w:ascii="宋体" w:hAnsi="宋体" w:eastAsia="宋体" w:cs="宋体"/>
                <w:color w:val="auto"/>
                <w:sz w:val="24"/>
                <w:szCs w:val="24"/>
                <w:highlight w:val="none"/>
              </w:rPr>
              <w:t>是否接受联合体</w:t>
            </w:r>
          </w:p>
        </w:tc>
        <w:tc>
          <w:tcPr>
            <w:tcW w:w="6477" w:type="dxa"/>
            <w:vAlign w:val="center"/>
          </w:tcPr>
          <w:p w14:paraId="49D92C96">
            <w:pPr>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Times New Roman" w:hAnsi="Times New Roman" w:eastAsia="宋体"/>
                <w:caps w:val="0"/>
                <w:smallCaps w:val="0"/>
                <w:color w:val="auto"/>
                <w:kern w:val="2"/>
                <w:sz w:val="24"/>
                <w:szCs w:val="24"/>
                <w:highlight w:val="none"/>
                <w:lang w:eastAsia="zh-CN"/>
              </w:rPr>
            </w:pPr>
            <w:r>
              <w:rPr>
                <w:rFonts w:hint="eastAsia" w:ascii="宋体" w:hAnsi="宋体" w:eastAsia="宋体" w:cs="宋体"/>
                <w:color w:val="auto"/>
                <w:sz w:val="24"/>
                <w:szCs w:val="24"/>
                <w:highlight w:val="none"/>
              </w:rPr>
              <w:t>不接受</w:t>
            </w:r>
          </w:p>
        </w:tc>
      </w:tr>
      <w:tr w14:paraId="5D4EC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0" w:type="dxa"/>
            <w:shd w:val="clear" w:color="auto" w:fill="auto"/>
            <w:vAlign w:val="center"/>
          </w:tcPr>
          <w:p w14:paraId="23A737CA">
            <w:pPr>
              <w:pStyle w:val="15"/>
              <w:spacing w:line="360" w:lineRule="auto"/>
              <w:jc w:val="center"/>
              <w:rPr>
                <w:rFonts w:hint="default"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bidi="ar-SA"/>
              </w:rPr>
              <w:t>1.9</w:t>
            </w:r>
          </w:p>
        </w:tc>
        <w:tc>
          <w:tcPr>
            <w:tcW w:w="2211" w:type="dxa"/>
            <w:shd w:val="clear" w:color="auto" w:fill="auto"/>
            <w:vAlign w:val="center"/>
          </w:tcPr>
          <w:p w14:paraId="70CA7ACE">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踏勘现场</w:t>
            </w:r>
          </w:p>
        </w:tc>
        <w:tc>
          <w:tcPr>
            <w:tcW w:w="6477" w:type="dxa"/>
            <w:shd w:val="clear" w:color="auto" w:fill="auto"/>
            <w:vAlign w:val="center"/>
          </w:tcPr>
          <w:p w14:paraId="7AA76920">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不组织</w:t>
            </w:r>
          </w:p>
        </w:tc>
      </w:tr>
      <w:tr w14:paraId="06DBC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0" w:type="dxa"/>
            <w:shd w:val="clear" w:color="auto" w:fill="auto"/>
            <w:vAlign w:val="center"/>
          </w:tcPr>
          <w:p w14:paraId="74DF2270">
            <w:pPr>
              <w:pStyle w:val="15"/>
              <w:spacing w:line="360" w:lineRule="auto"/>
              <w:jc w:val="center"/>
              <w:rPr>
                <w:rFonts w:hint="default"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bidi="ar-SA"/>
              </w:rPr>
              <w:t>1.11</w:t>
            </w:r>
          </w:p>
        </w:tc>
        <w:tc>
          <w:tcPr>
            <w:tcW w:w="2211" w:type="dxa"/>
            <w:shd w:val="clear" w:color="auto" w:fill="auto"/>
            <w:vAlign w:val="center"/>
          </w:tcPr>
          <w:p w14:paraId="55D1ED7E">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分包</w:t>
            </w:r>
          </w:p>
        </w:tc>
        <w:tc>
          <w:tcPr>
            <w:tcW w:w="6477" w:type="dxa"/>
            <w:shd w:val="clear" w:color="auto" w:fill="auto"/>
            <w:vAlign w:val="center"/>
          </w:tcPr>
          <w:p w14:paraId="2192AA22">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不允许</w:t>
            </w:r>
          </w:p>
        </w:tc>
      </w:tr>
      <w:tr w14:paraId="22E7E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0" w:type="dxa"/>
            <w:vMerge w:val="restart"/>
            <w:shd w:val="clear" w:color="auto" w:fill="auto"/>
            <w:vAlign w:val="center"/>
          </w:tcPr>
          <w:p w14:paraId="57DA11A6">
            <w:pPr>
              <w:pStyle w:val="15"/>
              <w:spacing w:line="360" w:lineRule="auto"/>
              <w:jc w:val="center"/>
              <w:rPr>
                <w:rFonts w:hint="default"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bidi="ar-SA"/>
              </w:rPr>
              <w:t>2.2.1</w:t>
            </w:r>
          </w:p>
        </w:tc>
        <w:tc>
          <w:tcPr>
            <w:tcW w:w="2211" w:type="dxa"/>
            <w:shd w:val="clear" w:color="auto" w:fill="auto"/>
            <w:vAlign w:val="center"/>
          </w:tcPr>
          <w:p w14:paraId="2D29F3C5">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供应商要求澄清竞争性</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采购文件的截止时间</w:t>
            </w:r>
          </w:p>
        </w:tc>
        <w:tc>
          <w:tcPr>
            <w:tcW w:w="6477" w:type="dxa"/>
            <w:shd w:val="clear" w:color="auto" w:fill="auto"/>
            <w:vAlign w:val="center"/>
          </w:tcPr>
          <w:p w14:paraId="6E82208B">
            <w:pPr>
              <w:spacing w:line="500" w:lineRule="exac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提交首次响应文件截止时间至少5日前</w:t>
            </w:r>
          </w:p>
        </w:tc>
      </w:tr>
      <w:tr w14:paraId="74A5F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1050" w:type="dxa"/>
            <w:vMerge w:val="continue"/>
            <w:shd w:val="clear" w:color="auto" w:fill="auto"/>
            <w:vAlign w:val="center"/>
          </w:tcPr>
          <w:p w14:paraId="33B7638E">
            <w:pPr>
              <w:pStyle w:val="15"/>
              <w:spacing w:line="360" w:lineRule="auto"/>
              <w:jc w:val="center"/>
              <w:rPr>
                <w:rFonts w:hint="default" w:asciiTheme="minorEastAsia" w:hAnsiTheme="minorEastAsia" w:eastAsiaTheme="minorEastAsia" w:cstheme="minorEastAsia"/>
                <w:kern w:val="0"/>
                <w:sz w:val="24"/>
                <w:szCs w:val="24"/>
                <w:lang w:val="en-US" w:eastAsia="zh-CN" w:bidi="ar-SA"/>
              </w:rPr>
            </w:pPr>
          </w:p>
        </w:tc>
        <w:tc>
          <w:tcPr>
            <w:tcW w:w="2211" w:type="dxa"/>
            <w:shd w:val="clear" w:color="auto" w:fill="auto"/>
            <w:vAlign w:val="center"/>
          </w:tcPr>
          <w:p w14:paraId="1F2674A0">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电子采购文件澄清与答疑</w:t>
            </w:r>
          </w:p>
        </w:tc>
        <w:tc>
          <w:tcPr>
            <w:tcW w:w="6477" w:type="dxa"/>
            <w:shd w:val="clear" w:color="auto" w:fill="auto"/>
            <w:vAlign w:val="center"/>
          </w:tcPr>
          <w:p w14:paraId="29295C32">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供应商应仔细阅读和检查竞争性磋商文件的全部内容。如发现缺项或内容不全，应在供应商须知前附表规定的截止时间前凭数字证书（CA）登录“政采云”平台（https://www.zcygov.cn/），</w:t>
            </w:r>
            <w:r>
              <w:rPr>
                <w:rFonts w:hint="eastAsia" w:ascii="宋体" w:hAnsi="宋体" w:eastAsia="宋体" w:cs="宋体"/>
                <w:color w:val="auto"/>
                <w:sz w:val="24"/>
                <w:szCs w:val="24"/>
              </w:rPr>
              <w:t>以书面形式</w:t>
            </w:r>
            <w:r>
              <w:rPr>
                <w:rFonts w:hint="eastAsia" w:ascii="宋体" w:hAnsi="宋体" w:eastAsia="宋体" w:cs="宋体"/>
                <w:color w:val="auto"/>
                <w:sz w:val="24"/>
                <w:szCs w:val="24"/>
                <w:lang w:val="en-US" w:eastAsia="zh-CN"/>
              </w:rPr>
              <w:t>或</w:t>
            </w:r>
            <w:r>
              <w:rPr>
                <w:rFonts w:hint="eastAsia" w:ascii="Times New Roman" w:hAnsi="Times New Roman" w:eastAsia="宋体" w:cs="宋体"/>
                <w:i w:val="0"/>
                <w:iCs w:val="0"/>
                <w:caps w:val="0"/>
                <w:smallCaps w:val="0"/>
                <w:color w:val="auto"/>
                <w:sz w:val="24"/>
                <w:szCs w:val="24"/>
                <w:highlight w:val="none"/>
                <w:lang w:val="en-US" w:eastAsia="zh-CN"/>
              </w:rPr>
              <w:t>网络在线方式进行提问。</w:t>
            </w:r>
          </w:p>
        </w:tc>
      </w:tr>
      <w:tr w14:paraId="6B3D3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7" w:hRule="atLeast"/>
          <w:jc w:val="center"/>
        </w:trPr>
        <w:tc>
          <w:tcPr>
            <w:tcW w:w="1050" w:type="dxa"/>
            <w:shd w:val="clear" w:color="auto" w:fill="auto"/>
            <w:vAlign w:val="center"/>
          </w:tcPr>
          <w:p w14:paraId="1C5C5D33">
            <w:pPr>
              <w:pStyle w:val="15"/>
              <w:spacing w:line="360" w:lineRule="auto"/>
              <w:jc w:val="center"/>
              <w:rPr>
                <w:rFonts w:hint="default"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2.2.2</w:t>
            </w:r>
          </w:p>
        </w:tc>
        <w:tc>
          <w:tcPr>
            <w:tcW w:w="2211" w:type="dxa"/>
            <w:shd w:val="clear" w:color="auto" w:fill="auto"/>
            <w:vAlign w:val="center"/>
          </w:tcPr>
          <w:p w14:paraId="63BB975B">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竞争性磋商文件澄清、修改时间</w:t>
            </w:r>
          </w:p>
        </w:tc>
        <w:tc>
          <w:tcPr>
            <w:tcW w:w="6477" w:type="dxa"/>
            <w:shd w:val="clear" w:color="auto" w:fill="auto"/>
            <w:vAlign w:val="center"/>
          </w:tcPr>
          <w:p w14:paraId="1B00C00F">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提交响应文件截止之日前，采购人、采购代理机构可以对已发出的竞争性磋商文件进行必要的澄清，澄清的内容作为竞争性磋商文件的组成部分。澄清的内容可能影响响应文件编制的，采购人、采购代理机构应在提交响应文件截止之日5日前，在政采云平台通知所有接收竞争性磋商文件的供应商，但不指明澄清问题的来源。不足5日的，应当顺延提交响应文件截止之日。</w:t>
            </w:r>
          </w:p>
        </w:tc>
      </w:tr>
      <w:tr w14:paraId="29F73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1050" w:type="dxa"/>
            <w:shd w:val="clear" w:color="auto" w:fill="auto"/>
            <w:vAlign w:val="center"/>
          </w:tcPr>
          <w:p w14:paraId="32961D3A">
            <w:pPr>
              <w:pStyle w:val="15"/>
              <w:spacing w:line="360" w:lineRule="auto"/>
              <w:jc w:val="center"/>
              <w:rPr>
                <w:rFonts w:hint="default"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2.2.3</w:t>
            </w:r>
          </w:p>
        </w:tc>
        <w:tc>
          <w:tcPr>
            <w:tcW w:w="2211" w:type="dxa"/>
            <w:shd w:val="clear" w:color="auto" w:fill="auto"/>
            <w:vAlign w:val="center"/>
          </w:tcPr>
          <w:p w14:paraId="2DDC5416">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供应商确认收到竞争性磋商文件澄清、修改时间</w:t>
            </w:r>
          </w:p>
        </w:tc>
        <w:tc>
          <w:tcPr>
            <w:tcW w:w="6477" w:type="dxa"/>
            <w:shd w:val="clear" w:color="auto" w:fill="auto"/>
            <w:vAlign w:val="center"/>
          </w:tcPr>
          <w:p w14:paraId="21889335">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无须确认。供应商应在电子响应文件提交截止时间前及时登录政采云平台查看有关该项目竞争性磋商文件的澄清、修改内容。如因供应商自身原因导致未及时查看有关该项目竞争性磋商文件的澄清、修改内容，由此造成的一切后果由供应商自行承担。</w:t>
            </w:r>
          </w:p>
        </w:tc>
      </w:tr>
      <w:tr w14:paraId="3A621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0" w:type="dxa"/>
            <w:shd w:val="clear" w:color="auto" w:fill="auto"/>
            <w:vAlign w:val="center"/>
          </w:tcPr>
          <w:p w14:paraId="435A9792">
            <w:pPr>
              <w:pStyle w:val="15"/>
              <w:spacing w:line="360" w:lineRule="auto"/>
              <w:jc w:val="center"/>
              <w:rPr>
                <w:rFonts w:hint="default"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3.1.1</w:t>
            </w:r>
          </w:p>
        </w:tc>
        <w:tc>
          <w:tcPr>
            <w:tcW w:w="2211" w:type="dxa"/>
            <w:shd w:val="clear" w:color="auto" w:fill="auto"/>
            <w:vAlign w:val="center"/>
          </w:tcPr>
          <w:p w14:paraId="5F01DFEB">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构成响应文件的其他材料</w:t>
            </w:r>
          </w:p>
        </w:tc>
        <w:tc>
          <w:tcPr>
            <w:tcW w:w="6477" w:type="dxa"/>
            <w:shd w:val="clear" w:color="auto" w:fill="auto"/>
            <w:vAlign w:val="center"/>
          </w:tcPr>
          <w:p w14:paraId="1FB41DCA">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竞争性磋商文件的答疑及补充通知。</w:t>
            </w:r>
          </w:p>
        </w:tc>
      </w:tr>
      <w:tr w14:paraId="04EC6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050" w:type="dxa"/>
            <w:shd w:val="clear" w:color="auto" w:fill="auto"/>
            <w:vAlign w:val="center"/>
          </w:tcPr>
          <w:p w14:paraId="6BE7CCBE">
            <w:pPr>
              <w:pStyle w:val="15"/>
              <w:spacing w:line="360" w:lineRule="auto"/>
              <w:jc w:val="center"/>
              <w:rPr>
                <w:rFonts w:hint="default"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3.3</w:t>
            </w:r>
          </w:p>
        </w:tc>
        <w:tc>
          <w:tcPr>
            <w:tcW w:w="2211" w:type="dxa"/>
            <w:shd w:val="clear" w:color="auto" w:fill="auto"/>
            <w:vAlign w:val="center"/>
          </w:tcPr>
          <w:p w14:paraId="2B6147C3">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有效期</w:t>
            </w:r>
          </w:p>
        </w:tc>
        <w:tc>
          <w:tcPr>
            <w:tcW w:w="6477" w:type="dxa"/>
            <w:shd w:val="clear" w:color="auto" w:fill="auto"/>
            <w:vAlign w:val="center"/>
          </w:tcPr>
          <w:p w14:paraId="1E309D84">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从提交磋商响应文件截止之日起90日历天。</w:t>
            </w:r>
          </w:p>
        </w:tc>
      </w:tr>
      <w:tr w14:paraId="6307B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1050" w:type="dxa"/>
            <w:shd w:val="clear" w:color="auto" w:fill="auto"/>
            <w:vAlign w:val="center"/>
          </w:tcPr>
          <w:p w14:paraId="6C1D1141">
            <w:pPr>
              <w:pStyle w:val="15"/>
              <w:spacing w:line="360" w:lineRule="auto"/>
              <w:jc w:val="center"/>
              <w:rPr>
                <w:rFonts w:hint="default"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3.4</w:t>
            </w:r>
          </w:p>
        </w:tc>
        <w:tc>
          <w:tcPr>
            <w:tcW w:w="2211" w:type="dxa"/>
            <w:shd w:val="clear" w:color="auto" w:fill="auto"/>
            <w:vAlign w:val="center"/>
          </w:tcPr>
          <w:p w14:paraId="1773FEA4">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保证金</w:t>
            </w:r>
          </w:p>
        </w:tc>
        <w:tc>
          <w:tcPr>
            <w:tcW w:w="6477" w:type="dxa"/>
            <w:shd w:val="clear" w:color="auto" w:fill="auto"/>
            <w:vAlign w:val="center"/>
          </w:tcPr>
          <w:p w14:paraId="24B2A364">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根据《曲靖市财政局关于明确政府采购保证金管理工作的通知》（曲财采〔2022〕41号）文件规定，本项目不收磋商保证金。</w:t>
            </w:r>
          </w:p>
        </w:tc>
      </w:tr>
      <w:tr w14:paraId="74CDD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1050" w:type="dxa"/>
            <w:shd w:val="clear" w:color="auto" w:fill="auto"/>
            <w:vAlign w:val="center"/>
          </w:tcPr>
          <w:p w14:paraId="2C059CA1">
            <w:pPr>
              <w:pStyle w:val="15"/>
              <w:spacing w:line="360" w:lineRule="auto"/>
              <w:jc w:val="center"/>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3.6.2</w:t>
            </w:r>
          </w:p>
        </w:tc>
        <w:tc>
          <w:tcPr>
            <w:tcW w:w="2211" w:type="dxa"/>
            <w:shd w:val="clear" w:color="auto" w:fill="auto"/>
            <w:vAlign w:val="center"/>
          </w:tcPr>
          <w:p w14:paraId="3CA4EE2F">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电子响应文</w:t>
            </w:r>
          </w:p>
          <w:p w14:paraId="703F840D">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件格式</w:t>
            </w:r>
          </w:p>
        </w:tc>
        <w:tc>
          <w:tcPr>
            <w:tcW w:w="6477" w:type="dxa"/>
            <w:shd w:val="clear" w:color="auto" w:fill="auto"/>
            <w:vAlign w:val="top"/>
          </w:tcPr>
          <w:p w14:paraId="64691CD2">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响应文件全部采用电子文档，供应商应安装客户端软件“政采云电子交易客户端”，并按照竞争性磋商文件和政采云电子交易平台的要求编制。</w:t>
            </w:r>
          </w:p>
        </w:tc>
      </w:tr>
      <w:tr w14:paraId="56FB0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1050" w:type="dxa"/>
            <w:shd w:val="clear" w:color="auto" w:fill="auto"/>
            <w:vAlign w:val="center"/>
          </w:tcPr>
          <w:p w14:paraId="574132AE">
            <w:pPr>
              <w:pStyle w:val="15"/>
              <w:spacing w:line="360" w:lineRule="auto"/>
              <w:jc w:val="center"/>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3.6.4</w:t>
            </w:r>
          </w:p>
        </w:tc>
        <w:tc>
          <w:tcPr>
            <w:tcW w:w="2211" w:type="dxa"/>
            <w:shd w:val="clear" w:color="auto" w:fill="auto"/>
            <w:vAlign w:val="center"/>
          </w:tcPr>
          <w:p w14:paraId="4883BF4C">
            <w:pPr>
              <w:keepNext w:val="0"/>
              <w:keepLines w:val="0"/>
              <w:pageBreakBefore w:val="0"/>
              <w:kinsoku/>
              <w:overflowPunct/>
              <w:topLinePunct w:val="0"/>
              <w:bidi w:val="0"/>
              <w:adjustRightInd w:val="0"/>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响应文件的</w:t>
            </w:r>
          </w:p>
          <w:p w14:paraId="0526A7A9">
            <w:pPr>
              <w:keepNext w:val="0"/>
              <w:keepLines w:val="0"/>
              <w:pageBreakBefore w:val="0"/>
              <w:kinsoku/>
              <w:overflowPunct/>
              <w:topLinePunct w:val="0"/>
              <w:bidi w:val="0"/>
              <w:adjustRightInd w:val="0"/>
              <w:snapToGrid w:val="0"/>
              <w:spacing w:line="24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签署</w:t>
            </w:r>
          </w:p>
        </w:tc>
        <w:tc>
          <w:tcPr>
            <w:tcW w:w="6477" w:type="dxa"/>
            <w:shd w:val="clear" w:color="auto" w:fill="auto"/>
            <w:vAlign w:val="center"/>
          </w:tcPr>
          <w:p w14:paraId="2ED29F59">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Times New Roman" w:hAnsi="Times New Roman" w:eastAsia="宋体" w:cs="宋体"/>
                <w:i w:val="0"/>
                <w:iCs w:val="0"/>
                <w:caps w:val="0"/>
                <w:smallCaps w:val="0"/>
                <w:color w:val="auto"/>
                <w:sz w:val="24"/>
                <w:szCs w:val="24"/>
                <w:highlight w:val="none"/>
                <w:lang w:val="zh-TW" w:eastAsia="zh-CN"/>
              </w:rPr>
            </w:pPr>
            <w:r>
              <w:rPr>
                <w:rFonts w:hint="eastAsia" w:ascii="Times New Roman" w:hAnsi="Times New Roman" w:eastAsia="宋体" w:cs="宋体"/>
                <w:i w:val="0"/>
                <w:iCs w:val="0"/>
                <w:caps w:val="0"/>
                <w:smallCaps w:val="0"/>
                <w:color w:val="auto"/>
                <w:sz w:val="24"/>
                <w:szCs w:val="24"/>
                <w:highlight w:val="none"/>
                <w:lang w:val="zh-TW" w:eastAsia="zh-CN"/>
              </w:rPr>
              <w:t>按照采购文件格式，采用企业电子公章、法定代表人</w:t>
            </w:r>
            <w:r>
              <w:rPr>
                <w:rFonts w:hint="eastAsia" w:ascii="Times New Roman" w:hAnsi="Times New Roman" w:eastAsia="宋体" w:cs="宋体"/>
                <w:i w:val="0"/>
                <w:iCs w:val="0"/>
                <w:caps w:val="0"/>
                <w:smallCaps w:val="0"/>
                <w:color w:val="auto"/>
                <w:sz w:val="24"/>
                <w:szCs w:val="24"/>
                <w:highlight w:val="none"/>
                <w:lang w:val="en-US" w:eastAsia="zh-CN"/>
              </w:rPr>
              <w:t>或委托代理人</w:t>
            </w:r>
            <w:r>
              <w:rPr>
                <w:rFonts w:hint="eastAsia" w:ascii="Times New Roman" w:hAnsi="Times New Roman" w:eastAsia="宋体" w:cs="宋体"/>
                <w:i w:val="0"/>
                <w:iCs w:val="0"/>
                <w:caps w:val="0"/>
                <w:smallCaps w:val="0"/>
                <w:color w:val="auto"/>
                <w:sz w:val="24"/>
                <w:szCs w:val="24"/>
                <w:highlight w:val="none"/>
                <w:lang w:val="zh-TW" w:eastAsia="zh-CN"/>
              </w:rPr>
              <w:t>电子签名。</w:t>
            </w:r>
          </w:p>
          <w:p w14:paraId="5940B69F">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zh-TW" w:eastAsia="zh-CN"/>
              </w:rPr>
              <w:t>注：在需要电子公章的地方进行电子公章</w:t>
            </w:r>
            <w:r>
              <w:rPr>
                <w:rFonts w:hint="eastAsia" w:ascii="Times New Roman" w:hAnsi="Times New Roman" w:eastAsia="宋体" w:cs="宋体"/>
                <w:i w:val="0"/>
                <w:iCs w:val="0"/>
                <w:caps w:val="0"/>
                <w:smallCaps w:val="0"/>
                <w:color w:val="auto"/>
                <w:sz w:val="24"/>
                <w:szCs w:val="24"/>
                <w:highlight w:val="none"/>
                <w:lang w:val="en-US" w:eastAsia="zh-CN"/>
              </w:rPr>
              <w:t>签章，</w:t>
            </w:r>
            <w:r>
              <w:rPr>
                <w:rFonts w:hint="eastAsia" w:ascii="Times New Roman" w:hAnsi="Times New Roman" w:eastAsia="宋体" w:cs="宋体"/>
                <w:i w:val="0"/>
                <w:iCs w:val="0"/>
                <w:caps w:val="0"/>
                <w:smallCaps w:val="0"/>
                <w:color w:val="auto"/>
                <w:sz w:val="24"/>
                <w:szCs w:val="24"/>
                <w:highlight w:val="none"/>
                <w:lang w:val="zh-TW" w:eastAsia="zh-CN"/>
              </w:rPr>
              <w:t>无需逐页电子公章</w:t>
            </w:r>
            <w:r>
              <w:rPr>
                <w:rFonts w:hint="eastAsia" w:ascii="Times New Roman" w:hAnsi="Times New Roman" w:eastAsia="宋体" w:cs="宋体"/>
                <w:i w:val="0"/>
                <w:iCs w:val="0"/>
                <w:caps w:val="0"/>
                <w:smallCaps w:val="0"/>
                <w:color w:val="auto"/>
                <w:sz w:val="24"/>
                <w:szCs w:val="24"/>
                <w:highlight w:val="none"/>
                <w:lang w:val="en-US" w:eastAsia="zh-CN"/>
              </w:rPr>
              <w:t>。</w:t>
            </w:r>
          </w:p>
        </w:tc>
      </w:tr>
      <w:tr w14:paraId="2BDFF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50" w:type="dxa"/>
            <w:vMerge w:val="restart"/>
            <w:shd w:val="clear" w:color="auto" w:fill="auto"/>
            <w:vAlign w:val="center"/>
          </w:tcPr>
          <w:p w14:paraId="0624C960">
            <w:pPr>
              <w:pStyle w:val="15"/>
              <w:spacing w:line="360" w:lineRule="auto"/>
              <w:jc w:val="center"/>
              <w:rPr>
                <w:rFonts w:hint="default"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4.1</w:t>
            </w:r>
          </w:p>
        </w:tc>
        <w:tc>
          <w:tcPr>
            <w:tcW w:w="2211" w:type="dxa"/>
            <w:shd w:val="clear" w:color="auto" w:fill="auto"/>
            <w:vAlign w:val="center"/>
          </w:tcPr>
          <w:p w14:paraId="778E7A7B">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eastAsia="zh-CN"/>
              </w:rPr>
              <w:t>响应文件份数</w:t>
            </w:r>
          </w:p>
        </w:tc>
        <w:tc>
          <w:tcPr>
            <w:tcW w:w="6477" w:type="dxa"/>
            <w:shd w:val="clear" w:color="auto" w:fill="auto"/>
            <w:vAlign w:val="center"/>
          </w:tcPr>
          <w:p w14:paraId="0D7855A4">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按“政采云”要求，上传电子响应文件壹份。供应商应安装“政采云”投标客户端，根据采购文件格式编制响应文件，生成加密标书后进行上传。</w:t>
            </w:r>
          </w:p>
        </w:tc>
      </w:tr>
      <w:tr w14:paraId="13C90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jc w:val="center"/>
        </w:trPr>
        <w:tc>
          <w:tcPr>
            <w:tcW w:w="1050" w:type="dxa"/>
            <w:vMerge w:val="continue"/>
            <w:shd w:val="clear" w:color="auto" w:fill="auto"/>
            <w:vAlign w:val="center"/>
          </w:tcPr>
          <w:p w14:paraId="330E768E">
            <w:pPr>
              <w:pStyle w:val="15"/>
              <w:spacing w:line="360" w:lineRule="auto"/>
              <w:jc w:val="center"/>
              <w:rPr>
                <w:rFonts w:hint="default" w:asciiTheme="minorEastAsia" w:hAnsiTheme="minorEastAsia" w:eastAsiaTheme="minorEastAsia" w:cstheme="minorEastAsia"/>
                <w:kern w:val="0"/>
                <w:sz w:val="24"/>
                <w:szCs w:val="24"/>
                <w:lang w:val="en-US" w:eastAsia="zh-CN" w:bidi="ar-SA"/>
              </w:rPr>
            </w:pPr>
          </w:p>
        </w:tc>
        <w:tc>
          <w:tcPr>
            <w:tcW w:w="2211" w:type="dxa"/>
            <w:shd w:val="clear" w:color="auto" w:fill="auto"/>
            <w:vAlign w:val="center"/>
          </w:tcPr>
          <w:p w14:paraId="07F216F2">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响应文件的</w:t>
            </w:r>
          </w:p>
          <w:p w14:paraId="0E8EBAA1">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eastAsia="zh-CN"/>
              </w:rPr>
              <w:t>加密</w:t>
            </w:r>
          </w:p>
        </w:tc>
        <w:tc>
          <w:tcPr>
            <w:tcW w:w="6477" w:type="dxa"/>
            <w:shd w:val="clear" w:color="auto" w:fill="auto"/>
            <w:vAlign w:val="center"/>
          </w:tcPr>
          <w:p w14:paraId="4233ECF3">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按照“政采云”平台的要求编制、加密后在响应文件提交截止时间前上传至"政采云"平台，响应文件提交截止时间前未完成响应文件上传的，视为撤回响应文件。</w:t>
            </w:r>
          </w:p>
        </w:tc>
      </w:tr>
      <w:tr w14:paraId="20961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jc w:val="center"/>
        </w:trPr>
        <w:tc>
          <w:tcPr>
            <w:tcW w:w="1050" w:type="dxa"/>
            <w:shd w:val="clear" w:color="auto" w:fill="auto"/>
            <w:vAlign w:val="center"/>
          </w:tcPr>
          <w:p w14:paraId="78225FD8">
            <w:pPr>
              <w:pStyle w:val="15"/>
              <w:spacing w:line="360" w:lineRule="auto"/>
              <w:jc w:val="center"/>
              <w:rPr>
                <w:rFonts w:hint="default"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4.2</w:t>
            </w:r>
          </w:p>
        </w:tc>
        <w:tc>
          <w:tcPr>
            <w:tcW w:w="2211" w:type="dxa"/>
            <w:shd w:val="clear" w:color="auto" w:fill="auto"/>
            <w:vAlign w:val="center"/>
          </w:tcPr>
          <w:p w14:paraId="70E1E747">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递交响应文件截止时间和地点</w:t>
            </w:r>
          </w:p>
        </w:tc>
        <w:tc>
          <w:tcPr>
            <w:tcW w:w="6477" w:type="dxa"/>
            <w:shd w:val="clear" w:color="auto" w:fill="auto"/>
            <w:vAlign w:val="center"/>
          </w:tcPr>
          <w:p w14:paraId="1D2CC4B1">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递交时间：</w:t>
            </w:r>
            <w:r>
              <w:rPr>
                <w:rFonts w:hint="eastAsia" w:asciiTheme="minorEastAsia" w:hAnsiTheme="minorEastAsia" w:eastAsiaTheme="minorEastAsia" w:cstheme="minorEastAsia"/>
                <w:i w:val="0"/>
                <w:iCs w:val="0"/>
                <w:caps w:val="0"/>
                <w:smallCaps w:val="0"/>
                <w:color w:val="auto"/>
                <w:sz w:val="24"/>
                <w:szCs w:val="24"/>
                <w:highlight w:val="none"/>
                <w:lang w:val="en-US" w:eastAsia="zh-CN"/>
              </w:rPr>
              <w:t>2026年7月28日15点00分（北京时间）</w:t>
            </w:r>
            <w:r>
              <w:rPr>
                <w:rFonts w:hint="eastAsia" w:ascii="Times New Roman" w:hAnsi="Times New Roman" w:eastAsia="宋体" w:cs="宋体"/>
                <w:i w:val="0"/>
                <w:iCs w:val="0"/>
                <w:caps w:val="0"/>
                <w:smallCaps w:val="0"/>
                <w:color w:val="auto"/>
                <w:sz w:val="24"/>
                <w:szCs w:val="24"/>
                <w:highlight w:val="none"/>
                <w:lang w:val="en-US" w:eastAsia="zh-CN"/>
              </w:rPr>
              <w:t>。</w:t>
            </w:r>
          </w:p>
          <w:p w14:paraId="57FE90A0">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地点：政采云投标客户端。</w:t>
            </w:r>
          </w:p>
        </w:tc>
      </w:tr>
      <w:tr w14:paraId="33AE9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2" w:hRule="atLeast"/>
          <w:jc w:val="center"/>
        </w:trPr>
        <w:tc>
          <w:tcPr>
            <w:tcW w:w="1050" w:type="dxa"/>
            <w:shd w:val="clear" w:color="auto" w:fill="auto"/>
            <w:vAlign w:val="center"/>
          </w:tcPr>
          <w:p w14:paraId="74993669">
            <w:pPr>
              <w:pStyle w:val="15"/>
              <w:spacing w:line="360" w:lineRule="auto"/>
              <w:jc w:val="center"/>
              <w:rPr>
                <w:rFonts w:hint="default"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5.2</w:t>
            </w:r>
          </w:p>
        </w:tc>
        <w:tc>
          <w:tcPr>
            <w:tcW w:w="2211" w:type="dxa"/>
            <w:shd w:val="clear" w:color="auto" w:fill="auto"/>
            <w:vAlign w:val="center"/>
          </w:tcPr>
          <w:p w14:paraId="09037FDD">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响应文件的解密方式</w:t>
            </w:r>
          </w:p>
        </w:tc>
        <w:tc>
          <w:tcPr>
            <w:tcW w:w="6477" w:type="dxa"/>
            <w:shd w:val="clear" w:color="auto" w:fill="auto"/>
            <w:vAlign w:val="center"/>
          </w:tcPr>
          <w:p w14:paraId="24BD9B0E">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须按“政采云”（https://www.zcygov.cn/)远程解密、在规定时间完成签到、在线解密、开标一览表确认等相关操作,若供应商没有在规定时间完成以上相关操作，则视为撤销其响应文件，不再进入评审阶段。开标过程中如有问题，可以发起在线异议，由采购代理机构给予对应的回复。请供应商提前熟悉“政采云平台”操作手册。任何因忽视或误解而导致响应文件未上传或已上传但未按规定的操作流程及时间要求进行解密的，由供应商自行负责。供应商应在“政采云”提交电子版响应文件时，填写参加远程采购活动经办人联系方式。</w:t>
            </w:r>
          </w:p>
        </w:tc>
      </w:tr>
      <w:tr w14:paraId="5C13E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0" w:type="dxa"/>
            <w:shd w:val="clear" w:color="auto" w:fill="auto"/>
            <w:vAlign w:val="center"/>
          </w:tcPr>
          <w:p w14:paraId="382A5F37">
            <w:pPr>
              <w:pStyle w:val="15"/>
              <w:spacing w:line="360" w:lineRule="auto"/>
              <w:jc w:val="center"/>
              <w:rPr>
                <w:rFonts w:hint="default"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5.1</w:t>
            </w:r>
          </w:p>
        </w:tc>
        <w:tc>
          <w:tcPr>
            <w:tcW w:w="2211" w:type="dxa"/>
            <w:shd w:val="clear" w:color="auto" w:fill="auto"/>
            <w:vAlign w:val="center"/>
          </w:tcPr>
          <w:p w14:paraId="63CFDA48">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时间和地点</w:t>
            </w:r>
          </w:p>
        </w:tc>
        <w:tc>
          <w:tcPr>
            <w:tcW w:w="6477" w:type="dxa"/>
            <w:shd w:val="clear" w:color="auto" w:fill="auto"/>
            <w:vAlign w:val="center"/>
          </w:tcPr>
          <w:p w14:paraId="36465E2E">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磋商时间：</w:t>
            </w:r>
            <w:r>
              <w:rPr>
                <w:rFonts w:hint="eastAsia" w:asciiTheme="minorEastAsia" w:hAnsiTheme="minorEastAsia" w:eastAsiaTheme="minorEastAsia" w:cstheme="minorEastAsia"/>
                <w:i w:val="0"/>
                <w:iCs w:val="0"/>
                <w:caps w:val="0"/>
                <w:smallCaps w:val="0"/>
                <w:color w:val="auto"/>
                <w:sz w:val="24"/>
                <w:szCs w:val="24"/>
                <w:highlight w:val="none"/>
                <w:lang w:val="en-US" w:eastAsia="zh-CN"/>
              </w:rPr>
              <w:t>2026年7月28日15点00分</w:t>
            </w:r>
            <w:r>
              <w:rPr>
                <w:rFonts w:hint="eastAsia" w:ascii="Times New Roman" w:hAnsi="Times New Roman" w:eastAsia="宋体" w:cs="宋体"/>
                <w:i w:val="0"/>
                <w:iCs w:val="0"/>
                <w:caps w:val="0"/>
                <w:smallCaps w:val="0"/>
                <w:color w:val="auto"/>
                <w:sz w:val="24"/>
                <w:szCs w:val="24"/>
                <w:highlight w:val="none"/>
                <w:lang w:val="en-US" w:eastAsia="zh-CN"/>
              </w:rPr>
              <w:t>（北京时间）</w:t>
            </w:r>
          </w:p>
          <w:p w14:paraId="794EB554">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磋商地点：政采云平台</w:t>
            </w:r>
          </w:p>
        </w:tc>
      </w:tr>
      <w:tr w14:paraId="75BCE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1050" w:type="dxa"/>
            <w:shd w:val="clear" w:color="auto" w:fill="auto"/>
            <w:vAlign w:val="center"/>
          </w:tcPr>
          <w:p w14:paraId="413ECDCE">
            <w:pPr>
              <w:pStyle w:val="15"/>
              <w:spacing w:line="360" w:lineRule="auto"/>
              <w:jc w:val="center"/>
              <w:rPr>
                <w:rFonts w:hint="default"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5.5.1</w:t>
            </w:r>
          </w:p>
        </w:tc>
        <w:tc>
          <w:tcPr>
            <w:tcW w:w="2211" w:type="dxa"/>
            <w:shd w:val="clear" w:color="auto" w:fill="auto"/>
            <w:vAlign w:val="center"/>
          </w:tcPr>
          <w:p w14:paraId="46DD62B4">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小组的组建</w:t>
            </w:r>
          </w:p>
        </w:tc>
        <w:tc>
          <w:tcPr>
            <w:tcW w:w="6477" w:type="dxa"/>
            <w:shd w:val="clear" w:color="auto" w:fill="auto"/>
            <w:vAlign w:val="center"/>
          </w:tcPr>
          <w:p w14:paraId="58DDB824">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磋商小组构成：3人，其中采购人代表1人，评审专家2人。本项目技术、经济等方面的专家从云南省政府采购专家库中随机抽取。</w:t>
            </w:r>
          </w:p>
        </w:tc>
      </w:tr>
      <w:tr w14:paraId="63712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0" w:type="dxa"/>
            <w:vMerge w:val="restart"/>
            <w:shd w:val="clear" w:color="auto" w:fill="auto"/>
            <w:vAlign w:val="center"/>
          </w:tcPr>
          <w:p w14:paraId="7C53BED4">
            <w:pPr>
              <w:pStyle w:val="15"/>
              <w:spacing w:line="360" w:lineRule="auto"/>
              <w:jc w:val="center"/>
              <w:rPr>
                <w:rFonts w:hint="default"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5.7</w:t>
            </w:r>
          </w:p>
        </w:tc>
        <w:tc>
          <w:tcPr>
            <w:tcW w:w="2211" w:type="dxa"/>
            <w:shd w:val="clear" w:color="auto" w:fill="auto"/>
            <w:vAlign w:val="top"/>
          </w:tcPr>
          <w:p w14:paraId="52CC2530">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是否授权评标委员会确定成交人</w:t>
            </w:r>
          </w:p>
        </w:tc>
        <w:tc>
          <w:tcPr>
            <w:tcW w:w="6477" w:type="dxa"/>
            <w:shd w:val="clear" w:color="auto" w:fill="auto"/>
            <w:vAlign w:val="center"/>
          </w:tcPr>
          <w:p w14:paraId="3B400D52">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否，推荐的成交候选人数3人。</w:t>
            </w:r>
          </w:p>
        </w:tc>
      </w:tr>
      <w:tr w14:paraId="37AAA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3" w:hRule="atLeast"/>
          <w:jc w:val="center"/>
        </w:trPr>
        <w:tc>
          <w:tcPr>
            <w:tcW w:w="1050" w:type="dxa"/>
            <w:vMerge w:val="continue"/>
            <w:shd w:val="clear" w:color="auto" w:fill="auto"/>
            <w:vAlign w:val="center"/>
          </w:tcPr>
          <w:p w14:paraId="039E0F53">
            <w:pPr>
              <w:pStyle w:val="15"/>
              <w:spacing w:line="360" w:lineRule="auto"/>
              <w:jc w:val="center"/>
              <w:rPr>
                <w:rFonts w:hint="default" w:asciiTheme="minorEastAsia" w:hAnsiTheme="minorEastAsia" w:eastAsiaTheme="minorEastAsia" w:cstheme="minorEastAsia"/>
                <w:kern w:val="0"/>
                <w:sz w:val="24"/>
                <w:szCs w:val="24"/>
                <w:lang w:val="en-US" w:eastAsia="zh-CN" w:bidi="ar-SA"/>
              </w:rPr>
            </w:pPr>
          </w:p>
        </w:tc>
        <w:tc>
          <w:tcPr>
            <w:tcW w:w="2211" w:type="dxa"/>
            <w:shd w:val="clear" w:color="auto" w:fill="auto"/>
            <w:vAlign w:val="center"/>
          </w:tcPr>
          <w:p w14:paraId="15B5093B">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eastAsia="zh-CN"/>
              </w:rPr>
              <w:t>磋商顺序</w:t>
            </w:r>
          </w:p>
        </w:tc>
        <w:tc>
          <w:tcPr>
            <w:tcW w:w="6477" w:type="dxa"/>
            <w:shd w:val="clear" w:color="auto" w:fill="auto"/>
            <w:vAlign w:val="center"/>
          </w:tcPr>
          <w:p w14:paraId="4F30DAF9">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随机顺序。符合磋商资格的供应商必须在接到磋商通知后规定时间内参加磋商及最终磋商报价，未在规定时间内参加磋商及最终磋商报价的视同放弃参加磋商权利，其响应文件按无效响应处理。</w:t>
            </w:r>
          </w:p>
        </w:tc>
      </w:tr>
      <w:tr w14:paraId="5F801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0" w:type="dxa"/>
            <w:vMerge w:val="continue"/>
            <w:shd w:val="clear" w:color="auto" w:fill="auto"/>
            <w:vAlign w:val="center"/>
          </w:tcPr>
          <w:p w14:paraId="763A7A94">
            <w:pPr>
              <w:pStyle w:val="15"/>
              <w:spacing w:line="360" w:lineRule="auto"/>
              <w:jc w:val="center"/>
              <w:rPr>
                <w:rFonts w:hint="default" w:asciiTheme="minorEastAsia" w:hAnsiTheme="minorEastAsia" w:eastAsiaTheme="minorEastAsia" w:cstheme="minorEastAsia"/>
                <w:kern w:val="0"/>
                <w:sz w:val="24"/>
                <w:szCs w:val="24"/>
                <w:lang w:val="en-US" w:eastAsia="zh-CN" w:bidi="ar-SA"/>
              </w:rPr>
            </w:pPr>
          </w:p>
        </w:tc>
        <w:tc>
          <w:tcPr>
            <w:tcW w:w="2211" w:type="dxa"/>
            <w:shd w:val="clear" w:color="auto" w:fill="auto"/>
            <w:vAlign w:val="center"/>
          </w:tcPr>
          <w:p w14:paraId="1E463D2C">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评</w:t>
            </w:r>
            <w:r>
              <w:rPr>
                <w:rFonts w:hint="eastAsia" w:ascii="宋体" w:hAnsi="宋体" w:eastAsia="宋体" w:cs="宋体"/>
                <w:color w:val="auto"/>
                <w:sz w:val="24"/>
                <w:szCs w:val="24"/>
                <w:highlight w:val="none"/>
                <w:lang w:eastAsia="zh-CN"/>
              </w:rPr>
              <w:t>审</w:t>
            </w:r>
            <w:r>
              <w:rPr>
                <w:rFonts w:hint="eastAsia" w:ascii="宋体" w:hAnsi="宋体" w:eastAsia="宋体" w:cs="宋体"/>
                <w:color w:val="auto"/>
                <w:sz w:val="24"/>
                <w:szCs w:val="24"/>
                <w:highlight w:val="none"/>
              </w:rPr>
              <w:t>方法</w:t>
            </w:r>
          </w:p>
        </w:tc>
        <w:tc>
          <w:tcPr>
            <w:tcW w:w="6477" w:type="dxa"/>
            <w:shd w:val="clear" w:color="auto" w:fill="auto"/>
            <w:vAlign w:val="center"/>
          </w:tcPr>
          <w:p w14:paraId="008FC824">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综合评分法</w:t>
            </w:r>
          </w:p>
        </w:tc>
      </w:tr>
      <w:tr w14:paraId="7A563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jc w:val="center"/>
        </w:trPr>
        <w:tc>
          <w:tcPr>
            <w:tcW w:w="1050" w:type="dxa"/>
            <w:shd w:val="clear" w:color="auto" w:fill="auto"/>
            <w:vAlign w:val="center"/>
          </w:tcPr>
          <w:p w14:paraId="3EFE15FA">
            <w:pPr>
              <w:pStyle w:val="15"/>
              <w:spacing w:line="360" w:lineRule="auto"/>
              <w:jc w:val="center"/>
              <w:rPr>
                <w:rFonts w:hint="default"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6.3</w:t>
            </w:r>
          </w:p>
        </w:tc>
        <w:tc>
          <w:tcPr>
            <w:tcW w:w="2211" w:type="dxa"/>
            <w:shd w:val="clear" w:color="auto" w:fill="auto"/>
            <w:vAlign w:val="center"/>
          </w:tcPr>
          <w:p w14:paraId="1EC6108C">
            <w:pPr>
              <w:spacing w:line="360" w:lineRule="auto"/>
              <w:jc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履约保证金</w:t>
            </w:r>
          </w:p>
        </w:tc>
        <w:tc>
          <w:tcPr>
            <w:tcW w:w="6477" w:type="dxa"/>
            <w:shd w:val="clear" w:color="auto" w:fill="auto"/>
            <w:vAlign w:val="center"/>
          </w:tcPr>
          <w:p w14:paraId="48EA737D">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落实《云南省财政厅关于进一步规范政府采购相关收费行为的通知》（云财规【2023】13号）文件要求，本项目免收履约保证金。</w:t>
            </w:r>
          </w:p>
        </w:tc>
      </w:tr>
      <w:tr w14:paraId="04556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1050" w:type="dxa"/>
            <w:vMerge w:val="restart"/>
            <w:shd w:val="clear" w:color="auto" w:fill="auto"/>
            <w:vAlign w:val="center"/>
          </w:tcPr>
          <w:p w14:paraId="08A4E6DD">
            <w:pPr>
              <w:pStyle w:val="15"/>
              <w:spacing w:line="360" w:lineRule="auto"/>
              <w:jc w:val="center"/>
              <w:rPr>
                <w:rFonts w:hint="default"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rPr>
              <w:t>8</w:t>
            </w:r>
          </w:p>
        </w:tc>
        <w:tc>
          <w:tcPr>
            <w:tcW w:w="2211" w:type="dxa"/>
            <w:vMerge w:val="restart"/>
            <w:shd w:val="clear" w:color="auto" w:fill="auto"/>
            <w:vAlign w:val="center"/>
          </w:tcPr>
          <w:p w14:paraId="25E38FBE">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需要补充的</w:t>
            </w:r>
          </w:p>
          <w:p w14:paraId="34887B2A">
            <w:pPr>
              <w:spacing w:line="36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lang w:eastAsia="zh-CN"/>
              </w:rPr>
              <w:t>其他内容</w:t>
            </w:r>
          </w:p>
        </w:tc>
        <w:tc>
          <w:tcPr>
            <w:tcW w:w="6477" w:type="dxa"/>
            <w:shd w:val="clear" w:color="auto" w:fill="auto"/>
            <w:vAlign w:val="center"/>
          </w:tcPr>
          <w:p w14:paraId="1BE8EA3F">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采购代理机构将依托电子交易平台发起开始解密指令，供应商的法定代表人或其委托代理人须使用加密时所用的CA锁按平台提示和采购文件的规定登录到“政采云”平台电子开标大厅签到并在发起解密指令之时起30分钟内完成对电子响应文件在线解密。响应文件未按时解密的，视为响应文件无效。</w:t>
            </w:r>
          </w:p>
        </w:tc>
      </w:tr>
      <w:tr w14:paraId="0147A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1050" w:type="dxa"/>
            <w:vMerge w:val="continue"/>
            <w:shd w:val="clear" w:color="auto" w:fill="auto"/>
            <w:vAlign w:val="center"/>
          </w:tcPr>
          <w:p w14:paraId="4F9B9F1A">
            <w:pPr>
              <w:pStyle w:val="15"/>
              <w:spacing w:line="360" w:lineRule="auto"/>
              <w:jc w:val="center"/>
              <w:rPr>
                <w:rFonts w:hint="eastAsia" w:asciiTheme="minorEastAsia" w:hAnsiTheme="minorEastAsia" w:eastAsiaTheme="minorEastAsia" w:cstheme="minorEastAsia"/>
                <w:kern w:val="0"/>
                <w:sz w:val="24"/>
                <w:szCs w:val="24"/>
                <w:lang w:val="en-US" w:eastAsia="zh-CN"/>
              </w:rPr>
            </w:pPr>
            <w:bookmarkStart w:id="137" w:name="_Toc39092131"/>
          </w:p>
        </w:tc>
        <w:tc>
          <w:tcPr>
            <w:tcW w:w="2211" w:type="dxa"/>
            <w:vMerge w:val="continue"/>
            <w:shd w:val="clear" w:color="auto" w:fill="auto"/>
            <w:vAlign w:val="center"/>
          </w:tcPr>
          <w:p w14:paraId="39E212C0">
            <w:pPr>
              <w:spacing w:line="360" w:lineRule="auto"/>
              <w:jc w:val="center"/>
              <w:rPr>
                <w:rFonts w:hint="eastAsia" w:ascii="宋体" w:hAnsi="宋体" w:eastAsia="宋体" w:cs="宋体"/>
                <w:color w:val="auto"/>
                <w:sz w:val="24"/>
                <w:szCs w:val="24"/>
                <w:highlight w:val="none"/>
                <w:lang w:eastAsia="zh-CN"/>
              </w:rPr>
            </w:pPr>
          </w:p>
        </w:tc>
        <w:tc>
          <w:tcPr>
            <w:tcW w:w="6477" w:type="dxa"/>
            <w:shd w:val="clear" w:color="auto" w:fill="auto"/>
            <w:vAlign w:val="center"/>
          </w:tcPr>
          <w:p w14:paraId="3DF60452">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报价轮次：本次磋商共2轮报价（响应文件中报价为第一轮报价）。</w:t>
            </w:r>
          </w:p>
          <w:p w14:paraId="5DEF372F">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响应报价应包含完成竞争性磋商文件中所提出的全部内容。供应商应按竞争性磋商文件中规定的格式填写投标价格。</w:t>
            </w:r>
          </w:p>
        </w:tc>
      </w:tr>
      <w:tr w14:paraId="3E604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1050" w:type="dxa"/>
            <w:vMerge w:val="continue"/>
            <w:shd w:val="clear" w:color="auto" w:fill="auto"/>
            <w:vAlign w:val="center"/>
          </w:tcPr>
          <w:p w14:paraId="310B2C2D">
            <w:pPr>
              <w:pStyle w:val="15"/>
              <w:spacing w:line="360" w:lineRule="auto"/>
              <w:jc w:val="center"/>
              <w:rPr>
                <w:rFonts w:hint="eastAsia" w:asciiTheme="minorEastAsia" w:hAnsiTheme="minorEastAsia" w:eastAsiaTheme="minorEastAsia" w:cstheme="minorEastAsia"/>
                <w:kern w:val="0"/>
                <w:sz w:val="24"/>
                <w:szCs w:val="24"/>
                <w:lang w:val="en-US" w:eastAsia="zh-CN"/>
              </w:rPr>
            </w:pPr>
          </w:p>
        </w:tc>
        <w:tc>
          <w:tcPr>
            <w:tcW w:w="2211" w:type="dxa"/>
            <w:vMerge w:val="continue"/>
            <w:shd w:val="clear" w:color="auto" w:fill="auto"/>
            <w:vAlign w:val="center"/>
          </w:tcPr>
          <w:p w14:paraId="229D8DA2">
            <w:pPr>
              <w:spacing w:line="360" w:lineRule="auto"/>
              <w:jc w:val="center"/>
              <w:rPr>
                <w:rFonts w:hint="eastAsia" w:ascii="宋体" w:hAnsi="宋体" w:eastAsia="宋体" w:cs="宋体"/>
                <w:color w:val="auto"/>
                <w:sz w:val="24"/>
                <w:szCs w:val="24"/>
                <w:highlight w:val="none"/>
                <w:lang w:eastAsia="zh-CN"/>
              </w:rPr>
            </w:pPr>
          </w:p>
        </w:tc>
        <w:tc>
          <w:tcPr>
            <w:tcW w:w="6477" w:type="dxa"/>
            <w:shd w:val="clear" w:color="auto" w:fill="auto"/>
            <w:vAlign w:val="center"/>
          </w:tcPr>
          <w:p w14:paraId="41F2537C">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Theme="minorEastAsia" w:hAnsiTheme="minorEastAsia" w:eastAsiaTheme="minorEastAsia" w:cstheme="minorEastAsia"/>
                <w:b/>
                <w:bCs/>
                <w:i w:val="0"/>
                <w:iCs w:val="0"/>
                <w:caps w:val="0"/>
                <w:smallCaps w:val="0"/>
                <w:color w:val="auto"/>
                <w:sz w:val="24"/>
                <w:szCs w:val="24"/>
                <w:highlight w:val="none"/>
                <w:lang w:val="en-US" w:eastAsia="zh-CN"/>
              </w:rPr>
            </w:pPr>
            <w:r>
              <w:rPr>
                <w:rFonts w:hint="eastAsia" w:asciiTheme="minorEastAsia" w:hAnsiTheme="minorEastAsia" w:eastAsiaTheme="minorEastAsia" w:cstheme="minorEastAsia"/>
                <w:b/>
                <w:bCs/>
                <w:i w:val="0"/>
                <w:iCs w:val="0"/>
                <w:caps w:val="0"/>
                <w:smallCaps w:val="0"/>
                <w:color w:val="auto"/>
                <w:sz w:val="24"/>
                <w:szCs w:val="24"/>
                <w:highlight w:val="none"/>
                <w:lang w:val="en-US" w:eastAsia="zh-CN"/>
              </w:rPr>
              <w:t>最高限价：2929085.40元</w:t>
            </w:r>
          </w:p>
          <w:p w14:paraId="100CEA8A">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注：1）供应商应结合企业实际和市场价格、综合考虑各种风险后，按工程量清单报价，本项目以供应商在规定时间内提交的二次报价为最终磋商总报价。</w:t>
            </w:r>
          </w:p>
          <w:p w14:paraId="6CD64010">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2）若供应商磋商报价超过最高限价的，响应文件将被否决</w:t>
            </w:r>
          </w:p>
        </w:tc>
      </w:tr>
      <w:tr w14:paraId="3B368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1" w:hRule="atLeast"/>
          <w:jc w:val="center"/>
        </w:trPr>
        <w:tc>
          <w:tcPr>
            <w:tcW w:w="1050" w:type="dxa"/>
            <w:vMerge w:val="continue"/>
            <w:shd w:val="clear" w:color="auto" w:fill="auto"/>
            <w:vAlign w:val="center"/>
          </w:tcPr>
          <w:p w14:paraId="24830057">
            <w:pPr>
              <w:pStyle w:val="15"/>
              <w:spacing w:line="360" w:lineRule="auto"/>
              <w:jc w:val="center"/>
              <w:rPr>
                <w:rFonts w:hint="eastAsia" w:asciiTheme="minorEastAsia" w:hAnsiTheme="minorEastAsia" w:eastAsiaTheme="minorEastAsia" w:cstheme="minorEastAsia"/>
                <w:kern w:val="0"/>
                <w:sz w:val="24"/>
                <w:szCs w:val="24"/>
                <w:lang w:val="en-US" w:eastAsia="zh-CN"/>
              </w:rPr>
            </w:pPr>
          </w:p>
        </w:tc>
        <w:tc>
          <w:tcPr>
            <w:tcW w:w="2211" w:type="dxa"/>
            <w:vMerge w:val="continue"/>
            <w:shd w:val="clear" w:color="auto" w:fill="auto"/>
            <w:vAlign w:val="center"/>
          </w:tcPr>
          <w:p w14:paraId="00E861D3">
            <w:pPr>
              <w:spacing w:line="360" w:lineRule="auto"/>
              <w:jc w:val="center"/>
              <w:rPr>
                <w:rFonts w:hint="eastAsia" w:ascii="宋体" w:hAnsi="宋体" w:eastAsia="宋体" w:cs="宋体"/>
                <w:color w:val="auto"/>
                <w:sz w:val="24"/>
                <w:szCs w:val="24"/>
                <w:highlight w:val="none"/>
                <w:lang w:eastAsia="zh-CN"/>
              </w:rPr>
            </w:pPr>
          </w:p>
        </w:tc>
        <w:tc>
          <w:tcPr>
            <w:tcW w:w="6477" w:type="dxa"/>
            <w:shd w:val="clear" w:color="auto" w:fill="auto"/>
            <w:vAlign w:val="center"/>
          </w:tcPr>
          <w:p w14:paraId="2E2A0B0F">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磋商响应文件中的所附的证件资料应真实清晰：为保证评审的公平性和公正性，供应商应保证所有材料清晰可识别可查询，如有弄虚作假采购人有权取消其磋商资格。</w:t>
            </w:r>
          </w:p>
        </w:tc>
      </w:tr>
      <w:tr w14:paraId="7CBAB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050" w:type="dxa"/>
            <w:vMerge w:val="continue"/>
            <w:shd w:val="clear" w:color="auto" w:fill="auto"/>
            <w:vAlign w:val="center"/>
          </w:tcPr>
          <w:p w14:paraId="4E1FB18F">
            <w:pPr>
              <w:pStyle w:val="15"/>
              <w:spacing w:line="360" w:lineRule="auto"/>
              <w:jc w:val="center"/>
              <w:rPr>
                <w:rFonts w:hint="eastAsia" w:asciiTheme="minorEastAsia" w:hAnsiTheme="minorEastAsia" w:eastAsiaTheme="minorEastAsia" w:cstheme="minorEastAsia"/>
                <w:kern w:val="0"/>
                <w:sz w:val="24"/>
                <w:szCs w:val="24"/>
                <w:lang w:val="en-US" w:eastAsia="zh-CN"/>
              </w:rPr>
            </w:pPr>
          </w:p>
        </w:tc>
        <w:tc>
          <w:tcPr>
            <w:tcW w:w="2211" w:type="dxa"/>
            <w:vMerge w:val="continue"/>
            <w:shd w:val="clear" w:color="auto" w:fill="auto"/>
            <w:vAlign w:val="center"/>
          </w:tcPr>
          <w:p w14:paraId="620512E9">
            <w:pPr>
              <w:spacing w:line="360" w:lineRule="auto"/>
              <w:jc w:val="center"/>
              <w:rPr>
                <w:rFonts w:hint="eastAsia" w:ascii="宋体" w:hAnsi="宋体" w:eastAsia="宋体" w:cs="宋体"/>
                <w:color w:val="auto"/>
                <w:sz w:val="24"/>
                <w:szCs w:val="24"/>
                <w:highlight w:val="none"/>
                <w:lang w:eastAsia="zh-CN"/>
              </w:rPr>
            </w:pPr>
          </w:p>
        </w:tc>
        <w:tc>
          <w:tcPr>
            <w:tcW w:w="6477" w:type="dxa"/>
            <w:shd w:val="clear" w:color="auto" w:fill="auto"/>
            <w:vAlign w:val="center"/>
          </w:tcPr>
          <w:p w14:paraId="27114CB0">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响应文件不退还。</w:t>
            </w:r>
          </w:p>
        </w:tc>
      </w:tr>
      <w:tr w14:paraId="776E1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050" w:type="dxa"/>
            <w:vMerge w:val="continue"/>
            <w:shd w:val="clear" w:color="auto" w:fill="auto"/>
            <w:vAlign w:val="center"/>
          </w:tcPr>
          <w:p w14:paraId="5DEB979A">
            <w:pPr>
              <w:pStyle w:val="15"/>
              <w:spacing w:line="360" w:lineRule="auto"/>
              <w:jc w:val="center"/>
              <w:rPr>
                <w:rFonts w:hint="eastAsia" w:asciiTheme="minorEastAsia" w:hAnsiTheme="minorEastAsia" w:eastAsiaTheme="minorEastAsia" w:cstheme="minorEastAsia"/>
                <w:kern w:val="0"/>
                <w:sz w:val="24"/>
                <w:szCs w:val="24"/>
                <w:lang w:val="en-US" w:eastAsia="zh-CN"/>
              </w:rPr>
            </w:pPr>
          </w:p>
        </w:tc>
        <w:tc>
          <w:tcPr>
            <w:tcW w:w="2211" w:type="dxa"/>
            <w:vMerge w:val="continue"/>
            <w:shd w:val="clear" w:color="auto" w:fill="auto"/>
            <w:vAlign w:val="center"/>
          </w:tcPr>
          <w:p w14:paraId="5D9C052C">
            <w:pPr>
              <w:spacing w:line="360" w:lineRule="auto"/>
              <w:jc w:val="center"/>
              <w:rPr>
                <w:rFonts w:hint="eastAsia" w:ascii="宋体" w:hAnsi="宋体" w:eastAsia="宋体" w:cs="宋体"/>
                <w:color w:val="auto"/>
                <w:sz w:val="24"/>
                <w:szCs w:val="24"/>
                <w:highlight w:val="none"/>
                <w:lang w:eastAsia="zh-CN"/>
              </w:rPr>
            </w:pPr>
          </w:p>
        </w:tc>
        <w:tc>
          <w:tcPr>
            <w:tcW w:w="6477" w:type="dxa"/>
            <w:shd w:val="clear" w:color="auto" w:fill="auto"/>
            <w:vAlign w:val="center"/>
          </w:tcPr>
          <w:p w14:paraId="33C73537">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不允许递交备选磋商方案</w:t>
            </w:r>
          </w:p>
        </w:tc>
      </w:tr>
      <w:tr w14:paraId="5FCCC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050" w:type="dxa"/>
            <w:vMerge w:val="continue"/>
            <w:shd w:val="clear" w:color="auto" w:fill="auto"/>
            <w:vAlign w:val="center"/>
          </w:tcPr>
          <w:p w14:paraId="53E53777">
            <w:pPr>
              <w:pStyle w:val="15"/>
              <w:spacing w:line="360" w:lineRule="auto"/>
              <w:jc w:val="center"/>
              <w:rPr>
                <w:rFonts w:hint="eastAsia" w:asciiTheme="minorEastAsia" w:hAnsiTheme="minorEastAsia" w:eastAsiaTheme="minorEastAsia" w:cstheme="minorEastAsia"/>
                <w:kern w:val="0"/>
                <w:sz w:val="24"/>
                <w:szCs w:val="24"/>
                <w:lang w:val="en-US" w:eastAsia="zh-CN"/>
              </w:rPr>
            </w:pPr>
          </w:p>
        </w:tc>
        <w:tc>
          <w:tcPr>
            <w:tcW w:w="2211" w:type="dxa"/>
            <w:vMerge w:val="continue"/>
            <w:shd w:val="clear" w:color="auto" w:fill="auto"/>
            <w:vAlign w:val="center"/>
          </w:tcPr>
          <w:p w14:paraId="2639811A">
            <w:pPr>
              <w:spacing w:line="360" w:lineRule="auto"/>
              <w:jc w:val="center"/>
              <w:rPr>
                <w:rFonts w:hint="eastAsia" w:ascii="宋体" w:hAnsi="宋体" w:eastAsia="宋体" w:cs="宋体"/>
                <w:color w:val="auto"/>
                <w:sz w:val="24"/>
                <w:szCs w:val="24"/>
                <w:highlight w:val="none"/>
                <w:lang w:eastAsia="zh-CN"/>
              </w:rPr>
            </w:pPr>
          </w:p>
        </w:tc>
        <w:tc>
          <w:tcPr>
            <w:tcW w:w="6477" w:type="dxa"/>
            <w:shd w:val="clear" w:color="auto" w:fill="auto"/>
            <w:vAlign w:val="center"/>
          </w:tcPr>
          <w:p w14:paraId="37C574D6">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供应商在关联标书环节时须将整本响应文件（含封面）关联至“商务技术文件”部分，并签字盖章。</w:t>
            </w:r>
          </w:p>
        </w:tc>
      </w:tr>
      <w:tr w14:paraId="7708B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050" w:type="dxa"/>
            <w:vMerge w:val="continue"/>
            <w:shd w:val="clear" w:color="auto" w:fill="auto"/>
            <w:vAlign w:val="center"/>
          </w:tcPr>
          <w:p w14:paraId="77965845">
            <w:pPr>
              <w:pStyle w:val="15"/>
              <w:spacing w:line="360" w:lineRule="auto"/>
              <w:jc w:val="center"/>
              <w:rPr>
                <w:rFonts w:hint="eastAsia" w:asciiTheme="minorEastAsia" w:hAnsiTheme="minorEastAsia" w:eastAsiaTheme="minorEastAsia" w:cstheme="minorEastAsia"/>
                <w:kern w:val="0"/>
                <w:sz w:val="24"/>
                <w:szCs w:val="24"/>
                <w:lang w:val="en-US" w:eastAsia="zh-CN"/>
              </w:rPr>
            </w:pPr>
          </w:p>
        </w:tc>
        <w:tc>
          <w:tcPr>
            <w:tcW w:w="2211" w:type="dxa"/>
            <w:vMerge w:val="continue"/>
            <w:shd w:val="clear" w:color="auto" w:fill="auto"/>
            <w:vAlign w:val="center"/>
          </w:tcPr>
          <w:p w14:paraId="38668CCA">
            <w:pPr>
              <w:spacing w:line="360" w:lineRule="auto"/>
              <w:jc w:val="center"/>
              <w:rPr>
                <w:rFonts w:hint="eastAsia" w:ascii="宋体" w:hAnsi="宋体" w:eastAsia="宋体" w:cs="宋体"/>
                <w:color w:val="auto"/>
                <w:sz w:val="24"/>
                <w:szCs w:val="24"/>
                <w:highlight w:val="none"/>
                <w:lang w:eastAsia="zh-CN"/>
              </w:rPr>
            </w:pPr>
          </w:p>
        </w:tc>
        <w:tc>
          <w:tcPr>
            <w:tcW w:w="6477" w:type="dxa"/>
            <w:shd w:val="clear" w:color="auto" w:fill="auto"/>
            <w:vAlign w:val="center"/>
          </w:tcPr>
          <w:p w14:paraId="26381A9D">
            <w:pPr>
              <w:keepNext w:val="0"/>
              <w:keepLines w:val="0"/>
              <w:pageBreakBefore w:val="0"/>
              <w:kinsoku/>
              <w:wordWrap/>
              <w:overflowPunct/>
              <w:topLinePunct w:val="0"/>
              <w:autoSpaceDE/>
              <w:autoSpaceDN/>
              <w:bidi w:val="0"/>
              <w:adjustRightInd/>
              <w:snapToGrid/>
              <w:spacing w:line="360" w:lineRule="auto"/>
              <w:ind w:right="0"/>
              <w:textAlignment w:val="auto"/>
              <w:rPr>
                <w:rFonts w:hint="default" w:ascii="Times New Roman" w:hAnsi="Times New Roman" w:eastAsia="宋体" w:cs="宋体"/>
                <w:i w:val="0"/>
                <w:iCs w:val="0"/>
                <w:caps w:val="0"/>
                <w:smallCaps w:val="0"/>
                <w:color w:val="auto"/>
                <w:sz w:val="24"/>
                <w:szCs w:val="24"/>
                <w:highlight w:val="none"/>
                <w:lang w:val="en-US" w:eastAsia="zh-CN"/>
              </w:rPr>
            </w:pPr>
            <w:r>
              <w:rPr>
                <w:rFonts w:hint="eastAsia" w:ascii="宋体" w:hAnsi="宋体" w:eastAsia="宋体" w:cs="宋体"/>
                <w:sz w:val="24"/>
                <w:highlight w:val="none"/>
                <w:lang w:val="en-US" w:eastAsia="zh-CN"/>
              </w:rPr>
              <w:t>代理服务费：包干价16000.00元（大写：壹万陆仟元整），由中标人领取成交通知书时一次性支付。</w:t>
            </w:r>
          </w:p>
        </w:tc>
      </w:tr>
    </w:tbl>
    <w:p w14:paraId="664CDC93">
      <w:pPr>
        <w:rPr>
          <w:rFonts w:hint="eastAsia" w:ascii="宋体" w:hAnsi="宋体" w:eastAsia="宋体" w:cs="宋体"/>
        </w:rPr>
      </w:pPr>
      <w:r>
        <w:rPr>
          <w:rFonts w:hint="eastAsia" w:ascii="宋体" w:hAnsi="宋体" w:eastAsia="宋体" w:cs="宋体"/>
        </w:rPr>
        <w:br w:type="page"/>
      </w:r>
    </w:p>
    <w:p w14:paraId="79C12277">
      <w:pPr>
        <w:pStyle w:val="3"/>
        <w:bidi w:val="0"/>
        <w:spacing w:line="240" w:lineRule="auto"/>
        <w:jc w:val="center"/>
        <w:rPr>
          <w:rFonts w:hint="eastAsia"/>
          <w:lang w:val="en-US" w:eastAsia="zh-CN"/>
        </w:rPr>
      </w:pPr>
      <w:bookmarkStart w:id="138" w:name="_Toc30065"/>
      <w:bookmarkStart w:id="139" w:name="_Toc5046"/>
      <w:bookmarkStart w:id="140" w:name="_Toc25617"/>
      <w:r>
        <w:rPr>
          <w:rFonts w:hint="eastAsia"/>
          <w:lang w:val="en-US" w:eastAsia="zh-CN"/>
        </w:rPr>
        <w:t>1.总则</w:t>
      </w:r>
      <w:bookmarkEnd w:id="137"/>
      <w:bookmarkEnd w:id="138"/>
      <w:bookmarkEnd w:id="139"/>
      <w:bookmarkEnd w:id="140"/>
    </w:p>
    <w:p w14:paraId="132684B0">
      <w:pPr>
        <w:pStyle w:val="5"/>
        <w:keepNext/>
        <w:keepLines/>
        <w:pageBreakBefore w:val="0"/>
        <w:widowControl/>
        <w:numPr>
          <w:ilvl w:val="3"/>
          <w:numId w:val="0"/>
        </w:numPr>
        <w:tabs>
          <w:tab w:val="clear" w:pos="2155"/>
        </w:tabs>
        <w:kinsoku/>
        <w:wordWrap/>
        <w:overflowPunct/>
        <w:topLinePunct w:val="0"/>
        <w:autoSpaceDE/>
        <w:autoSpaceDN/>
        <w:bidi w:val="0"/>
        <w:adjustRightInd w:val="0"/>
        <w:snapToGrid w:val="0"/>
        <w:spacing w:before="0" w:beforeLines="0" w:beforeAutospacing="0" w:after="0" w:afterLines="0" w:afterAutospacing="0" w:line="360" w:lineRule="auto"/>
        <w:jc w:val="left"/>
        <w:textAlignment w:val="auto"/>
        <w:rPr>
          <w:rFonts w:hint="eastAsia" w:ascii="宋体" w:hAnsi="宋体" w:eastAsia="宋体" w:cs="宋体"/>
          <w:b/>
          <w:bCs w:val="0"/>
          <w:color w:val="auto"/>
          <w:kern w:val="0"/>
          <w:sz w:val="24"/>
          <w:szCs w:val="24"/>
          <w:highlight w:val="none"/>
          <w:lang w:val="en-US" w:eastAsia="en-US"/>
        </w:rPr>
      </w:pPr>
      <w:bookmarkStart w:id="141" w:name="_Toc308439020"/>
      <w:bookmarkStart w:id="142" w:name="_Toc319592598"/>
      <w:bookmarkStart w:id="143" w:name="_Toc179632548"/>
      <w:bookmarkStart w:id="144" w:name="_Toc152042307"/>
      <w:bookmarkStart w:id="145" w:name="_Toc388258495"/>
      <w:bookmarkStart w:id="146" w:name="_Toc152045531"/>
      <w:bookmarkStart w:id="147" w:name="_Toc144974499"/>
      <w:bookmarkStart w:id="148" w:name="_Toc383175052"/>
      <w:bookmarkStart w:id="149" w:name="_Toc383175276"/>
      <w:bookmarkStart w:id="150" w:name="_Toc383175474"/>
      <w:bookmarkStart w:id="151" w:name="_Toc7252733"/>
      <w:bookmarkStart w:id="152" w:name="_Toc329810186"/>
      <w:r>
        <w:rPr>
          <w:rFonts w:hint="eastAsia" w:ascii="宋体" w:hAnsi="宋体" w:eastAsia="宋体" w:cs="宋体"/>
          <w:b/>
          <w:bCs w:val="0"/>
          <w:color w:val="auto"/>
          <w:kern w:val="0"/>
          <w:sz w:val="24"/>
          <w:szCs w:val="24"/>
          <w:highlight w:val="none"/>
          <w:lang w:val="en-US" w:eastAsia="en-US"/>
        </w:rPr>
        <w:t>1</w:t>
      </w:r>
      <w:r>
        <w:rPr>
          <w:rFonts w:hint="eastAsia" w:ascii="宋体" w:hAnsi="宋体" w:eastAsia="宋体" w:cs="宋体"/>
          <w:b/>
          <w:bCs w:val="0"/>
          <w:color w:val="auto"/>
          <w:kern w:val="0"/>
          <w:sz w:val="24"/>
          <w:szCs w:val="24"/>
          <w:highlight w:val="none"/>
          <w:lang w:val="en-US" w:eastAsia="zh-CN"/>
        </w:rPr>
        <w:t>.1</w:t>
      </w:r>
      <w:r>
        <w:rPr>
          <w:rFonts w:hint="eastAsia" w:ascii="宋体" w:hAnsi="宋体" w:eastAsia="宋体" w:cs="宋体"/>
          <w:b/>
          <w:bCs w:val="0"/>
          <w:color w:val="auto"/>
          <w:kern w:val="0"/>
          <w:sz w:val="24"/>
          <w:szCs w:val="24"/>
          <w:highlight w:val="none"/>
          <w:lang w:val="en-US" w:eastAsia="en-US"/>
        </w:rPr>
        <w:t>定义</w:t>
      </w:r>
    </w:p>
    <w:p w14:paraId="29E11360">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eastAsia="zh-CN"/>
        </w:rPr>
      </w:pPr>
      <w:bookmarkStart w:id="153" w:name="_Toc3263"/>
      <w:r>
        <w:rPr>
          <w:rFonts w:hint="eastAsia" w:ascii="宋体" w:hAnsi="宋体" w:eastAsia="宋体" w:cs="宋体"/>
          <w:color w:val="auto"/>
          <w:sz w:val="24"/>
          <w:szCs w:val="24"/>
          <w:highlight w:val="none"/>
          <w:lang w:eastAsia="en-US"/>
        </w:rPr>
        <w:t>1.1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lang w:eastAsia="en-US"/>
        </w:rPr>
        <w:t>方式：</w:t>
      </w:r>
      <w:r>
        <w:rPr>
          <w:rFonts w:hint="eastAsia" w:ascii="宋体" w:hAnsi="宋体" w:eastAsia="宋体" w:cs="宋体"/>
          <w:color w:val="auto"/>
          <w:sz w:val="24"/>
          <w:szCs w:val="24"/>
          <w:highlight w:val="none"/>
          <w:lang w:eastAsia="zh-CN"/>
        </w:rPr>
        <w:t>竞争性磋商</w:t>
      </w:r>
      <w:bookmarkEnd w:id="141"/>
      <w:bookmarkEnd w:id="142"/>
      <w:bookmarkEnd w:id="143"/>
      <w:bookmarkEnd w:id="144"/>
      <w:bookmarkEnd w:id="145"/>
      <w:bookmarkEnd w:id="146"/>
      <w:bookmarkEnd w:id="147"/>
      <w:bookmarkEnd w:id="153"/>
    </w:p>
    <w:p w14:paraId="43D16AB7">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en-US"/>
        </w:rPr>
        <w:t>1.2</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lang w:eastAsia="en-US"/>
        </w:rPr>
        <w:t>：</w:t>
      </w:r>
      <w:r>
        <w:rPr>
          <w:rFonts w:hint="eastAsia" w:ascii="宋体" w:hAnsi="宋体" w:eastAsia="宋体" w:cs="宋体"/>
          <w:color w:val="auto"/>
          <w:sz w:val="24"/>
          <w:szCs w:val="24"/>
          <w:highlight w:val="none"/>
          <w:lang w:val="en-US" w:eastAsia="zh-CN"/>
        </w:rPr>
        <w:t>富源县人民政府胜境街道办事处</w:t>
      </w:r>
    </w:p>
    <w:p w14:paraId="5A318E66">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eastAsia="en-US"/>
        </w:rPr>
      </w:pPr>
      <w:bookmarkStart w:id="154" w:name="_Toc308439021"/>
      <w:bookmarkStart w:id="155" w:name="_Toc152045532"/>
      <w:bookmarkStart w:id="156" w:name="_Toc144974500"/>
      <w:bookmarkStart w:id="157" w:name="_Toc319592599"/>
      <w:bookmarkStart w:id="158" w:name="_Toc152042308"/>
      <w:bookmarkStart w:id="159" w:name="_Toc179632549"/>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en-US"/>
        </w:rPr>
        <w:t>1.3</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lang w:eastAsia="en-US"/>
        </w:rPr>
        <w:t>：指按照本文件规定获得</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lang w:eastAsia="en-US"/>
        </w:rPr>
        <w:t>并参加投标的</w:t>
      </w:r>
      <w:r>
        <w:rPr>
          <w:rFonts w:hint="eastAsia" w:ascii="宋体" w:hAnsi="宋体" w:eastAsia="宋体" w:cs="宋体"/>
          <w:color w:val="auto"/>
          <w:sz w:val="24"/>
          <w:szCs w:val="24"/>
          <w:highlight w:val="none"/>
          <w:lang w:eastAsia="zh-CN"/>
        </w:rPr>
        <w:t>供应商</w:t>
      </w:r>
    </w:p>
    <w:p w14:paraId="2B4C9385">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en-US"/>
        </w:rPr>
        <w:t>1.4</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en-US"/>
        </w:rPr>
        <w:t>代理机构：</w:t>
      </w:r>
      <w:r>
        <w:rPr>
          <w:rFonts w:hint="eastAsia" w:ascii="宋体" w:hAnsi="宋体" w:eastAsia="宋体" w:cs="宋体"/>
          <w:color w:val="auto"/>
          <w:sz w:val="24"/>
          <w:szCs w:val="24"/>
          <w:highlight w:val="none"/>
          <w:lang w:eastAsia="zh-CN"/>
        </w:rPr>
        <w:t>云南福诚招标有限公司</w:t>
      </w:r>
    </w:p>
    <w:bookmarkEnd w:id="154"/>
    <w:bookmarkEnd w:id="155"/>
    <w:bookmarkEnd w:id="156"/>
    <w:bookmarkEnd w:id="157"/>
    <w:bookmarkEnd w:id="158"/>
    <w:bookmarkEnd w:id="159"/>
    <w:p w14:paraId="718F1500">
      <w:pPr>
        <w:pStyle w:val="5"/>
        <w:keepNext/>
        <w:keepLines/>
        <w:pageBreakBefore w:val="0"/>
        <w:widowControl/>
        <w:numPr>
          <w:ilvl w:val="3"/>
          <w:numId w:val="0"/>
        </w:numPr>
        <w:tabs>
          <w:tab w:val="clear" w:pos="2155"/>
        </w:tabs>
        <w:kinsoku/>
        <w:wordWrap/>
        <w:overflowPunct/>
        <w:topLinePunct w:val="0"/>
        <w:autoSpaceDE/>
        <w:autoSpaceDN/>
        <w:bidi w:val="0"/>
        <w:adjustRightInd w:val="0"/>
        <w:snapToGrid w:val="0"/>
        <w:spacing w:before="0" w:beforeLines="0" w:beforeAutospacing="0" w:after="0" w:afterLines="0" w:afterAutospacing="0" w:line="360" w:lineRule="auto"/>
        <w:jc w:val="left"/>
        <w:textAlignment w:val="auto"/>
        <w:rPr>
          <w:rFonts w:hint="eastAsia" w:ascii="宋体" w:hAnsi="宋体" w:eastAsia="宋体" w:cs="宋体"/>
          <w:b/>
          <w:bCs w:val="0"/>
          <w:color w:val="auto"/>
          <w:kern w:val="0"/>
          <w:sz w:val="24"/>
          <w:szCs w:val="24"/>
          <w:highlight w:val="none"/>
          <w:lang w:val="en-US" w:eastAsia="zh-CN"/>
        </w:rPr>
      </w:pPr>
      <w:r>
        <w:rPr>
          <w:rFonts w:hint="eastAsia" w:ascii="宋体" w:hAnsi="宋体" w:eastAsia="宋体" w:cs="宋体"/>
          <w:b/>
          <w:bCs w:val="0"/>
          <w:color w:val="auto"/>
          <w:kern w:val="0"/>
          <w:sz w:val="24"/>
          <w:szCs w:val="24"/>
          <w:highlight w:val="none"/>
          <w:lang w:val="en-US" w:eastAsia="zh-CN"/>
        </w:rPr>
        <w:t>1.2项目概况</w:t>
      </w:r>
      <w:bookmarkEnd w:id="148"/>
      <w:bookmarkEnd w:id="149"/>
      <w:bookmarkEnd w:id="150"/>
      <w:bookmarkEnd w:id="151"/>
      <w:bookmarkEnd w:id="152"/>
    </w:p>
    <w:p w14:paraId="560C8219">
      <w:pPr>
        <w:pageBreakBefore w:val="0"/>
        <w:widowControl/>
        <w:kinsoku/>
        <w:wordWrap/>
        <w:overflowPunct/>
        <w:topLinePunct w:val="0"/>
        <w:autoSpaceDE/>
        <w:autoSpaceDN/>
        <w:bidi w:val="0"/>
        <w:adjustRightInd w:val="0"/>
        <w:snapToGrid w:val="0"/>
        <w:spacing w:line="360" w:lineRule="auto"/>
        <w:ind w:firstLine="420" w:firstLineChars="175"/>
        <w:jc w:val="left"/>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val="en-US" w:eastAsia="zh-CN"/>
        </w:rPr>
        <w:t>1.2.1根据《中华人民共和国政府采购法》、《云南省政府采购管理暂行办法》（云财采〔2014〕7号）、《政府采购竞争性磋商采购方式管理暂行办法》（财库〔2014〕214 号）等法律法规的规定，我公司受富源县人民政府胜境街道办事处（以下简称“采购人”）的委托，组织对本项目进行竞争性磋商采购，现通过发布公告的方式邀请符合相应资格条件的供应商参与本项目。</w:t>
      </w:r>
    </w:p>
    <w:p w14:paraId="07E01310">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sz w:val="24"/>
          <w:szCs w:val="24"/>
        </w:rPr>
      </w:pPr>
      <w:bookmarkStart w:id="160" w:name="_Toc265142411"/>
      <w:bookmarkStart w:id="161" w:name="_Toc383175277"/>
      <w:bookmarkStart w:id="162" w:name="_Toc383175475"/>
      <w:bookmarkStart w:id="163" w:name="_Toc383175053"/>
      <w:bookmarkStart w:id="164" w:name="_Toc7252734"/>
      <w:bookmarkStart w:id="165" w:name="_Toc329810187"/>
      <w:r>
        <w:rPr>
          <w:rFonts w:hint="eastAsia" w:ascii="宋体" w:hAnsi="宋体" w:eastAsia="宋体" w:cs="宋体"/>
          <w:color w:val="auto"/>
          <w:sz w:val="24"/>
          <w:szCs w:val="24"/>
          <w:highlight w:val="none"/>
          <w:lang w:val="en-US" w:eastAsia="zh-CN"/>
        </w:rPr>
        <w:t>1.2.2资金来源</w:t>
      </w:r>
      <w:bookmarkEnd w:id="160"/>
      <w:bookmarkEnd w:id="161"/>
      <w:bookmarkEnd w:id="162"/>
      <w:bookmarkEnd w:id="163"/>
      <w:bookmarkEnd w:id="164"/>
      <w:bookmarkEnd w:id="165"/>
      <w:r>
        <w:rPr>
          <w:rFonts w:hint="eastAsia" w:ascii="宋体" w:hAnsi="宋体" w:eastAsia="宋体" w:cs="宋体"/>
          <w:color w:val="auto"/>
          <w:sz w:val="24"/>
          <w:szCs w:val="24"/>
          <w:highlight w:val="none"/>
          <w:lang w:val="en-US" w:eastAsia="zh-CN"/>
        </w:rPr>
        <w:t>：</w:t>
      </w:r>
      <w:r>
        <w:rPr>
          <w:rFonts w:hint="eastAsia" w:ascii="宋体" w:hAnsi="宋体" w:eastAsia="宋体" w:cs="宋体"/>
          <w:sz w:val="24"/>
          <w:szCs w:val="24"/>
        </w:rPr>
        <w:t>资金来源已落实，用于采购“</w:t>
      </w:r>
      <w:r>
        <w:rPr>
          <w:rFonts w:hint="eastAsia" w:ascii="宋体" w:hAnsi="宋体" w:eastAsia="宋体" w:cs="宋体"/>
          <w:b w:val="0"/>
          <w:bCs w:val="0"/>
          <w:sz w:val="24"/>
          <w:szCs w:val="24"/>
        </w:rPr>
        <w:t>采购需求</w:t>
      </w:r>
      <w:r>
        <w:rPr>
          <w:rFonts w:hint="eastAsia" w:ascii="宋体" w:hAnsi="宋体" w:eastAsia="宋体" w:cs="宋体"/>
          <w:sz w:val="24"/>
          <w:szCs w:val="24"/>
        </w:rPr>
        <w:t>”所列</w:t>
      </w:r>
      <w:r>
        <w:rPr>
          <w:rFonts w:hint="eastAsia" w:ascii="宋体" w:hAnsi="宋体" w:eastAsia="宋体" w:cs="宋体"/>
          <w:sz w:val="24"/>
          <w:szCs w:val="24"/>
          <w:lang w:val="en-US" w:eastAsia="zh-CN"/>
        </w:rPr>
        <w:t>清单内容</w:t>
      </w:r>
      <w:r>
        <w:rPr>
          <w:rFonts w:hint="eastAsia" w:ascii="宋体" w:hAnsi="宋体" w:eastAsia="宋体" w:cs="宋体"/>
          <w:sz w:val="24"/>
          <w:szCs w:val="24"/>
        </w:rPr>
        <w:t>。</w:t>
      </w:r>
      <w:bookmarkStart w:id="166" w:name="_Toc383175278"/>
      <w:bookmarkStart w:id="167" w:name="_Toc383175476"/>
      <w:bookmarkStart w:id="168" w:name="_Toc383175054"/>
      <w:bookmarkStart w:id="169" w:name="_Toc329810188"/>
      <w:bookmarkStart w:id="170" w:name="_Toc265142412"/>
    </w:p>
    <w:p w14:paraId="3FAFCFC4">
      <w:pPr>
        <w:pStyle w:val="5"/>
        <w:keepNext/>
        <w:keepLines/>
        <w:pageBreakBefore w:val="0"/>
        <w:widowControl/>
        <w:numPr>
          <w:ilvl w:val="3"/>
          <w:numId w:val="0"/>
        </w:numPr>
        <w:tabs>
          <w:tab w:val="clear" w:pos="2155"/>
        </w:tabs>
        <w:kinsoku/>
        <w:wordWrap/>
        <w:overflowPunct/>
        <w:topLinePunct w:val="0"/>
        <w:autoSpaceDE/>
        <w:autoSpaceDN/>
        <w:bidi w:val="0"/>
        <w:adjustRightInd w:val="0"/>
        <w:snapToGrid w:val="0"/>
        <w:spacing w:before="0" w:beforeLines="0" w:beforeAutospacing="0" w:after="0" w:afterLines="0" w:afterAutospacing="0" w:line="360" w:lineRule="auto"/>
        <w:jc w:val="left"/>
        <w:textAlignment w:val="auto"/>
        <w:rPr>
          <w:rFonts w:hint="eastAsia" w:ascii="宋体" w:hAnsi="宋体" w:eastAsia="宋体" w:cs="宋体"/>
          <w:b/>
          <w:bCs w:val="0"/>
          <w:color w:val="auto"/>
          <w:kern w:val="0"/>
          <w:sz w:val="24"/>
          <w:szCs w:val="24"/>
          <w:highlight w:val="none"/>
          <w:lang w:val="en-US" w:eastAsia="zh-CN"/>
        </w:rPr>
      </w:pPr>
      <w:bookmarkStart w:id="171" w:name="_Toc7252735"/>
      <w:r>
        <w:rPr>
          <w:rFonts w:hint="eastAsia" w:ascii="宋体" w:hAnsi="宋体" w:eastAsia="宋体" w:cs="宋体"/>
          <w:b/>
          <w:bCs w:val="0"/>
          <w:color w:val="auto"/>
          <w:kern w:val="0"/>
          <w:sz w:val="24"/>
          <w:szCs w:val="24"/>
          <w:highlight w:val="none"/>
          <w:lang w:val="en-US" w:eastAsia="zh-CN"/>
        </w:rPr>
        <w:t>1.3采购范围</w:t>
      </w:r>
      <w:bookmarkEnd w:id="166"/>
      <w:bookmarkEnd w:id="167"/>
      <w:bookmarkEnd w:id="168"/>
      <w:bookmarkEnd w:id="169"/>
      <w:bookmarkEnd w:id="170"/>
      <w:bookmarkEnd w:id="171"/>
    </w:p>
    <w:p w14:paraId="33D5153C">
      <w:pPr>
        <w:pageBreakBefore w:val="0"/>
        <w:widowControl/>
        <w:kinsoku/>
        <w:wordWrap/>
        <w:overflowPunct/>
        <w:topLinePunct w:val="0"/>
        <w:autoSpaceDE/>
        <w:autoSpaceDN/>
        <w:bidi w:val="0"/>
        <w:adjustRightInd w:val="0"/>
        <w:snapToGrid w:val="0"/>
        <w:spacing w:line="360" w:lineRule="auto"/>
        <w:ind w:firstLine="420" w:firstLineChars="175"/>
        <w:jc w:val="left"/>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eastAsia="en-US"/>
        </w:rPr>
        <w:t>3.1 本项目采购</w:t>
      </w:r>
      <w:r>
        <w:rPr>
          <w:rFonts w:hint="eastAsia" w:ascii="宋体" w:hAnsi="宋体" w:eastAsia="宋体" w:cs="宋体"/>
          <w:color w:val="auto"/>
          <w:kern w:val="0"/>
          <w:sz w:val="24"/>
          <w:szCs w:val="24"/>
          <w:highlight w:val="none"/>
          <w:lang w:val="en-US" w:eastAsia="zh-CN"/>
        </w:rPr>
        <w:t>需求</w:t>
      </w:r>
      <w:r>
        <w:rPr>
          <w:rFonts w:hint="eastAsia" w:ascii="宋体" w:hAnsi="宋体" w:eastAsia="宋体" w:cs="宋体"/>
          <w:color w:val="auto"/>
          <w:kern w:val="0"/>
          <w:sz w:val="24"/>
          <w:szCs w:val="24"/>
          <w:highlight w:val="none"/>
          <w:lang w:eastAsia="en-US"/>
        </w:rPr>
        <w:t>：见“</w:t>
      </w:r>
      <w:r>
        <w:rPr>
          <w:rFonts w:hint="eastAsia" w:ascii="宋体" w:hAnsi="宋体" w:eastAsia="宋体" w:cs="宋体"/>
          <w:color w:val="auto"/>
          <w:kern w:val="0"/>
          <w:sz w:val="24"/>
          <w:szCs w:val="24"/>
          <w:highlight w:val="none"/>
          <w:lang w:eastAsia="zh-CN"/>
        </w:rPr>
        <w:t>供应商须知及供应商须知前附表</w:t>
      </w:r>
      <w:r>
        <w:rPr>
          <w:rFonts w:hint="eastAsia" w:ascii="宋体" w:hAnsi="宋体" w:eastAsia="宋体" w:cs="宋体"/>
          <w:color w:val="auto"/>
          <w:kern w:val="0"/>
          <w:sz w:val="24"/>
          <w:szCs w:val="24"/>
          <w:highlight w:val="none"/>
          <w:lang w:eastAsia="en-US"/>
        </w:rPr>
        <w:t>”。</w:t>
      </w:r>
    </w:p>
    <w:p w14:paraId="0FFB4A16">
      <w:pPr>
        <w:pageBreakBefore w:val="0"/>
        <w:widowControl/>
        <w:kinsoku/>
        <w:wordWrap/>
        <w:overflowPunct/>
        <w:topLinePunct w:val="0"/>
        <w:autoSpaceDE/>
        <w:autoSpaceDN/>
        <w:bidi w:val="0"/>
        <w:adjustRightInd w:val="0"/>
        <w:snapToGrid w:val="0"/>
        <w:spacing w:line="360" w:lineRule="auto"/>
        <w:ind w:firstLine="420" w:firstLineChars="175"/>
        <w:jc w:val="left"/>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eastAsia="en-US"/>
        </w:rPr>
        <w:t>3.2</w:t>
      </w:r>
      <w:r>
        <w:rPr>
          <w:rFonts w:hint="eastAsia" w:ascii="宋体" w:hAnsi="宋体" w:eastAsia="宋体" w:cs="宋体"/>
          <w:color w:val="auto"/>
          <w:kern w:val="0"/>
          <w:sz w:val="24"/>
          <w:szCs w:val="24"/>
          <w:highlight w:val="none"/>
          <w:lang w:val="en-US" w:eastAsia="zh-CN"/>
        </w:rPr>
        <w:t>合同履行期限</w:t>
      </w:r>
      <w:r>
        <w:rPr>
          <w:rFonts w:hint="eastAsia" w:ascii="宋体" w:hAnsi="宋体" w:eastAsia="宋体" w:cs="宋体"/>
          <w:color w:val="auto"/>
          <w:kern w:val="0"/>
          <w:sz w:val="24"/>
          <w:szCs w:val="24"/>
          <w:highlight w:val="none"/>
          <w:lang w:eastAsia="en-US"/>
        </w:rPr>
        <w:t>：见“</w:t>
      </w:r>
      <w:r>
        <w:rPr>
          <w:rFonts w:hint="eastAsia" w:ascii="宋体" w:hAnsi="宋体" w:eastAsia="宋体" w:cs="宋体"/>
          <w:color w:val="auto"/>
          <w:kern w:val="0"/>
          <w:sz w:val="24"/>
          <w:szCs w:val="24"/>
          <w:highlight w:val="none"/>
          <w:lang w:eastAsia="zh-CN"/>
        </w:rPr>
        <w:t>供应商须知及供应商须知前附表</w:t>
      </w:r>
      <w:r>
        <w:rPr>
          <w:rFonts w:hint="eastAsia" w:ascii="宋体" w:hAnsi="宋体" w:eastAsia="宋体" w:cs="宋体"/>
          <w:color w:val="auto"/>
          <w:kern w:val="0"/>
          <w:sz w:val="24"/>
          <w:szCs w:val="24"/>
          <w:highlight w:val="none"/>
          <w:lang w:eastAsia="en-US"/>
        </w:rPr>
        <w:t>”。</w:t>
      </w:r>
      <w:bookmarkStart w:id="172" w:name="_Toc383175477"/>
      <w:bookmarkStart w:id="173" w:name="_Toc7252736"/>
      <w:bookmarkStart w:id="174" w:name="_Toc329810189"/>
      <w:bookmarkStart w:id="175" w:name="_Toc383175279"/>
      <w:bookmarkStart w:id="176" w:name="_Toc383175055"/>
    </w:p>
    <w:p w14:paraId="765AC621">
      <w:pPr>
        <w:pStyle w:val="5"/>
        <w:keepNext/>
        <w:keepLines/>
        <w:pageBreakBefore w:val="0"/>
        <w:widowControl/>
        <w:numPr>
          <w:ilvl w:val="3"/>
          <w:numId w:val="0"/>
        </w:numPr>
        <w:tabs>
          <w:tab w:val="clear" w:pos="2155"/>
        </w:tabs>
        <w:kinsoku/>
        <w:wordWrap/>
        <w:overflowPunct/>
        <w:topLinePunct w:val="0"/>
        <w:autoSpaceDE/>
        <w:autoSpaceDN/>
        <w:bidi w:val="0"/>
        <w:adjustRightInd w:val="0"/>
        <w:snapToGrid w:val="0"/>
        <w:spacing w:before="0" w:beforeLines="0" w:beforeAutospacing="0" w:after="0" w:afterLines="0" w:afterAutospacing="0" w:line="360" w:lineRule="auto"/>
        <w:jc w:val="left"/>
        <w:textAlignment w:val="auto"/>
        <w:rPr>
          <w:rFonts w:hint="eastAsia" w:ascii="宋体" w:hAnsi="宋体" w:eastAsia="宋体" w:cs="宋体"/>
          <w:b/>
          <w:bCs w:val="0"/>
          <w:color w:val="auto"/>
          <w:kern w:val="0"/>
          <w:sz w:val="24"/>
          <w:szCs w:val="24"/>
          <w:highlight w:val="none"/>
          <w:lang w:val="en-US" w:eastAsia="zh-CN"/>
        </w:rPr>
      </w:pPr>
      <w:r>
        <w:rPr>
          <w:rFonts w:hint="eastAsia" w:ascii="宋体" w:hAnsi="宋体" w:eastAsia="宋体" w:cs="宋体"/>
          <w:b/>
          <w:bCs w:val="0"/>
          <w:color w:val="auto"/>
          <w:kern w:val="0"/>
          <w:sz w:val="24"/>
          <w:szCs w:val="24"/>
          <w:highlight w:val="none"/>
          <w:lang w:val="en-US" w:eastAsia="zh-CN"/>
        </w:rPr>
        <w:t>1.4供应商资格要求</w:t>
      </w:r>
      <w:bookmarkEnd w:id="172"/>
      <w:bookmarkEnd w:id="173"/>
      <w:bookmarkEnd w:id="174"/>
      <w:bookmarkEnd w:id="175"/>
      <w:bookmarkEnd w:id="176"/>
    </w:p>
    <w:p w14:paraId="72A48494">
      <w:pPr>
        <w:pageBreakBefore w:val="0"/>
        <w:widowControl/>
        <w:kinsoku/>
        <w:wordWrap/>
        <w:overflowPunct/>
        <w:topLinePunct w:val="0"/>
        <w:autoSpaceDE/>
        <w:autoSpaceDN/>
        <w:bidi w:val="0"/>
        <w:adjustRightInd w:val="0"/>
        <w:snapToGrid w:val="0"/>
        <w:spacing w:line="360" w:lineRule="auto"/>
        <w:ind w:firstLine="420" w:firstLineChars="175"/>
        <w:jc w:val="left"/>
        <w:textAlignment w:val="auto"/>
        <w:rPr>
          <w:rFonts w:hint="eastAsia" w:ascii="宋体" w:hAnsi="宋体" w:eastAsia="宋体" w:cs="宋体"/>
          <w:snapToGrid/>
          <w:color w:val="auto"/>
          <w:kern w:val="0"/>
          <w:sz w:val="24"/>
          <w:szCs w:val="24"/>
          <w:highlight w:val="none"/>
          <w:lang w:val="en-US" w:eastAsia="zh-CN"/>
        </w:rPr>
      </w:pPr>
      <w:r>
        <w:rPr>
          <w:rFonts w:hint="eastAsia" w:ascii="宋体" w:hAnsi="宋体" w:eastAsia="宋体" w:cs="宋体"/>
          <w:snapToGrid/>
          <w:color w:val="auto"/>
          <w:kern w:val="0"/>
          <w:sz w:val="24"/>
          <w:szCs w:val="24"/>
          <w:highlight w:val="none"/>
          <w:lang w:val="en-US" w:eastAsia="zh-CN"/>
        </w:rPr>
        <w:t>1.4.1供应商应具备承担本项目供货能力的资质条件、能力和信誉，见供应商须知前附表。</w:t>
      </w:r>
    </w:p>
    <w:p w14:paraId="55E2BDD7">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1.4.2</w:t>
      </w:r>
      <w:r>
        <w:rPr>
          <w:rFonts w:hint="eastAsia" w:ascii="宋体" w:hAnsi="宋体" w:eastAsia="宋体" w:cs="宋体"/>
          <w:color w:val="auto"/>
          <w:sz w:val="24"/>
          <w:szCs w:val="24"/>
          <w:highlight w:val="none"/>
          <w:lang w:val="en-US" w:eastAsia="en-US"/>
        </w:rPr>
        <w:t>供应商不得存在下列情形之一：</w:t>
      </w:r>
    </w:p>
    <w:p w14:paraId="4FC40324">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(1)为采购人不具有独立法人资格的附属机构（单位）；</w:t>
      </w:r>
    </w:p>
    <w:p w14:paraId="3068DEF4">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(2)为本项目的代建人；</w:t>
      </w:r>
    </w:p>
    <w:p w14:paraId="51495F42">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(3)为本项目提供招标代理服务的；</w:t>
      </w:r>
    </w:p>
    <w:p w14:paraId="74267988">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(4)与本项目的代建人或</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val="en-US" w:eastAsia="en-US"/>
        </w:rPr>
        <w:t>代理机构同为一个法定代表人的；</w:t>
      </w:r>
    </w:p>
    <w:p w14:paraId="0936D746">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(5)本采购项目的代建人或</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val="en-US" w:eastAsia="en-US"/>
        </w:rPr>
        <w:t>代理机构相互控股或参股的；</w:t>
      </w:r>
    </w:p>
    <w:p w14:paraId="0091CF3B">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(6)与本采购项目的代建人或</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val="en-US" w:eastAsia="en-US"/>
        </w:rPr>
        <w:t>代理机构相互任职或工作的；</w:t>
      </w:r>
    </w:p>
    <w:p w14:paraId="61F52DF4">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(7)与承建单位有同一隶属关系的；</w:t>
      </w:r>
    </w:p>
    <w:p w14:paraId="2690DEDF">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(8)被责令停业的；</w:t>
      </w:r>
    </w:p>
    <w:p w14:paraId="5E8C1A66">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(9)被暂停或取消投标资格的；</w:t>
      </w:r>
    </w:p>
    <w:p w14:paraId="5CDC2590">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(10)财产被接管或冻结的；</w:t>
      </w:r>
    </w:p>
    <w:p w14:paraId="6C5B0A41">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(11)在最近三年内有骗取成交或严重违约或重大工程质量问题的。</w:t>
      </w:r>
    </w:p>
    <w:p w14:paraId="7B1BF467">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en-US"/>
        </w:rPr>
        <w:t>1.4.3是否接受联合体磋商：本项目不接受联合体磋商。</w:t>
      </w:r>
    </w:p>
    <w:p w14:paraId="41101EB1">
      <w:pPr>
        <w:pStyle w:val="5"/>
        <w:keepNext/>
        <w:keepLines/>
        <w:pageBreakBefore w:val="0"/>
        <w:widowControl/>
        <w:numPr>
          <w:ilvl w:val="3"/>
          <w:numId w:val="0"/>
        </w:numPr>
        <w:tabs>
          <w:tab w:val="clear" w:pos="2155"/>
        </w:tabs>
        <w:kinsoku/>
        <w:wordWrap/>
        <w:overflowPunct/>
        <w:topLinePunct w:val="0"/>
        <w:autoSpaceDE/>
        <w:autoSpaceDN/>
        <w:bidi w:val="0"/>
        <w:adjustRightInd w:val="0"/>
        <w:snapToGrid w:val="0"/>
        <w:spacing w:before="0" w:beforeLines="0" w:beforeAutospacing="0" w:after="0" w:afterLines="0" w:afterAutospacing="0" w:line="360" w:lineRule="auto"/>
        <w:jc w:val="left"/>
        <w:textAlignment w:val="auto"/>
        <w:rPr>
          <w:rFonts w:hint="eastAsia" w:ascii="宋体" w:hAnsi="宋体" w:eastAsia="宋体" w:cs="宋体"/>
          <w:b/>
          <w:bCs w:val="0"/>
          <w:color w:val="auto"/>
          <w:kern w:val="0"/>
          <w:sz w:val="24"/>
          <w:szCs w:val="24"/>
          <w:highlight w:val="none"/>
          <w:lang w:val="en-US" w:eastAsia="en-US"/>
        </w:rPr>
      </w:pPr>
      <w:bookmarkStart w:id="177" w:name="_Hlt200176664"/>
      <w:bookmarkEnd w:id="177"/>
      <w:bookmarkStart w:id="178" w:name="_Toc7252738"/>
      <w:bookmarkStart w:id="179" w:name="_Toc39092132"/>
      <w:bookmarkStart w:id="180" w:name="_Toc86124047"/>
      <w:r>
        <w:rPr>
          <w:rFonts w:hint="eastAsia" w:ascii="宋体" w:hAnsi="宋体" w:eastAsia="宋体" w:cs="宋体"/>
          <w:b/>
          <w:bCs w:val="0"/>
          <w:color w:val="auto"/>
          <w:kern w:val="0"/>
          <w:sz w:val="24"/>
          <w:szCs w:val="24"/>
          <w:highlight w:val="none"/>
          <w:lang w:val="en-US" w:eastAsia="en-US"/>
        </w:rPr>
        <w:t>1.5费用的承担</w:t>
      </w:r>
    </w:p>
    <w:p w14:paraId="6C0E6C64">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lang w:eastAsia="en-US"/>
        </w:rPr>
        <w:t>准备和参加投标活动发生的费用自理。</w:t>
      </w:r>
    </w:p>
    <w:p w14:paraId="377E56DD">
      <w:pPr>
        <w:pStyle w:val="5"/>
        <w:keepNext/>
        <w:keepLines/>
        <w:pageBreakBefore w:val="0"/>
        <w:widowControl/>
        <w:numPr>
          <w:ilvl w:val="3"/>
          <w:numId w:val="0"/>
        </w:numPr>
        <w:tabs>
          <w:tab w:val="clear" w:pos="2155"/>
        </w:tabs>
        <w:kinsoku/>
        <w:wordWrap/>
        <w:overflowPunct/>
        <w:topLinePunct w:val="0"/>
        <w:autoSpaceDE/>
        <w:autoSpaceDN/>
        <w:bidi w:val="0"/>
        <w:adjustRightInd w:val="0"/>
        <w:snapToGrid w:val="0"/>
        <w:spacing w:before="0" w:beforeLines="0" w:beforeAutospacing="0" w:after="0" w:afterLines="0" w:afterAutospacing="0" w:line="360" w:lineRule="auto"/>
        <w:jc w:val="left"/>
        <w:textAlignment w:val="auto"/>
        <w:rPr>
          <w:rFonts w:hint="eastAsia" w:ascii="宋体" w:hAnsi="宋体" w:eastAsia="宋体" w:cs="宋体"/>
          <w:b/>
          <w:bCs w:val="0"/>
          <w:color w:val="auto"/>
          <w:kern w:val="0"/>
          <w:sz w:val="24"/>
          <w:szCs w:val="24"/>
          <w:highlight w:val="none"/>
          <w:lang w:val="en-US" w:eastAsia="en-US"/>
        </w:rPr>
      </w:pPr>
      <w:r>
        <w:rPr>
          <w:rFonts w:hint="eastAsia" w:ascii="宋体" w:hAnsi="宋体" w:eastAsia="宋体" w:cs="宋体"/>
          <w:b/>
          <w:bCs w:val="0"/>
          <w:color w:val="auto"/>
          <w:kern w:val="0"/>
          <w:sz w:val="24"/>
          <w:szCs w:val="24"/>
          <w:highlight w:val="none"/>
          <w:lang w:val="en-US" w:eastAsia="en-US"/>
        </w:rPr>
        <w:t>1.6 保密</w:t>
      </w:r>
    </w:p>
    <w:p w14:paraId="574C882E">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参与</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en-US"/>
        </w:rPr>
        <w:t>活动的各方应对</w:t>
      </w:r>
      <w:r>
        <w:rPr>
          <w:rFonts w:hint="eastAsia" w:ascii="宋体" w:hAnsi="宋体" w:eastAsia="宋体" w:cs="宋体"/>
          <w:color w:val="auto"/>
          <w:sz w:val="24"/>
          <w:szCs w:val="24"/>
          <w:highlight w:val="none"/>
          <w:lang w:val="en-US" w:eastAsia="zh-CN"/>
        </w:rPr>
        <w:t>竞争性磋商</w:t>
      </w:r>
      <w:r>
        <w:rPr>
          <w:rFonts w:hint="eastAsia" w:ascii="宋体" w:hAnsi="宋体" w:eastAsia="宋体" w:cs="宋体"/>
          <w:color w:val="auto"/>
          <w:sz w:val="24"/>
          <w:szCs w:val="24"/>
          <w:highlight w:val="none"/>
          <w:lang w:eastAsia="en-US"/>
        </w:rPr>
        <w:t>文件和</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en-US"/>
        </w:rPr>
        <w:t>文件中的商业和技术等秘密保密，违者应对由此造成的后果承担法律责任。</w:t>
      </w:r>
    </w:p>
    <w:p w14:paraId="3BDAC639">
      <w:pPr>
        <w:pStyle w:val="5"/>
        <w:keepNext/>
        <w:keepLines/>
        <w:pageBreakBefore w:val="0"/>
        <w:widowControl/>
        <w:numPr>
          <w:ilvl w:val="3"/>
          <w:numId w:val="0"/>
        </w:numPr>
        <w:tabs>
          <w:tab w:val="clear" w:pos="2155"/>
        </w:tabs>
        <w:kinsoku/>
        <w:wordWrap/>
        <w:overflowPunct/>
        <w:topLinePunct w:val="0"/>
        <w:autoSpaceDE/>
        <w:autoSpaceDN/>
        <w:bidi w:val="0"/>
        <w:adjustRightInd w:val="0"/>
        <w:snapToGrid w:val="0"/>
        <w:spacing w:before="0" w:beforeLines="0" w:beforeAutospacing="0" w:after="0" w:afterLines="0" w:afterAutospacing="0" w:line="360" w:lineRule="auto"/>
        <w:jc w:val="left"/>
        <w:textAlignment w:val="auto"/>
        <w:rPr>
          <w:rFonts w:hint="eastAsia" w:ascii="宋体" w:hAnsi="宋体" w:eastAsia="宋体" w:cs="宋体"/>
          <w:b/>
          <w:bCs w:val="0"/>
          <w:color w:val="auto"/>
          <w:kern w:val="0"/>
          <w:sz w:val="24"/>
          <w:szCs w:val="24"/>
          <w:highlight w:val="none"/>
          <w:lang w:val="en-US" w:eastAsia="en-US"/>
        </w:rPr>
      </w:pPr>
      <w:r>
        <w:rPr>
          <w:rFonts w:hint="eastAsia" w:ascii="宋体" w:hAnsi="宋体" w:eastAsia="宋体" w:cs="宋体"/>
          <w:b/>
          <w:bCs w:val="0"/>
          <w:color w:val="auto"/>
          <w:kern w:val="0"/>
          <w:sz w:val="24"/>
          <w:szCs w:val="24"/>
          <w:highlight w:val="none"/>
          <w:lang w:val="en-US" w:eastAsia="en-US"/>
        </w:rPr>
        <w:t>1.7 语言文字</w:t>
      </w:r>
    </w:p>
    <w:p w14:paraId="2B543054">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除专用术语外，与</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en-US"/>
        </w:rPr>
        <w:t>有关的语言均使用中文。必要时专用术语应附有中文注释。</w:t>
      </w:r>
    </w:p>
    <w:p w14:paraId="75EDCDC8">
      <w:pPr>
        <w:pStyle w:val="5"/>
        <w:keepNext/>
        <w:keepLines/>
        <w:pageBreakBefore w:val="0"/>
        <w:widowControl/>
        <w:numPr>
          <w:ilvl w:val="3"/>
          <w:numId w:val="0"/>
        </w:numPr>
        <w:tabs>
          <w:tab w:val="clear" w:pos="2155"/>
        </w:tabs>
        <w:kinsoku/>
        <w:wordWrap/>
        <w:overflowPunct/>
        <w:topLinePunct w:val="0"/>
        <w:autoSpaceDE/>
        <w:autoSpaceDN/>
        <w:bidi w:val="0"/>
        <w:adjustRightInd w:val="0"/>
        <w:snapToGrid w:val="0"/>
        <w:spacing w:before="0" w:beforeLines="0" w:beforeAutospacing="0" w:after="0" w:afterLines="0" w:afterAutospacing="0" w:line="360" w:lineRule="auto"/>
        <w:jc w:val="left"/>
        <w:textAlignment w:val="auto"/>
        <w:rPr>
          <w:rFonts w:hint="eastAsia" w:ascii="宋体" w:hAnsi="宋体" w:eastAsia="宋体" w:cs="宋体"/>
          <w:b/>
          <w:bCs w:val="0"/>
          <w:color w:val="auto"/>
          <w:kern w:val="0"/>
          <w:sz w:val="24"/>
          <w:szCs w:val="24"/>
          <w:highlight w:val="none"/>
          <w:lang w:val="en-US" w:eastAsia="en-US"/>
        </w:rPr>
      </w:pPr>
      <w:r>
        <w:rPr>
          <w:rFonts w:hint="eastAsia" w:ascii="宋体" w:hAnsi="宋体" w:eastAsia="宋体" w:cs="宋体"/>
          <w:b/>
          <w:bCs w:val="0"/>
          <w:color w:val="auto"/>
          <w:kern w:val="0"/>
          <w:sz w:val="24"/>
          <w:szCs w:val="24"/>
          <w:highlight w:val="none"/>
          <w:lang w:val="en-US" w:eastAsia="en-US"/>
        </w:rPr>
        <w:t>1.8 计量单位</w:t>
      </w:r>
    </w:p>
    <w:p w14:paraId="7AD7B81A">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所有计量均采用中华人民共和国法定计量单位。</w:t>
      </w:r>
    </w:p>
    <w:p w14:paraId="5B7D2408">
      <w:pPr>
        <w:pStyle w:val="5"/>
        <w:keepNext/>
        <w:keepLines/>
        <w:pageBreakBefore w:val="0"/>
        <w:widowControl/>
        <w:numPr>
          <w:ilvl w:val="3"/>
          <w:numId w:val="0"/>
        </w:numPr>
        <w:tabs>
          <w:tab w:val="clear" w:pos="2155"/>
        </w:tabs>
        <w:kinsoku/>
        <w:wordWrap/>
        <w:overflowPunct/>
        <w:topLinePunct w:val="0"/>
        <w:autoSpaceDE/>
        <w:autoSpaceDN/>
        <w:bidi w:val="0"/>
        <w:adjustRightInd w:val="0"/>
        <w:snapToGrid w:val="0"/>
        <w:spacing w:before="0" w:beforeLines="0" w:beforeAutospacing="0" w:after="0" w:afterLines="0" w:afterAutospacing="0" w:line="360" w:lineRule="auto"/>
        <w:jc w:val="left"/>
        <w:textAlignment w:val="auto"/>
        <w:rPr>
          <w:rFonts w:hint="eastAsia" w:ascii="宋体" w:hAnsi="宋体" w:eastAsia="宋体" w:cs="宋体"/>
          <w:b/>
          <w:bCs w:val="0"/>
          <w:color w:val="auto"/>
          <w:kern w:val="0"/>
          <w:sz w:val="24"/>
          <w:szCs w:val="24"/>
          <w:highlight w:val="none"/>
          <w:lang w:val="en-US" w:eastAsia="en-US"/>
        </w:rPr>
      </w:pPr>
      <w:r>
        <w:rPr>
          <w:rFonts w:hint="eastAsia" w:ascii="宋体" w:hAnsi="宋体" w:eastAsia="宋体" w:cs="宋体"/>
          <w:b/>
          <w:bCs w:val="0"/>
          <w:color w:val="auto"/>
          <w:kern w:val="0"/>
          <w:sz w:val="24"/>
          <w:szCs w:val="24"/>
          <w:highlight w:val="none"/>
          <w:lang w:val="en-US" w:eastAsia="en-US"/>
        </w:rPr>
        <w:t>1.9 踏勘现场</w:t>
      </w:r>
    </w:p>
    <w:p w14:paraId="0DC8639F">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不组织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如有需要</w:t>
      </w:r>
      <w:r>
        <w:rPr>
          <w:rFonts w:hint="eastAsia" w:ascii="宋体" w:hAnsi="宋体" w:eastAsia="宋体" w:cs="宋体"/>
          <w:color w:val="auto"/>
          <w:sz w:val="24"/>
          <w:szCs w:val="24"/>
          <w:highlight w:val="none"/>
          <w:lang w:eastAsia="en-US"/>
        </w:rPr>
        <w:t>供应商</w:t>
      </w:r>
      <w:r>
        <w:rPr>
          <w:rFonts w:hint="eastAsia" w:ascii="宋体" w:hAnsi="宋体" w:eastAsia="宋体" w:cs="宋体"/>
          <w:color w:val="auto"/>
          <w:sz w:val="24"/>
          <w:szCs w:val="24"/>
          <w:highlight w:val="none"/>
          <w:lang w:val="en-US" w:eastAsia="zh-CN"/>
        </w:rPr>
        <w:t>可自行</w:t>
      </w:r>
      <w:r>
        <w:rPr>
          <w:rFonts w:hint="eastAsia" w:ascii="宋体" w:hAnsi="宋体" w:eastAsia="宋体" w:cs="宋体"/>
          <w:color w:val="auto"/>
          <w:sz w:val="24"/>
          <w:szCs w:val="24"/>
          <w:highlight w:val="none"/>
          <w:lang w:eastAsia="en-US"/>
        </w:rPr>
        <w:t>踏勘项目现场，</w:t>
      </w:r>
      <w:r>
        <w:rPr>
          <w:rFonts w:hint="eastAsia" w:ascii="宋体" w:hAnsi="宋体" w:eastAsia="宋体" w:cs="宋体"/>
          <w:color w:val="auto"/>
          <w:sz w:val="24"/>
          <w:szCs w:val="24"/>
          <w:highlight w:val="none"/>
          <w:lang w:val="en-US" w:eastAsia="zh-CN"/>
        </w:rPr>
        <w:t>但</w:t>
      </w:r>
      <w:r>
        <w:rPr>
          <w:rFonts w:hint="eastAsia" w:ascii="宋体" w:hAnsi="宋体" w:eastAsia="宋体" w:cs="宋体"/>
          <w:color w:val="auto"/>
          <w:sz w:val="24"/>
          <w:szCs w:val="24"/>
          <w:highlight w:val="none"/>
          <w:lang w:eastAsia="en-US"/>
        </w:rPr>
        <w:t>不得因此使采购人承担有关的责任和蒙受损失</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en-US"/>
        </w:rPr>
        <w:t>供应商应</w:t>
      </w:r>
      <w:r>
        <w:rPr>
          <w:rFonts w:hint="eastAsia" w:ascii="宋体" w:hAnsi="宋体" w:eastAsia="宋体" w:cs="宋体"/>
          <w:color w:val="auto"/>
          <w:sz w:val="24"/>
          <w:szCs w:val="24"/>
          <w:highlight w:val="none"/>
          <w:lang w:val="en-US" w:eastAsia="zh-CN"/>
        </w:rPr>
        <w:t>自行</w:t>
      </w:r>
      <w:r>
        <w:rPr>
          <w:rFonts w:hint="eastAsia" w:ascii="宋体" w:hAnsi="宋体" w:eastAsia="宋体" w:cs="宋体"/>
          <w:color w:val="auto"/>
          <w:sz w:val="24"/>
          <w:szCs w:val="24"/>
          <w:highlight w:val="none"/>
          <w:lang w:eastAsia="en-US"/>
        </w:rPr>
        <w:t>承担踏勘现场的责任和风险。</w:t>
      </w:r>
    </w:p>
    <w:p w14:paraId="443B065E">
      <w:pPr>
        <w:pStyle w:val="5"/>
        <w:keepNext/>
        <w:keepLines/>
        <w:pageBreakBefore w:val="0"/>
        <w:widowControl/>
        <w:numPr>
          <w:ilvl w:val="3"/>
          <w:numId w:val="0"/>
        </w:numPr>
        <w:tabs>
          <w:tab w:val="clear" w:pos="2155"/>
        </w:tabs>
        <w:kinsoku/>
        <w:wordWrap/>
        <w:overflowPunct/>
        <w:topLinePunct w:val="0"/>
        <w:autoSpaceDE/>
        <w:autoSpaceDN/>
        <w:bidi w:val="0"/>
        <w:adjustRightInd w:val="0"/>
        <w:snapToGrid w:val="0"/>
        <w:spacing w:before="0" w:beforeLines="0" w:beforeAutospacing="0" w:after="0" w:afterLines="0" w:afterAutospacing="0" w:line="360" w:lineRule="auto"/>
        <w:jc w:val="left"/>
        <w:textAlignment w:val="auto"/>
        <w:rPr>
          <w:rFonts w:hint="eastAsia" w:ascii="宋体" w:hAnsi="宋体" w:eastAsia="宋体" w:cs="宋体"/>
          <w:b/>
          <w:bCs w:val="0"/>
          <w:color w:val="auto"/>
          <w:kern w:val="0"/>
          <w:sz w:val="24"/>
          <w:szCs w:val="24"/>
          <w:highlight w:val="none"/>
          <w:lang w:val="en-US" w:eastAsia="en-US"/>
        </w:rPr>
      </w:pPr>
      <w:r>
        <w:rPr>
          <w:rFonts w:hint="eastAsia" w:ascii="宋体" w:hAnsi="宋体" w:eastAsia="宋体" w:cs="宋体"/>
          <w:b/>
          <w:bCs w:val="0"/>
          <w:color w:val="auto"/>
          <w:kern w:val="0"/>
          <w:sz w:val="24"/>
          <w:szCs w:val="24"/>
          <w:highlight w:val="none"/>
          <w:lang w:val="en-US" w:eastAsia="en-US"/>
        </w:rPr>
        <w:t xml:space="preserve">1.10 投标预备会 </w:t>
      </w:r>
    </w:p>
    <w:p w14:paraId="26B39DA9">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en-US" w:eastAsia="en-US"/>
        </w:rPr>
        <w:t>不组织。</w:t>
      </w:r>
      <w:r>
        <w:rPr>
          <w:rFonts w:hint="eastAsia" w:ascii="宋体" w:hAnsi="宋体" w:eastAsia="宋体" w:cs="宋体"/>
          <w:color w:val="auto"/>
          <w:sz w:val="24"/>
          <w:szCs w:val="24"/>
          <w:highlight w:val="none"/>
          <w:lang w:eastAsia="en-US"/>
        </w:rPr>
        <w:t xml:space="preserve"> </w:t>
      </w:r>
    </w:p>
    <w:p w14:paraId="41A21638">
      <w:pPr>
        <w:pStyle w:val="5"/>
        <w:keepNext/>
        <w:keepLines/>
        <w:pageBreakBefore w:val="0"/>
        <w:widowControl/>
        <w:numPr>
          <w:ilvl w:val="3"/>
          <w:numId w:val="0"/>
        </w:numPr>
        <w:tabs>
          <w:tab w:val="clear" w:pos="2155"/>
        </w:tabs>
        <w:kinsoku/>
        <w:wordWrap/>
        <w:overflowPunct/>
        <w:topLinePunct w:val="0"/>
        <w:autoSpaceDE/>
        <w:autoSpaceDN/>
        <w:bidi w:val="0"/>
        <w:adjustRightInd w:val="0"/>
        <w:snapToGrid w:val="0"/>
        <w:spacing w:before="0" w:beforeLines="0" w:beforeAutospacing="0" w:after="0" w:afterLines="0" w:afterAutospacing="0" w:line="360" w:lineRule="auto"/>
        <w:jc w:val="left"/>
        <w:textAlignment w:val="auto"/>
        <w:rPr>
          <w:rFonts w:hint="eastAsia" w:ascii="宋体" w:hAnsi="宋体" w:eastAsia="宋体" w:cs="宋体"/>
          <w:b/>
          <w:bCs w:val="0"/>
          <w:color w:val="auto"/>
          <w:kern w:val="0"/>
          <w:sz w:val="24"/>
          <w:szCs w:val="24"/>
          <w:highlight w:val="none"/>
          <w:lang w:val="en-US" w:eastAsia="en-US"/>
        </w:rPr>
      </w:pPr>
      <w:r>
        <w:rPr>
          <w:rFonts w:hint="eastAsia" w:ascii="宋体" w:hAnsi="宋体" w:eastAsia="宋体" w:cs="宋体"/>
          <w:b/>
          <w:bCs w:val="0"/>
          <w:color w:val="auto"/>
          <w:kern w:val="0"/>
          <w:sz w:val="24"/>
          <w:szCs w:val="24"/>
          <w:highlight w:val="none"/>
          <w:lang w:val="en-US" w:eastAsia="en-US"/>
        </w:rPr>
        <w:t>1.11 分包</w:t>
      </w:r>
    </w:p>
    <w:p w14:paraId="0BE3D4F0">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不允许。 </w:t>
      </w:r>
    </w:p>
    <w:p w14:paraId="7DF64149">
      <w:pPr>
        <w:pStyle w:val="5"/>
        <w:keepNext/>
        <w:keepLines/>
        <w:pageBreakBefore w:val="0"/>
        <w:widowControl/>
        <w:numPr>
          <w:ilvl w:val="3"/>
          <w:numId w:val="0"/>
        </w:numPr>
        <w:tabs>
          <w:tab w:val="clear" w:pos="2155"/>
        </w:tabs>
        <w:kinsoku/>
        <w:wordWrap/>
        <w:overflowPunct/>
        <w:topLinePunct w:val="0"/>
        <w:autoSpaceDE/>
        <w:autoSpaceDN/>
        <w:bidi w:val="0"/>
        <w:adjustRightInd w:val="0"/>
        <w:snapToGrid w:val="0"/>
        <w:spacing w:before="0" w:beforeLines="0" w:beforeAutospacing="0" w:after="0" w:afterLines="0" w:afterAutospacing="0" w:line="360" w:lineRule="auto"/>
        <w:jc w:val="left"/>
        <w:textAlignment w:val="auto"/>
        <w:rPr>
          <w:rFonts w:hint="eastAsia" w:ascii="宋体" w:hAnsi="宋体" w:eastAsia="宋体" w:cs="宋体"/>
          <w:b/>
          <w:bCs w:val="0"/>
          <w:color w:val="auto"/>
          <w:kern w:val="0"/>
          <w:sz w:val="24"/>
          <w:szCs w:val="24"/>
          <w:highlight w:val="none"/>
          <w:lang w:val="en-US" w:eastAsia="en-US"/>
        </w:rPr>
      </w:pPr>
      <w:r>
        <w:rPr>
          <w:rFonts w:hint="eastAsia" w:ascii="宋体" w:hAnsi="宋体" w:eastAsia="宋体" w:cs="宋体"/>
          <w:b/>
          <w:bCs w:val="0"/>
          <w:color w:val="auto"/>
          <w:kern w:val="0"/>
          <w:sz w:val="24"/>
          <w:szCs w:val="24"/>
          <w:highlight w:val="none"/>
          <w:lang w:val="en-US" w:eastAsia="en-US"/>
        </w:rPr>
        <w:t>1.12 偏离</w:t>
      </w:r>
    </w:p>
    <w:p w14:paraId="4E44F0CE">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不允许。</w:t>
      </w:r>
      <w:bookmarkStart w:id="181" w:name="_Toc421718531"/>
    </w:p>
    <w:bookmarkEnd w:id="178"/>
    <w:bookmarkEnd w:id="179"/>
    <w:bookmarkEnd w:id="180"/>
    <w:bookmarkEnd w:id="181"/>
    <w:p w14:paraId="5EE2DE50">
      <w:pPr>
        <w:pStyle w:val="3"/>
        <w:bidi w:val="0"/>
        <w:spacing w:line="240" w:lineRule="auto"/>
        <w:jc w:val="center"/>
        <w:rPr>
          <w:rFonts w:hint="eastAsia"/>
          <w:lang w:val="en-US" w:eastAsia="en-US"/>
        </w:rPr>
      </w:pPr>
      <w:bookmarkStart w:id="182" w:name="_Toc3623"/>
      <w:bookmarkStart w:id="183" w:name="_Toc4553"/>
      <w:bookmarkStart w:id="184" w:name="_Toc8129"/>
      <w:r>
        <w:rPr>
          <w:rFonts w:hint="eastAsia"/>
          <w:lang w:val="en-US" w:eastAsia="zh-CN"/>
        </w:rPr>
        <w:t>2.</w:t>
      </w:r>
      <w:r>
        <w:rPr>
          <w:rFonts w:hint="eastAsia"/>
          <w:lang w:val="en-US" w:eastAsia="en-US"/>
        </w:rPr>
        <w:t>竞争性磋商文件</w:t>
      </w:r>
      <w:bookmarkEnd w:id="182"/>
      <w:bookmarkEnd w:id="183"/>
      <w:bookmarkEnd w:id="184"/>
    </w:p>
    <w:p w14:paraId="2C5E2B79">
      <w:pPr>
        <w:pStyle w:val="5"/>
        <w:keepNext/>
        <w:keepLines/>
        <w:pageBreakBefore w:val="0"/>
        <w:widowControl/>
        <w:numPr>
          <w:ilvl w:val="3"/>
          <w:numId w:val="0"/>
        </w:numPr>
        <w:tabs>
          <w:tab w:val="clear" w:pos="2155"/>
        </w:tabs>
        <w:kinsoku/>
        <w:wordWrap/>
        <w:overflowPunct/>
        <w:topLinePunct w:val="0"/>
        <w:autoSpaceDE/>
        <w:autoSpaceDN/>
        <w:bidi w:val="0"/>
        <w:adjustRightInd w:val="0"/>
        <w:snapToGrid w:val="0"/>
        <w:spacing w:before="0" w:beforeLines="0" w:beforeAutospacing="0" w:after="0" w:afterLines="0" w:afterAutospacing="0" w:line="360" w:lineRule="auto"/>
        <w:jc w:val="left"/>
        <w:textAlignment w:val="auto"/>
        <w:rPr>
          <w:rFonts w:hint="eastAsia" w:ascii="宋体" w:hAnsi="宋体" w:eastAsia="宋体" w:cs="宋体"/>
          <w:b/>
          <w:bCs w:val="0"/>
          <w:color w:val="auto"/>
          <w:kern w:val="0"/>
          <w:sz w:val="24"/>
          <w:szCs w:val="24"/>
          <w:highlight w:val="none"/>
          <w:lang w:val="en-US" w:eastAsia="en-US"/>
        </w:rPr>
      </w:pPr>
      <w:r>
        <w:rPr>
          <w:rFonts w:hint="eastAsia" w:ascii="宋体" w:hAnsi="宋体" w:eastAsia="宋体" w:cs="宋体"/>
          <w:b/>
          <w:bCs w:val="0"/>
          <w:color w:val="auto"/>
          <w:kern w:val="0"/>
          <w:sz w:val="24"/>
          <w:szCs w:val="24"/>
          <w:highlight w:val="none"/>
          <w:lang w:val="en-US" w:eastAsia="zh-CN"/>
        </w:rPr>
        <w:t>2.1</w:t>
      </w:r>
      <w:r>
        <w:rPr>
          <w:rFonts w:hint="eastAsia" w:ascii="宋体" w:hAnsi="宋体" w:eastAsia="宋体" w:cs="宋体"/>
          <w:b/>
          <w:bCs w:val="0"/>
          <w:color w:val="auto"/>
          <w:kern w:val="0"/>
          <w:sz w:val="24"/>
          <w:szCs w:val="24"/>
          <w:highlight w:val="none"/>
          <w:lang w:val="en-US" w:eastAsia="en-US"/>
        </w:rPr>
        <w:t>竞争性磋商文件的组成</w:t>
      </w:r>
    </w:p>
    <w:p w14:paraId="30477401">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color w:val="auto"/>
          <w:sz w:val="24"/>
          <w:szCs w:val="24"/>
          <w:highlight w:val="none"/>
          <w:lang w:val="en-US" w:eastAsia="zh-CN"/>
        </w:rPr>
        <w:t>2.1.1</w:t>
      </w:r>
      <w:r>
        <w:rPr>
          <w:rFonts w:hint="eastAsia" w:ascii="宋体" w:hAnsi="宋体" w:eastAsia="宋体" w:cs="宋体"/>
          <w:color w:val="auto"/>
          <w:sz w:val="24"/>
          <w:szCs w:val="24"/>
          <w:highlight w:val="none"/>
          <w:lang w:eastAsia="en-US"/>
        </w:rPr>
        <w:t>本竞争性磋商文件包括：</w:t>
      </w:r>
    </w:p>
    <w:p w14:paraId="1FDD1A6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第一章  竞争性磋商公告</w:t>
      </w:r>
    </w:p>
    <w:p w14:paraId="7D4E1707">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 xml:space="preserve">第二章  </w:t>
      </w:r>
      <w:r>
        <w:rPr>
          <w:rFonts w:hint="eastAsia" w:ascii="宋体" w:hAnsi="宋体" w:eastAsia="宋体" w:cs="宋体"/>
          <w:sz w:val="24"/>
          <w:szCs w:val="24"/>
          <w:lang w:eastAsia="zh-CN"/>
        </w:rPr>
        <w:t>供应商须知及供应商须知前附表</w:t>
      </w:r>
    </w:p>
    <w:p w14:paraId="29B9F293">
      <w:pPr>
        <w:shd w:val="clear" w:color="auto" w:fill="auto"/>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 xml:space="preserve">第三章  </w:t>
      </w:r>
      <w:r>
        <w:rPr>
          <w:rFonts w:hint="eastAsia" w:ascii="宋体" w:hAnsi="宋体" w:eastAsia="宋体" w:cs="宋体"/>
          <w:sz w:val="24"/>
          <w:szCs w:val="24"/>
          <w:lang w:eastAsia="zh-CN"/>
        </w:rPr>
        <w:t>竞争性磋商办法</w:t>
      </w:r>
    </w:p>
    <w:p w14:paraId="7D3BF3A6">
      <w:pPr>
        <w:shd w:val="clear" w:color="auto" w:fill="auto"/>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第四章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采购需求 </w:t>
      </w:r>
    </w:p>
    <w:p w14:paraId="2E56D6CF">
      <w:pPr>
        <w:shd w:val="clear" w:color="auto" w:fill="auto"/>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第五章  </w:t>
      </w:r>
      <w:r>
        <w:rPr>
          <w:rFonts w:hint="eastAsia" w:ascii="宋体" w:hAnsi="宋体" w:eastAsia="宋体" w:cs="宋体"/>
          <w:sz w:val="24"/>
          <w:szCs w:val="24"/>
          <w:lang w:eastAsia="zh-CN"/>
        </w:rPr>
        <w:t>竞争性磋商</w:t>
      </w:r>
      <w:r>
        <w:rPr>
          <w:rFonts w:hint="eastAsia" w:ascii="宋体" w:hAnsi="宋体" w:eastAsia="宋体" w:cs="宋体"/>
          <w:sz w:val="24"/>
          <w:szCs w:val="24"/>
        </w:rPr>
        <w:t>响应文件格式</w:t>
      </w:r>
    </w:p>
    <w:p w14:paraId="08DE74C6">
      <w:pPr>
        <w:shd w:val="clear" w:color="auto" w:fill="auto"/>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 xml:space="preserve">第六章  </w:t>
      </w:r>
      <w:r>
        <w:rPr>
          <w:rFonts w:hint="eastAsia" w:ascii="宋体" w:hAnsi="宋体" w:eastAsia="宋体" w:cs="宋体"/>
          <w:sz w:val="24"/>
          <w:szCs w:val="24"/>
          <w:lang w:eastAsia="zh-CN"/>
        </w:rPr>
        <w:t>合同书样本</w:t>
      </w:r>
    </w:p>
    <w:p w14:paraId="65FAD8C1">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2.1.2根据本章第2.2款对采购文件所作的澄清、修改，构成采购文件的组成部分。</w:t>
      </w:r>
    </w:p>
    <w:p w14:paraId="670977B1">
      <w:pPr>
        <w:pStyle w:val="5"/>
        <w:keepNext/>
        <w:keepLines/>
        <w:pageBreakBefore w:val="0"/>
        <w:widowControl/>
        <w:numPr>
          <w:ilvl w:val="3"/>
          <w:numId w:val="0"/>
        </w:numPr>
        <w:tabs>
          <w:tab w:val="clear" w:pos="2155"/>
        </w:tabs>
        <w:kinsoku/>
        <w:wordWrap/>
        <w:overflowPunct/>
        <w:topLinePunct w:val="0"/>
        <w:autoSpaceDE/>
        <w:autoSpaceDN/>
        <w:bidi w:val="0"/>
        <w:adjustRightInd w:val="0"/>
        <w:snapToGrid w:val="0"/>
        <w:spacing w:before="0" w:beforeLines="0" w:beforeAutospacing="0" w:after="0" w:afterLines="0" w:afterAutospacing="0" w:line="360" w:lineRule="auto"/>
        <w:jc w:val="left"/>
        <w:textAlignment w:val="auto"/>
        <w:rPr>
          <w:rFonts w:hint="eastAsia" w:ascii="宋体" w:hAnsi="宋体" w:eastAsia="宋体" w:cs="宋体"/>
          <w:b/>
          <w:bCs w:val="0"/>
          <w:color w:val="auto"/>
          <w:kern w:val="0"/>
          <w:sz w:val="24"/>
          <w:szCs w:val="24"/>
          <w:highlight w:val="none"/>
          <w:lang w:val="en-US" w:eastAsia="en-US"/>
        </w:rPr>
      </w:pPr>
      <w:r>
        <w:rPr>
          <w:rFonts w:hint="eastAsia" w:ascii="宋体" w:hAnsi="宋体" w:eastAsia="宋体" w:cs="宋体"/>
          <w:b/>
          <w:bCs w:val="0"/>
          <w:color w:val="auto"/>
          <w:kern w:val="0"/>
          <w:sz w:val="24"/>
          <w:szCs w:val="24"/>
          <w:highlight w:val="none"/>
          <w:lang w:val="en-US" w:eastAsia="zh-CN"/>
        </w:rPr>
        <w:t>2.2</w:t>
      </w:r>
      <w:r>
        <w:rPr>
          <w:rFonts w:hint="eastAsia" w:ascii="宋体" w:hAnsi="宋体" w:eastAsia="宋体" w:cs="宋体"/>
          <w:b/>
          <w:bCs w:val="0"/>
          <w:color w:val="auto"/>
          <w:kern w:val="0"/>
          <w:sz w:val="24"/>
          <w:szCs w:val="24"/>
          <w:highlight w:val="none"/>
          <w:lang w:val="en-US" w:eastAsia="en-US"/>
        </w:rPr>
        <w:t>竞争性磋商文件的澄清或修改</w:t>
      </w:r>
    </w:p>
    <w:p w14:paraId="35D95556">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lang w:val="zh-CN" w:eastAsia="en-US"/>
        </w:rPr>
        <w:t>1</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zh-CN" w:eastAsia="en-US"/>
        </w:rPr>
        <w:t>应仔细阅读和检查</w:t>
      </w:r>
      <w:r>
        <w:rPr>
          <w:rFonts w:hint="eastAsia" w:ascii="宋体" w:hAnsi="宋体" w:eastAsia="宋体" w:cs="宋体"/>
          <w:color w:val="auto"/>
          <w:sz w:val="24"/>
          <w:szCs w:val="24"/>
          <w:highlight w:val="none"/>
          <w:lang w:val="en-US" w:eastAsia="zh-CN"/>
        </w:rPr>
        <w:t>竞争性磋商</w:t>
      </w:r>
      <w:r>
        <w:rPr>
          <w:rFonts w:hint="eastAsia" w:ascii="宋体" w:hAnsi="宋体" w:eastAsia="宋体" w:cs="宋体"/>
          <w:color w:val="auto"/>
          <w:sz w:val="24"/>
          <w:szCs w:val="24"/>
          <w:highlight w:val="none"/>
          <w:lang w:val="zh-CN" w:eastAsia="en-US"/>
        </w:rPr>
        <w:t>文件的全部内容。如发现缺项或内容不全，应在</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zh-CN" w:eastAsia="en-US"/>
        </w:rPr>
        <w:t>须知前附表规定的截止时间前凭数字证书（CA）登录</w:t>
      </w:r>
      <w:r>
        <w:rPr>
          <w:rFonts w:hint="eastAsia" w:ascii="宋体" w:hAnsi="宋体" w:eastAsia="宋体" w:cs="宋体"/>
          <w:color w:val="auto"/>
          <w:sz w:val="24"/>
          <w:szCs w:val="24"/>
          <w:highlight w:val="none"/>
          <w:lang w:val="en-US" w:eastAsia="zh-CN"/>
        </w:rPr>
        <w:t>“政采云”平台（https://www.zcygov.cn/）</w:t>
      </w:r>
      <w:r>
        <w:rPr>
          <w:rFonts w:hint="eastAsia" w:ascii="宋体" w:hAnsi="宋体" w:eastAsia="宋体" w:cs="宋体"/>
          <w:color w:val="auto"/>
          <w:sz w:val="24"/>
          <w:szCs w:val="24"/>
          <w:highlight w:val="none"/>
          <w:lang w:val="zh-CN" w:eastAsia="en-US"/>
        </w:rPr>
        <w:t>，</w:t>
      </w:r>
      <w:r>
        <w:rPr>
          <w:rFonts w:hint="eastAsia" w:ascii="宋体" w:hAnsi="宋体" w:eastAsia="宋体" w:cs="宋体"/>
          <w:color w:val="auto"/>
          <w:sz w:val="24"/>
          <w:szCs w:val="24"/>
        </w:rPr>
        <w:t>以书面形式</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highlight w:val="none"/>
          <w:lang w:val="zh-CN" w:eastAsia="en-US"/>
        </w:rPr>
        <w:t>网络在线方式进行提问。</w:t>
      </w:r>
    </w:p>
    <w:p w14:paraId="7278A397">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en-US" w:eastAsia="zh-CN"/>
        </w:rPr>
        <w:t>2.2.2</w:t>
      </w:r>
      <w:r>
        <w:rPr>
          <w:rFonts w:hint="eastAsia" w:ascii="宋体" w:hAnsi="宋体" w:eastAsia="宋体" w:cs="宋体"/>
          <w:color w:val="auto"/>
          <w:sz w:val="24"/>
          <w:szCs w:val="24"/>
          <w:highlight w:val="none"/>
          <w:lang w:val="zh-CN" w:eastAsia="en-US"/>
        </w:rPr>
        <w:t>采购人、采购代理机构可以对已发出的竞争性磋商文件进行必要的澄清，澄清的内容作为竞争性磋商文件的组成部分。</w:t>
      </w:r>
      <w:r>
        <w:rPr>
          <w:rFonts w:hint="eastAsia" w:ascii="宋体" w:hAnsi="宋体" w:eastAsia="宋体" w:cs="宋体"/>
          <w:color w:val="auto"/>
          <w:sz w:val="24"/>
          <w:szCs w:val="24"/>
          <w:highlight w:val="none"/>
          <w:lang w:val="en-US" w:eastAsia="zh-CN"/>
        </w:rPr>
        <w:t>若原竞争性磋商文件与后补的其他内容有矛盾时，以后补的内容为准。</w:t>
      </w:r>
      <w:r>
        <w:rPr>
          <w:rFonts w:hint="eastAsia" w:ascii="宋体" w:hAnsi="宋体" w:eastAsia="宋体" w:cs="宋体"/>
          <w:color w:val="auto"/>
          <w:sz w:val="24"/>
          <w:szCs w:val="24"/>
          <w:highlight w:val="none"/>
          <w:lang w:val="zh-CN" w:eastAsia="en-US"/>
        </w:rPr>
        <w:t>澄清的内容可能影响</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val="zh-CN" w:eastAsia="en-US"/>
        </w:rPr>
        <w:t>文件编制</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lang w:val="zh-CN" w:eastAsia="en-US"/>
        </w:rPr>
        <w:t>，采购人、采购代理机构应在提交响应文件截止之日</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en-US"/>
        </w:rPr>
        <w:t>日前，在政采云平台通知所有接收竞争性磋商文件的供应商，但不指明澄清问题的来源。不足</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en-US"/>
        </w:rPr>
        <w:t>日的，应当顺延提交响应文件截止之日。</w:t>
      </w:r>
    </w:p>
    <w:p w14:paraId="30517652">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2.2.3供应商自行登录“政采云”平台查看澄清无需确认收到该澄清。供应商应在电子响应文件提交截止时间前及时登录政采云平台查看有关该项目竞争性磋商文件的澄清、修改内容。如因供应商自身原因导致未及时查看有关该项目竞争性磋商文件的澄清、修改内容，由此造成的一切后果由供应商自行承担。</w:t>
      </w:r>
    </w:p>
    <w:p w14:paraId="58A556E3">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en-US" w:eastAsia="zh-CN"/>
        </w:rPr>
        <w:t>2.2.4</w:t>
      </w:r>
      <w:r>
        <w:rPr>
          <w:rFonts w:hint="eastAsia" w:ascii="宋体" w:hAnsi="宋体" w:eastAsia="宋体" w:cs="宋体"/>
          <w:color w:val="auto"/>
          <w:sz w:val="24"/>
          <w:szCs w:val="24"/>
          <w:highlight w:val="none"/>
          <w:lang w:val="zh-CN" w:eastAsia="en-US"/>
        </w:rPr>
        <w:t>在磋商过程中，磋商小组可以根据竞争性磋商文件和磋商情况实质性变动采购需求中的技术、服务要求以及合同草案条款，但不得变动竞争性磋商文件中的其他内容。实质性变动的内容，须经采购人代表确认。</w:t>
      </w:r>
    </w:p>
    <w:p w14:paraId="04D48D4A">
      <w:pPr>
        <w:pStyle w:val="3"/>
        <w:bidi w:val="0"/>
        <w:jc w:val="center"/>
        <w:rPr>
          <w:rFonts w:hint="eastAsia"/>
          <w:color w:val="auto"/>
          <w:lang w:val="en-US" w:eastAsia="zh-CN"/>
        </w:rPr>
      </w:pPr>
      <w:bookmarkStart w:id="185" w:name="_Toc18056"/>
      <w:bookmarkStart w:id="186" w:name="_Toc2750"/>
      <w:bookmarkStart w:id="187" w:name="_Toc27843"/>
      <w:r>
        <w:rPr>
          <w:rFonts w:hint="eastAsia"/>
          <w:color w:val="auto"/>
          <w:lang w:val="en-US" w:eastAsia="zh-CN"/>
        </w:rPr>
        <w:t>3.竞争性磋商响应文件</w:t>
      </w:r>
      <w:bookmarkEnd w:id="185"/>
      <w:bookmarkEnd w:id="186"/>
      <w:bookmarkEnd w:id="187"/>
    </w:p>
    <w:p w14:paraId="630F857A">
      <w:pPr>
        <w:pStyle w:val="5"/>
        <w:keepNext/>
        <w:keepLines/>
        <w:pageBreakBefore w:val="0"/>
        <w:widowControl/>
        <w:numPr>
          <w:ilvl w:val="3"/>
          <w:numId w:val="0"/>
        </w:numPr>
        <w:tabs>
          <w:tab w:val="clear" w:pos="2155"/>
        </w:tabs>
        <w:kinsoku/>
        <w:wordWrap/>
        <w:overflowPunct/>
        <w:topLinePunct w:val="0"/>
        <w:autoSpaceDE/>
        <w:autoSpaceDN/>
        <w:bidi w:val="0"/>
        <w:adjustRightInd w:val="0"/>
        <w:snapToGrid w:val="0"/>
        <w:spacing w:before="0" w:beforeLines="0" w:beforeAutospacing="0" w:after="0" w:afterLines="0" w:afterAutospacing="0" w:line="360" w:lineRule="auto"/>
        <w:jc w:val="left"/>
        <w:textAlignment w:val="auto"/>
        <w:rPr>
          <w:rFonts w:hint="eastAsia" w:ascii="宋体" w:hAnsi="宋体" w:eastAsia="宋体" w:cs="宋体"/>
          <w:b/>
          <w:bCs w:val="0"/>
          <w:color w:val="auto"/>
          <w:kern w:val="0"/>
          <w:sz w:val="24"/>
          <w:szCs w:val="24"/>
          <w:highlight w:val="none"/>
          <w:lang w:val="zh-CN" w:eastAsia="zh-CN"/>
        </w:rPr>
      </w:pPr>
      <w:r>
        <w:rPr>
          <w:rFonts w:hint="eastAsia" w:ascii="宋体" w:hAnsi="宋体" w:eastAsia="宋体" w:cs="宋体"/>
          <w:b/>
          <w:bCs w:val="0"/>
          <w:color w:val="auto"/>
          <w:kern w:val="0"/>
          <w:sz w:val="24"/>
          <w:szCs w:val="24"/>
          <w:highlight w:val="none"/>
          <w:lang w:val="zh-CN" w:eastAsia="en-US"/>
        </w:rPr>
        <w:t>3.</w:t>
      </w:r>
      <w:r>
        <w:rPr>
          <w:rFonts w:hint="eastAsia" w:ascii="宋体" w:hAnsi="宋体" w:eastAsia="宋体" w:cs="宋体"/>
          <w:b/>
          <w:bCs w:val="0"/>
          <w:color w:val="auto"/>
          <w:kern w:val="0"/>
          <w:sz w:val="24"/>
          <w:szCs w:val="24"/>
          <w:highlight w:val="none"/>
          <w:lang w:val="en-US" w:eastAsia="zh-CN"/>
        </w:rPr>
        <w:t>1</w:t>
      </w:r>
      <w:r>
        <w:rPr>
          <w:rFonts w:hint="eastAsia" w:ascii="宋体" w:hAnsi="宋体" w:eastAsia="宋体" w:cs="宋体"/>
          <w:b/>
          <w:bCs w:val="0"/>
          <w:color w:val="auto"/>
          <w:kern w:val="0"/>
          <w:sz w:val="24"/>
          <w:szCs w:val="24"/>
          <w:highlight w:val="none"/>
          <w:lang w:val="zh-CN" w:eastAsia="en-US"/>
        </w:rPr>
        <w:t xml:space="preserve"> </w:t>
      </w:r>
      <w:r>
        <w:rPr>
          <w:rFonts w:hint="eastAsia" w:ascii="宋体" w:hAnsi="宋体" w:eastAsia="宋体" w:cs="宋体"/>
          <w:b/>
          <w:bCs w:val="0"/>
          <w:color w:val="auto"/>
          <w:kern w:val="0"/>
          <w:sz w:val="24"/>
          <w:szCs w:val="24"/>
          <w:highlight w:val="none"/>
          <w:lang w:val="zh-CN" w:eastAsia="zh-CN"/>
        </w:rPr>
        <w:t>竞争性磋商响应文件</w:t>
      </w:r>
    </w:p>
    <w:p w14:paraId="14642C43">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zh-CN" w:eastAsia="en-US"/>
        </w:rPr>
        <w:t>3.</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eastAsia="en-US"/>
        </w:rPr>
        <w:t>.1</w:t>
      </w:r>
      <w:r>
        <w:rPr>
          <w:rFonts w:hint="eastAsia" w:ascii="宋体" w:hAnsi="宋体" w:eastAsia="宋体" w:cs="宋体"/>
          <w:color w:val="auto"/>
          <w:sz w:val="24"/>
          <w:szCs w:val="24"/>
          <w:highlight w:val="none"/>
          <w:lang w:val="zh-CN" w:eastAsia="zh-CN"/>
        </w:rPr>
        <w:t>竞争性磋商响应文件</w:t>
      </w:r>
      <w:r>
        <w:rPr>
          <w:rFonts w:hint="eastAsia" w:ascii="宋体" w:hAnsi="宋体" w:eastAsia="宋体" w:cs="宋体"/>
          <w:color w:val="auto"/>
          <w:sz w:val="24"/>
          <w:szCs w:val="24"/>
          <w:highlight w:val="none"/>
          <w:lang w:val="zh-CN" w:eastAsia="en-US"/>
        </w:rPr>
        <w:t>的组成</w:t>
      </w:r>
    </w:p>
    <w:p w14:paraId="6A596CEE">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第一部分  报价部分</w:t>
      </w:r>
    </w:p>
    <w:p w14:paraId="6B1C1355">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（一）磋商总报价一览表</w:t>
      </w:r>
    </w:p>
    <w:p w14:paraId="06A50798">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（二）法定代表人身份证明书</w:t>
      </w:r>
    </w:p>
    <w:p w14:paraId="1EE87578">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（三）法人授权委托书</w:t>
      </w:r>
    </w:p>
    <w:p w14:paraId="0E17D451">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（四）中小企业声明函（若有）</w:t>
      </w:r>
    </w:p>
    <w:p w14:paraId="54811494">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（五）监狱企业证明文件（若有）</w:t>
      </w:r>
    </w:p>
    <w:p w14:paraId="1ED1557E">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（六）残疾人福利性单位声明函（若有）</w:t>
      </w:r>
    </w:p>
    <w:p w14:paraId="53DD34DF">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第二部分 资格审查部分</w:t>
      </w:r>
    </w:p>
    <w:p w14:paraId="5ACEDE35">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（一）供应商基本情况</w:t>
      </w:r>
    </w:p>
    <w:p w14:paraId="422C0F21">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（二）资格条件承诺函</w:t>
      </w:r>
    </w:p>
    <w:p w14:paraId="254F65F9">
      <w:pPr>
        <w:pageBreakBefore w:val="0"/>
        <w:widowControl/>
        <w:kinsoku/>
        <w:wordWrap/>
        <w:overflowPunct/>
        <w:topLinePunct w:val="0"/>
        <w:autoSpaceDE/>
        <w:autoSpaceDN/>
        <w:bidi w:val="0"/>
        <w:adjustRightInd w:val="0"/>
        <w:snapToGrid w:val="0"/>
        <w:spacing w:line="360" w:lineRule="auto"/>
        <w:ind w:firstLine="420" w:firstLineChars="175"/>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（三）特定资格要求</w:t>
      </w:r>
    </w:p>
    <w:p w14:paraId="63DB7AB5">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（四）其他资料及供应商认为需要补充的资料</w:t>
      </w:r>
    </w:p>
    <w:p w14:paraId="274C6483">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第三部分 商务及技术部分</w:t>
      </w:r>
    </w:p>
    <w:p w14:paraId="0496B65D">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（一）磋商函</w:t>
      </w:r>
    </w:p>
    <w:p w14:paraId="00828B03">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（二）投标承诺函</w:t>
      </w:r>
    </w:p>
    <w:p w14:paraId="272DD759">
      <w:pPr>
        <w:pageBreakBefore w:val="0"/>
        <w:widowControl/>
        <w:kinsoku/>
        <w:wordWrap/>
        <w:overflowPunct/>
        <w:topLinePunct w:val="0"/>
        <w:autoSpaceDE/>
        <w:autoSpaceDN/>
        <w:bidi w:val="0"/>
        <w:adjustRightInd w:val="0"/>
        <w:snapToGrid w:val="0"/>
        <w:spacing w:line="360" w:lineRule="auto"/>
        <w:ind w:firstLine="420" w:firstLineChars="175"/>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（三）施工方案与技术措施</w:t>
      </w:r>
    </w:p>
    <w:p w14:paraId="7CBD21F2">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（四）对项目的理解、重难点分析及合理化建议</w:t>
      </w:r>
    </w:p>
    <w:p w14:paraId="387EED5A">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（五）质量管理体系与措施</w:t>
      </w:r>
    </w:p>
    <w:p w14:paraId="7AFCFEFA">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（六）工程进度计划与措施</w:t>
      </w:r>
    </w:p>
    <w:p w14:paraId="20B10453">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（七）资源配备计划</w:t>
      </w:r>
    </w:p>
    <w:p w14:paraId="6432F6F5">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（八）项目管理机构配置</w:t>
      </w:r>
    </w:p>
    <w:p w14:paraId="354F2527">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3.1.1</w:t>
      </w:r>
      <w:r>
        <w:rPr>
          <w:rFonts w:hint="eastAsia" w:ascii="宋体" w:hAnsi="宋体" w:eastAsia="宋体" w:cs="宋体"/>
          <w:color w:val="auto"/>
          <w:sz w:val="24"/>
          <w:szCs w:val="24"/>
          <w:highlight w:val="none"/>
          <w:lang w:val="en-US" w:eastAsia="en-US"/>
        </w:rPr>
        <w:t>根据本章第第2.2款对竞争性磋商文件所作的澄清、修改，构成竞争性磋商文件的组成部分。</w:t>
      </w:r>
    </w:p>
    <w:p w14:paraId="6477B0A4">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zh-CN" w:eastAsia="en-US"/>
        </w:rPr>
        <w:t>3.</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eastAsia="en-US"/>
        </w:rPr>
        <w:t>.2</w:t>
      </w:r>
      <w:r>
        <w:rPr>
          <w:rFonts w:hint="eastAsia" w:ascii="宋体" w:hAnsi="宋体" w:eastAsia="宋体" w:cs="宋体"/>
          <w:color w:val="auto"/>
          <w:sz w:val="24"/>
          <w:szCs w:val="24"/>
          <w:highlight w:val="none"/>
          <w:lang w:val="zh-CN" w:eastAsia="zh-CN"/>
        </w:rPr>
        <w:t>供应商</w:t>
      </w:r>
      <w:r>
        <w:rPr>
          <w:rFonts w:hint="eastAsia" w:ascii="宋体" w:hAnsi="宋体" w:eastAsia="宋体" w:cs="宋体"/>
          <w:color w:val="auto"/>
          <w:sz w:val="24"/>
          <w:szCs w:val="24"/>
          <w:highlight w:val="none"/>
          <w:lang w:val="zh-CN" w:eastAsia="en-US"/>
        </w:rPr>
        <w:t>应使用</w:t>
      </w:r>
      <w:r>
        <w:rPr>
          <w:rFonts w:hint="eastAsia" w:ascii="宋体" w:hAnsi="宋体" w:eastAsia="宋体" w:cs="宋体"/>
          <w:color w:val="auto"/>
          <w:sz w:val="24"/>
          <w:szCs w:val="24"/>
          <w:highlight w:val="none"/>
          <w:lang w:val="en-US" w:eastAsia="en-US"/>
        </w:rPr>
        <w:t>竞争性磋商文件</w:t>
      </w:r>
      <w:r>
        <w:rPr>
          <w:rFonts w:hint="eastAsia" w:ascii="宋体" w:hAnsi="宋体" w:eastAsia="宋体" w:cs="宋体"/>
          <w:color w:val="auto"/>
          <w:sz w:val="24"/>
          <w:szCs w:val="24"/>
          <w:highlight w:val="none"/>
          <w:lang w:val="zh-CN" w:eastAsia="en-US"/>
        </w:rPr>
        <w:t>提供的格式，表格可以按同样格式扩展。在所提供表格格式之外，</w:t>
      </w:r>
      <w:r>
        <w:rPr>
          <w:rFonts w:hint="eastAsia" w:ascii="宋体" w:hAnsi="宋体" w:eastAsia="宋体" w:cs="宋体"/>
          <w:color w:val="auto"/>
          <w:sz w:val="24"/>
          <w:szCs w:val="24"/>
          <w:highlight w:val="none"/>
          <w:lang w:val="zh-CN" w:eastAsia="zh-CN"/>
        </w:rPr>
        <w:t>供应商</w:t>
      </w:r>
      <w:r>
        <w:rPr>
          <w:rFonts w:hint="eastAsia" w:ascii="宋体" w:hAnsi="宋体" w:eastAsia="宋体" w:cs="宋体"/>
          <w:color w:val="auto"/>
          <w:sz w:val="24"/>
          <w:szCs w:val="24"/>
          <w:highlight w:val="none"/>
          <w:lang w:val="zh-CN" w:eastAsia="en-US"/>
        </w:rPr>
        <w:t>可以增加自行设计的表格及内容，以便详细全面地说明其能力。</w:t>
      </w:r>
    </w:p>
    <w:p w14:paraId="44A7EBD2">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zh-CN" w:eastAsia="en-US"/>
        </w:rPr>
        <w:t>3.</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eastAsia="en-US"/>
        </w:rPr>
        <w:t>.3</w:t>
      </w:r>
      <w:r>
        <w:rPr>
          <w:rFonts w:hint="eastAsia" w:ascii="宋体" w:hAnsi="宋体" w:eastAsia="宋体" w:cs="宋体"/>
          <w:color w:val="auto"/>
          <w:sz w:val="24"/>
          <w:szCs w:val="24"/>
          <w:highlight w:val="none"/>
          <w:lang w:val="zh-CN" w:eastAsia="zh-CN"/>
        </w:rPr>
        <w:t>供应商</w:t>
      </w:r>
      <w:r>
        <w:rPr>
          <w:rFonts w:hint="eastAsia" w:ascii="宋体" w:hAnsi="宋体" w:eastAsia="宋体" w:cs="宋体"/>
          <w:color w:val="auto"/>
          <w:sz w:val="24"/>
          <w:szCs w:val="24"/>
          <w:highlight w:val="none"/>
          <w:lang w:val="zh-CN" w:eastAsia="en-US"/>
        </w:rPr>
        <w:t>在采购中提供的一切证件、证明</w:t>
      </w:r>
      <w:r>
        <w:rPr>
          <w:rFonts w:hint="eastAsia" w:ascii="宋体" w:hAnsi="宋体" w:eastAsia="宋体" w:cs="宋体"/>
          <w:color w:val="auto"/>
          <w:sz w:val="24"/>
          <w:szCs w:val="24"/>
          <w:highlight w:val="none"/>
          <w:lang w:val="en-US" w:eastAsia="zh-CN"/>
        </w:rPr>
        <w:t>材料</w:t>
      </w:r>
      <w:r>
        <w:rPr>
          <w:rFonts w:hint="eastAsia" w:ascii="宋体" w:hAnsi="宋体" w:eastAsia="宋体" w:cs="宋体"/>
          <w:color w:val="auto"/>
          <w:sz w:val="24"/>
          <w:szCs w:val="24"/>
          <w:highlight w:val="none"/>
          <w:lang w:val="zh-CN" w:eastAsia="en-US"/>
        </w:rPr>
        <w:t>复印件或影印件必须保证其真实性，否则，一经查出，其响应文件将被视为作废处理。</w:t>
      </w:r>
    </w:p>
    <w:p w14:paraId="38B57E15">
      <w:pPr>
        <w:pStyle w:val="5"/>
        <w:keepNext/>
        <w:keepLines/>
        <w:pageBreakBefore w:val="0"/>
        <w:widowControl/>
        <w:numPr>
          <w:ilvl w:val="3"/>
          <w:numId w:val="0"/>
        </w:numPr>
        <w:tabs>
          <w:tab w:val="clear" w:pos="2155"/>
        </w:tabs>
        <w:kinsoku/>
        <w:wordWrap/>
        <w:overflowPunct/>
        <w:topLinePunct w:val="0"/>
        <w:autoSpaceDE/>
        <w:autoSpaceDN/>
        <w:bidi w:val="0"/>
        <w:adjustRightInd w:val="0"/>
        <w:snapToGrid w:val="0"/>
        <w:spacing w:before="0" w:beforeLines="0" w:beforeAutospacing="0" w:after="0" w:afterLines="0" w:afterAutospacing="0" w:line="360" w:lineRule="auto"/>
        <w:jc w:val="left"/>
        <w:textAlignment w:val="auto"/>
        <w:rPr>
          <w:rFonts w:hint="eastAsia" w:ascii="宋体" w:hAnsi="宋体" w:eastAsia="宋体" w:cs="宋体"/>
          <w:b/>
          <w:bCs w:val="0"/>
          <w:color w:val="auto"/>
          <w:kern w:val="0"/>
          <w:sz w:val="24"/>
          <w:szCs w:val="24"/>
          <w:highlight w:val="none"/>
          <w:lang w:val="zh-CN" w:eastAsia="en-US"/>
        </w:rPr>
      </w:pPr>
      <w:r>
        <w:rPr>
          <w:rFonts w:hint="eastAsia" w:ascii="宋体" w:hAnsi="宋体" w:eastAsia="宋体" w:cs="宋体"/>
          <w:b/>
          <w:bCs w:val="0"/>
          <w:color w:val="auto"/>
          <w:kern w:val="0"/>
          <w:sz w:val="24"/>
          <w:szCs w:val="24"/>
          <w:highlight w:val="none"/>
          <w:lang w:val="zh-CN" w:eastAsia="en-US"/>
        </w:rPr>
        <w:t>3.</w:t>
      </w:r>
      <w:r>
        <w:rPr>
          <w:rFonts w:hint="eastAsia" w:ascii="宋体" w:hAnsi="宋体" w:eastAsia="宋体" w:cs="宋体"/>
          <w:b/>
          <w:bCs w:val="0"/>
          <w:color w:val="auto"/>
          <w:kern w:val="0"/>
          <w:sz w:val="24"/>
          <w:szCs w:val="24"/>
          <w:highlight w:val="none"/>
          <w:lang w:val="en-US" w:eastAsia="zh-CN"/>
        </w:rPr>
        <w:t xml:space="preserve">2 </w:t>
      </w:r>
      <w:r>
        <w:rPr>
          <w:rFonts w:hint="eastAsia" w:ascii="宋体" w:hAnsi="宋体" w:eastAsia="宋体" w:cs="宋体"/>
          <w:b/>
          <w:bCs w:val="0"/>
          <w:color w:val="auto"/>
          <w:kern w:val="0"/>
          <w:sz w:val="24"/>
          <w:szCs w:val="24"/>
          <w:highlight w:val="none"/>
          <w:lang w:val="zh-CN" w:eastAsia="en-US"/>
        </w:rPr>
        <w:t>磋商报价说明</w:t>
      </w:r>
    </w:p>
    <w:p w14:paraId="306EE9D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3.2</w:t>
      </w:r>
      <w:r>
        <w:rPr>
          <w:rFonts w:hint="eastAsia" w:ascii="宋体" w:hAnsi="宋体" w:eastAsia="宋体" w:cs="宋体"/>
          <w:sz w:val="24"/>
          <w:szCs w:val="24"/>
        </w:rPr>
        <w:t>.1本项目采购预算</w:t>
      </w:r>
      <w:r>
        <w:rPr>
          <w:rFonts w:hint="eastAsia" w:ascii="宋体" w:hAnsi="宋体" w:eastAsia="宋体" w:cs="宋体"/>
          <w:sz w:val="24"/>
          <w:szCs w:val="24"/>
          <w:lang w:val="en-US" w:eastAsia="zh-CN"/>
        </w:rPr>
        <w:t>及最高限价</w:t>
      </w:r>
      <w:r>
        <w:rPr>
          <w:rFonts w:hint="eastAsia" w:ascii="宋体" w:hAnsi="宋体" w:eastAsia="宋体" w:cs="宋体"/>
          <w:sz w:val="24"/>
          <w:szCs w:val="24"/>
        </w:rPr>
        <w:t>详见</w:t>
      </w:r>
      <w:r>
        <w:rPr>
          <w:rFonts w:hint="eastAsia" w:ascii="宋体" w:hAnsi="宋体" w:eastAsia="宋体" w:cs="宋体"/>
          <w:b w:val="0"/>
          <w:bCs w:val="0"/>
          <w:sz w:val="24"/>
          <w:szCs w:val="24"/>
        </w:rPr>
        <w:t>“</w:t>
      </w:r>
      <w:r>
        <w:rPr>
          <w:rFonts w:hint="eastAsia" w:ascii="宋体" w:hAnsi="宋体" w:eastAsia="宋体" w:cs="宋体"/>
          <w:b w:val="0"/>
          <w:bCs w:val="0"/>
          <w:sz w:val="24"/>
          <w:szCs w:val="24"/>
          <w:lang w:eastAsia="zh-CN"/>
        </w:rPr>
        <w:t>供应商须知及供应商须知前附表</w:t>
      </w:r>
      <w:r>
        <w:rPr>
          <w:rFonts w:hint="eastAsia" w:ascii="宋体" w:hAnsi="宋体" w:eastAsia="宋体" w:cs="宋体"/>
          <w:b w:val="0"/>
          <w:bCs w:val="0"/>
          <w:sz w:val="24"/>
          <w:szCs w:val="24"/>
        </w:rPr>
        <w:t>”</w:t>
      </w:r>
      <w:r>
        <w:rPr>
          <w:rFonts w:hint="eastAsia" w:ascii="宋体" w:hAnsi="宋体" w:eastAsia="宋体" w:cs="宋体"/>
          <w:sz w:val="24"/>
          <w:szCs w:val="24"/>
        </w:rPr>
        <w:t>，</w:t>
      </w:r>
      <w:r>
        <w:rPr>
          <w:rFonts w:hint="eastAsia" w:ascii="宋体" w:hAnsi="宋体" w:eastAsia="宋体" w:cs="宋体"/>
          <w:sz w:val="24"/>
          <w:szCs w:val="24"/>
          <w:lang w:val="en-US" w:eastAsia="zh-CN"/>
        </w:rPr>
        <w:t>最终磋商</w:t>
      </w:r>
      <w:r>
        <w:rPr>
          <w:rFonts w:hint="eastAsia" w:ascii="宋体" w:hAnsi="宋体" w:eastAsia="宋体" w:cs="宋体"/>
          <w:sz w:val="24"/>
          <w:szCs w:val="24"/>
        </w:rPr>
        <w:t>报价超过采购预算</w:t>
      </w:r>
      <w:r>
        <w:rPr>
          <w:rFonts w:hint="eastAsia" w:ascii="宋体" w:hAnsi="宋体" w:eastAsia="宋体" w:cs="宋体"/>
          <w:sz w:val="24"/>
          <w:szCs w:val="24"/>
          <w:lang w:val="en-US" w:eastAsia="zh-CN"/>
        </w:rPr>
        <w:t>、最高限价</w:t>
      </w:r>
      <w:r>
        <w:rPr>
          <w:rFonts w:hint="eastAsia" w:ascii="宋体" w:hAnsi="宋体" w:eastAsia="宋体" w:cs="宋体"/>
          <w:sz w:val="24"/>
          <w:szCs w:val="24"/>
        </w:rPr>
        <w:t>的</w:t>
      </w:r>
      <w:r>
        <w:rPr>
          <w:rFonts w:hint="eastAsia" w:ascii="宋体" w:hAnsi="宋体" w:eastAsia="宋体" w:cs="宋体"/>
          <w:sz w:val="24"/>
          <w:szCs w:val="24"/>
          <w:lang w:eastAsia="zh-CN"/>
        </w:rPr>
        <w:t>供应商</w:t>
      </w:r>
      <w:r>
        <w:rPr>
          <w:rFonts w:hint="eastAsia" w:ascii="宋体" w:hAnsi="宋体" w:eastAsia="宋体" w:cs="宋体"/>
          <w:sz w:val="24"/>
          <w:szCs w:val="24"/>
        </w:rPr>
        <w:t>将按无效处理。</w:t>
      </w:r>
    </w:p>
    <w:p w14:paraId="52D1A1B2">
      <w:pPr>
        <w:spacing w:line="360" w:lineRule="auto"/>
        <w:ind w:firstLine="480" w:firstLineChars="200"/>
        <w:rPr>
          <w:rFonts w:hint="eastAsia" w:ascii="宋体" w:hAnsi="宋体" w:eastAsia="宋体" w:cs="宋体"/>
          <w:b w:val="0"/>
          <w:bCs w:val="0"/>
          <w:sz w:val="24"/>
          <w:szCs w:val="24"/>
        </w:rPr>
      </w:pPr>
      <w:r>
        <w:rPr>
          <w:rFonts w:hint="eastAsia" w:ascii="宋体" w:hAnsi="宋体" w:eastAsia="宋体" w:cs="宋体"/>
          <w:sz w:val="24"/>
          <w:szCs w:val="24"/>
          <w:lang w:val="en-US" w:eastAsia="zh-CN"/>
        </w:rPr>
        <w:t>3.2</w:t>
      </w:r>
      <w:r>
        <w:rPr>
          <w:rFonts w:hint="eastAsia" w:ascii="宋体" w:hAnsi="宋体" w:eastAsia="宋体" w:cs="宋体"/>
          <w:sz w:val="24"/>
          <w:szCs w:val="24"/>
        </w:rPr>
        <w:t>.</w:t>
      </w:r>
      <w:r>
        <w:rPr>
          <w:rFonts w:hint="eastAsia" w:ascii="宋体" w:hAnsi="宋体" w:eastAsia="宋体" w:cs="宋体"/>
          <w:b w:val="0"/>
          <w:bCs w:val="0"/>
          <w:sz w:val="24"/>
          <w:szCs w:val="24"/>
        </w:rPr>
        <w:t>2</w:t>
      </w:r>
      <w:r>
        <w:rPr>
          <w:rFonts w:hint="eastAsia" w:ascii="宋体" w:hAnsi="宋体" w:eastAsia="宋体" w:cs="宋体"/>
          <w:b w:val="0"/>
          <w:bCs w:val="0"/>
          <w:sz w:val="24"/>
          <w:szCs w:val="24"/>
          <w:lang w:eastAsia="zh-CN"/>
        </w:rPr>
        <w:t>供应商</w:t>
      </w:r>
      <w:r>
        <w:rPr>
          <w:rFonts w:hint="eastAsia" w:ascii="宋体" w:hAnsi="宋体" w:eastAsia="宋体" w:cs="宋体"/>
          <w:b w:val="0"/>
          <w:bCs w:val="0"/>
          <w:sz w:val="24"/>
          <w:szCs w:val="24"/>
        </w:rPr>
        <w:t>须就“采购需求”中所有采购内容作完整唯一报价。</w:t>
      </w:r>
    </w:p>
    <w:p w14:paraId="1D6C68D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3.2</w:t>
      </w:r>
      <w:r>
        <w:rPr>
          <w:rFonts w:hint="eastAsia" w:ascii="宋体" w:hAnsi="宋体" w:eastAsia="宋体" w:cs="宋体"/>
          <w:sz w:val="24"/>
          <w:szCs w:val="24"/>
        </w:rPr>
        <w:t>.3</w:t>
      </w:r>
      <w:r>
        <w:rPr>
          <w:rFonts w:hint="eastAsia" w:ascii="宋体" w:hAnsi="宋体" w:eastAsia="宋体" w:cs="宋体"/>
          <w:sz w:val="24"/>
          <w:szCs w:val="24"/>
          <w:lang w:eastAsia="zh-CN"/>
        </w:rPr>
        <w:t>供应商</w:t>
      </w:r>
      <w:r>
        <w:rPr>
          <w:rFonts w:hint="eastAsia" w:ascii="宋体" w:hAnsi="宋体" w:eastAsia="宋体" w:cs="宋体"/>
          <w:sz w:val="24"/>
          <w:szCs w:val="24"/>
        </w:rPr>
        <w:t>应依据</w:t>
      </w:r>
      <w:r>
        <w:rPr>
          <w:rFonts w:hint="eastAsia" w:ascii="宋体" w:hAnsi="宋体" w:eastAsia="宋体" w:cs="宋体"/>
          <w:color w:val="auto"/>
          <w:sz w:val="24"/>
          <w:szCs w:val="24"/>
          <w:highlight w:val="none"/>
          <w:lang w:val="en-US" w:eastAsia="en-US"/>
        </w:rPr>
        <w:t>竞争性磋商文件</w:t>
      </w:r>
      <w:r>
        <w:rPr>
          <w:rFonts w:hint="eastAsia" w:ascii="宋体" w:hAnsi="宋体" w:eastAsia="宋体" w:cs="宋体"/>
          <w:sz w:val="24"/>
          <w:szCs w:val="24"/>
        </w:rPr>
        <w:t>的要求及有关资料自行报价，执行国家或行业现行技术经济标准、定额及规范，自行测算出满足采购要求的竞争性报价。磋商报价</w:t>
      </w:r>
      <w:r>
        <w:rPr>
          <w:rFonts w:hint="eastAsia" w:ascii="宋体" w:hAnsi="宋体" w:eastAsia="宋体" w:cs="宋体"/>
          <w:sz w:val="24"/>
          <w:szCs w:val="24"/>
          <w:lang w:val="en-US" w:eastAsia="zh-CN"/>
        </w:rPr>
        <w:t>为竞争性磋商文件要求完成本项目的全部相关费用，应包括为完成本项目所发生的一切费用和税费，采购人将不再支付报价以外的任何费用。</w:t>
      </w:r>
    </w:p>
    <w:p w14:paraId="4D154B0F">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3.2</w:t>
      </w:r>
      <w:r>
        <w:rPr>
          <w:rFonts w:hint="eastAsia" w:ascii="宋体" w:hAnsi="宋体" w:eastAsia="宋体" w:cs="宋体"/>
          <w:sz w:val="24"/>
          <w:szCs w:val="24"/>
        </w:rPr>
        <w:t>.</w:t>
      </w:r>
      <w:r>
        <w:rPr>
          <w:rFonts w:hint="eastAsia" w:ascii="宋体" w:hAnsi="宋体" w:eastAsia="宋体" w:cs="宋体"/>
          <w:sz w:val="24"/>
          <w:szCs w:val="24"/>
          <w:lang w:val="en-US" w:eastAsia="zh-CN"/>
        </w:rPr>
        <w:t>4</w:t>
      </w:r>
      <w:r>
        <w:rPr>
          <w:rFonts w:hint="eastAsia" w:ascii="宋体" w:hAnsi="宋体" w:eastAsia="宋体" w:cs="宋体"/>
          <w:sz w:val="24"/>
          <w:szCs w:val="24"/>
        </w:rPr>
        <w:t>通过实质性审查的</w:t>
      </w:r>
      <w:r>
        <w:rPr>
          <w:rFonts w:hint="eastAsia" w:ascii="宋体" w:hAnsi="宋体" w:eastAsia="宋体" w:cs="宋体"/>
          <w:sz w:val="24"/>
          <w:szCs w:val="24"/>
          <w:lang w:eastAsia="zh-CN"/>
        </w:rPr>
        <w:t>供应商</w:t>
      </w:r>
      <w:r>
        <w:rPr>
          <w:rFonts w:hint="eastAsia" w:ascii="宋体" w:hAnsi="宋体" w:eastAsia="宋体" w:cs="宋体"/>
          <w:sz w:val="24"/>
          <w:szCs w:val="24"/>
        </w:rPr>
        <w:t>才能进入磋商程序并进行第二轮报价，第二轮报价为</w:t>
      </w:r>
      <w:r>
        <w:rPr>
          <w:rFonts w:hint="eastAsia" w:ascii="宋体" w:hAnsi="宋体" w:eastAsia="宋体" w:cs="宋体"/>
          <w:sz w:val="24"/>
          <w:szCs w:val="24"/>
          <w:lang w:val="en-US" w:eastAsia="zh-CN"/>
        </w:rPr>
        <w:t>最终磋商</w:t>
      </w:r>
      <w:r>
        <w:rPr>
          <w:rFonts w:hint="eastAsia" w:ascii="宋体" w:hAnsi="宋体" w:eastAsia="宋体" w:cs="宋体"/>
          <w:sz w:val="24"/>
          <w:szCs w:val="24"/>
        </w:rPr>
        <w:t>报价</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最终磋商</w:t>
      </w:r>
      <w:r>
        <w:rPr>
          <w:rFonts w:hint="eastAsia" w:ascii="宋体" w:hAnsi="宋体" w:eastAsia="宋体" w:cs="宋体"/>
          <w:sz w:val="24"/>
          <w:szCs w:val="24"/>
        </w:rPr>
        <w:t>报价是供应商响应文件的有效组成部分。</w:t>
      </w:r>
    </w:p>
    <w:p w14:paraId="7FB23130">
      <w:pPr>
        <w:adjustRightIn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3.2</w:t>
      </w:r>
      <w:r>
        <w:rPr>
          <w:rFonts w:hint="eastAsia" w:ascii="宋体" w:hAnsi="宋体" w:eastAsia="宋体" w:cs="宋体"/>
          <w:sz w:val="24"/>
          <w:szCs w:val="24"/>
        </w:rPr>
        <w:t>.</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供应商</w:t>
      </w:r>
      <w:r>
        <w:rPr>
          <w:rFonts w:hint="eastAsia" w:ascii="宋体" w:hAnsi="宋体" w:eastAsia="宋体" w:cs="宋体"/>
          <w:sz w:val="24"/>
          <w:szCs w:val="24"/>
        </w:rPr>
        <w:t>不得哄抬报价，也不应低于成本价（或进价）报价。磋商小组认为</w:t>
      </w:r>
      <w:r>
        <w:rPr>
          <w:rFonts w:hint="eastAsia" w:ascii="宋体" w:hAnsi="宋体" w:eastAsia="宋体" w:cs="宋体"/>
          <w:sz w:val="24"/>
          <w:szCs w:val="24"/>
          <w:lang w:eastAsia="zh-CN"/>
        </w:rPr>
        <w:t>供应商</w:t>
      </w:r>
      <w:r>
        <w:rPr>
          <w:rFonts w:hint="eastAsia" w:ascii="宋体" w:hAnsi="宋体" w:eastAsia="宋体" w:cs="宋体"/>
          <w:sz w:val="24"/>
          <w:szCs w:val="24"/>
        </w:rPr>
        <w:t>的</w:t>
      </w:r>
      <w:r>
        <w:rPr>
          <w:rFonts w:hint="eastAsia" w:ascii="宋体" w:hAnsi="宋体" w:eastAsia="宋体" w:cs="宋体"/>
          <w:sz w:val="24"/>
          <w:szCs w:val="24"/>
          <w:lang w:val="en-US" w:eastAsia="zh-CN"/>
        </w:rPr>
        <w:t>最终磋商</w:t>
      </w:r>
      <w:r>
        <w:rPr>
          <w:rFonts w:hint="eastAsia" w:ascii="宋体" w:hAnsi="宋体" w:eastAsia="宋体" w:cs="宋体"/>
          <w:sz w:val="24"/>
          <w:szCs w:val="24"/>
        </w:rPr>
        <w:t>报价或者某些分项报价明显不合理或者低于成本，有可能影响项目质量和不能诚信履约的，将要求其在规定的期限内提供书面文件予以解释说明，并提交相关证明材料。否则，磋商小组</w:t>
      </w:r>
      <w:r>
        <w:rPr>
          <w:rFonts w:hint="eastAsia" w:ascii="宋体" w:hAnsi="宋体" w:eastAsia="宋体" w:cs="宋体"/>
          <w:sz w:val="24"/>
          <w:szCs w:val="24"/>
          <w:lang w:eastAsia="zh-CN"/>
        </w:rPr>
        <w:t>应当将其作为无效投标（响应）处理</w:t>
      </w:r>
      <w:r>
        <w:rPr>
          <w:rFonts w:hint="eastAsia" w:ascii="宋体" w:hAnsi="宋体" w:eastAsia="宋体" w:cs="宋体"/>
          <w:sz w:val="24"/>
          <w:szCs w:val="24"/>
        </w:rPr>
        <w:t>。</w:t>
      </w:r>
    </w:p>
    <w:p w14:paraId="5D090027">
      <w:pPr>
        <w:spacing w:line="360" w:lineRule="auto"/>
        <w:ind w:firstLine="470" w:firstLineChars="196"/>
        <w:jc w:val="left"/>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3.2.6报价货币为人民币。</w:t>
      </w:r>
    </w:p>
    <w:p w14:paraId="5975199C">
      <w:pPr>
        <w:pStyle w:val="5"/>
        <w:keepNext/>
        <w:keepLines/>
        <w:pageBreakBefore w:val="0"/>
        <w:widowControl/>
        <w:numPr>
          <w:ilvl w:val="3"/>
          <w:numId w:val="0"/>
        </w:numPr>
        <w:tabs>
          <w:tab w:val="clear" w:pos="2155"/>
        </w:tabs>
        <w:kinsoku/>
        <w:wordWrap/>
        <w:overflowPunct/>
        <w:topLinePunct w:val="0"/>
        <w:autoSpaceDE/>
        <w:autoSpaceDN/>
        <w:bidi w:val="0"/>
        <w:adjustRightInd w:val="0"/>
        <w:snapToGrid w:val="0"/>
        <w:spacing w:before="0" w:beforeLines="0" w:beforeAutospacing="0" w:after="0" w:afterLines="0" w:afterAutospacing="0" w:line="360" w:lineRule="auto"/>
        <w:jc w:val="left"/>
        <w:textAlignment w:val="auto"/>
        <w:rPr>
          <w:rFonts w:hint="eastAsia" w:ascii="宋体" w:hAnsi="宋体" w:eastAsia="宋体" w:cs="宋体"/>
          <w:b/>
          <w:bCs w:val="0"/>
          <w:color w:val="auto"/>
          <w:kern w:val="0"/>
          <w:sz w:val="24"/>
          <w:szCs w:val="24"/>
          <w:highlight w:val="none"/>
          <w:lang w:val="zh-CN" w:eastAsia="en-US"/>
        </w:rPr>
      </w:pPr>
      <w:r>
        <w:rPr>
          <w:rFonts w:hint="eastAsia" w:ascii="宋体" w:hAnsi="宋体" w:eastAsia="宋体" w:cs="宋体"/>
          <w:b/>
          <w:bCs w:val="0"/>
          <w:color w:val="auto"/>
          <w:kern w:val="0"/>
          <w:sz w:val="24"/>
          <w:szCs w:val="24"/>
          <w:highlight w:val="none"/>
          <w:lang w:val="zh-CN" w:eastAsia="en-US"/>
        </w:rPr>
        <w:t>3.</w:t>
      </w:r>
      <w:r>
        <w:rPr>
          <w:rFonts w:hint="eastAsia" w:ascii="宋体" w:hAnsi="宋体" w:eastAsia="宋体" w:cs="宋体"/>
          <w:b/>
          <w:bCs w:val="0"/>
          <w:color w:val="auto"/>
          <w:kern w:val="0"/>
          <w:sz w:val="24"/>
          <w:szCs w:val="24"/>
          <w:highlight w:val="none"/>
          <w:lang w:val="en-US" w:eastAsia="zh-CN"/>
        </w:rPr>
        <w:t xml:space="preserve">3 </w:t>
      </w:r>
      <w:r>
        <w:rPr>
          <w:rFonts w:hint="eastAsia" w:ascii="宋体" w:hAnsi="宋体" w:eastAsia="宋体" w:cs="宋体"/>
          <w:b/>
          <w:bCs w:val="0"/>
          <w:color w:val="auto"/>
          <w:kern w:val="0"/>
          <w:sz w:val="24"/>
          <w:szCs w:val="24"/>
          <w:highlight w:val="none"/>
          <w:lang w:val="zh-CN" w:eastAsia="zh-CN"/>
        </w:rPr>
        <w:t>竞争性磋商响应文件</w:t>
      </w:r>
      <w:r>
        <w:rPr>
          <w:rFonts w:hint="eastAsia" w:ascii="宋体" w:hAnsi="宋体" w:eastAsia="宋体" w:cs="宋体"/>
          <w:b/>
          <w:bCs w:val="0"/>
          <w:color w:val="auto"/>
          <w:kern w:val="0"/>
          <w:sz w:val="24"/>
          <w:szCs w:val="24"/>
          <w:highlight w:val="none"/>
          <w:lang w:val="zh-CN" w:eastAsia="en-US"/>
        </w:rPr>
        <w:t>有效期</w:t>
      </w:r>
    </w:p>
    <w:p w14:paraId="345C987F">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zh-CN" w:eastAsia="en-US"/>
        </w:rPr>
        <w:t>3.3.1在供应商须知前附表规定的磋商有效期内，供应商不得要求撤销或修改其响应文件。</w:t>
      </w:r>
    </w:p>
    <w:p w14:paraId="4DB338A3">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sz w:val="24"/>
          <w:szCs w:val="24"/>
          <w:lang w:val="zh-CN" w:eastAsia="en-US"/>
        </w:rPr>
      </w:pPr>
      <w:r>
        <w:rPr>
          <w:rFonts w:hint="eastAsia" w:ascii="宋体" w:hAnsi="宋体" w:eastAsia="宋体" w:cs="宋体"/>
          <w:color w:val="auto"/>
          <w:sz w:val="24"/>
          <w:szCs w:val="24"/>
          <w:highlight w:val="none"/>
          <w:lang w:val="zh-CN" w:eastAsia="en-US"/>
        </w:rPr>
        <w:t>3.3.2出现特殊情况需要延长磋商有效期的，采购人以书面形式通知所有供应商延长磋商有效期。供应商同意延长的，不得要求或被允许修改或撤销其响应文件；供应商拒绝延长的，其投标失效。</w:t>
      </w:r>
    </w:p>
    <w:p w14:paraId="08C98033">
      <w:pPr>
        <w:pStyle w:val="5"/>
        <w:keepNext/>
        <w:keepLines/>
        <w:pageBreakBefore w:val="0"/>
        <w:widowControl/>
        <w:numPr>
          <w:ilvl w:val="3"/>
          <w:numId w:val="0"/>
        </w:numPr>
        <w:tabs>
          <w:tab w:val="clear" w:pos="2155"/>
        </w:tabs>
        <w:kinsoku/>
        <w:wordWrap/>
        <w:overflowPunct/>
        <w:topLinePunct w:val="0"/>
        <w:autoSpaceDE/>
        <w:autoSpaceDN/>
        <w:bidi w:val="0"/>
        <w:adjustRightInd w:val="0"/>
        <w:snapToGrid w:val="0"/>
        <w:spacing w:before="0" w:beforeLines="0" w:beforeAutospacing="0" w:after="0" w:afterLines="0" w:afterAutospacing="0" w:line="360" w:lineRule="auto"/>
        <w:jc w:val="left"/>
        <w:textAlignment w:val="auto"/>
        <w:rPr>
          <w:rFonts w:hint="eastAsia" w:ascii="宋体" w:hAnsi="宋体" w:eastAsia="宋体" w:cs="宋体"/>
          <w:b/>
          <w:bCs w:val="0"/>
          <w:color w:val="auto"/>
          <w:kern w:val="0"/>
          <w:sz w:val="24"/>
          <w:szCs w:val="24"/>
          <w:highlight w:val="none"/>
          <w:lang w:val="zh-CN" w:eastAsia="en-US"/>
        </w:rPr>
      </w:pPr>
      <w:r>
        <w:rPr>
          <w:rFonts w:hint="eastAsia" w:ascii="宋体" w:hAnsi="宋体" w:eastAsia="宋体" w:cs="宋体"/>
          <w:b/>
          <w:bCs w:val="0"/>
          <w:color w:val="auto"/>
          <w:kern w:val="0"/>
          <w:sz w:val="24"/>
          <w:szCs w:val="24"/>
          <w:highlight w:val="none"/>
          <w:lang w:val="zh-CN" w:eastAsia="en-US"/>
        </w:rPr>
        <w:t>3.</w:t>
      </w:r>
      <w:r>
        <w:rPr>
          <w:rFonts w:hint="eastAsia" w:ascii="宋体" w:hAnsi="宋体" w:eastAsia="宋体" w:cs="宋体"/>
          <w:b/>
          <w:bCs w:val="0"/>
          <w:color w:val="auto"/>
          <w:kern w:val="0"/>
          <w:sz w:val="24"/>
          <w:szCs w:val="24"/>
          <w:highlight w:val="none"/>
          <w:lang w:val="en-US" w:eastAsia="zh-CN"/>
        </w:rPr>
        <w:t>4 磋商</w:t>
      </w:r>
      <w:r>
        <w:rPr>
          <w:rFonts w:hint="eastAsia" w:ascii="宋体" w:hAnsi="宋体" w:eastAsia="宋体" w:cs="宋体"/>
          <w:b/>
          <w:bCs w:val="0"/>
          <w:color w:val="auto"/>
          <w:kern w:val="0"/>
          <w:sz w:val="24"/>
          <w:szCs w:val="24"/>
          <w:highlight w:val="none"/>
          <w:lang w:val="zh-CN" w:eastAsia="en-US"/>
        </w:rPr>
        <w:t>保证金</w:t>
      </w:r>
    </w:p>
    <w:p w14:paraId="440C4733">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en-US"/>
        </w:rPr>
        <w:t>详见</w:t>
      </w:r>
      <w:r>
        <w:rPr>
          <w:rFonts w:hint="eastAsia" w:ascii="宋体" w:hAnsi="宋体" w:eastAsia="宋体" w:cs="宋体"/>
          <w:color w:val="auto"/>
          <w:sz w:val="24"/>
          <w:szCs w:val="24"/>
          <w:highlight w:val="none"/>
          <w:lang w:val="zh-CN" w:eastAsia="zh-CN"/>
        </w:rPr>
        <w:t>供应商须知</w:t>
      </w:r>
      <w:r>
        <w:rPr>
          <w:rFonts w:hint="eastAsia" w:ascii="宋体" w:hAnsi="宋体" w:eastAsia="宋体" w:cs="宋体"/>
          <w:color w:val="auto"/>
          <w:sz w:val="24"/>
          <w:szCs w:val="24"/>
          <w:highlight w:val="none"/>
          <w:lang w:val="zh-CN" w:eastAsia="en-US"/>
        </w:rPr>
        <w:t>前附表</w:t>
      </w:r>
      <w:r>
        <w:rPr>
          <w:rFonts w:hint="eastAsia" w:ascii="宋体" w:hAnsi="宋体" w:eastAsia="宋体" w:cs="宋体"/>
          <w:color w:val="auto"/>
          <w:sz w:val="24"/>
          <w:szCs w:val="24"/>
          <w:highlight w:val="none"/>
          <w:lang w:val="zh-CN" w:eastAsia="zh-CN"/>
        </w:rPr>
        <w:t>。</w:t>
      </w:r>
    </w:p>
    <w:p w14:paraId="09FDFF26">
      <w:pPr>
        <w:pStyle w:val="5"/>
        <w:keepNext/>
        <w:keepLines/>
        <w:pageBreakBefore w:val="0"/>
        <w:widowControl/>
        <w:numPr>
          <w:ilvl w:val="3"/>
          <w:numId w:val="0"/>
        </w:numPr>
        <w:tabs>
          <w:tab w:val="clear" w:pos="2155"/>
        </w:tabs>
        <w:kinsoku/>
        <w:wordWrap/>
        <w:overflowPunct/>
        <w:topLinePunct w:val="0"/>
        <w:autoSpaceDE/>
        <w:autoSpaceDN/>
        <w:bidi w:val="0"/>
        <w:adjustRightInd w:val="0"/>
        <w:snapToGrid w:val="0"/>
        <w:spacing w:before="0" w:beforeLines="0" w:beforeAutospacing="0" w:after="0" w:afterLines="0" w:afterAutospacing="0" w:line="360" w:lineRule="auto"/>
        <w:jc w:val="left"/>
        <w:textAlignment w:val="auto"/>
        <w:rPr>
          <w:rFonts w:hint="eastAsia" w:ascii="宋体" w:hAnsi="宋体" w:eastAsia="宋体" w:cs="宋体"/>
          <w:b/>
          <w:bCs w:val="0"/>
          <w:color w:val="auto"/>
          <w:kern w:val="0"/>
          <w:sz w:val="24"/>
          <w:szCs w:val="24"/>
          <w:highlight w:val="none"/>
          <w:lang w:val="zh-CN" w:eastAsia="en-US"/>
        </w:rPr>
      </w:pPr>
      <w:r>
        <w:rPr>
          <w:rFonts w:hint="eastAsia" w:ascii="宋体" w:hAnsi="宋体" w:eastAsia="宋体" w:cs="宋体"/>
          <w:b/>
          <w:bCs w:val="0"/>
          <w:color w:val="auto"/>
          <w:kern w:val="0"/>
          <w:sz w:val="24"/>
          <w:szCs w:val="24"/>
          <w:highlight w:val="none"/>
          <w:lang w:val="zh-CN" w:eastAsia="en-US"/>
        </w:rPr>
        <w:t>3.</w:t>
      </w:r>
      <w:r>
        <w:rPr>
          <w:rFonts w:hint="eastAsia" w:ascii="宋体" w:hAnsi="宋体" w:eastAsia="宋体" w:cs="宋体"/>
          <w:b/>
          <w:bCs w:val="0"/>
          <w:color w:val="auto"/>
          <w:kern w:val="0"/>
          <w:sz w:val="24"/>
          <w:szCs w:val="24"/>
          <w:highlight w:val="none"/>
          <w:lang w:val="en-US" w:eastAsia="zh-CN"/>
        </w:rPr>
        <w:t xml:space="preserve">5 </w:t>
      </w:r>
      <w:r>
        <w:rPr>
          <w:rFonts w:hint="eastAsia" w:ascii="宋体" w:hAnsi="宋体" w:eastAsia="宋体" w:cs="宋体"/>
          <w:b/>
          <w:bCs w:val="0"/>
          <w:color w:val="auto"/>
          <w:kern w:val="0"/>
          <w:sz w:val="24"/>
          <w:szCs w:val="24"/>
          <w:highlight w:val="none"/>
          <w:lang w:val="zh-CN" w:eastAsia="en-US"/>
        </w:rPr>
        <w:t>采购答疑及踏勘现场</w:t>
      </w:r>
    </w:p>
    <w:p w14:paraId="440E10DC">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zh-CN" w:eastAsia="en-US"/>
        </w:rPr>
        <w:t>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en-US"/>
        </w:rPr>
        <w:t>.1本项目不组织现场踏勘。</w:t>
      </w:r>
    </w:p>
    <w:p w14:paraId="3E4BCC5C">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en-US" w:eastAsia="en-US"/>
        </w:rPr>
        <w:t>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en-US"/>
        </w:rPr>
        <w:t>.2</w:t>
      </w:r>
      <w:r>
        <w:rPr>
          <w:rFonts w:hint="eastAsia" w:ascii="宋体" w:hAnsi="宋体" w:eastAsia="宋体" w:cs="宋体"/>
          <w:color w:val="auto"/>
          <w:sz w:val="24"/>
          <w:szCs w:val="24"/>
          <w:highlight w:val="none"/>
          <w:lang w:val="zh-CN" w:eastAsia="en-US"/>
        </w:rPr>
        <w:t>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lang w:val="zh-CN" w:eastAsia="en-US"/>
        </w:rPr>
        <w:t>向供应商提供的</w:t>
      </w:r>
      <w:r>
        <w:rPr>
          <w:rFonts w:hint="eastAsia" w:ascii="宋体" w:hAnsi="宋体" w:eastAsia="宋体" w:cs="宋体"/>
          <w:color w:val="auto"/>
          <w:sz w:val="24"/>
          <w:szCs w:val="24"/>
          <w:highlight w:val="none"/>
          <w:lang w:val="en-US" w:eastAsia="zh-CN"/>
        </w:rPr>
        <w:t>竞争性</w:t>
      </w:r>
      <w:r>
        <w:rPr>
          <w:rFonts w:hint="eastAsia" w:ascii="宋体" w:hAnsi="宋体" w:eastAsia="宋体" w:cs="宋体"/>
          <w:color w:val="auto"/>
          <w:sz w:val="24"/>
          <w:szCs w:val="24"/>
          <w:highlight w:val="none"/>
          <w:lang w:val="zh-CN" w:eastAsia="en-US"/>
        </w:rPr>
        <w:t>磋商文件和所附资料及提出问题的书面答复，是采购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lang w:val="zh-CN" w:eastAsia="en-US"/>
        </w:rPr>
        <w:t>现有的能使供应商可利用的资料。供应商据此做出的理解、推论及结论，采购人概不负责。</w:t>
      </w:r>
    </w:p>
    <w:p w14:paraId="6B57A780">
      <w:pPr>
        <w:pStyle w:val="5"/>
        <w:keepNext/>
        <w:keepLines/>
        <w:pageBreakBefore w:val="0"/>
        <w:widowControl/>
        <w:numPr>
          <w:ilvl w:val="3"/>
          <w:numId w:val="0"/>
        </w:numPr>
        <w:tabs>
          <w:tab w:val="clear" w:pos="2155"/>
        </w:tabs>
        <w:kinsoku/>
        <w:wordWrap/>
        <w:overflowPunct/>
        <w:topLinePunct w:val="0"/>
        <w:autoSpaceDE/>
        <w:autoSpaceDN/>
        <w:bidi w:val="0"/>
        <w:adjustRightInd w:val="0"/>
        <w:snapToGrid w:val="0"/>
        <w:spacing w:before="0" w:beforeLines="0" w:beforeAutospacing="0" w:after="0" w:afterLines="0" w:afterAutospacing="0" w:line="360" w:lineRule="auto"/>
        <w:jc w:val="left"/>
        <w:textAlignment w:val="auto"/>
        <w:rPr>
          <w:rFonts w:hint="eastAsia" w:ascii="宋体" w:hAnsi="宋体" w:eastAsia="宋体" w:cs="宋体"/>
          <w:b/>
          <w:bCs w:val="0"/>
          <w:color w:val="auto"/>
          <w:kern w:val="0"/>
          <w:sz w:val="24"/>
          <w:szCs w:val="24"/>
          <w:highlight w:val="none"/>
          <w:lang w:val="zh-CN" w:eastAsia="en-US"/>
        </w:rPr>
      </w:pPr>
      <w:bookmarkStart w:id="188" w:name="_Toc22236"/>
      <w:r>
        <w:rPr>
          <w:rFonts w:hint="eastAsia" w:ascii="宋体" w:hAnsi="宋体" w:eastAsia="宋体" w:cs="宋体"/>
          <w:b/>
          <w:bCs w:val="0"/>
          <w:color w:val="auto"/>
          <w:kern w:val="0"/>
          <w:sz w:val="24"/>
          <w:szCs w:val="24"/>
          <w:highlight w:val="none"/>
          <w:lang w:val="zh-CN" w:eastAsia="en-US"/>
        </w:rPr>
        <w:t>3.</w:t>
      </w:r>
      <w:r>
        <w:rPr>
          <w:rFonts w:hint="eastAsia" w:ascii="宋体" w:hAnsi="宋体" w:eastAsia="宋体" w:cs="宋体"/>
          <w:b/>
          <w:bCs w:val="0"/>
          <w:color w:val="auto"/>
          <w:kern w:val="0"/>
          <w:sz w:val="24"/>
          <w:szCs w:val="24"/>
          <w:highlight w:val="none"/>
          <w:lang w:val="en-US" w:eastAsia="zh-CN"/>
        </w:rPr>
        <w:t>6</w:t>
      </w:r>
      <w:r>
        <w:rPr>
          <w:rFonts w:hint="eastAsia" w:ascii="宋体" w:hAnsi="宋体" w:eastAsia="宋体" w:cs="宋体"/>
          <w:b/>
          <w:bCs w:val="0"/>
          <w:color w:val="auto"/>
          <w:kern w:val="0"/>
          <w:sz w:val="24"/>
          <w:szCs w:val="24"/>
          <w:highlight w:val="none"/>
          <w:lang w:val="zh-CN" w:eastAsia="en-US"/>
        </w:rPr>
        <w:t xml:space="preserve"> 响应文件的编制</w:t>
      </w:r>
    </w:p>
    <w:p w14:paraId="43116DEE">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zh-CN" w:eastAsia="en-US"/>
        </w:rPr>
        <w:t>3.</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en-US"/>
        </w:rPr>
        <w:t>.1</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en-US"/>
        </w:rPr>
        <w:t>应仔细阅读</w:t>
      </w:r>
      <w:r>
        <w:rPr>
          <w:rFonts w:hint="eastAsia" w:ascii="宋体" w:hAnsi="宋体" w:eastAsia="宋体" w:cs="宋体"/>
          <w:color w:val="auto"/>
          <w:sz w:val="24"/>
          <w:szCs w:val="24"/>
          <w:highlight w:val="none"/>
          <w:lang w:val="en-US" w:eastAsia="zh-CN"/>
        </w:rPr>
        <w:t>竞争性</w:t>
      </w:r>
      <w:r>
        <w:rPr>
          <w:rFonts w:hint="eastAsia" w:ascii="宋体" w:hAnsi="宋体" w:eastAsia="宋体" w:cs="宋体"/>
          <w:color w:val="auto"/>
          <w:sz w:val="24"/>
          <w:szCs w:val="24"/>
          <w:highlight w:val="none"/>
          <w:lang w:val="zh-CN" w:eastAsia="en-US"/>
        </w:rPr>
        <w:t>磋商文件</w:t>
      </w:r>
      <w:r>
        <w:rPr>
          <w:rFonts w:hint="eastAsia" w:ascii="宋体" w:hAnsi="宋体" w:eastAsia="宋体" w:cs="宋体"/>
          <w:color w:val="auto"/>
          <w:sz w:val="24"/>
          <w:szCs w:val="24"/>
          <w:highlight w:val="none"/>
          <w:lang w:val="en-US" w:eastAsia="en-US"/>
        </w:rPr>
        <w:t>文件，在完全了解采购的内容、技术性能要求（见第</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lang w:val="en-US" w:eastAsia="en-US"/>
        </w:rPr>
        <w:t>章“采购需求”）后，编写响应文件。</w:t>
      </w:r>
    </w:p>
    <w:p w14:paraId="16ED8089">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en-US" w:eastAsia="zh-CN"/>
        </w:rPr>
        <w:t>3.6.2</w:t>
      </w:r>
      <w:r>
        <w:rPr>
          <w:rFonts w:hint="eastAsia" w:ascii="宋体" w:hAnsi="宋体" w:eastAsia="宋体" w:cs="宋体"/>
          <w:sz w:val="24"/>
          <w:szCs w:val="24"/>
          <w:lang w:eastAsia="zh-CN"/>
        </w:rPr>
        <w:t>供应商</w:t>
      </w:r>
      <w:r>
        <w:rPr>
          <w:rFonts w:hint="eastAsia" w:ascii="宋体" w:hAnsi="宋体" w:eastAsia="宋体" w:cs="宋体"/>
          <w:sz w:val="24"/>
          <w:szCs w:val="24"/>
        </w:rPr>
        <w:t>编写的响应文件应按第</w:t>
      </w:r>
      <w:r>
        <w:rPr>
          <w:rFonts w:hint="eastAsia" w:ascii="宋体" w:hAnsi="宋体" w:eastAsia="宋体" w:cs="宋体"/>
          <w:sz w:val="24"/>
          <w:szCs w:val="24"/>
          <w:lang w:eastAsia="zh-CN"/>
        </w:rPr>
        <w:t>五</w:t>
      </w:r>
      <w:r>
        <w:rPr>
          <w:rFonts w:hint="eastAsia" w:ascii="宋体" w:hAnsi="宋体" w:eastAsia="宋体" w:cs="宋体"/>
          <w:sz w:val="24"/>
          <w:szCs w:val="24"/>
        </w:rPr>
        <w:t>章“</w:t>
      </w:r>
      <w:r>
        <w:rPr>
          <w:rFonts w:hint="eastAsia" w:ascii="宋体" w:hAnsi="宋体" w:eastAsia="宋体" w:cs="宋体"/>
          <w:sz w:val="24"/>
          <w:szCs w:val="24"/>
          <w:lang w:eastAsia="zh-CN"/>
        </w:rPr>
        <w:t>磋商</w:t>
      </w:r>
      <w:r>
        <w:rPr>
          <w:rFonts w:hint="eastAsia" w:ascii="宋体" w:hAnsi="宋体" w:eastAsia="宋体" w:cs="宋体"/>
          <w:sz w:val="24"/>
          <w:szCs w:val="24"/>
        </w:rPr>
        <w:t>响应文件格式”要求及内容要求填写</w:t>
      </w:r>
      <w:r>
        <w:rPr>
          <w:rFonts w:hint="eastAsia" w:ascii="宋体" w:hAnsi="宋体" w:eastAsia="宋体" w:cs="宋体"/>
          <w:color w:val="auto"/>
          <w:sz w:val="24"/>
          <w:szCs w:val="24"/>
          <w:highlight w:val="none"/>
          <w:lang w:val="zh-CN" w:eastAsia="en-US"/>
        </w:rPr>
        <w:t>，如有必要，可以增加附页，作为响应文件的组成部分。</w:t>
      </w:r>
      <w:r>
        <w:rPr>
          <w:rFonts w:hint="eastAsia" w:ascii="宋体" w:hAnsi="宋体" w:eastAsia="宋体" w:cs="宋体"/>
          <w:sz w:val="24"/>
          <w:szCs w:val="24"/>
        </w:rPr>
        <w:t>有关文件的提交如未特别注明</w:t>
      </w:r>
      <w:r>
        <w:rPr>
          <w:rFonts w:hint="eastAsia" w:ascii="宋体" w:hAnsi="宋体" w:eastAsia="宋体" w:cs="宋体"/>
          <w:sz w:val="24"/>
          <w:szCs w:val="24"/>
          <w:lang w:eastAsia="zh-CN"/>
        </w:rPr>
        <w:t>须</w:t>
      </w:r>
      <w:r>
        <w:rPr>
          <w:rFonts w:hint="eastAsia" w:ascii="宋体" w:hAnsi="宋体" w:eastAsia="宋体" w:cs="宋体"/>
          <w:sz w:val="24"/>
          <w:szCs w:val="24"/>
        </w:rPr>
        <w:t>提供原件的，可提供复印件。</w:t>
      </w:r>
      <w:r>
        <w:rPr>
          <w:rFonts w:hint="eastAsia" w:ascii="宋体" w:hAnsi="宋体" w:eastAsia="宋体" w:cs="宋体"/>
          <w:color w:val="auto"/>
          <w:sz w:val="24"/>
          <w:szCs w:val="24"/>
          <w:highlight w:val="none"/>
          <w:lang w:val="zh-CN" w:eastAsia="en-US"/>
        </w:rPr>
        <w:t>其中，磋商函在满足竞争性磋商文件实质性要求的基础上，可以提出比竞争性磋商文件要求更有利于采购人的承诺。</w:t>
      </w:r>
    </w:p>
    <w:p w14:paraId="2F54A6BD">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sz w:val="24"/>
          <w:szCs w:val="24"/>
          <w:lang w:val="zh-CN" w:eastAsia="en-US"/>
        </w:rPr>
      </w:pPr>
      <w:r>
        <w:rPr>
          <w:rFonts w:hint="eastAsia" w:ascii="宋体" w:hAnsi="宋体" w:eastAsia="宋体" w:cs="宋体"/>
          <w:color w:val="auto"/>
          <w:sz w:val="24"/>
          <w:szCs w:val="24"/>
          <w:highlight w:val="none"/>
          <w:lang w:val="zh-CN" w:eastAsia="en-US"/>
        </w:rPr>
        <w:t>3.</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en-US"/>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eastAsia="en-US"/>
        </w:rPr>
        <w:t>响应文件应当对竞争性磋商文件</w:t>
      </w:r>
      <w:r>
        <w:rPr>
          <w:rFonts w:hint="eastAsia" w:ascii="宋体" w:hAnsi="宋体" w:eastAsia="宋体" w:cs="宋体"/>
          <w:sz w:val="24"/>
          <w:szCs w:val="24"/>
        </w:rPr>
        <w:t>提出的实质性要求和条件做出响应是指</w:t>
      </w:r>
      <w:r>
        <w:rPr>
          <w:rFonts w:hint="eastAsia" w:ascii="宋体" w:hAnsi="宋体" w:eastAsia="宋体" w:cs="宋体"/>
          <w:sz w:val="24"/>
          <w:szCs w:val="24"/>
          <w:lang w:eastAsia="zh-CN"/>
        </w:rPr>
        <w:t>供应商</w:t>
      </w:r>
      <w:r>
        <w:rPr>
          <w:rFonts w:hint="eastAsia" w:ascii="宋体" w:hAnsi="宋体" w:eastAsia="宋体" w:cs="宋体"/>
          <w:sz w:val="24"/>
          <w:szCs w:val="24"/>
        </w:rPr>
        <w:t>必须对</w:t>
      </w:r>
      <w:r>
        <w:rPr>
          <w:rFonts w:hint="eastAsia" w:ascii="宋体" w:hAnsi="宋体" w:eastAsia="宋体" w:cs="宋体"/>
          <w:color w:val="auto"/>
          <w:sz w:val="24"/>
          <w:szCs w:val="24"/>
          <w:highlight w:val="none"/>
          <w:lang w:val="en-US" w:eastAsia="zh-CN"/>
        </w:rPr>
        <w:t>竞争性</w:t>
      </w:r>
      <w:r>
        <w:rPr>
          <w:rFonts w:hint="eastAsia" w:ascii="宋体" w:hAnsi="宋体" w:eastAsia="宋体" w:cs="宋体"/>
          <w:color w:val="auto"/>
          <w:sz w:val="24"/>
          <w:szCs w:val="24"/>
          <w:highlight w:val="none"/>
          <w:lang w:val="zh-CN" w:eastAsia="en-US"/>
        </w:rPr>
        <w:t>磋商文件</w:t>
      </w:r>
      <w:r>
        <w:rPr>
          <w:rFonts w:hint="eastAsia" w:ascii="宋体" w:hAnsi="宋体" w:eastAsia="宋体" w:cs="宋体"/>
          <w:sz w:val="24"/>
          <w:szCs w:val="24"/>
        </w:rPr>
        <w:t>中规定的成交实质性要求和条件做出满足或者优于原要求和条件的承诺，并提供相应的证明材料。</w:t>
      </w:r>
    </w:p>
    <w:p w14:paraId="6291DC2D">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b/>
          <w:bCs w:val="0"/>
          <w:color w:val="auto"/>
          <w:sz w:val="24"/>
          <w:szCs w:val="24"/>
          <w:highlight w:val="none"/>
          <w:lang w:val="zh-CN" w:eastAsia="en-US"/>
        </w:rPr>
      </w:pPr>
      <w:r>
        <w:rPr>
          <w:rFonts w:hint="eastAsia" w:ascii="宋体" w:hAnsi="宋体" w:eastAsia="宋体" w:cs="宋体"/>
          <w:color w:val="auto"/>
          <w:sz w:val="24"/>
          <w:szCs w:val="24"/>
          <w:highlight w:val="none"/>
          <w:lang w:val="zh-CN" w:eastAsia="en-US"/>
        </w:rPr>
        <w:t>3.</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en-US"/>
        </w:rPr>
        <w:t>.</w:t>
      </w:r>
      <w:r>
        <w:rPr>
          <w:rFonts w:hint="eastAsia" w:ascii="宋体" w:hAnsi="宋体" w:eastAsia="宋体" w:cs="宋体"/>
          <w:color w:val="auto"/>
          <w:sz w:val="24"/>
          <w:szCs w:val="24"/>
          <w:highlight w:val="none"/>
          <w:lang w:val="en-US" w:eastAsia="zh-CN"/>
        </w:rPr>
        <w:t>4响应文件的签署：见供应商须知前附表</w:t>
      </w:r>
      <w:r>
        <w:rPr>
          <w:rFonts w:hint="eastAsia" w:ascii="宋体" w:hAnsi="宋体" w:eastAsia="宋体" w:cs="宋体"/>
          <w:color w:val="auto"/>
          <w:sz w:val="24"/>
          <w:szCs w:val="24"/>
          <w:highlight w:val="none"/>
          <w:lang w:val="zh-CN" w:eastAsia="en-US"/>
        </w:rPr>
        <w:t>。</w:t>
      </w:r>
    </w:p>
    <w:p w14:paraId="434DCCC8">
      <w:pPr>
        <w:pStyle w:val="3"/>
        <w:bidi w:val="0"/>
        <w:spacing w:line="480" w:lineRule="auto"/>
        <w:jc w:val="center"/>
        <w:rPr>
          <w:rFonts w:hint="eastAsia"/>
          <w:lang w:val="en-US" w:eastAsia="zh-CN"/>
        </w:rPr>
      </w:pPr>
      <w:bookmarkStart w:id="189" w:name="_Toc15750"/>
      <w:bookmarkStart w:id="190" w:name="_Toc4460"/>
      <w:bookmarkStart w:id="191" w:name="_Toc18488"/>
      <w:bookmarkStart w:id="192" w:name="_Toc16663"/>
      <w:r>
        <w:rPr>
          <w:rFonts w:hint="eastAsia"/>
          <w:lang w:val="en-US" w:eastAsia="zh-CN"/>
        </w:rPr>
        <w:t>4.响应文件的提交</w:t>
      </w:r>
      <w:bookmarkEnd w:id="189"/>
      <w:bookmarkEnd w:id="190"/>
      <w:bookmarkEnd w:id="191"/>
      <w:bookmarkEnd w:id="192"/>
    </w:p>
    <w:p w14:paraId="5B44D998">
      <w:pPr>
        <w:pStyle w:val="5"/>
        <w:keepNext/>
        <w:keepLines/>
        <w:pageBreakBefore w:val="0"/>
        <w:widowControl/>
        <w:numPr>
          <w:ilvl w:val="3"/>
          <w:numId w:val="0"/>
        </w:numPr>
        <w:tabs>
          <w:tab w:val="clear" w:pos="2155"/>
        </w:tabs>
        <w:kinsoku/>
        <w:wordWrap/>
        <w:overflowPunct/>
        <w:topLinePunct w:val="0"/>
        <w:autoSpaceDE/>
        <w:autoSpaceDN/>
        <w:bidi w:val="0"/>
        <w:adjustRightInd w:val="0"/>
        <w:snapToGrid w:val="0"/>
        <w:spacing w:before="0" w:beforeLines="0" w:beforeAutospacing="0" w:after="0" w:afterLines="0" w:afterAutospacing="0" w:line="360" w:lineRule="auto"/>
        <w:jc w:val="left"/>
        <w:textAlignment w:val="auto"/>
        <w:rPr>
          <w:rFonts w:hint="eastAsia" w:ascii="宋体" w:hAnsi="宋体" w:eastAsia="宋体" w:cs="宋体"/>
          <w:b/>
          <w:bCs w:val="0"/>
          <w:color w:val="auto"/>
          <w:kern w:val="0"/>
          <w:sz w:val="24"/>
          <w:szCs w:val="24"/>
          <w:highlight w:val="none"/>
          <w:lang w:val="zh-CN" w:eastAsia="en-US"/>
        </w:rPr>
      </w:pPr>
      <w:bookmarkStart w:id="193" w:name="_Toc383175068"/>
      <w:bookmarkStart w:id="194" w:name="_Toc383175292"/>
      <w:bookmarkStart w:id="195" w:name="_Toc2364"/>
      <w:bookmarkStart w:id="196" w:name="_Toc86124062"/>
      <w:bookmarkStart w:id="197" w:name="_Toc329810202"/>
      <w:bookmarkStart w:id="198" w:name="_Toc28550"/>
      <w:bookmarkStart w:id="199" w:name="_Toc383175490"/>
      <w:bookmarkStart w:id="200" w:name="_Toc432197783"/>
      <w:bookmarkStart w:id="201" w:name="_Toc24138"/>
      <w:r>
        <w:rPr>
          <w:rFonts w:hint="eastAsia" w:ascii="宋体" w:hAnsi="宋体" w:eastAsia="宋体" w:cs="宋体"/>
          <w:b/>
          <w:bCs w:val="0"/>
          <w:color w:val="auto"/>
          <w:kern w:val="0"/>
          <w:sz w:val="24"/>
          <w:szCs w:val="24"/>
          <w:highlight w:val="none"/>
          <w:lang w:val="en-US" w:eastAsia="zh-CN"/>
        </w:rPr>
        <w:t>4.1.</w:t>
      </w:r>
      <w:r>
        <w:rPr>
          <w:rFonts w:hint="eastAsia" w:ascii="宋体" w:hAnsi="宋体" w:eastAsia="宋体" w:cs="宋体"/>
          <w:b/>
          <w:bCs w:val="0"/>
          <w:color w:val="auto"/>
          <w:kern w:val="0"/>
          <w:sz w:val="24"/>
          <w:szCs w:val="24"/>
          <w:highlight w:val="none"/>
          <w:lang w:val="zh-CN" w:eastAsia="en-US"/>
        </w:rPr>
        <w:t>响应文件的</w:t>
      </w:r>
      <w:bookmarkEnd w:id="193"/>
      <w:bookmarkEnd w:id="194"/>
      <w:bookmarkEnd w:id="195"/>
      <w:bookmarkEnd w:id="196"/>
      <w:bookmarkEnd w:id="197"/>
      <w:bookmarkEnd w:id="198"/>
      <w:bookmarkEnd w:id="199"/>
      <w:bookmarkEnd w:id="200"/>
      <w:bookmarkEnd w:id="201"/>
      <w:r>
        <w:rPr>
          <w:rFonts w:hint="eastAsia" w:ascii="宋体" w:hAnsi="宋体" w:eastAsia="宋体" w:cs="宋体"/>
          <w:b/>
          <w:bCs w:val="0"/>
          <w:color w:val="auto"/>
          <w:kern w:val="0"/>
          <w:sz w:val="24"/>
          <w:szCs w:val="24"/>
          <w:highlight w:val="none"/>
          <w:lang w:val="zh-CN" w:eastAsia="en-US"/>
        </w:rPr>
        <w:t>上传</w:t>
      </w:r>
    </w:p>
    <w:p w14:paraId="32E3D139">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zh-CN" w:eastAsia="en-US"/>
        </w:rPr>
        <w:t>按照“政采云”平台的要求编制、加密后在响应文件提交截止时间前上传至“政采云”平台，响应文件提交截止时间未完成响应文件上传的，视为撤回响应文件。供应商在“政采云”平台提交电子版响应文件时，请填写参加远程采购活动经办人联系方式。</w:t>
      </w:r>
    </w:p>
    <w:p w14:paraId="4610110B">
      <w:pPr>
        <w:pStyle w:val="5"/>
        <w:keepNext/>
        <w:keepLines/>
        <w:pageBreakBefore w:val="0"/>
        <w:widowControl/>
        <w:numPr>
          <w:ilvl w:val="3"/>
          <w:numId w:val="0"/>
        </w:numPr>
        <w:tabs>
          <w:tab w:val="clear" w:pos="2155"/>
        </w:tabs>
        <w:kinsoku/>
        <w:wordWrap/>
        <w:overflowPunct/>
        <w:topLinePunct w:val="0"/>
        <w:autoSpaceDE/>
        <w:autoSpaceDN/>
        <w:bidi w:val="0"/>
        <w:adjustRightInd w:val="0"/>
        <w:snapToGrid w:val="0"/>
        <w:spacing w:before="0" w:beforeLines="0" w:beforeAutospacing="0" w:after="0" w:afterLines="0" w:afterAutospacing="0" w:line="360" w:lineRule="auto"/>
        <w:jc w:val="left"/>
        <w:textAlignment w:val="auto"/>
        <w:rPr>
          <w:rFonts w:hint="eastAsia" w:ascii="宋体" w:hAnsi="宋体" w:eastAsia="宋体" w:cs="宋体"/>
          <w:b/>
          <w:bCs w:val="0"/>
          <w:color w:val="auto"/>
          <w:kern w:val="0"/>
          <w:sz w:val="24"/>
          <w:szCs w:val="24"/>
          <w:highlight w:val="none"/>
          <w:lang w:val="zh-CN" w:eastAsia="en-US"/>
        </w:rPr>
      </w:pPr>
      <w:bookmarkStart w:id="202" w:name="_Toc13862"/>
      <w:bookmarkStart w:id="203" w:name="_Toc23510"/>
      <w:bookmarkStart w:id="204" w:name="_Toc432197784"/>
      <w:bookmarkStart w:id="205" w:name="_Toc26705"/>
      <w:r>
        <w:rPr>
          <w:rFonts w:hint="eastAsia" w:ascii="宋体" w:hAnsi="宋体" w:eastAsia="宋体" w:cs="宋体"/>
          <w:b/>
          <w:bCs w:val="0"/>
          <w:color w:val="auto"/>
          <w:kern w:val="0"/>
          <w:sz w:val="24"/>
          <w:szCs w:val="24"/>
          <w:highlight w:val="none"/>
          <w:lang w:val="en-US" w:eastAsia="zh-CN"/>
        </w:rPr>
        <w:t>4.2</w:t>
      </w:r>
      <w:r>
        <w:rPr>
          <w:rFonts w:hint="eastAsia" w:ascii="宋体" w:hAnsi="宋体" w:eastAsia="宋体" w:cs="宋体"/>
          <w:b/>
          <w:bCs w:val="0"/>
          <w:color w:val="auto"/>
          <w:kern w:val="0"/>
          <w:sz w:val="24"/>
          <w:szCs w:val="24"/>
          <w:highlight w:val="none"/>
          <w:lang w:val="zh-CN" w:eastAsia="en-US"/>
        </w:rPr>
        <w:t>递交响应文件的截止时间和地点</w:t>
      </w:r>
      <w:bookmarkEnd w:id="202"/>
      <w:bookmarkEnd w:id="203"/>
      <w:bookmarkEnd w:id="204"/>
      <w:bookmarkEnd w:id="205"/>
    </w:p>
    <w:p w14:paraId="65E452EF">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en-US" w:eastAsia="zh-CN"/>
        </w:rPr>
        <w:t>4.2.1</w:t>
      </w:r>
      <w:r>
        <w:rPr>
          <w:rFonts w:hint="eastAsia" w:ascii="宋体" w:hAnsi="宋体" w:eastAsia="宋体" w:cs="宋体"/>
          <w:color w:val="auto"/>
          <w:sz w:val="24"/>
          <w:szCs w:val="24"/>
          <w:highlight w:val="none"/>
          <w:lang w:val="zh-CN" w:eastAsia="en-US"/>
        </w:rPr>
        <w:t>响应文件的递交不得迟于“供应商须知前附表”规定的递交响应文件截止时间。</w:t>
      </w:r>
    </w:p>
    <w:p w14:paraId="45C216E0">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en-US" w:eastAsia="zh-CN"/>
        </w:rPr>
        <w:t>4.2.3</w:t>
      </w:r>
      <w:r>
        <w:rPr>
          <w:rFonts w:hint="eastAsia" w:ascii="宋体" w:hAnsi="宋体" w:eastAsia="宋体" w:cs="宋体"/>
          <w:color w:val="auto"/>
          <w:sz w:val="24"/>
          <w:szCs w:val="24"/>
          <w:highlight w:val="none"/>
          <w:lang w:val="zh-CN" w:eastAsia="en-US"/>
        </w:rPr>
        <w:t>供应商必须在规定时间内将响应文件上传到“供应商须知前附表”规定的地点。</w:t>
      </w:r>
    </w:p>
    <w:p w14:paraId="02F8C049">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b w:val="0"/>
          <w:bCs/>
          <w:color w:val="auto"/>
          <w:sz w:val="24"/>
          <w:szCs w:val="24"/>
          <w:highlight w:val="none"/>
          <w:lang w:val="zh-CN" w:eastAsia="en-US"/>
        </w:rPr>
      </w:pPr>
      <w:r>
        <w:rPr>
          <w:rFonts w:hint="eastAsia" w:ascii="宋体" w:hAnsi="宋体" w:eastAsia="宋体" w:cs="宋体"/>
          <w:color w:val="auto"/>
          <w:sz w:val="24"/>
          <w:szCs w:val="24"/>
          <w:highlight w:val="none"/>
          <w:lang w:val="en-US" w:eastAsia="zh-CN"/>
        </w:rPr>
        <w:t>4.2.3</w:t>
      </w:r>
      <w:r>
        <w:rPr>
          <w:rFonts w:hint="eastAsia" w:ascii="宋体" w:hAnsi="宋体" w:eastAsia="宋体" w:cs="宋体"/>
          <w:color w:val="auto"/>
          <w:sz w:val="24"/>
          <w:szCs w:val="24"/>
          <w:highlight w:val="none"/>
          <w:lang w:val="zh-CN" w:eastAsia="en-US"/>
        </w:rPr>
        <w:t>除“供应商须知前附表”另有规定外，供应商所递交的响应文件不予退还。</w:t>
      </w:r>
    </w:p>
    <w:p w14:paraId="04A7126D">
      <w:pPr>
        <w:pStyle w:val="5"/>
        <w:keepNext/>
        <w:keepLines/>
        <w:pageBreakBefore w:val="0"/>
        <w:widowControl/>
        <w:numPr>
          <w:ilvl w:val="3"/>
          <w:numId w:val="0"/>
        </w:numPr>
        <w:tabs>
          <w:tab w:val="clear" w:pos="2155"/>
        </w:tabs>
        <w:kinsoku/>
        <w:wordWrap/>
        <w:overflowPunct/>
        <w:topLinePunct w:val="0"/>
        <w:autoSpaceDE/>
        <w:autoSpaceDN/>
        <w:bidi w:val="0"/>
        <w:adjustRightInd w:val="0"/>
        <w:snapToGrid w:val="0"/>
        <w:spacing w:before="0" w:beforeLines="0" w:beforeAutospacing="0" w:after="0" w:afterLines="0" w:afterAutospacing="0" w:line="360" w:lineRule="auto"/>
        <w:jc w:val="left"/>
        <w:textAlignment w:val="auto"/>
        <w:rPr>
          <w:rFonts w:hint="eastAsia" w:ascii="宋体" w:hAnsi="宋体" w:eastAsia="宋体" w:cs="宋体"/>
          <w:b/>
          <w:bCs w:val="0"/>
          <w:color w:val="auto"/>
          <w:kern w:val="0"/>
          <w:sz w:val="24"/>
          <w:szCs w:val="24"/>
          <w:highlight w:val="none"/>
          <w:lang w:val="zh-CN" w:eastAsia="en-US"/>
        </w:rPr>
      </w:pPr>
      <w:r>
        <w:rPr>
          <w:rFonts w:hint="eastAsia" w:ascii="宋体" w:hAnsi="宋体" w:eastAsia="宋体" w:cs="宋体"/>
          <w:b/>
          <w:bCs w:val="0"/>
          <w:color w:val="auto"/>
          <w:kern w:val="0"/>
          <w:sz w:val="24"/>
          <w:szCs w:val="24"/>
          <w:highlight w:val="none"/>
          <w:lang w:val="en-US" w:eastAsia="zh-CN"/>
        </w:rPr>
        <w:t>4.3</w:t>
      </w:r>
      <w:r>
        <w:rPr>
          <w:rFonts w:hint="eastAsia" w:ascii="宋体" w:hAnsi="宋体" w:eastAsia="宋体" w:cs="宋体"/>
          <w:b/>
          <w:bCs w:val="0"/>
          <w:color w:val="auto"/>
          <w:kern w:val="0"/>
          <w:sz w:val="24"/>
          <w:szCs w:val="24"/>
          <w:highlight w:val="none"/>
          <w:lang w:val="zh-CN" w:eastAsia="en-US"/>
        </w:rPr>
        <w:t xml:space="preserve"> 响应文件提交截止时间前出现下列情况的视为撤回响应文件</w:t>
      </w:r>
    </w:p>
    <w:p w14:paraId="70E0B60B">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en-US" w:eastAsia="zh-CN"/>
        </w:rPr>
        <w:t>4.3.1</w:t>
      </w:r>
      <w:r>
        <w:rPr>
          <w:rFonts w:hint="eastAsia" w:ascii="宋体" w:hAnsi="宋体" w:eastAsia="宋体" w:cs="宋体"/>
          <w:color w:val="auto"/>
          <w:sz w:val="24"/>
          <w:szCs w:val="24"/>
          <w:highlight w:val="none"/>
          <w:lang w:val="zh-CN" w:eastAsia="en-US"/>
        </w:rPr>
        <w:t>政采云电子平台显示供应商未上传响应文件；</w:t>
      </w:r>
    </w:p>
    <w:p w14:paraId="2649B709">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en-US" w:eastAsia="zh-CN"/>
        </w:rPr>
        <w:t>4.3.2</w:t>
      </w:r>
      <w:r>
        <w:rPr>
          <w:rFonts w:hint="eastAsia" w:ascii="宋体" w:hAnsi="宋体" w:eastAsia="宋体" w:cs="宋体"/>
          <w:color w:val="auto"/>
          <w:sz w:val="24"/>
          <w:szCs w:val="24"/>
          <w:highlight w:val="none"/>
          <w:lang w:val="zh-CN" w:eastAsia="en-US"/>
        </w:rPr>
        <w:t>因供应商原因上传的响应文件在开启文件时无法解密。</w:t>
      </w:r>
    </w:p>
    <w:bookmarkEnd w:id="188"/>
    <w:p w14:paraId="2C89287B">
      <w:pPr>
        <w:pStyle w:val="3"/>
        <w:bidi w:val="0"/>
        <w:jc w:val="center"/>
        <w:rPr>
          <w:rFonts w:hint="eastAsia"/>
          <w:lang w:val="en-US" w:eastAsia="zh-CN"/>
        </w:rPr>
      </w:pPr>
      <w:bookmarkStart w:id="206" w:name="_Toc427309381"/>
      <w:bookmarkStart w:id="207" w:name="_Toc23377"/>
      <w:bookmarkStart w:id="208" w:name="_Toc9685"/>
      <w:bookmarkStart w:id="209" w:name="_Toc20000"/>
      <w:bookmarkStart w:id="210" w:name="_Toc27660"/>
      <w:r>
        <w:rPr>
          <w:rFonts w:hint="eastAsia"/>
          <w:lang w:val="en-US" w:eastAsia="en-US"/>
        </w:rPr>
        <w:t>5.</w:t>
      </w:r>
      <w:bookmarkEnd w:id="206"/>
      <w:r>
        <w:rPr>
          <w:rFonts w:hint="eastAsia"/>
          <w:lang w:val="en-US" w:eastAsia="en-US"/>
        </w:rPr>
        <w:t>磋商</w:t>
      </w:r>
      <w:bookmarkEnd w:id="207"/>
      <w:r>
        <w:rPr>
          <w:rFonts w:hint="eastAsia"/>
          <w:lang w:val="en-US" w:eastAsia="zh-CN"/>
        </w:rPr>
        <w:t>与评审</w:t>
      </w:r>
      <w:bookmarkEnd w:id="208"/>
      <w:bookmarkEnd w:id="209"/>
      <w:bookmarkEnd w:id="210"/>
    </w:p>
    <w:p w14:paraId="3D62FD59">
      <w:pPr>
        <w:pStyle w:val="5"/>
        <w:pageBreakBefore w:val="0"/>
        <w:widowControl/>
        <w:numPr>
          <w:ilvl w:val="0"/>
          <w:numId w:val="0"/>
        </w:numPr>
        <w:kinsoku/>
        <w:wordWrap/>
        <w:overflowPunct/>
        <w:topLinePunct w:val="0"/>
        <w:autoSpaceDE/>
        <w:autoSpaceDN/>
        <w:bidi w:val="0"/>
        <w:adjustRightInd w:val="0"/>
        <w:snapToGrid w:val="0"/>
        <w:spacing w:before="0" w:beforeLines="0" w:beforeAutospacing="0" w:after="0" w:afterLines="0" w:afterAutospacing="0" w:line="360" w:lineRule="auto"/>
        <w:rPr>
          <w:rFonts w:hint="eastAsia" w:ascii="宋体" w:hAnsi="宋体" w:eastAsia="宋体" w:cs="宋体"/>
          <w:b/>
          <w:bCs w:val="0"/>
          <w:color w:val="auto"/>
          <w:sz w:val="24"/>
          <w:szCs w:val="24"/>
          <w:highlight w:val="none"/>
          <w:lang w:val="en-US" w:eastAsia="zh-CN"/>
        </w:rPr>
      </w:pPr>
      <w:bookmarkStart w:id="211" w:name="_Toc21564"/>
      <w:bookmarkStart w:id="212" w:name="_Toc10880"/>
      <w:bookmarkStart w:id="213" w:name="_Toc432197786"/>
      <w:bookmarkStart w:id="214" w:name="_Toc4054"/>
      <w:r>
        <w:rPr>
          <w:rFonts w:hint="eastAsia" w:ascii="宋体" w:hAnsi="宋体" w:eastAsia="宋体" w:cs="宋体"/>
          <w:b/>
          <w:bCs w:val="0"/>
          <w:color w:val="auto"/>
          <w:sz w:val="24"/>
          <w:szCs w:val="24"/>
          <w:highlight w:val="none"/>
          <w:lang w:val="en-US" w:eastAsia="zh-CN"/>
        </w:rPr>
        <w:t>5.1</w:t>
      </w:r>
      <w:r>
        <w:rPr>
          <w:rFonts w:hint="eastAsia" w:ascii="宋体" w:hAnsi="宋体" w:eastAsia="宋体" w:cs="宋体"/>
          <w:b/>
          <w:bCs w:val="0"/>
          <w:color w:val="auto"/>
          <w:sz w:val="24"/>
          <w:szCs w:val="24"/>
          <w:highlight w:val="none"/>
          <w:lang w:val="en-US" w:eastAsia="en-US"/>
        </w:rPr>
        <w:t>磋商</w:t>
      </w:r>
      <w:r>
        <w:rPr>
          <w:rFonts w:hint="eastAsia" w:ascii="宋体" w:hAnsi="宋体" w:eastAsia="宋体" w:cs="宋体"/>
          <w:b/>
          <w:bCs w:val="0"/>
          <w:color w:val="auto"/>
          <w:sz w:val="24"/>
          <w:szCs w:val="24"/>
          <w:highlight w:val="none"/>
          <w:lang w:val="en-US" w:eastAsia="zh-CN"/>
        </w:rPr>
        <w:t>时间和地点</w:t>
      </w:r>
    </w:p>
    <w:p w14:paraId="3399D383">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采购人在供应商须知前附表规定的响应文件提交截止时间（开启时间）和地点组织磋商，并邀请相关部门准时参加。</w:t>
      </w:r>
    </w:p>
    <w:p w14:paraId="47398A94">
      <w:pPr>
        <w:pStyle w:val="5"/>
        <w:pageBreakBefore w:val="0"/>
        <w:widowControl/>
        <w:numPr>
          <w:ilvl w:val="0"/>
          <w:numId w:val="0"/>
        </w:numPr>
        <w:kinsoku/>
        <w:wordWrap/>
        <w:overflowPunct/>
        <w:topLinePunct w:val="0"/>
        <w:autoSpaceDE/>
        <w:autoSpaceDN/>
        <w:bidi w:val="0"/>
        <w:adjustRightInd w:val="0"/>
        <w:snapToGrid w:val="0"/>
        <w:spacing w:before="0" w:beforeLines="0" w:beforeAutospacing="0" w:after="0" w:afterLines="0" w:afterAutospacing="0"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5.2响应文件的解密</w:t>
      </w:r>
    </w:p>
    <w:p w14:paraId="2EC25D09">
      <w:pPr>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采购代理机构将在“供应商须知前附表”规定的磋商时间通过电子交易平台组织响应文件开启，采购机构依托电子交易平台发起开始解密指令，供应商的法定代表人或其委托代理人须</w:t>
      </w:r>
      <w:r>
        <w:rPr>
          <w:rFonts w:hint="eastAsia" w:ascii="宋体" w:hAnsi="宋体" w:eastAsia="宋体" w:cs="宋体"/>
          <w:color w:val="auto"/>
          <w:sz w:val="24"/>
          <w:szCs w:val="24"/>
          <w:highlight w:val="none"/>
          <w:lang w:val="en-US" w:eastAsia="zh-CN"/>
        </w:rPr>
        <w:t>使用</w:t>
      </w:r>
      <w:r>
        <w:rPr>
          <w:rFonts w:hint="eastAsia" w:ascii="宋体" w:hAnsi="宋体" w:eastAsia="宋体" w:cs="宋体"/>
          <w:color w:val="auto"/>
          <w:sz w:val="24"/>
          <w:szCs w:val="24"/>
          <w:highlight w:val="none"/>
        </w:rPr>
        <w:t>加密时所用的CA锁按平台提示和</w:t>
      </w:r>
      <w:r>
        <w:rPr>
          <w:rFonts w:hint="eastAsia" w:ascii="宋体" w:hAnsi="宋体" w:eastAsia="宋体" w:cs="宋体"/>
          <w:color w:val="auto"/>
          <w:sz w:val="24"/>
          <w:szCs w:val="24"/>
          <w:highlight w:val="none"/>
          <w:lang w:val="en-US" w:eastAsia="zh-CN"/>
        </w:rPr>
        <w:t>竞争性磋商</w:t>
      </w:r>
      <w:r>
        <w:rPr>
          <w:rFonts w:hint="eastAsia" w:ascii="宋体" w:hAnsi="宋体" w:eastAsia="宋体" w:cs="宋体"/>
          <w:color w:val="auto"/>
          <w:sz w:val="24"/>
          <w:szCs w:val="24"/>
          <w:highlight w:val="none"/>
        </w:rPr>
        <w:t>文件的规定登录到“政采云”平台电子开标大厅签到，并在发起解密指令之时起</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分钟内完成对电子响应文件在线解密。发起解密指令之时起</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分钟内供应商还未进行解密的，代理机构可通知供应商，供应商没预留联系方式或预留联系方式无效，导致代理机构无法联系到供应商进行解密的，</w:t>
      </w:r>
      <w:r>
        <w:rPr>
          <w:rFonts w:hint="eastAsia" w:ascii="宋体" w:hAnsi="宋体" w:eastAsia="宋体" w:cs="宋体"/>
          <w:color w:val="auto"/>
          <w:sz w:val="24"/>
          <w:szCs w:val="24"/>
          <w:highlight w:val="none"/>
          <w:lang w:val="en-US" w:eastAsia="zh-CN"/>
        </w:rPr>
        <w:t>由此造成的一切后果由供应商自行承担</w:t>
      </w:r>
      <w:r>
        <w:rPr>
          <w:rFonts w:hint="eastAsia" w:ascii="宋体" w:hAnsi="宋体" w:eastAsia="宋体" w:cs="宋体"/>
          <w:color w:val="auto"/>
          <w:sz w:val="24"/>
          <w:szCs w:val="24"/>
          <w:highlight w:val="none"/>
        </w:rPr>
        <w:t>。如供应商成功解密响应文件，但未在“政采云”电子开标大厅参加磋商的，视同认可磋商过程和结果，由此产生的后果由供应商自行负责。</w:t>
      </w:r>
    </w:p>
    <w:p w14:paraId="07519E7D">
      <w:pPr>
        <w:pStyle w:val="5"/>
        <w:pageBreakBefore w:val="0"/>
        <w:widowControl/>
        <w:numPr>
          <w:ilvl w:val="0"/>
          <w:numId w:val="0"/>
        </w:numPr>
        <w:kinsoku/>
        <w:wordWrap/>
        <w:overflowPunct/>
        <w:topLinePunct w:val="0"/>
        <w:autoSpaceDE/>
        <w:autoSpaceDN/>
        <w:bidi w:val="0"/>
        <w:adjustRightInd w:val="0"/>
        <w:snapToGrid w:val="0"/>
        <w:spacing w:before="0" w:beforeLines="0" w:beforeAutospacing="0" w:after="0" w:afterLines="0" w:afterAutospacing="0"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5.3 电子交易活动的中止</w:t>
      </w:r>
    </w:p>
    <w:p w14:paraId="1B14290B">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采购过程中出现以下情形，导致电子交易平台无法正常运行，或者无法保证电子交易的公平、公正和安全时，采购机构可中止电子交易活动：</w:t>
      </w:r>
    </w:p>
    <w:p w14:paraId="634A0FD2">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（1）电子交易平台发生故障而无法登录访问的；</w:t>
      </w:r>
    </w:p>
    <w:p w14:paraId="6AB565DE">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（2）电子交易平台应用或数据库出现错误，不能进行正常操作的；</w:t>
      </w:r>
    </w:p>
    <w:p w14:paraId="3B8E1FB5">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（3）电子交易平台发现严重安全漏洞，有潜在泄密危险的；</w:t>
      </w:r>
    </w:p>
    <w:p w14:paraId="7025F11F">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（4）病毒发作导致不能进行正常操作的；</w:t>
      </w:r>
    </w:p>
    <w:p w14:paraId="2B5360B3">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（5）其他无法保证电子交易的公平、公正和安全的情况。</w:t>
      </w:r>
    </w:p>
    <w:p w14:paraId="7A3A66DE">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出现以上情形，不影响采购公平、公正性的，采购组织机构可以待上述情形消除后继续组织电子交易活动；影响或可能影响采购公平、公正性的，经采购代理机构确认后，应当重新采购。采购代理机构必须对原有的资料及信息作出妥善保密处理，并报财政部门备案。</w:t>
      </w:r>
    </w:p>
    <w:p w14:paraId="56BC6E1E">
      <w:pPr>
        <w:pStyle w:val="5"/>
        <w:pageBreakBefore w:val="0"/>
        <w:widowControl/>
        <w:numPr>
          <w:ilvl w:val="0"/>
          <w:numId w:val="0"/>
        </w:numPr>
        <w:kinsoku/>
        <w:wordWrap/>
        <w:overflowPunct/>
        <w:topLinePunct w:val="0"/>
        <w:autoSpaceDE/>
        <w:autoSpaceDN/>
        <w:bidi w:val="0"/>
        <w:adjustRightInd w:val="0"/>
        <w:snapToGrid w:val="0"/>
        <w:spacing w:before="0" w:beforeLines="0" w:beforeAutospacing="0" w:after="0" w:afterLines="0" w:afterAutospacing="0"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5.4磋商程序</w:t>
      </w:r>
    </w:p>
    <w:p w14:paraId="1FD93254">
      <w:pPr>
        <w:pageBreakBefore w:val="0"/>
        <w:widowControl/>
        <w:kinsoku/>
        <w:wordWrap/>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主持人按下列程序进行开启：</w:t>
      </w:r>
    </w:p>
    <w:p w14:paraId="16E4FC8E">
      <w:pPr>
        <w:pageBreakBefore w:val="0"/>
        <w:widowControl/>
        <w:kinsoku/>
        <w:wordWrap/>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（1）宣布磋商纪律；</w:t>
      </w:r>
    </w:p>
    <w:p w14:paraId="2184859F">
      <w:pPr>
        <w:pageBreakBefore w:val="0"/>
        <w:widowControl/>
        <w:kinsoku/>
        <w:wordWrap/>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（2）公布在投标截止时间前递交</w:t>
      </w:r>
      <w:r>
        <w:rPr>
          <w:rFonts w:hint="eastAsia" w:ascii="宋体" w:hAnsi="宋体" w:eastAsia="宋体" w:cs="宋体"/>
          <w:color w:val="auto"/>
          <w:sz w:val="24"/>
          <w:szCs w:val="24"/>
          <w:highlight w:val="none"/>
          <w:lang w:val="en-US" w:eastAsia="zh-CN"/>
        </w:rPr>
        <w:t>响应文件</w:t>
      </w:r>
      <w:r>
        <w:rPr>
          <w:rFonts w:hint="eastAsia" w:ascii="宋体" w:hAnsi="宋体" w:eastAsia="宋体" w:cs="宋体"/>
          <w:color w:val="auto"/>
          <w:sz w:val="24"/>
          <w:szCs w:val="24"/>
          <w:highlight w:val="none"/>
          <w:lang w:val="en-US" w:eastAsia="en-US"/>
        </w:rPr>
        <w:t>的情况；</w:t>
      </w:r>
    </w:p>
    <w:p w14:paraId="211296E3">
      <w:pPr>
        <w:pageBreakBefore w:val="0"/>
        <w:widowControl/>
        <w:kinsoku/>
        <w:wordWrap/>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（3）宣布采购人、唱标人、记录人、监标人等有关人员姓名；</w:t>
      </w:r>
    </w:p>
    <w:p w14:paraId="658E1670">
      <w:pPr>
        <w:pageBreakBefore w:val="0"/>
        <w:widowControl/>
        <w:kinsoku/>
        <w:wordWrap/>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（4）按照“政府采购云平台”自动提取所有供应商的顺序当众开标，由供应商对网上递交已加密的响应文件，进行网上（远程）解密，解密完成后，公布供应商名称、</w:t>
      </w:r>
      <w:r>
        <w:rPr>
          <w:rFonts w:hint="eastAsia" w:ascii="宋体" w:hAnsi="宋体" w:eastAsia="宋体" w:cs="宋体"/>
          <w:color w:val="auto"/>
          <w:sz w:val="24"/>
          <w:szCs w:val="24"/>
          <w:highlight w:val="none"/>
          <w:lang w:val="en-US" w:eastAsia="zh-CN"/>
        </w:rPr>
        <w:t>合同履行期限</w:t>
      </w:r>
      <w:r>
        <w:rPr>
          <w:rFonts w:hint="eastAsia" w:ascii="宋体" w:hAnsi="宋体" w:eastAsia="宋体" w:cs="宋体"/>
          <w:color w:val="auto"/>
          <w:sz w:val="24"/>
          <w:szCs w:val="24"/>
          <w:highlight w:val="none"/>
          <w:lang w:val="en-US" w:eastAsia="en-US"/>
        </w:rPr>
        <w:t>及其他内容，并记录在案。因供应商原因造成响应文件未解密的，视为撤销其响应文件；</w:t>
      </w:r>
    </w:p>
    <w:p w14:paraId="5EDF5966">
      <w:pPr>
        <w:pageBreakBefore w:val="0"/>
        <w:widowControl/>
        <w:kinsoku/>
        <w:wordWrap/>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（5）采购人代表、监标人、记录人等有关人员在开标记录上签字确认；</w:t>
      </w:r>
    </w:p>
    <w:p w14:paraId="0DD35D87">
      <w:pPr>
        <w:pageBreakBefore w:val="0"/>
        <w:widowControl/>
        <w:kinsoku/>
        <w:wordWrap/>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（6）通过</w:t>
      </w:r>
      <w:r>
        <w:rPr>
          <w:rFonts w:hint="eastAsia" w:ascii="宋体" w:hAnsi="宋体" w:eastAsia="宋体" w:cs="宋体"/>
          <w:color w:val="auto"/>
          <w:sz w:val="24"/>
          <w:szCs w:val="24"/>
          <w:highlight w:val="none"/>
          <w:lang w:val="en-US" w:eastAsia="zh-CN"/>
        </w:rPr>
        <w:t>符合性</w:t>
      </w:r>
      <w:r>
        <w:rPr>
          <w:rFonts w:hint="eastAsia" w:ascii="宋体" w:hAnsi="宋体" w:eastAsia="宋体" w:cs="宋体"/>
          <w:color w:val="auto"/>
          <w:sz w:val="24"/>
          <w:szCs w:val="24"/>
          <w:highlight w:val="none"/>
          <w:lang w:val="en-US" w:eastAsia="en-US"/>
        </w:rPr>
        <w:t>评审的供应商进入第二轮报价及承诺，磋商小组成员集中与单一供应商分别进行磋商；公布供应商名称、</w:t>
      </w:r>
      <w:r>
        <w:rPr>
          <w:rFonts w:hint="eastAsia" w:ascii="宋体" w:hAnsi="宋体" w:eastAsia="宋体" w:cs="宋体"/>
          <w:color w:val="auto"/>
          <w:sz w:val="24"/>
          <w:szCs w:val="24"/>
          <w:highlight w:val="none"/>
          <w:lang w:val="en-US" w:eastAsia="zh-CN"/>
        </w:rPr>
        <w:t>最终</w:t>
      </w:r>
      <w:r>
        <w:rPr>
          <w:rFonts w:hint="eastAsia" w:ascii="宋体" w:hAnsi="宋体" w:eastAsia="宋体" w:cs="宋体"/>
          <w:color w:val="auto"/>
          <w:sz w:val="24"/>
          <w:szCs w:val="24"/>
          <w:highlight w:val="none"/>
          <w:lang w:val="en-US" w:eastAsia="en-US"/>
        </w:rPr>
        <w:t>磋商报价、</w:t>
      </w:r>
      <w:r>
        <w:rPr>
          <w:rFonts w:hint="eastAsia" w:ascii="宋体" w:hAnsi="宋体" w:eastAsia="宋体" w:cs="宋体"/>
          <w:color w:val="auto"/>
          <w:sz w:val="24"/>
          <w:szCs w:val="24"/>
          <w:highlight w:val="none"/>
          <w:lang w:val="en-US" w:eastAsia="zh-CN"/>
        </w:rPr>
        <w:t>合同履行期限</w:t>
      </w:r>
      <w:r>
        <w:rPr>
          <w:rFonts w:hint="eastAsia" w:ascii="宋体" w:hAnsi="宋体" w:eastAsia="宋体" w:cs="宋体"/>
          <w:color w:val="auto"/>
          <w:sz w:val="24"/>
          <w:szCs w:val="24"/>
          <w:highlight w:val="none"/>
          <w:lang w:val="en-US" w:eastAsia="en-US"/>
        </w:rPr>
        <w:t>及其他内容，并记录在案；</w:t>
      </w:r>
    </w:p>
    <w:p w14:paraId="3C7D7741">
      <w:pPr>
        <w:pageBreakBefore w:val="0"/>
        <w:widowControl/>
        <w:kinsoku/>
        <w:wordWrap/>
        <w:overflowPunct/>
        <w:topLinePunct w:val="0"/>
        <w:autoSpaceDE/>
        <w:autoSpaceDN/>
        <w:bidi w:val="0"/>
        <w:adjustRightInd w:val="0"/>
        <w:snapToGrid w:val="0"/>
        <w:spacing w:line="360" w:lineRule="auto"/>
        <w:ind w:firstLine="480" w:firstLineChars="200"/>
        <w:rPr>
          <w:rFonts w:hint="eastAsia" w:ascii="宋体" w:hAnsi="宋体" w:eastAsia="宋体" w:cs="宋体"/>
          <w:b/>
          <w:bCs w:val="0"/>
          <w:color w:val="auto"/>
          <w:sz w:val="24"/>
          <w:szCs w:val="24"/>
          <w:highlight w:val="none"/>
          <w:lang w:val="en-US" w:eastAsia="zh-CN"/>
        </w:rPr>
      </w:pPr>
      <w:r>
        <w:rPr>
          <w:rFonts w:hint="eastAsia" w:ascii="宋体" w:hAnsi="宋体" w:eastAsia="宋体" w:cs="宋体"/>
          <w:color w:val="auto"/>
          <w:sz w:val="24"/>
          <w:szCs w:val="24"/>
          <w:highlight w:val="none"/>
          <w:lang w:val="en-US" w:eastAsia="en-US"/>
        </w:rPr>
        <w:t>（7）磋商结束。</w:t>
      </w:r>
    </w:p>
    <w:p w14:paraId="35AFBDFE">
      <w:pPr>
        <w:pStyle w:val="5"/>
        <w:pageBreakBefore w:val="0"/>
        <w:widowControl/>
        <w:numPr>
          <w:ilvl w:val="0"/>
          <w:numId w:val="0"/>
        </w:numPr>
        <w:kinsoku/>
        <w:wordWrap/>
        <w:overflowPunct/>
        <w:topLinePunct w:val="0"/>
        <w:autoSpaceDE/>
        <w:autoSpaceDN/>
        <w:bidi w:val="0"/>
        <w:adjustRightInd w:val="0"/>
        <w:snapToGrid w:val="0"/>
        <w:spacing w:before="0" w:beforeLines="0" w:beforeAutospacing="0" w:after="0" w:afterLines="0" w:afterAutospacing="0" w:line="360" w:lineRule="auto"/>
        <w:rPr>
          <w:rFonts w:hint="eastAsia" w:ascii="宋体" w:hAnsi="宋体" w:eastAsia="宋体" w:cs="宋体"/>
          <w:b/>
          <w:bCs w:val="0"/>
          <w:color w:val="auto"/>
          <w:sz w:val="24"/>
          <w:szCs w:val="24"/>
          <w:highlight w:val="none"/>
          <w:lang w:val="en-US" w:eastAsia="en-US"/>
        </w:rPr>
      </w:pPr>
      <w:r>
        <w:rPr>
          <w:rFonts w:hint="eastAsia" w:ascii="宋体" w:hAnsi="宋体" w:eastAsia="宋体" w:cs="宋体"/>
          <w:b/>
          <w:bCs w:val="0"/>
          <w:color w:val="auto"/>
          <w:sz w:val="24"/>
          <w:szCs w:val="24"/>
          <w:highlight w:val="none"/>
          <w:lang w:val="en-US" w:eastAsia="zh-CN"/>
        </w:rPr>
        <w:t>5.5磋商小组</w:t>
      </w:r>
    </w:p>
    <w:p w14:paraId="350F186B">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5.5.</w:t>
      </w:r>
      <w:r>
        <w:rPr>
          <w:rFonts w:hint="eastAsia" w:ascii="宋体" w:hAnsi="宋体" w:eastAsia="宋体" w:cs="宋体"/>
          <w:color w:val="auto"/>
          <w:sz w:val="24"/>
          <w:szCs w:val="24"/>
          <w:highlight w:val="none"/>
          <w:lang w:val="en-US" w:eastAsia="en-US"/>
        </w:rPr>
        <w:t>1</w:t>
      </w:r>
      <w:r>
        <w:rPr>
          <w:rFonts w:hint="eastAsia" w:ascii="宋体" w:hAnsi="宋体" w:eastAsia="宋体" w:cs="宋体"/>
          <w:color w:val="auto"/>
          <w:sz w:val="24"/>
          <w:szCs w:val="24"/>
          <w:highlight w:val="none"/>
          <w:lang w:val="en-US" w:eastAsia="zh-CN"/>
        </w:rPr>
        <w:t>评审由采购人依法组建的磋商小组负责。磋商小组由采购人的代表和有关技术、经济等方面的专家组成（详见供应商须知前附表）。</w:t>
      </w:r>
    </w:p>
    <w:p w14:paraId="46F07A66">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5.5.2 磋商小组成员有下列情形之一的，应当回避：</w:t>
      </w:r>
    </w:p>
    <w:p w14:paraId="5C69CEFA">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（1）采购人与供应商的主要负责人的近亲属；</w:t>
      </w:r>
    </w:p>
    <w:p w14:paraId="66BC92F3">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（2）项目主管部门或者行政监督部门的人员；</w:t>
      </w:r>
    </w:p>
    <w:p w14:paraId="074F5CD4">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（3）与供应商有经济利益关系，可能影响对投标公正评审的；</w:t>
      </w:r>
    </w:p>
    <w:p w14:paraId="0D28E6C4">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（4）曾因在招标、评审以及其他与招标投标有关活动中从事违法行为而受过行政处罚或刑事处罚的。</w:t>
      </w:r>
    </w:p>
    <w:p w14:paraId="056C5C9C">
      <w:pPr>
        <w:pStyle w:val="5"/>
        <w:pageBreakBefore w:val="0"/>
        <w:widowControl/>
        <w:numPr>
          <w:ilvl w:val="0"/>
          <w:numId w:val="0"/>
        </w:numPr>
        <w:kinsoku/>
        <w:wordWrap/>
        <w:overflowPunct/>
        <w:topLinePunct w:val="0"/>
        <w:autoSpaceDE/>
        <w:autoSpaceDN/>
        <w:bidi w:val="0"/>
        <w:adjustRightInd w:val="0"/>
        <w:snapToGrid w:val="0"/>
        <w:spacing w:before="0" w:beforeLines="0" w:beforeAutospacing="0" w:after="0" w:afterLines="0" w:afterAutospacing="0"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5.6评审原则</w:t>
      </w:r>
      <w:r>
        <w:rPr>
          <w:rFonts w:hint="eastAsia" w:ascii="宋体" w:hAnsi="宋体" w:eastAsia="宋体" w:cs="宋体"/>
          <w:b/>
          <w:bCs w:val="0"/>
          <w:color w:val="auto"/>
          <w:sz w:val="24"/>
          <w:szCs w:val="24"/>
          <w:highlight w:val="none"/>
          <w:lang w:val="en-US" w:eastAsia="zh-CN"/>
        </w:rPr>
        <w:tab/>
      </w:r>
    </w:p>
    <w:p w14:paraId="37F59E62">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评审活动遵循公平、公正、科学和择优的原则。</w:t>
      </w:r>
    </w:p>
    <w:p w14:paraId="7A0FE873">
      <w:pPr>
        <w:pageBreakBefore w:val="0"/>
        <w:widowControl/>
        <w:kinsoku/>
        <w:wordWrap/>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磋商小组对各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en-US"/>
        </w:rPr>
        <w:t>的响应文件进行详细评审。磋商小组按照</w:t>
      </w:r>
      <w:r>
        <w:rPr>
          <w:rFonts w:hint="eastAsia" w:ascii="宋体" w:hAnsi="宋体" w:eastAsia="宋体" w:cs="宋体"/>
          <w:color w:val="auto"/>
          <w:sz w:val="24"/>
          <w:szCs w:val="24"/>
          <w:highlight w:val="none"/>
          <w:lang w:val="en-US" w:eastAsia="zh-CN"/>
        </w:rPr>
        <w:t>最后</w:t>
      </w:r>
      <w:r>
        <w:rPr>
          <w:rFonts w:hint="eastAsia" w:ascii="宋体" w:hAnsi="宋体" w:eastAsia="宋体" w:cs="宋体"/>
          <w:color w:val="auto"/>
          <w:sz w:val="24"/>
          <w:szCs w:val="24"/>
          <w:highlight w:val="none"/>
          <w:lang w:val="en-US" w:eastAsia="en-US"/>
        </w:rPr>
        <w:t>得分的高低推荐成交候选人，推荐成交候选人</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en-US"/>
        </w:rPr>
        <w:t>人，并标明排列顺序。</w:t>
      </w:r>
    </w:p>
    <w:p w14:paraId="37F0A806">
      <w:pPr>
        <w:pageBreakBefore w:val="0"/>
        <w:widowControl/>
        <w:kinsoku/>
        <w:wordWrap/>
        <w:overflowPunct/>
        <w:topLinePunct w:val="0"/>
        <w:autoSpaceDE/>
        <w:autoSpaceDN/>
        <w:bidi w:val="0"/>
        <w:adjustRightInd w:val="0"/>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lang w:val="en-US" w:eastAsia="en-US"/>
        </w:rPr>
        <w:t>报告应当由磋商小组全体人员签字认可。磋商小组成员对</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lang w:val="en-US" w:eastAsia="en-US"/>
        </w:rPr>
        <w:t>报告有异议的，磋商小组按照少数服从多数的原则推荐成交候选供应商，采购程序继续进行。对</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lang w:val="en-US" w:eastAsia="en-US"/>
        </w:rPr>
        <w:t>报告有异议的磋商小组成员，应当在</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lang w:val="en-US" w:eastAsia="en-US"/>
        </w:rPr>
        <w:t>报告上签署不同意见并说明理由，由磋商小组书面记录相关情况。磋商小组成员拒绝在报告上签字又不书面说明其不同意见和理由的，视为同意评审报告。</w:t>
      </w:r>
    </w:p>
    <w:p w14:paraId="41792551">
      <w:pPr>
        <w:pStyle w:val="5"/>
        <w:pageBreakBefore w:val="0"/>
        <w:widowControl/>
        <w:numPr>
          <w:ilvl w:val="0"/>
          <w:numId w:val="0"/>
        </w:numPr>
        <w:kinsoku/>
        <w:wordWrap/>
        <w:overflowPunct/>
        <w:topLinePunct w:val="0"/>
        <w:autoSpaceDE/>
        <w:autoSpaceDN/>
        <w:bidi w:val="0"/>
        <w:adjustRightInd w:val="0"/>
        <w:snapToGrid w:val="0"/>
        <w:spacing w:before="0" w:beforeLines="0" w:beforeAutospacing="0" w:after="0" w:afterLines="0" w:afterAutospacing="0"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5.7 评审</w:t>
      </w:r>
    </w:p>
    <w:p w14:paraId="5D84BEB0">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b/>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磋商小组按照第三章“竞争性磋商办法”规定的方法、评审因素、标准和程序对响应文件进行评审。第三章“竞争性磋商办法”没有规定的方法、评审因素和标准，不作为评审依据。</w:t>
      </w:r>
      <w:bookmarkEnd w:id="211"/>
      <w:bookmarkEnd w:id="212"/>
      <w:bookmarkEnd w:id="213"/>
      <w:bookmarkEnd w:id="214"/>
      <w:bookmarkStart w:id="215" w:name="_Toc30516"/>
      <w:bookmarkStart w:id="216" w:name="_Toc27742"/>
      <w:bookmarkStart w:id="217" w:name="_Toc8818"/>
      <w:bookmarkStart w:id="218" w:name="_Toc4484"/>
      <w:bookmarkStart w:id="219" w:name="_Toc1728"/>
      <w:bookmarkStart w:id="220" w:name="_Toc12685"/>
    </w:p>
    <w:p w14:paraId="43AAB578">
      <w:pPr>
        <w:pStyle w:val="5"/>
        <w:pageBreakBefore w:val="0"/>
        <w:widowControl/>
        <w:numPr>
          <w:ilvl w:val="0"/>
          <w:numId w:val="0"/>
        </w:numPr>
        <w:kinsoku/>
        <w:wordWrap/>
        <w:overflowPunct/>
        <w:topLinePunct w:val="0"/>
        <w:autoSpaceDE/>
        <w:autoSpaceDN/>
        <w:bidi w:val="0"/>
        <w:adjustRightInd w:val="0"/>
        <w:snapToGrid w:val="0"/>
        <w:spacing w:before="0" w:beforeLines="0" w:beforeAutospacing="0" w:after="0" w:afterLines="0" w:afterAutospacing="0" w:line="360" w:lineRule="auto"/>
        <w:rPr>
          <w:rFonts w:hint="eastAsia" w:ascii="宋体" w:hAnsi="宋体" w:eastAsia="宋体" w:cs="宋体"/>
          <w:b/>
          <w:bCs w:val="0"/>
          <w:color w:val="auto"/>
          <w:sz w:val="24"/>
          <w:szCs w:val="24"/>
          <w:highlight w:val="none"/>
          <w:lang w:val="en-US" w:eastAsia="en-US"/>
        </w:rPr>
      </w:pPr>
      <w:r>
        <w:rPr>
          <w:rFonts w:hint="eastAsia" w:ascii="宋体" w:hAnsi="宋体" w:eastAsia="宋体" w:cs="宋体"/>
          <w:b/>
          <w:bCs w:val="0"/>
          <w:color w:val="auto"/>
          <w:sz w:val="24"/>
          <w:szCs w:val="24"/>
          <w:highlight w:val="none"/>
          <w:lang w:val="en-US" w:eastAsia="zh-CN"/>
        </w:rPr>
        <w:t>5.8</w:t>
      </w:r>
      <w:r>
        <w:rPr>
          <w:rFonts w:hint="eastAsia" w:ascii="宋体" w:hAnsi="宋体" w:eastAsia="宋体" w:cs="宋体"/>
          <w:b/>
          <w:bCs w:val="0"/>
          <w:color w:val="auto"/>
          <w:sz w:val="24"/>
          <w:szCs w:val="24"/>
          <w:highlight w:val="none"/>
          <w:lang w:val="en-US" w:eastAsia="en-US"/>
        </w:rPr>
        <w:t>评审过程的保密</w:t>
      </w:r>
      <w:bookmarkEnd w:id="215"/>
      <w:bookmarkEnd w:id="216"/>
      <w:bookmarkEnd w:id="217"/>
      <w:bookmarkEnd w:id="218"/>
      <w:bookmarkEnd w:id="219"/>
      <w:bookmarkEnd w:id="220"/>
    </w:p>
    <w:p w14:paraId="676AFE41">
      <w:pPr>
        <w:snapToGrid w:val="0"/>
        <w:spacing w:line="360" w:lineRule="auto"/>
        <w:ind w:firstLine="480" w:firstLineChars="200"/>
        <w:jc w:val="left"/>
        <w:rPr>
          <w:rFonts w:hint="eastAsia" w:ascii="宋体" w:hAnsi="宋体" w:eastAsia="宋体" w:cs="宋体"/>
          <w:color w:val="auto"/>
          <w:sz w:val="24"/>
          <w:szCs w:val="24"/>
        </w:rPr>
      </w:pPr>
      <w:bookmarkStart w:id="221" w:name="_Toc13605"/>
      <w:r>
        <w:rPr>
          <w:rFonts w:hint="eastAsia" w:ascii="宋体" w:hAnsi="宋体" w:eastAsia="宋体" w:cs="宋体"/>
          <w:color w:val="auto"/>
          <w:sz w:val="24"/>
          <w:szCs w:val="24"/>
        </w:rPr>
        <w:t>在磋商中，磋商的任何一方不得透露与磋商有关的其他供应商的技术资料、价格和其他信息。磋商开始后，直到授予供应商合同止，凡是属于审查、澄清、磋商和比较的有关资料以及成交</w:t>
      </w:r>
      <w:r>
        <w:rPr>
          <w:rFonts w:hint="eastAsia" w:ascii="宋体" w:hAnsi="宋体" w:eastAsia="宋体" w:cs="宋体"/>
          <w:color w:val="auto"/>
          <w:sz w:val="24"/>
          <w:szCs w:val="24"/>
          <w:lang w:val="en-US" w:eastAsia="zh-CN"/>
        </w:rPr>
        <w:t>意见</w:t>
      </w:r>
      <w:r>
        <w:rPr>
          <w:rFonts w:hint="eastAsia" w:ascii="宋体" w:hAnsi="宋体" w:eastAsia="宋体" w:cs="宋体"/>
          <w:color w:val="auto"/>
          <w:sz w:val="24"/>
          <w:szCs w:val="24"/>
        </w:rPr>
        <w:t>等均不向供应商或其他人员透露。</w:t>
      </w:r>
    </w:p>
    <w:p w14:paraId="475EA3AA">
      <w:pPr>
        <w:pStyle w:val="5"/>
        <w:pageBreakBefore w:val="0"/>
        <w:widowControl/>
        <w:numPr>
          <w:ilvl w:val="0"/>
          <w:numId w:val="0"/>
        </w:numPr>
        <w:kinsoku/>
        <w:wordWrap/>
        <w:overflowPunct/>
        <w:topLinePunct w:val="0"/>
        <w:autoSpaceDE/>
        <w:autoSpaceDN/>
        <w:bidi w:val="0"/>
        <w:adjustRightInd w:val="0"/>
        <w:snapToGrid w:val="0"/>
        <w:spacing w:before="0" w:beforeLines="0" w:beforeAutospacing="0" w:after="0" w:afterLines="0" w:afterAutospacing="0" w:line="360" w:lineRule="auto"/>
        <w:rPr>
          <w:rFonts w:hint="eastAsia" w:ascii="宋体" w:hAnsi="宋体" w:eastAsia="宋体" w:cs="宋体"/>
          <w:b/>
          <w:bCs w:val="0"/>
          <w:color w:val="auto"/>
          <w:sz w:val="24"/>
          <w:szCs w:val="24"/>
          <w:highlight w:val="none"/>
          <w:lang w:val="en-US" w:eastAsia="en-US"/>
        </w:rPr>
      </w:pPr>
      <w:r>
        <w:rPr>
          <w:rFonts w:hint="eastAsia" w:ascii="宋体" w:hAnsi="宋体" w:eastAsia="宋体" w:cs="宋体"/>
          <w:b/>
          <w:bCs w:val="0"/>
          <w:color w:val="auto"/>
          <w:sz w:val="24"/>
          <w:szCs w:val="24"/>
          <w:highlight w:val="none"/>
          <w:lang w:val="en-US" w:eastAsia="zh-CN"/>
        </w:rPr>
        <w:t>5.9</w:t>
      </w:r>
      <w:r>
        <w:rPr>
          <w:rFonts w:hint="eastAsia" w:ascii="宋体" w:hAnsi="宋体" w:eastAsia="宋体" w:cs="宋体"/>
          <w:b/>
          <w:bCs w:val="0"/>
          <w:color w:val="auto"/>
          <w:sz w:val="24"/>
          <w:szCs w:val="24"/>
          <w:highlight w:val="none"/>
          <w:lang w:val="en-US" w:eastAsia="en-US"/>
        </w:rPr>
        <w:t>出现下列情形之一的，项目终止</w:t>
      </w:r>
      <w:bookmarkEnd w:id="221"/>
    </w:p>
    <w:p w14:paraId="3AD8F1F6">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（1）因情况变化，不再符合规定的竞争性磋商采购方式适用情形的；</w:t>
      </w:r>
    </w:p>
    <w:p w14:paraId="7BB0A5A6">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（2）出现影响采购公正的违法、违规行为的；</w:t>
      </w:r>
    </w:p>
    <w:p w14:paraId="52256CB9">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（3）在采购过程中符合竞争要求的供应商或者报价未超过</w:t>
      </w:r>
      <w:r>
        <w:rPr>
          <w:rFonts w:hint="eastAsia" w:ascii="宋体" w:hAnsi="宋体" w:eastAsia="宋体" w:cs="宋体"/>
          <w:color w:val="auto"/>
          <w:sz w:val="24"/>
          <w:szCs w:val="24"/>
          <w:highlight w:val="none"/>
          <w:lang w:val="en-US" w:eastAsia="zh-CN"/>
        </w:rPr>
        <w:t>最高限价</w:t>
      </w:r>
      <w:r>
        <w:rPr>
          <w:rFonts w:hint="eastAsia" w:ascii="宋体" w:hAnsi="宋体" w:eastAsia="宋体" w:cs="宋体"/>
          <w:color w:val="auto"/>
          <w:sz w:val="24"/>
          <w:szCs w:val="24"/>
          <w:highlight w:val="none"/>
          <w:lang w:val="en-US" w:eastAsia="en-US"/>
        </w:rPr>
        <w:t>的供应商不足3家的。</w:t>
      </w:r>
    </w:p>
    <w:p w14:paraId="505D5E42">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en-US" w:eastAsia="en-US"/>
        </w:rPr>
        <w:t>注：在采购活动中因重大变故，采购任务取消的，采购活动终止。</w:t>
      </w:r>
    </w:p>
    <w:p w14:paraId="4E69250D">
      <w:pPr>
        <w:pStyle w:val="3"/>
        <w:bidi w:val="0"/>
        <w:jc w:val="center"/>
        <w:rPr>
          <w:rFonts w:hint="eastAsia"/>
        </w:rPr>
      </w:pPr>
      <w:bookmarkStart w:id="222" w:name="_Toc427309383"/>
      <w:bookmarkStart w:id="223" w:name="_Toc21344"/>
      <w:bookmarkStart w:id="224" w:name="_Toc31705"/>
      <w:bookmarkStart w:id="225" w:name="_Toc27758"/>
      <w:bookmarkStart w:id="226" w:name="_Toc28347"/>
      <w:r>
        <w:rPr>
          <w:rFonts w:hint="eastAsia"/>
          <w:lang w:val="en-US" w:eastAsia="zh-CN"/>
        </w:rPr>
        <w:t>6</w:t>
      </w:r>
      <w:r>
        <w:rPr>
          <w:rFonts w:hint="eastAsia"/>
        </w:rPr>
        <w:t>.</w:t>
      </w:r>
      <w:bookmarkEnd w:id="222"/>
      <w:bookmarkEnd w:id="223"/>
      <w:r>
        <w:rPr>
          <w:rFonts w:hint="eastAsia"/>
        </w:rPr>
        <w:t>成交通知书及合同的授予</w:t>
      </w:r>
      <w:bookmarkEnd w:id="224"/>
      <w:bookmarkEnd w:id="225"/>
      <w:bookmarkEnd w:id="226"/>
    </w:p>
    <w:p w14:paraId="5ADF471F">
      <w:pPr>
        <w:pStyle w:val="5"/>
        <w:pageBreakBefore w:val="0"/>
        <w:widowControl/>
        <w:numPr>
          <w:ilvl w:val="0"/>
          <w:numId w:val="0"/>
        </w:numPr>
        <w:kinsoku/>
        <w:wordWrap/>
        <w:overflowPunct/>
        <w:topLinePunct w:val="0"/>
        <w:autoSpaceDE/>
        <w:autoSpaceDN/>
        <w:bidi w:val="0"/>
        <w:adjustRightInd w:val="0"/>
        <w:snapToGrid w:val="0"/>
        <w:spacing w:before="0" w:beforeLines="0" w:beforeAutospacing="0" w:after="0" w:afterLines="0" w:afterAutospacing="0" w:line="360" w:lineRule="auto"/>
        <w:rPr>
          <w:rFonts w:hint="eastAsia" w:ascii="宋体" w:hAnsi="宋体" w:eastAsia="宋体" w:cs="宋体"/>
          <w:b/>
          <w:bCs w:val="0"/>
          <w:color w:val="auto"/>
          <w:sz w:val="24"/>
          <w:szCs w:val="24"/>
          <w:highlight w:val="none"/>
          <w:lang w:val="en-US" w:eastAsia="en-US"/>
        </w:rPr>
      </w:pPr>
      <w:r>
        <w:rPr>
          <w:rFonts w:hint="eastAsia" w:ascii="宋体" w:hAnsi="宋体" w:eastAsia="宋体" w:cs="宋体"/>
          <w:b/>
          <w:bCs w:val="0"/>
          <w:color w:val="auto"/>
          <w:sz w:val="24"/>
          <w:szCs w:val="24"/>
          <w:highlight w:val="none"/>
          <w:lang w:val="en-US" w:eastAsia="zh-CN"/>
        </w:rPr>
        <w:t>6.1</w:t>
      </w:r>
      <w:r>
        <w:rPr>
          <w:rFonts w:hint="eastAsia" w:ascii="宋体" w:hAnsi="宋体" w:eastAsia="宋体" w:cs="宋体"/>
          <w:b/>
          <w:bCs w:val="0"/>
          <w:color w:val="auto"/>
          <w:sz w:val="24"/>
          <w:szCs w:val="24"/>
          <w:highlight w:val="none"/>
          <w:lang w:val="en-US" w:eastAsia="en-US"/>
        </w:rPr>
        <w:t>成交人的确定</w:t>
      </w:r>
    </w:p>
    <w:p w14:paraId="7AEFD94D">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en-US"/>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en-US"/>
        </w:rPr>
        <w:t>采购代理机构在评审结束后2个工作日内将评审报告送采购人确认。</w:t>
      </w:r>
    </w:p>
    <w:p w14:paraId="0C0CD2E9">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6.2.</w:t>
      </w:r>
      <w:r>
        <w:rPr>
          <w:rFonts w:hint="eastAsia" w:ascii="宋体" w:hAnsi="宋体" w:eastAsia="宋体" w:cs="宋体"/>
          <w:color w:val="auto"/>
          <w:sz w:val="24"/>
          <w:szCs w:val="24"/>
          <w:highlight w:val="none"/>
          <w:lang w:val="en-US" w:eastAsia="en-US"/>
        </w:rPr>
        <w:t>采购人应当在收到评审报告后5个工作日内，从评审报告提出的成交候选人中，按照综合得分由高到低的的原则确定成交</w:t>
      </w:r>
      <w:r>
        <w:rPr>
          <w:rFonts w:hint="eastAsia" w:ascii="宋体" w:hAnsi="宋体" w:eastAsia="宋体" w:cs="宋体"/>
          <w:color w:val="auto"/>
          <w:sz w:val="24"/>
          <w:szCs w:val="24"/>
        </w:rPr>
        <w:t>供应商</w:t>
      </w:r>
      <w:r>
        <w:rPr>
          <w:rFonts w:hint="eastAsia" w:ascii="宋体" w:hAnsi="宋体" w:eastAsia="宋体" w:cs="宋体"/>
          <w:color w:val="auto"/>
          <w:sz w:val="24"/>
          <w:szCs w:val="24"/>
          <w:highlight w:val="none"/>
          <w:lang w:val="en-US" w:eastAsia="en-US"/>
        </w:rPr>
        <w:t>。</w:t>
      </w:r>
    </w:p>
    <w:p w14:paraId="29AAA7B2">
      <w:pPr>
        <w:pStyle w:val="5"/>
        <w:pageBreakBefore w:val="0"/>
        <w:widowControl/>
        <w:numPr>
          <w:ilvl w:val="0"/>
          <w:numId w:val="0"/>
        </w:numPr>
        <w:kinsoku/>
        <w:wordWrap/>
        <w:overflowPunct/>
        <w:topLinePunct w:val="0"/>
        <w:autoSpaceDE/>
        <w:autoSpaceDN/>
        <w:bidi w:val="0"/>
        <w:adjustRightInd w:val="0"/>
        <w:snapToGrid w:val="0"/>
        <w:spacing w:before="0" w:beforeLines="0" w:beforeAutospacing="0" w:after="0" w:afterLines="0" w:afterAutospacing="0" w:line="360" w:lineRule="auto"/>
        <w:rPr>
          <w:rFonts w:hint="eastAsia" w:ascii="宋体" w:hAnsi="宋体" w:eastAsia="宋体" w:cs="宋体"/>
          <w:b/>
          <w:bCs w:val="0"/>
          <w:color w:val="auto"/>
          <w:sz w:val="24"/>
          <w:szCs w:val="24"/>
          <w:highlight w:val="none"/>
          <w:lang w:val="en-US" w:eastAsia="en-US"/>
        </w:rPr>
      </w:pPr>
      <w:r>
        <w:rPr>
          <w:rFonts w:hint="eastAsia" w:ascii="宋体" w:hAnsi="宋体" w:eastAsia="宋体" w:cs="宋体"/>
          <w:b/>
          <w:bCs w:val="0"/>
          <w:color w:val="auto"/>
          <w:sz w:val="24"/>
          <w:szCs w:val="24"/>
          <w:highlight w:val="none"/>
          <w:lang w:val="en-US" w:eastAsia="zh-CN"/>
        </w:rPr>
        <w:t>6.2</w:t>
      </w:r>
      <w:r>
        <w:rPr>
          <w:rFonts w:hint="eastAsia" w:ascii="宋体" w:hAnsi="宋体" w:eastAsia="宋体" w:cs="宋体"/>
          <w:b/>
          <w:bCs w:val="0"/>
          <w:color w:val="auto"/>
          <w:sz w:val="24"/>
          <w:szCs w:val="24"/>
          <w:highlight w:val="none"/>
          <w:lang w:val="en-US" w:eastAsia="en-US"/>
        </w:rPr>
        <w:t>成交通知书</w:t>
      </w:r>
    </w:p>
    <w:p w14:paraId="1357FBAB">
      <w:pPr>
        <w:snapToGri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snapToGrid/>
          <w:color w:val="auto"/>
          <w:kern w:val="0"/>
          <w:sz w:val="24"/>
          <w:szCs w:val="24"/>
          <w:highlight w:val="none"/>
          <w:lang w:val="en-US" w:eastAsia="zh-CN"/>
        </w:rPr>
        <w:t>6.2.1</w:t>
      </w:r>
      <w:r>
        <w:rPr>
          <w:rFonts w:hint="eastAsia" w:ascii="宋体" w:hAnsi="宋体" w:eastAsia="宋体" w:cs="宋体"/>
          <w:color w:val="auto"/>
          <w:sz w:val="24"/>
          <w:szCs w:val="24"/>
        </w:rPr>
        <w:t>采购代理机构将在成交供应商确定后2个工作日内，在云南省政府采购网上公告,同时向成交供应商发出成交通知书。</w:t>
      </w:r>
    </w:p>
    <w:p w14:paraId="47C09B4C">
      <w:pPr>
        <w:pageBreakBefore w:val="0"/>
        <w:widowControl/>
        <w:kinsoku/>
        <w:wordWrap/>
        <w:overflowPunct/>
        <w:topLinePunct w:val="0"/>
        <w:autoSpaceDE/>
        <w:autoSpaceDN/>
        <w:bidi w:val="0"/>
        <w:adjustRightInd w:val="0"/>
        <w:snapToGrid w:val="0"/>
        <w:spacing w:line="360" w:lineRule="auto"/>
        <w:ind w:firstLine="420" w:firstLineChars="175"/>
        <w:jc w:val="left"/>
        <w:textAlignment w:val="auto"/>
        <w:rPr>
          <w:rFonts w:hint="eastAsia" w:ascii="宋体" w:hAnsi="宋体" w:eastAsia="宋体" w:cs="宋体"/>
          <w:snapToGrid/>
          <w:color w:val="auto"/>
          <w:kern w:val="0"/>
          <w:sz w:val="24"/>
          <w:szCs w:val="24"/>
          <w:highlight w:val="none"/>
          <w:lang w:val="en-US" w:eastAsia="zh-CN"/>
        </w:rPr>
      </w:pPr>
      <w:r>
        <w:rPr>
          <w:rFonts w:hint="eastAsia" w:ascii="宋体" w:hAnsi="宋体" w:eastAsia="宋体" w:cs="宋体"/>
          <w:snapToGrid/>
          <w:color w:val="auto"/>
          <w:kern w:val="0"/>
          <w:sz w:val="24"/>
          <w:szCs w:val="24"/>
          <w:highlight w:val="none"/>
          <w:lang w:val="en-US" w:eastAsia="zh-CN"/>
        </w:rPr>
        <w:t>6.2.2成交通知书是合同的一个组成部分。</w:t>
      </w:r>
    </w:p>
    <w:p w14:paraId="0AF505E8">
      <w:pPr>
        <w:pageBreakBefore w:val="0"/>
        <w:widowControl/>
        <w:kinsoku/>
        <w:wordWrap/>
        <w:overflowPunct/>
        <w:topLinePunct w:val="0"/>
        <w:autoSpaceDE/>
        <w:autoSpaceDN/>
        <w:bidi w:val="0"/>
        <w:adjustRightInd w:val="0"/>
        <w:snapToGrid w:val="0"/>
        <w:spacing w:line="360" w:lineRule="auto"/>
        <w:ind w:firstLine="420" w:firstLineChars="175"/>
        <w:jc w:val="left"/>
        <w:textAlignment w:val="auto"/>
        <w:rPr>
          <w:rFonts w:hint="eastAsia" w:ascii="宋体" w:hAnsi="宋体" w:eastAsia="宋体" w:cs="宋体"/>
          <w:snapToGrid/>
          <w:color w:val="auto"/>
          <w:kern w:val="0"/>
          <w:sz w:val="24"/>
          <w:szCs w:val="24"/>
          <w:highlight w:val="none"/>
          <w:lang w:val="en-US" w:eastAsia="zh-CN"/>
        </w:rPr>
      </w:pPr>
      <w:r>
        <w:rPr>
          <w:rFonts w:hint="eastAsia" w:ascii="宋体" w:hAnsi="宋体" w:eastAsia="宋体" w:cs="宋体"/>
          <w:snapToGrid/>
          <w:color w:val="auto"/>
          <w:kern w:val="0"/>
          <w:sz w:val="24"/>
          <w:szCs w:val="24"/>
          <w:highlight w:val="none"/>
          <w:lang w:val="en-US" w:eastAsia="zh-CN"/>
        </w:rPr>
        <w:t>6.2.3</w:t>
      </w:r>
      <w:r>
        <w:rPr>
          <w:rFonts w:hint="eastAsia" w:ascii="宋体" w:hAnsi="宋体" w:eastAsia="宋体" w:cs="宋体"/>
          <w:color w:val="auto"/>
          <w:sz w:val="24"/>
          <w:szCs w:val="24"/>
        </w:rPr>
        <w:t>除不可抗力等因素外，成交通知书发出后，采购人改变成交结果，或者成交供应商拒绝签订政府采购合同的，应当承担相应的法律责任。</w:t>
      </w:r>
    </w:p>
    <w:p w14:paraId="6C2E2232">
      <w:pPr>
        <w:pageBreakBefore w:val="0"/>
        <w:widowControl/>
        <w:kinsoku/>
        <w:wordWrap/>
        <w:overflowPunct/>
        <w:topLinePunct w:val="0"/>
        <w:autoSpaceDE/>
        <w:autoSpaceDN/>
        <w:bidi w:val="0"/>
        <w:adjustRightInd w:val="0"/>
        <w:snapToGrid w:val="0"/>
        <w:spacing w:line="360" w:lineRule="auto"/>
        <w:ind w:firstLine="420" w:firstLineChars="175"/>
        <w:jc w:val="left"/>
        <w:textAlignment w:val="auto"/>
        <w:rPr>
          <w:rFonts w:hint="eastAsia" w:ascii="宋体" w:hAnsi="宋体" w:eastAsia="宋体" w:cs="宋体"/>
          <w:snapToGrid/>
          <w:color w:val="auto"/>
          <w:kern w:val="0"/>
          <w:sz w:val="24"/>
          <w:szCs w:val="24"/>
          <w:highlight w:val="none"/>
          <w:lang w:val="en-US" w:eastAsia="zh-CN"/>
        </w:rPr>
      </w:pPr>
      <w:r>
        <w:rPr>
          <w:rFonts w:hint="eastAsia" w:ascii="宋体" w:hAnsi="宋体" w:eastAsia="宋体" w:cs="宋体"/>
          <w:snapToGrid/>
          <w:color w:val="auto"/>
          <w:kern w:val="0"/>
          <w:sz w:val="24"/>
          <w:szCs w:val="24"/>
          <w:highlight w:val="none"/>
          <w:lang w:val="en-US" w:eastAsia="zh-CN"/>
        </w:rPr>
        <w:t>6.2.4采购代理机构无义务向未成交人解释未成交原因和退回磋商响应文件。</w:t>
      </w:r>
    </w:p>
    <w:p w14:paraId="11922CF8">
      <w:pPr>
        <w:spacing w:line="360" w:lineRule="auto"/>
        <w:rPr>
          <w:rFonts w:hint="eastAsia" w:ascii="宋体" w:hAnsi="宋体"/>
          <w:b/>
          <w:sz w:val="24"/>
          <w:szCs w:val="24"/>
          <w:highlight w:val="none"/>
        </w:rPr>
      </w:pPr>
      <w:bookmarkStart w:id="227" w:name="_Toc7193"/>
      <w:r>
        <w:rPr>
          <w:rFonts w:hint="eastAsia" w:ascii="宋体" w:hAnsi="宋体"/>
          <w:b/>
          <w:sz w:val="24"/>
          <w:szCs w:val="24"/>
          <w:highlight w:val="none"/>
          <w:lang w:val="en-US" w:eastAsia="zh-CN"/>
        </w:rPr>
        <w:t>6.3</w:t>
      </w:r>
      <w:r>
        <w:rPr>
          <w:rFonts w:hint="eastAsia" w:ascii="宋体" w:hAnsi="宋体"/>
          <w:b/>
          <w:sz w:val="24"/>
          <w:szCs w:val="24"/>
          <w:highlight w:val="none"/>
        </w:rPr>
        <w:t xml:space="preserve"> 履约保证金</w:t>
      </w:r>
      <w:bookmarkEnd w:id="227"/>
    </w:p>
    <w:p w14:paraId="0124BB63">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lang w:val="en-US" w:eastAsia="zh-CN"/>
        </w:rPr>
        <w:t>6.3</w:t>
      </w:r>
      <w:r>
        <w:rPr>
          <w:rFonts w:hint="eastAsia" w:ascii="宋体" w:hAnsi="宋体"/>
          <w:sz w:val="24"/>
          <w:szCs w:val="24"/>
          <w:highlight w:val="none"/>
        </w:rPr>
        <w:t>.1 在签订合同前，</w:t>
      </w:r>
      <w:r>
        <w:rPr>
          <w:rFonts w:hint="eastAsia" w:ascii="宋体" w:hAnsi="宋体"/>
          <w:sz w:val="24"/>
          <w:szCs w:val="24"/>
          <w:highlight w:val="none"/>
          <w:lang w:val="en-US" w:eastAsia="zh-CN"/>
        </w:rPr>
        <w:t>成交</w:t>
      </w:r>
      <w:r>
        <w:rPr>
          <w:rFonts w:hint="eastAsia" w:ascii="宋体" w:hAnsi="宋体"/>
          <w:sz w:val="24"/>
          <w:szCs w:val="24"/>
          <w:highlight w:val="none"/>
        </w:rPr>
        <w:t>人应按</w:t>
      </w:r>
      <w:r>
        <w:rPr>
          <w:rFonts w:hint="eastAsia" w:ascii="宋体" w:hAnsi="宋体" w:eastAsia="宋体" w:cs="宋体"/>
          <w:color w:val="auto"/>
          <w:sz w:val="24"/>
          <w:szCs w:val="24"/>
          <w:highlight w:val="none"/>
          <w:lang w:val="en-US" w:eastAsia="zh-CN"/>
        </w:rPr>
        <w:t>供应商须知前附表</w:t>
      </w:r>
      <w:r>
        <w:rPr>
          <w:rFonts w:hint="eastAsia" w:ascii="宋体" w:hAnsi="宋体"/>
          <w:sz w:val="24"/>
          <w:szCs w:val="24"/>
          <w:highlight w:val="none"/>
        </w:rPr>
        <w:t>规定的形式、金额向采购人提交履约保证金。联合体中标的，其履约保证金以联合体各方或者联合体中牵头人的名义提交。</w:t>
      </w:r>
    </w:p>
    <w:p w14:paraId="0EBC036E">
      <w:pPr>
        <w:spacing w:line="360" w:lineRule="auto"/>
        <w:ind w:firstLine="480" w:firstLineChars="200"/>
        <w:rPr>
          <w:rFonts w:hint="eastAsia" w:ascii="宋体" w:hAnsi="宋体" w:eastAsia="宋体" w:cs="宋体"/>
          <w:snapToGrid/>
          <w:color w:val="auto"/>
          <w:kern w:val="0"/>
          <w:sz w:val="24"/>
          <w:szCs w:val="24"/>
          <w:highlight w:val="none"/>
          <w:lang w:val="en-US" w:eastAsia="zh-CN"/>
        </w:rPr>
      </w:pPr>
      <w:r>
        <w:rPr>
          <w:rFonts w:hint="eastAsia" w:ascii="宋体" w:hAnsi="宋体"/>
          <w:sz w:val="24"/>
          <w:szCs w:val="24"/>
          <w:highlight w:val="none"/>
          <w:lang w:val="en-US" w:eastAsia="zh-CN"/>
        </w:rPr>
        <w:t>6.3</w:t>
      </w:r>
      <w:r>
        <w:rPr>
          <w:rFonts w:hint="eastAsia" w:ascii="宋体" w:hAnsi="宋体"/>
          <w:sz w:val="24"/>
          <w:szCs w:val="24"/>
          <w:highlight w:val="none"/>
        </w:rPr>
        <w:t xml:space="preserve">.2 </w:t>
      </w:r>
      <w:r>
        <w:rPr>
          <w:rFonts w:hint="eastAsia" w:ascii="宋体" w:hAnsi="宋体"/>
          <w:sz w:val="24"/>
          <w:szCs w:val="24"/>
          <w:highlight w:val="none"/>
          <w:lang w:val="en-US" w:eastAsia="zh-CN"/>
        </w:rPr>
        <w:t>成交</w:t>
      </w:r>
      <w:r>
        <w:rPr>
          <w:rFonts w:hint="eastAsia" w:ascii="宋体" w:hAnsi="宋体"/>
          <w:sz w:val="24"/>
          <w:szCs w:val="24"/>
          <w:highlight w:val="none"/>
        </w:rPr>
        <w:t>人不能按本章第</w:t>
      </w:r>
      <w:r>
        <w:rPr>
          <w:rFonts w:hint="eastAsia" w:ascii="宋体" w:hAnsi="宋体"/>
          <w:sz w:val="24"/>
          <w:szCs w:val="24"/>
          <w:highlight w:val="none"/>
          <w:lang w:val="en-US" w:eastAsia="zh-CN"/>
        </w:rPr>
        <w:t>6</w:t>
      </w:r>
      <w:r>
        <w:rPr>
          <w:rFonts w:hint="eastAsia" w:ascii="宋体" w:hAnsi="宋体"/>
          <w:sz w:val="24"/>
          <w:szCs w:val="24"/>
          <w:highlight w:val="none"/>
        </w:rPr>
        <w:t>.4.1项要求提交履约保证金的，视为放弃中标，给采购人造成的损失应当予以赔偿。</w:t>
      </w:r>
    </w:p>
    <w:p w14:paraId="1DFE2A9E">
      <w:pPr>
        <w:pStyle w:val="5"/>
        <w:pageBreakBefore w:val="0"/>
        <w:widowControl/>
        <w:numPr>
          <w:ilvl w:val="0"/>
          <w:numId w:val="0"/>
        </w:numPr>
        <w:kinsoku/>
        <w:wordWrap/>
        <w:overflowPunct/>
        <w:topLinePunct w:val="0"/>
        <w:autoSpaceDE/>
        <w:autoSpaceDN/>
        <w:bidi w:val="0"/>
        <w:adjustRightInd w:val="0"/>
        <w:snapToGrid w:val="0"/>
        <w:spacing w:before="0" w:beforeLines="0" w:beforeAutospacing="0" w:after="0" w:afterLines="0" w:afterAutospacing="0"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6.4签订合同</w:t>
      </w:r>
    </w:p>
    <w:p w14:paraId="7C9EDD3A">
      <w:pPr>
        <w:pageBreakBefore w:val="0"/>
        <w:widowControl/>
        <w:kinsoku/>
        <w:wordWrap/>
        <w:overflowPunct/>
        <w:topLinePunct w:val="0"/>
        <w:autoSpaceDE/>
        <w:autoSpaceDN/>
        <w:bidi w:val="0"/>
        <w:adjustRightInd w:val="0"/>
        <w:snapToGrid w:val="0"/>
        <w:spacing w:line="360" w:lineRule="auto"/>
        <w:ind w:firstLine="420" w:firstLineChars="175"/>
        <w:jc w:val="left"/>
        <w:textAlignment w:val="auto"/>
        <w:rPr>
          <w:rFonts w:hint="eastAsia" w:ascii="宋体" w:hAnsi="宋体" w:eastAsia="宋体" w:cs="宋体"/>
          <w:snapToGrid/>
          <w:color w:val="auto"/>
          <w:kern w:val="0"/>
          <w:sz w:val="24"/>
          <w:szCs w:val="24"/>
          <w:highlight w:val="none"/>
          <w:lang w:val="en-US" w:eastAsia="zh-CN"/>
        </w:rPr>
      </w:pPr>
      <w:bookmarkStart w:id="228" w:name="_Toc6043"/>
      <w:r>
        <w:rPr>
          <w:rFonts w:hint="eastAsia" w:ascii="宋体" w:hAnsi="宋体" w:eastAsia="宋体" w:cs="宋体"/>
          <w:snapToGrid/>
          <w:color w:val="auto"/>
          <w:kern w:val="0"/>
          <w:sz w:val="24"/>
          <w:szCs w:val="24"/>
          <w:highlight w:val="none"/>
          <w:lang w:val="en-US" w:eastAsia="zh-CN"/>
        </w:rPr>
        <w:t>6.4.1采购人与成交供应商应当在成交通知书发出之日起30日内签订政府采购合同。</w:t>
      </w:r>
    </w:p>
    <w:p w14:paraId="5CBDD92B">
      <w:pPr>
        <w:pageBreakBefore w:val="0"/>
        <w:widowControl/>
        <w:kinsoku/>
        <w:wordWrap/>
        <w:overflowPunct/>
        <w:topLinePunct w:val="0"/>
        <w:autoSpaceDE/>
        <w:autoSpaceDN/>
        <w:bidi w:val="0"/>
        <w:adjustRightInd w:val="0"/>
        <w:snapToGrid w:val="0"/>
        <w:spacing w:line="360" w:lineRule="auto"/>
        <w:ind w:firstLine="420" w:firstLineChars="175"/>
        <w:jc w:val="left"/>
        <w:textAlignment w:val="auto"/>
        <w:rPr>
          <w:rFonts w:hint="eastAsia" w:ascii="宋体" w:hAnsi="宋体" w:eastAsia="宋体" w:cs="宋体"/>
          <w:snapToGrid/>
          <w:color w:val="auto"/>
          <w:kern w:val="0"/>
          <w:sz w:val="24"/>
          <w:szCs w:val="24"/>
          <w:highlight w:val="none"/>
          <w:lang w:val="en-US" w:eastAsia="zh-CN"/>
        </w:rPr>
      </w:pPr>
      <w:r>
        <w:rPr>
          <w:rFonts w:hint="eastAsia" w:ascii="宋体" w:hAnsi="宋体" w:eastAsia="宋体" w:cs="宋体"/>
          <w:snapToGrid/>
          <w:color w:val="auto"/>
          <w:kern w:val="0"/>
          <w:sz w:val="24"/>
          <w:szCs w:val="24"/>
          <w:highlight w:val="none"/>
          <w:lang w:val="en-US" w:eastAsia="zh-CN"/>
        </w:rPr>
        <w:t>6.4.2采购人不得向成交供应商提出超出竞争性磋商文件以外的任何要求作为签订合同的条件，不得与成交供应商订立背离竞争性磋商文件确定的合同文本以及采购标的、规格型号、采购金额、采购数量、技术和服务要求等实质性内容的协议。</w:t>
      </w:r>
    </w:p>
    <w:p w14:paraId="7E56551A">
      <w:pPr>
        <w:pageBreakBefore w:val="0"/>
        <w:widowControl/>
        <w:kinsoku/>
        <w:wordWrap/>
        <w:overflowPunct/>
        <w:topLinePunct w:val="0"/>
        <w:autoSpaceDE/>
        <w:autoSpaceDN/>
        <w:bidi w:val="0"/>
        <w:adjustRightInd w:val="0"/>
        <w:snapToGrid w:val="0"/>
        <w:spacing w:line="360" w:lineRule="auto"/>
        <w:ind w:firstLine="420" w:firstLineChars="175"/>
        <w:jc w:val="left"/>
        <w:textAlignment w:val="auto"/>
        <w:rPr>
          <w:rFonts w:hint="eastAsia" w:ascii="宋体" w:hAnsi="宋体" w:eastAsia="宋体" w:cs="宋体"/>
          <w:snapToGrid/>
          <w:color w:val="auto"/>
          <w:kern w:val="0"/>
          <w:sz w:val="24"/>
          <w:szCs w:val="24"/>
          <w:highlight w:val="none"/>
          <w:lang w:val="en-US" w:eastAsia="zh-CN"/>
        </w:rPr>
      </w:pPr>
      <w:r>
        <w:rPr>
          <w:rFonts w:hint="eastAsia" w:ascii="宋体" w:hAnsi="宋体" w:eastAsia="宋体" w:cs="宋体"/>
          <w:snapToGrid/>
          <w:color w:val="auto"/>
          <w:kern w:val="0"/>
          <w:sz w:val="24"/>
          <w:szCs w:val="24"/>
          <w:highlight w:val="none"/>
          <w:lang w:val="en-US" w:eastAsia="zh-CN"/>
        </w:rPr>
        <w:t>6.4.3成交供应商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14:paraId="6646615D">
      <w:pPr>
        <w:pStyle w:val="3"/>
        <w:bidi w:val="0"/>
        <w:jc w:val="center"/>
        <w:rPr>
          <w:rFonts w:hint="eastAsia"/>
        </w:rPr>
      </w:pPr>
      <w:bookmarkStart w:id="229" w:name="_Toc12485"/>
      <w:bookmarkStart w:id="230" w:name="_Toc28148"/>
      <w:bookmarkStart w:id="231" w:name="_Toc13340"/>
      <w:r>
        <w:rPr>
          <w:rFonts w:hint="eastAsia"/>
          <w:lang w:val="en-US" w:eastAsia="zh-CN"/>
        </w:rPr>
        <w:t>7</w:t>
      </w:r>
      <w:r>
        <w:rPr>
          <w:rFonts w:hint="eastAsia"/>
        </w:rPr>
        <w:t xml:space="preserve">. </w:t>
      </w:r>
      <w:bookmarkEnd w:id="228"/>
      <w:r>
        <w:rPr>
          <w:rFonts w:hint="eastAsia"/>
          <w:lang w:val="en-US" w:eastAsia="zh-CN"/>
        </w:rPr>
        <w:t>其他事项</w:t>
      </w:r>
      <w:bookmarkEnd w:id="229"/>
      <w:bookmarkEnd w:id="230"/>
      <w:bookmarkEnd w:id="231"/>
    </w:p>
    <w:p w14:paraId="0B1413C4">
      <w:pPr>
        <w:pStyle w:val="5"/>
        <w:pageBreakBefore w:val="0"/>
        <w:widowControl/>
        <w:numPr>
          <w:ilvl w:val="0"/>
          <w:numId w:val="0"/>
        </w:numPr>
        <w:kinsoku/>
        <w:wordWrap/>
        <w:overflowPunct/>
        <w:topLinePunct w:val="0"/>
        <w:autoSpaceDE/>
        <w:autoSpaceDN/>
        <w:bidi w:val="0"/>
        <w:adjustRightInd w:val="0"/>
        <w:snapToGrid w:val="0"/>
        <w:spacing w:before="0" w:beforeLines="0" w:beforeAutospacing="0" w:after="0" w:afterLines="0" w:afterAutospacing="0" w:line="360" w:lineRule="auto"/>
        <w:rPr>
          <w:rFonts w:hint="eastAsia" w:ascii="宋体" w:hAnsi="宋体" w:eastAsia="宋体" w:cs="宋体"/>
          <w:b/>
          <w:bCs w:val="0"/>
          <w:color w:val="auto"/>
          <w:sz w:val="24"/>
          <w:szCs w:val="24"/>
          <w:highlight w:val="none"/>
          <w:lang w:val="en-US" w:eastAsia="en-US"/>
        </w:rPr>
      </w:pPr>
      <w:r>
        <w:rPr>
          <w:rFonts w:hint="eastAsia" w:ascii="宋体" w:hAnsi="宋体" w:eastAsia="宋体" w:cs="宋体"/>
          <w:b/>
          <w:bCs w:val="0"/>
          <w:color w:val="auto"/>
          <w:sz w:val="24"/>
          <w:szCs w:val="24"/>
          <w:highlight w:val="none"/>
          <w:lang w:val="en-US" w:eastAsia="zh-CN"/>
        </w:rPr>
        <w:t>7</w:t>
      </w:r>
      <w:r>
        <w:rPr>
          <w:rFonts w:hint="eastAsia" w:ascii="宋体" w:hAnsi="宋体" w:eastAsia="宋体" w:cs="宋体"/>
          <w:b/>
          <w:bCs w:val="0"/>
          <w:color w:val="auto"/>
          <w:sz w:val="24"/>
          <w:szCs w:val="24"/>
          <w:highlight w:val="none"/>
          <w:lang w:val="en-US" w:eastAsia="en-US"/>
        </w:rPr>
        <w:t>.1 对采购人的纪律要求</w:t>
      </w:r>
    </w:p>
    <w:p w14:paraId="30A87191">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采购人不得泄漏</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val="en-US" w:eastAsia="en-US"/>
        </w:rPr>
        <w:t>活动中应当保密的情况和资料，不得与</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en-US"/>
        </w:rPr>
        <w:t>串通损害国家利益、社会公共利益或者他人合法权益。</w:t>
      </w:r>
    </w:p>
    <w:p w14:paraId="2CCFF2D6">
      <w:pPr>
        <w:pStyle w:val="5"/>
        <w:pageBreakBefore w:val="0"/>
        <w:widowControl/>
        <w:numPr>
          <w:ilvl w:val="0"/>
          <w:numId w:val="0"/>
        </w:numPr>
        <w:kinsoku/>
        <w:wordWrap/>
        <w:overflowPunct/>
        <w:topLinePunct w:val="0"/>
        <w:autoSpaceDE/>
        <w:autoSpaceDN/>
        <w:bidi w:val="0"/>
        <w:adjustRightInd w:val="0"/>
        <w:snapToGrid w:val="0"/>
        <w:spacing w:before="0" w:beforeLines="0" w:beforeAutospacing="0" w:after="0" w:afterLines="0" w:afterAutospacing="0" w:line="360" w:lineRule="auto"/>
        <w:rPr>
          <w:rFonts w:hint="eastAsia" w:ascii="宋体" w:hAnsi="宋体" w:eastAsia="宋体" w:cs="宋体"/>
          <w:b/>
          <w:bCs w:val="0"/>
          <w:color w:val="auto"/>
          <w:sz w:val="24"/>
          <w:szCs w:val="24"/>
          <w:highlight w:val="none"/>
          <w:lang w:val="en-US" w:eastAsia="en-US"/>
        </w:rPr>
      </w:pPr>
      <w:r>
        <w:rPr>
          <w:rFonts w:hint="eastAsia" w:ascii="宋体" w:hAnsi="宋体" w:eastAsia="宋体" w:cs="宋体"/>
          <w:b/>
          <w:bCs w:val="0"/>
          <w:color w:val="auto"/>
          <w:sz w:val="24"/>
          <w:szCs w:val="24"/>
          <w:highlight w:val="none"/>
          <w:lang w:val="en-US" w:eastAsia="zh-CN"/>
        </w:rPr>
        <w:t>7</w:t>
      </w:r>
      <w:r>
        <w:rPr>
          <w:rFonts w:hint="eastAsia" w:ascii="宋体" w:hAnsi="宋体" w:eastAsia="宋体" w:cs="宋体"/>
          <w:b/>
          <w:bCs w:val="0"/>
          <w:color w:val="auto"/>
          <w:sz w:val="24"/>
          <w:szCs w:val="24"/>
          <w:highlight w:val="none"/>
          <w:lang w:val="en-US" w:eastAsia="en-US"/>
        </w:rPr>
        <w:t>.2 对</w:t>
      </w:r>
      <w:r>
        <w:rPr>
          <w:rFonts w:hint="eastAsia" w:ascii="宋体" w:hAnsi="宋体" w:eastAsia="宋体" w:cs="宋体"/>
          <w:b/>
          <w:bCs w:val="0"/>
          <w:color w:val="auto"/>
          <w:sz w:val="24"/>
          <w:szCs w:val="24"/>
          <w:highlight w:val="none"/>
          <w:lang w:val="en-US" w:eastAsia="zh-CN"/>
        </w:rPr>
        <w:t>供应商</w:t>
      </w:r>
      <w:r>
        <w:rPr>
          <w:rFonts w:hint="eastAsia" w:ascii="宋体" w:hAnsi="宋体" w:eastAsia="宋体" w:cs="宋体"/>
          <w:b/>
          <w:bCs w:val="0"/>
          <w:color w:val="auto"/>
          <w:sz w:val="24"/>
          <w:szCs w:val="24"/>
          <w:highlight w:val="none"/>
          <w:lang w:val="en-US" w:eastAsia="en-US"/>
        </w:rPr>
        <w:t>的纪律要求</w:t>
      </w:r>
    </w:p>
    <w:p w14:paraId="6FE70368">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en-US"/>
        </w:rPr>
        <w:t>不得相互串通投标或者与采购人串通投标，不得向采购人或者评标委员会成员行贿谋取中标，不得以他人名义投标或者以其他方式弄虚作假骗取中标；</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en-US"/>
        </w:rPr>
        <w:t>不得以任何方式干扰、影响评标工作。</w:t>
      </w:r>
    </w:p>
    <w:p w14:paraId="39197495">
      <w:pPr>
        <w:pStyle w:val="5"/>
        <w:pageBreakBefore w:val="0"/>
        <w:widowControl/>
        <w:numPr>
          <w:ilvl w:val="0"/>
          <w:numId w:val="0"/>
        </w:numPr>
        <w:kinsoku/>
        <w:wordWrap/>
        <w:overflowPunct/>
        <w:topLinePunct w:val="0"/>
        <w:autoSpaceDE/>
        <w:autoSpaceDN/>
        <w:bidi w:val="0"/>
        <w:adjustRightInd w:val="0"/>
        <w:snapToGrid w:val="0"/>
        <w:spacing w:before="0" w:beforeLines="0" w:beforeAutospacing="0" w:after="0" w:afterLines="0" w:afterAutospacing="0" w:line="360" w:lineRule="auto"/>
        <w:rPr>
          <w:rFonts w:hint="eastAsia" w:ascii="宋体" w:hAnsi="宋体" w:eastAsia="宋体" w:cs="宋体"/>
          <w:b/>
          <w:bCs w:val="0"/>
          <w:color w:val="auto"/>
          <w:sz w:val="24"/>
          <w:szCs w:val="24"/>
          <w:highlight w:val="none"/>
          <w:lang w:val="en-US" w:eastAsia="en-US"/>
        </w:rPr>
      </w:pPr>
      <w:r>
        <w:rPr>
          <w:rFonts w:hint="eastAsia" w:ascii="宋体" w:hAnsi="宋体" w:eastAsia="宋体" w:cs="宋体"/>
          <w:b/>
          <w:bCs w:val="0"/>
          <w:color w:val="auto"/>
          <w:sz w:val="24"/>
          <w:szCs w:val="24"/>
          <w:highlight w:val="none"/>
          <w:lang w:val="en-US" w:eastAsia="zh-CN"/>
        </w:rPr>
        <w:t>7</w:t>
      </w:r>
      <w:r>
        <w:rPr>
          <w:rFonts w:hint="eastAsia" w:ascii="宋体" w:hAnsi="宋体" w:eastAsia="宋体" w:cs="宋体"/>
          <w:b/>
          <w:bCs w:val="0"/>
          <w:color w:val="auto"/>
          <w:sz w:val="24"/>
          <w:szCs w:val="24"/>
          <w:highlight w:val="none"/>
          <w:lang w:val="en-US" w:eastAsia="en-US"/>
        </w:rPr>
        <w:t>.3 对</w:t>
      </w:r>
      <w:r>
        <w:rPr>
          <w:rFonts w:hint="eastAsia" w:ascii="宋体" w:hAnsi="宋体" w:eastAsia="宋体" w:cs="宋体"/>
          <w:b/>
          <w:bCs w:val="0"/>
          <w:color w:val="auto"/>
          <w:sz w:val="24"/>
          <w:szCs w:val="24"/>
          <w:highlight w:val="none"/>
          <w:lang w:val="en-US" w:eastAsia="zh-CN"/>
        </w:rPr>
        <w:t>磋商小组</w:t>
      </w:r>
      <w:r>
        <w:rPr>
          <w:rFonts w:hint="eastAsia" w:ascii="宋体" w:hAnsi="宋体" w:eastAsia="宋体" w:cs="宋体"/>
          <w:b/>
          <w:bCs w:val="0"/>
          <w:color w:val="auto"/>
          <w:sz w:val="24"/>
          <w:szCs w:val="24"/>
          <w:highlight w:val="none"/>
          <w:lang w:val="en-US" w:eastAsia="en-US"/>
        </w:rPr>
        <w:t>的纪律要求</w:t>
      </w:r>
    </w:p>
    <w:p w14:paraId="525BC800">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lang w:val="en-US" w:eastAsia="en-US"/>
        </w:rPr>
        <w:t>不得收受他人的财物或者其他好处，不得向他人透漏对</w:t>
      </w:r>
      <w:r>
        <w:rPr>
          <w:rFonts w:hint="eastAsia" w:ascii="宋体" w:hAnsi="宋体" w:eastAsia="宋体" w:cs="宋体"/>
          <w:color w:val="auto"/>
          <w:sz w:val="24"/>
          <w:szCs w:val="24"/>
          <w:highlight w:val="none"/>
          <w:lang w:val="en-US" w:eastAsia="zh-CN"/>
        </w:rPr>
        <w:t>竞争性磋商响应文件</w:t>
      </w:r>
      <w:r>
        <w:rPr>
          <w:rFonts w:hint="eastAsia" w:ascii="宋体" w:hAnsi="宋体" w:eastAsia="宋体" w:cs="宋体"/>
          <w:color w:val="auto"/>
          <w:sz w:val="24"/>
          <w:szCs w:val="24"/>
          <w:highlight w:val="none"/>
          <w:lang w:val="en-US" w:eastAsia="en-US"/>
        </w:rPr>
        <w:t>的评审和比较、</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val="en-US" w:eastAsia="en-US"/>
        </w:rPr>
        <w:t>候选人的推荐情况以及评标有关的其他情况。在评标活动中，</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lang w:val="en-US" w:eastAsia="en-US"/>
        </w:rPr>
        <w:t>成员不得擅离职守，影响评标程序正常进行，不得使用第</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lang w:val="en-US" w:eastAsia="en-US"/>
        </w:rPr>
        <w:t>章“竞争性磋商办法”没有规定的评审因素和标准进行评标。</w:t>
      </w:r>
    </w:p>
    <w:p w14:paraId="578816F9">
      <w:pPr>
        <w:pStyle w:val="5"/>
        <w:pageBreakBefore w:val="0"/>
        <w:widowControl/>
        <w:numPr>
          <w:ilvl w:val="0"/>
          <w:numId w:val="0"/>
        </w:numPr>
        <w:kinsoku/>
        <w:wordWrap/>
        <w:overflowPunct/>
        <w:topLinePunct w:val="0"/>
        <w:autoSpaceDE/>
        <w:autoSpaceDN/>
        <w:bidi w:val="0"/>
        <w:adjustRightInd w:val="0"/>
        <w:snapToGrid w:val="0"/>
        <w:spacing w:before="0" w:beforeLines="0" w:beforeAutospacing="0" w:after="0" w:afterLines="0" w:afterAutospacing="0" w:line="360" w:lineRule="auto"/>
        <w:rPr>
          <w:rFonts w:hint="eastAsia" w:ascii="宋体" w:hAnsi="宋体" w:eastAsia="宋体" w:cs="宋体"/>
          <w:b/>
          <w:bCs w:val="0"/>
          <w:color w:val="auto"/>
          <w:sz w:val="24"/>
          <w:szCs w:val="24"/>
          <w:highlight w:val="none"/>
          <w:lang w:val="en-US" w:eastAsia="en-US"/>
        </w:rPr>
      </w:pPr>
      <w:r>
        <w:rPr>
          <w:rFonts w:hint="eastAsia" w:ascii="宋体" w:hAnsi="宋体" w:eastAsia="宋体" w:cs="宋体"/>
          <w:b/>
          <w:bCs w:val="0"/>
          <w:color w:val="auto"/>
          <w:sz w:val="24"/>
          <w:szCs w:val="24"/>
          <w:highlight w:val="none"/>
          <w:lang w:val="en-US" w:eastAsia="zh-CN"/>
        </w:rPr>
        <w:t>7</w:t>
      </w:r>
      <w:r>
        <w:rPr>
          <w:rFonts w:hint="eastAsia" w:ascii="宋体" w:hAnsi="宋体" w:eastAsia="宋体" w:cs="宋体"/>
          <w:b/>
          <w:bCs w:val="0"/>
          <w:color w:val="auto"/>
          <w:sz w:val="24"/>
          <w:szCs w:val="24"/>
          <w:highlight w:val="none"/>
          <w:lang w:val="en-US" w:eastAsia="en-US"/>
        </w:rPr>
        <w:t>.4 对与评标活动有关的工作人员的纪律要求</w:t>
      </w:r>
    </w:p>
    <w:p w14:paraId="4C729258">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与评标活动有关的工作人员不得收受他人的财物或者其他好处，不得向他人透漏对</w:t>
      </w:r>
      <w:r>
        <w:rPr>
          <w:rFonts w:hint="eastAsia" w:ascii="宋体" w:hAnsi="宋体" w:eastAsia="宋体" w:cs="宋体"/>
          <w:color w:val="auto"/>
          <w:sz w:val="24"/>
          <w:szCs w:val="24"/>
          <w:highlight w:val="none"/>
          <w:lang w:val="en-US" w:eastAsia="zh-CN"/>
        </w:rPr>
        <w:t>竞争性磋商响应文件</w:t>
      </w:r>
      <w:r>
        <w:rPr>
          <w:rFonts w:hint="eastAsia" w:ascii="宋体" w:hAnsi="宋体" w:eastAsia="宋体" w:cs="宋体"/>
          <w:color w:val="auto"/>
          <w:sz w:val="24"/>
          <w:szCs w:val="24"/>
          <w:highlight w:val="none"/>
          <w:lang w:val="en-US" w:eastAsia="en-US"/>
        </w:rPr>
        <w:t>的评审和比较、</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val="en-US" w:eastAsia="en-US"/>
        </w:rPr>
        <w:t>候选人的推荐情况以及评标有关的其他情况。在评标活动中，与评标活动有关的工作人员不得擅离职守，影响评标程序正常进行。</w:t>
      </w:r>
    </w:p>
    <w:p w14:paraId="787C57FB">
      <w:pPr>
        <w:pStyle w:val="5"/>
        <w:pageBreakBefore w:val="0"/>
        <w:widowControl/>
        <w:numPr>
          <w:ilvl w:val="0"/>
          <w:numId w:val="0"/>
        </w:numPr>
        <w:kinsoku/>
        <w:wordWrap/>
        <w:overflowPunct/>
        <w:topLinePunct w:val="0"/>
        <w:autoSpaceDE/>
        <w:autoSpaceDN/>
        <w:bidi w:val="0"/>
        <w:adjustRightInd w:val="0"/>
        <w:snapToGrid w:val="0"/>
        <w:spacing w:before="0" w:beforeLines="0" w:beforeAutospacing="0" w:after="0" w:afterLines="0" w:afterAutospacing="0"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7</w:t>
      </w:r>
      <w:r>
        <w:rPr>
          <w:rFonts w:hint="eastAsia" w:ascii="宋体" w:hAnsi="宋体" w:eastAsia="宋体" w:cs="宋体"/>
          <w:b/>
          <w:bCs w:val="0"/>
          <w:color w:val="auto"/>
          <w:sz w:val="24"/>
          <w:szCs w:val="24"/>
          <w:highlight w:val="none"/>
          <w:lang w:val="en-US" w:eastAsia="en-US"/>
        </w:rPr>
        <w:t xml:space="preserve">.5 </w:t>
      </w:r>
      <w:bookmarkStart w:id="232" w:name="_Toc432197794"/>
      <w:bookmarkStart w:id="233" w:name="_Toc24169"/>
      <w:bookmarkStart w:id="234" w:name="_Toc24751"/>
      <w:bookmarkStart w:id="235" w:name="_Toc27459"/>
      <w:r>
        <w:rPr>
          <w:rFonts w:hint="eastAsia" w:ascii="宋体" w:hAnsi="宋体" w:eastAsia="宋体" w:cs="宋体"/>
          <w:b/>
          <w:bCs w:val="0"/>
          <w:color w:val="auto"/>
          <w:sz w:val="24"/>
          <w:szCs w:val="24"/>
          <w:highlight w:val="none"/>
          <w:lang w:val="en-US" w:eastAsia="zh-CN"/>
        </w:rPr>
        <w:t>质疑和投诉</w:t>
      </w:r>
      <w:bookmarkEnd w:id="232"/>
      <w:bookmarkEnd w:id="233"/>
      <w:bookmarkEnd w:id="234"/>
      <w:bookmarkEnd w:id="235"/>
    </w:p>
    <w:p w14:paraId="4FDEDDAF">
      <w:pPr>
        <w:snapToGri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en-US"/>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en-US"/>
        </w:rPr>
        <w:t>1</w:t>
      </w:r>
      <w:r>
        <w:rPr>
          <w:rFonts w:hint="eastAsia" w:ascii="宋体" w:hAnsi="宋体" w:eastAsia="宋体" w:cs="宋体"/>
          <w:color w:val="auto"/>
          <w:sz w:val="24"/>
          <w:szCs w:val="24"/>
        </w:rPr>
        <w:t>供应商认为磋商文件、采购过程和成交结果使自己的权益受到损害的，应当在知道或者应知其权益受到损害之日起7个工作日内，以书面形式向采购代理机构一次性提出针对同一采购程序环节的质疑。质疑内容不得含有虚假、恶意成分。当事人对自己提出的主张，有责任提供证据，提出质疑时应同时提交相关证据材料和注明事实的确切来源。</w:t>
      </w:r>
    </w:p>
    <w:p w14:paraId="215C8056">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7.5</w:t>
      </w:r>
      <w:r>
        <w:rPr>
          <w:rFonts w:hint="eastAsia" w:ascii="宋体" w:hAnsi="宋体" w:eastAsia="宋体" w:cs="宋体"/>
          <w:color w:val="auto"/>
          <w:sz w:val="24"/>
          <w:szCs w:val="24"/>
          <w:highlight w:val="none"/>
          <w:lang w:val="en-US" w:eastAsia="en-US"/>
        </w:rPr>
        <w:t>.2供应商知其权益受到损害之日，是指：</w:t>
      </w:r>
    </w:p>
    <w:p w14:paraId="12ACE355">
      <w:pPr>
        <w:snapToGri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（1）对可以质疑的采购文件提出质疑的，为收到采购文件之日即供应商实际下载采购文件之日（下载采购文件期限同获取招标文件时间）；</w:t>
      </w:r>
    </w:p>
    <w:p w14:paraId="4683ECF8">
      <w:pPr>
        <w:snapToGri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（2）对采购过程提出质疑的，为各采购程序环节结束之日；</w:t>
      </w:r>
    </w:p>
    <w:p w14:paraId="67C4C2F1">
      <w:pPr>
        <w:snapToGri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（3）对成交结果提出质疑的，为成交结果公告期限届满之日。</w:t>
      </w:r>
    </w:p>
    <w:p w14:paraId="2ED133EA">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7.5</w:t>
      </w:r>
      <w:r>
        <w:rPr>
          <w:rFonts w:hint="eastAsia" w:ascii="宋体" w:hAnsi="宋体" w:eastAsia="宋体" w:cs="宋体"/>
          <w:color w:val="auto"/>
          <w:sz w:val="24"/>
          <w:szCs w:val="24"/>
          <w:highlight w:val="none"/>
          <w:lang w:val="en-US" w:eastAsia="en-US"/>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en-US"/>
        </w:rPr>
        <w:t>提出质疑的供应商应当是参与所质疑项目采购活动的供应商。其中，对采购文件质疑的，应当是已依法获取其可质疑的采购文件的潜在供应商。</w:t>
      </w:r>
    </w:p>
    <w:p w14:paraId="40EA50B9">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7.5</w:t>
      </w:r>
      <w:r>
        <w:rPr>
          <w:rFonts w:hint="eastAsia" w:ascii="宋体" w:hAnsi="宋体" w:eastAsia="宋体" w:cs="宋体"/>
          <w:color w:val="auto"/>
          <w:sz w:val="24"/>
          <w:szCs w:val="24"/>
          <w:highlight w:val="none"/>
          <w:lang w:val="en-US" w:eastAsia="en-US"/>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en-US"/>
        </w:rPr>
        <w:t>供应商提出质疑应符合《政府采购质疑和投诉办法》（中华人民共和国财政部令第94号）和财政部《政府采购供应商质疑函范本》的规定。供应商提出质疑应当提交质疑函和必要的证明材料。质疑函应当包括下列内容：</w:t>
      </w:r>
    </w:p>
    <w:p w14:paraId="5B2FD682">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（一）供应商的姓名或者名称、地址、邮编、联系人及联系电话；</w:t>
      </w:r>
    </w:p>
    <w:p w14:paraId="6BEF861B">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（二）质疑项目的名称、编号；</w:t>
      </w:r>
    </w:p>
    <w:p w14:paraId="00158242">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（三）具体、明确的质疑事项和与质疑事项相关的请求；</w:t>
      </w:r>
    </w:p>
    <w:p w14:paraId="35C2B87B">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（四）事实依据；</w:t>
      </w:r>
    </w:p>
    <w:p w14:paraId="159E3415">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（五）必要的法律依据；</w:t>
      </w:r>
    </w:p>
    <w:p w14:paraId="67D1BC03">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（六）提出质疑的日期。</w:t>
      </w:r>
    </w:p>
    <w:p w14:paraId="5FED3F02">
      <w:pPr>
        <w:snapToGrid w:val="0"/>
        <w:spacing w:line="360" w:lineRule="auto"/>
        <w:ind w:firstLine="480" w:firstLineChars="200"/>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rPr>
        <w:t>质疑函应当由供应商的法定代表人、主要负责人，或者其授权代表签字或者盖章，并加盖公章。委托代理人进行质疑的，应当提交供应商的授权委托书。授权委托书应当载明代理人的姓名或者名称、代理事项、具体权限、期限和相关事项。授权委托书应当由法定代表人、主要负责人签字或者盖章，并加盖公章。</w:t>
      </w:r>
    </w:p>
    <w:p w14:paraId="63060D1B">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7.5</w:t>
      </w:r>
      <w:r>
        <w:rPr>
          <w:rFonts w:hint="eastAsia" w:ascii="宋体" w:hAnsi="宋体" w:eastAsia="宋体" w:cs="宋体"/>
          <w:color w:val="auto"/>
          <w:sz w:val="24"/>
          <w:szCs w:val="24"/>
          <w:highlight w:val="none"/>
          <w:lang w:val="en-US" w:eastAsia="en-US"/>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en-US"/>
        </w:rPr>
        <w:t>供应商不得捏造事实、提供虚假材料或者以非法手段取得证明材料。</w:t>
      </w:r>
    </w:p>
    <w:p w14:paraId="69723BF4">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7.5</w:t>
      </w:r>
      <w:r>
        <w:rPr>
          <w:rFonts w:hint="eastAsia" w:ascii="宋体" w:hAnsi="宋体" w:eastAsia="宋体" w:cs="宋体"/>
          <w:color w:val="auto"/>
          <w:sz w:val="24"/>
          <w:szCs w:val="24"/>
          <w:highlight w:val="none"/>
          <w:lang w:val="en-US" w:eastAsia="en-US"/>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en-US"/>
        </w:rPr>
        <w:t>质疑函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34010D4C">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7.5</w:t>
      </w:r>
      <w:r>
        <w:rPr>
          <w:rFonts w:hint="eastAsia" w:ascii="宋体" w:hAnsi="宋体" w:eastAsia="宋体" w:cs="宋体"/>
          <w:color w:val="auto"/>
          <w:sz w:val="24"/>
          <w:szCs w:val="24"/>
          <w:highlight w:val="none"/>
          <w:lang w:val="en-US" w:eastAsia="en-US"/>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en-US"/>
        </w:rPr>
        <w:t>采购人、采购代理机构将在收到供应商质疑函后七个工作日内作出答复，但质疑答复的内容不涉及商业秘密。</w:t>
      </w:r>
    </w:p>
    <w:p w14:paraId="1331DC99">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7.5</w:t>
      </w:r>
      <w:r>
        <w:rPr>
          <w:rFonts w:hint="eastAsia" w:ascii="宋体" w:hAnsi="宋体" w:eastAsia="宋体" w:cs="宋体"/>
          <w:color w:val="auto"/>
          <w:sz w:val="24"/>
          <w:szCs w:val="24"/>
          <w:highlight w:val="none"/>
          <w:lang w:val="en-US" w:eastAsia="en-US"/>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rPr>
        <w:t>参与政府采购活动的供应商对评审过程或者成交结果提出质疑的，采购代理机构可以组织原评标委员会协助答复质疑。质疑答复导致中标</w:t>
      </w:r>
      <w:r>
        <w:rPr>
          <w:rFonts w:hint="eastAsia" w:ascii="宋体" w:hAnsi="宋体" w:eastAsia="宋体" w:cs="宋体"/>
          <w:color w:val="auto"/>
          <w:sz w:val="24"/>
          <w:szCs w:val="24"/>
          <w:lang w:eastAsia="zh-CN"/>
        </w:rPr>
        <w:t>（成交）</w:t>
      </w:r>
      <w:r>
        <w:rPr>
          <w:rFonts w:hint="eastAsia" w:ascii="宋体" w:hAnsi="宋体" w:eastAsia="宋体" w:cs="宋体"/>
          <w:color w:val="auto"/>
          <w:sz w:val="24"/>
          <w:szCs w:val="24"/>
        </w:rPr>
        <w:t>结果改变的，</w:t>
      </w:r>
      <w:r>
        <w:rPr>
          <w:rFonts w:hint="eastAsia" w:ascii="宋体" w:hAnsi="宋体" w:eastAsia="宋体" w:cs="宋体"/>
          <w:color w:val="auto"/>
          <w:sz w:val="24"/>
          <w:szCs w:val="24"/>
          <w:highlight w:val="none"/>
          <w:lang w:val="en-US" w:eastAsia="en-US"/>
        </w:rPr>
        <w:t>采购人或者采购代理机构会将有关情况书面报告本级财政部门</w:t>
      </w:r>
      <w:r>
        <w:rPr>
          <w:rFonts w:hint="eastAsia" w:ascii="宋体" w:hAnsi="宋体" w:eastAsia="宋体" w:cs="宋体"/>
          <w:color w:val="auto"/>
          <w:sz w:val="24"/>
          <w:szCs w:val="24"/>
          <w:highlight w:val="none"/>
          <w:lang w:val="en-US" w:eastAsia="zh-CN"/>
        </w:rPr>
        <w:t>。</w:t>
      </w:r>
    </w:p>
    <w:p w14:paraId="17CB6F5E">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7.5</w:t>
      </w:r>
      <w:r>
        <w:rPr>
          <w:rFonts w:hint="eastAsia" w:ascii="宋体" w:hAnsi="宋体" w:eastAsia="宋体" w:cs="宋体"/>
          <w:color w:val="auto"/>
          <w:sz w:val="24"/>
          <w:szCs w:val="24"/>
          <w:highlight w:val="none"/>
          <w:lang w:val="en-US" w:eastAsia="en-US"/>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en-US"/>
        </w:rPr>
        <w:t>接收质疑的方式</w:t>
      </w:r>
    </w:p>
    <w:p w14:paraId="7B1848E4">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受理质疑部门：</w:t>
      </w:r>
      <w:r>
        <w:rPr>
          <w:rFonts w:hint="eastAsia" w:ascii="宋体" w:hAnsi="宋体" w:eastAsia="宋体" w:cs="宋体"/>
          <w:b w:val="0"/>
          <w:bCs w:val="0"/>
          <w:snapToGrid/>
          <w:color w:val="000000"/>
          <w:kern w:val="0"/>
          <w:sz w:val="24"/>
          <w:szCs w:val="24"/>
          <w:highlight w:val="none"/>
          <w:lang w:val="en-US" w:eastAsia="zh-CN"/>
        </w:rPr>
        <w:t>云南福诚招标有限公司</w:t>
      </w:r>
    </w:p>
    <w:p w14:paraId="4DF0466D">
      <w:pPr>
        <w:pageBreakBefore w:val="0"/>
        <w:widowControl/>
        <w:kinsoku/>
        <w:wordWrap/>
        <w:overflowPunct/>
        <w:topLinePunct w:val="0"/>
        <w:autoSpaceDE/>
        <w:autoSpaceDN/>
        <w:bidi w:val="0"/>
        <w:adjustRightInd w:val="0"/>
        <w:snapToGrid w:val="0"/>
        <w:spacing w:line="360" w:lineRule="auto"/>
        <w:ind w:firstLine="420" w:firstLineChars="175"/>
        <w:rPr>
          <w:rFonts w:hint="default" w:ascii="宋体" w:hAnsi="宋体" w:eastAsia="宋体" w:cs="宋体"/>
          <w:b w:val="0"/>
          <w:bCs w:val="0"/>
          <w:snapToGrid/>
          <w:color w:val="000000"/>
          <w:kern w:val="0"/>
          <w:sz w:val="24"/>
          <w:szCs w:val="24"/>
          <w:highlight w:val="none"/>
          <w:lang w:val="en-US" w:eastAsia="zh-CN"/>
        </w:rPr>
      </w:pPr>
      <w:r>
        <w:rPr>
          <w:rFonts w:hint="eastAsia" w:ascii="宋体" w:hAnsi="宋体" w:eastAsia="宋体" w:cs="宋体"/>
          <w:color w:val="auto"/>
          <w:sz w:val="24"/>
          <w:szCs w:val="24"/>
          <w:highlight w:val="none"/>
          <w:lang w:val="en-US" w:eastAsia="en-US"/>
        </w:rPr>
        <w:t>通讯地址：</w:t>
      </w:r>
      <w:r>
        <w:rPr>
          <w:rFonts w:hint="eastAsia" w:ascii="宋体" w:hAnsi="宋体" w:eastAsia="宋体" w:cs="宋体"/>
          <w:b w:val="0"/>
          <w:bCs w:val="0"/>
          <w:snapToGrid/>
          <w:color w:val="000000"/>
          <w:kern w:val="0"/>
          <w:sz w:val="24"/>
          <w:szCs w:val="24"/>
          <w:highlight w:val="none"/>
          <w:lang w:val="en-US" w:eastAsia="zh-CN"/>
        </w:rPr>
        <w:t>云南省曲靖市麒麟区文华街道办事处学苑社区科创路223号（和顺佳园F幢-002号商铺）</w:t>
      </w:r>
    </w:p>
    <w:p w14:paraId="36B7DFF9">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联系人及电话：同本项目公告中明示的联系人及联系电话。</w:t>
      </w:r>
    </w:p>
    <w:p w14:paraId="0326BD76">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7.5</w:t>
      </w:r>
      <w:r>
        <w:rPr>
          <w:rFonts w:hint="eastAsia" w:ascii="宋体" w:hAnsi="宋体" w:eastAsia="宋体" w:cs="宋体"/>
          <w:color w:val="auto"/>
          <w:sz w:val="24"/>
          <w:szCs w:val="24"/>
          <w:highlight w:val="none"/>
          <w:lang w:val="en-US" w:eastAsia="en-US"/>
        </w:rPr>
        <w:t>.1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lang w:val="en-US" w:eastAsia="en-US"/>
        </w:rPr>
        <w:t>投诉人必须首先经过质疑程序，在对采购人、采购代理机构的答复不满意，或者采购人、采购代理机构未在规定的时间内做出答复的，可以在答复期满后十五个工作日内向同级政府采购监督管理部门投诉。</w:t>
      </w:r>
    </w:p>
    <w:p w14:paraId="21E3BF2D">
      <w:pPr>
        <w:pStyle w:val="3"/>
        <w:bidi w:val="0"/>
        <w:jc w:val="center"/>
        <w:rPr>
          <w:rFonts w:hint="eastAsia"/>
          <w:lang w:val="en-US" w:eastAsia="zh-CN"/>
        </w:rPr>
      </w:pPr>
      <w:bookmarkStart w:id="236" w:name="_Toc23964"/>
      <w:bookmarkStart w:id="237" w:name="_Toc26639"/>
      <w:bookmarkStart w:id="238" w:name="_Toc31872"/>
      <w:bookmarkStart w:id="239" w:name="_Toc25095"/>
      <w:r>
        <w:rPr>
          <w:rFonts w:hint="eastAsia"/>
          <w:lang w:val="en-US" w:eastAsia="zh-CN"/>
        </w:rPr>
        <w:t>8.需要补充的其他内容</w:t>
      </w:r>
      <w:bookmarkEnd w:id="236"/>
      <w:bookmarkEnd w:id="237"/>
      <w:bookmarkEnd w:id="238"/>
      <w:bookmarkEnd w:id="239"/>
    </w:p>
    <w:p w14:paraId="62B9187B">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.1关于中小企业：</w:t>
      </w:r>
    </w:p>
    <w:p w14:paraId="38E9C206">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.1.1根据《政府采购促进中小企业发展管理办法》《关于进一步加大政府采购支持中小企业力度的通知》（财库〔2022〕19号），本项目为专门面向中小企业采购，不执行价格优惠认定；</w:t>
      </w:r>
    </w:p>
    <w:p w14:paraId="01A088DC">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.1.2在政府采购活动中，供应商提供的货物、工程或者服务符合下列情形的，享受中小企业扶持政策：</w:t>
      </w:r>
    </w:p>
    <w:p w14:paraId="4BAA2ED1">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（1）在货物采购项目中，货物由中小企业制造，即货物由中小企业生产且使用该中小企业商号或者注册商标；</w:t>
      </w:r>
    </w:p>
    <w:p w14:paraId="73EA0FF3">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（2）在工程采购项目中，工程由中小企业承建，即工程施工单位为中小企业；</w:t>
      </w:r>
    </w:p>
    <w:p w14:paraId="1F17C1EE">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（3）在服务采购项目中，服务由中小企业承接，即提供服务的人员为中小企业依照《中华人民共和国民法典》订立劳动合同的从业人员。</w:t>
      </w:r>
    </w:p>
    <w:p w14:paraId="7B3AD262">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在货物采购项目中，供应商提供的货物既有中小企业制造货物，也有大型企业制造货物的，不享受中小企业扶持政策。</w:t>
      </w:r>
    </w:p>
    <w:p w14:paraId="4610E0D8">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以联合体形式参加政府采购活动，联合体各方均为中小企业的，联合体视同中小企业。其中，联合体各方均为小微企业的，联合体视同小微企业。</w:t>
      </w:r>
    </w:p>
    <w:p w14:paraId="2AE02634">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组成联合体或者接受分包合同的中小企业与联合体内其他企业、分包企业之间不得存在直接控股、管理关系。</w:t>
      </w:r>
    </w:p>
    <w:p w14:paraId="3BC2A18A">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.1.3参加政府采购活动，应当出具文件中规定的《中小企业声明函》，否则不得享受相关中小企业扶持政策。</w:t>
      </w:r>
    </w:p>
    <w:p w14:paraId="7370346D">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.1.4《关于印发中小企业划型标准规定的通知》（工信部联企业〔2011〕300号）中小企业划型标准：</w:t>
      </w:r>
    </w:p>
    <w:p w14:paraId="22DDCD7E">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（一）农、林、牧、渔业。营业收入20000万元以下的为中小微型企业。其中，营业收入500万元及以上的为中型企业，营业收入50万元及以上的为小型企业，营业收入50万元以下的为微型企业。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sz w:val="24"/>
          <w:szCs w:val="24"/>
          <w:lang w:eastAsia="zh-CN"/>
        </w:rPr>
        <w:br w:type="textWrapping"/>
      </w:r>
      <w:r>
        <w:rPr>
          <w:rFonts w:hint="eastAsia" w:ascii="宋体" w:hAnsi="宋体" w:eastAsia="宋体" w:cs="宋体"/>
          <w:sz w:val="24"/>
          <w:szCs w:val="24"/>
          <w:lang w:eastAsia="zh-CN"/>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sz w:val="24"/>
          <w:szCs w:val="24"/>
          <w:lang w:eastAsia="zh-CN"/>
        </w:rPr>
        <w:br w:type="textWrapping"/>
      </w:r>
      <w:r>
        <w:rPr>
          <w:rFonts w:hint="eastAsia" w:ascii="宋体" w:hAnsi="宋体" w:eastAsia="宋体" w:cs="宋体"/>
          <w:sz w:val="24"/>
          <w:szCs w:val="24"/>
          <w:lang w:eastAsia="zh-CN"/>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sz w:val="24"/>
          <w:szCs w:val="24"/>
          <w:lang w:eastAsia="zh-CN"/>
        </w:rPr>
        <w:br w:type="textWrapping"/>
      </w:r>
      <w:r>
        <w:rPr>
          <w:rFonts w:hint="eastAsia" w:ascii="宋体" w:hAnsi="宋体" w:eastAsia="宋体" w:cs="宋体"/>
          <w:sz w:val="24"/>
          <w:szCs w:val="24"/>
          <w:lang w:eastAsia="zh-CN"/>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sz w:val="24"/>
          <w:szCs w:val="24"/>
          <w:lang w:eastAsia="zh-CN"/>
        </w:rPr>
        <w:br w:type="textWrapping"/>
      </w:r>
      <w:r>
        <w:rPr>
          <w:rFonts w:hint="eastAsia" w:ascii="宋体" w:hAnsi="宋体" w:eastAsia="宋体" w:cs="宋体"/>
          <w:sz w:val="24"/>
          <w:szCs w:val="24"/>
          <w:lang w:eastAsia="zh-CN"/>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sz w:val="24"/>
          <w:szCs w:val="24"/>
          <w:lang w:eastAsia="zh-CN"/>
        </w:rPr>
        <w:br w:type="textWrapping"/>
      </w:r>
      <w:r>
        <w:rPr>
          <w:rFonts w:hint="eastAsia" w:ascii="宋体" w:hAnsi="宋体" w:eastAsia="宋体" w:cs="宋体"/>
          <w:sz w:val="24"/>
          <w:szCs w:val="24"/>
          <w:lang w:eastAsia="zh-CN"/>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sz w:val="24"/>
          <w:szCs w:val="24"/>
          <w:lang w:eastAsia="zh-CN"/>
        </w:rPr>
        <w:br w:type="textWrapping"/>
      </w:r>
      <w:r>
        <w:rPr>
          <w:rFonts w:hint="eastAsia" w:ascii="宋体" w:hAnsi="宋体" w:eastAsia="宋体" w:cs="宋体"/>
          <w:sz w:val="24"/>
          <w:szCs w:val="24"/>
          <w:lang w:eastAsia="zh-CN"/>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sz w:val="24"/>
          <w:szCs w:val="24"/>
          <w:lang w:eastAsia="zh-CN"/>
        </w:rPr>
        <w:br w:type="textWrapping"/>
      </w:r>
      <w:r>
        <w:rPr>
          <w:rFonts w:hint="eastAsia" w:ascii="宋体" w:hAnsi="宋体" w:eastAsia="宋体" w:cs="宋体"/>
          <w:sz w:val="24"/>
          <w:szCs w:val="24"/>
          <w:lang w:eastAsia="zh-CN"/>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sz w:val="24"/>
          <w:szCs w:val="24"/>
          <w:lang w:eastAsia="zh-CN"/>
        </w:rPr>
        <w:br w:type="textWrapping"/>
      </w:r>
      <w:r>
        <w:rPr>
          <w:rFonts w:hint="eastAsia" w:ascii="宋体" w:hAnsi="宋体" w:eastAsia="宋体" w:cs="宋体"/>
          <w:sz w:val="24"/>
          <w:szCs w:val="24"/>
          <w:lang w:eastAsia="zh-CN"/>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sz w:val="24"/>
          <w:szCs w:val="24"/>
          <w:lang w:eastAsia="zh-CN"/>
        </w:rPr>
        <w:br w:type="textWrapping"/>
      </w:r>
      <w:r>
        <w:rPr>
          <w:rFonts w:hint="eastAsia" w:ascii="宋体" w:hAnsi="宋体" w:eastAsia="宋体" w:cs="宋体"/>
          <w:sz w:val="24"/>
          <w:szCs w:val="24"/>
          <w:lang w:eastAsia="zh-CN"/>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sz w:val="24"/>
          <w:szCs w:val="24"/>
          <w:lang w:eastAsia="zh-CN"/>
        </w:rPr>
        <w:br w:type="textWrapping"/>
      </w:r>
      <w:r>
        <w:rPr>
          <w:rFonts w:hint="eastAsia" w:ascii="宋体" w:hAnsi="宋体" w:eastAsia="宋体" w:cs="宋体"/>
          <w:sz w:val="24"/>
          <w:szCs w:val="24"/>
          <w:lang w:eastAsia="zh-CN"/>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sz w:val="24"/>
          <w:szCs w:val="24"/>
          <w:lang w:eastAsia="zh-CN"/>
        </w:rPr>
        <w:br w:type="textWrapping"/>
      </w:r>
      <w:r>
        <w:rPr>
          <w:rFonts w:hint="eastAsia" w:ascii="宋体" w:hAnsi="宋体" w:eastAsia="宋体" w:cs="宋体"/>
          <w:sz w:val="24"/>
          <w:szCs w:val="24"/>
          <w:lang w:eastAsia="zh-CN"/>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sz w:val="24"/>
          <w:szCs w:val="24"/>
          <w:lang w:eastAsia="zh-CN"/>
        </w:rPr>
        <w:br w:type="textWrapping"/>
      </w:r>
      <w:r>
        <w:rPr>
          <w:rFonts w:hint="eastAsia" w:ascii="宋体" w:hAnsi="宋体" w:eastAsia="宋体" w:cs="宋体"/>
          <w:sz w:val="24"/>
          <w:szCs w:val="24"/>
          <w:lang w:eastAsia="zh-CN"/>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sz w:val="24"/>
          <w:szCs w:val="24"/>
          <w:lang w:eastAsia="zh-CN"/>
        </w:rPr>
        <w:br w:type="textWrapping"/>
      </w:r>
      <w:r>
        <w:rPr>
          <w:rFonts w:hint="eastAsia" w:ascii="宋体" w:hAnsi="宋体" w:eastAsia="宋体" w:cs="宋体"/>
          <w:sz w:val="24"/>
          <w:szCs w:val="24"/>
          <w:lang w:eastAsia="zh-CN"/>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sz w:val="24"/>
          <w:szCs w:val="24"/>
          <w:lang w:eastAsia="zh-CN"/>
        </w:rPr>
        <w:br w:type="textWrapping"/>
      </w:r>
      <w:r>
        <w:rPr>
          <w:rFonts w:hint="eastAsia" w:ascii="宋体" w:hAnsi="宋体" w:eastAsia="宋体" w:cs="宋体"/>
          <w:sz w:val="24"/>
          <w:szCs w:val="24"/>
          <w:lang w:eastAsia="zh-CN"/>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sz w:val="24"/>
          <w:szCs w:val="24"/>
          <w:lang w:eastAsia="zh-CN"/>
        </w:rPr>
        <w:br w:type="textWrapping"/>
      </w:r>
      <w:r>
        <w:rPr>
          <w:rFonts w:hint="eastAsia" w:ascii="宋体" w:hAnsi="宋体" w:eastAsia="宋体" w:cs="宋体"/>
          <w:sz w:val="24"/>
          <w:szCs w:val="24"/>
          <w:lang w:eastAsia="zh-CN"/>
        </w:rPr>
        <w:t>　　（十六）其他未列明行业。从业人员300人以下的为中小微型企业。其中，从业人员100人及以上的为中型企业；从业人员10人及以上的为小型企业；从业人员10人以下的为微型企业。</w:t>
      </w:r>
    </w:p>
    <w:p w14:paraId="7AF7FF6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.2关于监狱企业：</w:t>
      </w:r>
    </w:p>
    <w:p w14:paraId="0E27AF0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2844F3F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.3关于残疾人福利性单位：</w:t>
      </w:r>
    </w:p>
    <w:p w14:paraId="5F5655E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.3.1根据《三部门联合发布关于促进残疾人就业政府采购政策的通知》（财库〔2017〕141号）的规定，享受政府采购支持政策的残疾人福利性单位应当同时满足以下条件：</w:t>
      </w:r>
    </w:p>
    <w:p w14:paraId="6CDB2C2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（一）安置的残疾人占本单位在职职工人数的比例不低于25%（含25%），并且安置的残疾人人数不少于10人（含10人）；</w:t>
      </w:r>
    </w:p>
    <w:p w14:paraId="3CFBBE35">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（二）依法与安置的每位残疾人签订了一年以上（含一年）的劳动合同或服务协议；</w:t>
      </w:r>
    </w:p>
    <w:p w14:paraId="24B35C5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（三）为安置的每位残疾人按月足额缴纳了基本养老保险、基本医疗保险、失业保险、工伤保险和生育保险等社会保险费；</w:t>
      </w:r>
    </w:p>
    <w:p w14:paraId="5661094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（四）通过银行等金融机构向安置的每位残疾人，按月支付了不低于单位所在区县适用的经省级人民政府批准的月最低工资标准的工资；</w:t>
      </w:r>
    </w:p>
    <w:p w14:paraId="161FEE6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（五）提供本单位制造的货物、承担的工程或者服务（以下简称产品），或者提供其他残疾人福利性单位制造的货物（不包括使用非残疾人福利性单位注册商标的货物）。</w:t>
      </w:r>
    </w:p>
    <w:p w14:paraId="44B41A8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2C6652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3.2符合条件的残疾人福利性单位在参加政府采购活动时，应当按《三部门联合发布关于促进残疾人就业政府采购政策的通知》（财库〔2017〕141号）提供规定的《残疾人福利性单位声明函》，并对声明的真实性负责。</w:t>
      </w:r>
    </w:p>
    <w:p w14:paraId="25638F21">
      <w:pPr>
        <w:rPr>
          <w:rStyle w:val="52"/>
          <w:rFonts w:hint="eastAsia" w:ascii="黑体" w:hAnsi="黑体" w:eastAsia="宋体" w:cs="宋体"/>
          <w:b/>
          <w:bCs/>
          <w:color w:val="auto"/>
          <w:kern w:val="0"/>
          <w:sz w:val="32"/>
          <w:szCs w:val="18"/>
          <w:highlight w:val="yellow"/>
        </w:rPr>
      </w:pPr>
      <w:r>
        <w:rPr>
          <w:rStyle w:val="52"/>
          <w:rFonts w:hint="eastAsia" w:ascii="黑体" w:hAnsi="黑体" w:eastAsia="宋体" w:cs="宋体"/>
          <w:b/>
          <w:bCs/>
          <w:color w:val="auto"/>
          <w:kern w:val="0"/>
          <w:sz w:val="32"/>
          <w:szCs w:val="18"/>
          <w:highlight w:val="yellow"/>
        </w:rPr>
        <w:br w:type="page"/>
      </w:r>
    </w:p>
    <w:p w14:paraId="6D8C12CC">
      <w:pPr>
        <w:widowControl/>
        <w:spacing w:line="360" w:lineRule="auto"/>
        <w:jc w:val="center"/>
        <w:outlineLvl w:val="0"/>
        <w:rPr>
          <w:rStyle w:val="52"/>
          <w:rFonts w:hint="eastAsia" w:ascii="黑体" w:hAnsi="黑体" w:eastAsia="宋体" w:cs="宋体"/>
          <w:b/>
          <w:bCs/>
          <w:color w:val="auto"/>
          <w:kern w:val="0"/>
          <w:sz w:val="44"/>
          <w:szCs w:val="44"/>
          <w:highlight w:val="none"/>
        </w:rPr>
      </w:pPr>
      <w:bookmarkStart w:id="240" w:name="_Toc16223"/>
      <w:bookmarkStart w:id="241" w:name="_Toc5946"/>
      <w:bookmarkStart w:id="242" w:name="_Toc21850"/>
      <w:r>
        <w:rPr>
          <w:rStyle w:val="52"/>
          <w:rFonts w:hint="eastAsia" w:ascii="黑体" w:hAnsi="黑体" w:eastAsia="宋体" w:cs="宋体"/>
          <w:b/>
          <w:bCs/>
          <w:color w:val="auto"/>
          <w:kern w:val="0"/>
          <w:sz w:val="44"/>
          <w:szCs w:val="44"/>
          <w:highlight w:val="none"/>
        </w:rPr>
        <w:t>第</w:t>
      </w:r>
      <w:r>
        <w:rPr>
          <w:rStyle w:val="52"/>
          <w:rFonts w:hint="eastAsia" w:ascii="黑体" w:hAnsi="黑体" w:eastAsia="宋体" w:cs="宋体"/>
          <w:b/>
          <w:bCs/>
          <w:color w:val="auto"/>
          <w:kern w:val="0"/>
          <w:sz w:val="44"/>
          <w:szCs w:val="44"/>
          <w:highlight w:val="none"/>
          <w:lang w:eastAsia="zh-CN"/>
        </w:rPr>
        <w:t>三</w:t>
      </w:r>
      <w:r>
        <w:rPr>
          <w:rStyle w:val="52"/>
          <w:rFonts w:hint="eastAsia" w:ascii="黑体" w:hAnsi="黑体" w:eastAsia="宋体" w:cs="宋体"/>
          <w:b/>
          <w:bCs/>
          <w:color w:val="auto"/>
          <w:kern w:val="0"/>
          <w:sz w:val="44"/>
          <w:szCs w:val="44"/>
          <w:highlight w:val="none"/>
        </w:rPr>
        <w:t xml:space="preserve">章  </w:t>
      </w:r>
      <w:r>
        <w:rPr>
          <w:rStyle w:val="52"/>
          <w:rFonts w:hint="eastAsia" w:ascii="黑体" w:hAnsi="黑体" w:eastAsia="宋体" w:cs="宋体"/>
          <w:b/>
          <w:bCs/>
          <w:color w:val="auto"/>
          <w:kern w:val="0"/>
          <w:sz w:val="44"/>
          <w:szCs w:val="44"/>
          <w:highlight w:val="none"/>
          <w:lang w:eastAsia="zh-CN"/>
        </w:rPr>
        <w:t>竞争性</w:t>
      </w:r>
      <w:r>
        <w:rPr>
          <w:rStyle w:val="52"/>
          <w:rFonts w:hint="eastAsia" w:ascii="黑体" w:hAnsi="黑体" w:eastAsia="宋体" w:cs="宋体"/>
          <w:b/>
          <w:bCs/>
          <w:color w:val="auto"/>
          <w:kern w:val="0"/>
          <w:sz w:val="44"/>
          <w:szCs w:val="44"/>
          <w:highlight w:val="none"/>
        </w:rPr>
        <w:t>磋商</w:t>
      </w:r>
      <w:r>
        <w:rPr>
          <w:rStyle w:val="52"/>
          <w:rFonts w:hint="eastAsia" w:ascii="黑体" w:hAnsi="黑体" w:eastAsia="宋体" w:cs="宋体"/>
          <w:b/>
          <w:bCs/>
          <w:color w:val="auto"/>
          <w:kern w:val="0"/>
          <w:sz w:val="44"/>
          <w:szCs w:val="44"/>
          <w:highlight w:val="none"/>
          <w:lang w:eastAsia="zh-CN"/>
        </w:rPr>
        <w:t>办</w:t>
      </w:r>
      <w:r>
        <w:rPr>
          <w:rStyle w:val="52"/>
          <w:rFonts w:hint="eastAsia" w:ascii="黑体" w:hAnsi="黑体" w:eastAsia="宋体" w:cs="宋体"/>
          <w:b/>
          <w:bCs/>
          <w:color w:val="auto"/>
          <w:kern w:val="0"/>
          <w:sz w:val="44"/>
          <w:szCs w:val="44"/>
          <w:highlight w:val="none"/>
        </w:rPr>
        <w:t>法（</w:t>
      </w:r>
      <w:r>
        <w:rPr>
          <w:rStyle w:val="52"/>
          <w:rFonts w:hint="eastAsia" w:ascii="黑体" w:hAnsi="黑体" w:eastAsia="宋体" w:cs="宋体"/>
          <w:b/>
          <w:bCs/>
          <w:color w:val="auto"/>
          <w:kern w:val="0"/>
          <w:sz w:val="44"/>
          <w:szCs w:val="44"/>
          <w:highlight w:val="none"/>
          <w:lang w:eastAsia="zh-CN"/>
        </w:rPr>
        <w:t>综合评分法）</w:t>
      </w:r>
      <w:bookmarkEnd w:id="240"/>
      <w:bookmarkEnd w:id="241"/>
      <w:bookmarkEnd w:id="242"/>
    </w:p>
    <w:p w14:paraId="061250DF">
      <w:pPr>
        <w:pStyle w:val="3"/>
        <w:bidi w:val="0"/>
        <w:jc w:val="center"/>
        <w:rPr>
          <w:rFonts w:hint="eastAsia"/>
          <w:lang w:eastAsia="zh-CN"/>
        </w:rPr>
      </w:pPr>
      <w:bookmarkStart w:id="243" w:name="_Toc437438240"/>
      <w:bookmarkStart w:id="244" w:name="_Toc21366"/>
      <w:bookmarkStart w:id="245" w:name="_Toc432231961"/>
      <w:bookmarkStart w:id="246" w:name="_Toc8330"/>
      <w:bookmarkStart w:id="247" w:name="_Toc410220336"/>
      <w:bookmarkStart w:id="248" w:name="_Toc11762"/>
      <w:bookmarkStart w:id="249" w:name="_Toc13520"/>
      <w:bookmarkStart w:id="250" w:name="_Toc28786"/>
      <w:r>
        <w:rPr>
          <w:rFonts w:hint="eastAsia"/>
          <w:lang w:eastAsia="zh-CN"/>
        </w:rPr>
        <w:t>一、</w:t>
      </w:r>
      <w:r>
        <w:rPr>
          <w:rFonts w:hint="eastAsia"/>
        </w:rPr>
        <w:t>资格审查</w:t>
      </w:r>
      <w:bookmarkEnd w:id="243"/>
      <w:bookmarkEnd w:id="244"/>
      <w:bookmarkEnd w:id="245"/>
      <w:bookmarkEnd w:id="246"/>
      <w:bookmarkEnd w:id="247"/>
      <w:r>
        <w:rPr>
          <w:rFonts w:hint="eastAsia"/>
          <w:lang w:eastAsia="zh-CN"/>
        </w:rPr>
        <w:t>标准</w:t>
      </w:r>
      <w:bookmarkEnd w:id="248"/>
      <w:bookmarkEnd w:id="249"/>
      <w:bookmarkEnd w:id="250"/>
    </w:p>
    <w:p w14:paraId="3158187E">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采用承诺+信用管理方式：</w:t>
      </w:r>
    </w:p>
    <w:p w14:paraId="58F9E645">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（一）供应商自愿作出资格信用承诺的：应在响应文件中提供加盖供应商鲜章的《资格条件承诺函》原件（详见第五章竞争性磋商响应文件格式）。</w:t>
      </w:r>
    </w:p>
    <w:p w14:paraId="54E07998">
      <w:pPr>
        <w:pageBreakBefore w:val="0"/>
        <w:widowControl/>
        <w:kinsoku/>
        <w:wordWrap/>
        <w:overflowPunct/>
        <w:topLinePunct w:val="0"/>
        <w:autoSpaceDE/>
        <w:autoSpaceDN/>
        <w:bidi w:val="0"/>
        <w:adjustRightInd w:val="0"/>
        <w:snapToGrid w:val="0"/>
        <w:spacing w:line="360" w:lineRule="auto"/>
        <w:ind w:firstLine="420" w:firstLineChars="175"/>
        <w:rPr>
          <w:rFonts w:hint="eastAsia"/>
          <w:lang w:eastAsia="zh-CN"/>
        </w:rPr>
      </w:pPr>
      <w:r>
        <w:rPr>
          <w:rFonts w:hint="eastAsia" w:ascii="宋体" w:hAnsi="宋体" w:eastAsia="宋体" w:cs="宋体"/>
          <w:color w:val="auto"/>
          <w:sz w:val="24"/>
          <w:szCs w:val="24"/>
          <w:highlight w:val="none"/>
          <w:lang w:val="en-US" w:eastAsia="zh-CN"/>
        </w:rPr>
        <w:t>（二）供应商未提供《资格条件承诺函》的：按照《中华人民共和国政府采购法》及相关法律法规，请供应商在响应文件中提供以下资格性审查证明材料：</w:t>
      </w:r>
    </w:p>
    <w:tbl>
      <w:tblPr>
        <w:tblStyle w:val="28"/>
        <w:tblpPr w:leftFromText="180" w:rightFromText="180" w:vertAnchor="text" w:horzAnchor="page" w:tblpX="1185" w:tblpY="290"/>
        <w:tblOverlap w:val="never"/>
        <w:tblW w:w="99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8"/>
        <w:gridCol w:w="8530"/>
      </w:tblGrid>
      <w:tr w14:paraId="186A7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exact"/>
        </w:trPr>
        <w:tc>
          <w:tcPr>
            <w:tcW w:w="1428" w:type="dxa"/>
            <w:tcBorders>
              <w:top w:val="single" w:color="000000" w:sz="4" w:space="0"/>
              <w:left w:val="single" w:color="000000" w:sz="4" w:space="0"/>
              <w:bottom w:val="single" w:color="000000" w:sz="4" w:space="0"/>
              <w:right w:val="single" w:color="000000" w:sz="4" w:space="0"/>
            </w:tcBorders>
            <w:noWrap/>
            <w:vAlign w:val="center"/>
          </w:tcPr>
          <w:p w14:paraId="2AB807EF">
            <w:pPr>
              <w:suppressLineNumbers w:val="0"/>
              <w:snapToGrid/>
              <w:spacing w:before="0" w:beforeAutospacing="0" w:after="0" w:afterAutospacing="0" w:line="240" w:lineRule="auto"/>
              <w:jc w:val="center"/>
              <w:textAlignment w:val="baseline"/>
              <w:rPr>
                <w:rStyle w:val="63"/>
                <w:rFonts w:hint="eastAsia" w:ascii="宋体" w:hAnsi="宋体" w:eastAsia="宋体" w:cs="宋体"/>
                <w:b/>
                <w:i w:val="0"/>
                <w:caps w:val="0"/>
                <w:spacing w:val="0"/>
                <w:w w:val="100"/>
                <w:kern w:val="2"/>
                <w:sz w:val="24"/>
                <w:szCs w:val="24"/>
                <w:lang w:val="en-US" w:eastAsia="zh-CN" w:bidi="ar-SA"/>
              </w:rPr>
            </w:pPr>
            <w:r>
              <w:rPr>
                <w:rStyle w:val="63"/>
                <w:rFonts w:hint="eastAsia" w:ascii="宋体" w:hAnsi="宋体" w:eastAsia="宋体" w:cs="宋体"/>
                <w:b/>
                <w:i w:val="0"/>
                <w:caps w:val="0"/>
                <w:spacing w:val="0"/>
                <w:w w:val="100"/>
                <w:kern w:val="2"/>
                <w:sz w:val="24"/>
                <w:szCs w:val="24"/>
                <w:lang w:val="en-US" w:eastAsia="zh-CN" w:bidi="ar-SA"/>
              </w:rPr>
              <w:t>评审项目</w:t>
            </w:r>
          </w:p>
        </w:tc>
        <w:tc>
          <w:tcPr>
            <w:tcW w:w="8530" w:type="dxa"/>
            <w:tcBorders>
              <w:top w:val="single" w:color="000000" w:sz="4" w:space="0"/>
              <w:left w:val="single" w:color="000000" w:sz="4" w:space="0"/>
              <w:bottom w:val="single" w:color="000000" w:sz="4" w:space="0"/>
              <w:right w:val="single" w:color="000000" w:sz="4" w:space="0"/>
            </w:tcBorders>
            <w:noWrap/>
            <w:vAlign w:val="center"/>
          </w:tcPr>
          <w:p w14:paraId="28552EF9">
            <w:pPr>
              <w:suppressLineNumbers w:val="0"/>
              <w:snapToGrid/>
              <w:spacing w:before="0" w:beforeAutospacing="0" w:after="0" w:afterAutospacing="0" w:line="240" w:lineRule="auto"/>
              <w:jc w:val="center"/>
              <w:textAlignment w:val="baseline"/>
              <w:rPr>
                <w:rStyle w:val="63"/>
                <w:rFonts w:hint="eastAsia" w:ascii="宋体" w:hAnsi="宋体" w:eastAsia="宋体" w:cs="宋体"/>
                <w:b/>
                <w:i w:val="0"/>
                <w:caps w:val="0"/>
                <w:spacing w:val="0"/>
                <w:w w:val="100"/>
                <w:kern w:val="2"/>
                <w:sz w:val="24"/>
                <w:szCs w:val="24"/>
                <w:lang w:val="en-US" w:eastAsia="zh-CN" w:bidi="ar-SA"/>
              </w:rPr>
            </w:pPr>
            <w:r>
              <w:rPr>
                <w:rStyle w:val="63"/>
                <w:rFonts w:hint="eastAsia" w:ascii="宋体" w:hAnsi="宋体" w:eastAsia="宋体" w:cs="宋体"/>
                <w:b/>
                <w:i w:val="0"/>
                <w:caps w:val="0"/>
                <w:spacing w:val="0"/>
                <w:w w:val="100"/>
                <w:kern w:val="2"/>
                <w:sz w:val="24"/>
                <w:szCs w:val="24"/>
                <w:lang w:val="en-US" w:eastAsia="zh-CN" w:bidi="ar-SA"/>
              </w:rPr>
              <w:t>评审标准</w:t>
            </w:r>
          </w:p>
        </w:tc>
      </w:tr>
      <w:tr w14:paraId="1858F6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1" w:hRule="atLeast"/>
        </w:trPr>
        <w:tc>
          <w:tcPr>
            <w:tcW w:w="1428" w:type="dxa"/>
            <w:vMerge w:val="restart"/>
            <w:tcBorders>
              <w:top w:val="single" w:color="000000" w:sz="4" w:space="0"/>
              <w:left w:val="single" w:color="000000" w:sz="4" w:space="0"/>
              <w:right w:val="single" w:color="000000" w:sz="4" w:space="0"/>
            </w:tcBorders>
            <w:noWrap/>
            <w:vAlign w:val="center"/>
          </w:tcPr>
          <w:p w14:paraId="01802AA8">
            <w:pPr>
              <w:pageBreakBefore w:val="0"/>
              <w:widowControl/>
              <w:kinsoku/>
              <w:wordWrap/>
              <w:overflowPunct/>
              <w:topLinePunct w:val="0"/>
              <w:autoSpaceDE/>
              <w:autoSpaceDN/>
              <w:bidi w:val="0"/>
              <w:adjustRightInd w:val="0"/>
              <w:snapToGrid w:val="0"/>
              <w:spacing w:line="360" w:lineRule="auto"/>
              <w:jc w:val="center"/>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资格</w:t>
            </w:r>
            <w:r>
              <w:rPr>
                <w:rFonts w:hint="eastAsia" w:ascii="宋体" w:hAnsi="宋体" w:eastAsia="宋体" w:cs="宋体"/>
                <w:color w:val="auto"/>
                <w:sz w:val="24"/>
                <w:szCs w:val="24"/>
                <w:highlight w:val="none"/>
                <w:lang w:val="en-US" w:eastAsia="zh-CN"/>
              </w:rPr>
              <w:t>审查</w:t>
            </w:r>
            <w:r>
              <w:rPr>
                <w:rFonts w:hint="default" w:ascii="宋体" w:hAnsi="宋体" w:eastAsia="宋体" w:cs="宋体"/>
                <w:color w:val="auto"/>
                <w:sz w:val="24"/>
                <w:szCs w:val="24"/>
                <w:highlight w:val="none"/>
                <w:lang w:val="en-US" w:eastAsia="zh-CN"/>
              </w:rPr>
              <w:t>标准</w:t>
            </w:r>
          </w:p>
        </w:tc>
        <w:tc>
          <w:tcPr>
            <w:tcW w:w="8530" w:type="dxa"/>
            <w:tcBorders>
              <w:top w:val="single" w:color="000000" w:sz="4" w:space="0"/>
              <w:left w:val="single" w:color="000000" w:sz="4" w:space="0"/>
              <w:bottom w:val="single" w:color="000000" w:sz="4" w:space="0"/>
              <w:right w:val="single" w:color="000000" w:sz="4" w:space="0"/>
            </w:tcBorders>
            <w:noWrap/>
            <w:vAlign w:val="center"/>
          </w:tcPr>
          <w:p w14:paraId="7039A9E4">
            <w:pPr>
              <w:pageBreakBefore w:val="0"/>
              <w:widowControl/>
              <w:kinsoku/>
              <w:wordWrap/>
              <w:overflowPunct/>
              <w:topLinePunct w:val="0"/>
              <w:autoSpaceDE/>
              <w:autoSpaceDN/>
              <w:bidi w:val="0"/>
              <w:adjustRightInd w:val="0"/>
              <w:snapToGrid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具有独立承担民事责任的能力</w:t>
            </w:r>
            <w:r>
              <w:rPr>
                <w:rFonts w:hint="eastAsia" w:ascii="宋体" w:hAnsi="宋体" w:eastAsia="宋体" w:cs="宋体"/>
                <w:color w:val="auto"/>
                <w:sz w:val="24"/>
                <w:szCs w:val="24"/>
                <w:highlight w:val="none"/>
                <w:lang w:val="en-US" w:eastAsia="zh-CN"/>
              </w:rPr>
              <w:t>。</w:t>
            </w:r>
          </w:p>
        </w:tc>
      </w:tr>
      <w:tr w14:paraId="319491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428" w:type="dxa"/>
            <w:vMerge w:val="continue"/>
            <w:tcBorders>
              <w:left w:val="single" w:color="000000" w:sz="4" w:space="0"/>
              <w:right w:val="single" w:color="000000" w:sz="4" w:space="0"/>
            </w:tcBorders>
            <w:noWrap/>
            <w:vAlign w:val="center"/>
          </w:tcPr>
          <w:p w14:paraId="44051890">
            <w:pPr>
              <w:pageBreakBefore w:val="0"/>
              <w:widowControl/>
              <w:kinsoku/>
              <w:wordWrap/>
              <w:overflowPunct/>
              <w:topLinePunct w:val="0"/>
              <w:autoSpaceDE/>
              <w:autoSpaceDN/>
              <w:bidi w:val="0"/>
              <w:adjustRightInd w:val="0"/>
              <w:snapToGrid w:val="0"/>
              <w:spacing w:line="360" w:lineRule="auto"/>
              <w:ind w:firstLine="420" w:firstLineChars="175"/>
              <w:rPr>
                <w:rFonts w:hint="default" w:ascii="宋体" w:hAnsi="宋体" w:eastAsia="宋体" w:cs="宋体"/>
                <w:color w:val="auto"/>
                <w:sz w:val="24"/>
                <w:szCs w:val="24"/>
                <w:highlight w:val="none"/>
                <w:lang w:val="en-US" w:eastAsia="zh-CN"/>
              </w:rPr>
            </w:pPr>
          </w:p>
        </w:tc>
        <w:tc>
          <w:tcPr>
            <w:tcW w:w="8530" w:type="dxa"/>
            <w:tcBorders>
              <w:top w:val="single" w:color="000000" w:sz="4" w:space="0"/>
              <w:left w:val="single" w:color="000000" w:sz="4" w:space="0"/>
              <w:bottom w:val="single" w:color="000000" w:sz="4" w:space="0"/>
              <w:right w:val="single" w:color="000000" w:sz="4" w:space="0"/>
            </w:tcBorders>
            <w:noWrap/>
            <w:vAlign w:val="center"/>
          </w:tcPr>
          <w:p w14:paraId="6DDFF4BA">
            <w:pPr>
              <w:pageBreakBefore w:val="0"/>
              <w:widowControl/>
              <w:kinsoku/>
              <w:wordWrap/>
              <w:overflowPunct/>
              <w:topLinePunct w:val="0"/>
              <w:autoSpaceDE/>
              <w:autoSpaceDN/>
              <w:bidi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具有良好的商业信誉和健全的财务会计制度（新成立或因合并、分立、成立的新企业，从其登记注册或变更后的会计年度开始计算）。</w:t>
            </w:r>
          </w:p>
        </w:tc>
      </w:tr>
      <w:tr w14:paraId="60F311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428" w:type="dxa"/>
            <w:vMerge w:val="continue"/>
            <w:tcBorders>
              <w:left w:val="single" w:color="000000" w:sz="4" w:space="0"/>
              <w:right w:val="single" w:color="000000" w:sz="4" w:space="0"/>
            </w:tcBorders>
            <w:noWrap/>
            <w:vAlign w:val="center"/>
          </w:tcPr>
          <w:p w14:paraId="68F2A390">
            <w:pPr>
              <w:pageBreakBefore w:val="0"/>
              <w:widowControl/>
              <w:kinsoku/>
              <w:wordWrap/>
              <w:overflowPunct/>
              <w:topLinePunct w:val="0"/>
              <w:autoSpaceDE/>
              <w:autoSpaceDN/>
              <w:bidi w:val="0"/>
              <w:adjustRightInd w:val="0"/>
              <w:snapToGrid w:val="0"/>
              <w:spacing w:line="360" w:lineRule="auto"/>
              <w:ind w:firstLine="420" w:firstLineChars="175"/>
              <w:rPr>
                <w:rFonts w:hint="default" w:ascii="宋体" w:hAnsi="宋体" w:eastAsia="宋体" w:cs="宋体"/>
                <w:color w:val="auto"/>
                <w:sz w:val="24"/>
                <w:szCs w:val="24"/>
                <w:highlight w:val="none"/>
                <w:lang w:val="en-US" w:eastAsia="zh-CN"/>
              </w:rPr>
            </w:pPr>
          </w:p>
        </w:tc>
        <w:tc>
          <w:tcPr>
            <w:tcW w:w="8530" w:type="dxa"/>
            <w:tcBorders>
              <w:top w:val="single" w:color="000000" w:sz="4" w:space="0"/>
              <w:left w:val="single" w:color="000000" w:sz="4" w:space="0"/>
              <w:bottom w:val="single" w:color="000000" w:sz="4" w:space="0"/>
              <w:right w:val="single" w:color="000000" w:sz="4" w:space="0"/>
            </w:tcBorders>
            <w:noWrap/>
            <w:vAlign w:val="center"/>
          </w:tcPr>
          <w:p w14:paraId="489C8C39">
            <w:pPr>
              <w:pageBreakBefore w:val="0"/>
              <w:widowControl/>
              <w:kinsoku/>
              <w:wordWrap/>
              <w:overflowPunct/>
              <w:topLinePunct w:val="0"/>
              <w:autoSpaceDE/>
              <w:autoSpaceDN/>
              <w:bidi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有依法缴纳税收和社会保障资金的良好记录（依法享有免税、免缴优惠政策的供应商，须提供相关证明材料）。</w:t>
            </w:r>
          </w:p>
        </w:tc>
      </w:tr>
      <w:tr w14:paraId="546B4A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5" w:hRule="atLeast"/>
        </w:trPr>
        <w:tc>
          <w:tcPr>
            <w:tcW w:w="1428" w:type="dxa"/>
            <w:vMerge w:val="continue"/>
            <w:tcBorders>
              <w:left w:val="single" w:color="000000" w:sz="4" w:space="0"/>
              <w:right w:val="single" w:color="000000" w:sz="4" w:space="0"/>
            </w:tcBorders>
            <w:noWrap/>
            <w:vAlign w:val="center"/>
          </w:tcPr>
          <w:p w14:paraId="45701740">
            <w:pPr>
              <w:pageBreakBefore w:val="0"/>
              <w:widowControl/>
              <w:kinsoku/>
              <w:wordWrap/>
              <w:overflowPunct/>
              <w:topLinePunct w:val="0"/>
              <w:autoSpaceDE/>
              <w:autoSpaceDN/>
              <w:bidi w:val="0"/>
              <w:adjustRightInd w:val="0"/>
              <w:snapToGrid w:val="0"/>
              <w:spacing w:line="360" w:lineRule="auto"/>
              <w:ind w:firstLine="420" w:firstLineChars="175"/>
              <w:rPr>
                <w:rFonts w:hint="default" w:ascii="宋体" w:hAnsi="宋体" w:eastAsia="宋体" w:cs="宋体"/>
                <w:color w:val="auto"/>
                <w:sz w:val="24"/>
                <w:szCs w:val="24"/>
                <w:highlight w:val="none"/>
                <w:lang w:val="en-US" w:eastAsia="zh-CN"/>
              </w:rPr>
            </w:pPr>
          </w:p>
        </w:tc>
        <w:tc>
          <w:tcPr>
            <w:tcW w:w="8530" w:type="dxa"/>
            <w:tcBorders>
              <w:top w:val="single" w:color="000000" w:sz="4" w:space="0"/>
              <w:left w:val="single" w:color="000000" w:sz="4" w:space="0"/>
              <w:bottom w:val="single" w:color="000000" w:sz="4" w:space="0"/>
              <w:right w:val="single" w:color="000000" w:sz="4" w:space="0"/>
            </w:tcBorders>
            <w:noWrap/>
            <w:vAlign w:val="center"/>
          </w:tcPr>
          <w:p w14:paraId="2CA8BFE3">
            <w:pPr>
              <w:pageBreakBefore w:val="0"/>
              <w:widowControl/>
              <w:kinsoku/>
              <w:wordWrap/>
              <w:overflowPunct/>
              <w:topLinePunct w:val="0"/>
              <w:autoSpaceDE/>
              <w:autoSpaceDN/>
              <w:bidi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具有履行合同所必需的设备和专业技术能力。</w:t>
            </w:r>
          </w:p>
        </w:tc>
      </w:tr>
      <w:tr w14:paraId="6F5088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2" w:hRule="atLeast"/>
        </w:trPr>
        <w:tc>
          <w:tcPr>
            <w:tcW w:w="1428" w:type="dxa"/>
            <w:vMerge w:val="continue"/>
            <w:tcBorders>
              <w:left w:val="single" w:color="000000" w:sz="4" w:space="0"/>
              <w:right w:val="single" w:color="000000" w:sz="4" w:space="0"/>
            </w:tcBorders>
            <w:noWrap/>
            <w:vAlign w:val="center"/>
          </w:tcPr>
          <w:p w14:paraId="793782B5">
            <w:pPr>
              <w:pageBreakBefore w:val="0"/>
              <w:widowControl/>
              <w:kinsoku/>
              <w:wordWrap/>
              <w:overflowPunct/>
              <w:topLinePunct w:val="0"/>
              <w:autoSpaceDE/>
              <w:autoSpaceDN/>
              <w:bidi w:val="0"/>
              <w:adjustRightInd w:val="0"/>
              <w:snapToGrid w:val="0"/>
              <w:spacing w:line="360" w:lineRule="auto"/>
              <w:ind w:firstLine="420" w:firstLineChars="175"/>
              <w:rPr>
                <w:rFonts w:hint="default" w:ascii="宋体" w:hAnsi="宋体" w:eastAsia="宋体" w:cs="宋体"/>
                <w:color w:val="auto"/>
                <w:sz w:val="24"/>
                <w:szCs w:val="24"/>
                <w:highlight w:val="none"/>
                <w:lang w:val="en-US" w:eastAsia="zh-CN"/>
              </w:rPr>
            </w:pPr>
          </w:p>
        </w:tc>
        <w:tc>
          <w:tcPr>
            <w:tcW w:w="8530" w:type="dxa"/>
            <w:tcBorders>
              <w:top w:val="single" w:color="000000" w:sz="4" w:space="0"/>
              <w:left w:val="single" w:color="000000" w:sz="4" w:space="0"/>
              <w:bottom w:val="single" w:color="000000" w:sz="4" w:space="0"/>
              <w:right w:val="single" w:color="000000" w:sz="4" w:space="0"/>
            </w:tcBorders>
            <w:noWrap/>
            <w:vAlign w:val="center"/>
          </w:tcPr>
          <w:p w14:paraId="4925839B">
            <w:pPr>
              <w:pageBreakBefore w:val="0"/>
              <w:widowControl/>
              <w:kinsoku/>
              <w:wordWrap/>
              <w:overflowPunct/>
              <w:topLinePunct w:val="0"/>
              <w:autoSpaceDE/>
              <w:autoSpaceDN/>
              <w:bidi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参加政府采购活动前三年内，在经营活动中没有重大违法记录。</w:t>
            </w:r>
          </w:p>
        </w:tc>
      </w:tr>
      <w:tr w14:paraId="42C991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71" w:hRule="atLeast"/>
        </w:trPr>
        <w:tc>
          <w:tcPr>
            <w:tcW w:w="1428" w:type="dxa"/>
            <w:vMerge w:val="continue"/>
            <w:tcBorders>
              <w:left w:val="single" w:color="000000" w:sz="4" w:space="0"/>
              <w:right w:val="single" w:color="000000" w:sz="4" w:space="0"/>
            </w:tcBorders>
            <w:noWrap/>
            <w:vAlign w:val="center"/>
          </w:tcPr>
          <w:p w14:paraId="6241E52C">
            <w:pPr>
              <w:pageBreakBefore w:val="0"/>
              <w:widowControl/>
              <w:kinsoku/>
              <w:wordWrap/>
              <w:overflowPunct/>
              <w:topLinePunct w:val="0"/>
              <w:autoSpaceDE/>
              <w:autoSpaceDN/>
              <w:bidi w:val="0"/>
              <w:adjustRightInd w:val="0"/>
              <w:snapToGrid w:val="0"/>
              <w:spacing w:line="360" w:lineRule="auto"/>
              <w:ind w:firstLine="420" w:firstLineChars="175"/>
              <w:rPr>
                <w:rFonts w:hint="default" w:ascii="宋体" w:hAnsi="宋体" w:eastAsia="宋体" w:cs="宋体"/>
                <w:color w:val="auto"/>
                <w:sz w:val="24"/>
                <w:szCs w:val="24"/>
                <w:highlight w:val="none"/>
                <w:lang w:val="en-US" w:eastAsia="zh-CN"/>
              </w:rPr>
            </w:pPr>
          </w:p>
        </w:tc>
        <w:tc>
          <w:tcPr>
            <w:tcW w:w="8530" w:type="dxa"/>
            <w:tcBorders>
              <w:top w:val="single" w:color="000000" w:sz="4" w:space="0"/>
              <w:left w:val="single" w:color="000000" w:sz="4" w:space="0"/>
              <w:bottom w:val="single" w:color="000000" w:sz="4" w:space="0"/>
              <w:right w:val="single" w:color="000000" w:sz="4" w:space="0"/>
            </w:tcBorders>
            <w:noWrap/>
            <w:vAlign w:val="center"/>
          </w:tcPr>
          <w:p w14:paraId="586724FB">
            <w:pPr>
              <w:pageBreakBefore w:val="0"/>
              <w:widowControl/>
              <w:kinsoku/>
              <w:wordWrap/>
              <w:overflowPunct/>
              <w:topLinePunct w:val="0"/>
              <w:autoSpaceDE/>
              <w:autoSpaceDN/>
              <w:bidi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在投标（响应）截止时间前，供应商未被列入信用中国（www.creditchina.gov.cn）</w:t>
            </w:r>
            <w:r>
              <w:rPr>
                <w:rFonts w:hint="default" w:ascii="宋体" w:hAnsi="宋体" w:eastAsia="宋体" w:cs="宋体"/>
                <w:color w:val="auto"/>
                <w:sz w:val="24"/>
                <w:szCs w:val="24"/>
                <w:highlight w:val="none"/>
                <w:lang w:val="en-US" w:eastAsia="zh-CN"/>
              </w:rPr>
              <w:t>失信被执行人名单、重大税收违法案件当事人名单</w:t>
            </w:r>
            <w:r>
              <w:rPr>
                <w:rFonts w:hint="eastAsia" w:ascii="宋体" w:hAnsi="宋体" w:eastAsia="宋体" w:cs="宋体"/>
                <w:color w:val="auto"/>
                <w:sz w:val="24"/>
                <w:szCs w:val="24"/>
                <w:highlight w:val="none"/>
                <w:lang w:val="en-US" w:eastAsia="zh-CN"/>
              </w:rPr>
              <w:t>，中国政府采购网（www.ccgp.gov.cn）</w:t>
            </w:r>
            <w:r>
              <w:rPr>
                <w:rFonts w:hint="default" w:ascii="宋体" w:hAnsi="宋体" w:eastAsia="宋体" w:cs="宋体"/>
                <w:color w:val="auto"/>
                <w:sz w:val="24"/>
                <w:szCs w:val="24"/>
                <w:highlight w:val="none"/>
                <w:lang w:val="en-US" w:eastAsia="zh-CN"/>
              </w:rPr>
              <w:t>政府采购严重违法失信行为记录名单</w:t>
            </w:r>
            <w:r>
              <w:rPr>
                <w:rFonts w:hint="eastAsia" w:ascii="宋体" w:hAnsi="宋体" w:eastAsia="宋体" w:cs="宋体"/>
                <w:color w:val="auto"/>
                <w:sz w:val="24"/>
                <w:szCs w:val="24"/>
                <w:highlight w:val="none"/>
                <w:lang w:val="en-US" w:eastAsia="zh-CN"/>
              </w:rPr>
              <w:t>（评审工作开始后，由采购代理机构查询后提交磋商小组）。</w:t>
            </w:r>
          </w:p>
        </w:tc>
      </w:tr>
      <w:tr w14:paraId="3AB529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trPr>
        <w:tc>
          <w:tcPr>
            <w:tcW w:w="1428" w:type="dxa"/>
            <w:vMerge w:val="continue"/>
            <w:tcBorders>
              <w:left w:val="single" w:color="000000" w:sz="4" w:space="0"/>
              <w:right w:val="single" w:color="000000" w:sz="4" w:space="0"/>
            </w:tcBorders>
            <w:noWrap/>
            <w:vAlign w:val="center"/>
          </w:tcPr>
          <w:p w14:paraId="537A0299">
            <w:pPr>
              <w:pageBreakBefore w:val="0"/>
              <w:widowControl/>
              <w:kinsoku/>
              <w:wordWrap/>
              <w:overflowPunct/>
              <w:topLinePunct w:val="0"/>
              <w:autoSpaceDE/>
              <w:autoSpaceDN/>
              <w:bidi w:val="0"/>
              <w:adjustRightInd w:val="0"/>
              <w:snapToGrid w:val="0"/>
              <w:spacing w:line="360" w:lineRule="auto"/>
              <w:ind w:firstLine="420" w:firstLineChars="175"/>
              <w:rPr>
                <w:rFonts w:hint="default" w:ascii="宋体" w:hAnsi="宋体" w:eastAsia="宋体" w:cs="宋体"/>
                <w:color w:val="auto"/>
                <w:sz w:val="24"/>
                <w:szCs w:val="24"/>
                <w:highlight w:val="none"/>
                <w:lang w:val="en-US" w:eastAsia="zh-CN"/>
              </w:rPr>
            </w:pPr>
          </w:p>
        </w:tc>
        <w:tc>
          <w:tcPr>
            <w:tcW w:w="8530" w:type="dxa"/>
            <w:tcBorders>
              <w:top w:val="single" w:color="000000" w:sz="4" w:space="0"/>
              <w:left w:val="single" w:color="000000" w:sz="4" w:space="0"/>
              <w:bottom w:val="single" w:color="000000" w:sz="4" w:space="0"/>
              <w:right w:val="single" w:color="000000" w:sz="4" w:space="0"/>
            </w:tcBorders>
            <w:noWrap/>
            <w:vAlign w:val="center"/>
          </w:tcPr>
          <w:p w14:paraId="149D6286">
            <w:pPr>
              <w:pageBreakBefore w:val="0"/>
              <w:widowControl/>
              <w:kinsoku/>
              <w:wordWrap/>
              <w:overflowPunct/>
              <w:topLinePunct w:val="0"/>
              <w:autoSpaceDE/>
              <w:autoSpaceDN/>
              <w:bidi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tc>
      </w:tr>
      <w:tr w14:paraId="07890B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trPr>
        <w:tc>
          <w:tcPr>
            <w:tcW w:w="1428" w:type="dxa"/>
            <w:vMerge w:val="continue"/>
            <w:tcBorders>
              <w:left w:val="single" w:color="000000" w:sz="4" w:space="0"/>
              <w:bottom w:val="single" w:color="000000" w:sz="4" w:space="0"/>
              <w:right w:val="single" w:color="000000" w:sz="4" w:space="0"/>
            </w:tcBorders>
            <w:noWrap/>
            <w:vAlign w:val="center"/>
          </w:tcPr>
          <w:p w14:paraId="0DC1509C">
            <w:pPr>
              <w:pageBreakBefore w:val="0"/>
              <w:widowControl/>
              <w:kinsoku/>
              <w:wordWrap/>
              <w:overflowPunct/>
              <w:topLinePunct w:val="0"/>
              <w:autoSpaceDE/>
              <w:autoSpaceDN/>
              <w:bidi w:val="0"/>
              <w:adjustRightInd w:val="0"/>
              <w:snapToGrid w:val="0"/>
              <w:spacing w:line="360" w:lineRule="auto"/>
              <w:ind w:firstLine="420" w:firstLineChars="175"/>
              <w:rPr>
                <w:rFonts w:hint="default" w:ascii="宋体" w:hAnsi="宋体" w:eastAsia="宋体" w:cs="宋体"/>
                <w:color w:val="auto"/>
                <w:sz w:val="24"/>
                <w:szCs w:val="24"/>
                <w:highlight w:val="none"/>
                <w:lang w:val="en-US" w:eastAsia="zh-CN"/>
              </w:rPr>
            </w:pPr>
          </w:p>
        </w:tc>
        <w:tc>
          <w:tcPr>
            <w:tcW w:w="8530" w:type="dxa"/>
            <w:tcBorders>
              <w:top w:val="single" w:color="000000" w:sz="4" w:space="0"/>
              <w:left w:val="single" w:color="000000" w:sz="4" w:space="0"/>
              <w:bottom w:val="single" w:color="000000" w:sz="4" w:space="0"/>
              <w:right w:val="single" w:color="000000" w:sz="4" w:space="0"/>
            </w:tcBorders>
            <w:noWrap/>
            <w:vAlign w:val="center"/>
          </w:tcPr>
          <w:p w14:paraId="79CD556D">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Times New Roman" w:hAnsi="Times New Roman" w:eastAsia="宋体" w:cs="宋体"/>
                <w:i w:val="0"/>
                <w:iCs w:val="0"/>
                <w:caps w:val="0"/>
                <w:smallCaps w:val="0"/>
                <w:color w:val="auto"/>
                <w:sz w:val="24"/>
                <w:szCs w:val="24"/>
                <w:highlight w:val="none"/>
              </w:rPr>
            </w:pPr>
            <w:r>
              <w:rPr>
                <w:rFonts w:hint="eastAsia" w:ascii="Times New Roman" w:hAnsi="Times New Roman" w:eastAsia="宋体" w:cs="宋体"/>
                <w:i w:val="0"/>
                <w:iCs w:val="0"/>
                <w:caps w:val="0"/>
                <w:smallCaps w:val="0"/>
                <w:color w:val="auto"/>
                <w:sz w:val="24"/>
                <w:szCs w:val="24"/>
                <w:highlight w:val="none"/>
              </w:rPr>
              <w:t>本项目的特定资格要求：</w:t>
            </w:r>
          </w:p>
          <w:p w14:paraId="443E9054">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Times New Roman" w:hAnsi="Times New Roman" w:eastAsia="宋体" w:cs="宋体"/>
                <w:i w:val="0"/>
                <w:iCs w:val="0"/>
                <w:caps w:val="0"/>
                <w:smallCaps w:val="0"/>
                <w:color w:val="auto"/>
                <w:sz w:val="24"/>
                <w:szCs w:val="24"/>
                <w:highlight w:val="none"/>
                <w:lang w:eastAsia="zh-CN"/>
              </w:rPr>
            </w:pPr>
            <w:r>
              <w:rPr>
                <w:rFonts w:hint="eastAsia" w:ascii="Times New Roman" w:hAnsi="Times New Roman" w:eastAsia="宋体" w:cs="宋体"/>
                <w:i w:val="0"/>
                <w:iCs w:val="0"/>
                <w:caps w:val="0"/>
                <w:smallCaps w:val="0"/>
                <w:color w:val="auto"/>
                <w:sz w:val="24"/>
                <w:szCs w:val="24"/>
                <w:highlight w:val="none"/>
                <w:lang w:val="en-US" w:eastAsia="zh-CN"/>
              </w:rPr>
              <w:t>（1）具备建设行政主管部门核发的建筑工程施工总承包三级及以上资质；具备有效期内的安全生产许可证。</w:t>
            </w:r>
          </w:p>
          <w:p w14:paraId="76E17300">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Times New Roman" w:hAnsi="Times New Roman" w:eastAsia="宋体" w:cs="宋体"/>
                <w:i w:val="0"/>
                <w:iCs w:val="0"/>
                <w:caps w:val="0"/>
                <w:smallCaps w:val="0"/>
                <w:color w:val="auto"/>
                <w:sz w:val="24"/>
                <w:szCs w:val="24"/>
                <w:highlight w:val="none"/>
                <w:lang w:eastAsia="zh-CN"/>
              </w:rPr>
            </w:pPr>
            <w:r>
              <w:rPr>
                <w:rFonts w:hint="eastAsia" w:ascii="Times New Roman" w:hAnsi="Times New Roman" w:eastAsia="宋体" w:cs="宋体"/>
                <w:i w:val="0"/>
                <w:iCs w:val="0"/>
                <w:caps w:val="0"/>
                <w:smallCaps w:val="0"/>
                <w:color w:val="auto"/>
                <w:sz w:val="24"/>
                <w:szCs w:val="24"/>
                <w:highlight w:val="none"/>
                <w:lang w:eastAsia="zh-CN"/>
              </w:rPr>
              <w:t>（</w:t>
            </w:r>
            <w:r>
              <w:rPr>
                <w:rFonts w:hint="eastAsia" w:ascii="Times New Roman" w:hAnsi="Times New Roman" w:eastAsia="宋体" w:cs="宋体"/>
                <w:i w:val="0"/>
                <w:iCs w:val="0"/>
                <w:caps w:val="0"/>
                <w:smallCaps w:val="0"/>
                <w:color w:val="auto"/>
                <w:sz w:val="24"/>
                <w:szCs w:val="24"/>
                <w:highlight w:val="none"/>
                <w:lang w:val="en-US" w:eastAsia="zh-CN"/>
              </w:rPr>
              <w:t>2</w:t>
            </w:r>
            <w:r>
              <w:rPr>
                <w:rFonts w:hint="eastAsia" w:ascii="Times New Roman" w:hAnsi="Times New Roman" w:eastAsia="宋体" w:cs="宋体"/>
                <w:i w:val="0"/>
                <w:iCs w:val="0"/>
                <w:caps w:val="0"/>
                <w:smallCaps w:val="0"/>
                <w:color w:val="auto"/>
                <w:sz w:val="24"/>
                <w:szCs w:val="24"/>
                <w:highlight w:val="none"/>
                <w:lang w:eastAsia="zh-CN"/>
              </w:rPr>
              <w:t>）项目经理具备建筑工程专业</w:t>
            </w:r>
            <w:r>
              <w:rPr>
                <w:rFonts w:hint="eastAsia" w:ascii="Times New Roman" w:hAnsi="Times New Roman" w:eastAsia="宋体" w:cs="宋体"/>
                <w:i w:val="0"/>
                <w:iCs w:val="0"/>
                <w:caps w:val="0"/>
                <w:smallCaps w:val="0"/>
                <w:color w:val="auto"/>
                <w:sz w:val="24"/>
                <w:szCs w:val="24"/>
                <w:highlight w:val="none"/>
                <w:lang w:val="en-US" w:eastAsia="zh-CN"/>
              </w:rPr>
              <w:t>二</w:t>
            </w:r>
            <w:r>
              <w:rPr>
                <w:rFonts w:hint="eastAsia" w:ascii="Times New Roman" w:hAnsi="Times New Roman" w:eastAsia="宋体" w:cs="宋体"/>
                <w:i w:val="0"/>
                <w:iCs w:val="0"/>
                <w:caps w:val="0"/>
                <w:smallCaps w:val="0"/>
                <w:color w:val="auto"/>
                <w:sz w:val="24"/>
                <w:szCs w:val="24"/>
                <w:highlight w:val="none"/>
                <w:lang w:eastAsia="zh-CN"/>
              </w:rPr>
              <w:t>级及以上注册建造师</w:t>
            </w:r>
            <w:r>
              <w:rPr>
                <w:rFonts w:hint="eastAsia" w:ascii="Times New Roman" w:hAnsi="Times New Roman" w:eastAsia="宋体" w:cs="宋体"/>
                <w:i w:val="0"/>
                <w:iCs w:val="0"/>
                <w:caps w:val="0"/>
                <w:smallCaps w:val="0"/>
                <w:color w:val="auto"/>
                <w:sz w:val="24"/>
                <w:szCs w:val="24"/>
                <w:highlight w:val="none"/>
                <w:lang w:val="en-US" w:eastAsia="zh-CN"/>
              </w:rPr>
              <w:t>资格</w:t>
            </w:r>
            <w:r>
              <w:rPr>
                <w:rFonts w:hint="eastAsia" w:ascii="Times New Roman" w:hAnsi="Times New Roman" w:eastAsia="宋体" w:cs="宋体"/>
                <w:i w:val="0"/>
                <w:iCs w:val="0"/>
                <w:caps w:val="0"/>
                <w:smallCaps w:val="0"/>
                <w:color w:val="auto"/>
                <w:sz w:val="24"/>
                <w:szCs w:val="24"/>
                <w:highlight w:val="none"/>
                <w:lang w:eastAsia="zh-CN"/>
              </w:rPr>
              <w:t>证书，具备有效的安全生产考核合格证（B证），且未担任其他在建、</w:t>
            </w:r>
            <w:r>
              <w:rPr>
                <w:rFonts w:hint="eastAsia" w:ascii="Times New Roman" w:hAnsi="Times New Roman" w:eastAsia="宋体" w:cs="宋体"/>
                <w:i w:val="0"/>
                <w:iCs w:val="0"/>
                <w:caps w:val="0"/>
                <w:smallCaps w:val="0"/>
                <w:color w:val="auto"/>
                <w:sz w:val="24"/>
                <w:szCs w:val="24"/>
                <w:highlight w:val="none"/>
                <w:lang w:val="en-US" w:eastAsia="zh-CN"/>
              </w:rPr>
              <w:t>待建</w:t>
            </w:r>
            <w:r>
              <w:rPr>
                <w:rFonts w:hint="eastAsia" w:ascii="Times New Roman" w:hAnsi="Times New Roman" w:eastAsia="宋体" w:cs="宋体"/>
                <w:i w:val="0"/>
                <w:iCs w:val="0"/>
                <w:caps w:val="0"/>
                <w:smallCaps w:val="0"/>
                <w:color w:val="auto"/>
                <w:sz w:val="24"/>
                <w:szCs w:val="24"/>
                <w:highlight w:val="none"/>
                <w:lang w:eastAsia="zh-CN"/>
              </w:rPr>
              <w:t>工程项目的项目经理</w:t>
            </w:r>
            <w:r>
              <w:rPr>
                <w:rFonts w:hint="eastAsia" w:ascii="Times New Roman" w:hAnsi="Times New Roman" w:eastAsia="宋体" w:cs="宋体"/>
                <w:i w:val="0"/>
                <w:iCs w:val="0"/>
                <w:caps w:val="0"/>
                <w:smallCaps w:val="0"/>
                <w:color w:val="auto"/>
                <w:sz w:val="24"/>
                <w:szCs w:val="24"/>
                <w:highlight w:val="none"/>
                <w:lang w:val="en-US" w:eastAsia="zh-CN"/>
              </w:rPr>
              <w:t>承诺书</w:t>
            </w:r>
            <w:r>
              <w:rPr>
                <w:rFonts w:hint="eastAsia" w:ascii="Times New Roman" w:hAnsi="Times New Roman" w:eastAsia="宋体" w:cs="宋体"/>
                <w:i w:val="0"/>
                <w:iCs w:val="0"/>
                <w:caps w:val="0"/>
                <w:smallCaps w:val="0"/>
                <w:color w:val="auto"/>
                <w:sz w:val="24"/>
                <w:szCs w:val="24"/>
                <w:highlight w:val="none"/>
                <w:lang w:eastAsia="zh-CN"/>
              </w:rPr>
              <w:t>。</w:t>
            </w:r>
          </w:p>
          <w:p w14:paraId="1A110502">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eastAsia="zh-CN"/>
              </w:rPr>
              <w:t>（</w:t>
            </w:r>
            <w:r>
              <w:rPr>
                <w:rFonts w:hint="eastAsia" w:ascii="Times New Roman" w:hAnsi="Times New Roman" w:eastAsia="宋体" w:cs="宋体"/>
                <w:i w:val="0"/>
                <w:iCs w:val="0"/>
                <w:caps w:val="0"/>
                <w:smallCaps w:val="0"/>
                <w:color w:val="auto"/>
                <w:sz w:val="24"/>
                <w:szCs w:val="24"/>
                <w:highlight w:val="none"/>
                <w:lang w:val="en-US" w:eastAsia="zh-CN"/>
              </w:rPr>
              <w:t>3</w:t>
            </w:r>
            <w:r>
              <w:rPr>
                <w:rFonts w:hint="eastAsia" w:ascii="Times New Roman" w:hAnsi="Times New Roman" w:eastAsia="宋体" w:cs="宋体"/>
                <w:i w:val="0"/>
                <w:iCs w:val="0"/>
                <w:caps w:val="0"/>
                <w:smallCaps w:val="0"/>
                <w:color w:val="auto"/>
                <w:sz w:val="24"/>
                <w:szCs w:val="24"/>
                <w:highlight w:val="none"/>
                <w:lang w:eastAsia="zh-CN"/>
              </w:rPr>
              <w:t>）技术负责人</w:t>
            </w:r>
            <w:r>
              <w:rPr>
                <w:rFonts w:hint="eastAsia" w:ascii="Times New Roman" w:hAnsi="Times New Roman" w:eastAsia="宋体" w:cs="宋体"/>
                <w:i w:val="0"/>
                <w:iCs w:val="0"/>
                <w:caps w:val="0"/>
                <w:smallCaps w:val="0"/>
                <w:color w:val="auto"/>
                <w:sz w:val="24"/>
                <w:szCs w:val="24"/>
                <w:highlight w:val="none"/>
                <w:lang w:val="en-US" w:eastAsia="zh-CN"/>
              </w:rPr>
              <w:t>具备工程施工技术管理工作经历，具有建筑工程相关专业中级及以上技术职称或建筑工程专业二级及以上注册建造师资格证书。</w:t>
            </w:r>
          </w:p>
        </w:tc>
      </w:tr>
    </w:tbl>
    <w:p w14:paraId="3C215916">
      <w:pPr>
        <w:spacing w:line="480" w:lineRule="exact"/>
        <w:ind w:firstLine="482" w:firstLineChars="200"/>
        <w:jc w:val="left"/>
        <w:rPr>
          <w:rFonts w:hint="eastAsia" w:ascii="宋体" w:hAnsi="宋体" w:cs="宋体"/>
          <w:b/>
          <w:bCs/>
          <w:color w:val="000000"/>
          <w:sz w:val="24"/>
        </w:rPr>
      </w:pPr>
      <w:r>
        <w:rPr>
          <w:rFonts w:hint="eastAsia" w:ascii="宋体" w:hAnsi="宋体" w:cs="宋体"/>
          <w:b/>
          <w:bCs/>
          <w:color w:val="000000"/>
          <w:sz w:val="24"/>
        </w:rPr>
        <w:t>没有通过</w:t>
      </w:r>
      <w:r>
        <w:rPr>
          <w:rFonts w:hint="eastAsia" w:ascii="宋体" w:hAnsi="宋体" w:cs="宋体"/>
          <w:b/>
          <w:bCs/>
          <w:color w:val="000000"/>
          <w:sz w:val="24"/>
          <w:lang w:val="en-US" w:eastAsia="zh-CN"/>
        </w:rPr>
        <w:t>资格审查标准</w:t>
      </w:r>
      <w:r>
        <w:rPr>
          <w:rFonts w:hint="eastAsia" w:ascii="宋体" w:hAnsi="宋体" w:cs="宋体"/>
          <w:b/>
          <w:bCs/>
          <w:color w:val="000000"/>
          <w:sz w:val="24"/>
        </w:rPr>
        <w:t>的，不能进入详细评审。</w:t>
      </w:r>
    </w:p>
    <w:p w14:paraId="6BC2738F">
      <w:pPr>
        <w:bidi w:val="0"/>
        <w:rPr>
          <w:rFonts w:hint="eastAsia"/>
        </w:rPr>
      </w:pPr>
    </w:p>
    <w:p w14:paraId="6A986A67">
      <w:pPr>
        <w:bidi w:val="0"/>
        <w:rPr>
          <w:rFonts w:hint="eastAsia"/>
        </w:rPr>
      </w:pPr>
    </w:p>
    <w:p w14:paraId="1907F7CA">
      <w:pPr>
        <w:bidi w:val="0"/>
        <w:rPr>
          <w:rFonts w:hint="eastAsia"/>
        </w:rPr>
      </w:pPr>
    </w:p>
    <w:p w14:paraId="5BABB144">
      <w:pPr>
        <w:bidi w:val="0"/>
        <w:rPr>
          <w:rFonts w:hint="eastAsia"/>
        </w:rPr>
      </w:pPr>
    </w:p>
    <w:p w14:paraId="0731809B">
      <w:pPr>
        <w:bidi w:val="0"/>
        <w:rPr>
          <w:rFonts w:hint="eastAsia"/>
        </w:rPr>
      </w:pPr>
    </w:p>
    <w:p w14:paraId="109D047D">
      <w:pPr>
        <w:bidi w:val="0"/>
        <w:rPr>
          <w:rFonts w:hint="eastAsia"/>
        </w:rPr>
      </w:pPr>
    </w:p>
    <w:p w14:paraId="2166765F">
      <w:pPr>
        <w:bidi w:val="0"/>
        <w:rPr>
          <w:rFonts w:hint="eastAsia"/>
        </w:rPr>
      </w:pPr>
    </w:p>
    <w:p w14:paraId="0F6E3001">
      <w:pPr>
        <w:bidi w:val="0"/>
        <w:rPr>
          <w:rFonts w:hint="eastAsia"/>
        </w:rPr>
      </w:pPr>
    </w:p>
    <w:p w14:paraId="012DDF68">
      <w:pPr>
        <w:bidi w:val="0"/>
        <w:rPr>
          <w:rFonts w:hint="eastAsia"/>
        </w:rPr>
      </w:pPr>
    </w:p>
    <w:p w14:paraId="1C7FE0B0">
      <w:pPr>
        <w:bidi w:val="0"/>
        <w:rPr>
          <w:rFonts w:hint="eastAsia"/>
        </w:rPr>
      </w:pPr>
    </w:p>
    <w:p w14:paraId="64185C20">
      <w:pPr>
        <w:bidi w:val="0"/>
        <w:rPr>
          <w:rFonts w:hint="eastAsia"/>
        </w:rPr>
      </w:pPr>
    </w:p>
    <w:p w14:paraId="7C21EF3E">
      <w:pPr>
        <w:bidi w:val="0"/>
        <w:rPr>
          <w:rFonts w:hint="eastAsia"/>
        </w:rPr>
      </w:pPr>
    </w:p>
    <w:p w14:paraId="7939EABF">
      <w:pPr>
        <w:bidi w:val="0"/>
        <w:rPr>
          <w:rFonts w:hint="eastAsia"/>
        </w:rPr>
      </w:pPr>
    </w:p>
    <w:p w14:paraId="1D05AC81">
      <w:pPr>
        <w:bidi w:val="0"/>
        <w:rPr>
          <w:rFonts w:hint="eastAsia"/>
        </w:rPr>
      </w:pPr>
    </w:p>
    <w:p w14:paraId="3C0AFCDC">
      <w:pPr>
        <w:bidi w:val="0"/>
        <w:rPr>
          <w:rFonts w:hint="eastAsia"/>
        </w:rPr>
      </w:pPr>
    </w:p>
    <w:p w14:paraId="4A12AEB8">
      <w:pPr>
        <w:bidi w:val="0"/>
        <w:rPr>
          <w:rFonts w:hint="eastAsia"/>
        </w:rPr>
      </w:pPr>
    </w:p>
    <w:p w14:paraId="3242650C">
      <w:pPr>
        <w:bidi w:val="0"/>
        <w:rPr>
          <w:rFonts w:hint="eastAsia"/>
        </w:rPr>
      </w:pPr>
    </w:p>
    <w:p w14:paraId="04D6BB1E">
      <w:pPr>
        <w:bidi w:val="0"/>
        <w:rPr>
          <w:rFonts w:hint="eastAsia"/>
        </w:rPr>
      </w:pPr>
    </w:p>
    <w:p w14:paraId="1FFE0192">
      <w:pPr>
        <w:bidi w:val="0"/>
        <w:rPr>
          <w:rFonts w:hint="eastAsia"/>
        </w:rPr>
      </w:pPr>
    </w:p>
    <w:p w14:paraId="0478D86C">
      <w:pPr>
        <w:bidi w:val="0"/>
        <w:rPr>
          <w:rFonts w:hint="eastAsia"/>
        </w:rPr>
      </w:pPr>
    </w:p>
    <w:p w14:paraId="12EEBD6A">
      <w:pPr>
        <w:bidi w:val="0"/>
        <w:rPr>
          <w:rFonts w:hint="eastAsia"/>
        </w:rPr>
      </w:pPr>
    </w:p>
    <w:p w14:paraId="7AA26F31">
      <w:pPr>
        <w:bidi w:val="0"/>
        <w:rPr>
          <w:rFonts w:hint="eastAsia"/>
        </w:rPr>
      </w:pPr>
    </w:p>
    <w:p w14:paraId="4F63062C">
      <w:pPr>
        <w:bidi w:val="0"/>
        <w:rPr>
          <w:rFonts w:hint="eastAsia"/>
        </w:rPr>
      </w:pPr>
    </w:p>
    <w:p w14:paraId="4308742E">
      <w:pPr>
        <w:bidi w:val="0"/>
        <w:rPr>
          <w:rFonts w:hint="eastAsia"/>
        </w:rPr>
      </w:pPr>
    </w:p>
    <w:p w14:paraId="54F89A8B">
      <w:pPr>
        <w:bidi w:val="0"/>
        <w:rPr>
          <w:rFonts w:hint="eastAsia"/>
        </w:rPr>
      </w:pPr>
    </w:p>
    <w:p w14:paraId="2F63B6EB">
      <w:pPr>
        <w:bidi w:val="0"/>
        <w:rPr>
          <w:rFonts w:hint="eastAsia"/>
          <w:lang w:eastAsia="zh-CN"/>
        </w:rPr>
      </w:pPr>
      <w:bookmarkStart w:id="251" w:name="_Toc13714"/>
      <w:bookmarkStart w:id="252" w:name="_Toc499635402"/>
      <w:bookmarkStart w:id="253" w:name="_Toc30319"/>
      <w:bookmarkStart w:id="254" w:name="_Toc26848"/>
      <w:bookmarkStart w:id="255" w:name="_Toc27799"/>
    </w:p>
    <w:p w14:paraId="577298F2">
      <w:pPr>
        <w:pStyle w:val="3"/>
        <w:bidi w:val="0"/>
        <w:jc w:val="center"/>
        <w:rPr>
          <w:rFonts w:hint="eastAsia"/>
        </w:rPr>
      </w:pPr>
      <w:r>
        <w:rPr>
          <w:rFonts w:hint="eastAsia"/>
          <w:lang w:eastAsia="zh-CN"/>
        </w:rPr>
        <w:t>二、符合性</w:t>
      </w:r>
      <w:bookmarkEnd w:id="251"/>
      <w:bookmarkEnd w:id="252"/>
      <w:r>
        <w:rPr>
          <w:rFonts w:hint="eastAsia"/>
          <w:lang w:val="en-US" w:eastAsia="zh-CN"/>
        </w:rPr>
        <w:t>审查</w:t>
      </w:r>
      <w:r>
        <w:rPr>
          <w:rFonts w:hint="eastAsia"/>
          <w:lang w:eastAsia="zh-CN"/>
        </w:rPr>
        <w:t>标准</w:t>
      </w:r>
      <w:bookmarkEnd w:id="253"/>
      <w:bookmarkEnd w:id="254"/>
      <w:bookmarkEnd w:id="255"/>
    </w:p>
    <w:tbl>
      <w:tblPr>
        <w:tblStyle w:val="29"/>
        <w:tblW w:w="9982" w:type="dxa"/>
        <w:tblInd w:w="-3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7"/>
        <w:gridCol w:w="8055"/>
      </w:tblGrid>
      <w:tr w14:paraId="06A97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1927" w:type="dxa"/>
            <w:vAlign w:val="center"/>
          </w:tcPr>
          <w:p w14:paraId="5E477226">
            <w:pPr>
              <w:spacing w:line="320" w:lineRule="exact"/>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评审因素</w:t>
            </w:r>
          </w:p>
        </w:tc>
        <w:tc>
          <w:tcPr>
            <w:tcW w:w="8055" w:type="dxa"/>
            <w:vAlign w:val="center"/>
          </w:tcPr>
          <w:p w14:paraId="75F3023B">
            <w:pPr>
              <w:spacing w:line="320" w:lineRule="exact"/>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符合性评审标准</w:t>
            </w:r>
          </w:p>
        </w:tc>
      </w:tr>
      <w:tr w14:paraId="05BBD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6" w:hRule="atLeast"/>
        </w:trPr>
        <w:tc>
          <w:tcPr>
            <w:tcW w:w="1927" w:type="dxa"/>
            <w:vAlign w:val="center"/>
          </w:tcPr>
          <w:p w14:paraId="61BE672D">
            <w:pPr>
              <w:spacing w:line="320" w:lineRule="exact"/>
              <w:jc w:val="center"/>
              <w:rPr>
                <w:rFonts w:hint="eastAsia" w:ascii="宋体" w:hAnsi="宋体" w:eastAsia="宋体" w:cs="宋体"/>
                <w:color w:val="000000"/>
                <w:sz w:val="24"/>
                <w:szCs w:val="24"/>
              </w:rPr>
            </w:pPr>
            <w:bookmarkStart w:id="256" w:name="OLE_LINK10"/>
            <w:r>
              <w:rPr>
                <w:rFonts w:hint="eastAsia" w:ascii="宋体" w:hAnsi="宋体" w:eastAsia="宋体" w:cs="宋体"/>
                <w:color w:val="000000"/>
                <w:sz w:val="24"/>
                <w:szCs w:val="24"/>
              </w:rPr>
              <w:t>报价合理</w:t>
            </w:r>
            <w:bookmarkEnd w:id="256"/>
          </w:p>
        </w:tc>
        <w:tc>
          <w:tcPr>
            <w:tcW w:w="8055" w:type="dxa"/>
            <w:vAlign w:val="center"/>
          </w:tcPr>
          <w:p w14:paraId="26AB8634">
            <w:pPr>
              <w:spacing w:line="320" w:lineRule="exact"/>
              <w:jc w:val="left"/>
              <w:rPr>
                <w:rFonts w:hint="eastAsia" w:ascii="宋体" w:hAnsi="宋体" w:eastAsia="宋体" w:cs="宋体"/>
                <w:kern w:val="0"/>
                <w:sz w:val="24"/>
                <w:szCs w:val="24"/>
                <w:lang w:eastAsia="zh-CN" w:bidi="ar"/>
              </w:rPr>
            </w:pPr>
            <w:r>
              <w:rPr>
                <w:rFonts w:hint="eastAsia" w:ascii="宋体" w:hAnsi="宋体" w:eastAsia="宋体" w:cs="宋体"/>
                <w:kern w:val="0"/>
                <w:sz w:val="24"/>
                <w:szCs w:val="24"/>
                <w:lang w:eastAsia="zh-CN" w:bidi="ar"/>
              </w:rPr>
              <w:t>根据财政部印发《关于推动解决政府采购异常低价问题的通知》财库[2026]2号文规定，政府采购评审中出现下列情形之一的，磋商小组应当启动异常低价投标（响应）审查程序： </w:t>
            </w:r>
          </w:p>
          <w:p w14:paraId="4D4E8825">
            <w:pPr>
              <w:spacing w:line="320" w:lineRule="exact"/>
              <w:jc w:val="left"/>
              <w:rPr>
                <w:rFonts w:hint="eastAsia" w:ascii="宋体" w:hAnsi="宋体" w:eastAsia="宋体" w:cs="宋体"/>
                <w:kern w:val="0"/>
                <w:sz w:val="24"/>
                <w:szCs w:val="24"/>
                <w:lang w:eastAsia="zh-CN" w:bidi="ar"/>
              </w:rPr>
            </w:pPr>
            <w:r>
              <w:rPr>
                <w:rFonts w:hint="eastAsia" w:ascii="宋体" w:hAnsi="宋体" w:eastAsia="宋体" w:cs="宋体"/>
                <w:kern w:val="0"/>
                <w:sz w:val="24"/>
                <w:szCs w:val="24"/>
                <w:lang w:eastAsia="zh-CN" w:bidi="ar"/>
              </w:rPr>
              <w:t>1.投标（响应）报价低于全部通过符合性审查供应商投标（响应）报价平均值50%的，即投标（响应）报价&lt;全部通过符合性审查供应商投标（响应）报价平均值×50%；</w:t>
            </w:r>
          </w:p>
          <w:p w14:paraId="2AE1F017">
            <w:pPr>
              <w:spacing w:line="320" w:lineRule="exact"/>
              <w:jc w:val="left"/>
              <w:rPr>
                <w:rFonts w:hint="eastAsia" w:ascii="宋体" w:hAnsi="宋体" w:eastAsia="宋体" w:cs="宋体"/>
                <w:kern w:val="0"/>
                <w:sz w:val="24"/>
                <w:szCs w:val="24"/>
                <w:lang w:eastAsia="zh-CN" w:bidi="ar"/>
              </w:rPr>
            </w:pPr>
            <w:r>
              <w:rPr>
                <w:rFonts w:hint="eastAsia" w:ascii="宋体" w:hAnsi="宋体" w:eastAsia="宋体" w:cs="宋体"/>
                <w:kern w:val="0"/>
                <w:sz w:val="24"/>
                <w:szCs w:val="24"/>
                <w:lang w:eastAsia="zh-CN" w:bidi="ar"/>
              </w:rPr>
              <w:t>2.投标（响应）报价低于通过符合性审查的次低报价供应商投标（响应）报价50%的，即投标（响应）报价&lt;通过符合性审查的次低报价供应商投标（响应）报价×50%；</w:t>
            </w:r>
          </w:p>
          <w:p w14:paraId="425DD88B">
            <w:pPr>
              <w:spacing w:line="320" w:lineRule="exact"/>
              <w:jc w:val="left"/>
              <w:rPr>
                <w:rFonts w:hint="eastAsia" w:ascii="宋体" w:hAnsi="宋体" w:eastAsia="宋体" w:cs="宋体"/>
                <w:kern w:val="0"/>
                <w:sz w:val="24"/>
                <w:szCs w:val="24"/>
                <w:lang w:eastAsia="zh-CN" w:bidi="ar"/>
              </w:rPr>
            </w:pPr>
            <w:r>
              <w:rPr>
                <w:rFonts w:hint="eastAsia" w:ascii="宋体" w:hAnsi="宋体" w:eastAsia="宋体" w:cs="宋体"/>
                <w:kern w:val="0"/>
                <w:sz w:val="24"/>
                <w:szCs w:val="24"/>
                <w:lang w:eastAsia="zh-CN" w:bidi="ar"/>
              </w:rPr>
              <w:t>3.投标（响应）报价低于采购项目最高限价45%的，即投标（响应）报价&lt;采购项目最高限价×45%；</w:t>
            </w:r>
          </w:p>
          <w:p w14:paraId="6A15523C">
            <w:pPr>
              <w:spacing w:line="320" w:lineRule="exact"/>
              <w:jc w:val="left"/>
              <w:rPr>
                <w:rFonts w:hint="eastAsia" w:ascii="宋体" w:hAnsi="宋体" w:eastAsia="宋体" w:cs="宋体"/>
                <w:kern w:val="0"/>
                <w:sz w:val="24"/>
                <w:szCs w:val="24"/>
                <w:lang w:eastAsia="zh-CN" w:bidi="ar"/>
              </w:rPr>
            </w:pPr>
            <w:r>
              <w:rPr>
                <w:rFonts w:hint="eastAsia" w:ascii="宋体" w:hAnsi="宋体" w:eastAsia="宋体" w:cs="宋体"/>
                <w:kern w:val="0"/>
                <w:sz w:val="24"/>
                <w:szCs w:val="24"/>
                <w:lang w:eastAsia="zh-CN" w:bidi="ar"/>
              </w:rPr>
              <w:t>4.磋商小组基于专业判断，认为供应商报价过低，有可能影响产品质量或者不能诚信履约的其他情形。</w:t>
            </w:r>
          </w:p>
          <w:p w14:paraId="0917E2AA">
            <w:pPr>
              <w:spacing w:line="320" w:lineRule="exact"/>
              <w:jc w:val="left"/>
              <w:rPr>
                <w:rFonts w:hint="eastAsia" w:ascii="宋体" w:hAnsi="宋体" w:eastAsia="宋体" w:cs="宋体"/>
                <w:kern w:val="0"/>
                <w:sz w:val="24"/>
                <w:szCs w:val="24"/>
                <w:lang w:eastAsia="zh-CN" w:bidi="ar"/>
              </w:rPr>
            </w:pPr>
            <w:r>
              <w:rPr>
                <w:rFonts w:hint="eastAsia" w:ascii="宋体" w:hAnsi="宋体" w:eastAsia="宋体" w:cs="宋体"/>
                <w:kern w:val="0"/>
                <w:sz w:val="24"/>
                <w:szCs w:val="24"/>
                <w:lang w:eastAsia="zh-CN" w:bidi="ar"/>
              </w:rPr>
              <w:t>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32D601C">
            <w:pPr>
              <w:spacing w:line="320" w:lineRule="exact"/>
              <w:jc w:val="left"/>
              <w:rPr>
                <w:rFonts w:hint="eastAsia" w:ascii="宋体" w:hAnsi="宋体" w:eastAsia="宋体" w:cs="宋体"/>
                <w:kern w:val="0"/>
                <w:sz w:val="24"/>
                <w:szCs w:val="24"/>
                <w:lang w:eastAsia="zh-CN" w:bidi="ar"/>
              </w:rPr>
            </w:pPr>
            <w:r>
              <w:rPr>
                <w:rFonts w:hint="eastAsia" w:ascii="宋体" w:hAnsi="宋体" w:eastAsia="宋体" w:cs="宋体"/>
                <w:kern w:val="0"/>
                <w:sz w:val="24"/>
                <w:szCs w:val="24"/>
                <w:lang w:eastAsia="zh-CN" w:bidi="ar"/>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14:paraId="63B162C7">
            <w:pPr>
              <w:spacing w:line="320" w:lineRule="exact"/>
              <w:jc w:val="left"/>
              <w:rPr>
                <w:rFonts w:hint="default" w:ascii="宋体" w:hAnsi="宋体" w:eastAsia="宋体" w:cs="宋体"/>
                <w:kern w:val="0"/>
                <w:sz w:val="24"/>
                <w:szCs w:val="24"/>
                <w:lang w:val="en-US" w:eastAsia="zh-CN" w:bidi="ar"/>
              </w:rPr>
            </w:pPr>
            <w:r>
              <w:rPr>
                <w:rFonts w:hint="eastAsia" w:ascii="宋体" w:hAnsi="宋体" w:eastAsia="宋体" w:cs="宋体"/>
                <w:b/>
                <w:bCs/>
                <w:kern w:val="0"/>
                <w:sz w:val="24"/>
                <w:szCs w:val="24"/>
                <w:lang w:val="en-US" w:eastAsia="zh-CN" w:bidi="ar"/>
              </w:rPr>
              <w:t>以上报价描述均为供应商最终报价。</w:t>
            </w:r>
          </w:p>
        </w:tc>
      </w:tr>
      <w:tr w14:paraId="28523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1927" w:type="dxa"/>
            <w:vAlign w:val="center"/>
          </w:tcPr>
          <w:p w14:paraId="2CCEC7F5">
            <w:pPr>
              <w:spacing w:line="32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最高限价</w:t>
            </w:r>
          </w:p>
        </w:tc>
        <w:tc>
          <w:tcPr>
            <w:tcW w:w="8055" w:type="dxa"/>
            <w:vAlign w:val="center"/>
          </w:tcPr>
          <w:p w14:paraId="13D9DF25">
            <w:pPr>
              <w:spacing w:line="320" w:lineRule="exact"/>
              <w:jc w:val="left"/>
              <w:rPr>
                <w:rFonts w:hint="eastAsia" w:ascii="宋体" w:hAnsi="宋体" w:eastAsia="宋体" w:cs="宋体"/>
                <w:color w:val="000000"/>
                <w:sz w:val="24"/>
                <w:szCs w:val="24"/>
                <w:lang w:eastAsia="zh-CN"/>
              </w:rPr>
            </w:pPr>
            <w:r>
              <w:rPr>
                <w:rFonts w:hint="eastAsia" w:ascii="宋体" w:hAnsi="宋体" w:eastAsia="宋体" w:cs="宋体"/>
                <w:kern w:val="0"/>
                <w:sz w:val="24"/>
                <w:szCs w:val="24"/>
                <w:lang w:val="en-US" w:eastAsia="zh-CN" w:bidi="ar"/>
              </w:rPr>
              <w:t>第一轮、第二轮</w:t>
            </w:r>
            <w:r>
              <w:rPr>
                <w:rFonts w:hint="eastAsia" w:ascii="宋体" w:hAnsi="宋体" w:eastAsia="宋体" w:cs="宋体"/>
                <w:kern w:val="0"/>
                <w:sz w:val="24"/>
                <w:szCs w:val="24"/>
                <w:lang w:bidi="ar"/>
              </w:rPr>
              <w:t>报价</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val="en-US" w:eastAsia="zh-CN" w:bidi="ar"/>
              </w:rPr>
              <w:t>最终磋商报价</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不得高于最高限价</w:t>
            </w:r>
            <w:r>
              <w:rPr>
                <w:rFonts w:hint="eastAsia" w:ascii="宋体" w:hAnsi="宋体" w:eastAsia="宋体" w:cs="宋体"/>
                <w:kern w:val="0"/>
                <w:sz w:val="24"/>
                <w:szCs w:val="24"/>
                <w:lang w:eastAsia="zh-CN" w:bidi="ar"/>
              </w:rPr>
              <w:t>。</w:t>
            </w:r>
          </w:p>
        </w:tc>
      </w:tr>
      <w:tr w14:paraId="5378B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1927" w:type="dxa"/>
            <w:vAlign w:val="center"/>
          </w:tcPr>
          <w:p w14:paraId="3AD56795">
            <w:pPr>
              <w:spacing w:line="320" w:lineRule="exact"/>
              <w:jc w:val="center"/>
              <w:rPr>
                <w:rFonts w:hint="eastAsia" w:ascii="宋体" w:hAnsi="宋体" w:eastAsia="宋体" w:cs="宋体"/>
                <w:color w:val="000000"/>
                <w:sz w:val="24"/>
                <w:szCs w:val="24"/>
              </w:rPr>
            </w:pPr>
            <w:r>
              <w:rPr>
                <w:rFonts w:hint="eastAsia" w:ascii="宋体" w:hAnsi="宋体" w:eastAsia="宋体" w:cs="宋体"/>
                <w:sz w:val="24"/>
                <w:szCs w:val="24"/>
                <w:lang w:val="en-US" w:eastAsia="zh-CN"/>
              </w:rPr>
              <w:t>合同履行期限</w:t>
            </w:r>
          </w:p>
        </w:tc>
        <w:tc>
          <w:tcPr>
            <w:tcW w:w="8055" w:type="dxa"/>
            <w:vAlign w:val="center"/>
          </w:tcPr>
          <w:p w14:paraId="344171F0">
            <w:pPr>
              <w:spacing w:line="320" w:lineRule="exact"/>
              <w:jc w:val="left"/>
              <w:rPr>
                <w:rFonts w:hint="eastAsia" w:ascii="宋体" w:hAnsi="宋体" w:eastAsia="宋体" w:cs="宋体"/>
                <w:kern w:val="0"/>
                <w:sz w:val="24"/>
                <w:szCs w:val="24"/>
                <w:lang w:val="en-US" w:eastAsia="zh-CN" w:bidi="ar"/>
              </w:rPr>
            </w:pPr>
            <w:r>
              <w:rPr>
                <w:rFonts w:hint="eastAsia" w:ascii="宋体" w:hAnsi="宋体" w:eastAsia="宋体" w:cs="宋体"/>
                <w:color w:val="000000"/>
                <w:sz w:val="24"/>
                <w:szCs w:val="24"/>
              </w:rPr>
              <w:t>符合第二章“供应商须知前附表”的规定</w:t>
            </w:r>
            <w:r>
              <w:rPr>
                <w:rFonts w:hint="eastAsia" w:ascii="宋体" w:hAnsi="宋体" w:eastAsia="宋体" w:cs="宋体"/>
                <w:color w:val="000000"/>
                <w:sz w:val="24"/>
                <w:szCs w:val="24"/>
                <w:lang w:eastAsia="zh-CN"/>
              </w:rPr>
              <w:t>。</w:t>
            </w:r>
          </w:p>
        </w:tc>
      </w:tr>
      <w:tr w14:paraId="220F6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1927" w:type="dxa"/>
            <w:vAlign w:val="center"/>
          </w:tcPr>
          <w:p w14:paraId="470A5330">
            <w:pPr>
              <w:spacing w:line="320" w:lineRule="exact"/>
              <w:jc w:val="center"/>
              <w:rPr>
                <w:rFonts w:hint="eastAsia" w:ascii="宋体" w:hAnsi="宋体" w:eastAsia="宋体" w:cs="宋体"/>
                <w:color w:val="000000"/>
                <w:sz w:val="24"/>
                <w:szCs w:val="24"/>
              </w:rPr>
            </w:pPr>
            <w:r>
              <w:rPr>
                <w:rFonts w:hint="eastAsia" w:ascii="宋体" w:hAnsi="宋体" w:eastAsia="宋体" w:cs="宋体"/>
                <w:sz w:val="24"/>
                <w:szCs w:val="24"/>
              </w:rPr>
              <w:t>磋商有效期</w:t>
            </w:r>
          </w:p>
        </w:tc>
        <w:tc>
          <w:tcPr>
            <w:tcW w:w="8055" w:type="dxa"/>
            <w:vAlign w:val="center"/>
          </w:tcPr>
          <w:p w14:paraId="0A5C01F1">
            <w:pPr>
              <w:spacing w:line="320" w:lineRule="exact"/>
              <w:jc w:val="left"/>
              <w:rPr>
                <w:rFonts w:hint="eastAsia" w:ascii="宋体" w:hAnsi="宋体" w:eastAsia="宋体" w:cs="宋体"/>
                <w:kern w:val="0"/>
                <w:sz w:val="24"/>
                <w:szCs w:val="24"/>
                <w:lang w:val="en-US" w:eastAsia="zh-CN" w:bidi="ar"/>
              </w:rPr>
            </w:pPr>
            <w:r>
              <w:rPr>
                <w:rFonts w:hint="eastAsia" w:ascii="宋体" w:hAnsi="宋体" w:eastAsia="宋体" w:cs="宋体"/>
                <w:color w:val="000000"/>
                <w:sz w:val="24"/>
                <w:szCs w:val="24"/>
              </w:rPr>
              <w:t>符合第二章“供应商须知前附表”的规定</w:t>
            </w:r>
            <w:r>
              <w:rPr>
                <w:rFonts w:hint="eastAsia" w:ascii="宋体" w:hAnsi="宋体" w:eastAsia="宋体" w:cs="宋体"/>
                <w:color w:val="000000"/>
                <w:sz w:val="24"/>
                <w:szCs w:val="24"/>
                <w:lang w:eastAsia="zh-CN"/>
              </w:rPr>
              <w:t>。</w:t>
            </w:r>
          </w:p>
        </w:tc>
      </w:tr>
      <w:tr w14:paraId="1D820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1927" w:type="dxa"/>
            <w:vAlign w:val="center"/>
          </w:tcPr>
          <w:p w14:paraId="4749B647">
            <w:pPr>
              <w:spacing w:line="32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磋商响应文件的递交</w:t>
            </w:r>
          </w:p>
        </w:tc>
        <w:tc>
          <w:tcPr>
            <w:tcW w:w="8055" w:type="dxa"/>
            <w:vAlign w:val="center"/>
          </w:tcPr>
          <w:p w14:paraId="71E29BDB">
            <w:pPr>
              <w:spacing w:line="320" w:lineRule="exact"/>
              <w:jc w:val="left"/>
              <w:rPr>
                <w:rFonts w:hint="eastAsia" w:ascii="宋体" w:hAnsi="宋体" w:eastAsia="宋体" w:cs="宋体"/>
                <w:color w:val="000000"/>
                <w:sz w:val="24"/>
                <w:szCs w:val="24"/>
                <w:lang w:eastAsia="zh-CN"/>
              </w:rPr>
            </w:pPr>
            <w:bookmarkStart w:id="257" w:name="OLE_LINK39"/>
            <w:r>
              <w:rPr>
                <w:rFonts w:hint="eastAsia" w:ascii="宋体" w:hAnsi="宋体" w:eastAsia="宋体" w:cs="宋体"/>
                <w:color w:val="000000"/>
                <w:sz w:val="24"/>
                <w:szCs w:val="24"/>
              </w:rPr>
              <w:t>符合第二章“供应商须知前附表”</w:t>
            </w:r>
            <w:r>
              <w:rPr>
                <w:rFonts w:hint="eastAsia" w:ascii="宋体" w:hAnsi="宋体" w:eastAsia="宋体" w:cs="宋体"/>
                <w:color w:val="000000"/>
                <w:sz w:val="24"/>
                <w:szCs w:val="24"/>
                <w:lang w:eastAsia="zh-CN"/>
              </w:rPr>
              <w:t>的</w:t>
            </w:r>
            <w:r>
              <w:rPr>
                <w:rFonts w:hint="eastAsia" w:ascii="宋体" w:hAnsi="宋体" w:eastAsia="宋体" w:cs="宋体"/>
                <w:color w:val="000000"/>
                <w:sz w:val="24"/>
                <w:szCs w:val="24"/>
              </w:rPr>
              <w:t>规定</w:t>
            </w:r>
            <w:bookmarkEnd w:id="257"/>
            <w:r>
              <w:rPr>
                <w:rFonts w:hint="eastAsia" w:ascii="宋体" w:hAnsi="宋体" w:eastAsia="宋体" w:cs="宋体"/>
                <w:color w:val="000000"/>
                <w:sz w:val="24"/>
                <w:szCs w:val="24"/>
                <w:lang w:eastAsia="zh-CN"/>
              </w:rPr>
              <w:t>。</w:t>
            </w:r>
          </w:p>
        </w:tc>
      </w:tr>
      <w:tr w14:paraId="6AA4F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1927" w:type="dxa"/>
            <w:vAlign w:val="center"/>
          </w:tcPr>
          <w:p w14:paraId="4147BA59">
            <w:pPr>
              <w:spacing w:line="320" w:lineRule="exact"/>
              <w:jc w:val="center"/>
              <w:rPr>
                <w:rFonts w:hint="eastAsia" w:ascii="宋体" w:hAnsi="宋体" w:eastAsia="宋体" w:cs="宋体"/>
                <w:color w:val="000000"/>
                <w:sz w:val="24"/>
                <w:szCs w:val="24"/>
              </w:rPr>
            </w:pPr>
            <w:r>
              <w:rPr>
                <w:rFonts w:hint="eastAsia" w:ascii="宋体" w:hAnsi="宋体" w:eastAsia="宋体" w:cs="宋体"/>
                <w:sz w:val="24"/>
                <w:szCs w:val="24"/>
              </w:rPr>
              <w:t>签字或盖章</w:t>
            </w:r>
          </w:p>
        </w:tc>
        <w:tc>
          <w:tcPr>
            <w:tcW w:w="8055" w:type="dxa"/>
            <w:vAlign w:val="center"/>
          </w:tcPr>
          <w:p w14:paraId="26E6DFAC">
            <w:pPr>
              <w:spacing w:line="32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符合第二章“供应商须知前附表”的规定</w:t>
            </w:r>
            <w:r>
              <w:rPr>
                <w:rFonts w:hint="eastAsia" w:ascii="宋体" w:hAnsi="宋体" w:eastAsia="宋体" w:cs="宋体"/>
                <w:color w:val="000000"/>
                <w:sz w:val="24"/>
                <w:szCs w:val="24"/>
                <w:lang w:eastAsia="zh-CN"/>
              </w:rPr>
              <w:t>。</w:t>
            </w:r>
          </w:p>
        </w:tc>
      </w:tr>
      <w:tr w14:paraId="5470F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1927" w:type="dxa"/>
            <w:vAlign w:val="center"/>
          </w:tcPr>
          <w:p w14:paraId="3E5C7BF4">
            <w:pPr>
              <w:spacing w:line="32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磋商响应文件格式</w:t>
            </w:r>
          </w:p>
        </w:tc>
        <w:tc>
          <w:tcPr>
            <w:tcW w:w="8055" w:type="dxa"/>
            <w:vAlign w:val="center"/>
          </w:tcPr>
          <w:p w14:paraId="7D0C1AE7">
            <w:pPr>
              <w:spacing w:line="320" w:lineRule="exact"/>
              <w:jc w:val="left"/>
              <w:rPr>
                <w:rFonts w:hint="eastAsia" w:ascii="宋体" w:hAnsi="宋体" w:eastAsia="宋体" w:cs="宋体"/>
                <w:color w:val="000000"/>
                <w:sz w:val="24"/>
                <w:szCs w:val="24"/>
                <w:lang w:eastAsia="zh-CN"/>
              </w:rPr>
            </w:pPr>
            <w:r>
              <w:rPr>
                <w:rFonts w:hint="eastAsia" w:ascii="宋体" w:hAnsi="宋体" w:eastAsia="宋体" w:cs="宋体"/>
                <w:sz w:val="24"/>
                <w:szCs w:val="24"/>
              </w:rPr>
              <w:t>符合第</w:t>
            </w:r>
            <w:r>
              <w:rPr>
                <w:rFonts w:hint="eastAsia" w:ascii="宋体" w:hAnsi="宋体" w:eastAsia="宋体" w:cs="宋体"/>
                <w:sz w:val="24"/>
                <w:szCs w:val="24"/>
                <w:lang w:val="en-US" w:eastAsia="zh-CN"/>
              </w:rPr>
              <w:t>五</w:t>
            </w:r>
            <w:r>
              <w:rPr>
                <w:rFonts w:hint="eastAsia" w:ascii="宋体" w:hAnsi="宋体" w:eastAsia="宋体" w:cs="宋体"/>
                <w:sz w:val="24"/>
                <w:szCs w:val="24"/>
              </w:rPr>
              <w:t>章“竞争性磋商响应文件格式”的要求</w:t>
            </w:r>
            <w:r>
              <w:rPr>
                <w:rFonts w:hint="eastAsia" w:ascii="宋体" w:hAnsi="宋体" w:eastAsia="宋体" w:cs="宋体"/>
                <w:sz w:val="24"/>
                <w:szCs w:val="24"/>
                <w:lang w:eastAsia="zh-CN"/>
              </w:rPr>
              <w:t>。</w:t>
            </w:r>
          </w:p>
        </w:tc>
      </w:tr>
      <w:tr w14:paraId="1B1D0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1927" w:type="dxa"/>
            <w:vAlign w:val="center"/>
          </w:tcPr>
          <w:p w14:paraId="291D9FF5">
            <w:pPr>
              <w:spacing w:line="320" w:lineRule="exact"/>
              <w:jc w:val="center"/>
              <w:rPr>
                <w:rFonts w:hint="eastAsia" w:ascii="宋体" w:hAnsi="宋体" w:eastAsia="宋体" w:cs="宋体"/>
                <w:sz w:val="24"/>
                <w:szCs w:val="24"/>
              </w:rPr>
            </w:pPr>
            <w:r>
              <w:rPr>
                <w:rFonts w:hint="eastAsia" w:ascii="宋体" w:hAnsi="宋体" w:eastAsia="宋体" w:cs="宋体"/>
                <w:i w:val="0"/>
                <w:iCs w:val="0"/>
                <w:color w:val="000000" w:themeColor="text1"/>
                <w:sz w:val="24"/>
                <w:szCs w:val="24"/>
                <w14:textFill>
                  <w14:solidFill>
                    <w14:schemeClr w14:val="tx1"/>
                  </w14:solidFill>
                </w14:textFill>
              </w:rPr>
              <w:t>其它实质性要求</w:t>
            </w:r>
          </w:p>
        </w:tc>
        <w:tc>
          <w:tcPr>
            <w:tcW w:w="8055" w:type="dxa"/>
            <w:vAlign w:val="center"/>
          </w:tcPr>
          <w:p w14:paraId="5109C427">
            <w:pPr>
              <w:spacing w:line="320" w:lineRule="exact"/>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1、响应文件载明的投标有效期不符合竞争性磋商文件的要求的；</w:t>
            </w:r>
          </w:p>
          <w:p w14:paraId="78079A9A">
            <w:pPr>
              <w:spacing w:line="320" w:lineRule="exact"/>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2、供应商不确认磋商小组对其投标报价算数错误的修正的；</w:t>
            </w:r>
          </w:p>
          <w:p w14:paraId="3A7D58E9">
            <w:pPr>
              <w:spacing w:line="320" w:lineRule="exact"/>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3、供应商不确认磋商小组要求澄清补正的内容的；</w:t>
            </w:r>
          </w:p>
          <w:p w14:paraId="205B552A">
            <w:pPr>
              <w:spacing w:line="320" w:lineRule="exact"/>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4、响应文件中标明的供应商与资格审查时在名称和组织结构上存在实质性差别而无正当理由说明的；</w:t>
            </w:r>
          </w:p>
          <w:p w14:paraId="5B3F8914">
            <w:pPr>
              <w:spacing w:line="320" w:lineRule="exact"/>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5、未按</w:t>
            </w:r>
            <w:r>
              <w:rPr>
                <w:rFonts w:hint="default" w:ascii="宋体" w:hAnsi="宋体" w:eastAsia="宋体" w:cs="宋体"/>
                <w:kern w:val="0"/>
                <w:sz w:val="24"/>
                <w:szCs w:val="24"/>
                <w:lang w:val="en-US" w:eastAsia="zh-CN" w:bidi="ar"/>
              </w:rPr>
              <w:t>工程量清单</w:t>
            </w:r>
            <w:r>
              <w:rPr>
                <w:rFonts w:hint="eastAsia" w:ascii="宋体" w:hAnsi="宋体" w:eastAsia="宋体" w:cs="宋体"/>
                <w:kern w:val="0"/>
                <w:sz w:val="24"/>
                <w:szCs w:val="24"/>
                <w:lang w:val="en-US" w:eastAsia="zh-CN" w:bidi="ar"/>
              </w:rPr>
              <w:t>报价，存有缺项漏项或擅自变更</w:t>
            </w:r>
            <w:r>
              <w:rPr>
                <w:rFonts w:hint="default" w:ascii="宋体" w:hAnsi="宋体" w:eastAsia="宋体" w:cs="宋体"/>
                <w:kern w:val="0"/>
                <w:sz w:val="24"/>
                <w:szCs w:val="24"/>
                <w:lang w:val="en-US" w:eastAsia="zh-CN" w:bidi="ar"/>
              </w:rPr>
              <w:t>项目编码、项目名称、项目特征、计量单位</w:t>
            </w:r>
            <w:r>
              <w:rPr>
                <w:rFonts w:hint="eastAsia" w:ascii="宋体" w:hAnsi="宋体" w:eastAsia="宋体" w:cs="宋体"/>
                <w:kern w:val="0"/>
                <w:sz w:val="24"/>
                <w:szCs w:val="24"/>
                <w:lang w:val="en-US" w:eastAsia="zh-CN" w:bidi="ar"/>
              </w:rPr>
              <w:t>、数量的；</w:t>
            </w:r>
            <w:r>
              <w:rPr>
                <w:rFonts w:hint="default" w:ascii="宋体" w:hAnsi="宋体" w:eastAsia="宋体" w:cs="宋体"/>
                <w:kern w:val="0"/>
                <w:sz w:val="24"/>
                <w:szCs w:val="24"/>
                <w:lang w:val="en-US" w:eastAsia="zh-CN" w:bidi="ar"/>
              </w:rPr>
              <w:t>工程量清单中设有暂估价、暂列金的，</w:t>
            </w:r>
            <w:r>
              <w:rPr>
                <w:rFonts w:hint="eastAsia" w:ascii="宋体" w:hAnsi="宋体" w:eastAsia="宋体" w:cs="宋体"/>
                <w:kern w:val="0"/>
                <w:sz w:val="24"/>
                <w:szCs w:val="24"/>
                <w:lang w:val="en-US" w:eastAsia="zh-CN" w:bidi="ar"/>
              </w:rPr>
              <w:t>供应商</w:t>
            </w:r>
            <w:r>
              <w:rPr>
                <w:rFonts w:hint="default" w:ascii="宋体" w:hAnsi="宋体" w:eastAsia="宋体" w:cs="宋体"/>
                <w:kern w:val="0"/>
                <w:sz w:val="24"/>
                <w:szCs w:val="24"/>
                <w:lang w:val="en-US" w:eastAsia="zh-CN" w:bidi="ar"/>
              </w:rPr>
              <w:t>投标报价未按</w:t>
            </w:r>
            <w:r>
              <w:rPr>
                <w:rFonts w:hint="eastAsia" w:ascii="宋体" w:hAnsi="宋体" w:eastAsia="宋体" w:cs="宋体"/>
                <w:kern w:val="0"/>
                <w:sz w:val="24"/>
                <w:szCs w:val="24"/>
                <w:lang w:val="en-US" w:eastAsia="zh-CN" w:bidi="ar"/>
              </w:rPr>
              <w:t>采购</w:t>
            </w:r>
            <w:r>
              <w:rPr>
                <w:rFonts w:hint="default" w:ascii="宋体" w:hAnsi="宋体" w:eastAsia="宋体" w:cs="宋体"/>
                <w:kern w:val="0"/>
                <w:sz w:val="24"/>
                <w:szCs w:val="24"/>
                <w:lang w:val="en-US" w:eastAsia="zh-CN" w:bidi="ar"/>
              </w:rPr>
              <w:t>人规定的金额计入投标报价或更改的</w:t>
            </w:r>
            <w:r>
              <w:rPr>
                <w:rFonts w:hint="eastAsia" w:ascii="宋体" w:hAnsi="宋体" w:eastAsia="宋体" w:cs="宋体"/>
                <w:kern w:val="0"/>
                <w:sz w:val="24"/>
                <w:szCs w:val="24"/>
                <w:lang w:val="en-US" w:eastAsia="zh-CN" w:bidi="ar"/>
              </w:rPr>
              <w:t>。</w:t>
            </w:r>
          </w:p>
          <w:p w14:paraId="59106897">
            <w:pPr>
              <w:spacing w:line="320" w:lineRule="exact"/>
              <w:jc w:val="left"/>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6、响应文件</w:t>
            </w:r>
            <w:r>
              <w:rPr>
                <w:rFonts w:hint="default" w:ascii="宋体" w:hAnsi="宋体" w:eastAsia="宋体" w:cs="宋体"/>
                <w:kern w:val="0"/>
                <w:sz w:val="24"/>
                <w:szCs w:val="24"/>
                <w:lang w:val="en-US" w:eastAsia="zh-CN" w:bidi="ar"/>
              </w:rPr>
              <w:t>附有采购人不能接受条件的（增加采购人或减少</w:t>
            </w:r>
            <w:r>
              <w:rPr>
                <w:rFonts w:hint="eastAsia" w:ascii="宋体" w:hAnsi="宋体" w:eastAsia="宋体" w:cs="宋体"/>
                <w:kern w:val="0"/>
                <w:sz w:val="24"/>
                <w:szCs w:val="24"/>
                <w:lang w:val="en-US" w:eastAsia="zh-CN" w:bidi="ar"/>
              </w:rPr>
              <w:t>供应商</w:t>
            </w:r>
            <w:r>
              <w:rPr>
                <w:rFonts w:hint="default" w:ascii="宋体" w:hAnsi="宋体" w:eastAsia="宋体" w:cs="宋体"/>
                <w:kern w:val="0"/>
                <w:sz w:val="24"/>
                <w:szCs w:val="24"/>
                <w:lang w:val="en-US" w:eastAsia="zh-CN" w:bidi="ar"/>
              </w:rPr>
              <w:t>责任和义务，增加</w:t>
            </w:r>
            <w:r>
              <w:rPr>
                <w:rFonts w:hint="eastAsia" w:ascii="宋体" w:hAnsi="宋体" w:eastAsia="宋体" w:cs="宋体"/>
                <w:kern w:val="0"/>
                <w:sz w:val="24"/>
                <w:szCs w:val="24"/>
                <w:lang w:val="en-US" w:eastAsia="zh-CN" w:bidi="ar"/>
              </w:rPr>
              <w:t>供应商</w:t>
            </w:r>
            <w:r>
              <w:rPr>
                <w:rFonts w:hint="default" w:ascii="宋体" w:hAnsi="宋体" w:eastAsia="宋体" w:cs="宋体"/>
                <w:kern w:val="0"/>
                <w:sz w:val="24"/>
                <w:szCs w:val="24"/>
                <w:lang w:val="en-US" w:eastAsia="zh-CN" w:bidi="ar"/>
              </w:rPr>
              <w:t>或减少采购人权利的内容）。</w:t>
            </w:r>
          </w:p>
          <w:p w14:paraId="0C46F8FD">
            <w:pPr>
              <w:spacing w:line="320" w:lineRule="exact"/>
              <w:jc w:val="left"/>
              <w:rPr>
                <w:rFonts w:hint="default"/>
                <w:lang w:val="en-US" w:eastAsia="zh-CN"/>
              </w:rPr>
            </w:pPr>
            <w:r>
              <w:rPr>
                <w:rFonts w:hint="eastAsia" w:ascii="宋体" w:hAnsi="宋体" w:eastAsia="宋体" w:cs="宋体"/>
                <w:kern w:val="0"/>
                <w:sz w:val="24"/>
                <w:szCs w:val="24"/>
                <w:lang w:val="en-US" w:eastAsia="zh-CN" w:bidi="ar"/>
              </w:rPr>
              <w:t>7、供应商在关联标书环节时须将整本响应文件（含封面）关联至“商务技术文件”部分，并签字盖章</w:t>
            </w:r>
          </w:p>
        </w:tc>
      </w:tr>
      <w:tr w14:paraId="693DF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1927" w:type="dxa"/>
            <w:vAlign w:val="center"/>
          </w:tcPr>
          <w:p w14:paraId="0EA05B7E">
            <w:pPr>
              <w:spacing w:line="360" w:lineRule="auto"/>
              <w:jc w:val="center"/>
              <w:rPr>
                <w:rFonts w:hint="eastAsia" w:ascii="宋体" w:hAnsi="宋体" w:eastAsia="宋体" w:cs="宋体"/>
                <w:i w:val="0"/>
                <w:iCs w:val="0"/>
                <w:color w:val="000000" w:themeColor="text1"/>
                <w:sz w:val="24"/>
                <w:szCs w:val="24"/>
                <w14:textFill>
                  <w14:solidFill>
                    <w14:schemeClr w14:val="tx1"/>
                  </w14:solidFill>
                </w14:textFill>
              </w:rPr>
            </w:pPr>
            <w:r>
              <w:rPr>
                <w:rStyle w:val="63"/>
                <w:rFonts w:hint="default" w:ascii="宋体" w:hAnsi="宋体"/>
                <w:b w:val="0"/>
                <w:i w:val="0"/>
                <w:iCs/>
                <w:caps w:val="0"/>
                <w:spacing w:val="0"/>
                <w:w w:val="100"/>
                <w:kern w:val="2"/>
                <w:sz w:val="24"/>
                <w:szCs w:val="24"/>
                <w:lang w:val="en-US" w:eastAsia="zh-CN" w:bidi="ar-SA"/>
              </w:rPr>
              <w:t>违法行为</w:t>
            </w:r>
          </w:p>
        </w:tc>
        <w:tc>
          <w:tcPr>
            <w:tcW w:w="8055" w:type="dxa"/>
            <w:vAlign w:val="center"/>
          </w:tcPr>
          <w:p w14:paraId="118C4ADE">
            <w:pPr>
              <w:spacing w:line="320" w:lineRule="exact"/>
              <w:jc w:val="left"/>
              <w:rPr>
                <w:rFonts w:hint="eastAsia" w:ascii="宋体" w:hAnsi="宋体" w:eastAsia="宋体" w:cs="宋体"/>
                <w:color w:val="000000"/>
                <w:sz w:val="24"/>
                <w:szCs w:val="24"/>
                <w:lang w:val="en-US" w:eastAsia="zh-CN"/>
              </w:rPr>
            </w:pPr>
            <w:r>
              <w:rPr>
                <w:rStyle w:val="63"/>
                <w:rFonts w:hint="eastAsia" w:ascii="宋体" w:hAnsi="宋体"/>
                <w:b w:val="0"/>
                <w:i w:val="0"/>
                <w:iCs/>
                <w:caps w:val="0"/>
                <w:spacing w:val="0"/>
                <w:w w:val="100"/>
                <w:kern w:val="2"/>
                <w:sz w:val="24"/>
                <w:szCs w:val="24"/>
                <w:lang w:val="en-US" w:eastAsia="zh-CN" w:bidi="ar-SA"/>
              </w:rPr>
              <w:t>磋商小组</w:t>
            </w:r>
            <w:r>
              <w:rPr>
                <w:rStyle w:val="63"/>
                <w:rFonts w:hint="default" w:ascii="宋体" w:hAnsi="宋体"/>
                <w:b w:val="0"/>
                <w:i w:val="0"/>
                <w:iCs/>
                <w:caps w:val="0"/>
                <w:spacing w:val="0"/>
                <w:w w:val="100"/>
                <w:kern w:val="2"/>
                <w:sz w:val="24"/>
                <w:szCs w:val="24"/>
                <w:lang w:val="en-US" w:eastAsia="zh-CN" w:bidi="ar-SA"/>
              </w:rPr>
              <w:t>发现</w:t>
            </w:r>
            <w:r>
              <w:rPr>
                <w:rStyle w:val="63"/>
                <w:rFonts w:hint="eastAsia" w:ascii="宋体" w:hAnsi="宋体"/>
                <w:b w:val="0"/>
                <w:i w:val="0"/>
                <w:iCs/>
                <w:caps w:val="0"/>
                <w:spacing w:val="0"/>
                <w:w w:val="100"/>
                <w:kern w:val="2"/>
                <w:sz w:val="24"/>
                <w:szCs w:val="24"/>
                <w:lang w:val="en-US" w:eastAsia="zh-CN" w:bidi="ar-SA"/>
              </w:rPr>
              <w:t>供应商</w:t>
            </w:r>
            <w:r>
              <w:rPr>
                <w:rStyle w:val="63"/>
                <w:rFonts w:hint="default" w:ascii="宋体" w:hAnsi="宋体"/>
                <w:b w:val="0"/>
                <w:i w:val="0"/>
                <w:iCs/>
                <w:caps w:val="0"/>
                <w:spacing w:val="0"/>
                <w:w w:val="100"/>
                <w:kern w:val="2"/>
                <w:sz w:val="24"/>
                <w:szCs w:val="24"/>
                <w:lang w:val="en-US" w:eastAsia="zh-CN" w:bidi="ar-SA"/>
              </w:rPr>
              <w:t>有串通投标、弄虚作假等违法行为</w:t>
            </w:r>
            <w:r>
              <w:rPr>
                <w:rStyle w:val="63"/>
                <w:rFonts w:hint="eastAsia" w:ascii="宋体" w:hAnsi="宋体"/>
                <w:b w:val="0"/>
                <w:i w:val="0"/>
                <w:iCs/>
                <w:caps w:val="0"/>
                <w:spacing w:val="0"/>
                <w:w w:val="100"/>
                <w:kern w:val="2"/>
                <w:sz w:val="24"/>
                <w:szCs w:val="24"/>
                <w:lang w:val="en-US" w:eastAsia="zh-CN" w:bidi="ar-SA"/>
              </w:rPr>
              <w:t>。</w:t>
            </w:r>
          </w:p>
        </w:tc>
      </w:tr>
    </w:tbl>
    <w:p w14:paraId="1447DD9D">
      <w:pPr>
        <w:spacing w:line="480" w:lineRule="exact"/>
        <w:ind w:firstLine="482" w:firstLineChars="200"/>
        <w:jc w:val="left"/>
        <w:rPr>
          <w:rFonts w:hint="eastAsia" w:ascii="宋体" w:hAnsi="宋体" w:cs="宋体"/>
          <w:b/>
          <w:bCs/>
          <w:color w:val="000000"/>
          <w:sz w:val="24"/>
        </w:rPr>
      </w:pPr>
      <w:r>
        <w:rPr>
          <w:rFonts w:hint="eastAsia" w:ascii="宋体" w:hAnsi="宋体" w:cs="宋体"/>
          <w:b/>
          <w:bCs/>
          <w:color w:val="000000"/>
          <w:sz w:val="24"/>
        </w:rPr>
        <w:t>没有通过符合性评审的，不能进入详细评审。</w:t>
      </w:r>
    </w:p>
    <w:p w14:paraId="038FB5B5">
      <w:pPr>
        <w:rPr>
          <w:rFonts w:hint="eastAsia" w:ascii="宋体" w:hAnsi="宋体" w:eastAsia="宋体"/>
          <w:b/>
          <w:color w:val="auto"/>
          <w:sz w:val="21"/>
          <w:szCs w:val="21"/>
          <w:lang w:val="en-US" w:eastAsia="zh-CN"/>
        </w:rPr>
      </w:pPr>
      <w:r>
        <w:rPr>
          <w:rFonts w:hint="eastAsia" w:ascii="宋体" w:hAnsi="宋体" w:eastAsia="宋体"/>
          <w:b/>
          <w:color w:val="auto"/>
          <w:sz w:val="21"/>
          <w:szCs w:val="21"/>
          <w:lang w:val="en-US" w:eastAsia="zh-CN"/>
        </w:rPr>
        <w:br w:type="page"/>
      </w:r>
    </w:p>
    <w:p w14:paraId="1A0F478A">
      <w:pPr>
        <w:pStyle w:val="3"/>
        <w:bidi w:val="0"/>
        <w:jc w:val="center"/>
        <w:rPr>
          <w:rFonts w:hint="eastAsia"/>
          <w:lang w:val="en-US" w:eastAsia="zh-CN"/>
        </w:rPr>
      </w:pPr>
      <w:bookmarkStart w:id="258" w:name="_Toc30560"/>
      <w:bookmarkStart w:id="259" w:name="_Toc7524"/>
      <w:bookmarkStart w:id="260" w:name="_Toc18939"/>
      <w:r>
        <w:rPr>
          <w:rFonts w:hint="eastAsia"/>
          <w:lang w:val="en-US" w:eastAsia="zh-CN"/>
        </w:rPr>
        <w:t>三、详细评审标准</w:t>
      </w:r>
      <w:bookmarkEnd w:id="258"/>
      <w:bookmarkEnd w:id="259"/>
      <w:bookmarkEnd w:id="260"/>
    </w:p>
    <w:tbl>
      <w:tblPr>
        <w:tblStyle w:val="28"/>
        <w:tblW w:w="9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931"/>
        <w:gridCol w:w="801"/>
        <w:gridCol w:w="7117"/>
      </w:tblGrid>
      <w:tr w14:paraId="396BC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54" w:type="dxa"/>
            <w:vAlign w:val="center"/>
          </w:tcPr>
          <w:p w14:paraId="1274B88B">
            <w:pPr>
              <w:spacing w:line="280" w:lineRule="exact"/>
              <w:jc w:val="center"/>
              <w:rPr>
                <w:rFonts w:hint="eastAsia" w:ascii="宋体" w:hAnsi="宋体" w:eastAsiaTheme="minorEastAsia"/>
                <w:b/>
                <w:sz w:val="24"/>
                <w:szCs w:val="24"/>
                <w:lang w:eastAsia="zh-CN"/>
              </w:rPr>
            </w:pPr>
            <w:r>
              <w:rPr>
                <w:rFonts w:hint="eastAsia" w:ascii="宋体" w:hAnsi="宋体"/>
                <w:b/>
                <w:sz w:val="24"/>
                <w:szCs w:val="24"/>
                <w:lang w:val="en-US" w:eastAsia="zh-CN"/>
              </w:rPr>
              <w:t>条款</w:t>
            </w:r>
          </w:p>
        </w:tc>
        <w:tc>
          <w:tcPr>
            <w:tcW w:w="931" w:type="dxa"/>
            <w:vAlign w:val="center"/>
          </w:tcPr>
          <w:p w14:paraId="26DB8010">
            <w:pPr>
              <w:spacing w:line="280" w:lineRule="exact"/>
              <w:jc w:val="center"/>
              <w:rPr>
                <w:rFonts w:hint="eastAsia" w:ascii="宋体" w:hAnsi="宋体"/>
                <w:b/>
                <w:sz w:val="24"/>
                <w:szCs w:val="24"/>
              </w:rPr>
            </w:pPr>
            <w:r>
              <w:rPr>
                <w:rFonts w:hint="eastAsia" w:ascii="宋体" w:hAnsi="宋体"/>
                <w:b/>
                <w:sz w:val="24"/>
                <w:szCs w:val="24"/>
              </w:rPr>
              <w:t>评分</w:t>
            </w:r>
          </w:p>
          <w:p w14:paraId="3F15C173">
            <w:pPr>
              <w:spacing w:line="280" w:lineRule="exact"/>
              <w:jc w:val="center"/>
              <w:rPr>
                <w:rFonts w:ascii="宋体" w:hAnsi="宋体"/>
                <w:b/>
                <w:sz w:val="24"/>
                <w:szCs w:val="24"/>
              </w:rPr>
            </w:pPr>
            <w:r>
              <w:rPr>
                <w:rFonts w:hint="eastAsia" w:ascii="宋体" w:hAnsi="宋体"/>
                <w:b/>
                <w:sz w:val="24"/>
                <w:szCs w:val="24"/>
              </w:rPr>
              <w:t>项目</w:t>
            </w:r>
          </w:p>
        </w:tc>
        <w:tc>
          <w:tcPr>
            <w:tcW w:w="801" w:type="dxa"/>
            <w:vAlign w:val="center"/>
          </w:tcPr>
          <w:p w14:paraId="291FC4E8">
            <w:pPr>
              <w:spacing w:line="280" w:lineRule="exact"/>
              <w:jc w:val="center"/>
              <w:rPr>
                <w:rFonts w:ascii="宋体" w:hAnsi="宋体"/>
                <w:b/>
                <w:sz w:val="24"/>
                <w:szCs w:val="24"/>
              </w:rPr>
            </w:pPr>
            <w:r>
              <w:rPr>
                <w:rFonts w:hint="eastAsia" w:ascii="宋体" w:hAnsi="宋体"/>
                <w:b/>
                <w:sz w:val="24"/>
                <w:szCs w:val="24"/>
              </w:rPr>
              <w:t>分值</w:t>
            </w:r>
          </w:p>
        </w:tc>
        <w:tc>
          <w:tcPr>
            <w:tcW w:w="7117" w:type="dxa"/>
            <w:vAlign w:val="center"/>
          </w:tcPr>
          <w:p w14:paraId="28612EC7">
            <w:pPr>
              <w:spacing w:line="280" w:lineRule="exact"/>
              <w:jc w:val="center"/>
              <w:rPr>
                <w:rFonts w:ascii="宋体" w:hAnsi="宋体"/>
                <w:b/>
                <w:sz w:val="24"/>
                <w:szCs w:val="24"/>
              </w:rPr>
            </w:pPr>
            <w:r>
              <w:rPr>
                <w:rFonts w:hint="eastAsia" w:ascii="宋体" w:hAnsi="宋体"/>
                <w:b/>
                <w:sz w:val="24"/>
                <w:szCs w:val="24"/>
              </w:rPr>
              <w:t>评分标准</w:t>
            </w:r>
          </w:p>
        </w:tc>
      </w:tr>
      <w:tr w14:paraId="3FB72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9" w:hRule="atLeast"/>
          <w:jc w:val="center"/>
        </w:trPr>
        <w:tc>
          <w:tcPr>
            <w:tcW w:w="954" w:type="dxa"/>
            <w:vAlign w:val="center"/>
          </w:tcPr>
          <w:p w14:paraId="3159C9E7">
            <w:pPr>
              <w:spacing w:line="280" w:lineRule="exact"/>
              <w:jc w:val="center"/>
              <w:rPr>
                <w:rFonts w:hint="eastAsia" w:ascii="宋体" w:hAnsi="宋体"/>
                <w:b w:val="0"/>
                <w:bCs/>
                <w:sz w:val="24"/>
                <w:szCs w:val="24"/>
                <w:lang w:val="en-US" w:eastAsia="zh-CN"/>
              </w:rPr>
            </w:pPr>
            <w:r>
              <w:rPr>
                <w:rFonts w:hint="eastAsia" w:ascii="宋体" w:hAnsi="宋体"/>
                <w:b w:val="0"/>
                <w:bCs/>
                <w:sz w:val="24"/>
                <w:szCs w:val="24"/>
                <w:lang w:val="en-US" w:eastAsia="zh-CN"/>
              </w:rPr>
              <w:t>报价</w:t>
            </w:r>
          </w:p>
          <w:p w14:paraId="67DBB632">
            <w:pPr>
              <w:spacing w:line="280" w:lineRule="exact"/>
              <w:jc w:val="center"/>
              <w:rPr>
                <w:rFonts w:hint="default" w:ascii="宋体" w:hAnsi="宋体" w:eastAsiaTheme="minorEastAsia"/>
                <w:b w:val="0"/>
                <w:bCs/>
                <w:sz w:val="24"/>
                <w:szCs w:val="24"/>
                <w:lang w:val="en-US" w:eastAsia="zh-CN"/>
              </w:rPr>
            </w:pPr>
            <w:r>
              <w:rPr>
                <w:rFonts w:hint="eastAsia" w:ascii="宋体" w:hAnsi="宋体"/>
                <w:b w:val="0"/>
                <w:bCs/>
                <w:sz w:val="24"/>
                <w:szCs w:val="24"/>
                <w:lang w:val="en-US" w:eastAsia="zh-CN"/>
              </w:rPr>
              <w:t>评审</w:t>
            </w:r>
          </w:p>
        </w:tc>
        <w:tc>
          <w:tcPr>
            <w:tcW w:w="931" w:type="dxa"/>
            <w:vAlign w:val="center"/>
          </w:tcPr>
          <w:p w14:paraId="03F73A61">
            <w:pPr>
              <w:spacing w:line="280" w:lineRule="exact"/>
              <w:jc w:val="center"/>
              <w:rPr>
                <w:rFonts w:hint="eastAsia" w:ascii="宋体" w:hAnsi="宋体"/>
                <w:b w:val="0"/>
                <w:bCs/>
                <w:sz w:val="24"/>
                <w:szCs w:val="24"/>
                <w:lang w:eastAsia="zh-CN"/>
              </w:rPr>
            </w:pPr>
            <w:r>
              <w:rPr>
                <w:rFonts w:hint="eastAsia" w:ascii="宋体" w:hAnsi="宋体"/>
                <w:b w:val="0"/>
                <w:bCs/>
                <w:sz w:val="24"/>
                <w:szCs w:val="24"/>
                <w:lang w:eastAsia="zh-CN"/>
              </w:rPr>
              <w:t>最终</w:t>
            </w:r>
          </w:p>
          <w:p w14:paraId="4546A87D">
            <w:pPr>
              <w:spacing w:line="280" w:lineRule="exact"/>
              <w:jc w:val="center"/>
              <w:rPr>
                <w:rFonts w:hint="eastAsia" w:ascii="宋体" w:hAnsi="宋体"/>
                <w:b w:val="0"/>
                <w:bCs/>
                <w:sz w:val="24"/>
                <w:szCs w:val="24"/>
                <w:lang w:eastAsia="zh-CN"/>
              </w:rPr>
            </w:pPr>
            <w:r>
              <w:rPr>
                <w:rFonts w:hint="eastAsia" w:ascii="宋体" w:hAnsi="宋体"/>
                <w:b w:val="0"/>
                <w:bCs/>
                <w:sz w:val="24"/>
                <w:szCs w:val="24"/>
                <w:lang w:eastAsia="zh-CN"/>
              </w:rPr>
              <w:t>磋商</w:t>
            </w:r>
          </w:p>
          <w:p w14:paraId="49BFB9CD">
            <w:pPr>
              <w:spacing w:line="280" w:lineRule="exact"/>
              <w:jc w:val="center"/>
              <w:rPr>
                <w:rFonts w:ascii="宋体" w:hAnsi="宋体"/>
                <w:b w:val="0"/>
                <w:bCs/>
                <w:sz w:val="24"/>
                <w:szCs w:val="24"/>
              </w:rPr>
            </w:pPr>
            <w:r>
              <w:rPr>
                <w:rFonts w:hint="eastAsia" w:ascii="宋体" w:hAnsi="宋体"/>
                <w:b w:val="0"/>
                <w:bCs/>
                <w:sz w:val="24"/>
                <w:szCs w:val="24"/>
              </w:rPr>
              <w:t>报价</w:t>
            </w:r>
          </w:p>
        </w:tc>
        <w:tc>
          <w:tcPr>
            <w:tcW w:w="801" w:type="dxa"/>
            <w:vAlign w:val="center"/>
          </w:tcPr>
          <w:p w14:paraId="59B61A24">
            <w:pPr>
              <w:spacing w:line="280" w:lineRule="exact"/>
              <w:jc w:val="center"/>
              <w:rPr>
                <w:rFonts w:hint="default"/>
                <w:sz w:val="24"/>
                <w:szCs w:val="24"/>
                <w:lang w:val="en-US" w:eastAsia="zh-CN"/>
              </w:rPr>
            </w:pPr>
            <w:r>
              <w:rPr>
                <w:rFonts w:hint="eastAsia" w:ascii="宋体" w:hAnsi="宋体"/>
                <w:b w:val="0"/>
                <w:bCs/>
                <w:sz w:val="24"/>
                <w:szCs w:val="24"/>
                <w:lang w:val="en-US" w:eastAsia="zh-CN"/>
              </w:rPr>
              <w:t>30</w:t>
            </w:r>
            <w:r>
              <w:rPr>
                <w:rFonts w:hint="eastAsia" w:ascii="宋体"/>
                <w:b w:val="0"/>
                <w:bCs/>
                <w:sz w:val="24"/>
                <w:szCs w:val="24"/>
                <w:lang w:val="en-US" w:eastAsia="zh-CN"/>
              </w:rPr>
              <w:t>分</w:t>
            </w:r>
          </w:p>
        </w:tc>
        <w:tc>
          <w:tcPr>
            <w:tcW w:w="7117" w:type="dxa"/>
          </w:tcPr>
          <w:p w14:paraId="465CEF2D">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Autospacing="0" w:afterAutospacing="0" w:line="360" w:lineRule="auto"/>
              <w:textAlignment w:val="auto"/>
              <w:rPr>
                <w:rFonts w:hint="default" w:ascii="宋体" w:hAnsi="宋体" w:eastAsia="宋体" w:cs="宋体"/>
                <w:sz w:val="24"/>
                <w:szCs w:val="24"/>
                <w:lang w:val="en-US" w:eastAsia="zh-CN"/>
              </w:rPr>
            </w:pPr>
            <w:r>
              <w:rPr>
                <w:rFonts w:hint="eastAsia" w:ascii="宋体" w:hAnsi="宋体" w:eastAsia="宋体" w:cs="宋体"/>
                <w:sz w:val="24"/>
                <w:szCs w:val="24"/>
              </w:rPr>
              <w:t>磋商报价得分计算公式=磋商基准价/供应商的第二轮</w:t>
            </w:r>
            <w:r>
              <w:rPr>
                <w:rFonts w:hint="eastAsia" w:ascii="宋体" w:hAnsi="宋体" w:eastAsia="宋体" w:cs="宋体"/>
                <w:sz w:val="24"/>
                <w:szCs w:val="24"/>
                <w:lang w:val="en-US" w:eastAsia="zh-CN"/>
              </w:rPr>
              <w:t>最终</w:t>
            </w:r>
            <w:r>
              <w:rPr>
                <w:rFonts w:hint="eastAsia" w:ascii="宋体" w:hAnsi="宋体" w:eastAsia="宋体" w:cs="宋体"/>
                <w:sz w:val="24"/>
                <w:szCs w:val="24"/>
              </w:rPr>
              <w:t>磋商报价×</w:t>
            </w:r>
            <w:r>
              <w:rPr>
                <w:rFonts w:hint="eastAsia" w:ascii="宋体" w:hAnsi="宋体" w:eastAsia="宋体" w:cs="宋体"/>
                <w:sz w:val="24"/>
                <w:szCs w:val="24"/>
                <w:lang w:val="en-US" w:eastAsia="zh-CN"/>
              </w:rPr>
              <w:t>30</w:t>
            </w:r>
          </w:p>
          <w:p w14:paraId="40F869A8">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Autospacing="0" w:afterAutospacing="0" w:line="360" w:lineRule="auto"/>
              <w:textAlignment w:val="auto"/>
              <w:rPr>
                <w:rFonts w:hint="default" w:ascii="宋体" w:hAnsi="宋体" w:eastAsia="宋体" w:cs="宋体"/>
                <w:sz w:val="24"/>
                <w:szCs w:val="24"/>
                <w:lang w:val="en-US" w:eastAsia="zh-CN"/>
              </w:rPr>
            </w:pPr>
            <w:r>
              <w:rPr>
                <w:rFonts w:hint="eastAsia" w:ascii="宋体" w:hAnsi="宋体" w:eastAsia="宋体" w:cs="宋体"/>
                <w:sz w:val="24"/>
                <w:szCs w:val="24"/>
              </w:rPr>
              <w:t>即：F1=[C/（B1，B2，…，Bn）]×</w:t>
            </w:r>
            <w:r>
              <w:rPr>
                <w:rFonts w:hint="eastAsia" w:ascii="宋体" w:hAnsi="宋体" w:eastAsia="宋体" w:cs="宋体"/>
                <w:sz w:val="24"/>
                <w:szCs w:val="24"/>
                <w:lang w:val="en-US" w:eastAsia="zh-CN"/>
              </w:rPr>
              <w:t>30</w:t>
            </w:r>
          </w:p>
          <w:p w14:paraId="0A870E72">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Autospacing="0" w:afterAutospacing="0" w:line="360" w:lineRule="auto"/>
              <w:textAlignment w:val="auto"/>
              <w:rPr>
                <w:sz w:val="24"/>
                <w:szCs w:val="24"/>
              </w:rPr>
            </w:pPr>
            <w:r>
              <w:rPr>
                <w:rFonts w:hint="eastAsia" w:ascii="宋体" w:hAnsi="宋体" w:eastAsia="宋体" w:cs="宋体"/>
                <w:sz w:val="24"/>
                <w:szCs w:val="24"/>
              </w:rPr>
              <w:t>注：C为磋商基准价，即满足</w:t>
            </w:r>
            <w:r>
              <w:rPr>
                <w:rFonts w:hint="eastAsia" w:ascii="宋体" w:hAnsi="宋体" w:eastAsia="宋体" w:cs="宋体"/>
                <w:sz w:val="24"/>
                <w:szCs w:val="24"/>
                <w:lang w:val="en-US" w:eastAsia="zh-CN"/>
              </w:rPr>
              <w:t>竞争性</w:t>
            </w:r>
            <w:r>
              <w:rPr>
                <w:rFonts w:hint="eastAsia" w:ascii="宋体" w:hAnsi="宋体" w:eastAsia="宋体" w:cs="宋体"/>
                <w:sz w:val="24"/>
                <w:szCs w:val="24"/>
              </w:rPr>
              <w:t>磋商文件要求且</w:t>
            </w:r>
            <w:r>
              <w:rPr>
                <w:rFonts w:hint="eastAsia" w:ascii="宋体" w:hAnsi="宋体" w:eastAsia="宋体" w:cs="宋体"/>
                <w:sz w:val="24"/>
                <w:szCs w:val="24"/>
                <w:lang w:val="en-US" w:eastAsia="zh-CN"/>
              </w:rPr>
              <w:t>磋商</w:t>
            </w:r>
            <w:r>
              <w:rPr>
                <w:rFonts w:hint="eastAsia" w:ascii="宋体" w:hAnsi="宋体" w:eastAsia="宋体" w:cs="宋体"/>
                <w:sz w:val="24"/>
                <w:szCs w:val="24"/>
              </w:rPr>
              <w:t>价格最低的第二轮</w:t>
            </w:r>
            <w:r>
              <w:rPr>
                <w:rFonts w:hint="eastAsia" w:ascii="宋体" w:hAnsi="宋体" w:eastAsia="宋体" w:cs="宋体"/>
                <w:sz w:val="24"/>
                <w:szCs w:val="24"/>
                <w:lang w:val="en-US" w:eastAsia="zh-CN"/>
              </w:rPr>
              <w:t>最终</w:t>
            </w:r>
            <w:r>
              <w:rPr>
                <w:rFonts w:hint="eastAsia" w:ascii="宋体" w:hAnsi="宋体" w:eastAsia="宋体" w:cs="宋体"/>
                <w:sz w:val="24"/>
                <w:szCs w:val="24"/>
              </w:rPr>
              <w:t>磋商报价；B1，B2，…，Bn为经审查合格满足</w:t>
            </w:r>
            <w:r>
              <w:rPr>
                <w:rFonts w:hint="eastAsia" w:ascii="宋体" w:hAnsi="宋体" w:eastAsia="宋体" w:cs="宋体"/>
                <w:sz w:val="24"/>
                <w:szCs w:val="24"/>
                <w:lang w:val="en-US" w:eastAsia="zh-CN"/>
              </w:rPr>
              <w:t>竞争性</w:t>
            </w:r>
            <w:r>
              <w:rPr>
                <w:rFonts w:hint="eastAsia" w:ascii="宋体" w:hAnsi="宋体" w:eastAsia="宋体" w:cs="宋体"/>
                <w:sz w:val="24"/>
                <w:szCs w:val="24"/>
              </w:rPr>
              <w:t>磋商文件要求的各有效供应商的第二轮</w:t>
            </w:r>
            <w:r>
              <w:rPr>
                <w:rFonts w:hint="eastAsia" w:ascii="宋体" w:hAnsi="宋体" w:eastAsia="宋体" w:cs="宋体"/>
                <w:sz w:val="24"/>
                <w:szCs w:val="24"/>
                <w:lang w:val="en-US" w:eastAsia="zh-CN"/>
              </w:rPr>
              <w:t>最终</w:t>
            </w:r>
            <w:r>
              <w:rPr>
                <w:rFonts w:hint="eastAsia" w:ascii="宋体" w:hAnsi="宋体" w:eastAsia="宋体" w:cs="宋体"/>
                <w:sz w:val="24"/>
                <w:szCs w:val="24"/>
              </w:rPr>
              <w:t>磋商报价。</w:t>
            </w:r>
          </w:p>
        </w:tc>
      </w:tr>
      <w:tr w14:paraId="0AD30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4" w:hRule="atLeast"/>
          <w:jc w:val="center"/>
        </w:trPr>
        <w:tc>
          <w:tcPr>
            <w:tcW w:w="954" w:type="dxa"/>
            <w:vMerge w:val="restart"/>
            <w:vAlign w:val="center"/>
          </w:tcPr>
          <w:p w14:paraId="67A3B083">
            <w:pPr>
              <w:spacing w:line="280" w:lineRule="exact"/>
              <w:jc w:val="center"/>
              <w:rPr>
                <w:rFonts w:hint="eastAsia" w:ascii="宋体" w:hAnsi="宋体" w:eastAsia="宋体"/>
                <w:sz w:val="24"/>
                <w:szCs w:val="24"/>
                <w:lang w:val="en-US" w:eastAsia="zh-CN"/>
              </w:rPr>
            </w:pPr>
            <w:r>
              <w:rPr>
                <w:rFonts w:ascii="宋体" w:hAnsi="宋体" w:eastAsia="宋体" w:cs="宋体"/>
                <w:sz w:val="24"/>
                <w:szCs w:val="24"/>
              </w:rPr>
              <w:t>商务及技术评审</w:t>
            </w:r>
          </w:p>
        </w:tc>
        <w:tc>
          <w:tcPr>
            <w:tcW w:w="931" w:type="dxa"/>
            <w:vAlign w:val="center"/>
          </w:tcPr>
          <w:p w14:paraId="5CF0EFBB">
            <w:pPr>
              <w:spacing w:line="28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施工方案与技术措施</w:t>
            </w:r>
          </w:p>
        </w:tc>
        <w:tc>
          <w:tcPr>
            <w:tcW w:w="801" w:type="dxa"/>
            <w:vAlign w:val="center"/>
          </w:tcPr>
          <w:p w14:paraId="240727D5">
            <w:pPr>
              <w:spacing w:line="280" w:lineRule="exact"/>
              <w:jc w:val="center"/>
              <w:rPr>
                <w:rFonts w:hint="default" w:ascii="宋体" w:hAnsi="宋体"/>
                <w:b w:val="0"/>
                <w:bCs/>
                <w:sz w:val="24"/>
                <w:szCs w:val="24"/>
                <w:lang w:val="en-US" w:eastAsia="zh-CN"/>
              </w:rPr>
            </w:pPr>
            <w:r>
              <w:rPr>
                <w:rFonts w:hint="eastAsia" w:ascii="宋体" w:hAnsi="宋体"/>
                <w:b w:val="0"/>
                <w:bCs/>
                <w:sz w:val="24"/>
                <w:szCs w:val="24"/>
                <w:lang w:val="en-US" w:eastAsia="zh-CN"/>
              </w:rPr>
              <w:t>24</w:t>
            </w:r>
          </w:p>
        </w:tc>
        <w:tc>
          <w:tcPr>
            <w:tcW w:w="7117" w:type="dxa"/>
            <w:vAlign w:val="center"/>
          </w:tcPr>
          <w:p w14:paraId="795BC89F">
            <w:p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根据供应商提供的施工方案与技术措施，至少包括：</w:t>
            </w:r>
          </w:p>
          <w:p w14:paraId="6F2F2D4A">
            <w:pPr>
              <w:numPr>
                <w:ilvl w:val="0"/>
                <w:numId w:val="0"/>
              </w:numPr>
              <w:spacing w:line="360" w:lineRule="auto"/>
              <w:jc w:val="both"/>
              <w:rPr>
                <w:rFonts w:hint="eastAsia" w:ascii="宋体" w:hAnsi="宋体" w:eastAsia="宋体" w:cs="宋体"/>
                <w:sz w:val="24"/>
                <w:szCs w:val="24"/>
                <w:lang w:val="en-US" w:eastAsia="zh-CN"/>
              </w:rPr>
            </w:pPr>
            <w:r>
              <w:rPr>
                <w:rFonts w:hint="eastAsia" w:ascii="宋体" w:hAnsi="宋体" w:eastAsia="宋体" w:cs="宋体"/>
                <w:kern w:val="2"/>
                <w:sz w:val="24"/>
                <w:szCs w:val="24"/>
                <w:lang w:val="en-US" w:eastAsia="zh-CN" w:bidi="ar-SA"/>
              </w:rPr>
              <w:t>（1）</w:t>
            </w:r>
            <w:r>
              <w:rPr>
                <w:rFonts w:hint="eastAsia" w:ascii="宋体" w:hAnsi="宋体" w:eastAsia="宋体" w:cs="宋体"/>
                <w:sz w:val="24"/>
                <w:szCs w:val="24"/>
                <w:lang w:val="en-US" w:eastAsia="zh-CN"/>
              </w:rPr>
              <w:t>施工技术准备；</w:t>
            </w:r>
          </w:p>
          <w:p w14:paraId="087EE8AD">
            <w:pPr>
              <w:numPr>
                <w:ilvl w:val="0"/>
                <w:numId w:val="0"/>
              </w:num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（2）施工部署及技术措施；</w:t>
            </w:r>
          </w:p>
          <w:p w14:paraId="185BCB7E">
            <w:pPr>
              <w:numPr>
                <w:ilvl w:val="0"/>
                <w:numId w:val="0"/>
              </w:numPr>
              <w:spacing w:line="36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（3）施工主要工序及方案；</w:t>
            </w:r>
          </w:p>
          <w:p w14:paraId="6AF1CFCD">
            <w:pPr>
              <w:spacing w:line="36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（4）安全管理体系与保障措施；</w:t>
            </w:r>
          </w:p>
          <w:p w14:paraId="5A4D5929">
            <w:p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（5）环境保护安全管理体系与保障措施；</w:t>
            </w:r>
          </w:p>
          <w:p w14:paraId="04D69AC4">
            <w:p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（6）建筑垃圾减量化目标及保障措施；</w:t>
            </w:r>
          </w:p>
          <w:p w14:paraId="61E56FB9">
            <w:pPr>
              <w:spacing w:line="360" w:lineRule="auto"/>
              <w:jc w:val="both"/>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上述</w:t>
            </w:r>
            <w:r>
              <w:rPr>
                <w:rFonts w:hint="eastAsia" w:ascii="宋体" w:hAnsi="宋体" w:eastAsia="宋体" w:cs="宋体"/>
                <w:sz w:val="24"/>
                <w:szCs w:val="24"/>
                <w:lang w:val="en-US" w:eastAsia="zh-CN"/>
              </w:rPr>
              <w:t>6</w:t>
            </w:r>
            <w:r>
              <w:rPr>
                <w:rFonts w:hint="eastAsia" w:ascii="宋体" w:hAnsi="宋体" w:eastAsia="宋体" w:cs="宋体"/>
                <w:sz w:val="24"/>
                <w:szCs w:val="24"/>
                <w:lang w:val="zh-CN" w:eastAsia="zh-CN"/>
              </w:rPr>
              <w:t>个评审项每项满分</w:t>
            </w:r>
            <w:r>
              <w:rPr>
                <w:rFonts w:hint="eastAsia" w:ascii="宋体" w:hAnsi="宋体" w:eastAsia="宋体" w:cs="宋体"/>
                <w:sz w:val="24"/>
                <w:szCs w:val="24"/>
                <w:lang w:val="en-US" w:eastAsia="zh-CN"/>
              </w:rPr>
              <w:t>4</w:t>
            </w:r>
            <w:r>
              <w:rPr>
                <w:rFonts w:hint="eastAsia" w:ascii="宋体" w:hAnsi="宋体" w:eastAsia="宋体" w:cs="宋体"/>
                <w:sz w:val="24"/>
                <w:szCs w:val="24"/>
                <w:lang w:val="zh-CN" w:eastAsia="zh-CN"/>
              </w:rPr>
              <w:t>分，评分档次为</w:t>
            </w:r>
            <w:r>
              <w:rPr>
                <w:rFonts w:hint="eastAsia" w:ascii="宋体" w:hAnsi="宋体" w:eastAsia="宋体" w:cs="宋体"/>
                <w:sz w:val="24"/>
                <w:szCs w:val="24"/>
                <w:lang w:val="en-US" w:eastAsia="zh-CN"/>
              </w:rPr>
              <w:t>4/2.5</w:t>
            </w:r>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val="zh-CN" w:eastAsia="zh-CN"/>
              </w:rPr>
              <w:t>/0；</w:t>
            </w:r>
          </w:p>
          <w:p w14:paraId="69329765">
            <w:p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w:t>
            </w:r>
            <w:r>
              <w:rPr>
                <w:rFonts w:hint="eastAsia" w:ascii="宋体" w:hAnsi="宋体" w:eastAsia="宋体" w:cs="宋体"/>
                <w:sz w:val="24"/>
                <w:szCs w:val="24"/>
                <w:lang w:val="zh-CN" w:eastAsia="zh-CN"/>
              </w:rPr>
              <w:t>针对上述内容分别进行阐述说明，阐述内容详细、条理清晰、各个环节上的描述层次分明，满足</w:t>
            </w:r>
            <w:r>
              <w:rPr>
                <w:rFonts w:hint="eastAsia" w:ascii="宋体" w:hAnsi="宋体" w:eastAsia="宋体" w:cs="宋体"/>
                <w:sz w:val="24"/>
                <w:szCs w:val="24"/>
                <w:lang w:val="en-US" w:eastAsia="zh-CN"/>
              </w:rPr>
              <w:t>采购</w:t>
            </w:r>
            <w:r>
              <w:rPr>
                <w:rFonts w:hint="eastAsia" w:ascii="宋体" w:hAnsi="宋体" w:eastAsia="宋体" w:cs="宋体"/>
                <w:sz w:val="24"/>
                <w:szCs w:val="24"/>
                <w:lang w:val="zh-CN" w:eastAsia="zh-CN"/>
              </w:rPr>
              <w:t>人需求的，得</w:t>
            </w:r>
            <w:r>
              <w:rPr>
                <w:rFonts w:hint="eastAsia" w:ascii="宋体" w:hAnsi="宋体" w:eastAsia="宋体" w:cs="宋体"/>
                <w:sz w:val="24"/>
                <w:szCs w:val="24"/>
                <w:lang w:val="en-US" w:eastAsia="zh-CN"/>
              </w:rPr>
              <w:t>4</w:t>
            </w:r>
            <w:r>
              <w:rPr>
                <w:rFonts w:hint="eastAsia" w:ascii="宋体" w:hAnsi="宋体" w:eastAsia="宋体" w:cs="宋体"/>
                <w:sz w:val="24"/>
                <w:szCs w:val="24"/>
                <w:lang w:val="zh-CN" w:eastAsia="zh-CN"/>
              </w:rPr>
              <w:t>分；对内容的关键要求没有详细说明、表述不清晰、内容简略、空泛，针对性不强的得</w:t>
            </w:r>
            <w:r>
              <w:rPr>
                <w:rFonts w:hint="eastAsia" w:ascii="宋体" w:hAnsi="宋体" w:eastAsia="宋体" w:cs="宋体"/>
                <w:sz w:val="24"/>
                <w:szCs w:val="24"/>
                <w:lang w:val="en-US" w:eastAsia="zh-CN"/>
              </w:rPr>
              <w:t>2.5</w:t>
            </w:r>
            <w:r>
              <w:rPr>
                <w:rFonts w:hint="eastAsia" w:ascii="宋体" w:hAnsi="宋体" w:eastAsia="宋体" w:cs="宋体"/>
                <w:sz w:val="24"/>
                <w:szCs w:val="24"/>
                <w:lang w:val="zh-CN" w:eastAsia="zh-CN"/>
              </w:rPr>
              <w:t>分；内容存在缺陷（缺陷指：与实际情况不匹配、不符合项目特点和实际情况、内容前后矛盾、与本项目无关、内容有缺漏等任意一种情形）得</w:t>
            </w:r>
            <w:r>
              <w:rPr>
                <w:rFonts w:hint="eastAsia" w:ascii="宋体" w:hAnsi="宋体" w:eastAsia="宋体" w:cs="宋体"/>
                <w:sz w:val="24"/>
                <w:szCs w:val="24"/>
                <w:lang w:val="en-US" w:eastAsia="zh-CN"/>
              </w:rPr>
              <w:t>1</w:t>
            </w:r>
            <w:r>
              <w:rPr>
                <w:rFonts w:hint="eastAsia" w:ascii="宋体" w:hAnsi="宋体" w:eastAsia="宋体" w:cs="宋体"/>
                <w:sz w:val="24"/>
                <w:szCs w:val="24"/>
                <w:lang w:val="zh-CN" w:eastAsia="zh-CN"/>
              </w:rPr>
              <w:t>分；内容缺失得0分。</w:t>
            </w:r>
          </w:p>
        </w:tc>
      </w:tr>
      <w:tr w14:paraId="100B3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4" w:hRule="atLeast"/>
          <w:jc w:val="center"/>
        </w:trPr>
        <w:tc>
          <w:tcPr>
            <w:tcW w:w="954" w:type="dxa"/>
            <w:vMerge w:val="continue"/>
            <w:vAlign w:val="center"/>
          </w:tcPr>
          <w:p w14:paraId="7FFD3F46">
            <w:pPr>
              <w:spacing w:line="280" w:lineRule="exact"/>
              <w:jc w:val="center"/>
              <w:rPr>
                <w:rFonts w:hint="eastAsia" w:ascii="宋体" w:hAnsi="宋体" w:eastAsia="宋体"/>
                <w:sz w:val="24"/>
                <w:szCs w:val="24"/>
                <w:lang w:val="en-US" w:eastAsia="zh-CN"/>
              </w:rPr>
            </w:pPr>
          </w:p>
        </w:tc>
        <w:tc>
          <w:tcPr>
            <w:tcW w:w="931" w:type="dxa"/>
            <w:vAlign w:val="center"/>
          </w:tcPr>
          <w:p w14:paraId="2D7ABF95">
            <w:pPr>
              <w:spacing w:line="28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对项目的理解、重难点分析及合理化建议</w:t>
            </w:r>
          </w:p>
        </w:tc>
        <w:tc>
          <w:tcPr>
            <w:tcW w:w="801" w:type="dxa"/>
            <w:vAlign w:val="center"/>
          </w:tcPr>
          <w:p w14:paraId="75413982">
            <w:pPr>
              <w:spacing w:line="280" w:lineRule="exact"/>
              <w:jc w:val="center"/>
              <w:rPr>
                <w:rFonts w:hint="eastAsia" w:ascii="宋体" w:hAnsi="宋体"/>
                <w:b w:val="0"/>
                <w:bCs/>
                <w:sz w:val="24"/>
                <w:szCs w:val="24"/>
                <w:lang w:val="en-US" w:eastAsia="zh-CN"/>
              </w:rPr>
            </w:pPr>
            <w:r>
              <w:rPr>
                <w:rFonts w:hint="eastAsia" w:ascii="宋体" w:hAnsi="宋体"/>
                <w:b w:val="0"/>
                <w:bCs/>
                <w:sz w:val="24"/>
                <w:szCs w:val="24"/>
                <w:lang w:val="en-US" w:eastAsia="zh-CN"/>
              </w:rPr>
              <w:t>10</w:t>
            </w:r>
            <w:r>
              <w:rPr>
                <w:rFonts w:hint="eastAsia" w:ascii="宋体" w:hAnsi="宋体"/>
                <w:b w:val="0"/>
                <w:bCs/>
                <w:sz w:val="24"/>
                <w:szCs w:val="24"/>
              </w:rPr>
              <w:t>分</w:t>
            </w:r>
          </w:p>
        </w:tc>
        <w:tc>
          <w:tcPr>
            <w:tcW w:w="7117" w:type="dxa"/>
            <w:vAlign w:val="center"/>
          </w:tcPr>
          <w:p w14:paraId="451CE7E7">
            <w:p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根据供应商提供的对项目的理解、重难点分析及合理化建议，至少包括：</w:t>
            </w:r>
          </w:p>
          <w:p w14:paraId="4E80C78B">
            <w:pPr>
              <w:spacing w:line="36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（1）对本项目全面的理解</w:t>
            </w:r>
          </w:p>
          <w:p w14:paraId="43EC5BD0">
            <w:pPr>
              <w:spacing w:line="36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default" w:ascii="宋体" w:hAnsi="宋体" w:eastAsia="宋体" w:cs="宋体"/>
                <w:sz w:val="24"/>
                <w:szCs w:val="24"/>
                <w:lang w:val="en-US" w:eastAsia="zh-CN"/>
              </w:rPr>
              <w:t>对施工重点、难点有合理、经济、安全的解决方案；</w:t>
            </w:r>
          </w:p>
          <w:p w14:paraId="039EA990">
            <w:pPr>
              <w:spacing w:line="36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w:t>
            </w:r>
            <w:r>
              <w:rPr>
                <w:rFonts w:hint="default" w:ascii="宋体" w:hAnsi="宋体" w:eastAsia="宋体" w:cs="宋体"/>
                <w:sz w:val="24"/>
                <w:szCs w:val="24"/>
                <w:lang w:val="en-US" w:eastAsia="zh-CN"/>
              </w:rPr>
              <w:t>对本项目的关键技术、工艺有明确深入的表述；</w:t>
            </w:r>
          </w:p>
          <w:p w14:paraId="506479B6">
            <w:p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（4）合理化建议；</w:t>
            </w:r>
          </w:p>
          <w:p w14:paraId="79CD2009">
            <w:pPr>
              <w:spacing w:line="360" w:lineRule="auto"/>
              <w:jc w:val="both"/>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上述</w:t>
            </w:r>
            <w:r>
              <w:rPr>
                <w:rFonts w:hint="eastAsia" w:ascii="宋体" w:hAnsi="宋体" w:eastAsia="宋体" w:cs="宋体"/>
                <w:sz w:val="24"/>
                <w:szCs w:val="24"/>
                <w:lang w:val="en-US" w:eastAsia="zh-CN"/>
              </w:rPr>
              <w:t>4</w:t>
            </w:r>
            <w:r>
              <w:rPr>
                <w:rFonts w:hint="eastAsia" w:ascii="宋体" w:hAnsi="宋体" w:eastAsia="宋体" w:cs="宋体"/>
                <w:sz w:val="24"/>
                <w:szCs w:val="24"/>
                <w:lang w:val="zh-CN" w:eastAsia="zh-CN"/>
              </w:rPr>
              <w:t>个评审项每项满分</w:t>
            </w:r>
            <w:r>
              <w:rPr>
                <w:rFonts w:hint="eastAsia" w:ascii="宋体" w:hAnsi="宋体" w:eastAsia="宋体" w:cs="宋体"/>
                <w:sz w:val="24"/>
                <w:szCs w:val="24"/>
                <w:lang w:val="en-US" w:eastAsia="zh-CN"/>
              </w:rPr>
              <w:t>2.5</w:t>
            </w:r>
            <w:r>
              <w:rPr>
                <w:rFonts w:hint="eastAsia" w:ascii="宋体" w:hAnsi="宋体" w:eastAsia="宋体" w:cs="宋体"/>
                <w:sz w:val="24"/>
                <w:szCs w:val="24"/>
                <w:lang w:val="zh-CN" w:eastAsia="zh-CN"/>
              </w:rPr>
              <w:t>分，评分档次为</w:t>
            </w:r>
            <w:r>
              <w:rPr>
                <w:rFonts w:hint="eastAsia" w:ascii="宋体" w:hAnsi="宋体" w:eastAsia="宋体" w:cs="宋体"/>
                <w:sz w:val="24"/>
                <w:szCs w:val="24"/>
                <w:lang w:val="en-US" w:eastAsia="zh-CN"/>
              </w:rPr>
              <w:t>2.5/2</w:t>
            </w:r>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val="zh-CN" w:eastAsia="zh-CN"/>
              </w:rPr>
              <w:t>/0；</w:t>
            </w:r>
          </w:p>
          <w:p w14:paraId="6ACF5255">
            <w:p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w:t>
            </w:r>
            <w:r>
              <w:rPr>
                <w:rFonts w:hint="eastAsia" w:ascii="宋体" w:hAnsi="宋体" w:eastAsia="宋体" w:cs="宋体"/>
                <w:sz w:val="24"/>
                <w:szCs w:val="24"/>
                <w:lang w:val="zh-CN" w:eastAsia="zh-CN"/>
              </w:rPr>
              <w:t>针对上述内容分别进行阐述说明，阐述内容详细、条理清晰、各个环节上的描述层次分明，满足</w:t>
            </w:r>
            <w:r>
              <w:rPr>
                <w:rFonts w:hint="eastAsia" w:ascii="宋体" w:hAnsi="宋体" w:eastAsia="宋体" w:cs="宋体"/>
                <w:sz w:val="24"/>
                <w:szCs w:val="24"/>
                <w:lang w:val="en-US" w:eastAsia="zh-CN"/>
              </w:rPr>
              <w:t>采购</w:t>
            </w:r>
            <w:r>
              <w:rPr>
                <w:rFonts w:hint="eastAsia" w:ascii="宋体" w:hAnsi="宋体" w:eastAsia="宋体" w:cs="宋体"/>
                <w:sz w:val="24"/>
                <w:szCs w:val="24"/>
                <w:lang w:val="zh-CN" w:eastAsia="zh-CN"/>
              </w:rPr>
              <w:t>人需求的得</w:t>
            </w:r>
            <w:r>
              <w:rPr>
                <w:rFonts w:hint="eastAsia" w:ascii="宋体" w:hAnsi="宋体" w:eastAsia="宋体" w:cs="宋体"/>
                <w:sz w:val="24"/>
                <w:szCs w:val="24"/>
                <w:lang w:val="en-US" w:eastAsia="zh-CN"/>
              </w:rPr>
              <w:t>2.5</w:t>
            </w:r>
            <w:r>
              <w:rPr>
                <w:rFonts w:hint="eastAsia" w:ascii="宋体" w:hAnsi="宋体" w:eastAsia="宋体" w:cs="宋体"/>
                <w:sz w:val="24"/>
                <w:szCs w:val="24"/>
                <w:lang w:val="zh-CN" w:eastAsia="zh-CN"/>
              </w:rPr>
              <w:t>分；对内容的关键要求没有详细说明、表述不清晰、内容简略、空泛，针对性不强的得</w:t>
            </w:r>
            <w:r>
              <w:rPr>
                <w:rFonts w:hint="eastAsia" w:ascii="宋体" w:hAnsi="宋体" w:eastAsia="宋体" w:cs="宋体"/>
                <w:sz w:val="24"/>
                <w:szCs w:val="24"/>
                <w:lang w:val="en-US" w:eastAsia="zh-CN"/>
              </w:rPr>
              <w:t>2</w:t>
            </w:r>
            <w:r>
              <w:rPr>
                <w:rFonts w:hint="eastAsia" w:ascii="宋体" w:hAnsi="宋体" w:eastAsia="宋体" w:cs="宋体"/>
                <w:sz w:val="24"/>
                <w:szCs w:val="24"/>
                <w:lang w:val="zh-CN" w:eastAsia="zh-CN"/>
              </w:rPr>
              <w:t>分；内容存在缺陷（缺陷指：与实际情况不匹配、不符合项目特点和实际情况、内容前后矛盾、与本项目无关、内容有缺漏等任意一种情形）得</w:t>
            </w:r>
            <w:r>
              <w:rPr>
                <w:rFonts w:hint="eastAsia" w:ascii="宋体" w:hAnsi="宋体" w:eastAsia="宋体" w:cs="宋体"/>
                <w:sz w:val="24"/>
                <w:szCs w:val="24"/>
                <w:lang w:val="en-US" w:eastAsia="zh-CN"/>
              </w:rPr>
              <w:t>1</w:t>
            </w:r>
            <w:r>
              <w:rPr>
                <w:rFonts w:hint="eastAsia" w:ascii="宋体" w:hAnsi="宋体" w:eastAsia="宋体" w:cs="宋体"/>
                <w:sz w:val="24"/>
                <w:szCs w:val="24"/>
                <w:lang w:val="zh-CN" w:eastAsia="zh-CN"/>
              </w:rPr>
              <w:t>分；内容缺失得0分。</w:t>
            </w:r>
          </w:p>
        </w:tc>
      </w:tr>
      <w:tr w14:paraId="40785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954" w:type="dxa"/>
            <w:vMerge w:val="continue"/>
            <w:vAlign w:val="center"/>
          </w:tcPr>
          <w:p w14:paraId="2571F784">
            <w:pPr>
              <w:shd w:val="clear"/>
              <w:spacing w:line="420" w:lineRule="exact"/>
              <w:jc w:val="center"/>
              <w:rPr>
                <w:rFonts w:hint="default" w:ascii="宋体" w:hAnsi="宋体" w:eastAsia="宋体" w:cs="宋体"/>
                <w:color w:val="auto"/>
                <w:sz w:val="24"/>
                <w:szCs w:val="24"/>
                <w:highlight w:val="none"/>
                <w:lang w:val="en-US" w:eastAsia="zh-CN"/>
              </w:rPr>
            </w:pPr>
          </w:p>
        </w:tc>
        <w:tc>
          <w:tcPr>
            <w:tcW w:w="931" w:type="dxa"/>
            <w:vAlign w:val="center"/>
          </w:tcPr>
          <w:p w14:paraId="04A2C8EA">
            <w:pPr>
              <w:spacing w:line="28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质量管理体系与措施</w:t>
            </w:r>
          </w:p>
        </w:tc>
        <w:tc>
          <w:tcPr>
            <w:tcW w:w="801" w:type="dxa"/>
            <w:vAlign w:val="center"/>
          </w:tcPr>
          <w:p w14:paraId="7FCA9CA8">
            <w:pPr>
              <w:shd w:val="clear"/>
              <w:spacing w:line="420" w:lineRule="exac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9分</w:t>
            </w:r>
          </w:p>
        </w:tc>
        <w:tc>
          <w:tcPr>
            <w:tcW w:w="7117" w:type="dxa"/>
            <w:vAlign w:val="center"/>
          </w:tcPr>
          <w:p w14:paraId="0B36083E">
            <w:p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根据供应商提供的质量管理体系与措施，至少包括：</w:t>
            </w:r>
          </w:p>
          <w:p w14:paraId="7FBC9842">
            <w:pPr>
              <w:numPr>
                <w:ilvl w:val="0"/>
                <w:numId w:val="0"/>
              </w:numPr>
              <w:spacing w:line="360" w:lineRule="auto"/>
              <w:jc w:val="both"/>
              <w:rPr>
                <w:rFonts w:hint="eastAsia" w:ascii="宋体" w:hAnsi="宋体" w:eastAsia="宋体" w:cs="宋体"/>
                <w:sz w:val="24"/>
                <w:szCs w:val="24"/>
                <w:lang w:val="en-US" w:eastAsia="zh-CN"/>
              </w:rPr>
            </w:pPr>
            <w:r>
              <w:rPr>
                <w:rFonts w:hint="eastAsia" w:ascii="宋体" w:hAnsi="宋体" w:eastAsia="宋体" w:cs="宋体"/>
                <w:kern w:val="2"/>
                <w:sz w:val="24"/>
                <w:szCs w:val="24"/>
                <w:lang w:val="en-US" w:eastAsia="zh-CN" w:bidi="ar-SA"/>
              </w:rPr>
              <w:t>（1）</w:t>
            </w:r>
            <w:r>
              <w:rPr>
                <w:rFonts w:hint="eastAsia" w:ascii="宋体" w:hAnsi="宋体" w:eastAsia="宋体" w:cs="宋体"/>
                <w:sz w:val="24"/>
                <w:szCs w:val="24"/>
                <w:lang w:val="en-US" w:eastAsia="zh-CN"/>
              </w:rPr>
              <w:t>质量管理及职责分工；</w:t>
            </w:r>
          </w:p>
          <w:p w14:paraId="5A87A6E6">
            <w:pPr>
              <w:numPr>
                <w:ilvl w:val="0"/>
                <w:numId w:val="0"/>
              </w:num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（2）质量管理制度及质量保障承诺；</w:t>
            </w:r>
          </w:p>
          <w:p w14:paraId="689218E8">
            <w:pPr>
              <w:numPr>
                <w:ilvl w:val="0"/>
                <w:numId w:val="0"/>
              </w:numPr>
              <w:spacing w:line="36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（3）违约责任承诺；</w:t>
            </w:r>
          </w:p>
          <w:p w14:paraId="31BFF94A">
            <w:pPr>
              <w:spacing w:line="360" w:lineRule="auto"/>
              <w:jc w:val="both"/>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上述</w:t>
            </w:r>
            <w:r>
              <w:rPr>
                <w:rFonts w:hint="eastAsia" w:ascii="宋体" w:hAnsi="宋体" w:eastAsia="宋体" w:cs="宋体"/>
                <w:sz w:val="24"/>
                <w:szCs w:val="24"/>
                <w:lang w:val="en-US" w:eastAsia="zh-CN"/>
              </w:rPr>
              <w:t>3</w:t>
            </w:r>
            <w:r>
              <w:rPr>
                <w:rFonts w:hint="eastAsia" w:ascii="宋体" w:hAnsi="宋体" w:eastAsia="宋体" w:cs="宋体"/>
                <w:sz w:val="24"/>
                <w:szCs w:val="24"/>
                <w:lang w:val="zh-CN" w:eastAsia="zh-CN"/>
              </w:rPr>
              <w:t>个评审项每项满分</w:t>
            </w:r>
            <w:r>
              <w:rPr>
                <w:rFonts w:hint="eastAsia" w:ascii="宋体" w:hAnsi="宋体" w:eastAsia="宋体" w:cs="宋体"/>
                <w:sz w:val="24"/>
                <w:szCs w:val="24"/>
                <w:lang w:val="en-US" w:eastAsia="zh-CN"/>
              </w:rPr>
              <w:t>3</w:t>
            </w:r>
            <w:r>
              <w:rPr>
                <w:rFonts w:hint="eastAsia" w:ascii="宋体" w:hAnsi="宋体" w:eastAsia="宋体" w:cs="宋体"/>
                <w:sz w:val="24"/>
                <w:szCs w:val="24"/>
                <w:lang w:val="zh-CN" w:eastAsia="zh-CN"/>
              </w:rPr>
              <w:t>分，评分档次为</w:t>
            </w:r>
            <w:r>
              <w:rPr>
                <w:rFonts w:hint="eastAsia" w:ascii="宋体" w:hAnsi="宋体" w:eastAsia="宋体" w:cs="宋体"/>
                <w:sz w:val="24"/>
                <w:szCs w:val="24"/>
                <w:lang w:val="en-US" w:eastAsia="zh-CN"/>
              </w:rPr>
              <w:t>3/2</w:t>
            </w:r>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val="zh-CN" w:eastAsia="zh-CN"/>
              </w:rPr>
              <w:t>/0；</w:t>
            </w:r>
          </w:p>
          <w:p w14:paraId="28439C53">
            <w:p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w:t>
            </w:r>
            <w:r>
              <w:rPr>
                <w:rFonts w:hint="eastAsia" w:ascii="宋体" w:hAnsi="宋体" w:eastAsia="宋体" w:cs="宋体"/>
                <w:sz w:val="24"/>
                <w:szCs w:val="24"/>
                <w:lang w:val="zh-CN" w:eastAsia="zh-CN"/>
              </w:rPr>
              <w:t>针对上述内容分别进行阐述说明，阐述内容详细、条理清晰、各个环节上的描述层次分明，满足</w:t>
            </w:r>
            <w:r>
              <w:rPr>
                <w:rFonts w:hint="eastAsia" w:ascii="宋体" w:hAnsi="宋体" w:eastAsia="宋体" w:cs="宋体"/>
                <w:sz w:val="24"/>
                <w:szCs w:val="24"/>
                <w:lang w:val="en-US" w:eastAsia="zh-CN"/>
              </w:rPr>
              <w:t>采购</w:t>
            </w:r>
            <w:r>
              <w:rPr>
                <w:rFonts w:hint="eastAsia" w:ascii="宋体" w:hAnsi="宋体" w:eastAsia="宋体" w:cs="宋体"/>
                <w:sz w:val="24"/>
                <w:szCs w:val="24"/>
                <w:lang w:val="zh-CN" w:eastAsia="zh-CN"/>
              </w:rPr>
              <w:t>人需求的得</w:t>
            </w:r>
            <w:r>
              <w:rPr>
                <w:rFonts w:hint="eastAsia" w:ascii="宋体" w:hAnsi="宋体" w:eastAsia="宋体" w:cs="宋体"/>
                <w:sz w:val="24"/>
                <w:szCs w:val="24"/>
                <w:lang w:val="en-US" w:eastAsia="zh-CN"/>
              </w:rPr>
              <w:t>3</w:t>
            </w:r>
            <w:r>
              <w:rPr>
                <w:rFonts w:hint="eastAsia" w:ascii="宋体" w:hAnsi="宋体" w:eastAsia="宋体" w:cs="宋体"/>
                <w:sz w:val="24"/>
                <w:szCs w:val="24"/>
                <w:lang w:val="zh-CN" w:eastAsia="zh-CN"/>
              </w:rPr>
              <w:t>分；对内容的关键要求没有详细说明、表述不清晰、内容简略、空泛，针对性不强的得</w:t>
            </w:r>
            <w:r>
              <w:rPr>
                <w:rFonts w:hint="eastAsia" w:ascii="宋体" w:hAnsi="宋体" w:eastAsia="宋体" w:cs="宋体"/>
                <w:sz w:val="24"/>
                <w:szCs w:val="24"/>
                <w:lang w:val="en-US" w:eastAsia="zh-CN"/>
              </w:rPr>
              <w:t>2</w:t>
            </w:r>
            <w:r>
              <w:rPr>
                <w:rFonts w:hint="eastAsia" w:ascii="宋体" w:hAnsi="宋体" w:eastAsia="宋体" w:cs="宋体"/>
                <w:sz w:val="24"/>
                <w:szCs w:val="24"/>
                <w:lang w:val="zh-CN" w:eastAsia="zh-CN"/>
              </w:rPr>
              <w:t>分；内容存在缺陷（缺陷指：与实际情况不匹配、不符合项目特点和实际情况、内容前后矛盾、与本项目无关、内容有缺漏等任意一种情形）得</w:t>
            </w:r>
            <w:r>
              <w:rPr>
                <w:rFonts w:hint="eastAsia" w:ascii="宋体" w:hAnsi="宋体" w:eastAsia="宋体" w:cs="宋体"/>
                <w:sz w:val="24"/>
                <w:szCs w:val="24"/>
                <w:lang w:val="en-US" w:eastAsia="zh-CN"/>
              </w:rPr>
              <w:t>1</w:t>
            </w:r>
            <w:r>
              <w:rPr>
                <w:rFonts w:hint="eastAsia" w:ascii="宋体" w:hAnsi="宋体" w:eastAsia="宋体" w:cs="宋体"/>
                <w:sz w:val="24"/>
                <w:szCs w:val="24"/>
                <w:lang w:val="zh-CN" w:eastAsia="zh-CN"/>
              </w:rPr>
              <w:t>分；内容缺失得0分。</w:t>
            </w:r>
          </w:p>
        </w:tc>
      </w:tr>
      <w:tr w14:paraId="58446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4" w:type="dxa"/>
            <w:vMerge w:val="continue"/>
            <w:vAlign w:val="center"/>
          </w:tcPr>
          <w:p w14:paraId="72E6D56C">
            <w:pPr>
              <w:shd w:val="clear"/>
              <w:spacing w:line="420" w:lineRule="exact"/>
              <w:jc w:val="center"/>
              <w:rPr>
                <w:rFonts w:hint="default" w:ascii="宋体" w:hAnsi="宋体" w:eastAsia="宋体" w:cs="宋体"/>
                <w:color w:val="auto"/>
                <w:sz w:val="24"/>
                <w:szCs w:val="24"/>
                <w:highlight w:val="none"/>
                <w:lang w:val="en-US" w:eastAsia="zh-CN"/>
              </w:rPr>
            </w:pPr>
            <w:bookmarkStart w:id="261" w:name="_Toc499635404"/>
            <w:bookmarkStart w:id="262" w:name="OLE_LINK14"/>
          </w:p>
        </w:tc>
        <w:tc>
          <w:tcPr>
            <w:tcW w:w="931" w:type="dxa"/>
            <w:vAlign w:val="center"/>
          </w:tcPr>
          <w:p w14:paraId="3143D41D">
            <w:pPr>
              <w:spacing w:line="28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工程进度计划与措施</w:t>
            </w:r>
          </w:p>
        </w:tc>
        <w:tc>
          <w:tcPr>
            <w:tcW w:w="801" w:type="dxa"/>
            <w:vAlign w:val="center"/>
          </w:tcPr>
          <w:p w14:paraId="2063C847">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b w:val="0"/>
                <w:bCs/>
                <w:sz w:val="24"/>
                <w:szCs w:val="24"/>
                <w:lang w:val="en-US" w:eastAsia="zh-CN"/>
              </w:rPr>
              <w:t>9分</w:t>
            </w:r>
          </w:p>
        </w:tc>
        <w:tc>
          <w:tcPr>
            <w:tcW w:w="7117" w:type="dxa"/>
            <w:vAlign w:val="center"/>
          </w:tcPr>
          <w:p w14:paraId="1C365112">
            <w:p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根据供应商提供的工程进度计划与措施，至少包括：</w:t>
            </w:r>
          </w:p>
          <w:p w14:paraId="4C933A6D">
            <w:pPr>
              <w:numPr>
                <w:ilvl w:val="0"/>
                <w:numId w:val="0"/>
              </w:numPr>
              <w:spacing w:line="360" w:lineRule="auto"/>
              <w:jc w:val="both"/>
              <w:rPr>
                <w:rFonts w:hint="eastAsia" w:ascii="宋体" w:hAnsi="宋体"/>
                <w:b w:val="0"/>
                <w:bCs/>
                <w:sz w:val="24"/>
                <w:szCs w:val="24"/>
                <w:lang w:val="en-US" w:eastAsia="zh-CN"/>
              </w:rPr>
            </w:pPr>
            <w:r>
              <w:rPr>
                <w:rFonts w:hint="eastAsia" w:ascii="宋体" w:hAnsi="宋体" w:eastAsiaTheme="minorEastAsia" w:cstheme="minorBidi"/>
                <w:b w:val="0"/>
                <w:bCs/>
                <w:kern w:val="2"/>
                <w:sz w:val="24"/>
                <w:szCs w:val="24"/>
                <w:lang w:val="en-US" w:eastAsia="zh-CN" w:bidi="ar-SA"/>
              </w:rPr>
              <w:t>（1）</w:t>
            </w:r>
            <w:r>
              <w:rPr>
                <w:rFonts w:hint="eastAsia" w:ascii="宋体" w:hAnsi="宋体"/>
                <w:b w:val="0"/>
                <w:bCs/>
                <w:sz w:val="24"/>
                <w:szCs w:val="24"/>
                <w:lang w:val="en-US" w:eastAsia="zh-CN"/>
              </w:rPr>
              <w:t>总工期及节点工期进度计划；</w:t>
            </w:r>
          </w:p>
          <w:p w14:paraId="25CAD17F">
            <w:pPr>
              <w:numPr>
                <w:ilvl w:val="0"/>
                <w:numId w:val="0"/>
              </w:numPr>
              <w:spacing w:line="360" w:lineRule="auto"/>
              <w:jc w:val="both"/>
              <w:rPr>
                <w:rFonts w:hint="eastAsia" w:ascii="宋体" w:hAnsi="宋体"/>
                <w:b w:val="0"/>
                <w:bCs/>
                <w:sz w:val="24"/>
                <w:szCs w:val="24"/>
                <w:lang w:val="en-US" w:eastAsia="zh-CN"/>
              </w:rPr>
            </w:pPr>
            <w:r>
              <w:rPr>
                <w:rFonts w:hint="eastAsia" w:ascii="宋体" w:hAnsi="宋体"/>
                <w:b w:val="0"/>
                <w:bCs/>
                <w:sz w:val="24"/>
                <w:szCs w:val="24"/>
                <w:lang w:val="en-US" w:eastAsia="zh-CN"/>
              </w:rPr>
              <w:t>（2）工期安排、工序搭配逻辑关系、关键线路；</w:t>
            </w:r>
          </w:p>
          <w:p w14:paraId="3593C788">
            <w:pPr>
              <w:numPr>
                <w:ilvl w:val="0"/>
                <w:numId w:val="0"/>
              </w:numPr>
              <w:spacing w:line="360" w:lineRule="auto"/>
              <w:jc w:val="both"/>
              <w:rPr>
                <w:rFonts w:hint="eastAsia" w:ascii="宋体" w:hAnsi="宋体"/>
                <w:b w:val="0"/>
                <w:bCs/>
                <w:sz w:val="24"/>
                <w:szCs w:val="24"/>
                <w:lang w:val="en-US" w:eastAsia="zh-CN"/>
              </w:rPr>
            </w:pPr>
            <w:r>
              <w:rPr>
                <w:rFonts w:hint="eastAsia" w:ascii="宋体" w:hAnsi="宋体"/>
                <w:b w:val="0"/>
                <w:bCs/>
                <w:sz w:val="24"/>
                <w:szCs w:val="24"/>
                <w:lang w:val="en-US" w:eastAsia="zh-CN"/>
              </w:rPr>
              <w:t>（3）违约责任承诺；</w:t>
            </w:r>
          </w:p>
          <w:p w14:paraId="1BB46743">
            <w:pPr>
              <w:spacing w:line="360" w:lineRule="auto"/>
              <w:jc w:val="both"/>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上述</w:t>
            </w:r>
            <w:r>
              <w:rPr>
                <w:rFonts w:hint="eastAsia" w:ascii="宋体" w:hAnsi="宋体" w:eastAsia="宋体" w:cs="宋体"/>
                <w:sz w:val="24"/>
                <w:szCs w:val="24"/>
                <w:lang w:val="en-US" w:eastAsia="zh-CN"/>
              </w:rPr>
              <w:t>3</w:t>
            </w:r>
            <w:r>
              <w:rPr>
                <w:rFonts w:hint="eastAsia" w:ascii="宋体" w:hAnsi="宋体" w:eastAsia="宋体" w:cs="宋体"/>
                <w:sz w:val="24"/>
                <w:szCs w:val="24"/>
                <w:lang w:val="zh-CN" w:eastAsia="zh-CN"/>
              </w:rPr>
              <w:t>个评审项每项满分</w:t>
            </w:r>
            <w:r>
              <w:rPr>
                <w:rFonts w:hint="eastAsia" w:ascii="宋体" w:hAnsi="宋体" w:eastAsia="宋体" w:cs="宋体"/>
                <w:sz w:val="24"/>
                <w:szCs w:val="24"/>
                <w:lang w:val="en-US" w:eastAsia="zh-CN"/>
              </w:rPr>
              <w:t>3</w:t>
            </w:r>
            <w:r>
              <w:rPr>
                <w:rFonts w:hint="eastAsia" w:ascii="宋体" w:hAnsi="宋体" w:eastAsia="宋体" w:cs="宋体"/>
                <w:sz w:val="24"/>
                <w:szCs w:val="24"/>
                <w:lang w:val="zh-CN" w:eastAsia="zh-CN"/>
              </w:rPr>
              <w:t>分，评分档次为</w:t>
            </w:r>
            <w:r>
              <w:rPr>
                <w:rFonts w:hint="eastAsia" w:ascii="宋体" w:hAnsi="宋体" w:eastAsia="宋体" w:cs="宋体"/>
                <w:sz w:val="24"/>
                <w:szCs w:val="24"/>
                <w:lang w:val="en-US" w:eastAsia="zh-CN"/>
              </w:rPr>
              <w:t>3/2</w:t>
            </w:r>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val="zh-CN" w:eastAsia="zh-CN"/>
              </w:rPr>
              <w:t>/0；</w:t>
            </w:r>
          </w:p>
          <w:p w14:paraId="27CADD12">
            <w:pPr>
              <w:numPr>
                <w:ilvl w:val="0"/>
                <w:numId w:val="0"/>
              </w:numPr>
              <w:spacing w:line="360" w:lineRule="auto"/>
              <w:jc w:val="both"/>
              <w:rPr>
                <w:rFonts w:hint="default" w:ascii="宋体" w:hAnsi="宋体"/>
                <w:b w:val="0"/>
                <w:bCs/>
                <w:sz w:val="24"/>
                <w:szCs w:val="24"/>
                <w:lang w:val="en-US" w:eastAsia="zh-CN"/>
              </w:rPr>
            </w:pPr>
            <w:r>
              <w:rPr>
                <w:rFonts w:hint="eastAsia" w:ascii="宋体" w:hAnsi="宋体" w:eastAsia="宋体" w:cs="宋体"/>
                <w:sz w:val="24"/>
                <w:szCs w:val="24"/>
                <w:lang w:val="en-US" w:eastAsia="zh-CN"/>
              </w:rPr>
              <w:t>供应商</w:t>
            </w:r>
            <w:r>
              <w:rPr>
                <w:rFonts w:hint="eastAsia" w:ascii="宋体" w:hAnsi="宋体" w:eastAsia="宋体" w:cs="宋体"/>
                <w:sz w:val="24"/>
                <w:szCs w:val="24"/>
                <w:lang w:val="zh-CN" w:eastAsia="zh-CN"/>
              </w:rPr>
              <w:t>针对上述内容分别进行阐述说明，阐述内容详细、条理清晰、各个环节上的描述层次分明，满足</w:t>
            </w:r>
            <w:r>
              <w:rPr>
                <w:rFonts w:hint="eastAsia" w:ascii="宋体" w:hAnsi="宋体" w:eastAsia="宋体" w:cs="宋体"/>
                <w:sz w:val="24"/>
                <w:szCs w:val="24"/>
                <w:lang w:val="en-US" w:eastAsia="zh-CN"/>
              </w:rPr>
              <w:t>采购</w:t>
            </w:r>
            <w:r>
              <w:rPr>
                <w:rFonts w:hint="eastAsia" w:ascii="宋体" w:hAnsi="宋体" w:eastAsia="宋体" w:cs="宋体"/>
                <w:sz w:val="24"/>
                <w:szCs w:val="24"/>
                <w:lang w:val="zh-CN" w:eastAsia="zh-CN"/>
              </w:rPr>
              <w:t>人需求的得</w:t>
            </w:r>
            <w:r>
              <w:rPr>
                <w:rFonts w:hint="eastAsia" w:ascii="宋体" w:hAnsi="宋体" w:eastAsia="宋体" w:cs="宋体"/>
                <w:sz w:val="24"/>
                <w:szCs w:val="24"/>
                <w:lang w:val="en-US" w:eastAsia="zh-CN"/>
              </w:rPr>
              <w:t>3</w:t>
            </w:r>
            <w:r>
              <w:rPr>
                <w:rFonts w:hint="eastAsia" w:ascii="宋体" w:hAnsi="宋体" w:eastAsia="宋体" w:cs="宋体"/>
                <w:sz w:val="24"/>
                <w:szCs w:val="24"/>
                <w:lang w:val="zh-CN" w:eastAsia="zh-CN"/>
              </w:rPr>
              <w:t>分；对内容的关键要求没有详细说明、表述不清晰、内容简略、空泛，针对性不强的得</w:t>
            </w:r>
            <w:r>
              <w:rPr>
                <w:rFonts w:hint="eastAsia" w:ascii="宋体" w:hAnsi="宋体" w:eastAsia="宋体" w:cs="宋体"/>
                <w:sz w:val="24"/>
                <w:szCs w:val="24"/>
                <w:lang w:val="en-US" w:eastAsia="zh-CN"/>
              </w:rPr>
              <w:t>2</w:t>
            </w:r>
            <w:r>
              <w:rPr>
                <w:rFonts w:hint="eastAsia" w:ascii="宋体" w:hAnsi="宋体" w:eastAsia="宋体" w:cs="宋体"/>
                <w:sz w:val="24"/>
                <w:szCs w:val="24"/>
                <w:lang w:val="zh-CN" w:eastAsia="zh-CN"/>
              </w:rPr>
              <w:t>分；内容存在缺陷（缺陷指：与实际情况不匹配、不符合项目特点和实际情况、内容前后矛盾、与本项目无关、内容有缺漏等任意一种情形）得</w:t>
            </w:r>
            <w:r>
              <w:rPr>
                <w:rFonts w:hint="eastAsia" w:ascii="宋体" w:hAnsi="宋体" w:eastAsia="宋体" w:cs="宋体"/>
                <w:sz w:val="24"/>
                <w:szCs w:val="24"/>
                <w:lang w:val="en-US" w:eastAsia="zh-CN"/>
              </w:rPr>
              <w:t>1</w:t>
            </w:r>
            <w:r>
              <w:rPr>
                <w:rFonts w:hint="eastAsia" w:ascii="宋体" w:hAnsi="宋体" w:eastAsia="宋体" w:cs="宋体"/>
                <w:sz w:val="24"/>
                <w:szCs w:val="24"/>
                <w:lang w:val="zh-CN" w:eastAsia="zh-CN"/>
              </w:rPr>
              <w:t>分；内容缺失得0分。</w:t>
            </w:r>
          </w:p>
        </w:tc>
      </w:tr>
      <w:tr w14:paraId="0725B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4" w:type="dxa"/>
            <w:vMerge w:val="continue"/>
            <w:vAlign w:val="center"/>
          </w:tcPr>
          <w:p w14:paraId="586AEB1B">
            <w:pPr>
              <w:shd w:val="clear"/>
              <w:spacing w:line="420" w:lineRule="exact"/>
              <w:jc w:val="center"/>
              <w:rPr>
                <w:rFonts w:hint="default" w:ascii="宋体" w:hAnsi="宋体" w:eastAsia="宋体" w:cs="宋体"/>
                <w:color w:val="auto"/>
                <w:sz w:val="24"/>
                <w:szCs w:val="24"/>
                <w:highlight w:val="none"/>
                <w:lang w:val="en-US" w:eastAsia="zh-CN"/>
              </w:rPr>
            </w:pPr>
          </w:p>
        </w:tc>
        <w:tc>
          <w:tcPr>
            <w:tcW w:w="931" w:type="dxa"/>
            <w:vAlign w:val="center"/>
          </w:tcPr>
          <w:p w14:paraId="2AC60708">
            <w:pPr>
              <w:spacing w:line="280" w:lineRule="exact"/>
              <w:jc w:val="center"/>
              <w:rPr>
                <w:rFonts w:hint="eastAsia" w:ascii="宋体" w:hAnsi="宋体" w:eastAsia="宋体" w:cs="宋体"/>
                <w:sz w:val="24"/>
                <w:szCs w:val="24"/>
                <w:lang w:val="en-US" w:eastAsia="zh-CN"/>
              </w:rPr>
            </w:pPr>
            <w:r>
              <w:rPr>
                <w:rFonts w:hint="eastAsia" w:ascii="宋体" w:hAnsi="宋体" w:cs="宋体"/>
                <w:sz w:val="24"/>
                <w:szCs w:val="24"/>
              </w:rPr>
              <w:t>资源配备计划</w:t>
            </w:r>
          </w:p>
        </w:tc>
        <w:tc>
          <w:tcPr>
            <w:tcW w:w="801" w:type="dxa"/>
            <w:vAlign w:val="center"/>
          </w:tcPr>
          <w:p w14:paraId="02B4EB08">
            <w:pPr>
              <w:spacing w:line="360" w:lineRule="auto"/>
              <w:jc w:val="center"/>
              <w:rPr>
                <w:rFonts w:hint="default" w:ascii="宋体" w:hAnsi="宋体"/>
                <w:b w:val="0"/>
                <w:bCs/>
                <w:sz w:val="24"/>
                <w:szCs w:val="24"/>
                <w:lang w:val="en-US" w:eastAsia="zh-CN"/>
              </w:rPr>
            </w:pPr>
            <w:r>
              <w:rPr>
                <w:rFonts w:hint="eastAsia" w:ascii="宋体" w:hAnsi="宋体"/>
                <w:b w:val="0"/>
                <w:bCs/>
                <w:sz w:val="24"/>
                <w:szCs w:val="24"/>
                <w:lang w:val="en-US" w:eastAsia="zh-CN"/>
              </w:rPr>
              <w:t>12</w:t>
            </w:r>
          </w:p>
        </w:tc>
        <w:tc>
          <w:tcPr>
            <w:tcW w:w="7117" w:type="dxa"/>
            <w:vAlign w:val="center"/>
          </w:tcPr>
          <w:p w14:paraId="59A08C52">
            <w:pPr>
              <w:numPr>
                <w:ilvl w:val="0"/>
                <w:numId w:val="0"/>
              </w:num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根据供应商提供的</w:t>
            </w:r>
            <w:r>
              <w:rPr>
                <w:rFonts w:hint="eastAsia" w:ascii="宋体" w:hAnsi="宋体" w:eastAsia="宋体" w:cs="宋体"/>
                <w:sz w:val="24"/>
                <w:szCs w:val="24"/>
                <w:lang w:val="zh-CN" w:eastAsia="zh-CN"/>
              </w:rPr>
              <w:t>资源配备计划</w:t>
            </w:r>
            <w:r>
              <w:rPr>
                <w:rFonts w:hint="eastAsia" w:ascii="宋体" w:hAnsi="宋体" w:eastAsia="宋体" w:cs="宋体"/>
                <w:sz w:val="24"/>
                <w:szCs w:val="24"/>
                <w:lang w:val="en-US" w:eastAsia="zh-CN"/>
              </w:rPr>
              <w:t>，至少包括：</w:t>
            </w:r>
          </w:p>
          <w:p w14:paraId="039E3FF1">
            <w:pPr>
              <w:numPr>
                <w:ilvl w:val="0"/>
                <w:numId w:val="0"/>
              </w:numPr>
              <w:spacing w:line="360" w:lineRule="auto"/>
              <w:jc w:val="both"/>
              <w:rPr>
                <w:rFonts w:hint="eastAsia" w:ascii="宋体" w:hAnsi="宋体" w:eastAsia="宋体" w:cs="宋体"/>
                <w:sz w:val="24"/>
                <w:szCs w:val="24"/>
                <w:lang w:val="en-US" w:eastAsia="zh-CN"/>
              </w:rPr>
            </w:pPr>
            <w:r>
              <w:rPr>
                <w:rFonts w:hint="eastAsia" w:ascii="宋体" w:hAnsi="宋体" w:eastAsia="宋体" w:cs="宋体"/>
                <w:kern w:val="2"/>
                <w:sz w:val="24"/>
                <w:szCs w:val="24"/>
                <w:lang w:val="en-US" w:eastAsia="zh-CN" w:bidi="ar-SA"/>
              </w:rPr>
              <w:t>（1）</w:t>
            </w:r>
            <w:r>
              <w:rPr>
                <w:rFonts w:hint="eastAsia" w:ascii="宋体" w:hAnsi="宋体" w:eastAsia="宋体" w:cs="宋体"/>
                <w:sz w:val="24"/>
                <w:szCs w:val="24"/>
                <w:lang w:val="en-US" w:eastAsia="zh-CN"/>
              </w:rPr>
              <w:t>人力资源配备计划；</w:t>
            </w:r>
          </w:p>
          <w:p w14:paraId="3B1B4289">
            <w:pPr>
              <w:numPr>
                <w:ilvl w:val="0"/>
                <w:numId w:val="0"/>
              </w:num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（2）施工机械设备配备计划：</w:t>
            </w:r>
          </w:p>
          <w:p w14:paraId="42C399F9">
            <w:pPr>
              <w:numPr>
                <w:ilvl w:val="0"/>
                <w:numId w:val="0"/>
              </w:num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（3）工程材料与构配件配备计划；</w:t>
            </w:r>
          </w:p>
          <w:p w14:paraId="120FB81B">
            <w:pPr>
              <w:numPr>
                <w:ilvl w:val="0"/>
                <w:numId w:val="0"/>
              </w:num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（4）技术资源、临时设施资源配备计划；</w:t>
            </w:r>
          </w:p>
          <w:p w14:paraId="03EE5096">
            <w:pPr>
              <w:spacing w:line="360" w:lineRule="auto"/>
              <w:jc w:val="both"/>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上述</w:t>
            </w:r>
            <w:r>
              <w:rPr>
                <w:rFonts w:hint="eastAsia" w:ascii="宋体" w:hAnsi="宋体" w:eastAsia="宋体" w:cs="宋体"/>
                <w:sz w:val="24"/>
                <w:szCs w:val="24"/>
                <w:lang w:val="en-US" w:eastAsia="zh-CN"/>
              </w:rPr>
              <w:t>4</w:t>
            </w:r>
            <w:r>
              <w:rPr>
                <w:rFonts w:hint="eastAsia" w:ascii="宋体" w:hAnsi="宋体" w:eastAsia="宋体" w:cs="宋体"/>
                <w:sz w:val="24"/>
                <w:szCs w:val="24"/>
                <w:lang w:val="zh-CN" w:eastAsia="zh-CN"/>
              </w:rPr>
              <w:t>个评审项每项满分</w:t>
            </w:r>
            <w:r>
              <w:rPr>
                <w:rFonts w:hint="eastAsia" w:ascii="宋体" w:hAnsi="宋体" w:eastAsia="宋体" w:cs="宋体"/>
                <w:sz w:val="24"/>
                <w:szCs w:val="24"/>
                <w:lang w:val="en-US" w:eastAsia="zh-CN"/>
              </w:rPr>
              <w:t>3</w:t>
            </w:r>
            <w:r>
              <w:rPr>
                <w:rFonts w:hint="eastAsia" w:ascii="宋体" w:hAnsi="宋体" w:eastAsia="宋体" w:cs="宋体"/>
                <w:sz w:val="24"/>
                <w:szCs w:val="24"/>
                <w:lang w:val="zh-CN" w:eastAsia="zh-CN"/>
              </w:rPr>
              <w:t>分，评分档次为</w:t>
            </w:r>
            <w:r>
              <w:rPr>
                <w:rFonts w:hint="eastAsia" w:ascii="宋体" w:hAnsi="宋体" w:eastAsia="宋体" w:cs="宋体"/>
                <w:sz w:val="24"/>
                <w:szCs w:val="24"/>
                <w:lang w:val="en-US" w:eastAsia="zh-CN"/>
              </w:rPr>
              <w:t>3/2</w:t>
            </w:r>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val="zh-CN" w:eastAsia="zh-CN"/>
              </w:rPr>
              <w:t>/0；</w:t>
            </w:r>
          </w:p>
          <w:p w14:paraId="120D02A3">
            <w:pPr>
              <w:numPr>
                <w:ilvl w:val="0"/>
                <w:numId w:val="0"/>
              </w:numPr>
              <w:spacing w:line="36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供应商</w:t>
            </w:r>
            <w:r>
              <w:rPr>
                <w:rFonts w:hint="eastAsia" w:ascii="宋体" w:hAnsi="宋体" w:eastAsia="宋体" w:cs="宋体"/>
                <w:sz w:val="24"/>
                <w:szCs w:val="24"/>
                <w:lang w:val="zh-CN" w:eastAsia="zh-CN"/>
              </w:rPr>
              <w:t>针对上述内容分别进行阐述说明，阐述内容详细、条理清晰、各个环节上的描述层次分明，满足</w:t>
            </w:r>
            <w:r>
              <w:rPr>
                <w:rFonts w:hint="eastAsia" w:ascii="宋体" w:hAnsi="宋体" w:eastAsia="宋体" w:cs="宋体"/>
                <w:sz w:val="24"/>
                <w:szCs w:val="24"/>
                <w:lang w:val="en-US" w:eastAsia="zh-CN"/>
              </w:rPr>
              <w:t>采购</w:t>
            </w:r>
            <w:r>
              <w:rPr>
                <w:rFonts w:hint="eastAsia" w:ascii="宋体" w:hAnsi="宋体" w:eastAsia="宋体" w:cs="宋体"/>
                <w:sz w:val="24"/>
                <w:szCs w:val="24"/>
                <w:lang w:val="zh-CN" w:eastAsia="zh-CN"/>
              </w:rPr>
              <w:t>人需求的得</w:t>
            </w:r>
            <w:r>
              <w:rPr>
                <w:rFonts w:hint="eastAsia" w:ascii="宋体" w:hAnsi="宋体" w:eastAsia="宋体" w:cs="宋体"/>
                <w:sz w:val="24"/>
                <w:szCs w:val="24"/>
                <w:lang w:val="en-US" w:eastAsia="zh-CN"/>
              </w:rPr>
              <w:t>3</w:t>
            </w:r>
            <w:r>
              <w:rPr>
                <w:rFonts w:hint="eastAsia" w:ascii="宋体" w:hAnsi="宋体" w:eastAsia="宋体" w:cs="宋体"/>
                <w:sz w:val="24"/>
                <w:szCs w:val="24"/>
                <w:lang w:val="zh-CN" w:eastAsia="zh-CN"/>
              </w:rPr>
              <w:t>分；对内容的关键要求没有详细说明、表述不清晰、内容简略、空泛，针对性不强的得</w:t>
            </w:r>
            <w:r>
              <w:rPr>
                <w:rFonts w:hint="eastAsia" w:ascii="宋体" w:hAnsi="宋体" w:eastAsia="宋体" w:cs="宋体"/>
                <w:sz w:val="24"/>
                <w:szCs w:val="24"/>
                <w:lang w:val="en-US" w:eastAsia="zh-CN"/>
              </w:rPr>
              <w:t>2</w:t>
            </w:r>
            <w:r>
              <w:rPr>
                <w:rFonts w:hint="eastAsia" w:ascii="宋体" w:hAnsi="宋体" w:eastAsia="宋体" w:cs="宋体"/>
                <w:sz w:val="24"/>
                <w:szCs w:val="24"/>
                <w:lang w:val="zh-CN" w:eastAsia="zh-CN"/>
              </w:rPr>
              <w:t>分；内容存在缺陷（缺陷指：与实际情况不匹配、不符合项目特点和实际情况、内容前后矛盾、与本项目无关、内容有缺漏等任意一种情形）得</w:t>
            </w:r>
            <w:r>
              <w:rPr>
                <w:rFonts w:hint="eastAsia" w:ascii="宋体" w:hAnsi="宋体" w:eastAsia="宋体" w:cs="宋体"/>
                <w:sz w:val="24"/>
                <w:szCs w:val="24"/>
                <w:lang w:val="en-US" w:eastAsia="zh-CN"/>
              </w:rPr>
              <w:t>1</w:t>
            </w:r>
            <w:r>
              <w:rPr>
                <w:rFonts w:hint="eastAsia" w:ascii="宋体" w:hAnsi="宋体" w:eastAsia="宋体" w:cs="宋体"/>
                <w:sz w:val="24"/>
                <w:szCs w:val="24"/>
                <w:lang w:val="zh-CN" w:eastAsia="zh-CN"/>
              </w:rPr>
              <w:t>分；内容缺失得0分。</w:t>
            </w:r>
          </w:p>
        </w:tc>
      </w:tr>
      <w:tr w14:paraId="02F25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jc w:val="center"/>
        </w:trPr>
        <w:tc>
          <w:tcPr>
            <w:tcW w:w="954" w:type="dxa"/>
            <w:vMerge w:val="continue"/>
            <w:vAlign w:val="center"/>
          </w:tcPr>
          <w:p w14:paraId="756D1A70">
            <w:pPr>
              <w:shd w:val="clear"/>
              <w:spacing w:line="420" w:lineRule="exact"/>
              <w:jc w:val="center"/>
              <w:rPr>
                <w:rFonts w:hint="default" w:ascii="宋体" w:hAnsi="宋体" w:eastAsia="宋体" w:cs="宋体"/>
                <w:color w:val="auto"/>
                <w:sz w:val="24"/>
                <w:szCs w:val="24"/>
                <w:highlight w:val="none"/>
                <w:lang w:val="en-US" w:eastAsia="zh-CN"/>
              </w:rPr>
            </w:pPr>
          </w:p>
        </w:tc>
        <w:tc>
          <w:tcPr>
            <w:tcW w:w="931" w:type="dxa"/>
            <w:vAlign w:val="center"/>
          </w:tcPr>
          <w:p w14:paraId="426DD908">
            <w:pPr>
              <w:spacing w:line="28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项目管理机构配置</w:t>
            </w:r>
          </w:p>
        </w:tc>
        <w:tc>
          <w:tcPr>
            <w:tcW w:w="801" w:type="dxa"/>
            <w:vAlign w:val="center"/>
          </w:tcPr>
          <w:p w14:paraId="36450364">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b w:val="0"/>
                <w:bCs/>
                <w:sz w:val="24"/>
                <w:szCs w:val="24"/>
                <w:lang w:val="en-US" w:eastAsia="zh-CN"/>
              </w:rPr>
              <w:t>6分</w:t>
            </w:r>
          </w:p>
        </w:tc>
        <w:tc>
          <w:tcPr>
            <w:tcW w:w="7117" w:type="dxa"/>
            <w:vAlign w:val="center"/>
          </w:tcPr>
          <w:p w14:paraId="1EAEFDBE">
            <w:pPr>
              <w:numPr>
                <w:ilvl w:val="0"/>
                <w:numId w:val="0"/>
              </w:numPr>
              <w:spacing w:line="360" w:lineRule="auto"/>
              <w:jc w:val="both"/>
              <w:rPr>
                <w:rFonts w:hint="eastAsia" w:ascii="宋体" w:hAnsi="宋体" w:eastAsia="宋体" w:cs="宋体"/>
                <w:sz w:val="24"/>
                <w:szCs w:val="24"/>
                <w:lang w:val="en-US" w:eastAsia="zh-CN"/>
              </w:rPr>
            </w:pPr>
            <w:bookmarkStart w:id="1052" w:name="_GoBack"/>
            <w:r>
              <w:rPr>
                <w:rFonts w:hint="eastAsia" w:ascii="宋体" w:hAnsi="宋体" w:eastAsia="宋体" w:cs="宋体"/>
                <w:sz w:val="24"/>
                <w:szCs w:val="24"/>
                <w:lang w:val="en-US" w:eastAsia="zh-CN"/>
              </w:rPr>
              <w:t>根据供应商提供的项目管理机构配置，至少包括：</w:t>
            </w:r>
          </w:p>
          <w:p w14:paraId="751E0D19">
            <w:pPr>
              <w:numPr>
                <w:ilvl w:val="0"/>
                <w:numId w:val="0"/>
              </w:numPr>
              <w:spacing w:line="360" w:lineRule="auto"/>
              <w:jc w:val="both"/>
              <w:rPr>
                <w:rFonts w:hint="eastAsia" w:ascii="宋体" w:hAnsi="宋体" w:eastAsia="宋体" w:cs="宋体"/>
                <w:sz w:val="24"/>
                <w:szCs w:val="24"/>
                <w:lang w:val="zh-CN" w:eastAsia="zh-CN"/>
              </w:rPr>
            </w:pPr>
            <w:r>
              <w:rPr>
                <w:rFonts w:hint="eastAsia" w:ascii="宋体" w:hAnsi="宋体" w:eastAsia="宋体" w:cs="宋体"/>
                <w:kern w:val="2"/>
                <w:sz w:val="24"/>
                <w:szCs w:val="24"/>
                <w:lang w:val="zh-CN" w:eastAsia="zh-CN" w:bidi="ar-SA"/>
              </w:rPr>
              <w:t>（1）</w:t>
            </w:r>
            <w:r>
              <w:rPr>
                <w:rFonts w:hint="eastAsia" w:ascii="宋体" w:hAnsi="宋体" w:eastAsia="宋体" w:cs="宋体"/>
                <w:sz w:val="24"/>
                <w:szCs w:val="24"/>
                <w:lang w:val="zh-CN" w:eastAsia="zh-CN"/>
              </w:rPr>
              <w:t>施工现场专业（管理）人员配备；</w:t>
            </w:r>
          </w:p>
          <w:p w14:paraId="4FDBE33F">
            <w:pPr>
              <w:numPr>
                <w:ilvl w:val="0"/>
                <w:numId w:val="0"/>
              </w:num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（2）职责分工；</w:t>
            </w:r>
          </w:p>
          <w:p w14:paraId="7BB61499">
            <w:pPr>
              <w:spacing w:line="360" w:lineRule="auto"/>
              <w:jc w:val="both"/>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上述</w:t>
            </w:r>
            <w:r>
              <w:rPr>
                <w:rFonts w:hint="eastAsia" w:ascii="宋体" w:hAnsi="宋体" w:eastAsia="宋体" w:cs="宋体"/>
                <w:sz w:val="24"/>
                <w:szCs w:val="24"/>
                <w:lang w:val="en-US" w:eastAsia="zh-CN"/>
              </w:rPr>
              <w:t>2</w:t>
            </w:r>
            <w:r>
              <w:rPr>
                <w:rFonts w:hint="eastAsia" w:ascii="宋体" w:hAnsi="宋体" w:eastAsia="宋体" w:cs="宋体"/>
                <w:sz w:val="24"/>
                <w:szCs w:val="24"/>
                <w:lang w:val="zh-CN" w:eastAsia="zh-CN"/>
              </w:rPr>
              <w:t>个评审项每项满分</w:t>
            </w:r>
            <w:r>
              <w:rPr>
                <w:rFonts w:hint="eastAsia" w:ascii="宋体" w:hAnsi="宋体" w:eastAsia="宋体" w:cs="宋体"/>
                <w:sz w:val="24"/>
                <w:szCs w:val="24"/>
                <w:lang w:val="en-US" w:eastAsia="zh-CN"/>
              </w:rPr>
              <w:t>3</w:t>
            </w:r>
            <w:r>
              <w:rPr>
                <w:rFonts w:hint="eastAsia" w:ascii="宋体" w:hAnsi="宋体" w:eastAsia="宋体" w:cs="宋体"/>
                <w:sz w:val="24"/>
                <w:szCs w:val="24"/>
                <w:lang w:val="zh-CN" w:eastAsia="zh-CN"/>
              </w:rPr>
              <w:t>分，评分档次为</w:t>
            </w:r>
            <w:r>
              <w:rPr>
                <w:rFonts w:hint="eastAsia" w:ascii="宋体" w:hAnsi="宋体" w:eastAsia="宋体" w:cs="宋体"/>
                <w:sz w:val="24"/>
                <w:szCs w:val="24"/>
                <w:lang w:val="en-US" w:eastAsia="zh-CN"/>
              </w:rPr>
              <w:t>3/2</w:t>
            </w:r>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val="zh-CN" w:eastAsia="zh-CN"/>
              </w:rPr>
              <w:t>/0；</w:t>
            </w:r>
          </w:p>
          <w:p w14:paraId="428D65FA">
            <w:pPr>
              <w:numPr>
                <w:ilvl w:val="0"/>
                <w:numId w:val="0"/>
              </w:numPr>
              <w:spacing w:line="360" w:lineRule="auto"/>
              <w:jc w:val="both"/>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供应商</w:t>
            </w:r>
            <w:r>
              <w:rPr>
                <w:rFonts w:hint="eastAsia" w:ascii="宋体" w:hAnsi="宋体" w:eastAsia="宋体" w:cs="宋体"/>
                <w:sz w:val="24"/>
                <w:szCs w:val="24"/>
                <w:lang w:val="zh-CN" w:eastAsia="zh-CN"/>
              </w:rPr>
              <w:t>针对上述内容分别进行阐述说明，阐述内容详细、条理清晰、各个环节上的描述层次分明，满足</w:t>
            </w:r>
            <w:r>
              <w:rPr>
                <w:rFonts w:hint="eastAsia" w:ascii="宋体" w:hAnsi="宋体" w:eastAsia="宋体" w:cs="宋体"/>
                <w:sz w:val="24"/>
                <w:szCs w:val="24"/>
                <w:lang w:val="en-US" w:eastAsia="zh-CN"/>
              </w:rPr>
              <w:t>采购</w:t>
            </w:r>
            <w:r>
              <w:rPr>
                <w:rFonts w:hint="eastAsia" w:ascii="宋体" w:hAnsi="宋体" w:eastAsia="宋体" w:cs="宋体"/>
                <w:sz w:val="24"/>
                <w:szCs w:val="24"/>
                <w:lang w:val="zh-CN" w:eastAsia="zh-CN"/>
              </w:rPr>
              <w:t>人需求的得</w:t>
            </w:r>
            <w:r>
              <w:rPr>
                <w:rFonts w:hint="eastAsia" w:ascii="宋体" w:hAnsi="宋体" w:eastAsia="宋体" w:cs="宋体"/>
                <w:sz w:val="24"/>
                <w:szCs w:val="24"/>
                <w:lang w:val="en-US" w:eastAsia="zh-CN"/>
              </w:rPr>
              <w:t>3</w:t>
            </w:r>
            <w:r>
              <w:rPr>
                <w:rFonts w:hint="eastAsia" w:ascii="宋体" w:hAnsi="宋体" w:eastAsia="宋体" w:cs="宋体"/>
                <w:sz w:val="24"/>
                <w:szCs w:val="24"/>
                <w:lang w:val="zh-CN" w:eastAsia="zh-CN"/>
              </w:rPr>
              <w:t>分；对内容的关键要求没有详细说明、表述不清晰、内容简略、空泛，针对性不强的得</w:t>
            </w:r>
            <w:r>
              <w:rPr>
                <w:rFonts w:hint="eastAsia" w:ascii="宋体" w:hAnsi="宋体" w:eastAsia="宋体" w:cs="宋体"/>
                <w:sz w:val="24"/>
                <w:szCs w:val="24"/>
                <w:lang w:val="en-US" w:eastAsia="zh-CN"/>
              </w:rPr>
              <w:t>2</w:t>
            </w:r>
            <w:r>
              <w:rPr>
                <w:rFonts w:hint="eastAsia" w:ascii="宋体" w:hAnsi="宋体" w:eastAsia="宋体" w:cs="宋体"/>
                <w:sz w:val="24"/>
                <w:szCs w:val="24"/>
                <w:lang w:val="zh-CN" w:eastAsia="zh-CN"/>
              </w:rPr>
              <w:t>分；内容存在缺陷（缺陷指：与实际情况不匹配、不符合项目特点和实际情况、内容前后矛盾、与本项目无关、内容有缺漏等任意一种情形）得</w:t>
            </w:r>
            <w:r>
              <w:rPr>
                <w:rFonts w:hint="eastAsia" w:ascii="宋体" w:hAnsi="宋体" w:eastAsia="宋体" w:cs="宋体"/>
                <w:sz w:val="24"/>
                <w:szCs w:val="24"/>
                <w:lang w:val="en-US" w:eastAsia="zh-CN"/>
              </w:rPr>
              <w:t>1</w:t>
            </w:r>
            <w:r>
              <w:rPr>
                <w:rFonts w:hint="eastAsia" w:ascii="宋体" w:hAnsi="宋体" w:eastAsia="宋体" w:cs="宋体"/>
                <w:sz w:val="24"/>
                <w:szCs w:val="24"/>
                <w:lang w:val="zh-CN" w:eastAsia="zh-CN"/>
              </w:rPr>
              <w:t>分；内容缺失得0分。</w:t>
            </w:r>
          </w:p>
          <w:p w14:paraId="62BECBBB">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Autospacing="0" w:afterAutospacing="0" w:line="360" w:lineRule="auto"/>
              <w:jc w:val="both"/>
              <w:textAlignment w:val="auto"/>
              <w:rPr>
                <w:rFonts w:hint="default" w:ascii="宋体" w:hAnsi="宋体" w:eastAsia="宋体" w:cs="宋体"/>
                <w:sz w:val="24"/>
                <w:szCs w:val="24"/>
                <w:lang w:val="en-US" w:eastAsia="zh-CN"/>
              </w:rPr>
            </w:pPr>
            <w:r>
              <w:rPr>
                <w:rFonts w:hint="eastAsia" w:ascii="宋体" w:hAnsi="宋体" w:eastAsia="宋体" w:cs="宋体"/>
                <w:b/>
                <w:bCs/>
                <w:sz w:val="24"/>
                <w:szCs w:val="24"/>
                <w:lang w:val="en-US" w:eastAsia="zh-CN"/>
              </w:rPr>
              <w:t>注</w:t>
            </w:r>
            <w:r>
              <w:rPr>
                <w:rFonts w:hint="eastAsia" w:ascii="宋体" w:hAnsi="宋体" w:eastAsia="宋体" w:cs="宋体"/>
                <w:b/>
                <w:bCs/>
                <w:kern w:val="2"/>
                <w:sz w:val="24"/>
                <w:szCs w:val="24"/>
                <w:lang w:val="en-US" w:eastAsia="zh-CN" w:bidi="ar-SA"/>
              </w:rPr>
              <w:t>：</w:t>
            </w:r>
            <w:r>
              <w:rPr>
                <w:rFonts w:hint="eastAsia" w:ascii="宋体" w:hAnsi="宋体" w:eastAsia="宋体" w:cs="宋体"/>
                <w:b/>
                <w:bCs/>
                <w:kern w:val="2"/>
                <w:sz w:val="24"/>
                <w:szCs w:val="24"/>
                <w:lang w:val="zh-CN" w:eastAsia="zh-CN" w:bidi="ar-SA"/>
              </w:rPr>
              <w:t>施工现场专业（管理）人员</w:t>
            </w:r>
            <w:r>
              <w:rPr>
                <w:rFonts w:hint="eastAsia" w:ascii="宋体" w:hAnsi="宋体" w:eastAsia="宋体" w:cs="宋体"/>
                <w:b/>
                <w:bCs/>
                <w:kern w:val="2"/>
                <w:sz w:val="24"/>
                <w:szCs w:val="24"/>
                <w:lang w:val="en-US" w:eastAsia="zh-CN" w:bidi="ar-SA"/>
              </w:rPr>
              <w:t>须提供人员身份证、执业证书、职称证（如有）、社保缴纳证明。</w:t>
            </w:r>
            <w:bookmarkEnd w:id="1052"/>
          </w:p>
        </w:tc>
      </w:tr>
    </w:tbl>
    <w:p w14:paraId="20AC2C51">
      <w:pPr>
        <w:autoSpaceDE w:val="0"/>
        <w:autoSpaceDN w:val="0"/>
        <w:adjustRightInd w:val="0"/>
        <w:spacing w:line="60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w:t>
      </w:r>
      <w:bookmarkStart w:id="263" w:name="_Toc439766947"/>
      <w:r>
        <w:rPr>
          <w:rFonts w:hint="eastAsia" w:ascii="宋体" w:hAnsi="宋体" w:eastAsia="宋体" w:cs="宋体"/>
          <w:sz w:val="24"/>
          <w:szCs w:val="24"/>
        </w:rPr>
        <w:t>评标方法</w:t>
      </w:r>
      <w:bookmarkEnd w:id="263"/>
    </w:p>
    <w:p w14:paraId="082CF406">
      <w:pPr>
        <w:autoSpaceDE w:val="0"/>
        <w:autoSpaceDN w:val="0"/>
        <w:adjustRightInd w:val="0"/>
        <w:spacing w:line="60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本次评标采用综合评分法。磋商小组对满足竞争性磋商文件</w:t>
      </w:r>
      <w:r>
        <w:rPr>
          <w:rFonts w:hint="eastAsia" w:ascii="宋体" w:hAnsi="宋体" w:eastAsia="宋体" w:cs="宋体"/>
          <w:sz w:val="24"/>
          <w:szCs w:val="24"/>
          <w:lang w:val="en-US" w:eastAsia="zh-CN"/>
        </w:rPr>
        <w:t>资格审查、符合性审查</w:t>
      </w:r>
      <w:r>
        <w:rPr>
          <w:rFonts w:hint="eastAsia" w:ascii="宋体" w:hAnsi="宋体" w:eastAsia="宋体" w:cs="宋体"/>
          <w:sz w:val="24"/>
          <w:szCs w:val="24"/>
        </w:rPr>
        <w:t>标准的供应商进行磋商，要求供应商在规定的时间内提交</w:t>
      </w:r>
      <w:r>
        <w:rPr>
          <w:rFonts w:hint="eastAsia" w:ascii="宋体" w:hAnsi="宋体" w:eastAsia="宋体" w:cs="宋体"/>
          <w:sz w:val="24"/>
          <w:szCs w:val="24"/>
          <w:lang w:val="en-US" w:eastAsia="zh-CN"/>
        </w:rPr>
        <w:t>最终</w:t>
      </w:r>
      <w:r>
        <w:rPr>
          <w:rFonts w:hint="eastAsia" w:ascii="宋体" w:hAnsi="宋体" w:eastAsia="宋体" w:cs="宋体"/>
          <w:sz w:val="24"/>
          <w:szCs w:val="24"/>
        </w:rPr>
        <w:t>磋商报价等相关承诺，对在规定时间内提交</w:t>
      </w:r>
      <w:r>
        <w:rPr>
          <w:rFonts w:hint="eastAsia" w:ascii="宋体" w:hAnsi="宋体" w:eastAsia="宋体" w:cs="宋体"/>
          <w:sz w:val="24"/>
          <w:szCs w:val="24"/>
          <w:lang w:val="en-US" w:eastAsia="zh-CN"/>
        </w:rPr>
        <w:t>最终</w:t>
      </w:r>
      <w:r>
        <w:rPr>
          <w:rFonts w:hint="eastAsia" w:ascii="宋体" w:hAnsi="宋体" w:eastAsia="宋体" w:cs="宋体"/>
          <w:sz w:val="24"/>
          <w:szCs w:val="24"/>
        </w:rPr>
        <w:t>有效磋商报价等相关承诺的供应商响应文件进行综合打分，并按评标办法前附表计算评标总得分，按总得分由高到低的顺序推荐成交候选人排序；评标总得分相等时，按</w:t>
      </w:r>
      <w:r>
        <w:rPr>
          <w:rFonts w:hint="eastAsia" w:ascii="宋体" w:hAnsi="宋体" w:eastAsia="宋体" w:cs="宋体"/>
          <w:sz w:val="24"/>
          <w:szCs w:val="24"/>
          <w:lang w:val="en-US" w:eastAsia="zh-CN"/>
        </w:rPr>
        <w:t>最终</w:t>
      </w:r>
      <w:r>
        <w:rPr>
          <w:rFonts w:hint="eastAsia" w:ascii="宋体" w:hAnsi="宋体" w:eastAsia="宋体" w:cs="宋体"/>
          <w:sz w:val="24"/>
          <w:szCs w:val="24"/>
        </w:rPr>
        <w:t>磋商报价由低到高顺序排序；评标总得分相等且</w:t>
      </w:r>
      <w:r>
        <w:rPr>
          <w:rFonts w:hint="eastAsia" w:ascii="宋体" w:hAnsi="宋体" w:eastAsia="宋体" w:cs="宋体"/>
          <w:sz w:val="24"/>
          <w:szCs w:val="24"/>
          <w:lang w:val="en-US" w:eastAsia="zh-CN"/>
        </w:rPr>
        <w:t>最终</w:t>
      </w:r>
      <w:r>
        <w:rPr>
          <w:rFonts w:hint="eastAsia" w:ascii="宋体" w:hAnsi="宋体" w:eastAsia="宋体" w:cs="宋体"/>
          <w:sz w:val="24"/>
          <w:szCs w:val="24"/>
        </w:rPr>
        <w:t>磋商报价相同时，按技术部分得分由高到低顺序排序，如以上都相同按采购公告“落实政府采购政策”顺序优先排序。磋商小组按评审后总得分由高到低顺序推荐</w:t>
      </w:r>
      <w:r>
        <w:rPr>
          <w:rFonts w:hint="eastAsia" w:ascii="宋体" w:hAnsi="宋体" w:eastAsia="宋体" w:cs="宋体"/>
          <w:sz w:val="24"/>
          <w:szCs w:val="24"/>
          <w:lang w:val="en-US" w:eastAsia="zh-CN"/>
        </w:rPr>
        <w:t>3</w:t>
      </w:r>
      <w:r>
        <w:rPr>
          <w:rFonts w:hint="eastAsia" w:ascii="宋体" w:hAnsi="宋体" w:eastAsia="宋体" w:cs="宋体"/>
          <w:sz w:val="24"/>
          <w:szCs w:val="24"/>
        </w:rPr>
        <w:t>名成交候选人。</w:t>
      </w:r>
    </w:p>
    <w:p w14:paraId="3F9A406E">
      <w:pPr>
        <w:autoSpaceDE w:val="0"/>
        <w:autoSpaceDN w:val="0"/>
        <w:adjustRightInd w:val="0"/>
        <w:spacing w:line="600" w:lineRule="exact"/>
        <w:ind w:firstLine="480" w:firstLineChars="200"/>
        <w:textAlignment w:val="baseline"/>
        <w:rPr>
          <w:rFonts w:hint="eastAsia" w:ascii="宋体" w:hAnsi="宋体" w:eastAsia="宋体" w:cs="宋体"/>
          <w:sz w:val="24"/>
          <w:szCs w:val="24"/>
        </w:rPr>
      </w:pPr>
      <w:bookmarkStart w:id="264" w:name="_Toc439766948"/>
      <w:r>
        <w:rPr>
          <w:rFonts w:hint="eastAsia" w:ascii="宋体" w:hAnsi="宋体" w:eastAsia="宋体" w:cs="宋体"/>
          <w:sz w:val="24"/>
          <w:szCs w:val="24"/>
        </w:rPr>
        <w:t>2. 评审标准</w:t>
      </w:r>
      <w:bookmarkEnd w:id="264"/>
    </w:p>
    <w:p w14:paraId="1BA682EC">
      <w:pPr>
        <w:autoSpaceDE w:val="0"/>
        <w:autoSpaceDN w:val="0"/>
        <w:adjustRightInd w:val="0"/>
        <w:spacing w:line="600" w:lineRule="exact"/>
        <w:ind w:firstLine="480" w:firstLineChars="200"/>
        <w:textAlignment w:val="baseline"/>
        <w:rPr>
          <w:rFonts w:hint="eastAsia" w:ascii="宋体" w:hAnsi="宋体" w:eastAsia="宋体" w:cs="宋体"/>
          <w:sz w:val="24"/>
          <w:szCs w:val="24"/>
        </w:rPr>
      </w:pPr>
      <w:bookmarkStart w:id="265" w:name="_Toc439766949"/>
      <w:r>
        <w:rPr>
          <w:rFonts w:hint="eastAsia" w:ascii="宋体" w:hAnsi="宋体" w:eastAsia="宋体" w:cs="宋体"/>
          <w:sz w:val="24"/>
          <w:szCs w:val="24"/>
        </w:rPr>
        <w:t>2.1初步评审标准</w:t>
      </w:r>
      <w:bookmarkEnd w:id="265"/>
    </w:p>
    <w:p w14:paraId="5DF94BBC">
      <w:pPr>
        <w:autoSpaceDE w:val="0"/>
        <w:autoSpaceDN w:val="0"/>
        <w:adjustRightInd w:val="0"/>
        <w:spacing w:line="60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2.1.1资格</w:t>
      </w:r>
      <w:r>
        <w:rPr>
          <w:rFonts w:hint="eastAsia" w:ascii="宋体" w:hAnsi="宋体" w:eastAsia="宋体" w:cs="宋体"/>
          <w:sz w:val="24"/>
          <w:szCs w:val="24"/>
          <w:lang w:val="en-US" w:eastAsia="zh-CN"/>
        </w:rPr>
        <w:t>审查</w:t>
      </w:r>
      <w:r>
        <w:rPr>
          <w:rFonts w:hint="eastAsia" w:ascii="宋体" w:hAnsi="宋体" w:eastAsia="宋体" w:cs="宋体"/>
          <w:sz w:val="24"/>
          <w:szCs w:val="24"/>
        </w:rPr>
        <w:t>标准：依据法律法规和磋商文件的规定，对响应文件中的资格证明文件等进行审查，见资格审查标准。</w:t>
      </w:r>
    </w:p>
    <w:p w14:paraId="3FDB4762">
      <w:pPr>
        <w:autoSpaceDE w:val="0"/>
        <w:autoSpaceDN w:val="0"/>
        <w:adjustRightInd w:val="0"/>
        <w:spacing w:line="60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2.1.2符合性</w:t>
      </w:r>
      <w:r>
        <w:rPr>
          <w:rFonts w:hint="eastAsia" w:ascii="宋体" w:hAnsi="宋体" w:eastAsia="宋体" w:cs="宋体"/>
          <w:sz w:val="24"/>
          <w:szCs w:val="24"/>
          <w:lang w:val="en-US" w:eastAsia="zh-CN"/>
        </w:rPr>
        <w:t>审查</w:t>
      </w:r>
      <w:r>
        <w:rPr>
          <w:rFonts w:hint="eastAsia" w:ascii="宋体" w:hAnsi="宋体" w:eastAsia="宋体" w:cs="宋体"/>
          <w:sz w:val="24"/>
          <w:szCs w:val="24"/>
        </w:rPr>
        <w:t>标准：依据磋商文件的规定，从响应文件的有效性、完整性和对磋商文件的响应程度进行审查，见符合性评审标准。</w:t>
      </w:r>
    </w:p>
    <w:p w14:paraId="5A4E5D81">
      <w:pPr>
        <w:autoSpaceDE w:val="0"/>
        <w:autoSpaceDN w:val="0"/>
        <w:adjustRightInd w:val="0"/>
        <w:spacing w:line="600" w:lineRule="exact"/>
        <w:ind w:firstLine="480" w:firstLineChars="200"/>
        <w:textAlignment w:val="baseline"/>
        <w:rPr>
          <w:rFonts w:hint="eastAsia" w:ascii="宋体" w:hAnsi="宋体" w:eastAsia="宋体" w:cs="宋体"/>
          <w:sz w:val="24"/>
          <w:szCs w:val="24"/>
        </w:rPr>
      </w:pPr>
      <w:bookmarkStart w:id="266" w:name="_Toc439766951"/>
      <w:bookmarkStart w:id="267" w:name="_Toc321836409"/>
      <w:r>
        <w:rPr>
          <w:rFonts w:hint="eastAsia" w:ascii="宋体" w:hAnsi="宋体" w:eastAsia="宋体" w:cs="宋体"/>
          <w:sz w:val="24"/>
          <w:szCs w:val="24"/>
        </w:rPr>
        <w:t>3.评标程序</w:t>
      </w:r>
      <w:bookmarkEnd w:id="266"/>
      <w:bookmarkEnd w:id="267"/>
    </w:p>
    <w:p w14:paraId="0B661514">
      <w:pPr>
        <w:autoSpaceDE w:val="0"/>
        <w:autoSpaceDN w:val="0"/>
        <w:adjustRightInd w:val="0"/>
        <w:spacing w:line="600" w:lineRule="exact"/>
        <w:ind w:firstLine="480" w:firstLineChars="200"/>
        <w:textAlignment w:val="baseline"/>
        <w:rPr>
          <w:rFonts w:hint="eastAsia" w:ascii="宋体" w:hAnsi="宋体" w:eastAsia="宋体" w:cs="宋体"/>
          <w:sz w:val="24"/>
          <w:szCs w:val="24"/>
        </w:rPr>
      </w:pPr>
      <w:bookmarkStart w:id="268" w:name="_Toc439766952"/>
      <w:bookmarkStart w:id="269" w:name="_Toc321836410"/>
      <w:r>
        <w:rPr>
          <w:rFonts w:hint="eastAsia" w:ascii="宋体" w:hAnsi="宋体" w:eastAsia="宋体" w:cs="宋体"/>
          <w:sz w:val="24"/>
          <w:szCs w:val="24"/>
        </w:rPr>
        <w:t>3.1初步评审</w:t>
      </w:r>
      <w:bookmarkEnd w:id="268"/>
      <w:bookmarkEnd w:id="269"/>
    </w:p>
    <w:p w14:paraId="6643535D">
      <w:pPr>
        <w:autoSpaceDE w:val="0"/>
        <w:autoSpaceDN w:val="0"/>
        <w:adjustRightInd w:val="0"/>
        <w:spacing w:line="60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3.1.1磋商小组依据本章资格审查标准、符合性审查标准对响应文件进行初步评审。有一项不符合评审标准的，视为未实质性响应磋商文件要求。</w:t>
      </w:r>
    </w:p>
    <w:p w14:paraId="3FE21258">
      <w:pPr>
        <w:autoSpaceDE w:val="0"/>
        <w:autoSpaceDN w:val="0"/>
        <w:adjustRightInd w:val="0"/>
        <w:spacing w:line="60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3.1.2响应文件如果出现计算或表达上的错误，修正错误的原则如下：</w:t>
      </w:r>
    </w:p>
    <w:p w14:paraId="5EE68199">
      <w:pPr>
        <w:autoSpaceDE w:val="0"/>
        <w:autoSpaceDN w:val="0"/>
        <w:adjustRightInd w:val="0"/>
        <w:spacing w:line="60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（1）开标时，响应文件中磋商报价一览表内容与响应文件中明细表内容不一致的，以磋商报价一览表为准。</w:t>
      </w:r>
    </w:p>
    <w:p w14:paraId="4C06BD4C">
      <w:pPr>
        <w:autoSpaceDE w:val="0"/>
        <w:autoSpaceDN w:val="0"/>
        <w:adjustRightInd w:val="0"/>
        <w:spacing w:line="60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（2）响应文件的大写金额和小写金额不一致的，以大写金额为准；</w:t>
      </w:r>
    </w:p>
    <w:p w14:paraId="3998E9F9">
      <w:pPr>
        <w:autoSpaceDE w:val="0"/>
        <w:autoSpaceDN w:val="0"/>
        <w:adjustRightInd w:val="0"/>
        <w:spacing w:line="60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（3）总价金额与按单价汇总金额不一致的，以单价金额计算结果为准；</w:t>
      </w:r>
    </w:p>
    <w:p w14:paraId="3A54B55F">
      <w:pPr>
        <w:autoSpaceDE w:val="0"/>
        <w:autoSpaceDN w:val="0"/>
        <w:adjustRightInd w:val="0"/>
        <w:spacing w:line="60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（4）单价金额小数点有明显错位的，应以总价为准，并修改单价；</w:t>
      </w:r>
    </w:p>
    <w:p w14:paraId="5EBED507">
      <w:pPr>
        <w:autoSpaceDE w:val="0"/>
        <w:autoSpaceDN w:val="0"/>
        <w:adjustRightInd w:val="0"/>
        <w:spacing w:line="60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（5）磋商报价表中人民币报价与下浮率不一致时，以下浮率为准，修改人民币报价；</w:t>
      </w:r>
    </w:p>
    <w:p w14:paraId="59FF4D60">
      <w:pPr>
        <w:autoSpaceDE w:val="0"/>
        <w:autoSpaceDN w:val="0"/>
        <w:adjustRightInd w:val="0"/>
        <w:spacing w:line="60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（6）对不同文字文本响应文件的解释发生异议的，以中文文本为准。</w:t>
      </w:r>
    </w:p>
    <w:p w14:paraId="324841EE">
      <w:pPr>
        <w:autoSpaceDE w:val="0"/>
        <w:autoSpaceDN w:val="0"/>
        <w:adjustRightInd w:val="0"/>
        <w:spacing w:line="60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（7）按上述修正错误的原则及方法调整或修正响应文件的磋商报价，供应商同意后，调整后的磋商报价对供应商起约束作用。如果供应商不接受修正后的报价，视为未实质性响应磋商文件要求。</w:t>
      </w:r>
    </w:p>
    <w:p w14:paraId="19160A13">
      <w:pPr>
        <w:autoSpaceDE w:val="0"/>
        <w:autoSpaceDN w:val="0"/>
        <w:adjustRightInd w:val="0"/>
        <w:spacing w:line="600" w:lineRule="exact"/>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3.2 竞争性磋商</w:t>
      </w:r>
    </w:p>
    <w:p w14:paraId="7D8D40BB">
      <w:pPr>
        <w:autoSpaceDE w:val="0"/>
        <w:autoSpaceDN w:val="0"/>
        <w:adjustRightInd w:val="0"/>
        <w:spacing w:line="600" w:lineRule="exact"/>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磋商小组对通过</w:t>
      </w:r>
      <w:r>
        <w:rPr>
          <w:rFonts w:hint="eastAsia" w:ascii="宋体" w:hAnsi="宋体" w:eastAsia="宋体" w:cs="宋体"/>
          <w:sz w:val="24"/>
          <w:szCs w:val="24"/>
          <w:highlight w:val="none"/>
          <w:lang w:val="en-US" w:eastAsia="zh-CN"/>
        </w:rPr>
        <w:t>资格审查、符合性审查</w:t>
      </w:r>
      <w:r>
        <w:rPr>
          <w:rFonts w:hint="eastAsia" w:ascii="宋体" w:hAnsi="宋体" w:eastAsia="宋体" w:cs="宋体"/>
          <w:sz w:val="24"/>
          <w:szCs w:val="24"/>
          <w:highlight w:val="none"/>
        </w:rPr>
        <w:t>的供应商进行竞争性磋商，磋商内容为</w:t>
      </w:r>
      <w:r>
        <w:rPr>
          <w:rFonts w:hint="eastAsia" w:ascii="宋体" w:hAnsi="宋体" w:eastAsia="宋体" w:cs="宋体"/>
          <w:sz w:val="24"/>
          <w:szCs w:val="24"/>
          <w:highlight w:val="none"/>
          <w:lang w:val="en-US" w:eastAsia="zh-CN"/>
        </w:rPr>
        <w:t>合同履行期限要求、最终磋商报价</w:t>
      </w:r>
      <w:r>
        <w:rPr>
          <w:rFonts w:hint="eastAsia" w:ascii="宋体" w:hAnsi="宋体" w:eastAsia="宋体" w:cs="宋体"/>
          <w:sz w:val="24"/>
          <w:szCs w:val="24"/>
          <w:highlight w:val="none"/>
        </w:rPr>
        <w:t>等。磋商小组所有成员应当集中与单一供应商分别进行磋商，并给予所有参加磋商的供应商平等的磋商机会，磋商结束后要求供应商在规定的时间内在政府采购云平台（https://www.zcygov.cn/）按照相关要求提交最</w:t>
      </w:r>
      <w:r>
        <w:rPr>
          <w:rFonts w:hint="eastAsia" w:ascii="宋体" w:hAnsi="宋体" w:eastAsia="宋体" w:cs="宋体"/>
          <w:sz w:val="24"/>
          <w:szCs w:val="24"/>
          <w:highlight w:val="none"/>
          <w:lang w:val="en-US" w:eastAsia="zh-CN"/>
        </w:rPr>
        <w:t>终</w:t>
      </w:r>
      <w:r>
        <w:rPr>
          <w:rFonts w:hint="eastAsia" w:ascii="宋体" w:hAnsi="宋体" w:eastAsia="宋体" w:cs="宋体"/>
          <w:sz w:val="24"/>
          <w:szCs w:val="24"/>
          <w:highlight w:val="none"/>
        </w:rPr>
        <w:t>磋商报价</w:t>
      </w:r>
      <w:r>
        <w:rPr>
          <w:rFonts w:hint="eastAsia" w:ascii="宋体" w:hAnsi="宋体" w:eastAsia="宋体" w:cs="宋体"/>
          <w:sz w:val="24"/>
          <w:szCs w:val="24"/>
          <w:highlight w:val="none"/>
          <w:lang w:val="en-US" w:eastAsia="zh-CN"/>
        </w:rPr>
        <w:t>表</w:t>
      </w:r>
      <w:r>
        <w:rPr>
          <w:rFonts w:hint="eastAsia" w:ascii="宋体" w:hAnsi="宋体" w:eastAsia="宋体" w:cs="宋体"/>
          <w:sz w:val="24"/>
          <w:szCs w:val="24"/>
          <w:highlight w:val="none"/>
        </w:rPr>
        <w:t>。最</w:t>
      </w:r>
      <w:r>
        <w:rPr>
          <w:rFonts w:hint="eastAsia" w:ascii="宋体" w:hAnsi="宋体" w:eastAsia="宋体" w:cs="宋体"/>
          <w:sz w:val="24"/>
          <w:szCs w:val="24"/>
          <w:highlight w:val="none"/>
          <w:lang w:val="en-US" w:eastAsia="zh-CN"/>
        </w:rPr>
        <w:t>终</w:t>
      </w:r>
      <w:r>
        <w:rPr>
          <w:rFonts w:hint="eastAsia" w:ascii="宋体" w:hAnsi="宋体" w:eastAsia="宋体" w:cs="宋体"/>
          <w:sz w:val="24"/>
          <w:szCs w:val="24"/>
          <w:highlight w:val="none"/>
        </w:rPr>
        <w:t>磋商报价不允许超过响应文件中第一轮磋商报价，否则按无效标书处理。</w:t>
      </w:r>
    </w:p>
    <w:p w14:paraId="2EF9513A">
      <w:pPr>
        <w:autoSpaceDE w:val="0"/>
        <w:autoSpaceDN w:val="0"/>
        <w:adjustRightInd w:val="0"/>
        <w:spacing w:line="600" w:lineRule="exact"/>
        <w:ind w:firstLine="480" w:firstLineChars="200"/>
        <w:textAlignment w:val="baseline"/>
        <w:rPr>
          <w:rFonts w:hint="eastAsia" w:ascii="宋体" w:hAnsi="宋体" w:eastAsia="宋体" w:cs="宋体"/>
          <w:sz w:val="24"/>
          <w:szCs w:val="24"/>
        </w:rPr>
      </w:pPr>
      <w:bookmarkStart w:id="270" w:name="_Toc439766953"/>
      <w:bookmarkStart w:id="271" w:name="_Toc321836411"/>
      <w:r>
        <w:rPr>
          <w:rFonts w:hint="eastAsia" w:ascii="宋体" w:hAnsi="宋体" w:eastAsia="宋体" w:cs="宋体"/>
          <w:sz w:val="24"/>
          <w:szCs w:val="24"/>
        </w:rPr>
        <w:t>3.3详细评审</w:t>
      </w:r>
      <w:bookmarkEnd w:id="270"/>
      <w:bookmarkEnd w:id="271"/>
    </w:p>
    <w:p w14:paraId="2DADEB53">
      <w:pPr>
        <w:autoSpaceDE w:val="0"/>
        <w:autoSpaceDN w:val="0"/>
        <w:adjustRightInd w:val="0"/>
        <w:spacing w:line="60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3.3.1 对在规定时间内提交最</w:t>
      </w:r>
      <w:r>
        <w:rPr>
          <w:rFonts w:hint="eastAsia" w:ascii="宋体" w:hAnsi="宋体" w:eastAsia="宋体" w:cs="宋体"/>
          <w:sz w:val="24"/>
          <w:szCs w:val="24"/>
          <w:lang w:val="en-US" w:eastAsia="zh-CN"/>
        </w:rPr>
        <w:t>终</w:t>
      </w:r>
      <w:r>
        <w:rPr>
          <w:rFonts w:hint="eastAsia" w:ascii="宋体" w:hAnsi="宋体" w:eastAsia="宋体" w:cs="宋体"/>
          <w:sz w:val="24"/>
          <w:szCs w:val="24"/>
        </w:rPr>
        <w:t>磋商报价的供应商，磋商小组按本章规定的量化因素和分值进行打分，并计算出供应商的评标总得分。对供应商的价格分等客观评分项的评分应当一致，对其他需要借助专业知识评判的主观评分项，应当严格按照评分细则公正评分。</w:t>
      </w:r>
    </w:p>
    <w:p w14:paraId="04298D0C">
      <w:pPr>
        <w:autoSpaceDE w:val="0"/>
        <w:autoSpaceDN w:val="0"/>
        <w:adjustRightInd w:val="0"/>
        <w:spacing w:line="60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3.3.2技术部分由磋商小组成员独立评分，供应商各项评分因素得分为该项因素各评委评分的算术平均值（保留小数点后两位），小数点后第三位“四舍五入”。</w:t>
      </w:r>
    </w:p>
    <w:p w14:paraId="4914BA2F">
      <w:pPr>
        <w:autoSpaceDE w:val="0"/>
        <w:autoSpaceDN w:val="0"/>
        <w:adjustRightInd w:val="0"/>
        <w:spacing w:line="60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3.3.3磋商小组成员要依法独立评审，并对评审意见承担个人责任。磋商小组成员对需要共同认定的事项存在争议的，按照少数服从多数的原则作出结论。持不同意见的磋商小组成员应当在磋商报告上签署不同意见并说明理由，否则视为同意。</w:t>
      </w:r>
    </w:p>
    <w:p w14:paraId="3B377916">
      <w:pPr>
        <w:autoSpaceDE w:val="0"/>
        <w:autoSpaceDN w:val="0"/>
        <w:adjustRightInd w:val="0"/>
        <w:spacing w:line="600" w:lineRule="exact"/>
        <w:ind w:firstLine="480" w:firstLineChars="200"/>
        <w:textAlignment w:val="baseline"/>
        <w:rPr>
          <w:rFonts w:hint="eastAsia" w:ascii="宋体" w:hAnsi="宋体" w:eastAsia="宋体" w:cs="宋体"/>
          <w:sz w:val="24"/>
          <w:szCs w:val="24"/>
        </w:rPr>
      </w:pPr>
      <w:bookmarkStart w:id="272" w:name="_Toc439766954"/>
      <w:bookmarkStart w:id="273" w:name="_Toc321836412"/>
      <w:r>
        <w:rPr>
          <w:rFonts w:hint="eastAsia" w:ascii="宋体" w:hAnsi="宋体" w:eastAsia="宋体" w:cs="宋体"/>
          <w:sz w:val="24"/>
          <w:szCs w:val="24"/>
        </w:rPr>
        <w:t>3.4 响应文件的澄清</w:t>
      </w:r>
      <w:bookmarkEnd w:id="272"/>
      <w:bookmarkEnd w:id="273"/>
      <w:r>
        <w:rPr>
          <w:rFonts w:hint="eastAsia" w:ascii="宋体" w:hAnsi="宋体" w:eastAsia="宋体" w:cs="宋体"/>
          <w:sz w:val="24"/>
          <w:szCs w:val="24"/>
        </w:rPr>
        <w:t xml:space="preserve"> </w:t>
      </w:r>
    </w:p>
    <w:p w14:paraId="5A2D1CEE">
      <w:pPr>
        <w:autoSpaceDE w:val="0"/>
        <w:autoSpaceDN w:val="0"/>
        <w:adjustRightInd w:val="0"/>
        <w:spacing w:line="60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3.4.1 在</w:t>
      </w:r>
      <w:r>
        <w:rPr>
          <w:rFonts w:hint="eastAsia" w:ascii="宋体" w:hAnsi="宋体" w:eastAsia="宋体" w:cs="宋体"/>
          <w:sz w:val="24"/>
          <w:szCs w:val="24"/>
          <w:lang w:val="en-US" w:eastAsia="zh-CN"/>
        </w:rPr>
        <w:t>磋商</w:t>
      </w:r>
      <w:r>
        <w:rPr>
          <w:rFonts w:hint="eastAsia" w:ascii="宋体" w:hAnsi="宋体" w:eastAsia="宋体" w:cs="宋体"/>
          <w:sz w:val="24"/>
          <w:szCs w:val="24"/>
        </w:rPr>
        <w:t>过程中，磋商小组可以书面形式（应当由磋商小组专家签字）要求供应商对所提交的响应文件中含义不明确、同类问题表述不一致或者有明显文字和计算错误的内容，进行书面澄清或说明。磋商小组不接受供应商主动提出的澄清、说明。</w:t>
      </w:r>
    </w:p>
    <w:p w14:paraId="0FBBAB6F">
      <w:pPr>
        <w:autoSpaceDE w:val="0"/>
        <w:autoSpaceDN w:val="0"/>
        <w:adjustRightInd w:val="0"/>
        <w:spacing w:line="60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3.4.2 供应商的澄清、说明应当采用书面形式，由法定代表人或其授权的代表签字，澄清事项不得超出响应文件的范围并不得改变响应文件的实质性内容（算术性错误修正的除外）。供应商的书面澄清、说明属于响应文件的组成部分。</w:t>
      </w:r>
    </w:p>
    <w:p w14:paraId="2DAC740D">
      <w:pPr>
        <w:autoSpaceDE w:val="0"/>
        <w:autoSpaceDN w:val="0"/>
        <w:adjustRightInd w:val="0"/>
        <w:spacing w:line="60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3.4.3 磋商小组对供应商提交的澄清、说明有疑问的，可以要求供应商进一步澄清、说明。</w:t>
      </w:r>
    </w:p>
    <w:p w14:paraId="4BECEF70">
      <w:pPr>
        <w:autoSpaceDE w:val="0"/>
        <w:autoSpaceDN w:val="0"/>
        <w:adjustRightInd w:val="0"/>
        <w:spacing w:line="600" w:lineRule="exact"/>
        <w:ind w:firstLine="480" w:firstLineChars="200"/>
        <w:textAlignment w:val="baseline"/>
        <w:rPr>
          <w:rFonts w:hint="eastAsia" w:ascii="宋体" w:hAnsi="宋体" w:eastAsia="宋体" w:cs="宋体"/>
          <w:sz w:val="24"/>
          <w:szCs w:val="24"/>
        </w:rPr>
      </w:pPr>
      <w:bookmarkStart w:id="274" w:name="_Toc321836413"/>
      <w:bookmarkStart w:id="275" w:name="_Toc439766955"/>
      <w:r>
        <w:rPr>
          <w:rFonts w:hint="eastAsia" w:ascii="宋体" w:hAnsi="宋体" w:eastAsia="宋体" w:cs="宋体"/>
          <w:sz w:val="24"/>
          <w:szCs w:val="24"/>
        </w:rPr>
        <w:t>3.5 评标结果</w:t>
      </w:r>
      <w:bookmarkEnd w:id="274"/>
      <w:bookmarkEnd w:id="275"/>
    </w:p>
    <w:p w14:paraId="5BAA77EC">
      <w:pPr>
        <w:autoSpaceDE w:val="0"/>
        <w:autoSpaceDN w:val="0"/>
        <w:adjustRightInd w:val="0"/>
        <w:spacing w:line="60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3.5.1供应商的报价明显低于其他磋商报价，使得其磋商报价可能低于其个别成本的，应当要求该供应商作出书面说明并提供相关证明材料。供应商不能合理说明或者不能提供相关证明材料，并由</w:t>
      </w:r>
      <w:r>
        <w:rPr>
          <w:rFonts w:hint="eastAsia" w:ascii="宋体" w:hAnsi="宋体" w:eastAsia="宋体" w:cs="宋体"/>
          <w:sz w:val="24"/>
          <w:szCs w:val="24"/>
          <w:lang w:val="en-US" w:eastAsia="zh-CN"/>
        </w:rPr>
        <w:t>磋商小组</w:t>
      </w:r>
      <w:r>
        <w:rPr>
          <w:rFonts w:hint="eastAsia" w:ascii="宋体" w:hAnsi="宋体" w:eastAsia="宋体" w:cs="宋体"/>
          <w:sz w:val="24"/>
          <w:szCs w:val="24"/>
        </w:rPr>
        <w:t>认定该供应商以低于成本报价</w:t>
      </w:r>
      <w:r>
        <w:rPr>
          <w:rFonts w:hint="eastAsia" w:ascii="宋体" w:hAnsi="宋体" w:eastAsia="宋体" w:cs="宋体"/>
          <w:sz w:val="24"/>
          <w:szCs w:val="24"/>
          <w:lang w:eastAsia="zh-CN"/>
        </w:rPr>
        <w:t>，将其作为无效投标（响应）处理</w:t>
      </w:r>
      <w:r>
        <w:rPr>
          <w:rFonts w:hint="eastAsia" w:ascii="宋体" w:hAnsi="宋体" w:eastAsia="宋体" w:cs="宋体"/>
          <w:sz w:val="24"/>
          <w:szCs w:val="24"/>
        </w:rPr>
        <w:t>。</w:t>
      </w:r>
    </w:p>
    <w:p w14:paraId="35C78994">
      <w:pPr>
        <w:autoSpaceDE w:val="0"/>
        <w:autoSpaceDN w:val="0"/>
        <w:adjustRightInd w:val="0"/>
        <w:spacing w:line="60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3.5.2磋商小组按得分由高到低顺序推荐成交候选人，并</w:t>
      </w:r>
      <w:r>
        <w:rPr>
          <w:rFonts w:hint="eastAsia" w:ascii="宋体" w:hAnsi="宋体" w:eastAsia="宋体" w:cs="宋体"/>
          <w:sz w:val="24"/>
          <w:szCs w:val="24"/>
          <w:lang w:val="en-US" w:eastAsia="zh-CN"/>
        </w:rPr>
        <w:t>出具</w:t>
      </w:r>
      <w:r>
        <w:rPr>
          <w:rFonts w:hint="eastAsia" w:ascii="宋体" w:hAnsi="宋体" w:eastAsia="宋体" w:cs="宋体"/>
          <w:sz w:val="24"/>
          <w:szCs w:val="24"/>
        </w:rPr>
        <w:t>磋商报告。</w:t>
      </w:r>
    </w:p>
    <w:p w14:paraId="42F5BB5F">
      <w:pPr>
        <w:autoSpaceDE w:val="0"/>
        <w:autoSpaceDN w:val="0"/>
        <w:adjustRightInd w:val="0"/>
        <w:spacing w:line="60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3.5.3 采购人根据磋商小组提出的磋商报告和推荐的成交候选人名单，确定成交人。</w:t>
      </w:r>
    </w:p>
    <w:p w14:paraId="7B6311C7">
      <w:pPr>
        <w:autoSpaceDE w:val="0"/>
        <w:autoSpaceDN w:val="0"/>
        <w:adjustRightInd w:val="0"/>
        <w:spacing w:line="600" w:lineRule="exact"/>
        <w:ind w:firstLine="480" w:firstLineChars="200"/>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3.5.4磋商小组发现磋商文件存在歧义、重大缺陷导致评审工作无法进行，或者磋商文件内容违反国家有关规定的，要停止评审工作并向采购人或采购代理机构书面说明情况，采购人或采购代理机构应当修改磋商文件后重新组织采购活动；发现供应商提供虚假材料、串通等违法违规行为的，要及时向采购人或采购代理机构报告。</w:t>
      </w:r>
      <w:bookmarkEnd w:id="261"/>
      <w:bookmarkEnd w:id="262"/>
    </w:p>
    <w:p w14:paraId="3FEF09DC">
      <w:pPr>
        <w:autoSpaceDE w:val="0"/>
        <w:autoSpaceDN w:val="0"/>
        <w:adjustRightInd w:val="0"/>
        <w:spacing w:line="600" w:lineRule="exact"/>
        <w:ind w:firstLine="480" w:firstLineChars="200"/>
        <w:textAlignment w:val="baseline"/>
        <w:rPr>
          <w:rFonts w:hint="eastAsia" w:ascii="宋体" w:hAnsi="宋体" w:eastAsia="宋体" w:cs="宋体"/>
          <w:sz w:val="24"/>
          <w:szCs w:val="24"/>
          <w:lang w:val="en-US" w:eastAsia="zh-CN"/>
        </w:rPr>
      </w:pPr>
    </w:p>
    <w:p w14:paraId="387F2D5C">
      <w:pPr>
        <w:autoSpaceDE w:val="0"/>
        <w:autoSpaceDN w:val="0"/>
        <w:adjustRightInd w:val="0"/>
        <w:spacing w:line="600" w:lineRule="exact"/>
        <w:ind w:firstLine="480" w:firstLineChars="200"/>
        <w:textAlignment w:val="baseline"/>
        <w:rPr>
          <w:rFonts w:hint="eastAsia" w:ascii="宋体" w:hAnsi="宋体" w:eastAsia="宋体" w:cs="宋体"/>
          <w:sz w:val="24"/>
          <w:szCs w:val="24"/>
          <w:lang w:val="en-US" w:eastAsia="zh-CN"/>
        </w:rPr>
      </w:pPr>
    </w:p>
    <w:p w14:paraId="366261E0">
      <w:pPr>
        <w:autoSpaceDE w:val="0"/>
        <w:autoSpaceDN w:val="0"/>
        <w:adjustRightInd w:val="0"/>
        <w:spacing w:line="600" w:lineRule="exact"/>
        <w:ind w:firstLine="480" w:firstLineChars="200"/>
        <w:textAlignment w:val="baseline"/>
        <w:rPr>
          <w:rFonts w:hint="eastAsia" w:ascii="宋体" w:hAnsi="宋体" w:eastAsia="宋体" w:cs="宋体"/>
          <w:sz w:val="24"/>
          <w:szCs w:val="24"/>
          <w:lang w:val="en-US" w:eastAsia="zh-CN"/>
        </w:rPr>
      </w:pPr>
    </w:p>
    <w:p w14:paraId="1E7D6271">
      <w:pPr>
        <w:autoSpaceDE w:val="0"/>
        <w:autoSpaceDN w:val="0"/>
        <w:adjustRightInd w:val="0"/>
        <w:spacing w:line="600" w:lineRule="exact"/>
        <w:ind w:firstLine="480" w:firstLineChars="200"/>
        <w:textAlignment w:val="baseline"/>
        <w:rPr>
          <w:rFonts w:hint="eastAsia" w:ascii="宋体" w:hAnsi="宋体" w:eastAsia="宋体" w:cs="宋体"/>
          <w:sz w:val="24"/>
          <w:szCs w:val="24"/>
          <w:lang w:val="en-US" w:eastAsia="zh-CN"/>
        </w:rPr>
      </w:pPr>
    </w:p>
    <w:p w14:paraId="22FF6898">
      <w:pPr>
        <w:autoSpaceDE w:val="0"/>
        <w:autoSpaceDN w:val="0"/>
        <w:adjustRightInd w:val="0"/>
        <w:spacing w:line="600" w:lineRule="exact"/>
        <w:ind w:firstLine="480" w:firstLineChars="200"/>
        <w:textAlignment w:val="baseline"/>
        <w:rPr>
          <w:rFonts w:hint="eastAsia" w:ascii="宋体" w:hAnsi="宋体" w:eastAsia="宋体" w:cs="宋体"/>
          <w:sz w:val="24"/>
          <w:szCs w:val="24"/>
          <w:lang w:val="en-US" w:eastAsia="zh-CN"/>
        </w:rPr>
      </w:pPr>
    </w:p>
    <w:p w14:paraId="599D069C">
      <w:pPr>
        <w:autoSpaceDE w:val="0"/>
        <w:autoSpaceDN w:val="0"/>
        <w:adjustRightInd w:val="0"/>
        <w:spacing w:line="600" w:lineRule="exact"/>
        <w:ind w:firstLine="480" w:firstLineChars="200"/>
        <w:textAlignment w:val="baseline"/>
        <w:rPr>
          <w:rFonts w:hint="eastAsia" w:ascii="宋体" w:hAnsi="宋体" w:eastAsia="宋体" w:cs="宋体"/>
          <w:sz w:val="24"/>
          <w:szCs w:val="24"/>
          <w:lang w:val="en-US" w:eastAsia="zh-CN"/>
        </w:rPr>
      </w:pPr>
    </w:p>
    <w:p w14:paraId="1319E7A0">
      <w:pPr>
        <w:autoSpaceDE w:val="0"/>
        <w:autoSpaceDN w:val="0"/>
        <w:adjustRightInd w:val="0"/>
        <w:spacing w:line="600" w:lineRule="exact"/>
        <w:ind w:firstLine="480" w:firstLineChars="200"/>
        <w:textAlignment w:val="baseline"/>
        <w:rPr>
          <w:rFonts w:hint="eastAsia" w:ascii="宋体" w:hAnsi="宋体" w:eastAsia="宋体" w:cs="宋体"/>
          <w:sz w:val="24"/>
          <w:szCs w:val="24"/>
          <w:lang w:val="en-US" w:eastAsia="zh-CN"/>
        </w:rPr>
      </w:pPr>
    </w:p>
    <w:p w14:paraId="7C7D4AC1">
      <w:pPr>
        <w:autoSpaceDE w:val="0"/>
        <w:autoSpaceDN w:val="0"/>
        <w:adjustRightInd w:val="0"/>
        <w:spacing w:line="600" w:lineRule="exact"/>
        <w:ind w:firstLine="480" w:firstLineChars="200"/>
        <w:textAlignment w:val="baseline"/>
        <w:rPr>
          <w:rFonts w:hint="eastAsia" w:ascii="宋体" w:hAnsi="宋体" w:eastAsia="宋体" w:cs="宋体"/>
          <w:sz w:val="24"/>
          <w:szCs w:val="24"/>
          <w:lang w:val="en-US" w:eastAsia="zh-CN"/>
        </w:rPr>
      </w:pPr>
    </w:p>
    <w:p w14:paraId="3BC31C28">
      <w:pPr>
        <w:autoSpaceDE w:val="0"/>
        <w:autoSpaceDN w:val="0"/>
        <w:adjustRightInd w:val="0"/>
        <w:spacing w:line="600" w:lineRule="exact"/>
        <w:ind w:firstLine="480" w:firstLineChars="200"/>
        <w:textAlignment w:val="baseline"/>
        <w:rPr>
          <w:rFonts w:hint="eastAsia" w:ascii="宋体" w:hAnsi="宋体" w:eastAsia="宋体" w:cs="宋体"/>
          <w:sz w:val="24"/>
          <w:szCs w:val="24"/>
          <w:lang w:val="en-US" w:eastAsia="zh-CN"/>
        </w:rPr>
      </w:pPr>
    </w:p>
    <w:p w14:paraId="01355F09">
      <w:pPr>
        <w:autoSpaceDE w:val="0"/>
        <w:autoSpaceDN w:val="0"/>
        <w:adjustRightInd w:val="0"/>
        <w:spacing w:line="600" w:lineRule="exact"/>
        <w:ind w:firstLine="480" w:firstLineChars="200"/>
        <w:textAlignment w:val="baseline"/>
        <w:rPr>
          <w:rFonts w:hint="eastAsia" w:ascii="宋体" w:hAnsi="宋体" w:eastAsia="宋体" w:cs="宋体"/>
          <w:sz w:val="24"/>
          <w:szCs w:val="24"/>
          <w:lang w:val="en-US" w:eastAsia="zh-CN"/>
        </w:rPr>
      </w:pPr>
    </w:p>
    <w:p w14:paraId="1AAB767A">
      <w:pPr>
        <w:autoSpaceDE w:val="0"/>
        <w:autoSpaceDN w:val="0"/>
        <w:adjustRightInd w:val="0"/>
        <w:spacing w:line="600" w:lineRule="exact"/>
        <w:ind w:firstLine="480" w:firstLineChars="200"/>
        <w:textAlignment w:val="baseline"/>
        <w:rPr>
          <w:rFonts w:hint="eastAsia" w:ascii="宋体" w:hAnsi="宋体" w:eastAsia="宋体" w:cs="宋体"/>
          <w:sz w:val="24"/>
          <w:szCs w:val="24"/>
          <w:lang w:val="en-US" w:eastAsia="zh-CN"/>
        </w:rPr>
      </w:pPr>
    </w:p>
    <w:p w14:paraId="52EEE1C5">
      <w:pPr>
        <w:autoSpaceDE w:val="0"/>
        <w:autoSpaceDN w:val="0"/>
        <w:adjustRightInd w:val="0"/>
        <w:spacing w:line="600" w:lineRule="exact"/>
        <w:ind w:firstLine="480" w:firstLineChars="200"/>
        <w:textAlignment w:val="baseline"/>
        <w:rPr>
          <w:rFonts w:hint="eastAsia" w:ascii="宋体" w:hAnsi="宋体" w:eastAsia="宋体" w:cs="宋体"/>
          <w:sz w:val="24"/>
          <w:szCs w:val="24"/>
          <w:lang w:val="en-US" w:eastAsia="zh-CN"/>
        </w:rPr>
      </w:pPr>
    </w:p>
    <w:p w14:paraId="69721AA2">
      <w:pPr>
        <w:rPr>
          <w:rStyle w:val="52"/>
          <w:rFonts w:hint="eastAsia" w:ascii="黑体" w:hAnsi="黑体" w:eastAsia="宋体" w:cs="宋体"/>
          <w:b/>
          <w:bCs/>
          <w:color w:val="auto"/>
          <w:kern w:val="0"/>
          <w:sz w:val="44"/>
          <w:szCs w:val="44"/>
          <w:highlight w:val="none"/>
          <w:lang w:val="en-US" w:eastAsia="zh-CN"/>
        </w:rPr>
      </w:pPr>
      <w:bookmarkStart w:id="276" w:name="_Toc25582"/>
      <w:bookmarkStart w:id="277" w:name="_Toc31007"/>
      <w:bookmarkStart w:id="278" w:name="_Toc31881"/>
      <w:bookmarkStart w:id="279" w:name="_Toc30110"/>
      <w:bookmarkStart w:id="280" w:name="_Toc9297"/>
      <w:r>
        <w:rPr>
          <w:rStyle w:val="52"/>
          <w:rFonts w:hint="eastAsia" w:ascii="黑体" w:hAnsi="黑体" w:eastAsia="宋体" w:cs="宋体"/>
          <w:b/>
          <w:bCs/>
          <w:color w:val="auto"/>
          <w:kern w:val="0"/>
          <w:sz w:val="44"/>
          <w:szCs w:val="44"/>
          <w:highlight w:val="none"/>
          <w:lang w:val="en-US" w:eastAsia="zh-CN"/>
        </w:rPr>
        <w:br w:type="page"/>
      </w:r>
    </w:p>
    <w:p w14:paraId="03177047">
      <w:pPr>
        <w:widowControl/>
        <w:spacing w:line="360" w:lineRule="auto"/>
        <w:jc w:val="center"/>
        <w:outlineLvl w:val="0"/>
        <w:rPr>
          <w:rStyle w:val="52"/>
          <w:rFonts w:hint="eastAsia" w:ascii="黑体" w:hAnsi="黑体" w:eastAsia="宋体" w:cs="宋体"/>
          <w:b/>
          <w:bCs/>
          <w:color w:val="auto"/>
          <w:kern w:val="0"/>
          <w:sz w:val="44"/>
          <w:szCs w:val="44"/>
          <w:highlight w:val="none"/>
          <w:lang w:val="en-US" w:eastAsia="zh-CN"/>
        </w:rPr>
      </w:pPr>
      <w:r>
        <w:rPr>
          <w:rStyle w:val="52"/>
          <w:rFonts w:hint="eastAsia" w:ascii="黑体" w:hAnsi="黑体" w:eastAsia="宋体" w:cs="宋体"/>
          <w:b/>
          <w:bCs/>
          <w:color w:val="auto"/>
          <w:kern w:val="0"/>
          <w:sz w:val="44"/>
          <w:szCs w:val="44"/>
          <w:highlight w:val="none"/>
          <w:lang w:val="en-US" w:eastAsia="zh-CN"/>
        </w:rPr>
        <w:t xml:space="preserve">第四章 </w:t>
      </w:r>
      <w:bookmarkEnd w:id="276"/>
      <w:r>
        <w:rPr>
          <w:rStyle w:val="52"/>
          <w:rFonts w:hint="eastAsia" w:ascii="黑体" w:hAnsi="黑体" w:eastAsia="宋体" w:cs="宋体"/>
          <w:b/>
          <w:bCs/>
          <w:color w:val="auto"/>
          <w:kern w:val="0"/>
          <w:sz w:val="44"/>
          <w:szCs w:val="44"/>
          <w:highlight w:val="none"/>
          <w:lang w:val="en-US" w:eastAsia="zh-CN"/>
        </w:rPr>
        <w:t>采购需求</w:t>
      </w:r>
      <w:bookmarkEnd w:id="277"/>
      <w:bookmarkEnd w:id="278"/>
      <w:bookmarkEnd w:id="279"/>
      <w:bookmarkEnd w:id="280"/>
    </w:p>
    <w:p w14:paraId="004E9D4C">
      <w:pPr>
        <w:keepNext w:val="0"/>
        <w:keepLines w:val="0"/>
        <w:pageBreakBefore w:val="0"/>
        <w:kinsoku/>
        <w:wordWrap/>
        <w:overflowPunct/>
        <w:topLinePunct w:val="0"/>
        <w:autoSpaceDE/>
        <w:autoSpaceDN/>
        <w:bidi w:val="0"/>
        <w:adjustRightInd/>
        <w:snapToGrid/>
        <w:spacing w:line="360" w:lineRule="auto"/>
        <w:ind w:right="0"/>
        <w:textAlignment w:val="auto"/>
        <w:rPr>
          <w:rFonts w:hint="default" w:ascii="Times New Roman" w:hAnsi="Times New Roman" w:eastAsia="宋体" w:cs="宋体"/>
          <w:b/>
          <w:bCs/>
          <w:i w:val="0"/>
          <w:iCs w:val="0"/>
          <w:caps w:val="0"/>
          <w:smallCaps w:val="0"/>
          <w:color w:val="auto"/>
          <w:sz w:val="24"/>
          <w:szCs w:val="24"/>
          <w:highlight w:val="none"/>
          <w:lang w:val="en-US" w:eastAsia="zh-CN"/>
        </w:rPr>
      </w:pPr>
      <w:r>
        <w:rPr>
          <w:rFonts w:hint="eastAsia" w:ascii="Times New Roman" w:hAnsi="Times New Roman" w:eastAsia="宋体" w:cs="宋体"/>
          <w:b/>
          <w:bCs/>
          <w:i w:val="0"/>
          <w:iCs w:val="0"/>
          <w:caps w:val="0"/>
          <w:smallCaps w:val="0"/>
          <w:color w:val="auto"/>
          <w:sz w:val="24"/>
          <w:szCs w:val="24"/>
          <w:highlight w:val="none"/>
          <w:lang w:val="en-US" w:eastAsia="zh-CN"/>
        </w:rPr>
        <w:t>一、项目概况</w:t>
      </w:r>
    </w:p>
    <w:p w14:paraId="11108333">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u w:val="single"/>
          <w:lang w:eastAsia="zh-CN"/>
        </w:rPr>
      </w:pPr>
      <w:r>
        <w:rPr>
          <w:rFonts w:hint="eastAsia" w:ascii="Times New Roman" w:hAnsi="Times New Roman" w:eastAsia="宋体" w:cs="宋体"/>
          <w:i w:val="0"/>
          <w:iCs w:val="0"/>
          <w:caps w:val="0"/>
          <w:smallCaps w:val="0"/>
          <w:color w:val="auto"/>
          <w:sz w:val="24"/>
          <w:szCs w:val="24"/>
          <w:highlight w:val="none"/>
          <w:lang w:val="en-US" w:eastAsia="zh-CN"/>
        </w:rPr>
        <w:t>1、</w:t>
      </w:r>
      <w:r>
        <w:rPr>
          <w:rFonts w:hint="eastAsia" w:ascii="Times New Roman" w:hAnsi="Times New Roman" w:eastAsia="宋体" w:cs="宋体"/>
          <w:i w:val="0"/>
          <w:iCs w:val="0"/>
          <w:caps w:val="0"/>
          <w:smallCaps w:val="0"/>
          <w:color w:val="auto"/>
          <w:sz w:val="24"/>
          <w:szCs w:val="24"/>
          <w:highlight w:val="none"/>
          <w:lang w:eastAsia="zh-CN"/>
        </w:rPr>
        <w:t>项目名称：胜境街道后矿社区大河乌猪肉制品加工设施项目</w:t>
      </w:r>
    </w:p>
    <w:p w14:paraId="0C098479">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eastAsia="zh-CN"/>
        </w:rPr>
      </w:pPr>
      <w:r>
        <w:rPr>
          <w:rFonts w:hint="eastAsia" w:ascii="Times New Roman" w:hAnsi="Times New Roman" w:eastAsia="宋体" w:cs="宋体"/>
          <w:i w:val="0"/>
          <w:iCs w:val="0"/>
          <w:caps w:val="0"/>
          <w:smallCaps w:val="0"/>
          <w:color w:val="auto"/>
          <w:sz w:val="24"/>
          <w:szCs w:val="24"/>
          <w:highlight w:val="none"/>
          <w:lang w:val="en-US" w:eastAsia="zh-CN"/>
        </w:rPr>
        <w:t>2、</w:t>
      </w:r>
      <w:r>
        <w:rPr>
          <w:rFonts w:hint="eastAsia" w:ascii="Times New Roman" w:hAnsi="Times New Roman" w:eastAsia="宋体" w:cs="宋体"/>
          <w:i w:val="0"/>
          <w:iCs w:val="0"/>
          <w:caps w:val="0"/>
          <w:smallCaps w:val="0"/>
          <w:color w:val="auto"/>
          <w:sz w:val="24"/>
          <w:szCs w:val="24"/>
          <w:highlight w:val="none"/>
        </w:rPr>
        <w:t>采购方式：竞争性磋商</w:t>
      </w:r>
    </w:p>
    <w:p w14:paraId="3A8925D2">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default" w:asciiTheme="minorEastAsia" w:hAnsiTheme="minorEastAsia" w:eastAsiaTheme="minorEastAsia" w:cstheme="minorEastAsia"/>
          <w:i w:val="0"/>
          <w:iCs w:val="0"/>
          <w:caps w:val="0"/>
          <w:smallCaps w:val="0"/>
          <w:color w:val="auto"/>
          <w:sz w:val="24"/>
          <w:szCs w:val="24"/>
          <w:highlight w:val="none"/>
          <w:lang w:val="en-US" w:eastAsia="zh-CN"/>
        </w:rPr>
      </w:pPr>
      <w:r>
        <w:rPr>
          <w:rFonts w:hint="eastAsia" w:asciiTheme="minorEastAsia" w:hAnsiTheme="minorEastAsia" w:eastAsiaTheme="minorEastAsia" w:cstheme="minorEastAsia"/>
          <w:i w:val="0"/>
          <w:iCs w:val="0"/>
          <w:caps w:val="0"/>
          <w:smallCaps w:val="0"/>
          <w:color w:val="auto"/>
          <w:sz w:val="24"/>
          <w:szCs w:val="24"/>
          <w:highlight w:val="none"/>
          <w:lang w:val="en-US" w:eastAsia="zh-CN"/>
        </w:rPr>
        <w:t>3、预算金额（万元）：300</w:t>
      </w:r>
      <w:r>
        <w:rPr>
          <w:rFonts w:hint="eastAsia" w:asciiTheme="minorEastAsia" w:hAnsiTheme="minorEastAsia" w:cstheme="minorEastAsia"/>
          <w:i w:val="0"/>
          <w:iCs w:val="0"/>
          <w:caps w:val="0"/>
          <w:smallCaps w:val="0"/>
          <w:color w:val="auto"/>
          <w:sz w:val="24"/>
          <w:szCs w:val="24"/>
          <w:highlight w:val="none"/>
          <w:lang w:val="en-US" w:eastAsia="zh-CN"/>
        </w:rPr>
        <w:t>.00</w:t>
      </w:r>
    </w:p>
    <w:p w14:paraId="43FF8EE4">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heme="minorEastAsia" w:hAnsiTheme="minorEastAsia" w:eastAsiaTheme="minorEastAsia" w:cstheme="minorEastAsia"/>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4、最高限价：</w:t>
      </w:r>
      <w:r>
        <w:rPr>
          <w:rFonts w:hint="eastAsia" w:asciiTheme="minorEastAsia" w:hAnsiTheme="minorEastAsia" w:eastAsiaTheme="minorEastAsia" w:cstheme="minorEastAsia"/>
          <w:i w:val="0"/>
          <w:iCs w:val="0"/>
          <w:caps w:val="0"/>
          <w:smallCaps w:val="0"/>
          <w:color w:val="auto"/>
          <w:sz w:val="24"/>
          <w:szCs w:val="24"/>
          <w:highlight w:val="none"/>
          <w:lang w:val="en-US" w:eastAsia="zh-CN"/>
        </w:rPr>
        <w:t>2929085.40</w:t>
      </w:r>
    </w:p>
    <w:p w14:paraId="1066A872">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default" w:ascii="Times New Roman" w:hAnsi="Times New Roman" w:eastAsia="宋体" w:cs="宋体"/>
          <w:i w:val="0"/>
          <w:iCs w:val="0"/>
          <w:caps w:val="0"/>
          <w:smallCaps w:val="0"/>
          <w:color w:val="FF0000"/>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5、采购需求：在胜境街道后矿社区实施大河乌猪肉制品加工设施建设。建设内容:1、建设大河乌猪生态食用油脂提炼及油渣、乌猪系列副食品加工车间一间160平方米，土建及墙体改造，墙体无菌净化板，车间内地面排水及无菌地面地砖，水电安装及蒸汽排放1个，容器清洗台2个电加热夹层锅，精炼罐、灌装罐等配套设备购置以及安装；2、对大河乌猪肉制品加工所有车间实施生产污水排放及改造给排水工程。其中将现有车间外围明沟(20厘米)扩建到40厘米宽的暗管排放到隔油池，长度800米，增加120立方米三级隔油池，加过滤网及抽污设备；3、实施厂区生产用水水质提升，增加60立方米蓄水池2个，增加一组日净化能力达100立方米的自来水净化设备以及大功率增压泵2组。</w:t>
      </w:r>
    </w:p>
    <w:p w14:paraId="0DC16ADC">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6、合同履行期限（施工工期）：90日历天。</w:t>
      </w:r>
    </w:p>
    <w:p w14:paraId="0F78B6F4">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default"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7、质量要求：满足设计要求和国家及行业现行有关规程、规范及强制性标准的技术要求，达到验收标准，一次验收合格</w:t>
      </w:r>
      <w:r>
        <w:rPr>
          <w:rFonts w:hint="eastAsia" w:ascii="Times New Roman" w:hAnsi="Times New Roman" w:eastAsia="宋体" w:cs="宋体"/>
          <w:i w:val="0"/>
          <w:iCs w:val="0"/>
          <w:caps w:val="0"/>
          <w:smallCaps w:val="0"/>
          <w:color w:val="auto"/>
          <w:sz w:val="24"/>
          <w:szCs w:val="24"/>
          <w:highlight w:val="none"/>
          <w:lang w:eastAsia="zh-CN"/>
        </w:rPr>
        <w:t>。</w:t>
      </w:r>
    </w:p>
    <w:p w14:paraId="082D6111">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8、验收标准：按照甲乙双方签订的合同、工程质量书等相关要求及国家工程建设标准规范标准进行验收。</w:t>
      </w:r>
    </w:p>
    <w:p w14:paraId="50424CDB">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9、质保期：屋面防水工程、有防水要求的卫生间、房间和外墙面的防渗为5年；装修工程为2年；电气管线、给排水管道、设备安装工程为2年。</w:t>
      </w:r>
    </w:p>
    <w:p w14:paraId="670B81AC">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Times New Roman" w:hAnsi="Times New Roman" w:eastAsia="宋体" w:cs="宋体"/>
          <w:b/>
          <w:bCs/>
          <w:i w:val="0"/>
          <w:iCs w:val="0"/>
          <w:caps w:val="0"/>
          <w:smallCaps w:val="0"/>
          <w:color w:val="auto"/>
          <w:sz w:val="24"/>
          <w:szCs w:val="24"/>
          <w:highlight w:val="none"/>
          <w:lang w:val="en-US" w:eastAsia="zh-CN"/>
        </w:rPr>
      </w:pPr>
      <w:r>
        <w:rPr>
          <w:rFonts w:hint="eastAsia" w:ascii="Times New Roman" w:hAnsi="Times New Roman" w:eastAsia="宋体" w:cs="宋体"/>
          <w:b/>
          <w:bCs/>
          <w:i w:val="0"/>
          <w:iCs w:val="0"/>
          <w:caps w:val="0"/>
          <w:smallCaps w:val="0"/>
          <w:color w:val="auto"/>
          <w:sz w:val="24"/>
          <w:szCs w:val="24"/>
          <w:highlight w:val="none"/>
          <w:lang w:val="en-US" w:eastAsia="zh-CN"/>
        </w:rPr>
        <w:t>二、工程要求</w:t>
      </w:r>
    </w:p>
    <w:p w14:paraId="0E257F94">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1、供应商应符合有关国家法律法规，具备相关资质并严格按照国家现行工程建设标准规范、安全管理规范建设工程，包括建筑物装修、结构、给排水、强弱电、暖通、安防、消防、内部环境等按照施工图进行装修施工；</w:t>
      </w:r>
    </w:p>
    <w:p w14:paraId="3434EF1C">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2、严格按照国家现行工程建设标准规范、安全管理规范，按照施工图设计要求完成拆除、装修工程；确保满足项目使用需求及功能满足；达到本工程项目中列明的技术质量要求，完工工程必须符合相关建设等行业管理部门的有关规定一次验收合格。</w:t>
      </w:r>
    </w:p>
    <w:p w14:paraId="269DCB14">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3、成交供应商在合同履行期间非经采购人同意不得更换磋商时的项目管理机构配备情况表中项目经理、技术负责人及主要管理人员。</w:t>
      </w:r>
    </w:p>
    <w:p w14:paraId="6CDEBACA">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4、不得借用其他企业资质或以其他弄虚作假的方式参与磋商，以借用资质或以其他弄虚作假的方式骗取成交的成交无效，并赔偿因此给采购人造成的经济损失和承担相应的法律责任；</w:t>
      </w:r>
    </w:p>
    <w:p w14:paraId="3B86FCC1">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5、拟投入主要施工机械设备情况：须满足本工程施工需要；</w:t>
      </w:r>
    </w:p>
    <w:p w14:paraId="4C8BFC57">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6、安全文明施工要求：有施工过程中对安全文明施工的专项说明；</w:t>
      </w:r>
    </w:p>
    <w:p w14:paraId="45B3F16A">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7、工期保证要求：有工期保证的相关措施说明；</w:t>
      </w:r>
    </w:p>
    <w:p w14:paraId="311F526C">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8、环境保护要求：有在施工工程中对环境保护措施的专项说明；</w:t>
      </w:r>
    </w:p>
    <w:p w14:paraId="1C843C4D">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Times New Roman" w:hAnsi="Times New Roman" w:eastAsia="宋体" w:cs="宋体"/>
          <w:b/>
          <w:bCs/>
          <w:i w:val="0"/>
          <w:iCs w:val="0"/>
          <w:caps w:val="0"/>
          <w:smallCaps w:val="0"/>
          <w:color w:val="auto"/>
          <w:sz w:val="24"/>
          <w:szCs w:val="24"/>
          <w:highlight w:val="none"/>
          <w:lang w:val="en-US" w:eastAsia="zh-CN"/>
        </w:rPr>
      </w:pPr>
      <w:r>
        <w:rPr>
          <w:rFonts w:hint="eastAsia" w:ascii="Times New Roman" w:hAnsi="Times New Roman" w:eastAsia="宋体" w:cs="宋体"/>
          <w:b/>
          <w:bCs/>
          <w:i w:val="0"/>
          <w:iCs w:val="0"/>
          <w:caps w:val="0"/>
          <w:smallCaps w:val="0"/>
          <w:color w:val="auto"/>
          <w:sz w:val="24"/>
          <w:szCs w:val="24"/>
          <w:highlight w:val="none"/>
          <w:lang w:val="en-US" w:eastAsia="zh-CN"/>
        </w:rPr>
        <w:t>三、施工项目管理人员最低人员配置要求</w:t>
      </w:r>
    </w:p>
    <w:tbl>
      <w:tblPr>
        <w:tblStyle w:val="28"/>
        <w:tblpPr w:leftFromText="180" w:rightFromText="180" w:vertAnchor="text" w:horzAnchor="page" w:tblpX="1585" w:tblpY="406"/>
        <w:tblOverlap w:val="never"/>
        <w:tblW w:w="8941" w:type="dxa"/>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2759"/>
        <w:gridCol w:w="2146"/>
        <w:gridCol w:w="2018"/>
        <w:gridCol w:w="2018"/>
      </w:tblGrid>
      <w:tr w14:paraId="282DC456">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559" w:hRule="atLeast"/>
        </w:trPr>
        <w:tc>
          <w:tcPr>
            <w:tcW w:w="2759" w:type="dxa"/>
            <w:vAlign w:val="center"/>
          </w:tcPr>
          <w:p w14:paraId="427CB187">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专业岗位</w:t>
            </w:r>
          </w:p>
        </w:tc>
        <w:tc>
          <w:tcPr>
            <w:tcW w:w="2146" w:type="dxa"/>
            <w:vAlign w:val="center"/>
          </w:tcPr>
          <w:p w14:paraId="2E6A4277">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人员数量最低要求</w:t>
            </w:r>
          </w:p>
        </w:tc>
        <w:tc>
          <w:tcPr>
            <w:tcW w:w="2018" w:type="dxa"/>
            <w:vAlign w:val="center"/>
          </w:tcPr>
          <w:p w14:paraId="23C0E88E">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岗位资格要求</w:t>
            </w:r>
          </w:p>
        </w:tc>
        <w:tc>
          <w:tcPr>
            <w:tcW w:w="2018" w:type="dxa"/>
            <w:vAlign w:val="center"/>
          </w:tcPr>
          <w:p w14:paraId="6B3647BB">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岗位要求</w:t>
            </w:r>
          </w:p>
        </w:tc>
      </w:tr>
      <w:tr w14:paraId="0A6546DA">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2759" w:type="dxa"/>
            <w:vAlign w:val="center"/>
          </w:tcPr>
          <w:p w14:paraId="5683CCBF">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项目经理</w:t>
            </w:r>
          </w:p>
        </w:tc>
        <w:tc>
          <w:tcPr>
            <w:tcW w:w="2146" w:type="dxa"/>
            <w:vAlign w:val="center"/>
          </w:tcPr>
          <w:p w14:paraId="40B76426">
            <w:pPr>
              <w:spacing w:line="240" w:lineRule="exact"/>
              <w:jc w:val="center"/>
              <w:rPr>
                <w:rFonts w:ascii="宋体" w:hAnsi="宋体" w:cs="宋体"/>
                <w:color w:val="auto"/>
                <w:sz w:val="24"/>
                <w:szCs w:val="24"/>
                <w:highlight w:val="none"/>
              </w:rPr>
            </w:pPr>
            <w:r>
              <w:rPr>
                <w:color w:val="auto"/>
                <w:sz w:val="24"/>
                <w:szCs w:val="24"/>
                <w:highlight w:val="none"/>
              </w:rPr>
              <w:fldChar w:fldCharType="begin"/>
            </w:r>
            <w:r>
              <w:rPr>
                <w:color w:val="auto"/>
                <w:sz w:val="24"/>
                <w:szCs w:val="24"/>
                <w:highlight w:val="none"/>
              </w:rPr>
              <w:instrText xml:space="preserve"> AUTOTEXT  input538 \* MERGEFORMAT </w:instrText>
            </w:r>
            <w:r>
              <w:rPr>
                <w:color w:val="auto"/>
                <w:sz w:val="24"/>
                <w:szCs w:val="24"/>
                <w:highlight w:val="none"/>
              </w:rPr>
              <w:fldChar w:fldCharType="separate"/>
            </w:r>
            <w:r>
              <w:rPr>
                <w:rFonts w:hint="eastAsia" w:ascii="宋体" w:hAnsi="宋体" w:cs="宋体"/>
                <w:color w:val="auto"/>
                <w:sz w:val="24"/>
                <w:szCs w:val="24"/>
                <w:highlight w:val="none"/>
              </w:rPr>
              <w:t>1</w:t>
            </w:r>
            <w:r>
              <w:rPr>
                <w:rFonts w:ascii="宋体" w:hAnsi="宋体" w:cs="宋体"/>
                <w:color w:val="auto"/>
                <w:sz w:val="24"/>
                <w:szCs w:val="24"/>
                <w:highlight w:val="none"/>
              </w:rPr>
              <w:fldChar w:fldCharType="end"/>
            </w:r>
          </w:p>
        </w:tc>
        <w:tc>
          <w:tcPr>
            <w:tcW w:w="2018" w:type="dxa"/>
            <w:vAlign w:val="center"/>
          </w:tcPr>
          <w:p w14:paraId="6EC27E9F">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是：</w:t>
            </w:r>
            <w:r>
              <w:rPr>
                <w:color w:val="auto"/>
                <w:sz w:val="24"/>
                <w:szCs w:val="24"/>
                <w:highlight w:val="none"/>
              </w:rPr>
              <w:fldChar w:fldCharType="begin"/>
            </w:r>
            <w:r>
              <w:rPr>
                <w:color w:val="auto"/>
                <w:sz w:val="24"/>
                <w:szCs w:val="24"/>
                <w:highlight w:val="none"/>
              </w:rPr>
              <w:instrText xml:space="preserve"> AUTOTEXT  input539 \* MERGEFORMAT </w:instrText>
            </w:r>
            <w:r>
              <w:rPr>
                <w:color w:val="auto"/>
                <w:sz w:val="24"/>
                <w:szCs w:val="24"/>
                <w:highlight w:val="none"/>
              </w:rPr>
              <w:fldChar w:fldCharType="separate"/>
            </w:r>
            <w:r>
              <w:rPr>
                <w:rFonts w:ascii="Segoe UI Symbol" w:hAnsi="Segoe UI Symbol" w:cs="Segoe UI Symbol"/>
                <w:color w:val="auto"/>
                <w:sz w:val="24"/>
                <w:szCs w:val="24"/>
                <w:highlight w:val="none"/>
              </w:rPr>
              <w:t>☑</w:t>
            </w:r>
            <w:r>
              <w:rPr>
                <w:rFonts w:ascii="Segoe UI Symbol" w:hAnsi="Segoe UI Symbol" w:cs="Segoe UI Symbol"/>
                <w:color w:val="auto"/>
                <w:sz w:val="24"/>
                <w:szCs w:val="24"/>
                <w:highlight w:val="none"/>
              </w:rPr>
              <w:fldChar w:fldCharType="end"/>
            </w:r>
          </w:p>
          <w:p w14:paraId="79AC8063">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否：</w:t>
            </w:r>
            <w:r>
              <w:rPr>
                <w:color w:val="auto"/>
                <w:sz w:val="24"/>
                <w:szCs w:val="24"/>
                <w:highlight w:val="none"/>
              </w:rPr>
              <w:fldChar w:fldCharType="begin"/>
            </w:r>
            <w:r>
              <w:rPr>
                <w:color w:val="auto"/>
                <w:sz w:val="24"/>
                <w:szCs w:val="24"/>
                <w:highlight w:val="none"/>
              </w:rPr>
              <w:instrText xml:space="preserve"> AUTOTEXT  input540 \* MERGEFORMAT </w:instrText>
            </w:r>
            <w:r>
              <w:rPr>
                <w:color w:val="auto"/>
                <w:sz w:val="24"/>
                <w:szCs w:val="24"/>
                <w:highlight w:val="none"/>
              </w:rPr>
              <w:fldChar w:fldCharType="separate"/>
            </w:r>
            <w:r>
              <w:rPr>
                <w:rFonts w:hint="eastAsia" w:ascii="宋体" w:hAnsi="宋体" w:cs="宋体"/>
                <w:color w:val="auto"/>
                <w:sz w:val="24"/>
                <w:szCs w:val="24"/>
                <w:highlight w:val="none"/>
              </w:rPr>
              <w:t>□</w:t>
            </w:r>
            <w:r>
              <w:rPr>
                <w:rFonts w:ascii="宋体" w:hAnsi="宋体" w:cs="宋体"/>
                <w:color w:val="auto"/>
                <w:sz w:val="24"/>
                <w:szCs w:val="24"/>
                <w:highlight w:val="none"/>
              </w:rPr>
              <w:fldChar w:fldCharType="end"/>
            </w:r>
          </w:p>
        </w:tc>
        <w:tc>
          <w:tcPr>
            <w:tcW w:w="2018" w:type="dxa"/>
            <w:vAlign w:val="center"/>
          </w:tcPr>
          <w:p w14:paraId="300DE9D4">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专职：</w:t>
            </w:r>
            <w:r>
              <w:rPr>
                <w:color w:val="auto"/>
                <w:sz w:val="24"/>
                <w:szCs w:val="24"/>
                <w:highlight w:val="none"/>
              </w:rPr>
              <w:fldChar w:fldCharType="begin"/>
            </w:r>
            <w:r>
              <w:rPr>
                <w:color w:val="auto"/>
                <w:sz w:val="24"/>
                <w:szCs w:val="24"/>
                <w:highlight w:val="none"/>
              </w:rPr>
              <w:instrText xml:space="preserve"> AUTOTEXT  input541 \* MERGEFORMAT </w:instrText>
            </w:r>
            <w:r>
              <w:rPr>
                <w:color w:val="auto"/>
                <w:sz w:val="24"/>
                <w:szCs w:val="24"/>
                <w:highlight w:val="none"/>
              </w:rPr>
              <w:fldChar w:fldCharType="separate"/>
            </w:r>
            <w:r>
              <w:rPr>
                <w:rFonts w:ascii="Segoe UI Symbol" w:hAnsi="Segoe UI Symbol" w:cs="Segoe UI Symbol"/>
                <w:color w:val="auto"/>
                <w:sz w:val="24"/>
                <w:szCs w:val="24"/>
                <w:highlight w:val="none"/>
              </w:rPr>
              <w:t>☑</w:t>
            </w:r>
            <w:r>
              <w:rPr>
                <w:rFonts w:ascii="Segoe UI Symbol" w:hAnsi="Segoe UI Symbol" w:cs="Segoe UI Symbol"/>
                <w:color w:val="auto"/>
                <w:sz w:val="24"/>
                <w:szCs w:val="24"/>
                <w:highlight w:val="none"/>
              </w:rPr>
              <w:fldChar w:fldCharType="end"/>
            </w:r>
          </w:p>
          <w:p w14:paraId="39D196EA">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可兼任：</w:t>
            </w:r>
            <w:r>
              <w:rPr>
                <w:color w:val="auto"/>
                <w:sz w:val="24"/>
                <w:szCs w:val="24"/>
                <w:highlight w:val="none"/>
              </w:rPr>
              <w:fldChar w:fldCharType="begin"/>
            </w:r>
            <w:r>
              <w:rPr>
                <w:color w:val="auto"/>
                <w:sz w:val="24"/>
                <w:szCs w:val="24"/>
                <w:highlight w:val="none"/>
              </w:rPr>
              <w:instrText xml:space="preserve"> AUTOTEXT  input542 \* MERGEFORMAT </w:instrText>
            </w:r>
            <w:r>
              <w:rPr>
                <w:color w:val="auto"/>
                <w:sz w:val="24"/>
                <w:szCs w:val="24"/>
                <w:highlight w:val="none"/>
              </w:rPr>
              <w:fldChar w:fldCharType="separate"/>
            </w:r>
            <w:r>
              <w:rPr>
                <w:rFonts w:hint="eastAsia" w:ascii="宋体" w:hAnsi="宋体" w:cs="宋体"/>
                <w:color w:val="auto"/>
                <w:sz w:val="24"/>
                <w:szCs w:val="24"/>
                <w:highlight w:val="none"/>
              </w:rPr>
              <w:t>□</w:t>
            </w:r>
            <w:r>
              <w:rPr>
                <w:rFonts w:ascii="宋体" w:hAnsi="宋体" w:cs="宋体"/>
                <w:color w:val="auto"/>
                <w:sz w:val="24"/>
                <w:szCs w:val="24"/>
                <w:highlight w:val="none"/>
              </w:rPr>
              <w:fldChar w:fldCharType="end"/>
            </w:r>
          </w:p>
        </w:tc>
      </w:tr>
      <w:tr w14:paraId="4C2C5C0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2759" w:type="dxa"/>
            <w:vAlign w:val="center"/>
          </w:tcPr>
          <w:p w14:paraId="4F0CE2B9">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技术负责人</w:t>
            </w:r>
          </w:p>
        </w:tc>
        <w:tc>
          <w:tcPr>
            <w:tcW w:w="2146" w:type="dxa"/>
            <w:vAlign w:val="center"/>
          </w:tcPr>
          <w:p w14:paraId="355D5466">
            <w:pPr>
              <w:spacing w:line="240" w:lineRule="exact"/>
              <w:jc w:val="center"/>
              <w:rPr>
                <w:rFonts w:ascii="宋体" w:hAnsi="宋体" w:cs="宋体"/>
                <w:color w:val="auto"/>
                <w:sz w:val="24"/>
                <w:szCs w:val="24"/>
                <w:highlight w:val="none"/>
              </w:rPr>
            </w:pPr>
            <w:r>
              <w:rPr>
                <w:color w:val="auto"/>
                <w:sz w:val="24"/>
                <w:szCs w:val="24"/>
                <w:highlight w:val="none"/>
              </w:rPr>
              <w:fldChar w:fldCharType="begin"/>
            </w:r>
            <w:r>
              <w:rPr>
                <w:color w:val="auto"/>
                <w:sz w:val="24"/>
                <w:szCs w:val="24"/>
                <w:highlight w:val="none"/>
              </w:rPr>
              <w:instrText xml:space="preserve"> AUTOTEXT  input544 \* MERGEFORMAT </w:instrText>
            </w:r>
            <w:r>
              <w:rPr>
                <w:color w:val="auto"/>
                <w:sz w:val="24"/>
                <w:szCs w:val="24"/>
                <w:highlight w:val="none"/>
              </w:rPr>
              <w:fldChar w:fldCharType="separate"/>
            </w:r>
            <w:r>
              <w:rPr>
                <w:rFonts w:hint="eastAsia" w:ascii="宋体" w:hAnsi="宋体" w:cs="宋体"/>
                <w:color w:val="auto"/>
                <w:sz w:val="24"/>
                <w:szCs w:val="24"/>
                <w:highlight w:val="none"/>
              </w:rPr>
              <w:t>1</w:t>
            </w:r>
            <w:r>
              <w:rPr>
                <w:rFonts w:ascii="宋体" w:hAnsi="宋体" w:cs="宋体"/>
                <w:color w:val="auto"/>
                <w:sz w:val="24"/>
                <w:szCs w:val="24"/>
                <w:highlight w:val="none"/>
              </w:rPr>
              <w:fldChar w:fldCharType="end"/>
            </w:r>
          </w:p>
        </w:tc>
        <w:tc>
          <w:tcPr>
            <w:tcW w:w="2018" w:type="dxa"/>
            <w:vAlign w:val="center"/>
          </w:tcPr>
          <w:p w14:paraId="28BF5F89">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是：</w:t>
            </w:r>
            <w:r>
              <w:rPr>
                <w:color w:val="auto"/>
                <w:sz w:val="24"/>
                <w:szCs w:val="24"/>
                <w:highlight w:val="none"/>
              </w:rPr>
              <w:fldChar w:fldCharType="begin"/>
            </w:r>
            <w:r>
              <w:rPr>
                <w:color w:val="auto"/>
                <w:sz w:val="24"/>
                <w:szCs w:val="24"/>
                <w:highlight w:val="none"/>
              </w:rPr>
              <w:instrText xml:space="preserve"> AUTOTEXT  input545 \* MERGEFORMAT </w:instrText>
            </w:r>
            <w:r>
              <w:rPr>
                <w:color w:val="auto"/>
                <w:sz w:val="24"/>
                <w:szCs w:val="24"/>
                <w:highlight w:val="none"/>
              </w:rPr>
              <w:fldChar w:fldCharType="separate"/>
            </w:r>
            <w:r>
              <w:rPr>
                <w:rFonts w:ascii="Segoe UI Symbol" w:hAnsi="Segoe UI Symbol" w:cs="Segoe UI Symbol"/>
                <w:color w:val="auto"/>
                <w:sz w:val="24"/>
                <w:szCs w:val="24"/>
                <w:highlight w:val="none"/>
              </w:rPr>
              <w:t>☑</w:t>
            </w:r>
            <w:r>
              <w:rPr>
                <w:rFonts w:ascii="Segoe UI Symbol" w:hAnsi="Segoe UI Symbol" w:cs="Segoe UI Symbol"/>
                <w:color w:val="auto"/>
                <w:sz w:val="24"/>
                <w:szCs w:val="24"/>
                <w:highlight w:val="none"/>
              </w:rPr>
              <w:fldChar w:fldCharType="end"/>
            </w:r>
          </w:p>
          <w:p w14:paraId="74CDCA75">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否：</w:t>
            </w:r>
            <w:r>
              <w:rPr>
                <w:color w:val="auto"/>
                <w:sz w:val="24"/>
                <w:szCs w:val="24"/>
                <w:highlight w:val="none"/>
              </w:rPr>
              <w:fldChar w:fldCharType="begin"/>
            </w:r>
            <w:r>
              <w:rPr>
                <w:color w:val="auto"/>
                <w:sz w:val="24"/>
                <w:szCs w:val="24"/>
                <w:highlight w:val="none"/>
              </w:rPr>
              <w:instrText xml:space="preserve"> AUTOTEXT  input546 \* MERGEFORMAT </w:instrText>
            </w:r>
            <w:r>
              <w:rPr>
                <w:color w:val="auto"/>
                <w:sz w:val="24"/>
                <w:szCs w:val="24"/>
                <w:highlight w:val="none"/>
              </w:rPr>
              <w:fldChar w:fldCharType="separate"/>
            </w:r>
            <w:r>
              <w:rPr>
                <w:rFonts w:hint="eastAsia" w:ascii="宋体" w:hAnsi="宋体" w:cs="宋体"/>
                <w:color w:val="auto"/>
                <w:sz w:val="24"/>
                <w:szCs w:val="24"/>
                <w:highlight w:val="none"/>
              </w:rPr>
              <w:t>□</w:t>
            </w:r>
            <w:r>
              <w:rPr>
                <w:rFonts w:ascii="宋体" w:hAnsi="宋体" w:cs="宋体"/>
                <w:color w:val="auto"/>
                <w:sz w:val="24"/>
                <w:szCs w:val="24"/>
                <w:highlight w:val="none"/>
              </w:rPr>
              <w:fldChar w:fldCharType="end"/>
            </w:r>
          </w:p>
        </w:tc>
        <w:tc>
          <w:tcPr>
            <w:tcW w:w="2018" w:type="dxa"/>
            <w:vAlign w:val="center"/>
          </w:tcPr>
          <w:p w14:paraId="463C12C9">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专职：</w:t>
            </w:r>
            <w:r>
              <w:rPr>
                <w:color w:val="auto"/>
                <w:sz w:val="24"/>
                <w:szCs w:val="24"/>
                <w:highlight w:val="none"/>
              </w:rPr>
              <w:fldChar w:fldCharType="begin"/>
            </w:r>
            <w:r>
              <w:rPr>
                <w:color w:val="auto"/>
                <w:sz w:val="24"/>
                <w:szCs w:val="24"/>
                <w:highlight w:val="none"/>
              </w:rPr>
              <w:instrText xml:space="preserve"> AUTOTEXT  input541 \* MERGEFORMAT </w:instrText>
            </w:r>
            <w:r>
              <w:rPr>
                <w:color w:val="auto"/>
                <w:sz w:val="24"/>
                <w:szCs w:val="24"/>
                <w:highlight w:val="none"/>
              </w:rPr>
              <w:fldChar w:fldCharType="separate"/>
            </w:r>
            <w:r>
              <w:rPr>
                <w:rFonts w:ascii="Segoe UI Symbol" w:hAnsi="Segoe UI Symbol" w:cs="Segoe UI Symbol"/>
                <w:color w:val="auto"/>
                <w:sz w:val="24"/>
                <w:szCs w:val="24"/>
                <w:highlight w:val="none"/>
              </w:rPr>
              <w:t>☑</w:t>
            </w:r>
            <w:r>
              <w:rPr>
                <w:rFonts w:ascii="Segoe UI Symbol" w:hAnsi="Segoe UI Symbol" w:cs="Segoe UI Symbol"/>
                <w:color w:val="auto"/>
                <w:sz w:val="24"/>
                <w:szCs w:val="24"/>
                <w:highlight w:val="none"/>
              </w:rPr>
              <w:fldChar w:fldCharType="end"/>
            </w:r>
          </w:p>
          <w:p w14:paraId="54AD31B8">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可兼任：</w:t>
            </w:r>
            <w:r>
              <w:rPr>
                <w:color w:val="auto"/>
                <w:sz w:val="24"/>
                <w:szCs w:val="24"/>
                <w:highlight w:val="none"/>
              </w:rPr>
              <w:fldChar w:fldCharType="begin"/>
            </w:r>
            <w:r>
              <w:rPr>
                <w:color w:val="auto"/>
                <w:sz w:val="24"/>
                <w:szCs w:val="24"/>
                <w:highlight w:val="none"/>
              </w:rPr>
              <w:instrText xml:space="preserve"> AUTOTEXT  input548 \* MERGEFORMAT </w:instrText>
            </w:r>
            <w:r>
              <w:rPr>
                <w:color w:val="auto"/>
                <w:sz w:val="24"/>
                <w:szCs w:val="24"/>
                <w:highlight w:val="none"/>
              </w:rPr>
              <w:fldChar w:fldCharType="separate"/>
            </w:r>
            <w:r>
              <w:rPr>
                <w:rFonts w:hint="eastAsia" w:ascii="宋体" w:hAnsi="宋体" w:cs="宋体"/>
                <w:color w:val="auto"/>
                <w:sz w:val="24"/>
                <w:szCs w:val="24"/>
                <w:highlight w:val="none"/>
              </w:rPr>
              <w:t>□</w:t>
            </w:r>
            <w:r>
              <w:rPr>
                <w:rFonts w:ascii="宋体" w:hAnsi="宋体" w:cs="宋体"/>
                <w:color w:val="auto"/>
                <w:sz w:val="24"/>
                <w:szCs w:val="24"/>
                <w:highlight w:val="none"/>
              </w:rPr>
              <w:fldChar w:fldCharType="end"/>
            </w:r>
          </w:p>
        </w:tc>
      </w:tr>
      <w:tr w14:paraId="0586A01C">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2759" w:type="dxa"/>
            <w:vAlign w:val="center"/>
          </w:tcPr>
          <w:p w14:paraId="2CD104BD">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施工员</w:t>
            </w:r>
          </w:p>
        </w:tc>
        <w:tc>
          <w:tcPr>
            <w:tcW w:w="2146" w:type="dxa"/>
            <w:vAlign w:val="center"/>
          </w:tcPr>
          <w:p w14:paraId="6DC9B227">
            <w:pPr>
              <w:spacing w:line="240" w:lineRule="exact"/>
              <w:jc w:val="center"/>
              <w:rPr>
                <w:rFonts w:ascii="宋体" w:hAnsi="宋体" w:cs="宋体"/>
                <w:color w:val="auto"/>
                <w:sz w:val="24"/>
                <w:szCs w:val="24"/>
                <w:highlight w:val="none"/>
              </w:rPr>
            </w:pPr>
            <w:r>
              <w:rPr>
                <w:color w:val="auto"/>
                <w:sz w:val="24"/>
                <w:szCs w:val="24"/>
                <w:highlight w:val="none"/>
              </w:rPr>
              <w:fldChar w:fldCharType="begin"/>
            </w:r>
            <w:r>
              <w:rPr>
                <w:color w:val="auto"/>
                <w:sz w:val="24"/>
                <w:szCs w:val="24"/>
                <w:highlight w:val="none"/>
              </w:rPr>
              <w:instrText xml:space="preserve"> AUTOTEXT  input550 \* MERGEFORMAT </w:instrText>
            </w:r>
            <w:r>
              <w:rPr>
                <w:color w:val="auto"/>
                <w:sz w:val="24"/>
                <w:szCs w:val="24"/>
                <w:highlight w:val="none"/>
              </w:rPr>
              <w:fldChar w:fldCharType="separate"/>
            </w:r>
            <w:r>
              <w:rPr>
                <w:rFonts w:hint="eastAsia" w:ascii="宋体" w:hAnsi="宋体" w:cs="宋体"/>
                <w:color w:val="auto"/>
                <w:sz w:val="24"/>
                <w:szCs w:val="24"/>
                <w:highlight w:val="none"/>
              </w:rPr>
              <w:t>1</w:t>
            </w:r>
            <w:r>
              <w:rPr>
                <w:rFonts w:ascii="宋体" w:hAnsi="宋体" w:cs="宋体"/>
                <w:color w:val="auto"/>
                <w:sz w:val="24"/>
                <w:szCs w:val="24"/>
                <w:highlight w:val="none"/>
              </w:rPr>
              <w:fldChar w:fldCharType="end"/>
            </w:r>
          </w:p>
        </w:tc>
        <w:tc>
          <w:tcPr>
            <w:tcW w:w="2018" w:type="dxa"/>
            <w:vAlign w:val="center"/>
          </w:tcPr>
          <w:p w14:paraId="07895B3A">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是：</w:t>
            </w:r>
            <w:r>
              <w:rPr>
                <w:color w:val="auto"/>
                <w:sz w:val="24"/>
                <w:szCs w:val="24"/>
                <w:highlight w:val="none"/>
              </w:rPr>
              <w:fldChar w:fldCharType="begin"/>
            </w:r>
            <w:r>
              <w:rPr>
                <w:color w:val="auto"/>
                <w:sz w:val="24"/>
                <w:szCs w:val="24"/>
                <w:highlight w:val="none"/>
              </w:rPr>
              <w:instrText xml:space="preserve"> AUTOTEXT  input551 \* MERGEFORMAT </w:instrText>
            </w:r>
            <w:r>
              <w:rPr>
                <w:color w:val="auto"/>
                <w:sz w:val="24"/>
                <w:szCs w:val="24"/>
                <w:highlight w:val="none"/>
              </w:rPr>
              <w:fldChar w:fldCharType="separate"/>
            </w:r>
            <w:r>
              <w:rPr>
                <w:rFonts w:ascii="Segoe UI Symbol" w:hAnsi="Segoe UI Symbol" w:cs="Segoe UI Symbol"/>
                <w:color w:val="auto"/>
                <w:sz w:val="24"/>
                <w:szCs w:val="24"/>
                <w:highlight w:val="none"/>
              </w:rPr>
              <w:t>☑</w:t>
            </w:r>
            <w:r>
              <w:rPr>
                <w:rFonts w:ascii="Segoe UI Symbol" w:hAnsi="Segoe UI Symbol" w:cs="Segoe UI Symbol"/>
                <w:color w:val="auto"/>
                <w:sz w:val="24"/>
                <w:szCs w:val="24"/>
                <w:highlight w:val="none"/>
              </w:rPr>
              <w:fldChar w:fldCharType="end"/>
            </w:r>
          </w:p>
          <w:p w14:paraId="28DC99A9">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否：</w:t>
            </w:r>
            <w:r>
              <w:rPr>
                <w:color w:val="auto"/>
                <w:sz w:val="24"/>
                <w:szCs w:val="24"/>
                <w:highlight w:val="none"/>
              </w:rPr>
              <w:fldChar w:fldCharType="begin"/>
            </w:r>
            <w:r>
              <w:rPr>
                <w:color w:val="auto"/>
                <w:sz w:val="24"/>
                <w:szCs w:val="24"/>
                <w:highlight w:val="none"/>
              </w:rPr>
              <w:instrText xml:space="preserve"> AUTOTEXT  input552 \* MERGEFORMAT </w:instrText>
            </w:r>
            <w:r>
              <w:rPr>
                <w:color w:val="auto"/>
                <w:sz w:val="24"/>
                <w:szCs w:val="24"/>
                <w:highlight w:val="none"/>
              </w:rPr>
              <w:fldChar w:fldCharType="separate"/>
            </w:r>
            <w:r>
              <w:rPr>
                <w:rFonts w:hint="eastAsia" w:ascii="宋体" w:hAnsi="宋体" w:cs="宋体"/>
                <w:color w:val="auto"/>
                <w:sz w:val="24"/>
                <w:szCs w:val="24"/>
                <w:highlight w:val="none"/>
              </w:rPr>
              <w:t>□</w:t>
            </w:r>
            <w:r>
              <w:rPr>
                <w:rFonts w:ascii="宋体" w:hAnsi="宋体" w:cs="宋体"/>
                <w:color w:val="auto"/>
                <w:sz w:val="24"/>
                <w:szCs w:val="24"/>
                <w:highlight w:val="none"/>
              </w:rPr>
              <w:fldChar w:fldCharType="end"/>
            </w:r>
          </w:p>
        </w:tc>
        <w:tc>
          <w:tcPr>
            <w:tcW w:w="2018" w:type="dxa"/>
            <w:vAlign w:val="center"/>
          </w:tcPr>
          <w:p w14:paraId="429E5BBE">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专职：</w:t>
            </w:r>
            <w:r>
              <w:rPr>
                <w:color w:val="auto"/>
                <w:sz w:val="24"/>
                <w:szCs w:val="24"/>
                <w:highlight w:val="none"/>
              </w:rPr>
              <w:fldChar w:fldCharType="begin"/>
            </w:r>
            <w:r>
              <w:rPr>
                <w:color w:val="auto"/>
                <w:sz w:val="24"/>
                <w:szCs w:val="24"/>
                <w:highlight w:val="none"/>
              </w:rPr>
              <w:instrText xml:space="preserve"> AUTOTEXT  input553 \* MERGEFORMAT </w:instrText>
            </w:r>
            <w:r>
              <w:rPr>
                <w:color w:val="auto"/>
                <w:sz w:val="24"/>
                <w:szCs w:val="24"/>
                <w:highlight w:val="none"/>
              </w:rPr>
              <w:fldChar w:fldCharType="separate"/>
            </w:r>
            <w:r>
              <w:rPr>
                <w:rFonts w:ascii="Segoe UI Symbol" w:hAnsi="Segoe UI Symbol" w:cs="Segoe UI Symbol"/>
                <w:color w:val="auto"/>
                <w:sz w:val="24"/>
                <w:szCs w:val="24"/>
                <w:highlight w:val="none"/>
              </w:rPr>
              <w:t>☑</w:t>
            </w:r>
            <w:r>
              <w:rPr>
                <w:rFonts w:ascii="Segoe UI Symbol" w:hAnsi="Segoe UI Symbol" w:cs="Segoe UI Symbol"/>
                <w:color w:val="auto"/>
                <w:sz w:val="24"/>
                <w:szCs w:val="24"/>
                <w:highlight w:val="none"/>
              </w:rPr>
              <w:fldChar w:fldCharType="end"/>
            </w:r>
          </w:p>
          <w:p w14:paraId="4101F1F8">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可兼任：</w:t>
            </w:r>
            <w:r>
              <w:rPr>
                <w:color w:val="auto"/>
                <w:sz w:val="24"/>
                <w:szCs w:val="24"/>
                <w:highlight w:val="none"/>
              </w:rPr>
              <w:fldChar w:fldCharType="begin"/>
            </w:r>
            <w:r>
              <w:rPr>
                <w:color w:val="auto"/>
                <w:sz w:val="24"/>
                <w:szCs w:val="24"/>
                <w:highlight w:val="none"/>
              </w:rPr>
              <w:instrText xml:space="preserve"> AUTOTEXT  input554 \* MERGEFORMAT </w:instrText>
            </w:r>
            <w:r>
              <w:rPr>
                <w:color w:val="auto"/>
                <w:sz w:val="24"/>
                <w:szCs w:val="24"/>
                <w:highlight w:val="none"/>
              </w:rPr>
              <w:fldChar w:fldCharType="separate"/>
            </w:r>
            <w:r>
              <w:rPr>
                <w:rFonts w:hint="eastAsia" w:ascii="宋体" w:hAnsi="宋体" w:cs="宋体"/>
                <w:color w:val="auto"/>
                <w:sz w:val="24"/>
                <w:szCs w:val="24"/>
                <w:highlight w:val="none"/>
              </w:rPr>
              <w:t>□</w:t>
            </w:r>
            <w:r>
              <w:rPr>
                <w:rFonts w:ascii="宋体" w:hAnsi="宋体" w:cs="宋体"/>
                <w:color w:val="auto"/>
                <w:sz w:val="24"/>
                <w:szCs w:val="24"/>
                <w:highlight w:val="none"/>
              </w:rPr>
              <w:fldChar w:fldCharType="end"/>
            </w:r>
          </w:p>
        </w:tc>
      </w:tr>
      <w:tr w14:paraId="4E2A3B7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2759" w:type="dxa"/>
            <w:vAlign w:val="center"/>
          </w:tcPr>
          <w:p w14:paraId="238501C7">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安全员</w:t>
            </w:r>
          </w:p>
        </w:tc>
        <w:tc>
          <w:tcPr>
            <w:tcW w:w="2146" w:type="dxa"/>
            <w:vAlign w:val="center"/>
          </w:tcPr>
          <w:p w14:paraId="5990D3B9">
            <w:pPr>
              <w:spacing w:line="240" w:lineRule="exact"/>
              <w:jc w:val="center"/>
              <w:rPr>
                <w:rFonts w:ascii="宋体" w:hAnsi="宋体" w:cs="宋体"/>
                <w:color w:val="auto"/>
                <w:sz w:val="24"/>
                <w:szCs w:val="24"/>
                <w:highlight w:val="none"/>
              </w:rPr>
            </w:pPr>
            <w:r>
              <w:rPr>
                <w:color w:val="auto"/>
                <w:sz w:val="24"/>
                <w:szCs w:val="24"/>
                <w:highlight w:val="none"/>
              </w:rPr>
              <w:fldChar w:fldCharType="begin"/>
            </w:r>
            <w:r>
              <w:rPr>
                <w:color w:val="auto"/>
                <w:sz w:val="24"/>
                <w:szCs w:val="24"/>
                <w:highlight w:val="none"/>
              </w:rPr>
              <w:instrText xml:space="preserve"> AUTOTEXT  input556 \* MERGEFORMAT </w:instrText>
            </w:r>
            <w:r>
              <w:rPr>
                <w:color w:val="auto"/>
                <w:sz w:val="24"/>
                <w:szCs w:val="24"/>
                <w:highlight w:val="none"/>
              </w:rPr>
              <w:fldChar w:fldCharType="separate"/>
            </w:r>
            <w:r>
              <w:rPr>
                <w:rFonts w:hint="eastAsia" w:ascii="宋体" w:hAnsi="宋体" w:cs="宋体"/>
                <w:color w:val="auto"/>
                <w:sz w:val="24"/>
                <w:szCs w:val="24"/>
                <w:highlight w:val="none"/>
              </w:rPr>
              <w:t>1</w:t>
            </w:r>
            <w:r>
              <w:rPr>
                <w:rFonts w:ascii="宋体" w:hAnsi="宋体" w:cs="宋体"/>
                <w:color w:val="auto"/>
                <w:sz w:val="24"/>
                <w:szCs w:val="24"/>
                <w:highlight w:val="none"/>
              </w:rPr>
              <w:fldChar w:fldCharType="end"/>
            </w:r>
          </w:p>
        </w:tc>
        <w:tc>
          <w:tcPr>
            <w:tcW w:w="2018" w:type="dxa"/>
            <w:vAlign w:val="center"/>
          </w:tcPr>
          <w:p w14:paraId="672CF0B6">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是：</w:t>
            </w:r>
            <w:r>
              <w:rPr>
                <w:color w:val="auto"/>
                <w:sz w:val="24"/>
                <w:szCs w:val="24"/>
                <w:highlight w:val="none"/>
              </w:rPr>
              <w:fldChar w:fldCharType="begin"/>
            </w:r>
            <w:r>
              <w:rPr>
                <w:color w:val="auto"/>
                <w:sz w:val="24"/>
                <w:szCs w:val="24"/>
                <w:highlight w:val="none"/>
              </w:rPr>
              <w:instrText xml:space="preserve"> AUTOTEXT  input557 \* MERGEFORMAT </w:instrText>
            </w:r>
            <w:r>
              <w:rPr>
                <w:color w:val="auto"/>
                <w:sz w:val="24"/>
                <w:szCs w:val="24"/>
                <w:highlight w:val="none"/>
              </w:rPr>
              <w:fldChar w:fldCharType="separate"/>
            </w:r>
            <w:r>
              <w:rPr>
                <w:rFonts w:ascii="Segoe UI Symbol" w:hAnsi="Segoe UI Symbol" w:cs="Segoe UI Symbol"/>
                <w:color w:val="auto"/>
                <w:sz w:val="24"/>
                <w:szCs w:val="24"/>
                <w:highlight w:val="none"/>
              </w:rPr>
              <w:t>☑</w:t>
            </w:r>
            <w:r>
              <w:rPr>
                <w:rFonts w:ascii="Segoe UI Symbol" w:hAnsi="Segoe UI Symbol" w:cs="Segoe UI Symbol"/>
                <w:color w:val="auto"/>
                <w:sz w:val="24"/>
                <w:szCs w:val="24"/>
                <w:highlight w:val="none"/>
              </w:rPr>
              <w:fldChar w:fldCharType="end"/>
            </w:r>
          </w:p>
          <w:p w14:paraId="060A0D74">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否：</w:t>
            </w:r>
            <w:r>
              <w:rPr>
                <w:color w:val="auto"/>
                <w:sz w:val="24"/>
                <w:szCs w:val="24"/>
                <w:highlight w:val="none"/>
              </w:rPr>
              <w:fldChar w:fldCharType="begin"/>
            </w:r>
            <w:r>
              <w:rPr>
                <w:color w:val="auto"/>
                <w:sz w:val="24"/>
                <w:szCs w:val="24"/>
                <w:highlight w:val="none"/>
              </w:rPr>
              <w:instrText xml:space="preserve"> AUTOTEXT  input558 \* MERGEFORMAT </w:instrText>
            </w:r>
            <w:r>
              <w:rPr>
                <w:color w:val="auto"/>
                <w:sz w:val="24"/>
                <w:szCs w:val="24"/>
                <w:highlight w:val="none"/>
              </w:rPr>
              <w:fldChar w:fldCharType="separate"/>
            </w:r>
            <w:r>
              <w:rPr>
                <w:rFonts w:hint="eastAsia" w:ascii="宋体" w:hAnsi="宋体" w:cs="宋体"/>
                <w:color w:val="auto"/>
                <w:sz w:val="24"/>
                <w:szCs w:val="24"/>
                <w:highlight w:val="none"/>
              </w:rPr>
              <w:t>□</w:t>
            </w:r>
            <w:r>
              <w:rPr>
                <w:rFonts w:ascii="宋体" w:hAnsi="宋体" w:cs="宋体"/>
                <w:color w:val="auto"/>
                <w:sz w:val="24"/>
                <w:szCs w:val="24"/>
                <w:highlight w:val="none"/>
              </w:rPr>
              <w:fldChar w:fldCharType="end"/>
            </w:r>
          </w:p>
        </w:tc>
        <w:tc>
          <w:tcPr>
            <w:tcW w:w="2018" w:type="dxa"/>
            <w:vAlign w:val="center"/>
          </w:tcPr>
          <w:p w14:paraId="3B3593EA">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专职：</w:t>
            </w:r>
            <w:r>
              <w:rPr>
                <w:color w:val="auto"/>
                <w:sz w:val="24"/>
                <w:szCs w:val="24"/>
                <w:highlight w:val="none"/>
              </w:rPr>
              <w:fldChar w:fldCharType="begin"/>
            </w:r>
            <w:r>
              <w:rPr>
                <w:color w:val="auto"/>
                <w:sz w:val="24"/>
                <w:szCs w:val="24"/>
                <w:highlight w:val="none"/>
              </w:rPr>
              <w:instrText xml:space="preserve"> AUTOTEXT  input559 \* MERGEFORMAT </w:instrText>
            </w:r>
            <w:r>
              <w:rPr>
                <w:color w:val="auto"/>
                <w:sz w:val="24"/>
                <w:szCs w:val="24"/>
                <w:highlight w:val="none"/>
              </w:rPr>
              <w:fldChar w:fldCharType="separate"/>
            </w:r>
            <w:r>
              <w:rPr>
                <w:rFonts w:ascii="Segoe UI Symbol" w:hAnsi="Segoe UI Symbol" w:cs="Segoe UI Symbol"/>
                <w:color w:val="auto"/>
                <w:sz w:val="24"/>
                <w:szCs w:val="24"/>
                <w:highlight w:val="none"/>
              </w:rPr>
              <w:t>☑</w:t>
            </w:r>
            <w:r>
              <w:rPr>
                <w:rFonts w:ascii="Segoe UI Symbol" w:hAnsi="Segoe UI Symbol" w:cs="Segoe UI Symbol"/>
                <w:color w:val="auto"/>
                <w:sz w:val="24"/>
                <w:szCs w:val="24"/>
                <w:highlight w:val="none"/>
              </w:rPr>
              <w:fldChar w:fldCharType="end"/>
            </w:r>
          </w:p>
          <w:p w14:paraId="00F677DF">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可兼任：</w:t>
            </w:r>
            <w:r>
              <w:rPr>
                <w:color w:val="auto"/>
                <w:sz w:val="24"/>
                <w:szCs w:val="24"/>
                <w:highlight w:val="none"/>
              </w:rPr>
              <w:fldChar w:fldCharType="begin"/>
            </w:r>
            <w:r>
              <w:rPr>
                <w:color w:val="auto"/>
                <w:sz w:val="24"/>
                <w:szCs w:val="24"/>
                <w:highlight w:val="none"/>
              </w:rPr>
              <w:instrText xml:space="preserve"> AUTOTEXT  input560 \* MERGEFORMAT </w:instrText>
            </w:r>
            <w:r>
              <w:rPr>
                <w:color w:val="auto"/>
                <w:sz w:val="24"/>
                <w:szCs w:val="24"/>
                <w:highlight w:val="none"/>
              </w:rPr>
              <w:fldChar w:fldCharType="separate"/>
            </w:r>
            <w:r>
              <w:rPr>
                <w:rFonts w:hint="eastAsia" w:ascii="宋体" w:hAnsi="宋体" w:cs="宋体"/>
                <w:color w:val="auto"/>
                <w:sz w:val="24"/>
                <w:szCs w:val="24"/>
                <w:highlight w:val="none"/>
              </w:rPr>
              <w:t>□</w:t>
            </w:r>
            <w:r>
              <w:rPr>
                <w:rFonts w:ascii="宋体" w:hAnsi="宋体" w:cs="宋体"/>
                <w:color w:val="auto"/>
                <w:sz w:val="24"/>
                <w:szCs w:val="24"/>
                <w:highlight w:val="none"/>
              </w:rPr>
              <w:fldChar w:fldCharType="end"/>
            </w:r>
          </w:p>
        </w:tc>
      </w:tr>
      <w:tr w14:paraId="54463B0E">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2759" w:type="dxa"/>
            <w:vAlign w:val="center"/>
          </w:tcPr>
          <w:p w14:paraId="6DDA01F7">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质量员</w:t>
            </w:r>
          </w:p>
        </w:tc>
        <w:tc>
          <w:tcPr>
            <w:tcW w:w="2146" w:type="dxa"/>
            <w:vAlign w:val="center"/>
          </w:tcPr>
          <w:p w14:paraId="638B9A61">
            <w:pPr>
              <w:spacing w:line="240" w:lineRule="exact"/>
              <w:jc w:val="center"/>
              <w:rPr>
                <w:rFonts w:ascii="宋体" w:hAnsi="宋体" w:cs="宋体"/>
                <w:color w:val="auto"/>
                <w:sz w:val="24"/>
                <w:szCs w:val="24"/>
                <w:highlight w:val="none"/>
              </w:rPr>
            </w:pPr>
            <w:r>
              <w:rPr>
                <w:color w:val="auto"/>
                <w:sz w:val="24"/>
                <w:szCs w:val="24"/>
                <w:highlight w:val="none"/>
              </w:rPr>
              <w:fldChar w:fldCharType="begin"/>
            </w:r>
            <w:r>
              <w:rPr>
                <w:color w:val="auto"/>
                <w:sz w:val="24"/>
                <w:szCs w:val="24"/>
                <w:highlight w:val="none"/>
              </w:rPr>
              <w:instrText xml:space="preserve"> AUTOTEXT  input562 \* MERGEFORMAT </w:instrText>
            </w:r>
            <w:r>
              <w:rPr>
                <w:color w:val="auto"/>
                <w:sz w:val="24"/>
                <w:szCs w:val="24"/>
                <w:highlight w:val="none"/>
              </w:rPr>
              <w:fldChar w:fldCharType="separate"/>
            </w:r>
            <w:r>
              <w:rPr>
                <w:rFonts w:hint="eastAsia" w:ascii="宋体" w:hAnsi="宋体" w:cs="宋体"/>
                <w:color w:val="auto"/>
                <w:sz w:val="24"/>
                <w:szCs w:val="24"/>
                <w:highlight w:val="none"/>
              </w:rPr>
              <w:t>1</w:t>
            </w:r>
            <w:r>
              <w:rPr>
                <w:rFonts w:ascii="宋体" w:hAnsi="宋体" w:cs="宋体"/>
                <w:color w:val="auto"/>
                <w:sz w:val="24"/>
                <w:szCs w:val="24"/>
                <w:highlight w:val="none"/>
              </w:rPr>
              <w:fldChar w:fldCharType="end"/>
            </w:r>
          </w:p>
        </w:tc>
        <w:tc>
          <w:tcPr>
            <w:tcW w:w="2018" w:type="dxa"/>
            <w:vAlign w:val="center"/>
          </w:tcPr>
          <w:p w14:paraId="4B1E5647">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是：</w:t>
            </w:r>
            <w:r>
              <w:rPr>
                <w:color w:val="auto"/>
                <w:sz w:val="24"/>
                <w:szCs w:val="24"/>
                <w:highlight w:val="none"/>
              </w:rPr>
              <w:fldChar w:fldCharType="begin"/>
            </w:r>
            <w:r>
              <w:rPr>
                <w:color w:val="auto"/>
                <w:sz w:val="24"/>
                <w:szCs w:val="24"/>
                <w:highlight w:val="none"/>
              </w:rPr>
              <w:instrText xml:space="preserve"> AUTOTEXT  input563 \* MERGEFORMAT </w:instrText>
            </w:r>
            <w:r>
              <w:rPr>
                <w:color w:val="auto"/>
                <w:sz w:val="24"/>
                <w:szCs w:val="24"/>
                <w:highlight w:val="none"/>
              </w:rPr>
              <w:fldChar w:fldCharType="separate"/>
            </w:r>
            <w:r>
              <w:rPr>
                <w:rFonts w:ascii="Segoe UI Symbol" w:hAnsi="Segoe UI Symbol" w:cs="Segoe UI Symbol"/>
                <w:color w:val="auto"/>
                <w:sz w:val="24"/>
                <w:szCs w:val="24"/>
                <w:highlight w:val="none"/>
              </w:rPr>
              <w:t>☑</w:t>
            </w:r>
            <w:r>
              <w:rPr>
                <w:rFonts w:ascii="Segoe UI Symbol" w:hAnsi="Segoe UI Symbol" w:cs="Segoe UI Symbol"/>
                <w:color w:val="auto"/>
                <w:sz w:val="24"/>
                <w:szCs w:val="24"/>
                <w:highlight w:val="none"/>
              </w:rPr>
              <w:fldChar w:fldCharType="end"/>
            </w:r>
          </w:p>
          <w:p w14:paraId="124261E3">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否：</w:t>
            </w:r>
            <w:r>
              <w:rPr>
                <w:color w:val="auto"/>
                <w:sz w:val="24"/>
                <w:szCs w:val="24"/>
                <w:highlight w:val="none"/>
              </w:rPr>
              <w:fldChar w:fldCharType="begin"/>
            </w:r>
            <w:r>
              <w:rPr>
                <w:color w:val="auto"/>
                <w:sz w:val="24"/>
                <w:szCs w:val="24"/>
                <w:highlight w:val="none"/>
              </w:rPr>
              <w:instrText xml:space="preserve"> AUTOTEXT  input564 \* MERGEFORMAT </w:instrText>
            </w:r>
            <w:r>
              <w:rPr>
                <w:color w:val="auto"/>
                <w:sz w:val="24"/>
                <w:szCs w:val="24"/>
                <w:highlight w:val="none"/>
              </w:rPr>
              <w:fldChar w:fldCharType="separate"/>
            </w:r>
            <w:r>
              <w:rPr>
                <w:rFonts w:hint="eastAsia" w:ascii="宋体" w:hAnsi="宋体" w:cs="宋体"/>
                <w:color w:val="auto"/>
                <w:sz w:val="24"/>
                <w:szCs w:val="24"/>
                <w:highlight w:val="none"/>
              </w:rPr>
              <w:t>□</w:t>
            </w:r>
            <w:r>
              <w:rPr>
                <w:rFonts w:ascii="宋体" w:hAnsi="宋体" w:cs="宋体"/>
                <w:color w:val="auto"/>
                <w:sz w:val="24"/>
                <w:szCs w:val="24"/>
                <w:highlight w:val="none"/>
              </w:rPr>
              <w:fldChar w:fldCharType="end"/>
            </w:r>
          </w:p>
        </w:tc>
        <w:tc>
          <w:tcPr>
            <w:tcW w:w="2018" w:type="dxa"/>
            <w:vAlign w:val="center"/>
          </w:tcPr>
          <w:p w14:paraId="18D0496E">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专职：</w:t>
            </w:r>
            <w:r>
              <w:rPr>
                <w:color w:val="auto"/>
                <w:sz w:val="24"/>
                <w:szCs w:val="24"/>
                <w:highlight w:val="none"/>
              </w:rPr>
              <w:fldChar w:fldCharType="begin"/>
            </w:r>
            <w:r>
              <w:rPr>
                <w:color w:val="auto"/>
                <w:sz w:val="24"/>
                <w:szCs w:val="24"/>
                <w:highlight w:val="none"/>
              </w:rPr>
              <w:instrText xml:space="preserve"> AUTOTEXT  input565 \* MERGEFORMAT </w:instrText>
            </w:r>
            <w:r>
              <w:rPr>
                <w:color w:val="auto"/>
                <w:sz w:val="24"/>
                <w:szCs w:val="24"/>
                <w:highlight w:val="none"/>
              </w:rPr>
              <w:fldChar w:fldCharType="separate"/>
            </w:r>
            <w:r>
              <w:rPr>
                <w:rFonts w:ascii="Segoe UI Symbol" w:hAnsi="Segoe UI Symbol" w:cs="Segoe UI Symbol"/>
                <w:color w:val="auto"/>
                <w:sz w:val="24"/>
                <w:szCs w:val="24"/>
                <w:highlight w:val="none"/>
              </w:rPr>
              <w:t>☑</w:t>
            </w:r>
            <w:r>
              <w:rPr>
                <w:rFonts w:ascii="Segoe UI Symbol" w:hAnsi="Segoe UI Symbol" w:cs="Segoe UI Symbol"/>
                <w:color w:val="auto"/>
                <w:sz w:val="24"/>
                <w:szCs w:val="24"/>
                <w:highlight w:val="none"/>
              </w:rPr>
              <w:fldChar w:fldCharType="end"/>
            </w:r>
          </w:p>
          <w:p w14:paraId="5339D732">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可兼任：</w:t>
            </w:r>
            <w:r>
              <w:rPr>
                <w:color w:val="auto"/>
                <w:sz w:val="24"/>
                <w:szCs w:val="24"/>
                <w:highlight w:val="none"/>
              </w:rPr>
              <w:fldChar w:fldCharType="begin"/>
            </w:r>
            <w:r>
              <w:rPr>
                <w:color w:val="auto"/>
                <w:sz w:val="24"/>
                <w:szCs w:val="24"/>
                <w:highlight w:val="none"/>
              </w:rPr>
              <w:instrText xml:space="preserve"> AUTOTEXT  input566 \* MERGEFORMAT </w:instrText>
            </w:r>
            <w:r>
              <w:rPr>
                <w:color w:val="auto"/>
                <w:sz w:val="24"/>
                <w:szCs w:val="24"/>
                <w:highlight w:val="none"/>
              </w:rPr>
              <w:fldChar w:fldCharType="separate"/>
            </w:r>
            <w:r>
              <w:rPr>
                <w:rFonts w:hint="eastAsia" w:ascii="宋体" w:hAnsi="宋体" w:cs="宋体"/>
                <w:color w:val="auto"/>
                <w:sz w:val="24"/>
                <w:szCs w:val="24"/>
                <w:highlight w:val="none"/>
              </w:rPr>
              <w:t>□</w:t>
            </w:r>
            <w:r>
              <w:rPr>
                <w:rFonts w:ascii="宋体" w:hAnsi="宋体" w:cs="宋体"/>
                <w:color w:val="auto"/>
                <w:sz w:val="24"/>
                <w:szCs w:val="24"/>
                <w:highlight w:val="none"/>
              </w:rPr>
              <w:fldChar w:fldCharType="end"/>
            </w:r>
          </w:p>
        </w:tc>
      </w:tr>
      <w:tr w14:paraId="21019AD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2759" w:type="dxa"/>
            <w:vAlign w:val="center"/>
          </w:tcPr>
          <w:p w14:paraId="79A20EF3">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标准员</w:t>
            </w:r>
          </w:p>
        </w:tc>
        <w:tc>
          <w:tcPr>
            <w:tcW w:w="2146" w:type="dxa"/>
            <w:vAlign w:val="center"/>
          </w:tcPr>
          <w:p w14:paraId="729F122D">
            <w:pPr>
              <w:adjustRightInd w:val="0"/>
              <w:snapToGrid w:val="0"/>
              <w:spacing w:line="240" w:lineRule="exact"/>
              <w:jc w:val="center"/>
              <w:rPr>
                <w:rFonts w:ascii="宋体" w:hAnsi="宋体" w:cs="宋体"/>
                <w:color w:val="auto"/>
                <w:sz w:val="24"/>
                <w:szCs w:val="24"/>
                <w:highlight w:val="none"/>
              </w:rPr>
            </w:pPr>
            <w:r>
              <w:rPr>
                <w:color w:val="auto"/>
                <w:sz w:val="24"/>
                <w:szCs w:val="24"/>
                <w:highlight w:val="none"/>
              </w:rPr>
              <w:fldChar w:fldCharType="begin"/>
            </w:r>
            <w:r>
              <w:rPr>
                <w:color w:val="auto"/>
                <w:sz w:val="24"/>
                <w:szCs w:val="24"/>
                <w:highlight w:val="none"/>
              </w:rPr>
              <w:instrText xml:space="preserve"> AUTOTEXT  input568 \* MERGEFORMAT </w:instrText>
            </w:r>
            <w:r>
              <w:rPr>
                <w:color w:val="auto"/>
                <w:sz w:val="24"/>
                <w:szCs w:val="24"/>
                <w:highlight w:val="none"/>
              </w:rPr>
              <w:fldChar w:fldCharType="separate"/>
            </w:r>
            <w:r>
              <w:rPr>
                <w:rFonts w:hint="eastAsia" w:ascii="宋体" w:hAnsi="宋体" w:cs="宋体"/>
                <w:color w:val="auto"/>
                <w:sz w:val="24"/>
                <w:szCs w:val="24"/>
                <w:highlight w:val="none"/>
              </w:rPr>
              <w:t>1</w:t>
            </w:r>
            <w:r>
              <w:rPr>
                <w:rFonts w:ascii="宋体" w:hAnsi="宋体" w:cs="宋体"/>
                <w:color w:val="auto"/>
                <w:sz w:val="24"/>
                <w:szCs w:val="24"/>
                <w:highlight w:val="none"/>
              </w:rPr>
              <w:fldChar w:fldCharType="end"/>
            </w:r>
          </w:p>
        </w:tc>
        <w:tc>
          <w:tcPr>
            <w:tcW w:w="2018" w:type="dxa"/>
            <w:vAlign w:val="center"/>
          </w:tcPr>
          <w:p w14:paraId="4C40DC0A">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是：</w:t>
            </w:r>
            <w:r>
              <w:rPr>
                <w:color w:val="auto"/>
                <w:sz w:val="24"/>
                <w:szCs w:val="24"/>
                <w:highlight w:val="none"/>
              </w:rPr>
              <w:fldChar w:fldCharType="begin"/>
            </w:r>
            <w:r>
              <w:rPr>
                <w:color w:val="auto"/>
                <w:sz w:val="24"/>
                <w:szCs w:val="24"/>
                <w:highlight w:val="none"/>
              </w:rPr>
              <w:instrText xml:space="preserve"> AUTOTEXT  input569 \* MERGEFORMAT </w:instrText>
            </w:r>
            <w:r>
              <w:rPr>
                <w:color w:val="auto"/>
                <w:sz w:val="24"/>
                <w:szCs w:val="24"/>
                <w:highlight w:val="none"/>
              </w:rPr>
              <w:fldChar w:fldCharType="separate"/>
            </w:r>
            <w:r>
              <w:rPr>
                <w:rFonts w:ascii="Segoe UI Symbol" w:hAnsi="Segoe UI Symbol" w:cs="Segoe UI Symbol"/>
                <w:color w:val="auto"/>
                <w:sz w:val="24"/>
                <w:szCs w:val="24"/>
                <w:highlight w:val="none"/>
              </w:rPr>
              <w:t>☑</w:t>
            </w:r>
            <w:r>
              <w:rPr>
                <w:rFonts w:ascii="Segoe UI Symbol" w:hAnsi="Segoe UI Symbol" w:cs="Segoe UI Symbol"/>
                <w:color w:val="auto"/>
                <w:sz w:val="24"/>
                <w:szCs w:val="24"/>
                <w:highlight w:val="none"/>
              </w:rPr>
              <w:fldChar w:fldCharType="end"/>
            </w:r>
          </w:p>
          <w:p w14:paraId="0D072CBB">
            <w:pPr>
              <w:adjustRightInd w:val="0"/>
              <w:snapToGrid w:val="0"/>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否：</w:t>
            </w:r>
            <w:r>
              <w:rPr>
                <w:color w:val="auto"/>
                <w:sz w:val="24"/>
                <w:szCs w:val="24"/>
                <w:highlight w:val="none"/>
              </w:rPr>
              <w:fldChar w:fldCharType="begin"/>
            </w:r>
            <w:r>
              <w:rPr>
                <w:color w:val="auto"/>
                <w:sz w:val="24"/>
                <w:szCs w:val="24"/>
                <w:highlight w:val="none"/>
              </w:rPr>
              <w:instrText xml:space="preserve"> AUTOTEXT  input570 \* MERGEFORMAT </w:instrText>
            </w:r>
            <w:r>
              <w:rPr>
                <w:color w:val="auto"/>
                <w:sz w:val="24"/>
                <w:szCs w:val="24"/>
                <w:highlight w:val="none"/>
              </w:rPr>
              <w:fldChar w:fldCharType="separate"/>
            </w:r>
            <w:r>
              <w:rPr>
                <w:rFonts w:hint="eastAsia" w:ascii="宋体" w:hAnsi="宋体" w:cs="宋体"/>
                <w:color w:val="auto"/>
                <w:sz w:val="24"/>
                <w:szCs w:val="24"/>
                <w:highlight w:val="none"/>
              </w:rPr>
              <w:t>□</w:t>
            </w:r>
            <w:r>
              <w:rPr>
                <w:rFonts w:ascii="宋体" w:hAnsi="宋体" w:cs="宋体"/>
                <w:color w:val="auto"/>
                <w:sz w:val="24"/>
                <w:szCs w:val="24"/>
                <w:highlight w:val="none"/>
              </w:rPr>
              <w:fldChar w:fldCharType="end"/>
            </w:r>
          </w:p>
        </w:tc>
        <w:tc>
          <w:tcPr>
            <w:tcW w:w="2018" w:type="dxa"/>
            <w:vAlign w:val="center"/>
          </w:tcPr>
          <w:p w14:paraId="58855EBE">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专职：</w:t>
            </w:r>
            <w:r>
              <w:rPr>
                <w:color w:val="auto"/>
                <w:sz w:val="24"/>
                <w:szCs w:val="24"/>
                <w:highlight w:val="none"/>
              </w:rPr>
              <w:fldChar w:fldCharType="begin"/>
            </w:r>
            <w:r>
              <w:rPr>
                <w:color w:val="auto"/>
                <w:sz w:val="24"/>
                <w:szCs w:val="24"/>
                <w:highlight w:val="none"/>
              </w:rPr>
              <w:instrText xml:space="preserve"> AUTOTEXT  input566 \* MERGEFORMAT </w:instrText>
            </w:r>
            <w:r>
              <w:rPr>
                <w:color w:val="auto"/>
                <w:sz w:val="24"/>
                <w:szCs w:val="24"/>
                <w:highlight w:val="none"/>
              </w:rPr>
              <w:fldChar w:fldCharType="separate"/>
            </w:r>
            <w:r>
              <w:rPr>
                <w:rFonts w:hint="eastAsia" w:ascii="宋体" w:hAnsi="宋体" w:cs="宋体"/>
                <w:color w:val="auto"/>
                <w:sz w:val="24"/>
                <w:szCs w:val="24"/>
                <w:highlight w:val="none"/>
              </w:rPr>
              <w:t>☑</w:t>
            </w:r>
            <w:r>
              <w:rPr>
                <w:rFonts w:ascii="宋体" w:hAnsi="宋体" w:cs="宋体"/>
                <w:color w:val="auto"/>
                <w:sz w:val="24"/>
                <w:szCs w:val="24"/>
                <w:highlight w:val="none"/>
              </w:rPr>
              <w:fldChar w:fldCharType="end"/>
            </w:r>
          </w:p>
          <w:p w14:paraId="0201F2B9">
            <w:pPr>
              <w:adjustRightInd w:val="0"/>
              <w:snapToGrid w:val="0"/>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可兼任：</w:t>
            </w:r>
            <w:r>
              <w:rPr>
                <w:color w:val="auto"/>
                <w:sz w:val="24"/>
                <w:szCs w:val="24"/>
                <w:highlight w:val="none"/>
              </w:rPr>
              <w:fldChar w:fldCharType="begin"/>
            </w:r>
            <w:r>
              <w:rPr>
                <w:color w:val="auto"/>
                <w:sz w:val="24"/>
                <w:szCs w:val="24"/>
                <w:highlight w:val="none"/>
              </w:rPr>
              <w:instrText xml:space="preserve"> AUTOTEXT  input566 \* MERGEFORMAT </w:instrText>
            </w:r>
            <w:r>
              <w:rPr>
                <w:color w:val="auto"/>
                <w:sz w:val="24"/>
                <w:szCs w:val="24"/>
                <w:highlight w:val="none"/>
              </w:rPr>
              <w:fldChar w:fldCharType="separate"/>
            </w:r>
            <w:r>
              <w:rPr>
                <w:rFonts w:hint="eastAsia" w:ascii="宋体" w:hAnsi="宋体" w:cs="宋体"/>
                <w:color w:val="auto"/>
                <w:sz w:val="24"/>
                <w:szCs w:val="24"/>
                <w:highlight w:val="none"/>
              </w:rPr>
              <w:t>□</w:t>
            </w:r>
            <w:r>
              <w:rPr>
                <w:rFonts w:ascii="宋体" w:hAnsi="宋体" w:cs="宋体"/>
                <w:color w:val="auto"/>
                <w:sz w:val="24"/>
                <w:szCs w:val="24"/>
                <w:highlight w:val="none"/>
              </w:rPr>
              <w:fldChar w:fldCharType="end"/>
            </w:r>
          </w:p>
        </w:tc>
      </w:tr>
      <w:tr w14:paraId="6FC0267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2759" w:type="dxa"/>
            <w:vAlign w:val="center"/>
          </w:tcPr>
          <w:p w14:paraId="5B72CDD8">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材料员</w:t>
            </w:r>
          </w:p>
        </w:tc>
        <w:tc>
          <w:tcPr>
            <w:tcW w:w="2146" w:type="dxa"/>
            <w:vAlign w:val="center"/>
          </w:tcPr>
          <w:p w14:paraId="51B72516">
            <w:pPr>
              <w:adjustRightInd w:val="0"/>
              <w:snapToGrid w:val="0"/>
              <w:spacing w:line="240" w:lineRule="exact"/>
              <w:jc w:val="center"/>
              <w:rPr>
                <w:rFonts w:ascii="宋体" w:hAnsi="宋体" w:cs="宋体"/>
                <w:color w:val="auto"/>
                <w:sz w:val="24"/>
                <w:szCs w:val="24"/>
                <w:highlight w:val="none"/>
              </w:rPr>
            </w:pPr>
            <w:r>
              <w:rPr>
                <w:color w:val="auto"/>
                <w:sz w:val="24"/>
                <w:szCs w:val="24"/>
                <w:highlight w:val="none"/>
              </w:rPr>
              <w:fldChar w:fldCharType="begin"/>
            </w:r>
            <w:r>
              <w:rPr>
                <w:color w:val="auto"/>
                <w:sz w:val="24"/>
                <w:szCs w:val="24"/>
                <w:highlight w:val="none"/>
              </w:rPr>
              <w:instrText xml:space="preserve"> AUTOTEXT  input574 \* MERGEFORMAT </w:instrText>
            </w:r>
            <w:r>
              <w:rPr>
                <w:color w:val="auto"/>
                <w:sz w:val="24"/>
                <w:szCs w:val="24"/>
                <w:highlight w:val="none"/>
              </w:rPr>
              <w:fldChar w:fldCharType="separate"/>
            </w:r>
            <w:r>
              <w:rPr>
                <w:rFonts w:hint="eastAsia" w:ascii="宋体" w:hAnsi="宋体" w:cs="宋体"/>
                <w:color w:val="auto"/>
                <w:sz w:val="24"/>
                <w:szCs w:val="24"/>
                <w:highlight w:val="none"/>
              </w:rPr>
              <w:t>1</w:t>
            </w:r>
            <w:r>
              <w:rPr>
                <w:rFonts w:ascii="宋体" w:hAnsi="宋体" w:cs="宋体"/>
                <w:color w:val="auto"/>
                <w:sz w:val="24"/>
                <w:szCs w:val="24"/>
                <w:highlight w:val="none"/>
              </w:rPr>
              <w:fldChar w:fldCharType="end"/>
            </w:r>
          </w:p>
        </w:tc>
        <w:tc>
          <w:tcPr>
            <w:tcW w:w="2018" w:type="dxa"/>
            <w:vAlign w:val="center"/>
          </w:tcPr>
          <w:p w14:paraId="58338B3B">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是：</w:t>
            </w:r>
            <w:r>
              <w:rPr>
                <w:color w:val="auto"/>
                <w:sz w:val="24"/>
                <w:szCs w:val="24"/>
                <w:highlight w:val="none"/>
              </w:rPr>
              <w:fldChar w:fldCharType="begin"/>
            </w:r>
            <w:r>
              <w:rPr>
                <w:color w:val="auto"/>
                <w:sz w:val="24"/>
                <w:szCs w:val="24"/>
                <w:highlight w:val="none"/>
              </w:rPr>
              <w:instrText xml:space="preserve"> AUTOTEXT  input575 \* MERGEFORMAT </w:instrText>
            </w:r>
            <w:r>
              <w:rPr>
                <w:color w:val="auto"/>
                <w:sz w:val="24"/>
                <w:szCs w:val="24"/>
                <w:highlight w:val="none"/>
              </w:rPr>
              <w:fldChar w:fldCharType="separate"/>
            </w:r>
            <w:r>
              <w:rPr>
                <w:rFonts w:ascii="Segoe UI Symbol" w:hAnsi="Segoe UI Symbol" w:cs="Segoe UI Symbol"/>
                <w:color w:val="auto"/>
                <w:sz w:val="24"/>
                <w:szCs w:val="24"/>
                <w:highlight w:val="none"/>
              </w:rPr>
              <w:t>☑</w:t>
            </w:r>
            <w:r>
              <w:rPr>
                <w:rFonts w:ascii="Segoe UI Symbol" w:hAnsi="Segoe UI Symbol" w:cs="Segoe UI Symbol"/>
                <w:color w:val="auto"/>
                <w:sz w:val="24"/>
                <w:szCs w:val="24"/>
                <w:highlight w:val="none"/>
              </w:rPr>
              <w:fldChar w:fldCharType="end"/>
            </w:r>
          </w:p>
          <w:p w14:paraId="7CAFFE25">
            <w:pPr>
              <w:adjustRightInd w:val="0"/>
              <w:snapToGrid w:val="0"/>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否：</w:t>
            </w:r>
            <w:r>
              <w:rPr>
                <w:color w:val="auto"/>
                <w:sz w:val="24"/>
                <w:szCs w:val="24"/>
                <w:highlight w:val="none"/>
              </w:rPr>
              <w:fldChar w:fldCharType="begin"/>
            </w:r>
            <w:r>
              <w:rPr>
                <w:color w:val="auto"/>
                <w:sz w:val="24"/>
                <w:szCs w:val="24"/>
                <w:highlight w:val="none"/>
              </w:rPr>
              <w:instrText xml:space="preserve"> AUTOTEXT  input576 \* MERGEFORMAT </w:instrText>
            </w:r>
            <w:r>
              <w:rPr>
                <w:color w:val="auto"/>
                <w:sz w:val="24"/>
                <w:szCs w:val="24"/>
                <w:highlight w:val="none"/>
              </w:rPr>
              <w:fldChar w:fldCharType="separate"/>
            </w:r>
            <w:r>
              <w:rPr>
                <w:rFonts w:hint="eastAsia" w:ascii="宋体" w:hAnsi="宋体" w:cs="宋体"/>
                <w:color w:val="auto"/>
                <w:sz w:val="24"/>
                <w:szCs w:val="24"/>
                <w:highlight w:val="none"/>
              </w:rPr>
              <w:t>□</w:t>
            </w:r>
            <w:r>
              <w:rPr>
                <w:rFonts w:ascii="宋体" w:hAnsi="宋体" w:cs="宋体"/>
                <w:color w:val="auto"/>
                <w:sz w:val="24"/>
                <w:szCs w:val="24"/>
                <w:highlight w:val="none"/>
              </w:rPr>
              <w:fldChar w:fldCharType="end"/>
            </w:r>
          </w:p>
        </w:tc>
        <w:tc>
          <w:tcPr>
            <w:tcW w:w="2018" w:type="dxa"/>
            <w:vAlign w:val="center"/>
          </w:tcPr>
          <w:p w14:paraId="37ABB78A">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专职：</w:t>
            </w:r>
            <w:r>
              <w:rPr>
                <w:color w:val="auto"/>
                <w:sz w:val="24"/>
                <w:szCs w:val="24"/>
                <w:highlight w:val="none"/>
              </w:rPr>
              <w:fldChar w:fldCharType="begin"/>
            </w:r>
            <w:r>
              <w:rPr>
                <w:color w:val="auto"/>
                <w:sz w:val="24"/>
                <w:szCs w:val="24"/>
                <w:highlight w:val="none"/>
              </w:rPr>
              <w:instrText xml:space="preserve"> AUTOTEXT  input578 \* MERGEFORMAT </w:instrText>
            </w:r>
            <w:r>
              <w:rPr>
                <w:color w:val="auto"/>
                <w:sz w:val="24"/>
                <w:szCs w:val="24"/>
                <w:highlight w:val="none"/>
              </w:rPr>
              <w:fldChar w:fldCharType="separate"/>
            </w:r>
            <w:r>
              <w:rPr>
                <w:rFonts w:hint="eastAsia" w:ascii="宋体" w:hAnsi="宋体" w:cs="宋体"/>
                <w:color w:val="auto"/>
                <w:sz w:val="24"/>
                <w:szCs w:val="24"/>
                <w:highlight w:val="none"/>
              </w:rPr>
              <w:t>□</w:t>
            </w:r>
            <w:r>
              <w:rPr>
                <w:rFonts w:ascii="宋体" w:hAnsi="宋体" w:cs="宋体"/>
                <w:color w:val="auto"/>
                <w:sz w:val="24"/>
                <w:szCs w:val="24"/>
                <w:highlight w:val="none"/>
              </w:rPr>
              <w:fldChar w:fldCharType="end"/>
            </w:r>
          </w:p>
          <w:p w14:paraId="69D67C85">
            <w:pPr>
              <w:adjustRightInd w:val="0"/>
              <w:snapToGrid w:val="0"/>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可兼任：</w:t>
            </w:r>
            <w:r>
              <w:rPr>
                <w:color w:val="auto"/>
                <w:sz w:val="24"/>
                <w:szCs w:val="24"/>
                <w:highlight w:val="none"/>
              </w:rPr>
              <w:fldChar w:fldCharType="begin"/>
            </w:r>
            <w:r>
              <w:rPr>
                <w:color w:val="auto"/>
                <w:sz w:val="24"/>
                <w:szCs w:val="24"/>
                <w:highlight w:val="none"/>
              </w:rPr>
              <w:instrText xml:space="preserve"> AUTOTEXT  input577 \* MERGEFORMAT </w:instrText>
            </w:r>
            <w:r>
              <w:rPr>
                <w:color w:val="auto"/>
                <w:sz w:val="24"/>
                <w:szCs w:val="24"/>
                <w:highlight w:val="none"/>
              </w:rPr>
              <w:fldChar w:fldCharType="separate"/>
            </w:r>
            <w:r>
              <w:rPr>
                <w:rFonts w:ascii="Segoe UI Symbol" w:hAnsi="Segoe UI Symbol" w:cs="Segoe UI Symbol"/>
                <w:color w:val="auto"/>
                <w:sz w:val="24"/>
                <w:szCs w:val="24"/>
                <w:highlight w:val="none"/>
              </w:rPr>
              <w:t>☑</w:t>
            </w:r>
            <w:r>
              <w:rPr>
                <w:rFonts w:ascii="Segoe UI Symbol" w:hAnsi="Segoe UI Symbol" w:cs="Segoe UI Symbol"/>
                <w:color w:val="auto"/>
                <w:sz w:val="24"/>
                <w:szCs w:val="24"/>
                <w:highlight w:val="none"/>
              </w:rPr>
              <w:fldChar w:fldCharType="end"/>
            </w:r>
          </w:p>
        </w:tc>
      </w:tr>
      <w:tr w14:paraId="40F1E48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2759" w:type="dxa"/>
            <w:vAlign w:val="center"/>
          </w:tcPr>
          <w:p w14:paraId="0D077E04">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机械员</w:t>
            </w:r>
          </w:p>
        </w:tc>
        <w:tc>
          <w:tcPr>
            <w:tcW w:w="2146" w:type="dxa"/>
            <w:vAlign w:val="center"/>
          </w:tcPr>
          <w:p w14:paraId="446AD78B">
            <w:pPr>
              <w:adjustRightInd w:val="0"/>
              <w:snapToGrid w:val="0"/>
              <w:spacing w:line="240" w:lineRule="exact"/>
              <w:jc w:val="center"/>
              <w:rPr>
                <w:rFonts w:ascii="宋体" w:hAnsi="宋体" w:cs="宋体"/>
                <w:color w:val="auto"/>
                <w:sz w:val="24"/>
                <w:szCs w:val="24"/>
                <w:highlight w:val="none"/>
              </w:rPr>
            </w:pPr>
            <w:r>
              <w:rPr>
                <w:color w:val="auto"/>
                <w:sz w:val="24"/>
                <w:szCs w:val="24"/>
                <w:highlight w:val="none"/>
              </w:rPr>
              <w:fldChar w:fldCharType="begin"/>
            </w:r>
            <w:r>
              <w:rPr>
                <w:color w:val="auto"/>
                <w:sz w:val="24"/>
                <w:szCs w:val="24"/>
                <w:highlight w:val="none"/>
              </w:rPr>
              <w:instrText xml:space="preserve"> AUTOTEXT  input580 \* MERGEFORMAT </w:instrText>
            </w:r>
            <w:r>
              <w:rPr>
                <w:color w:val="auto"/>
                <w:sz w:val="24"/>
                <w:szCs w:val="24"/>
                <w:highlight w:val="none"/>
              </w:rPr>
              <w:fldChar w:fldCharType="separate"/>
            </w:r>
            <w:r>
              <w:rPr>
                <w:rFonts w:hint="eastAsia" w:ascii="宋体" w:hAnsi="宋体" w:cs="宋体"/>
                <w:color w:val="auto"/>
                <w:sz w:val="24"/>
                <w:szCs w:val="24"/>
                <w:highlight w:val="none"/>
              </w:rPr>
              <w:t>1</w:t>
            </w:r>
            <w:r>
              <w:rPr>
                <w:rFonts w:ascii="宋体" w:hAnsi="宋体" w:cs="宋体"/>
                <w:color w:val="auto"/>
                <w:sz w:val="24"/>
                <w:szCs w:val="24"/>
                <w:highlight w:val="none"/>
              </w:rPr>
              <w:fldChar w:fldCharType="end"/>
            </w:r>
          </w:p>
        </w:tc>
        <w:tc>
          <w:tcPr>
            <w:tcW w:w="2018" w:type="dxa"/>
            <w:vAlign w:val="center"/>
          </w:tcPr>
          <w:p w14:paraId="0B7C7DC0">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是：</w:t>
            </w:r>
            <w:r>
              <w:rPr>
                <w:color w:val="auto"/>
                <w:sz w:val="24"/>
                <w:szCs w:val="24"/>
                <w:highlight w:val="none"/>
              </w:rPr>
              <w:fldChar w:fldCharType="begin"/>
            </w:r>
            <w:r>
              <w:rPr>
                <w:color w:val="auto"/>
                <w:sz w:val="24"/>
                <w:szCs w:val="24"/>
                <w:highlight w:val="none"/>
              </w:rPr>
              <w:instrText xml:space="preserve"> AUTOTEXT  input581 \* MERGEFORMAT </w:instrText>
            </w:r>
            <w:r>
              <w:rPr>
                <w:color w:val="auto"/>
                <w:sz w:val="24"/>
                <w:szCs w:val="24"/>
                <w:highlight w:val="none"/>
              </w:rPr>
              <w:fldChar w:fldCharType="separate"/>
            </w:r>
            <w:r>
              <w:rPr>
                <w:rFonts w:ascii="Segoe UI Symbol" w:hAnsi="Segoe UI Symbol" w:cs="Segoe UI Symbol"/>
                <w:color w:val="auto"/>
                <w:sz w:val="24"/>
                <w:szCs w:val="24"/>
                <w:highlight w:val="none"/>
              </w:rPr>
              <w:t>☑</w:t>
            </w:r>
            <w:r>
              <w:rPr>
                <w:rFonts w:ascii="Segoe UI Symbol" w:hAnsi="Segoe UI Symbol" w:cs="Segoe UI Symbol"/>
                <w:color w:val="auto"/>
                <w:sz w:val="24"/>
                <w:szCs w:val="24"/>
                <w:highlight w:val="none"/>
              </w:rPr>
              <w:fldChar w:fldCharType="end"/>
            </w:r>
          </w:p>
          <w:p w14:paraId="7DA7F33F">
            <w:pPr>
              <w:adjustRightInd w:val="0"/>
              <w:snapToGrid w:val="0"/>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否：</w:t>
            </w:r>
            <w:r>
              <w:rPr>
                <w:color w:val="auto"/>
                <w:sz w:val="24"/>
                <w:szCs w:val="24"/>
                <w:highlight w:val="none"/>
              </w:rPr>
              <w:fldChar w:fldCharType="begin"/>
            </w:r>
            <w:r>
              <w:rPr>
                <w:color w:val="auto"/>
                <w:sz w:val="24"/>
                <w:szCs w:val="24"/>
                <w:highlight w:val="none"/>
              </w:rPr>
              <w:instrText xml:space="preserve"> AUTOTEXT  input582 \* MERGEFORMAT </w:instrText>
            </w:r>
            <w:r>
              <w:rPr>
                <w:color w:val="auto"/>
                <w:sz w:val="24"/>
                <w:szCs w:val="24"/>
                <w:highlight w:val="none"/>
              </w:rPr>
              <w:fldChar w:fldCharType="separate"/>
            </w:r>
            <w:r>
              <w:rPr>
                <w:rFonts w:hint="eastAsia" w:ascii="宋体" w:hAnsi="宋体" w:cs="宋体"/>
                <w:color w:val="auto"/>
                <w:sz w:val="24"/>
                <w:szCs w:val="24"/>
                <w:highlight w:val="none"/>
              </w:rPr>
              <w:t>□</w:t>
            </w:r>
            <w:r>
              <w:rPr>
                <w:rFonts w:ascii="宋体" w:hAnsi="宋体" w:cs="宋体"/>
                <w:color w:val="auto"/>
                <w:sz w:val="24"/>
                <w:szCs w:val="24"/>
                <w:highlight w:val="none"/>
              </w:rPr>
              <w:fldChar w:fldCharType="end"/>
            </w:r>
          </w:p>
        </w:tc>
        <w:tc>
          <w:tcPr>
            <w:tcW w:w="2018" w:type="dxa"/>
            <w:vAlign w:val="center"/>
          </w:tcPr>
          <w:p w14:paraId="6C4AE803">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专职：</w:t>
            </w:r>
            <w:r>
              <w:rPr>
                <w:color w:val="auto"/>
                <w:sz w:val="24"/>
                <w:szCs w:val="24"/>
                <w:highlight w:val="none"/>
              </w:rPr>
              <w:fldChar w:fldCharType="begin"/>
            </w:r>
            <w:r>
              <w:rPr>
                <w:color w:val="auto"/>
                <w:sz w:val="24"/>
                <w:szCs w:val="24"/>
                <w:highlight w:val="none"/>
              </w:rPr>
              <w:instrText xml:space="preserve"> AUTOTEXT  input578 \* MERGEFORMAT </w:instrText>
            </w:r>
            <w:r>
              <w:rPr>
                <w:color w:val="auto"/>
                <w:sz w:val="24"/>
                <w:szCs w:val="24"/>
                <w:highlight w:val="none"/>
              </w:rPr>
              <w:fldChar w:fldCharType="separate"/>
            </w:r>
            <w:r>
              <w:rPr>
                <w:rFonts w:hint="eastAsia" w:ascii="宋体" w:hAnsi="宋体" w:cs="宋体"/>
                <w:color w:val="auto"/>
                <w:sz w:val="24"/>
                <w:szCs w:val="24"/>
                <w:highlight w:val="none"/>
              </w:rPr>
              <w:t>□</w:t>
            </w:r>
            <w:r>
              <w:rPr>
                <w:rFonts w:ascii="宋体" w:hAnsi="宋体" w:cs="宋体"/>
                <w:color w:val="auto"/>
                <w:sz w:val="24"/>
                <w:szCs w:val="24"/>
                <w:highlight w:val="none"/>
              </w:rPr>
              <w:fldChar w:fldCharType="end"/>
            </w:r>
          </w:p>
          <w:p w14:paraId="60E9B1F6">
            <w:pPr>
              <w:adjustRightInd w:val="0"/>
              <w:snapToGrid w:val="0"/>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可兼任：</w:t>
            </w:r>
            <w:r>
              <w:rPr>
                <w:color w:val="auto"/>
                <w:sz w:val="24"/>
                <w:szCs w:val="24"/>
                <w:highlight w:val="none"/>
              </w:rPr>
              <w:fldChar w:fldCharType="begin"/>
            </w:r>
            <w:r>
              <w:rPr>
                <w:color w:val="auto"/>
                <w:sz w:val="24"/>
                <w:szCs w:val="24"/>
                <w:highlight w:val="none"/>
              </w:rPr>
              <w:instrText xml:space="preserve"> AUTOTEXT  input577 \* MERGEFORMAT </w:instrText>
            </w:r>
            <w:r>
              <w:rPr>
                <w:color w:val="auto"/>
                <w:sz w:val="24"/>
                <w:szCs w:val="24"/>
                <w:highlight w:val="none"/>
              </w:rPr>
              <w:fldChar w:fldCharType="separate"/>
            </w:r>
            <w:r>
              <w:rPr>
                <w:rFonts w:ascii="Segoe UI Symbol" w:hAnsi="Segoe UI Symbol" w:cs="Segoe UI Symbol"/>
                <w:color w:val="auto"/>
                <w:sz w:val="24"/>
                <w:szCs w:val="24"/>
                <w:highlight w:val="none"/>
              </w:rPr>
              <w:t>☑</w:t>
            </w:r>
            <w:r>
              <w:rPr>
                <w:rFonts w:ascii="Segoe UI Symbol" w:hAnsi="Segoe UI Symbol" w:cs="Segoe UI Symbol"/>
                <w:color w:val="auto"/>
                <w:sz w:val="24"/>
                <w:szCs w:val="24"/>
                <w:highlight w:val="none"/>
              </w:rPr>
              <w:fldChar w:fldCharType="end"/>
            </w:r>
          </w:p>
        </w:tc>
      </w:tr>
      <w:tr w14:paraId="0C3C594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2759" w:type="dxa"/>
            <w:vAlign w:val="center"/>
          </w:tcPr>
          <w:p w14:paraId="66DBE35B">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劳务员</w:t>
            </w:r>
          </w:p>
        </w:tc>
        <w:tc>
          <w:tcPr>
            <w:tcW w:w="2146" w:type="dxa"/>
            <w:vAlign w:val="center"/>
          </w:tcPr>
          <w:p w14:paraId="4EF3F9CC">
            <w:pPr>
              <w:adjustRightInd w:val="0"/>
              <w:snapToGrid w:val="0"/>
              <w:spacing w:line="240" w:lineRule="exact"/>
              <w:jc w:val="center"/>
              <w:rPr>
                <w:rFonts w:ascii="宋体" w:hAnsi="宋体" w:cs="宋体"/>
                <w:color w:val="auto"/>
                <w:sz w:val="24"/>
                <w:szCs w:val="24"/>
                <w:highlight w:val="none"/>
              </w:rPr>
            </w:pPr>
            <w:r>
              <w:rPr>
                <w:color w:val="auto"/>
                <w:sz w:val="24"/>
                <w:szCs w:val="24"/>
                <w:highlight w:val="none"/>
              </w:rPr>
              <w:fldChar w:fldCharType="begin"/>
            </w:r>
            <w:r>
              <w:rPr>
                <w:color w:val="auto"/>
                <w:sz w:val="24"/>
                <w:szCs w:val="24"/>
                <w:highlight w:val="none"/>
              </w:rPr>
              <w:instrText xml:space="preserve"> AUTOTEXT  input586 \* MERGEFORMAT </w:instrText>
            </w:r>
            <w:r>
              <w:rPr>
                <w:color w:val="auto"/>
                <w:sz w:val="24"/>
                <w:szCs w:val="24"/>
                <w:highlight w:val="none"/>
              </w:rPr>
              <w:fldChar w:fldCharType="separate"/>
            </w:r>
            <w:r>
              <w:rPr>
                <w:rFonts w:hint="eastAsia" w:ascii="宋体" w:hAnsi="宋体" w:cs="宋体"/>
                <w:color w:val="auto"/>
                <w:sz w:val="24"/>
                <w:szCs w:val="24"/>
                <w:highlight w:val="none"/>
              </w:rPr>
              <w:t>1</w:t>
            </w:r>
            <w:r>
              <w:rPr>
                <w:rFonts w:ascii="宋体" w:hAnsi="宋体" w:cs="宋体"/>
                <w:color w:val="auto"/>
                <w:sz w:val="24"/>
                <w:szCs w:val="24"/>
                <w:highlight w:val="none"/>
              </w:rPr>
              <w:fldChar w:fldCharType="end"/>
            </w:r>
          </w:p>
        </w:tc>
        <w:tc>
          <w:tcPr>
            <w:tcW w:w="2018" w:type="dxa"/>
            <w:vAlign w:val="center"/>
          </w:tcPr>
          <w:p w14:paraId="26C7A3A1">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是：</w:t>
            </w:r>
            <w:r>
              <w:rPr>
                <w:color w:val="auto"/>
                <w:sz w:val="24"/>
                <w:szCs w:val="24"/>
                <w:highlight w:val="none"/>
              </w:rPr>
              <w:fldChar w:fldCharType="begin"/>
            </w:r>
            <w:r>
              <w:rPr>
                <w:color w:val="auto"/>
                <w:sz w:val="24"/>
                <w:szCs w:val="24"/>
                <w:highlight w:val="none"/>
              </w:rPr>
              <w:instrText xml:space="preserve"> AUTOTEXT  input587 \* MERGEFORMAT </w:instrText>
            </w:r>
            <w:r>
              <w:rPr>
                <w:color w:val="auto"/>
                <w:sz w:val="24"/>
                <w:szCs w:val="24"/>
                <w:highlight w:val="none"/>
              </w:rPr>
              <w:fldChar w:fldCharType="separate"/>
            </w:r>
            <w:r>
              <w:rPr>
                <w:rFonts w:ascii="Segoe UI Symbol" w:hAnsi="Segoe UI Symbol" w:cs="Segoe UI Symbol"/>
                <w:color w:val="auto"/>
                <w:sz w:val="24"/>
                <w:szCs w:val="24"/>
                <w:highlight w:val="none"/>
              </w:rPr>
              <w:t>☑</w:t>
            </w:r>
            <w:r>
              <w:rPr>
                <w:rFonts w:ascii="Segoe UI Symbol" w:hAnsi="Segoe UI Symbol" w:cs="Segoe UI Symbol"/>
                <w:color w:val="auto"/>
                <w:sz w:val="24"/>
                <w:szCs w:val="24"/>
                <w:highlight w:val="none"/>
              </w:rPr>
              <w:fldChar w:fldCharType="end"/>
            </w:r>
          </w:p>
          <w:p w14:paraId="3A4CAC7C">
            <w:pPr>
              <w:adjustRightInd w:val="0"/>
              <w:snapToGrid w:val="0"/>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否：</w:t>
            </w:r>
            <w:r>
              <w:rPr>
                <w:color w:val="auto"/>
                <w:sz w:val="24"/>
                <w:szCs w:val="24"/>
                <w:highlight w:val="none"/>
              </w:rPr>
              <w:fldChar w:fldCharType="begin"/>
            </w:r>
            <w:r>
              <w:rPr>
                <w:color w:val="auto"/>
                <w:sz w:val="24"/>
                <w:szCs w:val="24"/>
                <w:highlight w:val="none"/>
              </w:rPr>
              <w:instrText xml:space="preserve"> AUTOTEXT  input588 \* MERGEFORMAT </w:instrText>
            </w:r>
            <w:r>
              <w:rPr>
                <w:color w:val="auto"/>
                <w:sz w:val="24"/>
                <w:szCs w:val="24"/>
                <w:highlight w:val="none"/>
              </w:rPr>
              <w:fldChar w:fldCharType="separate"/>
            </w:r>
            <w:r>
              <w:rPr>
                <w:rFonts w:hint="eastAsia" w:ascii="宋体" w:hAnsi="宋体" w:cs="宋体"/>
                <w:color w:val="auto"/>
                <w:sz w:val="24"/>
                <w:szCs w:val="24"/>
                <w:highlight w:val="none"/>
              </w:rPr>
              <w:t>□</w:t>
            </w:r>
            <w:r>
              <w:rPr>
                <w:rFonts w:ascii="宋体" w:hAnsi="宋体" w:cs="宋体"/>
                <w:color w:val="auto"/>
                <w:sz w:val="24"/>
                <w:szCs w:val="24"/>
                <w:highlight w:val="none"/>
              </w:rPr>
              <w:fldChar w:fldCharType="end"/>
            </w:r>
          </w:p>
        </w:tc>
        <w:tc>
          <w:tcPr>
            <w:tcW w:w="2018" w:type="dxa"/>
            <w:vAlign w:val="center"/>
          </w:tcPr>
          <w:p w14:paraId="0A4ECD6B">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专职：</w:t>
            </w:r>
            <w:r>
              <w:rPr>
                <w:color w:val="auto"/>
                <w:sz w:val="24"/>
                <w:szCs w:val="24"/>
                <w:highlight w:val="none"/>
              </w:rPr>
              <w:fldChar w:fldCharType="begin"/>
            </w:r>
            <w:r>
              <w:rPr>
                <w:color w:val="auto"/>
                <w:sz w:val="24"/>
                <w:szCs w:val="24"/>
                <w:highlight w:val="none"/>
              </w:rPr>
              <w:instrText xml:space="preserve"> AUTOTEXT  input578 \* MERGEFORMAT </w:instrText>
            </w:r>
            <w:r>
              <w:rPr>
                <w:color w:val="auto"/>
                <w:sz w:val="24"/>
                <w:szCs w:val="24"/>
                <w:highlight w:val="none"/>
              </w:rPr>
              <w:fldChar w:fldCharType="separate"/>
            </w:r>
            <w:r>
              <w:rPr>
                <w:rFonts w:hint="eastAsia" w:ascii="宋体" w:hAnsi="宋体" w:cs="宋体"/>
                <w:color w:val="auto"/>
                <w:sz w:val="24"/>
                <w:szCs w:val="24"/>
                <w:highlight w:val="none"/>
              </w:rPr>
              <w:t>□</w:t>
            </w:r>
            <w:r>
              <w:rPr>
                <w:rFonts w:ascii="宋体" w:hAnsi="宋体" w:cs="宋体"/>
                <w:color w:val="auto"/>
                <w:sz w:val="24"/>
                <w:szCs w:val="24"/>
                <w:highlight w:val="none"/>
              </w:rPr>
              <w:fldChar w:fldCharType="end"/>
            </w:r>
          </w:p>
          <w:p w14:paraId="02F8FB30">
            <w:pPr>
              <w:adjustRightInd w:val="0"/>
              <w:snapToGrid w:val="0"/>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可兼任：</w:t>
            </w:r>
            <w:r>
              <w:rPr>
                <w:color w:val="auto"/>
                <w:sz w:val="24"/>
                <w:szCs w:val="24"/>
                <w:highlight w:val="none"/>
              </w:rPr>
              <w:fldChar w:fldCharType="begin"/>
            </w:r>
            <w:r>
              <w:rPr>
                <w:color w:val="auto"/>
                <w:sz w:val="24"/>
                <w:szCs w:val="24"/>
                <w:highlight w:val="none"/>
              </w:rPr>
              <w:instrText xml:space="preserve"> AUTOTEXT  input577 \* MERGEFORMAT </w:instrText>
            </w:r>
            <w:r>
              <w:rPr>
                <w:color w:val="auto"/>
                <w:sz w:val="24"/>
                <w:szCs w:val="24"/>
                <w:highlight w:val="none"/>
              </w:rPr>
              <w:fldChar w:fldCharType="separate"/>
            </w:r>
            <w:r>
              <w:rPr>
                <w:rFonts w:ascii="Segoe UI Symbol" w:hAnsi="Segoe UI Symbol" w:cs="Segoe UI Symbol"/>
                <w:color w:val="auto"/>
                <w:sz w:val="24"/>
                <w:szCs w:val="24"/>
                <w:highlight w:val="none"/>
              </w:rPr>
              <w:t>☑</w:t>
            </w:r>
            <w:r>
              <w:rPr>
                <w:rFonts w:ascii="Segoe UI Symbol" w:hAnsi="Segoe UI Symbol" w:cs="Segoe UI Symbol"/>
                <w:color w:val="auto"/>
                <w:sz w:val="24"/>
                <w:szCs w:val="24"/>
                <w:highlight w:val="none"/>
              </w:rPr>
              <w:fldChar w:fldCharType="end"/>
            </w:r>
          </w:p>
        </w:tc>
      </w:tr>
      <w:tr w14:paraId="06E1E74A">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2759" w:type="dxa"/>
            <w:vAlign w:val="center"/>
          </w:tcPr>
          <w:p w14:paraId="12BDD2B6">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资料员</w:t>
            </w:r>
          </w:p>
        </w:tc>
        <w:tc>
          <w:tcPr>
            <w:tcW w:w="2146" w:type="dxa"/>
            <w:vAlign w:val="center"/>
          </w:tcPr>
          <w:p w14:paraId="178F5CD3">
            <w:pPr>
              <w:adjustRightInd w:val="0"/>
              <w:snapToGrid w:val="0"/>
              <w:spacing w:line="240" w:lineRule="exact"/>
              <w:jc w:val="center"/>
              <w:rPr>
                <w:rFonts w:ascii="宋体" w:hAnsi="宋体" w:cs="宋体"/>
                <w:color w:val="auto"/>
                <w:sz w:val="24"/>
                <w:szCs w:val="24"/>
                <w:highlight w:val="none"/>
              </w:rPr>
            </w:pPr>
            <w:r>
              <w:rPr>
                <w:color w:val="auto"/>
                <w:sz w:val="24"/>
                <w:szCs w:val="24"/>
                <w:highlight w:val="none"/>
              </w:rPr>
              <w:fldChar w:fldCharType="begin"/>
            </w:r>
            <w:r>
              <w:rPr>
                <w:color w:val="auto"/>
                <w:sz w:val="24"/>
                <w:szCs w:val="24"/>
                <w:highlight w:val="none"/>
              </w:rPr>
              <w:instrText xml:space="preserve"> AUTOTEXT  input592 \* MERGEFORMAT </w:instrText>
            </w:r>
            <w:r>
              <w:rPr>
                <w:color w:val="auto"/>
                <w:sz w:val="24"/>
                <w:szCs w:val="24"/>
                <w:highlight w:val="none"/>
              </w:rPr>
              <w:fldChar w:fldCharType="separate"/>
            </w:r>
            <w:r>
              <w:rPr>
                <w:rFonts w:hint="eastAsia" w:ascii="宋体" w:hAnsi="宋体" w:cs="宋体"/>
                <w:color w:val="auto"/>
                <w:sz w:val="24"/>
                <w:szCs w:val="24"/>
                <w:highlight w:val="none"/>
              </w:rPr>
              <w:t>1</w:t>
            </w:r>
            <w:r>
              <w:rPr>
                <w:rFonts w:ascii="宋体" w:hAnsi="宋体" w:cs="宋体"/>
                <w:color w:val="auto"/>
                <w:sz w:val="24"/>
                <w:szCs w:val="24"/>
                <w:highlight w:val="none"/>
              </w:rPr>
              <w:fldChar w:fldCharType="end"/>
            </w:r>
          </w:p>
        </w:tc>
        <w:tc>
          <w:tcPr>
            <w:tcW w:w="2018" w:type="dxa"/>
            <w:vAlign w:val="center"/>
          </w:tcPr>
          <w:p w14:paraId="55CDAE48">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是：</w:t>
            </w:r>
            <w:r>
              <w:rPr>
                <w:color w:val="auto"/>
                <w:sz w:val="24"/>
                <w:szCs w:val="24"/>
                <w:highlight w:val="none"/>
              </w:rPr>
              <w:fldChar w:fldCharType="begin"/>
            </w:r>
            <w:r>
              <w:rPr>
                <w:color w:val="auto"/>
                <w:sz w:val="24"/>
                <w:szCs w:val="24"/>
                <w:highlight w:val="none"/>
              </w:rPr>
              <w:instrText xml:space="preserve"> AUTOTEXT  input593 \* MERGEFORMAT </w:instrText>
            </w:r>
            <w:r>
              <w:rPr>
                <w:color w:val="auto"/>
                <w:sz w:val="24"/>
                <w:szCs w:val="24"/>
                <w:highlight w:val="none"/>
              </w:rPr>
              <w:fldChar w:fldCharType="separate"/>
            </w:r>
            <w:r>
              <w:rPr>
                <w:rFonts w:ascii="Segoe UI Symbol" w:hAnsi="Segoe UI Symbol" w:cs="Segoe UI Symbol"/>
                <w:color w:val="auto"/>
                <w:sz w:val="24"/>
                <w:szCs w:val="24"/>
                <w:highlight w:val="none"/>
              </w:rPr>
              <w:t>☑</w:t>
            </w:r>
            <w:r>
              <w:rPr>
                <w:rFonts w:ascii="Segoe UI Symbol" w:hAnsi="Segoe UI Symbol" w:cs="Segoe UI Symbol"/>
                <w:color w:val="auto"/>
                <w:sz w:val="24"/>
                <w:szCs w:val="24"/>
                <w:highlight w:val="none"/>
              </w:rPr>
              <w:fldChar w:fldCharType="end"/>
            </w:r>
          </w:p>
          <w:p w14:paraId="0D562460">
            <w:pPr>
              <w:adjustRightInd w:val="0"/>
              <w:snapToGrid w:val="0"/>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否：</w:t>
            </w:r>
            <w:r>
              <w:rPr>
                <w:color w:val="auto"/>
                <w:sz w:val="24"/>
                <w:szCs w:val="24"/>
                <w:highlight w:val="none"/>
              </w:rPr>
              <w:fldChar w:fldCharType="begin"/>
            </w:r>
            <w:r>
              <w:rPr>
                <w:color w:val="auto"/>
                <w:sz w:val="24"/>
                <w:szCs w:val="24"/>
                <w:highlight w:val="none"/>
              </w:rPr>
              <w:instrText xml:space="preserve"> AUTOTEXT  input594 \* MERGEFORMAT </w:instrText>
            </w:r>
            <w:r>
              <w:rPr>
                <w:color w:val="auto"/>
                <w:sz w:val="24"/>
                <w:szCs w:val="24"/>
                <w:highlight w:val="none"/>
              </w:rPr>
              <w:fldChar w:fldCharType="separate"/>
            </w:r>
            <w:r>
              <w:rPr>
                <w:rFonts w:hint="eastAsia" w:ascii="宋体" w:hAnsi="宋体" w:cs="宋体"/>
                <w:color w:val="auto"/>
                <w:sz w:val="24"/>
                <w:szCs w:val="24"/>
                <w:highlight w:val="none"/>
              </w:rPr>
              <w:t>□</w:t>
            </w:r>
            <w:r>
              <w:rPr>
                <w:rFonts w:ascii="宋体" w:hAnsi="宋体" w:cs="宋体"/>
                <w:color w:val="auto"/>
                <w:sz w:val="24"/>
                <w:szCs w:val="24"/>
                <w:highlight w:val="none"/>
              </w:rPr>
              <w:fldChar w:fldCharType="end"/>
            </w:r>
          </w:p>
        </w:tc>
        <w:tc>
          <w:tcPr>
            <w:tcW w:w="2018" w:type="dxa"/>
            <w:vAlign w:val="center"/>
          </w:tcPr>
          <w:p w14:paraId="7C38026F">
            <w:pPr>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专职：</w:t>
            </w:r>
            <w:r>
              <w:rPr>
                <w:color w:val="auto"/>
                <w:sz w:val="24"/>
                <w:szCs w:val="24"/>
                <w:highlight w:val="none"/>
              </w:rPr>
              <w:fldChar w:fldCharType="begin"/>
            </w:r>
            <w:r>
              <w:rPr>
                <w:color w:val="auto"/>
                <w:sz w:val="24"/>
                <w:szCs w:val="24"/>
                <w:highlight w:val="none"/>
              </w:rPr>
              <w:instrText xml:space="preserve"> AUTOTEXT  input578 \* MERGEFORMAT </w:instrText>
            </w:r>
            <w:r>
              <w:rPr>
                <w:color w:val="auto"/>
                <w:sz w:val="24"/>
                <w:szCs w:val="24"/>
                <w:highlight w:val="none"/>
              </w:rPr>
              <w:fldChar w:fldCharType="separate"/>
            </w:r>
            <w:r>
              <w:rPr>
                <w:rFonts w:hint="eastAsia" w:ascii="宋体" w:hAnsi="宋体" w:cs="宋体"/>
                <w:color w:val="auto"/>
                <w:sz w:val="24"/>
                <w:szCs w:val="24"/>
                <w:highlight w:val="none"/>
              </w:rPr>
              <w:t>□</w:t>
            </w:r>
            <w:r>
              <w:rPr>
                <w:rFonts w:ascii="宋体" w:hAnsi="宋体" w:cs="宋体"/>
                <w:color w:val="auto"/>
                <w:sz w:val="24"/>
                <w:szCs w:val="24"/>
                <w:highlight w:val="none"/>
              </w:rPr>
              <w:fldChar w:fldCharType="end"/>
            </w:r>
          </w:p>
          <w:p w14:paraId="2FAAD628">
            <w:pPr>
              <w:adjustRightInd w:val="0"/>
              <w:snapToGrid w:val="0"/>
              <w:spacing w:line="2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可兼任：</w:t>
            </w:r>
            <w:r>
              <w:rPr>
                <w:color w:val="auto"/>
                <w:sz w:val="24"/>
                <w:szCs w:val="24"/>
                <w:highlight w:val="none"/>
              </w:rPr>
              <w:fldChar w:fldCharType="begin"/>
            </w:r>
            <w:r>
              <w:rPr>
                <w:color w:val="auto"/>
                <w:sz w:val="24"/>
                <w:szCs w:val="24"/>
                <w:highlight w:val="none"/>
              </w:rPr>
              <w:instrText xml:space="preserve"> AUTOTEXT  input577 \* MERGEFORMAT </w:instrText>
            </w:r>
            <w:r>
              <w:rPr>
                <w:color w:val="auto"/>
                <w:sz w:val="24"/>
                <w:szCs w:val="24"/>
                <w:highlight w:val="none"/>
              </w:rPr>
              <w:fldChar w:fldCharType="separate"/>
            </w:r>
            <w:r>
              <w:rPr>
                <w:rFonts w:ascii="Segoe UI Symbol" w:hAnsi="Segoe UI Symbol" w:cs="Segoe UI Symbol"/>
                <w:color w:val="auto"/>
                <w:sz w:val="24"/>
                <w:szCs w:val="24"/>
                <w:highlight w:val="none"/>
              </w:rPr>
              <w:t>☑</w:t>
            </w:r>
            <w:r>
              <w:rPr>
                <w:rFonts w:ascii="Segoe UI Symbol" w:hAnsi="Segoe UI Symbol" w:cs="Segoe UI Symbol"/>
                <w:color w:val="auto"/>
                <w:sz w:val="24"/>
                <w:szCs w:val="24"/>
                <w:highlight w:val="none"/>
              </w:rPr>
              <w:fldChar w:fldCharType="end"/>
            </w:r>
          </w:p>
        </w:tc>
      </w:tr>
    </w:tbl>
    <w:p w14:paraId="7D44002C">
      <w:pPr>
        <w:pStyle w:val="27"/>
        <w:tabs>
          <w:tab w:val="left" w:pos="3996"/>
        </w:tabs>
        <w:spacing w:line="360" w:lineRule="auto"/>
        <w:ind w:left="0" w:leftChars="0" w:firstLine="0" w:firstLineChars="0"/>
        <w:rPr>
          <w:rFonts w:hint="eastAsia" w:ascii="Times New Roman" w:hAnsi="Times New Roman" w:eastAsia="宋体" w:cs="宋体"/>
          <w:b/>
          <w:bCs/>
          <w:i w:val="0"/>
          <w:iCs w:val="0"/>
          <w:caps w:val="0"/>
          <w:smallCaps w:val="0"/>
          <w:color w:val="auto"/>
          <w:kern w:val="2"/>
          <w:sz w:val="24"/>
          <w:szCs w:val="24"/>
          <w:highlight w:val="none"/>
          <w:lang w:val="en-US" w:eastAsia="zh-CN" w:bidi="ar-SA"/>
        </w:rPr>
      </w:pPr>
      <w:r>
        <w:rPr>
          <w:rFonts w:hint="eastAsia" w:ascii="Times New Roman" w:hAnsi="Times New Roman" w:eastAsia="宋体" w:cs="宋体"/>
          <w:b/>
          <w:bCs/>
          <w:i w:val="0"/>
          <w:iCs w:val="0"/>
          <w:caps w:val="0"/>
          <w:smallCaps w:val="0"/>
          <w:color w:val="auto"/>
          <w:kern w:val="2"/>
          <w:sz w:val="24"/>
          <w:szCs w:val="24"/>
          <w:highlight w:val="none"/>
          <w:lang w:val="en-US" w:eastAsia="zh-CN" w:bidi="ar-SA"/>
        </w:rPr>
        <w:t>四、本项目工程量清单</w:t>
      </w:r>
    </w:p>
    <w:p w14:paraId="57F23B75">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另册提供。</w:t>
      </w:r>
    </w:p>
    <w:p w14:paraId="4C65E0F8">
      <w:pPr>
        <w:spacing w:line="360" w:lineRule="auto"/>
        <w:rPr>
          <w:rFonts w:hint="default" w:ascii="Times New Roman" w:hAnsi="Times New Roman" w:eastAsia="宋体" w:cs="宋体"/>
          <w:b/>
          <w:bCs/>
          <w:i w:val="0"/>
          <w:iCs w:val="0"/>
          <w:caps w:val="0"/>
          <w:smallCaps w:val="0"/>
          <w:color w:val="auto"/>
          <w:kern w:val="2"/>
          <w:sz w:val="24"/>
          <w:szCs w:val="24"/>
          <w:highlight w:val="none"/>
          <w:lang w:val="en-US" w:eastAsia="zh-CN" w:bidi="ar-SA"/>
        </w:rPr>
      </w:pPr>
      <w:r>
        <w:rPr>
          <w:rFonts w:hint="eastAsia" w:ascii="Times New Roman" w:hAnsi="Times New Roman" w:eastAsia="宋体" w:cs="宋体"/>
          <w:b/>
          <w:bCs/>
          <w:i w:val="0"/>
          <w:iCs w:val="0"/>
          <w:caps w:val="0"/>
          <w:smallCaps w:val="0"/>
          <w:color w:val="auto"/>
          <w:kern w:val="2"/>
          <w:sz w:val="24"/>
          <w:szCs w:val="24"/>
          <w:highlight w:val="none"/>
          <w:lang w:val="en-US" w:eastAsia="zh-CN" w:bidi="ar-SA"/>
        </w:rPr>
        <w:t>五、其他说明</w:t>
      </w:r>
    </w:p>
    <w:p w14:paraId="691593CF">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1、本项目采用工程量清单计价模式报价，供应商应依据竞争性磋商文件的要求及有关资料，执行国家或行业现行技术经济标准、定额及规范，自行测算出满足采购要求的货物、工程或者服务的竞争性报价，该报价应符合市场行情并能保证供应商完成履行合同所需的一切工作。</w:t>
      </w:r>
    </w:p>
    <w:p w14:paraId="674B887A">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2、磋商报价为供应商在报价文件中规定的完成竞争性磋商文件采购范围及合同文件中规定的工作内容的各项费用的总和，包含但不仅限于全部材料费、设备费、施工费、人工费、安装费、管理费、台班费、检验费、施工耗损、利润、税金、临时工程费、工程维护费、缺陷修复费用、工程一切险、第三者责任险、国家或地方行政管理部门强制要求承包人承担的险种的费用、施工技术措施费用、施工单位范围内报建相关手续的费用、一切施工所必需的因素所需费用，以及合同中明确的其他责任、义务。</w:t>
      </w:r>
    </w:p>
    <w:p w14:paraId="08C3F9E9">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3、工程结算：结算时，承包人使用第一轮工程量清单报价进行结算。结算审计以第一轮工程量清单报价审计，在审计后的结算价基础上乘以(1-本合同优惠率)，得到该工程审计结算价（即应支付实际工程款）。即工程审计结算价（即应支付实际工程款）=经审计后的结算价*(1-优惠率)。</w:t>
      </w:r>
      <w:r>
        <w:rPr>
          <w:rFonts w:hint="eastAsia" w:eastAsia="宋体" w:cs="宋体"/>
          <w:i w:val="0"/>
          <w:iCs w:val="0"/>
          <w:caps w:val="0"/>
          <w:smallCaps w:val="0"/>
          <w:color w:val="auto"/>
          <w:sz w:val="24"/>
          <w:szCs w:val="24"/>
          <w:highlight w:val="none"/>
          <w:lang w:val="en-US" w:eastAsia="zh-CN"/>
        </w:rPr>
        <w:t>如本项目工程量清单中存在</w:t>
      </w:r>
      <w:r>
        <w:rPr>
          <w:rFonts w:hint="eastAsia" w:ascii="Times New Roman" w:hAnsi="Times New Roman" w:eastAsia="宋体" w:cs="宋体"/>
          <w:i w:val="0"/>
          <w:iCs w:val="0"/>
          <w:caps w:val="0"/>
          <w:smallCaps w:val="0"/>
          <w:color w:val="auto"/>
          <w:sz w:val="24"/>
          <w:szCs w:val="24"/>
          <w:highlight w:val="none"/>
          <w:lang w:val="en-US" w:eastAsia="zh-CN"/>
        </w:rPr>
        <w:t>暂估价</w:t>
      </w:r>
      <w:r>
        <w:rPr>
          <w:rFonts w:hint="eastAsia" w:eastAsia="宋体" w:cs="宋体"/>
          <w:i w:val="0"/>
          <w:iCs w:val="0"/>
          <w:caps w:val="0"/>
          <w:smallCaps w:val="0"/>
          <w:color w:val="auto"/>
          <w:sz w:val="24"/>
          <w:szCs w:val="24"/>
          <w:highlight w:val="none"/>
          <w:lang w:val="en-US" w:eastAsia="zh-CN"/>
        </w:rPr>
        <w:t>的，暂估价以三方询价、定价为准，不再参与优惠率下浮。</w:t>
      </w:r>
    </w:p>
    <w:p w14:paraId="30293BA3">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val="en-US" w:eastAsia="zh-CN"/>
        </w:rPr>
      </w:pPr>
      <w:r>
        <w:rPr>
          <w:rFonts w:hint="eastAsia" w:ascii="Times New Roman" w:hAnsi="Times New Roman" w:eastAsia="宋体" w:cs="宋体"/>
          <w:i w:val="0"/>
          <w:iCs w:val="0"/>
          <w:caps w:val="0"/>
          <w:smallCaps w:val="0"/>
          <w:color w:val="auto"/>
          <w:sz w:val="24"/>
          <w:szCs w:val="24"/>
          <w:highlight w:val="none"/>
          <w:lang w:val="en-US" w:eastAsia="zh-CN"/>
        </w:rPr>
        <w:t>4、供应商可先到工地自行踏勘以充分了解工地位置、情况、道路、储存空间、施工现场条件的限制和临时设施的搭建、施工场地周边居民住房、公路等基础设施、装卸限制及任何其他足以影响报价的情况。供应商的报价应考虑上述情况对工程造价的影响，以及施工期间对施工场地周边居民住房、道路等基础设施的影响，因上述条件产生的相关费用包含在供应商报价中，采购人不另行支付任何有关费用。。</w:t>
      </w:r>
    </w:p>
    <w:p w14:paraId="55ECFAE6">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imes New Roman" w:hAnsi="Times New Roman" w:eastAsia="宋体" w:cs="宋体"/>
          <w:i w:val="0"/>
          <w:iCs w:val="0"/>
          <w:caps w:val="0"/>
          <w:smallCaps w:val="0"/>
          <w:color w:val="auto"/>
          <w:sz w:val="24"/>
          <w:szCs w:val="24"/>
          <w:highlight w:val="none"/>
          <w:lang w:val="en-US" w:eastAsia="zh-CN"/>
        </w:rPr>
      </w:pPr>
    </w:p>
    <w:p w14:paraId="1B6FB2E3">
      <w:pPr>
        <w:rPr>
          <w:rFonts w:hint="eastAsia" w:asciiTheme="minorEastAsia" w:hAnsiTheme="minorEastAsia" w:eastAsiaTheme="minorEastAsia" w:cstheme="minorEastAsia"/>
          <w:lang w:val="en-US" w:eastAsia="zh-CN"/>
        </w:rPr>
        <w:sectPr>
          <w:footerReference r:id="rId3" w:type="default"/>
          <w:type w:val="continuous"/>
          <w:pgSz w:w="11906" w:h="16838"/>
          <w:pgMar w:top="1644" w:right="1474" w:bottom="1587" w:left="1587"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r>
        <w:rPr>
          <w:rFonts w:hint="eastAsia" w:asciiTheme="minorEastAsia" w:hAnsiTheme="minorEastAsia" w:eastAsiaTheme="minorEastAsia" w:cstheme="minorEastAsia"/>
          <w:sz w:val="18"/>
          <w:szCs w:val="18"/>
          <w:lang w:val="en-US" w:eastAsia="zh-CN"/>
        </w:rPr>
        <w:br w:type="page"/>
      </w:r>
    </w:p>
    <w:p w14:paraId="5D6B7F54">
      <w:pPr>
        <w:widowControl/>
        <w:spacing w:line="360" w:lineRule="auto"/>
        <w:jc w:val="center"/>
        <w:outlineLvl w:val="0"/>
        <w:rPr>
          <w:rStyle w:val="52"/>
          <w:rFonts w:hint="eastAsia" w:ascii="黑体" w:hAnsi="黑体" w:eastAsia="宋体" w:cs="宋体"/>
          <w:b/>
          <w:bCs/>
          <w:color w:val="auto"/>
          <w:kern w:val="0"/>
          <w:sz w:val="44"/>
          <w:szCs w:val="44"/>
        </w:rPr>
      </w:pPr>
      <w:bookmarkStart w:id="281" w:name="_Toc23180"/>
      <w:bookmarkStart w:id="282" w:name="_Toc23290"/>
      <w:bookmarkStart w:id="283" w:name="_Toc20788"/>
      <w:r>
        <w:rPr>
          <w:rStyle w:val="52"/>
          <w:rFonts w:hint="eastAsia" w:ascii="黑体" w:hAnsi="黑体" w:eastAsia="宋体" w:cs="宋体"/>
          <w:b/>
          <w:bCs/>
          <w:color w:val="auto"/>
          <w:kern w:val="0"/>
          <w:sz w:val="44"/>
          <w:szCs w:val="44"/>
          <w:lang w:val="en-US" w:eastAsia="zh-CN"/>
        </w:rPr>
        <w:t>第五章</w:t>
      </w:r>
      <w:r>
        <w:rPr>
          <w:rStyle w:val="52"/>
          <w:rFonts w:hint="eastAsia" w:ascii="黑体" w:hAnsi="黑体" w:eastAsia="宋体" w:cs="宋体"/>
          <w:b/>
          <w:bCs/>
          <w:color w:val="auto"/>
          <w:kern w:val="0"/>
          <w:sz w:val="44"/>
          <w:szCs w:val="44"/>
          <w:lang w:val="en-US" w:eastAsia="zh-CN"/>
        </w:rPr>
        <w:tab/>
      </w:r>
      <w:r>
        <w:rPr>
          <w:rStyle w:val="52"/>
          <w:rFonts w:hint="eastAsia" w:ascii="黑体" w:hAnsi="黑体" w:eastAsia="宋体" w:cs="宋体"/>
          <w:b/>
          <w:bCs/>
          <w:color w:val="auto"/>
          <w:kern w:val="0"/>
          <w:sz w:val="44"/>
          <w:szCs w:val="44"/>
          <w:lang w:val="en-US" w:eastAsia="zh-CN"/>
        </w:rPr>
        <w:t>竞争性</w:t>
      </w:r>
      <w:r>
        <w:rPr>
          <w:rStyle w:val="52"/>
          <w:rFonts w:hint="default" w:ascii="黑体" w:hAnsi="黑体" w:eastAsia="宋体" w:cs="宋体"/>
          <w:b/>
          <w:bCs/>
          <w:color w:val="auto"/>
          <w:kern w:val="0"/>
          <w:sz w:val="44"/>
          <w:szCs w:val="44"/>
          <w:lang w:val="en-US" w:eastAsia="zh-CN"/>
        </w:rPr>
        <w:t>磋商响应文件格式</w:t>
      </w:r>
      <w:bookmarkEnd w:id="281"/>
      <w:bookmarkEnd w:id="282"/>
      <w:bookmarkEnd w:id="283"/>
    </w:p>
    <w:p w14:paraId="6A591A42">
      <w:pPr>
        <w:keepNext w:val="0"/>
        <w:keepLines w:val="0"/>
        <w:pageBreakBefore w:val="0"/>
        <w:widowControl/>
        <w:shd w:val="clear" w:color="auto" w:fill="auto"/>
        <w:kinsoku/>
        <w:wordWrap/>
        <w:overflowPunct/>
        <w:topLinePunct w:val="0"/>
        <w:autoSpaceDE/>
        <w:autoSpaceDN/>
        <w:bidi w:val="0"/>
        <w:adjustRightInd/>
        <w:snapToGrid/>
        <w:spacing w:line="580" w:lineRule="exact"/>
        <w:jc w:val="center"/>
        <w:textAlignment w:val="auto"/>
        <w:rPr>
          <w:rFonts w:hint="eastAsia" w:ascii="宋体" w:hAnsi="宋体" w:eastAsia="仿宋_GB2312" w:cstheme="minorBidi"/>
          <w:b/>
          <w:bCs/>
          <w:kern w:val="2"/>
          <w:sz w:val="36"/>
          <w:szCs w:val="36"/>
          <w:lang w:val="en-US" w:eastAsia="zh-CN" w:bidi="ar-SA"/>
        </w:rPr>
      </w:pPr>
    </w:p>
    <w:p w14:paraId="397D706E">
      <w:pPr>
        <w:keepNext w:val="0"/>
        <w:keepLines w:val="0"/>
        <w:pageBreakBefore w:val="0"/>
        <w:widowControl/>
        <w:shd w:val="clear" w:color="auto" w:fill="auto"/>
        <w:kinsoku/>
        <w:wordWrap/>
        <w:overflowPunct/>
        <w:topLinePunct w:val="0"/>
        <w:autoSpaceDE/>
        <w:autoSpaceDN/>
        <w:bidi w:val="0"/>
        <w:adjustRightInd/>
        <w:snapToGrid/>
        <w:spacing w:line="800" w:lineRule="exact"/>
        <w:jc w:val="center"/>
        <w:textAlignment w:val="auto"/>
        <w:outlineLvl w:val="1"/>
        <w:rPr>
          <w:rFonts w:hint="eastAsia" w:ascii="宋体" w:hAnsi="宋体" w:eastAsia="仿宋_GB2312" w:cstheme="minorBidi"/>
          <w:b/>
          <w:bCs/>
          <w:kern w:val="2"/>
          <w:sz w:val="72"/>
          <w:szCs w:val="72"/>
          <w:lang w:val="en-US" w:eastAsia="zh-CN" w:bidi="ar-SA"/>
        </w:rPr>
      </w:pPr>
      <w:r>
        <w:rPr>
          <w:rFonts w:hint="eastAsia" w:ascii="宋体" w:hAnsi="宋体" w:eastAsia="仿宋_GB2312" w:cstheme="minorBidi"/>
          <w:b/>
          <w:bCs/>
          <w:kern w:val="2"/>
          <w:sz w:val="48"/>
          <w:szCs w:val="48"/>
          <w:lang w:val="en-US" w:eastAsia="zh-CN" w:bidi="ar-SA"/>
        </w:rPr>
        <w:t>胜境街道后矿社区大河乌猪肉制品加工设施项目</w:t>
      </w:r>
    </w:p>
    <w:p w14:paraId="4072E04A">
      <w:pPr>
        <w:pStyle w:val="36"/>
        <w:rPr>
          <w:rFonts w:ascii="宋体" w:hAnsi="宋体" w:cs="宋体"/>
          <w:sz w:val="24"/>
          <w:szCs w:val="24"/>
        </w:rPr>
      </w:pPr>
    </w:p>
    <w:p w14:paraId="2D513590">
      <w:pPr>
        <w:pStyle w:val="15"/>
        <w:spacing w:line="360" w:lineRule="auto"/>
        <w:jc w:val="center"/>
        <w:rPr>
          <w:rFonts w:hint="eastAsia" w:hAnsi="宋体"/>
          <w:b/>
          <w:bCs/>
          <w:sz w:val="56"/>
          <w:szCs w:val="56"/>
        </w:rPr>
      </w:pPr>
    </w:p>
    <w:p w14:paraId="020BFFFB">
      <w:pPr>
        <w:pStyle w:val="15"/>
        <w:spacing w:line="360" w:lineRule="auto"/>
        <w:jc w:val="center"/>
        <w:rPr>
          <w:rFonts w:hint="eastAsia" w:hAnsi="宋体"/>
          <w:b/>
          <w:bCs/>
          <w:sz w:val="56"/>
          <w:szCs w:val="56"/>
        </w:rPr>
      </w:pPr>
    </w:p>
    <w:p w14:paraId="63C958BA">
      <w:pPr>
        <w:pStyle w:val="15"/>
        <w:spacing w:line="360" w:lineRule="auto"/>
        <w:jc w:val="center"/>
        <w:rPr>
          <w:rFonts w:hint="eastAsia" w:hAnsi="宋体"/>
          <w:b/>
          <w:bCs/>
          <w:sz w:val="56"/>
          <w:szCs w:val="56"/>
        </w:rPr>
      </w:pPr>
    </w:p>
    <w:p w14:paraId="6524CFFE">
      <w:pPr>
        <w:pStyle w:val="15"/>
        <w:spacing w:line="360" w:lineRule="auto"/>
        <w:jc w:val="center"/>
        <w:rPr>
          <w:rFonts w:hAnsi="宋体"/>
          <w:b/>
          <w:bCs/>
          <w:sz w:val="56"/>
          <w:szCs w:val="56"/>
        </w:rPr>
      </w:pPr>
      <w:r>
        <w:rPr>
          <w:rFonts w:hint="eastAsia" w:hAnsi="宋体"/>
          <w:b/>
          <w:bCs/>
          <w:sz w:val="60"/>
          <w:szCs w:val="60"/>
        </w:rPr>
        <w:t>竞争性磋商响应文件</w:t>
      </w:r>
    </w:p>
    <w:p w14:paraId="6C59A29F">
      <w:pPr>
        <w:pStyle w:val="15"/>
        <w:spacing w:line="360" w:lineRule="auto"/>
        <w:jc w:val="center"/>
        <w:rPr>
          <w:rFonts w:hint="eastAsia" w:hAnsi="宋体" w:eastAsia="仿宋_GB2312" w:cs="Times New Roman"/>
          <w:b/>
          <w:bCs/>
          <w:sz w:val="28"/>
          <w:szCs w:val="28"/>
          <w:u w:val="single"/>
          <w:lang w:val="en-US" w:eastAsia="zh-CN"/>
        </w:rPr>
      </w:pPr>
      <w:r>
        <w:rPr>
          <w:rFonts w:hint="eastAsia" w:hAnsi="宋体" w:eastAsia="宋体"/>
          <w:b/>
          <w:bCs/>
          <w:sz w:val="28"/>
          <w:szCs w:val="28"/>
          <w:lang w:eastAsia="zh-CN"/>
        </w:rPr>
        <w:t>项目编号</w:t>
      </w:r>
      <w:r>
        <w:rPr>
          <w:rFonts w:hint="eastAsia" w:hAnsi="宋体"/>
          <w:b/>
          <w:bCs/>
          <w:sz w:val="28"/>
          <w:szCs w:val="28"/>
        </w:rPr>
        <w:t>：</w:t>
      </w:r>
    </w:p>
    <w:p w14:paraId="6AF470D8">
      <w:pPr>
        <w:spacing w:line="360" w:lineRule="auto"/>
        <w:jc w:val="center"/>
        <w:rPr>
          <w:rFonts w:ascii="宋体" w:hAnsi="宋体" w:eastAsia="宋体"/>
          <w:sz w:val="24"/>
          <w:szCs w:val="24"/>
        </w:rPr>
      </w:pPr>
    </w:p>
    <w:p w14:paraId="7C8C2F18">
      <w:pPr>
        <w:spacing w:line="360" w:lineRule="auto"/>
        <w:jc w:val="center"/>
        <w:rPr>
          <w:rFonts w:ascii="宋体" w:hAnsi="宋体" w:eastAsia="宋体"/>
          <w:sz w:val="24"/>
          <w:szCs w:val="24"/>
        </w:rPr>
      </w:pPr>
    </w:p>
    <w:p w14:paraId="03C5D49A">
      <w:pPr>
        <w:pStyle w:val="36"/>
      </w:pPr>
    </w:p>
    <w:p w14:paraId="1CDACF85">
      <w:pPr>
        <w:pStyle w:val="20"/>
      </w:pPr>
    </w:p>
    <w:p w14:paraId="4C4FD876">
      <w:pPr>
        <w:pStyle w:val="20"/>
        <w:rPr>
          <w:rFonts w:ascii="宋体" w:hAnsi="宋体" w:eastAsia="宋体"/>
          <w:sz w:val="24"/>
          <w:szCs w:val="24"/>
        </w:rPr>
      </w:pPr>
    </w:p>
    <w:p w14:paraId="0C8453C4">
      <w:pPr>
        <w:rPr>
          <w:rFonts w:ascii="宋体" w:hAnsi="宋体" w:eastAsia="宋体"/>
          <w:sz w:val="24"/>
          <w:szCs w:val="24"/>
        </w:rPr>
      </w:pPr>
    </w:p>
    <w:p w14:paraId="746A555D">
      <w:pPr>
        <w:pStyle w:val="21"/>
      </w:pPr>
    </w:p>
    <w:p w14:paraId="4468794E">
      <w:pPr>
        <w:widowControl w:val="0"/>
        <w:spacing w:line="600" w:lineRule="atLeast"/>
        <w:ind w:firstLine="486" w:firstLineChars="200"/>
        <w:rPr>
          <w:rFonts w:ascii="宋体" w:hAnsi="宋体" w:cs="宋体"/>
          <w:sz w:val="24"/>
          <w:szCs w:val="24"/>
        </w:rPr>
      </w:pPr>
      <w:r>
        <w:rPr>
          <w:rFonts w:hint="eastAsia" w:ascii="宋体" w:hAnsi="宋体" w:eastAsia="宋体" w:cs="宋体"/>
          <w:sz w:val="24"/>
          <w:szCs w:val="24"/>
          <w:lang w:eastAsia="zh-CN"/>
        </w:rPr>
        <w:t>供应商</w:t>
      </w:r>
      <w:r>
        <w:rPr>
          <w:rFonts w:hint="eastAsia" w:ascii="宋体" w:hAnsi="宋体" w:cs="宋体"/>
          <w:sz w:val="24"/>
          <w:szCs w:val="24"/>
        </w:rPr>
        <w:t>：</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w:t>
      </w:r>
      <w:r>
        <w:rPr>
          <w:rFonts w:hint="eastAsia" w:ascii="宋体" w:hAnsi="宋体" w:cs="宋体"/>
          <w:sz w:val="24"/>
          <w:szCs w:val="24"/>
          <w:lang w:eastAsia="zh-CN"/>
        </w:rPr>
        <w:t>电子公章</w:t>
      </w:r>
      <w:r>
        <w:rPr>
          <w:rFonts w:hint="eastAsia" w:ascii="宋体" w:hAnsi="宋体" w:cs="宋体"/>
          <w:sz w:val="24"/>
          <w:szCs w:val="24"/>
        </w:rPr>
        <w:t xml:space="preserve">）   </w:t>
      </w:r>
    </w:p>
    <w:p w14:paraId="5F13120C">
      <w:pPr>
        <w:widowControl w:val="0"/>
        <w:spacing w:line="600" w:lineRule="atLeast"/>
        <w:ind w:firstLine="486" w:firstLineChars="200"/>
        <w:rPr>
          <w:rFonts w:ascii="宋体" w:hAnsi="宋体" w:cs="宋体"/>
          <w:sz w:val="24"/>
          <w:szCs w:val="24"/>
        </w:rPr>
      </w:pPr>
      <w:r>
        <w:rPr>
          <w:rFonts w:hint="eastAsia" w:ascii="宋体" w:hAnsi="宋体" w:cs="宋体"/>
          <w:sz w:val="24"/>
          <w:szCs w:val="24"/>
          <w:lang w:eastAsia="zh-CN"/>
        </w:rPr>
        <w:t>法定代表人</w:t>
      </w:r>
      <w:r>
        <w:rPr>
          <w:rFonts w:hint="eastAsia" w:ascii="宋体" w:hAnsi="宋体" w:cs="宋体"/>
          <w:sz w:val="24"/>
          <w:szCs w:val="24"/>
        </w:rPr>
        <w:t>或委托代理人：</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w:t>
      </w:r>
      <w:r>
        <w:rPr>
          <w:rFonts w:hint="eastAsia" w:ascii="宋体" w:hAnsi="宋体" w:cs="宋体"/>
          <w:sz w:val="24"/>
          <w:szCs w:val="24"/>
          <w:lang w:eastAsia="zh-CN"/>
        </w:rPr>
        <w:t>电子签名</w:t>
      </w:r>
      <w:r>
        <w:rPr>
          <w:rFonts w:hint="eastAsia" w:ascii="宋体" w:hAnsi="宋体" w:cs="宋体"/>
          <w:sz w:val="24"/>
          <w:szCs w:val="24"/>
        </w:rPr>
        <w:t xml:space="preserve">） </w:t>
      </w:r>
    </w:p>
    <w:p w14:paraId="5F757BC2">
      <w:pPr>
        <w:widowControl w:val="0"/>
        <w:spacing w:line="600" w:lineRule="atLeast"/>
        <w:ind w:firstLine="486" w:firstLineChars="200"/>
        <w:rPr>
          <w:rFonts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67A9DAFB">
      <w:pPr>
        <w:spacing w:line="360" w:lineRule="auto"/>
        <w:ind w:left="0" w:leftChars="0" w:firstLine="645" w:firstLineChars="266"/>
        <w:rPr>
          <w:rFonts w:hint="eastAsia" w:ascii="宋体" w:hAnsi="宋体" w:eastAsia="宋体" w:cs="宋体"/>
          <w:sz w:val="24"/>
          <w:szCs w:val="24"/>
          <w:lang w:val="en-US" w:eastAsia="zh-CN"/>
        </w:rPr>
      </w:pPr>
    </w:p>
    <w:p w14:paraId="2CC8EA8D">
      <w:pPr>
        <w:spacing w:line="360" w:lineRule="auto"/>
        <w:ind w:firstLine="2004" w:firstLineChars="825"/>
        <w:rPr>
          <w:rFonts w:hint="eastAsia" w:ascii="宋体" w:hAnsi="宋体" w:eastAsia="宋体" w:cs="宋体"/>
          <w:sz w:val="24"/>
          <w:szCs w:val="24"/>
        </w:rPr>
      </w:pPr>
    </w:p>
    <w:p w14:paraId="52C5B41C">
      <w:pPr>
        <w:spacing w:line="360" w:lineRule="auto"/>
        <w:jc w:val="center"/>
        <w:rPr>
          <w:rFonts w:ascii="宋体" w:hAnsi="宋体" w:eastAsia="宋体" w:cs="宋体"/>
          <w:b/>
          <w:bCs/>
          <w:sz w:val="44"/>
          <w:szCs w:val="44"/>
        </w:rPr>
      </w:pPr>
      <w:r>
        <w:rPr>
          <w:rFonts w:hint="eastAsia" w:ascii="宋体" w:hAnsi="宋体" w:eastAsia="宋体" w:cs="宋体"/>
          <w:b/>
          <w:bCs/>
          <w:sz w:val="44"/>
          <w:szCs w:val="44"/>
        </w:rPr>
        <w:t>目 录</w:t>
      </w:r>
    </w:p>
    <w:p w14:paraId="595A51FB">
      <w:pPr>
        <w:spacing w:line="360" w:lineRule="auto"/>
        <w:ind w:firstLine="426" w:firstLineChars="200"/>
        <w:rPr>
          <w:rFonts w:ascii="宋体" w:hAnsi="宋体" w:eastAsia="宋体" w:cs="宋体"/>
        </w:rPr>
      </w:pPr>
    </w:p>
    <w:p w14:paraId="1CFC93AD">
      <w:pPr>
        <w:pageBreakBefore w:val="0"/>
        <w:widowControl/>
        <w:kinsoku/>
        <w:wordWrap/>
        <w:overflowPunct/>
        <w:topLinePunct w:val="0"/>
        <w:autoSpaceDE/>
        <w:autoSpaceDN/>
        <w:bidi w:val="0"/>
        <w:adjustRightInd w:val="0"/>
        <w:snapToGrid w:val="0"/>
        <w:spacing w:line="360" w:lineRule="auto"/>
        <w:ind w:firstLine="425"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第一部分  报价部分</w:t>
      </w:r>
    </w:p>
    <w:p w14:paraId="46B60A77">
      <w:pPr>
        <w:pageBreakBefore w:val="0"/>
        <w:widowControl/>
        <w:kinsoku/>
        <w:wordWrap/>
        <w:overflowPunct/>
        <w:topLinePunct w:val="0"/>
        <w:autoSpaceDE/>
        <w:autoSpaceDN/>
        <w:bidi w:val="0"/>
        <w:adjustRightInd w:val="0"/>
        <w:snapToGrid w:val="0"/>
        <w:spacing w:line="360" w:lineRule="auto"/>
        <w:ind w:firstLine="425"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（一）磋商总报价一览表</w:t>
      </w:r>
    </w:p>
    <w:p w14:paraId="392CD7DF">
      <w:pPr>
        <w:pageBreakBefore w:val="0"/>
        <w:widowControl/>
        <w:kinsoku/>
        <w:wordWrap/>
        <w:overflowPunct/>
        <w:topLinePunct w:val="0"/>
        <w:autoSpaceDE/>
        <w:autoSpaceDN/>
        <w:bidi w:val="0"/>
        <w:adjustRightInd w:val="0"/>
        <w:snapToGrid w:val="0"/>
        <w:spacing w:line="360" w:lineRule="auto"/>
        <w:ind w:firstLine="425"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（二）法定代表人身份证明书</w:t>
      </w:r>
    </w:p>
    <w:p w14:paraId="580D56C2">
      <w:pPr>
        <w:pageBreakBefore w:val="0"/>
        <w:widowControl/>
        <w:kinsoku/>
        <w:wordWrap/>
        <w:overflowPunct/>
        <w:topLinePunct w:val="0"/>
        <w:autoSpaceDE/>
        <w:autoSpaceDN/>
        <w:bidi w:val="0"/>
        <w:adjustRightInd w:val="0"/>
        <w:snapToGrid w:val="0"/>
        <w:spacing w:line="360" w:lineRule="auto"/>
        <w:ind w:firstLine="425"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（三）法人授权委托书</w:t>
      </w:r>
    </w:p>
    <w:p w14:paraId="390E0A55">
      <w:pPr>
        <w:pageBreakBefore w:val="0"/>
        <w:widowControl/>
        <w:kinsoku/>
        <w:wordWrap/>
        <w:overflowPunct/>
        <w:topLinePunct w:val="0"/>
        <w:autoSpaceDE/>
        <w:autoSpaceDN/>
        <w:bidi w:val="0"/>
        <w:adjustRightInd w:val="0"/>
        <w:snapToGrid w:val="0"/>
        <w:spacing w:line="360" w:lineRule="auto"/>
        <w:ind w:firstLine="425"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（四）中小企业声明函（若有）</w:t>
      </w:r>
    </w:p>
    <w:p w14:paraId="249ED98A">
      <w:pPr>
        <w:pageBreakBefore w:val="0"/>
        <w:widowControl/>
        <w:kinsoku/>
        <w:wordWrap/>
        <w:overflowPunct/>
        <w:topLinePunct w:val="0"/>
        <w:autoSpaceDE/>
        <w:autoSpaceDN/>
        <w:bidi w:val="0"/>
        <w:adjustRightInd w:val="0"/>
        <w:snapToGrid w:val="0"/>
        <w:spacing w:line="360" w:lineRule="auto"/>
        <w:ind w:firstLine="425"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（五）监狱企业证明文件（若有）</w:t>
      </w:r>
    </w:p>
    <w:p w14:paraId="0009BF12">
      <w:pPr>
        <w:pageBreakBefore w:val="0"/>
        <w:widowControl/>
        <w:kinsoku/>
        <w:wordWrap/>
        <w:overflowPunct/>
        <w:topLinePunct w:val="0"/>
        <w:autoSpaceDE/>
        <w:autoSpaceDN/>
        <w:bidi w:val="0"/>
        <w:adjustRightInd w:val="0"/>
        <w:snapToGrid w:val="0"/>
        <w:spacing w:line="360" w:lineRule="auto"/>
        <w:ind w:firstLine="425"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（六）残疾人福利性单位声明函（若有）</w:t>
      </w:r>
    </w:p>
    <w:p w14:paraId="4B69BF11">
      <w:pPr>
        <w:pageBreakBefore w:val="0"/>
        <w:widowControl/>
        <w:kinsoku/>
        <w:wordWrap/>
        <w:overflowPunct/>
        <w:topLinePunct w:val="0"/>
        <w:autoSpaceDE/>
        <w:autoSpaceDN/>
        <w:bidi w:val="0"/>
        <w:adjustRightInd w:val="0"/>
        <w:snapToGrid w:val="0"/>
        <w:spacing w:line="360" w:lineRule="auto"/>
        <w:ind w:firstLine="425"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第二部分 资格审查部分</w:t>
      </w:r>
    </w:p>
    <w:p w14:paraId="6BC7B504">
      <w:pPr>
        <w:pageBreakBefore w:val="0"/>
        <w:widowControl/>
        <w:kinsoku/>
        <w:wordWrap/>
        <w:overflowPunct/>
        <w:topLinePunct w:val="0"/>
        <w:autoSpaceDE/>
        <w:autoSpaceDN/>
        <w:bidi w:val="0"/>
        <w:adjustRightInd w:val="0"/>
        <w:snapToGrid w:val="0"/>
        <w:spacing w:line="360" w:lineRule="auto"/>
        <w:ind w:firstLine="425"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（一）供应商基本情况</w:t>
      </w:r>
    </w:p>
    <w:p w14:paraId="4EF96EE6">
      <w:pPr>
        <w:pageBreakBefore w:val="0"/>
        <w:widowControl/>
        <w:kinsoku/>
        <w:wordWrap/>
        <w:overflowPunct/>
        <w:topLinePunct w:val="0"/>
        <w:autoSpaceDE/>
        <w:autoSpaceDN/>
        <w:bidi w:val="0"/>
        <w:adjustRightInd w:val="0"/>
        <w:snapToGrid w:val="0"/>
        <w:spacing w:line="360" w:lineRule="auto"/>
        <w:ind w:firstLine="425"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（二）资格条件承诺函</w:t>
      </w:r>
    </w:p>
    <w:p w14:paraId="0FAD3A57">
      <w:pPr>
        <w:pageBreakBefore w:val="0"/>
        <w:widowControl/>
        <w:kinsoku/>
        <w:wordWrap/>
        <w:overflowPunct/>
        <w:topLinePunct w:val="0"/>
        <w:autoSpaceDE/>
        <w:autoSpaceDN/>
        <w:bidi w:val="0"/>
        <w:adjustRightInd w:val="0"/>
        <w:snapToGrid w:val="0"/>
        <w:spacing w:line="360" w:lineRule="auto"/>
        <w:ind w:firstLine="425" w:firstLineChars="175"/>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（三）特定资格要求</w:t>
      </w:r>
    </w:p>
    <w:p w14:paraId="0496D585">
      <w:pPr>
        <w:pageBreakBefore w:val="0"/>
        <w:widowControl/>
        <w:kinsoku/>
        <w:wordWrap/>
        <w:overflowPunct/>
        <w:topLinePunct w:val="0"/>
        <w:autoSpaceDE/>
        <w:autoSpaceDN/>
        <w:bidi w:val="0"/>
        <w:adjustRightInd w:val="0"/>
        <w:snapToGrid w:val="0"/>
        <w:spacing w:line="360" w:lineRule="auto"/>
        <w:ind w:firstLine="425"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（四）其他资料及供应商认为需要补充的资料</w:t>
      </w:r>
    </w:p>
    <w:p w14:paraId="218F665A">
      <w:pPr>
        <w:pageBreakBefore w:val="0"/>
        <w:widowControl/>
        <w:kinsoku/>
        <w:wordWrap/>
        <w:overflowPunct/>
        <w:topLinePunct w:val="0"/>
        <w:autoSpaceDE/>
        <w:autoSpaceDN/>
        <w:bidi w:val="0"/>
        <w:adjustRightInd w:val="0"/>
        <w:snapToGrid w:val="0"/>
        <w:spacing w:line="360" w:lineRule="auto"/>
        <w:ind w:firstLine="425"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第三部分 商务及技术部分</w:t>
      </w:r>
    </w:p>
    <w:p w14:paraId="065E6924">
      <w:pPr>
        <w:pageBreakBefore w:val="0"/>
        <w:widowControl/>
        <w:kinsoku/>
        <w:wordWrap/>
        <w:overflowPunct/>
        <w:topLinePunct w:val="0"/>
        <w:autoSpaceDE/>
        <w:autoSpaceDN/>
        <w:bidi w:val="0"/>
        <w:adjustRightInd w:val="0"/>
        <w:snapToGrid w:val="0"/>
        <w:spacing w:line="360" w:lineRule="auto"/>
        <w:ind w:firstLine="425"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（一）磋商函</w:t>
      </w:r>
    </w:p>
    <w:p w14:paraId="5A9072CA">
      <w:pPr>
        <w:pageBreakBefore w:val="0"/>
        <w:widowControl/>
        <w:kinsoku/>
        <w:wordWrap/>
        <w:overflowPunct/>
        <w:topLinePunct w:val="0"/>
        <w:autoSpaceDE/>
        <w:autoSpaceDN/>
        <w:bidi w:val="0"/>
        <w:adjustRightInd w:val="0"/>
        <w:snapToGrid w:val="0"/>
        <w:spacing w:line="360" w:lineRule="auto"/>
        <w:ind w:firstLine="425"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（二）投标承诺函</w:t>
      </w:r>
    </w:p>
    <w:p w14:paraId="7B123435">
      <w:pPr>
        <w:pageBreakBefore w:val="0"/>
        <w:widowControl/>
        <w:kinsoku/>
        <w:wordWrap/>
        <w:overflowPunct/>
        <w:topLinePunct w:val="0"/>
        <w:autoSpaceDE/>
        <w:autoSpaceDN/>
        <w:bidi w:val="0"/>
        <w:adjustRightInd w:val="0"/>
        <w:snapToGrid w:val="0"/>
        <w:spacing w:line="360" w:lineRule="auto"/>
        <w:ind w:firstLine="425" w:firstLineChars="175"/>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（三）施工方案与技术措施</w:t>
      </w:r>
    </w:p>
    <w:p w14:paraId="6B9B3298">
      <w:pPr>
        <w:pageBreakBefore w:val="0"/>
        <w:widowControl/>
        <w:kinsoku/>
        <w:wordWrap/>
        <w:overflowPunct/>
        <w:topLinePunct w:val="0"/>
        <w:autoSpaceDE/>
        <w:autoSpaceDN/>
        <w:bidi w:val="0"/>
        <w:adjustRightInd w:val="0"/>
        <w:snapToGrid w:val="0"/>
        <w:spacing w:line="360" w:lineRule="auto"/>
        <w:ind w:firstLine="425"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（四）对项目的理解、重难点分析及合理化建议</w:t>
      </w:r>
    </w:p>
    <w:p w14:paraId="63D4DA2C">
      <w:pPr>
        <w:pageBreakBefore w:val="0"/>
        <w:widowControl/>
        <w:kinsoku/>
        <w:wordWrap/>
        <w:overflowPunct/>
        <w:topLinePunct w:val="0"/>
        <w:autoSpaceDE/>
        <w:autoSpaceDN/>
        <w:bidi w:val="0"/>
        <w:adjustRightInd w:val="0"/>
        <w:snapToGrid w:val="0"/>
        <w:spacing w:line="360" w:lineRule="auto"/>
        <w:ind w:firstLine="425"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（五）质量管理体系与措施</w:t>
      </w:r>
    </w:p>
    <w:p w14:paraId="3D26C033">
      <w:pPr>
        <w:pageBreakBefore w:val="0"/>
        <w:widowControl/>
        <w:kinsoku/>
        <w:wordWrap/>
        <w:overflowPunct/>
        <w:topLinePunct w:val="0"/>
        <w:autoSpaceDE/>
        <w:autoSpaceDN/>
        <w:bidi w:val="0"/>
        <w:adjustRightInd w:val="0"/>
        <w:snapToGrid w:val="0"/>
        <w:spacing w:line="360" w:lineRule="auto"/>
        <w:ind w:firstLine="425"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（六）工程进度计划与措施</w:t>
      </w:r>
    </w:p>
    <w:p w14:paraId="643FC163">
      <w:pPr>
        <w:pageBreakBefore w:val="0"/>
        <w:widowControl/>
        <w:kinsoku/>
        <w:wordWrap/>
        <w:overflowPunct/>
        <w:topLinePunct w:val="0"/>
        <w:autoSpaceDE/>
        <w:autoSpaceDN/>
        <w:bidi w:val="0"/>
        <w:adjustRightInd w:val="0"/>
        <w:snapToGrid w:val="0"/>
        <w:spacing w:line="360" w:lineRule="auto"/>
        <w:ind w:firstLine="425"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（七）资源配备计划</w:t>
      </w:r>
    </w:p>
    <w:p w14:paraId="34F145C7">
      <w:pPr>
        <w:pageBreakBefore w:val="0"/>
        <w:widowControl/>
        <w:kinsoku/>
        <w:wordWrap/>
        <w:overflowPunct/>
        <w:topLinePunct w:val="0"/>
        <w:autoSpaceDE/>
        <w:autoSpaceDN/>
        <w:bidi w:val="0"/>
        <w:adjustRightInd w:val="0"/>
        <w:snapToGrid w:val="0"/>
        <w:spacing w:line="360" w:lineRule="auto"/>
        <w:ind w:firstLine="425"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（八）项目管理机构配置</w:t>
      </w:r>
    </w:p>
    <w:p w14:paraId="49C332C7">
      <w:pPr>
        <w:pageBreakBefore w:val="0"/>
        <w:widowControl/>
        <w:kinsoku/>
        <w:wordWrap/>
        <w:overflowPunct/>
        <w:topLinePunct w:val="0"/>
        <w:autoSpaceDE/>
        <w:autoSpaceDN/>
        <w:bidi w:val="0"/>
        <w:adjustRightInd w:val="0"/>
        <w:snapToGrid w:val="0"/>
        <w:spacing w:line="360" w:lineRule="auto"/>
        <w:ind w:firstLine="425" w:firstLineChars="175"/>
        <w:rPr>
          <w:rFonts w:hint="default" w:ascii="宋体" w:hAnsi="宋体" w:eastAsia="宋体" w:cs="宋体"/>
          <w:color w:val="auto"/>
          <w:sz w:val="24"/>
          <w:szCs w:val="24"/>
          <w:highlight w:val="none"/>
          <w:lang w:val="en-US" w:eastAsia="zh-CN"/>
        </w:rPr>
      </w:pPr>
    </w:p>
    <w:p w14:paraId="4F58EF3A">
      <w:pPr>
        <w:pageBreakBefore w:val="0"/>
        <w:widowControl/>
        <w:kinsoku/>
        <w:wordWrap/>
        <w:overflowPunct/>
        <w:topLinePunct w:val="0"/>
        <w:autoSpaceDE/>
        <w:autoSpaceDN/>
        <w:bidi w:val="0"/>
        <w:adjustRightInd w:val="0"/>
        <w:snapToGrid w:val="0"/>
        <w:spacing w:line="360" w:lineRule="auto"/>
        <w:ind w:firstLine="425" w:firstLineChars="175"/>
        <w:rPr>
          <w:rFonts w:hint="default" w:ascii="宋体" w:hAnsi="宋体" w:eastAsia="宋体" w:cs="宋体"/>
          <w:color w:val="auto"/>
          <w:sz w:val="24"/>
          <w:szCs w:val="24"/>
          <w:highlight w:val="none"/>
          <w:lang w:val="en-US" w:eastAsia="zh-CN"/>
        </w:rPr>
      </w:pPr>
    </w:p>
    <w:p w14:paraId="5AF4FD61">
      <w:pPr>
        <w:pageBreakBefore w:val="0"/>
        <w:widowControl/>
        <w:kinsoku/>
        <w:wordWrap/>
        <w:overflowPunct/>
        <w:topLinePunct w:val="0"/>
        <w:autoSpaceDE/>
        <w:autoSpaceDN/>
        <w:bidi w:val="0"/>
        <w:adjustRightInd w:val="0"/>
        <w:snapToGrid w:val="0"/>
        <w:spacing w:line="360" w:lineRule="auto"/>
        <w:ind w:firstLine="425" w:firstLineChars="175"/>
        <w:rPr>
          <w:rFonts w:hint="default" w:ascii="宋体" w:hAnsi="宋体" w:eastAsia="宋体" w:cs="宋体"/>
          <w:color w:val="auto"/>
          <w:sz w:val="24"/>
          <w:szCs w:val="24"/>
          <w:highlight w:val="none"/>
          <w:lang w:val="en-US" w:eastAsia="zh-CN"/>
        </w:rPr>
      </w:pPr>
    </w:p>
    <w:p w14:paraId="0BF50E91">
      <w:pPr>
        <w:pStyle w:val="3"/>
        <w:bidi w:val="0"/>
        <w:spacing w:line="240" w:lineRule="auto"/>
        <w:jc w:val="center"/>
        <w:rPr>
          <w:rFonts w:hint="eastAsia"/>
        </w:rPr>
      </w:pPr>
      <w:bookmarkStart w:id="284" w:name="_Toc5562"/>
      <w:bookmarkStart w:id="285" w:name="_Toc13857"/>
      <w:bookmarkStart w:id="286" w:name="_Toc11966"/>
      <w:r>
        <w:rPr>
          <w:rFonts w:hint="eastAsia"/>
          <w:lang w:val="en-US" w:eastAsia="zh-CN"/>
        </w:rPr>
        <w:t xml:space="preserve">第一部分  </w:t>
      </w:r>
      <w:r>
        <w:rPr>
          <w:rFonts w:hint="eastAsia"/>
          <w:lang w:eastAsia="zh-CN"/>
        </w:rPr>
        <w:t>报价部分</w:t>
      </w:r>
      <w:bookmarkEnd w:id="284"/>
      <w:bookmarkEnd w:id="285"/>
      <w:bookmarkEnd w:id="286"/>
    </w:p>
    <w:p w14:paraId="400F46E8">
      <w:pPr>
        <w:bidi w:val="0"/>
        <w:jc w:val="center"/>
        <w:rPr>
          <w:rFonts w:hint="eastAsia"/>
          <w:b/>
          <w:bCs/>
          <w:sz w:val="28"/>
          <w:szCs w:val="28"/>
          <w:lang w:val="en-US" w:eastAsia="zh-CN"/>
        </w:rPr>
      </w:pPr>
      <w:r>
        <w:rPr>
          <w:rFonts w:hint="eastAsia"/>
          <w:b/>
          <w:bCs/>
          <w:sz w:val="28"/>
          <w:szCs w:val="28"/>
          <w:lang w:val="en-US" w:eastAsia="zh-CN"/>
        </w:rPr>
        <w:t>（一）磋商总报价一览表</w:t>
      </w:r>
    </w:p>
    <w:p w14:paraId="706E9BBE">
      <w:pPr>
        <w:pStyle w:val="15"/>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项目名称：                                        </w:t>
      </w:r>
    </w:p>
    <w:p w14:paraId="22A914BE">
      <w:pPr>
        <w:pStyle w:val="15"/>
        <w:spacing w:line="360" w:lineRule="auto"/>
        <w:rPr>
          <w:rFonts w:hint="eastAsia" w:ascii="宋体" w:hAnsi="宋体" w:eastAsia="宋体" w:cs="宋体"/>
          <w:b w:val="0"/>
          <w:bCs/>
          <w:color w:val="auto"/>
          <w:sz w:val="24"/>
          <w:szCs w:val="24"/>
          <w:u w:val="single"/>
        </w:rPr>
      </w:pPr>
      <w:r>
        <w:rPr>
          <w:rFonts w:hint="eastAsia" w:hAnsi="宋体" w:eastAsia="宋体" w:cs="宋体"/>
          <w:b w:val="0"/>
          <w:bCs/>
          <w:color w:val="auto"/>
          <w:sz w:val="24"/>
          <w:szCs w:val="24"/>
          <w:lang w:eastAsia="zh-CN"/>
        </w:rPr>
        <w:t>项目编号</w:t>
      </w:r>
      <w:r>
        <w:rPr>
          <w:rFonts w:hint="eastAsia" w:ascii="宋体" w:hAnsi="宋体" w:eastAsia="宋体" w:cs="宋体"/>
          <w:b w:val="0"/>
          <w:bCs/>
          <w:color w:val="auto"/>
          <w:sz w:val="24"/>
          <w:szCs w:val="24"/>
        </w:rPr>
        <w:t>：</w:t>
      </w:r>
    </w:p>
    <w:tbl>
      <w:tblPr>
        <w:tblStyle w:val="28"/>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53"/>
        <w:gridCol w:w="6367"/>
      </w:tblGrid>
      <w:tr w14:paraId="66F08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1691" w:type="pct"/>
            <w:tcBorders>
              <w:top w:val="single" w:color="auto" w:sz="4" w:space="0"/>
              <w:left w:val="single" w:color="auto" w:sz="4" w:space="0"/>
              <w:bottom w:val="single" w:color="auto" w:sz="4" w:space="0"/>
              <w:right w:val="single" w:color="auto" w:sz="4" w:space="0"/>
            </w:tcBorders>
            <w:vAlign w:val="center"/>
          </w:tcPr>
          <w:p w14:paraId="3BCC0F91">
            <w:pPr>
              <w:spacing w:line="32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名称</w:t>
            </w:r>
          </w:p>
        </w:tc>
        <w:tc>
          <w:tcPr>
            <w:tcW w:w="3308" w:type="pct"/>
            <w:tcBorders>
              <w:top w:val="single" w:color="auto" w:sz="4" w:space="0"/>
              <w:left w:val="single" w:color="auto" w:sz="4" w:space="0"/>
              <w:bottom w:val="single" w:color="auto" w:sz="4" w:space="0"/>
              <w:right w:val="single" w:color="auto" w:sz="4" w:space="0"/>
            </w:tcBorders>
            <w:vAlign w:val="center"/>
          </w:tcPr>
          <w:p w14:paraId="2BCDB498">
            <w:pPr>
              <w:jc w:val="left"/>
              <w:rPr>
                <w:rFonts w:hint="eastAsia" w:ascii="宋体" w:hAnsi="宋体" w:eastAsia="宋体" w:cs="宋体"/>
                <w:color w:val="auto"/>
                <w:sz w:val="24"/>
                <w:szCs w:val="24"/>
              </w:rPr>
            </w:pPr>
          </w:p>
        </w:tc>
      </w:tr>
      <w:tr w14:paraId="7A847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1691" w:type="pct"/>
            <w:tcBorders>
              <w:top w:val="single" w:color="auto" w:sz="4" w:space="0"/>
              <w:left w:val="single" w:color="auto" w:sz="4" w:space="0"/>
              <w:right w:val="single" w:color="auto" w:sz="4" w:space="0"/>
            </w:tcBorders>
            <w:vAlign w:val="center"/>
          </w:tcPr>
          <w:p w14:paraId="63A37D9D">
            <w:pPr>
              <w:spacing w:line="32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w:t>
            </w:r>
            <w:r>
              <w:rPr>
                <w:rFonts w:hint="eastAsia" w:ascii="宋体" w:hAnsi="宋体" w:eastAsia="宋体" w:cs="宋体"/>
                <w:color w:val="auto"/>
                <w:sz w:val="24"/>
                <w:szCs w:val="24"/>
                <w:lang w:eastAsia="zh-CN"/>
              </w:rPr>
              <w:t>总</w:t>
            </w:r>
            <w:r>
              <w:rPr>
                <w:rFonts w:hint="eastAsia" w:ascii="宋体" w:hAnsi="宋体" w:eastAsia="宋体" w:cs="宋体"/>
                <w:color w:val="auto"/>
                <w:sz w:val="24"/>
                <w:szCs w:val="24"/>
              </w:rPr>
              <w:t>报价（元）</w:t>
            </w:r>
          </w:p>
        </w:tc>
        <w:tc>
          <w:tcPr>
            <w:tcW w:w="3308" w:type="pct"/>
            <w:tcBorders>
              <w:top w:val="single" w:color="auto" w:sz="4" w:space="0"/>
              <w:left w:val="single" w:color="auto" w:sz="4" w:space="0"/>
              <w:right w:val="single" w:color="auto" w:sz="4" w:space="0"/>
            </w:tcBorders>
            <w:vAlign w:val="center"/>
          </w:tcPr>
          <w:p w14:paraId="0EF076E8">
            <w:pPr>
              <w:adjustRightInd w:val="0"/>
              <w:snapToGrid w:val="0"/>
              <w:jc w:val="left"/>
              <w:rPr>
                <w:rFonts w:hint="eastAsia" w:ascii="宋体" w:hAnsi="宋体" w:eastAsia="宋体" w:cs="宋体"/>
                <w:color w:val="auto"/>
                <w:sz w:val="24"/>
                <w:szCs w:val="24"/>
              </w:rPr>
            </w:pPr>
            <w:r>
              <w:rPr>
                <w:rFonts w:hint="eastAsia" w:ascii="宋体" w:hAnsi="宋体" w:eastAsia="宋体" w:cs="宋体"/>
                <w:color w:val="auto"/>
                <w:sz w:val="24"/>
                <w:szCs w:val="24"/>
              </w:rPr>
              <w:t>大写：</w:t>
            </w:r>
          </w:p>
          <w:p w14:paraId="376F2C0E">
            <w:pPr>
              <w:adjustRightInd w:val="0"/>
              <w:snapToGrid w:val="0"/>
              <w:jc w:val="left"/>
              <w:rPr>
                <w:rFonts w:hint="eastAsia" w:ascii="宋体" w:hAnsi="宋体" w:eastAsia="宋体" w:cs="宋体"/>
                <w:color w:val="auto"/>
                <w:sz w:val="24"/>
                <w:szCs w:val="24"/>
              </w:rPr>
            </w:pPr>
            <w:r>
              <w:rPr>
                <w:rFonts w:hint="eastAsia" w:ascii="宋体" w:hAnsi="宋体" w:eastAsia="宋体" w:cs="宋体"/>
                <w:color w:val="auto"/>
                <w:sz w:val="24"/>
                <w:szCs w:val="24"/>
              </w:rPr>
              <w:t>小写：</w:t>
            </w:r>
          </w:p>
        </w:tc>
      </w:tr>
      <w:tr w14:paraId="47A73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691" w:type="pct"/>
            <w:tcBorders>
              <w:top w:val="single" w:color="auto" w:sz="4" w:space="0"/>
              <w:left w:val="single" w:color="auto" w:sz="4" w:space="0"/>
              <w:right w:val="single" w:color="auto" w:sz="4" w:space="0"/>
            </w:tcBorders>
            <w:vAlign w:val="center"/>
          </w:tcPr>
          <w:p w14:paraId="2F93FEB5">
            <w:pPr>
              <w:spacing w:line="32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合同履行期限</w:t>
            </w:r>
          </w:p>
          <w:p w14:paraId="5456BA3D">
            <w:pPr>
              <w:spacing w:line="320" w:lineRule="exact"/>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（施工工期）</w:t>
            </w:r>
          </w:p>
        </w:tc>
        <w:tc>
          <w:tcPr>
            <w:tcW w:w="3308" w:type="pct"/>
            <w:tcBorders>
              <w:top w:val="single" w:color="auto" w:sz="4" w:space="0"/>
              <w:left w:val="single" w:color="auto" w:sz="4" w:space="0"/>
              <w:right w:val="single" w:color="auto" w:sz="4" w:space="0"/>
            </w:tcBorders>
            <w:vAlign w:val="center"/>
          </w:tcPr>
          <w:p w14:paraId="6608D276">
            <w:pPr>
              <w:rPr>
                <w:rFonts w:hint="eastAsia" w:ascii="宋体" w:hAnsi="宋体" w:eastAsia="宋体" w:cs="宋体"/>
                <w:color w:val="auto"/>
                <w:sz w:val="24"/>
                <w:szCs w:val="24"/>
              </w:rPr>
            </w:pPr>
          </w:p>
        </w:tc>
      </w:tr>
      <w:tr w14:paraId="40ADF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1691" w:type="pct"/>
            <w:tcBorders>
              <w:top w:val="single" w:color="auto" w:sz="4" w:space="0"/>
              <w:left w:val="single" w:color="auto" w:sz="4" w:space="0"/>
              <w:bottom w:val="single" w:color="auto" w:sz="4" w:space="0"/>
              <w:right w:val="single" w:color="auto" w:sz="4" w:space="0"/>
            </w:tcBorders>
            <w:vAlign w:val="center"/>
          </w:tcPr>
          <w:p w14:paraId="6A51279E">
            <w:pPr>
              <w:spacing w:line="32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质量</w:t>
            </w:r>
            <w:r>
              <w:rPr>
                <w:rFonts w:hint="eastAsia" w:ascii="宋体" w:hAnsi="宋体" w:eastAsia="宋体" w:cs="宋体"/>
                <w:color w:val="auto"/>
                <w:sz w:val="24"/>
                <w:szCs w:val="24"/>
                <w:lang w:val="en-US" w:eastAsia="zh-CN"/>
              </w:rPr>
              <w:t>标准</w:t>
            </w:r>
          </w:p>
        </w:tc>
        <w:tc>
          <w:tcPr>
            <w:tcW w:w="3308" w:type="pct"/>
            <w:tcBorders>
              <w:top w:val="single" w:color="auto" w:sz="4" w:space="0"/>
              <w:left w:val="single" w:color="auto" w:sz="4" w:space="0"/>
              <w:bottom w:val="single" w:color="auto" w:sz="4" w:space="0"/>
              <w:right w:val="single" w:color="auto" w:sz="4" w:space="0"/>
            </w:tcBorders>
            <w:vAlign w:val="center"/>
          </w:tcPr>
          <w:p w14:paraId="41AAA942">
            <w:pPr>
              <w:rPr>
                <w:rFonts w:hint="eastAsia" w:ascii="宋体" w:hAnsi="宋体" w:eastAsia="宋体" w:cs="宋体"/>
                <w:color w:val="auto"/>
                <w:sz w:val="24"/>
                <w:szCs w:val="24"/>
              </w:rPr>
            </w:pPr>
          </w:p>
        </w:tc>
      </w:tr>
      <w:tr w14:paraId="78A7D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1691" w:type="pct"/>
            <w:tcBorders>
              <w:top w:val="single" w:color="auto" w:sz="4" w:space="0"/>
              <w:left w:val="single" w:color="auto" w:sz="4" w:space="0"/>
              <w:bottom w:val="single" w:color="auto" w:sz="4" w:space="0"/>
              <w:right w:val="single" w:color="auto" w:sz="4" w:space="0"/>
            </w:tcBorders>
            <w:vAlign w:val="center"/>
          </w:tcPr>
          <w:p w14:paraId="3E78E7B5">
            <w:pPr>
              <w:spacing w:line="320" w:lineRule="exact"/>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项目负责人</w:t>
            </w:r>
          </w:p>
        </w:tc>
        <w:tc>
          <w:tcPr>
            <w:tcW w:w="3308" w:type="pct"/>
            <w:tcBorders>
              <w:top w:val="single" w:color="auto" w:sz="4" w:space="0"/>
              <w:left w:val="single" w:color="auto" w:sz="4" w:space="0"/>
              <w:bottom w:val="single" w:color="auto" w:sz="4" w:space="0"/>
              <w:right w:val="single" w:color="auto" w:sz="4" w:space="0"/>
            </w:tcBorders>
            <w:vAlign w:val="center"/>
          </w:tcPr>
          <w:p w14:paraId="423F3FC4">
            <w:pPr>
              <w:jc w:val="center"/>
              <w:rPr>
                <w:rFonts w:hint="eastAsia" w:ascii="宋体" w:hAnsi="宋体" w:eastAsia="宋体" w:cs="宋体"/>
                <w:color w:val="auto"/>
                <w:sz w:val="24"/>
                <w:szCs w:val="24"/>
              </w:rPr>
            </w:pPr>
          </w:p>
        </w:tc>
      </w:tr>
      <w:tr w14:paraId="41D9D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5" w:hRule="atLeast"/>
          <w:jc w:val="center"/>
        </w:trPr>
        <w:tc>
          <w:tcPr>
            <w:tcW w:w="5000" w:type="pct"/>
            <w:gridSpan w:val="2"/>
            <w:tcBorders>
              <w:top w:val="single" w:color="auto" w:sz="4" w:space="0"/>
              <w:left w:val="single" w:color="auto" w:sz="4" w:space="0"/>
              <w:bottom w:val="single" w:color="auto" w:sz="4" w:space="0"/>
              <w:right w:val="single" w:color="auto" w:sz="4" w:space="0"/>
            </w:tcBorders>
            <w:vAlign w:val="center"/>
          </w:tcPr>
          <w:p w14:paraId="38D76153">
            <w:pPr>
              <w:jc w:val="both"/>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u w:val="none"/>
                <w:lang w:val="en-US" w:eastAsia="zh-CN"/>
              </w:rPr>
              <w:t>备注：投标有效期：</w:t>
            </w:r>
          </w:p>
        </w:tc>
      </w:tr>
    </w:tbl>
    <w:p w14:paraId="5CD269A8">
      <w:pPr>
        <w:spacing w:line="480" w:lineRule="auto"/>
        <w:jc w:val="both"/>
        <w:rPr>
          <w:rFonts w:hint="eastAsia" w:ascii="宋体" w:hAnsi="宋体" w:eastAsia="宋体" w:cs="宋体"/>
          <w:b w:val="0"/>
          <w:bCs w:val="0"/>
          <w:sz w:val="24"/>
          <w:szCs w:val="24"/>
          <w:lang w:eastAsia="zh-CN"/>
        </w:rPr>
      </w:pPr>
    </w:p>
    <w:p w14:paraId="3B6FE27E">
      <w:pPr>
        <w:spacing w:line="480" w:lineRule="auto"/>
        <w:jc w:val="both"/>
        <w:rPr>
          <w:rFonts w:hint="eastAsia" w:ascii="宋体" w:hAnsi="宋体" w:eastAsia="宋体" w:cs="宋体"/>
          <w:sz w:val="24"/>
          <w:szCs w:val="24"/>
          <w:highlight w:val="none"/>
          <w:lang w:eastAsia="zh-CN"/>
        </w:rPr>
      </w:pPr>
      <w:r>
        <w:rPr>
          <w:rFonts w:hint="eastAsia" w:ascii="宋体" w:hAnsi="宋体" w:eastAsia="宋体" w:cs="宋体"/>
          <w:b w:val="0"/>
          <w:bCs w:val="0"/>
          <w:sz w:val="24"/>
          <w:szCs w:val="24"/>
          <w:lang w:eastAsia="zh-CN"/>
        </w:rPr>
        <w:t>供应商</w:t>
      </w:r>
      <w:r>
        <w:rPr>
          <w:rFonts w:hint="eastAsia" w:ascii="宋体" w:hAnsi="宋体" w:eastAsia="宋体" w:cs="宋体"/>
          <w:b w:val="0"/>
          <w:bCs w:val="0"/>
          <w:sz w:val="24"/>
          <w:szCs w:val="24"/>
        </w:rPr>
        <w:t>：</w:t>
      </w:r>
      <w:r>
        <w:rPr>
          <w:rFonts w:hint="eastAsia" w:ascii="宋体" w:hAnsi="宋体" w:eastAsia="宋体" w:cs="宋体"/>
          <w:b w:val="0"/>
          <w:bCs w:val="0"/>
          <w:sz w:val="24"/>
          <w:szCs w:val="24"/>
          <w:u w:val="single"/>
        </w:rPr>
        <w:t>　　　　　　　　　</w:t>
      </w:r>
      <w:r>
        <w:rPr>
          <w:rFonts w:hint="eastAsia" w:ascii="宋体" w:hAnsi="宋体" w:eastAsia="宋体" w:cs="宋体"/>
          <w:b w:val="0"/>
          <w:bCs w:val="0"/>
          <w:sz w:val="24"/>
          <w:szCs w:val="24"/>
        </w:rPr>
        <w:t>（</w:t>
      </w:r>
      <w:r>
        <w:rPr>
          <w:rFonts w:hint="eastAsia" w:ascii="宋体" w:hAnsi="宋体" w:eastAsia="宋体" w:cs="宋体"/>
          <w:sz w:val="24"/>
          <w:szCs w:val="24"/>
          <w:lang w:eastAsia="zh-CN"/>
        </w:rPr>
        <w:t>电子公章</w:t>
      </w:r>
      <w:r>
        <w:rPr>
          <w:rFonts w:hint="eastAsia" w:ascii="宋体" w:hAnsi="宋体" w:eastAsia="宋体" w:cs="宋体"/>
          <w:b w:val="0"/>
          <w:bCs w:val="0"/>
          <w:sz w:val="24"/>
          <w:szCs w:val="24"/>
        </w:rPr>
        <w:t>）</w:t>
      </w:r>
    </w:p>
    <w:p w14:paraId="0D0A1D0F">
      <w:pPr>
        <w:widowControl w:val="0"/>
        <w:spacing w:line="480" w:lineRule="auto"/>
        <w:jc w:val="both"/>
        <w:rPr>
          <w:rFonts w:ascii="宋体" w:hAnsi="宋体" w:cs="宋体"/>
          <w:color w:val="auto"/>
          <w:sz w:val="21"/>
          <w:szCs w:val="21"/>
        </w:rPr>
      </w:pPr>
      <w:r>
        <w:rPr>
          <w:rFonts w:hint="eastAsia" w:ascii="宋体" w:hAnsi="宋体" w:eastAsia="宋体" w:cs="宋体"/>
          <w:color w:val="auto"/>
          <w:sz w:val="24"/>
          <w:szCs w:val="24"/>
          <w:lang w:eastAsia="zh-CN"/>
        </w:rPr>
        <w:t>法</w:t>
      </w:r>
      <w:r>
        <w:rPr>
          <w:rFonts w:hint="eastAsia" w:ascii="宋体" w:hAnsi="宋体" w:eastAsia="宋体" w:cs="宋体"/>
          <w:color w:val="auto"/>
          <w:sz w:val="24"/>
          <w:szCs w:val="24"/>
        </w:rPr>
        <w:t>定代表人</w:t>
      </w:r>
      <w:r>
        <w:rPr>
          <w:rFonts w:hint="eastAsia" w:ascii="宋体" w:hAnsi="宋体" w:eastAsia="宋体" w:cs="宋体"/>
          <w:color w:val="auto"/>
          <w:sz w:val="24"/>
          <w:szCs w:val="24"/>
          <w:lang w:val="en-US" w:eastAsia="zh-CN"/>
        </w:rPr>
        <w:t>或委托代理人</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lang w:eastAsia="zh-CN"/>
        </w:rPr>
        <w:t>电子签名</w:t>
      </w:r>
      <w:r>
        <w:rPr>
          <w:rFonts w:hint="eastAsia" w:ascii="宋体" w:hAnsi="宋体" w:eastAsia="宋体" w:cs="宋体"/>
          <w:sz w:val="24"/>
          <w:szCs w:val="24"/>
        </w:rPr>
        <w:t>）</w:t>
      </w:r>
    </w:p>
    <w:p w14:paraId="26454171">
      <w:pPr>
        <w:spacing w:line="480" w:lineRule="auto"/>
        <w:jc w:val="both"/>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日</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lang w:eastAsia="zh-CN"/>
        </w:rPr>
        <w:t>期：</w:t>
      </w:r>
      <w:r>
        <w:rPr>
          <w:rFonts w:hint="eastAsia" w:ascii="宋体" w:hAnsi="宋体" w:eastAsia="宋体" w:cs="宋体"/>
          <w:b w:val="0"/>
          <w:bCs w:val="0"/>
          <w:sz w:val="24"/>
          <w:szCs w:val="24"/>
          <w:u w:val="single"/>
          <w:lang w:eastAsia="zh-CN"/>
        </w:rPr>
        <w:t>　　　</w:t>
      </w:r>
      <w:r>
        <w:rPr>
          <w:rFonts w:hint="eastAsia" w:ascii="宋体" w:hAnsi="宋体" w:eastAsia="宋体" w:cs="宋体"/>
          <w:b w:val="0"/>
          <w:bCs w:val="0"/>
          <w:sz w:val="24"/>
          <w:szCs w:val="24"/>
          <w:lang w:eastAsia="zh-CN"/>
        </w:rPr>
        <w:t>年</w:t>
      </w:r>
      <w:r>
        <w:rPr>
          <w:rFonts w:hint="eastAsia" w:ascii="宋体" w:hAnsi="宋体" w:eastAsia="宋体" w:cs="宋体"/>
          <w:b w:val="0"/>
          <w:bCs w:val="0"/>
          <w:sz w:val="24"/>
          <w:szCs w:val="24"/>
          <w:u w:val="single"/>
          <w:lang w:eastAsia="zh-CN"/>
        </w:rPr>
        <w:t>　　</w:t>
      </w:r>
      <w:r>
        <w:rPr>
          <w:rFonts w:hint="eastAsia" w:ascii="宋体" w:hAnsi="宋体" w:eastAsia="宋体" w:cs="宋体"/>
          <w:b w:val="0"/>
          <w:bCs w:val="0"/>
          <w:sz w:val="24"/>
          <w:szCs w:val="24"/>
          <w:lang w:eastAsia="zh-CN"/>
        </w:rPr>
        <w:t>月</w:t>
      </w:r>
      <w:r>
        <w:rPr>
          <w:rFonts w:hint="eastAsia" w:ascii="宋体" w:hAnsi="宋体" w:eastAsia="宋体" w:cs="宋体"/>
          <w:b w:val="0"/>
          <w:bCs w:val="0"/>
          <w:sz w:val="24"/>
          <w:szCs w:val="24"/>
          <w:u w:val="single"/>
          <w:lang w:eastAsia="zh-CN"/>
        </w:rPr>
        <w:t>　　</w:t>
      </w:r>
      <w:r>
        <w:rPr>
          <w:rFonts w:hint="eastAsia" w:ascii="宋体" w:hAnsi="宋体" w:eastAsia="宋体" w:cs="宋体"/>
          <w:b w:val="0"/>
          <w:bCs w:val="0"/>
          <w:sz w:val="24"/>
          <w:szCs w:val="24"/>
          <w:lang w:eastAsia="zh-CN"/>
        </w:rPr>
        <w:t>日</w:t>
      </w:r>
    </w:p>
    <w:p w14:paraId="3E070A10">
      <w:pPr>
        <w:rPr>
          <w:rFonts w:hint="eastAsia"/>
        </w:rPr>
      </w:pPr>
      <w:r>
        <w:rPr>
          <w:rFonts w:hint="eastAsia" w:ascii="宋体" w:hAnsi="宋体" w:eastAsia="宋体" w:cs="宋体"/>
          <w:color w:val="auto"/>
          <w:sz w:val="21"/>
          <w:szCs w:val="21"/>
        </w:rPr>
        <w:br w:type="page"/>
      </w:r>
    </w:p>
    <w:p w14:paraId="1164E84B">
      <w:pPr>
        <w:pStyle w:val="4"/>
        <w:keepNext w:val="0"/>
        <w:keepLines w:val="0"/>
        <w:ind w:left="0" w:leftChars="0" w:firstLine="0" w:firstLineChars="0"/>
        <w:jc w:val="center"/>
        <w:rPr>
          <w:rFonts w:hint="eastAsia" w:asciiTheme="minorHAnsi" w:hAnsiTheme="minorHAnsi" w:eastAsiaTheme="minorEastAsia" w:cstheme="minorBidi"/>
          <w:b/>
          <w:bCs/>
          <w:kern w:val="2"/>
          <w:sz w:val="28"/>
          <w:szCs w:val="28"/>
          <w:lang w:val="en-US" w:eastAsia="zh-CN" w:bidi="ar-SA"/>
        </w:rPr>
      </w:pPr>
      <w:r>
        <w:rPr>
          <w:rFonts w:hint="eastAsia" w:asciiTheme="minorHAnsi" w:hAnsiTheme="minorHAnsi" w:eastAsiaTheme="minorEastAsia" w:cstheme="minorBidi"/>
          <w:b/>
          <w:bCs/>
          <w:kern w:val="2"/>
          <w:sz w:val="28"/>
          <w:szCs w:val="28"/>
          <w:lang w:val="en-US" w:eastAsia="zh-CN" w:bidi="ar-SA"/>
        </w:rPr>
        <w:t>已标价工程量清单</w:t>
      </w:r>
    </w:p>
    <w:p w14:paraId="5768C6D8">
      <w:pPr>
        <w:jc w:val="center"/>
        <w:rPr>
          <w:rFonts w:ascii="宋体" w:hAnsi="宋体"/>
          <w:szCs w:val="21"/>
        </w:rPr>
      </w:pPr>
    </w:p>
    <w:p w14:paraId="55DD2D0B">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6" w:firstLineChars="200"/>
        <w:jc w:val="both"/>
        <w:textAlignment w:val="auto"/>
        <w:rPr>
          <w:rFonts w:hint="eastAsia" w:ascii="宋体" w:hAnsi="宋体" w:cs="Times New Roman"/>
          <w:sz w:val="24"/>
          <w:szCs w:val="24"/>
          <w:lang w:val="en-US" w:eastAsia="zh-CN"/>
        </w:rPr>
      </w:pPr>
      <w:r>
        <w:rPr>
          <w:rFonts w:hint="eastAsia" w:ascii="宋体" w:hAnsi="宋体" w:cs="Times New Roman" w:eastAsiaTheme="minorEastAsia"/>
          <w:kern w:val="2"/>
          <w:sz w:val="24"/>
          <w:szCs w:val="24"/>
          <w:lang w:val="en-US" w:eastAsia="zh-CN" w:bidi="ar-SA"/>
        </w:rPr>
        <w:t>1、</w:t>
      </w:r>
      <w:r>
        <w:rPr>
          <w:rFonts w:hint="eastAsia" w:ascii="宋体" w:hAnsi="宋体"/>
          <w:sz w:val="24"/>
          <w:szCs w:val="24"/>
          <w:lang w:val="en-US" w:eastAsia="zh-CN"/>
        </w:rPr>
        <w:t>包括工程项目清单汇总表、单位工程项目清单汇总表、分部分项工程项目清单计价表、材料暂估单价及调整表、措施项目清单计价表、按费率计算的措施项目清单构成明细分析表、按实物法计算的措施清单项目构成明细分析表、措施项目费用分拆表、其他项目清单计价表、暂列金额明细表、计日工表、发包人提供材料一览表、承包人提供可调价主要材料表、增值税计价表等。</w:t>
      </w:r>
    </w:p>
    <w:p w14:paraId="28CACB51">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6" w:firstLineChars="200"/>
        <w:jc w:val="both"/>
        <w:textAlignment w:val="auto"/>
        <w:rPr>
          <w:rFonts w:hint="eastAsia" w:ascii="宋体" w:hAnsi="宋体" w:cs="Times New Roman"/>
          <w:sz w:val="24"/>
          <w:szCs w:val="24"/>
          <w:lang w:val="en-US" w:eastAsia="zh-CN"/>
        </w:rPr>
      </w:pPr>
      <w:r>
        <w:rPr>
          <w:rFonts w:hint="eastAsia" w:ascii="宋体" w:hAnsi="宋体" w:cs="Times New Roman" w:eastAsiaTheme="minorEastAsia"/>
          <w:kern w:val="2"/>
          <w:sz w:val="24"/>
          <w:szCs w:val="24"/>
          <w:lang w:val="en-US" w:eastAsia="zh-CN" w:bidi="ar-SA"/>
        </w:rPr>
        <w:t>2、</w:t>
      </w:r>
      <w:r>
        <w:rPr>
          <w:rFonts w:hint="eastAsia" w:ascii="宋体" w:hAnsi="宋体" w:cs="Times New Roman"/>
          <w:sz w:val="24"/>
          <w:szCs w:val="24"/>
          <w:lang w:val="en-US" w:eastAsia="zh-CN"/>
        </w:rPr>
        <w:t>供应商须按竞争性磋商文件要求加盖注册造价工程师注册章，如注册造价工程师不是供应商本单位的，须委托具有造价咨询能力的单位编制清单报价，并附上与造价咨询单位签订的造价委托协议。</w:t>
      </w:r>
    </w:p>
    <w:p w14:paraId="33DFEC32">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6" w:firstLineChars="200"/>
        <w:jc w:val="both"/>
        <w:textAlignment w:val="auto"/>
        <w:rPr>
          <w:rFonts w:hint="default" w:ascii="宋体" w:hAnsi="宋体" w:cs="Times New Roman"/>
          <w:sz w:val="24"/>
          <w:szCs w:val="24"/>
          <w:lang w:val="en-US" w:eastAsia="zh-CN"/>
        </w:rPr>
      </w:pPr>
      <w:r>
        <w:rPr>
          <w:rFonts w:hint="eastAsia" w:ascii="宋体" w:hAnsi="宋体" w:cs="Times New Roman"/>
          <w:sz w:val="24"/>
          <w:szCs w:val="24"/>
          <w:lang w:val="en-US" w:eastAsia="zh-CN"/>
        </w:rPr>
        <w:t>3、工程量清单中如有暂估价、暂列金的，供应商清单报价未按采购人规定的金额计入清单报价或更改的，作否决投标处理。</w:t>
      </w:r>
    </w:p>
    <w:p w14:paraId="67AAC9C5">
      <w:pPr>
        <w:pStyle w:val="59"/>
        <w:rPr>
          <w:rFonts w:hint="eastAsia"/>
        </w:rPr>
      </w:pPr>
    </w:p>
    <w:p w14:paraId="5E02BE17">
      <w:pPr>
        <w:pStyle w:val="59"/>
        <w:rPr>
          <w:rFonts w:hint="eastAsia"/>
        </w:rPr>
      </w:pPr>
    </w:p>
    <w:p w14:paraId="611E1D52">
      <w:pPr>
        <w:pStyle w:val="59"/>
        <w:rPr>
          <w:rFonts w:hint="eastAsia"/>
        </w:rPr>
      </w:pPr>
    </w:p>
    <w:p w14:paraId="11C1AA98">
      <w:pPr>
        <w:pStyle w:val="59"/>
        <w:rPr>
          <w:rFonts w:hint="eastAsia"/>
        </w:rPr>
      </w:pPr>
    </w:p>
    <w:p w14:paraId="1A297AA8">
      <w:pPr>
        <w:pStyle w:val="59"/>
        <w:rPr>
          <w:rFonts w:hint="eastAsia"/>
        </w:rPr>
      </w:pPr>
    </w:p>
    <w:p w14:paraId="4BD6E118">
      <w:pPr>
        <w:pStyle w:val="59"/>
        <w:rPr>
          <w:rFonts w:hint="eastAsia"/>
        </w:rPr>
      </w:pPr>
    </w:p>
    <w:p w14:paraId="62B2DE74">
      <w:pPr>
        <w:pStyle w:val="59"/>
        <w:rPr>
          <w:rFonts w:hint="eastAsia"/>
        </w:rPr>
      </w:pPr>
    </w:p>
    <w:p w14:paraId="7C917CF5">
      <w:pPr>
        <w:pStyle w:val="59"/>
        <w:rPr>
          <w:rFonts w:hint="eastAsia"/>
        </w:rPr>
      </w:pPr>
    </w:p>
    <w:p w14:paraId="58A31A02">
      <w:pPr>
        <w:pStyle w:val="59"/>
        <w:rPr>
          <w:rFonts w:hint="eastAsia"/>
        </w:rPr>
      </w:pPr>
    </w:p>
    <w:p w14:paraId="6ECD9ACE">
      <w:pPr>
        <w:pStyle w:val="59"/>
        <w:rPr>
          <w:rFonts w:hint="eastAsia"/>
        </w:rPr>
      </w:pPr>
    </w:p>
    <w:p w14:paraId="487A71A6">
      <w:pPr>
        <w:pStyle w:val="59"/>
        <w:rPr>
          <w:rFonts w:hint="eastAsia"/>
        </w:rPr>
      </w:pPr>
    </w:p>
    <w:p w14:paraId="6FD441DC">
      <w:pPr>
        <w:pStyle w:val="59"/>
        <w:rPr>
          <w:rFonts w:hint="eastAsia"/>
        </w:rPr>
      </w:pPr>
    </w:p>
    <w:p w14:paraId="512AB916">
      <w:pPr>
        <w:pStyle w:val="59"/>
        <w:rPr>
          <w:rFonts w:hint="eastAsia"/>
        </w:rPr>
      </w:pPr>
    </w:p>
    <w:p w14:paraId="15EA1BA0">
      <w:pPr>
        <w:pStyle w:val="59"/>
        <w:rPr>
          <w:rFonts w:hint="eastAsia"/>
        </w:rPr>
      </w:pPr>
    </w:p>
    <w:p w14:paraId="024A75EB">
      <w:pPr>
        <w:pStyle w:val="59"/>
        <w:rPr>
          <w:rFonts w:hint="eastAsia"/>
        </w:rPr>
      </w:pPr>
    </w:p>
    <w:p w14:paraId="1B975EAF">
      <w:pPr>
        <w:pStyle w:val="59"/>
        <w:rPr>
          <w:rFonts w:hint="eastAsia"/>
        </w:rPr>
      </w:pPr>
    </w:p>
    <w:p w14:paraId="30C35537">
      <w:pPr>
        <w:pStyle w:val="59"/>
        <w:rPr>
          <w:rFonts w:hint="eastAsia"/>
        </w:rPr>
      </w:pPr>
    </w:p>
    <w:p w14:paraId="0393B943">
      <w:pPr>
        <w:pStyle w:val="59"/>
        <w:rPr>
          <w:rFonts w:hint="eastAsia"/>
        </w:rPr>
      </w:pPr>
    </w:p>
    <w:p w14:paraId="0C2FCF6E">
      <w:pPr>
        <w:pStyle w:val="59"/>
        <w:rPr>
          <w:rFonts w:hint="eastAsia"/>
        </w:rPr>
      </w:pPr>
    </w:p>
    <w:p w14:paraId="0897BF2A">
      <w:pPr>
        <w:pStyle w:val="59"/>
        <w:rPr>
          <w:rFonts w:hint="eastAsia"/>
        </w:rPr>
      </w:pPr>
    </w:p>
    <w:p w14:paraId="4FBD15D7">
      <w:pPr>
        <w:pStyle w:val="59"/>
        <w:rPr>
          <w:rFonts w:hint="eastAsia"/>
        </w:rPr>
      </w:pPr>
    </w:p>
    <w:p w14:paraId="4A2511BA">
      <w:pPr>
        <w:pStyle w:val="59"/>
        <w:rPr>
          <w:rFonts w:hint="eastAsia"/>
        </w:rPr>
      </w:pPr>
    </w:p>
    <w:p w14:paraId="19A9887C">
      <w:pPr>
        <w:pStyle w:val="59"/>
        <w:rPr>
          <w:rFonts w:hint="eastAsia"/>
        </w:rPr>
      </w:pPr>
    </w:p>
    <w:p w14:paraId="2894A11B">
      <w:pPr>
        <w:pStyle w:val="59"/>
        <w:rPr>
          <w:rFonts w:hint="eastAsia"/>
        </w:rPr>
      </w:pPr>
    </w:p>
    <w:p w14:paraId="1AD76DD0">
      <w:pPr>
        <w:pStyle w:val="59"/>
        <w:rPr>
          <w:rFonts w:hint="eastAsia"/>
        </w:rPr>
      </w:pPr>
    </w:p>
    <w:p w14:paraId="4253238B">
      <w:pPr>
        <w:bidi w:val="0"/>
        <w:spacing w:line="480" w:lineRule="auto"/>
        <w:jc w:val="center"/>
        <w:rPr>
          <w:rFonts w:hint="eastAsia"/>
          <w:b/>
          <w:bCs/>
          <w:sz w:val="28"/>
          <w:szCs w:val="28"/>
          <w:lang w:val="en-US" w:eastAsia="zh-CN"/>
        </w:rPr>
      </w:pPr>
      <w:r>
        <w:rPr>
          <w:rFonts w:hint="eastAsia"/>
          <w:b/>
          <w:bCs/>
          <w:sz w:val="28"/>
          <w:szCs w:val="28"/>
          <w:lang w:val="en-US" w:eastAsia="zh-CN"/>
        </w:rPr>
        <w:t>（二）法定代表人身份证明书</w:t>
      </w:r>
    </w:p>
    <w:p w14:paraId="2309AE34">
      <w:pPr>
        <w:spacing w:before="120" w:beforeLines="50" w:line="360" w:lineRule="auto"/>
        <w:ind w:left="420" w:firstLine="420"/>
        <w:rPr>
          <w:rFonts w:hint="eastAsia" w:ascii="宋体" w:hAnsi="宋体" w:eastAsia="宋体" w:cs="宋体"/>
          <w:sz w:val="24"/>
          <w:szCs w:val="24"/>
          <w:u w:val="single"/>
        </w:rPr>
      </w:pPr>
      <w:r>
        <w:rPr>
          <w:rFonts w:hint="eastAsia" w:ascii="宋体" w:hAnsi="宋体" w:eastAsia="宋体" w:cs="宋体"/>
          <w:sz w:val="24"/>
          <w:szCs w:val="24"/>
        </w:rPr>
        <w:t>单位名称：</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p>
    <w:p w14:paraId="07861808">
      <w:pPr>
        <w:spacing w:before="120" w:beforeLines="50" w:line="360" w:lineRule="auto"/>
        <w:ind w:left="420" w:firstLine="420"/>
        <w:rPr>
          <w:rFonts w:hint="eastAsia" w:ascii="宋体" w:hAnsi="宋体" w:eastAsia="宋体" w:cs="宋体"/>
          <w:sz w:val="24"/>
          <w:szCs w:val="24"/>
          <w:u w:val="single"/>
        </w:rPr>
      </w:pPr>
      <w:r>
        <w:rPr>
          <w:rFonts w:hint="eastAsia" w:ascii="宋体" w:hAnsi="宋体" w:eastAsia="宋体" w:cs="宋体"/>
          <w:sz w:val="24"/>
          <w:szCs w:val="24"/>
        </w:rPr>
        <w:t>单位性质：</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p>
    <w:p w14:paraId="10289482">
      <w:pPr>
        <w:spacing w:before="120" w:beforeLines="50" w:line="360" w:lineRule="auto"/>
        <w:ind w:left="420" w:firstLine="420"/>
        <w:rPr>
          <w:rFonts w:hint="eastAsia" w:ascii="宋体" w:hAnsi="宋体" w:eastAsia="宋体" w:cs="宋体"/>
          <w:sz w:val="24"/>
          <w:szCs w:val="24"/>
          <w:u w:val="single"/>
        </w:rPr>
      </w:pPr>
      <w:r>
        <w:rPr>
          <w:rFonts w:hint="eastAsia" w:ascii="宋体" w:hAnsi="宋体" w:eastAsia="宋体" w:cs="宋体"/>
          <w:sz w:val="24"/>
          <w:szCs w:val="24"/>
        </w:rPr>
        <w:t>地    址：</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p>
    <w:p w14:paraId="680A7752">
      <w:pPr>
        <w:spacing w:before="120" w:beforeLines="50" w:line="360" w:lineRule="auto"/>
        <w:ind w:left="420" w:firstLine="420"/>
        <w:rPr>
          <w:rFonts w:hint="eastAsia" w:ascii="宋体" w:hAnsi="宋体" w:eastAsia="宋体" w:cs="宋体"/>
          <w:sz w:val="24"/>
          <w:szCs w:val="24"/>
        </w:rPr>
      </w:pPr>
      <w:r>
        <w:rPr>
          <w:rFonts w:hint="eastAsia" w:ascii="宋体" w:hAnsi="宋体" w:eastAsia="宋体" w:cs="宋体"/>
          <w:sz w:val="24"/>
          <w:szCs w:val="24"/>
        </w:rPr>
        <w:t>成立时间：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6CB98ACF">
      <w:pPr>
        <w:spacing w:before="120" w:beforeLines="50" w:line="360" w:lineRule="auto"/>
        <w:ind w:left="420" w:firstLine="420"/>
        <w:rPr>
          <w:rFonts w:hint="eastAsia" w:ascii="宋体" w:hAnsi="宋体" w:eastAsia="宋体" w:cs="宋体"/>
          <w:sz w:val="24"/>
          <w:szCs w:val="24"/>
          <w:u w:val="none"/>
        </w:rPr>
      </w:pPr>
      <w:r>
        <w:rPr>
          <w:rFonts w:hint="eastAsia" w:ascii="宋体" w:hAnsi="宋体" w:eastAsia="宋体" w:cs="宋体"/>
          <w:sz w:val="24"/>
          <w:szCs w:val="24"/>
        </w:rPr>
        <w:t>经营期限：</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rPr>
        <w:t>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rPr>
        <w:t>日至</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rPr>
        <w:t>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rPr>
        <w:t>日</w:t>
      </w:r>
    </w:p>
    <w:p w14:paraId="7AE2D3F6">
      <w:pPr>
        <w:spacing w:before="120" w:beforeLines="50" w:line="360" w:lineRule="auto"/>
        <w:ind w:left="420" w:firstLine="420"/>
        <w:rPr>
          <w:rFonts w:hint="eastAsia" w:ascii="宋体" w:hAnsi="宋体" w:eastAsia="宋体" w:cs="宋体"/>
          <w:sz w:val="24"/>
          <w:szCs w:val="24"/>
          <w:u w:val="single"/>
        </w:rPr>
      </w:pPr>
      <w:r>
        <w:rPr>
          <w:rFonts w:hint="eastAsia" w:ascii="宋体" w:hAnsi="宋体" w:eastAsia="宋体" w:cs="宋体"/>
          <w:sz w:val="24"/>
          <w:szCs w:val="24"/>
        </w:rPr>
        <w:t>姓    名：</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性别：</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rPr>
        <w:t>年龄：</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职务：</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516DE372">
      <w:pPr>
        <w:spacing w:before="120" w:beforeLines="50" w:line="360" w:lineRule="auto"/>
        <w:ind w:left="420" w:firstLine="420"/>
        <w:rPr>
          <w:rFonts w:hint="eastAsia" w:ascii="宋体" w:hAnsi="宋体" w:eastAsia="宋体" w:cs="宋体"/>
          <w:sz w:val="24"/>
          <w:szCs w:val="24"/>
        </w:rPr>
      </w:pPr>
      <w:r>
        <w:rPr>
          <w:rFonts w:hint="eastAsia" w:ascii="宋体" w:hAnsi="宋体" w:eastAsia="宋体" w:cs="宋体"/>
          <w:sz w:val="24"/>
          <w:szCs w:val="24"/>
        </w:rPr>
        <w:t>系</w:t>
      </w:r>
      <w:r>
        <w:rPr>
          <w:rFonts w:hint="eastAsia" w:ascii="宋体" w:hAnsi="宋体" w:eastAsia="宋体" w:cs="宋体"/>
          <w:sz w:val="24"/>
          <w:szCs w:val="24"/>
          <w:u w:val="single"/>
        </w:rPr>
        <w:t xml:space="preserve">                         </w:t>
      </w:r>
      <w:r>
        <w:rPr>
          <w:rFonts w:hint="eastAsia" w:ascii="宋体" w:hAnsi="宋体" w:eastAsia="宋体" w:cs="宋体"/>
          <w:sz w:val="24"/>
          <w:szCs w:val="24"/>
        </w:rPr>
        <w:t>的法定代表人。</w:t>
      </w:r>
    </w:p>
    <w:p w14:paraId="3115AEB7">
      <w:pPr>
        <w:spacing w:before="120" w:beforeLines="50" w:line="360" w:lineRule="auto"/>
        <w:ind w:left="420" w:firstLine="420"/>
        <w:rPr>
          <w:rFonts w:hint="eastAsia" w:ascii="宋体" w:hAnsi="宋体" w:eastAsia="宋体" w:cs="宋体"/>
          <w:sz w:val="24"/>
          <w:szCs w:val="24"/>
        </w:rPr>
      </w:pPr>
      <w:r>
        <w:rPr>
          <w:rFonts w:hint="eastAsia" w:ascii="宋体" w:hAnsi="宋体" w:eastAsia="宋体" w:cs="宋体"/>
          <w:sz w:val="24"/>
          <w:szCs w:val="24"/>
        </w:rPr>
        <w:t>特此证明。</w:t>
      </w:r>
    </w:p>
    <w:p w14:paraId="4C5A43B6">
      <w:pPr>
        <w:spacing w:before="120" w:beforeLines="50" w:line="360" w:lineRule="auto"/>
        <w:ind w:left="420" w:firstLine="420"/>
        <w:rPr>
          <w:rFonts w:hint="eastAsia" w:ascii="宋体" w:hAnsi="宋体" w:eastAsia="宋体" w:cs="宋体"/>
          <w:sz w:val="24"/>
          <w:szCs w:val="24"/>
          <w:lang w:eastAsia="zh-CN"/>
        </w:rPr>
      </w:pPr>
    </w:p>
    <w:p w14:paraId="6254FCEA">
      <w:pPr>
        <w:spacing w:before="120" w:beforeLines="50" w:line="360" w:lineRule="auto"/>
        <w:ind w:left="420" w:firstLine="420"/>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电子公章</w:t>
      </w:r>
      <w:r>
        <w:rPr>
          <w:rFonts w:hint="eastAsia" w:ascii="宋体" w:hAnsi="宋体" w:eastAsia="宋体" w:cs="宋体"/>
          <w:sz w:val="24"/>
          <w:szCs w:val="24"/>
          <w:u w:val="single"/>
        </w:rPr>
        <w:t>）</w:t>
      </w:r>
    </w:p>
    <w:p w14:paraId="5761E49D">
      <w:pPr>
        <w:spacing w:before="120" w:beforeLines="50" w:line="360" w:lineRule="auto"/>
        <w:ind w:left="420" w:firstLine="420"/>
        <w:rPr>
          <w:rFonts w:hint="eastAsia"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6A7D5F07">
      <w:pPr>
        <w:spacing w:before="120" w:beforeLines="50" w:line="360" w:lineRule="auto"/>
        <w:ind w:left="420" w:firstLine="420"/>
        <w:rPr>
          <w:rFonts w:hint="eastAsia" w:ascii="宋体" w:hAnsi="宋体" w:eastAsia="宋体" w:cs="宋体"/>
          <w:b/>
          <w:sz w:val="24"/>
          <w:szCs w:val="24"/>
        </w:rPr>
      </w:pPr>
      <w:r>
        <w:rPr>
          <w:rFonts w:hint="eastAsia" w:ascii="宋体" w:hAnsi="宋体" w:eastAsia="宋体" w:cs="宋体"/>
          <w:b/>
          <w:sz w:val="24"/>
          <w:szCs w:val="24"/>
        </w:rPr>
        <w:t>附法定代表人</w:t>
      </w:r>
      <w:r>
        <w:rPr>
          <w:rFonts w:hint="eastAsia" w:ascii="宋体" w:hAnsi="宋体" w:eastAsia="宋体" w:cs="宋体"/>
          <w:b/>
          <w:sz w:val="24"/>
          <w:szCs w:val="24"/>
          <w:lang w:eastAsia="zh-CN"/>
        </w:rPr>
        <w:t>身份证复印件</w:t>
      </w:r>
      <w:r>
        <w:rPr>
          <w:rFonts w:hint="eastAsia" w:ascii="宋体" w:hAnsi="宋体" w:eastAsia="宋体" w:cs="宋体"/>
          <w:b/>
          <w:sz w:val="24"/>
          <w:szCs w:val="24"/>
        </w:rPr>
        <w:t>：</w:t>
      </w:r>
    </w:p>
    <w:p w14:paraId="403AF20A">
      <w:pPr>
        <w:spacing w:line="360" w:lineRule="auto"/>
        <w:ind w:left="894" w:leftChars="420"/>
        <w:rPr>
          <w:rFonts w:hint="eastAsia" w:ascii="宋体" w:hAnsi="宋体"/>
          <w:color w:val="000000"/>
          <w:sz w:val="24"/>
          <w:szCs w:val="24"/>
          <w:highlight w:val="none"/>
        </w:rPr>
      </w:pPr>
    </w:p>
    <w:p w14:paraId="2DC4342C">
      <w:pPr>
        <w:bidi w:val="0"/>
        <w:spacing w:line="480" w:lineRule="auto"/>
        <w:jc w:val="center"/>
        <w:rPr>
          <w:rFonts w:hint="eastAsia"/>
          <w:bCs w:val="0"/>
          <w:color w:val="000000"/>
          <w:sz w:val="36"/>
          <w:szCs w:val="44"/>
        </w:rPr>
      </w:pPr>
      <w:r>
        <w:rPr>
          <w:rFonts w:hint="eastAsia" w:ascii="宋体" w:hAnsi="宋体"/>
          <w:b/>
          <w:bCs/>
          <w:color w:val="000000"/>
          <w:highlight w:val="none"/>
        </w:rPr>
        <w:br w:type="page"/>
      </w:r>
      <w:r>
        <w:rPr>
          <w:rFonts w:hint="eastAsia"/>
          <w:b/>
          <w:bCs/>
          <w:sz w:val="28"/>
          <w:szCs w:val="28"/>
          <w:lang w:val="en-US" w:eastAsia="zh-CN"/>
        </w:rPr>
        <w:t>（三）法人授权委托书</w:t>
      </w:r>
    </w:p>
    <w:p w14:paraId="7ADB4F67">
      <w:pPr>
        <w:spacing w:before="120" w:beforeLines="50" w:line="360" w:lineRule="auto"/>
        <w:ind w:firstLine="486" w:firstLineChars="200"/>
        <w:rPr>
          <w:rFonts w:hint="eastAsia" w:ascii="宋体" w:hAnsi="宋体" w:eastAsia="宋体" w:cs="宋体"/>
          <w:sz w:val="24"/>
          <w:szCs w:val="24"/>
        </w:rPr>
      </w:pPr>
      <w:r>
        <w:rPr>
          <w:rFonts w:hint="eastAsia" w:ascii="宋体" w:hAnsi="宋体" w:eastAsia="宋体" w:cs="宋体"/>
          <w:sz w:val="24"/>
          <w:szCs w:val="24"/>
        </w:rPr>
        <w:t>本授权委托书声明：我</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系</w:t>
      </w:r>
      <w:r>
        <w:rPr>
          <w:rFonts w:hint="eastAsia" w:ascii="宋体" w:hAnsi="宋体" w:eastAsia="宋体" w:cs="宋体"/>
          <w:sz w:val="24"/>
          <w:szCs w:val="24"/>
          <w:u w:val="single"/>
        </w:rPr>
        <w:t xml:space="preserve"> （公司名称）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的法定代表人，现授权委托</w:t>
      </w:r>
      <w:r>
        <w:rPr>
          <w:rFonts w:hint="eastAsia" w:ascii="宋体" w:hAnsi="宋体" w:eastAsia="宋体" w:cs="宋体"/>
          <w:sz w:val="24"/>
          <w:szCs w:val="24"/>
          <w:u w:val="single"/>
        </w:rPr>
        <w:t xml:space="preserve"> （公司名称） </w:t>
      </w:r>
      <w:r>
        <w:rPr>
          <w:rFonts w:hint="eastAsia" w:ascii="宋体" w:hAnsi="宋体" w:eastAsia="宋体" w:cs="宋体"/>
          <w:sz w:val="24"/>
          <w:szCs w:val="24"/>
        </w:rPr>
        <w:t>的</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为我公司签署</w:t>
      </w:r>
      <w:r>
        <w:rPr>
          <w:rFonts w:hint="eastAsia" w:ascii="宋体" w:hAnsi="宋体" w:eastAsia="宋体" w:cs="宋体"/>
          <w:sz w:val="24"/>
          <w:szCs w:val="24"/>
          <w:u w:val="single"/>
        </w:rPr>
        <w:t xml:space="preserve">          （项目名称）             </w:t>
      </w:r>
      <w:r>
        <w:rPr>
          <w:rFonts w:hint="eastAsia" w:ascii="宋体" w:hAnsi="宋体" w:eastAsia="宋体" w:cs="宋体"/>
          <w:bCs/>
          <w:sz w:val="24"/>
          <w:szCs w:val="24"/>
        </w:rPr>
        <w:t>所属文件</w:t>
      </w:r>
      <w:r>
        <w:rPr>
          <w:rFonts w:hint="eastAsia" w:ascii="宋体" w:hAnsi="宋体" w:eastAsia="宋体" w:cs="宋体"/>
          <w:sz w:val="24"/>
          <w:szCs w:val="24"/>
        </w:rPr>
        <w:t>的法定代表人授权委托代理人，我承认代理人全权代表我在</w:t>
      </w:r>
      <w:r>
        <w:rPr>
          <w:rFonts w:hint="eastAsia" w:ascii="宋体" w:hAnsi="宋体" w:eastAsia="宋体" w:cs="宋体"/>
          <w:sz w:val="24"/>
          <w:szCs w:val="24"/>
          <w:lang w:eastAsia="zh-CN"/>
        </w:rPr>
        <w:t>磋商</w:t>
      </w:r>
      <w:r>
        <w:rPr>
          <w:rFonts w:hint="eastAsia" w:ascii="宋体" w:hAnsi="宋体" w:eastAsia="宋体" w:cs="宋体"/>
          <w:sz w:val="24"/>
          <w:szCs w:val="24"/>
        </w:rPr>
        <w:t>过程中所签署的一切文件和处理与之有关的一切事务。</w:t>
      </w:r>
    </w:p>
    <w:p w14:paraId="434BDE4A">
      <w:pPr>
        <w:spacing w:before="120" w:beforeLines="50" w:line="360" w:lineRule="auto"/>
        <w:ind w:firstLine="486" w:firstLineChars="200"/>
        <w:rPr>
          <w:rFonts w:hint="eastAsia" w:ascii="宋体" w:hAnsi="宋体" w:eastAsia="宋体" w:cs="宋体"/>
          <w:sz w:val="24"/>
          <w:szCs w:val="24"/>
        </w:rPr>
      </w:pPr>
      <w:r>
        <w:rPr>
          <w:rFonts w:hint="eastAsia" w:ascii="宋体" w:hAnsi="宋体" w:eastAsia="宋体" w:cs="宋体"/>
          <w:sz w:val="24"/>
          <w:szCs w:val="24"/>
        </w:rPr>
        <w:t>代理人无转委托权，特此委托。</w:t>
      </w:r>
    </w:p>
    <w:p w14:paraId="65D9ABCA">
      <w:pPr>
        <w:spacing w:before="120" w:beforeLines="50" w:line="360" w:lineRule="auto"/>
        <w:ind w:firstLine="486" w:firstLineChars="200"/>
        <w:rPr>
          <w:rFonts w:hint="eastAsia" w:ascii="宋体" w:hAnsi="宋体" w:eastAsia="宋体" w:cs="宋体"/>
          <w:sz w:val="24"/>
          <w:szCs w:val="24"/>
          <w:u w:val="single"/>
        </w:rPr>
      </w:pPr>
      <w:r>
        <w:rPr>
          <w:rFonts w:hint="eastAsia" w:ascii="宋体" w:hAnsi="宋体" w:eastAsia="宋体" w:cs="宋体"/>
          <w:sz w:val="24"/>
          <w:szCs w:val="24"/>
        </w:rPr>
        <w:t>代理人：</w:t>
      </w:r>
      <w:r>
        <w:rPr>
          <w:rFonts w:hint="eastAsia" w:ascii="宋体" w:hAnsi="宋体" w:eastAsia="宋体" w:cs="宋体"/>
          <w:sz w:val="24"/>
          <w:szCs w:val="24"/>
          <w:u w:val="single"/>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rPr>
        <w:t>性别</w:t>
      </w:r>
      <w:r>
        <w:rPr>
          <w:rFonts w:hint="eastAsia" w:ascii="宋体" w:hAnsi="宋体" w:eastAsia="宋体" w:cs="宋体"/>
          <w:sz w:val="24"/>
          <w:szCs w:val="24"/>
          <w:u w:val="none"/>
        </w:rPr>
        <w:t>：</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年龄</w:t>
      </w:r>
      <w:r>
        <w:rPr>
          <w:rFonts w:hint="eastAsia" w:ascii="宋体" w:hAnsi="宋体" w:eastAsia="宋体" w:cs="宋体"/>
          <w:sz w:val="24"/>
          <w:szCs w:val="24"/>
          <w:u w:val="none"/>
        </w:rPr>
        <w:t>：</w:t>
      </w:r>
      <w:r>
        <w:rPr>
          <w:rFonts w:hint="eastAsia" w:ascii="宋体" w:hAnsi="宋体" w:eastAsia="宋体" w:cs="宋体"/>
          <w:sz w:val="24"/>
          <w:szCs w:val="24"/>
          <w:u w:val="single"/>
        </w:rPr>
        <w:t xml:space="preserve">     </w:t>
      </w:r>
    </w:p>
    <w:p w14:paraId="0B514912">
      <w:pPr>
        <w:spacing w:before="120" w:beforeLines="50" w:line="360" w:lineRule="auto"/>
        <w:ind w:firstLine="486" w:firstLineChars="200"/>
        <w:rPr>
          <w:rFonts w:hint="eastAsia" w:ascii="宋体" w:hAnsi="宋体" w:eastAsia="宋体" w:cs="宋体"/>
          <w:sz w:val="24"/>
          <w:szCs w:val="24"/>
          <w:u w:val="single"/>
        </w:rPr>
      </w:pPr>
      <w:r>
        <w:rPr>
          <w:rFonts w:hint="eastAsia" w:ascii="宋体" w:hAnsi="宋体" w:eastAsia="宋体" w:cs="宋体"/>
          <w:sz w:val="24"/>
          <w:szCs w:val="24"/>
        </w:rPr>
        <w:t>身份证号码：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职务：</w:t>
      </w:r>
      <w:r>
        <w:rPr>
          <w:rFonts w:hint="eastAsia" w:ascii="宋体" w:hAnsi="宋体" w:eastAsia="宋体" w:cs="宋体"/>
          <w:sz w:val="24"/>
          <w:szCs w:val="24"/>
          <w:u w:val="single"/>
        </w:rPr>
        <w:t xml:space="preserve">     </w:t>
      </w:r>
    </w:p>
    <w:p w14:paraId="5A6376CE">
      <w:pPr>
        <w:spacing w:before="120" w:beforeLines="50" w:line="360" w:lineRule="auto"/>
        <w:ind w:firstLine="486" w:firstLineChars="200"/>
        <w:rPr>
          <w:rFonts w:hint="eastAsia" w:ascii="宋体" w:hAnsi="宋体" w:eastAsia="宋体" w:cs="宋体"/>
          <w:sz w:val="24"/>
          <w:szCs w:val="24"/>
          <w:u w:val="single"/>
        </w:rPr>
      </w:pPr>
      <w:r>
        <w:rPr>
          <w:rFonts w:hint="eastAsia" w:ascii="宋体" w:hAnsi="宋体" w:eastAsia="宋体" w:cs="宋体"/>
          <w:sz w:val="24"/>
          <w:szCs w:val="24"/>
          <w:lang w:eastAsia="zh-CN"/>
        </w:rPr>
        <w:t>供应商</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color w:val="auto"/>
          <w:sz w:val="24"/>
          <w:szCs w:val="24"/>
          <w:highlight w:val="none"/>
          <w:u w:val="single"/>
          <w:lang w:eastAsia="zh-CN"/>
        </w:rPr>
        <w:t>电子公章</w:t>
      </w:r>
      <w:r>
        <w:rPr>
          <w:rFonts w:hint="eastAsia" w:ascii="宋体" w:hAnsi="宋体" w:eastAsia="宋体" w:cs="宋体"/>
          <w:sz w:val="24"/>
          <w:szCs w:val="24"/>
          <w:u w:val="single"/>
        </w:rPr>
        <w:t>）</w:t>
      </w:r>
    </w:p>
    <w:p w14:paraId="3A4B53C3">
      <w:pPr>
        <w:spacing w:before="120" w:beforeLines="50" w:line="360" w:lineRule="auto"/>
        <w:ind w:firstLine="486" w:firstLineChars="200"/>
        <w:rPr>
          <w:rFonts w:hint="eastAsia" w:ascii="宋体" w:hAnsi="宋体" w:eastAsia="宋体" w:cs="宋体"/>
          <w:sz w:val="24"/>
          <w:szCs w:val="24"/>
          <w:u w:val="single"/>
        </w:rPr>
      </w:pPr>
      <w:r>
        <w:rPr>
          <w:rFonts w:hint="eastAsia" w:ascii="宋体" w:hAnsi="宋体" w:eastAsia="宋体" w:cs="宋体"/>
          <w:sz w:val="24"/>
          <w:szCs w:val="24"/>
        </w:rPr>
        <w:t>法定代表人：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电子签名</w:t>
      </w:r>
      <w:r>
        <w:rPr>
          <w:rFonts w:hint="eastAsia" w:ascii="宋体" w:hAnsi="宋体" w:eastAsia="宋体" w:cs="宋体"/>
          <w:sz w:val="24"/>
          <w:szCs w:val="24"/>
          <w:u w:val="single"/>
        </w:rPr>
        <w:t xml:space="preserve">） </w:t>
      </w:r>
    </w:p>
    <w:p w14:paraId="5C099B7B">
      <w:pPr>
        <w:spacing w:before="120" w:beforeLines="50" w:line="360" w:lineRule="auto"/>
        <w:ind w:firstLine="486" w:firstLineChars="200"/>
        <w:rPr>
          <w:rFonts w:hint="eastAsia" w:ascii="宋体" w:hAnsi="宋体" w:eastAsia="宋体" w:cs="宋体"/>
          <w:sz w:val="24"/>
          <w:szCs w:val="24"/>
        </w:rPr>
      </w:pPr>
      <w:r>
        <w:rPr>
          <w:rFonts w:hint="eastAsia" w:ascii="宋体" w:hAnsi="宋体" w:eastAsia="宋体" w:cs="宋体"/>
          <w:sz w:val="24"/>
          <w:szCs w:val="24"/>
        </w:rPr>
        <w:t>授权委托日期：</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日至</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日</w:t>
      </w:r>
    </w:p>
    <w:p w14:paraId="00EF28FA">
      <w:pPr>
        <w:spacing w:line="500" w:lineRule="exact"/>
        <w:jc w:val="left"/>
        <w:rPr>
          <w:rFonts w:hint="eastAsia" w:ascii="宋体" w:hAnsi="宋体" w:eastAsia="宋体" w:cs="宋体"/>
          <w:sz w:val="24"/>
          <w:szCs w:val="24"/>
        </w:rPr>
      </w:pPr>
      <w:r>
        <w:rPr>
          <w:rFonts w:hint="eastAsia" w:ascii="宋体" w:hAnsi="宋体" w:eastAsia="宋体" w:cs="宋体"/>
          <w:sz w:val="24"/>
          <w:szCs w:val="24"/>
        </w:rPr>
        <w:t>注：附授权委托代理人身份证复印件，如</w:t>
      </w:r>
      <w:r>
        <w:rPr>
          <w:rFonts w:hint="eastAsia" w:ascii="宋体" w:hAnsi="宋体" w:eastAsia="宋体" w:cs="宋体"/>
          <w:sz w:val="24"/>
          <w:szCs w:val="24"/>
          <w:lang w:eastAsia="zh-CN"/>
        </w:rPr>
        <w:t>供应商</w:t>
      </w:r>
      <w:r>
        <w:rPr>
          <w:rFonts w:hint="eastAsia" w:ascii="宋体" w:hAnsi="宋体" w:eastAsia="宋体" w:cs="宋体"/>
          <w:sz w:val="24"/>
          <w:szCs w:val="24"/>
        </w:rPr>
        <w:t>由法定代表人亲自签署</w:t>
      </w:r>
      <w:r>
        <w:rPr>
          <w:rFonts w:hint="eastAsia" w:ascii="宋体" w:hAnsi="宋体" w:eastAsia="宋体" w:cs="宋体"/>
          <w:sz w:val="24"/>
          <w:szCs w:val="24"/>
          <w:lang w:eastAsia="zh-CN"/>
        </w:rPr>
        <w:t>响应文件</w:t>
      </w:r>
      <w:r>
        <w:rPr>
          <w:rFonts w:hint="eastAsia" w:ascii="宋体" w:hAnsi="宋体" w:eastAsia="宋体" w:cs="宋体"/>
          <w:sz w:val="24"/>
          <w:szCs w:val="24"/>
        </w:rPr>
        <w:t>并参与相关活动，则不需要办理授权。如有被授权的代理人签署上述文件，则必须按本格式规定填报并提交授权书，否则被授权的代理人将不被认可。</w:t>
      </w:r>
    </w:p>
    <w:p w14:paraId="3C860A2B">
      <w:pPr>
        <w:spacing w:before="120" w:beforeLines="50" w:line="360" w:lineRule="auto"/>
        <w:rPr>
          <w:rFonts w:hint="eastAsia" w:ascii="宋体" w:hAnsi="宋体" w:eastAsia="宋体" w:cs="宋体"/>
          <w:b/>
          <w:sz w:val="24"/>
          <w:szCs w:val="24"/>
        </w:rPr>
      </w:pPr>
      <w:r>
        <w:rPr>
          <w:rFonts w:hint="eastAsia" w:ascii="宋体" w:hAnsi="宋体" w:eastAsia="宋体" w:cs="宋体"/>
          <w:b/>
          <w:sz w:val="24"/>
          <w:szCs w:val="24"/>
        </w:rPr>
        <w:t>附授权委托代理人</w:t>
      </w:r>
      <w:r>
        <w:rPr>
          <w:rFonts w:hint="eastAsia" w:ascii="宋体" w:hAnsi="宋体" w:eastAsia="宋体" w:cs="宋体"/>
          <w:b/>
          <w:sz w:val="24"/>
          <w:szCs w:val="24"/>
          <w:lang w:eastAsia="zh-CN"/>
        </w:rPr>
        <w:t>身份证复印件</w:t>
      </w:r>
      <w:r>
        <w:rPr>
          <w:rFonts w:hint="eastAsia" w:ascii="宋体" w:hAnsi="宋体" w:eastAsia="宋体" w:cs="宋体"/>
          <w:b/>
          <w:sz w:val="24"/>
          <w:szCs w:val="24"/>
        </w:rPr>
        <w:t>：</w:t>
      </w:r>
    </w:p>
    <w:p w14:paraId="22B30776">
      <w:pPr>
        <w:pStyle w:val="59"/>
        <w:rPr>
          <w:rFonts w:hint="eastAsia"/>
        </w:rPr>
        <w:sectPr>
          <w:type w:val="continuous"/>
          <w:pgSz w:w="11906" w:h="16838"/>
          <w:pgMar w:top="1417" w:right="1247" w:bottom="1417" w:left="1247" w:header="720" w:footer="720" w:gutter="0"/>
          <w:pgNumType w:fmt="decimal"/>
          <w:cols w:space="720" w:num="1"/>
          <w:titlePg/>
          <w:docGrid w:type="linesAndChars" w:linePitch="331" w:charSpace="800"/>
        </w:sectPr>
      </w:pPr>
    </w:p>
    <w:p w14:paraId="171986D4">
      <w:pPr>
        <w:bidi w:val="0"/>
        <w:spacing w:line="240" w:lineRule="auto"/>
        <w:jc w:val="center"/>
        <w:rPr>
          <w:rFonts w:hint="eastAsia"/>
          <w:b/>
          <w:bCs/>
          <w:sz w:val="28"/>
          <w:szCs w:val="28"/>
          <w:lang w:val="en-US" w:eastAsia="zh-CN"/>
        </w:rPr>
      </w:pPr>
      <w:r>
        <w:rPr>
          <w:rFonts w:hint="eastAsia"/>
          <w:b/>
          <w:bCs/>
          <w:sz w:val="28"/>
          <w:szCs w:val="28"/>
          <w:lang w:val="en-US" w:eastAsia="zh-CN"/>
        </w:rPr>
        <w:t>（四）中小企业声明函（若有）</w:t>
      </w:r>
    </w:p>
    <w:p w14:paraId="7EEB5035">
      <w:pPr>
        <w:keepNext w:val="0"/>
        <w:keepLines w:val="0"/>
        <w:widowControl w:val="0"/>
        <w:suppressLineNumbers w:val="0"/>
        <w:autoSpaceDE w:val="0"/>
        <w:autoSpaceDN/>
        <w:spacing w:before="0" w:beforeAutospacing="0" w:after="0" w:afterAutospacing="0" w:line="360" w:lineRule="auto"/>
        <w:ind w:left="0" w:right="0" w:firstLine="715" w:firstLineChars="200"/>
        <w:jc w:val="center"/>
        <w:rPr>
          <w:rFonts w:ascii="宋体" w:hAnsi="宋体" w:eastAsia="宋体" w:cs="宋体"/>
          <w:b/>
          <w:bCs/>
          <w:spacing w:val="3"/>
          <w:sz w:val="35"/>
          <w:szCs w:val="35"/>
        </w:rPr>
      </w:pPr>
    </w:p>
    <w:p w14:paraId="1C5D623B">
      <w:pPr>
        <w:keepNext w:val="0"/>
        <w:keepLines w:val="0"/>
        <w:widowControl w:val="0"/>
        <w:suppressLineNumbers w:val="0"/>
        <w:autoSpaceDE w:val="0"/>
        <w:autoSpaceDN/>
        <w:spacing w:before="0" w:beforeAutospacing="0" w:after="0" w:afterAutospacing="0" w:line="360" w:lineRule="auto"/>
        <w:ind w:left="0" w:right="0" w:firstLine="715" w:firstLineChars="200"/>
        <w:jc w:val="center"/>
        <w:rPr>
          <w:rFonts w:hint="eastAsia" w:ascii="宋体" w:hAnsi="宋体" w:eastAsia="宋体" w:cs="宋体"/>
          <w:color w:val="000000"/>
          <w:spacing w:val="0"/>
          <w:w w:val="100"/>
          <w:kern w:val="0"/>
          <w:position w:val="0"/>
          <w:sz w:val="24"/>
          <w:szCs w:val="24"/>
          <w:shd w:val="clear" w:color="auto" w:fill="auto"/>
          <w:lang w:val="en-US" w:eastAsia="zh-CN" w:bidi="ar"/>
        </w:rPr>
      </w:pPr>
      <w:r>
        <w:rPr>
          <w:rFonts w:ascii="宋体" w:hAnsi="宋体" w:eastAsia="宋体" w:cs="宋体"/>
          <w:b/>
          <w:bCs/>
          <w:spacing w:val="3"/>
          <w:sz w:val="35"/>
          <w:szCs w:val="35"/>
        </w:rPr>
        <w:t>中小企业声明函（工程、服务）</w:t>
      </w:r>
    </w:p>
    <w:p w14:paraId="31719002">
      <w:pPr>
        <w:autoSpaceDE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本公司郑重声明，根据《政府采购促进中小企业发展管理办法》（财库﹝2020﹞46 号）的规定，本公司参加</w:t>
      </w:r>
      <w:r>
        <w:rPr>
          <w:rFonts w:hint="eastAsia" w:ascii="宋体" w:hAnsi="宋体" w:eastAsia="宋体" w:cs="宋体"/>
          <w:sz w:val="24"/>
          <w:szCs w:val="24"/>
          <w:u w:val="single"/>
          <w:lang w:eastAsia="zh-CN"/>
        </w:rPr>
        <w:t>（单位名称）</w:t>
      </w:r>
      <w:r>
        <w:rPr>
          <w:rFonts w:hint="eastAsia" w:ascii="宋体" w:hAnsi="宋体" w:eastAsia="宋体" w:cs="宋体"/>
          <w:sz w:val="24"/>
          <w:szCs w:val="24"/>
          <w:lang w:eastAsia="zh-CN"/>
        </w:rPr>
        <w:t>的</w:t>
      </w:r>
      <w:r>
        <w:rPr>
          <w:rFonts w:hint="eastAsia" w:ascii="宋体" w:hAnsi="宋体" w:eastAsia="宋体" w:cs="宋体"/>
          <w:sz w:val="24"/>
          <w:szCs w:val="24"/>
          <w:u w:val="single"/>
          <w:lang w:eastAsia="zh-CN"/>
        </w:rPr>
        <w:t>（项目名称）</w:t>
      </w:r>
      <w:r>
        <w:rPr>
          <w:rFonts w:hint="eastAsia" w:ascii="宋体" w:hAnsi="宋体" w:eastAsia="宋体" w:cs="宋体"/>
          <w:sz w:val="24"/>
          <w:szCs w:val="24"/>
          <w:lang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22EFA106">
      <w:pPr>
        <w:autoSpaceDE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w:t>
      </w:r>
      <w:r>
        <w:rPr>
          <w:rFonts w:hint="eastAsia" w:ascii="宋体" w:hAnsi="宋体" w:eastAsia="宋体" w:cs="宋体"/>
          <w:sz w:val="24"/>
          <w:szCs w:val="24"/>
          <w:u w:val="single"/>
          <w:lang w:eastAsia="zh-CN"/>
        </w:rPr>
        <w:t>（标的名称）</w:t>
      </w:r>
      <w:r>
        <w:rPr>
          <w:rFonts w:hint="eastAsia" w:ascii="宋体" w:hAnsi="宋体" w:eastAsia="宋体" w:cs="宋体"/>
          <w:sz w:val="24"/>
          <w:szCs w:val="24"/>
          <w:lang w:eastAsia="zh-CN"/>
        </w:rPr>
        <w:t xml:space="preserve"> ，属于</w:t>
      </w:r>
      <w:r>
        <w:rPr>
          <w:rFonts w:hint="eastAsia" w:ascii="宋体" w:hAnsi="宋体" w:eastAsia="宋体" w:cs="宋体"/>
          <w:sz w:val="24"/>
          <w:szCs w:val="24"/>
          <w:u w:val="single"/>
          <w:lang w:eastAsia="zh-CN"/>
        </w:rPr>
        <w:t>（竞争性磋商文件中明确的所属行业）</w:t>
      </w:r>
      <w:r>
        <w:rPr>
          <w:rFonts w:hint="eastAsia" w:ascii="宋体" w:hAnsi="宋体" w:eastAsia="宋体" w:cs="宋体"/>
          <w:sz w:val="24"/>
          <w:szCs w:val="24"/>
          <w:lang w:eastAsia="zh-CN"/>
        </w:rPr>
        <w:t>；承建（承接）企业为</w:t>
      </w:r>
      <w:r>
        <w:rPr>
          <w:rFonts w:hint="eastAsia" w:ascii="宋体" w:hAnsi="宋体" w:eastAsia="宋体" w:cs="宋体"/>
          <w:sz w:val="24"/>
          <w:szCs w:val="24"/>
          <w:u w:val="single"/>
          <w:lang w:eastAsia="zh-CN"/>
        </w:rPr>
        <w:t>（企业名称）</w:t>
      </w:r>
      <w:r>
        <w:rPr>
          <w:rFonts w:hint="eastAsia" w:ascii="宋体" w:hAnsi="宋体" w:eastAsia="宋体" w:cs="宋体"/>
          <w:sz w:val="24"/>
          <w:szCs w:val="24"/>
          <w:lang w:eastAsia="zh-CN"/>
        </w:rPr>
        <w:t>，从业人员</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人，营业收入为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万元，资产总额为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万元 ，属于</w:t>
      </w:r>
      <w:r>
        <w:rPr>
          <w:rFonts w:hint="eastAsia" w:ascii="宋体" w:hAnsi="宋体" w:eastAsia="宋体" w:cs="宋体"/>
          <w:sz w:val="24"/>
          <w:szCs w:val="24"/>
          <w:u w:val="single"/>
          <w:lang w:eastAsia="zh-CN"/>
        </w:rPr>
        <w:t>（中型企业、 小型企业、微型企业）</w:t>
      </w:r>
      <w:r>
        <w:rPr>
          <w:rFonts w:hint="eastAsia" w:ascii="宋体" w:hAnsi="宋体" w:eastAsia="宋体" w:cs="宋体"/>
          <w:sz w:val="24"/>
          <w:szCs w:val="24"/>
          <w:lang w:eastAsia="zh-CN"/>
        </w:rPr>
        <w:t xml:space="preserve">； </w:t>
      </w:r>
    </w:p>
    <w:p w14:paraId="6E5F5546">
      <w:pPr>
        <w:autoSpaceDE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w:t>
      </w:r>
      <w:r>
        <w:rPr>
          <w:rFonts w:hint="eastAsia" w:ascii="宋体" w:hAnsi="宋体" w:eastAsia="宋体" w:cs="宋体"/>
          <w:sz w:val="24"/>
          <w:szCs w:val="24"/>
          <w:u w:val="single"/>
          <w:lang w:eastAsia="zh-CN"/>
        </w:rPr>
        <w:t xml:space="preserve">（标的名称） </w:t>
      </w:r>
      <w:r>
        <w:rPr>
          <w:rFonts w:hint="eastAsia" w:ascii="宋体" w:hAnsi="宋体" w:eastAsia="宋体" w:cs="宋体"/>
          <w:sz w:val="24"/>
          <w:szCs w:val="24"/>
          <w:lang w:eastAsia="zh-CN"/>
        </w:rPr>
        <w:t>，属于</w:t>
      </w:r>
      <w:r>
        <w:rPr>
          <w:rFonts w:hint="eastAsia" w:ascii="宋体" w:hAnsi="宋体" w:eastAsia="宋体" w:cs="宋体"/>
          <w:sz w:val="24"/>
          <w:szCs w:val="24"/>
          <w:u w:val="single"/>
          <w:lang w:eastAsia="zh-CN"/>
        </w:rPr>
        <w:t>（竞争性磋商文件中明确的所属行业）</w:t>
      </w:r>
      <w:r>
        <w:rPr>
          <w:rFonts w:hint="eastAsia" w:ascii="宋体" w:hAnsi="宋体" w:eastAsia="宋体" w:cs="宋体"/>
          <w:sz w:val="24"/>
          <w:szCs w:val="24"/>
          <w:lang w:eastAsia="zh-CN"/>
        </w:rPr>
        <w:t>；承建（承接）企业为</w:t>
      </w:r>
      <w:r>
        <w:rPr>
          <w:rFonts w:hint="eastAsia" w:ascii="宋体" w:hAnsi="宋体" w:eastAsia="宋体" w:cs="宋体"/>
          <w:sz w:val="24"/>
          <w:szCs w:val="24"/>
          <w:u w:val="single"/>
          <w:lang w:eastAsia="zh-CN"/>
        </w:rPr>
        <w:t>（企业名称）</w:t>
      </w:r>
      <w:r>
        <w:rPr>
          <w:rFonts w:hint="eastAsia" w:ascii="宋体" w:hAnsi="宋体" w:eastAsia="宋体" w:cs="宋体"/>
          <w:sz w:val="24"/>
          <w:szCs w:val="24"/>
          <w:lang w:eastAsia="zh-CN"/>
        </w:rPr>
        <w:t>，从业人员</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人，营业收入为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万元，资产总额为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万元，属于</w:t>
      </w:r>
      <w:r>
        <w:rPr>
          <w:rFonts w:hint="eastAsia" w:ascii="宋体" w:hAnsi="宋体" w:eastAsia="宋体" w:cs="宋体"/>
          <w:sz w:val="24"/>
          <w:szCs w:val="24"/>
          <w:u w:val="single"/>
          <w:lang w:eastAsia="zh-CN"/>
        </w:rPr>
        <w:t>（中型企业、 小型企业、微型企业）</w:t>
      </w:r>
      <w:r>
        <w:rPr>
          <w:rFonts w:hint="eastAsia" w:ascii="宋体" w:hAnsi="宋体" w:eastAsia="宋体" w:cs="宋体"/>
          <w:sz w:val="24"/>
          <w:szCs w:val="24"/>
          <w:lang w:eastAsia="zh-CN"/>
        </w:rPr>
        <w:t xml:space="preserve">； </w:t>
      </w:r>
    </w:p>
    <w:p w14:paraId="04712938">
      <w:pPr>
        <w:autoSpaceDE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 xml:space="preserve">…… </w:t>
      </w:r>
    </w:p>
    <w:p w14:paraId="3C8D3EE3">
      <w:pPr>
        <w:keepNext w:val="0"/>
        <w:keepLines w:val="0"/>
        <w:widowControl w:val="0"/>
        <w:suppressLineNumbers w:val="0"/>
        <w:autoSpaceDE w:val="0"/>
        <w:autoSpaceDN/>
        <w:spacing w:before="0" w:beforeAutospacing="0" w:after="0" w:afterAutospacing="0" w:line="360" w:lineRule="auto"/>
        <w:ind w:left="0" w:right="0" w:firstLine="480" w:firstLineChars="200"/>
        <w:jc w:val="left"/>
        <w:rPr>
          <w:rFonts w:hint="eastAsia" w:ascii="宋体" w:hAnsi="宋体" w:eastAsia="宋体" w:cs="宋体"/>
          <w:color w:val="000000"/>
          <w:spacing w:val="0"/>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以上企业，不属于大企业的分支机构，不存在控股股东为大企业的情形，也不存在与大企业的负责人为同一人的情形。 </w:t>
      </w:r>
    </w:p>
    <w:p w14:paraId="19DC4D1F">
      <w:pPr>
        <w:keepNext w:val="0"/>
        <w:keepLines w:val="0"/>
        <w:widowControl w:val="0"/>
        <w:suppressLineNumbers w:val="0"/>
        <w:autoSpaceDE w:val="0"/>
        <w:autoSpaceDN/>
        <w:spacing w:before="0" w:beforeAutospacing="0" w:after="0" w:afterAutospacing="0" w:line="360" w:lineRule="auto"/>
        <w:ind w:left="0" w:right="0" w:firstLine="480" w:firstLineChars="200"/>
        <w:jc w:val="left"/>
        <w:rPr>
          <w:rFonts w:hint="eastAsia" w:ascii="宋体" w:hAnsi="宋体" w:eastAsia="宋体" w:cs="宋体"/>
          <w:color w:val="000000"/>
          <w:spacing w:val="0"/>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本企业对上述声明内容的真实性负责。如有虚假，将依法承担相应责任。 </w:t>
      </w:r>
    </w:p>
    <w:p w14:paraId="7DDDCAB9">
      <w:pPr>
        <w:keepNext w:val="0"/>
        <w:keepLines w:val="0"/>
        <w:widowControl w:val="0"/>
        <w:suppressLineNumbers w:val="0"/>
        <w:autoSpaceDE w:val="0"/>
        <w:autoSpaceDN/>
        <w:spacing w:before="0" w:beforeAutospacing="0" w:after="0" w:afterAutospacing="0" w:line="360" w:lineRule="auto"/>
        <w:ind w:left="0" w:right="0" w:firstLine="0"/>
        <w:jc w:val="left"/>
        <w:rPr>
          <w:rFonts w:hint="eastAsia" w:ascii="宋体" w:hAnsi="宋体" w:eastAsia="宋体" w:cs="宋体"/>
          <w:color w:val="000000"/>
          <w:spacing w:val="0"/>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 </w:t>
      </w:r>
    </w:p>
    <w:p w14:paraId="6FEBB38B">
      <w:pPr>
        <w:keepNext w:val="0"/>
        <w:keepLines w:val="0"/>
        <w:widowControl w:val="0"/>
        <w:suppressLineNumbers w:val="0"/>
        <w:autoSpaceDE w:val="0"/>
        <w:autoSpaceDN/>
        <w:spacing w:before="0" w:beforeAutospacing="0" w:after="0" w:afterAutospacing="0" w:line="360" w:lineRule="auto"/>
        <w:ind w:left="0" w:right="0" w:firstLine="2880" w:firstLineChars="1200"/>
        <w:jc w:val="left"/>
        <w:rPr>
          <w:rFonts w:hint="eastAsia" w:ascii="宋体" w:hAnsi="宋体" w:eastAsia="宋体" w:cs="宋体"/>
          <w:color w:val="000000"/>
          <w:spacing w:val="0"/>
          <w:sz w:val="24"/>
          <w:szCs w:val="24"/>
          <w:u w:val="single"/>
        </w:rPr>
      </w:pPr>
      <w:r>
        <w:rPr>
          <w:rFonts w:hint="eastAsia" w:ascii="宋体" w:hAnsi="宋体" w:eastAsia="宋体" w:cs="宋体"/>
          <w:color w:val="000000"/>
          <w:spacing w:val="0"/>
          <w:w w:val="100"/>
          <w:kern w:val="0"/>
          <w:position w:val="0"/>
          <w:sz w:val="24"/>
          <w:szCs w:val="24"/>
          <w:shd w:val="clear" w:color="auto" w:fill="auto"/>
          <w:lang w:val="en-US" w:eastAsia="zh-CN" w:bidi="ar"/>
        </w:rPr>
        <w:t>供应商（</w:t>
      </w:r>
      <w:r>
        <w:rPr>
          <w:rFonts w:hint="eastAsia" w:ascii="宋体" w:hAnsi="宋体" w:eastAsia="宋体" w:cs="宋体"/>
          <w:color w:val="auto"/>
          <w:sz w:val="24"/>
          <w:szCs w:val="24"/>
          <w:highlight w:val="none"/>
          <w:lang w:eastAsia="zh-CN"/>
        </w:rPr>
        <w:t>电子公章</w:t>
      </w:r>
      <w:r>
        <w:rPr>
          <w:rFonts w:hint="eastAsia" w:ascii="宋体" w:hAnsi="宋体" w:eastAsia="宋体" w:cs="宋体"/>
          <w:color w:val="000000"/>
          <w:spacing w:val="0"/>
          <w:w w:val="100"/>
          <w:kern w:val="0"/>
          <w:position w:val="0"/>
          <w:sz w:val="24"/>
          <w:szCs w:val="24"/>
          <w:shd w:val="clear" w:color="auto" w:fill="auto"/>
          <w:lang w:val="en-US" w:eastAsia="zh-CN" w:bidi="ar"/>
        </w:rPr>
        <w:t>）：</w:t>
      </w:r>
      <w:r>
        <w:rPr>
          <w:rFonts w:hint="eastAsia" w:ascii="宋体" w:hAnsi="宋体" w:eastAsia="宋体" w:cs="宋体"/>
          <w:color w:val="000000"/>
          <w:spacing w:val="0"/>
          <w:w w:val="100"/>
          <w:kern w:val="0"/>
          <w:position w:val="0"/>
          <w:sz w:val="24"/>
          <w:szCs w:val="24"/>
          <w:u w:val="single"/>
          <w:shd w:val="clear" w:color="auto" w:fill="auto"/>
          <w:lang w:val="en-US" w:eastAsia="zh-CN" w:bidi="ar"/>
        </w:rPr>
        <w:t xml:space="preserve">                         </w:t>
      </w:r>
    </w:p>
    <w:p w14:paraId="68D7A47C">
      <w:pPr>
        <w:keepNext w:val="0"/>
        <w:keepLines w:val="0"/>
        <w:widowControl w:val="0"/>
        <w:suppressLineNumbers w:val="0"/>
        <w:autoSpaceDE w:val="0"/>
        <w:autoSpaceDN/>
        <w:spacing w:before="0" w:beforeAutospacing="0" w:after="0" w:afterAutospacing="0" w:line="360" w:lineRule="auto"/>
        <w:ind w:left="0" w:right="0" w:firstLine="5520" w:firstLineChars="2300"/>
        <w:jc w:val="left"/>
        <w:rPr>
          <w:rFonts w:hint="eastAsia" w:ascii="宋体" w:hAnsi="宋体" w:eastAsia="宋体" w:cs="宋体"/>
          <w:color w:val="000000"/>
          <w:spacing w:val="0"/>
          <w:sz w:val="24"/>
          <w:szCs w:val="24"/>
        </w:rPr>
      </w:pPr>
      <w:r>
        <w:rPr>
          <w:rFonts w:hint="eastAsia" w:ascii="宋体" w:hAnsi="宋体" w:eastAsia="宋体" w:cs="宋体"/>
          <w:color w:val="000000"/>
          <w:spacing w:val="0"/>
          <w:w w:val="100"/>
          <w:kern w:val="0"/>
          <w:position w:val="0"/>
          <w:sz w:val="24"/>
          <w:szCs w:val="24"/>
          <w:u w:val="single"/>
          <w:shd w:val="clear" w:color="auto" w:fill="auto"/>
          <w:lang w:val="en-US" w:eastAsia="zh-CN" w:bidi="ar"/>
        </w:rPr>
        <w:t xml:space="preserve">     </w:t>
      </w:r>
      <w:r>
        <w:rPr>
          <w:rFonts w:hint="eastAsia" w:ascii="宋体" w:hAnsi="宋体" w:eastAsia="宋体" w:cs="宋体"/>
          <w:color w:val="000000"/>
          <w:spacing w:val="0"/>
          <w:w w:val="100"/>
          <w:kern w:val="0"/>
          <w:position w:val="0"/>
          <w:sz w:val="24"/>
          <w:szCs w:val="24"/>
          <w:shd w:val="clear" w:color="auto" w:fill="auto"/>
          <w:lang w:val="en-US" w:eastAsia="zh-CN" w:bidi="ar"/>
        </w:rPr>
        <w:t>年</w:t>
      </w:r>
      <w:r>
        <w:rPr>
          <w:rFonts w:hint="eastAsia" w:ascii="宋体" w:hAnsi="宋体" w:eastAsia="宋体" w:cs="宋体"/>
          <w:color w:val="000000"/>
          <w:spacing w:val="0"/>
          <w:w w:val="100"/>
          <w:kern w:val="0"/>
          <w:position w:val="0"/>
          <w:sz w:val="24"/>
          <w:szCs w:val="24"/>
          <w:u w:val="single"/>
          <w:shd w:val="clear" w:color="auto" w:fill="auto"/>
          <w:lang w:val="en-US" w:eastAsia="zh-CN" w:bidi="ar"/>
        </w:rPr>
        <w:t xml:space="preserve">    </w:t>
      </w:r>
      <w:r>
        <w:rPr>
          <w:rFonts w:hint="eastAsia" w:ascii="宋体" w:hAnsi="宋体" w:eastAsia="宋体" w:cs="宋体"/>
          <w:color w:val="000000"/>
          <w:spacing w:val="0"/>
          <w:w w:val="100"/>
          <w:kern w:val="0"/>
          <w:position w:val="0"/>
          <w:sz w:val="24"/>
          <w:szCs w:val="24"/>
          <w:shd w:val="clear" w:color="auto" w:fill="auto"/>
          <w:lang w:val="en-US" w:eastAsia="zh-CN" w:bidi="ar"/>
        </w:rPr>
        <w:t>月</w:t>
      </w:r>
      <w:r>
        <w:rPr>
          <w:rFonts w:hint="eastAsia" w:ascii="宋体" w:hAnsi="宋体" w:eastAsia="宋体" w:cs="宋体"/>
          <w:color w:val="000000"/>
          <w:spacing w:val="0"/>
          <w:w w:val="100"/>
          <w:kern w:val="0"/>
          <w:position w:val="0"/>
          <w:sz w:val="24"/>
          <w:szCs w:val="24"/>
          <w:u w:val="single"/>
          <w:shd w:val="clear" w:color="auto" w:fill="auto"/>
          <w:lang w:val="en-US" w:eastAsia="zh-CN" w:bidi="ar"/>
        </w:rPr>
        <w:t xml:space="preserve">     </w:t>
      </w:r>
      <w:r>
        <w:rPr>
          <w:rFonts w:hint="eastAsia" w:ascii="宋体" w:hAnsi="宋体" w:eastAsia="宋体" w:cs="宋体"/>
          <w:color w:val="000000"/>
          <w:spacing w:val="0"/>
          <w:w w:val="100"/>
          <w:kern w:val="0"/>
          <w:position w:val="0"/>
          <w:sz w:val="24"/>
          <w:szCs w:val="24"/>
          <w:shd w:val="clear" w:color="auto" w:fill="auto"/>
          <w:lang w:val="en-US" w:eastAsia="zh-CN" w:bidi="ar"/>
        </w:rPr>
        <w:t xml:space="preserve">日                 </w:t>
      </w:r>
    </w:p>
    <w:p w14:paraId="56D09C08">
      <w:pPr>
        <w:keepNext w:val="0"/>
        <w:keepLines w:val="0"/>
        <w:widowControl w:val="0"/>
        <w:suppressLineNumbers w:val="0"/>
        <w:autoSpaceDE w:val="0"/>
        <w:autoSpaceDN/>
        <w:spacing w:before="0" w:beforeAutospacing="0" w:after="0" w:afterAutospacing="0" w:line="360" w:lineRule="auto"/>
        <w:ind w:left="0" w:right="0" w:firstLine="480" w:firstLineChars="200"/>
        <w:jc w:val="left"/>
        <w:rPr>
          <w:rFonts w:hint="eastAsia" w:ascii="宋体" w:hAnsi="宋体" w:eastAsia="宋体" w:cs="宋体"/>
          <w:color w:val="000000"/>
          <w:spacing w:val="0"/>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注：1.从业人员、营业收入、资产总额填报上一年度数据，无上一年度数据的新成立企业可不填报。</w:t>
      </w:r>
    </w:p>
    <w:p w14:paraId="07D6B996">
      <w:pPr>
        <w:keepNext w:val="0"/>
        <w:keepLines w:val="0"/>
        <w:widowControl w:val="0"/>
        <w:suppressLineNumbers w:val="0"/>
        <w:autoSpaceDE w:val="0"/>
        <w:autoSpaceDN/>
        <w:spacing w:before="0" w:beforeAutospacing="0" w:after="0" w:afterAutospacing="0" w:line="360" w:lineRule="auto"/>
        <w:ind w:left="0" w:right="0" w:firstLine="480" w:firstLineChars="200"/>
        <w:jc w:val="left"/>
        <w:rPr>
          <w:rFonts w:hint="eastAsia" w:ascii="宋体" w:hAnsi="宋体" w:eastAsia="宋体" w:cs="宋体"/>
          <w:color w:val="000000"/>
          <w:spacing w:val="0"/>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2.供应商须核对《关于印发中小企业划型标准规定的通知》（工信部联企业〔2011〕300号）规定的中小企业划型标准，如实填写声明函。所声明的从业人员人数或营业收入金额不符合中小企业划型标准规定的，磋商小组将不予进行价格扣除。</w:t>
      </w:r>
    </w:p>
    <w:p w14:paraId="41B271F4">
      <w:pPr>
        <w:keepNext w:val="0"/>
        <w:keepLines w:val="0"/>
        <w:widowControl w:val="0"/>
        <w:suppressLineNumbers w:val="0"/>
        <w:autoSpaceDE w:val="0"/>
        <w:autoSpaceDN/>
        <w:spacing w:before="0" w:beforeAutospacing="0" w:after="0" w:afterAutospacing="0" w:line="360" w:lineRule="auto"/>
        <w:ind w:left="0" w:right="0" w:firstLine="480" w:firstLineChars="200"/>
        <w:jc w:val="left"/>
        <w:rPr>
          <w:rFonts w:hint="eastAsia" w:ascii="宋体" w:hAnsi="宋体" w:eastAsia="宋体" w:cs="宋体"/>
          <w:color w:val="000000"/>
          <w:spacing w:val="0"/>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3.供应商提供的货物既有中小企业制造货物，也有大型企业制造货物的，不享受中小企业扶持政策。</w:t>
      </w:r>
    </w:p>
    <w:p w14:paraId="26053022">
      <w:pPr>
        <w:keepNext w:val="0"/>
        <w:keepLines w:val="0"/>
        <w:widowControl w:val="0"/>
        <w:suppressLineNumbers w:val="0"/>
        <w:autoSpaceDE w:val="0"/>
        <w:autoSpaceDN/>
        <w:spacing w:before="0" w:beforeAutospacing="0" w:after="0" w:afterAutospacing="0" w:line="360" w:lineRule="auto"/>
        <w:ind w:left="0" w:right="0" w:firstLine="0"/>
        <w:jc w:val="left"/>
        <w:rPr>
          <w:rFonts w:hint="eastAsia" w:ascii="宋体" w:hAnsi="宋体" w:eastAsia="宋体" w:cs="宋体"/>
          <w:color w:val="000000"/>
          <w:spacing w:val="0"/>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 </w:t>
      </w:r>
      <w:r>
        <w:rPr>
          <w:rFonts w:hint="eastAsia" w:ascii="宋体" w:hAnsi="宋体" w:eastAsia="宋体" w:cs="宋体"/>
          <w:color w:val="000000"/>
          <w:spacing w:val="0"/>
          <w:w w:val="100"/>
          <w:kern w:val="0"/>
          <w:position w:val="0"/>
          <w:sz w:val="24"/>
          <w:szCs w:val="24"/>
          <w:shd w:val="clear" w:color="auto" w:fill="auto"/>
          <w:lang w:val="en-US" w:eastAsia="zh-CN" w:bidi="ar"/>
        </w:rPr>
        <w:tab/>
      </w:r>
    </w:p>
    <w:p w14:paraId="0CC9297C">
      <w:pPr>
        <w:keepNext w:val="0"/>
        <w:keepLines w:val="0"/>
        <w:widowControl w:val="0"/>
        <w:suppressLineNumbers w:val="0"/>
        <w:autoSpaceDE w:val="0"/>
        <w:autoSpaceDN/>
        <w:spacing w:before="0" w:beforeAutospacing="0" w:after="0" w:afterAutospacing="0" w:line="360" w:lineRule="auto"/>
        <w:ind w:left="0" w:right="0" w:firstLine="0"/>
        <w:jc w:val="left"/>
        <w:rPr>
          <w:rFonts w:hint="eastAsia" w:ascii="宋体" w:hAnsi="宋体" w:eastAsia="宋体" w:cs="宋体"/>
          <w:color w:val="000000"/>
          <w:spacing w:val="0"/>
          <w:w w:val="100"/>
          <w:kern w:val="0"/>
          <w:position w:val="0"/>
          <w:sz w:val="24"/>
          <w:szCs w:val="24"/>
          <w:shd w:val="clear" w:color="auto" w:fill="auto"/>
          <w:lang w:val="en-US" w:eastAsia="zh-CN" w:bidi="ar"/>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 </w:t>
      </w:r>
      <w:r>
        <w:rPr>
          <w:rFonts w:hint="eastAsia" w:ascii="宋体" w:hAnsi="宋体" w:eastAsia="宋体" w:cs="宋体"/>
          <w:color w:val="000000"/>
          <w:spacing w:val="0"/>
          <w:w w:val="100"/>
          <w:kern w:val="0"/>
          <w:position w:val="0"/>
          <w:sz w:val="24"/>
          <w:szCs w:val="24"/>
          <w:shd w:val="clear" w:color="auto" w:fill="auto"/>
          <w:lang w:val="en-US" w:eastAsia="zh-CN" w:bidi="ar"/>
        </w:rPr>
        <w:tab/>
      </w:r>
    </w:p>
    <w:p w14:paraId="20B47AB9">
      <w:pPr>
        <w:pStyle w:val="8"/>
        <w:rPr>
          <w:rFonts w:hint="eastAsia" w:ascii="宋体" w:hAnsi="宋体" w:eastAsia="宋体" w:cs="宋体"/>
          <w:color w:val="000000"/>
          <w:spacing w:val="0"/>
          <w:w w:val="100"/>
          <w:kern w:val="0"/>
          <w:position w:val="0"/>
          <w:sz w:val="24"/>
          <w:szCs w:val="24"/>
          <w:shd w:val="clear" w:color="auto" w:fill="auto"/>
          <w:lang w:val="en-US" w:eastAsia="zh-CN" w:bidi="ar"/>
        </w:rPr>
      </w:pPr>
    </w:p>
    <w:p w14:paraId="02685B3A">
      <w:pPr>
        <w:pStyle w:val="8"/>
        <w:rPr>
          <w:rFonts w:hint="eastAsia" w:ascii="宋体" w:hAnsi="宋体" w:eastAsia="宋体" w:cs="宋体"/>
          <w:color w:val="000000"/>
          <w:spacing w:val="0"/>
          <w:w w:val="100"/>
          <w:kern w:val="0"/>
          <w:position w:val="0"/>
          <w:sz w:val="24"/>
          <w:szCs w:val="24"/>
          <w:shd w:val="clear" w:color="auto" w:fill="auto"/>
          <w:lang w:val="en-US" w:eastAsia="zh-CN" w:bidi="ar"/>
        </w:rPr>
      </w:pPr>
    </w:p>
    <w:p w14:paraId="67A9A440">
      <w:pPr>
        <w:keepNext w:val="0"/>
        <w:keepLines w:val="0"/>
        <w:widowControl w:val="0"/>
        <w:suppressLineNumbers w:val="0"/>
        <w:autoSpaceDE w:val="0"/>
        <w:autoSpaceDN/>
        <w:spacing w:before="0" w:beforeAutospacing="0" w:after="0" w:afterAutospacing="0" w:line="360" w:lineRule="auto"/>
        <w:ind w:left="0" w:right="0" w:firstLine="0"/>
        <w:jc w:val="left"/>
        <w:rPr>
          <w:rFonts w:hint="eastAsia" w:ascii="宋体" w:hAnsi="宋体" w:eastAsia="宋体" w:cs="宋体"/>
          <w:color w:val="000000"/>
          <w:spacing w:val="0"/>
          <w:sz w:val="24"/>
          <w:szCs w:val="24"/>
        </w:rPr>
      </w:pPr>
    </w:p>
    <w:p w14:paraId="03059F34">
      <w:pPr>
        <w:bidi w:val="0"/>
        <w:jc w:val="center"/>
        <w:rPr>
          <w:rFonts w:hint="eastAsia"/>
          <w:b/>
          <w:bCs/>
          <w:sz w:val="28"/>
          <w:szCs w:val="28"/>
          <w:lang w:val="en-US" w:eastAsia="zh-CN"/>
        </w:rPr>
      </w:pPr>
    </w:p>
    <w:p w14:paraId="1681F680">
      <w:pPr>
        <w:bidi w:val="0"/>
        <w:jc w:val="center"/>
        <w:rPr>
          <w:rFonts w:hint="eastAsia"/>
          <w:b/>
          <w:bCs/>
          <w:sz w:val="28"/>
          <w:szCs w:val="28"/>
          <w:lang w:val="en-US" w:eastAsia="zh-CN"/>
        </w:rPr>
      </w:pPr>
      <w:r>
        <w:rPr>
          <w:rFonts w:hint="eastAsia"/>
          <w:b/>
          <w:bCs/>
          <w:sz w:val="28"/>
          <w:szCs w:val="28"/>
          <w:lang w:val="en-US" w:eastAsia="zh-CN"/>
        </w:rPr>
        <w:t>（五）监狱企业证明文件（若有）</w:t>
      </w:r>
    </w:p>
    <w:p w14:paraId="338E69F5">
      <w:pPr>
        <w:keepNext w:val="0"/>
        <w:keepLines w:val="0"/>
        <w:widowControl w:val="0"/>
        <w:suppressLineNumbers w:val="0"/>
        <w:autoSpaceDE w:val="0"/>
        <w:autoSpaceDN/>
        <w:spacing w:before="0" w:beforeAutospacing="0" w:after="0" w:afterAutospacing="0" w:line="360" w:lineRule="auto"/>
        <w:ind w:left="0" w:right="0" w:firstLine="480" w:firstLineChars="200"/>
        <w:jc w:val="left"/>
        <w:rPr>
          <w:rFonts w:hint="eastAsia" w:ascii="宋体" w:hAnsi="宋体" w:eastAsia="宋体" w:cs="宋体"/>
          <w:color w:val="000000"/>
          <w:spacing w:val="0"/>
          <w:w w:val="100"/>
          <w:kern w:val="0"/>
          <w:position w:val="0"/>
          <w:sz w:val="24"/>
          <w:szCs w:val="24"/>
          <w:shd w:val="clear" w:color="auto" w:fill="auto"/>
          <w:lang w:val="en-US" w:eastAsia="zh-CN" w:bidi="ar"/>
        </w:rPr>
      </w:pPr>
    </w:p>
    <w:p w14:paraId="00854ADC">
      <w:pPr>
        <w:keepNext w:val="0"/>
        <w:keepLines w:val="0"/>
        <w:widowControl w:val="0"/>
        <w:suppressLineNumbers w:val="0"/>
        <w:autoSpaceDE w:val="0"/>
        <w:autoSpaceDN/>
        <w:spacing w:before="0" w:beforeAutospacing="0" w:after="0" w:afterAutospacing="0" w:line="360" w:lineRule="auto"/>
        <w:ind w:left="0" w:right="0" w:firstLine="480" w:firstLineChars="200"/>
        <w:jc w:val="left"/>
        <w:rPr>
          <w:rFonts w:hint="eastAsia" w:ascii="宋体" w:hAnsi="宋体" w:eastAsia="宋体" w:cs="宋体"/>
          <w:color w:val="000000"/>
          <w:spacing w:val="0"/>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A7655EA">
      <w:pPr>
        <w:keepNext w:val="0"/>
        <w:keepLines w:val="0"/>
        <w:widowControl w:val="0"/>
        <w:suppressLineNumbers w:val="0"/>
        <w:autoSpaceDE w:val="0"/>
        <w:autoSpaceDN/>
        <w:spacing w:before="0" w:beforeAutospacing="0" w:after="0" w:afterAutospacing="0" w:line="360" w:lineRule="auto"/>
        <w:ind w:left="0" w:right="0" w:firstLine="480" w:firstLineChars="200"/>
        <w:jc w:val="left"/>
        <w:rPr>
          <w:rFonts w:hint="eastAsia" w:ascii="宋体" w:hAnsi="宋体" w:eastAsia="宋体" w:cs="宋体"/>
          <w:color w:val="000000"/>
          <w:spacing w:val="0"/>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监狱企业参加政府采购活动时，应当提供由省级以上监狱管理局、戒毒管理局（含新疆生产建设兵团）出具的属于监狱企业的证明文件。</w:t>
      </w:r>
    </w:p>
    <w:p w14:paraId="789F65AC">
      <w:pPr>
        <w:keepNext w:val="0"/>
        <w:keepLines w:val="0"/>
        <w:widowControl w:val="0"/>
        <w:suppressLineNumbers w:val="0"/>
        <w:autoSpaceDE w:val="0"/>
        <w:autoSpaceDN/>
        <w:spacing w:before="0" w:beforeAutospacing="0" w:after="0" w:afterAutospacing="0" w:line="360" w:lineRule="auto"/>
        <w:ind w:left="0" w:right="0" w:firstLine="480" w:firstLineChars="200"/>
        <w:jc w:val="left"/>
        <w:rPr>
          <w:rFonts w:hint="eastAsia" w:ascii="宋体" w:hAnsi="宋体" w:eastAsia="宋体" w:cs="宋体"/>
          <w:color w:val="000000"/>
          <w:spacing w:val="0"/>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监狱企业证明材料（若有）</w:t>
      </w:r>
    </w:p>
    <w:p w14:paraId="06383DEC">
      <w:pPr>
        <w:keepNext w:val="0"/>
        <w:keepLines w:val="0"/>
        <w:widowControl w:val="0"/>
        <w:suppressLineNumbers w:val="0"/>
        <w:autoSpaceDE w:val="0"/>
        <w:autoSpaceDN/>
        <w:spacing w:before="0" w:beforeAutospacing="0" w:after="0" w:afterAutospacing="0" w:line="360" w:lineRule="auto"/>
        <w:ind w:left="0" w:right="0" w:firstLine="0"/>
        <w:jc w:val="left"/>
        <w:rPr>
          <w:rFonts w:hint="eastAsia" w:ascii="宋体" w:hAnsi="宋体" w:eastAsia="宋体" w:cs="宋体"/>
          <w:color w:val="000000"/>
          <w:spacing w:val="0"/>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 </w:t>
      </w:r>
      <w:r>
        <w:rPr>
          <w:rFonts w:hint="eastAsia" w:ascii="宋体" w:hAnsi="宋体" w:eastAsia="宋体" w:cs="宋体"/>
          <w:color w:val="000000"/>
          <w:spacing w:val="0"/>
          <w:w w:val="100"/>
          <w:kern w:val="0"/>
          <w:position w:val="0"/>
          <w:sz w:val="24"/>
          <w:szCs w:val="24"/>
          <w:shd w:val="clear" w:color="auto" w:fill="auto"/>
          <w:lang w:val="en-US" w:eastAsia="zh-CN" w:bidi="ar"/>
        </w:rPr>
        <w:tab/>
      </w:r>
      <w:r>
        <w:rPr>
          <w:rFonts w:hint="eastAsia" w:ascii="宋体" w:hAnsi="宋体" w:eastAsia="宋体" w:cs="宋体"/>
          <w:color w:val="000000"/>
          <w:spacing w:val="0"/>
          <w:w w:val="100"/>
          <w:kern w:val="0"/>
          <w:position w:val="0"/>
          <w:sz w:val="24"/>
          <w:szCs w:val="24"/>
          <w:shd w:val="clear" w:color="auto" w:fill="auto"/>
          <w:lang w:val="en-US" w:eastAsia="zh-CN" w:bidi="ar"/>
        </w:rPr>
        <w:t xml:space="preserve">                     </w:t>
      </w:r>
    </w:p>
    <w:p w14:paraId="5BCA4CAB">
      <w:pPr>
        <w:keepNext w:val="0"/>
        <w:keepLines w:val="0"/>
        <w:widowControl w:val="0"/>
        <w:suppressLineNumbers w:val="0"/>
        <w:autoSpaceDE w:val="0"/>
        <w:autoSpaceDN/>
        <w:spacing w:before="0" w:beforeAutospacing="0" w:after="0" w:afterAutospacing="0" w:line="360" w:lineRule="auto"/>
        <w:ind w:left="0" w:right="0" w:firstLine="0"/>
        <w:jc w:val="left"/>
        <w:rPr>
          <w:rFonts w:hint="eastAsia" w:ascii="宋体" w:hAnsi="宋体" w:eastAsia="宋体" w:cs="宋体"/>
          <w:color w:val="000000"/>
          <w:spacing w:val="0"/>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 </w:t>
      </w:r>
    </w:p>
    <w:p w14:paraId="6AEFDA56">
      <w:pPr>
        <w:keepNext w:val="0"/>
        <w:keepLines w:val="0"/>
        <w:widowControl w:val="0"/>
        <w:suppressLineNumbers w:val="0"/>
        <w:autoSpaceDE w:val="0"/>
        <w:autoSpaceDN/>
        <w:spacing w:before="0" w:beforeAutospacing="0" w:after="0" w:afterAutospacing="0" w:line="360" w:lineRule="auto"/>
        <w:ind w:left="0" w:right="0" w:firstLine="3120" w:firstLineChars="1300"/>
        <w:jc w:val="left"/>
        <w:rPr>
          <w:rFonts w:hint="eastAsia" w:ascii="宋体" w:hAnsi="宋体" w:eastAsia="宋体" w:cs="宋体"/>
          <w:color w:val="000000"/>
          <w:spacing w:val="0"/>
          <w:sz w:val="24"/>
          <w:szCs w:val="24"/>
          <w:u w:val="single"/>
        </w:rPr>
      </w:pPr>
      <w:r>
        <w:rPr>
          <w:rFonts w:hint="eastAsia" w:ascii="宋体" w:hAnsi="宋体" w:eastAsia="宋体" w:cs="宋体"/>
          <w:color w:val="000000"/>
          <w:spacing w:val="0"/>
          <w:w w:val="100"/>
          <w:kern w:val="0"/>
          <w:position w:val="0"/>
          <w:sz w:val="24"/>
          <w:szCs w:val="24"/>
          <w:shd w:val="clear" w:color="auto" w:fill="auto"/>
          <w:lang w:val="en-US" w:eastAsia="zh-CN" w:bidi="ar"/>
        </w:rPr>
        <w:t>供应商（</w:t>
      </w:r>
      <w:r>
        <w:rPr>
          <w:rFonts w:hint="eastAsia" w:ascii="宋体" w:hAnsi="宋体" w:eastAsia="宋体" w:cs="宋体"/>
          <w:color w:val="auto"/>
          <w:sz w:val="24"/>
          <w:szCs w:val="24"/>
          <w:highlight w:val="none"/>
          <w:lang w:eastAsia="zh-CN"/>
        </w:rPr>
        <w:t>电子公章</w:t>
      </w:r>
      <w:r>
        <w:rPr>
          <w:rFonts w:hint="eastAsia" w:ascii="宋体" w:hAnsi="宋体" w:eastAsia="宋体" w:cs="宋体"/>
          <w:color w:val="000000"/>
          <w:spacing w:val="0"/>
          <w:w w:val="100"/>
          <w:kern w:val="0"/>
          <w:position w:val="0"/>
          <w:sz w:val="24"/>
          <w:szCs w:val="24"/>
          <w:shd w:val="clear" w:color="auto" w:fill="auto"/>
          <w:lang w:val="en-US" w:eastAsia="zh-CN" w:bidi="ar"/>
        </w:rPr>
        <w:t xml:space="preserve">）：  </w:t>
      </w:r>
      <w:r>
        <w:rPr>
          <w:rFonts w:hint="eastAsia" w:ascii="宋体" w:hAnsi="宋体" w:eastAsia="宋体" w:cs="宋体"/>
          <w:color w:val="000000"/>
          <w:spacing w:val="0"/>
          <w:w w:val="100"/>
          <w:kern w:val="0"/>
          <w:position w:val="0"/>
          <w:sz w:val="24"/>
          <w:szCs w:val="24"/>
          <w:u w:val="single"/>
          <w:shd w:val="clear" w:color="auto" w:fill="auto"/>
          <w:lang w:val="en-US" w:eastAsia="zh-CN" w:bidi="ar"/>
        </w:rPr>
        <w:t xml:space="preserve">                       </w:t>
      </w:r>
    </w:p>
    <w:p w14:paraId="11CD7B64">
      <w:pPr>
        <w:keepNext w:val="0"/>
        <w:keepLines w:val="0"/>
        <w:widowControl w:val="0"/>
        <w:suppressLineNumbers w:val="0"/>
        <w:autoSpaceDE w:val="0"/>
        <w:autoSpaceDN/>
        <w:spacing w:before="0" w:beforeAutospacing="0" w:after="0" w:afterAutospacing="0" w:line="360" w:lineRule="auto"/>
        <w:ind w:left="0" w:right="0" w:firstLine="0"/>
        <w:jc w:val="left"/>
        <w:rPr>
          <w:rFonts w:hint="eastAsia" w:ascii="宋体" w:hAnsi="宋体" w:eastAsia="宋体" w:cs="宋体"/>
          <w:b/>
          <w:bCs/>
          <w:color w:val="000000"/>
          <w:spacing w:val="0"/>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                                                  </w:t>
      </w:r>
      <w:r>
        <w:rPr>
          <w:rFonts w:hint="eastAsia" w:ascii="宋体" w:hAnsi="宋体" w:eastAsia="宋体" w:cs="宋体"/>
          <w:color w:val="000000"/>
          <w:spacing w:val="0"/>
          <w:w w:val="100"/>
          <w:kern w:val="0"/>
          <w:position w:val="0"/>
          <w:sz w:val="24"/>
          <w:szCs w:val="24"/>
          <w:u w:val="single"/>
          <w:shd w:val="clear" w:color="auto" w:fill="auto"/>
          <w:lang w:val="en-US" w:eastAsia="zh-CN" w:bidi="ar"/>
        </w:rPr>
        <w:t xml:space="preserve">     </w:t>
      </w:r>
      <w:r>
        <w:rPr>
          <w:rFonts w:hint="eastAsia" w:ascii="宋体" w:hAnsi="宋体" w:eastAsia="宋体" w:cs="宋体"/>
          <w:color w:val="000000"/>
          <w:spacing w:val="0"/>
          <w:w w:val="100"/>
          <w:kern w:val="0"/>
          <w:position w:val="0"/>
          <w:sz w:val="24"/>
          <w:szCs w:val="24"/>
          <w:shd w:val="clear" w:color="auto" w:fill="auto"/>
          <w:lang w:val="en-US" w:eastAsia="zh-CN" w:bidi="ar"/>
        </w:rPr>
        <w:t>年</w:t>
      </w:r>
      <w:r>
        <w:rPr>
          <w:rFonts w:hint="eastAsia" w:ascii="宋体" w:hAnsi="宋体" w:eastAsia="宋体" w:cs="宋体"/>
          <w:color w:val="000000"/>
          <w:spacing w:val="0"/>
          <w:w w:val="100"/>
          <w:kern w:val="0"/>
          <w:position w:val="0"/>
          <w:sz w:val="24"/>
          <w:szCs w:val="24"/>
          <w:u w:val="single"/>
          <w:shd w:val="clear" w:color="auto" w:fill="auto"/>
          <w:lang w:val="en-US" w:eastAsia="zh-CN" w:bidi="ar"/>
        </w:rPr>
        <w:t xml:space="preserve">    </w:t>
      </w:r>
      <w:r>
        <w:rPr>
          <w:rFonts w:hint="eastAsia" w:ascii="宋体" w:hAnsi="宋体" w:eastAsia="宋体" w:cs="宋体"/>
          <w:color w:val="000000"/>
          <w:spacing w:val="0"/>
          <w:w w:val="100"/>
          <w:kern w:val="0"/>
          <w:position w:val="0"/>
          <w:sz w:val="24"/>
          <w:szCs w:val="24"/>
          <w:shd w:val="clear" w:color="auto" w:fill="auto"/>
          <w:lang w:val="en-US" w:eastAsia="zh-CN" w:bidi="ar"/>
        </w:rPr>
        <w:t>月</w:t>
      </w:r>
      <w:r>
        <w:rPr>
          <w:rFonts w:hint="eastAsia" w:ascii="宋体" w:hAnsi="宋体" w:eastAsia="宋体" w:cs="宋体"/>
          <w:color w:val="000000"/>
          <w:spacing w:val="0"/>
          <w:w w:val="100"/>
          <w:kern w:val="0"/>
          <w:position w:val="0"/>
          <w:sz w:val="24"/>
          <w:szCs w:val="24"/>
          <w:u w:val="single"/>
          <w:shd w:val="clear" w:color="auto" w:fill="auto"/>
          <w:lang w:val="en-US" w:eastAsia="zh-CN" w:bidi="ar"/>
        </w:rPr>
        <w:t xml:space="preserve">    </w:t>
      </w:r>
      <w:r>
        <w:rPr>
          <w:rFonts w:hint="eastAsia" w:ascii="宋体" w:hAnsi="宋体" w:eastAsia="宋体" w:cs="宋体"/>
          <w:color w:val="000000"/>
          <w:spacing w:val="0"/>
          <w:w w:val="100"/>
          <w:kern w:val="0"/>
          <w:position w:val="0"/>
          <w:sz w:val="24"/>
          <w:szCs w:val="24"/>
          <w:shd w:val="clear" w:color="auto" w:fill="auto"/>
          <w:lang w:val="en-US" w:eastAsia="zh-CN" w:bidi="ar"/>
        </w:rPr>
        <w:t>日</w:t>
      </w:r>
    </w:p>
    <w:p w14:paraId="6905571C">
      <w:pPr>
        <w:keepNext w:val="0"/>
        <w:keepLines w:val="0"/>
        <w:widowControl w:val="0"/>
        <w:suppressLineNumbers w:val="0"/>
        <w:autoSpaceDE w:val="0"/>
        <w:autoSpaceDN/>
        <w:spacing w:before="0" w:beforeAutospacing="0" w:after="0" w:afterAutospacing="0" w:line="360" w:lineRule="auto"/>
        <w:ind w:left="0" w:right="0" w:firstLine="0"/>
        <w:jc w:val="left"/>
        <w:rPr>
          <w:rFonts w:hint="eastAsia" w:ascii="宋体" w:hAnsi="宋体" w:eastAsia="宋体" w:cs="宋体"/>
          <w:color w:val="000000"/>
          <w:spacing w:val="0"/>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 </w:t>
      </w:r>
    </w:p>
    <w:p w14:paraId="38F3984E">
      <w:pPr>
        <w:keepNext w:val="0"/>
        <w:keepLines w:val="0"/>
        <w:widowControl w:val="0"/>
        <w:suppressLineNumbers w:val="0"/>
        <w:autoSpaceDE w:val="0"/>
        <w:autoSpaceDN/>
        <w:spacing w:before="0" w:beforeAutospacing="0" w:after="0" w:afterAutospacing="0" w:line="360" w:lineRule="auto"/>
        <w:ind w:left="0" w:right="0" w:firstLine="0"/>
        <w:jc w:val="left"/>
        <w:rPr>
          <w:rFonts w:hint="eastAsia" w:ascii="宋体" w:hAnsi="宋体" w:eastAsia="宋体" w:cs="宋体"/>
          <w:color w:val="000000"/>
          <w:spacing w:val="0"/>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 </w:t>
      </w:r>
    </w:p>
    <w:p w14:paraId="07C4585C">
      <w:pPr>
        <w:keepNext w:val="0"/>
        <w:keepLines w:val="0"/>
        <w:widowControl w:val="0"/>
        <w:suppressLineNumbers w:val="0"/>
        <w:autoSpaceDE w:val="0"/>
        <w:autoSpaceDN/>
        <w:spacing w:before="0" w:beforeAutospacing="0" w:after="0" w:afterAutospacing="0" w:line="360" w:lineRule="auto"/>
        <w:ind w:left="0" w:right="0" w:firstLine="0"/>
        <w:jc w:val="left"/>
        <w:rPr>
          <w:rFonts w:hint="eastAsia" w:ascii="宋体" w:hAnsi="宋体" w:eastAsia="宋体" w:cs="宋体"/>
          <w:color w:val="000000"/>
          <w:spacing w:val="0"/>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 </w:t>
      </w:r>
    </w:p>
    <w:p w14:paraId="612ADAA4">
      <w:pPr>
        <w:keepNext w:val="0"/>
        <w:keepLines w:val="0"/>
        <w:widowControl w:val="0"/>
        <w:suppressLineNumbers w:val="0"/>
        <w:autoSpaceDE w:val="0"/>
        <w:autoSpaceDN/>
        <w:spacing w:before="0" w:beforeAutospacing="0" w:after="0" w:afterAutospacing="0" w:line="360" w:lineRule="auto"/>
        <w:ind w:left="0" w:right="0" w:firstLine="0"/>
        <w:jc w:val="left"/>
        <w:rPr>
          <w:rFonts w:hint="eastAsia" w:ascii="宋体" w:hAnsi="宋体" w:eastAsia="宋体" w:cs="宋体"/>
          <w:color w:val="000000"/>
          <w:spacing w:val="0"/>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 </w:t>
      </w:r>
    </w:p>
    <w:p w14:paraId="2CA26E15">
      <w:pPr>
        <w:keepNext w:val="0"/>
        <w:keepLines w:val="0"/>
        <w:widowControl w:val="0"/>
        <w:suppressLineNumbers w:val="0"/>
        <w:autoSpaceDE w:val="0"/>
        <w:autoSpaceDN/>
        <w:spacing w:before="0" w:beforeAutospacing="0" w:after="0" w:afterAutospacing="0" w:line="360" w:lineRule="auto"/>
        <w:ind w:left="0" w:right="0" w:firstLine="0"/>
        <w:jc w:val="left"/>
        <w:rPr>
          <w:rFonts w:hint="eastAsia" w:ascii="宋体" w:hAnsi="宋体" w:eastAsia="宋体" w:cs="宋体"/>
          <w:color w:val="000000"/>
          <w:spacing w:val="0"/>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 </w:t>
      </w:r>
    </w:p>
    <w:p w14:paraId="177D5BF5">
      <w:pPr>
        <w:keepNext w:val="0"/>
        <w:keepLines w:val="0"/>
        <w:widowControl w:val="0"/>
        <w:suppressLineNumbers w:val="0"/>
        <w:autoSpaceDE w:val="0"/>
        <w:autoSpaceDN/>
        <w:spacing w:before="0" w:beforeAutospacing="0" w:after="0" w:afterAutospacing="0" w:line="360" w:lineRule="auto"/>
        <w:ind w:left="0" w:right="0" w:firstLine="0"/>
        <w:jc w:val="left"/>
        <w:rPr>
          <w:rFonts w:hint="eastAsia" w:ascii="宋体" w:hAnsi="宋体" w:eastAsia="宋体" w:cs="宋体"/>
          <w:color w:val="000000"/>
          <w:spacing w:val="0"/>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 </w:t>
      </w:r>
    </w:p>
    <w:p w14:paraId="75DEF3B8">
      <w:pPr>
        <w:keepNext w:val="0"/>
        <w:keepLines w:val="0"/>
        <w:widowControl w:val="0"/>
        <w:suppressLineNumbers w:val="0"/>
        <w:autoSpaceDE w:val="0"/>
        <w:autoSpaceDN/>
        <w:spacing w:before="0" w:beforeAutospacing="0" w:after="0" w:afterAutospacing="0" w:line="360" w:lineRule="auto"/>
        <w:ind w:left="0" w:right="0" w:firstLine="0"/>
        <w:jc w:val="left"/>
        <w:rPr>
          <w:rFonts w:hint="eastAsia" w:ascii="宋体" w:hAnsi="宋体" w:eastAsia="宋体" w:cs="宋体"/>
          <w:color w:val="000000"/>
          <w:spacing w:val="0"/>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 </w:t>
      </w:r>
    </w:p>
    <w:p w14:paraId="01B634C2">
      <w:pPr>
        <w:keepNext w:val="0"/>
        <w:keepLines w:val="0"/>
        <w:widowControl w:val="0"/>
        <w:suppressLineNumbers w:val="0"/>
        <w:autoSpaceDE w:val="0"/>
        <w:autoSpaceDN/>
        <w:spacing w:before="0" w:beforeAutospacing="0" w:after="0" w:afterAutospacing="0" w:line="360" w:lineRule="auto"/>
        <w:ind w:left="0" w:right="0" w:firstLine="0"/>
        <w:jc w:val="left"/>
        <w:rPr>
          <w:rFonts w:hint="eastAsia" w:ascii="宋体" w:hAnsi="宋体" w:eastAsia="宋体" w:cs="宋体"/>
          <w:color w:val="000000"/>
          <w:spacing w:val="0"/>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 </w:t>
      </w:r>
    </w:p>
    <w:p w14:paraId="0CEFCBB1">
      <w:pPr>
        <w:keepNext w:val="0"/>
        <w:keepLines w:val="0"/>
        <w:widowControl w:val="0"/>
        <w:suppressLineNumbers w:val="0"/>
        <w:autoSpaceDE w:val="0"/>
        <w:autoSpaceDN/>
        <w:spacing w:before="0" w:beforeAutospacing="0" w:after="0" w:afterAutospacing="0" w:line="360" w:lineRule="auto"/>
        <w:ind w:left="0" w:right="0" w:firstLine="0"/>
        <w:jc w:val="left"/>
        <w:rPr>
          <w:rFonts w:hint="eastAsia" w:ascii="宋体" w:hAnsi="宋体" w:eastAsia="宋体" w:cs="宋体"/>
          <w:color w:val="000000"/>
          <w:spacing w:val="0"/>
          <w:w w:val="100"/>
          <w:kern w:val="0"/>
          <w:position w:val="0"/>
          <w:sz w:val="24"/>
          <w:szCs w:val="24"/>
          <w:shd w:val="clear" w:color="auto" w:fill="auto"/>
          <w:lang w:val="en-US" w:eastAsia="zh-CN" w:bidi="ar"/>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 </w:t>
      </w:r>
    </w:p>
    <w:p w14:paraId="671ADFE3">
      <w:pPr>
        <w:pStyle w:val="8"/>
        <w:rPr>
          <w:rFonts w:hint="eastAsia" w:ascii="宋体" w:hAnsi="宋体" w:eastAsia="宋体" w:cs="宋体"/>
          <w:color w:val="000000"/>
          <w:spacing w:val="0"/>
          <w:w w:val="100"/>
          <w:kern w:val="0"/>
          <w:position w:val="0"/>
          <w:sz w:val="24"/>
          <w:szCs w:val="24"/>
          <w:shd w:val="clear" w:color="auto" w:fill="auto"/>
          <w:lang w:val="en-US" w:eastAsia="zh-CN" w:bidi="ar"/>
        </w:rPr>
      </w:pPr>
    </w:p>
    <w:p w14:paraId="5D11DAD9">
      <w:pPr>
        <w:pStyle w:val="8"/>
        <w:rPr>
          <w:rFonts w:hint="eastAsia" w:ascii="宋体" w:hAnsi="宋体" w:eastAsia="宋体" w:cs="宋体"/>
          <w:color w:val="000000"/>
          <w:spacing w:val="0"/>
          <w:w w:val="100"/>
          <w:kern w:val="0"/>
          <w:position w:val="0"/>
          <w:sz w:val="24"/>
          <w:szCs w:val="24"/>
          <w:shd w:val="clear" w:color="auto" w:fill="auto"/>
          <w:lang w:val="en-US" w:eastAsia="zh-CN" w:bidi="ar"/>
        </w:rPr>
      </w:pPr>
    </w:p>
    <w:p w14:paraId="5AA1F4F9">
      <w:pPr>
        <w:pStyle w:val="8"/>
        <w:rPr>
          <w:rFonts w:hint="eastAsia" w:ascii="宋体" w:hAnsi="宋体" w:eastAsia="宋体" w:cs="宋体"/>
          <w:color w:val="000000"/>
          <w:spacing w:val="0"/>
          <w:w w:val="100"/>
          <w:kern w:val="0"/>
          <w:position w:val="0"/>
          <w:sz w:val="24"/>
          <w:szCs w:val="24"/>
          <w:shd w:val="clear" w:color="auto" w:fill="auto"/>
          <w:lang w:val="en-US" w:eastAsia="zh-CN" w:bidi="ar"/>
        </w:rPr>
      </w:pPr>
    </w:p>
    <w:p w14:paraId="473C7369">
      <w:pPr>
        <w:keepNext w:val="0"/>
        <w:keepLines w:val="0"/>
        <w:widowControl w:val="0"/>
        <w:suppressLineNumbers w:val="0"/>
        <w:autoSpaceDE w:val="0"/>
        <w:autoSpaceDN/>
        <w:spacing w:before="0" w:beforeAutospacing="0" w:after="0" w:afterAutospacing="0" w:line="360" w:lineRule="auto"/>
        <w:ind w:left="0" w:right="0" w:firstLine="0"/>
        <w:jc w:val="left"/>
        <w:rPr>
          <w:rFonts w:hint="eastAsia" w:ascii="宋体" w:hAnsi="宋体" w:eastAsia="宋体" w:cs="宋体"/>
          <w:color w:val="000000"/>
          <w:spacing w:val="0"/>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 </w:t>
      </w:r>
    </w:p>
    <w:p w14:paraId="6F77F259">
      <w:pPr>
        <w:keepNext w:val="0"/>
        <w:keepLines w:val="0"/>
        <w:widowControl w:val="0"/>
        <w:suppressLineNumbers w:val="0"/>
        <w:autoSpaceDE w:val="0"/>
        <w:autoSpaceDN/>
        <w:spacing w:before="0" w:beforeAutospacing="0" w:after="0" w:afterAutospacing="0" w:line="360" w:lineRule="auto"/>
        <w:ind w:left="0" w:right="0" w:firstLine="0"/>
        <w:jc w:val="left"/>
        <w:rPr>
          <w:rFonts w:hint="eastAsia" w:ascii="宋体" w:hAnsi="宋体" w:eastAsia="宋体" w:cs="宋体"/>
          <w:color w:val="000000"/>
          <w:spacing w:val="0"/>
          <w:w w:val="100"/>
          <w:kern w:val="0"/>
          <w:position w:val="0"/>
          <w:sz w:val="24"/>
          <w:szCs w:val="24"/>
          <w:shd w:val="clear" w:color="auto" w:fill="auto"/>
          <w:lang w:val="en-US" w:eastAsia="zh-CN" w:bidi="ar"/>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 </w:t>
      </w:r>
    </w:p>
    <w:p w14:paraId="70C79285">
      <w:pPr>
        <w:bidi w:val="0"/>
        <w:rPr>
          <w:rFonts w:hint="eastAsia"/>
          <w:lang w:val="en-US" w:eastAsia="zh-CN"/>
        </w:rPr>
      </w:pPr>
    </w:p>
    <w:p w14:paraId="1D40E994">
      <w:pPr>
        <w:keepNext w:val="0"/>
        <w:keepLines w:val="0"/>
        <w:widowControl w:val="0"/>
        <w:suppressLineNumbers w:val="0"/>
        <w:autoSpaceDE w:val="0"/>
        <w:autoSpaceDN/>
        <w:spacing w:before="0" w:beforeAutospacing="0" w:after="0" w:afterAutospacing="0" w:line="360" w:lineRule="auto"/>
        <w:ind w:left="0" w:right="0" w:firstLine="0"/>
        <w:jc w:val="left"/>
        <w:rPr>
          <w:rFonts w:hint="eastAsia" w:ascii="宋体" w:hAnsi="宋体" w:eastAsia="宋体" w:cs="宋体"/>
          <w:color w:val="000000"/>
          <w:spacing w:val="0"/>
          <w:w w:val="100"/>
          <w:kern w:val="0"/>
          <w:position w:val="0"/>
          <w:sz w:val="24"/>
          <w:szCs w:val="24"/>
          <w:shd w:val="clear" w:color="auto" w:fill="auto"/>
          <w:lang w:val="en-US" w:eastAsia="zh-CN" w:bidi="ar"/>
        </w:rPr>
      </w:pPr>
    </w:p>
    <w:p w14:paraId="561833CF">
      <w:pPr>
        <w:pStyle w:val="8"/>
        <w:rPr>
          <w:rFonts w:hint="eastAsia" w:ascii="宋体" w:hAnsi="宋体" w:eastAsia="宋体" w:cs="宋体"/>
          <w:color w:val="000000"/>
          <w:spacing w:val="0"/>
          <w:w w:val="100"/>
          <w:kern w:val="0"/>
          <w:position w:val="0"/>
          <w:sz w:val="24"/>
          <w:szCs w:val="24"/>
          <w:shd w:val="clear" w:color="auto" w:fill="auto"/>
          <w:lang w:val="en-US" w:eastAsia="zh-CN" w:bidi="ar"/>
        </w:rPr>
      </w:pPr>
    </w:p>
    <w:p w14:paraId="218741ED">
      <w:pPr>
        <w:pStyle w:val="8"/>
        <w:rPr>
          <w:rFonts w:hint="eastAsia" w:ascii="宋体" w:hAnsi="宋体" w:eastAsia="宋体" w:cs="宋体"/>
          <w:color w:val="000000"/>
          <w:spacing w:val="0"/>
          <w:w w:val="100"/>
          <w:kern w:val="0"/>
          <w:position w:val="0"/>
          <w:sz w:val="24"/>
          <w:szCs w:val="24"/>
          <w:shd w:val="clear" w:color="auto" w:fill="auto"/>
          <w:lang w:val="en-US" w:eastAsia="zh-CN" w:bidi="ar"/>
        </w:rPr>
      </w:pPr>
    </w:p>
    <w:p w14:paraId="5D435C25">
      <w:pPr>
        <w:keepNext w:val="0"/>
        <w:keepLines w:val="0"/>
        <w:widowControl w:val="0"/>
        <w:suppressLineNumbers w:val="0"/>
        <w:autoSpaceDE w:val="0"/>
        <w:autoSpaceDN/>
        <w:spacing w:before="0" w:beforeAutospacing="0" w:after="0" w:afterAutospacing="0" w:line="360" w:lineRule="auto"/>
        <w:ind w:left="0" w:right="0" w:firstLine="0"/>
        <w:jc w:val="left"/>
        <w:rPr>
          <w:rFonts w:hint="eastAsia" w:ascii="宋体" w:hAnsi="宋体" w:eastAsia="宋体" w:cs="宋体"/>
          <w:b/>
          <w:bCs/>
          <w:color w:val="000000"/>
          <w:spacing w:val="0"/>
          <w:w w:val="100"/>
          <w:kern w:val="0"/>
          <w:position w:val="0"/>
          <w:sz w:val="24"/>
          <w:szCs w:val="24"/>
          <w:shd w:val="clear" w:color="auto" w:fill="auto"/>
          <w:lang w:val="en-US" w:eastAsia="zh-CN" w:bidi="ar"/>
        </w:rPr>
      </w:pPr>
    </w:p>
    <w:p w14:paraId="1F3C2DEC">
      <w:pPr>
        <w:bidi w:val="0"/>
        <w:jc w:val="center"/>
        <w:rPr>
          <w:rFonts w:hint="eastAsia"/>
          <w:b/>
          <w:bCs/>
          <w:sz w:val="28"/>
          <w:szCs w:val="28"/>
          <w:lang w:val="en-US" w:eastAsia="zh-CN"/>
        </w:rPr>
      </w:pPr>
      <w:r>
        <w:rPr>
          <w:rFonts w:hint="eastAsia"/>
          <w:b/>
          <w:bCs/>
          <w:sz w:val="28"/>
          <w:szCs w:val="28"/>
          <w:lang w:val="en-US" w:eastAsia="zh-CN"/>
        </w:rPr>
        <w:t>（六）残疾人福利性单位声明函（若有）</w:t>
      </w:r>
    </w:p>
    <w:p w14:paraId="2CECAF63">
      <w:pPr>
        <w:keepNext w:val="0"/>
        <w:keepLines w:val="0"/>
        <w:widowControl w:val="0"/>
        <w:suppressLineNumbers w:val="0"/>
        <w:autoSpaceDE w:val="0"/>
        <w:autoSpaceDN/>
        <w:spacing w:before="0" w:beforeAutospacing="0" w:after="0" w:afterAutospacing="0" w:line="360" w:lineRule="auto"/>
        <w:ind w:left="0" w:right="0" w:firstLine="480" w:firstLineChars="200"/>
        <w:jc w:val="left"/>
        <w:rPr>
          <w:rFonts w:hint="eastAsia" w:ascii="宋体" w:hAnsi="宋体" w:eastAsia="宋体" w:cs="宋体"/>
          <w:color w:val="000000"/>
          <w:spacing w:val="0"/>
          <w:w w:val="100"/>
          <w:kern w:val="0"/>
          <w:position w:val="0"/>
          <w:sz w:val="24"/>
          <w:szCs w:val="24"/>
          <w:shd w:val="clear" w:color="auto" w:fill="auto"/>
          <w:lang w:val="en-US" w:eastAsia="zh-CN" w:bidi="ar"/>
        </w:rPr>
      </w:pPr>
    </w:p>
    <w:p w14:paraId="79C790DE">
      <w:pPr>
        <w:keepNext w:val="0"/>
        <w:keepLines w:val="0"/>
        <w:widowControl w:val="0"/>
        <w:suppressLineNumbers w:val="0"/>
        <w:autoSpaceDE w:val="0"/>
        <w:autoSpaceDN/>
        <w:spacing w:before="0" w:beforeAutospacing="0" w:after="0" w:afterAutospacing="0" w:line="360" w:lineRule="auto"/>
        <w:ind w:left="0" w:right="0" w:firstLine="480" w:firstLineChars="200"/>
        <w:jc w:val="left"/>
        <w:rPr>
          <w:rFonts w:hint="eastAsia" w:ascii="宋体" w:hAnsi="宋体" w:eastAsia="宋体" w:cs="宋体"/>
          <w:color w:val="000000"/>
          <w:spacing w:val="0"/>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6E5D475">
      <w:pPr>
        <w:keepNext w:val="0"/>
        <w:keepLines w:val="0"/>
        <w:widowControl w:val="0"/>
        <w:suppressLineNumbers w:val="0"/>
        <w:autoSpaceDE w:val="0"/>
        <w:autoSpaceDN/>
        <w:spacing w:before="0" w:beforeAutospacing="0" w:after="0" w:afterAutospacing="0" w:line="360" w:lineRule="auto"/>
        <w:ind w:left="0" w:right="0" w:firstLine="480" w:firstLineChars="200"/>
        <w:jc w:val="left"/>
        <w:rPr>
          <w:rFonts w:hint="eastAsia" w:ascii="宋体" w:hAnsi="宋体" w:eastAsia="宋体" w:cs="宋体"/>
          <w:color w:val="000000"/>
          <w:spacing w:val="0"/>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本单位对上述声明的真实性负责。如有虚假，将依法承担相应责任。</w:t>
      </w:r>
    </w:p>
    <w:p w14:paraId="29750A9C">
      <w:pPr>
        <w:keepNext w:val="0"/>
        <w:keepLines w:val="0"/>
        <w:widowControl w:val="0"/>
        <w:suppressLineNumbers w:val="0"/>
        <w:autoSpaceDE w:val="0"/>
        <w:autoSpaceDN/>
        <w:spacing w:before="0" w:beforeAutospacing="0" w:after="0" w:afterAutospacing="0" w:line="360" w:lineRule="auto"/>
        <w:ind w:left="0" w:right="0" w:firstLine="0"/>
        <w:jc w:val="left"/>
        <w:rPr>
          <w:rFonts w:hint="eastAsia" w:ascii="宋体" w:hAnsi="宋体" w:eastAsia="宋体" w:cs="宋体"/>
          <w:color w:val="000000"/>
          <w:spacing w:val="0"/>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 </w:t>
      </w:r>
    </w:p>
    <w:p w14:paraId="43231114">
      <w:pPr>
        <w:keepNext w:val="0"/>
        <w:keepLines w:val="0"/>
        <w:widowControl w:val="0"/>
        <w:suppressLineNumbers w:val="0"/>
        <w:autoSpaceDE w:val="0"/>
        <w:autoSpaceDN/>
        <w:spacing w:before="0" w:beforeAutospacing="0" w:after="0" w:afterAutospacing="0" w:line="360" w:lineRule="auto"/>
        <w:ind w:left="0" w:right="0" w:firstLine="0"/>
        <w:jc w:val="left"/>
        <w:rPr>
          <w:rFonts w:hint="eastAsia" w:ascii="宋体" w:hAnsi="宋体" w:eastAsia="宋体" w:cs="宋体"/>
          <w:color w:val="000000"/>
          <w:spacing w:val="0"/>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 </w:t>
      </w:r>
    </w:p>
    <w:p w14:paraId="2DD2B0BE">
      <w:pPr>
        <w:keepNext w:val="0"/>
        <w:keepLines w:val="0"/>
        <w:widowControl w:val="0"/>
        <w:suppressLineNumbers w:val="0"/>
        <w:autoSpaceDE w:val="0"/>
        <w:autoSpaceDN/>
        <w:spacing w:before="0" w:beforeAutospacing="0" w:after="0" w:afterAutospacing="0" w:line="360" w:lineRule="auto"/>
        <w:ind w:left="0" w:right="0" w:firstLine="0"/>
        <w:jc w:val="left"/>
        <w:rPr>
          <w:rFonts w:hint="eastAsia" w:ascii="宋体" w:hAnsi="宋体" w:eastAsia="宋体" w:cs="宋体"/>
          <w:color w:val="000000"/>
          <w:spacing w:val="0"/>
          <w:sz w:val="24"/>
          <w:szCs w:val="24"/>
          <w:u w:val="single"/>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                             供应商（</w:t>
      </w:r>
      <w:r>
        <w:rPr>
          <w:rFonts w:hint="eastAsia" w:ascii="宋体" w:hAnsi="宋体" w:eastAsia="宋体" w:cs="宋体"/>
          <w:color w:val="auto"/>
          <w:sz w:val="24"/>
          <w:szCs w:val="24"/>
          <w:highlight w:val="none"/>
          <w:lang w:eastAsia="zh-CN"/>
        </w:rPr>
        <w:t>电子公章</w:t>
      </w:r>
      <w:r>
        <w:rPr>
          <w:rFonts w:hint="eastAsia" w:ascii="宋体" w:hAnsi="宋体" w:eastAsia="宋体" w:cs="宋体"/>
          <w:color w:val="000000"/>
          <w:spacing w:val="0"/>
          <w:w w:val="100"/>
          <w:kern w:val="0"/>
          <w:position w:val="0"/>
          <w:sz w:val="24"/>
          <w:szCs w:val="24"/>
          <w:shd w:val="clear" w:color="auto" w:fill="auto"/>
          <w:lang w:val="en-US" w:eastAsia="zh-CN" w:bidi="ar"/>
        </w:rPr>
        <w:t xml:space="preserve">）： </w:t>
      </w:r>
      <w:r>
        <w:rPr>
          <w:rFonts w:hint="eastAsia" w:ascii="宋体" w:hAnsi="宋体" w:eastAsia="宋体" w:cs="宋体"/>
          <w:color w:val="000000"/>
          <w:spacing w:val="0"/>
          <w:w w:val="100"/>
          <w:kern w:val="0"/>
          <w:position w:val="0"/>
          <w:sz w:val="24"/>
          <w:szCs w:val="24"/>
          <w:u w:val="single"/>
          <w:shd w:val="clear" w:color="auto" w:fill="auto"/>
          <w:lang w:val="en-US" w:eastAsia="zh-CN" w:bidi="ar"/>
        </w:rPr>
        <w:t xml:space="preserve">                        </w:t>
      </w:r>
    </w:p>
    <w:p w14:paraId="098C13B4">
      <w:pPr>
        <w:keepNext w:val="0"/>
        <w:keepLines w:val="0"/>
        <w:widowControl w:val="0"/>
        <w:suppressLineNumbers w:val="0"/>
        <w:autoSpaceDE w:val="0"/>
        <w:autoSpaceDN/>
        <w:spacing w:before="0" w:beforeAutospacing="0" w:after="0" w:afterAutospacing="0" w:line="360" w:lineRule="auto"/>
        <w:ind w:left="0" w:right="0" w:firstLine="0"/>
        <w:jc w:val="left"/>
        <w:rPr>
          <w:rFonts w:hint="eastAsia" w:ascii="宋体" w:hAnsi="宋体" w:eastAsia="宋体" w:cs="宋体"/>
          <w:color w:val="000000"/>
          <w:spacing w:val="0"/>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                                                </w:t>
      </w:r>
      <w:r>
        <w:rPr>
          <w:rFonts w:hint="eastAsia" w:ascii="宋体" w:hAnsi="宋体" w:eastAsia="宋体" w:cs="宋体"/>
          <w:color w:val="000000"/>
          <w:spacing w:val="0"/>
          <w:w w:val="100"/>
          <w:kern w:val="0"/>
          <w:position w:val="0"/>
          <w:sz w:val="24"/>
          <w:szCs w:val="24"/>
          <w:u w:val="single"/>
          <w:shd w:val="clear" w:color="auto" w:fill="auto"/>
          <w:lang w:val="en-US" w:eastAsia="zh-CN" w:bidi="ar"/>
        </w:rPr>
        <w:t xml:space="preserve">      </w:t>
      </w:r>
      <w:r>
        <w:rPr>
          <w:rFonts w:hint="eastAsia" w:ascii="宋体" w:hAnsi="宋体" w:eastAsia="宋体" w:cs="宋体"/>
          <w:color w:val="000000"/>
          <w:spacing w:val="0"/>
          <w:w w:val="100"/>
          <w:kern w:val="0"/>
          <w:position w:val="0"/>
          <w:sz w:val="24"/>
          <w:szCs w:val="24"/>
          <w:shd w:val="clear" w:color="auto" w:fill="auto"/>
          <w:lang w:val="en-US" w:eastAsia="zh-CN" w:bidi="ar"/>
        </w:rPr>
        <w:t>年</w:t>
      </w:r>
      <w:r>
        <w:rPr>
          <w:rFonts w:hint="eastAsia" w:ascii="宋体" w:hAnsi="宋体" w:eastAsia="宋体" w:cs="宋体"/>
          <w:color w:val="000000"/>
          <w:spacing w:val="0"/>
          <w:w w:val="100"/>
          <w:kern w:val="0"/>
          <w:position w:val="0"/>
          <w:sz w:val="24"/>
          <w:szCs w:val="24"/>
          <w:u w:val="single"/>
          <w:shd w:val="clear" w:color="auto" w:fill="auto"/>
          <w:lang w:val="en-US" w:eastAsia="zh-CN" w:bidi="ar"/>
        </w:rPr>
        <w:t xml:space="preserve">     </w:t>
      </w:r>
      <w:r>
        <w:rPr>
          <w:rFonts w:hint="eastAsia" w:ascii="宋体" w:hAnsi="宋体" w:eastAsia="宋体" w:cs="宋体"/>
          <w:color w:val="000000"/>
          <w:spacing w:val="0"/>
          <w:w w:val="100"/>
          <w:kern w:val="0"/>
          <w:position w:val="0"/>
          <w:sz w:val="24"/>
          <w:szCs w:val="24"/>
          <w:shd w:val="clear" w:color="auto" w:fill="auto"/>
          <w:lang w:val="en-US" w:eastAsia="zh-CN" w:bidi="ar"/>
        </w:rPr>
        <w:t>月</w:t>
      </w:r>
      <w:r>
        <w:rPr>
          <w:rFonts w:hint="eastAsia" w:ascii="宋体" w:hAnsi="宋体" w:eastAsia="宋体" w:cs="宋体"/>
          <w:color w:val="000000"/>
          <w:spacing w:val="0"/>
          <w:w w:val="100"/>
          <w:kern w:val="0"/>
          <w:position w:val="0"/>
          <w:sz w:val="24"/>
          <w:szCs w:val="24"/>
          <w:u w:val="single"/>
          <w:shd w:val="clear" w:color="auto" w:fill="auto"/>
          <w:lang w:val="en-US" w:eastAsia="zh-CN" w:bidi="ar"/>
        </w:rPr>
        <w:t xml:space="preserve">     </w:t>
      </w:r>
      <w:r>
        <w:rPr>
          <w:rFonts w:hint="eastAsia" w:ascii="宋体" w:hAnsi="宋体" w:eastAsia="宋体" w:cs="宋体"/>
          <w:color w:val="000000"/>
          <w:spacing w:val="0"/>
          <w:w w:val="100"/>
          <w:kern w:val="0"/>
          <w:position w:val="0"/>
          <w:sz w:val="24"/>
          <w:szCs w:val="24"/>
          <w:shd w:val="clear" w:color="auto" w:fill="auto"/>
          <w:lang w:val="en-US" w:eastAsia="zh-CN" w:bidi="ar"/>
        </w:rPr>
        <w:t>日</w:t>
      </w:r>
    </w:p>
    <w:p w14:paraId="297A6C97">
      <w:pPr>
        <w:keepNext w:val="0"/>
        <w:keepLines w:val="0"/>
        <w:widowControl w:val="0"/>
        <w:suppressLineNumbers w:val="0"/>
        <w:autoSpaceDE w:val="0"/>
        <w:autoSpaceDN/>
        <w:spacing w:before="0" w:beforeAutospacing="0" w:after="0" w:afterAutospacing="0" w:line="360" w:lineRule="auto"/>
        <w:ind w:left="0" w:right="0" w:firstLine="0"/>
        <w:jc w:val="left"/>
        <w:rPr>
          <w:rFonts w:hint="eastAsia" w:ascii="宋体" w:hAnsi="宋体" w:eastAsia="宋体" w:cs="宋体"/>
          <w:color w:val="000000"/>
          <w:spacing w:val="0"/>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               </w:t>
      </w:r>
    </w:p>
    <w:p w14:paraId="4CB71ED6">
      <w:pPr>
        <w:keepNext w:val="0"/>
        <w:keepLines w:val="0"/>
        <w:widowControl w:val="0"/>
        <w:suppressLineNumbers w:val="0"/>
        <w:autoSpaceDE w:val="0"/>
        <w:autoSpaceDN/>
        <w:spacing w:before="0" w:beforeAutospacing="0" w:after="0" w:afterAutospacing="0" w:line="360" w:lineRule="auto"/>
        <w:ind w:left="0" w:right="0" w:firstLine="0"/>
        <w:jc w:val="left"/>
        <w:rPr>
          <w:rFonts w:hint="eastAsia" w:ascii="宋体" w:hAnsi="宋体" w:eastAsia="宋体" w:cs="宋体"/>
          <w:color w:val="000000"/>
          <w:spacing w:val="0"/>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 </w:t>
      </w:r>
    </w:p>
    <w:p w14:paraId="59E34ECE">
      <w:pPr>
        <w:keepNext w:val="0"/>
        <w:keepLines w:val="0"/>
        <w:widowControl w:val="0"/>
        <w:suppressLineNumbers w:val="0"/>
        <w:autoSpaceDE w:val="0"/>
        <w:autoSpaceDN/>
        <w:spacing w:before="0" w:beforeAutospacing="0" w:after="0" w:afterAutospacing="0" w:line="360" w:lineRule="auto"/>
        <w:ind w:left="0" w:right="0" w:firstLine="0"/>
        <w:jc w:val="left"/>
        <w:rPr>
          <w:rFonts w:hint="eastAsia" w:ascii="宋体" w:hAnsi="宋体" w:eastAsia="宋体" w:cs="宋体"/>
          <w:color w:val="000000"/>
          <w:spacing w:val="0"/>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 </w:t>
      </w:r>
    </w:p>
    <w:p w14:paraId="404074F3">
      <w:pPr>
        <w:keepNext w:val="0"/>
        <w:keepLines w:val="0"/>
        <w:widowControl w:val="0"/>
        <w:suppressLineNumbers w:val="0"/>
        <w:autoSpaceDE w:val="0"/>
        <w:autoSpaceDN/>
        <w:spacing w:before="0" w:beforeAutospacing="0" w:after="0" w:afterAutospacing="0" w:line="360" w:lineRule="auto"/>
        <w:ind w:left="0" w:right="0" w:firstLine="0"/>
        <w:jc w:val="left"/>
        <w:rPr>
          <w:rFonts w:hint="eastAsia" w:ascii="宋体" w:hAnsi="宋体" w:eastAsia="宋体" w:cs="宋体"/>
          <w:color w:val="000000"/>
          <w:spacing w:val="0"/>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 </w:t>
      </w:r>
    </w:p>
    <w:p w14:paraId="22678F37">
      <w:pPr>
        <w:keepNext w:val="0"/>
        <w:keepLines w:val="0"/>
        <w:widowControl w:val="0"/>
        <w:suppressLineNumbers w:val="0"/>
        <w:autoSpaceDE w:val="0"/>
        <w:autoSpaceDN/>
        <w:spacing w:before="0" w:beforeAutospacing="0" w:after="0" w:afterAutospacing="0" w:line="360" w:lineRule="auto"/>
        <w:ind w:left="0" w:right="0" w:firstLine="480" w:firstLineChars="200"/>
        <w:jc w:val="left"/>
        <w:rPr>
          <w:rFonts w:hint="eastAsia" w:ascii="宋体" w:hAnsi="宋体" w:eastAsia="宋体" w:cs="宋体"/>
          <w:color w:val="000000"/>
          <w:spacing w:val="0"/>
          <w:w w:val="100"/>
          <w:kern w:val="0"/>
          <w:position w:val="0"/>
          <w:sz w:val="24"/>
          <w:szCs w:val="24"/>
          <w:shd w:val="clear" w:color="auto" w:fill="auto"/>
          <w:lang w:val="en-US" w:eastAsia="zh-CN" w:bidi="ar"/>
        </w:rPr>
      </w:pPr>
      <w:r>
        <w:rPr>
          <w:rFonts w:hint="eastAsia" w:ascii="宋体" w:hAnsi="宋体" w:eastAsia="宋体" w:cs="宋体"/>
          <w:color w:val="000000"/>
          <w:spacing w:val="0"/>
          <w:w w:val="100"/>
          <w:kern w:val="0"/>
          <w:position w:val="0"/>
          <w:sz w:val="24"/>
          <w:szCs w:val="24"/>
          <w:shd w:val="clear" w:color="auto" w:fill="auto"/>
          <w:lang w:val="en-US" w:eastAsia="zh-CN" w:bidi="ar"/>
        </w:rPr>
        <w:t>注：符合《三部门联合发布关于促进残疾人就业政府采购政策的通知》（财库〔2017〕141号）价格扣减条件的投标供应商提交，符合条件的残疾人福利性单位在参加政府采购活动时，应当按《三部门联合发布关于促进残疾人就业政府采购政策的通知》（财库〔2017〕141号）提供规定的《残疾人福利性单位声明函》，并对声明的真实性负责。不符合条件的投标供应商禁止虚假声明，如有虚假，将依法承担相应责任。</w:t>
      </w:r>
    </w:p>
    <w:p w14:paraId="0B5DC8D3">
      <w:pPr>
        <w:bidi w:val="0"/>
        <w:rPr>
          <w:rFonts w:hint="eastAsia"/>
        </w:rPr>
      </w:pPr>
    </w:p>
    <w:p w14:paraId="1E960183">
      <w:pPr>
        <w:bidi w:val="0"/>
        <w:rPr>
          <w:rFonts w:hint="eastAsia"/>
          <w:lang w:val="en-US" w:eastAsia="zh-CN"/>
        </w:rPr>
      </w:pPr>
    </w:p>
    <w:p w14:paraId="6909BFBA">
      <w:pPr>
        <w:bidi w:val="0"/>
        <w:rPr>
          <w:rFonts w:hint="eastAsia"/>
        </w:rPr>
      </w:pPr>
    </w:p>
    <w:p w14:paraId="099274B1">
      <w:pPr>
        <w:bidi w:val="0"/>
        <w:rPr>
          <w:rFonts w:hint="eastAsia"/>
          <w:lang w:val="en-US" w:eastAsia="zh-CN"/>
        </w:rPr>
      </w:pPr>
    </w:p>
    <w:p w14:paraId="5F1ECEA6">
      <w:pPr>
        <w:bidi w:val="0"/>
        <w:rPr>
          <w:rFonts w:hint="eastAsia"/>
        </w:rPr>
      </w:pPr>
    </w:p>
    <w:p w14:paraId="579F779F">
      <w:pPr>
        <w:bidi w:val="0"/>
        <w:rPr>
          <w:rFonts w:hint="eastAsia"/>
          <w:lang w:val="en-US" w:eastAsia="zh-CN"/>
        </w:rPr>
      </w:pPr>
    </w:p>
    <w:p w14:paraId="38F7656B">
      <w:pPr>
        <w:bidi w:val="0"/>
        <w:rPr>
          <w:rFonts w:hint="eastAsia"/>
          <w:lang w:val="en-US" w:eastAsia="zh-CN"/>
        </w:rPr>
      </w:pPr>
    </w:p>
    <w:p w14:paraId="592CF54F">
      <w:pPr>
        <w:bidi w:val="0"/>
        <w:rPr>
          <w:rFonts w:hint="eastAsia"/>
          <w:lang w:val="en-US" w:eastAsia="zh-CN"/>
        </w:rPr>
      </w:pPr>
    </w:p>
    <w:p w14:paraId="5E0E18B1">
      <w:pPr>
        <w:bidi w:val="0"/>
        <w:rPr>
          <w:rFonts w:hint="eastAsia"/>
          <w:lang w:val="en-US" w:eastAsia="zh-CN"/>
        </w:rPr>
      </w:pPr>
    </w:p>
    <w:p w14:paraId="40C3DAD4">
      <w:pPr>
        <w:bidi w:val="0"/>
        <w:rPr>
          <w:rFonts w:hint="eastAsia"/>
          <w:lang w:val="en-US" w:eastAsia="zh-CN"/>
        </w:rPr>
      </w:pPr>
    </w:p>
    <w:p w14:paraId="35B74915">
      <w:pPr>
        <w:bidi w:val="0"/>
        <w:rPr>
          <w:rFonts w:hint="eastAsia"/>
          <w:lang w:val="en-US" w:eastAsia="zh-CN"/>
        </w:rPr>
      </w:pPr>
    </w:p>
    <w:p w14:paraId="50BFF5BF">
      <w:pPr>
        <w:bidi w:val="0"/>
        <w:rPr>
          <w:rFonts w:hint="eastAsia"/>
          <w:lang w:val="en-US" w:eastAsia="zh-CN"/>
        </w:rPr>
      </w:pPr>
    </w:p>
    <w:p w14:paraId="1487B47E">
      <w:pPr>
        <w:bidi w:val="0"/>
        <w:rPr>
          <w:rFonts w:hint="eastAsia"/>
          <w:lang w:val="en-US" w:eastAsia="zh-CN"/>
        </w:rPr>
      </w:pPr>
    </w:p>
    <w:p w14:paraId="383BC004">
      <w:pPr>
        <w:bidi w:val="0"/>
        <w:rPr>
          <w:rFonts w:hint="eastAsia"/>
          <w:lang w:val="en-US" w:eastAsia="zh-CN"/>
        </w:rPr>
      </w:pPr>
    </w:p>
    <w:p w14:paraId="324BE914">
      <w:pPr>
        <w:bidi w:val="0"/>
        <w:rPr>
          <w:rFonts w:hint="eastAsia"/>
          <w:lang w:val="en-US" w:eastAsia="zh-CN"/>
        </w:rPr>
      </w:pPr>
    </w:p>
    <w:p w14:paraId="2D7140A1">
      <w:pPr>
        <w:pStyle w:val="3"/>
        <w:bidi w:val="0"/>
        <w:spacing w:line="240" w:lineRule="auto"/>
        <w:jc w:val="center"/>
        <w:rPr>
          <w:rFonts w:hint="eastAsia"/>
        </w:rPr>
      </w:pPr>
      <w:bookmarkStart w:id="287" w:name="_Toc14536"/>
      <w:bookmarkStart w:id="288" w:name="_Toc10345"/>
      <w:bookmarkStart w:id="289" w:name="_Toc19125"/>
      <w:r>
        <w:rPr>
          <w:rFonts w:hint="eastAsia"/>
          <w:lang w:val="en-US" w:eastAsia="zh-CN"/>
        </w:rPr>
        <w:t xml:space="preserve">第二部分 </w:t>
      </w:r>
      <w:r>
        <w:rPr>
          <w:rFonts w:hint="eastAsia"/>
          <w:lang w:eastAsia="zh-CN"/>
        </w:rPr>
        <w:t>资格审查</w:t>
      </w:r>
      <w:r>
        <w:rPr>
          <w:rFonts w:hint="eastAsia"/>
        </w:rPr>
        <w:t>部分</w:t>
      </w:r>
      <w:bookmarkEnd w:id="287"/>
      <w:bookmarkEnd w:id="288"/>
      <w:bookmarkEnd w:id="289"/>
      <w:bookmarkStart w:id="290" w:name="_Toc21916"/>
      <w:bookmarkStart w:id="291" w:name="_Toc5352"/>
      <w:bookmarkStart w:id="292" w:name="_Toc28921"/>
      <w:bookmarkStart w:id="293" w:name="_Toc10759"/>
      <w:bookmarkStart w:id="294" w:name="_Toc5305"/>
      <w:bookmarkStart w:id="295" w:name="_Toc30273"/>
    </w:p>
    <w:p w14:paraId="6BC631B1">
      <w:pPr>
        <w:bidi w:val="0"/>
        <w:spacing w:line="480" w:lineRule="auto"/>
        <w:jc w:val="center"/>
        <w:rPr>
          <w:rFonts w:hint="eastAsia"/>
          <w:b/>
          <w:bCs/>
          <w:sz w:val="28"/>
          <w:szCs w:val="28"/>
          <w:lang w:val="en-US" w:eastAsia="zh-CN"/>
        </w:rPr>
      </w:pPr>
      <w:bookmarkStart w:id="296" w:name="_Toc20339"/>
      <w:bookmarkStart w:id="297" w:name="_Toc2062"/>
      <w:bookmarkStart w:id="298" w:name="_Toc22137"/>
      <w:bookmarkStart w:id="299" w:name="_Toc452"/>
      <w:r>
        <w:rPr>
          <w:rFonts w:hint="eastAsia"/>
          <w:b/>
          <w:bCs/>
          <w:sz w:val="28"/>
          <w:szCs w:val="28"/>
          <w:lang w:val="en-US" w:eastAsia="zh-CN"/>
        </w:rPr>
        <w:t>（一）供应商基本情况</w:t>
      </w:r>
    </w:p>
    <w:tbl>
      <w:tblPr>
        <w:tblStyle w:val="28"/>
        <w:tblW w:w="9493"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947"/>
        <w:gridCol w:w="1271"/>
        <w:gridCol w:w="1231"/>
        <w:gridCol w:w="788"/>
        <w:gridCol w:w="501"/>
        <w:gridCol w:w="1217"/>
        <w:gridCol w:w="500"/>
        <w:gridCol w:w="2038"/>
      </w:tblGrid>
      <w:tr w14:paraId="7E2CCF9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947" w:type="dxa"/>
            <w:vAlign w:val="center"/>
          </w:tcPr>
          <w:p w14:paraId="6B2271C1">
            <w:pPr>
              <w:jc w:val="center"/>
              <w:rPr>
                <w:rFonts w:ascii="宋体" w:hAnsi="宋体" w:eastAsia="宋体" w:cs="宋体"/>
                <w:color w:val="auto"/>
                <w:sz w:val="24"/>
                <w:szCs w:val="24"/>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名称</w:t>
            </w:r>
          </w:p>
        </w:tc>
        <w:tc>
          <w:tcPr>
            <w:tcW w:w="7546" w:type="dxa"/>
            <w:gridSpan w:val="7"/>
            <w:vAlign w:val="center"/>
          </w:tcPr>
          <w:p w14:paraId="6005A785">
            <w:pPr>
              <w:jc w:val="center"/>
              <w:rPr>
                <w:rFonts w:ascii="宋体" w:hAnsi="宋体" w:eastAsia="宋体" w:cs="宋体"/>
                <w:color w:val="auto"/>
                <w:sz w:val="24"/>
                <w:szCs w:val="24"/>
              </w:rPr>
            </w:pPr>
          </w:p>
        </w:tc>
      </w:tr>
      <w:tr w14:paraId="2EB091E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947" w:type="dxa"/>
            <w:vAlign w:val="center"/>
          </w:tcPr>
          <w:p w14:paraId="03AD8AA2">
            <w:pPr>
              <w:jc w:val="center"/>
              <w:rPr>
                <w:rFonts w:ascii="宋体" w:hAnsi="宋体" w:eastAsia="宋体" w:cs="宋体"/>
                <w:color w:val="auto"/>
                <w:sz w:val="24"/>
                <w:szCs w:val="24"/>
              </w:rPr>
            </w:pPr>
            <w:r>
              <w:rPr>
                <w:rFonts w:hint="eastAsia" w:ascii="宋体" w:hAnsi="宋体" w:eastAsia="宋体" w:cs="宋体"/>
                <w:color w:val="auto"/>
                <w:sz w:val="24"/>
                <w:szCs w:val="24"/>
              </w:rPr>
              <w:t>注册地址</w:t>
            </w:r>
          </w:p>
        </w:tc>
        <w:tc>
          <w:tcPr>
            <w:tcW w:w="3791" w:type="dxa"/>
            <w:gridSpan w:val="4"/>
            <w:vAlign w:val="center"/>
          </w:tcPr>
          <w:p w14:paraId="5C9B7045">
            <w:pPr>
              <w:jc w:val="center"/>
              <w:rPr>
                <w:rFonts w:ascii="宋体" w:hAnsi="宋体" w:eastAsia="宋体" w:cs="宋体"/>
                <w:color w:val="auto"/>
                <w:sz w:val="24"/>
                <w:szCs w:val="24"/>
              </w:rPr>
            </w:pPr>
          </w:p>
        </w:tc>
        <w:tc>
          <w:tcPr>
            <w:tcW w:w="1217" w:type="dxa"/>
            <w:vAlign w:val="center"/>
          </w:tcPr>
          <w:p w14:paraId="5870E69F">
            <w:pPr>
              <w:jc w:val="center"/>
              <w:rPr>
                <w:rFonts w:ascii="宋体" w:hAnsi="宋体" w:eastAsia="宋体" w:cs="宋体"/>
                <w:color w:val="auto"/>
                <w:sz w:val="24"/>
                <w:szCs w:val="24"/>
              </w:rPr>
            </w:pPr>
            <w:r>
              <w:rPr>
                <w:rFonts w:hint="eastAsia" w:ascii="宋体" w:hAnsi="宋体" w:eastAsia="宋体" w:cs="宋体"/>
                <w:color w:val="auto"/>
                <w:sz w:val="24"/>
                <w:szCs w:val="24"/>
              </w:rPr>
              <w:t>邮政编码</w:t>
            </w:r>
          </w:p>
        </w:tc>
        <w:tc>
          <w:tcPr>
            <w:tcW w:w="2538" w:type="dxa"/>
            <w:gridSpan w:val="2"/>
            <w:vAlign w:val="center"/>
          </w:tcPr>
          <w:p w14:paraId="379B53A0">
            <w:pPr>
              <w:jc w:val="center"/>
              <w:rPr>
                <w:rFonts w:ascii="宋体" w:hAnsi="宋体" w:eastAsia="宋体" w:cs="宋体"/>
                <w:color w:val="auto"/>
                <w:sz w:val="24"/>
                <w:szCs w:val="24"/>
              </w:rPr>
            </w:pPr>
          </w:p>
        </w:tc>
      </w:tr>
      <w:tr w14:paraId="76A2377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947" w:type="dxa"/>
            <w:vMerge w:val="restart"/>
            <w:vAlign w:val="center"/>
          </w:tcPr>
          <w:p w14:paraId="7A49EB14">
            <w:pPr>
              <w:jc w:val="center"/>
              <w:rPr>
                <w:rFonts w:ascii="宋体" w:hAnsi="宋体" w:eastAsia="宋体" w:cs="宋体"/>
                <w:color w:val="auto"/>
                <w:sz w:val="24"/>
                <w:szCs w:val="24"/>
              </w:rPr>
            </w:pPr>
            <w:r>
              <w:rPr>
                <w:rFonts w:hint="eastAsia" w:ascii="宋体" w:hAnsi="宋体" w:eastAsia="宋体" w:cs="宋体"/>
                <w:color w:val="auto"/>
                <w:sz w:val="24"/>
                <w:szCs w:val="24"/>
              </w:rPr>
              <w:t>联系方式</w:t>
            </w:r>
          </w:p>
        </w:tc>
        <w:tc>
          <w:tcPr>
            <w:tcW w:w="1271" w:type="dxa"/>
            <w:vAlign w:val="center"/>
          </w:tcPr>
          <w:p w14:paraId="37A7FFA1">
            <w:pPr>
              <w:jc w:val="center"/>
              <w:rPr>
                <w:rFonts w:ascii="宋体" w:hAnsi="宋体" w:eastAsia="宋体" w:cs="宋体"/>
                <w:color w:val="auto"/>
                <w:sz w:val="24"/>
                <w:szCs w:val="24"/>
              </w:rPr>
            </w:pPr>
            <w:r>
              <w:rPr>
                <w:rFonts w:hint="eastAsia" w:ascii="宋体" w:hAnsi="宋体" w:eastAsia="宋体" w:cs="宋体"/>
                <w:color w:val="auto"/>
                <w:sz w:val="24"/>
                <w:szCs w:val="24"/>
              </w:rPr>
              <w:t>联系人</w:t>
            </w:r>
          </w:p>
        </w:tc>
        <w:tc>
          <w:tcPr>
            <w:tcW w:w="2520" w:type="dxa"/>
            <w:gridSpan w:val="3"/>
            <w:vAlign w:val="center"/>
          </w:tcPr>
          <w:p w14:paraId="7A891E39">
            <w:pPr>
              <w:jc w:val="center"/>
              <w:rPr>
                <w:rFonts w:ascii="宋体" w:hAnsi="宋体" w:eastAsia="宋体" w:cs="宋体"/>
                <w:color w:val="auto"/>
                <w:sz w:val="24"/>
                <w:szCs w:val="24"/>
              </w:rPr>
            </w:pPr>
          </w:p>
        </w:tc>
        <w:tc>
          <w:tcPr>
            <w:tcW w:w="1217" w:type="dxa"/>
            <w:vAlign w:val="center"/>
          </w:tcPr>
          <w:p w14:paraId="50CB8193">
            <w:pPr>
              <w:jc w:val="center"/>
              <w:rPr>
                <w:rFonts w:ascii="宋体" w:hAnsi="宋体" w:eastAsia="宋体" w:cs="宋体"/>
                <w:color w:val="auto"/>
                <w:sz w:val="24"/>
                <w:szCs w:val="24"/>
              </w:rPr>
            </w:pPr>
            <w:r>
              <w:rPr>
                <w:rFonts w:hint="eastAsia" w:ascii="宋体" w:hAnsi="宋体" w:eastAsia="宋体" w:cs="宋体"/>
                <w:color w:val="auto"/>
                <w:sz w:val="24"/>
                <w:szCs w:val="24"/>
              </w:rPr>
              <w:t>电    话</w:t>
            </w:r>
          </w:p>
        </w:tc>
        <w:tc>
          <w:tcPr>
            <w:tcW w:w="2538" w:type="dxa"/>
            <w:gridSpan w:val="2"/>
            <w:vAlign w:val="center"/>
          </w:tcPr>
          <w:p w14:paraId="6571A0D8">
            <w:pPr>
              <w:jc w:val="center"/>
              <w:rPr>
                <w:rFonts w:ascii="宋体" w:hAnsi="宋体" w:eastAsia="宋体" w:cs="宋体"/>
                <w:color w:val="auto"/>
                <w:sz w:val="24"/>
                <w:szCs w:val="24"/>
              </w:rPr>
            </w:pPr>
          </w:p>
        </w:tc>
      </w:tr>
      <w:tr w14:paraId="3D3CBEA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947" w:type="dxa"/>
            <w:vMerge w:val="continue"/>
            <w:vAlign w:val="center"/>
          </w:tcPr>
          <w:p w14:paraId="53866014">
            <w:pPr>
              <w:jc w:val="center"/>
              <w:rPr>
                <w:rFonts w:ascii="宋体" w:hAnsi="宋体" w:eastAsia="宋体" w:cs="宋体"/>
                <w:color w:val="auto"/>
                <w:sz w:val="24"/>
                <w:szCs w:val="24"/>
              </w:rPr>
            </w:pPr>
          </w:p>
        </w:tc>
        <w:tc>
          <w:tcPr>
            <w:tcW w:w="1271" w:type="dxa"/>
            <w:vAlign w:val="center"/>
          </w:tcPr>
          <w:p w14:paraId="0298A3D4">
            <w:pPr>
              <w:jc w:val="center"/>
              <w:rPr>
                <w:rFonts w:ascii="宋体" w:hAnsi="宋体" w:eastAsia="宋体" w:cs="宋体"/>
                <w:color w:val="auto"/>
                <w:sz w:val="24"/>
                <w:szCs w:val="24"/>
              </w:rPr>
            </w:pPr>
            <w:r>
              <w:rPr>
                <w:rFonts w:hint="eastAsia" w:ascii="宋体" w:hAnsi="宋体" w:eastAsia="宋体" w:cs="宋体"/>
                <w:color w:val="auto"/>
                <w:sz w:val="24"/>
                <w:szCs w:val="24"/>
              </w:rPr>
              <w:t>传  真</w:t>
            </w:r>
          </w:p>
        </w:tc>
        <w:tc>
          <w:tcPr>
            <w:tcW w:w="2520" w:type="dxa"/>
            <w:gridSpan w:val="3"/>
            <w:vAlign w:val="center"/>
          </w:tcPr>
          <w:p w14:paraId="48EBD95D">
            <w:pPr>
              <w:jc w:val="center"/>
              <w:rPr>
                <w:rFonts w:ascii="宋体" w:hAnsi="宋体" w:eastAsia="宋体" w:cs="宋体"/>
                <w:color w:val="auto"/>
                <w:sz w:val="24"/>
                <w:szCs w:val="24"/>
              </w:rPr>
            </w:pPr>
          </w:p>
        </w:tc>
        <w:tc>
          <w:tcPr>
            <w:tcW w:w="1217" w:type="dxa"/>
            <w:vAlign w:val="center"/>
          </w:tcPr>
          <w:p w14:paraId="430E5AC0">
            <w:pPr>
              <w:jc w:val="center"/>
              <w:rPr>
                <w:rFonts w:ascii="宋体" w:hAnsi="宋体" w:eastAsia="宋体" w:cs="宋体"/>
                <w:color w:val="auto"/>
                <w:sz w:val="24"/>
                <w:szCs w:val="24"/>
              </w:rPr>
            </w:pPr>
            <w:r>
              <w:rPr>
                <w:rFonts w:hint="eastAsia" w:ascii="宋体" w:hAnsi="宋体" w:eastAsia="宋体" w:cs="宋体"/>
                <w:color w:val="auto"/>
                <w:sz w:val="24"/>
                <w:szCs w:val="24"/>
              </w:rPr>
              <w:t>网    址</w:t>
            </w:r>
          </w:p>
        </w:tc>
        <w:tc>
          <w:tcPr>
            <w:tcW w:w="2538" w:type="dxa"/>
            <w:gridSpan w:val="2"/>
            <w:vAlign w:val="center"/>
          </w:tcPr>
          <w:p w14:paraId="26638C26">
            <w:pPr>
              <w:jc w:val="center"/>
              <w:rPr>
                <w:rFonts w:ascii="宋体" w:hAnsi="宋体" w:eastAsia="宋体" w:cs="宋体"/>
                <w:color w:val="auto"/>
                <w:sz w:val="24"/>
                <w:szCs w:val="24"/>
              </w:rPr>
            </w:pPr>
          </w:p>
        </w:tc>
      </w:tr>
      <w:tr w14:paraId="01E3F1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947" w:type="dxa"/>
            <w:vAlign w:val="center"/>
          </w:tcPr>
          <w:p w14:paraId="44572A41">
            <w:pPr>
              <w:jc w:val="center"/>
              <w:rPr>
                <w:rFonts w:ascii="宋体" w:hAnsi="宋体" w:eastAsia="宋体" w:cs="宋体"/>
                <w:color w:val="auto"/>
                <w:sz w:val="24"/>
                <w:szCs w:val="24"/>
              </w:rPr>
            </w:pPr>
            <w:r>
              <w:rPr>
                <w:rFonts w:hint="eastAsia" w:ascii="宋体" w:hAnsi="宋体" w:eastAsia="宋体" w:cs="宋体"/>
                <w:color w:val="auto"/>
                <w:sz w:val="24"/>
                <w:szCs w:val="24"/>
              </w:rPr>
              <w:t>组织结构</w:t>
            </w:r>
          </w:p>
        </w:tc>
        <w:tc>
          <w:tcPr>
            <w:tcW w:w="7546" w:type="dxa"/>
            <w:gridSpan w:val="7"/>
            <w:vAlign w:val="center"/>
          </w:tcPr>
          <w:p w14:paraId="4757CD93">
            <w:pPr>
              <w:jc w:val="center"/>
              <w:rPr>
                <w:rFonts w:ascii="宋体" w:hAnsi="宋体" w:eastAsia="宋体" w:cs="宋体"/>
                <w:color w:val="auto"/>
                <w:sz w:val="24"/>
                <w:szCs w:val="24"/>
              </w:rPr>
            </w:pPr>
          </w:p>
        </w:tc>
      </w:tr>
      <w:tr w14:paraId="412E72A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947" w:type="dxa"/>
            <w:vAlign w:val="center"/>
          </w:tcPr>
          <w:p w14:paraId="4983875B">
            <w:pPr>
              <w:jc w:val="center"/>
              <w:rPr>
                <w:rFonts w:ascii="宋体" w:hAnsi="宋体" w:eastAsia="宋体" w:cs="宋体"/>
                <w:color w:val="auto"/>
                <w:sz w:val="24"/>
                <w:szCs w:val="24"/>
              </w:rPr>
            </w:pPr>
            <w:r>
              <w:rPr>
                <w:rFonts w:hint="eastAsia" w:ascii="宋体" w:hAnsi="宋体" w:eastAsia="宋体" w:cs="宋体"/>
                <w:color w:val="auto"/>
                <w:sz w:val="24"/>
                <w:szCs w:val="24"/>
              </w:rPr>
              <w:t>成立时间</w:t>
            </w:r>
          </w:p>
        </w:tc>
        <w:tc>
          <w:tcPr>
            <w:tcW w:w="2502" w:type="dxa"/>
            <w:gridSpan w:val="2"/>
            <w:vAlign w:val="center"/>
          </w:tcPr>
          <w:p w14:paraId="7AA9179B">
            <w:pPr>
              <w:jc w:val="center"/>
              <w:rPr>
                <w:rFonts w:ascii="宋体" w:hAnsi="宋体" w:eastAsia="宋体" w:cs="宋体"/>
                <w:color w:val="auto"/>
                <w:sz w:val="24"/>
                <w:szCs w:val="24"/>
              </w:rPr>
            </w:pPr>
          </w:p>
        </w:tc>
        <w:tc>
          <w:tcPr>
            <w:tcW w:w="5044" w:type="dxa"/>
            <w:gridSpan w:val="5"/>
            <w:vAlign w:val="center"/>
          </w:tcPr>
          <w:p w14:paraId="6121CAAB">
            <w:pPr>
              <w:jc w:val="center"/>
              <w:rPr>
                <w:rFonts w:ascii="宋体" w:hAnsi="宋体" w:eastAsia="宋体" w:cs="宋体"/>
                <w:color w:val="auto"/>
                <w:sz w:val="24"/>
                <w:szCs w:val="24"/>
              </w:rPr>
            </w:pPr>
            <w:r>
              <w:rPr>
                <w:rFonts w:hint="eastAsia" w:ascii="宋体" w:hAnsi="宋体" w:eastAsia="宋体" w:cs="宋体"/>
                <w:color w:val="auto"/>
                <w:sz w:val="24"/>
                <w:szCs w:val="24"/>
              </w:rPr>
              <w:t>员工总人数：</w:t>
            </w:r>
          </w:p>
        </w:tc>
      </w:tr>
      <w:tr w14:paraId="7EFA0D2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947" w:type="dxa"/>
            <w:vAlign w:val="center"/>
          </w:tcPr>
          <w:p w14:paraId="05D64578">
            <w:pPr>
              <w:jc w:val="center"/>
              <w:rPr>
                <w:rFonts w:ascii="宋体" w:hAnsi="宋体" w:eastAsia="宋体" w:cs="宋体"/>
                <w:color w:val="auto"/>
                <w:sz w:val="24"/>
                <w:szCs w:val="24"/>
              </w:rPr>
            </w:pPr>
            <w:r>
              <w:rPr>
                <w:rFonts w:hint="eastAsia" w:ascii="宋体" w:hAnsi="宋体" w:eastAsia="宋体" w:cs="宋体"/>
                <w:color w:val="auto"/>
                <w:sz w:val="24"/>
                <w:szCs w:val="24"/>
              </w:rPr>
              <w:t>企业资质等级</w:t>
            </w:r>
          </w:p>
        </w:tc>
        <w:tc>
          <w:tcPr>
            <w:tcW w:w="2502" w:type="dxa"/>
            <w:gridSpan w:val="2"/>
            <w:vAlign w:val="center"/>
          </w:tcPr>
          <w:p w14:paraId="4DF771E6">
            <w:pPr>
              <w:jc w:val="center"/>
              <w:rPr>
                <w:rFonts w:ascii="宋体" w:hAnsi="宋体" w:eastAsia="宋体" w:cs="宋体"/>
                <w:color w:val="auto"/>
                <w:sz w:val="24"/>
                <w:szCs w:val="24"/>
              </w:rPr>
            </w:pPr>
          </w:p>
        </w:tc>
        <w:tc>
          <w:tcPr>
            <w:tcW w:w="788" w:type="dxa"/>
            <w:vMerge w:val="restart"/>
            <w:vAlign w:val="center"/>
          </w:tcPr>
          <w:p w14:paraId="1F233221">
            <w:pPr>
              <w:jc w:val="center"/>
              <w:rPr>
                <w:rFonts w:ascii="宋体" w:hAnsi="宋体" w:eastAsia="宋体" w:cs="宋体"/>
                <w:color w:val="auto"/>
                <w:sz w:val="24"/>
                <w:szCs w:val="24"/>
              </w:rPr>
            </w:pPr>
            <w:r>
              <w:rPr>
                <w:rFonts w:hint="eastAsia" w:ascii="宋体" w:hAnsi="宋体" w:eastAsia="宋体" w:cs="宋体"/>
                <w:color w:val="auto"/>
                <w:sz w:val="24"/>
                <w:szCs w:val="24"/>
              </w:rPr>
              <w:t>其中</w:t>
            </w:r>
          </w:p>
        </w:tc>
        <w:tc>
          <w:tcPr>
            <w:tcW w:w="2218" w:type="dxa"/>
            <w:gridSpan w:val="3"/>
            <w:vAlign w:val="center"/>
          </w:tcPr>
          <w:p w14:paraId="00E34792">
            <w:pPr>
              <w:jc w:val="center"/>
              <w:rPr>
                <w:rFonts w:ascii="宋体" w:hAnsi="宋体" w:eastAsia="宋体" w:cs="宋体"/>
                <w:color w:val="auto"/>
                <w:sz w:val="24"/>
                <w:szCs w:val="24"/>
              </w:rPr>
            </w:pPr>
            <w:r>
              <w:rPr>
                <w:rFonts w:hint="eastAsia" w:ascii="宋体" w:hAnsi="宋体" w:eastAsia="宋体" w:cs="宋体"/>
                <w:color w:val="auto"/>
                <w:sz w:val="24"/>
                <w:szCs w:val="24"/>
              </w:rPr>
              <w:t>注册建造师</w:t>
            </w:r>
          </w:p>
        </w:tc>
        <w:tc>
          <w:tcPr>
            <w:tcW w:w="2038" w:type="dxa"/>
            <w:vAlign w:val="center"/>
          </w:tcPr>
          <w:p w14:paraId="2FC1CF91">
            <w:pPr>
              <w:jc w:val="center"/>
              <w:rPr>
                <w:rFonts w:ascii="宋体" w:hAnsi="宋体" w:eastAsia="宋体" w:cs="宋体"/>
                <w:color w:val="auto"/>
                <w:sz w:val="24"/>
                <w:szCs w:val="24"/>
              </w:rPr>
            </w:pPr>
          </w:p>
        </w:tc>
      </w:tr>
      <w:tr w14:paraId="0EAAEE6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947" w:type="dxa"/>
            <w:vAlign w:val="center"/>
          </w:tcPr>
          <w:p w14:paraId="73947BFA">
            <w:pPr>
              <w:jc w:val="center"/>
              <w:rPr>
                <w:rFonts w:ascii="宋体" w:hAnsi="宋体" w:eastAsia="宋体" w:cs="宋体"/>
                <w:color w:val="auto"/>
                <w:sz w:val="24"/>
                <w:szCs w:val="24"/>
              </w:rPr>
            </w:pPr>
            <w:r>
              <w:rPr>
                <w:rFonts w:hint="eastAsia" w:ascii="宋体" w:hAnsi="宋体" w:eastAsia="宋体" w:cs="宋体"/>
                <w:color w:val="auto"/>
                <w:sz w:val="24"/>
                <w:szCs w:val="24"/>
              </w:rPr>
              <w:t>营业执照号</w:t>
            </w:r>
          </w:p>
        </w:tc>
        <w:tc>
          <w:tcPr>
            <w:tcW w:w="2502" w:type="dxa"/>
            <w:gridSpan w:val="2"/>
            <w:vAlign w:val="center"/>
          </w:tcPr>
          <w:p w14:paraId="75D29A25">
            <w:pPr>
              <w:jc w:val="center"/>
              <w:rPr>
                <w:rFonts w:ascii="宋体" w:hAnsi="宋体" w:eastAsia="宋体" w:cs="宋体"/>
                <w:color w:val="auto"/>
                <w:sz w:val="24"/>
                <w:szCs w:val="24"/>
              </w:rPr>
            </w:pPr>
          </w:p>
        </w:tc>
        <w:tc>
          <w:tcPr>
            <w:tcW w:w="788" w:type="dxa"/>
            <w:vMerge w:val="continue"/>
            <w:vAlign w:val="center"/>
          </w:tcPr>
          <w:p w14:paraId="618C4882">
            <w:pPr>
              <w:jc w:val="center"/>
              <w:rPr>
                <w:rFonts w:ascii="宋体" w:hAnsi="宋体" w:eastAsia="宋体" w:cs="宋体"/>
                <w:color w:val="auto"/>
                <w:sz w:val="24"/>
                <w:szCs w:val="24"/>
              </w:rPr>
            </w:pPr>
          </w:p>
        </w:tc>
        <w:tc>
          <w:tcPr>
            <w:tcW w:w="2218" w:type="dxa"/>
            <w:gridSpan w:val="3"/>
            <w:vAlign w:val="center"/>
          </w:tcPr>
          <w:p w14:paraId="52FB46AA">
            <w:pPr>
              <w:jc w:val="center"/>
              <w:rPr>
                <w:rFonts w:ascii="宋体" w:hAnsi="宋体" w:eastAsia="宋体" w:cs="宋体"/>
                <w:color w:val="auto"/>
                <w:sz w:val="24"/>
                <w:szCs w:val="24"/>
              </w:rPr>
            </w:pPr>
            <w:r>
              <w:rPr>
                <w:rFonts w:hint="eastAsia" w:ascii="宋体" w:hAnsi="宋体" w:eastAsia="宋体" w:cs="宋体"/>
                <w:color w:val="auto"/>
                <w:sz w:val="24"/>
                <w:szCs w:val="24"/>
              </w:rPr>
              <w:t>高级职称人员</w:t>
            </w:r>
          </w:p>
        </w:tc>
        <w:tc>
          <w:tcPr>
            <w:tcW w:w="2038" w:type="dxa"/>
            <w:vAlign w:val="center"/>
          </w:tcPr>
          <w:p w14:paraId="6E895A4B">
            <w:pPr>
              <w:jc w:val="center"/>
              <w:rPr>
                <w:rFonts w:ascii="宋体" w:hAnsi="宋体" w:eastAsia="宋体" w:cs="宋体"/>
                <w:color w:val="auto"/>
                <w:sz w:val="24"/>
                <w:szCs w:val="24"/>
              </w:rPr>
            </w:pPr>
          </w:p>
        </w:tc>
      </w:tr>
      <w:tr w14:paraId="3F7B710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947" w:type="dxa"/>
            <w:vAlign w:val="center"/>
          </w:tcPr>
          <w:p w14:paraId="04B89E33">
            <w:pPr>
              <w:jc w:val="center"/>
              <w:rPr>
                <w:rFonts w:ascii="宋体" w:hAnsi="宋体" w:eastAsia="宋体" w:cs="宋体"/>
                <w:color w:val="auto"/>
                <w:sz w:val="24"/>
                <w:szCs w:val="24"/>
              </w:rPr>
            </w:pPr>
            <w:r>
              <w:rPr>
                <w:rFonts w:hint="eastAsia" w:ascii="宋体" w:hAnsi="宋体" w:eastAsia="宋体" w:cs="宋体"/>
                <w:color w:val="auto"/>
                <w:sz w:val="24"/>
                <w:szCs w:val="24"/>
              </w:rPr>
              <w:t>注册资本金</w:t>
            </w:r>
          </w:p>
        </w:tc>
        <w:tc>
          <w:tcPr>
            <w:tcW w:w="2502" w:type="dxa"/>
            <w:gridSpan w:val="2"/>
            <w:vAlign w:val="center"/>
          </w:tcPr>
          <w:p w14:paraId="102BC397">
            <w:pPr>
              <w:jc w:val="center"/>
              <w:rPr>
                <w:rFonts w:ascii="宋体" w:hAnsi="宋体" w:eastAsia="宋体" w:cs="宋体"/>
                <w:color w:val="auto"/>
                <w:sz w:val="24"/>
                <w:szCs w:val="24"/>
              </w:rPr>
            </w:pPr>
          </w:p>
        </w:tc>
        <w:tc>
          <w:tcPr>
            <w:tcW w:w="788" w:type="dxa"/>
            <w:vMerge w:val="continue"/>
            <w:vAlign w:val="center"/>
          </w:tcPr>
          <w:p w14:paraId="38C8FFF6">
            <w:pPr>
              <w:jc w:val="center"/>
              <w:rPr>
                <w:rFonts w:ascii="宋体" w:hAnsi="宋体" w:eastAsia="宋体" w:cs="宋体"/>
                <w:color w:val="auto"/>
                <w:sz w:val="24"/>
                <w:szCs w:val="24"/>
              </w:rPr>
            </w:pPr>
          </w:p>
        </w:tc>
        <w:tc>
          <w:tcPr>
            <w:tcW w:w="2218" w:type="dxa"/>
            <w:gridSpan w:val="3"/>
            <w:vAlign w:val="center"/>
          </w:tcPr>
          <w:p w14:paraId="1E62D9FE">
            <w:pPr>
              <w:jc w:val="center"/>
              <w:rPr>
                <w:rFonts w:ascii="宋体" w:hAnsi="宋体" w:eastAsia="宋体" w:cs="宋体"/>
                <w:color w:val="auto"/>
                <w:sz w:val="24"/>
                <w:szCs w:val="24"/>
              </w:rPr>
            </w:pPr>
            <w:r>
              <w:rPr>
                <w:rFonts w:hint="eastAsia" w:ascii="宋体" w:hAnsi="宋体" w:eastAsia="宋体" w:cs="宋体"/>
                <w:color w:val="auto"/>
                <w:sz w:val="24"/>
                <w:szCs w:val="24"/>
              </w:rPr>
              <w:t>中级职称人员</w:t>
            </w:r>
          </w:p>
        </w:tc>
        <w:tc>
          <w:tcPr>
            <w:tcW w:w="2038" w:type="dxa"/>
            <w:vAlign w:val="center"/>
          </w:tcPr>
          <w:p w14:paraId="1415853B">
            <w:pPr>
              <w:jc w:val="center"/>
              <w:rPr>
                <w:rFonts w:ascii="宋体" w:hAnsi="宋体" w:eastAsia="宋体" w:cs="宋体"/>
                <w:color w:val="auto"/>
                <w:sz w:val="24"/>
                <w:szCs w:val="24"/>
              </w:rPr>
            </w:pPr>
          </w:p>
        </w:tc>
      </w:tr>
      <w:tr w14:paraId="60A2CAD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947" w:type="dxa"/>
            <w:vAlign w:val="center"/>
          </w:tcPr>
          <w:p w14:paraId="62EBFFC9">
            <w:pPr>
              <w:jc w:val="center"/>
              <w:rPr>
                <w:rFonts w:ascii="宋体" w:hAnsi="宋体" w:eastAsia="宋体" w:cs="宋体"/>
                <w:color w:val="auto"/>
                <w:sz w:val="24"/>
                <w:szCs w:val="24"/>
              </w:rPr>
            </w:pPr>
            <w:r>
              <w:rPr>
                <w:rFonts w:hint="eastAsia" w:ascii="宋体" w:hAnsi="宋体" w:eastAsia="宋体" w:cs="宋体"/>
                <w:color w:val="auto"/>
                <w:sz w:val="24"/>
                <w:szCs w:val="24"/>
              </w:rPr>
              <w:t>开户银行</w:t>
            </w:r>
          </w:p>
        </w:tc>
        <w:tc>
          <w:tcPr>
            <w:tcW w:w="2502" w:type="dxa"/>
            <w:gridSpan w:val="2"/>
            <w:vAlign w:val="center"/>
          </w:tcPr>
          <w:p w14:paraId="2C025F76">
            <w:pPr>
              <w:jc w:val="center"/>
              <w:rPr>
                <w:rFonts w:ascii="宋体" w:hAnsi="宋体" w:eastAsia="宋体" w:cs="宋体"/>
                <w:color w:val="auto"/>
                <w:sz w:val="24"/>
                <w:szCs w:val="24"/>
              </w:rPr>
            </w:pPr>
          </w:p>
        </w:tc>
        <w:tc>
          <w:tcPr>
            <w:tcW w:w="788" w:type="dxa"/>
            <w:vMerge w:val="continue"/>
            <w:vAlign w:val="center"/>
          </w:tcPr>
          <w:p w14:paraId="0179550B">
            <w:pPr>
              <w:jc w:val="center"/>
              <w:rPr>
                <w:rFonts w:ascii="宋体" w:hAnsi="宋体" w:eastAsia="宋体" w:cs="宋体"/>
                <w:color w:val="auto"/>
                <w:sz w:val="24"/>
                <w:szCs w:val="24"/>
              </w:rPr>
            </w:pPr>
          </w:p>
        </w:tc>
        <w:tc>
          <w:tcPr>
            <w:tcW w:w="2218" w:type="dxa"/>
            <w:gridSpan w:val="3"/>
            <w:vAlign w:val="center"/>
          </w:tcPr>
          <w:p w14:paraId="72C0BDD7">
            <w:pPr>
              <w:jc w:val="center"/>
              <w:rPr>
                <w:rFonts w:ascii="宋体" w:hAnsi="宋体" w:eastAsia="宋体" w:cs="宋体"/>
                <w:color w:val="auto"/>
                <w:sz w:val="24"/>
                <w:szCs w:val="24"/>
              </w:rPr>
            </w:pPr>
            <w:r>
              <w:rPr>
                <w:rFonts w:hint="eastAsia" w:ascii="宋体" w:hAnsi="宋体" w:eastAsia="宋体" w:cs="宋体"/>
                <w:color w:val="auto"/>
                <w:sz w:val="24"/>
                <w:szCs w:val="24"/>
              </w:rPr>
              <w:t>初级职称人员</w:t>
            </w:r>
          </w:p>
        </w:tc>
        <w:tc>
          <w:tcPr>
            <w:tcW w:w="2038" w:type="dxa"/>
            <w:vAlign w:val="center"/>
          </w:tcPr>
          <w:p w14:paraId="0EA87F59">
            <w:pPr>
              <w:jc w:val="center"/>
              <w:rPr>
                <w:rFonts w:ascii="宋体" w:hAnsi="宋体" w:eastAsia="宋体" w:cs="宋体"/>
                <w:color w:val="auto"/>
                <w:sz w:val="24"/>
                <w:szCs w:val="24"/>
              </w:rPr>
            </w:pPr>
          </w:p>
        </w:tc>
      </w:tr>
      <w:tr w14:paraId="669A6FA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947" w:type="dxa"/>
            <w:vAlign w:val="center"/>
          </w:tcPr>
          <w:p w14:paraId="27A44C1C">
            <w:pPr>
              <w:jc w:val="center"/>
              <w:rPr>
                <w:rFonts w:ascii="宋体" w:hAnsi="宋体" w:eastAsia="宋体" w:cs="宋体"/>
                <w:color w:val="auto"/>
                <w:sz w:val="24"/>
                <w:szCs w:val="24"/>
              </w:rPr>
            </w:pPr>
            <w:r>
              <w:rPr>
                <w:rFonts w:hint="eastAsia" w:ascii="宋体" w:hAnsi="宋体" w:eastAsia="宋体" w:cs="宋体"/>
                <w:color w:val="auto"/>
                <w:sz w:val="24"/>
                <w:szCs w:val="24"/>
              </w:rPr>
              <w:t>账号</w:t>
            </w:r>
          </w:p>
        </w:tc>
        <w:tc>
          <w:tcPr>
            <w:tcW w:w="2502" w:type="dxa"/>
            <w:gridSpan w:val="2"/>
            <w:vAlign w:val="center"/>
          </w:tcPr>
          <w:p w14:paraId="6B36E825">
            <w:pPr>
              <w:jc w:val="center"/>
              <w:rPr>
                <w:rFonts w:ascii="宋体" w:hAnsi="宋体" w:eastAsia="宋体" w:cs="宋体"/>
                <w:color w:val="auto"/>
                <w:sz w:val="24"/>
                <w:szCs w:val="24"/>
              </w:rPr>
            </w:pPr>
          </w:p>
        </w:tc>
        <w:tc>
          <w:tcPr>
            <w:tcW w:w="788" w:type="dxa"/>
            <w:vMerge w:val="continue"/>
            <w:vAlign w:val="center"/>
          </w:tcPr>
          <w:p w14:paraId="4C208B0D">
            <w:pPr>
              <w:jc w:val="center"/>
              <w:rPr>
                <w:rFonts w:ascii="宋体" w:hAnsi="宋体" w:eastAsia="宋体" w:cs="宋体"/>
                <w:color w:val="auto"/>
                <w:sz w:val="24"/>
                <w:szCs w:val="24"/>
              </w:rPr>
            </w:pPr>
          </w:p>
        </w:tc>
        <w:tc>
          <w:tcPr>
            <w:tcW w:w="2218" w:type="dxa"/>
            <w:gridSpan w:val="3"/>
            <w:vAlign w:val="center"/>
          </w:tcPr>
          <w:p w14:paraId="17B3661C">
            <w:pPr>
              <w:jc w:val="center"/>
              <w:rPr>
                <w:rFonts w:ascii="宋体" w:hAnsi="宋体" w:eastAsia="宋体" w:cs="宋体"/>
                <w:color w:val="auto"/>
                <w:sz w:val="24"/>
                <w:szCs w:val="24"/>
              </w:rPr>
            </w:pPr>
            <w:r>
              <w:rPr>
                <w:rFonts w:hint="eastAsia" w:ascii="宋体" w:hAnsi="宋体" w:eastAsia="宋体" w:cs="宋体"/>
                <w:color w:val="auto"/>
                <w:sz w:val="24"/>
                <w:szCs w:val="24"/>
              </w:rPr>
              <w:t>技  工</w:t>
            </w:r>
          </w:p>
        </w:tc>
        <w:tc>
          <w:tcPr>
            <w:tcW w:w="2038" w:type="dxa"/>
            <w:vAlign w:val="center"/>
          </w:tcPr>
          <w:p w14:paraId="66897A8E">
            <w:pPr>
              <w:jc w:val="center"/>
              <w:rPr>
                <w:rFonts w:ascii="宋体" w:hAnsi="宋体" w:eastAsia="宋体" w:cs="宋体"/>
                <w:color w:val="auto"/>
                <w:sz w:val="24"/>
                <w:szCs w:val="24"/>
              </w:rPr>
            </w:pPr>
          </w:p>
        </w:tc>
      </w:tr>
      <w:tr w14:paraId="6DF015B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947" w:type="dxa"/>
            <w:vAlign w:val="center"/>
          </w:tcPr>
          <w:p w14:paraId="50484927">
            <w:pPr>
              <w:jc w:val="center"/>
              <w:rPr>
                <w:rFonts w:ascii="宋体" w:hAnsi="宋体" w:eastAsia="宋体" w:cs="宋体"/>
                <w:color w:val="auto"/>
                <w:sz w:val="24"/>
                <w:szCs w:val="24"/>
              </w:rPr>
            </w:pPr>
            <w:r>
              <w:rPr>
                <w:rFonts w:hint="eastAsia" w:ascii="宋体" w:hAnsi="宋体" w:eastAsia="宋体" w:cs="宋体"/>
                <w:color w:val="auto"/>
                <w:sz w:val="24"/>
                <w:szCs w:val="24"/>
              </w:rPr>
              <w:t>经营范围</w:t>
            </w:r>
          </w:p>
        </w:tc>
        <w:tc>
          <w:tcPr>
            <w:tcW w:w="7546" w:type="dxa"/>
            <w:gridSpan w:val="7"/>
            <w:vAlign w:val="center"/>
          </w:tcPr>
          <w:p w14:paraId="0C7D45F4">
            <w:pPr>
              <w:jc w:val="center"/>
              <w:rPr>
                <w:rFonts w:ascii="宋体" w:hAnsi="宋体" w:eastAsia="宋体" w:cs="宋体"/>
                <w:color w:val="auto"/>
                <w:sz w:val="24"/>
                <w:szCs w:val="24"/>
              </w:rPr>
            </w:pPr>
          </w:p>
        </w:tc>
      </w:tr>
      <w:tr w14:paraId="2F86104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947" w:type="dxa"/>
            <w:vAlign w:val="center"/>
          </w:tcPr>
          <w:p w14:paraId="5B70C90C">
            <w:pPr>
              <w:jc w:val="center"/>
              <w:rPr>
                <w:rFonts w:ascii="宋体" w:hAnsi="宋体" w:eastAsia="宋体" w:cs="宋体"/>
                <w:color w:val="auto"/>
                <w:sz w:val="24"/>
                <w:szCs w:val="24"/>
              </w:rPr>
            </w:pPr>
            <w:r>
              <w:rPr>
                <w:rFonts w:hint="eastAsia" w:ascii="宋体" w:hAnsi="宋体" w:eastAsia="宋体" w:cs="宋体"/>
                <w:color w:val="auto"/>
                <w:sz w:val="24"/>
                <w:szCs w:val="24"/>
              </w:rPr>
              <w:t>备    注</w:t>
            </w:r>
          </w:p>
        </w:tc>
        <w:tc>
          <w:tcPr>
            <w:tcW w:w="7546" w:type="dxa"/>
            <w:gridSpan w:val="7"/>
            <w:vAlign w:val="center"/>
          </w:tcPr>
          <w:p w14:paraId="44D1E648">
            <w:pPr>
              <w:jc w:val="center"/>
              <w:rPr>
                <w:rFonts w:ascii="宋体" w:hAnsi="宋体" w:eastAsia="宋体" w:cs="宋体"/>
                <w:color w:val="auto"/>
                <w:sz w:val="24"/>
                <w:szCs w:val="24"/>
              </w:rPr>
            </w:pPr>
          </w:p>
        </w:tc>
      </w:tr>
    </w:tbl>
    <w:p w14:paraId="23E34677">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附：营业执照</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开户许可证扫描件</w:t>
      </w:r>
      <w:r>
        <w:rPr>
          <w:rFonts w:hint="eastAsia" w:ascii="宋体" w:hAnsi="宋体" w:eastAsia="宋体" w:cs="宋体"/>
          <w:b/>
          <w:color w:val="auto"/>
          <w:sz w:val="24"/>
          <w:szCs w:val="24"/>
          <w:highlight w:val="none"/>
          <w:lang w:eastAsia="zh-CN"/>
        </w:rPr>
        <w:t>。</w:t>
      </w:r>
    </w:p>
    <w:p w14:paraId="05D6BBAE">
      <w:pPr>
        <w:rPr>
          <w:rFonts w:hint="eastAsia" w:ascii="宋体" w:hAnsi="宋体" w:eastAsia="宋体" w:cs="宋体"/>
          <w:b/>
          <w:color w:val="auto"/>
          <w:sz w:val="24"/>
          <w:szCs w:val="24"/>
          <w:highlight w:val="none"/>
          <w:lang w:eastAsia="zh-CN"/>
        </w:rPr>
      </w:pPr>
    </w:p>
    <w:p w14:paraId="79875D7C">
      <w:pPr>
        <w:spacing w:line="480" w:lineRule="auto"/>
        <w:jc w:val="both"/>
        <w:rPr>
          <w:rFonts w:hint="eastAsia" w:ascii="宋体" w:hAnsi="宋体" w:eastAsia="宋体" w:cs="宋体"/>
          <w:sz w:val="24"/>
          <w:szCs w:val="24"/>
          <w:highlight w:val="none"/>
          <w:lang w:eastAsia="zh-CN"/>
        </w:rPr>
      </w:pPr>
      <w:r>
        <w:rPr>
          <w:rFonts w:hint="eastAsia" w:ascii="宋体" w:hAnsi="宋体" w:eastAsia="宋体" w:cs="宋体"/>
          <w:b w:val="0"/>
          <w:bCs w:val="0"/>
          <w:sz w:val="24"/>
          <w:szCs w:val="24"/>
          <w:lang w:eastAsia="zh-CN"/>
        </w:rPr>
        <w:t>供应商</w:t>
      </w:r>
      <w:r>
        <w:rPr>
          <w:rFonts w:hint="eastAsia" w:ascii="宋体" w:hAnsi="宋体" w:eastAsia="宋体" w:cs="宋体"/>
          <w:b w:val="0"/>
          <w:bCs w:val="0"/>
          <w:sz w:val="24"/>
          <w:szCs w:val="24"/>
        </w:rPr>
        <w:t>：</w:t>
      </w:r>
      <w:r>
        <w:rPr>
          <w:rFonts w:hint="eastAsia" w:ascii="宋体" w:hAnsi="宋体" w:eastAsia="宋体" w:cs="宋体"/>
          <w:b w:val="0"/>
          <w:bCs w:val="0"/>
          <w:sz w:val="24"/>
          <w:szCs w:val="24"/>
          <w:u w:val="single"/>
        </w:rPr>
        <w:t>　　　　　　　　　</w:t>
      </w:r>
      <w:r>
        <w:rPr>
          <w:rFonts w:hint="eastAsia" w:ascii="宋体" w:hAnsi="宋体" w:eastAsia="宋体" w:cs="宋体"/>
          <w:b w:val="0"/>
          <w:bCs w:val="0"/>
          <w:sz w:val="24"/>
          <w:szCs w:val="24"/>
        </w:rPr>
        <w:t>（</w:t>
      </w:r>
      <w:r>
        <w:rPr>
          <w:rFonts w:hint="eastAsia" w:ascii="宋体" w:hAnsi="宋体" w:eastAsia="宋体" w:cs="宋体"/>
          <w:sz w:val="24"/>
          <w:szCs w:val="24"/>
          <w:lang w:eastAsia="zh-CN"/>
        </w:rPr>
        <w:t>电子公章</w:t>
      </w:r>
      <w:r>
        <w:rPr>
          <w:rFonts w:hint="eastAsia" w:ascii="宋体" w:hAnsi="宋体" w:eastAsia="宋体" w:cs="宋体"/>
          <w:b w:val="0"/>
          <w:bCs w:val="0"/>
          <w:sz w:val="24"/>
          <w:szCs w:val="24"/>
        </w:rPr>
        <w:t>）</w:t>
      </w:r>
    </w:p>
    <w:p w14:paraId="32DE76D8">
      <w:pPr>
        <w:widowControl w:val="0"/>
        <w:spacing w:line="480" w:lineRule="auto"/>
        <w:jc w:val="both"/>
        <w:rPr>
          <w:rFonts w:ascii="宋体" w:hAnsi="宋体" w:cs="宋体"/>
          <w:color w:val="auto"/>
          <w:sz w:val="21"/>
          <w:szCs w:val="21"/>
        </w:rPr>
      </w:pPr>
      <w:r>
        <w:rPr>
          <w:rFonts w:hint="eastAsia" w:ascii="宋体" w:hAnsi="宋体" w:eastAsia="宋体" w:cs="宋体"/>
          <w:color w:val="auto"/>
          <w:sz w:val="24"/>
          <w:szCs w:val="24"/>
          <w:lang w:eastAsia="zh-CN"/>
        </w:rPr>
        <w:t>法</w:t>
      </w:r>
      <w:r>
        <w:rPr>
          <w:rFonts w:hint="eastAsia" w:ascii="宋体" w:hAnsi="宋体" w:eastAsia="宋体" w:cs="宋体"/>
          <w:color w:val="auto"/>
          <w:sz w:val="24"/>
          <w:szCs w:val="24"/>
        </w:rPr>
        <w:t>定代表人</w:t>
      </w:r>
      <w:r>
        <w:rPr>
          <w:rFonts w:hint="eastAsia" w:ascii="宋体" w:hAnsi="宋体" w:eastAsia="宋体" w:cs="宋体"/>
          <w:color w:val="auto"/>
          <w:sz w:val="24"/>
          <w:szCs w:val="24"/>
          <w:lang w:val="en-US" w:eastAsia="zh-CN"/>
        </w:rPr>
        <w:t>或委托代理人</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lang w:eastAsia="zh-CN"/>
        </w:rPr>
        <w:t>电子签名</w:t>
      </w:r>
      <w:r>
        <w:rPr>
          <w:rFonts w:hint="eastAsia" w:ascii="宋体" w:hAnsi="宋体" w:eastAsia="宋体" w:cs="宋体"/>
          <w:sz w:val="24"/>
          <w:szCs w:val="24"/>
        </w:rPr>
        <w:t>）</w:t>
      </w:r>
    </w:p>
    <w:p w14:paraId="44FF7AAD">
      <w:pPr>
        <w:spacing w:line="480" w:lineRule="auto"/>
        <w:jc w:val="both"/>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日</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lang w:eastAsia="zh-CN"/>
        </w:rPr>
        <w:t>期：</w:t>
      </w:r>
      <w:r>
        <w:rPr>
          <w:rFonts w:hint="eastAsia" w:ascii="宋体" w:hAnsi="宋体" w:eastAsia="宋体" w:cs="宋体"/>
          <w:b w:val="0"/>
          <w:bCs w:val="0"/>
          <w:sz w:val="24"/>
          <w:szCs w:val="24"/>
          <w:u w:val="single"/>
          <w:lang w:eastAsia="zh-CN"/>
        </w:rPr>
        <w:t>　　　</w:t>
      </w:r>
      <w:r>
        <w:rPr>
          <w:rFonts w:hint="eastAsia" w:ascii="宋体" w:hAnsi="宋体" w:eastAsia="宋体" w:cs="宋体"/>
          <w:b w:val="0"/>
          <w:bCs w:val="0"/>
          <w:sz w:val="24"/>
          <w:szCs w:val="24"/>
          <w:lang w:eastAsia="zh-CN"/>
        </w:rPr>
        <w:t>年</w:t>
      </w:r>
      <w:r>
        <w:rPr>
          <w:rFonts w:hint="eastAsia" w:ascii="宋体" w:hAnsi="宋体" w:eastAsia="宋体" w:cs="宋体"/>
          <w:b w:val="0"/>
          <w:bCs w:val="0"/>
          <w:sz w:val="24"/>
          <w:szCs w:val="24"/>
          <w:u w:val="single"/>
          <w:lang w:eastAsia="zh-CN"/>
        </w:rPr>
        <w:t>　　</w:t>
      </w:r>
      <w:r>
        <w:rPr>
          <w:rFonts w:hint="eastAsia" w:ascii="宋体" w:hAnsi="宋体" w:eastAsia="宋体" w:cs="宋体"/>
          <w:b w:val="0"/>
          <w:bCs w:val="0"/>
          <w:sz w:val="24"/>
          <w:szCs w:val="24"/>
          <w:lang w:eastAsia="zh-CN"/>
        </w:rPr>
        <w:t>月</w:t>
      </w:r>
      <w:r>
        <w:rPr>
          <w:rFonts w:hint="eastAsia" w:ascii="宋体" w:hAnsi="宋体" w:eastAsia="宋体" w:cs="宋体"/>
          <w:b w:val="0"/>
          <w:bCs w:val="0"/>
          <w:sz w:val="24"/>
          <w:szCs w:val="24"/>
          <w:u w:val="single"/>
          <w:lang w:eastAsia="zh-CN"/>
        </w:rPr>
        <w:t>　　</w:t>
      </w:r>
      <w:r>
        <w:rPr>
          <w:rFonts w:hint="eastAsia" w:ascii="宋体" w:hAnsi="宋体" w:eastAsia="宋体" w:cs="宋体"/>
          <w:b w:val="0"/>
          <w:bCs w:val="0"/>
          <w:sz w:val="24"/>
          <w:szCs w:val="24"/>
          <w:lang w:eastAsia="zh-CN"/>
        </w:rPr>
        <w:t>日</w:t>
      </w:r>
    </w:p>
    <w:p w14:paraId="469C3C66">
      <w:pPr>
        <w:pStyle w:val="4"/>
        <w:ind w:left="0" w:leftChars="0" w:firstLine="0" w:firstLineChars="0"/>
        <w:jc w:val="center"/>
        <w:outlineLvl w:val="9"/>
        <w:rPr>
          <w:rFonts w:hint="eastAsia" w:ascii="宋体" w:hAnsi="宋体" w:eastAsia="宋体" w:cs="宋体"/>
          <w:bCs w:val="0"/>
          <w:color w:val="auto"/>
          <w:sz w:val="28"/>
          <w:szCs w:val="28"/>
          <w:highlight w:val="none"/>
          <w:lang w:val="en-US" w:eastAsia="zh-CN"/>
        </w:rPr>
      </w:pPr>
    </w:p>
    <w:p w14:paraId="5D9DB8E4">
      <w:pPr>
        <w:rPr>
          <w:rFonts w:hint="eastAsia" w:ascii="宋体" w:hAnsi="宋体" w:eastAsia="宋体" w:cs="宋体"/>
          <w:bCs w:val="0"/>
          <w:color w:val="auto"/>
          <w:sz w:val="28"/>
          <w:szCs w:val="28"/>
          <w:highlight w:val="none"/>
          <w:lang w:val="en-US" w:eastAsia="zh-CN"/>
        </w:rPr>
      </w:pPr>
    </w:p>
    <w:p w14:paraId="77C49F46">
      <w:pPr>
        <w:spacing w:line="360" w:lineRule="auto"/>
        <w:rPr>
          <w:rFonts w:hint="eastAsia" w:ascii="宋体" w:hAnsi="宋体" w:eastAsia="宋体" w:cs="宋体"/>
          <w:b/>
          <w:sz w:val="24"/>
          <w:szCs w:val="24"/>
        </w:rPr>
      </w:pPr>
      <w:r>
        <w:rPr>
          <w:rFonts w:hint="eastAsia" w:ascii="宋体" w:hAnsi="宋体" w:eastAsia="宋体" w:cs="宋体"/>
          <w:b/>
          <w:bCs/>
          <w:spacing w:val="-5"/>
          <w:sz w:val="28"/>
          <w:szCs w:val="28"/>
          <w:highlight w:val="none"/>
          <w:lang w:val="en-US" w:eastAsia="zh-CN"/>
        </w:rPr>
        <w:br w:type="page"/>
      </w:r>
      <w:r>
        <w:rPr>
          <w:rFonts w:hint="eastAsia" w:ascii="宋体" w:hAnsi="宋体" w:eastAsia="宋体" w:cs="宋体"/>
          <w:b/>
          <w:sz w:val="24"/>
          <w:szCs w:val="24"/>
        </w:rPr>
        <w:t>特别注意事项：</w:t>
      </w:r>
    </w:p>
    <w:p w14:paraId="072A2BC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根据曲靖市财政局曲财采[2023]16号文件《曲靖市财政局关于对政府采购投标申请人基本资格条件试行“承诺+信用管理”准入管理制的通知》，</w:t>
      </w:r>
      <w:r>
        <w:rPr>
          <w:rFonts w:hint="eastAsia" w:ascii="宋体" w:hAnsi="宋体" w:eastAsia="宋体" w:cs="宋体"/>
          <w:sz w:val="24"/>
          <w:szCs w:val="24"/>
          <w:lang w:val="en-US" w:eastAsia="zh-CN"/>
        </w:rPr>
        <w:t>供应商</w:t>
      </w:r>
      <w:r>
        <w:rPr>
          <w:rFonts w:hint="eastAsia" w:ascii="宋体" w:hAnsi="宋体" w:eastAsia="宋体" w:cs="宋体"/>
          <w:sz w:val="24"/>
          <w:szCs w:val="24"/>
        </w:rPr>
        <w:t>实行</w:t>
      </w:r>
      <w:r>
        <w:rPr>
          <w:rFonts w:hint="eastAsia" w:ascii="宋体" w:hAnsi="宋体" w:eastAsia="宋体" w:cs="宋体"/>
          <w:b/>
          <w:sz w:val="24"/>
          <w:szCs w:val="24"/>
        </w:rPr>
        <w:t>自愿原则</w:t>
      </w:r>
      <w:r>
        <w:rPr>
          <w:rFonts w:hint="eastAsia" w:ascii="宋体" w:hAnsi="宋体" w:eastAsia="宋体" w:cs="宋体"/>
          <w:sz w:val="24"/>
          <w:szCs w:val="24"/>
        </w:rPr>
        <w:t>并应当以书面形式作出资格信用承诺。</w:t>
      </w:r>
    </w:p>
    <w:p w14:paraId="76BA9D30">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投标申请人未提供资格</w:t>
      </w:r>
      <w:r>
        <w:rPr>
          <w:rFonts w:hint="eastAsia" w:ascii="宋体" w:hAnsi="宋体" w:eastAsia="宋体" w:cs="宋体"/>
          <w:b/>
          <w:sz w:val="24"/>
          <w:szCs w:val="24"/>
          <w:lang w:val="en-US" w:eastAsia="zh-CN"/>
        </w:rPr>
        <w:t>条件</w:t>
      </w:r>
      <w:r>
        <w:rPr>
          <w:rFonts w:hint="eastAsia" w:ascii="宋体" w:hAnsi="宋体" w:eastAsia="宋体" w:cs="宋体"/>
          <w:b/>
          <w:sz w:val="24"/>
          <w:szCs w:val="24"/>
        </w:rPr>
        <w:t>承诺</w:t>
      </w:r>
      <w:r>
        <w:rPr>
          <w:rFonts w:hint="eastAsia" w:ascii="宋体" w:hAnsi="宋体" w:eastAsia="宋体" w:cs="宋体"/>
          <w:b/>
          <w:sz w:val="24"/>
          <w:szCs w:val="24"/>
          <w:lang w:val="en-US" w:eastAsia="zh-CN"/>
        </w:rPr>
        <w:t>函</w:t>
      </w:r>
      <w:r>
        <w:rPr>
          <w:rFonts w:hint="eastAsia" w:ascii="宋体" w:hAnsi="宋体" w:eastAsia="宋体" w:cs="宋体"/>
          <w:b/>
          <w:sz w:val="24"/>
          <w:szCs w:val="24"/>
        </w:rPr>
        <w:t>的，应当按照《中华人民共和国政府采购法》及其实施条例的相关规定提供相应的证明材料。</w:t>
      </w:r>
    </w:p>
    <w:p w14:paraId="72F8289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（1）提供有效</w:t>
      </w:r>
      <w:r>
        <w:rPr>
          <w:rFonts w:hint="eastAsia" w:ascii="宋体" w:hAnsi="宋体" w:eastAsia="宋体" w:cs="宋体"/>
          <w:sz w:val="24"/>
          <w:szCs w:val="24"/>
          <w:lang w:val="en-US" w:eastAsia="zh-CN"/>
        </w:rPr>
        <w:t>的</w:t>
      </w:r>
      <w:r>
        <w:rPr>
          <w:rFonts w:hint="eastAsia" w:ascii="宋体" w:hAnsi="宋体" w:eastAsia="宋体" w:cs="宋体"/>
          <w:sz w:val="24"/>
          <w:szCs w:val="24"/>
        </w:rPr>
        <w:t>营业执照；</w:t>
      </w:r>
    </w:p>
    <w:p w14:paraId="1A5B3EF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（2）提供</w:t>
      </w:r>
      <w:r>
        <w:rPr>
          <w:rFonts w:hint="eastAsia" w:ascii="宋体" w:hAnsi="宋体" w:eastAsia="宋体" w:cs="宋体"/>
          <w:sz w:val="24"/>
          <w:szCs w:val="24"/>
          <w:lang w:val="en-US" w:eastAsia="zh-CN"/>
        </w:rPr>
        <w:t>2025年度</w:t>
      </w:r>
      <w:r>
        <w:rPr>
          <w:rFonts w:hint="eastAsia" w:ascii="宋体" w:hAnsi="宋体" w:eastAsia="宋体" w:cs="宋体"/>
          <w:sz w:val="24"/>
          <w:szCs w:val="24"/>
        </w:rPr>
        <w:t>的会计报表</w:t>
      </w:r>
      <w:r>
        <w:rPr>
          <w:rFonts w:hint="eastAsia" w:ascii="宋体" w:hAnsi="宋体" w:eastAsia="宋体" w:cs="宋体"/>
          <w:sz w:val="24"/>
          <w:szCs w:val="24"/>
          <w:lang w:val="en-US" w:eastAsia="zh-CN"/>
        </w:rPr>
        <w:t>（新成立或因合并、分立、成立的新企业，从其登记注册或变更后的会计年度开始计算）</w:t>
      </w:r>
      <w:r>
        <w:rPr>
          <w:rFonts w:hint="eastAsia" w:ascii="宋体" w:hAnsi="宋体" w:eastAsia="宋体" w:cs="宋体"/>
          <w:sz w:val="24"/>
          <w:szCs w:val="24"/>
        </w:rPr>
        <w:t xml:space="preserve">； </w:t>
      </w:r>
    </w:p>
    <w:p w14:paraId="6EBE81D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（3）提供202</w:t>
      </w:r>
      <w:r>
        <w:rPr>
          <w:rFonts w:hint="eastAsia" w:ascii="宋体" w:hAnsi="宋体" w:eastAsia="宋体" w:cs="宋体"/>
          <w:sz w:val="24"/>
          <w:szCs w:val="24"/>
          <w:lang w:val="en-US" w:eastAsia="zh-CN"/>
        </w:rPr>
        <w:t>5</w:t>
      </w:r>
      <w:r>
        <w:rPr>
          <w:rFonts w:hint="eastAsia" w:ascii="宋体" w:hAnsi="宋体" w:eastAsia="宋体" w:cs="宋体"/>
          <w:sz w:val="24"/>
          <w:szCs w:val="24"/>
        </w:rPr>
        <w:t>年</w:t>
      </w:r>
      <w:r>
        <w:rPr>
          <w:rFonts w:hint="eastAsia" w:ascii="宋体" w:hAnsi="宋体" w:eastAsia="宋体" w:cs="宋体"/>
          <w:sz w:val="24"/>
          <w:szCs w:val="24"/>
          <w:lang w:val="en-US" w:eastAsia="zh-CN"/>
        </w:rPr>
        <w:t>12</w:t>
      </w:r>
      <w:r>
        <w:rPr>
          <w:rFonts w:hint="eastAsia" w:ascii="宋体" w:hAnsi="宋体" w:eastAsia="宋体" w:cs="宋体"/>
          <w:sz w:val="24"/>
          <w:szCs w:val="24"/>
        </w:rPr>
        <w:t>月以来任意3个月依法缴纳税收、社会保障资金的相关证明资料</w:t>
      </w:r>
      <w:r>
        <w:rPr>
          <w:rFonts w:hint="eastAsia" w:ascii="宋体" w:hAnsi="宋体" w:eastAsia="宋体" w:cs="宋体"/>
          <w:sz w:val="24"/>
          <w:szCs w:val="24"/>
          <w:lang w:eastAsia="zh-CN"/>
        </w:rPr>
        <w:t>（依法享有免税、免缴优惠政策的供应商，须提供相关证明材料）</w:t>
      </w:r>
      <w:r>
        <w:rPr>
          <w:rFonts w:hint="eastAsia" w:ascii="宋体" w:hAnsi="宋体" w:eastAsia="宋体" w:cs="宋体"/>
          <w:sz w:val="24"/>
          <w:szCs w:val="24"/>
        </w:rPr>
        <w:t>；</w:t>
      </w:r>
    </w:p>
    <w:p w14:paraId="22647AC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（4）具有履行合同所必需的设备和专业技术能力</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自行提供相关证明材料</w:t>
      </w:r>
      <w:r>
        <w:rPr>
          <w:rFonts w:hint="eastAsia" w:ascii="宋体" w:hAnsi="宋体" w:eastAsia="宋体" w:cs="宋体"/>
          <w:sz w:val="24"/>
          <w:szCs w:val="24"/>
          <w:lang w:eastAsia="zh-CN"/>
        </w:rPr>
        <w:t>）</w:t>
      </w:r>
      <w:r>
        <w:rPr>
          <w:rFonts w:hint="eastAsia" w:ascii="宋体" w:hAnsi="宋体" w:eastAsia="宋体" w:cs="宋体"/>
          <w:sz w:val="24"/>
          <w:szCs w:val="24"/>
        </w:rPr>
        <w:t>；</w:t>
      </w:r>
    </w:p>
    <w:p w14:paraId="2645B48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（5）提供参加政府采购活动前3年内在经营活动中没有重大违法记录的书面声明；</w:t>
      </w:r>
    </w:p>
    <w:p w14:paraId="599E8EE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不存在违反《中华人民共和国政府采购法实施条例》第十八条“单位负责人为同一人或者存在直接控股、管理关系的不同投标申请人，不得参加同一合同项下的政府采购活动。除单一来源采购项目外，为采购项目提供整体设计、规范编制或者项目管理、监理、检测等服务的投标申请人，不得再参加该采购项目的其他采购活动。”规定的情形承诺书。</w:t>
      </w:r>
    </w:p>
    <w:p w14:paraId="5F9734EA">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注：①存在不良信用记录的投标申请人，在信用修复前不适用承诺制。</w:t>
      </w:r>
    </w:p>
    <w:p w14:paraId="0433FEA4">
      <w:pPr>
        <w:spacing w:line="360" w:lineRule="auto"/>
        <w:ind w:firstLine="964" w:firstLineChars="400"/>
        <w:rPr>
          <w:rFonts w:hint="eastAsia" w:ascii="宋体" w:hAnsi="宋体" w:eastAsia="宋体" w:cs="宋体"/>
          <w:sz w:val="24"/>
          <w:szCs w:val="24"/>
        </w:rPr>
        <w:sectPr>
          <w:headerReference r:id="rId4" w:type="default"/>
          <w:footerReference r:id="rId5" w:type="default"/>
          <w:footnotePr>
            <w:numFmt w:val="decimal"/>
          </w:footnotePr>
          <w:type w:val="continuous"/>
          <w:pgSz w:w="11900" w:h="16840"/>
          <w:pgMar w:top="1134" w:right="1134" w:bottom="1134" w:left="1134" w:header="680" w:footer="794" w:gutter="0"/>
          <w:pgNumType w:fmt="decimal"/>
          <w:cols w:space="720" w:num="1"/>
          <w:rtlGutter w:val="0"/>
          <w:docGrid w:linePitch="360" w:charSpace="0"/>
        </w:sectPr>
      </w:pPr>
      <w:r>
        <w:rPr>
          <w:rFonts w:hint="eastAsia" w:ascii="宋体" w:hAnsi="宋体" w:eastAsia="宋体" w:cs="宋体"/>
          <w:b/>
          <w:sz w:val="24"/>
          <w:szCs w:val="24"/>
        </w:rPr>
        <w:t>②投标申请人应对其资格信用承诺内容的真实性、合法性、有效性负责。如作出虚假承诺，视同“提供虚假材料谋取中标（成交）”的违法行为。经调查核实后，按照《中华人民共和国政府采购法》第七十七条，处以采购金额千分之五以上千分之十以下的罚款，列入不良行为记录名单，在一至三年内禁止参加政府采购活动，如有违法所得的，并处没收违法所得，情节严重的，由市场监管部门吊销营业执照；构成犯罪的，依法追究刑事责任。</w:t>
      </w:r>
    </w:p>
    <w:p w14:paraId="0C8197B9">
      <w:pPr>
        <w:bidi w:val="0"/>
        <w:spacing w:line="480" w:lineRule="auto"/>
        <w:jc w:val="center"/>
        <w:rPr>
          <w:rFonts w:hint="eastAsia"/>
          <w:sz w:val="24"/>
          <w:szCs w:val="24"/>
          <w:highlight w:val="none"/>
        </w:rPr>
      </w:pPr>
      <w:r>
        <w:rPr>
          <w:rFonts w:hint="eastAsia"/>
          <w:b/>
          <w:bCs/>
          <w:sz w:val="28"/>
          <w:szCs w:val="28"/>
          <w:lang w:val="en-US" w:eastAsia="zh-CN"/>
        </w:rPr>
        <w:t>（二）资格条件承诺函</w:t>
      </w:r>
    </w:p>
    <w:p w14:paraId="7675F1D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我方</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u w:val="none"/>
          <w:lang w:eastAsia="zh-CN"/>
        </w:rPr>
        <w:t>供应商</w:t>
      </w:r>
      <w:r>
        <w:rPr>
          <w:rFonts w:hint="eastAsia" w:ascii="宋体" w:hAnsi="宋体" w:eastAsia="宋体" w:cs="宋体"/>
          <w:sz w:val="24"/>
          <w:szCs w:val="24"/>
          <w:highlight w:val="none"/>
          <w:u w:val="none"/>
        </w:rPr>
        <w:t>名称</w:t>
      </w:r>
      <w:r>
        <w:rPr>
          <w:rFonts w:hint="eastAsia" w:ascii="宋体" w:hAnsi="宋体" w:eastAsia="宋体" w:cs="宋体"/>
          <w:sz w:val="24"/>
          <w:szCs w:val="24"/>
          <w:highlight w:val="none"/>
          <w:u w:val="none"/>
          <w:lang w:eastAsia="zh-CN"/>
        </w:rPr>
        <w:t>）</w:t>
      </w:r>
      <w:r>
        <w:rPr>
          <w:rFonts w:hint="eastAsia" w:ascii="宋体" w:hAnsi="宋体" w:eastAsia="宋体" w:cs="宋体"/>
          <w:sz w:val="24"/>
          <w:szCs w:val="24"/>
          <w:highlight w:val="none"/>
        </w:rPr>
        <w:t>符合《中华人民共和国政府采购法》第二十二条规定条件，具体包括</w:t>
      </w:r>
      <w:r>
        <w:rPr>
          <w:rFonts w:hint="eastAsia" w:ascii="宋体" w:hAnsi="宋体" w:eastAsia="宋体" w:cs="宋体"/>
          <w:sz w:val="24"/>
          <w:szCs w:val="24"/>
          <w:highlight w:val="none"/>
          <w:lang w:eastAsia="zh-CN"/>
        </w:rPr>
        <w:t>：</w:t>
      </w:r>
    </w:p>
    <w:p w14:paraId="2268CC5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具有独立承担民事责任的能力</w:t>
      </w:r>
      <w:r>
        <w:rPr>
          <w:rFonts w:hint="eastAsia" w:ascii="宋体" w:hAnsi="宋体" w:eastAsia="宋体" w:cs="宋体"/>
          <w:sz w:val="24"/>
          <w:szCs w:val="24"/>
          <w:highlight w:val="none"/>
          <w:lang w:val="en-US" w:eastAsia="zh-CN"/>
        </w:rPr>
        <w:t>；</w:t>
      </w:r>
    </w:p>
    <w:p w14:paraId="1E829CA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2.具有良好的商业信誉和健全的财务会计制度</w:t>
      </w:r>
      <w:r>
        <w:rPr>
          <w:rFonts w:hint="eastAsia" w:ascii="宋体" w:hAnsi="宋体" w:eastAsia="宋体" w:cs="宋体"/>
          <w:sz w:val="24"/>
          <w:szCs w:val="24"/>
          <w:highlight w:val="none"/>
          <w:lang w:eastAsia="zh-CN"/>
        </w:rPr>
        <w:t>；</w:t>
      </w:r>
    </w:p>
    <w:p w14:paraId="4CE72D1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3.有依法缴纳税收和社会保障资金的良好记录</w:t>
      </w:r>
      <w:r>
        <w:rPr>
          <w:rFonts w:hint="eastAsia" w:ascii="宋体" w:hAnsi="宋体" w:eastAsia="宋体" w:cs="宋体"/>
          <w:sz w:val="24"/>
          <w:szCs w:val="24"/>
          <w:highlight w:val="none"/>
          <w:lang w:eastAsia="zh-CN"/>
        </w:rPr>
        <w:t>；</w:t>
      </w:r>
    </w:p>
    <w:p w14:paraId="754FC75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4.具有履行合同所必需的设备和专业技术能力</w:t>
      </w:r>
      <w:r>
        <w:rPr>
          <w:rFonts w:hint="eastAsia" w:ascii="宋体" w:hAnsi="宋体" w:eastAsia="宋体" w:cs="宋体"/>
          <w:sz w:val="24"/>
          <w:szCs w:val="24"/>
          <w:highlight w:val="none"/>
          <w:lang w:eastAsia="zh-CN"/>
        </w:rPr>
        <w:t>；</w:t>
      </w:r>
    </w:p>
    <w:p w14:paraId="336E0B0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5.参加本次政府采购活动前三年内，在经营活动中没有重大违法记录</w:t>
      </w:r>
      <w:r>
        <w:rPr>
          <w:rFonts w:hint="eastAsia" w:ascii="宋体" w:hAnsi="宋体" w:eastAsia="宋体" w:cs="宋体"/>
          <w:sz w:val="24"/>
          <w:szCs w:val="24"/>
          <w:highlight w:val="none"/>
          <w:lang w:eastAsia="zh-CN"/>
        </w:rPr>
        <w:t>；</w:t>
      </w:r>
    </w:p>
    <w:p w14:paraId="41BA6B4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6.不存在违反《中华人民共和国政府采购法实施条例》第十八条“单位负责人为同一人或者存在直接控股、管理关系的不同</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，不得参加同一合同项下的政府采购活动。除单一来源采购项目外，为采购项目提供整体设计、规范编制或者项目管理、监理、检测等服务的</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，不得再参加该采购项目的其他采购活动。”规定的情形</w:t>
      </w:r>
      <w:r>
        <w:rPr>
          <w:rFonts w:hint="eastAsia" w:ascii="宋体" w:hAnsi="宋体" w:eastAsia="宋体" w:cs="宋体"/>
          <w:sz w:val="24"/>
          <w:szCs w:val="24"/>
          <w:highlight w:val="none"/>
          <w:lang w:eastAsia="zh-CN"/>
        </w:rPr>
        <w:t>；</w:t>
      </w:r>
    </w:p>
    <w:p w14:paraId="1F86844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7.在投标</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响应</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截止日期前未被列入失信被执行人名单、重大税收违法案件当事人名单、政府采购严重违法失信行为记录名单。</w:t>
      </w:r>
    </w:p>
    <w:p w14:paraId="71F81AC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我方对上述承诺的真实性负责，接受社会公众监督，如需检查核验，自愿接受采购单位</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采购代理机构</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的检查核验，配合提供相关证明材料，证明符合《中华人民共和国政府采购法》规定的</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基本资格条件。如有虚假，愿依法承担相应责任。</w:t>
      </w:r>
    </w:p>
    <w:p w14:paraId="4D4703C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特此承诺。</w:t>
      </w:r>
    </w:p>
    <w:p w14:paraId="22F2D42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szCs w:val="24"/>
          <w:highlight w:val="none"/>
        </w:rPr>
      </w:pPr>
    </w:p>
    <w:p w14:paraId="275F0BD3">
      <w:pPr>
        <w:widowControl w:val="0"/>
        <w:spacing w:line="600" w:lineRule="atLeas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lang w:eastAsia="zh-CN"/>
        </w:rPr>
        <w:t>电子公章</w:t>
      </w:r>
      <w:r>
        <w:rPr>
          <w:rFonts w:hint="eastAsia" w:ascii="宋体" w:hAnsi="宋体" w:eastAsia="宋体" w:cs="宋体"/>
          <w:sz w:val="24"/>
          <w:szCs w:val="24"/>
        </w:rPr>
        <w:t xml:space="preserve">）   </w:t>
      </w:r>
    </w:p>
    <w:p w14:paraId="77E3C883">
      <w:pPr>
        <w:widowControl w:val="0"/>
        <w:spacing w:line="600" w:lineRule="atLeas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法定代表人</w:t>
      </w:r>
      <w:r>
        <w:rPr>
          <w:rFonts w:hint="eastAsia" w:ascii="宋体" w:hAnsi="宋体" w:eastAsia="宋体" w:cs="宋体"/>
          <w:sz w:val="24"/>
          <w:szCs w:val="24"/>
        </w:rPr>
        <w:t>或委托代理人：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lang w:eastAsia="zh-CN"/>
        </w:rPr>
        <w:t>电子签名</w:t>
      </w:r>
      <w:r>
        <w:rPr>
          <w:rFonts w:hint="eastAsia" w:ascii="宋体" w:hAnsi="宋体" w:eastAsia="宋体" w:cs="宋体"/>
          <w:sz w:val="24"/>
          <w:szCs w:val="24"/>
        </w:rPr>
        <w:t xml:space="preserve">） </w:t>
      </w:r>
    </w:p>
    <w:p w14:paraId="242F642D">
      <w:pPr>
        <w:widowControl w:val="0"/>
        <w:spacing w:line="600" w:lineRule="atLeast"/>
        <w:ind w:firstLine="480" w:firstLineChars="200"/>
        <w:rPr>
          <w:rFonts w:hint="eastAsia"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6927EBF3">
      <w:pPr>
        <w:numPr>
          <w:ilvl w:val="0"/>
          <w:numId w:val="0"/>
        </w:numPr>
        <w:spacing w:before="78" w:line="600" w:lineRule="exact"/>
        <w:ind w:left="414" w:leftChars="0"/>
        <w:jc w:val="center"/>
        <w:rPr>
          <w:rFonts w:hint="eastAsia" w:ascii="宋体" w:hAnsi="宋体" w:eastAsia="宋体" w:cs="宋体"/>
          <w:b/>
          <w:bCs/>
          <w:snapToGrid w:val="0"/>
          <w:color w:val="auto"/>
          <w:spacing w:val="-3"/>
          <w:kern w:val="0"/>
          <w:position w:val="27"/>
          <w:sz w:val="24"/>
          <w:szCs w:val="24"/>
          <w:lang w:val="en-US" w:eastAsia="zh-CN" w:bidi="ar-SA"/>
        </w:rPr>
      </w:pPr>
    </w:p>
    <w:p w14:paraId="5DA9F37E">
      <w:pPr>
        <w:bidi w:val="0"/>
        <w:spacing w:line="480" w:lineRule="auto"/>
        <w:jc w:val="center"/>
        <w:rPr>
          <w:rFonts w:hint="eastAsia"/>
          <w:b/>
          <w:bCs/>
          <w:sz w:val="28"/>
          <w:szCs w:val="28"/>
          <w:lang w:val="en-US" w:eastAsia="zh-CN"/>
        </w:rPr>
      </w:pPr>
    </w:p>
    <w:p w14:paraId="0B66EC67">
      <w:pPr>
        <w:bidi w:val="0"/>
        <w:spacing w:line="480" w:lineRule="auto"/>
        <w:jc w:val="center"/>
        <w:rPr>
          <w:rFonts w:hint="eastAsia"/>
          <w:b/>
          <w:bCs/>
          <w:sz w:val="28"/>
          <w:szCs w:val="28"/>
          <w:lang w:val="en-US" w:eastAsia="zh-CN"/>
        </w:rPr>
      </w:pPr>
    </w:p>
    <w:p w14:paraId="24F83F56">
      <w:pPr>
        <w:bidi w:val="0"/>
        <w:spacing w:line="480" w:lineRule="auto"/>
        <w:jc w:val="center"/>
        <w:rPr>
          <w:rFonts w:hint="eastAsia"/>
          <w:b/>
          <w:bCs/>
          <w:sz w:val="28"/>
          <w:szCs w:val="28"/>
          <w:lang w:val="en-US" w:eastAsia="zh-CN"/>
        </w:rPr>
      </w:pPr>
    </w:p>
    <w:p w14:paraId="38AF2EE3">
      <w:pPr>
        <w:bidi w:val="0"/>
        <w:spacing w:line="480" w:lineRule="auto"/>
        <w:jc w:val="center"/>
        <w:rPr>
          <w:rFonts w:hint="eastAsia"/>
          <w:b/>
          <w:bCs/>
          <w:sz w:val="28"/>
          <w:szCs w:val="28"/>
          <w:lang w:val="en-US" w:eastAsia="zh-CN"/>
        </w:rPr>
      </w:pPr>
      <w:r>
        <w:rPr>
          <w:rFonts w:hint="eastAsia"/>
          <w:b/>
          <w:bCs/>
          <w:sz w:val="28"/>
          <w:szCs w:val="28"/>
          <w:lang w:val="en-US" w:eastAsia="zh-CN"/>
        </w:rPr>
        <w:t>（三）特定资格要求</w:t>
      </w:r>
    </w:p>
    <w:p w14:paraId="11C2AD9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（1）具备建设行政主管部门核发的建筑工程施工总承包三级及以上资质；具备有效期内的安全生产许可证。</w:t>
      </w:r>
    </w:p>
    <w:p w14:paraId="1784AFA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）项目经理具备建筑工程专业</w:t>
      </w: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lang w:eastAsia="zh-CN"/>
        </w:rPr>
        <w:t>级及以上注册建造师</w:t>
      </w:r>
      <w:r>
        <w:rPr>
          <w:rFonts w:hint="eastAsia" w:ascii="宋体" w:hAnsi="宋体" w:eastAsia="宋体" w:cs="宋体"/>
          <w:sz w:val="24"/>
          <w:szCs w:val="24"/>
          <w:highlight w:val="none"/>
          <w:lang w:val="en-US" w:eastAsia="zh-CN"/>
        </w:rPr>
        <w:t>资格</w:t>
      </w:r>
      <w:r>
        <w:rPr>
          <w:rFonts w:hint="eastAsia" w:ascii="宋体" w:hAnsi="宋体" w:eastAsia="宋体" w:cs="宋体"/>
          <w:sz w:val="24"/>
          <w:szCs w:val="24"/>
          <w:highlight w:val="none"/>
          <w:lang w:eastAsia="zh-CN"/>
        </w:rPr>
        <w:t>证书，具备有效的安全生产考核合格证（B证），且未担任其他在建、</w:t>
      </w:r>
      <w:r>
        <w:rPr>
          <w:rFonts w:hint="eastAsia" w:ascii="宋体" w:hAnsi="宋体" w:eastAsia="宋体" w:cs="宋体"/>
          <w:sz w:val="24"/>
          <w:szCs w:val="24"/>
          <w:highlight w:val="none"/>
          <w:lang w:val="en-US" w:eastAsia="zh-CN"/>
        </w:rPr>
        <w:t>待建</w:t>
      </w:r>
      <w:r>
        <w:rPr>
          <w:rFonts w:hint="eastAsia" w:ascii="宋体" w:hAnsi="宋体" w:eastAsia="宋体" w:cs="宋体"/>
          <w:sz w:val="24"/>
          <w:szCs w:val="24"/>
          <w:highlight w:val="none"/>
          <w:lang w:eastAsia="zh-CN"/>
        </w:rPr>
        <w:t>工程项目的项目经理</w:t>
      </w:r>
      <w:r>
        <w:rPr>
          <w:rFonts w:hint="eastAsia" w:ascii="Times New Roman" w:hAnsi="Times New Roman" w:eastAsia="宋体" w:cs="宋体"/>
          <w:i w:val="0"/>
          <w:iCs w:val="0"/>
          <w:caps w:val="0"/>
          <w:smallCaps w:val="0"/>
          <w:color w:val="auto"/>
          <w:sz w:val="24"/>
          <w:szCs w:val="24"/>
          <w:highlight w:val="none"/>
          <w:lang w:val="en-US" w:eastAsia="zh-CN"/>
        </w:rPr>
        <w:t>承诺书</w:t>
      </w:r>
      <w:r>
        <w:rPr>
          <w:rFonts w:hint="eastAsia" w:ascii="宋体" w:hAnsi="宋体" w:eastAsia="宋体" w:cs="宋体"/>
          <w:sz w:val="24"/>
          <w:szCs w:val="24"/>
          <w:highlight w:val="none"/>
          <w:lang w:eastAsia="zh-CN"/>
        </w:rPr>
        <w:t>。</w:t>
      </w:r>
    </w:p>
    <w:p w14:paraId="00D87FA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）技术负责人</w:t>
      </w:r>
      <w:r>
        <w:rPr>
          <w:rFonts w:hint="eastAsia" w:ascii="宋体" w:hAnsi="宋体" w:eastAsia="宋体" w:cs="宋体"/>
          <w:sz w:val="24"/>
          <w:szCs w:val="24"/>
          <w:highlight w:val="none"/>
          <w:lang w:val="en-US" w:eastAsia="zh-CN"/>
        </w:rPr>
        <w:t>具备工程施工技术管理工作经历，具有建筑工程相关专业中级及以上技术职称或建筑工程专业二级及以上注册建造师资格证书。</w:t>
      </w:r>
    </w:p>
    <w:p w14:paraId="1AC00971">
      <w:pPr>
        <w:bidi w:val="0"/>
        <w:spacing w:line="480" w:lineRule="auto"/>
        <w:jc w:val="left"/>
        <w:rPr>
          <w:rFonts w:hint="eastAsia"/>
          <w:b/>
          <w:bCs/>
          <w:sz w:val="28"/>
          <w:szCs w:val="28"/>
          <w:lang w:val="en-US" w:eastAsia="zh-CN"/>
        </w:rPr>
      </w:pPr>
    </w:p>
    <w:p w14:paraId="2E27AF8C">
      <w:pPr>
        <w:bidi w:val="0"/>
        <w:spacing w:line="480" w:lineRule="auto"/>
        <w:jc w:val="left"/>
        <w:rPr>
          <w:rFonts w:hint="eastAsia"/>
          <w:b/>
          <w:bCs/>
          <w:sz w:val="28"/>
          <w:szCs w:val="28"/>
          <w:lang w:val="en-US" w:eastAsia="zh-CN"/>
        </w:rPr>
      </w:pPr>
    </w:p>
    <w:p w14:paraId="0B1039B8">
      <w:pPr>
        <w:bidi w:val="0"/>
        <w:spacing w:line="480" w:lineRule="auto"/>
        <w:jc w:val="left"/>
        <w:rPr>
          <w:rFonts w:hint="eastAsia"/>
          <w:b/>
          <w:bCs/>
          <w:sz w:val="28"/>
          <w:szCs w:val="28"/>
          <w:lang w:val="en-US" w:eastAsia="zh-CN"/>
        </w:rPr>
      </w:pPr>
    </w:p>
    <w:p w14:paraId="3A981548">
      <w:pPr>
        <w:bidi w:val="0"/>
        <w:spacing w:line="480" w:lineRule="auto"/>
        <w:jc w:val="left"/>
        <w:rPr>
          <w:rFonts w:hint="eastAsia"/>
          <w:b/>
          <w:bCs/>
          <w:sz w:val="28"/>
          <w:szCs w:val="28"/>
          <w:lang w:val="en-US" w:eastAsia="zh-CN"/>
        </w:rPr>
      </w:pPr>
    </w:p>
    <w:p w14:paraId="666DE07D">
      <w:pPr>
        <w:bidi w:val="0"/>
        <w:spacing w:line="480" w:lineRule="auto"/>
        <w:jc w:val="left"/>
        <w:rPr>
          <w:rFonts w:hint="eastAsia"/>
          <w:b/>
          <w:bCs/>
          <w:sz w:val="28"/>
          <w:szCs w:val="28"/>
          <w:lang w:val="en-US" w:eastAsia="zh-CN"/>
        </w:rPr>
      </w:pPr>
    </w:p>
    <w:p w14:paraId="22ED0EB7">
      <w:pPr>
        <w:bidi w:val="0"/>
        <w:spacing w:line="480" w:lineRule="auto"/>
        <w:jc w:val="left"/>
        <w:rPr>
          <w:rFonts w:hint="eastAsia"/>
          <w:b/>
          <w:bCs/>
          <w:sz w:val="28"/>
          <w:szCs w:val="28"/>
          <w:lang w:val="en-US" w:eastAsia="zh-CN"/>
        </w:rPr>
      </w:pPr>
    </w:p>
    <w:p w14:paraId="00EB1E5B">
      <w:pPr>
        <w:bidi w:val="0"/>
        <w:spacing w:line="480" w:lineRule="auto"/>
        <w:jc w:val="left"/>
        <w:rPr>
          <w:rFonts w:hint="eastAsia"/>
          <w:b/>
          <w:bCs/>
          <w:sz w:val="28"/>
          <w:szCs w:val="28"/>
          <w:lang w:val="en-US" w:eastAsia="zh-CN"/>
        </w:rPr>
      </w:pPr>
    </w:p>
    <w:p w14:paraId="114BB779">
      <w:pPr>
        <w:bidi w:val="0"/>
        <w:spacing w:line="480" w:lineRule="auto"/>
        <w:jc w:val="left"/>
        <w:rPr>
          <w:rFonts w:hint="eastAsia"/>
          <w:b/>
          <w:bCs/>
          <w:sz w:val="28"/>
          <w:szCs w:val="28"/>
          <w:lang w:val="en-US" w:eastAsia="zh-CN"/>
        </w:rPr>
      </w:pPr>
    </w:p>
    <w:p w14:paraId="040A5144">
      <w:pPr>
        <w:bidi w:val="0"/>
        <w:spacing w:line="480" w:lineRule="auto"/>
        <w:jc w:val="left"/>
        <w:rPr>
          <w:rFonts w:hint="eastAsia"/>
          <w:b/>
          <w:bCs/>
          <w:sz w:val="28"/>
          <w:szCs w:val="28"/>
          <w:lang w:val="en-US" w:eastAsia="zh-CN"/>
        </w:rPr>
      </w:pPr>
    </w:p>
    <w:p w14:paraId="30DA67BC">
      <w:pPr>
        <w:bidi w:val="0"/>
        <w:spacing w:line="480" w:lineRule="auto"/>
        <w:jc w:val="left"/>
        <w:rPr>
          <w:rFonts w:hint="eastAsia"/>
          <w:b/>
          <w:bCs/>
          <w:sz w:val="28"/>
          <w:szCs w:val="28"/>
          <w:lang w:val="en-US" w:eastAsia="zh-CN"/>
        </w:rPr>
      </w:pPr>
    </w:p>
    <w:p w14:paraId="7F4D935B">
      <w:pPr>
        <w:bidi w:val="0"/>
        <w:spacing w:line="480" w:lineRule="auto"/>
        <w:jc w:val="left"/>
        <w:rPr>
          <w:rFonts w:hint="eastAsia"/>
          <w:b/>
          <w:bCs/>
          <w:sz w:val="28"/>
          <w:szCs w:val="28"/>
          <w:lang w:val="en-US" w:eastAsia="zh-CN"/>
        </w:rPr>
      </w:pPr>
    </w:p>
    <w:p w14:paraId="498F2F3B">
      <w:pPr>
        <w:bidi w:val="0"/>
        <w:spacing w:line="480" w:lineRule="auto"/>
        <w:jc w:val="left"/>
        <w:rPr>
          <w:rFonts w:hint="eastAsia"/>
          <w:b/>
          <w:bCs/>
          <w:sz w:val="28"/>
          <w:szCs w:val="28"/>
          <w:lang w:val="en-US" w:eastAsia="zh-CN"/>
        </w:rPr>
      </w:pPr>
    </w:p>
    <w:p w14:paraId="61088EC7">
      <w:pPr>
        <w:bidi w:val="0"/>
        <w:spacing w:line="480" w:lineRule="auto"/>
        <w:jc w:val="left"/>
        <w:rPr>
          <w:rFonts w:hint="eastAsia"/>
          <w:b/>
          <w:bCs/>
          <w:sz w:val="28"/>
          <w:szCs w:val="28"/>
          <w:lang w:val="en-US" w:eastAsia="zh-CN"/>
        </w:rPr>
      </w:pPr>
    </w:p>
    <w:p w14:paraId="26FCEA6F">
      <w:pPr>
        <w:bidi w:val="0"/>
        <w:spacing w:line="480" w:lineRule="auto"/>
        <w:jc w:val="left"/>
        <w:rPr>
          <w:rFonts w:hint="eastAsia"/>
          <w:b/>
          <w:bCs/>
          <w:sz w:val="28"/>
          <w:szCs w:val="28"/>
          <w:lang w:val="en-US" w:eastAsia="zh-CN"/>
        </w:rPr>
      </w:pPr>
    </w:p>
    <w:p w14:paraId="235F0ABF">
      <w:pPr>
        <w:bidi w:val="0"/>
        <w:spacing w:line="480" w:lineRule="auto"/>
        <w:jc w:val="left"/>
        <w:rPr>
          <w:rFonts w:hint="eastAsia"/>
          <w:b/>
          <w:bCs/>
          <w:sz w:val="28"/>
          <w:szCs w:val="28"/>
          <w:lang w:val="en-US" w:eastAsia="zh-CN"/>
        </w:rPr>
      </w:pPr>
    </w:p>
    <w:p w14:paraId="17E4C72F">
      <w:pPr>
        <w:jc w:val="center"/>
        <w:rPr>
          <w:rFonts w:hint="eastAsia" w:ascii="宋体" w:hAnsi="宋体" w:eastAsia="宋体" w:cs="宋体"/>
          <w:b/>
          <w:bCs/>
          <w:sz w:val="28"/>
          <w:szCs w:val="28"/>
        </w:rPr>
      </w:pPr>
      <w:r>
        <w:rPr>
          <w:rFonts w:hint="eastAsia" w:ascii="宋体" w:hAnsi="宋体" w:eastAsia="宋体" w:cs="宋体"/>
          <w:b/>
          <w:bCs/>
          <w:sz w:val="28"/>
          <w:szCs w:val="28"/>
        </w:rPr>
        <w:t>项目负责人简历表</w:t>
      </w:r>
    </w:p>
    <w:p w14:paraId="04C89943">
      <w:pPr>
        <w:spacing w:line="420" w:lineRule="exact"/>
        <w:ind w:firstLine="480" w:firstLineChars="200"/>
        <w:jc w:val="left"/>
        <w:rPr>
          <w:rFonts w:ascii="宋体" w:hAnsi="宋体"/>
          <w:sz w:val="24"/>
          <w:szCs w:val="24"/>
        </w:rPr>
      </w:pPr>
      <w:r>
        <w:rPr>
          <w:rFonts w:hint="eastAsia" w:ascii="宋体" w:hAnsi="宋体"/>
          <w:sz w:val="24"/>
          <w:szCs w:val="24"/>
        </w:rPr>
        <w:t>项目负责人</w:t>
      </w:r>
      <w:r>
        <w:rPr>
          <w:rFonts w:hint="eastAsia" w:ascii="Times New Roman" w:hAnsi="Times New Roman" w:eastAsia="宋体" w:cs="Times New Roman"/>
          <w:color w:val="auto"/>
          <w:sz w:val="24"/>
          <w:szCs w:val="24"/>
          <w:highlight w:val="none"/>
        </w:rPr>
        <w:t>执业资格证书、安全生产考核合格证（B证）</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rPr>
        <w:t>身份证</w:t>
      </w:r>
      <w:r>
        <w:rPr>
          <w:rFonts w:hint="eastAsia" w:ascii="宋体" w:hAnsi="宋体"/>
          <w:sz w:val="24"/>
          <w:szCs w:val="24"/>
        </w:rPr>
        <w:t>、</w:t>
      </w:r>
      <w:r>
        <w:rPr>
          <w:rFonts w:hint="eastAsia" w:ascii="宋体" w:hAnsi="宋体"/>
          <w:sz w:val="24"/>
          <w:szCs w:val="24"/>
          <w:lang w:val="en-US" w:eastAsia="zh-CN"/>
        </w:rPr>
        <w:t>社保缴纳证明</w:t>
      </w:r>
      <w:r>
        <w:rPr>
          <w:rFonts w:hint="eastAsia" w:ascii="宋体" w:hAnsi="宋体"/>
          <w:sz w:val="24"/>
          <w:szCs w:val="24"/>
        </w:rPr>
        <w:t>及</w:t>
      </w:r>
      <w:r>
        <w:rPr>
          <w:rFonts w:hint="eastAsia" w:ascii="宋体" w:hAnsi="宋体" w:eastAsia="宋体" w:cs="宋体"/>
          <w:sz w:val="24"/>
          <w:szCs w:val="24"/>
          <w:highlight w:val="none"/>
          <w:lang w:eastAsia="zh-CN"/>
        </w:rPr>
        <w:t>未担任其他在建、</w:t>
      </w:r>
      <w:r>
        <w:rPr>
          <w:rFonts w:hint="eastAsia" w:ascii="宋体" w:hAnsi="宋体" w:eastAsia="宋体" w:cs="宋体"/>
          <w:sz w:val="24"/>
          <w:szCs w:val="24"/>
          <w:highlight w:val="none"/>
          <w:lang w:val="en-US" w:eastAsia="zh-CN"/>
        </w:rPr>
        <w:t>待建</w:t>
      </w:r>
      <w:r>
        <w:rPr>
          <w:rFonts w:hint="eastAsia" w:ascii="宋体" w:hAnsi="宋体" w:eastAsia="宋体" w:cs="宋体"/>
          <w:sz w:val="24"/>
          <w:szCs w:val="24"/>
          <w:highlight w:val="none"/>
          <w:lang w:eastAsia="zh-CN"/>
        </w:rPr>
        <w:t>工程项目的项目经理</w:t>
      </w:r>
      <w:r>
        <w:rPr>
          <w:rFonts w:hint="eastAsia" w:ascii="Times New Roman" w:hAnsi="Times New Roman" w:eastAsia="宋体" w:cs="宋体"/>
          <w:i w:val="0"/>
          <w:iCs w:val="0"/>
          <w:caps w:val="0"/>
          <w:smallCaps w:val="0"/>
          <w:color w:val="auto"/>
          <w:sz w:val="24"/>
          <w:szCs w:val="24"/>
          <w:highlight w:val="none"/>
          <w:lang w:val="en-US" w:eastAsia="zh-CN"/>
        </w:rPr>
        <w:t>承诺书</w:t>
      </w:r>
      <w:r>
        <w:rPr>
          <w:rFonts w:hint="eastAsia" w:ascii="宋体" w:hAnsi="宋体"/>
          <w:sz w:val="24"/>
          <w:szCs w:val="24"/>
        </w:rPr>
        <w:t>。</w:t>
      </w:r>
    </w:p>
    <w:tbl>
      <w:tblPr>
        <w:tblStyle w:val="28"/>
        <w:tblW w:w="920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473"/>
        <w:gridCol w:w="1124"/>
        <w:gridCol w:w="1229"/>
        <w:gridCol w:w="1378"/>
        <w:gridCol w:w="1005"/>
        <w:gridCol w:w="978"/>
        <w:gridCol w:w="982"/>
        <w:gridCol w:w="1326"/>
      </w:tblGrid>
      <w:tr w14:paraId="37C87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182" w:type="dxa"/>
            <w:gridSpan w:val="2"/>
            <w:tcBorders>
              <w:top w:val="single" w:color="auto" w:sz="4" w:space="0"/>
              <w:left w:val="single" w:color="auto" w:sz="4" w:space="0"/>
              <w:bottom w:val="single" w:color="auto" w:sz="4" w:space="0"/>
              <w:right w:val="single" w:color="auto" w:sz="4" w:space="0"/>
            </w:tcBorders>
            <w:vAlign w:val="center"/>
          </w:tcPr>
          <w:p w14:paraId="23E18B8A">
            <w:pPr>
              <w:jc w:val="center"/>
              <w:rPr>
                <w:rFonts w:ascii="宋体" w:hAnsi="宋体"/>
                <w:sz w:val="24"/>
                <w:szCs w:val="24"/>
              </w:rPr>
            </w:pPr>
            <w:r>
              <w:rPr>
                <w:rFonts w:hint="eastAsia" w:ascii="宋体" w:hAnsi="宋体"/>
                <w:sz w:val="24"/>
                <w:szCs w:val="24"/>
              </w:rPr>
              <w:t>姓  名</w:t>
            </w:r>
          </w:p>
        </w:tc>
        <w:tc>
          <w:tcPr>
            <w:tcW w:w="1124" w:type="dxa"/>
            <w:tcBorders>
              <w:top w:val="single" w:color="auto" w:sz="4" w:space="0"/>
              <w:left w:val="single" w:color="auto" w:sz="4" w:space="0"/>
              <w:bottom w:val="single" w:color="auto" w:sz="4" w:space="0"/>
              <w:right w:val="single" w:color="auto" w:sz="4" w:space="0"/>
            </w:tcBorders>
            <w:vAlign w:val="center"/>
          </w:tcPr>
          <w:p w14:paraId="59667ED5">
            <w:pPr>
              <w:jc w:val="center"/>
              <w:rPr>
                <w:rFonts w:ascii="宋体" w:hAnsi="宋体"/>
                <w:sz w:val="24"/>
                <w:szCs w:val="24"/>
              </w:rPr>
            </w:pPr>
          </w:p>
        </w:tc>
        <w:tc>
          <w:tcPr>
            <w:tcW w:w="1229" w:type="dxa"/>
            <w:tcBorders>
              <w:top w:val="single" w:color="auto" w:sz="4" w:space="0"/>
              <w:left w:val="single" w:color="auto" w:sz="4" w:space="0"/>
              <w:bottom w:val="single" w:color="auto" w:sz="4" w:space="0"/>
              <w:right w:val="single" w:color="auto" w:sz="4" w:space="0"/>
            </w:tcBorders>
            <w:vAlign w:val="center"/>
          </w:tcPr>
          <w:p w14:paraId="03D5C425">
            <w:pPr>
              <w:jc w:val="center"/>
              <w:rPr>
                <w:rFonts w:ascii="宋体" w:hAnsi="宋体"/>
                <w:sz w:val="24"/>
                <w:szCs w:val="24"/>
              </w:rPr>
            </w:pPr>
            <w:r>
              <w:rPr>
                <w:rFonts w:hint="eastAsia" w:ascii="宋体" w:hAnsi="宋体"/>
                <w:sz w:val="24"/>
                <w:szCs w:val="24"/>
              </w:rPr>
              <w:t>年  龄</w:t>
            </w:r>
          </w:p>
        </w:tc>
        <w:tc>
          <w:tcPr>
            <w:tcW w:w="1378" w:type="dxa"/>
            <w:tcBorders>
              <w:top w:val="single" w:color="auto" w:sz="4" w:space="0"/>
              <w:left w:val="single" w:color="auto" w:sz="4" w:space="0"/>
              <w:bottom w:val="single" w:color="auto" w:sz="4" w:space="0"/>
              <w:right w:val="single" w:color="auto" w:sz="4" w:space="0"/>
            </w:tcBorders>
            <w:vAlign w:val="center"/>
          </w:tcPr>
          <w:p w14:paraId="587ADF2B">
            <w:pPr>
              <w:jc w:val="center"/>
              <w:rPr>
                <w:rFonts w:ascii="宋体" w:hAnsi="宋体"/>
                <w:sz w:val="24"/>
                <w:szCs w:val="24"/>
              </w:rPr>
            </w:pPr>
          </w:p>
        </w:tc>
        <w:tc>
          <w:tcPr>
            <w:tcW w:w="1983" w:type="dxa"/>
            <w:gridSpan w:val="2"/>
            <w:tcBorders>
              <w:top w:val="single" w:color="auto" w:sz="4" w:space="0"/>
              <w:left w:val="single" w:color="auto" w:sz="4" w:space="0"/>
              <w:bottom w:val="single" w:color="auto" w:sz="4" w:space="0"/>
              <w:right w:val="single" w:color="auto" w:sz="4" w:space="0"/>
            </w:tcBorders>
            <w:vAlign w:val="center"/>
          </w:tcPr>
          <w:p w14:paraId="7B292A6F">
            <w:pPr>
              <w:jc w:val="center"/>
              <w:rPr>
                <w:rFonts w:ascii="宋体" w:hAnsi="宋体"/>
                <w:sz w:val="24"/>
                <w:szCs w:val="24"/>
              </w:rPr>
            </w:pPr>
            <w:r>
              <w:rPr>
                <w:rFonts w:hint="eastAsia" w:ascii="宋体" w:hAnsi="宋体"/>
                <w:sz w:val="24"/>
                <w:szCs w:val="24"/>
              </w:rPr>
              <w:t>学历</w:t>
            </w:r>
          </w:p>
        </w:tc>
        <w:tc>
          <w:tcPr>
            <w:tcW w:w="2308" w:type="dxa"/>
            <w:gridSpan w:val="2"/>
            <w:tcBorders>
              <w:top w:val="single" w:color="auto" w:sz="4" w:space="0"/>
              <w:left w:val="single" w:color="auto" w:sz="4" w:space="0"/>
              <w:bottom w:val="single" w:color="auto" w:sz="4" w:space="0"/>
              <w:right w:val="single" w:color="auto" w:sz="4" w:space="0"/>
            </w:tcBorders>
            <w:vAlign w:val="center"/>
          </w:tcPr>
          <w:p w14:paraId="46EFA116">
            <w:pPr>
              <w:jc w:val="center"/>
              <w:rPr>
                <w:rFonts w:ascii="宋体" w:hAnsi="宋体"/>
                <w:sz w:val="24"/>
                <w:szCs w:val="24"/>
              </w:rPr>
            </w:pPr>
          </w:p>
        </w:tc>
      </w:tr>
      <w:tr w14:paraId="75E4F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182" w:type="dxa"/>
            <w:gridSpan w:val="2"/>
            <w:tcBorders>
              <w:top w:val="single" w:color="auto" w:sz="4" w:space="0"/>
              <w:left w:val="single" w:color="auto" w:sz="4" w:space="0"/>
              <w:bottom w:val="single" w:color="auto" w:sz="4" w:space="0"/>
              <w:right w:val="single" w:color="auto" w:sz="4" w:space="0"/>
            </w:tcBorders>
            <w:vAlign w:val="center"/>
          </w:tcPr>
          <w:p w14:paraId="4842CF3F">
            <w:pPr>
              <w:jc w:val="center"/>
              <w:rPr>
                <w:rFonts w:ascii="宋体" w:hAnsi="宋体"/>
                <w:sz w:val="24"/>
                <w:szCs w:val="24"/>
              </w:rPr>
            </w:pPr>
            <w:r>
              <w:rPr>
                <w:rFonts w:hint="eastAsia" w:ascii="宋体" w:hAnsi="宋体"/>
                <w:sz w:val="24"/>
                <w:szCs w:val="24"/>
              </w:rPr>
              <w:t>职  称</w:t>
            </w:r>
          </w:p>
        </w:tc>
        <w:tc>
          <w:tcPr>
            <w:tcW w:w="1124" w:type="dxa"/>
            <w:tcBorders>
              <w:top w:val="single" w:color="auto" w:sz="4" w:space="0"/>
              <w:left w:val="single" w:color="auto" w:sz="4" w:space="0"/>
              <w:bottom w:val="single" w:color="auto" w:sz="4" w:space="0"/>
              <w:right w:val="single" w:color="auto" w:sz="4" w:space="0"/>
            </w:tcBorders>
            <w:vAlign w:val="center"/>
          </w:tcPr>
          <w:p w14:paraId="374F65CF">
            <w:pPr>
              <w:jc w:val="center"/>
              <w:rPr>
                <w:rFonts w:ascii="宋体" w:hAnsi="宋体"/>
                <w:sz w:val="24"/>
                <w:szCs w:val="24"/>
              </w:rPr>
            </w:pPr>
          </w:p>
        </w:tc>
        <w:tc>
          <w:tcPr>
            <w:tcW w:w="1229" w:type="dxa"/>
            <w:tcBorders>
              <w:top w:val="single" w:color="auto" w:sz="4" w:space="0"/>
              <w:left w:val="single" w:color="auto" w:sz="4" w:space="0"/>
              <w:bottom w:val="single" w:color="auto" w:sz="4" w:space="0"/>
              <w:right w:val="single" w:color="auto" w:sz="4" w:space="0"/>
            </w:tcBorders>
            <w:vAlign w:val="center"/>
          </w:tcPr>
          <w:p w14:paraId="3A2BE2D0">
            <w:pPr>
              <w:jc w:val="center"/>
              <w:rPr>
                <w:rFonts w:ascii="宋体" w:hAnsi="宋体"/>
                <w:sz w:val="24"/>
                <w:szCs w:val="24"/>
              </w:rPr>
            </w:pPr>
            <w:r>
              <w:rPr>
                <w:rFonts w:hint="eastAsia" w:ascii="宋体" w:hAnsi="宋体"/>
                <w:sz w:val="24"/>
                <w:szCs w:val="24"/>
              </w:rPr>
              <w:t>职  务</w:t>
            </w:r>
          </w:p>
        </w:tc>
        <w:tc>
          <w:tcPr>
            <w:tcW w:w="1378" w:type="dxa"/>
            <w:tcBorders>
              <w:top w:val="single" w:color="auto" w:sz="4" w:space="0"/>
              <w:left w:val="single" w:color="auto" w:sz="4" w:space="0"/>
              <w:bottom w:val="single" w:color="auto" w:sz="4" w:space="0"/>
              <w:right w:val="single" w:color="auto" w:sz="4" w:space="0"/>
            </w:tcBorders>
            <w:vAlign w:val="center"/>
          </w:tcPr>
          <w:p w14:paraId="5A82DEE3">
            <w:pPr>
              <w:jc w:val="center"/>
              <w:rPr>
                <w:rFonts w:ascii="宋体" w:hAnsi="宋体"/>
                <w:sz w:val="24"/>
                <w:szCs w:val="24"/>
              </w:rPr>
            </w:pPr>
          </w:p>
        </w:tc>
        <w:tc>
          <w:tcPr>
            <w:tcW w:w="1983" w:type="dxa"/>
            <w:gridSpan w:val="2"/>
            <w:tcBorders>
              <w:top w:val="single" w:color="auto" w:sz="4" w:space="0"/>
              <w:left w:val="single" w:color="auto" w:sz="4" w:space="0"/>
              <w:bottom w:val="single" w:color="auto" w:sz="4" w:space="0"/>
              <w:right w:val="single" w:color="auto" w:sz="4" w:space="0"/>
            </w:tcBorders>
            <w:vAlign w:val="center"/>
          </w:tcPr>
          <w:p w14:paraId="1CB4882B">
            <w:pPr>
              <w:jc w:val="center"/>
              <w:rPr>
                <w:rFonts w:ascii="宋体" w:hAnsi="宋体"/>
                <w:sz w:val="24"/>
                <w:szCs w:val="24"/>
              </w:rPr>
            </w:pPr>
            <w:r>
              <w:rPr>
                <w:rFonts w:hint="eastAsia" w:ascii="宋体" w:hAnsi="宋体"/>
                <w:sz w:val="24"/>
                <w:szCs w:val="24"/>
              </w:rPr>
              <w:t>拟在本工程任职</w:t>
            </w:r>
          </w:p>
        </w:tc>
        <w:tc>
          <w:tcPr>
            <w:tcW w:w="2308" w:type="dxa"/>
            <w:gridSpan w:val="2"/>
            <w:tcBorders>
              <w:top w:val="single" w:color="auto" w:sz="4" w:space="0"/>
              <w:left w:val="single" w:color="auto" w:sz="4" w:space="0"/>
              <w:bottom w:val="single" w:color="auto" w:sz="4" w:space="0"/>
              <w:right w:val="single" w:color="auto" w:sz="4" w:space="0"/>
            </w:tcBorders>
            <w:vAlign w:val="center"/>
          </w:tcPr>
          <w:p w14:paraId="580DB00F">
            <w:pPr>
              <w:jc w:val="center"/>
              <w:rPr>
                <w:rFonts w:ascii="宋体" w:hAnsi="宋体"/>
                <w:sz w:val="24"/>
                <w:szCs w:val="24"/>
              </w:rPr>
            </w:pPr>
            <w:r>
              <w:rPr>
                <w:rFonts w:hint="eastAsia" w:ascii="宋体" w:hAnsi="宋体"/>
                <w:sz w:val="24"/>
                <w:szCs w:val="24"/>
              </w:rPr>
              <w:t>项目负责人</w:t>
            </w:r>
          </w:p>
        </w:tc>
      </w:tr>
      <w:tr w14:paraId="5625F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3535" w:type="dxa"/>
            <w:gridSpan w:val="4"/>
            <w:tcBorders>
              <w:top w:val="single" w:color="auto" w:sz="4" w:space="0"/>
              <w:left w:val="single" w:color="auto" w:sz="4" w:space="0"/>
              <w:bottom w:val="single" w:color="auto" w:sz="4" w:space="0"/>
              <w:right w:val="single" w:color="auto" w:sz="4" w:space="0"/>
            </w:tcBorders>
            <w:vAlign w:val="center"/>
          </w:tcPr>
          <w:p w14:paraId="4461F5C5">
            <w:pPr>
              <w:jc w:val="center"/>
              <w:rPr>
                <w:rFonts w:ascii="宋体" w:hAnsi="宋体"/>
                <w:sz w:val="24"/>
                <w:szCs w:val="24"/>
              </w:rPr>
            </w:pPr>
            <w:r>
              <w:rPr>
                <w:rFonts w:hint="eastAsia" w:ascii="宋体" w:hAnsi="宋体"/>
                <w:sz w:val="24"/>
                <w:szCs w:val="24"/>
              </w:rPr>
              <w:t>资格证书</w:t>
            </w:r>
          </w:p>
        </w:tc>
        <w:tc>
          <w:tcPr>
            <w:tcW w:w="5669" w:type="dxa"/>
            <w:gridSpan w:val="5"/>
            <w:tcBorders>
              <w:top w:val="single" w:color="auto" w:sz="4" w:space="0"/>
              <w:left w:val="single" w:color="auto" w:sz="4" w:space="0"/>
              <w:bottom w:val="single" w:color="auto" w:sz="4" w:space="0"/>
              <w:right w:val="single" w:color="auto" w:sz="4" w:space="0"/>
            </w:tcBorders>
            <w:vAlign w:val="center"/>
          </w:tcPr>
          <w:p w14:paraId="1920B05C">
            <w:pPr>
              <w:jc w:val="center"/>
              <w:rPr>
                <w:rFonts w:ascii="宋体" w:hAnsi="宋体"/>
                <w:sz w:val="24"/>
                <w:szCs w:val="24"/>
              </w:rPr>
            </w:pPr>
            <w:r>
              <w:rPr>
                <w:rFonts w:hint="eastAsia" w:ascii="宋体" w:hAnsi="宋体"/>
                <w:sz w:val="24"/>
                <w:szCs w:val="24"/>
              </w:rPr>
              <w:t xml:space="preserve">      </w:t>
            </w:r>
          </w:p>
        </w:tc>
      </w:tr>
      <w:tr w14:paraId="10F7F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182" w:type="dxa"/>
            <w:gridSpan w:val="2"/>
            <w:tcBorders>
              <w:top w:val="single" w:color="auto" w:sz="4" w:space="0"/>
              <w:left w:val="single" w:color="auto" w:sz="4" w:space="0"/>
              <w:bottom w:val="single" w:color="auto" w:sz="4" w:space="0"/>
              <w:right w:val="single" w:color="auto" w:sz="4" w:space="0"/>
            </w:tcBorders>
            <w:vAlign w:val="center"/>
          </w:tcPr>
          <w:p w14:paraId="36AAAE29">
            <w:pPr>
              <w:jc w:val="center"/>
              <w:rPr>
                <w:rFonts w:ascii="宋体" w:hAnsi="宋体"/>
                <w:sz w:val="24"/>
                <w:szCs w:val="24"/>
              </w:rPr>
            </w:pPr>
            <w:r>
              <w:rPr>
                <w:rFonts w:hint="eastAsia" w:ascii="宋体" w:hAnsi="宋体"/>
                <w:sz w:val="24"/>
                <w:szCs w:val="24"/>
              </w:rPr>
              <w:t>毕业学校</w:t>
            </w:r>
          </w:p>
        </w:tc>
        <w:tc>
          <w:tcPr>
            <w:tcW w:w="8022" w:type="dxa"/>
            <w:gridSpan w:val="7"/>
            <w:tcBorders>
              <w:top w:val="single" w:color="auto" w:sz="4" w:space="0"/>
              <w:left w:val="single" w:color="auto" w:sz="4" w:space="0"/>
              <w:bottom w:val="single" w:color="auto" w:sz="4" w:space="0"/>
              <w:right w:val="single" w:color="auto" w:sz="4" w:space="0"/>
            </w:tcBorders>
            <w:vAlign w:val="center"/>
          </w:tcPr>
          <w:p w14:paraId="01FCE7A2">
            <w:pPr>
              <w:ind w:firstLine="960" w:firstLineChars="400"/>
              <w:rPr>
                <w:rFonts w:ascii="宋体" w:hAnsi="宋体"/>
                <w:sz w:val="24"/>
                <w:szCs w:val="24"/>
              </w:rPr>
            </w:pPr>
            <w:r>
              <w:rPr>
                <w:rFonts w:hint="eastAsia" w:ascii="宋体" w:hAnsi="宋体"/>
                <w:sz w:val="24"/>
                <w:szCs w:val="24"/>
              </w:rPr>
              <w:t>年毕业于                  学校            专业</w:t>
            </w:r>
          </w:p>
        </w:tc>
      </w:tr>
      <w:tr w14:paraId="1218F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9204" w:type="dxa"/>
            <w:gridSpan w:val="9"/>
            <w:tcBorders>
              <w:top w:val="single" w:color="auto" w:sz="4" w:space="0"/>
              <w:left w:val="single" w:color="auto" w:sz="4" w:space="0"/>
              <w:bottom w:val="single" w:color="auto" w:sz="4" w:space="0"/>
              <w:right w:val="single" w:color="auto" w:sz="4" w:space="0"/>
            </w:tcBorders>
            <w:vAlign w:val="center"/>
          </w:tcPr>
          <w:p w14:paraId="7E6B111F">
            <w:pPr>
              <w:jc w:val="center"/>
              <w:rPr>
                <w:rFonts w:ascii="宋体" w:hAnsi="宋体"/>
                <w:sz w:val="24"/>
                <w:szCs w:val="24"/>
              </w:rPr>
            </w:pPr>
            <w:r>
              <w:rPr>
                <w:rFonts w:hint="eastAsia" w:ascii="宋体" w:hAnsi="宋体"/>
                <w:sz w:val="24"/>
                <w:szCs w:val="24"/>
              </w:rPr>
              <w:t>主要工作经历</w:t>
            </w:r>
          </w:p>
        </w:tc>
      </w:tr>
      <w:tr w14:paraId="03216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709" w:type="dxa"/>
            <w:tcBorders>
              <w:top w:val="single" w:color="auto" w:sz="4" w:space="0"/>
              <w:left w:val="single" w:color="auto" w:sz="4" w:space="0"/>
              <w:bottom w:val="single" w:color="auto" w:sz="4" w:space="0"/>
              <w:right w:val="single" w:color="auto" w:sz="4" w:space="0"/>
            </w:tcBorders>
            <w:vAlign w:val="center"/>
          </w:tcPr>
          <w:p w14:paraId="5AEE38A0">
            <w:pPr>
              <w:jc w:val="center"/>
              <w:rPr>
                <w:rFonts w:ascii="宋体" w:hAnsi="宋体"/>
                <w:sz w:val="24"/>
                <w:szCs w:val="24"/>
              </w:rPr>
            </w:pPr>
            <w:r>
              <w:rPr>
                <w:rFonts w:hint="eastAsia" w:ascii="宋体" w:hAnsi="宋体"/>
                <w:sz w:val="24"/>
                <w:szCs w:val="24"/>
              </w:rPr>
              <w:t>序号</w:t>
            </w:r>
          </w:p>
        </w:tc>
        <w:tc>
          <w:tcPr>
            <w:tcW w:w="1597" w:type="dxa"/>
            <w:gridSpan w:val="2"/>
            <w:tcBorders>
              <w:top w:val="single" w:color="auto" w:sz="4" w:space="0"/>
              <w:left w:val="single" w:color="auto" w:sz="4" w:space="0"/>
              <w:bottom w:val="single" w:color="auto" w:sz="4" w:space="0"/>
              <w:right w:val="single" w:color="auto" w:sz="4" w:space="0"/>
            </w:tcBorders>
            <w:vAlign w:val="center"/>
          </w:tcPr>
          <w:p w14:paraId="001EEBC5">
            <w:pPr>
              <w:jc w:val="center"/>
              <w:rPr>
                <w:rFonts w:ascii="宋体" w:hAnsi="宋体"/>
                <w:sz w:val="24"/>
                <w:szCs w:val="24"/>
              </w:rPr>
            </w:pPr>
            <w:r>
              <w:rPr>
                <w:rFonts w:hint="eastAsia" w:ascii="宋体" w:hAnsi="宋体"/>
                <w:sz w:val="24"/>
                <w:szCs w:val="24"/>
              </w:rPr>
              <w:t>参加过的类似项目名称</w:t>
            </w:r>
          </w:p>
        </w:tc>
        <w:tc>
          <w:tcPr>
            <w:tcW w:w="1229" w:type="dxa"/>
            <w:tcBorders>
              <w:top w:val="single" w:color="auto" w:sz="4" w:space="0"/>
              <w:left w:val="single" w:color="auto" w:sz="4" w:space="0"/>
              <w:bottom w:val="single" w:color="auto" w:sz="4" w:space="0"/>
              <w:right w:val="single" w:color="auto" w:sz="4" w:space="0"/>
            </w:tcBorders>
            <w:vAlign w:val="center"/>
          </w:tcPr>
          <w:p w14:paraId="23F3C1A0">
            <w:pPr>
              <w:pStyle w:val="8"/>
              <w:spacing w:line="360" w:lineRule="auto"/>
              <w:ind w:firstLine="0"/>
              <w:jc w:val="center"/>
              <w:rPr>
                <w:rFonts w:ascii="宋体" w:hAnsi="宋体"/>
                <w:kern w:val="2"/>
                <w:sz w:val="24"/>
                <w:szCs w:val="24"/>
              </w:rPr>
            </w:pPr>
            <w:r>
              <w:rPr>
                <w:rFonts w:hint="eastAsia" w:ascii="宋体" w:hAnsi="宋体"/>
                <w:kern w:val="2"/>
                <w:sz w:val="24"/>
                <w:szCs w:val="24"/>
              </w:rPr>
              <w:t>项目地址</w:t>
            </w:r>
          </w:p>
        </w:tc>
        <w:tc>
          <w:tcPr>
            <w:tcW w:w="1378" w:type="dxa"/>
            <w:tcBorders>
              <w:top w:val="single" w:color="auto" w:sz="4" w:space="0"/>
              <w:left w:val="single" w:color="auto" w:sz="4" w:space="0"/>
              <w:bottom w:val="single" w:color="auto" w:sz="4" w:space="0"/>
              <w:right w:val="single" w:color="auto" w:sz="4" w:space="0"/>
            </w:tcBorders>
            <w:vAlign w:val="center"/>
          </w:tcPr>
          <w:p w14:paraId="72F91BB4">
            <w:pPr>
              <w:pStyle w:val="8"/>
              <w:spacing w:line="360" w:lineRule="auto"/>
              <w:ind w:firstLine="0"/>
              <w:jc w:val="center"/>
              <w:rPr>
                <w:rFonts w:ascii="宋体" w:hAnsi="宋体"/>
                <w:kern w:val="2"/>
                <w:sz w:val="24"/>
                <w:szCs w:val="24"/>
              </w:rPr>
            </w:pPr>
            <w:r>
              <w:rPr>
                <w:rFonts w:hint="eastAsia" w:ascii="宋体" w:hAnsi="宋体"/>
                <w:kern w:val="2"/>
                <w:sz w:val="24"/>
                <w:szCs w:val="24"/>
              </w:rPr>
              <w:t>业主名称</w:t>
            </w:r>
          </w:p>
        </w:tc>
        <w:tc>
          <w:tcPr>
            <w:tcW w:w="1005" w:type="dxa"/>
            <w:tcBorders>
              <w:top w:val="single" w:color="auto" w:sz="4" w:space="0"/>
              <w:left w:val="single" w:color="auto" w:sz="4" w:space="0"/>
              <w:bottom w:val="single" w:color="auto" w:sz="4" w:space="0"/>
              <w:right w:val="single" w:color="auto" w:sz="4" w:space="0"/>
            </w:tcBorders>
            <w:vAlign w:val="center"/>
          </w:tcPr>
          <w:p w14:paraId="5B337CB7">
            <w:pPr>
              <w:pStyle w:val="8"/>
              <w:spacing w:line="360" w:lineRule="auto"/>
              <w:ind w:firstLine="0"/>
              <w:jc w:val="center"/>
              <w:rPr>
                <w:rFonts w:ascii="宋体" w:hAnsi="宋体"/>
                <w:kern w:val="2"/>
                <w:sz w:val="24"/>
                <w:szCs w:val="24"/>
              </w:rPr>
            </w:pPr>
            <w:r>
              <w:rPr>
                <w:rFonts w:hint="eastAsia" w:ascii="宋体" w:hAnsi="宋体"/>
                <w:kern w:val="2"/>
                <w:sz w:val="24"/>
                <w:szCs w:val="24"/>
              </w:rPr>
              <w:t>联系人姓名及电话</w:t>
            </w:r>
          </w:p>
        </w:tc>
        <w:tc>
          <w:tcPr>
            <w:tcW w:w="978" w:type="dxa"/>
            <w:tcBorders>
              <w:top w:val="single" w:color="auto" w:sz="4" w:space="0"/>
              <w:left w:val="single" w:color="auto" w:sz="4" w:space="0"/>
              <w:bottom w:val="single" w:color="auto" w:sz="4" w:space="0"/>
              <w:right w:val="single" w:color="auto" w:sz="4" w:space="0"/>
            </w:tcBorders>
            <w:vAlign w:val="center"/>
          </w:tcPr>
          <w:p w14:paraId="3FBA859F">
            <w:pPr>
              <w:pStyle w:val="8"/>
              <w:spacing w:line="360" w:lineRule="auto"/>
              <w:ind w:firstLine="0"/>
              <w:jc w:val="center"/>
              <w:rPr>
                <w:rFonts w:ascii="宋体" w:hAnsi="宋体"/>
                <w:kern w:val="2"/>
                <w:sz w:val="24"/>
                <w:szCs w:val="24"/>
              </w:rPr>
            </w:pPr>
            <w:r>
              <w:rPr>
                <w:rFonts w:hint="eastAsia" w:ascii="宋体" w:hAnsi="宋体"/>
                <w:kern w:val="2"/>
                <w:sz w:val="24"/>
                <w:szCs w:val="24"/>
              </w:rPr>
              <w:t>合同</w:t>
            </w:r>
          </w:p>
          <w:p w14:paraId="082F72F5">
            <w:pPr>
              <w:pStyle w:val="8"/>
              <w:spacing w:line="360" w:lineRule="auto"/>
              <w:ind w:firstLine="0"/>
              <w:jc w:val="center"/>
              <w:rPr>
                <w:rFonts w:ascii="宋体" w:hAnsi="宋体"/>
                <w:kern w:val="2"/>
                <w:sz w:val="24"/>
                <w:szCs w:val="24"/>
              </w:rPr>
            </w:pPr>
            <w:r>
              <w:rPr>
                <w:rFonts w:hint="eastAsia" w:ascii="宋体" w:hAnsi="宋体"/>
                <w:kern w:val="2"/>
                <w:sz w:val="24"/>
                <w:szCs w:val="24"/>
              </w:rPr>
              <w:t>金额</w:t>
            </w:r>
          </w:p>
        </w:tc>
        <w:tc>
          <w:tcPr>
            <w:tcW w:w="982" w:type="dxa"/>
            <w:tcBorders>
              <w:top w:val="single" w:color="auto" w:sz="4" w:space="0"/>
              <w:left w:val="single" w:color="auto" w:sz="4" w:space="0"/>
              <w:bottom w:val="single" w:color="auto" w:sz="4" w:space="0"/>
              <w:right w:val="single" w:color="auto" w:sz="4" w:space="0"/>
            </w:tcBorders>
            <w:vAlign w:val="center"/>
          </w:tcPr>
          <w:p w14:paraId="67602796">
            <w:pPr>
              <w:pStyle w:val="8"/>
              <w:spacing w:line="360" w:lineRule="auto"/>
              <w:ind w:firstLine="0"/>
              <w:jc w:val="center"/>
              <w:rPr>
                <w:rFonts w:ascii="宋体" w:hAnsi="宋体"/>
                <w:kern w:val="2"/>
                <w:sz w:val="24"/>
                <w:szCs w:val="24"/>
              </w:rPr>
            </w:pPr>
            <w:r>
              <w:rPr>
                <w:rFonts w:hint="eastAsia" w:ascii="宋体" w:hAnsi="宋体"/>
                <w:kern w:val="2"/>
                <w:sz w:val="24"/>
                <w:szCs w:val="24"/>
              </w:rPr>
              <w:t>完成</w:t>
            </w:r>
          </w:p>
          <w:p w14:paraId="7739B871">
            <w:pPr>
              <w:pStyle w:val="8"/>
              <w:spacing w:line="360" w:lineRule="auto"/>
              <w:ind w:firstLine="0"/>
              <w:jc w:val="center"/>
              <w:rPr>
                <w:rFonts w:ascii="宋体" w:hAnsi="宋体"/>
                <w:kern w:val="2"/>
                <w:sz w:val="24"/>
                <w:szCs w:val="24"/>
              </w:rPr>
            </w:pPr>
            <w:r>
              <w:rPr>
                <w:rFonts w:hint="eastAsia" w:ascii="宋体" w:hAnsi="宋体"/>
                <w:kern w:val="2"/>
                <w:sz w:val="24"/>
                <w:szCs w:val="24"/>
              </w:rPr>
              <w:t>时间</w:t>
            </w:r>
          </w:p>
        </w:tc>
        <w:tc>
          <w:tcPr>
            <w:tcW w:w="1326" w:type="dxa"/>
            <w:tcBorders>
              <w:top w:val="single" w:color="auto" w:sz="4" w:space="0"/>
              <w:left w:val="single" w:color="auto" w:sz="4" w:space="0"/>
              <w:bottom w:val="single" w:color="auto" w:sz="4" w:space="0"/>
              <w:right w:val="single" w:color="auto" w:sz="4" w:space="0"/>
            </w:tcBorders>
            <w:vAlign w:val="center"/>
          </w:tcPr>
          <w:p w14:paraId="56350D1D">
            <w:pPr>
              <w:jc w:val="center"/>
              <w:rPr>
                <w:rFonts w:ascii="宋体" w:hAnsi="宋体"/>
                <w:sz w:val="24"/>
                <w:szCs w:val="24"/>
              </w:rPr>
            </w:pPr>
            <w:r>
              <w:rPr>
                <w:rFonts w:hint="eastAsia" w:ascii="宋体" w:hAnsi="宋体"/>
                <w:sz w:val="24"/>
                <w:szCs w:val="24"/>
              </w:rPr>
              <w:t>在项目中担任何种职务</w:t>
            </w:r>
          </w:p>
        </w:tc>
      </w:tr>
      <w:tr w14:paraId="3E6EC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09" w:type="dxa"/>
            <w:tcBorders>
              <w:top w:val="single" w:color="auto" w:sz="4" w:space="0"/>
              <w:left w:val="single" w:color="auto" w:sz="4" w:space="0"/>
              <w:bottom w:val="single" w:color="auto" w:sz="4" w:space="0"/>
              <w:right w:val="single" w:color="auto" w:sz="4" w:space="0"/>
            </w:tcBorders>
            <w:vAlign w:val="center"/>
          </w:tcPr>
          <w:p w14:paraId="681A43D0">
            <w:pPr>
              <w:jc w:val="center"/>
              <w:rPr>
                <w:rFonts w:ascii="宋体" w:hAnsi="宋体"/>
                <w:sz w:val="24"/>
                <w:szCs w:val="24"/>
              </w:rPr>
            </w:pPr>
          </w:p>
        </w:tc>
        <w:tc>
          <w:tcPr>
            <w:tcW w:w="1597" w:type="dxa"/>
            <w:gridSpan w:val="2"/>
            <w:tcBorders>
              <w:top w:val="single" w:color="auto" w:sz="4" w:space="0"/>
              <w:left w:val="single" w:color="auto" w:sz="4" w:space="0"/>
              <w:bottom w:val="single" w:color="auto" w:sz="4" w:space="0"/>
              <w:right w:val="single" w:color="auto" w:sz="4" w:space="0"/>
            </w:tcBorders>
            <w:vAlign w:val="center"/>
          </w:tcPr>
          <w:p w14:paraId="2209710F">
            <w:pPr>
              <w:jc w:val="center"/>
              <w:rPr>
                <w:rFonts w:ascii="宋体" w:hAnsi="宋体"/>
                <w:sz w:val="24"/>
                <w:szCs w:val="24"/>
              </w:rPr>
            </w:pPr>
          </w:p>
        </w:tc>
        <w:tc>
          <w:tcPr>
            <w:tcW w:w="1229" w:type="dxa"/>
            <w:tcBorders>
              <w:top w:val="single" w:color="auto" w:sz="4" w:space="0"/>
              <w:left w:val="single" w:color="auto" w:sz="4" w:space="0"/>
              <w:bottom w:val="single" w:color="auto" w:sz="4" w:space="0"/>
              <w:right w:val="single" w:color="auto" w:sz="4" w:space="0"/>
            </w:tcBorders>
            <w:vAlign w:val="center"/>
          </w:tcPr>
          <w:p w14:paraId="265B75A4">
            <w:pPr>
              <w:jc w:val="center"/>
              <w:rPr>
                <w:rFonts w:ascii="宋体" w:hAnsi="宋体"/>
                <w:sz w:val="24"/>
                <w:szCs w:val="24"/>
              </w:rPr>
            </w:pPr>
          </w:p>
        </w:tc>
        <w:tc>
          <w:tcPr>
            <w:tcW w:w="1378" w:type="dxa"/>
            <w:tcBorders>
              <w:top w:val="single" w:color="auto" w:sz="4" w:space="0"/>
              <w:left w:val="single" w:color="auto" w:sz="4" w:space="0"/>
              <w:bottom w:val="single" w:color="auto" w:sz="4" w:space="0"/>
              <w:right w:val="single" w:color="auto" w:sz="4" w:space="0"/>
            </w:tcBorders>
            <w:vAlign w:val="center"/>
          </w:tcPr>
          <w:p w14:paraId="6CE137E8">
            <w:pPr>
              <w:jc w:val="center"/>
              <w:rPr>
                <w:rFonts w:ascii="宋体" w:hAnsi="宋体"/>
                <w:sz w:val="24"/>
                <w:szCs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21AC9EF3">
            <w:pPr>
              <w:jc w:val="center"/>
              <w:rPr>
                <w:rFonts w:ascii="宋体" w:hAnsi="宋体"/>
                <w:sz w:val="24"/>
                <w:szCs w:val="24"/>
              </w:rPr>
            </w:pPr>
          </w:p>
        </w:tc>
        <w:tc>
          <w:tcPr>
            <w:tcW w:w="978" w:type="dxa"/>
            <w:tcBorders>
              <w:top w:val="single" w:color="auto" w:sz="4" w:space="0"/>
              <w:left w:val="single" w:color="auto" w:sz="4" w:space="0"/>
              <w:bottom w:val="single" w:color="auto" w:sz="4" w:space="0"/>
              <w:right w:val="single" w:color="auto" w:sz="4" w:space="0"/>
            </w:tcBorders>
            <w:vAlign w:val="center"/>
          </w:tcPr>
          <w:p w14:paraId="77CBEFD9">
            <w:pPr>
              <w:jc w:val="center"/>
              <w:rPr>
                <w:rFonts w:ascii="宋体" w:hAnsi="宋体"/>
                <w:sz w:val="24"/>
                <w:szCs w:val="24"/>
              </w:rPr>
            </w:pPr>
          </w:p>
        </w:tc>
        <w:tc>
          <w:tcPr>
            <w:tcW w:w="982" w:type="dxa"/>
            <w:tcBorders>
              <w:top w:val="single" w:color="auto" w:sz="4" w:space="0"/>
              <w:left w:val="single" w:color="auto" w:sz="4" w:space="0"/>
              <w:bottom w:val="single" w:color="auto" w:sz="4" w:space="0"/>
              <w:right w:val="single" w:color="auto" w:sz="4" w:space="0"/>
            </w:tcBorders>
            <w:vAlign w:val="center"/>
          </w:tcPr>
          <w:p w14:paraId="61904231">
            <w:pPr>
              <w:jc w:val="center"/>
              <w:rPr>
                <w:rFonts w:ascii="宋体" w:hAnsi="宋体"/>
                <w:sz w:val="24"/>
                <w:szCs w:val="24"/>
              </w:rPr>
            </w:pPr>
          </w:p>
        </w:tc>
        <w:tc>
          <w:tcPr>
            <w:tcW w:w="1326" w:type="dxa"/>
            <w:tcBorders>
              <w:top w:val="single" w:color="auto" w:sz="4" w:space="0"/>
              <w:left w:val="single" w:color="auto" w:sz="4" w:space="0"/>
              <w:bottom w:val="single" w:color="auto" w:sz="4" w:space="0"/>
              <w:right w:val="single" w:color="auto" w:sz="4" w:space="0"/>
            </w:tcBorders>
            <w:vAlign w:val="center"/>
          </w:tcPr>
          <w:p w14:paraId="43F5B52F">
            <w:pPr>
              <w:jc w:val="center"/>
              <w:rPr>
                <w:rFonts w:ascii="宋体" w:hAnsi="宋体"/>
                <w:sz w:val="24"/>
                <w:szCs w:val="24"/>
              </w:rPr>
            </w:pPr>
          </w:p>
        </w:tc>
      </w:tr>
      <w:tr w14:paraId="7D80C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09" w:type="dxa"/>
            <w:tcBorders>
              <w:top w:val="single" w:color="auto" w:sz="4" w:space="0"/>
              <w:left w:val="single" w:color="auto" w:sz="4" w:space="0"/>
              <w:bottom w:val="single" w:color="auto" w:sz="4" w:space="0"/>
              <w:right w:val="single" w:color="auto" w:sz="4" w:space="0"/>
            </w:tcBorders>
            <w:vAlign w:val="center"/>
          </w:tcPr>
          <w:p w14:paraId="1277C882">
            <w:pPr>
              <w:jc w:val="center"/>
              <w:rPr>
                <w:rFonts w:ascii="宋体" w:hAnsi="宋体"/>
                <w:sz w:val="24"/>
                <w:szCs w:val="24"/>
              </w:rPr>
            </w:pPr>
          </w:p>
        </w:tc>
        <w:tc>
          <w:tcPr>
            <w:tcW w:w="1597" w:type="dxa"/>
            <w:gridSpan w:val="2"/>
            <w:tcBorders>
              <w:top w:val="single" w:color="auto" w:sz="4" w:space="0"/>
              <w:left w:val="single" w:color="auto" w:sz="4" w:space="0"/>
              <w:bottom w:val="single" w:color="auto" w:sz="4" w:space="0"/>
              <w:right w:val="single" w:color="auto" w:sz="4" w:space="0"/>
            </w:tcBorders>
            <w:vAlign w:val="center"/>
          </w:tcPr>
          <w:p w14:paraId="7795A220">
            <w:pPr>
              <w:jc w:val="center"/>
              <w:rPr>
                <w:rFonts w:ascii="宋体" w:hAnsi="宋体"/>
                <w:sz w:val="24"/>
                <w:szCs w:val="24"/>
              </w:rPr>
            </w:pPr>
          </w:p>
        </w:tc>
        <w:tc>
          <w:tcPr>
            <w:tcW w:w="1229" w:type="dxa"/>
            <w:tcBorders>
              <w:top w:val="single" w:color="auto" w:sz="4" w:space="0"/>
              <w:left w:val="single" w:color="auto" w:sz="4" w:space="0"/>
              <w:bottom w:val="single" w:color="auto" w:sz="4" w:space="0"/>
              <w:right w:val="single" w:color="auto" w:sz="4" w:space="0"/>
            </w:tcBorders>
            <w:vAlign w:val="center"/>
          </w:tcPr>
          <w:p w14:paraId="31EB96D0">
            <w:pPr>
              <w:jc w:val="center"/>
              <w:rPr>
                <w:rFonts w:ascii="宋体" w:hAnsi="宋体"/>
                <w:sz w:val="24"/>
                <w:szCs w:val="24"/>
              </w:rPr>
            </w:pPr>
          </w:p>
        </w:tc>
        <w:tc>
          <w:tcPr>
            <w:tcW w:w="1378" w:type="dxa"/>
            <w:tcBorders>
              <w:top w:val="single" w:color="auto" w:sz="4" w:space="0"/>
              <w:left w:val="single" w:color="auto" w:sz="4" w:space="0"/>
              <w:bottom w:val="single" w:color="auto" w:sz="4" w:space="0"/>
              <w:right w:val="single" w:color="auto" w:sz="4" w:space="0"/>
            </w:tcBorders>
            <w:vAlign w:val="center"/>
          </w:tcPr>
          <w:p w14:paraId="1142E08F">
            <w:pPr>
              <w:jc w:val="center"/>
              <w:rPr>
                <w:rFonts w:ascii="宋体" w:hAnsi="宋体"/>
                <w:sz w:val="24"/>
                <w:szCs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2F2035A1">
            <w:pPr>
              <w:jc w:val="center"/>
              <w:rPr>
                <w:rFonts w:ascii="宋体" w:hAnsi="宋体"/>
                <w:sz w:val="24"/>
                <w:szCs w:val="24"/>
              </w:rPr>
            </w:pPr>
          </w:p>
        </w:tc>
        <w:tc>
          <w:tcPr>
            <w:tcW w:w="978" w:type="dxa"/>
            <w:tcBorders>
              <w:top w:val="single" w:color="auto" w:sz="4" w:space="0"/>
              <w:left w:val="single" w:color="auto" w:sz="4" w:space="0"/>
              <w:bottom w:val="single" w:color="auto" w:sz="4" w:space="0"/>
              <w:right w:val="single" w:color="auto" w:sz="4" w:space="0"/>
            </w:tcBorders>
            <w:vAlign w:val="center"/>
          </w:tcPr>
          <w:p w14:paraId="4E43E1C3">
            <w:pPr>
              <w:jc w:val="center"/>
              <w:rPr>
                <w:rFonts w:ascii="宋体" w:hAnsi="宋体"/>
                <w:sz w:val="24"/>
                <w:szCs w:val="24"/>
              </w:rPr>
            </w:pPr>
          </w:p>
        </w:tc>
        <w:tc>
          <w:tcPr>
            <w:tcW w:w="982" w:type="dxa"/>
            <w:tcBorders>
              <w:top w:val="single" w:color="auto" w:sz="4" w:space="0"/>
              <w:left w:val="single" w:color="auto" w:sz="4" w:space="0"/>
              <w:bottom w:val="single" w:color="auto" w:sz="4" w:space="0"/>
              <w:right w:val="single" w:color="auto" w:sz="4" w:space="0"/>
            </w:tcBorders>
            <w:vAlign w:val="center"/>
          </w:tcPr>
          <w:p w14:paraId="222569E8">
            <w:pPr>
              <w:jc w:val="center"/>
              <w:rPr>
                <w:rFonts w:ascii="宋体" w:hAnsi="宋体"/>
                <w:sz w:val="24"/>
                <w:szCs w:val="24"/>
              </w:rPr>
            </w:pPr>
          </w:p>
        </w:tc>
        <w:tc>
          <w:tcPr>
            <w:tcW w:w="1326" w:type="dxa"/>
            <w:tcBorders>
              <w:top w:val="single" w:color="auto" w:sz="4" w:space="0"/>
              <w:left w:val="single" w:color="auto" w:sz="4" w:space="0"/>
              <w:bottom w:val="single" w:color="auto" w:sz="4" w:space="0"/>
              <w:right w:val="single" w:color="auto" w:sz="4" w:space="0"/>
            </w:tcBorders>
            <w:vAlign w:val="center"/>
          </w:tcPr>
          <w:p w14:paraId="48459A2B">
            <w:pPr>
              <w:jc w:val="center"/>
              <w:rPr>
                <w:rFonts w:ascii="宋体" w:hAnsi="宋体"/>
                <w:sz w:val="24"/>
                <w:szCs w:val="24"/>
              </w:rPr>
            </w:pPr>
          </w:p>
        </w:tc>
      </w:tr>
      <w:tr w14:paraId="05ECE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09" w:type="dxa"/>
            <w:tcBorders>
              <w:top w:val="single" w:color="auto" w:sz="4" w:space="0"/>
              <w:left w:val="single" w:color="auto" w:sz="4" w:space="0"/>
              <w:bottom w:val="single" w:color="auto" w:sz="4" w:space="0"/>
              <w:right w:val="single" w:color="auto" w:sz="4" w:space="0"/>
            </w:tcBorders>
            <w:vAlign w:val="center"/>
          </w:tcPr>
          <w:p w14:paraId="4A99892E">
            <w:pPr>
              <w:jc w:val="center"/>
              <w:rPr>
                <w:rFonts w:ascii="宋体" w:hAnsi="宋体"/>
                <w:sz w:val="24"/>
                <w:szCs w:val="24"/>
              </w:rPr>
            </w:pPr>
          </w:p>
        </w:tc>
        <w:tc>
          <w:tcPr>
            <w:tcW w:w="1597" w:type="dxa"/>
            <w:gridSpan w:val="2"/>
            <w:tcBorders>
              <w:top w:val="single" w:color="auto" w:sz="4" w:space="0"/>
              <w:left w:val="single" w:color="auto" w:sz="4" w:space="0"/>
              <w:bottom w:val="single" w:color="auto" w:sz="4" w:space="0"/>
              <w:right w:val="single" w:color="auto" w:sz="4" w:space="0"/>
            </w:tcBorders>
            <w:vAlign w:val="center"/>
          </w:tcPr>
          <w:p w14:paraId="55F1507C">
            <w:pPr>
              <w:jc w:val="center"/>
              <w:rPr>
                <w:rFonts w:ascii="宋体" w:hAnsi="宋体"/>
                <w:sz w:val="24"/>
                <w:szCs w:val="24"/>
              </w:rPr>
            </w:pPr>
          </w:p>
        </w:tc>
        <w:tc>
          <w:tcPr>
            <w:tcW w:w="1229" w:type="dxa"/>
            <w:tcBorders>
              <w:top w:val="single" w:color="auto" w:sz="4" w:space="0"/>
              <w:left w:val="single" w:color="auto" w:sz="4" w:space="0"/>
              <w:bottom w:val="single" w:color="auto" w:sz="4" w:space="0"/>
              <w:right w:val="single" w:color="auto" w:sz="4" w:space="0"/>
            </w:tcBorders>
            <w:vAlign w:val="center"/>
          </w:tcPr>
          <w:p w14:paraId="518FE336">
            <w:pPr>
              <w:jc w:val="center"/>
              <w:rPr>
                <w:rFonts w:ascii="宋体" w:hAnsi="宋体"/>
                <w:sz w:val="24"/>
                <w:szCs w:val="24"/>
              </w:rPr>
            </w:pPr>
          </w:p>
        </w:tc>
        <w:tc>
          <w:tcPr>
            <w:tcW w:w="1378" w:type="dxa"/>
            <w:tcBorders>
              <w:top w:val="single" w:color="auto" w:sz="4" w:space="0"/>
              <w:left w:val="single" w:color="auto" w:sz="4" w:space="0"/>
              <w:bottom w:val="single" w:color="auto" w:sz="4" w:space="0"/>
              <w:right w:val="single" w:color="auto" w:sz="4" w:space="0"/>
            </w:tcBorders>
            <w:vAlign w:val="center"/>
          </w:tcPr>
          <w:p w14:paraId="5C8E9CE2">
            <w:pPr>
              <w:jc w:val="center"/>
              <w:rPr>
                <w:rFonts w:ascii="宋体" w:hAnsi="宋体"/>
                <w:sz w:val="24"/>
                <w:szCs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48036614">
            <w:pPr>
              <w:jc w:val="center"/>
              <w:rPr>
                <w:rFonts w:ascii="宋体" w:hAnsi="宋体"/>
                <w:sz w:val="24"/>
                <w:szCs w:val="24"/>
              </w:rPr>
            </w:pPr>
          </w:p>
        </w:tc>
        <w:tc>
          <w:tcPr>
            <w:tcW w:w="978" w:type="dxa"/>
            <w:tcBorders>
              <w:top w:val="single" w:color="auto" w:sz="4" w:space="0"/>
              <w:left w:val="single" w:color="auto" w:sz="4" w:space="0"/>
              <w:bottom w:val="single" w:color="auto" w:sz="4" w:space="0"/>
              <w:right w:val="single" w:color="auto" w:sz="4" w:space="0"/>
            </w:tcBorders>
            <w:vAlign w:val="center"/>
          </w:tcPr>
          <w:p w14:paraId="4B96D360">
            <w:pPr>
              <w:jc w:val="center"/>
              <w:rPr>
                <w:rFonts w:ascii="宋体" w:hAnsi="宋体"/>
                <w:sz w:val="24"/>
                <w:szCs w:val="24"/>
              </w:rPr>
            </w:pPr>
          </w:p>
        </w:tc>
        <w:tc>
          <w:tcPr>
            <w:tcW w:w="982" w:type="dxa"/>
            <w:tcBorders>
              <w:top w:val="single" w:color="auto" w:sz="4" w:space="0"/>
              <w:left w:val="single" w:color="auto" w:sz="4" w:space="0"/>
              <w:bottom w:val="single" w:color="auto" w:sz="4" w:space="0"/>
              <w:right w:val="single" w:color="auto" w:sz="4" w:space="0"/>
            </w:tcBorders>
            <w:vAlign w:val="center"/>
          </w:tcPr>
          <w:p w14:paraId="25BB85BA">
            <w:pPr>
              <w:jc w:val="center"/>
              <w:rPr>
                <w:rFonts w:ascii="宋体" w:hAnsi="宋体"/>
                <w:sz w:val="24"/>
                <w:szCs w:val="24"/>
              </w:rPr>
            </w:pPr>
          </w:p>
        </w:tc>
        <w:tc>
          <w:tcPr>
            <w:tcW w:w="1326" w:type="dxa"/>
            <w:tcBorders>
              <w:top w:val="single" w:color="auto" w:sz="4" w:space="0"/>
              <w:left w:val="single" w:color="auto" w:sz="4" w:space="0"/>
              <w:bottom w:val="single" w:color="auto" w:sz="4" w:space="0"/>
              <w:right w:val="single" w:color="auto" w:sz="4" w:space="0"/>
            </w:tcBorders>
            <w:vAlign w:val="center"/>
          </w:tcPr>
          <w:p w14:paraId="5686EA6A">
            <w:pPr>
              <w:jc w:val="center"/>
              <w:rPr>
                <w:rFonts w:ascii="宋体" w:hAnsi="宋体"/>
                <w:sz w:val="24"/>
                <w:szCs w:val="24"/>
              </w:rPr>
            </w:pPr>
          </w:p>
        </w:tc>
      </w:tr>
      <w:tr w14:paraId="402A3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09" w:type="dxa"/>
            <w:tcBorders>
              <w:top w:val="single" w:color="auto" w:sz="4" w:space="0"/>
              <w:left w:val="single" w:color="auto" w:sz="4" w:space="0"/>
              <w:bottom w:val="single" w:color="auto" w:sz="4" w:space="0"/>
              <w:right w:val="single" w:color="auto" w:sz="4" w:space="0"/>
            </w:tcBorders>
            <w:vAlign w:val="center"/>
          </w:tcPr>
          <w:p w14:paraId="3B6C26BE">
            <w:pPr>
              <w:jc w:val="center"/>
              <w:rPr>
                <w:rFonts w:ascii="宋体" w:hAnsi="宋体"/>
                <w:sz w:val="24"/>
                <w:szCs w:val="24"/>
              </w:rPr>
            </w:pPr>
          </w:p>
        </w:tc>
        <w:tc>
          <w:tcPr>
            <w:tcW w:w="1597" w:type="dxa"/>
            <w:gridSpan w:val="2"/>
            <w:tcBorders>
              <w:top w:val="single" w:color="auto" w:sz="4" w:space="0"/>
              <w:left w:val="single" w:color="auto" w:sz="4" w:space="0"/>
              <w:bottom w:val="single" w:color="auto" w:sz="4" w:space="0"/>
              <w:right w:val="single" w:color="auto" w:sz="4" w:space="0"/>
            </w:tcBorders>
            <w:vAlign w:val="center"/>
          </w:tcPr>
          <w:p w14:paraId="6AAE5FC2">
            <w:pPr>
              <w:jc w:val="center"/>
              <w:rPr>
                <w:rFonts w:ascii="宋体" w:hAnsi="宋体"/>
                <w:sz w:val="24"/>
                <w:szCs w:val="24"/>
              </w:rPr>
            </w:pPr>
          </w:p>
        </w:tc>
        <w:tc>
          <w:tcPr>
            <w:tcW w:w="1229" w:type="dxa"/>
            <w:tcBorders>
              <w:top w:val="single" w:color="auto" w:sz="4" w:space="0"/>
              <w:left w:val="single" w:color="auto" w:sz="4" w:space="0"/>
              <w:bottom w:val="single" w:color="auto" w:sz="4" w:space="0"/>
              <w:right w:val="single" w:color="auto" w:sz="4" w:space="0"/>
            </w:tcBorders>
            <w:vAlign w:val="center"/>
          </w:tcPr>
          <w:p w14:paraId="539EE64A">
            <w:pPr>
              <w:jc w:val="center"/>
              <w:rPr>
                <w:rFonts w:ascii="宋体" w:hAnsi="宋体"/>
                <w:sz w:val="24"/>
                <w:szCs w:val="24"/>
              </w:rPr>
            </w:pPr>
          </w:p>
        </w:tc>
        <w:tc>
          <w:tcPr>
            <w:tcW w:w="1378" w:type="dxa"/>
            <w:tcBorders>
              <w:top w:val="single" w:color="auto" w:sz="4" w:space="0"/>
              <w:left w:val="single" w:color="auto" w:sz="4" w:space="0"/>
              <w:bottom w:val="single" w:color="auto" w:sz="4" w:space="0"/>
              <w:right w:val="single" w:color="auto" w:sz="4" w:space="0"/>
            </w:tcBorders>
            <w:vAlign w:val="center"/>
          </w:tcPr>
          <w:p w14:paraId="781203F5">
            <w:pPr>
              <w:jc w:val="center"/>
              <w:rPr>
                <w:rFonts w:ascii="宋体" w:hAnsi="宋体"/>
                <w:sz w:val="24"/>
                <w:szCs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744E4FE8">
            <w:pPr>
              <w:jc w:val="center"/>
              <w:rPr>
                <w:rFonts w:ascii="宋体" w:hAnsi="宋体"/>
                <w:sz w:val="24"/>
                <w:szCs w:val="24"/>
              </w:rPr>
            </w:pPr>
          </w:p>
        </w:tc>
        <w:tc>
          <w:tcPr>
            <w:tcW w:w="978" w:type="dxa"/>
            <w:tcBorders>
              <w:top w:val="single" w:color="auto" w:sz="4" w:space="0"/>
              <w:left w:val="single" w:color="auto" w:sz="4" w:space="0"/>
              <w:bottom w:val="single" w:color="auto" w:sz="4" w:space="0"/>
              <w:right w:val="single" w:color="auto" w:sz="4" w:space="0"/>
            </w:tcBorders>
            <w:vAlign w:val="center"/>
          </w:tcPr>
          <w:p w14:paraId="743A1EBA">
            <w:pPr>
              <w:jc w:val="center"/>
              <w:rPr>
                <w:rFonts w:ascii="宋体" w:hAnsi="宋体"/>
                <w:sz w:val="24"/>
                <w:szCs w:val="24"/>
              </w:rPr>
            </w:pPr>
          </w:p>
        </w:tc>
        <w:tc>
          <w:tcPr>
            <w:tcW w:w="982" w:type="dxa"/>
            <w:tcBorders>
              <w:top w:val="single" w:color="auto" w:sz="4" w:space="0"/>
              <w:left w:val="single" w:color="auto" w:sz="4" w:space="0"/>
              <w:bottom w:val="single" w:color="auto" w:sz="4" w:space="0"/>
              <w:right w:val="single" w:color="auto" w:sz="4" w:space="0"/>
            </w:tcBorders>
            <w:vAlign w:val="center"/>
          </w:tcPr>
          <w:p w14:paraId="3DEACDF7">
            <w:pPr>
              <w:jc w:val="center"/>
              <w:rPr>
                <w:rFonts w:ascii="宋体" w:hAnsi="宋体"/>
                <w:sz w:val="24"/>
                <w:szCs w:val="24"/>
              </w:rPr>
            </w:pPr>
          </w:p>
        </w:tc>
        <w:tc>
          <w:tcPr>
            <w:tcW w:w="1326" w:type="dxa"/>
            <w:tcBorders>
              <w:top w:val="single" w:color="auto" w:sz="4" w:space="0"/>
              <w:left w:val="single" w:color="auto" w:sz="4" w:space="0"/>
              <w:bottom w:val="single" w:color="auto" w:sz="4" w:space="0"/>
              <w:right w:val="single" w:color="auto" w:sz="4" w:space="0"/>
            </w:tcBorders>
            <w:vAlign w:val="center"/>
          </w:tcPr>
          <w:p w14:paraId="2BA026BB">
            <w:pPr>
              <w:jc w:val="center"/>
              <w:rPr>
                <w:rFonts w:ascii="宋体" w:hAnsi="宋体"/>
                <w:sz w:val="24"/>
                <w:szCs w:val="24"/>
              </w:rPr>
            </w:pPr>
          </w:p>
        </w:tc>
      </w:tr>
      <w:tr w14:paraId="179B2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09" w:type="dxa"/>
            <w:tcBorders>
              <w:top w:val="single" w:color="auto" w:sz="4" w:space="0"/>
              <w:left w:val="single" w:color="auto" w:sz="4" w:space="0"/>
              <w:bottom w:val="single" w:color="auto" w:sz="4" w:space="0"/>
              <w:right w:val="single" w:color="auto" w:sz="4" w:space="0"/>
            </w:tcBorders>
            <w:vAlign w:val="center"/>
          </w:tcPr>
          <w:p w14:paraId="3D286DA3">
            <w:pPr>
              <w:jc w:val="center"/>
              <w:rPr>
                <w:rFonts w:ascii="宋体" w:hAnsi="宋体"/>
                <w:sz w:val="24"/>
                <w:szCs w:val="24"/>
              </w:rPr>
            </w:pPr>
          </w:p>
        </w:tc>
        <w:tc>
          <w:tcPr>
            <w:tcW w:w="1597" w:type="dxa"/>
            <w:gridSpan w:val="2"/>
            <w:tcBorders>
              <w:top w:val="single" w:color="auto" w:sz="4" w:space="0"/>
              <w:left w:val="single" w:color="auto" w:sz="4" w:space="0"/>
              <w:bottom w:val="single" w:color="auto" w:sz="4" w:space="0"/>
              <w:right w:val="single" w:color="auto" w:sz="4" w:space="0"/>
            </w:tcBorders>
            <w:vAlign w:val="center"/>
          </w:tcPr>
          <w:p w14:paraId="12FDBD8D">
            <w:pPr>
              <w:jc w:val="center"/>
              <w:rPr>
                <w:rFonts w:ascii="宋体" w:hAnsi="宋体"/>
                <w:sz w:val="24"/>
                <w:szCs w:val="24"/>
              </w:rPr>
            </w:pPr>
          </w:p>
        </w:tc>
        <w:tc>
          <w:tcPr>
            <w:tcW w:w="1229" w:type="dxa"/>
            <w:tcBorders>
              <w:top w:val="single" w:color="auto" w:sz="4" w:space="0"/>
              <w:left w:val="single" w:color="auto" w:sz="4" w:space="0"/>
              <w:bottom w:val="single" w:color="auto" w:sz="4" w:space="0"/>
              <w:right w:val="single" w:color="auto" w:sz="4" w:space="0"/>
            </w:tcBorders>
            <w:vAlign w:val="center"/>
          </w:tcPr>
          <w:p w14:paraId="151D03D6">
            <w:pPr>
              <w:jc w:val="center"/>
              <w:rPr>
                <w:rFonts w:ascii="宋体" w:hAnsi="宋体"/>
                <w:sz w:val="24"/>
                <w:szCs w:val="24"/>
              </w:rPr>
            </w:pPr>
          </w:p>
        </w:tc>
        <w:tc>
          <w:tcPr>
            <w:tcW w:w="1378" w:type="dxa"/>
            <w:tcBorders>
              <w:top w:val="single" w:color="auto" w:sz="4" w:space="0"/>
              <w:left w:val="single" w:color="auto" w:sz="4" w:space="0"/>
              <w:bottom w:val="single" w:color="auto" w:sz="4" w:space="0"/>
              <w:right w:val="single" w:color="auto" w:sz="4" w:space="0"/>
            </w:tcBorders>
            <w:vAlign w:val="center"/>
          </w:tcPr>
          <w:p w14:paraId="35C05F10">
            <w:pPr>
              <w:jc w:val="center"/>
              <w:rPr>
                <w:rFonts w:ascii="宋体" w:hAnsi="宋体"/>
                <w:sz w:val="24"/>
                <w:szCs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0A3098ED">
            <w:pPr>
              <w:jc w:val="center"/>
              <w:rPr>
                <w:rFonts w:ascii="宋体" w:hAnsi="宋体"/>
                <w:sz w:val="24"/>
                <w:szCs w:val="24"/>
              </w:rPr>
            </w:pPr>
          </w:p>
        </w:tc>
        <w:tc>
          <w:tcPr>
            <w:tcW w:w="978" w:type="dxa"/>
            <w:tcBorders>
              <w:top w:val="single" w:color="auto" w:sz="4" w:space="0"/>
              <w:left w:val="single" w:color="auto" w:sz="4" w:space="0"/>
              <w:bottom w:val="single" w:color="auto" w:sz="4" w:space="0"/>
              <w:right w:val="single" w:color="auto" w:sz="4" w:space="0"/>
            </w:tcBorders>
            <w:vAlign w:val="center"/>
          </w:tcPr>
          <w:p w14:paraId="18B33212">
            <w:pPr>
              <w:jc w:val="center"/>
              <w:rPr>
                <w:rFonts w:ascii="宋体" w:hAnsi="宋体"/>
                <w:sz w:val="24"/>
                <w:szCs w:val="24"/>
              </w:rPr>
            </w:pPr>
          </w:p>
        </w:tc>
        <w:tc>
          <w:tcPr>
            <w:tcW w:w="982" w:type="dxa"/>
            <w:tcBorders>
              <w:top w:val="single" w:color="auto" w:sz="4" w:space="0"/>
              <w:left w:val="single" w:color="auto" w:sz="4" w:space="0"/>
              <w:bottom w:val="single" w:color="auto" w:sz="4" w:space="0"/>
              <w:right w:val="single" w:color="auto" w:sz="4" w:space="0"/>
            </w:tcBorders>
            <w:vAlign w:val="center"/>
          </w:tcPr>
          <w:p w14:paraId="2C7CA86A">
            <w:pPr>
              <w:jc w:val="center"/>
              <w:rPr>
                <w:rFonts w:ascii="宋体" w:hAnsi="宋体"/>
                <w:sz w:val="24"/>
                <w:szCs w:val="24"/>
              </w:rPr>
            </w:pPr>
          </w:p>
        </w:tc>
        <w:tc>
          <w:tcPr>
            <w:tcW w:w="1326" w:type="dxa"/>
            <w:tcBorders>
              <w:top w:val="single" w:color="auto" w:sz="4" w:space="0"/>
              <w:left w:val="single" w:color="auto" w:sz="4" w:space="0"/>
              <w:bottom w:val="single" w:color="auto" w:sz="4" w:space="0"/>
              <w:right w:val="single" w:color="auto" w:sz="4" w:space="0"/>
            </w:tcBorders>
            <w:vAlign w:val="center"/>
          </w:tcPr>
          <w:p w14:paraId="1312073D">
            <w:pPr>
              <w:jc w:val="center"/>
              <w:rPr>
                <w:rFonts w:ascii="宋体" w:hAnsi="宋体"/>
                <w:sz w:val="24"/>
                <w:szCs w:val="24"/>
              </w:rPr>
            </w:pPr>
          </w:p>
        </w:tc>
      </w:tr>
    </w:tbl>
    <w:p w14:paraId="37B1CBF9">
      <w:pPr>
        <w:autoSpaceDE w:val="0"/>
        <w:autoSpaceDN w:val="0"/>
        <w:adjustRightInd w:val="0"/>
        <w:spacing w:line="200" w:lineRule="exact"/>
        <w:jc w:val="left"/>
        <w:rPr>
          <w:rFonts w:ascii="Arial" w:hAnsi="Arial"/>
          <w:kern w:val="0"/>
          <w:sz w:val="20"/>
        </w:rPr>
      </w:pPr>
    </w:p>
    <w:p w14:paraId="74FFE3AC">
      <w:pPr>
        <w:widowControl w:val="0"/>
        <w:spacing w:line="600" w:lineRule="atLeas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lang w:eastAsia="zh-CN"/>
        </w:rPr>
        <w:t>电子公章</w:t>
      </w:r>
      <w:r>
        <w:rPr>
          <w:rFonts w:hint="eastAsia" w:ascii="宋体" w:hAnsi="宋体" w:eastAsia="宋体" w:cs="宋体"/>
          <w:sz w:val="24"/>
          <w:szCs w:val="24"/>
        </w:rPr>
        <w:t xml:space="preserve">）   </w:t>
      </w:r>
    </w:p>
    <w:p w14:paraId="1CB52AF3">
      <w:pPr>
        <w:widowControl w:val="0"/>
        <w:spacing w:line="600" w:lineRule="atLeas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法定代表人</w:t>
      </w:r>
      <w:r>
        <w:rPr>
          <w:rFonts w:hint="eastAsia" w:ascii="宋体" w:hAnsi="宋体" w:eastAsia="宋体" w:cs="宋体"/>
          <w:sz w:val="24"/>
          <w:szCs w:val="24"/>
        </w:rPr>
        <w:t>或委托代理人：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lang w:eastAsia="zh-CN"/>
        </w:rPr>
        <w:t>电子签名</w:t>
      </w:r>
      <w:r>
        <w:rPr>
          <w:rFonts w:hint="eastAsia" w:ascii="宋体" w:hAnsi="宋体" w:eastAsia="宋体" w:cs="宋体"/>
          <w:sz w:val="24"/>
          <w:szCs w:val="24"/>
        </w:rPr>
        <w:t xml:space="preserve">） </w:t>
      </w:r>
    </w:p>
    <w:p w14:paraId="52E523FC">
      <w:pPr>
        <w:widowControl w:val="0"/>
        <w:spacing w:line="600" w:lineRule="atLeast"/>
        <w:ind w:firstLine="480" w:firstLineChars="200"/>
        <w:rPr>
          <w:rFonts w:hint="eastAsia"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507DD5EB">
      <w:pPr>
        <w:widowControl/>
        <w:jc w:val="left"/>
        <w:rPr>
          <w:rFonts w:ascii="黑体" w:hAnsi="宋体" w:eastAsia="黑体"/>
          <w:sz w:val="28"/>
          <w:szCs w:val="28"/>
        </w:rPr>
      </w:pPr>
      <w:r>
        <w:rPr>
          <w:rFonts w:hint="eastAsia" w:ascii="黑体" w:hAnsi="宋体" w:eastAsia="黑体"/>
          <w:kern w:val="0"/>
          <w:sz w:val="28"/>
          <w:szCs w:val="28"/>
        </w:rPr>
        <w:br w:type="page"/>
      </w:r>
    </w:p>
    <w:p w14:paraId="4BA93406">
      <w:pPr>
        <w:jc w:val="center"/>
        <w:rPr>
          <w:rFonts w:hint="eastAsia" w:ascii="宋体" w:hAnsi="宋体" w:eastAsia="宋体" w:cs="宋体"/>
          <w:b/>
          <w:bCs/>
          <w:sz w:val="28"/>
          <w:szCs w:val="28"/>
        </w:rPr>
      </w:pPr>
      <w:r>
        <w:rPr>
          <w:rFonts w:hint="eastAsia" w:ascii="宋体" w:hAnsi="宋体" w:eastAsia="宋体" w:cs="宋体"/>
          <w:b/>
          <w:bCs/>
          <w:sz w:val="28"/>
          <w:szCs w:val="28"/>
        </w:rPr>
        <w:t>拟派项目</w:t>
      </w:r>
      <w:r>
        <w:rPr>
          <w:rFonts w:hint="eastAsia" w:ascii="宋体" w:hAnsi="宋体" w:eastAsia="宋体" w:cs="宋体"/>
          <w:b/>
          <w:bCs/>
          <w:sz w:val="28"/>
          <w:szCs w:val="28"/>
          <w:lang w:val="en-US" w:eastAsia="zh-CN"/>
        </w:rPr>
        <w:t>负责人</w:t>
      </w:r>
      <w:r>
        <w:rPr>
          <w:rFonts w:hint="eastAsia" w:ascii="宋体" w:hAnsi="宋体" w:eastAsia="宋体" w:cs="宋体"/>
          <w:b/>
          <w:bCs/>
          <w:sz w:val="28"/>
          <w:szCs w:val="28"/>
        </w:rPr>
        <w:t>无在建、待建项目责任承诺</w:t>
      </w:r>
    </w:p>
    <w:p w14:paraId="5C55FBDD">
      <w:pPr>
        <w:jc w:val="left"/>
        <w:rPr>
          <w:rFonts w:hint="eastAsia" w:ascii="宋体" w:hAnsi="宋体" w:eastAsia="宋体" w:cs="宋体"/>
          <w:b/>
          <w:color w:val="000000"/>
          <w:sz w:val="44"/>
          <w:szCs w:val="44"/>
          <w:highlight w:val="none"/>
          <w:u w:val="single"/>
        </w:rPr>
      </w:pPr>
    </w:p>
    <w:p w14:paraId="1428C312">
      <w:pPr>
        <w:spacing w:line="480" w:lineRule="auto"/>
        <w:rPr>
          <w:rFonts w:hint="eastAsia" w:ascii="宋体" w:hAnsi="宋体" w:eastAsia="宋体" w:cs="宋体"/>
          <w:color w:val="000000"/>
          <w:sz w:val="24"/>
          <w:highlight w:val="none"/>
        </w:rPr>
      </w:pPr>
      <w:r>
        <w:rPr>
          <w:rFonts w:hint="eastAsia" w:ascii="宋体" w:hAnsi="宋体" w:eastAsia="宋体" w:cs="宋体"/>
          <w:color w:val="000000"/>
          <w:highlight w:val="none"/>
          <w:u w:val="singl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lang w:val="en-US" w:eastAsia="zh-CN"/>
        </w:rPr>
        <w:t>采购</w:t>
      </w:r>
      <w:r>
        <w:rPr>
          <w:rFonts w:hint="eastAsia" w:ascii="宋体" w:hAnsi="宋体" w:eastAsia="宋体" w:cs="宋体"/>
          <w:color w:val="000000"/>
          <w:sz w:val="24"/>
          <w:highlight w:val="none"/>
        </w:rPr>
        <w:t>人名称）：</w:t>
      </w:r>
    </w:p>
    <w:p w14:paraId="35D9568D">
      <w:pPr>
        <w:spacing w:line="48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根据《建筑施工项目经理质量安全责任十项规定》的第一条</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“建筑施工项目经理不得违反规定同时在两个及以上的工程项目担任项目经理”的规定。为确保项目经理正常履职，本公司郑重承诺：我方拟派往</w:t>
      </w:r>
      <w:r>
        <w:rPr>
          <w:rFonts w:hint="eastAsia" w:ascii="宋体" w:hAnsi="宋体" w:eastAsia="宋体" w:cs="宋体"/>
          <w:color w:val="000000"/>
          <w:sz w:val="24"/>
          <w:highlight w:val="none"/>
          <w:u w:val="single"/>
        </w:rPr>
        <w:t xml:space="preserve">           （项目名称）</w:t>
      </w:r>
      <w:r>
        <w:rPr>
          <w:rFonts w:hint="eastAsia" w:ascii="宋体" w:hAnsi="宋体" w:eastAsia="宋体" w:cs="宋体"/>
          <w:color w:val="000000"/>
          <w:sz w:val="24"/>
          <w:highlight w:val="none"/>
        </w:rPr>
        <w:t>工程项目投标的项目经理</w:t>
      </w:r>
      <w:r>
        <w:rPr>
          <w:rFonts w:hint="eastAsia" w:ascii="宋体" w:hAnsi="宋体" w:eastAsia="宋体" w:cs="宋体"/>
          <w:color w:val="000000"/>
          <w:sz w:val="24"/>
          <w:highlight w:val="none"/>
          <w:u w:val="single"/>
        </w:rPr>
        <w:t xml:space="preserve">       （姓名）</w:t>
      </w:r>
      <w:r>
        <w:rPr>
          <w:rFonts w:hint="eastAsia" w:ascii="宋体" w:hAnsi="宋体" w:eastAsia="宋体" w:cs="宋体"/>
          <w:color w:val="000000"/>
          <w:sz w:val="24"/>
          <w:highlight w:val="none"/>
        </w:rPr>
        <w:t>，现阶段没有在建、待建项目。如在开标前，职能部门一旦核实该项目经理还在其他工程项目担任了项目经理，我公司将自动退出本项目投标，</w:t>
      </w:r>
      <w:r>
        <w:rPr>
          <w:rFonts w:hint="eastAsia" w:ascii="宋体" w:hAnsi="宋体" w:eastAsia="宋体" w:cs="宋体"/>
          <w:color w:val="000000"/>
          <w:sz w:val="24"/>
          <w:highlight w:val="none"/>
          <w:lang w:val="en-US" w:eastAsia="zh-CN"/>
        </w:rPr>
        <w:t>采购</w:t>
      </w:r>
      <w:r>
        <w:rPr>
          <w:rFonts w:hint="eastAsia" w:ascii="宋体" w:hAnsi="宋体" w:eastAsia="宋体" w:cs="宋体"/>
          <w:color w:val="000000"/>
          <w:sz w:val="24"/>
          <w:highlight w:val="none"/>
        </w:rPr>
        <w:t>人有权拒绝接受我方投标文件。如我公司有幸在本项目中标，自中标之日起</w:t>
      </w:r>
      <w:r>
        <w:rPr>
          <w:rFonts w:hint="eastAsia" w:ascii="宋体" w:hAnsi="宋体" w:eastAsia="宋体" w:cs="宋体"/>
          <w:color w:val="000000"/>
          <w:sz w:val="24"/>
          <w:highlight w:val="none"/>
          <w:lang w:val="en-US" w:eastAsia="zh-CN"/>
        </w:rPr>
        <w:t>采购</w:t>
      </w:r>
      <w:r>
        <w:rPr>
          <w:rFonts w:hint="eastAsia" w:ascii="宋体" w:hAnsi="宋体" w:eastAsia="宋体" w:cs="宋体"/>
          <w:color w:val="000000"/>
          <w:sz w:val="24"/>
          <w:highlight w:val="none"/>
        </w:rPr>
        <w:t>人如接到该项目经理有在建项目的投诉举报，职能部门一旦核实该项目经理还在其他工程项目担任了项目经理的，我公司自动放弃中标资格，并承担因我公司就此弄虚作假所引起的一切法律后果，并承担违约责任。</w:t>
      </w:r>
    </w:p>
    <w:p w14:paraId="33EC0CBD">
      <w:pPr>
        <w:spacing w:line="48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特此承诺</w:t>
      </w:r>
    </w:p>
    <w:p w14:paraId="22A70644">
      <w:pPr>
        <w:spacing w:line="360" w:lineRule="auto"/>
        <w:ind w:firstLine="3240" w:firstLineChars="1350"/>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lang w:val="en-US" w:eastAsia="zh-CN"/>
        </w:rPr>
        <w:t>电子签章</w:t>
      </w:r>
      <w:r>
        <w:rPr>
          <w:rFonts w:hint="eastAsia" w:ascii="宋体" w:hAnsi="宋体" w:eastAsia="宋体" w:cs="宋体"/>
          <w:color w:val="000000"/>
          <w:sz w:val="24"/>
          <w:highlight w:val="none"/>
        </w:rPr>
        <w:t>）</w:t>
      </w:r>
    </w:p>
    <w:p w14:paraId="601BA509">
      <w:pPr>
        <w:spacing w:line="360" w:lineRule="auto"/>
        <w:ind w:firstLine="3240" w:firstLineChars="1350"/>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rPr>
        <w:t>法定代表人</w:t>
      </w:r>
      <w:r>
        <w:rPr>
          <w:rFonts w:hint="eastAsia" w:ascii="宋体" w:hAnsi="宋体" w:eastAsia="宋体" w:cs="宋体"/>
          <w:b w:val="0"/>
          <w:bCs/>
          <w:color w:val="000000"/>
          <w:sz w:val="24"/>
          <w:szCs w:val="24"/>
          <w:highlight w:val="none"/>
          <w:lang w:eastAsia="zh-CN"/>
        </w:rPr>
        <w:t>（或委托代理人）</w:t>
      </w:r>
      <w:r>
        <w:rPr>
          <w:rFonts w:hint="eastAsia" w:ascii="宋体" w:hAnsi="宋体" w:eastAsia="宋体" w:cs="宋体"/>
          <w:b w:val="0"/>
          <w:bCs/>
          <w:color w:val="000000"/>
          <w:sz w:val="24"/>
          <w:szCs w:val="24"/>
          <w:highlight w:val="none"/>
        </w:rPr>
        <w:t>：</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w:t>
      </w:r>
      <w:r>
        <w:rPr>
          <w:rFonts w:hint="eastAsia" w:ascii="宋体" w:hAnsi="宋体" w:eastAsia="宋体" w:cs="宋体"/>
          <w:b w:val="0"/>
          <w:bCs/>
          <w:color w:val="000000"/>
          <w:sz w:val="24"/>
          <w:szCs w:val="24"/>
          <w:highlight w:val="none"/>
          <w:lang w:val="en-US" w:eastAsia="zh-CN"/>
        </w:rPr>
        <w:t>电子签章或签字</w:t>
      </w:r>
      <w:r>
        <w:rPr>
          <w:rFonts w:hint="eastAsia" w:ascii="宋体" w:hAnsi="宋体" w:eastAsia="宋体" w:cs="宋体"/>
          <w:b w:val="0"/>
          <w:bCs/>
          <w:color w:val="000000"/>
          <w:sz w:val="24"/>
          <w:szCs w:val="24"/>
          <w:highlight w:val="none"/>
        </w:rPr>
        <w:t>）</w:t>
      </w:r>
    </w:p>
    <w:p w14:paraId="37E5DCA5">
      <w:pPr>
        <w:spacing w:line="360" w:lineRule="auto"/>
        <w:ind w:firstLine="4560" w:firstLineChars="1900"/>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日</w:t>
      </w:r>
    </w:p>
    <w:p w14:paraId="0A008C36">
      <w:pPr>
        <w:rPr>
          <w:rFonts w:hint="eastAsia" w:ascii="宋体" w:hAnsi="宋体" w:eastAsia="宋体" w:cs="宋体"/>
          <w:b/>
          <w:bCs/>
          <w:sz w:val="28"/>
          <w:szCs w:val="28"/>
        </w:rPr>
      </w:pPr>
      <w:r>
        <w:rPr>
          <w:rFonts w:hint="eastAsia" w:ascii="宋体" w:hAnsi="宋体" w:eastAsia="宋体" w:cs="宋体"/>
          <w:b/>
          <w:bCs/>
          <w:sz w:val="28"/>
          <w:szCs w:val="28"/>
        </w:rPr>
        <w:br w:type="page"/>
      </w:r>
    </w:p>
    <w:p w14:paraId="1F6EDC57">
      <w:pPr>
        <w:jc w:val="center"/>
        <w:rPr>
          <w:rFonts w:hint="eastAsia" w:ascii="宋体" w:hAnsi="宋体" w:eastAsia="宋体" w:cs="宋体"/>
          <w:b/>
          <w:bCs/>
          <w:sz w:val="28"/>
          <w:szCs w:val="28"/>
        </w:rPr>
      </w:pPr>
      <w:r>
        <w:rPr>
          <w:rFonts w:hint="eastAsia" w:ascii="宋体" w:hAnsi="宋体" w:eastAsia="宋体" w:cs="宋体"/>
          <w:b/>
          <w:bCs/>
          <w:sz w:val="28"/>
          <w:szCs w:val="28"/>
        </w:rPr>
        <w:t>技术负责人简历表</w:t>
      </w:r>
    </w:p>
    <w:tbl>
      <w:tblPr>
        <w:tblStyle w:val="28"/>
        <w:tblW w:w="9120" w:type="dxa"/>
        <w:jc w:val="center"/>
        <w:tblLayout w:type="fixed"/>
        <w:tblCellMar>
          <w:top w:w="0" w:type="dxa"/>
          <w:left w:w="0" w:type="dxa"/>
          <w:bottom w:w="0" w:type="dxa"/>
          <w:right w:w="0" w:type="dxa"/>
        </w:tblCellMar>
      </w:tblPr>
      <w:tblGrid>
        <w:gridCol w:w="1560"/>
        <w:gridCol w:w="720"/>
        <w:gridCol w:w="600"/>
        <w:gridCol w:w="900"/>
        <w:gridCol w:w="300"/>
        <w:gridCol w:w="1048"/>
        <w:gridCol w:w="1532"/>
        <w:gridCol w:w="169"/>
        <w:gridCol w:w="731"/>
        <w:gridCol w:w="360"/>
        <w:gridCol w:w="1200"/>
      </w:tblGrid>
      <w:tr w14:paraId="6D48DA6A">
        <w:tblPrEx>
          <w:tblCellMar>
            <w:top w:w="0" w:type="dxa"/>
            <w:left w:w="0" w:type="dxa"/>
            <w:bottom w:w="0" w:type="dxa"/>
            <w:right w:w="0" w:type="dxa"/>
          </w:tblCellMar>
        </w:tblPrEx>
        <w:trPr>
          <w:jc w:val="center"/>
        </w:trPr>
        <w:tc>
          <w:tcPr>
            <w:tcW w:w="1560" w:type="dxa"/>
            <w:tcBorders>
              <w:top w:val="single" w:color="auto" w:sz="6" w:space="0"/>
              <w:left w:val="single" w:color="auto" w:sz="6" w:space="0"/>
              <w:bottom w:val="single" w:color="auto" w:sz="6" w:space="0"/>
              <w:right w:val="single" w:color="auto" w:sz="6" w:space="0"/>
            </w:tcBorders>
            <w:vAlign w:val="center"/>
          </w:tcPr>
          <w:p w14:paraId="12155DFE">
            <w:pPr>
              <w:spacing w:line="420" w:lineRule="exact"/>
              <w:jc w:val="center"/>
              <w:rPr>
                <w:rFonts w:ascii="宋体" w:hAnsi="宋体"/>
                <w:sz w:val="24"/>
                <w:szCs w:val="24"/>
              </w:rPr>
            </w:pPr>
            <w:r>
              <w:rPr>
                <w:rFonts w:hint="eastAsia" w:ascii="宋体" w:hAnsi="宋体"/>
                <w:sz w:val="24"/>
                <w:szCs w:val="24"/>
              </w:rPr>
              <w:t>姓名</w:t>
            </w:r>
          </w:p>
        </w:tc>
        <w:tc>
          <w:tcPr>
            <w:tcW w:w="2520" w:type="dxa"/>
            <w:gridSpan w:val="4"/>
            <w:tcBorders>
              <w:top w:val="single" w:color="auto" w:sz="6" w:space="0"/>
              <w:left w:val="single" w:color="auto" w:sz="6" w:space="0"/>
              <w:bottom w:val="single" w:color="auto" w:sz="6" w:space="0"/>
              <w:right w:val="single" w:color="auto" w:sz="6" w:space="0"/>
            </w:tcBorders>
            <w:vAlign w:val="center"/>
          </w:tcPr>
          <w:p w14:paraId="430BDB98">
            <w:pPr>
              <w:spacing w:line="420" w:lineRule="exact"/>
              <w:ind w:firstLine="480" w:firstLineChars="200"/>
              <w:jc w:val="center"/>
              <w:rPr>
                <w:rFonts w:ascii="宋体" w:hAnsi="宋体"/>
                <w:sz w:val="24"/>
                <w:szCs w:val="24"/>
              </w:rPr>
            </w:pPr>
          </w:p>
        </w:tc>
        <w:tc>
          <w:tcPr>
            <w:tcW w:w="1048" w:type="dxa"/>
            <w:tcBorders>
              <w:top w:val="single" w:color="auto" w:sz="6" w:space="0"/>
              <w:left w:val="single" w:color="auto" w:sz="6" w:space="0"/>
              <w:bottom w:val="single" w:color="auto" w:sz="6" w:space="0"/>
              <w:right w:val="single" w:color="auto" w:sz="6" w:space="0"/>
            </w:tcBorders>
            <w:vAlign w:val="center"/>
          </w:tcPr>
          <w:p w14:paraId="24E3CC67">
            <w:pPr>
              <w:spacing w:line="420" w:lineRule="exact"/>
              <w:jc w:val="center"/>
              <w:rPr>
                <w:rFonts w:ascii="宋体" w:hAnsi="宋体"/>
                <w:sz w:val="24"/>
                <w:szCs w:val="24"/>
              </w:rPr>
            </w:pPr>
            <w:r>
              <w:rPr>
                <w:rFonts w:hint="eastAsia" w:ascii="宋体" w:hAnsi="宋体"/>
                <w:sz w:val="24"/>
                <w:szCs w:val="24"/>
              </w:rPr>
              <w:t>性别</w:t>
            </w:r>
          </w:p>
        </w:tc>
        <w:tc>
          <w:tcPr>
            <w:tcW w:w="1532" w:type="dxa"/>
            <w:tcBorders>
              <w:top w:val="single" w:color="auto" w:sz="6" w:space="0"/>
              <w:left w:val="single" w:color="auto" w:sz="6" w:space="0"/>
              <w:bottom w:val="single" w:color="auto" w:sz="6" w:space="0"/>
              <w:right w:val="single" w:color="auto" w:sz="6" w:space="0"/>
            </w:tcBorders>
            <w:vAlign w:val="center"/>
          </w:tcPr>
          <w:p w14:paraId="4F873C4B">
            <w:pPr>
              <w:spacing w:line="420" w:lineRule="exact"/>
              <w:ind w:firstLine="480" w:firstLineChars="200"/>
              <w:jc w:val="center"/>
              <w:rPr>
                <w:rFonts w:ascii="宋体" w:hAnsi="宋体"/>
                <w:sz w:val="24"/>
                <w:szCs w:val="24"/>
              </w:rPr>
            </w:pPr>
          </w:p>
        </w:tc>
        <w:tc>
          <w:tcPr>
            <w:tcW w:w="900" w:type="dxa"/>
            <w:gridSpan w:val="2"/>
            <w:tcBorders>
              <w:top w:val="single" w:color="auto" w:sz="6" w:space="0"/>
              <w:left w:val="single" w:color="auto" w:sz="6" w:space="0"/>
              <w:bottom w:val="single" w:color="auto" w:sz="6" w:space="0"/>
              <w:right w:val="single" w:color="auto" w:sz="6" w:space="0"/>
            </w:tcBorders>
            <w:vAlign w:val="center"/>
          </w:tcPr>
          <w:p w14:paraId="7F6917DD">
            <w:pPr>
              <w:spacing w:line="420" w:lineRule="exact"/>
              <w:jc w:val="center"/>
              <w:rPr>
                <w:rFonts w:ascii="宋体" w:hAnsi="宋体"/>
                <w:sz w:val="24"/>
                <w:szCs w:val="24"/>
              </w:rPr>
            </w:pPr>
            <w:r>
              <w:rPr>
                <w:rFonts w:hint="eastAsia" w:ascii="宋体" w:hAnsi="宋体"/>
                <w:sz w:val="24"/>
                <w:szCs w:val="24"/>
              </w:rPr>
              <w:t>年龄</w:t>
            </w:r>
          </w:p>
        </w:tc>
        <w:tc>
          <w:tcPr>
            <w:tcW w:w="1560" w:type="dxa"/>
            <w:gridSpan w:val="2"/>
            <w:tcBorders>
              <w:top w:val="single" w:color="auto" w:sz="6" w:space="0"/>
              <w:left w:val="single" w:color="auto" w:sz="6" w:space="0"/>
              <w:bottom w:val="single" w:color="auto" w:sz="6" w:space="0"/>
              <w:right w:val="single" w:color="auto" w:sz="6" w:space="0"/>
            </w:tcBorders>
            <w:vAlign w:val="center"/>
          </w:tcPr>
          <w:p w14:paraId="48B71989">
            <w:pPr>
              <w:spacing w:line="420" w:lineRule="exact"/>
              <w:ind w:firstLine="480" w:firstLineChars="200"/>
              <w:jc w:val="center"/>
              <w:rPr>
                <w:rFonts w:ascii="宋体" w:hAnsi="宋体"/>
                <w:sz w:val="24"/>
                <w:szCs w:val="24"/>
              </w:rPr>
            </w:pPr>
          </w:p>
        </w:tc>
      </w:tr>
      <w:tr w14:paraId="25422ADD">
        <w:tblPrEx>
          <w:tblCellMar>
            <w:top w:w="0" w:type="dxa"/>
            <w:left w:w="0" w:type="dxa"/>
            <w:bottom w:w="0" w:type="dxa"/>
            <w:right w:w="0" w:type="dxa"/>
          </w:tblCellMar>
        </w:tblPrEx>
        <w:trPr>
          <w:jc w:val="center"/>
        </w:trPr>
        <w:tc>
          <w:tcPr>
            <w:tcW w:w="1560" w:type="dxa"/>
            <w:tcBorders>
              <w:top w:val="single" w:color="auto" w:sz="6" w:space="0"/>
              <w:left w:val="single" w:color="auto" w:sz="6" w:space="0"/>
              <w:bottom w:val="single" w:color="auto" w:sz="6" w:space="0"/>
              <w:right w:val="single" w:color="auto" w:sz="6" w:space="0"/>
            </w:tcBorders>
            <w:vAlign w:val="center"/>
          </w:tcPr>
          <w:p w14:paraId="33EDB324">
            <w:pPr>
              <w:spacing w:line="420" w:lineRule="exact"/>
              <w:jc w:val="center"/>
              <w:rPr>
                <w:rFonts w:ascii="宋体" w:hAnsi="宋体"/>
                <w:sz w:val="24"/>
                <w:szCs w:val="24"/>
              </w:rPr>
            </w:pPr>
            <w:r>
              <w:rPr>
                <w:rFonts w:hint="eastAsia" w:ascii="宋体" w:hAnsi="宋体"/>
                <w:sz w:val="24"/>
                <w:szCs w:val="24"/>
              </w:rPr>
              <w:t>职务</w:t>
            </w:r>
          </w:p>
        </w:tc>
        <w:tc>
          <w:tcPr>
            <w:tcW w:w="2520" w:type="dxa"/>
            <w:gridSpan w:val="4"/>
            <w:tcBorders>
              <w:top w:val="single" w:color="auto" w:sz="6" w:space="0"/>
              <w:left w:val="single" w:color="auto" w:sz="6" w:space="0"/>
              <w:bottom w:val="single" w:color="auto" w:sz="6" w:space="0"/>
              <w:right w:val="single" w:color="auto" w:sz="6" w:space="0"/>
            </w:tcBorders>
            <w:vAlign w:val="center"/>
          </w:tcPr>
          <w:p w14:paraId="67096F3D">
            <w:pPr>
              <w:spacing w:line="420" w:lineRule="exact"/>
              <w:ind w:firstLine="480" w:firstLineChars="200"/>
              <w:jc w:val="center"/>
              <w:rPr>
                <w:rFonts w:ascii="宋体" w:hAnsi="宋体"/>
                <w:sz w:val="24"/>
                <w:szCs w:val="24"/>
              </w:rPr>
            </w:pPr>
          </w:p>
        </w:tc>
        <w:tc>
          <w:tcPr>
            <w:tcW w:w="1048" w:type="dxa"/>
            <w:tcBorders>
              <w:top w:val="single" w:color="auto" w:sz="6" w:space="0"/>
              <w:left w:val="single" w:color="auto" w:sz="6" w:space="0"/>
              <w:bottom w:val="single" w:color="auto" w:sz="6" w:space="0"/>
              <w:right w:val="single" w:color="auto" w:sz="6" w:space="0"/>
            </w:tcBorders>
            <w:vAlign w:val="center"/>
          </w:tcPr>
          <w:p w14:paraId="396B5B1E">
            <w:pPr>
              <w:spacing w:line="420" w:lineRule="exact"/>
              <w:jc w:val="center"/>
              <w:rPr>
                <w:rFonts w:ascii="宋体" w:hAnsi="宋体"/>
                <w:sz w:val="24"/>
                <w:szCs w:val="24"/>
              </w:rPr>
            </w:pPr>
            <w:r>
              <w:rPr>
                <w:rFonts w:hint="eastAsia" w:ascii="宋体" w:hAnsi="宋体"/>
                <w:sz w:val="24"/>
                <w:szCs w:val="24"/>
              </w:rPr>
              <w:t>职称</w:t>
            </w:r>
          </w:p>
        </w:tc>
        <w:tc>
          <w:tcPr>
            <w:tcW w:w="1532" w:type="dxa"/>
            <w:tcBorders>
              <w:top w:val="single" w:color="auto" w:sz="6" w:space="0"/>
              <w:left w:val="single" w:color="auto" w:sz="6" w:space="0"/>
              <w:bottom w:val="single" w:color="auto" w:sz="6" w:space="0"/>
              <w:right w:val="single" w:color="auto" w:sz="6" w:space="0"/>
            </w:tcBorders>
            <w:vAlign w:val="center"/>
          </w:tcPr>
          <w:p w14:paraId="7029709A">
            <w:pPr>
              <w:spacing w:line="420" w:lineRule="exact"/>
              <w:ind w:firstLine="480" w:firstLineChars="200"/>
              <w:jc w:val="center"/>
              <w:rPr>
                <w:rFonts w:ascii="宋体" w:hAnsi="宋体"/>
                <w:sz w:val="24"/>
                <w:szCs w:val="24"/>
              </w:rPr>
            </w:pPr>
          </w:p>
        </w:tc>
        <w:tc>
          <w:tcPr>
            <w:tcW w:w="900" w:type="dxa"/>
            <w:gridSpan w:val="2"/>
            <w:tcBorders>
              <w:top w:val="single" w:color="auto" w:sz="6" w:space="0"/>
              <w:left w:val="single" w:color="auto" w:sz="6" w:space="0"/>
              <w:bottom w:val="single" w:color="auto" w:sz="6" w:space="0"/>
              <w:right w:val="single" w:color="auto" w:sz="6" w:space="0"/>
            </w:tcBorders>
            <w:vAlign w:val="center"/>
          </w:tcPr>
          <w:p w14:paraId="4AB7C75A">
            <w:pPr>
              <w:spacing w:line="420" w:lineRule="exact"/>
              <w:jc w:val="center"/>
              <w:rPr>
                <w:rFonts w:ascii="宋体" w:hAnsi="宋体"/>
                <w:sz w:val="24"/>
                <w:szCs w:val="24"/>
              </w:rPr>
            </w:pPr>
            <w:r>
              <w:rPr>
                <w:rFonts w:hint="eastAsia" w:ascii="宋体" w:hAnsi="宋体"/>
                <w:sz w:val="24"/>
                <w:szCs w:val="24"/>
              </w:rPr>
              <w:t>学历</w:t>
            </w:r>
          </w:p>
        </w:tc>
        <w:tc>
          <w:tcPr>
            <w:tcW w:w="1560" w:type="dxa"/>
            <w:gridSpan w:val="2"/>
            <w:tcBorders>
              <w:top w:val="single" w:color="auto" w:sz="6" w:space="0"/>
              <w:left w:val="single" w:color="auto" w:sz="6" w:space="0"/>
              <w:bottom w:val="single" w:color="auto" w:sz="6" w:space="0"/>
              <w:right w:val="single" w:color="auto" w:sz="6" w:space="0"/>
            </w:tcBorders>
            <w:vAlign w:val="center"/>
          </w:tcPr>
          <w:p w14:paraId="2821D1A9">
            <w:pPr>
              <w:spacing w:line="420" w:lineRule="exact"/>
              <w:ind w:firstLine="480" w:firstLineChars="200"/>
              <w:jc w:val="center"/>
              <w:rPr>
                <w:rFonts w:ascii="宋体" w:hAnsi="宋体"/>
                <w:sz w:val="24"/>
                <w:szCs w:val="24"/>
              </w:rPr>
            </w:pPr>
          </w:p>
        </w:tc>
      </w:tr>
      <w:tr w14:paraId="5DA26965">
        <w:tblPrEx>
          <w:tblCellMar>
            <w:top w:w="0" w:type="dxa"/>
            <w:left w:w="0" w:type="dxa"/>
            <w:bottom w:w="0" w:type="dxa"/>
            <w:right w:w="0" w:type="dxa"/>
          </w:tblCellMar>
        </w:tblPrEx>
        <w:trPr>
          <w:jc w:val="center"/>
        </w:trPr>
        <w:tc>
          <w:tcPr>
            <w:tcW w:w="2880" w:type="dxa"/>
            <w:gridSpan w:val="3"/>
            <w:tcBorders>
              <w:top w:val="single" w:color="auto" w:sz="6" w:space="0"/>
              <w:left w:val="single" w:color="auto" w:sz="6" w:space="0"/>
              <w:bottom w:val="single" w:color="auto" w:sz="6" w:space="0"/>
              <w:right w:val="single" w:color="auto" w:sz="6" w:space="0"/>
            </w:tcBorders>
            <w:vAlign w:val="center"/>
          </w:tcPr>
          <w:p w14:paraId="07B7315A">
            <w:pPr>
              <w:spacing w:line="420" w:lineRule="exact"/>
              <w:jc w:val="center"/>
              <w:rPr>
                <w:rFonts w:ascii="宋体" w:hAnsi="宋体"/>
                <w:sz w:val="24"/>
                <w:szCs w:val="24"/>
              </w:rPr>
            </w:pPr>
            <w:r>
              <w:rPr>
                <w:rFonts w:hint="eastAsia" w:ascii="宋体" w:hAnsi="宋体"/>
                <w:sz w:val="24"/>
                <w:szCs w:val="24"/>
              </w:rPr>
              <w:t>参加工作时间</w:t>
            </w:r>
          </w:p>
        </w:tc>
        <w:tc>
          <w:tcPr>
            <w:tcW w:w="2248" w:type="dxa"/>
            <w:gridSpan w:val="3"/>
            <w:tcBorders>
              <w:top w:val="single" w:color="auto" w:sz="6" w:space="0"/>
              <w:left w:val="single" w:color="auto" w:sz="6" w:space="0"/>
              <w:bottom w:val="single" w:color="auto" w:sz="6" w:space="0"/>
              <w:right w:val="single" w:color="auto" w:sz="6" w:space="0"/>
            </w:tcBorders>
            <w:vAlign w:val="center"/>
          </w:tcPr>
          <w:p w14:paraId="7B460EE4">
            <w:pPr>
              <w:spacing w:line="420" w:lineRule="exact"/>
              <w:ind w:firstLine="480" w:firstLineChars="200"/>
              <w:jc w:val="center"/>
              <w:rPr>
                <w:rFonts w:ascii="宋体" w:hAnsi="宋体"/>
                <w:sz w:val="24"/>
                <w:szCs w:val="24"/>
              </w:rPr>
            </w:pPr>
          </w:p>
        </w:tc>
        <w:tc>
          <w:tcPr>
            <w:tcW w:w="2792" w:type="dxa"/>
            <w:gridSpan w:val="4"/>
            <w:tcBorders>
              <w:top w:val="single" w:color="auto" w:sz="6" w:space="0"/>
              <w:left w:val="single" w:color="auto" w:sz="6" w:space="0"/>
              <w:bottom w:val="single" w:color="auto" w:sz="6" w:space="0"/>
              <w:right w:val="single" w:color="auto" w:sz="6" w:space="0"/>
            </w:tcBorders>
            <w:vAlign w:val="center"/>
          </w:tcPr>
          <w:p w14:paraId="6A5892F4">
            <w:pPr>
              <w:spacing w:line="420" w:lineRule="exact"/>
              <w:jc w:val="center"/>
              <w:rPr>
                <w:rFonts w:ascii="宋体" w:hAnsi="宋体"/>
                <w:sz w:val="24"/>
                <w:szCs w:val="24"/>
              </w:rPr>
            </w:pPr>
            <w:r>
              <w:rPr>
                <w:rFonts w:hint="eastAsia" w:ascii="宋体" w:hAnsi="宋体"/>
                <w:sz w:val="24"/>
                <w:szCs w:val="24"/>
              </w:rPr>
              <w:t>担任技术负责人年限</w:t>
            </w:r>
          </w:p>
        </w:tc>
        <w:tc>
          <w:tcPr>
            <w:tcW w:w="1200" w:type="dxa"/>
            <w:tcBorders>
              <w:top w:val="single" w:color="auto" w:sz="6" w:space="0"/>
              <w:left w:val="single" w:color="auto" w:sz="6" w:space="0"/>
              <w:bottom w:val="single" w:color="auto" w:sz="6" w:space="0"/>
              <w:right w:val="single" w:color="auto" w:sz="6" w:space="0"/>
            </w:tcBorders>
            <w:vAlign w:val="center"/>
          </w:tcPr>
          <w:p w14:paraId="04FFE9BD">
            <w:pPr>
              <w:spacing w:line="420" w:lineRule="exact"/>
              <w:ind w:firstLine="480" w:firstLineChars="200"/>
              <w:jc w:val="center"/>
              <w:rPr>
                <w:rFonts w:ascii="宋体" w:hAnsi="宋体"/>
                <w:sz w:val="24"/>
                <w:szCs w:val="24"/>
              </w:rPr>
            </w:pPr>
          </w:p>
        </w:tc>
      </w:tr>
      <w:tr w14:paraId="1F03DD3C">
        <w:tblPrEx>
          <w:tblCellMar>
            <w:top w:w="0" w:type="dxa"/>
            <w:left w:w="0" w:type="dxa"/>
            <w:bottom w:w="0" w:type="dxa"/>
            <w:right w:w="0" w:type="dxa"/>
          </w:tblCellMar>
        </w:tblPrEx>
        <w:trPr>
          <w:jc w:val="center"/>
        </w:trPr>
        <w:tc>
          <w:tcPr>
            <w:tcW w:w="9120" w:type="dxa"/>
            <w:gridSpan w:val="11"/>
            <w:tcBorders>
              <w:top w:val="single" w:color="auto" w:sz="6" w:space="0"/>
              <w:left w:val="single" w:color="auto" w:sz="6" w:space="0"/>
              <w:bottom w:val="single" w:color="auto" w:sz="6" w:space="0"/>
              <w:right w:val="single" w:color="auto" w:sz="6" w:space="0"/>
            </w:tcBorders>
            <w:vAlign w:val="center"/>
          </w:tcPr>
          <w:p w14:paraId="6A923B29">
            <w:pPr>
              <w:spacing w:line="420" w:lineRule="exact"/>
              <w:jc w:val="center"/>
              <w:rPr>
                <w:rFonts w:ascii="宋体" w:hAnsi="宋体"/>
                <w:sz w:val="24"/>
                <w:szCs w:val="24"/>
              </w:rPr>
            </w:pPr>
            <w:r>
              <w:rPr>
                <w:rFonts w:hint="eastAsia" w:ascii="宋体" w:hAnsi="宋体"/>
                <w:sz w:val="24"/>
                <w:szCs w:val="24"/>
              </w:rPr>
              <w:t>已完工程项目情况</w:t>
            </w:r>
          </w:p>
        </w:tc>
      </w:tr>
      <w:tr w14:paraId="393F30BF">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44DB6ADD">
            <w:pPr>
              <w:spacing w:line="420" w:lineRule="exact"/>
              <w:jc w:val="center"/>
              <w:rPr>
                <w:rFonts w:ascii="宋体" w:hAnsi="宋体"/>
                <w:sz w:val="24"/>
                <w:szCs w:val="24"/>
              </w:rPr>
            </w:pPr>
            <w:r>
              <w:rPr>
                <w:rFonts w:hint="eastAsia" w:ascii="宋体" w:hAnsi="宋体"/>
                <w:sz w:val="24"/>
                <w:szCs w:val="24"/>
              </w:rPr>
              <w:t>建设单位</w:t>
            </w: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63C76E8B">
            <w:pPr>
              <w:spacing w:line="420" w:lineRule="exact"/>
              <w:jc w:val="center"/>
              <w:rPr>
                <w:rFonts w:ascii="宋体" w:hAnsi="宋体"/>
                <w:sz w:val="24"/>
                <w:szCs w:val="24"/>
              </w:rPr>
            </w:pPr>
            <w:r>
              <w:rPr>
                <w:rFonts w:hint="eastAsia" w:ascii="宋体" w:hAnsi="宋体"/>
                <w:sz w:val="24"/>
                <w:szCs w:val="24"/>
              </w:rPr>
              <w:t>项目名称</w:t>
            </w: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33E8AC84">
            <w:pPr>
              <w:spacing w:line="420" w:lineRule="exact"/>
              <w:jc w:val="center"/>
              <w:rPr>
                <w:rFonts w:ascii="宋体" w:hAnsi="宋体"/>
                <w:sz w:val="24"/>
                <w:szCs w:val="24"/>
              </w:rPr>
            </w:pPr>
            <w:r>
              <w:rPr>
                <w:rFonts w:hint="eastAsia" w:ascii="宋体" w:hAnsi="宋体"/>
                <w:sz w:val="24"/>
                <w:szCs w:val="24"/>
              </w:rPr>
              <w:t>建设规模</w:t>
            </w: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74A088E1">
            <w:pPr>
              <w:spacing w:line="420" w:lineRule="exact"/>
              <w:jc w:val="center"/>
              <w:rPr>
                <w:rFonts w:ascii="宋体" w:hAnsi="宋体"/>
                <w:sz w:val="24"/>
                <w:szCs w:val="24"/>
              </w:rPr>
            </w:pPr>
            <w:r>
              <w:rPr>
                <w:rFonts w:hint="eastAsia" w:ascii="宋体" w:hAnsi="宋体"/>
                <w:sz w:val="24"/>
                <w:szCs w:val="24"/>
              </w:rPr>
              <w:t>开、竣工日期</w:t>
            </w: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15FE4BAB">
            <w:pPr>
              <w:spacing w:line="420" w:lineRule="exact"/>
              <w:jc w:val="center"/>
              <w:rPr>
                <w:rFonts w:ascii="宋体" w:hAnsi="宋体"/>
                <w:sz w:val="24"/>
                <w:szCs w:val="24"/>
              </w:rPr>
            </w:pPr>
            <w:r>
              <w:rPr>
                <w:rFonts w:hint="eastAsia" w:ascii="宋体" w:hAnsi="宋体"/>
                <w:sz w:val="24"/>
                <w:szCs w:val="24"/>
              </w:rPr>
              <w:t>工程质量</w:t>
            </w:r>
          </w:p>
        </w:tc>
      </w:tr>
      <w:tr w14:paraId="72E8F6A9">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7A50F591">
            <w:pPr>
              <w:spacing w:line="420" w:lineRule="exact"/>
              <w:ind w:firstLine="480" w:firstLineChars="200"/>
              <w:jc w:val="center"/>
              <w:rPr>
                <w:rFonts w:ascii="宋体" w:hAnsi="宋体"/>
                <w:sz w:val="24"/>
                <w:szCs w:val="24"/>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5D394B63">
            <w:pPr>
              <w:spacing w:line="420" w:lineRule="exact"/>
              <w:ind w:firstLine="480" w:firstLineChars="200"/>
              <w:jc w:val="center"/>
              <w:rPr>
                <w:rFonts w:ascii="宋体" w:hAnsi="宋体"/>
                <w:sz w:val="24"/>
                <w:szCs w:val="24"/>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102238EB">
            <w:pPr>
              <w:spacing w:line="420" w:lineRule="exact"/>
              <w:ind w:firstLine="480" w:firstLineChars="200"/>
              <w:jc w:val="center"/>
              <w:rPr>
                <w:rFonts w:ascii="宋体" w:hAnsi="宋体"/>
                <w:sz w:val="24"/>
                <w:szCs w:val="24"/>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3886BD91">
            <w:pPr>
              <w:spacing w:line="420" w:lineRule="exact"/>
              <w:ind w:firstLine="480" w:firstLineChars="200"/>
              <w:jc w:val="center"/>
              <w:rPr>
                <w:rFonts w:ascii="宋体" w:hAnsi="宋体"/>
                <w:sz w:val="24"/>
                <w:szCs w:val="24"/>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7A301C88">
            <w:pPr>
              <w:spacing w:line="420" w:lineRule="exact"/>
              <w:ind w:firstLine="480" w:firstLineChars="200"/>
              <w:jc w:val="center"/>
              <w:rPr>
                <w:rFonts w:ascii="宋体" w:hAnsi="宋体"/>
                <w:sz w:val="24"/>
                <w:szCs w:val="24"/>
              </w:rPr>
            </w:pPr>
          </w:p>
        </w:tc>
      </w:tr>
      <w:tr w14:paraId="6B793BA1">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65B841EC">
            <w:pPr>
              <w:spacing w:line="420" w:lineRule="exact"/>
              <w:ind w:firstLine="480" w:firstLineChars="200"/>
              <w:jc w:val="center"/>
              <w:rPr>
                <w:rFonts w:ascii="宋体" w:hAnsi="宋体"/>
                <w:sz w:val="24"/>
                <w:szCs w:val="24"/>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42F18387">
            <w:pPr>
              <w:spacing w:line="420" w:lineRule="exact"/>
              <w:ind w:firstLine="480" w:firstLineChars="200"/>
              <w:jc w:val="center"/>
              <w:rPr>
                <w:rFonts w:ascii="宋体" w:hAnsi="宋体"/>
                <w:sz w:val="24"/>
                <w:szCs w:val="24"/>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105710E7">
            <w:pPr>
              <w:spacing w:line="420" w:lineRule="exact"/>
              <w:ind w:firstLine="480" w:firstLineChars="200"/>
              <w:jc w:val="center"/>
              <w:rPr>
                <w:rFonts w:ascii="宋体" w:hAnsi="宋体"/>
                <w:sz w:val="24"/>
                <w:szCs w:val="24"/>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5E2DB187">
            <w:pPr>
              <w:spacing w:line="420" w:lineRule="exact"/>
              <w:ind w:firstLine="480" w:firstLineChars="200"/>
              <w:jc w:val="center"/>
              <w:rPr>
                <w:rFonts w:ascii="宋体" w:hAnsi="宋体"/>
                <w:sz w:val="24"/>
                <w:szCs w:val="24"/>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6923652D">
            <w:pPr>
              <w:spacing w:line="420" w:lineRule="exact"/>
              <w:ind w:firstLine="480" w:firstLineChars="200"/>
              <w:jc w:val="center"/>
              <w:rPr>
                <w:rFonts w:ascii="宋体" w:hAnsi="宋体"/>
                <w:sz w:val="24"/>
                <w:szCs w:val="24"/>
              </w:rPr>
            </w:pPr>
          </w:p>
        </w:tc>
      </w:tr>
      <w:tr w14:paraId="70CA9DE5">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3AFEB54F">
            <w:pPr>
              <w:spacing w:line="420" w:lineRule="exact"/>
              <w:ind w:firstLine="480" w:firstLineChars="200"/>
              <w:jc w:val="center"/>
              <w:rPr>
                <w:rFonts w:ascii="宋体" w:hAnsi="宋体"/>
                <w:sz w:val="24"/>
                <w:szCs w:val="24"/>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2732F806">
            <w:pPr>
              <w:spacing w:line="420" w:lineRule="exact"/>
              <w:ind w:firstLine="480" w:firstLineChars="200"/>
              <w:jc w:val="center"/>
              <w:rPr>
                <w:rFonts w:ascii="宋体" w:hAnsi="宋体"/>
                <w:sz w:val="24"/>
                <w:szCs w:val="24"/>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416119A3">
            <w:pPr>
              <w:spacing w:line="420" w:lineRule="exact"/>
              <w:ind w:firstLine="480" w:firstLineChars="200"/>
              <w:jc w:val="center"/>
              <w:rPr>
                <w:rFonts w:ascii="宋体" w:hAnsi="宋体"/>
                <w:sz w:val="24"/>
                <w:szCs w:val="24"/>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6C90B568">
            <w:pPr>
              <w:spacing w:line="420" w:lineRule="exact"/>
              <w:ind w:firstLine="480" w:firstLineChars="200"/>
              <w:jc w:val="center"/>
              <w:rPr>
                <w:rFonts w:ascii="宋体" w:hAnsi="宋体"/>
                <w:sz w:val="24"/>
                <w:szCs w:val="24"/>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7F009A15">
            <w:pPr>
              <w:spacing w:line="420" w:lineRule="exact"/>
              <w:ind w:firstLine="480" w:firstLineChars="200"/>
              <w:jc w:val="center"/>
              <w:rPr>
                <w:rFonts w:ascii="宋体" w:hAnsi="宋体"/>
                <w:sz w:val="24"/>
                <w:szCs w:val="24"/>
              </w:rPr>
            </w:pPr>
          </w:p>
        </w:tc>
      </w:tr>
      <w:tr w14:paraId="2C00F4FB">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0D9A2B72">
            <w:pPr>
              <w:spacing w:line="420" w:lineRule="exact"/>
              <w:ind w:firstLine="480" w:firstLineChars="200"/>
              <w:jc w:val="center"/>
              <w:rPr>
                <w:rFonts w:ascii="宋体" w:hAnsi="宋体"/>
                <w:sz w:val="24"/>
                <w:szCs w:val="24"/>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788192EC">
            <w:pPr>
              <w:spacing w:line="420" w:lineRule="exact"/>
              <w:ind w:firstLine="480" w:firstLineChars="200"/>
              <w:jc w:val="center"/>
              <w:rPr>
                <w:rFonts w:ascii="宋体" w:hAnsi="宋体"/>
                <w:sz w:val="24"/>
                <w:szCs w:val="24"/>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3DBFA9A2">
            <w:pPr>
              <w:spacing w:line="420" w:lineRule="exact"/>
              <w:ind w:firstLine="480" w:firstLineChars="200"/>
              <w:jc w:val="center"/>
              <w:rPr>
                <w:rFonts w:ascii="宋体" w:hAnsi="宋体"/>
                <w:sz w:val="24"/>
                <w:szCs w:val="24"/>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5D72BF82">
            <w:pPr>
              <w:spacing w:line="420" w:lineRule="exact"/>
              <w:ind w:firstLine="480" w:firstLineChars="200"/>
              <w:jc w:val="center"/>
              <w:rPr>
                <w:rFonts w:ascii="宋体" w:hAnsi="宋体"/>
                <w:sz w:val="24"/>
                <w:szCs w:val="24"/>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5AC4F0AB">
            <w:pPr>
              <w:spacing w:line="420" w:lineRule="exact"/>
              <w:ind w:firstLine="480" w:firstLineChars="200"/>
              <w:jc w:val="center"/>
              <w:rPr>
                <w:rFonts w:ascii="宋体" w:hAnsi="宋体"/>
                <w:sz w:val="24"/>
                <w:szCs w:val="24"/>
              </w:rPr>
            </w:pPr>
          </w:p>
        </w:tc>
      </w:tr>
      <w:tr w14:paraId="22491BD5">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7EC8922E">
            <w:pPr>
              <w:spacing w:line="420" w:lineRule="exact"/>
              <w:ind w:firstLine="480" w:firstLineChars="200"/>
              <w:jc w:val="center"/>
              <w:rPr>
                <w:rFonts w:ascii="宋体" w:hAnsi="宋体"/>
                <w:sz w:val="24"/>
                <w:szCs w:val="24"/>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65CA1947">
            <w:pPr>
              <w:spacing w:line="420" w:lineRule="exact"/>
              <w:ind w:firstLine="480" w:firstLineChars="200"/>
              <w:jc w:val="center"/>
              <w:rPr>
                <w:rFonts w:ascii="宋体" w:hAnsi="宋体"/>
                <w:sz w:val="24"/>
                <w:szCs w:val="24"/>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1A03B68C">
            <w:pPr>
              <w:spacing w:line="420" w:lineRule="exact"/>
              <w:ind w:firstLine="480" w:firstLineChars="200"/>
              <w:jc w:val="center"/>
              <w:rPr>
                <w:rFonts w:ascii="宋体" w:hAnsi="宋体"/>
                <w:sz w:val="24"/>
                <w:szCs w:val="24"/>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21444E6F">
            <w:pPr>
              <w:spacing w:line="420" w:lineRule="exact"/>
              <w:ind w:firstLine="480" w:firstLineChars="200"/>
              <w:jc w:val="center"/>
              <w:rPr>
                <w:rFonts w:ascii="宋体" w:hAnsi="宋体"/>
                <w:sz w:val="24"/>
                <w:szCs w:val="24"/>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20E4C8AF">
            <w:pPr>
              <w:spacing w:line="420" w:lineRule="exact"/>
              <w:ind w:firstLine="480" w:firstLineChars="200"/>
              <w:jc w:val="center"/>
              <w:rPr>
                <w:rFonts w:ascii="宋体" w:hAnsi="宋体"/>
                <w:sz w:val="24"/>
                <w:szCs w:val="24"/>
              </w:rPr>
            </w:pPr>
          </w:p>
        </w:tc>
      </w:tr>
      <w:tr w14:paraId="17D4DD14">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79E479E9">
            <w:pPr>
              <w:spacing w:line="420" w:lineRule="exact"/>
              <w:ind w:firstLine="480" w:firstLineChars="200"/>
              <w:jc w:val="center"/>
              <w:rPr>
                <w:rFonts w:ascii="宋体" w:hAnsi="宋体"/>
                <w:sz w:val="24"/>
                <w:szCs w:val="24"/>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0EA70CDA">
            <w:pPr>
              <w:spacing w:line="420" w:lineRule="exact"/>
              <w:ind w:firstLine="480" w:firstLineChars="200"/>
              <w:jc w:val="center"/>
              <w:rPr>
                <w:rFonts w:ascii="宋体" w:hAnsi="宋体"/>
                <w:sz w:val="24"/>
                <w:szCs w:val="24"/>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301C7E82">
            <w:pPr>
              <w:spacing w:line="420" w:lineRule="exact"/>
              <w:ind w:firstLine="480" w:firstLineChars="200"/>
              <w:jc w:val="center"/>
              <w:rPr>
                <w:rFonts w:ascii="宋体" w:hAnsi="宋体"/>
                <w:sz w:val="24"/>
                <w:szCs w:val="24"/>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2A892D80">
            <w:pPr>
              <w:spacing w:line="420" w:lineRule="exact"/>
              <w:ind w:firstLine="480" w:firstLineChars="200"/>
              <w:jc w:val="center"/>
              <w:rPr>
                <w:rFonts w:ascii="宋体" w:hAnsi="宋体"/>
                <w:sz w:val="24"/>
                <w:szCs w:val="24"/>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502D4FE8">
            <w:pPr>
              <w:spacing w:line="420" w:lineRule="exact"/>
              <w:ind w:firstLine="480" w:firstLineChars="200"/>
              <w:jc w:val="center"/>
              <w:rPr>
                <w:rFonts w:ascii="宋体" w:hAnsi="宋体"/>
                <w:sz w:val="24"/>
                <w:szCs w:val="24"/>
              </w:rPr>
            </w:pPr>
          </w:p>
        </w:tc>
      </w:tr>
      <w:tr w14:paraId="6EB89567">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44C9855F">
            <w:pPr>
              <w:spacing w:line="420" w:lineRule="exact"/>
              <w:ind w:firstLine="480" w:firstLineChars="200"/>
              <w:jc w:val="center"/>
              <w:rPr>
                <w:rFonts w:ascii="宋体" w:hAnsi="宋体"/>
                <w:sz w:val="24"/>
                <w:szCs w:val="24"/>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1F9EE481">
            <w:pPr>
              <w:spacing w:line="420" w:lineRule="exact"/>
              <w:ind w:firstLine="480" w:firstLineChars="200"/>
              <w:jc w:val="center"/>
              <w:rPr>
                <w:rFonts w:ascii="宋体" w:hAnsi="宋体"/>
                <w:sz w:val="24"/>
                <w:szCs w:val="24"/>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36A1DD7F">
            <w:pPr>
              <w:spacing w:line="420" w:lineRule="exact"/>
              <w:ind w:firstLine="480" w:firstLineChars="200"/>
              <w:jc w:val="center"/>
              <w:rPr>
                <w:rFonts w:ascii="宋体" w:hAnsi="宋体"/>
                <w:sz w:val="24"/>
                <w:szCs w:val="24"/>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027D4232">
            <w:pPr>
              <w:spacing w:line="420" w:lineRule="exact"/>
              <w:ind w:firstLine="480" w:firstLineChars="200"/>
              <w:jc w:val="center"/>
              <w:rPr>
                <w:rFonts w:ascii="宋体" w:hAnsi="宋体"/>
                <w:sz w:val="24"/>
                <w:szCs w:val="24"/>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7A16DF59">
            <w:pPr>
              <w:spacing w:line="420" w:lineRule="exact"/>
              <w:ind w:firstLine="480" w:firstLineChars="200"/>
              <w:jc w:val="center"/>
              <w:rPr>
                <w:rFonts w:ascii="宋体" w:hAnsi="宋体"/>
                <w:sz w:val="24"/>
                <w:szCs w:val="24"/>
              </w:rPr>
            </w:pPr>
          </w:p>
        </w:tc>
      </w:tr>
      <w:tr w14:paraId="523384B1">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61D7DA5D">
            <w:pPr>
              <w:spacing w:line="420" w:lineRule="exact"/>
              <w:ind w:firstLine="480" w:firstLineChars="200"/>
              <w:jc w:val="center"/>
              <w:rPr>
                <w:rFonts w:ascii="宋体" w:hAnsi="宋体"/>
                <w:sz w:val="24"/>
                <w:szCs w:val="24"/>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2C4CE0FA">
            <w:pPr>
              <w:spacing w:line="420" w:lineRule="exact"/>
              <w:ind w:firstLine="480" w:firstLineChars="200"/>
              <w:jc w:val="center"/>
              <w:rPr>
                <w:rFonts w:ascii="宋体" w:hAnsi="宋体"/>
                <w:sz w:val="24"/>
                <w:szCs w:val="24"/>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60CBEA70">
            <w:pPr>
              <w:spacing w:line="420" w:lineRule="exact"/>
              <w:ind w:firstLine="480" w:firstLineChars="200"/>
              <w:jc w:val="center"/>
              <w:rPr>
                <w:rFonts w:ascii="宋体" w:hAnsi="宋体"/>
                <w:sz w:val="24"/>
                <w:szCs w:val="24"/>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0F789BDD">
            <w:pPr>
              <w:spacing w:line="420" w:lineRule="exact"/>
              <w:ind w:firstLine="480" w:firstLineChars="200"/>
              <w:jc w:val="center"/>
              <w:rPr>
                <w:rFonts w:ascii="宋体" w:hAnsi="宋体"/>
                <w:sz w:val="24"/>
                <w:szCs w:val="24"/>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151D1A60">
            <w:pPr>
              <w:spacing w:line="420" w:lineRule="exact"/>
              <w:ind w:firstLine="480" w:firstLineChars="200"/>
              <w:jc w:val="center"/>
              <w:rPr>
                <w:rFonts w:ascii="宋体" w:hAnsi="宋体"/>
                <w:sz w:val="24"/>
                <w:szCs w:val="24"/>
              </w:rPr>
            </w:pPr>
          </w:p>
        </w:tc>
      </w:tr>
      <w:tr w14:paraId="42F7B79F">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23618116">
            <w:pPr>
              <w:spacing w:line="420" w:lineRule="exact"/>
              <w:ind w:firstLine="480" w:firstLineChars="200"/>
              <w:jc w:val="center"/>
              <w:rPr>
                <w:rFonts w:ascii="宋体" w:hAnsi="宋体"/>
                <w:sz w:val="24"/>
                <w:szCs w:val="24"/>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7C9F721E">
            <w:pPr>
              <w:spacing w:line="420" w:lineRule="exact"/>
              <w:ind w:firstLine="480" w:firstLineChars="200"/>
              <w:jc w:val="center"/>
              <w:rPr>
                <w:rFonts w:ascii="宋体" w:hAnsi="宋体"/>
                <w:sz w:val="24"/>
                <w:szCs w:val="24"/>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00A7196B">
            <w:pPr>
              <w:spacing w:line="420" w:lineRule="exact"/>
              <w:ind w:firstLine="480" w:firstLineChars="200"/>
              <w:jc w:val="center"/>
              <w:rPr>
                <w:rFonts w:ascii="宋体" w:hAnsi="宋体"/>
                <w:sz w:val="24"/>
                <w:szCs w:val="24"/>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5A43454C">
            <w:pPr>
              <w:spacing w:line="420" w:lineRule="exact"/>
              <w:ind w:firstLine="480" w:firstLineChars="200"/>
              <w:jc w:val="center"/>
              <w:rPr>
                <w:rFonts w:ascii="宋体" w:hAnsi="宋体"/>
                <w:sz w:val="24"/>
                <w:szCs w:val="24"/>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28615B6E">
            <w:pPr>
              <w:spacing w:line="420" w:lineRule="exact"/>
              <w:ind w:firstLine="480" w:firstLineChars="200"/>
              <w:jc w:val="center"/>
              <w:rPr>
                <w:rFonts w:ascii="宋体" w:hAnsi="宋体"/>
                <w:sz w:val="24"/>
                <w:szCs w:val="24"/>
              </w:rPr>
            </w:pPr>
          </w:p>
        </w:tc>
      </w:tr>
      <w:tr w14:paraId="659A6802">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5EB5BD21">
            <w:pPr>
              <w:spacing w:line="420" w:lineRule="exact"/>
              <w:ind w:firstLine="480" w:firstLineChars="200"/>
              <w:jc w:val="center"/>
              <w:rPr>
                <w:rFonts w:ascii="宋体" w:hAnsi="宋体"/>
                <w:sz w:val="24"/>
                <w:szCs w:val="24"/>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189356FE">
            <w:pPr>
              <w:spacing w:line="420" w:lineRule="exact"/>
              <w:ind w:firstLine="480" w:firstLineChars="200"/>
              <w:jc w:val="center"/>
              <w:rPr>
                <w:rFonts w:ascii="宋体" w:hAnsi="宋体"/>
                <w:sz w:val="24"/>
                <w:szCs w:val="24"/>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302145FC">
            <w:pPr>
              <w:spacing w:line="420" w:lineRule="exact"/>
              <w:ind w:firstLine="480" w:firstLineChars="200"/>
              <w:jc w:val="center"/>
              <w:rPr>
                <w:rFonts w:ascii="宋体" w:hAnsi="宋体"/>
                <w:sz w:val="24"/>
                <w:szCs w:val="24"/>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640D0485">
            <w:pPr>
              <w:spacing w:line="420" w:lineRule="exact"/>
              <w:ind w:firstLine="480" w:firstLineChars="200"/>
              <w:jc w:val="center"/>
              <w:rPr>
                <w:rFonts w:ascii="宋体" w:hAnsi="宋体"/>
                <w:sz w:val="24"/>
                <w:szCs w:val="24"/>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192D1CE9">
            <w:pPr>
              <w:spacing w:line="420" w:lineRule="exact"/>
              <w:ind w:firstLine="480" w:firstLineChars="200"/>
              <w:jc w:val="center"/>
              <w:rPr>
                <w:rFonts w:ascii="宋体" w:hAnsi="宋体"/>
                <w:sz w:val="24"/>
                <w:szCs w:val="24"/>
              </w:rPr>
            </w:pPr>
          </w:p>
        </w:tc>
      </w:tr>
      <w:tr w14:paraId="7A7E092B">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3D146E26">
            <w:pPr>
              <w:spacing w:line="420" w:lineRule="exact"/>
              <w:ind w:firstLine="480" w:firstLineChars="200"/>
              <w:jc w:val="center"/>
              <w:rPr>
                <w:rFonts w:ascii="宋体" w:hAnsi="宋体"/>
                <w:sz w:val="24"/>
                <w:szCs w:val="24"/>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5C35C22A">
            <w:pPr>
              <w:spacing w:line="420" w:lineRule="exact"/>
              <w:ind w:firstLine="480" w:firstLineChars="200"/>
              <w:jc w:val="center"/>
              <w:rPr>
                <w:rFonts w:ascii="宋体" w:hAnsi="宋体"/>
                <w:sz w:val="24"/>
                <w:szCs w:val="24"/>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31096CA6">
            <w:pPr>
              <w:spacing w:line="420" w:lineRule="exact"/>
              <w:ind w:firstLine="480" w:firstLineChars="200"/>
              <w:jc w:val="center"/>
              <w:rPr>
                <w:rFonts w:ascii="宋体" w:hAnsi="宋体"/>
                <w:sz w:val="24"/>
                <w:szCs w:val="24"/>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19735966">
            <w:pPr>
              <w:spacing w:line="420" w:lineRule="exact"/>
              <w:ind w:firstLine="480" w:firstLineChars="200"/>
              <w:jc w:val="center"/>
              <w:rPr>
                <w:rFonts w:ascii="宋体" w:hAnsi="宋体"/>
                <w:sz w:val="24"/>
                <w:szCs w:val="24"/>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29ECC3F9">
            <w:pPr>
              <w:spacing w:line="420" w:lineRule="exact"/>
              <w:ind w:firstLine="480" w:firstLineChars="200"/>
              <w:jc w:val="center"/>
              <w:rPr>
                <w:rFonts w:ascii="宋体" w:hAnsi="宋体"/>
                <w:sz w:val="24"/>
                <w:szCs w:val="24"/>
              </w:rPr>
            </w:pPr>
          </w:p>
        </w:tc>
      </w:tr>
      <w:tr w14:paraId="443709B0">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786EA47D">
            <w:pPr>
              <w:spacing w:line="420" w:lineRule="exact"/>
              <w:ind w:firstLine="480" w:firstLineChars="200"/>
              <w:jc w:val="center"/>
              <w:rPr>
                <w:rFonts w:ascii="宋体" w:hAnsi="宋体"/>
                <w:sz w:val="24"/>
                <w:szCs w:val="24"/>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3D0CAE7E">
            <w:pPr>
              <w:spacing w:line="420" w:lineRule="exact"/>
              <w:ind w:firstLine="480" w:firstLineChars="200"/>
              <w:jc w:val="center"/>
              <w:rPr>
                <w:rFonts w:ascii="宋体" w:hAnsi="宋体"/>
                <w:sz w:val="24"/>
                <w:szCs w:val="24"/>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5DC833B8">
            <w:pPr>
              <w:spacing w:line="420" w:lineRule="exact"/>
              <w:ind w:firstLine="480" w:firstLineChars="200"/>
              <w:jc w:val="center"/>
              <w:rPr>
                <w:rFonts w:ascii="宋体" w:hAnsi="宋体"/>
                <w:sz w:val="24"/>
                <w:szCs w:val="24"/>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64672687">
            <w:pPr>
              <w:spacing w:line="420" w:lineRule="exact"/>
              <w:ind w:firstLine="480" w:firstLineChars="200"/>
              <w:jc w:val="center"/>
              <w:rPr>
                <w:rFonts w:ascii="宋体" w:hAnsi="宋体"/>
                <w:sz w:val="24"/>
                <w:szCs w:val="24"/>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46C344B4">
            <w:pPr>
              <w:spacing w:line="420" w:lineRule="exact"/>
              <w:ind w:firstLine="480" w:firstLineChars="200"/>
              <w:jc w:val="center"/>
              <w:rPr>
                <w:rFonts w:ascii="宋体" w:hAnsi="宋体"/>
                <w:sz w:val="24"/>
                <w:szCs w:val="24"/>
              </w:rPr>
            </w:pPr>
          </w:p>
        </w:tc>
      </w:tr>
      <w:tr w14:paraId="0F2B7597">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47B714A9">
            <w:pPr>
              <w:spacing w:line="420" w:lineRule="exact"/>
              <w:ind w:firstLine="480" w:firstLineChars="200"/>
              <w:jc w:val="center"/>
              <w:rPr>
                <w:rFonts w:ascii="宋体" w:hAnsi="宋体"/>
                <w:sz w:val="24"/>
                <w:szCs w:val="24"/>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0FEF909B">
            <w:pPr>
              <w:spacing w:line="420" w:lineRule="exact"/>
              <w:ind w:firstLine="480" w:firstLineChars="200"/>
              <w:jc w:val="center"/>
              <w:rPr>
                <w:rFonts w:ascii="宋体" w:hAnsi="宋体"/>
                <w:sz w:val="24"/>
                <w:szCs w:val="24"/>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556FB576">
            <w:pPr>
              <w:spacing w:line="420" w:lineRule="exact"/>
              <w:ind w:firstLine="480" w:firstLineChars="200"/>
              <w:jc w:val="center"/>
              <w:rPr>
                <w:rFonts w:ascii="宋体" w:hAnsi="宋体"/>
                <w:sz w:val="24"/>
                <w:szCs w:val="24"/>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2865966C">
            <w:pPr>
              <w:spacing w:line="420" w:lineRule="exact"/>
              <w:ind w:firstLine="480" w:firstLineChars="200"/>
              <w:jc w:val="center"/>
              <w:rPr>
                <w:rFonts w:ascii="宋体" w:hAnsi="宋体"/>
                <w:sz w:val="24"/>
                <w:szCs w:val="24"/>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2BB28651">
            <w:pPr>
              <w:spacing w:line="420" w:lineRule="exact"/>
              <w:ind w:firstLine="480" w:firstLineChars="200"/>
              <w:jc w:val="center"/>
              <w:rPr>
                <w:rFonts w:ascii="宋体" w:hAnsi="宋体"/>
                <w:sz w:val="24"/>
                <w:szCs w:val="24"/>
              </w:rPr>
            </w:pPr>
          </w:p>
        </w:tc>
      </w:tr>
      <w:tr w14:paraId="5EC63EE4">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31B00675">
            <w:pPr>
              <w:spacing w:line="420" w:lineRule="exact"/>
              <w:ind w:firstLine="480" w:firstLineChars="200"/>
              <w:jc w:val="center"/>
              <w:rPr>
                <w:rFonts w:ascii="宋体" w:hAnsi="宋体"/>
                <w:sz w:val="24"/>
                <w:szCs w:val="24"/>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08982764">
            <w:pPr>
              <w:spacing w:line="420" w:lineRule="exact"/>
              <w:ind w:firstLine="480" w:firstLineChars="200"/>
              <w:jc w:val="center"/>
              <w:rPr>
                <w:rFonts w:ascii="宋体" w:hAnsi="宋体"/>
                <w:sz w:val="24"/>
                <w:szCs w:val="24"/>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30DD1F6C">
            <w:pPr>
              <w:spacing w:line="420" w:lineRule="exact"/>
              <w:ind w:firstLine="480" w:firstLineChars="200"/>
              <w:jc w:val="center"/>
              <w:rPr>
                <w:rFonts w:ascii="宋体" w:hAnsi="宋体"/>
                <w:sz w:val="24"/>
                <w:szCs w:val="24"/>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03FACA1D">
            <w:pPr>
              <w:spacing w:line="420" w:lineRule="exact"/>
              <w:ind w:firstLine="480" w:firstLineChars="200"/>
              <w:jc w:val="center"/>
              <w:rPr>
                <w:rFonts w:ascii="宋体" w:hAnsi="宋体"/>
                <w:sz w:val="24"/>
                <w:szCs w:val="24"/>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7D9C0059">
            <w:pPr>
              <w:spacing w:line="420" w:lineRule="exact"/>
              <w:ind w:firstLine="480" w:firstLineChars="200"/>
              <w:jc w:val="center"/>
              <w:rPr>
                <w:rFonts w:ascii="宋体" w:hAnsi="宋体"/>
                <w:sz w:val="24"/>
                <w:szCs w:val="24"/>
              </w:rPr>
            </w:pPr>
          </w:p>
        </w:tc>
      </w:tr>
      <w:tr w14:paraId="697A7AC5">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63D34888">
            <w:pPr>
              <w:spacing w:line="420" w:lineRule="exact"/>
              <w:ind w:firstLine="480" w:firstLineChars="200"/>
              <w:jc w:val="center"/>
              <w:rPr>
                <w:rFonts w:ascii="宋体" w:hAnsi="宋体"/>
                <w:sz w:val="24"/>
                <w:szCs w:val="24"/>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3E65C37E">
            <w:pPr>
              <w:spacing w:line="420" w:lineRule="exact"/>
              <w:ind w:firstLine="480" w:firstLineChars="200"/>
              <w:jc w:val="center"/>
              <w:rPr>
                <w:rFonts w:ascii="宋体" w:hAnsi="宋体"/>
                <w:sz w:val="24"/>
                <w:szCs w:val="24"/>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66EE5924">
            <w:pPr>
              <w:spacing w:line="420" w:lineRule="exact"/>
              <w:ind w:firstLine="480" w:firstLineChars="200"/>
              <w:jc w:val="center"/>
              <w:rPr>
                <w:rFonts w:ascii="宋体" w:hAnsi="宋体"/>
                <w:sz w:val="24"/>
                <w:szCs w:val="24"/>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3B9FC6B0">
            <w:pPr>
              <w:spacing w:line="420" w:lineRule="exact"/>
              <w:ind w:firstLine="480" w:firstLineChars="200"/>
              <w:jc w:val="center"/>
              <w:rPr>
                <w:rFonts w:ascii="宋体" w:hAnsi="宋体"/>
                <w:sz w:val="24"/>
                <w:szCs w:val="24"/>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7122CA0E">
            <w:pPr>
              <w:spacing w:line="420" w:lineRule="exact"/>
              <w:ind w:firstLine="480" w:firstLineChars="200"/>
              <w:jc w:val="center"/>
              <w:rPr>
                <w:rFonts w:ascii="宋体" w:hAnsi="宋体"/>
                <w:sz w:val="24"/>
                <w:szCs w:val="24"/>
              </w:rPr>
            </w:pPr>
          </w:p>
        </w:tc>
      </w:tr>
    </w:tbl>
    <w:p w14:paraId="2AE9E028">
      <w:pPr>
        <w:spacing w:line="360" w:lineRule="auto"/>
        <w:ind w:firstLine="240" w:firstLineChars="100"/>
        <w:rPr>
          <w:rFonts w:ascii="宋体" w:hAnsi="宋体"/>
          <w:szCs w:val="21"/>
        </w:rPr>
      </w:pPr>
      <w:r>
        <w:rPr>
          <w:rFonts w:hint="eastAsia" w:ascii="宋体" w:hAnsi="宋体"/>
          <w:sz w:val="24"/>
          <w:szCs w:val="24"/>
        </w:rPr>
        <w:t>说明：</w:t>
      </w:r>
      <w:r>
        <w:rPr>
          <w:rFonts w:hint="eastAsia" w:ascii="Times New Roman" w:hAnsi="Times New Roman" w:eastAsia="宋体" w:cs="Times New Roman"/>
          <w:color w:val="auto"/>
          <w:sz w:val="24"/>
          <w:szCs w:val="24"/>
          <w:highlight w:val="none"/>
        </w:rPr>
        <w:t>执业资格证书</w:t>
      </w:r>
      <w:r>
        <w:rPr>
          <w:rFonts w:hint="eastAsia" w:eastAsia="宋体" w:cs="Times New Roman"/>
          <w:color w:val="auto"/>
          <w:sz w:val="24"/>
          <w:szCs w:val="24"/>
          <w:highlight w:val="none"/>
          <w:lang w:val="en-US" w:eastAsia="zh-CN"/>
        </w:rPr>
        <w:t>或</w:t>
      </w:r>
      <w:r>
        <w:rPr>
          <w:sz w:val="24"/>
          <w:szCs w:val="24"/>
        </w:rPr>
        <w:fldChar w:fldCharType="begin"/>
      </w:r>
      <w:r>
        <w:rPr>
          <w:sz w:val="24"/>
          <w:szCs w:val="24"/>
        </w:rPr>
        <w:instrText xml:space="preserve"> AUTOTEXT  input718 \* MERGEFORMAT </w:instrText>
      </w:r>
      <w:r>
        <w:rPr>
          <w:sz w:val="24"/>
          <w:szCs w:val="24"/>
        </w:rPr>
        <w:fldChar w:fldCharType="separate"/>
      </w:r>
      <w:r>
        <w:rPr>
          <w:rFonts w:hint="eastAsia" w:ascii="宋体" w:hAnsi="宋体"/>
          <w:sz w:val="24"/>
          <w:szCs w:val="24"/>
        </w:rPr>
        <w:t>职称证、身份证、</w:t>
      </w:r>
      <w:r>
        <w:rPr>
          <w:rFonts w:hint="eastAsia" w:ascii="宋体" w:hAnsi="宋体"/>
          <w:sz w:val="24"/>
          <w:szCs w:val="24"/>
          <w:lang w:val="en-US" w:eastAsia="zh-CN"/>
        </w:rPr>
        <w:t>社保缴纳证明</w:t>
      </w:r>
      <w:r>
        <w:rPr>
          <w:rFonts w:hint="eastAsia" w:ascii="宋体" w:hAnsi="宋体"/>
          <w:sz w:val="24"/>
          <w:szCs w:val="24"/>
        </w:rPr>
        <w:fldChar w:fldCharType="end"/>
      </w:r>
      <w:r>
        <w:rPr>
          <w:rFonts w:hint="eastAsia" w:ascii="宋体" w:hAnsi="宋体"/>
          <w:sz w:val="24"/>
          <w:szCs w:val="24"/>
        </w:rPr>
        <w:t>。</w:t>
      </w:r>
    </w:p>
    <w:p w14:paraId="0ECE857B">
      <w:pPr>
        <w:spacing w:line="360" w:lineRule="auto"/>
        <w:ind w:firstLine="210" w:firstLineChars="100"/>
        <w:rPr>
          <w:rFonts w:ascii="宋体" w:hAnsi="宋体"/>
          <w:szCs w:val="21"/>
        </w:rPr>
      </w:pPr>
    </w:p>
    <w:p w14:paraId="63867281">
      <w:pPr>
        <w:widowControl w:val="0"/>
        <w:spacing w:line="600" w:lineRule="atLeas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lang w:eastAsia="zh-CN"/>
        </w:rPr>
        <w:t>电子公章</w:t>
      </w:r>
      <w:r>
        <w:rPr>
          <w:rFonts w:hint="eastAsia" w:ascii="宋体" w:hAnsi="宋体" w:eastAsia="宋体" w:cs="宋体"/>
          <w:sz w:val="24"/>
          <w:szCs w:val="24"/>
        </w:rPr>
        <w:t xml:space="preserve">）   </w:t>
      </w:r>
    </w:p>
    <w:p w14:paraId="70823F9B">
      <w:pPr>
        <w:widowControl w:val="0"/>
        <w:spacing w:line="600" w:lineRule="atLeas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法定代表人</w:t>
      </w:r>
      <w:r>
        <w:rPr>
          <w:rFonts w:hint="eastAsia" w:ascii="宋体" w:hAnsi="宋体" w:eastAsia="宋体" w:cs="宋体"/>
          <w:sz w:val="24"/>
          <w:szCs w:val="24"/>
        </w:rPr>
        <w:t>或委托代理人：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lang w:eastAsia="zh-CN"/>
        </w:rPr>
        <w:t>电子签名</w:t>
      </w:r>
      <w:r>
        <w:rPr>
          <w:rFonts w:hint="eastAsia" w:ascii="宋体" w:hAnsi="宋体" w:eastAsia="宋体" w:cs="宋体"/>
          <w:sz w:val="24"/>
          <w:szCs w:val="24"/>
        </w:rPr>
        <w:t xml:space="preserve">） </w:t>
      </w:r>
    </w:p>
    <w:p w14:paraId="3B46C91A">
      <w:pPr>
        <w:widowControl w:val="0"/>
        <w:spacing w:line="600" w:lineRule="atLeast"/>
        <w:ind w:firstLine="480" w:firstLineChars="200"/>
        <w:rPr>
          <w:rFonts w:hint="eastAsia"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0056217A">
      <w:pPr>
        <w:rPr>
          <w:rFonts w:hint="eastAsia" w:ascii="宋体" w:hAnsi="宋体" w:eastAsia="宋体" w:cs="宋体"/>
          <w:b/>
          <w:bCs/>
          <w:spacing w:val="-5"/>
          <w:sz w:val="28"/>
          <w:szCs w:val="28"/>
          <w:highlight w:val="none"/>
          <w:lang w:val="en-US" w:eastAsia="zh-CN"/>
        </w:rPr>
      </w:pPr>
      <w:r>
        <w:rPr>
          <w:rFonts w:hint="eastAsia" w:ascii="宋体" w:hAnsi="宋体" w:eastAsia="宋体" w:cs="宋体"/>
          <w:b/>
          <w:bCs/>
          <w:spacing w:val="-5"/>
          <w:sz w:val="28"/>
          <w:szCs w:val="28"/>
          <w:highlight w:val="none"/>
          <w:lang w:val="en-US" w:eastAsia="zh-CN"/>
        </w:rPr>
        <w:br w:type="page"/>
      </w:r>
    </w:p>
    <w:p w14:paraId="25B42156">
      <w:pPr>
        <w:spacing w:line="420" w:lineRule="exact"/>
        <w:jc w:val="left"/>
        <w:rPr>
          <w:rFonts w:ascii="宋体" w:hAnsi="宋体" w:cs="宋体"/>
          <w:b/>
          <w:color w:val="auto"/>
          <w:sz w:val="24"/>
          <w:szCs w:val="24"/>
          <w:highlight w:val="none"/>
        </w:rPr>
        <w:sectPr>
          <w:footerReference r:id="rId6" w:type="default"/>
          <w:type w:val="continuous"/>
          <w:pgSz w:w="11907" w:h="16840"/>
          <w:pgMar w:top="1418" w:right="1275" w:bottom="1077" w:left="1418" w:header="851" w:footer="992" w:gutter="0"/>
          <w:pgNumType w:fmt="decimal"/>
          <w:cols w:space="720" w:num="1"/>
          <w:docGrid w:linePitch="312" w:charSpace="0"/>
        </w:sectPr>
      </w:pPr>
    </w:p>
    <w:bookmarkEnd w:id="290"/>
    <w:bookmarkEnd w:id="291"/>
    <w:bookmarkEnd w:id="292"/>
    <w:bookmarkEnd w:id="293"/>
    <w:bookmarkEnd w:id="294"/>
    <w:bookmarkEnd w:id="295"/>
    <w:bookmarkEnd w:id="296"/>
    <w:bookmarkEnd w:id="297"/>
    <w:bookmarkEnd w:id="298"/>
    <w:bookmarkEnd w:id="299"/>
    <w:p w14:paraId="52633D45">
      <w:pPr>
        <w:bidi w:val="0"/>
        <w:spacing w:line="480" w:lineRule="auto"/>
        <w:jc w:val="center"/>
        <w:rPr>
          <w:rFonts w:hint="eastAsia"/>
          <w:b/>
          <w:bCs/>
          <w:sz w:val="28"/>
          <w:szCs w:val="28"/>
          <w:lang w:val="en-US" w:eastAsia="zh-CN"/>
        </w:rPr>
      </w:pPr>
      <w:bookmarkStart w:id="300" w:name="_Toc23076"/>
      <w:bookmarkStart w:id="301" w:name="_Toc20958"/>
      <w:bookmarkStart w:id="302" w:name="_Toc5839"/>
      <w:bookmarkStart w:id="303" w:name="_Toc4600"/>
      <w:bookmarkStart w:id="304" w:name="_Toc20358"/>
      <w:bookmarkStart w:id="305" w:name="_Toc26030"/>
      <w:bookmarkStart w:id="306" w:name="_Toc4347"/>
      <w:r>
        <w:rPr>
          <w:rFonts w:hint="eastAsia"/>
          <w:b/>
          <w:bCs/>
          <w:sz w:val="28"/>
          <w:szCs w:val="28"/>
          <w:lang w:val="en-US" w:eastAsia="zh-CN"/>
        </w:rPr>
        <w:t>（四）其他资料及供应认为需要补充的资料</w:t>
      </w:r>
      <w:bookmarkEnd w:id="300"/>
      <w:bookmarkEnd w:id="301"/>
      <w:bookmarkEnd w:id="302"/>
      <w:bookmarkEnd w:id="303"/>
      <w:bookmarkEnd w:id="304"/>
      <w:bookmarkEnd w:id="305"/>
      <w:bookmarkEnd w:id="306"/>
    </w:p>
    <w:p w14:paraId="3989E7D1">
      <w:pPr>
        <w:pStyle w:val="56"/>
        <w:spacing w:line="600" w:lineRule="exact"/>
        <w:ind w:firstLine="486" w:firstLineChars="200"/>
        <w:jc w:val="left"/>
        <w:rPr>
          <w:rFonts w:hint="eastAsia" w:ascii="宋体" w:hAnsi="宋体" w:eastAsia="宋体" w:cs="宋体"/>
          <w:color w:val="auto"/>
          <w:kern w:val="0"/>
          <w:sz w:val="24"/>
          <w:szCs w:val="24"/>
        </w:rPr>
      </w:pPr>
    </w:p>
    <w:p w14:paraId="7BFB378F">
      <w:pPr>
        <w:rPr>
          <w:rFonts w:hint="eastAsia" w:ascii="宋体" w:hAnsi="宋体" w:eastAsia="宋体" w:cs="宋体"/>
          <w:b/>
          <w:bCs/>
          <w:sz w:val="28"/>
          <w:szCs w:val="28"/>
        </w:rPr>
      </w:pPr>
      <w:r>
        <w:rPr>
          <w:rFonts w:hint="eastAsia" w:ascii="宋体" w:hAnsi="宋体" w:eastAsia="宋体" w:cs="宋体"/>
          <w:b/>
          <w:bCs/>
          <w:sz w:val="28"/>
          <w:szCs w:val="28"/>
        </w:rPr>
        <w:br w:type="page"/>
      </w:r>
    </w:p>
    <w:p w14:paraId="053DC725">
      <w:pPr>
        <w:numPr>
          <w:ilvl w:val="0"/>
          <w:numId w:val="0"/>
        </w:numPr>
        <w:spacing w:line="600" w:lineRule="exact"/>
        <w:jc w:val="center"/>
        <w:outlineLvl w:val="1"/>
        <w:rPr>
          <w:rFonts w:hint="eastAsia" w:ascii="Arial" w:hAnsi="Arial" w:eastAsia="黑体" w:cstheme="minorBidi"/>
          <w:b/>
          <w:bCs/>
          <w:kern w:val="2"/>
          <w:sz w:val="32"/>
          <w:szCs w:val="32"/>
          <w:lang w:val="en-US" w:eastAsia="zh-CN" w:bidi="ar-SA"/>
        </w:rPr>
      </w:pPr>
      <w:bookmarkStart w:id="307" w:name="_Toc10311"/>
      <w:bookmarkStart w:id="308" w:name="_Toc17677"/>
      <w:bookmarkStart w:id="309" w:name="_Toc9451"/>
      <w:bookmarkStart w:id="310" w:name="_Toc3511"/>
      <w:bookmarkStart w:id="311" w:name="_Toc1210"/>
      <w:bookmarkStart w:id="312" w:name="_Toc15917"/>
      <w:bookmarkStart w:id="313" w:name="_Toc31068"/>
      <w:bookmarkStart w:id="314" w:name="_Toc10970"/>
      <w:bookmarkStart w:id="315" w:name="_Toc21068"/>
      <w:bookmarkStart w:id="316" w:name="_Toc10408"/>
      <w:bookmarkStart w:id="317" w:name="_Toc19378"/>
      <w:bookmarkStart w:id="318" w:name="_Toc942"/>
      <w:bookmarkStart w:id="319" w:name="_Toc32206"/>
      <w:r>
        <w:rPr>
          <w:rFonts w:hint="eastAsia" w:ascii="Arial" w:hAnsi="Arial" w:eastAsia="黑体" w:cstheme="minorBidi"/>
          <w:b/>
          <w:bCs/>
          <w:kern w:val="2"/>
          <w:sz w:val="32"/>
          <w:szCs w:val="32"/>
          <w:lang w:val="en-US" w:eastAsia="zh-CN" w:bidi="ar-SA"/>
        </w:rPr>
        <w:t>第三部分</w:t>
      </w:r>
      <w:bookmarkEnd w:id="307"/>
      <w:bookmarkEnd w:id="308"/>
      <w:bookmarkEnd w:id="309"/>
      <w:bookmarkEnd w:id="310"/>
      <w:bookmarkEnd w:id="311"/>
      <w:bookmarkEnd w:id="312"/>
      <w:bookmarkEnd w:id="313"/>
      <w:bookmarkEnd w:id="314"/>
      <w:bookmarkEnd w:id="315"/>
      <w:bookmarkEnd w:id="316"/>
      <w:r>
        <w:rPr>
          <w:rFonts w:hint="eastAsia" w:ascii="Arial" w:hAnsi="Arial" w:eastAsia="黑体" w:cstheme="minorBidi"/>
          <w:b/>
          <w:bCs/>
          <w:kern w:val="2"/>
          <w:sz w:val="32"/>
          <w:szCs w:val="32"/>
          <w:lang w:val="en-US" w:eastAsia="zh-CN" w:bidi="ar-SA"/>
        </w:rPr>
        <w:t xml:space="preserve"> 商务及技术部分</w:t>
      </w:r>
      <w:bookmarkEnd w:id="317"/>
      <w:bookmarkEnd w:id="318"/>
      <w:bookmarkEnd w:id="319"/>
    </w:p>
    <w:p w14:paraId="3BDC8574">
      <w:pPr>
        <w:bidi w:val="0"/>
        <w:spacing w:line="480" w:lineRule="auto"/>
        <w:jc w:val="center"/>
        <w:rPr>
          <w:rFonts w:hint="eastAsia"/>
          <w:b/>
          <w:bCs/>
          <w:sz w:val="28"/>
          <w:szCs w:val="28"/>
          <w:lang w:val="en-US" w:eastAsia="zh-CN"/>
        </w:rPr>
      </w:pPr>
      <w:bookmarkStart w:id="320" w:name="_Toc4175"/>
      <w:bookmarkStart w:id="321" w:name="_Toc17403"/>
      <w:bookmarkStart w:id="322" w:name="_Toc1118"/>
      <w:bookmarkStart w:id="323" w:name="_Toc2866"/>
      <w:bookmarkStart w:id="324" w:name="_Toc13270"/>
      <w:bookmarkStart w:id="325" w:name="_Toc25637"/>
      <w:bookmarkStart w:id="326" w:name="_Toc18334"/>
      <w:bookmarkStart w:id="327" w:name="_Toc293"/>
      <w:bookmarkStart w:id="328" w:name="_Toc17253"/>
      <w:bookmarkStart w:id="329" w:name="_Toc11317"/>
      <w:r>
        <w:rPr>
          <w:rFonts w:hint="eastAsia"/>
          <w:b/>
          <w:bCs/>
          <w:sz w:val="28"/>
          <w:szCs w:val="28"/>
          <w:lang w:val="en-US" w:eastAsia="zh-CN"/>
        </w:rPr>
        <w:t>（一）磋商函</w:t>
      </w:r>
    </w:p>
    <w:p w14:paraId="4CC661BD">
      <w:pPr>
        <w:pStyle w:val="56"/>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致：</w:t>
      </w:r>
      <w:r>
        <w:rPr>
          <w:rFonts w:hint="eastAsia" w:ascii="宋体" w:hAnsi="宋体" w:eastAsia="宋体" w:cs="宋体"/>
          <w:color w:val="auto"/>
          <w:sz w:val="24"/>
          <w:szCs w:val="24"/>
          <w:u w:val="single"/>
        </w:rPr>
        <w:t>采购人</w:t>
      </w:r>
    </w:p>
    <w:p w14:paraId="24A6357C">
      <w:pPr>
        <w:pStyle w:val="56"/>
        <w:keepNext w:val="0"/>
        <w:keepLines w:val="0"/>
        <w:pageBreakBefore w:val="0"/>
        <w:widowControl w:val="0"/>
        <w:kinsoku/>
        <w:wordWrap/>
        <w:overflowPunct/>
        <w:topLinePunct w:val="0"/>
        <w:autoSpaceDE/>
        <w:autoSpaceDN/>
        <w:bidi w:val="0"/>
        <w:adjustRightInd/>
        <w:snapToGrid/>
        <w:spacing w:line="440" w:lineRule="exact"/>
        <w:ind w:firstLine="486"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我方仔细研究了</w:t>
      </w:r>
      <w:r>
        <w:rPr>
          <w:rFonts w:hint="eastAsia" w:ascii="宋体" w:hAnsi="宋体" w:eastAsia="宋体" w:cs="宋体"/>
          <w:color w:val="auto"/>
          <w:sz w:val="24"/>
          <w:szCs w:val="24"/>
          <w:u w:val="single"/>
        </w:rPr>
        <w:t>（采购项目名称）</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eastAsia="zh-CN"/>
        </w:rPr>
        <w:t>项目编号</w:t>
      </w:r>
      <w:r>
        <w:rPr>
          <w:rFonts w:hint="eastAsia" w:ascii="宋体" w:hAnsi="宋体" w:eastAsia="宋体" w:cs="宋体"/>
          <w:color w:val="auto"/>
          <w:sz w:val="24"/>
          <w:szCs w:val="24"/>
          <w:u w:val="single"/>
        </w:rPr>
        <w:t>：</w:t>
      </w:r>
      <w:r>
        <w:rPr>
          <w:rFonts w:hint="eastAsia" w:ascii="宋体" w:hAnsi="宋体" w:eastAsia="宋体" w:cs="宋体"/>
          <w:color w:val="auto"/>
          <w:sz w:val="24"/>
          <w:szCs w:val="24"/>
        </w:rPr>
        <w:t>）项目竞争性磋商文件的全部内容，正式授权</w:t>
      </w:r>
      <w:r>
        <w:rPr>
          <w:rFonts w:hint="eastAsia" w:ascii="宋体" w:hAnsi="宋体" w:eastAsia="宋体" w:cs="宋体"/>
          <w:color w:val="auto"/>
          <w:sz w:val="24"/>
          <w:szCs w:val="24"/>
          <w:u w:val="single"/>
        </w:rPr>
        <w:t>（姓名和职务）</w:t>
      </w:r>
      <w:r>
        <w:rPr>
          <w:rFonts w:hint="eastAsia" w:ascii="宋体" w:hAnsi="宋体" w:eastAsia="宋体" w:cs="宋体"/>
          <w:color w:val="auto"/>
          <w:sz w:val="24"/>
          <w:szCs w:val="24"/>
        </w:rPr>
        <w:t>全权代表</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eastAsia="zh-CN"/>
        </w:rPr>
        <w:t>供应商</w:t>
      </w:r>
      <w:r>
        <w:rPr>
          <w:rFonts w:hint="eastAsia" w:ascii="宋体" w:hAnsi="宋体" w:eastAsia="宋体" w:cs="宋体"/>
          <w:color w:val="auto"/>
          <w:sz w:val="24"/>
          <w:szCs w:val="24"/>
          <w:u w:val="single"/>
        </w:rPr>
        <w:t>全称）</w:t>
      </w:r>
      <w:r>
        <w:rPr>
          <w:rFonts w:hint="eastAsia" w:ascii="宋体" w:hAnsi="宋体" w:eastAsia="宋体" w:cs="宋体"/>
          <w:color w:val="auto"/>
          <w:sz w:val="24"/>
          <w:szCs w:val="24"/>
        </w:rPr>
        <w:t>参加磋商。</w:t>
      </w:r>
    </w:p>
    <w:p w14:paraId="52215093">
      <w:pPr>
        <w:pStyle w:val="56"/>
        <w:keepNext w:val="0"/>
        <w:keepLines w:val="0"/>
        <w:pageBreakBefore w:val="0"/>
        <w:widowControl w:val="0"/>
        <w:kinsoku/>
        <w:wordWrap/>
        <w:overflowPunct/>
        <w:topLinePunct w:val="0"/>
        <w:autoSpaceDE/>
        <w:autoSpaceDN/>
        <w:bidi w:val="0"/>
        <w:adjustRightInd/>
        <w:snapToGrid/>
        <w:spacing w:line="440" w:lineRule="exact"/>
        <w:ind w:firstLine="486"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据此函，我公司兹宣布同意如下：</w:t>
      </w:r>
    </w:p>
    <w:p w14:paraId="751BC056">
      <w:pPr>
        <w:pStyle w:val="56"/>
        <w:keepNext w:val="0"/>
        <w:keepLines w:val="0"/>
        <w:pageBreakBefore w:val="0"/>
        <w:widowControl w:val="0"/>
        <w:kinsoku/>
        <w:wordWrap/>
        <w:overflowPunct/>
        <w:topLinePunct w:val="0"/>
        <w:autoSpaceDE/>
        <w:autoSpaceDN/>
        <w:bidi w:val="0"/>
        <w:adjustRightInd/>
        <w:snapToGrid/>
        <w:spacing w:line="440" w:lineRule="exact"/>
        <w:ind w:firstLine="486"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1、按竞争性磋商文件技术要求，磋商总报价为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元</w:t>
      </w:r>
      <w:r>
        <w:rPr>
          <w:rFonts w:hint="eastAsia" w:ascii="宋体" w:hAnsi="宋体" w:eastAsia="宋体" w:cs="宋体"/>
          <w:color w:val="auto"/>
          <w:sz w:val="24"/>
          <w:szCs w:val="24"/>
        </w:rPr>
        <w:t>。</w:t>
      </w:r>
    </w:p>
    <w:p w14:paraId="4417C54A">
      <w:pPr>
        <w:spacing w:line="360" w:lineRule="auto"/>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2、我方已详细审查全部竞争性磋商文件，包括</w:t>
      </w:r>
      <w:r>
        <w:rPr>
          <w:rFonts w:hint="eastAsia" w:ascii="宋体" w:hAnsi="宋体" w:eastAsia="宋体" w:cs="宋体"/>
          <w:i w:val="0"/>
          <w:iCs/>
          <w:color w:val="auto"/>
          <w:sz w:val="24"/>
          <w:szCs w:val="24"/>
          <w:u w:val="single"/>
        </w:rPr>
        <w:t>（澄清文件）</w:t>
      </w:r>
      <w:r>
        <w:rPr>
          <w:rFonts w:hint="eastAsia" w:ascii="宋体" w:hAnsi="宋体" w:eastAsia="宋体" w:cs="宋体"/>
          <w:color w:val="auto"/>
          <w:sz w:val="24"/>
          <w:szCs w:val="24"/>
          <w:u w:val="single"/>
        </w:rPr>
        <w:t>(如有)</w:t>
      </w:r>
      <w:r>
        <w:rPr>
          <w:rFonts w:hint="eastAsia" w:ascii="宋体" w:hAnsi="宋体" w:eastAsia="宋体" w:cs="宋体"/>
          <w:color w:val="auto"/>
          <w:sz w:val="24"/>
          <w:szCs w:val="24"/>
        </w:rPr>
        <w:t>。我们完全理解并认为该磋商文件公平公正，不存在倾向性，且同意放弃对这方面有不明及误解的权利。</w:t>
      </w:r>
    </w:p>
    <w:p w14:paraId="60B91B59">
      <w:pPr>
        <w:pStyle w:val="56"/>
        <w:keepNext w:val="0"/>
        <w:keepLines w:val="0"/>
        <w:pageBreakBefore w:val="0"/>
        <w:widowControl w:val="0"/>
        <w:kinsoku/>
        <w:wordWrap/>
        <w:overflowPunct/>
        <w:topLinePunct w:val="0"/>
        <w:autoSpaceDE/>
        <w:autoSpaceDN/>
        <w:bidi w:val="0"/>
        <w:adjustRightInd/>
        <w:snapToGrid/>
        <w:spacing w:line="440" w:lineRule="exact"/>
        <w:ind w:firstLine="486"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3、在</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须知规定的磋商日期起遵循本响应文件，并在</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须知</w:t>
      </w:r>
      <w:r>
        <w:rPr>
          <w:rFonts w:hint="eastAsia" w:ascii="宋体" w:hAnsi="宋体" w:eastAsia="宋体" w:cs="宋体"/>
          <w:color w:val="auto"/>
          <w:sz w:val="24"/>
          <w:szCs w:val="24"/>
          <w:lang w:eastAsia="zh-CN"/>
        </w:rPr>
        <w:t>前附表</w:t>
      </w:r>
      <w:r>
        <w:rPr>
          <w:rFonts w:hint="eastAsia" w:ascii="宋体" w:hAnsi="宋体" w:eastAsia="宋体" w:cs="宋体"/>
          <w:color w:val="auto"/>
          <w:sz w:val="24"/>
          <w:szCs w:val="24"/>
        </w:rPr>
        <w:t>规定的响应文件有效期满之</w:t>
      </w:r>
      <w:r>
        <w:rPr>
          <w:rFonts w:hint="eastAsia" w:ascii="宋体" w:hAnsi="宋体" w:eastAsia="宋体" w:cs="宋体"/>
          <w:color w:val="auto"/>
          <w:sz w:val="24"/>
          <w:szCs w:val="24"/>
          <w:highlight w:val="none"/>
        </w:rPr>
        <w:t>前</w:t>
      </w:r>
      <w:r>
        <w:rPr>
          <w:rFonts w:hint="eastAsia" w:ascii="宋体" w:hAnsi="宋体" w:eastAsia="宋体" w:cs="宋体"/>
          <w:color w:val="auto"/>
          <w:sz w:val="24"/>
          <w:szCs w:val="24"/>
        </w:rPr>
        <w:t>均具有约束力。</w:t>
      </w:r>
    </w:p>
    <w:p w14:paraId="3656A2ED">
      <w:pPr>
        <w:pStyle w:val="56"/>
        <w:keepNext w:val="0"/>
        <w:keepLines w:val="0"/>
        <w:pageBreakBefore w:val="0"/>
        <w:widowControl w:val="0"/>
        <w:kinsoku/>
        <w:wordWrap/>
        <w:overflowPunct/>
        <w:topLinePunct w:val="0"/>
        <w:autoSpaceDE/>
        <w:autoSpaceDN/>
        <w:bidi w:val="0"/>
        <w:adjustRightInd/>
        <w:snapToGrid/>
        <w:spacing w:line="440" w:lineRule="exact"/>
        <w:ind w:firstLine="486"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4、同意应贵方要求提供与本磋商有关的任何数据或资料，并保证数据和资料的完整性和真实性。</w:t>
      </w:r>
    </w:p>
    <w:p w14:paraId="57CD1A98">
      <w:pPr>
        <w:pStyle w:val="56"/>
        <w:keepNext w:val="0"/>
        <w:keepLines w:val="0"/>
        <w:pageBreakBefore w:val="0"/>
        <w:widowControl w:val="0"/>
        <w:kinsoku/>
        <w:wordWrap/>
        <w:overflowPunct/>
        <w:topLinePunct w:val="0"/>
        <w:autoSpaceDE/>
        <w:autoSpaceDN/>
        <w:bidi w:val="0"/>
        <w:adjustRightInd/>
        <w:snapToGrid/>
        <w:spacing w:line="440" w:lineRule="exact"/>
        <w:ind w:firstLine="486"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、完全理解贵方不一定要接受最低报价的</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为成交人的行为。</w:t>
      </w:r>
    </w:p>
    <w:p w14:paraId="577CA8E3">
      <w:pPr>
        <w:pStyle w:val="56"/>
        <w:keepNext w:val="0"/>
        <w:keepLines w:val="0"/>
        <w:pageBreakBefore w:val="0"/>
        <w:widowControl w:val="0"/>
        <w:kinsoku/>
        <w:wordWrap/>
        <w:overflowPunct/>
        <w:topLinePunct w:val="0"/>
        <w:autoSpaceDE/>
        <w:autoSpaceDN/>
        <w:bidi w:val="0"/>
        <w:adjustRightInd/>
        <w:snapToGrid/>
        <w:spacing w:line="440" w:lineRule="exact"/>
        <w:ind w:firstLine="486"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如我方中标：</w:t>
      </w:r>
    </w:p>
    <w:p w14:paraId="06F52AF1">
      <w:pPr>
        <w:pStyle w:val="56"/>
        <w:keepNext w:val="0"/>
        <w:keepLines w:val="0"/>
        <w:pageBreakBefore w:val="0"/>
        <w:widowControl w:val="0"/>
        <w:kinsoku/>
        <w:wordWrap/>
        <w:overflowPunct/>
        <w:topLinePunct w:val="0"/>
        <w:autoSpaceDE/>
        <w:autoSpaceDN/>
        <w:bidi w:val="0"/>
        <w:adjustRightInd/>
        <w:snapToGrid/>
        <w:spacing w:line="440" w:lineRule="exact"/>
        <w:ind w:firstLine="486"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（1）我方承诺在收到成交通知书后，在成交通知书规定的期限内与你方签订合同，并履行相应的合同责任和义务。</w:t>
      </w:r>
    </w:p>
    <w:p w14:paraId="1EDBE9BF">
      <w:pPr>
        <w:pStyle w:val="56"/>
        <w:keepNext w:val="0"/>
        <w:keepLines w:val="0"/>
        <w:pageBreakBefore w:val="0"/>
        <w:widowControl w:val="0"/>
        <w:kinsoku/>
        <w:wordWrap/>
        <w:overflowPunct/>
        <w:topLinePunct w:val="0"/>
        <w:autoSpaceDE/>
        <w:autoSpaceDN/>
        <w:bidi w:val="0"/>
        <w:adjustRightInd/>
        <w:snapToGrid/>
        <w:spacing w:line="440" w:lineRule="exact"/>
        <w:ind w:firstLine="486"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（2）我方承诺按照竞争性磋商文件</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规定向你方递交履约担保。</w:t>
      </w:r>
    </w:p>
    <w:p w14:paraId="72C5AD5A">
      <w:pPr>
        <w:pStyle w:val="56"/>
        <w:keepNext w:val="0"/>
        <w:keepLines w:val="0"/>
        <w:pageBreakBefore w:val="0"/>
        <w:widowControl w:val="0"/>
        <w:kinsoku/>
        <w:wordWrap/>
        <w:overflowPunct/>
        <w:topLinePunct w:val="0"/>
        <w:autoSpaceDE/>
        <w:autoSpaceDN/>
        <w:bidi w:val="0"/>
        <w:adjustRightInd/>
        <w:snapToGrid/>
        <w:spacing w:line="440" w:lineRule="exact"/>
        <w:ind w:firstLine="486"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（3）我方承诺将承担售后服务及保修责任。</w:t>
      </w:r>
    </w:p>
    <w:p w14:paraId="24ABB2CF">
      <w:pPr>
        <w:pStyle w:val="56"/>
        <w:keepNext w:val="0"/>
        <w:keepLines w:val="0"/>
        <w:pageBreakBefore w:val="0"/>
        <w:widowControl w:val="0"/>
        <w:kinsoku/>
        <w:wordWrap/>
        <w:overflowPunct/>
        <w:topLinePunct w:val="0"/>
        <w:autoSpaceDE/>
        <w:autoSpaceDN/>
        <w:bidi w:val="0"/>
        <w:adjustRightInd/>
        <w:snapToGrid/>
        <w:spacing w:line="440" w:lineRule="exact"/>
        <w:ind w:firstLine="486"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我方在此声明，所递交的响应文件及有关资料内容完整、真实和准确。</w:t>
      </w:r>
    </w:p>
    <w:p w14:paraId="12041D65">
      <w:pPr>
        <w:spacing w:line="360" w:lineRule="auto"/>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与本次磋商有关的正式通讯地址为：</w:t>
      </w:r>
    </w:p>
    <w:p w14:paraId="732708C9">
      <w:pPr>
        <w:keepNext w:val="0"/>
        <w:keepLines w:val="0"/>
        <w:pageBreakBefore w:val="0"/>
        <w:widowControl w:val="0"/>
        <w:kinsoku/>
        <w:wordWrap/>
        <w:overflowPunct/>
        <w:topLinePunct w:val="0"/>
        <w:autoSpaceDE/>
        <w:autoSpaceDN/>
        <w:bidi w:val="0"/>
        <w:adjustRightInd/>
        <w:snapToGrid/>
        <w:spacing w:line="480" w:lineRule="exact"/>
        <w:ind w:firstLine="486"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    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邮政编码：</w:t>
      </w:r>
      <w:r>
        <w:rPr>
          <w:rFonts w:hint="eastAsia" w:ascii="宋体" w:hAnsi="宋体" w:eastAsia="宋体" w:cs="宋体"/>
          <w:color w:val="auto"/>
          <w:sz w:val="24"/>
          <w:szCs w:val="24"/>
          <w:u w:val="single"/>
        </w:rPr>
        <w:t xml:space="preserve">              </w:t>
      </w:r>
    </w:p>
    <w:p w14:paraId="5C92914C">
      <w:pPr>
        <w:keepNext w:val="0"/>
        <w:keepLines w:val="0"/>
        <w:pageBreakBefore w:val="0"/>
        <w:widowControl w:val="0"/>
        <w:kinsoku/>
        <w:wordWrap/>
        <w:overflowPunct/>
        <w:topLinePunct w:val="0"/>
        <w:autoSpaceDE/>
        <w:autoSpaceDN/>
        <w:bidi w:val="0"/>
        <w:adjustRightInd/>
        <w:snapToGrid/>
        <w:spacing w:line="480" w:lineRule="exact"/>
        <w:ind w:firstLine="486"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    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传    真：</w:t>
      </w:r>
      <w:r>
        <w:rPr>
          <w:rFonts w:hint="eastAsia" w:ascii="宋体" w:hAnsi="宋体" w:eastAsia="宋体" w:cs="宋体"/>
          <w:color w:val="auto"/>
          <w:sz w:val="24"/>
          <w:szCs w:val="24"/>
          <w:u w:val="single"/>
        </w:rPr>
        <w:t>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w:t>
      </w:r>
    </w:p>
    <w:p w14:paraId="4075AFA1">
      <w:pPr>
        <w:keepNext w:val="0"/>
        <w:keepLines w:val="0"/>
        <w:pageBreakBefore w:val="0"/>
        <w:widowControl w:val="0"/>
        <w:kinsoku/>
        <w:wordWrap/>
        <w:overflowPunct/>
        <w:topLinePunct w:val="0"/>
        <w:autoSpaceDE/>
        <w:autoSpaceDN/>
        <w:bidi w:val="0"/>
        <w:adjustRightInd/>
        <w:snapToGrid/>
        <w:spacing w:line="480" w:lineRule="exact"/>
        <w:ind w:firstLine="486" w:firstLineChars="200"/>
        <w:jc w:val="lef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开户名称：</w:t>
      </w:r>
      <w:r>
        <w:rPr>
          <w:rFonts w:hint="eastAsia" w:ascii="宋体" w:hAnsi="宋体" w:eastAsia="宋体" w:cs="宋体"/>
          <w:color w:val="auto"/>
          <w:sz w:val="24"/>
          <w:szCs w:val="24"/>
          <w:u w:val="single"/>
        </w:rPr>
        <w:t xml:space="preserve">                                                    </w:t>
      </w:r>
    </w:p>
    <w:p w14:paraId="2A714F42">
      <w:pPr>
        <w:keepNext w:val="0"/>
        <w:keepLines w:val="0"/>
        <w:pageBreakBefore w:val="0"/>
        <w:widowControl w:val="0"/>
        <w:kinsoku/>
        <w:wordWrap/>
        <w:overflowPunct/>
        <w:topLinePunct w:val="0"/>
        <w:autoSpaceDE/>
        <w:autoSpaceDN/>
        <w:bidi w:val="0"/>
        <w:adjustRightInd/>
        <w:snapToGrid/>
        <w:spacing w:line="480" w:lineRule="exact"/>
        <w:ind w:firstLine="486" w:firstLineChars="200"/>
        <w:jc w:val="lef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开户银行：</w:t>
      </w:r>
      <w:r>
        <w:rPr>
          <w:rFonts w:hint="eastAsia" w:ascii="宋体" w:hAnsi="宋体" w:eastAsia="宋体" w:cs="宋体"/>
          <w:color w:val="auto"/>
          <w:sz w:val="24"/>
          <w:szCs w:val="24"/>
          <w:u w:val="single"/>
        </w:rPr>
        <w:t xml:space="preserve">                                                    </w:t>
      </w:r>
    </w:p>
    <w:p w14:paraId="32920BE2">
      <w:pPr>
        <w:keepNext w:val="0"/>
        <w:keepLines w:val="0"/>
        <w:pageBreakBefore w:val="0"/>
        <w:widowControl w:val="0"/>
        <w:kinsoku/>
        <w:wordWrap/>
        <w:overflowPunct/>
        <w:topLinePunct w:val="0"/>
        <w:autoSpaceDE/>
        <w:autoSpaceDN/>
        <w:bidi w:val="0"/>
        <w:adjustRightInd/>
        <w:snapToGrid/>
        <w:spacing w:line="480" w:lineRule="exact"/>
        <w:ind w:firstLine="486"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帐    号：</w:t>
      </w:r>
      <w:r>
        <w:rPr>
          <w:rFonts w:hint="eastAsia" w:ascii="宋体" w:hAnsi="宋体" w:eastAsia="宋体" w:cs="宋体"/>
          <w:color w:val="auto"/>
          <w:sz w:val="24"/>
          <w:szCs w:val="24"/>
          <w:u w:val="single"/>
        </w:rPr>
        <w:t xml:space="preserve">                                                    </w:t>
      </w:r>
    </w:p>
    <w:p w14:paraId="372EF6D5">
      <w:pPr>
        <w:keepNext w:val="0"/>
        <w:keepLines w:val="0"/>
        <w:pageBreakBefore w:val="0"/>
        <w:widowControl w:val="0"/>
        <w:kinsoku/>
        <w:wordWrap/>
        <w:overflowPunct/>
        <w:topLinePunct w:val="0"/>
        <w:autoSpaceDE/>
        <w:autoSpaceDN/>
        <w:bidi w:val="0"/>
        <w:adjustRightInd/>
        <w:snapToGrid/>
        <w:spacing w:line="480" w:lineRule="exact"/>
        <w:ind w:firstLine="486"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lang w:eastAsia="zh-CN"/>
        </w:rPr>
        <w:t>电子公章</w:t>
      </w:r>
      <w:r>
        <w:rPr>
          <w:rFonts w:hint="eastAsia" w:ascii="宋体" w:hAnsi="宋体" w:eastAsia="宋体" w:cs="宋体"/>
          <w:sz w:val="24"/>
          <w:szCs w:val="24"/>
        </w:rPr>
        <w:t xml:space="preserve">）   </w:t>
      </w:r>
    </w:p>
    <w:p w14:paraId="73DBADB7">
      <w:pPr>
        <w:keepNext w:val="0"/>
        <w:keepLines w:val="0"/>
        <w:pageBreakBefore w:val="0"/>
        <w:widowControl w:val="0"/>
        <w:kinsoku/>
        <w:wordWrap/>
        <w:overflowPunct/>
        <w:topLinePunct w:val="0"/>
        <w:autoSpaceDE/>
        <w:autoSpaceDN/>
        <w:bidi w:val="0"/>
        <w:adjustRightInd/>
        <w:snapToGrid/>
        <w:spacing w:line="480" w:lineRule="exact"/>
        <w:ind w:firstLine="486"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法定代表人</w:t>
      </w:r>
      <w:r>
        <w:rPr>
          <w:rFonts w:hint="eastAsia" w:ascii="宋体" w:hAnsi="宋体" w:eastAsia="宋体" w:cs="宋体"/>
          <w:sz w:val="24"/>
          <w:szCs w:val="24"/>
        </w:rPr>
        <w:t>或委托代理人：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lang w:eastAsia="zh-CN"/>
        </w:rPr>
        <w:t>电子签名</w:t>
      </w:r>
      <w:r>
        <w:rPr>
          <w:rFonts w:hint="eastAsia" w:ascii="宋体" w:hAnsi="宋体" w:eastAsia="宋体" w:cs="宋体"/>
          <w:sz w:val="24"/>
          <w:szCs w:val="24"/>
        </w:rPr>
        <w:t xml:space="preserve">） </w:t>
      </w:r>
    </w:p>
    <w:p w14:paraId="2FDA7B39">
      <w:pPr>
        <w:keepNext w:val="0"/>
        <w:keepLines w:val="0"/>
        <w:pageBreakBefore w:val="0"/>
        <w:widowControl w:val="0"/>
        <w:kinsoku/>
        <w:wordWrap/>
        <w:overflowPunct/>
        <w:topLinePunct w:val="0"/>
        <w:autoSpaceDE/>
        <w:autoSpaceDN/>
        <w:bidi w:val="0"/>
        <w:adjustRightInd/>
        <w:snapToGrid/>
        <w:spacing w:line="480" w:lineRule="exact"/>
        <w:ind w:firstLine="486" w:firstLineChars="200"/>
        <w:textAlignment w:val="auto"/>
        <w:rPr>
          <w:rFonts w:hint="eastAsia"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1DC8D9E3">
      <w:pPr>
        <w:rPr>
          <w:rFonts w:hint="eastAsia" w:ascii="宋体" w:hAnsi="宋体" w:cs="宋体"/>
          <w:sz w:val="21"/>
          <w:szCs w:val="21"/>
        </w:rPr>
      </w:pPr>
      <w:r>
        <w:rPr>
          <w:rFonts w:hint="eastAsia" w:ascii="宋体" w:hAnsi="宋体" w:cs="宋体"/>
          <w:sz w:val="21"/>
          <w:szCs w:val="21"/>
        </w:rPr>
        <w:br w:type="page"/>
      </w:r>
    </w:p>
    <w:p w14:paraId="43762C13">
      <w:pPr>
        <w:bidi w:val="0"/>
        <w:spacing w:line="480" w:lineRule="auto"/>
        <w:jc w:val="center"/>
        <w:rPr>
          <w:rFonts w:hint="eastAsia"/>
          <w:b/>
          <w:bCs/>
          <w:sz w:val="28"/>
          <w:szCs w:val="28"/>
          <w:lang w:val="en-US" w:eastAsia="zh-CN"/>
        </w:rPr>
      </w:pPr>
      <w:r>
        <w:rPr>
          <w:rFonts w:hint="eastAsia"/>
          <w:b/>
          <w:bCs/>
          <w:sz w:val="28"/>
          <w:szCs w:val="28"/>
          <w:lang w:val="en-US" w:eastAsia="zh-CN"/>
        </w:rPr>
        <w:t>（二）投标承诺函</w:t>
      </w:r>
    </w:p>
    <w:p w14:paraId="3D783238">
      <w:pPr>
        <w:spacing w:line="500" w:lineRule="exact"/>
        <w:rPr>
          <w:rFonts w:hint="eastAsia" w:ascii="宋体" w:hAnsi="宋体" w:eastAsia="宋体" w:cs="宋体"/>
          <w:b/>
          <w:bCs/>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 xml:space="preserve">                           </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采购</w:t>
      </w:r>
      <w:r>
        <w:rPr>
          <w:rFonts w:hint="eastAsia" w:ascii="宋体" w:hAnsi="宋体" w:eastAsia="宋体" w:cs="宋体"/>
          <w:b/>
          <w:bCs/>
          <w:sz w:val="24"/>
          <w:szCs w:val="24"/>
        </w:rPr>
        <w:t>人名称）</w:t>
      </w:r>
    </w:p>
    <w:p w14:paraId="07427DC3">
      <w:pPr>
        <w:spacing w:line="500" w:lineRule="exact"/>
        <w:ind w:firstLine="486" w:firstLineChars="200"/>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b/>
          <w:bCs/>
          <w:sz w:val="24"/>
          <w:szCs w:val="24"/>
        </w:rPr>
        <w:t>（代理机构名称）</w:t>
      </w:r>
    </w:p>
    <w:p w14:paraId="2435F175">
      <w:pPr>
        <w:rPr>
          <w:rFonts w:hint="eastAsia" w:ascii="宋体" w:hAnsi="宋体" w:eastAsia="宋体" w:cs="宋体"/>
          <w:sz w:val="24"/>
          <w:szCs w:val="24"/>
        </w:rPr>
      </w:pPr>
    </w:p>
    <w:p w14:paraId="6DBB3535">
      <w:pPr>
        <w:spacing w:line="500" w:lineRule="exact"/>
        <w:ind w:firstLine="486" w:firstLineChars="200"/>
        <w:rPr>
          <w:rFonts w:hint="eastAsia" w:ascii="宋体" w:hAnsi="宋体" w:eastAsia="宋体" w:cs="宋体"/>
          <w:sz w:val="24"/>
          <w:szCs w:val="24"/>
        </w:rPr>
      </w:pPr>
      <w:r>
        <w:rPr>
          <w:rFonts w:hint="eastAsia" w:ascii="宋体" w:hAnsi="宋体" w:eastAsia="宋体" w:cs="宋体"/>
          <w:sz w:val="24"/>
          <w:szCs w:val="24"/>
        </w:rPr>
        <w:t>根据规定，</w:t>
      </w:r>
      <w:r>
        <w:rPr>
          <w:rFonts w:hint="eastAsia" w:ascii="宋体" w:hAnsi="宋体" w:eastAsia="宋体" w:cs="宋体"/>
          <w:sz w:val="24"/>
          <w:szCs w:val="24"/>
          <w:lang w:val="en-US" w:eastAsia="zh-CN"/>
        </w:rPr>
        <w:t>采购</w:t>
      </w:r>
      <w:r>
        <w:rPr>
          <w:rFonts w:hint="eastAsia" w:ascii="宋体" w:hAnsi="宋体" w:eastAsia="宋体" w:cs="宋体"/>
          <w:sz w:val="24"/>
          <w:szCs w:val="24"/>
        </w:rPr>
        <w:t>人、</w:t>
      </w:r>
      <w:r>
        <w:rPr>
          <w:rFonts w:hint="eastAsia" w:ascii="宋体" w:hAnsi="宋体" w:eastAsia="宋体" w:cs="宋体"/>
          <w:sz w:val="24"/>
          <w:szCs w:val="24"/>
          <w:lang w:val="en-US" w:eastAsia="zh-CN"/>
        </w:rPr>
        <w:t>采购</w:t>
      </w:r>
      <w:r>
        <w:rPr>
          <w:rFonts w:hint="eastAsia" w:ascii="宋体" w:hAnsi="宋体" w:eastAsia="宋体" w:cs="宋体"/>
          <w:sz w:val="24"/>
          <w:szCs w:val="24"/>
        </w:rPr>
        <w:t>代理机构可以要求供应商以投标承诺函的形式替代投标保证金。因此，在本次</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u w:val="single"/>
          <w:lang w:eastAsia="zh-CN"/>
        </w:rPr>
        <w:t>项目编号</w:t>
      </w:r>
      <w:r>
        <w:rPr>
          <w:rFonts w:hint="eastAsia" w:ascii="宋体" w:hAnsi="宋体" w:eastAsia="宋体" w:cs="宋体"/>
          <w:b/>
          <w:bCs/>
          <w:sz w:val="24"/>
          <w:szCs w:val="24"/>
          <w:u w:val="single"/>
        </w:rPr>
        <w:t xml:space="preserve">、项目名称   </w:t>
      </w:r>
      <w:r>
        <w:rPr>
          <w:rFonts w:hint="eastAsia" w:ascii="宋体" w:hAnsi="宋体" w:eastAsia="宋体" w:cs="宋体"/>
          <w:sz w:val="24"/>
          <w:szCs w:val="24"/>
        </w:rPr>
        <w:t>投标过程中，我公司郑重承诺：</w:t>
      </w:r>
    </w:p>
    <w:p w14:paraId="288F84F2">
      <w:pPr>
        <w:spacing w:line="500" w:lineRule="exact"/>
        <w:ind w:firstLine="486" w:firstLineChars="200"/>
        <w:rPr>
          <w:rFonts w:hint="eastAsia" w:ascii="宋体" w:hAnsi="宋体" w:eastAsia="宋体" w:cs="宋体"/>
          <w:sz w:val="24"/>
          <w:szCs w:val="24"/>
        </w:rPr>
      </w:pPr>
      <w:r>
        <w:rPr>
          <w:rFonts w:hint="eastAsia" w:ascii="宋体" w:hAnsi="宋体" w:eastAsia="宋体" w:cs="宋体"/>
          <w:sz w:val="24"/>
          <w:szCs w:val="24"/>
        </w:rPr>
        <w:t>1、我公司提供的所有文件材料，均是真实的，不提供虚假材料，不用不正当的手段骗取中标。</w:t>
      </w:r>
    </w:p>
    <w:p w14:paraId="11A36139">
      <w:pPr>
        <w:spacing w:line="500" w:lineRule="exact"/>
        <w:ind w:firstLine="486" w:firstLineChars="200"/>
        <w:rPr>
          <w:rFonts w:hint="eastAsia" w:ascii="宋体" w:hAnsi="宋体" w:eastAsia="宋体" w:cs="宋体"/>
          <w:sz w:val="24"/>
          <w:szCs w:val="24"/>
        </w:rPr>
      </w:pPr>
      <w:r>
        <w:rPr>
          <w:rFonts w:hint="eastAsia" w:ascii="宋体" w:hAnsi="宋体" w:eastAsia="宋体" w:cs="宋体"/>
          <w:sz w:val="24"/>
          <w:szCs w:val="24"/>
        </w:rPr>
        <w:t>2、在规定的磋商时间后，在投标有效期内我公司保证不撤回投标。</w:t>
      </w:r>
    </w:p>
    <w:p w14:paraId="4B2D7996">
      <w:pPr>
        <w:spacing w:line="500" w:lineRule="exact"/>
        <w:ind w:firstLine="486" w:firstLineChars="200"/>
        <w:rPr>
          <w:rFonts w:hint="eastAsia" w:ascii="宋体" w:hAnsi="宋体" w:eastAsia="宋体" w:cs="宋体"/>
          <w:sz w:val="24"/>
          <w:szCs w:val="24"/>
        </w:rPr>
      </w:pPr>
      <w:r>
        <w:rPr>
          <w:rFonts w:hint="eastAsia" w:ascii="宋体" w:hAnsi="宋体" w:eastAsia="宋体" w:cs="宋体"/>
          <w:sz w:val="24"/>
          <w:szCs w:val="24"/>
        </w:rPr>
        <w:t>3、如果我公司中标，我公司将严格按照</w:t>
      </w:r>
      <w:r>
        <w:rPr>
          <w:rFonts w:hint="eastAsia" w:ascii="宋体" w:hAnsi="宋体" w:eastAsia="宋体" w:cs="宋体"/>
          <w:sz w:val="24"/>
          <w:szCs w:val="24"/>
          <w:lang w:val="en-US" w:eastAsia="zh-CN"/>
        </w:rPr>
        <w:t>竞争性磋商</w:t>
      </w:r>
      <w:r>
        <w:rPr>
          <w:rFonts w:hint="eastAsia" w:ascii="宋体" w:hAnsi="宋体" w:eastAsia="宋体" w:cs="宋体"/>
          <w:sz w:val="24"/>
          <w:szCs w:val="24"/>
        </w:rPr>
        <w:t>文件和</w:t>
      </w:r>
      <w:r>
        <w:rPr>
          <w:rFonts w:hint="eastAsia" w:ascii="宋体" w:hAnsi="宋体" w:eastAsia="宋体" w:cs="宋体"/>
          <w:sz w:val="24"/>
          <w:szCs w:val="24"/>
          <w:lang w:val="en-US" w:eastAsia="zh-CN"/>
        </w:rPr>
        <w:t>响应</w:t>
      </w:r>
      <w:r>
        <w:rPr>
          <w:rFonts w:hint="eastAsia" w:ascii="宋体" w:hAnsi="宋体" w:eastAsia="宋体" w:cs="宋体"/>
          <w:sz w:val="24"/>
          <w:szCs w:val="24"/>
        </w:rPr>
        <w:t>文件的要求，在规定时间内签订合同并履行合同，在签订合同时不向</w:t>
      </w:r>
      <w:r>
        <w:rPr>
          <w:rFonts w:hint="eastAsia" w:ascii="宋体" w:hAnsi="宋体" w:eastAsia="宋体" w:cs="宋体"/>
          <w:sz w:val="24"/>
          <w:szCs w:val="24"/>
          <w:lang w:val="en-US" w:eastAsia="zh-CN"/>
        </w:rPr>
        <w:t>采购</w:t>
      </w:r>
      <w:r>
        <w:rPr>
          <w:rFonts w:hint="eastAsia" w:ascii="宋体" w:hAnsi="宋体" w:eastAsia="宋体" w:cs="宋体"/>
          <w:sz w:val="24"/>
          <w:szCs w:val="24"/>
        </w:rPr>
        <w:t>人提出附加条件。</w:t>
      </w:r>
    </w:p>
    <w:p w14:paraId="32EDFA9D">
      <w:pPr>
        <w:spacing w:line="500" w:lineRule="exact"/>
        <w:rPr>
          <w:rFonts w:hint="eastAsia" w:ascii="宋体" w:hAnsi="宋体" w:eastAsia="宋体" w:cs="宋体"/>
          <w:sz w:val="24"/>
          <w:szCs w:val="24"/>
        </w:rPr>
      </w:pPr>
    </w:p>
    <w:p w14:paraId="5587DAC8">
      <w:pPr>
        <w:spacing w:line="500" w:lineRule="exact"/>
        <w:ind w:firstLine="486" w:firstLineChars="200"/>
        <w:rPr>
          <w:rFonts w:hint="eastAsia" w:ascii="宋体" w:hAnsi="宋体" w:eastAsia="宋体" w:cs="宋体"/>
          <w:sz w:val="24"/>
          <w:szCs w:val="24"/>
        </w:rPr>
      </w:pPr>
      <w:r>
        <w:rPr>
          <w:rFonts w:hint="eastAsia" w:ascii="宋体" w:hAnsi="宋体" w:eastAsia="宋体" w:cs="宋体"/>
          <w:sz w:val="24"/>
          <w:szCs w:val="24"/>
        </w:rPr>
        <w:t>如果违反上述承诺，除行政机关依法追究责任外，在3年内我公司自愿放弃参加</w:t>
      </w:r>
      <w:r>
        <w:rPr>
          <w:rFonts w:hint="eastAsia" w:ascii="宋体" w:hAnsi="宋体" w:eastAsia="宋体" w:cs="宋体"/>
          <w:sz w:val="24"/>
          <w:szCs w:val="24"/>
          <w:lang w:val="en-US" w:eastAsia="zh-CN"/>
        </w:rPr>
        <w:t>采购人</w:t>
      </w:r>
      <w:r>
        <w:rPr>
          <w:rFonts w:hint="eastAsia" w:ascii="宋体" w:hAnsi="宋体" w:eastAsia="宋体" w:cs="宋体"/>
          <w:sz w:val="24"/>
          <w:szCs w:val="24"/>
        </w:rPr>
        <w:t>及</w:t>
      </w:r>
      <w:r>
        <w:rPr>
          <w:rFonts w:hint="eastAsia" w:ascii="宋体" w:hAnsi="宋体" w:eastAsia="宋体" w:cs="宋体"/>
          <w:sz w:val="24"/>
          <w:szCs w:val="24"/>
          <w:lang w:val="en-US" w:eastAsia="zh-CN"/>
        </w:rPr>
        <w:t>采购</w:t>
      </w:r>
      <w:r>
        <w:rPr>
          <w:rFonts w:hint="eastAsia" w:ascii="宋体" w:hAnsi="宋体" w:eastAsia="宋体" w:cs="宋体"/>
          <w:sz w:val="24"/>
          <w:szCs w:val="24"/>
        </w:rPr>
        <w:t>代理机构组织的采购活动。</w:t>
      </w:r>
    </w:p>
    <w:p w14:paraId="4771BE66">
      <w:pPr>
        <w:spacing w:line="600" w:lineRule="atLeast"/>
        <w:rPr>
          <w:rFonts w:hint="eastAsia" w:ascii="宋体" w:hAnsi="宋体" w:eastAsia="宋体" w:cs="宋体"/>
          <w:sz w:val="24"/>
          <w:szCs w:val="24"/>
        </w:rPr>
      </w:pPr>
    </w:p>
    <w:p w14:paraId="3319F0FD">
      <w:pPr>
        <w:spacing w:line="600" w:lineRule="atLeast"/>
        <w:ind w:firstLine="486" w:firstLineChars="200"/>
        <w:rPr>
          <w:rFonts w:hint="eastAsia" w:ascii="宋体" w:hAnsi="宋体" w:eastAsia="宋体" w:cs="宋体"/>
          <w:sz w:val="24"/>
          <w:szCs w:val="24"/>
        </w:rPr>
      </w:pPr>
      <w:r>
        <w:rPr>
          <w:rFonts w:hint="eastAsia" w:ascii="宋体" w:hAnsi="宋体" w:eastAsia="宋体" w:cs="宋体"/>
          <w:sz w:val="24"/>
          <w:szCs w:val="24"/>
        </w:rPr>
        <w:t>供应商：</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lang w:eastAsia="zh-CN"/>
        </w:rPr>
        <w:t>电子公章</w:t>
      </w:r>
      <w:r>
        <w:rPr>
          <w:rFonts w:hint="eastAsia" w:ascii="宋体" w:hAnsi="宋体" w:eastAsia="宋体" w:cs="宋体"/>
          <w:sz w:val="24"/>
          <w:szCs w:val="24"/>
        </w:rPr>
        <w:t xml:space="preserve">）   </w:t>
      </w:r>
    </w:p>
    <w:p w14:paraId="201ABA30">
      <w:pPr>
        <w:spacing w:line="600" w:lineRule="atLeast"/>
        <w:ind w:firstLine="486" w:firstLineChars="200"/>
        <w:rPr>
          <w:rFonts w:hint="eastAsia" w:ascii="宋体" w:hAnsi="宋体" w:eastAsia="宋体" w:cs="宋体"/>
          <w:sz w:val="24"/>
          <w:szCs w:val="24"/>
        </w:rPr>
      </w:pPr>
      <w:r>
        <w:rPr>
          <w:rFonts w:hint="eastAsia" w:ascii="宋体" w:hAnsi="宋体" w:eastAsia="宋体" w:cs="宋体"/>
          <w:sz w:val="24"/>
          <w:szCs w:val="24"/>
        </w:rPr>
        <w:t>法定代表人或其委托代理人：</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lang w:eastAsia="zh-CN"/>
        </w:rPr>
        <w:t>电子签名</w:t>
      </w:r>
      <w:r>
        <w:rPr>
          <w:rFonts w:hint="eastAsia" w:ascii="宋体" w:hAnsi="宋体" w:eastAsia="宋体" w:cs="宋体"/>
          <w:sz w:val="24"/>
          <w:szCs w:val="24"/>
        </w:rPr>
        <w:t xml:space="preserve">） </w:t>
      </w:r>
    </w:p>
    <w:p w14:paraId="5B24E59B">
      <w:pPr>
        <w:spacing w:line="600" w:lineRule="atLeast"/>
        <w:ind w:firstLine="486" w:firstLineChars="200"/>
        <w:rPr>
          <w:rFonts w:hint="eastAsia"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70301A42">
      <w:pPr>
        <w:pStyle w:val="4"/>
        <w:rPr>
          <w:rFonts w:hint="eastAsia"/>
        </w:rPr>
      </w:pPr>
    </w:p>
    <w:p w14:paraId="3E8501B0">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br w:type="page"/>
      </w:r>
    </w:p>
    <w:bookmarkEnd w:id="320"/>
    <w:bookmarkEnd w:id="321"/>
    <w:bookmarkEnd w:id="322"/>
    <w:bookmarkEnd w:id="323"/>
    <w:bookmarkEnd w:id="324"/>
    <w:bookmarkEnd w:id="325"/>
    <w:bookmarkEnd w:id="326"/>
    <w:bookmarkEnd w:id="327"/>
    <w:bookmarkEnd w:id="328"/>
    <w:bookmarkEnd w:id="329"/>
    <w:p w14:paraId="08C0B5B0">
      <w:pPr>
        <w:spacing w:line="400" w:lineRule="exact"/>
        <w:jc w:val="left"/>
        <w:rPr>
          <w:rFonts w:hint="eastAsia" w:ascii="宋体" w:hAnsi="宋体" w:eastAsia="宋体" w:cs="宋体"/>
          <w:color w:val="auto"/>
          <w:sz w:val="24"/>
          <w:szCs w:val="24"/>
        </w:rPr>
        <w:sectPr>
          <w:type w:val="continuous"/>
          <w:pgSz w:w="11906" w:h="16838"/>
          <w:pgMar w:top="1417" w:right="1247" w:bottom="1417" w:left="1247" w:header="720" w:footer="720" w:gutter="0"/>
          <w:pgNumType w:fmt="decimal"/>
          <w:cols w:space="720" w:num="1"/>
          <w:titlePg/>
          <w:docGrid w:type="linesAndChars" w:linePitch="331" w:charSpace="800"/>
        </w:sectPr>
      </w:pPr>
      <w:bookmarkStart w:id="330" w:name="_Toc9357"/>
      <w:bookmarkStart w:id="331" w:name="_Toc16950"/>
      <w:bookmarkStart w:id="332" w:name="_Toc11554"/>
      <w:bookmarkStart w:id="333" w:name="_Toc9428"/>
      <w:bookmarkStart w:id="334" w:name="_Toc386633063"/>
      <w:bookmarkStart w:id="335" w:name="_Toc2194"/>
      <w:bookmarkStart w:id="336" w:name="_Toc10100"/>
      <w:bookmarkStart w:id="337" w:name="_Toc7861"/>
      <w:bookmarkStart w:id="338" w:name="_Toc1153"/>
      <w:bookmarkStart w:id="339" w:name="_Toc26297"/>
      <w:bookmarkStart w:id="340" w:name="_Toc8343"/>
      <w:bookmarkStart w:id="341" w:name="_Toc32556"/>
    </w:p>
    <w:bookmarkEnd w:id="330"/>
    <w:bookmarkEnd w:id="331"/>
    <w:bookmarkEnd w:id="332"/>
    <w:bookmarkEnd w:id="333"/>
    <w:bookmarkEnd w:id="334"/>
    <w:bookmarkEnd w:id="335"/>
    <w:bookmarkEnd w:id="336"/>
    <w:bookmarkEnd w:id="337"/>
    <w:bookmarkEnd w:id="338"/>
    <w:bookmarkEnd w:id="339"/>
    <w:bookmarkEnd w:id="340"/>
    <w:bookmarkEnd w:id="341"/>
    <w:p w14:paraId="7A180DF4">
      <w:pPr>
        <w:bidi w:val="0"/>
        <w:spacing w:line="480" w:lineRule="auto"/>
        <w:jc w:val="center"/>
        <w:rPr>
          <w:rFonts w:hint="default"/>
          <w:b/>
          <w:bCs/>
          <w:sz w:val="28"/>
          <w:szCs w:val="28"/>
          <w:lang w:val="en-US" w:eastAsia="zh-CN"/>
        </w:rPr>
      </w:pPr>
      <w:r>
        <w:rPr>
          <w:rFonts w:hint="eastAsia"/>
          <w:b/>
          <w:bCs/>
          <w:sz w:val="28"/>
          <w:szCs w:val="28"/>
          <w:lang w:val="en-US" w:eastAsia="zh-CN"/>
        </w:rPr>
        <w:t>（三）施工方案与技术措施</w:t>
      </w:r>
    </w:p>
    <w:p w14:paraId="59EAD35D">
      <w:pPr>
        <w:rPr>
          <w:rFonts w:hint="eastAsia"/>
        </w:rPr>
      </w:pPr>
    </w:p>
    <w:p w14:paraId="3FEB7C0A">
      <w:pPr>
        <w:pageBreakBefore w:val="0"/>
        <w:widowControl/>
        <w:kinsoku/>
        <w:wordWrap/>
        <w:overflowPunct/>
        <w:topLinePunct w:val="0"/>
        <w:autoSpaceDE/>
        <w:autoSpaceDN/>
        <w:bidi w:val="0"/>
        <w:adjustRightInd w:val="0"/>
        <w:snapToGrid w:val="0"/>
        <w:spacing w:line="360" w:lineRule="auto"/>
        <w:ind w:firstLine="420" w:firstLineChars="175"/>
        <w:jc w:val="center"/>
        <w:rPr>
          <w:rFonts w:hint="eastAsia" w:ascii="宋体" w:hAnsi="宋体" w:eastAsia="宋体" w:cs="宋体"/>
          <w:color w:val="auto"/>
          <w:sz w:val="24"/>
          <w:szCs w:val="24"/>
          <w:highlight w:val="none"/>
          <w:lang w:val="en-US" w:eastAsia="zh-CN"/>
        </w:rPr>
      </w:pPr>
      <w:r>
        <w:rPr>
          <w:rFonts w:hint="eastAsia" w:ascii="Calibri" w:hAnsi="Calibri" w:cs="Calibri"/>
          <w:color w:val="auto"/>
          <w:sz w:val="24"/>
          <w:szCs w:val="24"/>
          <w:highlight w:val="none"/>
        </w:rPr>
        <w:t>该部分格式自拟，内容可参考评标办法要求</w:t>
      </w:r>
      <w:r>
        <w:rPr>
          <w:rFonts w:hint="eastAsia" w:ascii="Calibri" w:hAnsi="Calibri" w:cs="Calibri"/>
          <w:color w:val="auto"/>
          <w:sz w:val="24"/>
          <w:szCs w:val="24"/>
          <w:highlight w:val="none"/>
          <w:lang w:eastAsia="zh-CN"/>
        </w:rPr>
        <w:t>。</w:t>
      </w:r>
    </w:p>
    <w:p w14:paraId="289B7BB2">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p>
    <w:p w14:paraId="734D44E8">
      <w:pPr>
        <w:pageBreakBefore w:val="0"/>
        <w:widowControl/>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auto"/>
          <w:sz w:val="24"/>
          <w:szCs w:val="24"/>
          <w:highlight w:val="none"/>
          <w:lang w:val="en-US" w:eastAsia="zh-CN"/>
        </w:rPr>
      </w:pPr>
    </w:p>
    <w:p w14:paraId="06B8905A">
      <w:pPr>
        <w:bidi w:val="0"/>
        <w:spacing w:line="480" w:lineRule="auto"/>
        <w:jc w:val="center"/>
        <w:rPr>
          <w:rFonts w:hint="eastAsia"/>
          <w:b/>
          <w:bCs/>
          <w:sz w:val="28"/>
          <w:szCs w:val="28"/>
          <w:lang w:val="en-US" w:eastAsia="zh-CN"/>
        </w:rPr>
      </w:pPr>
      <w:r>
        <w:rPr>
          <w:rFonts w:hint="eastAsia"/>
          <w:b/>
          <w:bCs/>
          <w:sz w:val="28"/>
          <w:szCs w:val="28"/>
          <w:lang w:val="en-US" w:eastAsia="zh-CN"/>
        </w:rPr>
        <w:t>（四）对项目的理解、重难点分析及合理化建议</w:t>
      </w:r>
    </w:p>
    <w:p w14:paraId="665F9B44">
      <w:pPr>
        <w:pageBreakBefore w:val="0"/>
        <w:widowControl/>
        <w:kinsoku/>
        <w:wordWrap/>
        <w:overflowPunct/>
        <w:topLinePunct w:val="0"/>
        <w:autoSpaceDE/>
        <w:autoSpaceDN/>
        <w:bidi w:val="0"/>
        <w:adjustRightInd w:val="0"/>
        <w:snapToGrid w:val="0"/>
        <w:spacing w:line="360" w:lineRule="auto"/>
        <w:ind w:firstLine="420" w:firstLineChars="175"/>
        <w:jc w:val="center"/>
        <w:rPr>
          <w:rFonts w:hint="eastAsia"/>
          <w:b/>
          <w:bCs/>
          <w:sz w:val="28"/>
          <w:szCs w:val="28"/>
          <w:lang w:val="en-US" w:eastAsia="zh-CN"/>
        </w:rPr>
      </w:pPr>
      <w:r>
        <w:rPr>
          <w:rFonts w:hint="eastAsia" w:ascii="Calibri" w:hAnsi="Calibri" w:cs="Calibri"/>
          <w:color w:val="auto"/>
          <w:sz w:val="24"/>
          <w:szCs w:val="24"/>
          <w:highlight w:val="none"/>
        </w:rPr>
        <w:t>该部分格式自拟，内容可参考评标办法要求</w:t>
      </w:r>
      <w:r>
        <w:rPr>
          <w:rFonts w:hint="eastAsia" w:ascii="Calibri" w:hAnsi="Calibri" w:cs="Calibri"/>
          <w:color w:val="auto"/>
          <w:sz w:val="24"/>
          <w:szCs w:val="24"/>
          <w:highlight w:val="none"/>
          <w:lang w:eastAsia="zh-CN"/>
        </w:rPr>
        <w:t>。</w:t>
      </w:r>
    </w:p>
    <w:p w14:paraId="3E3A8DFC">
      <w:pPr>
        <w:bidi w:val="0"/>
        <w:spacing w:line="480" w:lineRule="auto"/>
        <w:jc w:val="center"/>
        <w:rPr>
          <w:rFonts w:hint="eastAsia"/>
          <w:b/>
          <w:bCs/>
          <w:sz w:val="28"/>
          <w:szCs w:val="28"/>
          <w:lang w:val="en-US" w:eastAsia="zh-CN"/>
        </w:rPr>
      </w:pPr>
    </w:p>
    <w:p w14:paraId="3A5FBB61">
      <w:pPr>
        <w:bidi w:val="0"/>
        <w:spacing w:line="480" w:lineRule="auto"/>
        <w:jc w:val="center"/>
        <w:rPr>
          <w:rFonts w:hint="eastAsia"/>
          <w:b/>
          <w:bCs/>
          <w:sz w:val="28"/>
          <w:szCs w:val="28"/>
          <w:lang w:val="en-US" w:eastAsia="zh-CN"/>
        </w:rPr>
      </w:pPr>
    </w:p>
    <w:p w14:paraId="25F36B73">
      <w:pPr>
        <w:bidi w:val="0"/>
        <w:spacing w:line="480" w:lineRule="auto"/>
        <w:jc w:val="center"/>
        <w:rPr>
          <w:rFonts w:hint="eastAsia"/>
          <w:b/>
          <w:bCs/>
          <w:sz w:val="28"/>
          <w:szCs w:val="28"/>
          <w:lang w:val="en-US" w:eastAsia="zh-CN"/>
        </w:rPr>
      </w:pPr>
      <w:r>
        <w:rPr>
          <w:rFonts w:hint="eastAsia"/>
          <w:b/>
          <w:bCs/>
          <w:sz w:val="28"/>
          <w:szCs w:val="28"/>
          <w:lang w:val="en-US" w:eastAsia="zh-CN"/>
        </w:rPr>
        <w:t>（五）质量管理体系与措施</w:t>
      </w:r>
    </w:p>
    <w:p w14:paraId="6C7992C6">
      <w:pPr>
        <w:pageBreakBefore w:val="0"/>
        <w:widowControl/>
        <w:kinsoku/>
        <w:wordWrap/>
        <w:overflowPunct/>
        <w:topLinePunct w:val="0"/>
        <w:autoSpaceDE/>
        <w:autoSpaceDN/>
        <w:bidi w:val="0"/>
        <w:adjustRightInd w:val="0"/>
        <w:snapToGrid w:val="0"/>
        <w:spacing w:line="360" w:lineRule="auto"/>
        <w:ind w:firstLine="420" w:firstLineChars="175"/>
        <w:jc w:val="center"/>
        <w:rPr>
          <w:rFonts w:hint="eastAsia"/>
          <w:b/>
          <w:bCs/>
          <w:sz w:val="28"/>
          <w:szCs w:val="28"/>
          <w:lang w:val="en-US" w:eastAsia="zh-CN"/>
        </w:rPr>
      </w:pPr>
      <w:r>
        <w:rPr>
          <w:rFonts w:hint="eastAsia" w:ascii="Calibri" w:hAnsi="Calibri" w:cs="Calibri"/>
          <w:color w:val="auto"/>
          <w:sz w:val="24"/>
          <w:szCs w:val="24"/>
          <w:highlight w:val="none"/>
        </w:rPr>
        <w:t>该部分格式自拟，内容可参考评标办法要求</w:t>
      </w:r>
      <w:r>
        <w:rPr>
          <w:rFonts w:hint="eastAsia" w:ascii="Calibri" w:hAnsi="Calibri" w:cs="Calibri"/>
          <w:color w:val="auto"/>
          <w:sz w:val="24"/>
          <w:szCs w:val="24"/>
          <w:highlight w:val="none"/>
          <w:lang w:eastAsia="zh-CN"/>
        </w:rPr>
        <w:t>。</w:t>
      </w:r>
    </w:p>
    <w:p w14:paraId="255303AC">
      <w:pPr>
        <w:bidi w:val="0"/>
        <w:spacing w:line="480" w:lineRule="auto"/>
        <w:jc w:val="center"/>
        <w:rPr>
          <w:rFonts w:hint="eastAsia"/>
          <w:b/>
          <w:bCs/>
          <w:sz w:val="28"/>
          <w:szCs w:val="28"/>
          <w:lang w:val="en-US" w:eastAsia="zh-CN"/>
        </w:rPr>
      </w:pPr>
    </w:p>
    <w:p w14:paraId="4137DEAA">
      <w:pPr>
        <w:bidi w:val="0"/>
        <w:spacing w:line="480" w:lineRule="auto"/>
        <w:jc w:val="center"/>
        <w:rPr>
          <w:rFonts w:hint="eastAsia"/>
          <w:b/>
          <w:bCs/>
          <w:sz w:val="28"/>
          <w:szCs w:val="28"/>
          <w:lang w:val="en-US" w:eastAsia="zh-CN"/>
        </w:rPr>
      </w:pPr>
    </w:p>
    <w:p w14:paraId="59D507E1">
      <w:pPr>
        <w:bidi w:val="0"/>
        <w:spacing w:line="480" w:lineRule="auto"/>
        <w:jc w:val="center"/>
        <w:rPr>
          <w:rFonts w:hint="eastAsia"/>
          <w:b/>
          <w:bCs/>
          <w:sz w:val="28"/>
          <w:szCs w:val="28"/>
          <w:lang w:val="en-US" w:eastAsia="zh-CN"/>
        </w:rPr>
      </w:pPr>
      <w:r>
        <w:rPr>
          <w:rFonts w:hint="eastAsia"/>
          <w:b/>
          <w:bCs/>
          <w:sz w:val="28"/>
          <w:szCs w:val="28"/>
          <w:lang w:val="en-US" w:eastAsia="zh-CN"/>
        </w:rPr>
        <w:t>（六）工程进度计划与措施</w:t>
      </w:r>
    </w:p>
    <w:p w14:paraId="690BA973">
      <w:pPr>
        <w:pageBreakBefore w:val="0"/>
        <w:widowControl/>
        <w:kinsoku/>
        <w:wordWrap/>
        <w:overflowPunct/>
        <w:topLinePunct w:val="0"/>
        <w:autoSpaceDE/>
        <w:autoSpaceDN/>
        <w:bidi w:val="0"/>
        <w:adjustRightInd w:val="0"/>
        <w:snapToGrid w:val="0"/>
        <w:spacing w:line="360" w:lineRule="auto"/>
        <w:ind w:firstLine="420" w:firstLineChars="175"/>
        <w:jc w:val="center"/>
        <w:rPr>
          <w:rFonts w:hint="eastAsia"/>
          <w:b/>
          <w:bCs/>
          <w:sz w:val="28"/>
          <w:szCs w:val="28"/>
          <w:lang w:val="en-US" w:eastAsia="zh-CN"/>
        </w:rPr>
      </w:pPr>
      <w:r>
        <w:rPr>
          <w:rFonts w:hint="eastAsia" w:ascii="Calibri" w:hAnsi="Calibri" w:cs="Calibri"/>
          <w:color w:val="auto"/>
          <w:sz w:val="24"/>
          <w:szCs w:val="24"/>
          <w:highlight w:val="none"/>
        </w:rPr>
        <w:t>该部分格式自拟，内容可参考评标办法要求</w:t>
      </w:r>
      <w:r>
        <w:rPr>
          <w:rFonts w:hint="eastAsia" w:ascii="Calibri" w:hAnsi="Calibri" w:cs="Calibri"/>
          <w:color w:val="auto"/>
          <w:sz w:val="24"/>
          <w:szCs w:val="24"/>
          <w:highlight w:val="none"/>
          <w:lang w:eastAsia="zh-CN"/>
        </w:rPr>
        <w:t>。</w:t>
      </w:r>
    </w:p>
    <w:p w14:paraId="685386BD">
      <w:pPr>
        <w:bidi w:val="0"/>
        <w:spacing w:line="480" w:lineRule="auto"/>
        <w:jc w:val="both"/>
        <w:rPr>
          <w:rFonts w:hint="eastAsia"/>
          <w:b/>
          <w:bCs/>
          <w:sz w:val="28"/>
          <w:szCs w:val="28"/>
          <w:lang w:val="en-US" w:eastAsia="zh-CN"/>
        </w:rPr>
      </w:pPr>
    </w:p>
    <w:p w14:paraId="41C96C25">
      <w:pPr>
        <w:bidi w:val="0"/>
        <w:spacing w:line="480" w:lineRule="auto"/>
        <w:jc w:val="center"/>
        <w:rPr>
          <w:rFonts w:hint="eastAsia"/>
          <w:b/>
          <w:bCs/>
          <w:sz w:val="28"/>
          <w:szCs w:val="28"/>
          <w:lang w:val="en-US" w:eastAsia="zh-CN"/>
        </w:rPr>
      </w:pPr>
    </w:p>
    <w:p w14:paraId="11D78338">
      <w:pPr>
        <w:bidi w:val="0"/>
        <w:spacing w:line="480" w:lineRule="auto"/>
        <w:jc w:val="center"/>
        <w:rPr>
          <w:rFonts w:hint="eastAsia"/>
          <w:b/>
          <w:bCs/>
          <w:sz w:val="28"/>
          <w:szCs w:val="28"/>
          <w:lang w:val="en-US" w:eastAsia="zh-CN"/>
        </w:rPr>
      </w:pPr>
    </w:p>
    <w:p w14:paraId="46CE4275">
      <w:pPr>
        <w:bidi w:val="0"/>
        <w:spacing w:line="480" w:lineRule="auto"/>
        <w:jc w:val="center"/>
        <w:rPr>
          <w:rFonts w:hint="eastAsia"/>
          <w:b/>
          <w:bCs/>
          <w:sz w:val="28"/>
          <w:szCs w:val="28"/>
          <w:lang w:val="en-US" w:eastAsia="zh-CN"/>
        </w:rPr>
      </w:pPr>
    </w:p>
    <w:p w14:paraId="3DC306FF">
      <w:pPr>
        <w:bidi w:val="0"/>
        <w:spacing w:line="480" w:lineRule="auto"/>
        <w:jc w:val="center"/>
        <w:rPr>
          <w:rFonts w:hint="eastAsia"/>
          <w:b/>
          <w:bCs/>
          <w:sz w:val="28"/>
          <w:szCs w:val="28"/>
          <w:lang w:val="en-US" w:eastAsia="zh-CN"/>
        </w:rPr>
      </w:pPr>
    </w:p>
    <w:p w14:paraId="6857CB5D">
      <w:pPr>
        <w:bidi w:val="0"/>
        <w:spacing w:line="480" w:lineRule="auto"/>
        <w:jc w:val="center"/>
        <w:rPr>
          <w:rFonts w:hint="eastAsia"/>
          <w:b/>
          <w:bCs/>
          <w:sz w:val="28"/>
          <w:szCs w:val="28"/>
          <w:lang w:val="en-US" w:eastAsia="zh-CN"/>
        </w:rPr>
      </w:pPr>
    </w:p>
    <w:p w14:paraId="5643FDD1">
      <w:pPr>
        <w:bidi w:val="0"/>
        <w:spacing w:line="480" w:lineRule="auto"/>
        <w:jc w:val="center"/>
        <w:rPr>
          <w:rFonts w:hint="eastAsia"/>
          <w:b/>
          <w:bCs/>
          <w:sz w:val="28"/>
          <w:szCs w:val="28"/>
          <w:lang w:val="en-US" w:eastAsia="zh-CN"/>
        </w:rPr>
      </w:pPr>
    </w:p>
    <w:p w14:paraId="4F6E84BB">
      <w:pPr>
        <w:bidi w:val="0"/>
        <w:spacing w:line="480" w:lineRule="auto"/>
        <w:jc w:val="center"/>
        <w:rPr>
          <w:rFonts w:hint="eastAsia"/>
          <w:b/>
          <w:bCs/>
          <w:sz w:val="28"/>
          <w:szCs w:val="28"/>
          <w:lang w:val="en-US" w:eastAsia="zh-CN"/>
        </w:rPr>
      </w:pPr>
    </w:p>
    <w:p w14:paraId="3EF11061">
      <w:pPr>
        <w:bidi w:val="0"/>
        <w:spacing w:line="480" w:lineRule="auto"/>
        <w:jc w:val="center"/>
        <w:rPr>
          <w:rFonts w:hint="eastAsia"/>
          <w:b/>
          <w:bCs/>
          <w:sz w:val="28"/>
          <w:szCs w:val="28"/>
          <w:lang w:val="en-US" w:eastAsia="zh-CN"/>
        </w:rPr>
      </w:pPr>
    </w:p>
    <w:p w14:paraId="0BC68708">
      <w:pPr>
        <w:bidi w:val="0"/>
        <w:spacing w:line="480" w:lineRule="auto"/>
        <w:jc w:val="center"/>
        <w:rPr>
          <w:rFonts w:hint="eastAsia"/>
          <w:b/>
          <w:bCs/>
          <w:sz w:val="28"/>
          <w:szCs w:val="28"/>
          <w:lang w:val="en-US" w:eastAsia="zh-CN"/>
        </w:rPr>
      </w:pPr>
      <w:r>
        <w:rPr>
          <w:rFonts w:hint="eastAsia"/>
          <w:b/>
          <w:bCs/>
          <w:sz w:val="28"/>
          <w:szCs w:val="28"/>
          <w:lang w:val="en-US" w:eastAsia="zh-CN"/>
        </w:rPr>
        <w:t>（七）资源配备计划</w:t>
      </w:r>
    </w:p>
    <w:p w14:paraId="002EFA36">
      <w:pPr>
        <w:pageBreakBefore w:val="0"/>
        <w:widowControl/>
        <w:kinsoku/>
        <w:wordWrap/>
        <w:overflowPunct/>
        <w:topLinePunct w:val="0"/>
        <w:autoSpaceDE/>
        <w:autoSpaceDN/>
        <w:bidi w:val="0"/>
        <w:adjustRightInd w:val="0"/>
        <w:snapToGrid w:val="0"/>
        <w:spacing w:line="360" w:lineRule="auto"/>
        <w:ind w:firstLine="420" w:firstLineChars="175"/>
        <w:jc w:val="center"/>
        <w:rPr>
          <w:rFonts w:hint="eastAsia"/>
          <w:b/>
          <w:bCs/>
          <w:sz w:val="28"/>
          <w:szCs w:val="28"/>
          <w:lang w:val="en-US" w:eastAsia="zh-CN"/>
        </w:rPr>
      </w:pPr>
      <w:r>
        <w:rPr>
          <w:rFonts w:hint="eastAsia" w:ascii="Calibri" w:hAnsi="Calibri" w:cs="Calibri"/>
          <w:color w:val="auto"/>
          <w:sz w:val="24"/>
          <w:szCs w:val="24"/>
          <w:highlight w:val="none"/>
          <w:lang w:val="en-US" w:eastAsia="zh-CN"/>
        </w:rPr>
        <w:t>除已提供的下表格式，其余内容</w:t>
      </w:r>
      <w:r>
        <w:rPr>
          <w:rFonts w:hint="eastAsia" w:ascii="Calibri" w:hAnsi="Calibri" w:cs="Calibri"/>
          <w:color w:val="auto"/>
          <w:sz w:val="24"/>
          <w:szCs w:val="24"/>
          <w:highlight w:val="none"/>
        </w:rPr>
        <w:t>自拟，内容可参考评标办法要求</w:t>
      </w:r>
      <w:r>
        <w:rPr>
          <w:rFonts w:hint="eastAsia" w:ascii="Calibri" w:hAnsi="Calibri" w:cs="Calibri"/>
          <w:color w:val="auto"/>
          <w:sz w:val="24"/>
          <w:szCs w:val="24"/>
          <w:highlight w:val="none"/>
          <w:lang w:eastAsia="zh-CN"/>
        </w:rPr>
        <w:t>。</w:t>
      </w:r>
    </w:p>
    <w:p w14:paraId="3CF1FFED">
      <w:pPr>
        <w:bidi w:val="0"/>
        <w:spacing w:line="480" w:lineRule="auto"/>
        <w:jc w:val="center"/>
        <w:rPr>
          <w:rFonts w:hint="eastAsia"/>
          <w:b/>
          <w:bCs/>
          <w:sz w:val="28"/>
          <w:szCs w:val="28"/>
          <w:lang w:val="en-US" w:eastAsia="zh-CN"/>
        </w:rPr>
      </w:pPr>
      <w:r>
        <w:rPr>
          <w:rFonts w:hint="eastAsia"/>
          <w:b/>
          <w:bCs/>
          <w:sz w:val="28"/>
          <w:szCs w:val="28"/>
          <w:lang w:val="en-US" w:eastAsia="zh-CN"/>
        </w:rPr>
        <w:t>拟投入本标段的主要施工设备表</w:t>
      </w:r>
    </w:p>
    <w:p w14:paraId="4743231C">
      <w:pPr>
        <w:jc w:val="left"/>
        <w:rPr>
          <w:rFonts w:ascii="宋体" w:hAnsi="宋体"/>
          <w:szCs w:val="21"/>
        </w:rPr>
      </w:pPr>
    </w:p>
    <w:tbl>
      <w:tblPr>
        <w:tblStyle w:val="28"/>
        <w:tblW w:w="9544" w:type="dxa"/>
        <w:jc w:val="center"/>
        <w:tblLayout w:type="fixed"/>
        <w:tblCellMar>
          <w:top w:w="0" w:type="dxa"/>
          <w:left w:w="108" w:type="dxa"/>
          <w:bottom w:w="0" w:type="dxa"/>
          <w:right w:w="108" w:type="dxa"/>
        </w:tblCellMar>
      </w:tblPr>
      <w:tblGrid>
        <w:gridCol w:w="673"/>
        <w:gridCol w:w="1235"/>
        <w:gridCol w:w="954"/>
        <w:gridCol w:w="954"/>
        <w:gridCol w:w="954"/>
        <w:gridCol w:w="369"/>
        <w:gridCol w:w="585"/>
        <w:gridCol w:w="318"/>
        <w:gridCol w:w="636"/>
        <w:gridCol w:w="621"/>
        <w:gridCol w:w="333"/>
        <w:gridCol w:w="1023"/>
        <w:gridCol w:w="202"/>
        <w:gridCol w:w="687"/>
      </w:tblGrid>
      <w:tr w14:paraId="13A15381">
        <w:tblPrEx>
          <w:tblCellMar>
            <w:top w:w="0" w:type="dxa"/>
            <w:left w:w="108" w:type="dxa"/>
            <w:bottom w:w="0" w:type="dxa"/>
            <w:right w:w="108" w:type="dxa"/>
          </w:tblCellMar>
        </w:tblPrEx>
        <w:trPr>
          <w:trHeight w:val="315" w:hRule="atLeast"/>
          <w:jc w:val="center"/>
        </w:trPr>
        <w:tc>
          <w:tcPr>
            <w:tcW w:w="5139" w:type="dxa"/>
            <w:gridSpan w:val="6"/>
            <w:tcBorders>
              <w:top w:val="nil"/>
              <w:left w:val="nil"/>
              <w:bottom w:val="single" w:color="auto" w:sz="4" w:space="0"/>
              <w:right w:val="nil"/>
            </w:tcBorders>
            <w:vAlign w:val="center"/>
          </w:tcPr>
          <w:p w14:paraId="134BB41E">
            <w:pPr>
              <w:widowControl/>
              <w:jc w:val="left"/>
              <w:rPr>
                <w:kern w:val="0"/>
                <w:sz w:val="24"/>
                <w:u w:val="single"/>
              </w:rPr>
            </w:pPr>
          </w:p>
        </w:tc>
        <w:tc>
          <w:tcPr>
            <w:tcW w:w="903" w:type="dxa"/>
            <w:gridSpan w:val="2"/>
            <w:tcBorders>
              <w:top w:val="nil"/>
              <w:left w:val="nil"/>
              <w:bottom w:val="nil"/>
              <w:right w:val="nil"/>
            </w:tcBorders>
            <w:vAlign w:val="bottom"/>
          </w:tcPr>
          <w:p w14:paraId="53CA1092">
            <w:pPr>
              <w:widowControl/>
              <w:jc w:val="left"/>
              <w:rPr>
                <w:rFonts w:ascii="宋体" w:hAnsi="宋体" w:cs="宋体"/>
                <w:kern w:val="0"/>
                <w:sz w:val="24"/>
              </w:rPr>
            </w:pPr>
          </w:p>
        </w:tc>
        <w:tc>
          <w:tcPr>
            <w:tcW w:w="1257" w:type="dxa"/>
            <w:gridSpan w:val="2"/>
            <w:tcBorders>
              <w:top w:val="nil"/>
              <w:left w:val="nil"/>
              <w:bottom w:val="nil"/>
              <w:right w:val="nil"/>
            </w:tcBorders>
            <w:vAlign w:val="bottom"/>
          </w:tcPr>
          <w:p w14:paraId="2627ECC3">
            <w:pPr>
              <w:widowControl/>
              <w:jc w:val="left"/>
              <w:rPr>
                <w:rFonts w:ascii="宋体" w:hAnsi="宋体" w:cs="宋体"/>
                <w:kern w:val="0"/>
                <w:sz w:val="24"/>
              </w:rPr>
            </w:pPr>
          </w:p>
        </w:tc>
        <w:tc>
          <w:tcPr>
            <w:tcW w:w="1356" w:type="dxa"/>
            <w:gridSpan w:val="2"/>
            <w:tcBorders>
              <w:top w:val="nil"/>
              <w:left w:val="nil"/>
              <w:bottom w:val="nil"/>
              <w:right w:val="nil"/>
            </w:tcBorders>
            <w:vAlign w:val="bottom"/>
          </w:tcPr>
          <w:p w14:paraId="31FE80A3">
            <w:pPr>
              <w:widowControl/>
              <w:jc w:val="left"/>
              <w:rPr>
                <w:rFonts w:ascii="宋体" w:hAnsi="宋体" w:cs="宋体"/>
                <w:kern w:val="0"/>
                <w:sz w:val="24"/>
              </w:rPr>
            </w:pPr>
          </w:p>
        </w:tc>
        <w:tc>
          <w:tcPr>
            <w:tcW w:w="889" w:type="dxa"/>
            <w:gridSpan w:val="2"/>
            <w:tcBorders>
              <w:top w:val="nil"/>
              <w:left w:val="nil"/>
              <w:bottom w:val="nil"/>
              <w:right w:val="nil"/>
            </w:tcBorders>
            <w:vAlign w:val="bottom"/>
          </w:tcPr>
          <w:p w14:paraId="0ACF529E">
            <w:pPr>
              <w:widowControl/>
              <w:jc w:val="left"/>
              <w:rPr>
                <w:rFonts w:ascii="宋体" w:hAnsi="宋体" w:cs="宋体"/>
                <w:kern w:val="0"/>
                <w:sz w:val="20"/>
                <w:szCs w:val="20"/>
              </w:rPr>
            </w:pPr>
          </w:p>
        </w:tc>
      </w:tr>
      <w:tr w14:paraId="61A00F1B">
        <w:tblPrEx>
          <w:tblCellMar>
            <w:top w:w="0" w:type="dxa"/>
            <w:left w:w="108" w:type="dxa"/>
            <w:bottom w:w="0" w:type="dxa"/>
            <w:right w:w="108" w:type="dxa"/>
          </w:tblCellMar>
        </w:tblPrEx>
        <w:trPr>
          <w:trHeight w:val="690" w:hRule="atLeast"/>
          <w:jc w:val="center"/>
        </w:trPr>
        <w:tc>
          <w:tcPr>
            <w:tcW w:w="673" w:type="dxa"/>
            <w:tcBorders>
              <w:top w:val="nil"/>
              <w:left w:val="single" w:color="auto" w:sz="4" w:space="0"/>
              <w:bottom w:val="single" w:color="auto" w:sz="4" w:space="0"/>
              <w:right w:val="single" w:color="auto" w:sz="4" w:space="0"/>
            </w:tcBorders>
            <w:vAlign w:val="center"/>
          </w:tcPr>
          <w:p w14:paraId="74AE26B9">
            <w:pPr>
              <w:widowControl/>
              <w:jc w:val="center"/>
              <w:rPr>
                <w:rFonts w:ascii="宋体" w:hAnsi="宋体" w:cs="宋体"/>
                <w:kern w:val="0"/>
                <w:sz w:val="24"/>
                <w:szCs w:val="24"/>
              </w:rPr>
            </w:pPr>
            <w:r>
              <w:rPr>
                <w:rFonts w:hint="eastAsia" w:ascii="宋体" w:hAnsi="宋体" w:cs="宋体"/>
                <w:kern w:val="0"/>
                <w:sz w:val="24"/>
                <w:szCs w:val="24"/>
              </w:rPr>
              <w:t>序号</w:t>
            </w:r>
          </w:p>
        </w:tc>
        <w:tc>
          <w:tcPr>
            <w:tcW w:w="1235" w:type="dxa"/>
            <w:tcBorders>
              <w:top w:val="nil"/>
              <w:left w:val="nil"/>
              <w:bottom w:val="single" w:color="auto" w:sz="4" w:space="0"/>
              <w:right w:val="single" w:color="auto" w:sz="4" w:space="0"/>
            </w:tcBorders>
            <w:vAlign w:val="center"/>
          </w:tcPr>
          <w:p w14:paraId="06F0AB65">
            <w:pPr>
              <w:widowControl/>
              <w:jc w:val="center"/>
              <w:rPr>
                <w:rFonts w:ascii="宋体" w:hAnsi="宋体" w:cs="宋体"/>
                <w:kern w:val="0"/>
                <w:sz w:val="24"/>
                <w:szCs w:val="24"/>
              </w:rPr>
            </w:pPr>
            <w:r>
              <w:rPr>
                <w:rFonts w:hint="eastAsia" w:ascii="宋体" w:hAnsi="宋体" w:cs="宋体"/>
                <w:kern w:val="0"/>
                <w:sz w:val="24"/>
                <w:szCs w:val="24"/>
              </w:rPr>
              <w:t>机械或设备名称</w:t>
            </w:r>
          </w:p>
        </w:tc>
        <w:tc>
          <w:tcPr>
            <w:tcW w:w="954" w:type="dxa"/>
            <w:tcBorders>
              <w:top w:val="nil"/>
              <w:left w:val="nil"/>
              <w:bottom w:val="single" w:color="auto" w:sz="4" w:space="0"/>
              <w:right w:val="single" w:color="auto" w:sz="4" w:space="0"/>
            </w:tcBorders>
            <w:vAlign w:val="center"/>
          </w:tcPr>
          <w:p w14:paraId="0DABEEDA">
            <w:pPr>
              <w:widowControl/>
              <w:jc w:val="center"/>
              <w:rPr>
                <w:rFonts w:ascii="宋体" w:hAnsi="宋体" w:cs="宋体"/>
                <w:kern w:val="0"/>
                <w:sz w:val="24"/>
                <w:szCs w:val="24"/>
              </w:rPr>
            </w:pPr>
            <w:r>
              <w:rPr>
                <w:rFonts w:hint="eastAsia" w:ascii="宋体" w:hAnsi="宋体" w:cs="宋体"/>
                <w:kern w:val="0"/>
                <w:sz w:val="24"/>
                <w:szCs w:val="24"/>
              </w:rPr>
              <w:t>型号</w:t>
            </w:r>
          </w:p>
          <w:p w14:paraId="7960A778">
            <w:pPr>
              <w:widowControl/>
              <w:jc w:val="center"/>
              <w:rPr>
                <w:rFonts w:ascii="宋体" w:hAnsi="宋体" w:cs="宋体"/>
                <w:kern w:val="0"/>
                <w:sz w:val="24"/>
                <w:szCs w:val="24"/>
              </w:rPr>
            </w:pPr>
            <w:r>
              <w:rPr>
                <w:rFonts w:hint="eastAsia" w:ascii="宋体" w:hAnsi="宋体" w:cs="宋体"/>
                <w:kern w:val="0"/>
                <w:sz w:val="24"/>
                <w:szCs w:val="24"/>
              </w:rPr>
              <w:t>规格</w:t>
            </w:r>
          </w:p>
        </w:tc>
        <w:tc>
          <w:tcPr>
            <w:tcW w:w="954" w:type="dxa"/>
            <w:tcBorders>
              <w:top w:val="nil"/>
              <w:left w:val="nil"/>
              <w:bottom w:val="single" w:color="auto" w:sz="4" w:space="0"/>
              <w:right w:val="single" w:color="auto" w:sz="4" w:space="0"/>
            </w:tcBorders>
            <w:vAlign w:val="center"/>
          </w:tcPr>
          <w:p w14:paraId="6B574F70">
            <w:pPr>
              <w:widowControl/>
              <w:jc w:val="center"/>
              <w:rPr>
                <w:rFonts w:ascii="宋体" w:hAnsi="宋体" w:cs="宋体"/>
                <w:kern w:val="0"/>
                <w:sz w:val="24"/>
                <w:szCs w:val="24"/>
              </w:rPr>
            </w:pPr>
            <w:r>
              <w:rPr>
                <w:rFonts w:hint="eastAsia" w:ascii="宋体" w:hAnsi="宋体" w:cs="宋体"/>
                <w:kern w:val="0"/>
                <w:sz w:val="24"/>
                <w:szCs w:val="24"/>
              </w:rPr>
              <w:t>数量</w:t>
            </w:r>
          </w:p>
        </w:tc>
        <w:tc>
          <w:tcPr>
            <w:tcW w:w="954" w:type="dxa"/>
            <w:tcBorders>
              <w:top w:val="nil"/>
              <w:left w:val="nil"/>
              <w:bottom w:val="single" w:color="auto" w:sz="4" w:space="0"/>
              <w:right w:val="single" w:color="auto" w:sz="4" w:space="0"/>
            </w:tcBorders>
            <w:vAlign w:val="center"/>
          </w:tcPr>
          <w:p w14:paraId="218408D6">
            <w:pPr>
              <w:widowControl/>
              <w:jc w:val="center"/>
              <w:rPr>
                <w:rFonts w:ascii="宋体" w:hAnsi="宋体" w:cs="宋体"/>
                <w:kern w:val="0"/>
                <w:sz w:val="24"/>
                <w:szCs w:val="24"/>
              </w:rPr>
            </w:pPr>
            <w:r>
              <w:rPr>
                <w:rFonts w:hint="eastAsia" w:ascii="宋体" w:hAnsi="宋体" w:cs="宋体"/>
                <w:kern w:val="0"/>
                <w:sz w:val="24"/>
                <w:szCs w:val="24"/>
              </w:rPr>
              <w:t>国别产地</w:t>
            </w:r>
          </w:p>
        </w:tc>
        <w:tc>
          <w:tcPr>
            <w:tcW w:w="954" w:type="dxa"/>
            <w:gridSpan w:val="2"/>
            <w:tcBorders>
              <w:top w:val="nil"/>
              <w:left w:val="nil"/>
              <w:bottom w:val="single" w:color="auto" w:sz="4" w:space="0"/>
              <w:right w:val="single" w:color="auto" w:sz="4" w:space="0"/>
            </w:tcBorders>
            <w:vAlign w:val="center"/>
          </w:tcPr>
          <w:p w14:paraId="296C16B9">
            <w:pPr>
              <w:widowControl/>
              <w:jc w:val="center"/>
              <w:rPr>
                <w:rFonts w:ascii="宋体" w:hAnsi="宋体" w:cs="宋体"/>
                <w:kern w:val="0"/>
                <w:sz w:val="24"/>
                <w:szCs w:val="24"/>
              </w:rPr>
            </w:pPr>
            <w:r>
              <w:rPr>
                <w:rFonts w:hint="eastAsia" w:ascii="宋体" w:hAnsi="宋体" w:cs="宋体"/>
                <w:kern w:val="0"/>
                <w:sz w:val="24"/>
                <w:szCs w:val="24"/>
              </w:rPr>
              <w:t>制造</w:t>
            </w:r>
          </w:p>
          <w:p w14:paraId="1359E5F0">
            <w:pPr>
              <w:widowControl/>
              <w:jc w:val="center"/>
              <w:rPr>
                <w:rFonts w:ascii="宋体" w:hAnsi="宋体" w:cs="宋体"/>
                <w:kern w:val="0"/>
                <w:sz w:val="24"/>
                <w:szCs w:val="24"/>
              </w:rPr>
            </w:pPr>
            <w:r>
              <w:rPr>
                <w:rFonts w:hint="eastAsia" w:ascii="宋体" w:hAnsi="宋体" w:cs="宋体"/>
                <w:kern w:val="0"/>
                <w:sz w:val="24"/>
                <w:szCs w:val="24"/>
              </w:rPr>
              <w:t>年份</w:t>
            </w:r>
          </w:p>
        </w:tc>
        <w:tc>
          <w:tcPr>
            <w:tcW w:w="954" w:type="dxa"/>
            <w:gridSpan w:val="2"/>
            <w:tcBorders>
              <w:top w:val="single" w:color="auto" w:sz="4" w:space="0"/>
              <w:left w:val="nil"/>
              <w:bottom w:val="single" w:color="auto" w:sz="4" w:space="0"/>
              <w:right w:val="single" w:color="auto" w:sz="4" w:space="0"/>
            </w:tcBorders>
            <w:vAlign w:val="center"/>
          </w:tcPr>
          <w:p w14:paraId="22EB261B">
            <w:pPr>
              <w:widowControl/>
              <w:jc w:val="center"/>
              <w:rPr>
                <w:rFonts w:ascii="宋体" w:hAnsi="宋体" w:cs="宋体"/>
                <w:kern w:val="0"/>
                <w:sz w:val="24"/>
                <w:szCs w:val="24"/>
              </w:rPr>
            </w:pPr>
            <w:r>
              <w:rPr>
                <w:sz w:val="24"/>
                <w:szCs w:val="24"/>
              </w:rPr>
              <w:t>来源</w:t>
            </w:r>
          </w:p>
        </w:tc>
        <w:tc>
          <w:tcPr>
            <w:tcW w:w="954" w:type="dxa"/>
            <w:gridSpan w:val="2"/>
            <w:tcBorders>
              <w:top w:val="single" w:color="auto" w:sz="4" w:space="0"/>
              <w:left w:val="nil"/>
              <w:bottom w:val="single" w:color="auto" w:sz="4" w:space="0"/>
              <w:right w:val="single" w:color="auto" w:sz="4" w:space="0"/>
            </w:tcBorders>
            <w:vAlign w:val="center"/>
          </w:tcPr>
          <w:p w14:paraId="27C01E9A">
            <w:pPr>
              <w:widowControl/>
              <w:jc w:val="center"/>
              <w:rPr>
                <w:rFonts w:ascii="宋体" w:hAnsi="宋体" w:cs="宋体"/>
                <w:kern w:val="0"/>
                <w:sz w:val="24"/>
                <w:szCs w:val="24"/>
              </w:rPr>
            </w:pPr>
            <w:r>
              <w:rPr>
                <w:sz w:val="24"/>
                <w:szCs w:val="24"/>
              </w:rPr>
              <w:t>现停放地点</w:t>
            </w:r>
          </w:p>
        </w:tc>
        <w:tc>
          <w:tcPr>
            <w:tcW w:w="1225" w:type="dxa"/>
            <w:gridSpan w:val="2"/>
            <w:tcBorders>
              <w:top w:val="single" w:color="auto" w:sz="4" w:space="0"/>
              <w:left w:val="nil"/>
              <w:bottom w:val="single" w:color="auto" w:sz="4" w:space="0"/>
              <w:right w:val="single" w:color="auto" w:sz="4" w:space="0"/>
            </w:tcBorders>
            <w:vAlign w:val="center"/>
          </w:tcPr>
          <w:p w14:paraId="7A969757">
            <w:pPr>
              <w:widowControl/>
              <w:jc w:val="center"/>
              <w:rPr>
                <w:rFonts w:ascii="宋体" w:hAnsi="宋体" w:cs="宋体"/>
                <w:kern w:val="0"/>
                <w:sz w:val="24"/>
                <w:szCs w:val="24"/>
              </w:rPr>
            </w:pPr>
            <w:r>
              <w:rPr>
                <w:rFonts w:hint="eastAsia" w:ascii="宋体" w:hAnsi="宋体" w:cs="宋体"/>
                <w:kern w:val="0"/>
                <w:sz w:val="24"/>
                <w:szCs w:val="24"/>
              </w:rPr>
              <w:t>用于施工</w:t>
            </w:r>
          </w:p>
          <w:p w14:paraId="3C6247A4">
            <w:pPr>
              <w:widowControl/>
              <w:jc w:val="center"/>
              <w:rPr>
                <w:rFonts w:ascii="宋体" w:hAnsi="宋体" w:cs="宋体"/>
                <w:kern w:val="0"/>
                <w:sz w:val="24"/>
                <w:szCs w:val="24"/>
              </w:rPr>
            </w:pPr>
            <w:r>
              <w:rPr>
                <w:rFonts w:hint="eastAsia" w:ascii="宋体" w:hAnsi="宋体" w:cs="宋体"/>
                <w:kern w:val="0"/>
                <w:sz w:val="24"/>
                <w:szCs w:val="24"/>
              </w:rPr>
              <w:t>部位</w:t>
            </w:r>
          </w:p>
        </w:tc>
        <w:tc>
          <w:tcPr>
            <w:tcW w:w="687" w:type="dxa"/>
            <w:tcBorders>
              <w:top w:val="single" w:color="auto" w:sz="4" w:space="0"/>
              <w:left w:val="nil"/>
              <w:bottom w:val="single" w:color="auto" w:sz="4" w:space="0"/>
              <w:right w:val="single" w:color="auto" w:sz="4" w:space="0"/>
            </w:tcBorders>
            <w:vAlign w:val="center"/>
          </w:tcPr>
          <w:p w14:paraId="380145A7">
            <w:pPr>
              <w:widowControl/>
              <w:jc w:val="center"/>
              <w:rPr>
                <w:rFonts w:ascii="宋体" w:hAnsi="宋体" w:cs="宋体"/>
                <w:kern w:val="0"/>
                <w:sz w:val="24"/>
                <w:szCs w:val="24"/>
              </w:rPr>
            </w:pPr>
            <w:r>
              <w:rPr>
                <w:rFonts w:hint="eastAsia" w:ascii="宋体" w:hAnsi="宋体" w:cs="宋体"/>
                <w:kern w:val="0"/>
                <w:sz w:val="24"/>
                <w:szCs w:val="24"/>
              </w:rPr>
              <w:t>备注</w:t>
            </w:r>
          </w:p>
        </w:tc>
      </w:tr>
      <w:tr w14:paraId="0A8B1412">
        <w:tblPrEx>
          <w:tblCellMar>
            <w:top w:w="0" w:type="dxa"/>
            <w:left w:w="108" w:type="dxa"/>
            <w:bottom w:w="0" w:type="dxa"/>
            <w:right w:w="108" w:type="dxa"/>
          </w:tblCellMar>
        </w:tblPrEx>
        <w:trPr>
          <w:trHeight w:val="567" w:hRule="atLeast"/>
          <w:jc w:val="center"/>
        </w:trPr>
        <w:tc>
          <w:tcPr>
            <w:tcW w:w="673" w:type="dxa"/>
            <w:tcBorders>
              <w:top w:val="nil"/>
              <w:left w:val="single" w:color="auto" w:sz="4" w:space="0"/>
              <w:bottom w:val="single" w:color="auto" w:sz="4" w:space="0"/>
              <w:right w:val="single" w:color="auto" w:sz="4" w:space="0"/>
            </w:tcBorders>
            <w:vAlign w:val="center"/>
          </w:tcPr>
          <w:p w14:paraId="7D0674DB">
            <w:pPr>
              <w:widowControl/>
              <w:jc w:val="center"/>
              <w:rPr>
                <w:rFonts w:ascii="宋体" w:hAnsi="宋体" w:cs="宋体"/>
                <w:kern w:val="0"/>
                <w:szCs w:val="21"/>
              </w:rPr>
            </w:pPr>
            <w:r>
              <w:rPr>
                <w:rFonts w:hint="eastAsia" w:ascii="宋体" w:hAnsi="宋体" w:cs="宋体"/>
                <w:kern w:val="0"/>
                <w:szCs w:val="21"/>
              </w:rPr>
              <w:t>　</w:t>
            </w:r>
          </w:p>
        </w:tc>
        <w:tc>
          <w:tcPr>
            <w:tcW w:w="1235" w:type="dxa"/>
            <w:tcBorders>
              <w:top w:val="nil"/>
              <w:left w:val="nil"/>
              <w:bottom w:val="single" w:color="auto" w:sz="4" w:space="0"/>
              <w:right w:val="single" w:color="auto" w:sz="4" w:space="0"/>
            </w:tcBorders>
            <w:vAlign w:val="center"/>
          </w:tcPr>
          <w:p w14:paraId="6693B9D2">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07A767B4">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287B9E7D">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36B05225">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4074B35E">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5574FDFB">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58AAEDB0">
            <w:pPr>
              <w:widowControl/>
              <w:jc w:val="center"/>
              <w:rPr>
                <w:rFonts w:ascii="宋体" w:hAnsi="宋体" w:cs="宋体"/>
                <w:kern w:val="0"/>
                <w:szCs w:val="21"/>
              </w:rPr>
            </w:pPr>
            <w:r>
              <w:rPr>
                <w:rFonts w:hint="eastAsia" w:ascii="宋体" w:hAnsi="宋体" w:cs="宋体"/>
                <w:kern w:val="0"/>
                <w:szCs w:val="21"/>
              </w:rPr>
              <w:t>　</w:t>
            </w:r>
          </w:p>
        </w:tc>
        <w:tc>
          <w:tcPr>
            <w:tcW w:w="1225" w:type="dxa"/>
            <w:gridSpan w:val="2"/>
            <w:tcBorders>
              <w:top w:val="nil"/>
              <w:left w:val="nil"/>
              <w:bottom w:val="single" w:color="auto" w:sz="4" w:space="0"/>
              <w:right w:val="single" w:color="auto" w:sz="4" w:space="0"/>
            </w:tcBorders>
            <w:vAlign w:val="center"/>
          </w:tcPr>
          <w:p w14:paraId="0836C8DF">
            <w:pPr>
              <w:widowControl/>
              <w:jc w:val="center"/>
              <w:rPr>
                <w:rFonts w:ascii="宋体" w:hAnsi="宋体" w:cs="宋体"/>
                <w:kern w:val="0"/>
                <w:szCs w:val="21"/>
              </w:rPr>
            </w:pPr>
            <w:r>
              <w:rPr>
                <w:rFonts w:hint="eastAsia" w:ascii="宋体" w:hAnsi="宋体" w:cs="宋体"/>
                <w:kern w:val="0"/>
                <w:szCs w:val="21"/>
              </w:rPr>
              <w:t>　</w:t>
            </w:r>
          </w:p>
        </w:tc>
        <w:tc>
          <w:tcPr>
            <w:tcW w:w="687" w:type="dxa"/>
            <w:tcBorders>
              <w:top w:val="nil"/>
              <w:left w:val="nil"/>
              <w:bottom w:val="single" w:color="auto" w:sz="4" w:space="0"/>
              <w:right w:val="single" w:color="auto" w:sz="4" w:space="0"/>
            </w:tcBorders>
            <w:vAlign w:val="center"/>
          </w:tcPr>
          <w:p w14:paraId="7D383ECE">
            <w:pPr>
              <w:widowControl/>
              <w:jc w:val="center"/>
              <w:rPr>
                <w:rFonts w:ascii="宋体" w:hAnsi="宋体" w:cs="宋体"/>
                <w:kern w:val="0"/>
                <w:szCs w:val="21"/>
              </w:rPr>
            </w:pPr>
            <w:r>
              <w:rPr>
                <w:rFonts w:hint="eastAsia" w:ascii="宋体" w:hAnsi="宋体" w:cs="宋体"/>
                <w:kern w:val="0"/>
                <w:szCs w:val="21"/>
              </w:rPr>
              <w:t>　</w:t>
            </w:r>
          </w:p>
        </w:tc>
      </w:tr>
      <w:tr w14:paraId="634853CA">
        <w:tblPrEx>
          <w:tblCellMar>
            <w:top w:w="0" w:type="dxa"/>
            <w:left w:w="108" w:type="dxa"/>
            <w:bottom w:w="0" w:type="dxa"/>
            <w:right w:w="108" w:type="dxa"/>
          </w:tblCellMar>
        </w:tblPrEx>
        <w:trPr>
          <w:trHeight w:val="567" w:hRule="atLeast"/>
          <w:jc w:val="center"/>
        </w:trPr>
        <w:tc>
          <w:tcPr>
            <w:tcW w:w="673" w:type="dxa"/>
            <w:tcBorders>
              <w:top w:val="nil"/>
              <w:left w:val="single" w:color="auto" w:sz="4" w:space="0"/>
              <w:bottom w:val="single" w:color="auto" w:sz="4" w:space="0"/>
              <w:right w:val="single" w:color="auto" w:sz="4" w:space="0"/>
            </w:tcBorders>
            <w:vAlign w:val="center"/>
          </w:tcPr>
          <w:p w14:paraId="45F86327">
            <w:pPr>
              <w:widowControl/>
              <w:jc w:val="center"/>
              <w:rPr>
                <w:rFonts w:ascii="宋体" w:hAnsi="宋体" w:cs="宋体"/>
                <w:kern w:val="0"/>
                <w:szCs w:val="21"/>
              </w:rPr>
            </w:pPr>
            <w:r>
              <w:rPr>
                <w:rFonts w:hint="eastAsia" w:ascii="宋体" w:hAnsi="宋体" w:cs="宋体"/>
                <w:kern w:val="0"/>
                <w:szCs w:val="21"/>
              </w:rPr>
              <w:t>　</w:t>
            </w:r>
          </w:p>
        </w:tc>
        <w:tc>
          <w:tcPr>
            <w:tcW w:w="1235" w:type="dxa"/>
            <w:tcBorders>
              <w:top w:val="nil"/>
              <w:left w:val="nil"/>
              <w:bottom w:val="single" w:color="auto" w:sz="4" w:space="0"/>
              <w:right w:val="single" w:color="auto" w:sz="4" w:space="0"/>
            </w:tcBorders>
            <w:vAlign w:val="center"/>
          </w:tcPr>
          <w:p w14:paraId="338D88FD">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2AD3B302">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248AD9A1">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511EA12A">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549609C9">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268E1F25">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2B9C2BA4">
            <w:pPr>
              <w:widowControl/>
              <w:jc w:val="center"/>
              <w:rPr>
                <w:rFonts w:ascii="宋体" w:hAnsi="宋体" w:cs="宋体"/>
                <w:kern w:val="0"/>
                <w:szCs w:val="21"/>
              </w:rPr>
            </w:pPr>
            <w:r>
              <w:rPr>
                <w:rFonts w:hint="eastAsia" w:ascii="宋体" w:hAnsi="宋体" w:cs="宋体"/>
                <w:kern w:val="0"/>
                <w:szCs w:val="21"/>
              </w:rPr>
              <w:t>　</w:t>
            </w:r>
          </w:p>
        </w:tc>
        <w:tc>
          <w:tcPr>
            <w:tcW w:w="1225" w:type="dxa"/>
            <w:gridSpan w:val="2"/>
            <w:tcBorders>
              <w:top w:val="nil"/>
              <w:left w:val="nil"/>
              <w:bottom w:val="single" w:color="auto" w:sz="4" w:space="0"/>
              <w:right w:val="single" w:color="auto" w:sz="4" w:space="0"/>
            </w:tcBorders>
            <w:vAlign w:val="center"/>
          </w:tcPr>
          <w:p w14:paraId="4E026AA4">
            <w:pPr>
              <w:widowControl/>
              <w:jc w:val="center"/>
              <w:rPr>
                <w:rFonts w:ascii="宋体" w:hAnsi="宋体" w:cs="宋体"/>
                <w:kern w:val="0"/>
                <w:szCs w:val="21"/>
              </w:rPr>
            </w:pPr>
            <w:r>
              <w:rPr>
                <w:rFonts w:hint="eastAsia" w:ascii="宋体" w:hAnsi="宋体" w:cs="宋体"/>
                <w:kern w:val="0"/>
                <w:szCs w:val="21"/>
              </w:rPr>
              <w:t>　</w:t>
            </w:r>
          </w:p>
        </w:tc>
        <w:tc>
          <w:tcPr>
            <w:tcW w:w="687" w:type="dxa"/>
            <w:tcBorders>
              <w:top w:val="nil"/>
              <w:left w:val="nil"/>
              <w:bottom w:val="single" w:color="auto" w:sz="4" w:space="0"/>
              <w:right w:val="single" w:color="auto" w:sz="4" w:space="0"/>
            </w:tcBorders>
            <w:vAlign w:val="center"/>
          </w:tcPr>
          <w:p w14:paraId="03E9A694">
            <w:pPr>
              <w:widowControl/>
              <w:jc w:val="center"/>
              <w:rPr>
                <w:rFonts w:ascii="宋体" w:hAnsi="宋体" w:cs="宋体"/>
                <w:kern w:val="0"/>
                <w:szCs w:val="21"/>
              </w:rPr>
            </w:pPr>
            <w:r>
              <w:rPr>
                <w:rFonts w:hint="eastAsia" w:ascii="宋体" w:hAnsi="宋体" w:cs="宋体"/>
                <w:kern w:val="0"/>
                <w:szCs w:val="21"/>
              </w:rPr>
              <w:t>　</w:t>
            </w:r>
          </w:p>
        </w:tc>
      </w:tr>
      <w:tr w14:paraId="2CA0B2CD">
        <w:tblPrEx>
          <w:tblCellMar>
            <w:top w:w="0" w:type="dxa"/>
            <w:left w:w="108" w:type="dxa"/>
            <w:bottom w:w="0" w:type="dxa"/>
            <w:right w:w="108" w:type="dxa"/>
          </w:tblCellMar>
        </w:tblPrEx>
        <w:trPr>
          <w:trHeight w:val="567" w:hRule="atLeast"/>
          <w:jc w:val="center"/>
        </w:trPr>
        <w:tc>
          <w:tcPr>
            <w:tcW w:w="673" w:type="dxa"/>
            <w:tcBorders>
              <w:top w:val="nil"/>
              <w:left w:val="single" w:color="auto" w:sz="4" w:space="0"/>
              <w:bottom w:val="single" w:color="auto" w:sz="4" w:space="0"/>
              <w:right w:val="single" w:color="auto" w:sz="4" w:space="0"/>
            </w:tcBorders>
            <w:vAlign w:val="center"/>
          </w:tcPr>
          <w:p w14:paraId="2992B50C">
            <w:pPr>
              <w:widowControl/>
              <w:jc w:val="center"/>
              <w:rPr>
                <w:rFonts w:ascii="宋体" w:hAnsi="宋体" w:cs="宋体"/>
                <w:kern w:val="0"/>
                <w:szCs w:val="21"/>
              </w:rPr>
            </w:pPr>
            <w:r>
              <w:rPr>
                <w:rFonts w:hint="eastAsia" w:ascii="宋体" w:hAnsi="宋体" w:cs="宋体"/>
                <w:kern w:val="0"/>
                <w:szCs w:val="21"/>
              </w:rPr>
              <w:t>　</w:t>
            </w:r>
          </w:p>
        </w:tc>
        <w:tc>
          <w:tcPr>
            <w:tcW w:w="1235" w:type="dxa"/>
            <w:tcBorders>
              <w:top w:val="nil"/>
              <w:left w:val="nil"/>
              <w:bottom w:val="single" w:color="auto" w:sz="4" w:space="0"/>
              <w:right w:val="single" w:color="auto" w:sz="4" w:space="0"/>
            </w:tcBorders>
            <w:vAlign w:val="center"/>
          </w:tcPr>
          <w:p w14:paraId="5B6C0321">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297AEE63">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1B5FFAE2">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49A424D7">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1830E6D9">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15172C2E">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2A2C667B">
            <w:pPr>
              <w:widowControl/>
              <w:jc w:val="center"/>
              <w:rPr>
                <w:rFonts w:ascii="宋体" w:hAnsi="宋体" w:cs="宋体"/>
                <w:kern w:val="0"/>
                <w:szCs w:val="21"/>
              </w:rPr>
            </w:pPr>
            <w:r>
              <w:rPr>
                <w:rFonts w:hint="eastAsia" w:ascii="宋体" w:hAnsi="宋体" w:cs="宋体"/>
                <w:kern w:val="0"/>
                <w:szCs w:val="21"/>
              </w:rPr>
              <w:t>　</w:t>
            </w:r>
          </w:p>
        </w:tc>
        <w:tc>
          <w:tcPr>
            <w:tcW w:w="1225" w:type="dxa"/>
            <w:gridSpan w:val="2"/>
            <w:tcBorders>
              <w:top w:val="nil"/>
              <w:left w:val="nil"/>
              <w:bottom w:val="single" w:color="auto" w:sz="4" w:space="0"/>
              <w:right w:val="single" w:color="auto" w:sz="4" w:space="0"/>
            </w:tcBorders>
            <w:vAlign w:val="center"/>
          </w:tcPr>
          <w:p w14:paraId="64ED11BB">
            <w:pPr>
              <w:widowControl/>
              <w:jc w:val="center"/>
              <w:rPr>
                <w:rFonts w:ascii="宋体" w:hAnsi="宋体" w:cs="宋体"/>
                <w:kern w:val="0"/>
                <w:szCs w:val="21"/>
              </w:rPr>
            </w:pPr>
            <w:r>
              <w:rPr>
                <w:rFonts w:hint="eastAsia" w:ascii="宋体" w:hAnsi="宋体" w:cs="宋体"/>
                <w:kern w:val="0"/>
                <w:szCs w:val="21"/>
              </w:rPr>
              <w:t>　</w:t>
            </w:r>
          </w:p>
        </w:tc>
        <w:tc>
          <w:tcPr>
            <w:tcW w:w="687" w:type="dxa"/>
            <w:tcBorders>
              <w:top w:val="nil"/>
              <w:left w:val="nil"/>
              <w:bottom w:val="single" w:color="auto" w:sz="4" w:space="0"/>
              <w:right w:val="single" w:color="auto" w:sz="4" w:space="0"/>
            </w:tcBorders>
            <w:vAlign w:val="center"/>
          </w:tcPr>
          <w:p w14:paraId="685DCCF8">
            <w:pPr>
              <w:widowControl/>
              <w:jc w:val="center"/>
              <w:rPr>
                <w:rFonts w:ascii="宋体" w:hAnsi="宋体" w:cs="宋体"/>
                <w:kern w:val="0"/>
                <w:szCs w:val="21"/>
              </w:rPr>
            </w:pPr>
            <w:r>
              <w:rPr>
                <w:rFonts w:hint="eastAsia" w:ascii="宋体" w:hAnsi="宋体" w:cs="宋体"/>
                <w:kern w:val="0"/>
                <w:szCs w:val="21"/>
              </w:rPr>
              <w:t>　</w:t>
            </w:r>
          </w:p>
        </w:tc>
      </w:tr>
      <w:tr w14:paraId="16E7FA6D">
        <w:tblPrEx>
          <w:tblCellMar>
            <w:top w:w="0" w:type="dxa"/>
            <w:left w:w="108" w:type="dxa"/>
            <w:bottom w:w="0" w:type="dxa"/>
            <w:right w:w="108" w:type="dxa"/>
          </w:tblCellMar>
        </w:tblPrEx>
        <w:trPr>
          <w:trHeight w:val="567" w:hRule="atLeast"/>
          <w:jc w:val="center"/>
        </w:trPr>
        <w:tc>
          <w:tcPr>
            <w:tcW w:w="673" w:type="dxa"/>
            <w:tcBorders>
              <w:top w:val="nil"/>
              <w:left w:val="single" w:color="auto" w:sz="4" w:space="0"/>
              <w:bottom w:val="single" w:color="auto" w:sz="4" w:space="0"/>
              <w:right w:val="single" w:color="auto" w:sz="4" w:space="0"/>
            </w:tcBorders>
            <w:vAlign w:val="center"/>
          </w:tcPr>
          <w:p w14:paraId="4A1B99CF">
            <w:pPr>
              <w:widowControl/>
              <w:jc w:val="center"/>
              <w:rPr>
                <w:rFonts w:ascii="宋体" w:hAnsi="宋体" w:cs="宋体"/>
                <w:kern w:val="0"/>
                <w:szCs w:val="21"/>
              </w:rPr>
            </w:pPr>
            <w:r>
              <w:rPr>
                <w:rFonts w:hint="eastAsia" w:ascii="宋体" w:hAnsi="宋体" w:cs="宋体"/>
                <w:kern w:val="0"/>
                <w:szCs w:val="21"/>
              </w:rPr>
              <w:t>　</w:t>
            </w:r>
          </w:p>
        </w:tc>
        <w:tc>
          <w:tcPr>
            <w:tcW w:w="1235" w:type="dxa"/>
            <w:tcBorders>
              <w:top w:val="nil"/>
              <w:left w:val="nil"/>
              <w:bottom w:val="single" w:color="auto" w:sz="4" w:space="0"/>
              <w:right w:val="single" w:color="auto" w:sz="4" w:space="0"/>
            </w:tcBorders>
            <w:vAlign w:val="center"/>
          </w:tcPr>
          <w:p w14:paraId="21AF6BFE">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253C081B">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6FB4F57F">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399C4558">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2AE03B29">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7122B2B5">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22AB2C4B">
            <w:pPr>
              <w:widowControl/>
              <w:jc w:val="center"/>
              <w:rPr>
                <w:rFonts w:ascii="宋体" w:hAnsi="宋体" w:cs="宋体"/>
                <w:kern w:val="0"/>
                <w:szCs w:val="21"/>
              </w:rPr>
            </w:pPr>
            <w:r>
              <w:rPr>
                <w:rFonts w:hint="eastAsia" w:ascii="宋体" w:hAnsi="宋体" w:cs="宋体"/>
                <w:kern w:val="0"/>
                <w:szCs w:val="21"/>
              </w:rPr>
              <w:t>　</w:t>
            </w:r>
          </w:p>
        </w:tc>
        <w:tc>
          <w:tcPr>
            <w:tcW w:w="1225" w:type="dxa"/>
            <w:gridSpan w:val="2"/>
            <w:tcBorders>
              <w:top w:val="nil"/>
              <w:left w:val="nil"/>
              <w:bottom w:val="single" w:color="auto" w:sz="4" w:space="0"/>
              <w:right w:val="single" w:color="auto" w:sz="4" w:space="0"/>
            </w:tcBorders>
            <w:vAlign w:val="center"/>
          </w:tcPr>
          <w:p w14:paraId="3FB320D6">
            <w:pPr>
              <w:widowControl/>
              <w:jc w:val="center"/>
              <w:rPr>
                <w:rFonts w:ascii="宋体" w:hAnsi="宋体" w:cs="宋体"/>
                <w:kern w:val="0"/>
                <w:szCs w:val="21"/>
              </w:rPr>
            </w:pPr>
            <w:r>
              <w:rPr>
                <w:rFonts w:hint="eastAsia" w:ascii="宋体" w:hAnsi="宋体" w:cs="宋体"/>
                <w:kern w:val="0"/>
                <w:szCs w:val="21"/>
              </w:rPr>
              <w:t>　</w:t>
            </w:r>
          </w:p>
        </w:tc>
        <w:tc>
          <w:tcPr>
            <w:tcW w:w="687" w:type="dxa"/>
            <w:tcBorders>
              <w:top w:val="nil"/>
              <w:left w:val="nil"/>
              <w:bottom w:val="single" w:color="auto" w:sz="4" w:space="0"/>
              <w:right w:val="single" w:color="auto" w:sz="4" w:space="0"/>
            </w:tcBorders>
            <w:vAlign w:val="center"/>
          </w:tcPr>
          <w:p w14:paraId="6B1048DB">
            <w:pPr>
              <w:widowControl/>
              <w:jc w:val="center"/>
              <w:rPr>
                <w:rFonts w:ascii="宋体" w:hAnsi="宋体" w:cs="宋体"/>
                <w:kern w:val="0"/>
                <w:szCs w:val="21"/>
              </w:rPr>
            </w:pPr>
            <w:r>
              <w:rPr>
                <w:rFonts w:hint="eastAsia" w:ascii="宋体" w:hAnsi="宋体" w:cs="宋体"/>
                <w:kern w:val="0"/>
                <w:szCs w:val="21"/>
              </w:rPr>
              <w:t>　</w:t>
            </w:r>
          </w:p>
        </w:tc>
      </w:tr>
      <w:tr w14:paraId="22D98B8B">
        <w:tblPrEx>
          <w:tblCellMar>
            <w:top w:w="0" w:type="dxa"/>
            <w:left w:w="108" w:type="dxa"/>
            <w:bottom w:w="0" w:type="dxa"/>
            <w:right w:w="108" w:type="dxa"/>
          </w:tblCellMar>
        </w:tblPrEx>
        <w:trPr>
          <w:trHeight w:val="567" w:hRule="atLeast"/>
          <w:jc w:val="center"/>
        </w:trPr>
        <w:tc>
          <w:tcPr>
            <w:tcW w:w="673" w:type="dxa"/>
            <w:tcBorders>
              <w:top w:val="nil"/>
              <w:left w:val="single" w:color="auto" w:sz="4" w:space="0"/>
              <w:bottom w:val="single" w:color="auto" w:sz="4" w:space="0"/>
              <w:right w:val="single" w:color="auto" w:sz="4" w:space="0"/>
            </w:tcBorders>
            <w:vAlign w:val="center"/>
          </w:tcPr>
          <w:p w14:paraId="5DCEFEF6">
            <w:pPr>
              <w:widowControl/>
              <w:jc w:val="center"/>
              <w:rPr>
                <w:rFonts w:ascii="宋体" w:hAnsi="宋体" w:cs="宋体"/>
                <w:kern w:val="0"/>
                <w:szCs w:val="21"/>
              </w:rPr>
            </w:pPr>
            <w:r>
              <w:rPr>
                <w:rFonts w:hint="eastAsia" w:ascii="宋体" w:hAnsi="宋体" w:cs="宋体"/>
                <w:kern w:val="0"/>
                <w:szCs w:val="21"/>
              </w:rPr>
              <w:t>　</w:t>
            </w:r>
          </w:p>
        </w:tc>
        <w:tc>
          <w:tcPr>
            <w:tcW w:w="1235" w:type="dxa"/>
            <w:tcBorders>
              <w:top w:val="nil"/>
              <w:left w:val="nil"/>
              <w:bottom w:val="single" w:color="auto" w:sz="4" w:space="0"/>
              <w:right w:val="single" w:color="auto" w:sz="4" w:space="0"/>
            </w:tcBorders>
            <w:vAlign w:val="center"/>
          </w:tcPr>
          <w:p w14:paraId="240874CB">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0A150E4E">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726BA505">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5D933E3E">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10004920">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7038DD06">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6DB62ECB">
            <w:pPr>
              <w:widowControl/>
              <w:jc w:val="center"/>
              <w:rPr>
                <w:rFonts w:ascii="宋体" w:hAnsi="宋体" w:cs="宋体"/>
                <w:kern w:val="0"/>
                <w:szCs w:val="21"/>
              </w:rPr>
            </w:pPr>
            <w:r>
              <w:rPr>
                <w:rFonts w:hint="eastAsia" w:ascii="宋体" w:hAnsi="宋体" w:cs="宋体"/>
                <w:kern w:val="0"/>
                <w:szCs w:val="21"/>
              </w:rPr>
              <w:t>　</w:t>
            </w:r>
          </w:p>
        </w:tc>
        <w:tc>
          <w:tcPr>
            <w:tcW w:w="1225" w:type="dxa"/>
            <w:gridSpan w:val="2"/>
            <w:tcBorders>
              <w:top w:val="nil"/>
              <w:left w:val="nil"/>
              <w:bottom w:val="single" w:color="auto" w:sz="4" w:space="0"/>
              <w:right w:val="single" w:color="auto" w:sz="4" w:space="0"/>
            </w:tcBorders>
            <w:vAlign w:val="center"/>
          </w:tcPr>
          <w:p w14:paraId="10AB922D">
            <w:pPr>
              <w:widowControl/>
              <w:jc w:val="center"/>
              <w:rPr>
                <w:rFonts w:ascii="宋体" w:hAnsi="宋体" w:cs="宋体"/>
                <w:kern w:val="0"/>
                <w:szCs w:val="21"/>
              </w:rPr>
            </w:pPr>
            <w:r>
              <w:rPr>
                <w:rFonts w:hint="eastAsia" w:ascii="宋体" w:hAnsi="宋体" w:cs="宋体"/>
                <w:kern w:val="0"/>
                <w:szCs w:val="21"/>
              </w:rPr>
              <w:t>　</w:t>
            </w:r>
          </w:p>
        </w:tc>
        <w:tc>
          <w:tcPr>
            <w:tcW w:w="687" w:type="dxa"/>
            <w:tcBorders>
              <w:top w:val="nil"/>
              <w:left w:val="nil"/>
              <w:bottom w:val="single" w:color="auto" w:sz="4" w:space="0"/>
              <w:right w:val="single" w:color="auto" w:sz="4" w:space="0"/>
            </w:tcBorders>
            <w:vAlign w:val="center"/>
          </w:tcPr>
          <w:p w14:paraId="3D6CB9D2">
            <w:pPr>
              <w:widowControl/>
              <w:jc w:val="center"/>
              <w:rPr>
                <w:rFonts w:ascii="宋体" w:hAnsi="宋体" w:cs="宋体"/>
                <w:kern w:val="0"/>
                <w:szCs w:val="21"/>
              </w:rPr>
            </w:pPr>
            <w:r>
              <w:rPr>
                <w:rFonts w:hint="eastAsia" w:ascii="宋体" w:hAnsi="宋体" w:cs="宋体"/>
                <w:kern w:val="0"/>
                <w:szCs w:val="21"/>
              </w:rPr>
              <w:t>　</w:t>
            </w:r>
          </w:p>
        </w:tc>
      </w:tr>
      <w:tr w14:paraId="49FD676D">
        <w:tblPrEx>
          <w:tblCellMar>
            <w:top w:w="0" w:type="dxa"/>
            <w:left w:w="108" w:type="dxa"/>
            <w:bottom w:w="0" w:type="dxa"/>
            <w:right w:w="108" w:type="dxa"/>
          </w:tblCellMar>
        </w:tblPrEx>
        <w:trPr>
          <w:trHeight w:val="567" w:hRule="atLeast"/>
          <w:jc w:val="center"/>
        </w:trPr>
        <w:tc>
          <w:tcPr>
            <w:tcW w:w="673" w:type="dxa"/>
            <w:tcBorders>
              <w:top w:val="nil"/>
              <w:left w:val="single" w:color="auto" w:sz="4" w:space="0"/>
              <w:bottom w:val="single" w:color="auto" w:sz="4" w:space="0"/>
              <w:right w:val="single" w:color="auto" w:sz="4" w:space="0"/>
            </w:tcBorders>
            <w:vAlign w:val="center"/>
          </w:tcPr>
          <w:p w14:paraId="222DACDE">
            <w:pPr>
              <w:widowControl/>
              <w:jc w:val="center"/>
              <w:rPr>
                <w:rFonts w:ascii="宋体" w:hAnsi="宋体" w:cs="宋体"/>
                <w:kern w:val="0"/>
                <w:szCs w:val="21"/>
              </w:rPr>
            </w:pPr>
            <w:r>
              <w:rPr>
                <w:rFonts w:hint="eastAsia" w:ascii="宋体" w:hAnsi="宋体" w:cs="宋体"/>
                <w:kern w:val="0"/>
                <w:szCs w:val="21"/>
              </w:rPr>
              <w:t>　</w:t>
            </w:r>
          </w:p>
        </w:tc>
        <w:tc>
          <w:tcPr>
            <w:tcW w:w="1235" w:type="dxa"/>
            <w:tcBorders>
              <w:top w:val="nil"/>
              <w:left w:val="nil"/>
              <w:bottom w:val="single" w:color="auto" w:sz="4" w:space="0"/>
              <w:right w:val="single" w:color="auto" w:sz="4" w:space="0"/>
            </w:tcBorders>
            <w:vAlign w:val="center"/>
          </w:tcPr>
          <w:p w14:paraId="2C64350E">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6D007B6D">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444A82E9">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56F4C4E8">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19D3C811">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731E9A24">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64D13C2E">
            <w:pPr>
              <w:widowControl/>
              <w:jc w:val="center"/>
              <w:rPr>
                <w:rFonts w:ascii="宋体" w:hAnsi="宋体" w:cs="宋体"/>
                <w:kern w:val="0"/>
                <w:szCs w:val="21"/>
              </w:rPr>
            </w:pPr>
            <w:r>
              <w:rPr>
                <w:rFonts w:hint="eastAsia" w:ascii="宋体" w:hAnsi="宋体" w:cs="宋体"/>
                <w:kern w:val="0"/>
                <w:szCs w:val="21"/>
              </w:rPr>
              <w:t>　</w:t>
            </w:r>
          </w:p>
        </w:tc>
        <w:tc>
          <w:tcPr>
            <w:tcW w:w="1225" w:type="dxa"/>
            <w:gridSpan w:val="2"/>
            <w:tcBorders>
              <w:top w:val="nil"/>
              <w:left w:val="nil"/>
              <w:bottom w:val="single" w:color="auto" w:sz="4" w:space="0"/>
              <w:right w:val="single" w:color="auto" w:sz="4" w:space="0"/>
            </w:tcBorders>
            <w:vAlign w:val="center"/>
          </w:tcPr>
          <w:p w14:paraId="271E5E95">
            <w:pPr>
              <w:widowControl/>
              <w:jc w:val="center"/>
              <w:rPr>
                <w:rFonts w:ascii="宋体" w:hAnsi="宋体" w:cs="宋体"/>
                <w:kern w:val="0"/>
                <w:szCs w:val="21"/>
              </w:rPr>
            </w:pPr>
            <w:r>
              <w:rPr>
                <w:rFonts w:hint="eastAsia" w:ascii="宋体" w:hAnsi="宋体" w:cs="宋体"/>
                <w:kern w:val="0"/>
                <w:szCs w:val="21"/>
              </w:rPr>
              <w:t>　</w:t>
            </w:r>
          </w:p>
        </w:tc>
        <w:tc>
          <w:tcPr>
            <w:tcW w:w="687" w:type="dxa"/>
            <w:tcBorders>
              <w:top w:val="nil"/>
              <w:left w:val="nil"/>
              <w:bottom w:val="single" w:color="auto" w:sz="4" w:space="0"/>
              <w:right w:val="single" w:color="auto" w:sz="4" w:space="0"/>
            </w:tcBorders>
            <w:vAlign w:val="center"/>
          </w:tcPr>
          <w:p w14:paraId="0542407D">
            <w:pPr>
              <w:widowControl/>
              <w:jc w:val="center"/>
              <w:rPr>
                <w:rFonts w:ascii="宋体" w:hAnsi="宋体" w:cs="宋体"/>
                <w:kern w:val="0"/>
                <w:szCs w:val="21"/>
              </w:rPr>
            </w:pPr>
            <w:r>
              <w:rPr>
                <w:rFonts w:hint="eastAsia" w:ascii="宋体" w:hAnsi="宋体" w:cs="宋体"/>
                <w:kern w:val="0"/>
                <w:szCs w:val="21"/>
              </w:rPr>
              <w:t>　</w:t>
            </w:r>
          </w:p>
        </w:tc>
      </w:tr>
      <w:tr w14:paraId="369B5CD6">
        <w:tblPrEx>
          <w:tblCellMar>
            <w:top w:w="0" w:type="dxa"/>
            <w:left w:w="108" w:type="dxa"/>
            <w:bottom w:w="0" w:type="dxa"/>
            <w:right w:w="108" w:type="dxa"/>
          </w:tblCellMar>
        </w:tblPrEx>
        <w:trPr>
          <w:trHeight w:val="567" w:hRule="atLeast"/>
          <w:jc w:val="center"/>
        </w:trPr>
        <w:tc>
          <w:tcPr>
            <w:tcW w:w="673" w:type="dxa"/>
            <w:tcBorders>
              <w:top w:val="nil"/>
              <w:left w:val="single" w:color="auto" w:sz="4" w:space="0"/>
              <w:bottom w:val="single" w:color="auto" w:sz="4" w:space="0"/>
              <w:right w:val="single" w:color="auto" w:sz="4" w:space="0"/>
            </w:tcBorders>
            <w:vAlign w:val="center"/>
          </w:tcPr>
          <w:p w14:paraId="7976ACCA">
            <w:pPr>
              <w:widowControl/>
              <w:jc w:val="center"/>
              <w:rPr>
                <w:rFonts w:ascii="宋体" w:hAnsi="宋体" w:cs="宋体"/>
                <w:kern w:val="0"/>
                <w:szCs w:val="21"/>
              </w:rPr>
            </w:pPr>
            <w:r>
              <w:rPr>
                <w:rFonts w:hint="eastAsia" w:ascii="宋体" w:hAnsi="宋体" w:cs="宋体"/>
                <w:kern w:val="0"/>
                <w:szCs w:val="21"/>
              </w:rPr>
              <w:t>　</w:t>
            </w:r>
          </w:p>
        </w:tc>
        <w:tc>
          <w:tcPr>
            <w:tcW w:w="1235" w:type="dxa"/>
            <w:tcBorders>
              <w:top w:val="nil"/>
              <w:left w:val="nil"/>
              <w:bottom w:val="single" w:color="auto" w:sz="4" w:space="0"/>
              <w:right w:val="single" w:color="auto" w:sz="4" w:space="0"/>
            </w:tcBorders>
            <w:vAlign w:val="center"/>
          </w:tcPr>
          <w:p w14:paraId="6FDB68D4">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03870953">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4FE66430">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2B3EFEE6">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6CB85403">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14B935E4">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74D5D925">
            <w:pPr>
              <w:widowControl/>
              <w:jc w:val="center"/>
              <w:rPr>
                <w:rFonts w:ascii="宋体" w:hAnsi="宋体" w:cs="宋体"/>
                <w:kern w:val="0"/>
                <w:szCs w:val="21"/>
              </w:rPr>
            </w:pPr>
            <w:r>
              <w:rPr>
                <w:rFonts w:hint="eastAsia" w:ascii="宋体" w:hAnsi="宋体" w:cs="宋体"/>
                <w:kern w:val="0"/>
                <w:szCs w:val="21"/>
              </w:rPr>
              <w:t>　</w:t>
            </w:r>
          </w:p>
        </w:tc>
        <w:tc>
          <w:tcPr>
            <w:tcW w:w="1225" w:type="dxa"/>
            <w:gridSpan w:val="2"/>
            <w:tcBorders>
              <w:top w:val="nil"/>
              <w:left w:val="nil"/>
              <w:bottom w:val="single" w:color="auto" w:sz="4" w:space="0"/>
              <w:right w:val="single" w:color="auto" w:sz="4" w:space="0"/>
            </w:tcBorders>
            <w:vAlign w:val="center"/>
          </w:tcPr>
          <w:p w14:paraId="4AE90DD1">
            <w:pPr>
              <w:widowControl/>
              <w:jc w:val="center"/>
              <w:rPr>
                <w:rFonts w:ascii="宋体" w:hAnsi="宋体" w:cs="宋体"/>
                <w:kern w:val="0"/>
                <w:szCs w:val="21"/>
              </w:rPr>
            </w:pPr>
            <w:r>
              <w:rPr>
                <w:rFonts w:hint="eastAsia" w:ascii="宋体" w:hAnsi="宋体" w:cs="宋体"/>
                <w:kern w:val="0"/>
                <w:szCs w:val="21"/>
              </w:rPr>
              <w:t>　</w:t>
            </w:r>
          </w:p>
        </w:tc>
        <w:tc>
          <w:tcPr>
            <w:tcW w:w="687" w:type="dxa"/>
            <w:tcBorders>
              <w:top w:val="nil"/>
              <w:left w:val="nil"/>
              <w:bottom w:val="single" w:color="auto" w:sz="4" w:space="0"/>
              <w:right w:val="single" w:color="auto" w:sz="4" w:space="0"/>
            </w:tcBorders>
            <w:vAlign w:val="center"/>
          </w:tcPr>
          <w:p w14:paraId="205044E6">
            <w:pPr>
              <w:widowControl/>
              <w:jc w:val="center"/>
              <w:rPr>
                <w:rFonts w:ascii="宋体" w:hAnsi="宋体" w:cs="宋体"/>
                <w:kern w:val="0"/>
                <w:szCs w:val="21"/>
              </w:rPr>
            </w:pPr>
            <w:r>
              <w:rPr>
                <w:rFonts w:hint="eastAsia" w:ascii="宋体" w:hAnsi="宋体" w:cs="宋体"/>
                <w:kern w:val="0"/>
                <w:szCs w:val="21"/>
              </w:rPr>
              <w:t>　</w:t>
            </w:r>
          </w:p>
        </w:tc>
      </w:tr>
      <w:tr w14:paraId="6E1EC521">
        <w:tblPrEx>
          <w:tblCellMar>
            <w:top w:w="0" w:type="dxa"/>
            <w:left w:w="108" w:type="dxa"/>
            <w:bottom w:w="0" w:type="dxa"/>
            <w:right w:w="108" w:type="dxa"/>
          </w:tblCellMar>
        </w:tblPrEx>
        <w:trPr>
          <w:trHeight w:val="567" w:hRule="atLeast"/>
          <w:jc w:val="center"/>
        </w:trPr>
        <w:tc>
          <w:tcPr>
            <w:tcW w:w="673" w:type="dxa"/>
            <w:tcBorders>
              <w:top w:val="nil"/>
              <w:left w:val="single" w:color="auto" w:sz="4" w:space="0"/>
              <w:bottom w:val="single" w:color="auto" w:sz="4" w:space="0"/>
              <w:right w:val="single" w:color="auto" w:sz="4" w:space="0"/>
            </w:tcBorders>
            <w:vAlign w:val="center"/>
          </w:tcPr>
          <w:p w14:paraId="560F7EB1">
            <w:pPr>
              <w:widowControl/>
              <w:jc w:val="center"/>
              <w:rPr>
                <w:rFonts w:ascii="宋体" w:hAnsi="宋体" w:cs="宋体"/>
                <w:kern w:val="0"/>
                <w:szCs w:val="21"/>
              </w:rPr>
            </w:pPr>
            <w:r>
              <w:rPr>
                <w:rFonts w:hint="eastAsia" w:ascii="宋体" w:hAnsi="宋体" w:cs="宋体"/>
                <w:kern w:val="0"/>
                <w:szCs w:val="21"/>
              </w:rPr>
              <w:t>　</w:t>
            </w:r>
          </w:p>
        </w:tc>
        <w:tc>
          <w:tcPr>
            <w:tcW w:w="1235" w:type="dxa"/>
            <w:tcBorders>
              <w:top w:val="nil"/>
              <w:left w:val="nil"/>
              <w:bottom w:val="single" w:color="auto" w:sz="4" w:space="0"/>
              <w:right w:val="single" w:color="auto" w:sz="4" w:space="0"/>
            </w:tcBorders>
            <w:vAlign w:val="center"/>
          </w:tcPr>
          <w:p w14:paraId="3C014300">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4210265B">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60C108B4">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47F439DB">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248FDFEE">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0853B268">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46D11E56">
            <w:pPr>
              <w:widowControl/>
              <w:jc w:val="center"/>
              <w:rPr>
                <w:rFonts w:ascii="宋体" w:hAnsi="宋体" w:cs="宋体"/>
                <w:kern w:val="0"/>
                <w:szCs w:val="21"/>
              </w:rPr>
            </w:pPr>
            <w:r>
              <w:rPr>
                <w:rFonts w:hint="eastAsia" w:ascii="宋体" w:hAnsi="宋体" w:cs="宋体"/>
                <w:kern w:val="0"/>
                <w:szCs w:val="21"/>
              </w:rPr>
              <w:t>　</w:t>
            </w:r>
          </w:p>
        </w:tc>
        <w:tc>
          <w:tcPr>
            <w:tcW w:w="1225" w:type="dxa"/>
            <w:gridSpan w:val="2"/>
            <w:tcBorders>
              <w:top w:val="nil"/>
              <w:left w:val="nil"/>
              <w:bottom w:val="single" w:color="auto" w:sz="4" w:space="0"/>
              <w:right w:val="single" w:color="auto" w:sz="4" w:space="0"/>
            </w:tcBorders>
            <w:vAlign w:val="center"/>
          </w:tcPr>
          <w:p w14:paraId="60A5C29A">
            <w:pPr>
              <w:widowControl/>
              <w:jc w:val="center"/>
              <w:rPr>
                <w:rFonts w:ascii="宋体" w:hAnsi="宋体" w:cs="宋体"/>
                <w:kern w:val="0"/>
                <w:szCs w:val="21"/>
              </w:rPr>
            </w:pPr>
            <w:r>
              <w:rPr>
                <w:rFonts w:hint="eastAsia" w:ascii="宋体" w:hAnsi="宋体" w:cs="宋体"/>
                <w:kern w:val="0"/>
                <w:szCs w:val="21"/>
              </w:rPr>
              <w:t>　</w:t>
            </w:r>
          </w:p>
        </w:tc>
        <w:tc>
          <w:tcPr>
            <w:tcW w:w="687" w:type="dxa"/>
            <w:tcBorders>
              <w:top w:val="nil"/>
              <w:left w:val="nil"/>
              <w:bottom w:val="single" w:color="auto" w:sz="4" w:space="0"/>
              <w:right w:val="single" w:color="auto" w:sz="4" w:space="0"/>
            </w:tcBorders>
            <w:vAlign w:val="center"/>
          </w:tcPr>
          <w:p w14:paraId="691019D1">
            <w:pPr>
              <w:widowControl/>
              <w:jc w:val="center"/>
              <w:rPr>
                <w:rFonts w:ascii="宋体" w:hAnsi="宋体" w:cs="宋体"/>
                <w:kern w:val="0"/>
                <w:szCs w:val="21"/>
              </w:rPr>
            </w:pPr>
            <w:r>
              <w:rPr>
                <w:rFonts w:hint="eastAsia" w:ascii="宋体" w:hAnsi="宋体" w:cs="宋体"/>
                <w:kern w:val="0"/>
                <w:szCs w:val="21"/>
              </w:rPr>
              <w:t>　</w:t>
            </w:r>
          </w:p>
        </w:tc>
      </w:tr>
      <w:tr w14:paraId="3111FD64">
        <w:tblPrEx>
          <w:tblCellMar>
            <w:top w:w="0" w:type="dxa"/>
            <w:left w:w="108" w:type="dxa"/>
            <w:bottom w:w="0" w:type="dxa"/>
            <w:right w:w="108" w:type="dxa"/>
          </w:tblCellMar>
        </w:tblPrEx>
        <w:trPr>
          <w:trHeight w:val="567" w:hRule="atLeast"/>
          <w:jc w:val="center"/>
        </w:trPr>
        <w:tc>
          <w:tcPr>
            <w:tcW w:w="673" w:type="dxa"/>
            <w:tcBorders>
              <w:top w:val="nil"/>
              <w:left w:val="single" w:color="auto" w:sz="4" w:space="0"/>
              <w:bottom w:val="single" w:color="auto" w:sz="4" w:space="0"/>
              <w:right w:val="single" w:color="auto" w:sz="4" w:space="0"/>
            </w:tcBorders>
            <w:vAlign w:val="center"/>
          </w:tcPr>
          <w:p w14:paraId="42F539F8">
            <w:pPr>
              <w:widowControl/>
              <w:jc w:val="center"/>
              <w:rPr>
                <w:rFonts w:ascii="宋体" w:hAnsi="宋体" w:cs="宋体"/>
                <w:kern w:val="0"/>
                <w:szCs w:val="21"/>
              </w:rPr>
            </w:pPr>
            <w:r>
              <w:rPr>
                <w:rFonts w:hint="eastAsia" w:ascii="宋体" w:hAnsi="宋体" w:cs="宋体"/>
                <w:kern w:val="0"/>
                <w:szCs w:val="21"/>
              </w:rPr>
              <w:t>　</w:t>
            </w:r>
          </w:p>
        </w:tc>
        <w:tc>
          <w:tcPr>
            <w:tcW w:w="1235" w:type="dxa"/>
            <w:tcBorders>
              <w:top w:val="nil"/>
              <w:left w:val="nil"/>
              <w:bottom w:val="single" w:color="auto" w:sz="4" w:space="0"/>
              <w:right w:val="single" w:color="auto" w:sz="4" w:space="0"/>
            </w:tcBorders>
            <w:vAlign w:val="center"/>
          </w:tcPr>
          <w:p w14:paraId="1C928843">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205299DD">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6D75C82C">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6FD71B79">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2096C3E3">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72570E0E">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28A82ACA">
            <w:pPr>
              <w:widowControl/>
              <w:jc w:val="center"/>
              <w:rPr>
                <w:rFonts w:ascii="宋体" w:hAnsi="宋体" w:cs="宋体"/>
                <w:kern w:val="0"/>
                <w:szCs w:val="21"/>
              </w:rPr>
            </w:pPr>
            <w:r>
              <w:rPr>
                <w:rFonts w:hint="eastAsia" w:ascii="宋体" w:hAnsi="宋体" w:cs="宋体"/>
                <w:kern w:val="0"/>
                <w:szCs w:val="21"/>
              </w:rPr>
              <w:t>　</w:t>
            </w:r>
          </w:p>
        </w:tc>
        <w:tc>
          <w:tcPr>
            <w:tcW w:w="1225" w:type="dxa"/>
            <w:gridSpan w:val="2"/>
            <w:tcBorders>
              <w:top w:val="nil"/>
              <w:left w:val="nil"/>
              <w:bottom w:val="single" w:color="auto" w:sz="4" w:space="0"/>
              <w:right w:val="single" w:color="auto" w:sz="4" w:space="0"/>
            </w:tcBorders>
            <w:vAlign w:val="center"/>
          </w:tcPr>
          <w:p w14:paraId="4126D8AB">
            <w:pPr>
              <w:widowControl/>
              <w:jc w:val="center"/>
              <w:rPr>
                <w:rFonts w:ascii="宋体" w:hAnsi="宋体" w:cs="宋体"/>
                <w:kern w:val="0"/>
                <w:szCs w:val="21"/>
              </w:rPr>
            </w:pPr>
            <w:r>
              <w:rPr>
                <w:rFonts w:hint="eastAsia" w:ascii="宋体" w:hAnsi="宋体" w:cs="宋体"/>
                <w:kern w:val="0"/>
                <w:szCs w:val="21"/>
              </w:rPr>
              <w:t>　</w:t>
            </w:r>
          </w:p>
        </w:tc>
        <w:tc>
          <w:tcPr>
            <w:tcW w:w="687" w:type="dxa"/>
            <w:tcBorders>
              <w:top w:val="nil"/>
              <w:left w:val="nil"/>
              <w:bottom w:val="single" w:color="auto" w:sz="4" w:space="0"/>
              <w:right w:val="single" w:color="auto" w:sz="4" w:space="0"/>
            </w:tcBorders>
            <w:vAlign w:val="center"/>
          </w:tcPr>
          <w:p w14:paraId="16ECC9E9">
            <w:pPr>
              <w:widowControl/>
              <w:jc w:val="center"/>
              <w:rPr>
                <w:rFonts w:ascii="宋体" w:hAnsi="宋体" w:cs="宋体"/>
                <w:kern w:val="0"/>
                <w:szCs w:val="21"/>
              </w:rPr>
            </w:pPr>
            <w:r>
              <w:rPr>
                <w:rFonts w:hint="eastAsia" w:ascii="宋体" w:hAnsi="宋体" w:cs="宋体"/>
                <w:kern w:val="0"/>
                <w:szCs w:val="21"/>
              </w:rPr>
              <w:t>　</w:t>
            </w:r>
          </w:p>
        </w:tc>
      </w:tr>
      <w:tr w14:paraId="6EF688EC">
        <w:tblPrEx>
          <w:tblCellMar>
            <w:top w:w="0" w:type="dxa"/>
            <w:left w:w="108" w:type="dxa"/>
            <w:bottom w:w="0" w:type="dxa"/>
            <w:right w:w="108" w:type="dxa"/>
          </w:tblCellMar>
        </w:tblPrEx>
        <w:trPr>
          <w:trHeight w:val="567" w:hRule="atLeast"/>
          <w:jc w:val="center"/>
        </w:trPr>
        <w:tc>
          <w:tcPr>
            <w:tcW w:w="673" w:type="dxa"/>
            <w:tcBorders>
              <w:top w:val="nil"/>
              <w:left w:val="single" w:color="auto" w:sz="4" w:space="0"/>
              <w:bottom w:val="single" w:color="auto" w:sz="4" w:space="0"/>
              <w:right w:val="single" w:color="auto" w:sz="4" w:space="0"/>
            </w:tcBorders>
            <w:vAlign w:val="center"/>
          </w:tcPr>
          <w:p w14:paraId="151575C0">
            <w:pPr>
              <w:widowControl/>
              <w:jc w:val="center"/>
              <w:rPr>
                <w:rFonts w:ascii="宋体" w:hAnsi="宋体" w:cs="宋体"/>
                <w:kern w:val="0"/>
                <w:szCs w:val="21"/>
              </w:rPr>
            </w:pPr>
            <w:r>
              <w:rPr>
                <w:rFonts w:hint="eastAsia" w:ascii="宋体" w:hAnsi="宋体" w:cs="宋体"/>
                <w:kern w:val="0"/>
                <w:szCs w:val="21"/>
              </w:rPr>
              <w:t>　</w:t>
            </w:r>
          </w:p>
        </w:tc>
        <w:tc>
          <w:tcPr>
            <w:tcW w:w="1235" w:type="dxa"/>
            <w:tcBorders>
              <w:top w:val="nil"/>
              <w:left w:val="nil"/>
              <w:bottom w:val="single" w:color="auto" w:sz="4" w:space="0"/>
              <w:right w:val="single" w:color="auto" w:sz="4" w:space="0"/>
            </w:tcBorders>
            <w:vAlign w:val="center"/>
          </w:tcPr>
          <w:p w14:paraId="2219B7C8">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23246D53">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28EBD686">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2F32B8D5">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47790412">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5633FBE6">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52BC46E0">
            <w:pPr>
              <w:widowControl/>
              <w:jc w:val="center"/>
              <w:rPr>
                <w:rFonts w:ascii="宋体" w:hAnsi="宋体" w:cs="宋体"/>
                <w:kern w:val="0"/>
                <w:szCs w:val="21"/>
              </w:rPr>
            </w:pPr>
            <w:r>
              <w:rPr>
                <w:rFonts w:hint="eastAsia" w:ascii="宋体" w:hAnsi="宋体" w:cs="宋体"/>
                <w:kern w:val="0"/>
                <w:szCs w:val="21"/>
              </w:rPr>
              <w:t>　</w:t>
            </w:r>
          </w:p>
        </w:tc>
        <w:tc>
          <w:tcPr>
            <w:tcW w:w="1225" w:type="dxa"/>
            <w:gridSpan w:val="2"/>
            <w:tcBorders>
              <w:top w:val="nil"/>
              <w:left w:val="nil"/>
              <w:bottom w:val="single" w:color="auto" w:sz="4" w:space="0"/>
              <w:right w:val="single" w:color="auto" w:sz="4" w:space="0"/>
            </w:tcBorders>
            <w:vAlign w:val="center"/>
          </w:tcPr>
          <w:p w14:paraId="463B993B">
            <w:pPr>
              <w:widowControl/>
              <w:jc w:val="center"/>
              <w:rPr>
                <w:rFonts w:ascii="宋体" w:hAnsi="宋体" w:cs="宋体"/>
                <w:kern w:val="0"/>
                <w:szCs w:val="21"/>
              </w:rPr>
            </w:pPr>
            <w:r>
              <w:rPr>
                <w:rFonts w:hint="eastAsia" w:ascii="宋体" w:hAnsi="宋体" w:cs="宋体"/>
                <w:kern w:val="0"/>
                <w:szCs w:val="21"/>
              </w:rPr>
              <w:t>　</w:t>
            </w:r>
          </w:p>
        </w:tc>
        <w:tc>
          <w:tcPr>
            <w:tcW w:w="687" w:type="dxa"/>
            <w:tcBorders>
              <w:top w:val="nil"/>
              <w:left w:val="nil"/>
              <w:bottom w:val="single" w:color="auto" w:sz="4" w:space="0"/>
              <w:right w:val="single" w:color="auto" w:sz="4" w:space="0"/>
            </w:tcBorders>
            <w:vAlign w:val="center"/>
          </w:tcPr>
          <w:p w14:paraId="7CEFDBA7">
            <w:pPr>
              <w:widowControl/>
              <w:jc w:val="center"/>
              <w:rPr>
                <w:rFonts w:ascii="宋体" w:hAnsi="宋体" w:cs="宋体"/>
                <w:kern w:val="0"/>
                <w:szCs w:val="21"/>
              </w:rPr>
            </w:pPr>
            <w:r>
              <w:rPr>
                <w:rFonts w:hint="eastAsia" w:ascii="宋体" w:hAnsi="宋体" w:cs="宋体"/>
                <w:kern w:val="0"/>
                <w:szCs w:val="21"/>
              </w:rPr>
              <w:t>　</w:t>
            </w:r>
          </w:p>
        </w:tc>
      </w:tr>
      <w:tr w14:paraId="5D2AE049">
        <w:tblPrEx>
          <w:tblCellMar>
            <w:top w:w="0" w:type="dxa"/>
            <w:left w:w="108" w:type="dxa"/>
            <w:bottom w:w="0" w:type="dxa"/>
            <w:right w:w="108" w:type="dxa"/>
          </w:tblCellMar>
        </w:tblPrEx>
        <w:trPr>
          <w:trHeight w:val="567" w:hRule="atLeast"/>
          <w:jc w:val="center"/>
        </w:trPr>
        <w:tc>
          <w:tcPr>
            <w:tcW w:w="673" w:type="dxa"/>
            <w:tcBorders>
              <w:top w:val="nil"/>
              <w:left w:val="single" w:color="auto" w:sz="4" w:space="0"/>
              <w:bottom w:val="single" w:color="auto" w:sz="4" w:space="0"/>
              <w:right w:val="single" w:color="auto" w:sz="4" w:space="0"/>
            </w:tcBorders>
            <w:vAlign w:val="center"/>
          </w:tcPr>
          <w:p w14:paraId="44EFEBE5">
            <w:pPr>
              <w:widowControl/>
              <w:jc w:val="center"/>
              <w:rPr>
                <w:rFonts w:ascii="宋体" w:hAnsi="宋体" w:cs="宋体"/>
                <w:kern w:val="0"/>
                <w:szCs w:val="21"/>
              </w:rPr>
            </w:pPr>
            <w:r>
              <w:rPr>
                <w:rFonts w:hint="eastAsia" w:ascii="宋体" w:hAnsi="宋体" w:cs="宋体"/>
                <w:kern w:val="0"/>
                <w:szCs w:val="21"/>
              </w:rPr>
              <w:t>　</w:t>
            </w:r>
          </w:p>
        </w:tc>
        <w:tc>
          <w:tcPr>
            <w:tcW w:w="1235" w:type="dxa"/>
            <w:tcBorders>
              <w:top w:val="nil"/>
              <w:left w:val="nil"/>
              <w:bottom w:val="single" w:color="auto" w:sz="4" w:space="0"/>
              <w:right w:val="single" w:color="auto" w:sz="4" w:space="0"/>
            </w:tcBorders>
            <w:vAlign w:val="center"/>
          </w:tcPr>
          <w:p w14:paraId="6D528260">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3FCDADB4">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4E9AFB1D">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7651710E">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5AC32E7A">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55E89BCF">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474945F1">
            <w:pPr>
              <w:widowControl/>
              <w:jc w:val="center"/>
              <w:rPr>
                <w:rFonts w:ascii="宋体" w:hAnsi="宋体" w:cs="宋体"/>
                <w:kern w:val="0"/>
                <w:szCs w:val="21"/>
              </w:rPr>
            </w:pPr>
            <w:r>
              <w:rPr>
                <w:rFonts w:hint="eastAsia" w:ascii="宋体" w:hAnsi="宋体" w:cs="宋体"/>
                <w:kern w:val="0"/>
                <w:szCs w:val="21"/>
              </w:rPr>
              <w:t>　</w:t>
            </w:r>
          </w:p>
        </w:tc>
        <w:tc>
          <w:tcPr>
            <w:tcW w:w="1225" w:type="dxa"/>
            <w:gridSpan w:val="2"/>
            <w:tcBorders>
              <w:top w:val="nil"/>
              <w:left w:val="nil"/>
              <w:bottom w:val="single" w:color="auto" w:sz="4" w:space="0"/>
              <w:right w:val="single" w:color="auto" w:sz="4" w:space="0"/>
            </w:tcBorders>
            <w:vAlign w:val="center"/>
          </w:tcPr>
          <w:p w14:paraId="66D2A5C0">
            <w:pPr>
              <w:widowControl/>
              <w:jc w:val="center"/>
              <w:rPr>
                <w:rFonts w:ascii="宋体" w:hAnsi="宋体" w:cs="宋体"/>
                <w:kern w:val="0"/>
                <w:szCs w:val="21"/>
              </w:rPr>
            </w:pPr>
            <w:r>
              <w:rPr>
                <w:rFonts w:hint="eastAsia" w:ascii="宋体" w:hAnsi="宋体" w:cs="宋体"/>
                <w:kern w:val="0"/>
                <w:szCs w:val="21"/>
              </w:rPr>
              <w:t>　</w:t>
            </w:r>
          </w:p>
        </w:tc>
        <w:tc>
          <w:tcPr>
            <w:tcW w:w="687" w:type="dxa"/>
            <w:tcBorders>
              <w:top w:val="nil"/>
              <w:left w:val="nil"/>
              <w:bottom w:val="single" w:color="auto" w:sz="4" w:space="0"/>
              <w:right w:val="single" w:color="auto" w:sz="4" w:space="0"/>
            </w:tcBorders>
            <w:vAlign w:val="center"/>
          </w:tcPr>
          <w:p w14:paraId="4517EA9D">
            <w:pPr>
              <w:widowControl/>
              <w:jc w:val="center"/>
              <w:rPr>
                <w:rFonts w:ascii="宋体" w:hAnsi="宋体" w:cs="宋体"/>
                <w:kern w:val="0"/>
                <w:szCs w:val="21"/>
              </w:rPr>
            </w:pPr>
            <w:r>
              <w:rPr>
                <w:rFonts w:hint="eastAsia" w:ascii="宋体" w:hAnsi="宋体" w:cs="宋体"/>
                <w:kern w:val="0"/>
                <w:szCs w:val="21"/>
              </w:rPr>
              <w:t>　</w:t>
            </w:r>
          </w:p>
        </w:tc>
      </w:tr>
      <w:tr w14:paraId="22B5383B">
        <w:tblPrEx>
          <w:tblCellMar>
            <w:top w:w="0" w:type="dxa"/>
            <w:left w:w="108" w:type="dxa"/>
            <w:bottom w:w="0" w:type="dxa"/>
            <w:right w:w="108" w:type="dxa"/>
          </w:tblCellMar>
        </w:tblPrEx>
        <w:trPr>
          <w:trHeight w:val="567" w:hRule="atLeast"/>
          <w:jc w:val="center"/>
        </w:trPr>
        <w:tc>
          <w:tcPr>
            <w:tcW w:w="673" w:type="dxa"/>
            <w:tcBorders>
              <w:top w:val="nil"/>
              <w:left w:val="single" w:color="auto" w:sz="4" w:space="0"/>
              <w:bottom w:val="single" w:color="auto" w:sz="4" w:space="0"/>
              <w:right w:val="single" w:color="auto" w:sz="4" w:space="0"/>
            </w:tcBorders>
            <w:vAlign w:val="center"/>
          </w:tcPr>
          <w:p w14:paraId="17D80F5E">
            <w:pPr>
              <w:widowControl/>
              <w:jc w:val="center"/>
              <w:rPr>
                <w:rFonts w:ascii="宋体" w:hAnsi="宋体" w:cs="宋体"/>
                <w:kern w:val="0"/>
                <w:szCs w:val="21"/>
              </w:rPr>
            </w:pPr>
            <w:r>
              <w:rPr>
                <w:rFonts w:hint="eastAsia" w:ascii="宋体" w:hAnsi="宋体" w:cs="宋体"/>
                <w:kern w:val="0"/>
                <w:szCs w:val="21"/>
              </w:rPr>
              <w:t>　</w:t>
            </w:r>
          </w:p>
        </w:tc>
        <w:tc>
          <w:tcPr>
            <w:tcW w:w="1235" w:type="dxa"/>
            <w:tcBorders>
              <w:top w:val="nil"/>
              <w:left w:val="nil"/>
              <w:bottom w:val="single" w:color="auto" w:sz="4" w:space="0"/>
              <w:right w:val="single" w:color="auto" w:sz="4" w:space="0"/>
            </w:tcBorders>
            <w:vAlign w:val="center"/>
          </w:tcPr>
          <w:p w14:paraId="7580EF41">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2D4028B4">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79FB8DE5">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52559AF2">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5FD53427">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0908F93B">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4669A3AA">
            <w:pPr>
              <w:widowControl/>
              <w:jc w:val="center"/>
              <w:rPr>
                <w:rFonts w:ascii="宋体" w:hAnsi="宋体" w:cs="宋体"/>
                <w:kern w:val="0"/>
                <w:szCs w:val="21"/>
              </w:rPr>
            </w:pPr>
            <w:r>
              <w:rPr>
                <w:rFonts w:hint="eastAsia" w:ascii="宋体" w:hAnsi="宋体" w:cs="宋体"/>
                <w:kern w:val="0"/>
                <w:szCs w:val="21"/>
              </w:rPr>
              <w:t>　</w:t>
            </w:r>
          </w:p>
        </w:tc>
        <w:tc>
          <w:tcPr>
            <w:tcW w:w="1225" w:type="dxa"/>
            <w:gridSpan w:val="2"/>
            <w:tcBorders>
              <w:top w:val="nil"/>
              <w:left w:val="nil"/>
              <w:bottom w:val="single" w:color="auto" w:sz="4" w:space="0"/>
              <w:right w:val="single" w:color="auto" w:sz="4" w:space="0"/>
            </w:tcBorders>
            <w:vAlign w:val="center"/>
          </w:tcPr>
          <w:p w14:paraId="7D556843">
            <w:pPr>
              <w:widowControl/>
              <w:jc w:val="center"/>
              <w:rPr>
                <w:rFonts w:ascii="宋体" w:hAnsi="宋体" w:cs="宋体"/>
                <w:kern w:val="0"/>
                <w:szCs w:val="21"/>
              </w:rPr>
            </w:pPr>
            <w:r>
              <w:rPr>
                <w:rFonts w:hint="eastAsia" w:ascii="宋体" w:hAnsi="宋体" w:cs="宋体"/>
                <w:kern w:val="0"/>
                <w:szCs w:val="21"/>
              </w:rPr>
              <w:t>　</w:t>
            </w:r>
          </w:p>
        </w:tc>
        <w:tc>
          <w:tcPr>
            <w:tcW w:w="687" w:type="dxa"/>
            <w:tcBorders>
              <w:top w:val="nil"/>
              <w:left w:val="nil"/>
              <w:bottom w:val="single" w:color="auto" w:sz="4" w:space="0"/>
              <w:right w:val="single" w:color="auto" w:sz="4" w:space="0"/>
            </w:tcBorders>
            <w:vAlign w:val="center"/>
          </w:tcPr>
          <w:p w14:paraId="047F29A1">
            <w:pPr>
              <w:widowControl/>
              <w:jc w:val="center"/>
              <w:rPr>
                <w:rFonts w:ascii="宋体" w:hAnsi="宋体" w:cs="宋体"/>
                <w:kern w:val="0"/>
                <w:szCs w:val="21"/>
              </w:rPr>
            </w:pPr>
            <w:r>
              <w:rPr>
                <w:rFonts w:hint="eastAsia" w:ascii="宋体" w:hAnsi="宋体" w:cs="宋体"/>
                <w:kern w:val="0"/>
                <w:szCs w:val="21"/>
              </w:rPr>
              <w:t>　</w:t>
            </w:r>
          </w:p>
        </w:tc>
      </w:tr>
      <w:tr w14:paraId="487BCA87">
        <w:tblPrEx>
          <w:tblCellMar>
            <w:top w:w="0" w:type="dxa"/>
            <w:left w:w="108" w:type="dxa"/>
            <w:bottom w:w="0" w:type="dxa"/>
            <w:right w:w="108" w:type="dxa"/>
          </w:tblCellMar>
        </w:tblPrEx>
        <w:trPr>
          <w:trHeight w:val="567" w:hRule="atLeast"/>
          <w:jc w:val="center"/>
        </w:trPr>
        <w:tc>
          <w:tcPr>
            <w:tcW w:w="673" w:type="dxa"/>
            <w:tcBorders>
              <w:top w:val="nil"/>
              <w:left w:val="single" w:color="auto" w:sz="4" w:space="0"/>
              <w:bottom w:val="single" w:color="auto" w:sz="4" w:space="0"/>
              <w:right w:val="single" w:color="auto" w:sz="4" w:space="0"/>
            </w:tcBorders>
            <w:vAlign w:val="center"/>
          </w:tcPr>
          <w:p w14:paraId="2C87C8BE">
            <w:pPr>
              <w:widowControl/>
              <w:jc w:val="center"/>
              <w:rPr>
                <w:rFonts w:ascii="宋体" w:hAnsi="宋体" w:cs="宋体"/>
                <w:kern w:val="0"/>
                <w:szCs w:val="21"/>
              </w:rPr>
            </w:pPr>
            <w:r>
              <w:rPr>
                <w:rFonts w:hint="eastAsia" w:ascii="宋体" w:hAnsi="宋体" w:cs="宋体"/>
                <w:kern w:val="0"/>
                <w:szCs w:val="21"/>
              </w:rPr>
              <w:t>　</w:t>
            </w:r>
          </w:p>
        </w:tc>
        <w:tc>
          <w:tcPr>
            <w:tcW w:w="1235" w:type="dxa"/>
            <w:tcBorders>
              <w:top w:val="nil"/>
              <w:left w:val="nil"/>
              <w:bottom w:val="single" w:color="auto" w:sz="4" w:space="0"/>
              <w:right w:val="single" w:color="auto" w:sz="4" w:space="0"/>
            </w:tcBorders>
            <w:vAlign w:val="center"/>
          </w:tcPr>
          <w:p w14:paraId="5E24FE5E">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580C1E1A">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53DAAAAC">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1DB7B16C">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642E8F9A">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7EEBFE43">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6A885319">
            <w:pPr>
              <w:widowControl/>
              <w:jc w:val="center"/>
              <w:rPr>
                <w:rFonts w:ascii="宋体" w:hAnsi="宋体" w:cs="宋体"/>
                <w:kern w:val="0"/>
                <w:szCs w:val="21"/>
              </w:rPr>
            </w:pPr>
            <w:r>
              <w:rPr>
                <w:rFonts w:hint="eastAsia" w:ascii="宋体" w:hAnsi="宋体" w:cs="宋体"/>
                <w:kern w:val="0"/>
                <w:szCs w:val="21"/>
              </w:rPr>
              <w:t>　</w:t>
            </w:r>
          </w:p>
        </w:tc>
        <w:tc>
          <w:tcPr>
            <w:tcW w:w="1225" w:type="dxa"/>
            <w:gridSpan w:val="2"/>
            <w:tcBorders>
              <w:top w:val="nil"/>
              <w:left w:val="nil"/>
              <w:bottom w:val="single" w:color="auto" w:sz="4" w:space="0"/>
              <w:right w:val="single" w:color="auto" w:sz="4" w:space="0"/>
            </w:tcBorders>
            <w:vAlign w:val="center"/>
          </w:tcPr>
          <w:p w14:paraId="6078E40E">
            <w:pPr>
              <w:widowControl/>
              <w:jc w:val="center"/>
              <w:rPr>
                <w:rFonts w:ascii="宋体" w:hAnsi="宋体" w:cs="宋体"/>
                <w:kern w:val="0"/>
                <w:szCs w:val="21"/>
              </w:rPr>
            </w:pPr>
            <w:r>
              <w:rPr>
                <w:rFonts w:hint="eastAsia" w:ascii="宋体" w:hAnsi="宋体" w:cs="宋体"/>
                <w:kern w:val="0"/>
                <w:szCs w:val="21"/>
              </w:rPr>
              <w:t>　</w:t>
            </w:r>
          </w:p>
        </w:tc>
        <w:tc>
          <w:tcPr>
            <w:tcW w:w="687" w:type="dxa"/>
            <w:tcBorders>
              <w:top w:val="nil"/>
              <w:left w:val="nil"/>
              <w:bottom w:val="single" w:color="auto" w:sz="4" w:space="0"/>
              <w:right w:val="single" w:color="auto" w:sz="4" w:space="0"/>
            </w:tcBorders>
            <w:vAlign w:val="center"/>
          </w:tcPr>
          <w:p w14:paraId="2A809ABB">
            <w:pPr>
              <w:widowControl/>
              <w:jc w:val="center"/>
              <w:rPr>
                <w:rFonts w:ascii="宋体" w:hAnsi="宋体" w:cs="宋体"/>
                <w:kern w:val="0"/>
                <w:szCs w:val="21"/>
              </w:rPr>
            </w:pPr>
            <w:r>
              <w:rPr>
                <w:rFonts w:hint="eastAsia" w:ascii="宋体" w:hAnsi="宋体" w:cs="宋体"/>
                <w:kern w:val="0"/>
                <w:szCs w:val="21"/>
              </w:rPr>
              <w:t>　</w:t>
            </w:r>
          </w:p>
        </w:tc>
      </w:tr>
      <w:tr w14:paraId="0421410D">
        <w:tblPrEx>
          <w:tblCellMar>
            <w:top w:w="0" w:type="dxa"/>
            <w:left w:w="108" w:type="dxa"/>
            <w:bottom w:w="0" w:type="dxa"/>
            <w:right w:w="108" w:type="dxa"/>
          </w:tblCellMar>
        </w:tblPrEx>
        <w:trPr>
          <w:trHeight w:val="567" w:hRule="atLeast"/>
          <w:jc w:val="center"/>
        </w:trPr>
        <w:tc>
          <w:tcPr>
            <w:tcW w:w="673" w:type="dxa"/>
            <w:tcBorders>
              <w:top w:val="nil"/>
              <w:left w:val="single" w:color="auto" w:sz="4" w:space="0"/>
              <w:bottom w:val="single" w:color="auto" w:sz="4" w:space="0"/>
              <w:right w:val="single" w:color="auto" w:sz="4" w:space="0"/>
            </w:tcBorders>
            <w:vAlign w:val="center"/>
          </w:tcPr>
          <w:p w14:paraId="0B5F5D0E">
            <w:pPr>
              <w:widowControl/>
              <w:jc w:val="center"/>
              <w:rPr>
                <w:rFonts w:ascii="宋体" w:hAnsi="宋体" w:cs="宋体"/>
                <w:kern w:val="0"/>
                <w:szCs w:val="21"/>
              </w:rPr>
            </w:pPr>
            <w:r>
              <w:rPr>
                <w:rFonts w:hint="eastAsia" w:ascii="宋体" w:hAnsi="宋体" w:cs="宋体"/>
                <w:kern w:val="0"/>
                <w:szCs w:val="21"/>
              </w:rPr>
              <w:t>　</w:t>
            </w:r>
          </w:p>
        </w:tc>
        <w:tc>
          <w:tcPr>
            <w:tcW w:w="1235" w:type="dxa"/>
            <w:tcBorders>
              <w:top w:val="nil"/>
              <w:left w:val="nil"/>
              <w:bottom w:val="single" w:color="auto" w:sz="4" w:space="0"/>
              <w:right w:val="single" w:color="auto" w:sz="4" w:space="0"/>
            </w:tcBorders>
            <w:vAlign w:val="center"/>
          </w:tcPr>
          <w:p w14:paraId="1D8E4362">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7109568A">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0A395010">
            <w:pPr>
              <w:widowControl/>
              <w:jc w:val="center"/>
              <w:rPr>
                <w:rFonts w:ascii="宋体" w:hAnsi="宋体" w:cs="宋体"/>
                <w:kern w:val="0"/>
                <w:szCs w:val="21"/>
              </w:rPr>
            </w:pPr>
            <w:r>
              <w:rPr>
                <w:rFonts w:hint="eastAsia" w:ascii="宋体" w:hAnsi="宋体" w:cs="宋体"/>
                <w:kern w:val="0"/>
                <w:szCs w:val="21"/>
              </w:rPr>
              <w:t>　</w:t>
            </w:r>
          </w:p>
        </w:tc>
        <w:tc>
          <w:tcPr>
            <w:tcW w:w="954" w:type="dxa"/>
            <w:tcBorders>
              <w:top w:val="nil"/>
              <w:left w:val="nil"/>
              <w:bottom w:val="single" w:color="auto" w:sz="4" w:space="0"/>
              <w:right w:val="single" w:color="auto" w:sz="4" w:space="0"/>
            </w:tcBorders>
            <w:vAlign w:val="center"/>
          </w:tcPr>
          <w:p w14:paraId="192B9B99">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03BEF878">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5807A2EF">
            <w:pPr>
              <w:widowControl/>
              <w:jc w:val="center"/>
              <w:rPr>
                <w:rFonts w:ascii="宋体" w:hAnsi="宋体" w:cs="宋体"/>
                <w:kern w:val="0"/>
                <w:szCs w:val="21"/>
              </w:rPr>
            </w:pPr>
            <w:r>
              <w:rPr>
                <w:rFonts w:hint="eastAsia" w:ascii="宋体" w:hAnsi="宋体" w:cs="宋体"/>
                <w:kern w:val="0"/>
                <w:szCs w:val="21"/>
              </w:rPr>
              <w:t>　</w:t>
            </w:r>
          </w:p>
        </w:tc>
        <w:tc>
          <w:tcPr>
            <w:tcW w:w="954" w:type="dxa"/>
            <w:gridSpan w:val="2"/>
            <w:tcBorders>
              <w:top w:val="nil"/>
              <w:left w:val="nil"/>
              <w:bottom w:val="single" w:color="auto" w:sz="4" w:space="0"/>
              <w:right w:val="single" w:color="auto" w:sz="4" w:space="0"/>
            </w:tcBorders>
            <w:vAlign w:val="center"/>
          </w:tcPr>
          <w:p w14:paraId="352F7505">
            <w:pPr>
              <w:widowControl/>
              <w:jc w:val="center"/>
              <w:rPr>
                <w:rFonts w:ascii="宋体" w:hAnsi="宋体" w:cs="宋体"/>
                <w:kern w:val="0"/>
                <w:szCs w:val="21"/>
              </w:rPr>
            </w:pPr>
            <w:r>
              <w:rPr>
                <w:rFonts w:hint="eastAsia" w:ascii="宋体" w:hAnsi="宋体" w:cs="宋体"/>
                <w:kern w:val="0"/>
                <w:szCs w:val="21"/>
              </w:rPr>
              <w:t>　</w:t>
            </w:r>
          </w:p>
        </w:tc>
        <w:tc>
          <w:tcPr>
            <w:tcW w:w="1225" w:type="dxa"/>
            <w:gridSpan w:val="2"/>
            <w:tcBorders>
              <w:top w:val="nil"/>
              <w:left w:val="nil"/>
              <w:bottom w:val="single" w:color="auto" w:sz="4" w:space="0"/>
              <w:right w:val="single" w:color="auto" w:sz="4" w:space="0"/>
            </w:tcBorders>
            <w:vAlign w:val="center"/>
          </w:tcPr>
          <w:p w14:paraId="01227F52">
            <w:pPr>
              <w:widowControl/>
              <w:jc w:val="center"/>
              <w:rPr>
                <w:rFonts w:ascii="宋体" w:hAnsi="宋体" w:cs="宋体"/>
                <w:kern w:val="0"/>
                <w:szCs w:val="21"/>
              </w:rPr>
            </w:pPr>
            <w:r>
              <w:rPr>
                <w:rFonts w:hint="eastAsia" w:ascii="宋体" w:hAnsi="宋体" w:cs="宋体"/>
                <w:kern w:val="0"/>
                <w:szCs w:val="21"/>
              </w:rPr>
              <w:t>　</w:t>
            </w:r>
          </w:p>
        </w:tc>
        <w:tc>
          <w:tcPr>
            <w:tcW w:w="687" w:type="dxa"/>
            <w:tcBorders>
              <w:top w:val="nil"/>
              <w:left w:val="nil"/>
              <w:bottom w:val="single" w:color="auto" w:sz="4" w:space="0"/>
              <w:right w:val="single" w:color="auto" w:sz="4" w:space="0"/>
            </w:tcBorders>
            <w:vAlign w:val="center"/>
          </w:tcPr>
          <w:p w14:paraId="1D00C253">
            <w:pPr>
              <w:widowControl/>
              <w:jc w:val="center"/>
              <w:rPr>
                <w:rFonts w:ascii="宋体" w:hAnsi="宋体" w:cs="宋体"/>
                <w:kern w:val="0"/>
                <w:szCs w:val="21"/>
              </w:rPr>
            </w:pPr>
            <w:r>
              <w:rPr>
                <w:rFonts w:hint="eastAsia" w:ascii="宋体" w:hAnsi="宋体" w:cs="宋体"/>
                <w:kern w:val="0"/>
                <w:szCs w:val="21"/>
              </w:rPr>
              <w:t>　</w:t>
            </w:r>
          </w:p>
        </w:tc>
      </w:tr>
    </w:tbl>
    <w:p w14:paraId="727BA8F3">
      <w:pPr>
        <w:widowControl w:val="0"/>
        <w:spacing w:line="600" w:lineRule="atLeas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lang w:eastAsia="zh-CN"/>
        </w:rPr>
        <w:t>电子公章</w:t>
      </w:r>
      <w:r>
        <w:rPr>
          <w:rFonts w:hint="eastAsia" w:ascii="宋体" w:hAnsi="宋体" w:eastAsia="宋体" w:cs="宋体"/>
          <w:sz w:val="24"/>
          <w:szCs w:val="24"/>
        </w:rPr>
        <w:t xml:space="preserve">）   </w:t>
      </w:r>
    </w:p>
    <w:p w14:paraId="75F80788">
      <w:pPr>
        <w:widowControl w:val="0"/>
        <w:spacing w:line="600" w:lineRule="atLeas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法定代表人</w:t>
      </w:r>
      <w:r>
        <w:rPr>
          <w:rFonts w:hint="eastAsia" w:ascii="宋体" w:hAnsi="宋体" w:eastAsia="宋体" w:cs="宋体"/>
          <w:sz w:val="24"/>
          <w:szCs w:val="24"/>
        </w:rPr>
        <w:t>或委托代理人：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lang w:eastAsia="zh-CN"/>
        </w:rPr>
        <w:t>电子签名</w:t>
      </w:r>
      <w:r>
        <w:rPr>
          <w:rFonts w:hint="eastAsia" w:ascii="宋体" w:hAnsi="宋体" w:eastAsia="宋体" w:cs="宋体"/>
          <w:sz w:val="24"/>
          <w:szCs w:val="24"/>
        </w:rPr>
        <w:t xml:space="preserve">） </w:t>
      </w:r>
    </w:p>
    <w:p w14:paraId="797A6593">
      <w:pPr>
        <w:widowControl w:val="0"/>
        <w:spacing w:line="600" w:lineRule="atLeast"/>
        <w:ind w:firstLine="480" w:firstLineChars="200"/>
        <w:rPr>
          <w:rFonts w:hint="eastAsia"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3FDFED9C">
      <w:pPr>
        <w:widowControl w:val="0"/>
        <w:spacing w:line="600" w:lineRule="atLeast"/>
        <w:ind w:firstLine="420" w:firstLineChars="200"/>
        <w:rPr>
          <w:rFonts w:hint="eastAsia" w:ascii="宋体" w:hAnsi="宋体" w:eastAsia="宋体" w:cs="宋体"/>
          <w:sz w:val="24"/>
          <w:szCs w:val="24"/>
        </w:rPr>
      </w:pPr>
      <w:r>
        <w:rPr>
          <w:kern w:val="0"/>
        </w:rPr>
        <w:br w:type="page"/>
      </w:r>
    </w:p>
    <w:p w14:paraId="716237DC">
      <w:pPr>
        <w:bidi w:val="0"/>
        <w:spacing w:line="480" w:lineRule="auto"/>
        <w:jc w:val="center"/>
        <w:rPr>
          <w:rFonts w:hint="eastAsia"/>
          <w:b/>
          <w:bCs/>
          <w:sz w:val="28"/>
          <w:szCs w:val="28"/>
          <w:lang w:val="en-US" w:eastAsia="zh-CN"/>
        </w:rPr>
      </w:pPr>
      <w:r>
        <w:rPr>
          <w:rFonts w:hint="eastAsia"/>
          <w:b/>
          <w:bCs/>
          <w:sz w:val="28"/>
          <w:szCs w:val="28"/>
          <w:lang w:val="en-US" w:eastAsia="zh-CN"/>
        </w:rPr>
        <w:t>（八）项目管理机构配置</w:t>
      </w:r>
    </w:p>
    <w:p w14:paraId="3F4B5B97">
      <w:pPr>
        <w:pageBreakBefore w:val="0"/>
        <w:widowControl/>
        <w:kinsoku/>
        <w:wordWrap/>
        <w:overflowPunct/>
        <w:topLinePunct w:val="0"/>
        <w:autoSpaceDE/>
        <w:autoSpaceDN/>
        <w:bidi w:val="0"/>
        <w:adjustRightInd w:val="0"/>
        <w:snapToGrid w:val="0"/>
        <w:spacing w:line="360" w:lineRule="auto"/>
        <w:ind w:firstLine="420" w:firstLineChars="175"/>
        <w:jc w:val="center"/>
        <w:rPr>
          <w:rFonts w:hint="eastAsia"/>
          <w:b/>
          <w:bCs/>
          <w:sz w:val="28"/>
          <w:szCs w:val="28"/>
          <w:lang w:val="en-US" w:eastAsia="zh-CN"/>
        </w:rPr>
      </w:pPr>
      <w:r>
        <w:rPr>
          <w:rFonts w:hint="eastAsia" w:ascii="Calibri" w:hAnsi="Calibri" w:cs="Calibri"/>
          <w:color w:val="auto"/>
          <w:sz w:val="24"/>
          <w:szCs w:val="24"/>
          <w:highlight w:val="none"/>
          <w:lang w:val="en-US" w:eastAsia="zh-CN"/>
        </w:rPr>
        <w:t>除已提供的下表格式，其余内容</w:t>
      </w:r>
      <w:r>
        <w:rPr>
          <w:rFonts w:hint="eastAsia" w:ascii="Calibri" w:hAnsi="Calibri" w:cs="Calibri"/>
          <w:color w:val="auto"/>
          <w:sz w:val="24"/>
          <w:szCs w:val="24"/>
          <w:highlight w:val="none"/>
        </w:rPr>
        <w:t>自拟，内容可参考评标办法要求</w:t>
      </w:r>
      <w:r>
        <w:rPr>
          <w:rFonts w:hint="eastAsia" w:ascii="Calibri" w:hAnsi="Calibri" w:cs="Calibri"/>
          <w:color w:val="auto"/>
          <w:sz w:val="24"/>
          <w:szCs w:val="24"/>
          <w:highlight w:val="none"/>
          <w:lang w:eastAsia="zh-CN"/>
        </w:rPr>
        <w:t>。</w:t>
      </w:r>
    </w:p>
    <w:p w14:paraId="341B5B15">
      <w:pPr>
        <w:pStyle w:val="4"/>
        <w:keepNext w:val="0"/>
        <w:keepLines w:val="0"/>
        <w:ind w:left="0" w:leftChars="0" w:firstLine="0" w:firstLineChars="0"/>
        <w:jc w:val="center"/>
        <w:rPr>
          <w:rFonts w:hint="eastAsia" w:ascii="宋体" w:hAnsi="宋体" w:eastAsia="宋体" w:cs="宋体"/>
          <w:b/>
          <w:bCs/>
          <w:sz w:val="28"/>
          <w:szCs w:val="28"/>
        </w:rPr>
      </w:pPr>
      <w:r>
        <w:rPr>
          <w:rFonts w:hint="eastAsia" w:ascii="宋体" w:hAnsi="宋体" w:eastAsia="宋体" w:cs="宋体"/>
          <w:b/>
          <w:bCs/>
          <w:sz w:val="28"/>
          <w:szCs w:val="28"/>
        </w:rPr>
        <w:t>施工现场专业（管理）人员配备表</w:t>
      </w:r>
    </w:p>
    <w:tbl>
      <w:tblPr>
        <w:tblStyle w:val="28"/>
        <w:tblW w:w="99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4"/>
        <w:gridCol w:w="709"/>
        <w:gridCol w:w="709"/>
        <w:gridCol w:w="1276"/>
        <w:gridCol w:w="1135"/>
        <w:gridCol w:w="709"/>
        <w:gridCol w:w="803"/>
        <w:gridCol w:w="1702"/>
        <w:gridCol w:w="1403"/>
      </w:tblGrid>
      <w:tr w14:paraId="7FF60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522251E5">
            <w:pPr>
              <w:autoSpaceDE w:val="0"/>
              <w:autoSpaceDN w:val="0"/>
              <w:adjustRightInd w:val="0"/>
              <w:jc w:val="center"/>
              <w:rPr>
                <w:rFonts w:ascii="宋体" w:hAnsi="宋体"/>
                <w:sz w:val="24"/>
                <w:szCs w:val="24"/>
              </w:rPr>
            </w:pPr>
            <w:r>
              <w:rPr>
                <w:rFonts w:hint="eastAsia" w:ascii="宋体" w:hAnsi="宋体"/>
                <w:sz w:val="24"/>
                <w:szCs w:val="24"/>
              </w:rPr>
              <w:t>岗位</w:t>
            </w:r>
          </w:p>
        </w:tc>
        <w:tc>
          <w:tcPr>
            <w:tcW w:w="709" w:type="dxa"/>
            <w:tcBorders>
              <w:top w:val="single" w:color="auto" w:sz="4" w:space="0"/>
              <w:left w:val="single" w:color="auto" w:sz="4" w:space="0"/>
              <w:bottom w:val="single" w:color="auto" w:sz="4" w:space="0"/>
              <w:right w:val="single" w:color="auto" w:sz="4" w:space="0"/>
            </w:tcBorders>
            <w:vAlign w:val="center"/>
          </w:tcPr>
          <w:p w14:paraId="4E9E6808">
            <w:pPr>
              <w:autoSpaceDE w:val="0"/>
              <w:autoSpaceDN w:val="0"/>
              <w:adjustRightInd w:val="0"/>
              <w:jc w:val="center"/>
              <w:rPr>
                <w:rFonts w:ascii="宋体" w:hAnsi="宋体"/>
                <w:sz w:val="24"/>
                <w:szCs w:val="24"/>
              </w:rPr>
            </w:pPr>
            <w:r>
              <w:rPr>
                <w:rFonts w:hint="eastAsia" w:ascii="宋体" w:hAnsi="宋体"/>
                <w:sz w:val="24"/>
                <w:szCs w:val="24"/>
              </w:rPr>
              <w:t>姓名</w:t>
            </w:r>
          </w:p>
        </w:tc>
        <w:tc>
          <w:tcPr>
            <w:tcW w:w="709" w:type="dxa"/>
            <w:tcBorders>
              <w:top w:val="single" w:color="auto" w:sz="4" w:space="0"/>
              <w:left w:val="single" w:color="auto" w:sz="4" w:space="0"/>
              <w:bottom w:val="single" w:color="auto" w:sz="4" w:space="0"/>
              <w:right w:val="single" w:color="auto" w:sz="4" w:space="0"/>
            </w:tcBorders>
            <w:vAlign w:val="center"/>
          </w:tcPr>
          <w:p w14:paraId="71F864EE">
            <w:pPr>
              <w:autoSpaceDE w:val="0"/>
              <w:autoSpaceDN w:val="0"/>
              <w:adjustRightInd w:val="0"/>
              <w:jc w:val="center"/>
              <w:rPr>
                <w:rFonts w:ascii="宋体" w:hAnsi="宋体"/>
                <w:sz w:val="24"/>
                <w:szCs w:val="24"/>
              </w:rPr>
            </w:pPr>
            <w:r>
              <w:rPr>
                <w:rFonts w:hint="eastAsia" w:ascii="宋体" w:hAnsi="宋体"/>
                <w:sz w:val="24"/>
                <w:szCs w:val="24"/>
              </w:rPr>
              <w:t>性别</w:t>
            </w:r>
          </w:p>
        </w:tc>
        <w:tc>
          <w:tcPr>
            <w:tcW w:w="1276" w:type="dxa"/>
            <w:tcBorders>
              <w:top w:val="single" w:color="auto" w:sz="4" w:space="0"/>
              <w:left w:val="single" w:color="auto" w:sz="4" w:space="0"/>
              <w:bottom w:val="single" w:color="auto" w:sz="4" w:space="0"/>
              <w:right w:val="single" w:color="auto" w:sz="4" w:space="0"/>
            </w:tcBorders>
            <w:vAlign w:val="center"/>
          </w:tcPr>
          <w:p w14:paraId="5BF817CC">
            <w:pPr>
              <w:autoSpaceDE w:val="0"/>
              <w:autoSpaceDN w:val="0"/>
              <w:adjustRightInd w:val="0"/>
              <w:jc w:val="center"/>
              <w:rPr>
                <w:rFonts w:ascii="宋体" w:hAnsi="宋体"/>
                <w:sz w:val="24"/>
                <w:szCs w:val="24"/>
              </w:rPr>
            </w:pPr>
            <w:r>
              <w:rPr>
                <w:rFonts w:hint="eastAsia" w:ascii="宋体" w:hAnsi="宋体"/>
                <w:sz w:val="24"/>
                <w:szCs w:val="24"/>
              </w:rPr>
              <w:t>出生年月</w:t>
            </w:r>
          </w:p>
        </w:tc>
        <w:tc>
          <w:tcPr>
            <w:tcW w:w="1135" w:type="dxa"/>
            <w:tcBorders>
              <w:top w:val="single" w:color="auto" w:sz="4" w:space="0"/>
              <w:left w:val="single" w:color="auto" w:sz="4" w:space="0"/>
              <w:bottom w:val="single" w:color="auto" w:sz="4" w:space="0"/>
              <w:right w:val="single" w:color="auto" w:sz="4" w:space="0"/>
            </w:tcBorders>
            <w:vAlign w:val="center"/>
          </w:tcPr>
          <w:p w14:paraId="43767E09">
            <w:pPr>
              <w:autoSpaceDE w:val="0"/>
              <w:autoSpaceDN w:val="0"/>
              <w:adjustRightInd w:val="0"/>
              <w:jc w:val="center"/>
              <w:rPr>
                <w:rFonts w:ascii="宋体" w:hAnsi="宋体"/>
                <w:sz w:val="24"/>
                <w:szCs w:val="24"/>
              </w:rPr>
            </w:pPr>
            <w:r>
              <w:rPr>
                <w:rFonts w:hint="eastAsia" w:ascii="宋体" w:hAnsi="宋体"/>
                <w:sz w:val="24"/>
                <w:szCs w:val="24"/>
              </w:rPr>
              <w:t>工作年限</w:t>
            </w:r>
          </w:p>
        </w:tc>
        <w:tc>
          <w:tcPr>
            <w:tcW w:w="709" w:type="dxa"/>
            <w:tcBorders>
              <w:top w:val="single" w:color="auto" w:sz="4" w:space="0"/>
              <w:left w:val="single" w:color="auto" w:sz="4" w:space="0"/>
              <w:bottom w:val="single" w:color="auto" w:sz="4" w:space="0"/>
              <w:right w:val="single" w:color="auto" w:sz="4" w:space="0"/>
            </w:tcBorders>
            <w:vAlign w:val="center"/>
          </w:tcPr>
          <w:p w14:paraId="0142259D">
            <w:pPr>
              <w:autoSpaceDE w:val="0"/>
              <w:autoSpaceDN w:val="0"/>
              <w:adjustRightInd w:val="0"/>
              <w:jc w:val="center"/>
              <w:rPr>
                <w:rFonts w:ascii="宋体" w:hAnsi="宋体"/>
                <w:sz w:val="24"/>
                <w:szCs w:val="24"/>
              </w:rPr>
            </w:pPr>
            <w:r>
              <w:rPr>
                <w:rFonts w:hint="eastAsia" w:ascii="宋体" w:hAnsi="宋体"/>
                <w:sz w:val="24"/>
                <w:szCs w:val="24"/>
              </w:rPr>
              <w:t>职称</w:t>
            </w:r>
          </w:p>
        </w:tc>
        <w:tc>
          <w:tcPr>
            <w:tcW w:w="803" w:type="dxa"/>
            <w:tcBorders>
              <w:top w:val="single" w:color="auto" w:sz="4" w:space="0"/>
              <w:left w:val="single" w:color="auto" w:sz="4" w:space="0"/>
              <w:bottom w:val="single" w:color="auto" w:sz="4" w:space="0"/>
              <w:right w:val="single" w:color="auto" w:sz="4" w:space="0"/>
            </w:tcBorders>
            <w:vAlign w:val="center"/>
          </w:tcPr>
          <w:p w14:paraId="3469DE89">
            <w:pPr>
              <w:autoSpaceDE w:val="0"/>
              <w:autoSpaceDN w:val="0"/>
              <w:adjustRightInd w:val="0"/>
              <w:jc w:val="center"/>
              <w:rPr>
                <w:rFonts w:ascii="宋体" w:hAnsi="宋体"/>
                <w:sz w:val="24"/>
                <w:szCs w:val="24"/>
              </w:rPr>
            </w:pPr>
            <w:r>
              <w:rPr>
                <w:rFonts w:hint="eastAsia" w:ascii="宋体" w:hAnsi="宋体"/>
                <w:sz w:val="24"/>
                <w:szCs w:val="24"/>
              </w:rPr>
              <w:t>学历</w:t>
            </w:r>
          </w:p>
        </w:tc>
        <w:tc>
          <w:tcPr>
            <w:tcW w:w="1702" w:type="dxa"/>
            <w:tcBorders>
              <w:top w:val="single" w:color="auto" w:sz="4" w:space="0"/>
              <w:left w:val="single" w:color="auto" w:sz="4" w:space="0"/>
              <w:bottom w:val="single" w:color="auto" w:sz="4" w:space="0"/>
              <w:right w:val="single" w:color="auto" w:sz="4" w:space="0"/>
            </w:tcBorders>
            <w:vAlign w:val="center"/>
          </w:tcPr>
          <w:p w14:paraId="66D6366F">
            <w:pPr>
              <w:autoSpaceDE w:val="0"/>
              <w:autoSpaceDN w:val="0"/>
              <w:adjustRightInd w:val="0"/>
              <w:jc w:val="center"/>
              <w:rPr>
                <w:rFonts w:ascii="宋体" w:hAnsi="宋体"/>
                <w:sz w:val="24"/>
                <w:szCs w:val="24"/>
              </w:rPr>
            </w:pPr>
            <w:r>
              <w:rPr>
                <w:rFonts w:hint="eastAsia" w:ascii="宋体" w:hAnsi="宋体"/>
                <w:sz w:val="24"/>
                <w:szCs w:val="24"/>
              </w:rPr>
              <w:t>岗位证书（资格证书）及编号</w:t>
            </w:r>
          </w:p>
        </w:tc>
        <w:tc>
          <w:tcPr>
            <w:tcW w:w="1403" w:type="dxa"/>
            <w:tcBorders>
              <w:top w:val="single" w:color="auto" w:sz="4" w:space="0"/>
              <w:left w:val="single" w:color="auto" w:sz="4" w:space="0"/>
              <w:bottom w:val="single" w:color="auto" w:sz="4" w:space="0"/>
              <w:right w:val="single" w:color="auto" w:sz="4" w:space="0"/>
            </w:tcBorders>
            <w:vAlign w:val="center"/>
          </w:tcPr>
          <w:p w14:paraId="1D4D21BC">
            <w:pPr>
              <w:autoSpaceDE w:val="0"/>
              <w:autoSpaceDN w:val="0"/>
              <w:adjustRightInd w:val="0"/>
              <w:jc w:val="center"/>
              <w:rPr>
                <w:rFonts w:ascii="宋体" w:hAnsi="宋体"/>
                <w:sz w:val="24"/>
                <w:szCs w:val="24"/>
              </w:rPr>
            </w:pPr>
            <w:r>
              <w:rPr>
                <w:rFonts w:hint="eastAsia" w:ascii="宋体" w:hAnsi="宋体"/>
                <w:sz w:val="24"/>
                <w:szCs w:val="24"/>
              </w:rPr>
              <w:t>岗位要求</w:t>
            </w:r>
          </w:p>
        </w:tc>
      </w:tr>
      <w:tr w14:paraId="2CF7A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76EFDCAE">
            <w:pPr>
              <w:autoSpaceDE w:val="0"/>
              <w:autoSpaceDN w:val="0"/>
              <w:adjustRightInd w:val="0"/>
              <w:jc w:val="center"/>
              <w:rPr>
                <w:rFonts w:ascii="宋体" w:hAnsi="宋体"/>
                <w:sz w:val="24"/>
                <w:szCs w:val="24"/>
              </w:rPr>
            </w:pPr>
            <w:r>
              <w:rPr>
                <w:rFonts w:hint="eastAsia" w:ascii="宋体" w:hAnsi="宋体"/>
                <w:sz w:val="24"/>
                <w:szCs w:val="24"/>
              </w:rPr>
              <w:t>项目负责人</w:t>
            </w:r>
          </w:p>
        </w:tc>
        <w:tc>
          <w:tcPr>
            <w:tcW w:w="709" w:type="dxa"/>
            <w:tcBorders>
              <w:top w:val="single" w:color="auto" w:sz="4" w:space="0"/>
              <w:left w:val="single" w:color="auto" w:sz="4" w:space="0"/>
              <w:bottom w:val="single" w:color="auto" w:sz="4" w:space="0"/>
              <w:right w:val="single" w:color="auto" w:sz="4" w:space="0"/>
            </w:tcBorders>
            <w:vAlign w:val="center"/>
          </w:tcPr>
          <w:p w14:paraId="5700711F">
            <w:pPr>
              <w:autoSpaceDE w:val="0"/>
              <w:autoSpaceDN w:val="0"/>
              <w:adjustRightInd w:val="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2959756A">
            <w:pPr>
              <w:autoSpaceDE w:val="0"/>
              <w:autoSpaceDN w:val="0"/>
              <w:adjustRightInd w:val="0"/>
              <w:jc w:val="center"/>
              <w:rPr>
                <w:rFonts w:ascii="宋体" w:hAnsi="宋体"/>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0FDEB85">
            <w:pPr>
              <w:autoSpaceDE w:val="0"/>
              <w:autoSpaceDN w:val="0"/>
              <w:adjustRightInd w:val="0"/>
              <w:jc w:val="center"/>
              <w:rPr>
                <w:rFonts w:ascii="宋体" w:hAnsi="宋体"/>
                <w:sz w:val="24"/>
                <w:szCs w:val="24"/>
              </w:rPr>
            </w:pPr>
          </w:p>
        </w:tc>
        <w:tc>
          <w:tcPr>
            <w:tcW w:w="1135" w:type="dxa"/>
            <w:tcBorders>
              <w:top w:val="single" w:color="auto" w:sz="4" w:space="0"/>
              <w:left w:val="single" w:color="auto" w:sz="4" w:space="0"/>
              <w:bottom w:val="single" w:color="auto" w:sz="4" w:space="0"/>
              <w:right w:val="single" w:color="auto" w:sz="4" w:space="0"/>
            </w:tcBorders>
            <w:vAlign w:val="center"/>
          </w:tcPr>
          <w:p w14:paraId="24C56A54">
            <w:pPr>
              <w:autoSpaceDE w:val="0"/>
              <w:autoSpaceDN w:val="0"/>
              <w:adjustRightInd w:val="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6824BD46">
            <w:pPr>
              <w:autoSpaceDE w:val="0"/>
              <w:autoSpaceDN w:val="0"/>
              <w:adjustRightInd w:val="0"/>
              <w:jc w:val="center"/>
              <w:rPr>
                <w:rFonts w:ascii="宋体" w:hAnsi="宋体"/>
                <w:sz w:val="24"/>
                <w:szCs w:val="24"/>
              </w:rPr>
            </w:pPr>
          </w:p>
        </w:tc>
        <w:tc>
          <w:tcPr>
            <w:tcW w:w="803" w:type="dxa"/>
            <w:tcBorders>
              <w:top w:val="single" w:color="auto" w:sz="4" w:space="0"/>
              <w:left w:val="single" w:color="auto" w:sz="4" w:space="0"/>
              <w:bottom w:val="single" w:color="auto" w:sz="4" w:space="0"/>
              <w:right w:val="single" w:color="auto" w:sz="4" w:space="0"/>
            </w:tcBorders>
            <w:vAlign w:val="center"/>
          </w:tcPr>
          <w:p w14:paraId="1E25B77A">
            <w:pPr>
              <w:autoSpaceDE w:val="0"/>
              <w:autoSpaceDN w:val="0"/>
              <w:adjustRightInd w:val="0"/>
              <w:jc w:val="center"/>
              <w:rPr>
                <w:rFonts w:ascii="宋体" w:hAnsi="宋体"/>
                <w:sz w:val="24"/>
                <w:szCs w:val="24"/>
              </w:rPr>
            </w:pPr>
          </w:p>
        </w:tc>
        <w:tc>
          <w:tcPr>
            <w:tcW w:w="1702" w:type="dxa"/>
            <w:tcBorders>
              <w:top w:val="single" w:color="auto" w:sz="4" w:space="0"/>
              <w:left w:val="single" w:color="auto" w:sz="4" w:space="0"/>
              <w:bottom w:val="single" w:color="auto" w:sz="4" w:space="0"/>
              <w:right w:val="single" w:color="auto" w:sz="4" w:space="0"/>
            </w:tcBorders>
            <w:vAlign w:val="center"/>
          </w:tcPr>
          <w:p w14:paraId="7E06F05C">
            <w:pPr>
              <w:autoSpaceDE w:val="0"/>
              <w:autoSpaceDN w:val="0"/>
              <w:adjustRightInd w:val="0"/>
              <w:jc w:val="center"/>
              <w:rPr>
                <w:rFonts w:ascii="宋体" w:hAnsi="宋体"/>
                <w:sz w:val="24"/>
                <w:szCs w:val="24"/>
              </w:rPr>
            </w:pPr>
          </w:p>
        </w:tc>
        <w:tc>
          <w:tcPr>
            <w:tcW w:w="1403" w:type="dxa"/>
            <w:tcBorders>
              <w:top w:val="single" w:color="auto" w:sz="4" w:space="0"/>
              <w:left w:val="single" w:color="auto" w:sz="4" w:space="0"/>
              <w:bottom w:val="single" w:color="auto" w:sz="4" w:space="0"/>
              <w:right w:val="single" w:color="auto" w:sz="4" w:space="0"/>
            </w:tcBorders>
            <w:vAlign w:val="center"/>
          </w:tcPr>
          <w:p w14:paraId="18F36FD3">
            <w:pPr>
              <w:rPr>
                <w:rFonts w:ascii="宋体" w:hAnsi="宋体" w:cs="宋体"/>
                <w:sz w:val="24"/>
                <w:szCs w:val="24"/>
              </w:rPr>
            </w:pPr>
            <w:r>
              <w:rPr>
                <w:rFonts w:hint="eastAsia" w:ascii="宋体" w:hAnsi="宋体" w:cs="宋体"/>
                <w:sz w:val="24"/>
                <w:szCs w:val="24"/>
              </w:rPr>
              <w:t xml:space="preserve">专职：□ </w:t>
            </w:r>
          </w:p>
          <w:p w14:paraId="381700E3">
            <w:pPr>
              <w:autoSpaceDE w:val="0"/>
              <w:autoSpaceDN w:val="0"/>
              <w:adjustRightInd w:val="0"/>
              <w:rPr>
                <w:rFonts w:ascii="宋体" w:hAnsi="宋体" w:cs="宋体"/>
                <w:sz w:val="24"/>
                <w:szCs w:val="24"/>
              </w:rPr>
            </w:pPr>
            <w:r>
              <w:rPr>
                <w:rFonts w:hint="eastAsia" w:ascii="宋体" w:hAnsi="宋体" w:cs="宋体"/>
                <w:sz w:val="24"/>
                <w:szCs w:val="24"/>
              </w:rPr>
              <w:t>可兼任：□</w:t>
            </w:r>
          </w:p>
        </w:tc>
      </w:tr>
      <w:tr w14:paraId="42858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3E7877FE">
            <w:pPr>
              <w:autoSpaceDE w:val="0"/>
              <w:autoSpaceDN w:val="0"/>
              <w:adjustRightInd w:val="0"/>
              <w:jc w:val="center"/>
              <w:rPr>
                <w:rFonts w:ascii="宋体" w:hAnsi="宋体"/>
                <w:sz w:val="24"/>
                <w:szCs w:val="24"/>
              </w:rPr>
            </w:pPr>
            <w:r>
              <w:rPr>
                <w:rFonts w:hint="eastAsia" w:ascii="宋体" w:hAnsi="宋体"/>
                <w:sz w:val="24"/>
                <w:szCs w:val="24"/>
              </w:rPr>
              <w:t>技术负责人</w:t>
            </w:r>
          </w:p>
        </w:tc>
        <w:tc>
          <w:tcPr>
            <w:tcW w:w="709" w:type="dxa"/>
            <w:tcBorders>
              <w:top w:val="single" w:color="auto" w:sz="4" w:space="0"/>
              <w:left w:val="single" w:color="auto" w:sz="4" w:space="0"/>
              <w:bottom w:val="single" w:color="auto" w:sz="4" w:space="0"/>
              <w:right w:val="single" w:color="auto" w:sz="4" w:space="0"/>
            </w:tcBorders>
            <w:vAlign w:val="center"/>
          </w:tcPr>
          <w:p w14:paraId="606909F4">
            <w:pPr>
              <w:autoSpaceDE w:val="0"/>
              <w:autoSpaceDN w:val="0"/>
              <w:adjustRightInd w:val="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4B43F048">
            <w:pPr>
              <w:autoSpaceDE w:val="0"/>
              <w:autoSpaceDN w:val="0"/>
              <w:adjustRightInd w:val="0"/>
              <w:jc w:val="center"/>
              <w:rPr>
                <w:rFonts w:ascii="宋体" w:hAnsi="宋体"/>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3248130">
            <w:pPr>
              <w:autoSpaceDE w:val="0"/>
              <w:autoSpaceDN w:val="0"/>
              <w:adjustRightInd w:val="0"/>
              <w:jc w:val="center"/>
              <w:rPr>
                <w:rFonts w:ascii="宋体" w:hAnsi="宋体"/>
                <w:sz w:val="24"/>
                <w:szCs w:val="24"/>
              </w:rPr>
            </w:pPr>
          </w:p>
        </w:tc>
        <w:tc>
          <w:tcPr>
            <w:tcW w:w="1135" w:type="dxa"/>
            <w:tcBorders>
              <w:top w:val="single" w:color="auto" w:sz="4" w:space="0"/>
              <w:left w:val="single" w:color="auto" w:sz="4" w:space="0"/>
              <w:bottom w:val="single" w:color="auto" w:sz="4" w:space="0"/>
              <w:right w:val="single" w:color="auto" w:sz="4" w:space="0"/>
            </w:tcBorders>
            <w:vAlign w:val="center"/>
          </w:tcPr>
          <w:p w14:paraId="5E8092A0">
            <w:pPr>
              <w:autoSpaceDE w:val="0"/>
              <w:autoSpaceDN w:val="0"/>
              <w:adjustRightInd w:val="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0A85976F">
            <w:pPr>
              <w:autoSpaceDE w:val="0"/>
              <w:autoSpaceDN w:val="0"/>
              <w:adjustRightInd w:val="0"/>
              <w:jc w:val="center"/>
              <w:rPr>
                <w:rFonts w:ascii="宋体" w:hAnsi="宋体"/>
                <w:sz w:val="24"/>
                <w:szCs w:val="24"/>
              </w:rPr>
            </w:pPr>
          </w:p>
        </w:tc>
        <w:tc>
          <w:tcPr>
            <w:tcW w:w="803" w:type="dxa"/>
            <w:tcBorders>
              <w:top w:val="single" w:color="auto" w:sz="4" w:space="0"/>
              <w:left w:val="single" w:color="auto" w:sz="4" w:space="0"/>
              <w:bottom w:val="single" w:color="auto" w:sz="4" w:space="0"/>
              <w:right w:val="single" w:color="auto" w:sz="4" w:space="0"/>
            </w:tcBorders>
            <w:vAlign w:val="center"/>
          </w:tcPr>
          <w:p w14:paraId="442CB290">
            <w:pPr>
              <w:autoSpaceDE w:val="0"/>
              <w:autoSpaceDN w:val="0"/>
              <w:adjustRightInd w:val="0"/>
              <w:jc w:val="center"/>
              <w:rPr>
                <w:rFonts w:ascii="宋体" w:hAnsi="宋体"/>
                <w:sz w:val="24"/>
                <w:szCs w:val="24"/>
              </w:rPr>
            </w:pPr>
          </w:p>
        </w:tc>
        <w:tc>
          <w:tcPr>
            <w:tcW w:w="1702" w:type="dxa"/>
            <w:tcBorders>
              <w:top w:val="single" w:color="auto" w:sz="4" w:space="0"/>
              <w:left w:val="single" w:color="auto" w:sz="4" w:space="0"/>
              <w:bottom w:val="single" w:color="auto" w:sz="4" w:space="0"/>
              <w:right w:val="single" w:color="auto" w:sz="4" w:space="0"/>
            </w:tcBorders>
            <w:vAlign w:val="center"/>
          </w:tcPr>
          <w:p w14:paraId="31EB4BB0">
            <w:pPr>
              <w:autoSpaceDE w:val="0"/>
              <w:autoSpaceDN w:val="0"/>
              <w:adjustRightInd w:val="0"/>
              <w:jc w:val="center"/>
              <w:rPr>
                <w:rFonts w:ascii="宋体" w:hAnsi="宋体"/>
                <w:sz w:val="24"/>
                <w:szCs w:val="24"/>
              </w:rPr>
            </w:pPr>
          </w:p>
        </w:tc>
        <w:tc>
          <w:tcPr>
            <w:tcW w:w="1403" w:type="dxa"/>
            <w:tcBorders>
              <w:top w:val="single" w:color="auto" w:sz="4" w:space="0"/>
              <w:left w:val="single" w:color="auto" w:sz="4" w:space="0"/>
              <w:bottom w:val="single" w:color="auto" w:sz="4" w:space="0"/>
              <w:right w:val="single" w:color="auto" w:sz="4" w:space="0"/>
            </w:tcBorders>
            <w:vAlign w:val="center"/>
          </w:tcPr>
          <w:p w14:paraId="4511576E">
            <w:pPr>
              <w:rPr>
                <w:rFonts w:ascii="宋体" w:hAnsi="宋体" w:cs="宋体"/>
                <w:sz w:val="24"/>
                <w:szCs w:val="24"/>
              </w:rPr>
            </w:pPr>
            <w:r>
              <w:rPr>
                <w:rFonts w:hint="eastAsia" w:ascii="宋体" w:hAnsi="宋体" w:cs="宋体"/>
                <w:sz w:val="24"/>
                <w:szCs w:val="24"/>
              </w:rPr>
              <w:t xml:space="preserve">专职：□ </w:t>
            </w:r>
          </w:p>
          <w:p w14:paraId="1E9EEF37">
            <w:pPr>
              <w:autoSpaceDE w:val="0"/>
              <w:autoSpaceDN w:val="0"/>
              <w:adjustRightInd w:val="0"/>
              <w:rPr>
                <w:rFonts w:ascii="宋体" w:hAnsi="宋体" w:cs="宋体"/>
                <w:sz w:val="24"/>
                <w:szCs w:val="24"/>
              </w:rPr>
            </w:pPr>
            <w:r>
              <w:rPr>
                <w:rFonts w:hint="eastAsia" w:ascii="宋体" w:hAnsi="宋体" w:cs="宋体"/>
                <w:sz w:val="24"/>
                <w:szCs w:val="24"/>
              </w:rPr>
              <w:t>可兼任：□</w:t>
            </w:r>
          </w:p>
        </w:tc>
      </w:tr>
      <w:tr w14:paraId="54770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2D3C3EBF">
            <w:pPr>
              <w:autoSpaceDE w:val="0"/>
              <w:autoSpaceDN w:val="0"/>
              <w:adjustRightInd w:val="0"/>
              <w:jc w:val="center"/>
              <w:rPr>
                <w:rFonts w:ascii="宋体" w:hAnsi="宋体"/>
                <w:sz w:val="24"/>
                <w:szCs w:val="24"/>
              </w:rPr>
            </w:pPr>
            <w:r>
              <w:rPr>
                <w:rFonts w:hint="eastAsia" w:ascii="Times New Roman" w:hAnsi="Times New Roman" w:eastAsia="宋体" w:cs="Times New Roman"/>
                <w:color w:val="auto"/>
                <w:sz w:val="24"/>
                <w:szCs w:val="24"/>
                <w:highlight w:val="none"/>
              </w:rPr>
              <w:t>施工员</w:t>
            </w:r>
          </w:p>
        </w:tc>
        <w:tc>
          <w:tcPr>
            <w:tcW w:w="709" w:type="dxa"/>
            <w:tcBorders>
              <w:top w:val="single" w:color="auto" w:sz="4" w:space="0"/>
              <w:left w:val="single" w:color="auto" w:sz="4" w:space="0"/>
              <w:bottom w:val="single" w:color="auto" w:sz="4" w:space="0"/>
              <w:right w:val="single" w:color="auto" w:sz="4" w:space="0"/>
            </w:tcBorders>
            <w:vAlign w:val="center"/>
          </w:tcPr>
          <w:p w14:paraId="042443DD">
            <w:pPr>
              <w:autoSpaceDE w:val="0"/>
              <w:autoSpaceDN w:val="0"/>
              <w:adjustRightInd w:val="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732B016B">
            <w:pPr>
              <w:autoSpaceDE w:val="0"/>
              <w:autoSpaceDN w:val="0"/>
              <w:adjustRightInd w:val="0"/>
              <w:jc w:val="center"/>
              <w:rPr>
                <w:rFonts w:ascii="宋体" w:hAnsi="宋体"/>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41A3F8C">
            <w:pPr>
              <w:autoSpaceDE w:val="0"/>
              <w:autoSpaceDN w:val="0"/>
              <w:adjustRightInd w:val="0"/>
              <w:jc w:val="center"/>
              <w:rPr>
                <w:rFonts w:ascii="宋体" w:hAnsi="宋体"/>
                <w:sz w:val="24"/>
                <w:szCs w:val="24"/>
              </w:rPr>
            </w:pPr>
          </w:p>
        </w:tc>
        <w:tc>
          <w:tcPr>
            <w:tcW w:w="1135" w:type="dxa"/>
            <w:tcBorders>
              <w:top w:val="single" w:color="auto" w:sz="4" w:space="0"/>
              <w:left w:val="single" w:color="auto" w:sz="4" w:space="0"/>
              <w:bottom w:val="single" w:color="auto" w:sz="4" w:space="0"/>
              <w:right w:val="single" w:color="auto" w:sz="4" w:space="0"/>
            </w:tcBorders>
            <w:vAlign w:val="center"/>
          </w:tcPr>
          <w:p w14:paraId="28A8F06B">
            <w:pPr>
              <w:autoSpaceDE w:val="0"/>
              <w:autoSpaceDN w:val="0"/>
              <w:adjustRightInd w:val="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517540A1">
            <w:pPr>
              <w:autoSpaceDE w:val="0"/>
              <w:autoSpaceDN w:val="0"/>
              <w:adjustRightInd w:val="0"/>
              <w:jc w:val="center"/>
              <w:rPr>
                <w:rFonts w:ascii="宋体" w:hAnsi="宋体"/>
                <w:sz w:val="24"/>
                <w:szCs w:val="24"/>
              </w:rPr>
            </w:pPr>
          </w:p>
        </w:tc>
        <w:tc>
          <w:tcPr>
            <w:tcW w:w="803" w:type="dxa"/>
            <w:tcBorders>
              <w:top w:val="single" w:color="auto" w:sz="4" w:space="0"/>
              <w:left w:val="single" w:color="auto" w:sz="4" w:space="0"/>
              <w:bottom w:val="single" w:color="auto" w:sz="4" w:space="0"/>
              <w:right w:val="single" w:color="auto" w:sz="4" w:space="0"/>
            </w:tcBorders>
            <w:vAlign w:val="center"/>
          </w:tcPr>
          <w:p w14:paraId="7CDF211B">
            <w:pPr>
              <w:autoSpaceDE w:val="0"/>
              <w:autoSpaceDN w:val="0"/>
              <w:adjustRightInd w:val="0"/>
              <w:jc w:val="center"/>
              <w:rPr>
                <w:rFonts w:ascii="宋体" w:hAnsi="宋体"/>
                <w:sz w:val="24"/>
                <w:szCs w:val="24"/>
              </w:rPr>
            </w:pPr>
          </w:p>
        </w:tc>
        <w:tc>
          <w:tcPr>
            <w:tcW w:w="1702" w:type="dxa"/>
            <w:tcBorders>
              <w:top w:val="single" w:color="auto" w:sz="4" w:space="0"/>
              <w:left w:val="single" w:color="auto" w:sz="4" w:space="0"/>
              <w:bottom w:val="single" w:color="auto" w:sz="4" w:space="0"/>
              <w:right w:val="single" w:color="auto" w:sz="4" w:space="0"/>
            </w:tcBorders>
            <w:vAlign w:val="center"/>
          </w:tcPr>
          <w:p w14:paraId="5679962A">
            <w:pPr>
              <w:autoSpaceDE w:val="0"/>
              <w:autoSpaceDN w:val="0"/>
              <w:adjustRightInd w:val="0"/>
              <w:jc w:val="center"/>
              <w:rPr>
                <w:rFonts w:ascii="宋体" w:hAnsi="宋体"/>
                <w:sz w:val="24"/>
                <w:szCs w:val="24"/>
              </w:rPr>
            </w:pPr>
          </w:p>
        </w:tc>
        <w:tc>
          <w:tcPr>
            <w:tcW w:w="1403" w:type="dxa"/>
            <w:tcBorders>
              <w:top w:val="single" w:color="auto" w:sz="4" w:space="0"/>
              <w:left w:val="single" w:color="auto" w:sz="4" w:space="0"/>
              <w:bottom w:val="single" w:color="auto" w:sz="4" w:space="0"/>
              <w:right w:val="single" w:color="auto" w:sz="4" w:space="0"/>
            </w:tcBorders>
            <w:vAlign w:val="center"/>
          </w:tcPr>
          <w:p w14:paraId="0F4A4AB8">
            <w:pPr>
              <w:rPr>
                <w:rFonts w:ascii="宋体" w:hAnsi="宋体" w:cs="宋体"/>
                <w:sz w:val="24"/>
                <w:szCs w:val="24"/>
              </w:rPr>
            </w:pPr>
            <w:r>
              <w:rPr>
                <w:rFonts w:hint="eastAsia" w:ascii="宋体" w:hAnsi="宋体" w:cs="宋体"/>
                <w:sz w:val="24"/>
                <w:szCs w:val="24"/>
              </w:rPr>
              <w:t xml:space="preserve">专职：□ </w:t>
            </w:r>
          </w:p>
          <w:p w14:paraId="1AF05DEA">
            <w:pPr>
              <w:autoSpaceDE w:val="0"/>
              <w:autoSpaceDN w:val="0"/>
              <w:adjustRightInd w:val="0"/>
              <w:rPr>
                <w:rFonts w:ascii="宋体" w:hAnsi="宋体" w:cs="宋体"/>
                <w:sz w:val="24"/>
                <w:szCs w:val="24"/>
              </w:rPr>
            </w:pPr>
            <w:r>
              <w:rPr>
                <w:rFonts w:hint="eastAsia" w:ascii="宋体" w:hAnsi="宋体" w:cs="宋体"/>
                <w:sz w:val="24"/>
                <w:szCs w:val="24"/>
              </w:rPr>
              <w:t>可兼任：□</w:t>
            </w:r>
          </w:p>
        </w:tc>
      </w:tr>
      <w:tr w14:paraId="36F8F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227052BE">
            <w:pPr>
              <w:autoSpaceDE w:val="0"/>
              <w:autoSpaceDN w:val="0"/>
              <w:adjustRightInd w:val="0"/>
              <w:jc w:val="center"/>
              <w:rPr>
                <w:rFonts w:ascii="宋体" w:hAnsi="宋体"/>
                <w:sz w:val="24"/>
                <w:szCs w:val="24"/>
              </w:rPr>
            </w:pPr>
            <w:r>
              <w:rPr>
                <w:rFonts w:hint="eastAsia" w:ascii="Times New Roman" w:hAnsi="Times New Roman" w:eastAsia="宋体" w:cs="Times New Roman"/>
                <w:color w:val="auto"/>
                <w:sz w:val="24"/>
                <w:szCs w:val="24"/>
                <w:highlight w:val="none"/>
              </w:rPr>
              <w:t>安全员</w:t>
            </w:r>
          </w:p>
        </w:tc>
        <w:tc>
          <w:tcPr>
            <w:tcW w:w="709" w:type="dxa"/>
            <w:tcBorders>
              <w:top w:val="single" w:color="auto" w:sz="4" w:space="0"/>
              <w:left w:val="single" w:color="auto" w:sz="4" w:space="0"/>
              <w:bottom w:val="single" w:color="auto" w:sz="4" w:space="0"/>
              <w:right w:val="single" w:color="auto" w:sz="4" w:space="0"/>
            </w:tcBorders>
            <w:vAlign w:val="center"/>
          </w:tcPr>
          <w:p w14:paraId="2CF6EBC3">
            <w:pPr>
              <w:autoSpaceDE w:val="0"/>
              <w:autoSpaceDN w:val="0"/>
              <w:adjustRightInd w:val="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548A7A95">
            <w:pPr>
              <w:autoSpaceDE w:val="0"/>
              <w:autoSpaceDN w:val="0"/>
              <w:adjustRightInd w:val="0"/>
              <w:jc w:val="center"/>
              <w:rPr>
                <w:rFonts w:ascii="宋体" w:hAnsi="宋体"/>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5373323">
            <w:pPr>
              <w:autoSpaceDE w:val="0"/>
              <w:autoSpaceDN w:val="0"/>
              <w:adjustRightInd w:val="0"/>
              <w:jc w:val="center"/>
              <w:rPr>
                <w:rFonts w:ascii="宋体" w:hAnsi="宋体"/>
                <w:sz w:val="24"/>
                <w:szCs w:val="24"/>
              </w:rPr>
            </w:pPr>
          </w:p>
        </w:tc>
        <w:tc>
          <w:tcPr>
            <w:tcW w:w="1135" w:type="dxa"/>
            <w:tcBorders>
              <w:top w:val="single" w:color="auto" w:sz="4" w:space="0"/>
              <w:left w:val="single" w:color="auto" w:sz="4" w:space="0"/>
              <w:bottom w:val="single" w:color="auto" w:sz="4" w:space="0"/>
              <w:right w:val="single" w:color="auto" w:sz="4" w:space="0"/>
            </w:tcBorders>
            <w:vAlign w:val="center"/>
          </w:tcPr>
          <w:p w14:paraId="45F28E9B">
            <w:pPr>
              <w:autoSpaceDE w:val="0"/>
              <w:autoSpaceDN w:val="0"/>
              <w:adjustRightInd w:val="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62E72C78">
            <w:pPr>
              <w:autoSpaceDE w:val="0"/>
              <w:autoSpaceDN w:val="0"/>
              <w:adjustRightInd w:val="0"/>
              <w:jc w:val="center"/>
              <w:rPr>
                <w:rFonts w:ascii="宋体" w:hAnsi="宋体"/>
                <w:sz w:val="24"/>
                <w:szCs w:val="24"/>
              </w:rPr>
            </w:pPr>
          </w:p>
        </w:tc>
        <w:tc>
          <w:tcPr>
            <w:tcW w:w="803" w:type="dxa"/>
            <w:tcBorders>
              <w:top w:val="single" w:color="auto" w:sz="4" w:space="0"/>
              <w:left w:val="single" w:color="auto" w:sz="4" w:space="0"/>
              <w:bottom w:val="single" w:color="auto" w:sz="4" w:space="0"/>
              <w:right w:val="single" w:color="auto" w:sz="4" w:space="0"/>
            </w:tcBorders>
            <w:vAlign w:val="center"/>
          </w:tcPr>
          <w:p w14:paraId="6334293C">
            <w:pPr>
              <w:autoSpaceDE w:val="0"/>
              <w:autoSpaceDN w:val="0"/>
              <w:adjustRightInd w:val="0"/>
              <w:jc w:val="center"/>
              <w:rPr>
                <w:rFonts w:ascii="宋体" w:hAnsi="宋体"/>
                <w:sz w:val="24"/>
                <w:szCs w:val="24"/>
              </w:rPr>
            </w:pPr>
          </w:p>
        </w:tc>
        <w:tc>
          <w:tcPr>
            <w:tcW w:w="1702" w:type="dxa"/>
            <w:tcBorders>
              <w:top w:val="single" w:color="auto" w:sz="4" w:space="0"/>
              <w:left w:val="single" w:color="auto" w:sz="4" w:space="0"/>
              <w:bottom w:val="single" w:color="auto" w:sz="4" w:space="0"/>
              <w:right w:val="single" w:color="auto" w:sz="4" w:space="0"/>
            </w:tcBorders>
            <w:vAlign w:val="center"/>
          </w:tcPr>
          <w:p w14:paraId="398962FC">
            <w:pPr>
              <w:autoSpaceDE w:val="0"/>
              <w:autoSpaceDN w:val="0"/>
              <w:adjustRightInd w:val="0"/>
              <w:jc w:val="center"/>
              <w:rPr>
                <w:rFonts w:ascii="宋体" w:hAnsi="宋体"/>
                <w:sz w:val="24"/>
                <w:szCs w:val="24"/>
              </w:rPr>
            </w:pPr>
          </w:p>
        </w:tc>
        <w:tc>
          <w:tcPr>
            <w:tcW w:w="1403" w:type="dxa"/>
            <w:tcBorders>
              <w:top w:val="single" w:color="auto" w:sz="4" w:space="0"/>
              <w:left w:val="single" w:color="auto" w:sz="4" w:space="0"/>
              <w:bottom w:val="single" w:color="auto" w:sz="4" w:space="0"/>
              <w:right w:val="single" w:color="auto" w:sz="4" w:space="0"/>
            </w:tcBorders>
            <w:vAlign w:val="center"/>
          </w:tcPr>
          <w:p w14:paraId="1957B40D">
            <w:pPr>
              <w:rPr>
                <w:rFonts w:ascii="宋体" w:hAnsi="宋体" w:cs="宋体"/>
                <w:sz w:val="24"/>
                <w:szCs w:val="24"/>
              </w:rPr>
            </w:pPr>
            <w:r>
              <w:rPr>
                <w:rFonts w:hint="eastAsia" w:ascii="宋体" w:hAnsi="宋体" w:cs="宋体"/>
                <w:sz w:val="24"/>
                <w:szCs w:val="24"/>
              </w:rPr>
              <w:t xml:space="preserve">专职：□ </w:t>
            </w:r>
          </w:p>
          <w:p w14:paraId="7D3FEE81">
            <w:pPr>
              <w:rPr>
                <w:rFonts w:ascii="宋体" w:hAnsi="宋体" w:cs="宋体"/>
                <w:sz w:val="24"/>
                <w:szCs w:val="24"/>
              </w:rPr>
            </w:pPr>
            <w:r>
              <w:rPr>
                <w:rFonts w:hint="eastAsia" w:ascii="宋体" w:hAnsi="宋体" w:cs="宋体"/>
                <w:sz w:val="24"/>
                <w:szCs w:val="24"/>
              </w:rPr>
              <w:t>可兼任：□</w:t>
            </w:r>
          </w:p>
        </w:tc>
      </w:tr>
      <w:tr w14:paraId="55955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35895EC4">
            <w:pPr>
              <w:autoSpaceDE w:val="0"/>
              <w:autoSpaceDN w:val="0"/>
              <w:adjustRightInd w:val="0"/>
              <w:jc w:val="center"/>
              <w:rPr>
                <w:rFonts w:ascii="宋体" w:hAnsi="宋体"/>
                <w:sz w:val="24"/>
                <w:szCs w:val="24"/>
              </w:rPr>
            </w:pPr>
            <w:r>
              <w:rPr>
                <w:rFonts w:hint="eastAsia" w:ascii="Times New Roman" w:hAnsi="Times New Roman" w:eastAsia="宋体" w:cs="Times New Roman"/>
                <w:color w:val="auto"/>
                <w:sz w:val="24"/>
                <w:szCs w:val="24"/>
                <w:highlight w:val="none"/>
              </w:rPr>
              <w:t>质量员</w:t>
            </w:r>
          </w:p>
        </w:tc>
        <w:tc>
          <w:tcPr>
            <w:tcW w:w="709" w:type="dxa"/>
            <w:tcBorders>
              <w:top w:val="single" w:color="auto" w:sz="4" w:space="0"/>
              <w:left w:val="single" w:color="auto" w:sz="4" w:space="0"/>
              <w:bottom w:val="single" w:color="auto" w:sz="4" w:space="0"/>
              <w:right w:val="single" w:color="auto" w:sz="4" w:space="0"/>
            </w:tcBorders>
            <w:vAlign w:val="center"/>
          </w:tcPr>
          <w:p w14:paraId="4AB0093C">
            <w:pPr>
              <w:autoSpaceDE w:val="0"/>
              <w:autoSpaceDN w:val="0"/>
              <w:adjustRightInd w:val="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2D986CFA">
            <w:pPr>
              <w:autoSpaceDE w:val="0"/>
              <w:autoSpaceDN w:val="0"/>
              <w:adjustRightInd w:val="0"/>
              <w:jc w:val="center"/>
              <w:rPr>
                <w:rFonts w:ascii="宋体" w:hAnsi="宋体"/>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DA7FC17">
            <w:pPr>
              <w:autoSpaceDE w:val="0"/>
              <w:autoSpaceDN w:val="0"/>
              <w:adjustRightInd w:val="0"/>
              <w:jc w:val="center"/>
              <w:rPr>
                <w:rFonts w:ascii="宋体" w:hAnsi="宋体"/>
                <w:sz w:val="24"/>
                <w:szCs w:val="24"/>
              </w:rPr>
            </w:pPr>
          </w:p>
        </w:tc>
        <w:tc>
          <w:tcPr>
            <w:tcW w:w="1135" w:type="dxa"/>
            <w:tcBorders>
              <w:top w:val="single" w:color="auto" w:sz="4" w:space="0"/>
              <w:left w:val="single" w:color="auto" w:sz="4" w:space="0"/>
              <w:bottom w:val="single" w:color="auto" w:sz="4" w:space="0"/>
              <w:right w:val="single" w:color="auto" w:sz="4" w:space="0"/>
            </w:tcBorders>
            <w:vAlign w:val="center"/>
          </w:tcPr>
          <w:p w14:paraId="712B1DD2">
            <w:pPr>
              <w:autoSpaceDE w:val="0"/>
              <w:autoSpaceDN w:val="0"/>
              <w:adjustRightInd w:val="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60AA4A46">
            <w:pPr>
              <w:autoSpaceDE w:val="0"/>
              <w:autoSpaceDN w:val="0"/>
              <w:adjustRightInd w:val="0"/>
              <w:jc w:val="center"/>
              <w:rPr>
                <w:rFonts w:ascii="宋体" w:hAnsi="宋体"/>
                <w:sz w:val="24"/>
                <w:szCs w:val="24"/>
              </w:rPr>
            </w:pPr>
          </w:p>
        </w:tc>
        <w:tc>
          <w:tcPr>
            <w:tcW w:w="803" w:type="dxa"/>
            <w:tcBorders>
              <w:top w:val="single" w:color="auto" w:sz="4" w:space="0"/>
              <w:left w:val="single" w:color="auto" w:sz="4" w:space="0"/>
              <w:bottom w:val="single" w:color="auto" w:sz="4" w:space="0"/>
              <w:right w:val="single" w:color="auto" w:sz="4" w:space="0"/>
            </w:tcBorders>
            <w:vAlign w:val="center"/>
          </w:tcPr>
          <w:p w14:paraId="743AC1CF">
            <w:pPr>
              <w:autoSpaceDE w:val="0"/>
              <w:autoSpaceDN w:val="0"/>
              <w:adjustRightInd w:val="0"/>
              <w:jc w:val="center"/>
              <w:rPr>
                <w:rFonts w:ascii="宋体" w:hAnsi="宋体"/>
                <w:sz w:val="24"/>
                <w:szCs w:val="24"/>
              </w:rPr>
            </w:pPr>
          </w:p>
        </w:tc>
        <w:tc>
          <w:tcPr>
            <w:tcW w:w="1702" w:type="dxa"/>
            <w:tcBorders>
              <w:top w:val="single" w:color="auto" w:sz="4" w:space="0"/>
              <w:left w:val="single" w:color="auto" w:sz="4" w:space="0"/>
              <w:bottom w:val="single" w:color="auto" w:sz="4" w:space="0"/>
              <w:right w:val="single" w:color="auto" w:sz="4" w:space="0"/>
            </w:tcBorders>
            <w:vAlign w:val="center"/>
          </w:tcPr>
          <w:p w14:paraId="60E44FDD">
            <w:pPr>
              <w:autoSpaceDE w:val="0"/>
              <w:autoSpaceDN w:val="0"/>
              <w:adjustRightInd w:val="0"/>
              <w:jc w:val="center"/>
              <w:rPr>
                <w:rFonts w:ascii="宋体" w:hAnsi="宋体"/>
                <w:sz w:val="24"/>
                <w:szCs w:val="24"/>
              </w:rPr>
            </w:pPr>
          </w:p>
        </w:tc>
        <w:tc>
          <w:tcPr>
            <w:tcW w:w="1403" w:type="dxa"/>
            <w:tcBorders>
              <w:top w:val="single" w:color="auto" w:sz="4" w:space="0"/>
              <w:left w:val="single" w:color="auto" w:sz="4" w:space="0"/>
              <w:bottom w:val="single" w:color="auto" w:sz="4" w:space="0"/>
              <w:right w:val="single" w:color="auto" w:sz="4" w:space="0"/>
            </w:tcBorders>
            <w:vAlign w:val="center"/>
          </w:tcPr>
          <w:p w14:paraId="6EC1103D">
            <w:pPr>
              <w:rPr>
                <w:rFonts w:ascii="宋体" w:hAnsi="宋体" w:cs="宋体"/>
                <w:sz w:val="24"/>
                <w:szCs w:val="24"/>
              </w:rPr>
            </w:pPr>
            <w:r>
              <w:rPr>
                <w:rFonts w:hint="eastAsia" w:ascii="宋体" w:hAnsi="宋体" w:cs="宋体"/>
                <w:sz w:val="24"/>
                <w:szCs w:val="24"/>
              </w:rPr>
              <w:t xml:space="preserve">专职：□ </w:t>
            </w:r>
          </w:p>
          <w:p w14:paraId="336C9E05">
            <w:pPr>
              <w:autoSpaceDE w:val="0"/>
              <w:autoSpaceDN w:val="0"/>
              <w:adjustRightInd w:val="0"/>
              <w:rPr>
                <w:rFonts w:ascii="宋体" w:hAnsi="宋体" w:cs="宋体"/>
                <w:sz w:val="24"/>
                <w:szCs w:val="24"/>
              </w:rPr>
            </w:pPr>
            <w:r>
              <w:rPr>
                <w:rFonts w:hint="eastAsia" w:ascii="宋体" w:hAnsi="宋体" w:cs="宋体"/>
                <w:sz w:val="24"/>
                <w:szCs w:val="24"/>
              </w:rPr>
              <w:t>可兼任：□</w:t>
            </w:r>
          </w:p>
        </w:tc>
      </w:tr>
      <w:tr w14:paraId="505F7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06BA1CD0">
            <w:pPr>
              <w:autoSpaceDE w:val="0"/>
              <w:autoSpaceDN w:val="0"/>
              <w:adjustRightInd w:val="0"/>
              <w:jc w:val="center"/>
              <w:rPr>
                <w:rFonts w:ascii="宋体" w:hAnsi="宋体"/>
                <w:sz w:val="24"/>
                <w:szCs w:val="24"/>
              </w:rPr>
            </w:pPr>
            <w:r>
              <w:rPr>
                <w:rFonts w:hint="eastAsia" w:ascii="Times New Roman" w:hAnsi="Times New Roman" w:eastAsia="宋体" w:cs="Times New Roman"/>
                <w:color w:val="auto"/>
                <w:sz w:val="24"/>
                <w:szCs w:val="24"/>
                <w:highlight w:val="none"/>
              </w:rPr>
              <w:t>标准员</w:t>
            </w:r>
          </w:p>
        </w:tc>
        <w:tc>
          <w:tcPr>
            <w:tcW w:w="709" w:type="dxa"/>
            <w:tcBorders>
              <w:top w:val="single" w:color="auto" w:sz="4" w:space="0"/>
              <w:left w:val="single" w:color="auto" w:sz="4" w:space="0"/>
              <w:bottom w:val="single" w:color="auto" w:sz="4" w:space="0"/>
              <w:right w:val="single" w:color="auto" w:sz="4" w:space="0"/>
            </w:tcBorders>
            <w:vAlign w:val="center"/>
          </w:tcPr>
          <w:p w14:paraId="14346E9D">
            <w:pPr>
              <w:autoSpaceDE w:val="0"/>
              <w:autoSpaceDN w:val="0"/>
              <w:adjustRightInd w:val="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2234A669">
            <w:pPr>
              <w:autoSpaceDE w:val="0"/>
              <w:autoSpaceDN w:val="0"/>
              <w:adjustRightInd w:val="0"/>
              <w:jc w:val="center"/>
              <w:rPr>
                <w:rFonts w:ascii="宋体" w:hAnsi="宋体"/>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8E97488">
            <w:pPr>
              <w:autoSpaceDE w:val="0"/>
              <w:autoSpaceDN w:val="0"/>
              <w:adjustRightInd w:val="0"/>
              <w:jc w:val="center"/>
              <w:rPr>
                <w:rFonts w:ascii="宋体" w:hAnsi="宋体"/>
                <w:sz w:val="24"/>
                <w:szCs w:val="24"/>
              </w:rPr>
            </w:pPr>
          </w:p>
        </w:tc>
        <w:tc>
          <w:tcPr>
            <w:tcW w:w="1135" w:type="dxa"/>
            <w:tcBorders>
              <w:top w:val="single" w:color="auto" w:sz="4" w:space="0"/>
              <w:left w:val="single" w:color="auto" w:sz="4" w:space="0"/>
              <w:bottom w:val="single" w:color="auto" w:sz="4" w:space="0"/>
              <w:right w:val="single" w:color="auto" w:sz="4" w:space="0"/>
            </w:tcBorders>
            <w:vAlign w:val="center"/>
          </w:tcPr>
          <w:p w14:paraId="31EA428C">
            <w:pPr>
              <w:autoSpaceDE w:val="0"/>
              <w:autoSpaceDN w:val="0"/>
              <w:adjustRightInd w:val="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4D769229">
            <w:pPr>
              <w:autoSpaceDE w:val="0"/>
              <w:autoSpaceDN w:val="0"/>
              <w:adjustRightInd w:val="0"/>
              <w:jc w:val="center"/>
              <w:rPr>
                <w:rFonts w:ascii="宋体" w:hAnsi="宋体"/>
                <w:sz w:val="24"/>
                <w:szCs w:val="24"/>
              </w:rPr>
            </w:pPr>
          </w:p>
        </w:tc>
        <w:tc>
          <w:tcPr>
            <w:tcW w:w="803" w:type="dxa"/>
            <w:tcBorders>
              <w:top w:val="single" w:color="auto" w:sz="4" w:space="0"/>
              <w:left w:val="single" w:color="auto" w:sz="4" w:space="0"/>
              <w:bottom w:val="single" w:color="auto" w:sz="4" w:space="0"/>
              <w:right w:val="single" w:color="auto" w:sz="4" w:space="0"/>
            </w:tcBorders>
            <w:vAlign w:val="center"/>
          </w:tcPr>
          <w:p w14:paraId="1F53AC18">
            <w:pPr>
              <w:autoSpaceDE w:val="0"/>
              <w:autoSpaceDN w:val="0"/>
              <w:adjustRightInd w:val="0"/>
              <w:jc w:val="center"/>
              <w:rPr>
                <w:rFonts w:ascii="宋体" w:hAnsi="宋体"/>
                <w:sz w:val="24"/>
                <w:szCs w:val="24"/>
              </w:rPr>
            </w:pPr>
          </w:p>
        </w:tc>
        <w:tc>
          <w:tcPr>
            <w:tcW w:w="1702" w:type="dxa"/>
            <w:tcBorders>
              <w:top w:val="single" w:color="auto" w:sz="4" w:space="0"/>
              <w:left w:val="single" w:color="auto" w:sz="4" w:space="0"/>
              <w:bottom w:val="single" w:color="auto" w:sz="4" w:space="0"/>
              <w:right w:val="single" w:color="auto" w:sz="4" w:space="0"/>
            </w:tcBorders>
            <w:vAlign w:val="center"/>
          </w:tcPr>
          <w:p w14:paraId="547D39EF">
            <w:pPr>
              <w:autoSpaceDE w:val="0"/>
              <w:autoSpaceDN w:val="0"/>
              <w:adjustRightInd w:val="0"/>
              <w:jc w:val="center"/>
              <w:rPr>
                <w:rFonts w:ascii="宋体" w:hAnsi="宋体"/>
                <w:sz w:val="24"/>
                <w:szCs w:val="24"/>
              </w:rPr>
            </w:pPr>
          </w:p>
        </w:tc>
        <w:tc>
          <w:tcPr>
            <w:tcW w:w="1403" w:type="dxa"/>
            <w:tcBorders>
              <w:top w:val="single" w:color="auto" w:sz="4" w:space="0"/>
              <w:left w:val="single" w:color="auto" w:sz="4" w:space="0"/>
              <w:bottom w:val="single" w:color="auto" w:sz="4" w:space="0"/>
              <w:right w:val="single" w:color="auto" w:sz="4" w:space="0"/>
            </w:tcBorders>
            <w:vAlign w:val="center"/>
          </w:tcPr>
          <w:p w14:paraId="20522D2F">
            <w:pPr>
              <w:rPr>
                <w:rFonts w:ascii="宋体" w:hAnsi="宋体" w:cs="宋体"/>
                <w:sz w:val="24"/>
                <w:szCs w:val="24"/>
              </w:rPr>
            </w:pPr>
            <w:r>
              <w:rPr>
                <w:rFonts w:hint="eastAsia" w:ascii="宋体" w:hAnsi="宋体" w:cs="宋体"/>
                <w:sz w:val="24"/>
                <w:szCs w:val="24"/>
              </w:rPr>
              <w:t xml:space="preserve">专职：□ </w:t>
            </w:r>
          </w:p>
          <w:p w14:paraId="3D2F621C">
            <w:pPr>
              <w:autoSpaceDE w:val="0"/>
              <w:autoSpaceDN w:val="0"/>
              <w:adjustRightInd w:val="0"/>
              <w:rPr>
                <w:rFonts w:ascii="宋体" w:hAnsi="宋体" w:cs="宋体"/>
                <w:sz w:val="24"/>
                <w:szCs w:val="24"/>
              </w:rPr>
            </w:pPr>
            <w:r>
              <w:rPr>
                <w:rFonts w:hint="eastAsia" w:ascii="宋体" w:hAnsi="宋体" w:cs="宋体"/>
                <w:sz w:val="24"/>
                <w:szCs w:val="24"/>
              </w:rPr>
              <w:t>可兼任：□</w:t>
            </w:r>
          </w:p>
        </w:tc>
      </w:tr>
      <w:tr w14:paraId="2AE0F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67A19578">
            <w:pPr>
              <w:autoSpaceDE w:val="0"/>
              <w:autoSpaceDN w:val="0"/>
              <w:adjustRightInd w:val="0"/>
              <w:jc w:val="center"/>
              <w:rPr>
                <w:rFonts w:ascii="宋体" w:hAnsi="宋体"/>
                <w:sz w:val="24"/>
                <w:szCs w:val="24"/>
              </w:rPr>
            </w:pPr>
            <w:r>
              <w:rPr>
                <w:rFonts w:hint="eastAsia" w:ascii="Times New Roman" w:hAnsi="Times New Roman" w:eastAsia="宋体" w:cs="Times New Roman"/>
                <w:color w:val="auto"/>
                <w:sz w:val="24"/>
                <w:szCs w:val="24"/>
                <w:highlight w:val="none"/>
              </w:rPr>
              <w:t>材料员</w:t>
            </w:r>
          </w:p>
        </w:tc>
        <w:tc>
          <w:tcPr>
            <w:tcW w:w="709" w:type="dxa"/>
            <w:tcBorders>
              <w:top w:val="single" w:color="auto" w:sz="4" w:space="0"/>
              <w:left w:val="single" w:color="auto" w:sz="4" w:space="0"/>
              <w:bottom w:val="single" w:color="auto" w:sz="4" w:space="0"/>
              <w:right w:val="single" w:color="auto" w:sz="4" w:space="0"/>
            </w:tcBorders>
            <w:vAlign w:val="center"/>
          </w:tcPr>
          <w:p w14:paraId="1CD235F5">
            <w:pPr>
              <w:autoSpaceDE w:val="0"/>
              <w:autoSpaceDN w:val="0"/>
              <w:adjustRightInd w:val="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55D618D0">
            <w:pPr>
              <w:autoSpaceDE w:val="0"/>
              <w:autoSpaceDN w:val="0"/>
              <w:adjustRightInd w:val="0"/>
              <w:jc w:val="center"/>
              <w:rPr>
                <w:rFonts w:ascii="宋体" w:hAnsi="宋体"/>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286D5A8">
            <w:pPr>
              <w:autoSpaceDE w:val="0"/>
              <w:autoSpaceDN w:val="0"/>
              <w:adjustRightInd w:val="0"/>
              <w:jc w:val="center"/>
              <w:rPr>
                <w:rFonts w:ascii="宋体" w:hAnsi="宋体"/>
                <w:sz w:val="24"/>
                <w:szCs w:val="24"/>
              </w:rPr>
            </w:pPr>
          </w:p>
        </w:tc>
        <w:tc>
          <w:tcPr>
            <w:tcW w:w="1135" w:type="dxa"/>
            <w:tcBorders>
              <w:top w:val="single" w:color="auto" w:sz="4" w:space="0"/>
              <w:left w:val="single" w:color="auto" w:sz="4" w:space="0"/>
              <w:bottom w:val="single" w:color="auto" w:sz="4" w:space="0"/>
              <w:right w:val="single" w:color="auto" w:sz="4" w:space="0"/>
            </w:tcBorders>
            <w:vAlign w:val="center"/>
          </w:tcPr>
          <w:p w14:paraId="781A3BF6">
            <w:pPr>
              <w:autoSpaceDE w:val="0"/>
              <w:autoSpaceDN w:val="0"/>
              <w:adjustRightInd w:val="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6EA90715">
            <w:pPr>
              <w:autoSpaceDE w:val="0"/>
              <w:autoSpaceDN w:val="0"/>
              <w:adjustRightInd w:val="0"/>
              <w:jc w:val="center"/>
              <w:rPr>
                <w:rFonts w:ascii="宋体" w:hAnsi="宋体"/>
                <w:sz w:val="24"/>
                <w:szCs w:val="24"/>
              </w:rPr>
            </w:pPr>
          </w:p>
        </w:tc>
        <w:tc>
          <w:tcPr>
            <w:tcW w:w="803" w:type="dxa"/>
            <w:tcBorders>
              <w:top w:val="single" w:color="auto" w:sz="4" w:space="0"/>
              <w:left w:val="single" w:color="auto" w:sz="4" w:space="0"/>
              <w:bottom w:val="single" w:color="auto" w:sz="4" w:space="0"/>
              <w:right w:val="single" w:color="auto" w:sz="4" w:space="0"/>
            </w:tcBorders>
            <w:vAlign w:val="center"/>
          </w:tcPr>
          <w:p w14:paraId="77E01B08">
            <w:pPr>
              <w:autoSpaceDE w:val="0"/>
              <w:autoSpaceDN w:val="0"/>
              <w:adjustRightInd w:val="0"/>
              <w:jc w:val="center"/>
              <w:rPr>
                <w:rFonts w:ascii="宋体" w:hAnsi="宋体"/>
                <w:sz w:val="24"/>
                <w:szCs w:val="24"/>
              </w:rPr>
            </w:pPr>
          </w:p>
        </w:tc>
        <w:tc>
          <w:tcPr>
            <w:tcW w:w="1702" w:type="dxa"/>
            <w:tcBorders>
              <w:top w:val="single" w:color="auto" w:sz="4" w:space="0"/>
              <w:left w:val="single" w:color="auto" w:sz="4" w:space="0"/>
              <w:bottom w:val="single" w:color="auto" w:sz="4" w:space="0"/>
              <w:right w:val="single" w:color="auto" w:sz="4" w:space="0"/>
            </w:tcBorders>
            <w:vAlign w:val="center"/>
          </w:tcPr>
          <w:p w14:paraId="2F4200CE">
            <w:pPr>
              <w:autoSpaceDE w:val="0"/>
              <w:autoSpaceDN w:val="0"/>
              <w:adjustRightInd w:val="0"/>
              <w:jc w:val="center"/>
              <w:rPr>
                <w:rFonts w:ascii="宋体" w:hAnsi="宋体"/>
                <w:sz w:val="24"/>
                <w:szCs w:val="24"/>
              </w:rPr>
            </w:pPr>
          </w:p>
        </w:tc>
        <w:tc>
          <w:tcPr>
            <w:tcW w:w="1403" w:type="dxa"/>
            <w:tcBorders>
              <w:top w:val="single" w:color="auto" w:sz="4" w:space="0"/>
              <w:left w:val="single" w:color="auto" w:sz="4" w:space="0"/>
              <w:bottom w:val="single" w:color="auto" w:sz="4" w:space="0"/>
              <w:right w:val="single" w:color="auto" w:sz="4" w:space="0"/>
            </w:tcBorders>
            <w:vAlign w:val="center"/>
          </w:tcPr>
          <w:p w14:paraId="1A14B20A">
            <w:pPr>
              <w:rPr>
                <w:rFonts w:ascii="宋体" w:hAnsi="宋体" w:cs="宋体"/>
                <w:sz w:val="24"/>
                <w:szCs w:val="24"/>
              </w:rPr>
            </w:pPr>
            <w:r>
              <w:rPr>
                <w:rFonts w:hint="eastAsia" w:ascii="宋体" w:hAnsi="宋体" w:cs="宋体"/>
                <w:sz w:val="24"/>
                <w:szCs w:val="24"/>
              </w:rPr>
              <w:t xml:space="preserve">专职：□ </w:t>
            </w:r>
          </w:p>
          <w:p w14:paraId="7FDCEE54">
            <w:pPr>
              <w:autoSpaceDE w:val="0"/>
              <w:autoSpaceDN w:val="0"/>
              <w:adjustRightInd w:val="0"/>
              <w:rPr>
                <w:rFonts w:ascii="宋体" w:hAnsi="宋体" w:cs="宋体"/>
                <w:sz w:val="24"/>
                <w:szCs w:val="24"/>
              </w:rPr>
            </w:pPr>
            <w:r>
              <w:rPr>
                <w:rFonts w:hint="eastAsia" w:ascii="宋体" w:hAnsi="宋体" w:cs="宋体"/>
                <w:sz w:val="24"/>
                <w:szCs w:val="24"/>
              </w:rPr>
              <w:t>可兼任：□</w:t>
            </w:r>
          </w:p>
        </w:tc>
      </w:tr>
      <w:tr w14:paraId="74CFA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025D86B5">
            <w:pPr>
              <w:autoSpaceDE w:val="0"/>
              <w:autoSpaceDN w:val="0"/>
              <w:adjustRightInd w:val="0"/>
              <w:jc w:val="center"/>
              <w:rPr>
                <w:rFonts w:ascii="宋体" w:hAnsi="宋体"/>
                <w:sz w:val="24"/>
                <w:szCs w:val="24"/>
              </w:rPr>
            </w:pPr>
            <w:r>
              <w:rPr>
                <w:rFonts w:hint="eastAsia" w:ascii="Times New Roman" w:hAnsi="Times New Roman" w:eastAsia="宋体" w:cs="Times New Roman"/>
                <w:color w:val="auto"/>
                <w:sz w:val="24"/>
                <w:szCs w:val="24"/>
                <w:highlight w:val="none"/>
              </w:rPr>
              <w:t>机械员</w:t>
            </w:r>
          </w:p>
        </w:tc>
        <w:tc>
          <w:tcPr>
            <w:tcW w:w="709" w:type="dxa"/>
            <w:tcBorders>
              <w:top w:val="single" w:color="auto" w:sz="4" w:space="0"/>
              <w:left w:val="single" w:color="auto" w:sz="4" w:space="0"/>
              <w:bottom w:val="single" w:color="auto" w:sz="4" w:space="0"/>
              <w:right w:val="single" w:color="auto" w:sz="4" w:space="0"/>
            </w:tcBorders>
            <w:vAlign w:val="center"/>
          </w:tcPr>
          <w:p w14:paraId="29FDBC73">
            <w:pPr>
              <w:autoSpaceDE w:val="0"/>
              <w:autoSpaceDN w:val="0"/>
              <w:adjustRightInd w:val="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5C9F942A">
            <w:pPr>
              <w:autoSpaceDE w:val="0"/>
              <w:autoSpaceDN w:val="0"/>
              <w:adjustRightInd w:val="0"/>
              <w:jc w:val="center"/>
              <w:rPr>
                <w:rFonts w:ascii="宋体" w:hAnsi="宋体"/>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1C49DEB">
            <w:pPr>
              <w:autoSpaceDE w:val="0"/>
              <w:autoSpaceDN w:val="0"/>
              <w:adjustRightInd w:val="0"/>
              <w:jc w:val="center"/>
              <w:rPr>
                <w:rFonts w:ascii="宋体" w:hAnsi="宋体"/>
                <w:sz w:val="24"/>
                <w:szCs w:val="24"/>
              </w:rPr>
            </w:pPr>
          </w:p>
        </w:tc>
        <w:tc>
          <w:tcPr>
            <w:tcW w:w="1135" w:type="dxa"/>
            <w:tcBorders>
              <w:top w:val="single" w:color="auto" w:sz="4" w:space="0"/>
              <w:left w:val="single" w:color="auto" w:sz="4" w:space="0"/>
              <w:bottom w:val="single" w:color="auto" w:sz="4" w:space="0"/>
              <w:right w:val="single" w:color="auto" w:sz="4" w:space="0"/>
            </w:tcBorders>
            <w:vAlign w:val="center"/>
          </w:tcPr>
          <w:p w14:paraId="06B72C50">
            <w:pPr>
              <w:autoSpaceDE w:val="0"/>
              <w:autoSpaceDN w:val="0"/>
              <w:adjustRightInd w:val="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09AC535E">
            <w:pPr>
              <w:autoSpaceDE w:val="0"/>
              <w:autoSpaceDN w:val="0"/>
              <w:adjustRightInd w:val="0"/>
              <w:jc w:val="center"/>
              <w:rPr>
                <w:rFonts w:ascii="宋体" w:hAnsi="宋体"/>
                <w:sz w:val="24"/>
                <w:szCs w:val="24"/>
              </w:rPr>
            </w:pPr>
          </w:p>
        </w:tc>
        <w:tc>
          <w:tcPr>
            <w:tcW w:w="803" w:type="dxa"/>
            <w:tcBorders>
              <w:top w:val="single" w:color="auto" w:sz="4" w:space="0"/>
              <w:left w:val="single" w:color="auto" w:sz="4" w:space="0"/>
              <w:bottom w:val="single" w:color="auto" w:sz="4" w:space="0"/>
              <w:right w:val="single" w:color="auto" w:sz="4" w:space="0"/>
            </w:tcBorders>
            <w:vAlign w:val="center"/>
          </w:tcPr>
          <w:p w14:paraId="191531E0">
            <w:pPr>
              <w:autoSpaceDE w:val="0"/>
              <w:autoSpaceDN w:val="0"/>
              <w:adjustRightInd w:val="0"/>
              <w:jc w:val="center"/>
              <w:rPr>
                <w:rFonts w:ascii="宋体" w:hAnsi="宋体"/>
                <w:sz w:val="24"/>
                <w:szCs w:val="24"/>
              </w:rPr>
            </w:pPr>
          </w:p>
        </w:tc>
        <w:tc>
          <w:tcPr>
            <w:tcW w:w="1702" w:type="dxa"/>
            <w:tcBorders>
              <w:top w:val="single" w:color="auto" w:sz="4" w:space="0"/>
              <w:left w:val="single" w:color="auto" w:sz="4" w:space="0"/>
              <w:bottom w:val="single" w:color="auto" w:sz="4" w:space="0"/>
              <w:right w:val="single" w:color="auto" w:sz="4" w:space="0"/>
            </w:tcBorders>
            <w:vAlign w:val="center"/>
          </w:tcPr>
          <w:p w14:paraId="545E1E92">
            <w:pPr>
              <w:autoSpaceDE w:val="0"/>
              <w:autoSpaceDN w:val="0"/>
              <w:adjustRightInd w:val="0"/>
              <w:jc w:val="center"/>
              <w:rPr>
                <w:rFonts w:ascii="宋体" w:hAnsi="宋体"/>
                <w:sz w:val="24"/>
                <w:szCs w:val="24"/>
              </w:rPr>
            </w:pPr>
          </w:p>
        </w:tc>
        <w:tc>
          <w:tcPr>
            <w:tcW w:w="1403" w:type="dxa"/>
            <w:tcBorders>
              <w:top w:val="single" w:color="auto" w:sz="4" w:space="0"/>
              <w:left w:val="single" w:color="auto" w:sz="4" w:space="0"/>
              <w:bottom w:val="single" w:color="auto" w:sz="4" w:space="0"/>
              <w:right w:val="single" w:color="auto" w:sz="4" w:space="0"/>
            </w:tcBorders>
            <w:vAlign w:val="center"/>
          </w:tcPr>
          <w:p w14:paraId="24EEC428">
            <w:pPr>
              <w:rPr>
                <w:rFonts w:ascii="宋体" w:hAnsi="宋体" w:cs="宋体"/>
                <w:sz w:val="24"/>
                <w:szCs w:val="24"/>
              </w:rPr>
            </w:pPr>
            <w:r>
              <w:rPr>
                <w:rFonts w:hint="eastAsia" w:ascii="宋体" w:hAnsi="宋体" w:cs="宋体"/>
                <w:sz w:val="24"/>
                <w:szCs w:val="24"/>
              </w:rPr>
              <w:t xml:space="preserve">专职：□ </w:t>
            </w:r>
          </w:p>
          <w:p w14:paraId="36AE31DE">
            <w:pPr>
              <w:autoSpaceDE w:val="0"/>
              <w:autoSpaceDN w:val="0"/>
              <w:adjustRightInd w:val="0"/>
              <w:rPr>
                <w:rFonts w:ascii="宋体" w:hAnsi="宋体" w:cs="宋体"/>
                <w:sz w:val="24"/>
                <w:szCs w:val="24"/>
              </w:rPr>
            </w:pPr>
            <w:r>
              <w:rPr>
                <w:rFonts w:hint="eastAsia" w:ascii="宋体" w:hAnsi="宋体" w:cs="宋体"/>
                <w:sz w:val="24"/>
                <w:szCs w:val="24"/>
              </w:rPr>
              <w:t>可兼任：□</w:t>
            </w:r>
          </w:p>
        </w:tc>
      </w:tr>
      <w:tr w14:paraId="1BC8C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6620FBCA">
            <w:pPr>
              <w:autoSpaceDE w:val="0"/>
              <w:autoSpaceDN w:val="0"/>
              <w:adjustRightInd w:val="0"/>
              <w:jc w:val="center"/>
              <w:rPr>
                <w:rFonts w:ascii="宋体" w:hAnsi="宋体"/>
                <w:sz w:val="24"/>
                <w:szCs w:val="24"/>
              </w:rPr>
            </w:pPr>
            <w:r>
              <w:rPr>
                <w:rFonts w:hint="eastAsia" w:ascii="Times New Roman" w:hAnsi="Times New Roman" w:eastAsia="宋体" w:cs="Times New Roman"/>
                <w:color w:val="auto"/>
                <w:sz w:val="24"/>
                <w:szCs w:val="24"/>
                <w:highlight w:val="none"/>
              </w:rPr>
              <w:t>劳务员</w:t>
            </w:r>
          </w:p>
        </w:tc>
        <w:tc>
          <w:tcPr>
            <w:tcW w:w="709" w:type="dxa"/>
            <w:tcBorders>
              <w:top w:val="single" w:color="auto" w:sz="4" w:space="0"/>
              <w:left w:val="single" w:color="auto" w:sz="4" w:space="0"/>
              <w:bottom w:val="single" w:color="auto" w:sz="4" w:space="0"/>
              <w:right w:val="single" w:color="auto" w:sz="4" w:space="0"/>
            </w:tcBorders>
            <w:vAlign w:val="center"/>
          </w:tcPr>
          <w:p w14:paraId="6AE48AEA">
            <w:pPr>
              <w:autoSpaceDE w:val="0"/>
              <w:autoSpaceDN w:val="0"/>
              <w:adjustRightInd w:val="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441A141D">
            <w:pPr>
              <w:autoSpaceDE w:val="0"/>
              <w:autoSpaceDN w:val="0"/>
              <w:adjustRightInd w:val="0"/>
              <w:jc w:val="center"/>
              <w:rPr>
                <w:rFonts w:ascii="宋体" w:hAnsi="宋体"/>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D0450FE">
            <w:pPr>
              <w:autoSpaceDE w:val="0"/>
              <w:autoSpaceDN w:val="0"/>
              <w:adjustRightInd w:val="0"/>
              <w:jc w:val="center"/>
              <w:rPr>
                <w:rFonts w:ascii="宋体" w:hAnsi="宋体"/>
                <w:sz w:val="24"/>
                <w:szCs w:val="24"/>
              </w:rPr>
            </w:pPr>
          </w:p>
        </w:tc>
        <w:tc>
          <w:tcPr>
            <w:tcW w:w="1135" w:type="dxa"/>
            <w:tcBorders>
              <w:top w:val="single" w:color="auto" w:sz="4" w:space="0"/>
              <w:left w:val="single" w:color="auto" w:sz="4" w:space="0"/>
              <w:bottom w:val="single" w:color="auto" w:sz="4" w:space="0"/>
              <w:right w:val="single" w:color="auto" w:sz="4" w:space="0"/>
            </w:tcBorders>
            <w:vAlign w:val="center"/>
          </w:tcPr>
          <w:p w14:paraId="21B39581">
            <w:pPr>
              <w:autoSpaceDE w:val="0"/>
              <w:autoSpaceDN w:val="0"/>
              <w:adjustRightInd w:val="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546F4223">
            <w:pPr>
              <w:autoSpaceDE w:val="0"/>
              <w:autoSpaceDN w:val="0"/>
              <w:adjustRightInd w:val="0"/>
              <w:jc w:val="center"/>
              <w:rPr>
                <w:rFonts w:ascii="宋体" w:hAnsi="宋体"/>
                <w:sz w:val="24"/>
                <w:szCs w:val="24"/>
              </w:rPr>
            </w:pPr>
          </w:p>
        </w:tc>
        <w:tc>
          <w:tcPr>
            <w:tcW w:w="803" w:type="dxa"/>
            <w:tcBorders>
              <w:top w:val="single" w:color="auto" w:sz="4" w:space="0"/>
              <w:left w:val="single" w:color="auto" w:sz="4" w:space="0"/>
              <w:bottom w:val="single" w:color="auto" w:sz="4" w:space="0"/>
              <w:right w:val="single" w:color="auto" w:sz="4" w:space="0"/>
            </w:tcBorders>
            <w:vAlign w:val="center"/>
          </w:tcPr>
          <w:p w14:paraId="28B84C53">
            <w:pPr>
              <w:autoSpaceDE w:val="0"/>
              <w:autoSpaceDN w:val="0"/>
              <w:adjustRightInd w:val="0"/>
              <w:jc w:val="center"/>
              <w:rPr>
                <w:rFonts w:ascii="宋体" w:hAnsi="宋体"/>
                <w:sz w:val="24"/>
                <w:szCs w:val="24"/>
              </w:rPr>
            </w:pPr>
          </w:p>
        </w:tc>
        <w:tc>
          <w:tcPr>
            <w:tcW w:w="1702" w:type="dxa"/>
            <w:tcBorders>
              <w:top w:val="single" w:color="auto" w:sz="4" w:space="0"/>
              <w:left w:val="single" w:color="auto" w:sz="4" w:space="0"/>
              <w:bottom w:val="single" w:color="auto" w:sz="4" w:space="0"/>
              <w:right w:val="single" w:color="auto" w:sz="4" w:space="0"/>
            </w:tcBorders>
            <w:vAlign w:val="center"/>
          </w:tcPr>
          <w:p w14:paraId="359AB736">
            <w:pPr>
              <w:autoSpaceDE w:val="0"/>
              <w:autoSpaceDN w:val="0"/>
              <w:adjustRightInd w:val="0"/>
              <w:jc w:val="center"/>
              <w:rPr>
                <w:rFonts w:ascii="宋体" w:hAnsi="宋体"/>
                <w:sz w:val="24"/>
                <w:szCs w:val="24"/>
              </w:rPr>
            </w:pPr>
          </w:p>
        </w:tc>
        <w:tc>
          <w:tcPr>
            <w:tcW w:w="1403" w:type="dxa"/>
            <w:tcBorders>
              <w:top w:val="single" w:color="auto" w:sz="4" w:space="0"/>
              <w:left w:val="single" w:color="auto" w:sz="4" w:space="0"/>
              <w:bottom w:val="single" w:color="auto" w:sz="4" w:space="0"/>
              <w:right w:val="single" w:color="auto" w:sz="4" w:space="0"/>
            </w:tcBorders>
            <w:vAlign w:val="center"/>
          </w:tcPr>
          <w:p w14:paraId="26F32110">
            <w:pPr>
              <w:rPr>
                <w:rFonts w:ascii="宋体" w:hAnsi="宋体" w:cs="宋体"/>
                <w:sz w:val="24"/>
                <w:szCs w:val="24"/>
              </w:rPr>
            </w:pPr>
            <w:r>
              <w:rPr>
                <w:rFonts w:hint="eastAsia" w:ascii="宋体" w:hAnsi="宋体" w:cs="宋体"/>
                <w:sz w:val="24"/>
                <w:szCs w:val="24"/>
              </w:rPr>
              <w:t>专职：□</w:t>
            </w:r>
          </w:p>
          <w:p w14:paraId="16242609">
            <w:pPr>
              <w:autoSpaceDE w:val="0"/>
              <w:autoSpaceDN w:val="0"/>
              <w:adjustRightInd w:val="0"/>
              <w:rPr>
                <w:rFonts w:ascii="宋体" w:hAnsi="宋体" w:cs="宋体"/>
                <w:sz w:val="24"/>
                <w:szCs w:val="24"/>
              </w:rPr>
            </w:pPr>
            <w:r>
              <w:rPr>
                <w:rFonts w:hint="eastAsia" w:ascii="宋体" w:hAnsi="宋体" w:cs="宋体"/>
                <w:sz w:val="24"/>
                <w:szCs w:val="24"/>
              </w:rPr>
              <w:t>可兼任：□</w:t>
            </w:r>
          </w:p>
        </w:tc>
      </w:tr>
      <w:tr w14:paraId="44C4C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675AB76E">
            <w:pPr>
              <w:autoSpaceDE w:val="0"/>
              <w:autoSpaceDN w:val="0"/>
              <w:adjustRightInd w:val="0"/>
              <w:jc w:val="center"/>
              <w:rPr>
                <w:rFonts w:ascii="宋体" w:hAnsi="宋体"/>
                <w:sz w:val="24"/>
                <w:szCs w:val="24"/>
              </w:rPr>
            </w:pPr>
            <w:r>
              <w:rPr>
                <w:rFonts w:hint="eastAsia" w:ascii="Times New Roman" w:hAnsi="Times New Roman" w:eastAsia="宋体" w:cs="Times New Roman"/>
                <w:color w:val="auto"/>
                <w:sz w:val="24"/>
                <w:szCs w:val="24"/>
                <w:highlight w:val="none"/>
              </w:rPr>
              <w:t>资料员</w:t>
            </w:r>
          </w:p>
        </w:tc>
        <w:tc>
          <w:tcPr>
            <w:tcW w:w="709" w:type="dxa"/>
            <w:tcBorders>
              <w:top w:val="single" w:color="auto" w:sz="4" w:space="0"/>
              <w:left w:val="single" w:color="auto" w:sz="4" w:space="0"/>
              <w:bottom w:val="single" w:color="auto" w:sz="4" w:space="0"/>
              <w:right w:val="single" w:color="auto" w:sz="4" w:space="0"/>
            </w:tcBorders>
            <w:vAlign w:val="center"/>
          </w:tcPr>
          <w:p w14:paraId="47B126B6">
            <w:pPr>
              <w:autoSpaceDE w:val="0"/>
              <w:autoSpaceDN w:val="0"/>
              <w:adjustRightInd w:val="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4078F900">
            <w:pPr>
              <w:autoSpaceDE w:val="0"/>
              <w:autoSpaceDN w:val="0"/>
              <w:adjustRightInd w:val="0"/>
              <w:jc w:val="center"/>
              <w:rPr>
                <w:rFonts w:ascii="宋体" w:hAnsi="宋体"/>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B123C5D">
            <w:pPr>
              <w:autoSpaceDE w:val="0"/>
              <w:autoSpaceDN w:val="0"/>
              <w:adjustRightInd w:val="0"/>
              <w:jc w:val="center"/>
              <w:rPr>
                <w:rFonts w:ascii="宋体" w:hAnsi="宋体"/>
                <w:sz w:val="24"/>
                <w:szCs w:val="24"/>
              </w:rPr>
            </w:pPr>
          </w:p>
        </w:tc>
        <w:tc>
          <w:tcPr>
            <w:tcW w:w="1135" w:type="dxa"/>
            <w:tcBorders>
              <w:top w:val="single" w:color="auto" w:sz="4" w:space="0"/>
              <w:left w:val="single" w:color="auto" w:sz="4" w:space="0"/>
              <w:bottom w:val="single" w:color="auto" w:sz="4" w:space="0"/>
              <w:right w:val="single" w:color="auto" w:sz="4" w:space="0"/>
            </w:tcBorders>
            <w:vAlign w:val="center"/>
          </w:tcPr>
          <w:p w14:paraId="6D950637">
            <w:pPr>
              <w:autoSpaceDE w:val="0"/>
              <w:autoSpaceDN w:val="0"/>
              <w:adjustRightInd w:val="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48768164">
            <w:pPr>
              <w:autoSpaceDE w:val="0"/>
              <w:autoSpaceDN w:val="0"/>
              <w:adjustRightInd w:val="0"/>
              <w:jc w:val="center"/>
              <w:rPr>
                <w:rFonts w:ascii="宋体" w:hAnsi="宋体"/>
                <w:sz w:val="24"/>
                <w:szCs w:val="24"/>
              </w:rPr>
            </w:pPr>
          </w:p>
        </w:tc>
        <w:tc>
          <w:tcPr>
            <w:tcW w:w="803" w:type="dxa"/>
            <w:tcBorders>
              <w:top w:val="single" w:color="auto" w:sz="4" w:space="0"/>
              <w:left w:val="single" w:color="auto" w:sz="4" w:space="0"/>
              <w:bottom w:val="single" w:color="auto" w:sz="4" w:space="0"/>
              <w:right w:val="single" w:color="auto" w:sz="4" w:space="0"/>
            </w:tcBorders>
            <w:vAlign w:val="center"/>
          </w:tcPr>
          <w:p w14:paraId="321114F9">
            <w:pPr>
              <w:autoSpaceDE w:val="0"/>
              <w:autoSpaceDN w:val="0"/>
              <w:adjustRightInd w:val="0"/>
              <w:jc w:val="center"/>
              <w:rPr>
                <w:rFonts w:ascii="宋体" w:hAnsi="宋体"/>
                <w:sz w:val="24"/>
                <w:szCs w:val="24"/>
              </w:rPr>
            </w:pPr>
          </w:p>
        </w:tc>
        <w:tc>
          <w:tcPr>
            <w:tcW w:w="1702" w:type="dxa"/>
            <w:tcBorders>
              <w:top w:val="single" w:color="auto" w:sz="4" w:space="0"/>
              <w:left w:val="single" w:color="auto" w:sz="4" w:space="0"/>
              <w:bottom w:val="single" w:color="auto" w:sz="4" w:space="0"/>
              <w:right w:val="single" w:color="auto" w:sz="4" w:space="0"/>
            </w:tcBorders>
            <w:vAlign w:val="center"/>
          </w:tcPr>
          <w:p w14:paraId="7F07098B">
            <w:pPr>
              <w:autoSpaceDE w:val="0"/>
              <w:autoSpaceDN w:val="0"/>
              <w:adjustRightInd w:val="0"/>
              <w:jc w:val="center"/>
              <w:rPr>
                <w:rFonts w:ascii="宋体" w:hAnsi="宋体"/>
                <w:sz w:val="24"/>
                <w:szCs w:val="24"/>
              </w:rPr>
            </w:pPr>
          </w:p>
        </w:tc>
        <w:tc>
          <w:tcPr>
            <w:tcW w:w="1403" w:type="dxa"/>
            <w:tcBorders>
              <w:top w:val="single" w:color="auto" w:sz="4" w:space="0"/>
              <w:left w:val="single" w:color="auto" w:sz="4" w:space="0"/>
              <w:bottom w:val="single" w:color="auto" w:sz="4" w:space="0"/>
              <w:right w:val="single" w:color="auto" w:sz="4" w:space="0"/>
            </w:tcBorders>
            <w:vAlign w:val="center"/>
          </w:tcPr>
          <w:p w14:paraId="2D7B7958">
            <w:pPr>
              <w:rPr>
                <w:rFonts w:ascii="宋体" w:hAnsi="宋体" w:cs="宋体"/>
                <w:sz w:val="24"/>
                <w:szCs w:val="24"/>
              </w:rPr>
            </w:pPr>
            <w:r>
              <w:rPr>
                <w:rFonts w:hint="eastAsia" w:ascii="宋体" w:hAnsi="宋体" w:cs="宋体"/>
                <w:sz w:val="24"/>
                <w:szCs w:val="24"/>
              </w:rPr>
              <w:t xml:space="preserve">专职：□ </w:t>
            </w:r>
          </w:p>
          <w:p w14:paraId="3E6594E7">
            <w:pPr>
              <w:autoSpaceDE w:val="0"/>
              <w:autoSpaceDN w:val="0"/>
              <w:adjustRightInd w:val="0"/>
              <w:rPr>
                <w:rFonts w:ascii="宋体" w:hAnsi="宋体" w:cs="宋体"/>
                <w:sz w:val="24"/>
                <w:szCs w:val="24"/>
              </w:rPr>
            </w:pPr>
            <w:r>
              <w:rPr>
                <w:rFonts w:hint="eastAsia" w:ascii="宋体" w:hAnsi="宋体" w:cs="宋体"/>
                <w:sz w:val="24"/>
                <w:szCs w:val="24"/>
              </w:rPr>
              <w:t>可兼任：□</w:t>
            </w:r>
          </w:p>
        </w:tc>
      </w:tr>
      <w:tr w14:paraId="13F42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1F46EF7E">
            <w:pPr>
              <w:autoSpaceDE w:val="0"/>
              <w:autoSpaceDN w:val="0"/>
              <w:adjustRightInd w:val="0"/>
              <w:jc w:val="center"/>
              <w:rPr>
                <w:rFonts w:ascii="宋体" w:hAnsi="宋体"/>
                <w:sz w:val="24"/>
                <w:szCs w:val="24"/>
              </w:rPr>
            </w:pPr>
            <w:r>
              <w:rPr>
                <w:rFonts w:hint="eastAsia" w:ascii="宋体" w:hAnsi="宋体"/>
                <w:sz w:val="24"/>
                <w:szCs w:val="24"/>
              </w:rPr>
              <w:t>...</w:t>
            </w:r>
          </w:p>
        </w:tc>
        <w:tc>
          <w:tcPr>
            <w:tcW w:w="709" w:type="dxa"/>
            <w:tcBorders>
              <w:top w:val="single" w:color="auto" w:sz="4" w:space="0"/>
              <w:left w:val="single" w:color="auto" w:sz="4" w:space="0"/>
              <w:bottom w:val="single" w:color="auto" w:sz="4" w:space="0"/>
              <w:right w:val="single" w:color="auto" w:sz="4" w:space="0"/>
            </w:tcBorders>
            <w:vAlign w:val="center"/>
          </w:tcPr>
          <w:p w14:paraId="64CFF960">
            <w:pPr>
              <w:autoSpaceDE w:val="0"/>
              <w:autoSpaceDN w:val="0"/>
              <w:adjustRightInd w:val="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00B0AA51">
            <w:pPr>
              <w:autoSpaceDE w:val="0"/>
              <w:autoSpaceDN w:val="0"/>
              <w:adjustRightInd w:val="0"/>
              <w:jc w:val="center"/>
              <w:rPr>
                <w:rFonts w:ascii="宋体" w:hAnsi="宋体"/>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588D661">
            <w:pPr>
              <w:autoSpaceDE w:val="0"/>
              <w:autoSpaceDN w:val="0"/>
              <w:adjustRightInd w:val="0"/>
              <w:jc w:val="center"/>
              <w:rPr>
                <w:rFonts w:ascii="宋体" w:hAnsi="宋体"/>
                <w:sz w:val="24"/>
                <w:szCs w:val="24"/>
              </w:rPr>
            </w:pPr>
          </w:p>
        </w:tc>
        <w:tc>
          <w:tcPr>
            <w:tcW w:w="1135" w:type="dxa"/>
            <w:tcBorders>
              <w:top w:val="single" w:color="auto" w:sz="4" w:space="0"/>
              <w:left w:val="single" w:color="auto" w:sz="4" w:space="0"/>
              <w:bottom w:val="single" w:color="auto" w:sz="4" w:space="0"/>
              <w:right w:val="single" w:color="auto" w:sz="4" w:space="0"/>
            </w:tcBorders>
            <w:vAlign w:val="center"/>
          </w:tcPr>
          <w:p w14:paraId="51709F8A">
            <w:pPr>
              <w:autoSpaceDE w:val="0"/>
              <w:autoSpaceDN w:val="0"/>
              <w:adjustRightInd w:val="0"/>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3FABEAF4">
            <w:pPr>
              <w:autoSpaceDE w:val="0"/>
              <w:autoSpaceDN w:val="0"/>
              <w:adjustRightInd w:val="0"/>
              <w:jc w:val="center"/>
              <w:rPr>
                <w:rFonts w:ascii="宋体" w:hAnsi="宋体"/>
                <w:sz w:val="24"/>
                <w:szCs w:val="24"/>
              </w:rPr>
            </w:pPr>
          </w:p>
        </w:tc>
        <w:tc>
          <w:tcPr>
            <w:tcW w:w="803" w:type="dxa"/>
            <w:tcBorders>
              <w:top w:val="single" w:color="auto" w:sz="4" w:space="0"/>
              <w:left w:val="single" w:color="auto" w:sz="4" w:space="0"/>
              <w:bottom w:val="single" w:color="auto" w:sz="4" w:space="0"/>
              <w:right w:val="single" w:color="auto" w:sz="4" w:space="0"/>
            </w:tcBorders>
            <w:vAlign w:val="center"/>
          </w:tcPr>
          <w:p w14:paraId="6BD6712C">
            <w:pPr>
              <w:autoSpaceDE w:val="0"/>
              <w:autoSpaceDN w:val="0"/>
              <w:adjustRightInd w:val="0"/>
              <w:jc w:val="center"/>
              <w:rPr>
                <w:rFonts w:ascii="宋体" w:hAnsi="宋体"/>
                <w:sz w:val="24"/>
                <w:szCs w:val="24"/>
              </w:rPr>
            </w:pPr>
          </w:p>
        </w:tc>
        <w:tc>
          <w:tcPr>
            <w:tcW w:w="1702" w:type="dxa"/>
            <w:tcBorders>
              <w:top w:val="single" w:color="auto" w:sz="4" w:space="0"/>
              <w:left w:val="single" w:color="auto" w:sz="4" w:space="0"/>
              <w:bottom w:val="single" w:color="auto" w:sz="4" w:space="0"/>
              <w:right w:val="single" w:color="auto" w:sz="4" w:space="0"/>
            </w:tcBorders>
            <w:vAlign w:val="center"/>
          </w:tcPr>
          <w:p w14:paraId="4D4DFE16">
            <w:pPr>
              <w:autoSpaceDE w:val="0"/>
              <w:autoSpaceDN w:val="0"/>
              <w:adjustRightInd w:val="0"/>
              <w:jc w:val="center"/>
              <w:rPr>
                <w:rFonts w:ascii="宋体" w:hAnsi="宋体"/>
                <w:sz w:val="24"/>
                <w:szCs w:val="24"/>
              </w:rPr>
            </w:pPr>
          </w:p>
        </w:tc>
        <w:tc>
          <w:tcPr>
            <w:tcW w:w="1403" w:type="dxa"/>
            <w:tcBorders>
              <w:top w:val="single" w:color="auto" w:sz="4" w:space="0"/>
              <w:left w:val="single" w:color="auto" w:sz="4" w:space="0"/>
              <w:bottom w:val="single" w:color="auto" w:sz="4" w:space="0"/>
              <w:right w:val="single" w:color="auto" w:sz="4" w:space="0"/>
            </w:tcBorders>
            <w:vAlign w:val="center"/>
          </w:tcPr>
          <w:p w14:paraId="0F61A261">
            <w:pPr>
              <w:rPr>
                <w:rFonts w:ascii="宋体" w:hAnsi="宋体" w:cs="宋体"/>
                <w:sz w:val="24"/>
                <w:szCs w:val="24"/>
              </w:rPr>
            </w:pPr>
            <w:r>
              <w:rPr>
                <w:rFonts w:hint="eastAsia" w:ascii="宋体" w:hAnsi="宋体" w:cs="宋体"/>
                <w:sz w:val="24"/>
                <w:szCs w:val="24"/>
              </w:rPr>
              <w:t xml:space="preserve">专职：□ </w:t>
            </w:r>
          </w:p>
          <w:p w14:paraId="29229258">
            <w:pPr>
              <w:autoSpaceDE w:val="0"/>
              <w:autoSpaceDN w:val="0"/>
              <w:adjustRightInd w:val="0"/>
              <w:rPr>
                <w:rFonts w:ascii="宋体" w:hAnsi="宋体" w:cs="宋体"/>
                <w:sz w:val="24"/>
                <w:szCs w:val="24"/>
              </w:rPr>
            </w:pPr>
            <w:r>
              <w:rPr>
                <w:rFonts w:hint="eastAsia" w:ascii="宋体" w:hAnsi="宋体" w:cs="宋体"/>
                <w:sz w:val="24"/>
                <w:szCs w:val="24"/>
              </w:rPr>
              <w:t>可兼任：□</w:t>
            </w:r>
          </w:p>
        </w:tc>
      </w:tr>
    </w:tbl>
    <w:p w14:paraId="23CF5ED5">
      <w:pPr>
        <w:widowControl w:val="0"/>
        <w:spacing w:line="600" w:lineRule="atLeas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lang w:eastAsia="zh-CN"/>
        </w:rPr>
        <w:t>电子公章</w:t>
      </w:r>
      <w:r>
        <w:rPr>
          <w:rFonts w:hint="eastAsia" w:ascii="宋体" w:hAnsi="宋体" w:eastAsia="宋体" w:cs="宋体"/>
          <w:sz w:val="24"/>
          <w:szCs w:val="24"/>
        </w:rPr>
        <w:t xml:space="preserve">）   </w:t>
      </w:r>
    </w:p>
    <w:p w14:paraId="17D3686D">
      <w:pPr>
        <w:widowControl w:val="0"/>
        <w:spacing w:line="600" w:lineRule="atLeas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法定代表人</w:t>
      </w:r>
      <w:r>
        <w:rPr>
          <w:rFonts w:hint="eastAsia" w:ascii="宋体" w:hAnsi="宋体" w:eastAsia="宋体" w:cs="宋体"/>
          <w:sz w:val="24"/>
          <w:szCs w:val="24"/>
        </w:rPr>
        <w:t>或委托代理人：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lang w:eastAsia="zh-CN"/>
        </w:rPr>
        <w:t>电子签名</w:t>
      </w:r>
      <w:r>
        <w:rPr>
          <w:rFonts w:hint="eastAsia" w:ascii="宋体" w:hAnsi="宋体" w:eastAsia="宋体" w:cs="宋体"/>
          <w:sz w:val="24"/>
          <w:szCs w:val="24"/>
        </w:rPr>
        <w:t xml:space="preserve">） </w:t>
      </w:r>
    </w:p>
    <w:p w14:paraId="1ABFDB86">
      <w:pPr>
        <w:widowControl w:val="0"/>
        <w:spacing w:line="600" w:lineRule="atLeast"/>
        <w:ind w:firstLine="480" w:firstLineChars="200"/>
        <w:rPr>
          <w:rFonts w:hint="eastAsia"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351B287D">
      <w:pPr>
        <w:spacing w:line="440" w:lineRule="exact"/>
        <w:jc w:val="both"/>
        <w:rPr>
          <w:rFonts w:hint="eastAsia" w:ascii="宋体" w:hAnsi="宋体" w:eastAsia="宋体" w:cs="宋体"/>
          <w:b/>
          <w:bCs/>
          <w:color w:val="auto"/>
          <w:sz w:val="28"/>
          <w:szCs w:val="28"/>
          <w:highlight w:val="none"/>
        </w:rPr>
      </w:pPr>
      <w:r>
        <w:rPr>
          <w:szCs w:val="21"/>
        </w:rPr>
        <w:br w:type="page"/>
      </w:r>
    </w:p>
    <w:p w14:paraId="14D801A8">
      <w:pPr>
        <w:numPr>
          <w:ilvl w:val="0"/>
          <w:numId w:val="0"/>
        </w:numPr>
        <w:rPr>
          <w:rFonts w:hint="eastAsia"/>
          <w:lang w:val="en-US" w:eastAsia="zh-CN"/>
        </w:rPr>
      </w:pPr>
    </w:p>
    <w:p w14:paraId="313AA01B">
      <w:pPr>
        <w:pStyle w:val="2"/>
        <w:bidi w:val="0"/>
        <w:jc w:val="center"/>
        <w:outlineLvl w:val="0"/>
        <w:rPr>
          <w:rFonts w:hint="eastAsia"/>
          <w:sz w:val="44"/>
          <w:szCs w:val="44"/>
          <w:lang w:val="en-US" w:eastAsia="zh-CN"/>
        </w:rPr>
      </w:pPr>
      <w:bookmarkStart w:id="342" w:name="_Toc12898"/>
      <w:bookmarkStart w:id="343" w:name="_Toc28307"/>
      <w:bookmarkStart w:id="344" w:name="_Toc19434"/>
      <w:bookmarkStart w:id="345" w:name="_Toc504656712"/>
      <w:r>
        <w:rPr>
          <w:rFonts w:hint="eastAsia"/>
          <w:sz w:val="44"/>
          <w:szCs w:val="44"/>
          <w:lang w:val="en-US" w:eastAsia="zh-CN"/>
        </w:rPr>
        <w:t>第六章 合同书样本</w:t>
      </w:r>
      <w:bookmarkEnd w:id="342"/>
      <w:bookmarkEnd w:id="343"/>
      <w:bookmarkEnd w:id="344"/>
    </w:p>
    <w:bookmarkEnd w:id="345"/>
    <w:p w14:paraId="5FC4077B">
      <w:pPr>
        <w:pageBreakBefore w:val="0"/>
        <w:widowControl/>
        <w:kinsoku/>
        <w:wordWrap/>
        <w:overflowPunct/>
        <w:topLinePunct w:val="0"/>
        <w:autoSpaceDE/>
        <w:autoSpaceDN/>
        <w:bidi w:val="0"/>
        <w:adjustRightInd w:val="0"/>
        <w:snapToGrid w:val="0"/>
        <w:spacing w:line="360" w:lineRule="auto"/>
        <w:ind w:firstLine="420" w:firstLineChars="175"/>
        <w:jc w:val="center"/>
        <w:rPr>
          <w:rFonts w:hint="eastAsia" w:ascii="Calibri" w:hAnsi="Calibri" w:cs="Calibri"/>
          <w:color w:val="auto"/>
          <w:sz w:val="24"/>
          <w:szCs w:val="24"/>
          <w:highlight w:val="none"/>
          <w:lang w:val="en-US" w:eastAsia="zh-CN"/>
        </w:rPr>
      </w:pPr>
      <w:r>
        <w:rPr>
          <w:rFonts w:hint="eastAsia" w:ascii="Calibri" w:hAnsi="Calibri" w:cs="Calibri"/>
          <w:color w:val="auto"/>
          <w:sz w:val="24"/>
          <w:szCs w:val="24"/>
          <w:highlight w:val="none"/>
          <w:lang w:val="en-US" w:eastAsia="zh-CN"/>
        </w:rPr>
        <w:t>（本合同内容仅供参考，本项目合同以采购人与成交的供应商合同谈判后签订的为准，可根据采购结果需要进行适时修改，但不得改变成交金额、合同履行期限等实质性条款）</w:t>
      </w:r>
    </w:p>
    <w:p w14:paraId="70605754">
      <w:pPr>
        <w:jc w:val="left"/>
        <w:rPr>
          <w:rFonts w:ascii="宋体" w:hAnsi="宋体"/>
          <w:bCs/>
          <w:color w:val="000000"/>
          <w:sz w:val="32"/>
          <w:szCs w:val="32"/>
        </w:rPr>
      </w:pPr>
      <w:r>
        <w:rPr>
          <w:rFonts w:ascii="宋体" w:hAnsi="宋体"/>
          <w:bCs/>
          <w:color w:val="000000"/>
          <w:sz w:val="32"/>
          <w:szCs w:val="32"/>
        </w:rPr>
        <w:t>（GF—201</w:t>
      </w:r>
      <w:r>
        <w:rPr>
          <w:rFonts w:hint="eastAsia" w:ascii="宋体" w:hAnsi="宋体"/>
          <w:bCs/>
          <w:color w:val="000000"/>
          <w:sz w:val="32"/>
          <w:szCs w:val="32"/>
        </w:rPr>
        <w:t>7</w:t>
      </w:r>
      <w:r>
        <w:rPr>
          <w:rFonts w:ascii="宋体" w:hAnsi="宋体"/>
          <w:bCs/>
          <w:color w:val="000000"/>
          <w:sz w:val="32"/>
          <w:szCs w:val="32"/>
        </w:rPr>
        <w:t>—</w:t>
      </w:r>
      <w:r>
        <w:rPr>
          <w:rFonts w:hint="eastAsia" w:ascii="宋体" w:hAnsi="宋体"/>
          <w:bCs/>
          <w:color w:val="000000"/>
          <w:sz w:val="32"/>
          <w:szCs w:val="32"/>
        </w:rPr>
        <w:t>0201）</w:t>
      </w:r>
    </w:p>
    <w:p w14:paraId="21C03E33">
      <w:pPr>
        <w:jc w:val="center"/>
        <w:rPr>
          <w:rFonts w:hint="eastAsia" w:ascii="宋体" w:hAnsi="宋体"/>
          <w:b/>
          <w:color w:val="000000"/>
          <w:sz w:val="52"/>
          <w:szCs w:val="52"/>
        </w:rPr>
      </w:pPr>
    </w:p>
    <w:p w14:paraId="38CDA565">
      <w:pPr>
        <w:jc w:val="center"/>
        <w:rPr>
          <w:rFonts w:ascii="宋体" w:hAnsi="宋体"/>
          <w:b/>
          <w:color w:val="000000"/>
          <w:sz w:val="52"/>
          <w:szCs w:val="52"/>
        </w:rPr>
      </w:pPr>
    </w:p>
    <w:p w14:paraId="51E49542">
      <w:pPr>
        <w:pStyle w:val="27"/>
      </w:pPr>
    </w:p>
    <w:p w14:paraId="63971833">
      <w:pPr>
        <w:jc w:val="center"/>
        <w:rPr>
          <w:rFonts w:ascii="宋体" w:hAnsi="宋体"/>
          <w:b/>
          <w:color w:val="000000"/>
          <w:sz w:val="72"/>
          <w:szCs w:val="52"/>
        </w:rPr>
      </w:pPr>
    </w:p>
    <w:p w14:paraId="338448E3">
      <w:pPr>
        <w:jc w:val="center"/>
        <w:rPr>
          <w:rFonts w:ascii="宋体" w:hAnsi="宋体"/>
          <w:b/>
          <w:color w:val="000000"/>
          <w:sz w:val="52"/>
          <w:szCs w:val="52"/>
        </w:rPr>
      </w:pPr>
      <w:r>
        <w:rPr>
          <w:rFonts w:ascii="宋体" w:hAnsi="宋体"/>
          <w:b/>
          <w:color w:val="000000"/>
          <w:sz w:val="72"/>
          <w:szCs w:val="52"/>
        </w:rPr>
        <w:t>建设工程施工合同</w:t>
      </w:r>
    </w:p>
    <w:p w14:paraId="367C07AD">
      <w:pPr>
        <w:jc w:val="center"/>
        <w:rPr>
          <w:rFonts w:ascii="宋体" w:hAnsi="宋体"/>
          <w:b/>
          <w:color w:val="000000"/>
          <w:sz w:val="52"/>
          <w:szCs w:val="52"/>
        </w:rPr>
      </w:pPr>
    </w:p>
    <w:p w14:paraId="27CAEC29">
      <w:pPr>
        <w:jc w:val="center"/>
        <w:rPr>
          <w:rFonts w:ascii="宋体" w:hAnsi="宋体"/>
          <w:b/>
          <w:color w:val="000000"/>
          <w:sz w:val="52"/>
          <w:szCs w:val="52"/>
        </w:rPr>
      </w:pPr>
    </w:p>
    <w:p w14:paraId="5B48BDED">
      <w:pPr>
        <w:rPr>
          <w:rFonts w:ascii="宋体" w:hAnsi="宋体"/>
          <w:b/>
          <w:color w:val="000000"/>
          <w:sz w:val="28"/>
          <w:szCs w:val="28"/>
        </w:rPr>
      </w:pPr>
    </w:p>
    <w:p w14:paraId="5414BDBC">
      <w:pPr>
        <w:rPr>
          <w:rFonts w:ascii="宋体" w:hAnsi="宋体"/>
          <w:b/>
          <w:color w:val="000000"/>
          <w:sz w:val="28"/>
          <w:szCs w:val="28"/>
        </w:rPr>
      </w:pPr>
    </w:p>
    <w:p w14:paraId="4C8C10F2">
      <w:pPr>
        <w:rPr>
          <w:rFonts w:ascii="宋体" w:hAnsi="宋体"/>
          <w:b/>
          <w:color w:val="000000"/>
          <w:sz w:val="28"/>
          <w:szCs w:val="28"/>
        </w:rPr>
      </w:pPr>
    </w:p>
    <w:p w14:paraId="170A9409">
      <w:pPr>
        <w:ind w:right="2719" w:rightChars="1295"/>
        <w:jc w:val="distribute"/>
        <w:rPr>
          <w:rFonts w:ascii="宋体" w:hAnsi="宋体"/>
          <w:b/>
          <w:color w:val="000000"/>
          <w:sz w:val="32"/>
          <w:szCs w:val="28"/>
        </w:rPr>
      </w:pPr>
      <w:r>
        <w:rPr>
          <w:rFonts w:ascii="宋体" w:hAnsi="宋体"/>
          <w:color w:val="000000"/>
        </w:rPr>
        <mc:AlternateContent>
          <mc:Choice Requires="wps">
            <w:drawing>
              <wp:anchor distT="0" distB="0" distL="114300" distR="114300" simplePos="0" relativeHeight="251659264" behindDoc="0" locked="0" layoutInCell="1" allowOverlap="1">
                <wp:simplePos x="0" y="0"/>
                <wp:positionH relativeFrom="column">
                  <wp:posOffset>4332605</wp:posOffset>
                </wp:positionH>
                <wp:positionV relativeFrom="paragraph">
                  <wp:posOffset>171450</wp:posOffset>
                </wp:positionV>
                <wp:extent cx="723900" cy="457200"/>
                <wp:effectExtent l="4445" t="4445" r="14605" b="14605"/>
                <wp:wrapNone/>
                <wp:docPr id="6" name="文本框 6"/>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a:solidFill>
                            <a:srgbClr val="FFFFFF"/>
                          </a:solidFill>
                          <a:prstDash val="solid"/>
                          <a:miter lim="0"/>
                        </a:ln>
                        <a:effectLst/>
                      </wps:spPr>
                      <wps:txbx>
                        <w:txbxContent>
                          <w:p w14:paraId="324B5380">
                            <w:pPr>
                              <w:rPr>
                                <w:rFonts w:hint="eastAsia"/>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41.15pt;margin-top:13.5pt;height:36pt;width:57pt;z-index:251659264;mso-width-relative:page;mso-height-relative:page;" filled="f" stroked="t" coordsize="21600,21600" o:gfxdata="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G9pFHHXAAAACQEA&#10;AA8AAAAAAAAAAQAgAAAAIgAAAGRycy9kb3ducmV2LnhtbFBLAQIUABQAAAAIAIdO4kAENAkt4gEA&#10;ALgDAAAOAAAAAAAAAAEAIAAAACYBAABkcnMvZTJvRG9jLnhtbFBLBQYAAAAABgAGAFkBAAB6BQAA&#10;AAA=&#10;">
                <v:fill on="f" focussize="0,0"/>
                <v:stroke color="#FFFFFF" miterlimit="0" joinstyle="miter"/>
                <v:imagedata o:title=""/>
                <o:lock v:ext="edit" aspectratio="f"/>
                <v:textbox>
                  <w:txbxContent>
                    <w:p w14:paraId="324B5380">
                      <w:pPr>
                        <w:rPr>
                          <w:rFonts w:hint="eastAsia"/>
                          <w:b/>
                          <w:bCs/>
                          <w:sz w:val="32"/>
                        </w:rPr>
                      </w:pPr>
                      <w:r>
                        <w:rPr>
                          <w:rFonts w:hint="eastAsia"/>
                          <w:b/>
                          <w:bCs/>
                          <w:sz w:val="32"/>
                        </w:rPr>
                        <w:t>制定</w:t>
                      </w:r>
                    </w:p>
                  </w:txbxContent>
                </v:textbox>
              </v:shape>
            </w:pict>
          </mc:Fallback>
        </mc:AlternateContent>
      </w:r>
      <w:r>
        <w:rPr>
          <w:rFonts w:hint="eastAsia" w:ascii="宋体" w:hAnsi="宋体"/>
          <w:b/>
          <w:color w:val="000000"/>
          <w:sz w:val="32"/>
          <w:szCs w:val="28"/>
        </w:rPr>
        <w:t xml:space="preserve">               </w:t>
      </w:r>
      <w:r>
        <w:rPr>
          <w:rFonts w:ascii="宋体" w:hAnsi="宋体"/>
          <w:b/>
          <w:color w:val="000000"/>
          <w:sz w:val="32"/>
          <w:szCs w:val="28"/>
        </w:rPr>
        <w:t>住房城乡建设部</w:t>
      </w:r>
    </w:p>
    <w:p w14:paraId="76046A90">
      <w:pPr>
        <w:ind w:right="2719" w:rightChars="1295"/>
        <w:jc w:val="center"/>
        <w:rPr>
          <w:rFonts w:ascii="宋体" w:hAnsi="宋体"/>
          <w:b/>
          <w:color w:val="000000"/>
          <w:sz w:val="32"/>
          <w:szCs w:val="28"/>
        </w:rPr>
      </w:pPr>
      <w:r>
        <w:rPr>
          <w:rFonts w:hint="eastAsia" w:ascii="宋体" w:hAnsi="宋体"/>
          <w:b/>
          <w:color w:val="000000"/>
          <w:sz w:val="32"/>
          <w:szCs w:val="28"/>
        </w:rPr>
        <w:t xml:space="preserve">              </w:t>
      </w:r>
      <w:r>
        <w:rPr>
          <w:rFonts w:ascii="宋体" w:hAnsi="宋体"/>
          <w:b/>
          <w:color w:val="000000"/>
          <w:sz w:val="32"/>
          <w:szCs w:val="28"/>
        </w:rPr>
        <w:t>国家工商行政管理总局</w:t>
      </w:r>
    </w:p>
    <w:p w14:paraId="3F8DEF16">
      <w:pPr>
        <w:ind w:right="2719" w:rightChars="1295"/>
        <w:jc w:val="center"/>
        <w:rPr>
          <w:rFonts w:ascii="宋体" w:hAnsi="宋体"/>
          <w:b/>
          <w:color w:val="000000"/>
          <w:sz w:val="32"/>
          <w:szCs w:val="28"/>
        </w:rPr>
      </w:pPr>
    </w:p>
    <w:p w14:paraId="4487C254">
      <w:pPr>
        <w:pStyle w:val="3"/>
        <w:spacing w:before="0" w:after="0" w:line="360" w:lineRule="auto"/>
        <w:jc w:val="center"/>
        <w:rPr>
          <w:rFonts w:ascii="宋体" w:hAnsi="宋体"/>
          <w:b w:val="0"/>
          <w:color w:val="000000"/>
          <w:sz w:val="44"/>
          <w:szCs w:val="44"/>
        </w:rPr>
      </w:pPr>
      <w:r>
        <w:rPr>
          <w:rFonts w:ascii="宋体" w:hAnsi="宋体"/>
          <w:color w:val="000000"/>
        </w:rPr>
        <w:br w:type="page"/>
      </w:r>
      <w:bookmarkStart w:id="346" w:name="_Toc514063022"/>
      <w:bookmarkStart w:id="347" w:name="_Toc4494123"/>
      <w:bookmarkStart w:id="348" w:name="_Toc22376"/>
      <w:bookmarkStart w:id="349" w:name="_Toc4494242"/>
      <w:bookmarkStart w:id="350" w:name="_Toc533498325"/>
      <w:r>
        <w:rPr>
          <w:rFonts w:ascii="宋体" w:hAnsi="宋体"/>
          <w:color w:val="000000"/>
          <w:sz w:val="30"/>
          <w:szCs w:val="30"/>
        </w:rPr>
        <w:t>第一部分 合同协议书</w:t>
      </w:r>
      <w:bookmarkEnd w:id="346"/>
      <w:bookmarkEnd w:id="347"/>
      <w:bookmarkEnd w:id="348"/>
      <w:bookmarkEnd w:id="349"/>
      <w:bookmarkEnd w:id="350"/>
    </w:p>
    <w:p w14:paraId="4150F6E2">
      <w:pPr>
        <w:keepNext w:val="0"/>
        <w:keepLines w:val="0"/>
        <w:pageBreakBefore w:val="0"/>
        <w:widowControl w:val="0"/>
        <w:kinsoku/>
        <w:wordWrap/>
        <w:overflowPunct/>
        <w:topLinePunct w:val="0"/>
        <w:bidi w:val="0"/>
        <w:snapToGrid/>
        <w:spacing w:line="360" w:lineRule="auto"/>
        <w:ind w:firstLine="482" w:firstLineChars="200"/>
        <w:contextualSpacing/>
        <w:textAlignment w:val="auto"/>
        <w:rPr>
          <w:rFonts w:hint="eastAsia" w:ascii="宋体" w:hAnsi="宋体" w:eastAsia="宋体" w:cs="宋体"/>
          <w:color w:val="000000"/>
          <w:sz w:val="24"/>
          <w:szCs w:val="24"/>
          <w:u w:val="single"/>
        </w:rPr>
      </w:pPr>
      <w:r>
        <w:rPr>
          <w:rFonts w:hint="eastAsia" w:ascii="宋体" w:hAnsi="宋体" w:eastAsia="宋体" w:cs="宋体"/>
          <w:b/>
          <w:color w:val="000000"/>
          <w:sz w:val="24"/>
          <w:szCs w:val="24"/>
        </w:rPr>
        <w:t>发包人（全称）：</w:t>
      </w:r>
      <w:r>
        <w:rPr>
          <w:rFonts w:hint="eastAsia" w:ascii="宋体" w:hAnsi="宋体" w:eastAsia="宋体" w:cs="宋体"/>
          <w:b/>
          <w:color w:val="000000"/>
          <w:sz w:val="24"/>
          <w:szCs w:val="24"/>
          <w:u w:val="single"/>
        </w:rPr>
        <w:t xml:space="preserve"> </w:t>
      </w:r>
      <w:r>
        <w:rPr>
          <w:rFonts w:hint="eastAsia" w:ascii="宋体" w:hAnsi="宋体" w:eastAsia="宋体" w:cs="宋体"/>
          <w:color w:val="000000"/>
          <w:sz w:val="24"/>
          <w:szCs w:val="24"/>
          <w:u w:val="single"/>
        </w:rPr>
        <w:t xml:space="preserve">                            </w:t>
      </w:r>
    </w:p>
    <w:p w14:paraId="49551E7D">
      <w:pPr>
        <w:keepNext w:val="0"/>
        <w:keepLines w:val="0"/>
        <w:pageBreakBefore w:val="0"/>
        <w:widowControl w:val="0"/>
        <w:kinsoku/>
        <w:wordWrap/>
        <w:overflowPunct/>
        <w:topLinePunct w:val="0"/>
        <w:bidi w:val="0"/>
        <w:snapToGrid/>
        <w:spacing w:line="360" w:lineRule="auto"/>
        <w:ind w:firstLine="482" w:firstLineChars="200"/>
        <w:contextualSpacing/>
        <w:textAlignment w:val="auto"/>
        <w:rPr>
          <w:rFonts w:hint="default" w:ascii="宋体" w:hAnsi="宋体" w:eastAsia="宋体" w:cs="宋体"/>
          <w:color w:val="000000"/>
          <w:sz w:val="24"/>
          <w:szCs w:val="24"/>
          <w:u w:val="single"/>
          <w:lang w:val="en-US" w:eastAsia="zh-CN"/>
        </w:rPr>
      </w:pPr>
      <w:r>
        <w:rPr>
          <w:rFonts w:hint="eastAsia" w:ascii="宋体" w:hAnsi="宋体" w:eastAsia="宋体" w:cs="宋体"/>
          <w:b/>
          <w:color w:val="000000"/>
          <w:sz w:val="24"/>
          <w:szCs w:val="24"/>
        </w:rPr>
        <w:t>承包人（全称）：</w:t>
      </w:r>
      <w:r>
        <w:rPr>
          <w:rFonts w:hint="eastAsia" w:ascii="宋体" w:hAnsi="宋体" w:cs="宋体"/>
          <w:b/>
          <w:color w:val="000000"/>
          <w:sz w:val="24"/>
          <w:szCs w:val="24"/>
          <w:u w:val="single"/>
          <w:lang w:val="en-US" w:eastAsia="zh-CN"/>
        </w:rPr>
        <w:t xml:space="preserve">                            </w:t>
      </w:r>
    </w:p>
    <w:p w14:paraId="610F991B">
      <w:pPr>
        <w:keepNext w:val="0"/>
        <w:keepLines w:val="0"/>
        <w:pageBreakBefore w:val="0"/>
        <w:widowControl w:val="0"/>
        <w:kinsoku/>
        <w:wordWrap/>
        <w:overflowPunct/>
        <w:topLinePunct w:val="0"/>
        <w:bidi w:val="0"/>
        <w:snapToGrid/>
        <w:spacing w:line="360" w:lineRule="auto"/>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根据《中华人民共和国</w:t>
      </w:r>
      <w:r>
        <w:rPr>
          <w:rFonts w:hint="eastAsia" w:ascii="宋体" w:hAnsi="宋体" w:eastAsia="宋体" w:cs="宋体"/>
          <w:color w:val="000000"/>
          <w:sz w:val="24"/>
          <w:szCs w:val="24"/>
          <w:lang w:val="en-US" w:eastAsia="zh-CN"/>
        </w:rPr>
        <w:t>民法典</w:t>
      </w:r>
      <w:r>
        <w:rPr>
          <w:rFonts w:hint="eastAsia" w:ascii="宋体" w:hAnsi="宋体" w:eastAsia="宋体" w:cs="宋体"/>
          <w:color w:val="000000"/>
          <w:sz w:val="24"/>
          <w:szCs w:val="24"/>
        </w:rPr>
        <w:t>》、《中华人民共和国建筑法》及有关法律规定，遵循平等、自愿、公平和诚实信用的原则，双方就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工程施工及有关事项协商一致，共同达成如下协议：</w:t>
      </w:r>
    </w:p>
    <w:p w14:paraId="73278A8B">
      <w:pPr>
        <w:keepNext w:val="0"/>
        <w:keepLines w:val="0"/>
        <w:pageBreakBefore w:val="0"/>
        <w:widowControl w:val="0"/>
        <w:kinsoku/>
        <w:wordWrap/>
        <w:overflowPunct/>
        <w:topLinePunct w:val="0"/>
        <w:bidi w:val="0"/>
        <w:snapToGrid/>
        <w:spacing w:line="360" w:lineRule="auto"/>
        <w:contextualSpacing/>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w:t>
      </w:r>
      <w:bookmarkStart w:id="351" w:name="_Toc351203481"/>
      <w:r>
        <w:rPr>
          <w:rFonts w:hint="eastAsia" w:ascii="宋体" w:hAnsi="宋体" w:eastAsia="宋体" w:cs="宋体"/>
          <w:b/>
          <w:color w:val="000000"/>
          <w:sz w:val="24"/>
          <w:szCs w:val="24"/>
        </w:rPr>
        <w:t>一、工程概况</w:t>
      </w:r>
      <w:bookmarkEnd w:id="351"/>
    </w:p>
    <w:p w14:paraId="70A6FCC3">
      <w:pPr>
        <w:keepNext w:val="0"/>
        <w:keepLines w:val="0"/>
        <w:pageBreakBefore w:val="0"/>
        <w:widowControl w:val="0"/>
        <w:kinsoku/>
        <w:wordWrap/>
        <w:overflowPunct/>
        <w:topLinePunct w:val="0"/>
        <w:bidi w:val="0"/>
        <w:snapToGrid/>
        <w:spacing w:line="360" w:lineRule="auto"/>
        <w:ind w:firstLine="470" w:firstLineChars="196"/>
        <w:contextualSpacing/>
        <w:textAlignment w:val="auto"/>
        <w:rPr>
          <w:rFonts w:hint="eastAsia" w:ascii="宋体" w:hAnsi="宋体" w:eastAsia="宋体" w:cs="宋体"/>
          <w:color w:val="000000"/>
          <w:sz w:val="24"/>
          <w:szCs w:val="24"/>
          <w:u w:val="single"/>
        </w:rPr>
      </w:pPr>
      <w:r>
        <w:rPr>
          <w:rFonts w:hint="eastAsia" w:ascii="宋体" w:hAnsi="宋体" w:eastAsia="宋体" w:cs="宋体"/>
          <w:bCs/>
          <w:color w:val="000000"/>
          <w:sz w:val="24"/>
          <w:szCs w:val="24"/>
        </w:rPr>
        <w:t>1.工程名称</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7D6D92E9">
      <w:pPr>
        <w:keepNext w:val="0"/>
        <w:keepLines w:val="0"/>
        <w:pageBreakBefore w:val="0"/>
        <w:widowControl w:val="0"/>
        <w:kinsoku/>
        <w:wordWrap/>
        <w:overflowPunct/>
        <w:topLinePunct w:val="0"/>
        <w:bidi w:val="0"/>
        <w:snapToGrid/>
        <w:spacing w:line="360" w:lineRule="auto"/>
        <w:ind w:firstLine="470" w:firstLineChars="196"/>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2.工程地点：</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69FF848B">
      <w:pPr>
        <w:keepNext w:val="0"/>
        <w:keepLines w:val="0"/>
        <w:pageBreakBefore w:val="0"/>
        <w:widowControl w:val="0"/>
        <w:kinsoku/>
        <w:wordWrap/>
        <w:overflowPunct/>
        <w:topLinePunct w:val="0"/>
        <w:bidi w:val="0"/>
        <w:snapToGrid/>
        <w:spacing w:line="360" w:lineRule="auto"/>
        <w:ind w:firstLine="470" w:firstLineChars="196"/>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3.工程立项批准文号：</w:t>
      </w:r>
      <w:r>
        <w:rPr>
          <w:rFonts w:hint="eastAsia" w:ascii="宋体" w:hAnsi="宋体" w:eastAsia="宋体" w:cs="宋体"/>
          <w:color w:val="000000"/>
          <w:sz w:val="24"/>
          <w:szCs w:val="24"/>
          <w:u w:val="single"/>
        </w:rPr>
        <w:t xml:space="preserve">       </w:t>
      </w:r>
      <w:r>
        <w:rPr>
          <w:rFonts w:hint="eastAsia" w:ascii="宋体" w:hAnsi="宋体" w:eastAsia="宋体" w:cs="宋体"/>
          <w:bCs/>
          <w:color w:val="000000"/>
          <w:sz w:val="24"/>
          <w:szCs w:val="24"/>
        </w:rPr>
        <w:t>。</w:t>
      </w:r>
    </w:p>
    <w:p w14:paraId="73605DF5">
      <w:pPr>
        <w:keepNext w:val="0"/>
        <w:keepLines w:val="0"/>
        <w:pageBreakBefore w:val="0"/>
        <w:widowControl w:val="0"/>
        <w:kinsoku/>
        <w:wordWrap/>
        <w:overflowPunct/>
        <w:topLinePunct w:val="0"/>
        <w:bidi w:val="0"/>
        <w:snapToGrid/>
        <w:spacing w:line="360" w:lineRule="auto"/>
        <w:ind w:firstLine="470" w:firstLineChars="196"/>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4.资金来源：</w:t>
      </w:r>
      <w:r>
        <w:rPr>
          <w:rFonts w:hint="eastAsia" w:ascii="宋体" w:hAnsi="宋体" w:eastAsia="宋体" w:cs="宋体"/>
          <w:color w:val="000000"/>
          <w:sz w:val="24"/>
          <w:szCs w:val="24"/>
          <w:u w:val="single"/>
        </w:rPr>
        <w:t xml:space="preserve">       </w:t>
      </w:r>
      <w:r>
        <w:rPr>
          <w:rFonts w:hint="eastAsia" w:ascii="宋体" w:hAnsi="宋体" w:eastAsia="宋体" w:cs="宋体"/>
          <w:bCs/>
          <w:color w:val="000000"/>
          <w:sz w:val="24"/>
          <w:szCs w:val="24"/>
        </w:rPr>
        <w:t>。</w:t>
      </w:r>
    </w:p>
    <w:p w14:paraId="7DB46C16">
      <w:pPr>
        <w:keepNext w:val="0"/>
        <w:keepLines w:val="0"/>
        <w:pageBreakBefore w:val="0"/>
        <w:widowControl w:val="0"/>
        <w:kinsoku/>
        <w:wordWrap/>
        <w:overflowPunct/>
        <w:topLinePunct w:val="0"/>
        <w:bidi w:val="0"/>
        <w:snapToGrid/>
        <w:spacing w:line="360" w:lineRule="auto"/>
        <w:ind w:firstLine="470" w:firstLineChars="196"/>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5.工程内容：</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u w:val="none"/>
        </w:rPr>
        <w:t>。</w:t>
      </w:r>
    </w:p>
    <w:p w14:paraId="0AF5C875">
      <w:pPr>
        <w:keepNext w:val="0"/>
        <w:keepLines w:val="0"/>
        <w:pageBreakBefore w:val="0"/>
        <w:widowControl w:val="0"/>
        <w:kinsoku/>
        <w:wordWrap/>
        <w:overflowPunct/>
        <w:topLinePunct w:val="0"/>
        <w:bidi w:val="0"/>
        <w:snapToGrid/>
        <w:spacing w:line="360" w:lineRule="auto"/>
        <w:ind w:firstLine="470" w:firstLineChars="196"/>
        <w:contextualSpacing/>
        <w:textAlignment w:val="auto"/>
        <w:rPr>
          <w:rFonts w:hint="eastAsia" w:ascii="宋体" w:hAnsi="宋体" w:eastAsia="宋体" w:cs="宋体"/>
          <w:bCs/>
          <w:color w:val="000000"/>
          <w:sz w:val="24"/>
          <w:szCs w:val="24"/>
        </w:rPr>
      </w:pPr>
      <w:r>
        <w:rPr>
          <w:rFonts w:hint="eastAsia" w:ascii="宋体" w:hAnsi="宋体" w:eastAsia="宋体" w:cs="宋体"/>
          <w:color w:val="000000"/>
          <w:sz w:val="24"/>
          <w:szCs w:val="24"/>
        </w:rPr>
        <w:t>群体工程应附《承包人承揽工程项目一览表》（附件1）。</w:t>
      </w:r>
    </w:p>
    <w:p w14:paraId="2AA1617C">
      <w:pPr>
        <w:keepNext w:val="0"/>
        <w:keepLines w:val="0"/>
        <w:pageBreakBefore w:val="0"/>
        <w:widowControl w:val="0"/>
        <w:kinsoku/>
        <w:wordWrap/>
        <w:overflowPunct/>
        <w:topLinePunct w:val="0"/>
        <w:bidi w:val="0"/>
        <w:snapToGrid/>
        <w:spacing w:line="360" w:lineRule="auto"/>
        <w:ind w:firstLine="470" w:firstLineChars="196"/>
        <w:contextualSpacing/>
        <w:textAlignment w:val="auto"/>
        <w:rPr>
          <w:rFonts w:hint="eastAsia" w:ascii="宋体" w:hAnsi="宋体" w:eastAsia="宋体" w:cs="宋体"/>
          <w:b/>
          <w:color w:val="000000"/>
          <w:sz w:val="24"/>
          <w:szCs w:val="24"/>
          <w:u w:val="single"/>
        </w:rPr>
      </w:pPr>
      <w:r>
        <w:rPr>
          <w:rFonts w:hint="eastAsia" w:ascii="宋体" w:hAnsi="宋体" w:eastAsia="宋体" w:cs="宋体"/>
          <w:bCs/>
          <w:color w:val="000000"/>
          <w:sz w:val="24"/>
          <w:szCs w:val="24"/>
        </w:rPr>
        <w:t>6.工程承包范围：</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u w:val="none"/>
        </w:rPr>
        <w:t>。</w:t>
      </w:r>
    </w:p>
    <w:p w14:paraId="1CC7860E">
      <w:pPr>
        <w:keepNext w:val="0"/>
        <w:keepLines w:val="0"/>
        <w:pageBreakBefore w:val="0"/>
        <w:widowControl w:val="0"/>
        <w:kinsoku/>
        <w:wordWrap/>
        <w:overflowPunct/>
        <w:topLinePunct w:val="0"/>
        <w:bidi w:val="0"/>
        <w:snapToGrid/>
        <w:spacing w:line="360" w:lineRule="auto"/>
        <w:contextualSpacing/>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w:t>
      </w:r>
      <w:bookmarkStart w:id="352" w:name="_Toc351203482"/>
      <w:r>
        <w:rPr>
          <w:rFonts w:hint="eastAsia" w:ascii="宋体" w:hAnsi="宋体" w:eastAsia="宋体" w:cs="宋体"/>
          <w:b/>
          <w:color w:val="000000"/>
          <w:sz w:val="24"/>
          <w:szCs w:val="24"/>
        </w:rPr>
        <w:t xml:space="preserve"> 二、合同工期</w:t>
      </w:r>
      <w:bookmarkEnd w:id="352"/>
    </w:p>
    <w:p w14:paraId="7AC2EE44">
      <w:pPr>
        <w:keepNext w:val="0"/>
        <w:keepLines w:val="0"/>
        <w:pageBreakBefore w:val="0"/>
        <w:widowControl w:val="0"/>
        <w:kinsoku/>
        <w:wordWrap/>
        <w:overflowPunct/>
        <w:topLinePunct w:val="0"/>
        <w:bidi w:val="0"/>
        <w:snapToGrid/>
        <w:spacing w:line="360" w:lineRule="auto"/>
        <w:ind w:firstLine="459"/>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计划开工日期：</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日</w:t>
      </w:r>
      <w:r>
        <w:rPr>
          <w:rFonts w:hint="eastAsia" w:ascii="宋体" w:hAnsi="宋体" w:eastAsia="宋体" w:cs="宋体"/>
          <w:b w:val="0"/>
          <w:bCs w:val="0"/>
          <w:color w:val="000000"/>
          <w:sz w:val="24"/>
          <w:szCs w:val="24"/>
          <w:u w:val="none"/>
        </w:rPr>
        <w:t>。</w:t>
      </w:r>
      <w:r>
        <w:rPr>
          <w:rFonts w:hint="eastAsia" w:ascii="宋体" w:hAnsi="宋体" w:eastAsia="宋体" w:cs="宋体"/>
          <w:b/>
          <w:bCs/>
          <w:color w:val="000000"/>
          <w:sz w:val="24"/>
          <w:szCs w:val="24"/>
          <w:u w:val="single"/>
        </w:rPr>
        <w:t>（以发包人书面确认的开工报告为准 ）</w:t>
      </w:r>
    </w:p>
    <w:p w14:paraId="634AD015">
      <w:pPr>
        <w:keepNext w:val="0"/>
        <w:keepLines w:val="0"/>
        <w:pageBreakBefore w:val="0"/>
        <w:widowControl w:val="0"/>
        <w:kinsoku/>
        <w:wordWrap/>
        <w:overflowPunct/>
        <w:topLinePunct w:val="0"/>
        <w:bidi w:val="0"/>
        <w:snapToGrid/>
        <w:spacing w:line="360" w:lineRule="auto"/>
        <w:ind w:firstLine="459"/>
        <w:contextualSpacing/>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计划竣工日期：</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日。</w:t>
      </w:r>
      <w:r>
        <w:rPr>
          <w:rFonts w:hint="eastAsia" w:ascii="宋体" w:hAnsi="宋体" w:eastAsia="宋体" w:cs="宋体"/>
          <w:b/>
          <w:bCs/>
          <w:color w:val="000000"/>
          <w:sz w:val="24"/>
          <w:szCs w:val="24"/>
          <w:u w:val="single"/>
        </w:rPr>
        <w:t xml:space="preserve">（按开工报告的日期顺延    天） </w:t>
      </w:r>
    </w:p>
    <w:p w14:paraId="2039CE73">
      <w:pPr>
        <w:keepNext w:val="0"/>
        <w:keepLines w:val="0"/>
        <w:pageBreakBefore w:val="0"/>
        <w:widowControl w:val="0"/>
        <w:kinsoku/>
        <w:wordWrap/>
        <w:overflowPunct/>
        <w:topLinePunct w:val="0"/>
        <w:bidi w:val="0"/>
        <w:snapToGrid/>
        <w:spacing w:line="360" w:lineRule="auto"/>
        <w:ind w:firstLine="459"/>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工期总日历天数：</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天。工期总日历天数与根据前述计划开竣工日期计算的工期天数不一致的，以工期总日历天数为准。</w:t>
      </w:r>
    </w:p>
    <w:p w14:paraId="292B6665">
      <w:pPr>
        <w:keepNext w:val="0"/>
        <w:keepLines w:val="0"/>
        <w:pageBreakBefore w:val="0"/>
        <w:widowControl w:val="0"/>
        <w:kinsoku/>
        <w:wordWrap/>
        <w:overflowPunct/>
        <w:topLinePunct w:val="0"/>
        <w:bidi w:val="0"/>
        <w:snapToGrid/>
        <w:spacing w:line="360" w:lineRule="auto"/>
        <w:contextualSpacing/>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w:t>
      </w:r>
      <w:bookmarkStart w:id="353" w:name="_Toc351203483"/>
      <w:r>
        <w:rPr>
          <w:rFonts w:hint="eastAsia" w:ascii="宋体" w:hAnsi="宋体" w:eastAsia="宋体" w:cs="宋体"/>
          <w:b/>
          <w:color w:val="000000"/>
          <w:sz w:val="24"/>
          <w:szCs w:val="24"/>
        </w:rPr>
        <w:t>三、质量标准</w:t>
      </w:r>
      <w:bookmarkEnd w:id="353"/>
    </w:p>
    <w:p w14:paraId="04847DB9">
      <w:pPr>
        <w:keepNext w:val="0"/>
        <w:keepLines w:val="0"/>
        <w:pageBreakBefore w:val="0"/>
        <w:widowControl w:val="0"/>
        <w:kinsoku/>
        <w:wordWrap/>
        <w:overflowPunct/>
        <w:topLinePunct w:val="0"/>
        <w:bidi w:val="0"/>
        <w:snapToGrid/>
        <w:spacing w:line="360" w:lineRule="auto"/>
        <w:ind w:firstLine="459"/>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工程质量符合：</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rPr>
        <w:t>。</w:t>
      </w:r>
    </w:p>
    <w:p w14:paraId="13F08004">
      <w:pPr>
        <w:keepNext w:val="0"/>
        <w:keepLines w:val="0"/>
        <w:pageBreakBefore w:val="0"/>
        <w:widowControl w:val="0"/>
        <w:kinsoku/>
        <w:wordWrap/>
        <w:overflowPunct/>
        <w:topLinePunct w:val="0"/>
        <w:bidi w:val="0"/>
        <w:snapToGrid/>
        <w:spacing w:line="360" w:lineRule="auto"/>
        <w:contextualSpacing/>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w:t>
      </w:r>
      <w:bookmarkStart w:id="354" w:name="_Toc351203484"/>
      <w:r>
        <w:rPr>
          <w:rFonts w:hint="eastAsia" w:ascii="宋体" w:hAnsi="宋体" w:eastAsia="宋体" w:cs="宋体"/>
          <w:b/>
          <w:color w:val="000000"/>
          <w:sz w:val="24"/>
          <w:szCs w:val="24"/>
        </w:rPr>
        <w:t>四、签约合同价与合同价格形式</w:t>
      </w:r>
      <w:bookmarkEnd w:id="354"/>
      <w:r>
        <w:rPr>
          <w:rFonts w:hint="eastAsia" w:ascii="宋体" w:hAnsi="宋体" w:eastAsia="宋体" w:cs="宋体"/>
          <w:b/>
          <w:color w:val="000000"/>
          <w:sz w:val="24"/>
          <w:szCs w:val="24"/>
        </w:rPr>
        <w:tab/>
      </w:r>
    </w:p>
    <w:p w14:paraId="7A53E3A7">
      <w:pPr>
        <w:keepNext w:val="0"/>
        <w:keepLines w:val="0"/>
        <w:pageBreakBefore w:val="0"/>
        <w:widowControl w:val="0"/>
        <w:kinsoku/>
        <w:wordWrap/>
        <w:overflowPunct/>
        <w:topLinePunct w:val="0"/>
        <w:bidi w:val="0"/>
        <w:snapToGrid/>
        <w:spacing w:line="360" w:lineRule="auto"/>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1.签约合同价为：</w:t>
      </w:r>
    </w:p>
    <w:p w14:paraId="0E7A7410">
      <w:pPr>
        <w:keepNext w:val="0"/>
        <w:keepLines w:val="0"/>
        <w:pageBreakBefore w:val="0"/>
        <w:widowControl w:val="0"/>
        <w:kinsoku/>
        <w:wordWrap/>
        <w:overflowPunct/>
        <w:topLinePunct w:val="0"/>
        <w:bidi w:val="0"/>
        <w:snapToGrid/>
        <w:spacing w:line="360" w:lineRule="auto"/>
        <w:ind w:firstLine="600" w:firstLineChars="25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p>
    <w:p w14:paraId="0B429C4B">
      <w:pPr>
        <w:keepNext w:val="0"/>
        <w:keepLines w:val="0"/>
        <w:pageBreakBefore w:val="0"/>
        <w:widowControl w:val="0"/>
        <w:kinsoku/>
        <w:wordWrap/>
        <w:overflowPunct/>
        <w:topLinePunct w:val="0"/>
        <w:bidi w:val="0"/>
        <w:snapToGrid/>
        <w:spacing w:line="360" w:lineRule="auto"/>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其中：</w:t>
      </w:r>
    </w:p>
    <w:p w14:paraId="24DFB67F">
      <w:pPr>
        <w:keepNext w:val="0"/>
        <w:keepLines w:val="0"/>
        <w:pageBreakBefore w:val="0"/>
        <w:widowControl w:val="0"/>
        <w:kinsoku/>
        <w:wordWrap/>
        <w:overflowPunct/>
        <w:topLinePunct w:val="0"/>
        <w:bidi w:val="0"/>
        <w:snapToGrid/>
        <w:spacing w:line="360" w:lineRule="auto"/>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（1）安全文明施工费：人民币（大写）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p>
    <w:p w14:paraId="12D6DCF9">
      <w:pPr>
        <w:keepNext w:val="0"/>
        <w:keepLines w:val="0"/>
        <w:pageBreakBefore w:val="0"/>
        <w:widowControl w:val="0"/>
        <w:kinsoku/>
        <w:wordWrap/>
        <w:overflowPunct/>
        <w:topLinePunct w:val="0"/>
        <w:bidi w:val="0"/>
        <w:snapToGrid/>
        <w:spacing w:line="360" w:lineRule="auto"/>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（2）材料和工程设备暂估价金额：人民币（大写）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p>
    <w:p w14:paraId="37D6AE54">
      <w:pPr>
        <w:keepNext w:val="0"/>
        <w:keepLines w:val="0"/>
        <w:pageBreakBefore w:val="0"/>
        <w:widowControl w:val="0"/>
        <w:kinsoku/>
        <w:wordWrap/>
        <w:overflowPunct/>
        <w:topLinePunct w:val="0"/>
        <w:bidi w:val="0"/>
        <w:snapToGrid/>
        <w:spacing w:line="360" w:lineRule="auto"/>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（3）专业工程暂估价金额：人民币（大写）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p>
    <w:p w14:paraId="6762F65F">
      <w:pPr>
        <w:keepNext w:val="0"/>
        <w:keepLines w:val="0"/>
        <w:pageBreakBefore w:val="0"/>
        <w:widowControl w:val="0"/>
        <w:kinsoku/>
        <w:wordWrap/>
        <w:overflowPunct/>
        <w:topLinePunct w:val="0"/>
        <w:bidi w:val="0"/>
        <w:snapToGrid/>
        <w:spacing w:line="360" w:lineRule="auto"/>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（4）暂列金额：人民币（大写）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p>
    <w:p w14:paraId="29CF2F5F">
      <w:pPr>
        <w:keepNext w:val="0"/>
        <w:keepLines w:val="0"/>
        <w:pageBreakBefore w:val="0"/>
        <w:widowControl w:val="0"/>
        <w:kinsoku/>
        <w:wordWrap/>
        <w:overflowPunct/>
        <w:topLinePunct w:val="0"/>
        <w:bidi w:val="0"/>
        <w:snapToGrid/>
        <w:spacing w:line="360" w:lineRule="auto"/>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2.合同价格形式：</w:t>
      </w:r>
      <w:r>
        <w:rPr>
          <w:rFonts w:hint="eastAsia" w:ascii="宋体" w:hAnsi="宋体" w:eastAsia="宋体" w:cs="宋体"/>
          <w:color w:val="000000"/>
          <w:sz w:val="24"/>
          <w:szCs w:val="24"/>
          <w:u w:val="single"/>
        </w:rPr>
        <w:t>                      </w:t>
      </w:r>
      <w:r>
        <w:rPr>
          <w:rFonts w:hint="eastAsia" w:ascii="宋体" w:hAnsi="宋体" w:eastAsia="宋体" w:cs="宋体"/>
          <w:color w:val="000000"/>
          <w:sz w:val="24"/>
          <w:szCs w:val="24"/>
        </w:rPr>
        <w:t>。</w:t>
      </w:r>
    </w:p>
    <w:p w14:paraId="549F5A19">
      <w:pPr>
        <w:keepNext w:val="0"/>
        <w:keepLines w:val="0"/>
        <w:pageBreakBefore w:val="0"/>
        <w:widowControl w:val="0"/>
        <w:kinsoku/>
        <w:wordWrap/>
        <w:overflowPunct/>
        <w:topLinePunct w:val="0"/>
        <w:bidi w:val="0"/>
        <w:snapToGrid/>
        <w:spacing w:line="360" w:lineRule="auto"/>
        <w:contextualSpacing/>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w:t>
      </w:r>
      <w:bookmarkStart w:id="355" w:name="_Toc351203485"/>
      <w:r>
        <w:rPr>
          <w:rFonts w:hint="eastAsia" w:ascii="宋体" w:hAnsi="宋体" w:eastAsia="宋体" w:cs="宋体"/>
          <w:b/>
          <w:color w:val="000000"/>
          <w:sz w:val="24"/>
          <w:szCs w:val="24"/>
        </w:rPr>
        <w:t>五、</w:t>
      </w:r>
      <w:bookmarkEnd w:id="355"/>
      <w:r>
        <w:rPr>
          <w:rFonts w:hint="eastAsia" w:ascii="宋体" w:hAnsi="宋体" w:eastAsia="宋体" w:cs="宋体"/>
          <w:b/>
          <w:color w:val="000000"/>
          <w:sz w:val="24"/>
          <w:szCs w:val="24"/>
        </w:rPr>
        <w:t>项目经理</w:t>
      </w:r>
    </w:p>
    <w:p w14:paraId="2EE44FF7">
      <w:pPr>
        <w:keepNext w:val="0"/>
        <w:keepLines w:val="0"/>
        <w:pageBreakBefore w:val="0"/>
        <w:widowControl w:val="0"/>
        <w:kinsoku/>
        <w:wordWrap/>
        <w:overflowPunct/>
        <w:topLinePunct w:val="0"/>
        <w:bidi w:val="0"/>
        <w:snapToGrid/>
        <w:spacing w:line="360" w:lineRule="auto"/>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承包人项目经理：</w:t>
      </w:r>
      <w:r>
        <w:rPr>
          <w:rFonts w:hint="eastAsia" w:ascii="宋体" w:hAnsi="宋体" w:eastAsia="宋体" w:cs="宋体"/>
          <w:color w:val="000000"/>
          <w:sz w:val="24"/>
          <w:szCs w:val="24"/>
          <w:u w:val="single"/>
        </w:rPr>
        <w:t>                     </w:t>
      </w:r>
      <w:r>
        <w:rPr>
          <w:rFonts w:hint="eastAsia" w:ascii="宋体" w:hAnsi="宋体" w:eastAsia="宋体" w:cs="宋体"/>
          <w:color w:val="000000"/>
          <w:sz w:val="24"/>
          <w:szCs w:val="24"/>
        </w:rPr>
        <w:t>。</w:t>
      </w:r>
    </w:p>
    <w:p w14:paraId="3C37DA5C">
      <w:pPr>
        <w:keepNext w:val="0"/>
        <w:keepLines w:val="0"/>
        <w:pageBreakBefore w:val="0"/>
        <w:widowControl w:val="0"/>
        <w:kinsoku/>
        <w:wordWrap/>
        <w:overflowPunct/>
        <w:topLinePunct w:val="0"/>
        <w:bidi w:val="0"/>
        <w:snapToGrid/>
        <w:spacing w:line="360" w:lineRule="auto"/>
        <w:contextualSpacing/>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w:t>
      </w:r>
      <w:bookmarkStart w:id="356" w:name="_Toc351203486"/>
      <w:r>
        <w:rPr>
          <w:rFonts w:hint="eastAsia" w:ascii="宋体" w:hAnsi="宋体" w:eastAsia="宋体" w:cs="宋体"/>
          <w:b/>
          <w:color w:val="000000"/>
          <w:sz w:val="24"/>
          <w:szCs w:val="24"/>
        </w:rPr>
        <w:t>六、合同文件构成</w:t>
      </w:r>
      <w:bookmarkEnd w:id="356"/>
    </w:p>
    <w:p w14:paraId="4C8DADB4">
      <w:pPr>
        <w:keepNext w:val="0"/>
        <w:keepLines w:val="0"/>
        <w:pageBreakBefore w:val="0"/>
        <w:widowControl w:val="0"/>
        <w:kinsoku/>
        <w:wordWrap/>
        <w:overflowPunct/>
        <w:topLinePunct w:val="0"/>
        <w:bidi w:val="0"/>
        <w:snapToGri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本协议书与下列文件一起构成合同文件：</w:t>
      </w:r>
    </w:p>
    <w:p w14:paraId="281CFB1F">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（1）中标通知书；</w:t>
      </w:r>
    </w:p>
    <w:p w14:paraId="573F5D9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（2）投标函及其附录； </w:t>
      </w:r>
    </w:p>
    <w:p w14:paraId="714D27E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（3）专用合同条款及其附件；</w:t>
      </w:r>
    </w:p>
    <w:p w14:paraId="585B699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（4）通用合同条款；</w:t>
      </w:r>
    </w:p>
    <w:p w14:paraId="4F21A02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（5）技术标准和要求；</w:t>
      </w:r>
    </w:p>
    <w:p w14:paraId="1F9A874F">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（6）已标价工程量清单或预算书；</w:t>
      </w:r>
    </w:p>
    <w:p w14:paraId="54EA366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（7）其他合同文件。</w:t>
      </w:r>
    </w:p>
    <w:p w14:paraId="2C61A61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在合同订立及履行过程中形成的与合同有关的文件均构成合同文件组成部分。</w:t>
      </w:r>
    </w:p>
    <w:p w14:paraId="005BC39F">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上述各项合同文件包括合同当事人就该项合同文件所作出的补充和修改，属于同一类内容的文件，应以最新签署的为准。专用合同条款及其附件须经合同当事人签字或盖章。</w:t>
      </w:r>
    </w:p>
    <w:p w14:paraId="497F1C32">
      <w:pPr>
        <w:keepNext w:val="0"/>
        <w:keepLines w:val="0"/>
        <w:pageBreakBefore w:val="0"/>
        <w:widowControl w:val="0"/>
        <w:kinsoku/>
        <w:wordWrap/>
        <w:overflowPunct/>
        <w:topLinePunct w:val="0"/>
        <w:bidi w:val="0"/>
        <w:snapToGrid/>
        <w:spacing w:line="360" w:lineRule="auto"/>
        <w:contextualSpacing/>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w:t>
      </w:r>
      <w:bookmarkStart w:id="357" w:name="_Toc351203487"/>
      <w:r>
        <w:rPr>
          <w:rFonts w:hint="eastAsia" w:ascii="宋体" w:hAnsi="宋体" w:eastAsia="宋体" w:cs="宋体"/>
          <w:b/>
          <w:color w:val="000000"/>
          <w:sz w:val="24"/>
          <w:szCs w:val="24"/>
        </w:rPr>
        <w:t>七、承诺</w:t>
      </w:r>
      <w:bookmarkEnd w:id="357"/>
    </w:p>
    <w:p w14:paraId="56617C04">
      <w:pPr>
        <w:keepNext w:val="0"/>
        <w:keepLines w:val="0"/>
        <w:pageBreakBefore w:val="0"/>
        <w:widowControl w:val="0"/>
        <w:kinsoku/>
        <w:wordWrap/>
        <w:overflowPunct/>
        <w:topLinePunct w:val="0"/>
        <w:bidi w:val="0"/>
        <w:snapToGri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1.发包人承诺按照法律规定履行项目审批手续、筹集工程建设资金并按照合同约定的期限和方式支付合同价款。</w:t>
      </w:r>
    </w:p>
    <w:p w14:paraId="7CD43F67">
      <w:pPr>
        <w:keepNext w:val="0"/>
        <w:keepLines w:val="0"/>
        <w:pageBreakBefore w:val="0"/>
        <w:widowControl w:val="0"/>
        <w:kinsoku/>
        <w:wordWrap/>
        <w:overflowPunct/>
        <w:topLinePunct w:val="0"/>
        <w:bidi w:val="0"/>
        <w:snapToGri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2.承包人承诺按照法律规定及合同约定组织完成工程施工，确保工程质量和安全，不进行转包及违法分包，并在缺陷责任期及保修期内承担相应的工程维修责任。</w:t>
      </w:r>
    </w:p>
    <w:p w14:paraId="47677D6C">
      <w:pPr>
        <w:keepNext w:val="0"/>
        <w:keepLines w:val="0"/>
        <w:pageBreakBefore w:val="0"/>
        <w:widowControl w:val="0"/>
        <w:kinsoku/>
        <w:wordWrap/>
        <w:overflowPunct/>
        <w:topLinePunct w:val="0"/>
        <w:bidi w:val="0"/>
        <w:snapToGri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3.发包人和承包人通过招投标形式签订合同的，双方理解并承诺不再就同一工程另行签订与合同实质性内容相背离的协议。</w:t>
      </w:r>
    </w:p>
    <w:p w14:paraId="533C55F3">
      <w:pPr>
        <w:keepNext w:val="0"/>
        <w:keepLines w:val="0"/>
        <w:pageBreakBefore w:val="0"/>
        <w:widowControl w:val="0"/>
        <w:kinsoku/>
        <w:wordWrap/>
        <w:overflowPunct/>
        <w:topLinePunct w:val="0"/>
        <w:bidi w:val="0"/>
        <w:snapToGrid/>
        <w:spacing w:line="360" w:lineRule="auto"/>
        <w:contextualSpacing/>
        <w:textAlignment w:val="auto"/>
        <w:rPr>
          <w:rFonts w:hint="eastAsia" w:ascii="宋体" w:hAnsi="宋体" w:eastAsia="宋体" w:cs="宋体"/>
          <w:bCs/>
          <w:color w:val="000000"/>
          <w:sz w:val="24"/>
          <w:szCs w:val="24"/>
        </w:rPr>
      </w:pPr>
      <w:bookmarkStart w:id="358" w:name="_Toc351203488"/>
      <w:r>
        <w:rPr>
          <w:rFonts w:hint="eastAsia" w:ascii="宋体" w:hAnsi="宋体" w:eastAsia="宋体" w:cs="宋体"/>
          <w:b/>
          <w:color w:val="000000"/>
          <w:sz w:val="24"/>
          <w:szCs w:val="24"/>
        </w:rPr>
        <w:t xml:space="preserve">    八、词语含义</w:t>
      </w:r>
      <w:bookmarkEnd w:id="358"/>
    </w:p>
    <w:p w14:paraId="67CF4AB1">
      <w:pPr>
        <w:keepNext w:val="0"/>
        <w:keepLines w:val="0"/>
        <w:pageBreakBefore w:val="0"/>
        <w:widowControl w:val="0"/>
        <w:kinsoku/>
        <w:wordWrap/>
        <w:overflowPunct/>
        <w:topLinePunct w:val="0"/>
        <w:bidi w:val="0"/>
        <w:snapToGri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本协议书中词语含义与第二部分通用合同条款中赋予的含义相同。</w:t>
      </w:r>
    </w:p>
    <w:p w14:paraId="09AFE6A5">
      <w:pPr>
        <w:keepNext w:val="0"/>
        <w:keepLines w:val="0"/>
        <w:pageBreakBefore w:val="0"/>
        <w:widowControl w:val="0"/>
        <w:kinsoku/>
        <w:wordWrap/>
        <w:overflowPunct/>
        <w:topLinePunct w:val="0"/>
        <w:bidi w:val="0"/>
        <w:snapToGrid/>
        <w:spacing w:line="360" w:lineRule="auto"/>
        <w:contextualSpacing/>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w:t>
      </w:r>
      <w:bookmarkStart w:id="359" w:name="_Toc351203489"/>
      <w:r>
        <w:rPr>
          <w:rFonts w:hint="eastAsia" w:ascii="宋体" w:hAnsi="宋体" w:eastAsia="宋体" w:cs="宋体"/>
          <w:b/>
          <w:color w:val="000000"/>
          <w:sz w:val="24"/>
          <w:szCs w:val="24"/>
        </w:rPr>
        <w:t>九、签订时间</w:t>
      </w:r>
      <w:bookmarkEnd w:id="359"/>
    </w:p>
    <w:p w14:paraId="1B0AF300">
      <w:pPr>
        <w:keepNext w:val="0"/>
        <w:keepLines w:val="0"/>
        <w:pageBreakBefore w:val="0"/>
        <w:widowControl w:val="0"/>
        <w:kinsoku/>
        <w:wordWrap/>
        <w:overflowPunct/>
        <w:topLinePunct w:val="0"/>
        <w:bidi w:val="0"/>
        <w:snapToGri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本合同于</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年</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月</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日签订。</w:t>
      </w:r>
    </w:p>
    <w:p w14:paraId="63583B61">
      <w:pPr>
        <w:keepNext w:val="0"/>
        <w:keepLines w:val="0"/>
        <w:pageBreakBefore w:val="0"/>
        <w:widowControl w:val="0"/>
        <w:kinsoku/>
        <w:wordWrap/>
        <w:overflowPunct/>
        <w:topLinePunct w:val="0"/>
        <w:bidi w:val="0"/>
        <w:snapToGrid/>
        <w:spacing w:line="360" w:lineRule="auto"/>
        <w:contextualSpacing/>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w:t>
      </w:r>
      <w:bookmarkStart w:id="360" w:name="_Toc351203490"/>
      <w:r>
        <w:rPr>
          <w:rFonts w:hint="eastAsia" w:ascii="宋体" w:hAnsi="宋体" w:eastAsia="宋体" w:cs="宋体"/>
          <w:b/>
          <w:color w:val="000000"/>
          <w:sz w:val="24"/>
          <w:szCs w:val="24"/>
        </w:rPr>
        <w:t>十、签订地点</w:t>
      </w:r>
      <w:bookmarkEnd w:id="360"/>
    </w:p>
    <w:p w14:paraId="42022846">
      <w:pPr>
        <w:keepNext w:val="0"/>
        <w:keepLines w:val="0"/>
        <w:pageBreakBefore w:val="0"/>
        <w:widowControl w:val="0"/>
        <w:kinsoku/>
        <w:wordWrap/>
        <w:overflowPunct/>
        <w:topLinePunct w:val="0"/>
        <w:bidi w:val="0"/>
        <w:snapToGri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本合同在</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签订。</w:t>
      </w:r>
    </w:p>
    <w:p w14:paraId="200F4A27">
      <w:pPr>
        <w:keepNext w:val="0"/>
        <w:keepLines w:val="0"/>
        <w:pageBreakBefore w:val="0"/>
        <w:widowControl w:val="0"/>
        <w:kinsoku/>
        <w:wordWrap/>
        <w:overflowPunct/>
        <w:topLinePunct w:val="0"/>
        <w:bidi w:val="0"/>
        <w:snapToGrid/>
        <w:spacing w:line="360" w:lineRule="auto"/>
        <w:contextualSpacing/>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w:t>
      </w:r>
      <w:bookmarkStart w:id="361" w:name="_Toc351203491"/>
      <w:r>
        <w:rPr>
          <w:rFonts w:hint="eastAsia" w:ascii="宋体" w:hAnsi="宋体" w:eastAsia="宋体" w:cs="宋体"/>
          <w:b/>
          <w:color w:val="000000"/>
          <w:sz w:val="24"/>
          <w:szCs w:val="24"/>
        </w:rPr>
        <w:t>十一、补充协议</w:t>
      </w:r>
      <w:bookmarkEnd w:id="361"/>
    </w:p>
    <w:p w14:paraId="27E46117">
      <w:pPr>
        <w:keepNext w:val="0"/>
        <w:keepLines w:val="0"/>
        <w:pageBreakBefore w:val="0"/>
        <w:widowControl w:val="0"/>
        <w:kinsoku/>
        <w:wordWrap/>
        <w:overflowPunct/>
        <w:topLinePunct w:val="0"/>
        <w:bidi w:val="0"/>
        <w:snapToGri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合同未尽事宜，合同当事人另行签订补充协议，补充协议是合同的组成部分。</w:t>
      </w:r>
    </w:p>
    <w:p w14:paraId="773AD05D">
      <w:pPr>
        <w:keepNext w:val="0"/>
        <w:keepLines w:val="0"/>
        <w:pageBreakBefore w:val="0"/>
        <w:widowControl w:val="0"/>
        <w:kinsoku/>
        <w:wordWrap/>
        <w:overflowPunct/>
        <w:topLinePunct w:val="0"/>
        <w:bidi w:val="0"/>
        <w:snapToGrid/>
        <w:spacing w:line="360" w:lineRule="auto"/>
        <w:contextualSpacing/>
        <w:textAlignment w:val="auto"/>
        <w:rPr>
          <w:rFonts w:hint="eastAsia" w:ascii="宋体" w:hAnsi="宋体" w:eastAsia="宋体" w:cs="宋体"/>
          <w:b/>
          <w:color w:val="000000"/>
          <w:sz w:val="24"/>
          <w:szCs w:val="24"/>
        </w:rPr>
      </w:pPr>
      <w:bookmarkStart w:id="362" w:name="_Toc351203492"/>
      <w:r>
        <w:rPr>
          <w:rFonts w:hint="eastAsia" w:ascii="宋体" w:hAnsi="宋体" w:eastAsia="宋体" w:cs="宋体"/>
          <w:b/>
          <w:color w:val="000000"/>
          <w:sz w:val="24"/>
          <w:szCs w:val="24"/>
        </w:rPr>
        <w:t xml:space="preserve">    十二、合同生效</w:t>
      </w:r>
      <w:bookmarkEnd w:id="362"/>
    </w:p>
    <w:p w14:paraId="0CF7D7FE">
      <w:pPr>
        <w:keepNext w:val="0"/>
        <w:keepLines w:val="0"/>
        <w:pageBreakBefore w:val="0"/>
        <w:widowControl w:val="0"/>
        <w:kinsoku/>
        <w:wordWrap/>
        <w:overflowPunct/>
        <w:topLinePunct w:val="0"/>
        <w:bidi w:val="0"/>
        <w:snapToGrid/>
        <w:spacing w:line="360" w:lineRule="auto"/>
        <w:ind w:firstLine="480" w:firstLineChars="200"/>
        <w:contextualSpacing/>
        <w:jc w:val="left"/>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本合同自</w:t>
      </w:r>
      <w:r>
        <w:rPr>
          <w:rFonts w:hint="eastAsia" w:ascii="宋体" w:hAnsi="宋体" w:eastAsia="宋体" w:cs="宋体"/>
          <w:b/>
          <w:bCs/>
          <w:color w:val="000000"/>
          <w:sz w:val="24"/>
          <w:szCs w:val="24"/>
          <w:u w:val="single"/>
        </w:rPr>
        <w:t>双方签字、盖章后</w:t>
      </w:r>
      <w:r>
        <w:rPr>
          <w:rFonts w:hint="eastAsia" w:ascii="宋体" w:hAnsi="宋体" w:eastAsia="宋体" w:cs="宋体"/>
          <w:bCs/>
          <w:color w:val="000000"/>
          <w:sz w:val="24"/>
          <w:szCs w:val="24"/>
        </w:rPr>
        <w:t>生效。</w:t>
      </w:r>
    </w:p>
    <w:p w14:paraId="61B1AB5E">
      <w:pPr>
        <w:keepNext w:val="0"/>
        <w:keepLines w:val="0"/>
        <w:pageBreakBefore w:val="0"/>
        <w:widowControl w:val="0"/>
        <w:kinsoku/>
        <w:wordWrap/>
        <w:overflowPunct/>
        <w:topLinePunct w:val="0"/>
        <w:bidi w:val="0"/>
        <w:snapToGrid/>
        <w:spacing w:line="360" w:lineRule="auto"/>
        <w:contextualSpacing/>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w:t>
      </w:r>
      <w:bookmarkStart w:id="363" w:name="_Toc351203493"/>
      <w:r>
        <w:rPr>
          <w:rFonts w:hint="eastAsia" w:ascii="宋体" w:hAnsi="宋体" w:eastAsia="宋体" w:cs="宋体"/>
          <w:b/>
          <w:color w:val="000000"/>
          <w:sz w:val="24"/>
          <w:szCs w:val="24"/>
        </w:rPr>
        <w:t>十三、合同份数</w:t>
      </w:r>
      <w:bookmarkEnd w:id="363"/>
    </w:p>
    <w:p w14:paraId="5114CD4B">
      <w:pPr>
        <w:keepNext w:val="0"/>
        <w:keepLines w:val="0"/>
        <w:pageBreakBefore w:val="0"/>
        <w:widowControl w:val="0"/>
        <w:kinsoku/>
        <w:wordWrap/>
        <w:overflowPunct/>
        <w:topLinePunct w:val="0"/>
        <w:bidi w:val="0"/>
        <w:snapToGrid/>
        <w:spacing w:line="360" w:lineRule="auto"/>
        <w:ind w:firstLine="480" w:firstLineChars="200"/>
        <w:contextualSpacing/>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本合同一式</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份，均具有同等法律效力，发包人执</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份，承包人执</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份。</w:t>
      </w:r>
    </w:p>
    <w:p w14:paraId="2B03FB19">
      <w:pPr>
        <w:keepNext w:val="0"/>
        <w:keepLines w:val="0"/>
        <w:pageBreakBefore w:val="0"/>
        <w:widowControl w:val="0"/>
        <w:kinsoku/>
        <w:wordWrap/>
        <w:overflowPunct/>
        <w:topLinePunct w:val="0"/>
        <w:bidi w:val="0"/>
        <w:snapToGrid/>
        <w:spacing w:line="360" w:lineRule="auto"/>
        <w:contextualSpacing/>
        <w:textAlignment w:val="auto"/>
        <w:rPr>
          <w:rFonts w:hint="eastAsia" w:ascii="宋体" w:hAnsi="宋体" w:eastAsia="宋体" w:cs="宋体"/>
          <w:color w:val="000000"/>
          <w:sz w:val="24"/>
          <w:szCs w:val="24"/>
        </w:rPr>
      </w:pPr>
    </w:p>
    <w:p w14:paraId="71F50C64">
      <w:pPr>
        <w:keepNext w:val="0"/>
        <w:keepLines w:val="0"/>
        <w:pageBreakBefore w:val="0"/>
        <w:widowControl w:val="0"/>
        <w:kinsoku/>
        <w:wordWrap/>
        <w:overflowPunct/>
        <w:topLinePunct w:val="0"/>
        <w:bidi w:val="0"/>
        <w:snapToGrid/>
        <w:spacing w:line="360" w:lineRule="auto"/>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发包人：  (公章)                       承包人：  (公章)</w:t>
      </w:r>
    </w:p>
    <w:p w14:paraId="7D80C59D">
      <w:pPr>
        <w:keepNext w:val="0"/>
        <w:keepLines w:val="0"/>
        <w:pageBreakBefore w:val="0"/>
        <w:widowControl w:val="0"/>
        <w:kinsoku/>
        <w:wordWrap/>
        <w:overflowPunct/>
        <w:topLinePunct w:val="0"/>
        <w:bidi w:val="0"/>
        <w:snapToGrid/>
        <w:spacing w:line="360" w:lineRule="auto"/>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法定代表人或其委托代理人：（签字）     法定代表人或其委托代理人：（签字）                 </w:t>
      </w:r>
    </w:p>
    <w:p w14:paraId="0FCC00BF">
      <w:pPr>
        <w:keepNext w:val="0"/>
        <w:keepLines w:val="0"/>
        <w:pageBreakBefore w:val="0"/>
        <w:widowControl w:val="0"/>
        <w:tabs>
          <w:tab w:val="left" w:pos="4410"/>
        </w:tabs>
        <w:kinsoku/>
        <w:wordWrap/>
        <w:overflowPunct/>
        <w:topLinePunct w:val="0"/>
        <w:bidi w:val="0"/>
        <w:snapToGrid/>
        <w:spacing w:line="360" w:lineRule="auto"/>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组织机构代码：</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组织机构代码：</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p>
    <w:p w14:paraId="1391AEC3">
      <w:pPr>
        <w:keepNext w:val="0"/>
        <w:keepLines w:val="0"/>
        <w:pageBreakBefore w:val="0"/>
        <w:widowControl w:val="0"/>
        <w:kinsoku/>
        <w:wordWrap/>
        <w:overflowPunct/>
        <w:topLinePunct w:val="0"/>
        <w:bidi w:val="0"/>
        <w:snapToGrid/>
        <w:spacing w:line="360" w:lineRule="auto"/>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地  址：</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地  址：</w:t>
      </w:r>
      <w:r>
        <w:rPr>
          <w:rFonts w:hint="eastAsia" w:ascii="宋体" w:hAnsi="宋体" w:eastAsia="宋体" w:cs="宋体"/>
          <w:color w:val="000000"/>
          <w:sz w:val="24"/>
          <w:szCs w:val="24"/>
          <w:u w:val="single"/>
        </w:rPr>
        <w:t xml:space="preserve">        </w:t>
      </w:r>
    </w:p>
    <w:p w14:paraId="3650F7BB">
      <w:pPr>
        <w:keepNext w:val="0"/>
        <w:keepLines w:val="0"/>
        <w:pageBreakBefore w:val="0"/>
        <w:widowControl w:val="0"/>
        <w:kinsoku/>
        <w:wordWrap/>
        <w:overflowPunct/>
        <w:topLinePunct w:val="0"/>
        <w:bidi w:val="0"/>
        <w:snapToGrid/>
        <w:spacing w:line="360" w:lineRule="auto"/>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邮政编码：</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           邮政编码：</w:t>
      </w:r>
      <w:r>
        <w:rPr>
          <w:rFonts w:hint="eastAsia" w:ascii="宋体" w:hAnsi="宋体" w:eastAsia="宋体" w:cs="宋体"/>
          <w:color w:val="000000"/>
          <w:sz w:val="24"/>
          <w:szCs w:val="24"/>
          <w:u w:val="single"/>
        </w:rPr>
        <w:t xml:space="preserve">   </w:t>
      </w:r>
    </w:p>
    <w:p w14:paraId="4B82F90D">
      <w:pPr>
        <w:keepNext w:val="0"/>
        <w:keepLines w:val="0"/>
        <w:pageBreakBefore w:val="0"/>
        <w:widowControl w:val="0"/>
        <w:kinsoku/>
        <w:wordWrap/>
        <w:overflowPunct/>
        <w:topLinePunct w:val="0"/>
        <w:bidi w:val="0"/>
        <w:snapToGrid/>
        <w:spacing w:line="360" w:lineRule="auto"/>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法定代表人：</w:t>
      </w:r>
      <w:r>
        <w:rPr>
          <w:rFonts w:hint="eastAsia" w:ascii="宋体" w:hAnsi="宋体" w:eastAsia="宋体" w:cs="宋体"/>
          <w:color w:val="000000"/>
          <w:sz w:val="24"/>
          <w:szCs w:val="24"/>
          <w:u w:val="single"/>
        </w:rPr>
        <w:t xml:space="preserve">             </w:t>
      </w:r>
    </w:p>
    <w:p w14:paraId="45A4463B">
      <w:pPr>
        <w:keepNext w:val="0"/>
        <w:keepLines w:val="0"/>
        <w:pageBreakBefore w:val="0"/>
        <w:widowControl w:val="0"/>
        <w:kinsoku/>
        <w:wordWrap/>
        <w:overflowPunct/>
        <w:topLinePunct w:val="0"/>
        <w:bidi w:val="0"/>
        <w:snapToGrid/>
        <w:spacing w:line="360" w:lineRule="auto"/>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委托代理人：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委托代理人：</w:t>
      </w:r>
      <w:r>
        <w:rPr>
          <w:rFonts w:hint="eastAsia" w:ascii="宋体" w:hAnsi="宋体" w:eastAsia="宋体" w:cs="宋体"/>
          <w:color w:val="000000"/>
          <w:sz w:val="24"/>
          <w:szCs w:val="24"/>
          <w:u w:val="single"/>
        </w:rPr>
        <w:t xml:space="preserve">             </w:t>
      </w:r>
    </w:p>
    <w:p w14:paraId="5DBD8FD6">
      <w:pPr>
        <w:keepNext w:val="0"/>
        <w:keepLines w:val="0"/>
        <w:pageBreakBefore w:val="0"/>
        <w:widowControl w:val="0"/>
        <w:kinsoku/>
        <w:wordWrap/>
        <w:overflowPunct/>
        <w:topLinePunct w:val="0"/>
        <w:bidi w:val="0"/>
        <w:snapToGrid/>
        <w:spacing w:line="360" w:lineRule="auto"/>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电  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电  话：</w:t>
      </w:r>
      <w:r>
        <w:rPr>
          <w:rFonts w:hint="eastAsia" w:ascii="宋体" w:hAnsi="宋体" w:eastAsia="宋体" w:cs="宋体"/>
          <w:color w:val="000000"/>
          <w:sz w:val="24"/>
          <w:szCs w:val="24"/>
          <w:u w:val="single"/>
        </w:rPr>
        <w:t xml:space="preserve">     </w:t>
      </w:r>
    </w:p>
    <w:p w14:paraId="4268CB97">
      <w:pPr>
        <w:keepNext w:val="0"/>
        <w:keepLines w:val="0"/>
        <w:pageBreakBefore w:val="0"/>
        <w:widowControl w:val="0"/>
        <w:kinsoku/>
        <w:wordWrap/>
        <w:overflowPunct/>
        <w:topLinePunct w:val="0"/>
        <w:bidi w:val="0"/>
        <w:snapToGrid/>
        <w:spacing w:line="360" w:lineRule="auto"/>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传  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传  真：</w:t>
      </w:r>
      <w:r>
        <w:rPr>
          <w:rFonts w:hint="eastAsia" w:ascii="宋体" w:hAnsi="宋体" w:eastAsia="宋体" w:cs="宋体"/>
          <w:color w:val="000000"/>
          <w:sz w:val="24"/>
          <w:szCs w:val="24"/>
          <w:u w:val="single"/>
        </w:rPr>
        <w:t xml:space="preserve">     </w:t>
      </w:r>
    </w:p>
    <w:p w14:paraId="68392C08">
      <w:pPr>
        <w:keepNext w:val="0"/>
        <w:keepLines w:val="0"/>
        <w:pageBreakBefore w:val="0"/>
        <w:widowControl w:val="0"/>
        <w:kinsoku/>
        <w:wordWrap/>
        <w:overflowPunct/>
        <w:topLinePunct w:val="0"/>
        <w:bidi w:val="0"/>
        <w:snapToGrid/>
        <w:spacing w:line="360" w:lineRule="auto"/>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电子信箱：</w:t>
      </w:r>
      <w:r>
        <w:rPr>
          <w:rFonts w:hint="eastAsia" w:ascii="宋体" w:hAnsi="宋体" w:eastAsia="宋体" w:cs="宋体"/>
          <w:color w:val="000000"/>
          <w:sz w:val="24"/>
          <w:szCs w:val="24"/>
          <w:u w:val="single"/>
        </w:rPr>
        <w:t xml:space="preserve">   </w:t>
      </w:r>
    </w:p>
    <w:p w14:paraId="17DC51C2">
      <w:pPr>
        <w:keepNext w:val="0"/>
        <w:keepLines w:val="0"/>
        <w:pageBreakBefore w:val="0"/>
        <w:widowControl w:val="0"/>
        <w:kinsoku/>
        <w:wordWrap/>
        <w:overflowPunct/>
        <w:topLinePunct w:val="0"/>
        <w:bidi w:val="0"/>
        <w:snapToGrid/>
        <w:spacing w:line="360" w:lineRule="auto"/>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开户银行：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开户银行：</w:t>
      </w:r>
      <w:r>
        <w:rPr>
          <w:rFonts w:hint="eastAsia" w:ascii="宋体" w:hAnsi="宋体" w:eastAsia="宋体" w:cs="宋体"/>
          <w:color w:val="000000"/>
          <w:sz w:val="24"/>
          <w:szCs w:val="24"/>
          <w:u w:val="single"/>
        </w:rPr>
        <w:t xml:space="preserve">   </w:t>
      </w:r>
    </w:p>
    <w:p w14:paraId="5BD83B53">
      <w:pPr>
        <w:keepNext w:val="0"/>
        <w:keepLines w:val="0"/>
        <w:pageBreakBefore w:val="0"/>
        <w:widowControl w:val="0"/>
        <w:kinsoku/>
        <w:wordWrap/>
        <w:overflowPunct/>
        <w:topLinePunct w:val="0"/>
        <w:bidi w:val="0"/>
        <w:snapToGrid/>
        <w:spacing w:line="360" w:lineRule="auto"/>
        <w:contextualSpacing/>
        <w:textAlignment w:val="auto"/>
        <w:rPr>
          <w:rFonts w:ascii="宋体" w:hAnsi="宋体"/>
          <w:color w:val="000000"/>
          <w:sz w:val="24"/>
          <w:szCs w:val="24"/>
        </w:rPr>
      </w:pPr>
      <w:r>
        <w:rPr>
          <w:rFonts w:hint="eastAsia" w:ascii="宋体" w:hAnsi="宋体" w:eastAsia="宋体" w:cs="宋体"/>
          <w:color w:val="000000"/>
          <w:sz w:val="24"/>
          <w:szCs w:val="24"/>
        </w:rPr>
        <w:t>账  号：</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账  号：</w:t>
      </w:r>
      <w:r>
        <w:rPr>
          <w:rFonts w:hint="eastAsia" w:ascii="宋体" w:hAnsi="宋体" w:eastAsia="宋体" w:cs="宋体"/>
          <w:color w:val="000000"/>
          <w:sz w:val="24"/>
          <w:szCs w:val="24"/>
          <w:u w:val="single"/>
        </w:rPr>
        <w:t xml:space="preserve">     </w:t>
      </w:r>
    </w:p>
    <w:p w14:paraId="338E2012">
      <w:pPr>
        <w:spacing w:line="500" w:lineRule="exact"/>
        <w:ind w:firstLine="480" w:firstLineChars="200"/>
        <w:rPr>
          <w:rFonts w:hint="eastAsia" w:ascii="宋体" w:hAnsi="宋体" w:eastAsia="宋体" w:cs="宋体"/>
          <w:sz w:val="24"/>
          <w:szCs w:val="24"/>
          <w:lang w:val="en-US" w:eastAsia="zh-CN"/>
        </w:rPr>
      </w:pPr>
    </w:p>
    <w:p w14:paraId="55FF8467">
      <w:pPr>
        <w:spacing w:line="50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br w:type="page"/>
      </w:r>
    </w:p>
    <w:p w14:paraId="20C5A518">
      <w:pPr>
        <w:pStyle w:val="3"/>
        <w:spacing w:before="0" w:after="0" w:line="360" w:lineRule="auto"/>
        <w:jc w:val="center"/>
        <w:rPr>
          <w:rFonts w:ascii="宋体" w:hAnsi="宋体"/>
          <w:color w:val="000000"/>
          <w:sz w:val="44"/>
          <w:szCs w:val="44"/>
        </w:rPr>
      </w:pPr>
      <w:r>
        <w:rPr>
          <w:rFonts w:hint="eastAsia" w:ascii="宋体" w:hAnsi="宋体"/>
          <w:color w:val="000000"/>
          <w:sz w:val="30"/>
          <w:szCs w:val="30"/>
        </w:rPr>
        <w:t>第二部分</w:t>
      </w:r>
      <w:r>
        <w:rPr>
          <w:rFonts w:ascii="宋体" w:hAnsi="宋体"/>
          <w:color w:val="000000"/>
          <w:sz w:val="30"/>
          <w:szCs w:val="30"/>
        </w:rPr>
        <w:t xml:space="preserve"> </w:t>
      </w:r>
      <w:r>
        <w:rPr>
          <w:rFonts w:hint="eastAsia" w:ascii="宋体" w:hAnsi="宋体"/>
          <w:color w:val="000000"/>
          <w:sz w:val="30"/>
          <w:szCs w:val="30"/>
        </w:rPr>
        <w:t>通用合同条款</w:t>
      </w:r>
    </w:p>
    <w:p w14:paraId="088C6B67">
      <w:pPr>
        <w:spacing w:line="360" w:lineRule="auto"/>
        <w:ind w:firstLine="480" w:firstLineChars="200"/>
        <w:rPr>
          <w:rFonts w:ascii="宋体" w:hAnsi="宋体" w:cs="宋体"/>
          <w:bCs/>
          <w:color w:val="auto"/>
          <w:kern w:val="0"/>
          <w:sz w:val="24"/>
          <w:szCs w:val="24"/>
          <w:highlight w:val="none"/>
        </w:rPr>
      </w:pPr>
      <w:r>
        <w:rPr>
          <w:rFonts w:hint="eastAsia" w:ascii="宋体" w:hAnsi="宋体" w:cs="宋体"/>
          <w:color w:val="auto"/>
          <w:kern w:val="0"/>
          <w:sz w:val="24"/>
          <w:szCs w:val="24"/>
          <w:highlight w:val="none"/>
        </w:rPr>
        <w:t>通用合同条款直接引用《建设工程施工合同（示范文本）》</w:t>
      </w:r>
      <w:r>
        <w:rPr>
          <w:rFonts w:hint="eastAsia" w:ascii="宋体" w:hAnsi="宋体" w:cs="宋体"/>
          <w:bCs/>
          <w:color w:val="auto"/>
          <w:kern w:val="0"/>
          <w:sz w:val="24"/>
          <w:szCs w:val="24"/>
          <w:highlight w:val="none"/>
        </w:rPr>
        <w:t>（GF—2017—0201）</w:t>
      </w:r>
      <w:r>
        <w:rPr>
          <w:rFonts w:hint="eastAsia" w:ascii="宋体" w:hAnsi="宋体" w:cs="宋体"/>
          <w:color w:val="auto"/>
          <w:kern w:val="0"/>
          <w:sz w:val="24"/>
          <w:szCs w:val="24"/>
          <w:highlight w:val="none"/>
        </w:rPr>
        <w:t>的“通用合同条款”。</w:t>
      </w:r>
    </w:p>
    <w:p w14:paraId="6AA452B6">
      <w:pPr>
        <w:spacing w:line="500" w:lineRule="exact"/>
        <w:rPr>
          <w:rFonts w:hint="eastAsia" w:ascii="宋体" w:hAnsi="宋体" w:eastAsia="宋体" w:cs="宋体"/>
          <w:sz w:val="24"/>
          <w:szCs w:val="24"/>
          <w:lang w:val="en-US" w:eastAsia="zh-CN"/>
        </w:rPr>
      </w:pPr>
    </w:p>
    <w:p w14:paraId="5BE5B349">
      <w:pPr>
        <w:spacing w:line="500" w:lineRule="exact"/>
        <w:ind w:firstLine="480" w:firstLineChars="200"/>
        <w:rPr>
          <w:rFonts w:hint="eastAsia" w:ascii="宋体" w:hAnsi="宋体" w:eastAsia="宋体" w:cs="宋体"/>
          <w:sz w:val="24"/>
          <w:szCs w:val="24"/>
          <w:lang w:val="en-US" w:eastAsia="zh-CN"/>
        </w:rPr>
      </w:pPr>
    </w:p>
    <w:p w14:paraId="131B411A">
      <w:pPr>
        <w:spacing w:line="500" w:lineRule="exact"/>
        <w:ind w:firstLine="480" w:firstLineChars="200"/>
        <w:rPr>
          <w:rFonts w:hint="eastAsia" w:ascii="宋体" w:hAnsi="宋体" w:eastAsia="宋体" w:cs="宋体"/>
          <w:sz w:val="24"/>
          <w:szCs w:val="24"/>
          <w:lang w:val="en-US" w:eastAsia="zh-CN"/>
        </w:rPr>
      </w:pPr>
    </w:p>
    <w:p w14:paraId="271B7ABE">
      <w:pPr>
        <w:spacing w:line="500" w:lineRule="exact"/>
        <w:ind w:firstLine="480" w:firstLineChars="200"/>
        <w:rPr>
          <w:rFonts w:hint="eastAsia" w:ascii="宋体" w:hAnsi="宋体" w:eastAsia="宋体" w:cs="宋体"/>
          <w:sz w:val="24"/>
          <w:szCs w:val="24"/>
          <w:lang w:val="en-US" w:eastAsia="zh-CN"/>
        </w:rPr>
      </w:pPr>
    </w:p>
    <w:p w14:paraId="68083AB1">
      <w:pPr>
        <w:spacing w:line="500" w:lineRule="exact"/>
        <w:ind w:firstLine="480" w:firstLineChars="200"/>
        <w:rPr>
          <w:rFonts w:hint="eastAsia" w:ascii="宋体" w:hAnsi="宋体" w:eastAsia="宋体" w:cs="宋体"/>
          <w:sz w:val="24"/>
          <w:szCs w:val="24"/>
          <w:lang w:val="en-US" w:eastAsia="zh-CN"/>
        </w:rPr>
      </w:pPr>
    </w:p>
    <w:p w14:paraId="140E732C">
      <w:pPr>
        <w:spacing w:line="500" w:lineRule="exact"/>
        <w:ind w:firstLine="480" w:firstLineChars="200"/>
        <w:rPr>
          <w:rFonts w:hint="eastAsia" w:ascii="宋体" w:hAnsi="宋体" w:eastAsia="宋体" w:cs="宋体"/>
          <w:sz w:val="24"/>
          <w:szCs w:val="24"/>
          <w:lang w:val="en-US" w:eastAsia="zh-CN"/>
        </w:rPr>
      </w:pPr>
    </w:p>
    <w:p w14:paraId="5EF2F7F5">
      <w:pPr>
        <w:spacing w:line="500" w:lineRule="exact"/>
        <w:ind w:firstLine="480" w:firstLineChars="200"/>
        <w:rPr>
          <w:rFonts w:hint="eastAsia" w:ascii="宋体" w:hAnsi="宋体" w:eastAsia="宋体" w:cs="宋体"/>
          <w:sz w:val="24"/>
          <w:szCs w:val="24"/>
          <w:lang w:val="en-US" w:eastAsia="zh-CN"/>
        </w:rPr>
      </w:pPr>
    </w:p>
    <w:p w14:paraId="1166D828">
      <w:pPr>
        <w:spacing w:line="500" w:lineRule="exact"/>
        <w:ind w:firstLine="480" w:firstLineChars="200"/>
        <w:rPr>
          <w:rFonts w:hint="eastAsia" w:ascii="宋体" w:hAnsi="宋体" w:eastAsia="宋体" w:cs="宋体"/>
          <w:sz w:val="24"/>
          <w:szCs w:val="24"/>
          <w:lang w:val="en-US" w:eastAsia="zh-CN"/>
        </w:rPr>
      </w:pPr>
    </w:p>
    <w:p w14:paraId="2A28E1DA">
      <w:pPr>
        <w:spacing w:line="500" w:lineRule="exact"/>
        <w:ind w:firstLine="480" w:firstLineChars="200"/>
        <w:rPr>
          <w:rFonts w:hint="eastAsia" w:ascii="宋体" w:hAnsi="宋体" w:eastAsia="宋体" w:cs="宋体"/>
          <w:sz w:val="24"/>
          <w:szCs w:val="24"/>
          <w:lang w:val="en-US" w:eastAsia="zh-CN"/>
        </w:rPr>
      </w:pPr>
    </w:p>
    <w:p w14:paraId="6BF25C43">
      <w:pPr>
        <w:spacing w:line="500" w:lineRule="exact"/>
        <w:ind w:firstLine="480" w:firstLineChars="200"/>
        <w:rPr>
          <w:rFonts w:hint="eastAsia" w:ascii="宋体" w:hAnsi="宋体" w:eastAsia="宋体" w:cs="宋体"/>
          <w:sz w:val="24"/>
          <w:szCs w:val="24"/>
          <w:lang w:val="en-US" w:eastAsia="zh-CN"/>
        </w:rPr>
      </w:pPr>
    </w:p>
    <w:p w14:paraId="7E32DD72">
      <w:pPr>
        <w:spacing w:line="500" w:lineRule="exact"/>
        <w:ind w:firstLine="480" w:firstLineChars="200"/>
        <w:rPr>
          <w:rFonts w:hint="eastAsia" w:ascii="宋体" w:hAnsi="宋体" w:eastAsia="宋体" w:cs="宋体"/>
          <w:sz w:val="24"/>
          <w:szCs w:val="24"/>
          <w:lang w:val="en-US" w:eastAsia="zh-CN"/>
        </w:rPr>
      </w:pPr>
    </w:p>
    <w:p w14:paraId="6A173274">
      <w:pPr>
        <w:spacing w:line="500" w:lineRule="exact"/>
        <w:ind w:firstLine="480" w:firstLineChars="200"/>
        <w:rPr>
          <w:rFonts w:hint="eastAsia" w:ascii="宋体" w:hAnsi="宋体" w:eastAsia="宋体" w:cs="宋体"/>
          <w:sz w:val="24"/>
          <w:szCs w:val="24"/>
          <w:lang w:val="en-US" w:eastAsia="zh-CN"/>
        </w:rPr>
      </w:pPr>
    </w:p>
    <w:p w14:paraId="209C3434">
      <w:pPr>
        <w:spacing w:line="500" w:lineRule="exact"/>
        <w:ind w:firstLine="480" w:firstLineChars="200"/>
        <w:rPr>
          <w:rFonts w:hint="eastAsia" w:ascii="宋体" w:hAnsi="宋体" w:eastAsia="宋体" w:cs="宋体"/>
          <w:sz w:val="24"/>
          <w:szCs w:val="24"/>
          <w:lang w:val="en-US" w:eastAsia="zh-CN"/>
        </w:rPr>
      </w:pPr>
    </w:p>
    <w:p w14:paraId="5F38C90D">
      <w:pPr>
        <w:spacing w:line="500" w:lineRule="exact"/>
        <w:ind w:firstLine="480" w:firstLineChars="200"/>
        <w:rPr>
          <w:rFonts w:hint="eastAsia" w:ascii="宋体" w:hAnsi="宋体" w:eastAsia="宋体" w:cs="宋体"/>
          <w:sz w:val="24"/>
          <w:szCs w:val="24"/>
          <w:lang w:val="en-US" w:eastAsia="zh-CN"/>
        </w:rPr>
      </w:pPr>
    </w:p>
    <w:p w14:paraId="5951E8BF">
      <w:pPr>
        <w:spacing w:line="500" w:lineRule="exact"/>
        <w:ind w:firstLine="480" w:firstLineChars="200"/>
        <w:rPr>
          <w:rFonts w:hint="eastAsia" w:ascii="宋体" w:hAnsi="宋体" w:eastAsia="宋体" w:cs="宋体"/>
          <w:sz w:val="24"/>
          <w:szCs w:val="24"/>
          <w:lang w:val="en-US" w:eastAsia="zh-CN"/>
        </w:rPr>
      </w:pPr>
    </w:p>
    <w:p w14:paraId="44166C26">
      <w:pPr>
        <w:spacing w:line="500" w:lineRule="exact"/>
        <w:ind w:firstLine="480" w:firstLineChars="200"/>
        <w:rPr>
          <w:rFonts w:hint="eastAsia" w:ascii="宋体" w:hAnsi="宋体" w:eastAsia="宋体" w:cs="宋体"/>
          <w:sz w:val="24"/>
          <w:szCs w:val="24"/>
          <w:lang w:val="en-US" w:eastAsia="zh-CN"/>
        </w:rPr>
      </w:pPr>
    </w:p>
    <w:p w14:paraId="30715E65">
      <w:pPr>
        <w:spacing w:line="500" w:lineRule="exact"/>
        <w:ind w:firstLine="480" w:firstLineChars="200"/>
        <w:rPr>
          <w:rFonts w:hint="eastAsia" w:ascii="宋体" w:hAnsi="宋体" w:eastAsia="宋体" w:cs="宋体"/>
          <w:sz w:val="24"/>
          <w:szCs w:val="24"/>
          <w:lang w:val="en-US" w:eastAsia="zh-CN"/>
        </w:rPr>
      </w:pPr>
    </w:p>
    <w:p w14:paraId="15D383C3">
      <w:pPr>
        <w:spacing w:line="500" w:lineRule="exact"/>
        <w:ind w:firstLine="480" w:firstLineChars="200"/>
        <w:rPr>
          <w:rFonts w:hint="eastAsia" w:ascii="宋体" w:hAnsi="宋体" w:eastAsia="宋体" w:cs="宋体"/>
          <w:sz w:val="24"/>
          <w:szCs w:val="24"/>
          <w:lang w:val="en-US" w:eastAsia="zh-CN"/>
        </w:rPr>
      </w:pPr>
    </w:p>
    <w:p w14:paraId="5882B5E3">
      <w:pPr>
        <w:spacing w:line="500" w:lineRule="exact"/>
        <w:ind w:firstLine="480" w:firstLineChars="200"/>
        <w:rPr>
          <w:rFonts w:hint="eastAsia" w:ascii="宋体" w:hAnsi="宋体" w:eastAsia="宋体" w:cs="宋体"/>
          <w:sz w:val="24"/>
          <w:szCs w:val="24"/>
          <w:lang w:val="en-US" w:eastAsia="zh-CN"/>
        </w:rPr>
      </w:pPr>
    </w:p>
    <w:p w14:paraId="17536A0D">
      <w:pPr>
        <w:spacing w:line="500" w:lineRule="exact"/>
        <w:ind w:firstLine="480" w:firstLineChars="200"/>
        <w:rPr>
          <w:rFonts w:hint="eastAsia" w:ascii="宋体" w:hAnsi="宋体" w:eastAsia="宋体" w:cs="宋体"/>
          <w:sz w:val="24"/>
          <w:szCs w:val="24"/>
          <w:lang w:val="en-US" w:eastAsia="zh-CN"/>
        </w:rPr>
      </w:pPr>
    </w:p>
    <w:p w14:paraId="4B527F7D">
      <w:pPr>
        <w:spacing w:line="500" w:lineRule="exact"/>
        <w:ind w:firstLine="480" w:firstLineChars="200"/>
        <w:rPr>
          <w:rFonts w:hint="eastAsia" w:ascii="宋体" w:hAnsi="宋体" w:eastAsia="宋体" w:cs="宋体"/>
          <w:sz w:val="24"/>
          <w:szCs w:val="24"/>
          <w:lang w:val="en-US" w:eastAsia="zh-CN"/>
        </w:rPr>
      </w:pPr>
    </w:p>
    <w:p w14:paraId="78F1BACD">
      <w:pPr>
        <w:spacing w:line="500" w:lineRule="exact"/>
        <w:ind w:firstLine="480" w:firstLineChars="200"/>
        <w:rPr>
          <w:rFonts w:hint="eastAsia" w:ascii="宋体" w:hAnsi="宋体" w:eastAsia="宋体" w:cs="宋体"/>
          <w:sz w:val="24"/>
          <w:szCs w:val="24"/>
          <w:lang w:val="en-US" w:eastAsia="zh-CN"/>
        </w:rPr>
      </w:pPr>
    </w:p>
    <w:p w14:paraId="6E686CAA">
      <w:pPr>
        <w:spacing w:line="500" w:lineRule="exact"/>
        <w:ind w:firstLine="480" w:firstLineChars="200"/>
        <w:rPr>
          <w:rFonts w:hint="eastAsia" w:ascii="宋体" w:hAnsi="宋体" w:eastAsia="宋体" w:cs="宋体"/>
          <w:sz w:val="24"/>
          <w:szCs w:val="24"/>
          <w:lang w:val="en-US" w:eastAsia="zh-CN"/>
        </w:rPr>
      </w:pPr>
    </w:p>
    <w:p w14:paraId="404194ED">
      <w:pPr>
        <w:spacing w:line="500" w:lineRule="exact"/>
        <w:ind w:firstLine="480" w:firstLineChars="200"/>
        <w:rPr>
          <w:rFonts w:hint="eastAsia" w:ascii="宋体" w:hAnsi="宋体" w:eastAsia="宋体" w:cs="宋体"/>
          <w:sz w:val="24"/>
          <w:szCs w:val="24"/>
          <w:lang w:val="en-US" w:eastAsia="zh-CN"/>
        </w:rPr>
      </w:pPr>
    </w:p>
    <w:p w14:paraId="28054B77">
      <w:pPr>
        <w:pStyle w:val="3"/>
        <w:spacing w:before="0" w:after="0" w:line="360" w:lineRule="auto"/>
        <w:jc w:val="center"/>
        <w:rPr>
          <w:rFonts w:ascii="宋体" w:hAnsi="宋体"/>
          <w:color w:val="000000"/>
          <w:sz w:val="44"/>
          <w:szCs w:val="44"/>
        </w:rPr>
      </w:pPr>
      <w:bookmarkStart w:id="364" w:name="_Toc514063024"/>
      <w:bookmarkStart w:id="365" w:name="_Toc12115"/>
      <w:bookmarkStart w:id="366" w:name="_Toc533498327"/>
      <w:bookmarkStart w:id="367" w:name="_Toc4494125"/>
      <w:bookmarkStart w:id="368" w:name="_Toc4494244"/>
      <w:r>
        <w:rPr>
          <w:rFonts w:ascii="宋体" w:hAnsi="宋体"/>
          <w:color w:val="000000"/>
          <w:sz w:val="30"/>
          <w:szCs w:val="30"/>
        </w:rPr>
        <w:t xml:space="preserve">第三部分 </w:t>
      </w:r>
      <w:r>
        <w:rPr>
          <w:rFonts w:hint="eastAsia" w:ascii="宋体" w:hAnsi="宋体"/>
          <w:color w:val="000000"/>
          <w:sz w:val="30"/>
          <w:szCs w:val="30"/>
        </w:rPr>
        <w:t>专用合同条款</w:t>
      </w:r>
      <w:bookmarkEnd w:id="364"/>
      <w:bookmarkEnd w:id="365"/>
      <w:bookmarkEnd w:id="366"/>
      <w:bookmarkEnd w:id="367"/>
      <w:bookmarkEnd w:id="368"/>
    </w:p>
    <w:p w14:paraId="798B82F7">
      <w:pPr>
        <w:pStyle w:val="5"/>
        <w:pageBreakBefore w:val="0"/>
        <w:numPr>
          <w:ilvl w:val="3"/>
          <w:numId w:val="0"/>
        </w:numPr>
        <w:kinsoku/>
        <w:wordWrap/>
        <w:overflowPunct/>
        <w:topLinePunct w:val="0"/>
        <w:bidi w:val="0"/>
        <w:snapToGrid/>
        <w:spacing w:before="0" w:after="0" w:line="440" w:lineRule="atLeast"/>
        <w:contextualSpacing/>
        <w:textAlignment w:val="auto"/>
        <w:rPr>
          <w:rFonts w:hint="eastAsia" w:ascii="宋体" w:hAnsi="宋体" w:eastAsia="宋体" w:cs="宋体"/>
          <w:b w:val="0"/>
          <w:color w:val="000000"/>
          <w:sz w:val="24"/>
          <w:szCs w:val="24"/>
        </w:rPr>
      </w:pPr>
      <w:bookmarkStart w:id="369" w:name="_Toc4494126"/>
      <w:bookmarkStart w:id="370" w:name="_Toc528826755"/>
      <w:r>
        <w:rPr>
          <w:rFonts w:hint="eastAsia" w:ascii="宋体" w:hAnsi="宋体" w:eastAsia="宋体" w:cs="宋体"/>
          <w:b w:val="0"/>
          <w:color w:val="000000"/>
          <w:sz w:val="24"/>
          <w:szCs w:val="24"/>
        </w:rPr>
        <w:t>1</w:t>
      </w:r>
      <w:bookmarkStart w:id="371" w:name="_Toc297120456"/>
      <w:bookmarkStart w:id="372" w:name="_Toc296890984"/>
      <w:bookmarkStart w:id="373" w:name="_Toc292559866"/>
      <w:bookmarkStart w:id="374" w:name="_Toc296503156"/>
      <w:bookmarkStart w:id="375" w:name="_Toc296346657"/>
      <w:bookmarkStart w:id="376" w:name="_Toc292559361"/>
      <w:bookmarkStart w:id="377" w:name="_Toc296944495"/>
      <w:bookmarkStart w:id="378" w:name="_Toc297048342"/>
      <w:bookmarkStart w:id="379" w:name="_Toc296891196"/>
      <w:bookmarkStart w:id="380" w:name="_Toc296347155"/>
      <w:r>
        <w:rPr>
          <w:rFonts w:hint="eastAsia" w:ascii="宋体" w:hAnsi="宋体" w:eastAsia="宋体" w:cs="宋体"/>
          <w:b w:val="0"/>
          <w:color w:val="000000"/>
          <w:sz w:val="24"/>
          <w:szCs w:val="24"/>
        </w:rPr>
        <w:t>. 一般约定</w:t>
      </w:r>
      <w:bookmarkEnd w:id="369"/>
      <w:bookmarkEnd w:id="370"/>
    </w:p>
    <w:bookmarkEnd w:id="371"/>
    <w:bookmarkEnd w:id="372"/>
    <w:bookmarkEnd w:id="373"/>
    <w:bookmarkEnd w:id="374"/>
    <w:bookmarkEnd w:id="375"/>
    <w:bookmarkEnd w:id="376"/>
    <w:bookmarkEnd w:id="377"/>
    <w:bookmarkEnd w:id="378"/>
    <w:bookmarkEnd w:id="379"/>
    <w:bookmarkEnd w:id="380"/>
    <w:p w14:paraId="163F9B7C">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381" w:name="_Toc4494127"/>
      <w:bookmarkStart w:id="382" w:name="_Toc528826756"/>
      <w:r>
        <w:rPr>
          <w:rFonts w:hint="eastAsia" w:ascii="宋体" w:hAnsi="宋体" w:eastAsia="宋体" w:cs="宋体"/>
          <w:b w:val="0"/>
          <w:color w:val="000000"/>
          <w:sz w:val="24"/>
          <w:szCs w:val="24"/>
        </w:rPr>
        <w:t>1.1 词语定义</w:t>
      </w:r>
      <w:bookmarkEnd w:id="381"/>
      <w:bookmarkEnd w:id="382"/>
    </w:p>
    <w:p w14:paraId="65FAA98A">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1.1.1合同</w:t>
      </w:r>
    </w:p>
    <w:p w14:paraId="27908200">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1.1.1.10其他合同文件包括：</w:t>
      </w:r>
    </w:p>
    <w:p w14:paraId="1CCD130A">
      <w:pPr>
        <w:pageBreakBefore w:val="0"/>
        <w:kinsoku/>
        <w:wordWrap/>
        <w:overflowPunct/>
        <w:topLinePunct w:val="0"/>
        <w:bidi w:val="0"/>
        <w:snapToGrid/>
        <w:spacing w:line="440" w:lineRule="atLeast"/>
        <w:ind w:firstLine="482" w:firstLineChars="200"/>
        <w:contextualSpacing/>
        <w:textAlignment w:val="auto"/>
        <w:rPr>
          <w:rFonts w:hint="eastAsia" w:ascii="宋体" w:hAnsi="宋体" w:eastAsia="宋体" w:cs="宋体"/>
          <w:color w:val="000000"/>
          <w:kern w:val="0"/>
          <w:sz w:val="24"/>
          <w:szCs w:val="24"/>
        </w:rPr>
      </w:pPr>
      <w:r>
        <w:rPr>
          <w:rFonts w:hint="eastAsia" w:ascii="宋体" w:hAnsi="宋体" w:eastAsia="宋体" w:cs="宋体"/>
          <w:b/>
          <w:bCs/>
          <w:color w:val="000000"/>
          <w:kern w:val="0"/>
          <w:sz w:val="24"/>
          <w:szCs w:val="24"/>
          <w:u w:val="single"/>
        </w:rPr>
        <w:t>招标文件、招标补充文件及其附件；投标书及其附件；标准、规范及有关技术文件</w:t>
      </w:r>
      <w:r>
        <w:rPr>
          <w:rFonts w:hint="eastAsia" w:ascii="宋体" w:hAnsi="宋体" w:eastAsia="宋体" w:cs="宋体"/>
          <w:color w:val="000000"/>
          <w:sz w:val="24"/>
          <w:szCs w:val="24"/>
        </w:rPr>
        <w:t>；</w:t>
      </w:r>
      <w:r>
        <w:rPr>
          <w:rFonts w:hint="eastAsia" w:ascii="宋体" w:hAnsi="宋体" w:eastAsia="宋体" w:cs="宋体"/>
          <w:b/>
          <w:bCs/>
          <w:color w:val="000000"/>
          <w:sz w:val="24"/>
          <w:szCs w:val="24"/>
          <w:u w:val="single"/>
        </w:rPr>
        <w:t>在合同订立及履行过程中形成的与合同有关的文件均构成合同文件组成部分</w:t>
      </w:r>
      <w:r>
        <w:rPr>
          <w:rFonts w:hint="eastAsia" w:ascii="宋体" w:hAnsi="宋体" w:eastAsia="宋体" w:cs="宋体"/>
          <w:b/>
          <w:bCs/>
          <w:color w:val="000000"/>
          <w:sz w:val="24"/>
          <w:szCs w:val="24"/>
        </w:rPr>
        <w:t>。</w:t>
      </w:r>
    </w:p>
    <w:p w14:paraId="702BC1D0">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1.1.2 合同当事人及其他相关方</w:t>
      </w:r>
    </w:p>
    <w:p w14:paraId="59980158">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1.1.2.4监理人：</w:t>
      </w:r>
    </w:p>
    <w:p w14:paraId="57C69A03">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名    称：</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b/>
          <w:color w:val="000000"/>
          <w:sz w:val="24"/>
          <w:szCs w:val="24"/>
          <w:u w:val="single"/>
        </w:rPr>
        <w:t xml:space="preserve"> </w:t>
      </w:r>
    </w:p>
    <w:p w14:paraId="13DC7460">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资质类别和等级：</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p>
    <w:p w14:paraId="38142CDB">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联系电话：</w:t>
      </w:r>
      <w:r>
        <w:rPr>
          <w:rFonts w:hint="eastAsia" w:ascii="宋体" w:hAnsi="宋体" w:eastAsia="宋体" w:cs="宋体"/>
          <w:color w:val="000000"/>
          <w:sz w:val="24"/>
          <w:szCs w:val="24"/>
          <w:u w:val="single"/>
        </w:rPr>
        <w:t xml:space="preserve">              </w:t>
      </w:r>
    </w:p>
    <w:p w14:paraId="7EEEFEDB">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电子信箱：</w:t>
      </w:r>
      <w:r>
        <w:rPr>
          <w:rFonts w:hint="eastAsia" w:ascii="宋体" w:hAnsi="宋体" w:eastAsia="宋体" w:cs="宋体"/>
          <w:color w:val="000000"/>
          <w:sz w:val="24"/>
          <w:szCs w:val="24"/>
          <w:u w:val="single"/>
        </w:rPr>
        <w:t xml:space="preserve">                      </w:t>
      </w:r>
    </w:p>
    <w:p w14:paraId="0B7D0A42">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通信地址：</w:t>
      </w:r>
      <w:r>
        <w:rPr>
          <w:rFonts w:hint="eastAsia" w:ascii="宋体" w:hAnsi="宋体" w:eastAsia="宋体" w:cs="宋体"/>
          <w:color w:val="000000"/>
          <w:sz w:val="24"/>
          <w:szCs w:val="24"/>
          <w:u w:val="single"/>
        </w:rPr>
        <w:t>                  </w:t>
      </w:r>
    </w:p>
    <w:p w14:paraId="15D90F9A">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1.1.2.5 设计人：</w:t>
      </w:r>
    </w:p>
    <w:p w14:paraId="4C410414">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名    称：</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p>
    <w:p w14:paraId="703594C6">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资质类别和等级：</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p>
    <w:p w14:paraId="35E302D2">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p>
    <w:p w14:paraId="24D06646">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电子信箱：</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p>
    <w:p w14:paraId="6EE22BCB">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p>
    <w:p w14:paraId="522972DD">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1.1.3 工程和设备</w:t>
      </w:r>
    </w:p>
    <w:p w14:paraId="07BF69ED">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1.1.3.7 作为施工现场组成部分的其他场所包括：</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u w:val="single"/>
        </w:rPr>
        <w:t xml:space="preserve">  </w:t>
      </w:r>
    </w:p>
    <w:p w14:paraId="096B4D84">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u w:val="single"/>
        </w:rPr>
      </w:pPr>
      <w:r>
        <w:rPr>
          <w:rFonts w:hint="eastAsia" w:ascii="宋体" w:hAnsi="宋体" w:eastAsia="宋体" w:cs="宋体"/>
          <w:color w:val="000000"/>
          <w:kern w:val="0"/>
          <w:sz w:val="24"/>
          <w:szCs w:val="24"/>
        </w:rPr>
        <w:t>1.1.3.9 永久占地包括：</w:t>
      </w:r>
      <w:r>
        <w:rPr>
          <w:rFonts w:hint="eastAsia" w:ascii="宋体" w:hAnsi="宋体" w:eastAsia="宋体" w:cs="宋体"/>
          <w:b/>
          <w:color w:val="000000"/>
          <w:kern w:val="0"/>
          <w:sz w:val="24"/>
          <w:szCs w:val="24"/>
          <w:u w:val="single"/>
        </w:rPr>
        <w:t xml:space="preserve">  </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u w:val="single"/>
        </w:rPr>
        <w:t xml:space="preserve">  </w:t>
      </w:r>
    </w:p>
    <w:p w14:paraId="12DC77AF">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u w:val="single"/>
        </w:rPr>
      </w:pPr>
      <w:r>
        <w:rPr>
          <w:rFonts w:hint="eastAsia" w:ascii="宋体" w:hAnsi="宋体" w:eastAsia="宋体" w:cs="宋体"/>
          <w:color w:val="000000"/>
          <w:kern w:val="0"/>
          <w:sz w:val="24"/>
          <w:szCs w:val="24"/>
        </w:rPr>
        <w:t>1.1.3.10 临时占地包括：</w:t>
      </w:r>
      <w:r>
        <w:rPr>
          <w:rFonts w:hint="eastAsia" w:ascii="宋体" w:hAnsi="宋体" w:eastAsia="宋体" w:cs="宋体"/>
          <w:b/>
          <w:color w:val="000000"/>
          <w:kern w:val="0"/>
          <w:sz w:val="24"/>
          <w:szCs w:val="24"/>
          <w:u w:val="single"/>
        </w:rPr>
        <w:t xml:space="preserve">  </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u w:val="single"/>
        </w:rPr>
        <w:t xml:space="preserve">  </w:t>
      </w:r>
    </w:p>
    <w:p w14:paraId="201A711B">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383" w:name="_Toc4494128"/>
      <w:bookmarkStart w:id="384" w:name="_Toc528826757"/>
      <w:r>
        <w:rPr>
          <w:rFonts w:hint="eastAsia" w:ascii="宋体" w:hAnsi="宋体" w:eastAsia="宋体" w:cs="宋体"/>
          <w:b w:val="0"/>
          <w:color w:val="000000"/>
          <w:sz w:val="24"/>
          <w:szCs w:val="24"/>
        </w:rPr>
        <w:t>1.3法律</w:t>
      </w:r>
      <w:bookmarkEnd w:id="383"/>
      <w:bookmarkEnd w:id="384"/>
      <w:r>
        <w:rPr>
          <w:rFonts w:hint="eastAsia" w:ascii="宋体" w:hAnsi="宋体" w:eastAsia="宋体" w:cs="宋体"/>
          <w:b w:val="0"/>
          <w:color w:val="000000"/>
          <w:sz w:val="24"/>
          <w:szCs w:val="24"/>
        </w:rPr>
        <w:t xml:space="preserve"> </w:t>
      </w:r>
    </w:p>
    <w:p w14:paraId="3F76C601">
      <w:pPr>
        <w:pageBreakBefore w:val="0"/>
        <w:kinsoku/>
        <w:wordWrap/>
        <w:overflowPunct/>
        <w:topLinePunct w:val="0"/>
        <w:autoSpaceDE w:val="0"/>
        <w:autoSpaceDN w:val="0"/>
        <w:bidi w:val="0"/>
        <w:adjustRightInd w:val="0"/>
        <w:snapToGrid/>
        <w:spacing w:line="440" w:lineRule="atLeast"/>
        <w:ind w:firstLine="480" w:firstLineChars="200"/>
        <w:contextualSpacing/>
        <w:jc w:val="left"/>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适用于合同的其他规范性文件：</w:t>
      </w:r>
      <w:r>
        <w:rPr>
          <w:rFonts w:hint="eastAsia" w:ascii="宋体" w:hAnsi="宋体" w:eastAsia="宋体" w:cs="宋体"/>
          <w:b/>
          <w:bCs/>
          <w:color w:val="000000"/>
          <w:sz w:val="24"/>
          <w:szCs w:val="24"/>
          <w:u w:val="single"/>
        </w:rPr>
        <w:t>《中华人民共和国</w:t>
      </w:r>
      <w:r>
        <w:rPr>
          <w:rFonts w:hint="eastAsia" w:ascii="宋体" w:hAnsi="宋体" w:cs="宋体"/>
          <w:b/>
          <w:bCs/>
          <w:color w:val="000000"/>
          <w:sz w:val="24"/>
          <w:szCs w:val="24"/>
          <w:u w:val="single"/>
          <w:lang w:val="en-US" w:eastAsia="zh-CN"/>
        </w:rPr>
        <w:t>民法典</w:t>
      </w:r>
      <w:r>
        <w:rPr>
          <w:rFonts w:hint="eastAsia" w:ascii="宋体" w:hAnsi="宋体" w:eastAsia="宋体" w:cs="宋体"/>
          <w:b/>
          <w:bCs/>
          <w:color w:val="000000"/>
          <w:sz w:val="24"/>
          <w:szCs w:val="24"/>
          <w:u w:val="single"/>
        </w:rPr>
        <w:t>》、《中华人民共和国建筑法》、《建设工程质量管理条例》及国家、省、市（县、区）现行相关法律法规等</w:t>
      </w:r>
      <w:r>
        <w:rPr>
          <w:rFonts w:hint="eastAsia" w:ascii="宋体" w:hAnsi="宋体" w:eastAsia="宋体" w:cs="宋体"/>
          <w:b/>
          <w:bCs/>
          <w:color w:val="000000"/>
          <w:sz w:val="24"/>
          <w:szCs w:val="24"/>
        </w:rPr>
        <w:t>。</w:t>
      </w:r>
    </w:p>
    <w:p w14:paraId="5C1F207E">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385" w:name="_Toc528826758"/>
      <w:bookmarkStart w:id="386" w:name="_Toc4494129"/>
      <w:r>
        <w:rPr>
          <w:rFonts w:hint="eastAsia" w:ascii="宋体" w:hAnsi="宋体" w:eastAsia="宋体" w:cs="宋体"/>
          <w:b w:val="0"/>
          <w:color w:val="000000"/>
          <w:sz w:val="24"/>
          <w:szCs w:val="24"/>
        </w:rPr>
        <w:t>1.4 标准和规范</w:t>
      </w:r>
      <w:bookmarkEnd w:id="385"/>
      <w:bookmarkEnd w:id="386"/>
    </w:p>
    <w:p w14:paraId="013179E3">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1.4.1适用于工程的标准规范包括：</w:t>
      </w:r>
      <w:r>
        <w:rPr>
          <w:rFonts w:hint="eastAsia" w:ascii="宋体" w:hAnsi="宋体" w:eastAsia="宋体" w:cs="宋体"/>
          <w:b/>
          <w:bCs/>
          <w:color w:val="000000"/>
          <w:sz w:val="24"/>
          <w:szCs w:val="24"/>
          <w:u w:val="single"/>
        </w:rPr>
        <w:t>《工程建设标准强制性条文》、《建筑工程施工质量验收统一标准》、《施工验收规范》、《房屋建筑工程质量保修办法》、《建设工程质量管理条例》、《建筑工程文件归档整理规范》等国家现行建筑标准规范</w:t>
      </w:r>
      <w:r>
        <w:rPr>
          <w:rFonts w:hint="eastAsia" w:ascii="宋体" w:hAnsi="宋体" w:eastAsia="宋体" w:cs="宋体"/>
          <w:b/>
          <w:bCs/>
          <w:color w:val="000000"/>
          <w:sz w:val="24"/>
          <w:szCs w:val="24"/>
        </w:rPr>
        <w:t>。</w:t>
      </w:r>
    </w:p>
    <w:p w14:paraId="0CD6BF22">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u w:val="single"/>
        </w:rPr>
      </w:pPr>
      <w:r>
        <w:rPr>
          <w:rFonts w:hint="eastAsia" w:ascii="宋体" w:hAnsi="宋体" w:eastAsia="宋体" w:cs="宋体"/>
          <w:color w:val="000000"/>
          <w:kern w:val="0"/>
          <w:sz w:val="24"/>
          <w:szCs w:val="24"/>
        </w:rPr>
        <w:t>1.4.2 发包人提供国外标准、规范的名称：</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u w:val="single"/>
        </w:rPr>
        <w:t xml:space="preserve">  </w:t>
      </w:r>
    </w:p>
    <w:p w14:paraId="5A84D1D4">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u w:val="single"/>
        </w:rPr>
      </w:pPr>
      <w:r>
        <w:rPr>
          <w:rFonts w:hint="eastAsia" w:ascii="宋体" w:hAnsi="宋体" w:eastAsia="宋体" w:cs="宋体"/>
          <w:color w:val="000000"/>
          <w:kern w:val="0"/>
          <w:sz w:val="24"/>
          <w:szCs w:val="24"/>
        </w:rPr>
        <w:t>发包人提供国外标准、规范的份数：</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u w:val="single"/>
        </w:rPr>
        <w:t xml:space="preserve">  </w:t>
      </w:r>
    </w:p>
    <w:p w14:paraId="6640DE58">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u w:val="single"/>
        </w:rPr>
      </w:pPr>
      <w:r>
        <w:rPr>
          <w:rFonts w:hint="eastAsia" w:ascii="宋体" w:hAnsi="宋体" w:eastAsia="宋体" w:cs="宋体"/>
          <w:color w:val="000000"/>
          <w:kern w:val="0"/>
          <w:sz w:val="24"/>
          <w:szCs w:val="24"/>
        </w:rPr>
        <w:t>发包人提供国外标准、规范的名称：</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u w:val="single"/>
        </w:rPr>
        <w:t xml:space="preserve">  </w:t>
      </w:r>
    </w:p>
    <w:p w14:paraId="624AA6B4">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1.4.3发包人对工程的技术标准和功能要求的特殊要求：</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u w:val="single"/>
        </w:rPr>
        <w:t xml:space="preserve">  </w:t>
      </w:r>
    </w:p>
    <w:p w14:paraId="4D56AEA4">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387" w:name="_Toc528826759"/>
      <w:bookmarkStart w:id="388" w:name="_Toc4494130"/>
      <w:r>
        <w:rPr>
          <w:rFonts w:hint="eastAsia" w:ascii="宋体" w:hAnsi="宋体" w:eastAsia="宋体" w:cs="宋体"/>
          <w:b w:val="0"/>
          <w:color w:val="000000"/>
          <w:sz w:val="24"/>
          <w:szCs w:val="24"/>
        </w:rPr>
        <w:t>1.5 合同文件的优先顺序</w:t>
      </w:r>
      <w:bookmarkEnd w:id="387"/>
      <w:bookmarkEnd w:id="388"/>
    </w:p>
    <w:p w14:paraId="0016E476">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合同文件组成及优先顺序为：</w:t>
      </w:r>
      <w:r>
        <w:rPr>
          <w:rFonts w:hint="eastAsia" w:ascii="宋体" w:hAnsi="宋体" w:eastAsia="宋体" w:cs="宋体"/>
          <w:b/>
          <w:bCs/>
          <w:color w:val="000000"/>
          <w:sz w:val="24"/>
          <w:szCs w:val="24"/>
          <w:u w:val="single"/>
        </w:rPr>
        <w:t>（1）合同协议书、（2</w:t>
      </w:r>
      <w:r>
        <w:rPr>
          <w:rFonts w:hint="eastAsia" w:ascii="宋体" w:hAnsi="宋体" w:eastAsia="宋体" w:cs="宋体"/>
          <w:b/>
          <w:bCs/>
          <w:color w:val="000000"/>
          <w:sz w:val="24"/>
          <w:szCs w:val="24"/>
          <w:u w:val="single"/>
          <w:lang w:eastAsia="zh-CN"/>
        </w:rPr>
        <w:t>）</w:t>
      </w:r>
      <w:r>
        <w:rPr>
          <w:rFonts w:hint="eastAsia" w:ascii="宋体" w:hAnsi="宋体" w:eastAsia="宋体" w:cs="宋体"/>
          <w:b/>
          <w:bCs/>
          <w:color w:val="000000"/>
          <w:sz w:val="24"/>
          <w:szCs w:val="24"/>
          <w:u w:val="single"/>
        </w:rPr>
        <w:t>专用合同条款及其附件、（3）中标通知书，（4）投标函及其附录、（5）通用合同条款、（6）技术标准和要求、（7）图纸、（8）已标价工程量清单、（9）其他合同文件</w:t>
      </w:r>
      <w:r>
        <w:rPr>
          <w:rFonts w:hint="eastAsia" w:ascii="宋体" w:hAnsi="宋体" w:eastAsia="宋体" w:cs="宋体"/>
          <w:b/>
          <w:bCs/>
          <w:color w:val="000000"/>
          <w:sz w:val="24"/>
          <w:szCs w:val="24"/>
        </w:rPr>
        <w:t>。</w:t>
      </w:r>
    </w:p>
    <w:p w14:paraId="71391503">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389" w:name="_Toc4494131"/>
      <w:bookmarkStart w:id="390" w:name="_Toc528826760"/>
      <w:r>
        <w:rPr>
          <w:rFonts w:hint="eastAsia" w:ascii="宋体" w:hAnsi="宋体" w:eastAsia="宋体" w:cs="宋体"/>
          <w:b w:val="0"/>
          <w:color w:val="000000"/>
          <w:sz w:val="24"/>
          <w:szCs w:val="24"/>
        </w:rPr>
        <w:t>1.6 图纸和承包人文件</w:t>
      </w:r>
      <w:bookmarkEnd w:id="389"/>
      <w:bookmarkEnd w:id="390"/>
      <w:r>
        <w:rPr>
          <w:rFonts w:hint="eastAsia" w:ascii="宋体" w:hAnsi="宋体" w:eastAsia="宋体" w:cs="宋体"/>
          <w:b w:val="0"/>
          <w:color w:val="000000"/>
          <w:sz w:val="24"/>
          <w:szCs w:val="24"/>
        </w:rPr>
        <w:tab/>
      </w:r>
    </w:p>
    <w:p w14:paraId="1D6B14A0">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1.6.1 图纸的提供</w:t>
      </w:r>
    </w:p>
    <w:p w14:paraId="13C408F5">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发包人向承包人提供图纸的期限：</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u w:val="single"/>
        </w:rPr>
        <w:t xml:space="preserve">  </w:t>
      </w:r>
    </w:p>
    <w:p w14:paraId="15A3ABFE">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发包人向承包人提供图纸的数量：</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u w:val="single"/>
        </w:rPr>
        <w:t xml:space="preserve">  </w:t>
      </w:r>
    </w:p>
    <w:p w14:paraId="19EE9C6E">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发包人向承包人提供图纸的内容：</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u w:val="single"/>
        </w:rPr>
        <w:t xml:space="preserve">  </w:t>
      </w:r>
    </w:p>
    <w:p w14:paraId="007BBB4E">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1.6.4 承包人文件</w:t>
      </w:r>
    </w:p>
    <w:p w14:paraId="03922103">
      <w:pPr>
        <w:pStyle w:val="16"/>
        <w:pageBreakBefore w:val="0"/>
        <w:kinsoku/>
        <w:wordWrap/>
        <w:overflowPunct/>
        <w:topLinePunct w:val="0"/>
        <w:bidi w:val="0"/>
        <w:snapToGrid/>
        <w:spacing w:line="440" w:lineRule="atLeast"/>
        <w:ind w:left="0" w:leftChars="0" w:firstLine="480" w:firstLineChars="200"/>
        <w:contextualSpacing/>
        <w:jc w:val="left"/>
        <w:textAlignment w:val="auto"/>
        <w:rPr>
          <w:rFonts w:hint="eastAsia" w:ascii="宋体" w:hAnsi="宋体" w:eastAsia="宋体" w:cs="宋体"/>
          <w:b w:val="0"/>
          <w:bCs w:val="0"/>
          <w:sz w:val="24"/>
          <w:szCs w:val="24"/>
          <w:u w:val="single"/>
        </w:rPr>
      </w:pPr>
      <w:r>
        <w:rPr>
          <w:rFonts w:hint="eastAsia" w:ascii="宋体" w:hAnsi="宋体" w:eastAsia="宋体" w:cs="宋体"/>
          <w:sz w:val="24"/>
          <w:szCs w:val="24"/>
        </w:rPr>
        <w:t>需要由承包人提供的文件，包括：</w:t>
      </w:r>
      <w:r>
        <w:rPr>
          <w:rFonts w:hint="eastAsia" w:ascii="宋体" w:hAnsi="宋体" w:eastAsia="宋体" w:cs="宋体"/>
          <w:b w:val="0"/>
          <w:bCs w:val="0"/>
          <w:sz w:val="24"/>
          <w:szCs w:val="24"/>
          <w:u w:val="single"/>
          <w:lang w:val="en-US" w:eastAsia="zh-CN"/>
        </w:rPr>
        <w:t xml:space="preserve">               </w:t>
      </w:r>
    </w:p>
    <w:p w14:paraId="750D2E6E">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承包人提供的文件的期限为：</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u w:val="single"/>
        </w:rPr>
        <w:t xml:space="preserve">  </w:t>
      </w:r>
    </w:p>
    <w:p w14:paraId="54DADD63">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承包人提供的文件的数量为：</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u w:val="single"/>
        </w:rPr>
        <w:t xml:space="preserve">  </w:t>
      </w:r>
    </w:p>
    <w:p w14:paraId="5535EACD">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承包人提供的文件的形式为：</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u w:val="single"/>
        </w:rPr>
        <w:t xml:space="preserve">  </w:t>
      </w:r>
    </w:p>
    <w:p w14:paraId="494CF855">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发包人审批承包人文件的期限：</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u w:val="single"/>
        </w:rPr>
        <w:t xml:space="preserve"> </w:t>
      </w:r>
    </w:p>
    <w:p w14:paraId="0B3ABA86">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1.6.5 现场图纸准备</w:t>
      </w:r>
    </w:p>
    <w:p w14:paraId="7EE6A31C">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关于现场图纸准备的约定：</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u w:val="single"/>
        </w:rPr>
        <w:t xml:space="preserve">  </w:t>
      </w:r>
    </w:p>
    <w:p w14:paraId="3C8A311B">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391" w:name="_Toc528826761"/>
      <w:bookmarkStart w:id="392" w:name="_Toc4494132"/>
      <w:r>
        <w:rPr>
          <w:rFonts w:hint="eastAsia" w:ascii="宋体" w:hAnsi="宋体" w:eastAsia="宋体" w:cs="宋体"/>
          <w:b w:val="0"/>
          <w:color w:val="000000"/>
          <w:sz w:val="24"/>
          <w:szCs w:val="24"/>
        </w:rPr>
        <w:t>1.7 联络</w:t>
      </w:r>
      <w:bookmarkEnd w:id="391"/>
      <w:bookmarkEnd w:id="392"/>
    </w:p>
    <w:p w14:paraId="7297CB6F">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1.7.1发包人和承包人应当在</w:t>
      </w:r>
      <w:r>
        <w:rPr>
          <w:rFonts w:hint="eastAsia" w:ascii="宋体" w:hAnsi="宋体" w:eastAsia="宋体" w:cs="宋体"/>
          <w:color w:val="000000"/>
          <w:sz w:val="24"/>
          <w:szCs w:val="24"/>
          <w:u w:val="single"/>
        </w:rPr>
        <w:t xml:space="preserve"> </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color w:val="000000"/>
          <w:kern w:val="0"/>
          <w:sz w:val="24"/>
          <w:szCs w:val="24"/>
        </w:rPr>
        <w:t>天内将与合同有关的通知、批准、证明、证书、指示、指令、要求、请求、同意、意见、确定和决定等书面函件送达对方当事人。</w:t>
      </w:r>
    </w:p>
    <w:p w14:paraId="6E3DCEF3">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b/>
          <w:bCs/>
          <w:color w:val="000000"/>
          <w:sz w:val="24"/>
          <w:szCs w:val="24"/>
          <w:u w:val="single"/>
          <w:lang w:val="en-US" w:eastAsia="zh-CN"/>
        </w:rPr>
      </w:pPr>
      <w:r>
        <w:rPr>
          <w:rFonts w:hint="eastAsia" w:ascii="宋体" w:hAnsi="宋体" w:eastAsia="宋体" w:cs="宋体"/>
          <w:color w:val="000000"/>
          <w:kern w:val="0"/>
          <w:sz w:val="24"/>
          <w:szCs w:val="24"/>
        </w:rPr>
        <w:t>1.7.2 发包人接收文件的地点：</w:t>
      </w:r>
      <w:r>
        <w:rPr>
          <w:rFonts w:hint="eastAsia" w:ascii="宋体" w:hAnsi="宋体" w:eastAsia="宋体" w:cs="宋体"/>
          <w:color w:val="000000"/>
          <w:sz w:val="24"/>
          <w:szCs w:val="24"/>
          <w:u w:val="single"/>
        </w:rPr>
        <w:t xml:space="preserve">  </w:t>
      </w:r>
    </w:p>
    <w:p w14:paraId="21A30116">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发包人指定的接收人为：</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p>
    <w:p w14:paraId="36B5F43C">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承包人接收文件的地点：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p>
    <w:p w14:paraId="0F06697B">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承包人指定的接收人为：</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p>
    <w:p w14:paraId="2484B277">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监理人接收文件的地点：</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p>
    <w:p w14:paraId="750F8727">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监理人指定的接收人为：</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p>
    <w:p w14:paraId="7CFDF7DF">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393" w:name="_Toc4494133"/>
      <w:bookmarkStart w:id="394" w:name="_Toc528826762"/>
      <w:r>
        <w:rPr>
          <w:rFonts w:hint="eastAsia" w:ascii="宋体" w:hAnsi="宋体" w:eastAsia="宋体" w:cs="宋体"/>
          <w:b w:val="0"/>
          <w:color w:val="000000"/>
          <w:sz w:val="24"/>
          <w:szCs w:val="24"/>
        </w:rPr>
        <w:t>1.10 交通运输</w:t>
      </w:r>
      <w:bookmarkEnd w:id="393"/>
      <w:bookmarkEnd w:id="394"/>
    </w:p>
    <w:p w14:paraId="4DBB021D">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bookmarkStart w:id="395" w:name="_Toc303539100"/>
      <w:bookmarkStart w:id="396" w:name="_Toc312677986"/>
      <w:bookmarkStart w:id="397" w:name="_Toc318581155"/>
      <w:bookmarkStart w:id="398" w:name="_Toc304295521"/>
      <w:bookmarkStart w:id="399" w:name="_Toc300934943"/>
      <w:r>
        <w:rPr>
          <w:rFonts w:hint="eastAsia" w:ascii="宋体" w:hAnsi="宋体" w:eastAsia="宋体" w:cs="宋体"/>
          <w:color w:val="000000"/>
          <w:sz w:val="24"/>
          <w:szCs w:val="24"/>
        </w:rPr>
        <w:t>.10.1 出入现场的权利</w:t>
      </w:r>
    </w:p>
    <w:p w14:paraId="158728AD">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关于出入现场的权利的约定：</w:t>
      </w:r>
      <w:r>
        <w:rPr>
          <w:rFonts w:hint="eastAsia" w:ascii="宋体" w:hAnsi="宋体" w:eastAsia="宋体" w:cs="宋体"/>
          <w:color w:val="000000"/>
          <w:sz w:val="24"/>
          <w:szCs w:val="24"/>
          <w:u w:val="single"/>
        </w:rPr>
        <w:t>                  </w:t>
      </w:r>
    </w:p>
    <w:bookmarkEnd w:id="395"/>
    <w:bookmarkEnd w:id="396"/>
    <w:bookmarkEnd w:id="397"/>
    <w:bookmarkEnd w:id="398"/>
    <w:bookmarkEnd w:id="399"/>
    <w:p w14:paraId="7DEBCE95">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bookmarkStart w:id="400" w:name="_Toc318581156"/>
      <w:bookmarkStart w:id="401" w:name="_Toc300934944"/>
      <w:bookmarkStart w:id="402" w:name="_Toc303539101"/>
      <w:bookmarkStart w:id="403" w:name="_Toc304295522"/>
      <w:bookmarkStart w:id="404" w:name="_Toc312677987"/>
      <w:r>
        <w:rPr>
          <w:rFonts w:hint="eastAsia" w:ascii="宋体" w:hAnsi="宋体" w:eastAsia="宋体" w:cs="宋体"/>
          <w:color w:val="000000"/>
          <w:sz w:val="24"/>
          <w:szCs w:val="24"/>
        </w:rPr>
        <w:t>.10.3 场内交通</w:t>
      </w:r>
    </w:p>
    <w:p w14:paraId="74C9EB44">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关于场外交通和场内交通的边界的约定：</w:t>
      </w:r>
      <w:r>
        <w:rPr>
          <w:rFonts w:hint="eastAsia" w:ascii="宋体" w:hAnsi="宋体" w:eastAsia="宋体" w:cs="宋体"/>
          <w:color w:val="000000"/>
          <w:sz w:val="24"/>
          <w:szCs w:val="24"/>
          <w:u w:val="single"/>
        </w:rPr>
        <w:t>                  </w:t>
      </w:r>
    </w:p>
    <w:p w14:paraId="20ED3B02">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bCs/>
          <w:color w:val="000000"/>
          <w:sz w:val="24"/>
          <w:szCs w:val="24"/>
        </w:rPr>
      </w:pPr>
      <w:r>
        <w:rPr>
          <w:rFonts w:hint="eastAsia" w:ascii="宋体" w:hAnsi="宋体" w:eastAsia="宋体" w:cs="宋体"/>
          <w:color w:val="000000"/>
          <w:sz w:val="24"/>
          <w:szCs w:val="24"/>
        </w:rPr>
        <w:t>关于发包人向承包人免费提供满足工程施工需要的场内道路和交通设施的约定：</w:t>
      </w:r>
      <w:bookmarkEnd w:id="400"/>
      <w:bookmarkEnd w:id="401"/>
      <w:bookmarkEnd w:id="402"/>
      <w:bookmarkEnd w:id="403"/>
      <w:bookmarkEnd w:id="404"/>
      <w:r>
        <w:rPr>
          <w:rFonts w:hint="eastAsia" w:ascii="宋体" w:hAnsi="宋体" w:eastAsia="宋体" w:cs="宋体"/>
          <w:color w:val="000000"/>
          <w:sz w:val="24"/>
          <w:szCs w:val="24"/>
          <w:u w:val="single"/>
        </w:rPr>
        <w:t xml:space="preserve">      </w:t>
      </w:r>
      <w:bookmarkStart w:id="405" w:name="_Toc318581157"/>
    </w:p>
    <w:p w14:paraId="08CD3EE5">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1.10.4超大件和超重件的运输</w:t>
      </w:r>
    </w:p>
    <w:p w14:paraId="4524D4D6">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运输超大件或超重件所需的道路和桥梁临时加固改造费用和其他有关费用由</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color w:val="000000"/>
          <w:sz w:val="24"/>
          <w:szCs w:val="24"/>
        </w:rPr>
        <w:t>承担。</w:t>
      </w:r>
    </w:p>
    <w:bookmarkEnd w:id="405"/>
    <w:p w14:paraId="1BFFDC49">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406" w:name="_Toc528826763"/>
      <w:bookmarkStart w:id="407" w:name="_Toc4494134"/>
      <w:r>
        <w:rPr>
          <w:rFonts w:hint="eastAsia" w:ascii="宋体" w:hAnsi="宋体" w:eastAsia="宋体" w:cs="宋体"/>
          <w:b w:val="0"/>
          <w:color w:val="000000"/>
          <w:sz w:val="24"/>
          <w:szCs w:val="24"/>
        </w:rPr>
        <w:t>1.11 知识产权</w:t>
      </w:r>
      <w:bookmarkEnd w:id="406"/>
      <w:bookmarkEnd w:id="407"/>
    </w:p>
    <w:p w14:paraId="620D7C76">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u w:val="single"/>
        </w:rPr>
        <w:t xml:space="preserve">       </w:t>
      </w:r>
    </w:p>
    <w:p w14:paraId="0D1096A0">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关于发包人提供的上述文件的使用限制的要求：</w:t>
      </w:r>
      <w:r>
        <w:rPr>
          <w:rFonts w:hint="eastAsia" w:ascii="宋体" w:hAnsi="宋体" w:eastAsia="宋体" w:cs="宋体"/>
          <w:color w:val="000000"/>
          <w:sz w:val="24"/>
          <w:szCs w:val="24"/>
          <w:u w:val="single"/>
        </w:rPr>
        <w:t>                  </w:t>
      </w:r>
    </w:p>
    <w:p w14:paraId="44AA4A76">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1.11.2 关于承包人为实施工程所编制文件的著作权的归属：</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p>
    <w:p w14:paraId="729E756E">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关于承包人提供的上述文件的使用限制的要求：</w:t>
      </w:r>
      <w:r>
        <w:rPr>
          <w:rFonts w:hint="eastAsia" w:ascii="宋体" w:hAnsi="宋体" w:eastAsia="宋体" w:cs="宋体"/>
          <w:color w:val="000000"/>
          <w:sz w:val="24"/>
          <w:szCs w:val="24"/>
          <w:u w:val="single"/>
        </w:rPr>
        <w:t>                  </w:t>
      </w:r>
    </w:p>
    <w:p w14:paraId="35065131">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1.11.4 承包人在施工过程中所采用的专利、专有技术、技术秘密的使用费的承担方式：</w:t>
      </w:r>
      <w:r>
        <w:rPr>
          <w:rFonts w:hint="eastAsia" w:ascii="宋体" w:hAnsi="宋体" w:eastAsia="宋体" w:cs="宋体"/>
          <w:b/>
          <w:bCs/>
          <w:color w:val="000000"/>
          <w:sz w:val="24"/>
          <w:szCs w:val="24"/>
          <w:u w:val="single"/>
        </w:rPr>
        <w:t>已含在合同价款中，不再另行支付。</w:t>
      </w:r>
    </w:p>
    <w:p w14:paraId="2115BC78">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408" w:name="_Toc4494135"/>
      <w:bookmarkStart w:id="409" w:name="_Toc528826764"/>
      <w:r>
        <w:rPr>
          <w:rFonts w:hint="eastAsia" w:ascii="宋体" w:hAnsi="宋体" w:eastAsia="宋体" w:cs="宋体"/>
          <w:b w:val="0"/>
          <w:color w:val="000000"/>
          <w:sz w:val="24"/>
          <w:szCs w:val="24"/>
        </w:rPr>
        <w:t>1.13工程量清单错误的修正</w:t>
      </w:r>
      <w:bookmarkEnd w:id="408"/>
      <w:bookmarkEnd w:id="409"/>
    </w:p>
    <w:p w14:paraId="18701C0A">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出现工程量清单错误时，是否调整合同价格：</w:t>
      </w:r>
      <w:r>
        <w:rPr>
          <w:rFonts w:hint="eastAsia" w:ascii="宋体" w:hAnsi="宋体" w:eastAsia="宋体" w:cs="宋体"/>
          <w:b/>
          <w:bCs/>
          <w:color w:val="000000"/>
          <w:sz w:val="24"/>
          <w:szCs w:val="24"/>
          <w:u w:val="single"/>
        </w:rPr>
        <w:t>允许</w:t>
      </w:r>
      <w:r>
        <w:rPr>
          <w:rFonts w:hint="eastAsia" w:ascii="宋体" w:hAnsi="宋体" w:eastAsia="宋体" w:cs="宋体"/>
          <w:b/>
          <w:color w:val="000000"/>
          <w:kern w:val="0"/>
          <w:sz w:val="24"/>
          <w:szCs w:val="24"/>
        </w:rPr>
        <w:t>。</w:t>
      </w:r>
    </w:p>
    <w:p w14:paraId="35B730AE">
      <w:pPr>
        <w:pageBreakBefore w:val="0"/>
        <w:kinsoku/>
        <w:wordWrap/>
        <w:overflowPunct/>
        <w:topLinePunct w:val="0"/>
        <w:autoSpaceDE w:val="0"/>
        <w:autoSpaceDN w:val="0"/>
        <w:bidi w:val="0"/>
        <w:adjustRightInd w:val="0"/>
        <w:snapToGrid/>
        <w:spacing w:line="440" w:lineRule="atLeast"/>
        <w:ind w:firstLine="480" w:firstLineChars="200"/>
        <w:contextualSpacing/>
        <w:jc w:val="left"/>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允许调整合同价格的工程量偏差范围：</w:t>
      </w:r>
      <w:r>
        <w:rPr>
          <w:rFonts w:hint="eastAsia" w:ascii="宋体" w:hAnsi="宋体" w:eastAsia="宋体" w:cs="宋体"/>
          <w:b/>
          <w:bCs/>
          <w:color w:val="000000"/>
          <w:sz w:val="24"/>
          <w:szCs w:val="24"/>
          <w:u w:val="single"/>
        </w:rPr>
        <w:t>（1）工程量清单存在缺项、漏项的；（2）未按照国家现行计量规范强制性规定计量的。（3）由于发包人原因引起的允许调整，承包人错报、漏报等引起的按就低原则处理</w:t>
      </w:r>
      <w:r>
        <w:rPr>
          <w:rFonts w:hint="eastAsia" w:ascii="宋体" w:hAnsi="宋体" w:eastAsia="宋体" w:cs="宋体"/>
          <w:b/>
          <w:bCs/>
          <w:color w:val="000000"/>
          <w:sz w:val="24"/>
          <w:szCs w:val="24"/>
        </w:rPr>
        <w:t>。</w:t>
      </w:r>
    </w:p>
    <w:p w14:paraId="75E98A71">
      <w:pPr>
        <w:pStyle w:val="5"/>
        <w:pageBreakBefore w:val="0"/>
        <w:numPr>
          <w:ilvl w:val="3"/>
          <w:numId w:val="0"/>
        </w:numPr>
        <w:kinsoku/>
        <w:wordWrap/>
        <w:overflowPunct/>
        <w:topLinePunct w:val="0"/>
        <w:bidi w:val="0"/>
        <w:snapToGrid/>
        <w:spacing w:before="0" w:after="0" w:line="440" w:lineRule="atLeast"/>
        <w:contextualSpacing/>
        <w:textAlignment w:val="auto"/>
        <w:rPr>
          <w:rFonts w:hint="eastAsia" w:ascii="宋体" w:hAnsi="宋体" w:eastAsia="宋体" w:cs="宋体"/>
          <w:b w:val="0"/>
          <w:color w:val="000000"/>
          <w:sz w:val="24"/>
          <w:szCs w:val="24"/>
        </w:rPr>
      </w:pPr>
      <w:bookmarkStart w:id="410" w:name="_Toc4494136"/>
      <w:bookmarkStart w:id="411" w:name="_Toc528826765"/>
      <w:r>
        <w:rPr>
          <w:rFonts w:hint="eastAsia" w:ascii="宋体" w:hAnsi="宋体" w:eastAsia="宋体" w:cs="宋体"/>
          <w:b w:val="0"/>
          <w:color w:val="000000"/>
          <w:sz w:val="24"/>
          <w:szCs w:val="24"/>
        </w:rPr>
        <w:t>2</w:t>
      </w:r>
      <w:bookmarkStart w:id="412" w:name="_Toc296890985"/>
      <w:bookmarkStart w:id="413" w:name="_Toc296347156"/>
      <w:bookmarkStart w:id="414" w:name="_Toc292559867"/>
      <w:bookmarkStart w:id="415" w:name="_Toc292559362"/>
      <w:bookmarkStart w:id="416" w:name="_Toc296944496"/>
      <w:bookmarkStart w:id="417" w:name="_Toc296346658"/>
      <w:bookmarkStart w:id="418" w:name="_Toc296503157"/>
      <w:bookmarkStart w:id="419" w:name="_Toc296891197"/>
      <w:bookmarkStart w:id="420" w:name="_Toc297120457"/>
      <w:bookmarkStart w:id="421" w:name="_Toc297048343"/>
      <w:r>
        <w:rPr>
          <w:rFonts w:hint="eastAsia" w:ascii="宋体" w:hAnsi="宋体" w:eastAsia="宋体" w:cs="宋体"/>
          <w:b w:val="0"/>
          <w:color w:val="000000"/>
          <w:sz w:val="24"/>
          <w:szCs w:val="24"/>
        </w:rPr>
        <w:t>. 发包人</w:t>
      </w:r>
      <w:bookmarkEnd w:id="410"/>
      <w:bookmarkEnd w:id="411"/>
    </w:p>
    <w:bookmarkEnd w:id="412"/>
    <w:bookmarkEnd w:id="413"/>
    <w:bookmarkEnd w:id="414"/>
    <w:bookmarkEnd w:id="415"/>
    <w:bookmarkEnd w:id="416"/>
    <w:bookmarkEnd w:id="417"/>
    <w:bookmarkEnd w:id="418"/>
    <w:bookmarkEnd w:id="419"/>
    <w:bookmarkEnd w:id="420"/>
    <w:bookmarkEnd w:id="421"/>
    <w:p w14:paraId="15885D7A">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422" w:name="_Toc528826766"/>
      <w:bookmarkStart w:id="423" w:name="_Toc4494137"/>
      <w:r>
        <w:rPr>
          <w:rFonts w:hint="eastAsia" w:ascii="宋体" w:hAnsi="宋体" w:eastAsia="宋体" w:cs="宋体"/>
          <w:b w:val="0"/>
          <w:color w:val="000000"/>
          <w:sz w:val="24"/>
          <w:szCs w:val="24"/>
        </w:rPr>
        <w:t>2.2 发包人代表</w:t>
      </w:r>
      <w:bookmarkEnd w:id="422"/>
      <w:bookmarkEnd w:id="423"/>
    </w:p>
    <w:p w14:paraId="08C1A434">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发包人代表：</w:t>
      </w:r>
    </w:p>
    <w:p w14:paraId="44B26644">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姓    名：</w:t>
      </w:r>
      <w:r>
        <w:rPr>
          <w:rFonts w:hint="eastAsia" w:ascii="宋体" w:hAnsi="宋体" w:eastAsia="宋体" w:cs="宋体"/>
          <w:color w:val="000000"/>
          <w:sz w:val="24"/>
          <w:szCs w:val="24"/>
          <w:u w:val="single"/>
        </w:rPr>
        <w:t>   </w:t>
      </w:r>
    </w:p>
    <w:p w14:paraId="1FC2E379">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身份证号：</w:t>
      </w:r>
      <w:r>
        <w:rPr>
          <w:rFonts w:hint="eastAsia" w:ascii="宋体" w:hAnsi="宋体" w:eastAsia="宋体" w:cs="宋体"/>
          <w:color w:val="000000"/>
          <w:sz w:val="24"/>
          <w:szCs w:val="24"/>
          <w:u w:val="single"/>
        </w:rPr>
        <w:t>   </w:t>
      </w:r>
    </w:p>
    <w:p w14:paraId="538FAE81">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职    务</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u w:val="single"/>
        </w:rPr>
        <w:t>   </w:t>
      </w:r>
    </w:p>
    <w:p w14:paraId="1093D78E">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联系电话：</w:t>
      </w:r>
      <w:r>
        <w:rPr>
          <w:rFonts w:hint="eastAsia" w:ascii="宋体" w:hAnsi="宋体" w:eastAsia="宋体" w:cs="宋体"/>
          <w:color w:val="000000"/>
          <w:sz w:val="24"/>
          <w:szCs w:val="24"/>
          <w:u w:val="single"/>
        </w:rPr>
        <w:t>   </w:t>
      </w:r>
    </w:p>
    <w:p w14:paraId="74659C9D">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电子信箱：</w:t>
      </w:r>
      <w:r>
        <w:rPr>
          <w:rFonts w:hint="eastAsia" w:ascii="宋体" w:hAnsi="宋体" w:eastAsia="宋体" w:cs="宋体"/>
          <w:color w:val="000000"/>
          <w:sz w:val="24"/>
          <w:szCs w:val="24"/>
          <w:u w:val="single"/>
        </w:rPr>
        <w:t>   </w:t>
      </w:r>
    </w:p>
    <w:p w14:paraId="68CE5D77">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通信地址：</w:t>
      </w:r>
      <w:r>
        <w:rPr>
          <w:rFonts w:hint="eastAsia" w:ascii="宋体" w:hAnsi="宋体" w:eastAsia="宋体" w:cs="宋体"/>
          <w:color w:val="000000"/>
          <w:sz w:val="24"/>
          <w:szCs w:val="24"/>
          <w:u w:val="single"/>
        </w:rPr>
        <w:t>   </w:t>
      </w:r>
    </w:p>
    <w:p w14:paraId="7FB0DBB3">
      <w:pPr>
        <w:pStyle w:val="16"/>
        <w:pageBreakBefore w:val="0"/>
        <w:kinsoku/>
        <w:wordWrap/>
        <w:overflowPunct/>
        <w:topLinePunct w:val="0"/>
        <w:bidi w:val="0"/>
        <w:snapToGrid/>
        <w:spacing w:line="440" w:lineRule="atLeast"/>
        <w:ind w:left="0" w:leftChars="0" w:firstLine="480" w:firstLineChars="200"/>
        <w:contextualSpacing/>
        <w:jc w:val="left"/>
        <w:textAlignment w:val="auto"/>
        <w:rPr>
          <w:rFonts w:hint="eastAsia" w:ascii="宋体" w:hAnsi="宋体" w:eastAsia="宋体" w:cs="宋体"/>
          <w:b w:val="0"/>
          <w:bCs w:val="0"/>
          <w:sz w:val="24"/>
          <w:szCs w:val="24"/>
          <w:u w:val="single"/>
        </w:rPr>
      </w:pPr>
      <w:r>
        <w:rPr>
          <w:rFonts w:hint="eastAsia" w:ascii="宋体" w:hAnsi="宋体" w:eastAsia="宋体" w:cs="宋体"/>
          <w:sz w:val="24"/>
          <w:szCs w:val="24"/>
        </w:rPr>
        <w:t>发包人对发包人代表的授权范围如下：</w:t>
      </w:r>
      <w:r>
        <w:rPr>
          <w:rFonts w:hint="eastAsia" w:ascii="宋体" w:hAnsi="宋体" w:eastAsia="宋体" w:cs="宋体"/>
          <w:b w:val="0"/>
          <w:bCs w:val="0"/>
          <w:sz w:val="24"/>
          <w:szCs w:val="24"/>
          <w:u w:val="single"/>
          <w:lang w:val="en-US" w:eastAsia="zh-CN"/>
        </w:rPr>
        <w:t xml:space="preserve">                      </w:t>
      </w:r>
    </w:p>
    <w:p w14:paraId="0DA611E3">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424" w:name="_Toc4494138"/>
      <w:bookmarkStart w:id="425" w:name="_Toc528826767"/>
      <w:r>
        <w:rPr>
          <w:rFonts w:hint="eastAsia" w:ascii="宋体" w:hAnsi="宋体" w:eastAsia="宋体" w:cs="宋体"/>
          <w:b w:val="0"/>
          <w:color w:val="000000"/>
          <w:sz w:val="24"/>
          <w:szCs w:val="24"/>
        </w:rPr>
        <w:t>2.4 施工现场、施工条件和基础资料的提供</w:t>
      </w:r>
      <w:bookmarkEnd w:id="424"/>
      <w:bookmarkEnd w:id="425"/>
    </w:p>
    <w:p w14:paraId="79749DF7">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2.4.1 提供施工现场</w:t>
      </w:r>
    </w:p>
    <w:p w14:paraId="2515B1AE">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关于发包人移交施工现场的期限要求：</w:t>
      </w:r>
      <w:r>
        <w:rPr>
          <w:rFonts w:hint="eastAsia" w:ascii="宋体" w:hAnsi="宋体" w:eastAsia="宋体" w:cs="宋体"/>
          <w:b/>
          <w:bCs/>
          <w:color w:val="000000"/>
          <w:sz w:val="24"/>
          <w:szCs w:val="24"/>
          <w:u w:val="single"/>
        </w:rPr>
        <w:t>开工前完成，并具备必要的开工条件</w:t>
      </w:r>
      <w:r>
        <w:rPr>
          <w:rFonts w:hint="eastAsia" w:ascii="宋体" w:hAnsi="宋体" w:eastAsia="宋体" w:cs="宋体"/>
          <w:b/>
          <w:bCs/>
          <w:color w:val="000000"/>
          <w:sz w:val="24"/>
          <w:szCs w:val="24"/>
        </w:rPr>
        <w:t>。</w:t>
      </w:r>
    </w:p>
    <w:p w14:paraId="691AA9ED">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2.4.2 提供施工条件</w:t>
      </w:r>
    </w:p>
    <w:p w14:paraId="410031F0">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关于发包人应负责提供施工所需要的条件，包括：</w:t>
      </w:r>
    </w:p>
    <w:p w14:paraId="1E377F38">
      <w:pPr>
        <w:pageBreakBefore w:val="0"/>
        <w:kinsoku/>
        <w:wordWrap/>
        <w:overflowPunct/>
        <w:topLinePunct w:val="0"/>
        <w:bidi w:val="0"/>
        <w:snapToGrid/>
        <w:spacing w:line="440" w:lineRule="atLeast"/>
        <w:ind w:firstLine="482" w:firstLineChars="200"/>
        <w:contextualSpacing/>
        <w:jc w:val="left"/>
        <w:textAlignment w:val="auto"/>
        <w:rPr>
          <w:rFonts w:hint="eastAsia" w:ascii="宋体" w:hAnsi="宋体" w:eastAsia="宋体" w:cs="宋体"/>
          <w:b/>
          <w:bCs/>
          <w:color w:val="000000"/>
          <w:sz w:val="24"/>
          <w:szCs w:val="24"/>
          <w:u w:val="single"/>
        </w:rPr>
      </w:pPr>
      <w:r>
        <w:rPr>
          <w:rFonts w:hint="eastAsia" w:ascii="宋体" w:hAnsi="宋体" w:eastAsia="宋体" w:cs="宋体"/>
          <w:b/>
          <w:bCs/>
          <w:color w:val="000000"/>
          <w:sz w:val="24"/>
          <w:szCs w:val="24"/>
          <w:u w:val="single"/>
        </w:rPr>
        <w:t>发包人在开工前向承包人指定接口，由承包人接通施工用水、用电，并确保施工的正常需要。承包人对使用的水电装表计量，水电费用由承包人承担，并负责管理和维护相应水电设备</w:t>
      </w:r>
      <w:r>
        <w:rPr>
          <w:rFonts w:hint="eastAsia" w:ascii="宋体" w:hAnsi="宋体" w:eastAsia="宋体" w:cs="宋体"/>
          <w:b/>
          <w:bCs/>
          <w:color w:val="000000"/>
          <w:sz w:val="24"/>
          <w:szCs w:val="24"/>
        </w:rPr>
        <w:t>。</w:t>
      </w:r>
    </w:p>
    <w:p w14:paraId="46C2F4E3">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426" w:name="_Toc528826768"/>
      <w:bookmarkStart w:id="427" w:name="_Toc4494139"/>
      <w:r>
        <w:rPr>
          <w:rFonts w:hint="eastAsia" w:ascii="宋体" w:hAnsi="宋体" w:eastAsia="宋体" w:cs="宋体"/>
          <w:b w:val="0"/>
          <w:color w:val="000000"/>
          <w:sz w:val="24"/>
          <w:szCs w:val="24"/>
        </w:rPr>
        <w:t>2.5 资金来源证明及支付担保</w:t>
      </w:r>
      <w:bookmarkEnd w:id="426"/>
      <w:bookmarkEnd w:id="427"/>
    </w:p>
    <w:p w14:paraId="01BFE258">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发包人提供资金来源证明的期限要求：</w:t>
      </w:r>
      <w:r>
        <w:rPr>
          <w:rFonts w:hint="eastAsia" w:ascii="宋体" w:hAnsi="宋体" w:cs="宋体"/>
          <w:b/>
          <w:bCs/>
          <w:color w:val="000000"/>
          <w:sz w:val="24"/>
          <w:szCs w:val="24"/>
          <w:u w:val="single"/>
          <w:lang w:val="en-US" w:eastAsia="zh-CN"/>
        </w:rPr>
        <w:t xml:space="preserve">     /     </w:t>
      </w:r>
      <w:r>
        <w:rPr>
          <w:rFonts w:hint="eastAsia" w:ascii="宋体" w:hAnsi="宋体" w:eastAsia="宋体" w:cs="宋体"/>
          <w:b/>
          <w:color w:val="000000"/>
          <w:sz w:val="24"/>
          <w:szCs w:val="24"/>
        </w:rPr>
        <w:t>。</w:t>
      </w:r>
    </w:p>
    <w:p w14:paraId="762800A7">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发包人是否提供支付担保：</w:t>
      </w:r>
      <w:r>
        <w:rPr>
          <w:rFonts w:hint="eastAsia" w:ascii="宋体" w:hAnsi="宋体" w:cs="宋体"/>
          <w:b/>
          <w:bCs/>
          <w:color w:val="000000"/>
          <w:sz w:val="24"/>
          <w:szCs w:val="24"/>
          <w:u w:val="single"/>
          <w:lang w:val="en-US" w:eastAsia="zh-CN"/>
        </w:rPr>
        <w:t xml:space="preserve">     /     </w:t>
      </w:r>
      <w:r>
        <w:rPr>
          <w:rFonts w:hint="eastAsia" w:ascii="宋体" w:hAnsi="宋体" w:eastAsia="宋体" w:cs="宋体"/>
          <w:b/>
          <w:color w:val="000000"/>
          <w:sz w:val="24"/>
          <w:szCs w:val="24"/>
        </w:rPr>
        <w:t>。</w:t>
      </w:r>
    </w:p>
    <w:p w14:paraId="6549C752">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发包人提供支付担保的形式：</w:t>
      </w:r>
      <w:r>
        <w:rPr>
          <w:rFonts w:hint="eastAsia" w:ascii="宋体" w:hAnsi="宋体" w:cs="宋体"/>
          <w:b/>
          <w:bCs/>
          <w:color w:val="000000"/>
          <w:sz w:val="24"/>
          <w:szCs w:val="24"/>
          <w:u w:val="single"/>
          <w:lang w:val="en-US" w:eastAsia="zh-CN"/>
        </w:rPr>
        <w:t xml:space="preserve">     /     </w:t>
      </w:r>
      <w:r>
        <w:rPr>
          <w:rFonts w:hint="eastAsia" w:ascii="宋体" w:hAnsi="宋体" w:eastAsia="宋体" w:cs="宋体"/>
          <w:color w:val="000000"/>
          <w:sz w:val="24"/>
          <w:szCs w:val="24"/>
        </w:rPr>
        <w:t>。</w:t>
      </w:r>
    </w:p>
    <w:p w14:paraId="772BCEC5">
      <w:pPr>
        <w:pStyle w:val="5"/>
        <w:pageBreakBefore w:val="0"/>
        <w:numPr>
          <w:ilvl w:val="3"/>
          <w:numId w:val="0"/>
        </w:numPr>
        <w:kinsoku/>
        <w:wordWrap/>
        <w:overflowPunct/>
        <w:topLinePunct w:val="0"/>
        <w:bidi w:val="0"/>
        <w:snapToGrid/>
        <w:spacing w:before="0" w:after="0" w:line="440" w:lineRule="atLeast"/>
        <w:contextualSpacing/>
        <w:textAlignment w:val="auto"/>
        <w:rPr>
          <w:rFonts w:hint="eastAsia" w:ascii="宋体" w:hAnsi="宋体" w:eastAsia="宋体" w:cs="宋体"/>
          <w:b w:val="0"/>
          <w:color w:val="000000"/>
          <w:sz w:val="24"/>
          <w:szCs w:val="24"/>
        </w:rPr>
      </w:pPr>
      <w:bookmarkStart w:id="428" w:name="_Toc4494140"/>
      <w:bookmarkStart w:id="429" w:name="_Toc528826769"/>
      <w:r>
        <w:rPr>
          <w:rFonts w:hint="eastAsia" w:ascii="宋体" w:hAnsi="宋体" w:eastAsia="宋体" w:cs="宋体"/>
          <w:b w:val="0"/>
          <w:color w:val="000000"/>
          <w:sz w:val="24"/>
          <w:szCs w:val="24"/>
        </w:rPr>
        <w:t>3</w:t>
      </w:r>
      <w:bookmarkStart w:id="430" w:name="_Toc296890986"/>
      <w:bookmarkStart w:id="431" w:name="_Toc297048344"/>
      <w:bookmarkStart w:id="432" w:name="_Toc296346659"/>
      <w:bookmarkStart w:id="433" w:name="_Toc296891198"/>
      <w:bookmarkStart w:id="434" w:name="_Toc292559363"/>
      <w:bookmarkStart w:id="435" w:name="_Toc296347157"/>
      <w:bookmarkStart w:id="436" w:name="_Toc297120458"/>
      <w:bookmarkStart w:id="437" w:name="_Toc296944497"/>
      <w:bookmarkStart w:id="438" w:name="_Toc292559868"/>
      <w:bookmarkStart w:id="439" w:name="_Toc296503158"/>
      <w:r>
        <w:rPr>
          <w:rFonts w:hint="eastAsia" w:ascii="宋体" w:hAnsi="宋体" w:eastAsia="宋体" w:cs="宋体"/>
          <w:b w:val="0"/>
          <w:color w:val="000000"/>
          <w:sz w:val="24"/>
          <w:szCs w:val="24"/>
        </w:rPr>
        <w:t>. 承包人</w:t>
      </w:r>
      <w:bookmarkEnd w:id="428"/>
      <w:bookmarkEnd w:id="429"/>
    </w:p>
    <w:bookmarkEnd w:id="430"/>
    <w:bookmarkEnd w:id="431"/>
    <w:bookmarkEnd w:id="432"/>
    <w:bookmarkEnd w:id="433"/>
    <w:bookmarkEnd w:id="434"/>
    <w:bookmarkEnd w:id="435"/>
    <w:bookmarkEnd w:id="436"/>
    <w:bookmarkEnd w:id="437"/>
    <w:bookmarkEnd w:id="438"/>
    <w:bookmarkEnd w:id="439"/>
    <w:p w14:paraId="01755FD1">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440" w:name="_Toc528826770"/>
      <w:bookmarkStart w:id="441" w:name="_Toc4494141"/>
      <w:r>
        <w:rPr>
          <w:rFonts w:hint="eastAsia" w:ascii="宋体" w:hAnsi="宋体" w:eastAsia="宋体" w:cs="宋体"/>
          <w:b w:val="0"/>
          <w:color w:val="000000"/>
          <w:sz w:val="24"/>
          <w:szCs w:val="24"/>
        </w:rPr>
        <w:t>3.1 承包人的一般义务</w:t>
      </w:r>
      <w:bookmarkEnd w:id="440"/>
      <w:bookmarkEnd w:id="441"/>
    </w:p>
    <w:p w14:paraId="22A0B82A">
      <w:pPr>
        <w:pStyle w:val="16"/>
        <w:pageBreakBefore w:val="0"/>
        <w:kinsoku/>
        <w:wordWrap/>
        <w:overflowPunct/>
        <w:topLinePunct w:val="0"/>
        <w:bidi w:val="0"/>
        <w:snapToGrid/>
        <w:spacing w:line="440" w:lineRule="atLeast"/>
        <w:ind w:left="0" w:leftChars="0" w:firstLine="480" w:firstLineChars="200"/>
        <w:contextualSpacing/>
        <w:jc w:val="left"/>
        <w:textAlignment w:val="auto"/>
        <w:rPr>
          <w:rFonts w:hint="eastAsia" w:ascii="宋体" w:hAnsi="宋体" w:eastAsia="宋体" w:cs="宋体"/>
          <w:b w:val="0"/>
          <w:bCs w:val="0"/>
          <w:sz w:val="24"/>
          <w:szCs w:val="24"/>
          <w:u w:val="single"/>
        </w:rPr>
      </w:pPr>
      <w:r>
        <w:rPr>
          <w:rFonts w:hint="eastAsia" w:ascii="宋体" w:hAnsi="宋体" w:eastAsia="宋体" w:cs="宋体"/>
          <w:sz w:val="24"/>
          <w:szCs w:val="24"/>
        </w:rPr>
        <w:t>承包人提交的竣工资料的内容：</w:t>
      </w:r>
      <w:r>
        <w:rPr>
          <w:rFonts w:hint="eastAsia" w:ascii="宋体" w:hAnsi="宋体" w:eastAsia="宋体" w:cs="宋体"/>
          <w:b w:val="0"/>
          <w:bCs w:val="0"/>
          <w:sz w:val="24"/>
          <w:szCs w:val="24"/>
          <w:u w:val="single"/>
          <w:lang w:val="en-US" w:eastAsia="zh-CN"/>
        </w:rPr>
        <w:t xml:space="preserve">                          </w:t>
      </w:r>
    </w:p>
    <w:p w14:paraId="5B955196">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承包人需要提交的竣工资料套数：</w:t>
      </w:r>
      <w:r>
        <w:rPr>
          <w:rFonts w:hint="eastAsia" w:ascii="宋体" w:hAnsi="宋体" w:eastAsia="宋体" w:cs="宋体"/>
          <w:color w:val="000000"/>
          <w:sz w:val="24"/>
          <w:szCs w:val="24"/>
          <w:u w:val="single"/>
        </w:rPr>
        <w:t>                  </w:t>
      </w:r>
    </w:p>
    <w:p w14:paraId="789673F4">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承包人提交的竣工资料的费用承担：</w:t>
      </w:r>
      <w:r>
        <w:rPr>
          <w:rFonts w:hint="eastAsia" w:ascii="宋体" w:hAnsi="宋体" w:eastAsia="宋体" w:cs="宋体"/>
          <w:color w:val="000000"/>
          <w:sz w:val="24"/>
          <w:szCs w:val="24"/>
          <w:u w:val="single"/>
        </w:rPr>
        <w:t>                  </w:t>
      </w:r>
    </w:p>
    <w:p w14:paraId="361BCE69">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承包人提交的竣工资料移交时间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p>
    <w:p w14:paraId="2F89FF3C">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承包人提交的竣工资料形式要求：</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p>
    <w:p w14:paraId="2D83E0C1">
      <w:pPr>
        <w:pStyle w:val="16"/>
        <w:pageBreakBefore w:val="0"/>
        <w:numPr>
          <w:ilvl w:val="0"/>
          <w:numId w:val="0"/>
        </w:numPr>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承包人应履行的其他义务：</w:t>
      </w:r>
      <w:r>
        <w:rPr>
          <w:rFonts w:hint="eastAsia" w:ascii="宋体" w:hAnsi="宋体" w:eastAsia="宋体" w:cs="宋体"/>
          <w:color w:val="000000"/>
          <w:sz w:val="24"/>
          <w:szCs w:val="24"/>
          <w:u w:val="single"/>
        </w:rPr>
        <w:t>                        </w:t>
      </w:r>
    </w:p>
    <w:p w14:paraId="435AB838">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442" w:name="_Toc528826771"/>
      <w:bookmarkStart w:id="443" w:name="_Toc4494142"/>
      <w:r>
        <w:rPr>
          <w:rFonts w:hint="eastAsia" w:ascii="宋体" w:hAnsi="宋体" w:eastAsia="宋体" w:cs="宋体"/>
          <w:b w:val="0"/>
          <w:color w:val="000000"/>
          <w:sz w:val="24"/>
          <w:szCs w:val="24"/>
        </w:rPr>
        <w:t>3.2 项目经理</w:t>
      </w:r>
      <w:bookmarkEnd w:id="442"/>
      <w:bookmarkEnd w:id="443"/>
    </w:p>
    <w:p w14:paraId="56773200">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rPr>
        <w:t xml:space="preserve">3.2.1 </w:t>
      </w:r>
      <w:r>
        <w:rPr>
          <w:rFonts w:hint="eastAsia" w:ascii="宋体" w:hAnsi="宋体" w:eastAsia="宋体" w:cs="宋体"/>
          <w:color w:val="000000"/>
          <w:sz w:val="24"/>
          <w:szCs w:val="24"/>
        </w:rPr>
        <w:t>项目经理：</w:t>
      </w:r>
    </w:p>
    <w:p w14:paraId="73B1D1AE">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p>
    <w:p w14:paraId="26BFC2C0">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身份证号：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p>
    <w:p w14:paraId="01C3AB1F">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建造师执业资格等级：</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p>
    <w:p w14:paraId="3484592C">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建造师注册证书号</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p>
    <w:p w14:paraId="75343B65">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建造师执业印章号：</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p>
    <w:p w14:paraId="0B8E8A14">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安全生产考核合格证书号：</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p>
    <w:p w14:paraId="78532921">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联系电话：</w:t>
      </w:r>
      <w:r>
        <w:rPr>
          <w:rFonts w:hint="eastAsia" w:ascii="宋体" w:hAnsi="宋体" w:eastAsia="宋体" w:cs="宋体"/>
          <w:color w:val="000000"/>
          <w:sz w:val="24"/>
          <w:szCs w:val="24"/>
          <w:u w:val="single"/>
        </w:rPr>
        <w:t xml:space="preserve">     </w:t>
      </w:r>
    </w:p>
    <w:p w14:paraId="5272C807">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电子信箱：</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p>
    <w:p w14:paraId="5BA7BBD5">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通信地址：</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p>
    <w:p w14:paraId="0E7D2958">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承包人对项目经理的授权范围如下：</w:t>
      </w:r>
      <w:r>
        <w:rPr>
          <w:rFonts w:hint="eastAsia" w:ascii="宋体" w:hAnsi="宋体" w:eastAsia="宋体" w:cs="宋体"/>
          <w:b/>
          <w:bCs/>
          <w:color w:val="000000"/>
          <w:sz w:val="24"/>
          <w:szCs w:val="24"/>
          <w:u w:val="single"/>
        </w:rPr>
        <w:t>代表承包人负责履行合同</w:t>
      </w:r>
      <w:r>
        <w:rPr>
          <w:rFonts w:hint="eastAsia" w:ascii="宋体" w:hAnsi="宋体" w:eastAsia="宋体" w:cs="宋体"/>
          <w:b/>
          <w:bCs/>
          <w:color w:val="000000"/>
          <w:sz w:val="24"/>
          <w:szCs w:val="24"/>
        </w:rPr>
        <w:t>。</w:t>
      </w:r>
    </w:p>
    <w:p w14:paraId="62FCD7D0">
      <w:pPr>
        <w:pStyle w:val="16"/>
        <w:pageBreakBefore w:val="0"/>
        <w:kinsoku/>
        <w:wordWrap/>
        <w:overflowPunct/>
        <w:topLinePunct w:val="0"/>
        <w:bidi w:val="0"/>
        <w:snapToGrid/>
        <w:spacing w:line="440" w:lineRule="atLeast"/>
        <w:ind w:left="0" w:leftChars="0" w:firstLine="480" w:firstLineChars="200"/>
        <w:contextualSpacing/>
        <w:jc w:val="left"/>
        <w:textAlignment w:val="auto"/>
        <w:rPr>
          <w:rFonts w:hint="eastAsia" w:ascii="宋体" w:hAnsi="宋体" w:eastAsia="宋体" w:cs="宋体"/>
          <w:b w:val="0"/>
          <w:bCs w:val="0"/>
          <w:sz w:val="24"/>
          <w:szCs w:val="24"/>
          <w:u w:val="single"/>
        </w:rPr>
      </w:pPr>
      <w:r>
        <w:rPr>
          <w:rFonts w:hint="eastAsia" w:ascii="宋体" w:hAnsi="宋体" w:eastAsia="宋体" w:cs="宋体"/>
          <w:sz w:val="24"/>
          <w:szCs w:val="24"/>
        </w:rPr>
        <w:t>关于项目经理每月在施工现场的时间要求：</w:t>
      </w:r>
      <w:r>
        <w:rPr>
          <w:rFonts w:hint="eastAsia" w:ascii="宋体" w:hAnsi="宋体" w:eastAsia="宋体" w:cs="宋体"/>
          <w:b/>
          <w:bCs/>
          <w:sz w:val="24"/>
          <w:szCs w:val="24"/>
          <w:u w:val="single"/>
        </w:rPr>
        <w:t>每月有效出勤天数(全天8小时考勤管理)不得少于22天</w:t>
      </w:r>
      <w:r>
        <w:rPr>
          <w:rFonts w:hint="eastAsia" w:ascii="宋体" w:hAnsi="宋体" w:eastAsia="宋体" w:cs="宋体"/>
          <w:b w:val="0"/>
          <w:bCs w:val="0"/>
          <w:sz w:val="24"/>
          <w:szCs w:val="24"/>
        </w:rPr>
        <w:t>。</w:t>
      </w:r>
    </w:p>
    <w:p w14:paraId="543FB29B">
      <w:pPr>
        <w:pStyle w:val="16"/>
        <w:pageBreakBefore w:val="0"/>
        <w:kinsoku/>
        <w:wordWrap/>
        <w:overflowPunct/>
        <w:topLinePunct w:val="0"/>
        <w:bidi w:val="0"/>
        <w:snapToGrid/>
        <w:spacing w:line="440" w:lineRule="atLeast"/>
        <w:ind w:left="0" w:leftChars="0" w:firstLine="480" w:firstLineChars="200"/>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承包人未提交劳动合同，以及没有为项目经理缴纳社会保险证明的违约责任：</w:t>
      </w:r>
      <w:r>
        <w:rPr>
          <w:rFonts w:hint="eastAsia" w:ascii="宋体" w:hAnsi="宋体" w:eastAsia="宋体" w:cs="宋体"/>
          <w:b/>
          <w:bCs/>
          <w:sz w:val="24"/>
          <w:szCs w:val="24"/>
          <w:u w:val="single"/>
        </w:rPr>
        <w:t>项目经理无权履行职责，发包人有权要求更换项目经理，由此增加的费用和（或）延误的工期由承包人承担</w:t>
      </w:r>
      <w:r>
        <w:rPr>
          <w:rFonts w:hint="eastAsia" w:ascii="宋体" w:hAnsi="宋体" w:eastAsia="宋体" w:cs="宋体"/>
          <w:b w:val="0"/>
          <w:bCs w:val="0"/>
          <w:sz w:val="24"/>
          <w:szCs w:val="24"/>
        </w:rPr>
        <w:t>。</w:t>
      </w:r>
    </w:p>
    <w:p w14:paraId="33908F9C">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b/>
          <w:bCs/>
          <w:color w:val="000000"/>
          <w:sz w:val="24"/>
          <w:szCs w:val="24"/>
          <w:u w:val="single"/>
        </w:rPr>
      </w:pPr>
      <w:r>
        <w:rPr>
          <w:rFonts w:hint="eastAsia" w:ascii="宋体" w:hAnsi="宋体" w:eastAsia="宋体" w:cs="宋体"/>
          <w:color w:val="000000"/>
          <w:kern w:val="0"/>
          <w:sz w:val="24"/>
          <w:szCs w:val="24"/>
        </w:rPr>
        <w:t>项目经理未经批准，擅自离开施工现场的违约责任：</w:t>
      </w:r>
      <w:r>
        <w:rPr>
          <w:rFonts w:hint="eastAsia" w:ascii="宋体" w:hAnsi="宋体" w:eastAsia="宋体" w:cs="宋体"/>
          <w:b/>
          <w:bCs/>
          <w:color w:val="000000"/>
          <w:sz w:val="24"/>
          <w:szCs w:val="24"/>
          <w:u w:val="single"/>
        </w:rPr>
        <w:t>项目经理确需离开施工现场时，应事先向监理人和发包人书面请假，并取得发包人代表的书面同意。违反规定者，缺勤一天处罚1000元/人·天</w:t>
      </w:r>
      <w:r>
        <w:rPr>
          <w:rFonts w:hint="eastAsia" w:ascii="宋体" w:hAnsi="宋体" w:eastAsia="宋体" w:cs="宋体"/>
          <w:b/>
          <w:bCs/>
          <w:color w:val="000000"/>
          <w:sz w:val="24"/>
          <w:szCs w:val="24"/>
        </w:rPr>
        <w:t>。</w:t>
      </w:r>
    </w:p>
    <w:p w14:paraId="3A8D33F1">
      <w:pPr>
        <w:pStyle w:val="16"/>
        <w:pageBreakBefore w:val="0"/>
        <w:kinsoku/>
        <w:wordWrap/>
        <w:overflowPunct/>
        <w:topLinePunct w:val="0"/>
        <w:bidi w:val="0"/>
        <w:snapToGrid/>
        <w:spacing w:line="440" w:lineRule="atLeast"/>
        <w:ind w:left="0" w:leftChars="0" w:firstLine="480" w:firstLineChars="200"/>
        <w:contextualSpacing/>
        <w:jc w:val="left"/>
        <w:textAlignment w:val="auto"/>
        <w:rPr>
          <w:rFonts w:hint="eastAsia" w:ascii="宋体" w:hAnsi="宋体" w:eastAsia="宋体" w:cs="宋体"/>
          <w:b w:val="0"/>
          <w:bCs w:val="0"/>
          <w:sz w:val="24"/>
          <w:szCs w:val="24"/>
          <w:u w:val="single"/>
        </w:rPr>
      </w:pPr>
      <w:r>
        <w:rPr>
          <w:rFonts w:hint="eastAsia" w:ascii="宋体" w:hAnsi="宋体" w:eastAsia="宋体" w:cs="宋体"/>
          <w:sz w:val="24"/>
          <w:szCs w:val="24"/>
        </w:rPr>
        <w:t>3.2.3 承包人擅自更换项目经理的违约责任：</w:t>
      </w:r>
      <w:r>
        <w:rPr>
          <w:rFonts w:hint="eastAsia" w:ascii="宋体" w:hAnsi="宋体" w:eastAsia="宋体" w:cs="宋体"/>
          <w:b/>
          <w:bCs/>
          <w:sz w:val="24"/>
          <w:szCs w:val="24"/>
          <w:u w:val="single"/>
        </w:rPr>
        <w:t>未经发包人书面同意，承包人不得擅自更换项目经理。承包人擅自更换项目经理的，视为违约，违约金为</w:t>
      </w:r>
      <w:r>
        <w:rPr>
          <w:rFonts w:hint="eastAsia" w:ascii="宋体" w:hAnsi="宋体" w:eastAsia="宋体" w:cs="宋体"/>
          <w:b/>
          <w:bCs/>
          <w:sz w:val="24"/>
          <w:szCs w:val="24"/>
          <w:u w:val="single"/>
          <w:lang w:val="en-US" w:eastAsia="zh-CN"/>
        </w:rPr>
        <w:t>一</w:t>
      </w:r>
      <w:r>
        <w:rPr>
          <w:rFonts w:hint="eastAsia" w:ascii="宋体" w:hAnsi="宋体" w:eastAsia="宋体" w:cs="宋体"/>
          <w:b/>
          <w:bCs/>
          <w:sz w:val="24"/>
          <w:szCs w:val="24"/>
          <w:u w:val="single"/>
        </w:rPr>
        <w:t>万，从当月工程进度款中扣除，并且发包人有权单方面终止合同</w:t>
      </w:r>
      <w:r>
        <w:rPr>
          <w:rFonts w:hint="eastAsia" w:ascii="宋体" w:hAnsi="宋体" w:eastAsia="宋体" w:cs="宋体"/>
          <w:b w:val="0"/>
          <w:bCs w:val="0"/>
          <w:sz w:val="24"/>
          <w:szCs w:val="24"/>
        </w:rPr>
        <w:t>。</w:t>
      </w:r>
    </w:p>
    <w:p w14:paraId="0EFBCC24">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b/>
          <w:bCs/>
          <w:color w:val="000000"/>
          <w:sz w:val="24"/>
          <w:szCs w:val="24"/>
        </w:rPr>
      </w:pPr>
      <w:r>
        <w:rPr>
          <w:rFonts w:hint="eastAsia" w:ascii="宋体" w:hAnsi="宋体" w:eastAsia="宋体" w:cs="宋体"/>
          <w:color w:val="000000"/>
          <w:sz w:val="24"/>
          <w:szCs w:val="24"/>
        </w:rPr>
        <w:t>3.2.4 承包人无正当理由拒绝更换项目经理的违约责任：</w:t>
      </w:r>
      <w:r>
        <w:rPr>
          <w:rFonts w:hint="eastAsia" w:ascii="宋体" w:hAnsi="宋体" w:eastAsia="宋体" w:cs="宋体"/>
          <w:b/>
          <w:bCs/>
          <w:color w:val="000000"/>
          <w:sz w:val="24"/>
          <w:szCs w:val="24"/>
          <w:u w:val="single"/>
        </w:rPr>
        <w:t>发包人有权书面通知承包人更换其认为不称职的项目经理</w:t>
      </w:r>
      <w:r>
        <w:rPr>
          <w:rFonts w:hint="eastAsia" w:ascii="宋体" w:hAnsi="宋体" w:eastAsia="宋体" w:cs="宋体"/>
          <w:b/>
          <w:bCs/>
          <w:color w:val="000000"/>
          <w:sz w:val="24"/>
          <w:szCs w:val="24"/>
          <w:u w:val="single"/>
          <w:lang w:eastAsia="zh-CN"/>
        </w:rPr>
        <w:t>，</w:t>
      </w:r>
      <w:r>
        <w:rPr>
          <w:rFonts w:hint="eastAsia" w:ascii="宋体" w:hAnsi="宋体" w:eastAsia="宋体" w:cs="宋体"/>
          <w:b/>
          <w:bCs/>
          <w:color w:val="000000"/>
          <w:sz w:val="24"/>
          <w:szCs w:val="24"/>
          <w:u w:val="single"/>
        </w:rPr>
        <w:t>承包人应在接到更换通知七日内将新任命的项目经理的注册执业资格、工作简历、法人授权书、质量承若书等书面资料通知发包人</w:t>
      </w:r>
      <w:r>
        <w:rPr>
          <w:rFonts w:hint="eastAsia" w:ascii="宋体" w:hAnsi="宋体" w:eastAsia="宋体" w:cs="宋体"/>
          <w:b/>
          <w:bCs/>
          <w:color w:val="000000"/>
          <w:sz w:val="24"/>
          <w:szCs w:val="24"/>
          <w:u w:val="single"/>
          <w:lang w:eastAsia="zh-CN"/>
        </w:rPr>
        <w:t>，</w:t>
      </w:r>
      <w:r>
        <w:rPr>
          <w:rFonts w:hint="eastAsia" w:ascii="宋体" w:hAnsi="宋体" w:eastAsia="宋体" w:cs="宋体"/>
          <w:b/>
          <w:bCs/>
          <w:color w:val="000000"/>
          <w:sz w:val="24"/>
          <w:szCs w:val="24"/>
          <w:u w:val="single"/>
        </w:rPr>
        <w:t>继任项目经理继续履行前任项目经理的职责。承包人无正当理由拒绝更换项目经理的，视为违约，违约金为</w:t>
      </w:r>
      <w:r>
        <w:rPr>
          <w:rFonts w:hint="eastAsia" w:ascii="宋体" w:hAnsi="宋体" w:eastAsia="宋体" w:cs="宋体"/>
          <w:b/>
          <w:bCs/>
          <w:color w:val="000000"/>
          <w:sz w:val="24"/>
          <w:szCs w:val="24"/>
          <w:u w:val="single"/>
          <w:lang w:val="en-US" w:eastAsia="zh-CN"/>
        </w:rPr>
        <w:t>一</w:t>
      </w:r>
      <w:r>
        <w:rPr>
          <w:rFonts w:hint="eastAsia" w:ascii="宋体" w:hAnsi="宋体" w:eastAsia="宋体" w:cs="宋体"/>
          <w:b/>
          <w:bCs/>
          <w:color w:val="000000"/>
          <w:sz w:val="24"/>
          <w:szCs w:val="24"/>
          <w:u w:val="single"/>
        </w:rPr>
        <w:t>万，从当月工程进度款中扣除，并且发包人有权单方面终止合同</w:t>
      </w:r>
      <w:r>
        <w:rPr>
          <w:rFonts w:hint="eastAsia" w:ascii="宋体" w:hAnsi="宋体" w:eastAsia="宋体" w:cs="宋体"/>
          <w:b/>
          <w:bCs/>
          <w:color w:val="000000"/>
          <w:sz w:val="24"/>
          <w:szCs w:val="24"/>
        </w:rPr>
        <w:t>。</w:t>
      </w:r>
    </w:p>
    <w:p w14:paraId="72B25CDE">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b/>
          <w:bCs/>
          <w:color w:val="000000"/>
          <w:sz w:val="24"/>
          <w:szCs w:val="24"/>
          <w:lang w:val="en-US" w:eastAsia="zh-CN"/>
        </w:rPr>
      </w:pPr>
      <w:r>
        <w:rPr>
          <w:rFonts w:hint="eastAsia" w:ascii="宋体" w:hAnsi="宋体" w:eastAsia="宋体" w:cs="宋体"/>
          <w:color w:val="000000"/>
          <w:sz w:val="24"/>
          <w:szCs w:val="24"/>
          <w:lang w:val="en-US" w:eastAsia="zh-CN"/>
        </w:rPr>
        <w:t>3.2.5</w:t>
      </w:r>
      <w:r>
        <w:rPr>
          <w:rFonts w:hint="eastAsia" w:ascii="宋体" w:hAnsi="宋体" w:eastAsia="宋体" w:cs="宋体"/>
          <w:b/>
          <w:bCs/>
          <w:color w:val="000000"/>
          <w:sz w:val="24"/>
          <w:szCs w:val="24"/>
          <w:u w:val="single"/>
          <w:lang w:val="en-US" w:eastAsia="zh-CN"/>
        </w:rPr>
        <w:t>若中标企业因不可抗力需变更注册建造师时，应由中标企业提出变更申请并注明变更原因，经建设单位同意方可变更。</w:t>
      </w:r>
    </w:p>
    <w:p w14:paraId="414BF820">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444" w:name="_Toc4494143"/>
      <w:bookmarkStart w:id="445" w:name="_Toc528826772"/>
      <w:r>
        <w:rPr>
          <w:rFonts w:hint="eastAsia" w:ascii="宋体" w:hAnsi="宋体" w:eastAsia="宋体" w:cs="宋体"/>
          <w:b w:val="0"/>
          <w:color w:val="000000"/>
          <w:sz w:val="24"/>
          <w:szCs w:val="24"/>
        </w:rPr>
        <w:t>3.3 承包人人员</w:t>
      </w:r>
      <w:bookmarkEnd w:id="444"/>
      <w:bookmarkEnd w:id="445"/>
    </w:p>
    <w:p w14:paraId="02AB6385">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3.3.1 承包人提交项目管理机构及施工现场管理人员安排报告的期限：</w:t>
      </w:r>
      <w:r>
        <w:rPr>
          <w:rFonts w:hint="eastAsia" w:ascii="宋体" w:hAnsi="宋体" w:eastAsia="宋体" w:cs="宋体"/>
          <w:b/>
          <w:bCs/>
          <w:color w:val="000000"/>
          <w:sz w:val="24"/>
          <w:szCs w:val="24"/>
          <w:u w:val="single"/>
        </w:rPr>
        <w:t>开工前七日内提交并且将涉及本项目的主要人员（项目经理、项目总工、施工员、质量员、安全员）的</w:t>
      </w:r>
      <w:r>
        <w:rPr>
          <w:rFonts w:hint="eastAsia" w:ascii="宋体" w:hAnsi="宋体" w:eastAsia="宋体" w:cs="宋体"/>
          <w:b/>
          <w:bCs/>
          <w:color w:val="000000"/>
          <w:sz w:val="24"/>
          <w:szCs w:val="24"/>
          <w:u w:val="single"/>
          <w:lang w:val="en-US" w:eastAsia="zh-CN"/>
        </w:rPr>
        <w:t>名单报</w:t>
      </w:r>
      <w:r>
        <w:rPr>
          <w:rFonts w:hint="eastAsia" w:ascii="宋体" w:hAnsi="宋体" w:eastAsia="宋体" w:cs="宋体"/>
          <w:b/>
          <w:bCs/>
          <w:color w:val="000000"/>
          <w:sz w:val="24"/>
          <w:szCs w:val="24"/>
          <w:u w:val="single"/>
        </w:rPr>
        <w:t>发包人工程管理部，承包人提交的项目管理机构及人员必须与</w:t>
      </w:r>
      <w:r>
        <w:rPr>
          <w:rFonts w:hint="eastAsia" w:ascii="宋体" w:hAnsi="宋体" w:eastAsia="宋体" w:cs="宋体"/>
          <w:b/>
          <w:bCs/>
          <w:color w:val="000000"/>
          <w:sz w:val="24"/>
          <w:szCs w:val="24"/>
          <w:u w:val="single"/>
          <w:lang w:eastAsia="zh-CN"/>
        </w:rPr>
        <w:t>响应文件</w:t>
      </w:r>
      <w:r>
        <w:rPr>
          <w:rFonts w:hint="eastAsia" w:ascii="宋体" w:hAnsi="宋体" w:eastAsia="宋体" w:cs="宋体"/>
          <w:b/>
          <w:bCs/>
          <w:color w:val="000000"/>
          <w:sz w:val="24"/>
          <w:szCs w:val="24"/>
          <w:u w:val="single"/>
        </w:rPr>
        <w:t>一致</w:t>
      </w:r>
      <w:r>
        <w:rPr>
          <w:rFonts w:hint="eastAsia" w:ascii="宋体" w:hAnsi="宋体" w:eastAsia="宋体" w:cs="宋体"/>
          <w:b/>
          <w:bCs/>
          <w:color w:val="000000"/>
          <w:sz w:val="24"/>
          <w:szCs w:val="24"/>
          <w:u w:val="none"/>
        </w:rPr>
        <w:t>。</w:t>
      </w:r>
    </w:p>
    <w:p w14:paraId="5C7B0CD4">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3.3.</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 xml:space="preserve"> 承包人无正当理由拒绝撤换主要施工管理人员的违约责任：</w:t>
      </w:r>
      <w:r>
        <w:rPr>
          <w:rFonts w:hint="eastAsia" w:ascii="宋体" w:hAnsi="宋体" w:eastAsia="宋体" w:cs="宋体"/>
          <w:b/>
          <w:bCs/>
          <w:color w:val="000000"/>
          <w:sz w:val="24"/>
          <w:szCs w:val="24"/>
          <w:u w:val="single"/>
        </w:rPr>
        <w:t>承包人无正当理由拒绝更换施工管理人员的，视为违约，违约金为</w:t>
      </w:r>
      <w:r>
        <w:rPr>
          <w:rFonts w:hint="eastAsia" w:ascii="宋体" w:hAnsi="宋体" w:eastAsia="宋体" w:cs="宋体"/>
          <w:b/>
          <w:bCs/>
          <w:color w:val="000000"/>
          <w:sz w:val="24"/>
          <w:szCs w:val="24"/>
          <w:u w:val="single"/>
          <w:lang w:val="en-US" w:eastAsia="zh-CN"/>
        </w:rPr>
        <w:t>1000</w:t>
      </w:r>
      <w:r>
        <w:rPr>
          <w:rFonts w:hint="eastAsia" w:ascii="宋体" w:hAnsi="宋体" w:eastAsia="宋体" w:cs="宋体"/>
          <w:b/>
          <w:bCs/>
          <w:color w:val="000000"/>
          <w:sz w:val="24"/>
          <w:szCs w:val="24"/>
          <w:u w:val="single"/>
        </w:rPr>
        <w:t>元/人·次，从发生当月工程进度款中扣除</w:t>
      </w:r>
      <w:r>
        <w:rPr>
          <w:rFonts w:hint="eastAsia" w:ascii="宋体" w:hAnsi="宋体" w:eastAsia="宋体" w:cs="宋体"/>
          <w:b/>
          <w:bCs/>
          <w:color w:val="000000"/>
          <w:sz w:val="24"/>
          <w:szCs w:val="24"/>
        </w:rPr>
        <w:t>。</w:t>
      </w:r>
    </w:p>
    <w:p w14:paraId="16C62B87">
      <w:pPr>
        <w:pageBreakBefore w:val="0"/>
        <w:kinsoku/>
        <w:wordWrap/>
        <w:overflowPunct/>
        <w:topLinePunct w:val="0"/>
        <w:autoSpaceDE w:val="0"/>
        <w:autoSpaceDN w:val="0"/>
        <w:bidi w:val="0"/>
        <w:adjustRightInd w:val="0"/>
        <w:snapToGrid/>
        <w:spacing w:line="440" w:lineRule="atLeast"/>
        <w:ind w:firstLine="480" w:firstLineChars="200"/>
        <w:contextualSpacing/>
        <w:jc w:val="left"/>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3.3.</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承包人主要施工管理人员离开施工现场的批准要求：</w:t>
      </w:r>
      <w:r>
        <w:rPr>
          <w:rFonts w:hint="eastAsia" w:ascii="宋体" w:hAnsi="宋体" w:eastAsia="宋体" w:cs="宋体"/>
          <w:b/>
          <w:bCs/>
          <w:color w:val="000000"/>
          <w:sz w:val="24"/>
          <w:szCs w:val="24"/>
          <w:u w:val="single"/>
        </w:rPr>
        <w:t>项目技术负责人确需离开施工现场时，应事先向监理人和发包人书面请假，并取得发包人代表的书面同意；其余按通用条款3.3.4执行</w:t>
      </w:r>
      <w:r>
        <w:rPr>
          <w:rFonts w:hint="eastAsia" w:ascii="宋体" w:hAnsi="宋体" w:eastAsia="宋体" w:cs="宋体"/>
          <w:b/>
          <w:bCs/>
          <w:color w:val="000000"/>
          <w:sz w:val="24"/>
          <w:szCs w:val="24"/>
        </w:rPr>
        <w:t>。</w:t>
      </w:r>
    </w:p>
    <w:p w14:paraId="4A8986EF">
      <w:pPr>
        <w:pageBreakBefore w:val="0"/>
        <w:kinsoku/>
        <w:wordWrap/>
        <w:overflowPunct/>
        <w:topLinePunct w:val="0"/>
        <w:autoSpaceDE w:val="0"/>
        <w:autoSpaceDN w:val="0"/>
        <w:bidi w:val="0"/>
        <w:adjustRightInd w:val="0"/>
        <w:snapToGrid/>
        <w:spacing w:line="440" w:lineRule="atLeast"/>
        <w:ind w:firstLine="480" w:firstLineChars="200"/>
        <w:contextualSpacing/>
        <w:jc w:val="left"/>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3.3.</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承包人擅自更换主要施工管理人员的违约责任：</w:t>
      </w:r>
      <w:r>
        <w:rPr>
          <w:rFonts w:hint="eastAsia" w:ascii="宋体" w:hAnsi="宋体" w:eastAsia="宋体" w:cs="宋体"/>
          <w:b/>
          <w:bCs/>
          <w:color w:val="000000"/>
          <w:sz w:val="24"/>
          <w:szCs w:val="24"/>
          <w:u w:val="single"/>
        </w:rPr>
        <w:t>经发包人审核通过的派驻现场的施工管理人员不得擅自更换，如发生人员变更应提前报监理及发包人审核同意，如擅自更改人员，罚款</w:t>
      </w:r>
      <w:r>
        <w:rPr>
          <w:rFonts w:hint="eastAsia" w:ascii="宋体" w:hAnsi="宋体" w:eastAsia="宋体" w:cs="宋体"/>
          <w:b/>
          <w:bCs/>
          <w:color w:val="000000"/>
          <w:sz w:val="24"/>
          <w:szCs w:val="24"/>
          <w:u w:val="single"/>
          <w:lang w:val="en-US" w:eastAsia="zh-CN"/>
        </w:rPr>
        <w:t>1000</w:t>
      </w:r>
      <w:r>
        <w:rPr>
          <w:rFonts w:hint="eastAsia" w:ascii="宋体" w:hAnsi="宋体" w:eastAsia="宋体" w:cs="宋体"/>
          <w:b/>
          <w:bCs/>
          <w:color w:val="000000"/>
          <w:sz w:val="24"/>
          <w:szCs w:val="24"/>
          <w:u w:val="single"/>
        </w:rPr>
        <w:t>元/人·次</w:t>
      </w:r>
      <w:r>
        <w:rPr>
          <w:rFonts w:hint="eastAsia" w:ascii="宋体" w:hAnsi="宋体" w:eastAsia="宋体" w:cs="宋体"/>
          <w:b/>
          <w:bCs/>
          <w:color w:val="000000"/>
          <w:sz w:val="24"/>
          <w:szCs w:val="24"/>
        </w:rPr>
        <w:t>。</w:t>
      </w:r>
    </w:p>
    <w:p w14:paraId="5E8EAC2D">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lang w:val="en-US" w:eastAsia="zh-CN"/>
        </w:rPr>
        <w:t>3.3.5</w:t>
      </w:r>
      <w:r>
        <w:rPr>
          <w:rFonts w:hint="eastAsia" w:ascii="宋体" w:hAnsi="宋体" w:eastAsia="宋体" w:cs="宋体"/>
          <w:color w:val="000000"/>
          <w:sz w:val="24"/>
          <w:szCs w:val="24"/>
        </w:rPr>
        <w:t>承包人主要施工管理人员擅自离开施工现场的违约责任：</w:t>
      </w:r>
      <w:r>
        <w:rPr>
          <w:rFonts w:hint="eastAsia" w:ascii="宋体" w:hAnsi="宋体" w:eastAsia="宋体" w:cs="宋体"/>
          <w:b/>
          <w:bCs/>
          <w:color w:val="000000"/>
          <w:sz w:val="24"/>
          <w:szCs w:val="24"/>
          <w:u w:val="single"/>
        </w:rPr>
        <w:t>未经监理或者发包人同意擅自离开施工现场，视为违约，项目技术负责人缺勤一天处罚1000元/人·天；其余管理人员缺勤一天处罚500元/人·天；若因此造成的安全生产、质量事故的其一并承担相应责任</w:t>
      </w:r>
      <w:r>
        <w:rPr>
          <w:rFonts w:hint="eastAsia" w:ascii="宋体" w:hAnsi="宋体" w:eastAsia="宋体" w:cs="宋体"/>
          <w:b/>
          <w:bCs/>
          <w:color w:val="000000"/>
          <w:sz w:val="24"/>
          <w:szCs w:val="24"/>
        </w:rPr>
        <w:t>。</w:t>
      </w:r>
    </w:p>
    <w:p w14:paraId="1A98988F">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bCs w:val="0"/>
          <w:color w:val="000000"/>
          <w:sz w:val="24"/>
          <w:szCs w:val="24"/>
        </w:rPr>
      </w:pPr>
      <w:bookmarkStart w:id="446" w:name="_Toc4494144"/>
      <w:bookmarkStart w:id="447" w:name="_Toc528826773"/>
      <w:r>
        <w:rPr>
          <w:rFonts w:hint="eastAsia" w:ascii="宋体" w:hAnsi="宋体" w:eastAsia="宋体" w:cs="宋体"/>
          <w:b w:val="0"/>
          <w:bCs w:val="0"/>
          <w:color w:val="000000"/>
          <w:sz w:val="24"/>
          <w:szCs w:val="24"/>
        </w:rPr>
        <w:t>3</w:t>
      </w:r>
      <w:bookmarkStart w:id="448" w:name="_Toc297048345"/>
      <w:bookmarkStart w:id="449" w:name="_Toc303539102"/>
      <w:bookmarkStart w:id="450" w:name="_Toc296890987"/>
      <w:bookmarkStart w:id="451" w:name="_Toc297216151"/>
      <w:bookmarkStart w:id="452" w:name="_Toc292559869"/>
      <w:bookmarkStart w:id="453" w:name="_Toc312677988"/>
      <w:bookmarkStart w:id="454" w:name="_Toc296891199"/>
      <w:bookmarkStart w:id="455" w:name="_Toc292559364"/>
      <w:bookmarkStart w:id="456" w:name="_Toc300934945"/>
      <w:bookmarkStart w:id="457" w:name="_Toc296944498"/>
      <w:bookmarkStart w:id="458" w:name="_Toc297120459"/>
      <w:bookmarkStart w:id="459" w:name="_Toc304295523"/>
      <w:bookmarkStart w:id="460" w:name="_Toc297123492"/>
      <w:bookmarkStart w:id="461" w:name="_Toc296347158"/>
      <w:bookmarkStart w:id="462" w:name="_Toc296503159"/>
      <w:bookmarkStart w:id="463" w:name="_Toc296346660"/>
      <w:r>
        <w:rPr>
          <w:rFonts w:hint="eastAsia" w:ascii="宋体" w:hAnsi="宋体" w:eastAsia="宋体" w:cs="宋体"/>
          <w:b w:val="0"/>
          <w:bCs w:val="0"/>
          <w:color w:val="000000"/>
          <w:sz w:val="24"/>
          <w:szCs w:val="24"/>
        </w:rPr>
        <w:t>.5 分包</w:t>
      </w:r>
      <w:bookmarkEnd w:id="446"/>
      <w:bookmarkEnd w:id="447"/>
    </w:p>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14:paraId="32560A35">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w:t>
      </w:r>
      <w:bookmarkStart w:id="464" w:name="_Toc296503160"/>
      <w:bookmarkStart w:id="465" w:name="_Toc292559870"/>
      <w:bookmarkStart w:id="466" w:name="_Toc296890988"/>
      <w:bookmarkStart w:id="467" w:name="_Toc304295524"/>
      <w:bookmarkStart w:id="468" w:name="_Toc296347159"/>
      <w:bookmarkStart w:id="469" w:name="_Toc297123493"/>
      <w:bookmarkStart w:id="470" w:name="_Toc297048346"/>
      <w:bookmarkStart w:id="471" w:name="_Toc296891200"/>
      <w:bookmarkStart w:id="472" w:name="_Toc292559365"/>
      <w:bookmarkStart w:id="473" w:name="_Toc300934946"/>
      <w:bookmarkStart w:id="474" w:name="_Toc318581158"/>
      <w:bookmarkStart w:id="475" w:name="_Toc296944499"/>
      <w:bookmarkStart w:id="476" w:name="_Toc303539103"/>
      <w:bookmarkStart w:id="477" w:name="_Toc296346661"/>
      <w:bookmarkStart w:id="478" w:name="_Toc312677989"/>
      <w:bookmarkStart w:id="479" w:name="_Toc297120460"/>
      <w:bookmarkStart w:id="480" w:name="_Toc297216152"/>
      <w:r>
        <w:rPr>
          <w:rFonts w:hint="eastAsia" w:ascii="宋体" w:hAnsi="宋体" w:eastAsia="宋体" w:cs="宋体"/>
          <w:color w:val="000000"/>
          <w:sz w:val="24"/>
          <w:szCs w:val="24"/>
        </w:rPr>
        <w:t>.5.1 分包的一般约定</w:t>
      </w:r>
    </w:p>
    <w:p w14:paraId="203CF0A7">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禁止分包的工程包括：</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sz w:val="24"/>
          <w:szCs w:val="24"/>
          <w:u w:val="single"/>
        </w:rPr>
        <w:t> </w:t>
      </w:r>
      <w:r>
        <w:rPr>
          <w:rFonts w:hint="eastAsia" w:ascii="宋体" w:hAnsi="宋体" w:eastAsia="宋体" w:cs="宋体"/>
          <w:b/>
          <w:bCs/>
          <w:color w:val="000000"/>
          <w:sz w:val="24"/>
          <w:szCs w:val="24"/>
          <w:u w:val="single"/>
          <w:lang w:val="en-US" w:eastAsia="zh-CN"/>
        </w:rPr>
        <w:t xml:space="preserve">           </w:t>
      </w:r>
    </w:p>
    <w:p w14:paraId="0ED7F756">
      <w:pPr>
        <w:pStyle w:val="23"/>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b/>
          <w:bCs/>
          <w:color w:val="000000"/>
          <w:kern w:val="2"/>
          <w:sz w:val="24"/>
          <w:szCs w:val="24"/>
        </w:rPr>
      </w:pPr>
      <w:r>
        <w:rPr>
          <w:rFonts w:hint="eastAsia" w:ascii="宋体" w:hAnsi="宋体" w:eastAsia="宋体" w:cs="宋体"/>
          <w:color w:val="000000"/>
          <w:sz w:val="24"/>
          <w:szCs w:val="24"/>
        </w:rPr>
        <w:t>主体结构、关键性工作的范围</w:t>
      </w:r>
      <w:r>
        <w:rPr>
          <w:rFonts w:hint="eastAsia" w:ascii="宋体" w:hAnsi="宋体" w:eastAsia="宋体" w:cs="宋体"/>
          <w:color w:val="000000"/>
          <w:kern w:val="2"/>
          <w:sz w:val="24"/>
          <w:szCs w:val="24"/>
        </w:rPr>
        <w:t>：</w:t>
      </w:r>
      <w:r>
        <w:rPr>
          <w:rFonts w:hint="eastAsia" w:ascii="宋体" w:hAnsi="宋体" w:eastAsia="宋体" w:cs="宋体"/>
          <w:b/>
          <w:bCs/>
          <w:color w:val="000000"/>
          <w:kern w:val="2"/>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kern w:val="0"/>
          <w:sz w:val="24"/>
          <w:szCs w:val="24"/>
          <w:u w:val="single"/>
        </w:rPr>
        <w:t xml:space="preserve">         </w:t>
      </w:r>
      <w:r>
        <w:rPr>
          <w:rFonts w:hint="eastAsia" w:ascii="宋体" w:hAnsi="宋体" w:eastAsia="宋体" w:cs="宋体"/>
          <w:b/>
          <w:bCs/>
          <w:color w:val="000000"/>
          <w:kern w:val="2"/>
          <w:sz w:val="24"/>
          <w:szCs w:val="24"/>
          <w:u w:val="single"/>
          <w:lang w:val="en-US" w:eastAsia="zh-CN"/>
        </w:rPr>
        <w:t xml:space="preserve">  </w:t>
      </w:r>
    </w:p>
    <w:p w14:paraId="02525F5A">
      <w:pPr>
        <w:pStyle w:val="23"/>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b/>
          <w:bCs/>
          <w:color w:val="000000"/>
          <w:kern w:val="2"/>
          <w:sz w:val="24"/>
          <w:szCs w:val="24"/>
          <w:u w:val="single"/>
          <w:lang w:val="en-US" w:eastAsia="zh-CN"/>
        </w:rPr>
      </w:pPr>
      <w:r>
        <w:rPr>
          <w:rFonts w:hint="eastAsia" w:ascii="宋体" w:hAnsi="宋体" w:eastAsia="宋体" w:cs="宋体"/>
          <w:color w:val="000000"/>
          <w:sz w:val="24"/>
          <w:szCs w:val="24"/>
        </w:rPr>
        <w:t>其他：</w:t>
      </w:r>
      <w:r>
        <w:rPr>
          <w:rFonts w:hint="eastAsia" w:ascii="宋体" w:hAnsi="宋体" w:eastAsia="宋体" w:cs="宋体"/>
          <w:b/>
          <w:bCs/>
          <w:color w:val="000000"/>
          <w:kern w:val="2"/>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b/>
          <w:bCs/>
          <w:color w:val="000000"/>
          <w:kern w:val="2"/>
          <w:sz w:val="24"/>
          <w:szCs w:val="24"/>
          <w:u w:val="single"/>
          <w:lang w:val="en-US" w:eastAsia="zh-CN"/>
        </w:rPr>
        <w:t xml:space="preserve">           </w:t>
      </w:r>
    </w:p>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14:paraId="2DBC26A3">
      <w:pPr>
        <w:pageBreakBefore w:val="0"/>
        <w:kinsoku/>
        <w:wordWrap/>
        <w:overflowPunct/>
        <w:topLinePunct w:val="0"/>
        <w:bidi w:val="0"/>
        <w:snapToGrid/>
        <w:spacing w:line="440" w:lineRule="atLeast"/>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3</w:t>
      </w:r>
      <w:bookmarkStart w:id="481" w:name="_Toc318581159"/>
      <w:bookmarkStart w:id="482" w:name="_Toc312677990"/>
      <w:r>
        <w:rPr>
          <w:rFonts w:hint="eastAsia" w:ascii="宋体" w:hAnsi="宋体" w:eastAsia="宋体" w:cs="宋体"/>
          <w:color w:val="000000"/>
          <w:sz w:val="24"/>
          <w:szCs w:val="24"/>
        </w:rPr>
        <w:t>.5.2分包的确定</w:t>
      </w:r>
    </w:p>
    <w:p w14:paraId="74B8D0CD">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允许分包的专业工程包括：</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b/>
          <w:bCs/>
          <w:color w:val="000000"/>
          <w:sz w:val="24"/>
          <w:szCs w:val="24"/>
          <w:u w:val="single"/>
          <w:lang w:val="en-US" w:eastAsia="zh-CN"/>
        </w:rPr>
        <w:t xml:space="preserve">           </w:t>
      </w:r>
    </w:p>
    <w:p w14:paraId="29C681DF">
      <w:pPr>
        <w:pStyle w:val="16"/>
        <w:pageBreakBefore w:val="0"/>
        <w:kinsoku/>
        <w:wordWrap/>
        <w:overflowPunct/>
        <w:topLinePunct w:val="0"/>
        <w:bidi w:val="0"/>
        <w:snapToGrid/>
        <w:spacing w:line="440" w:lineRule="atLeast"/>
        <w:ind w:left="0" w:leftChars="0" w:firstLine="480" w:firstLineChars="200"/>
        <w:contextualSpacing/>
        <w:jc w:val="left"/>
        <w:textAlignment w:val="auto"/>
        <w:rPr>
          <w:rFonts w:hint="eastAsia" w:ascii="宋体" w:hAnsi="宋体" w:eastAsia="宋体" w:cs="宋体"/>
          <w:b w:val="0"/>
          <w:bCs w:val="0"/>
          <w:sz w:val="24"/>
          <w:szCs w:val="24"/>
          <w:u w:val="single"/>
        </w:rPr>
      </w:pPr>
      <w:r>
        <w:rPr>
          <w:rFonts w:hint="eastAsia" w:ascii="宋体" w:hAnsi="宋体" w:eastAsia="宋体" w:cs="宋体"/>
          <w:sz w:val="24"/>
          <w:szCs w:val="24"/>
        </w:rPr>
        <w:t>其他关于分包的约定：</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sz w:val="24"/>
          <w:szCs w:val="24"/>
          <w:u w:val="single"/>
        </w:rPr>
        <w:t> </w:t>
      </w:r>
      <w:r>
        <w:rPr>
          <w:rFonts w:hint="eastAsia" w:ascii="宋体" w:hAnsi="宋体" w:eastAsia="宋体" w:cs="宋体"/>
          <w:b w:val="0"/>
          <w:bCs w:val="0"/>
          <w:sz w:val="24"/>
          <w:szCs w:val="24"/>
          <w:u w:val="single"/>
          <w:lang w:val="en-US" w:eastAsia="zh-CN"/>
        </w:rPr>
        <w:t xml:space="preserve">           </w:t>
      </w:r>
    </w:p>
    <w:p w14:paraId="5B9B1A20">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3.5.4 分包合同价款</w:t>
      </w:r>
    </w:p>
    <w:p w14:paraId="7A9B2CCD">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关于分包合同价款支付的约定：</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sz w:val="24"/>
          <w:szCs w:val="24"/>
          <w:u w:val="single"/>
        </w:rPr>
        <w:t> </w:t>
      </w:r>
      <w:r>
        <w:rPr>
          <w:rFonts w:hint="eastAsia" w:ascii="宋体" w:hAnsi="宋体" w:eastAsia="宋体" w:cs="宋体"/>
          <w:b w:val="0"/>
          <w:bCs w:val="0"/>
          <w:sz w:val="24"/>
          <w:szCs w:val="24"/>
          <w:u w:val="single"/>
          <w:lang w:val="en-US" w:eastAsia="zh-CN"/>
        </w:rPr>
        <w:t xml:space="preserve">  </w:t>
      </w:r>
    </w:p>
    <w:bookmarkEnd w:id="481"/>
    <w:bookmarkEnd w:id="482"/>
    <w:p w14:paraId="684326FB">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483" w:name="_Toc528826774"/>
      <w:bookmarkStart w:id="484" w:name="_Toc4494145"/>
      <w:r>
        <w:rPr>
          <w:rFonts w:hint="eastAsia" w:ascii="宋体" w:hAnsi="宋体" w:eastAsia="宋体" w:cs="宋体"/>
          <w:b w:val="0"/>
          <w:color w:val="000000"/>
          <w:sz w:val="24"/>
          <w:szCs w:val="24"/>
        </w:rPr>
        <w:t>3.6 工程照管与成品、半成品保护</w:t>
      </w:r>
      <w:bookmarkEnd w:id="483"/>
      <w:bookmarkEnd w:id="484"/>
      <w:r>
        <w:rPr>
          <w:rFonts w:hint="eastAsia" w:ascii="宋体" w:hAnsi="宋体" w:eastAsia="宋体" w:cs="宋体"/>
          <w:color w:val="000000"/>
          <w:sz w:val="24"/>
          <w:szCs w:val="24"/>
          <w:u w:val="single"/>
        </w:rPr>
        <w:t></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w:t>
      </w:r>
    </w:p>
    <w:p w14:paraId="537AB832">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kern w:val="0"/>
          <w:sz w:val="24"/>
          <w:szCs w:val="24"/>
          <w:u w:val="single"/>
        </w:rPr>
      </w:pPr>
      <w:r>
        <w:rPr>
          <w:rFonts w:hint="eastAsia" w:ascii="宋体" w:hAnsi="宋体" w:eastAsia="宋体" w:cs="宋体"/>
          <w:color w:val="000000"/>
          <w:kern w:val="0"/>
          <w:sz w:val="24"/>
          <w:szCs w:val="24"/>
        </w:rPr>
        <w:t>承包人负责照管工程及工程相关的材料、工程设备的起始时间：</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 xml:space="preserve">                  </w:t>
      </w:r>
    </w:p>
    <w:p w14:paraId="168CC383">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color w:val="000000"/>
          <w:sz w:val="24"/>
          <w:szCs w:val="24"/>
        </w:rPr>
      </w:pPr>
      <w:bookmarkStart w:id="485" w:name="_Toc4494146"/>
      <w:bookmarkStart w:id="486" w:name="_Toc528826775"/>
      <w:r>
        <w:rPr>
          <w:rFonts w:hint="eastAsia" w:ascii="宋体" w:hAnsi="宋体" w:eastAsia="宋体" w:cs="宋体"/>
          <w:b w:val="0"/>
          <w:color w:val="000000"/>
          <w:sz w:val="24"/>
          <w:szCs w:val="24"/>
        </w:rPr>
        <w:t>3.7 履约担保</w:t>
      </w:r>
      <w:bookmarkEnd w:id="485"/>
      <w:bookmarkEnd w:id="486"/>
    </w:p>
    <w:p w14:paraId="2B072592">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u w:val="single"/>
        </w:rPr>
      </w:pPr>
      <w:r>
        <w:rPr>
          <w:rFonts w:hint="eastAsia" w:ascii="宋体" w:hAnsi="宋体" w:eastAsia="宋体" w:cs="宋体"/>
          <w:color w:val="000000"/>
          <w:kern w:val="0"/>
          <w:sz w:val="24"/>
          <w:szCs w:val="24"/>
        </w:rPr>
        <w:t>承包人是否提供履约担保：</w:t>
      </w:r>
      <w:r>
        <w:rPr>
          <w:rFonts w:hint="eastAsia" w:ascii="宋体" w:hAnsi="宋体" w:cs="宋体"/>
          <w:b/>
          <w:bCs/>
          <w:color w:val="000000"/>
          <w:sz w:val="24"/>
          <w:szCs w:val="24"/>
          <w:u w:val="single"/>
          <w:lang w:val="en-US" w:eastAsia="zh-CN"/>
        </w:rPr>
        <w:t xml:space="preserve">     /     </w:t>
      </w:r>
      <w:r>
        <w:rPr>
          <w:rFonts w:hint="eastAsia" w:ascii="宋体" w:hAnsi="宋体" w:eastAsia="宋体" w:cs="宋体"/>
          <w:color w:val="000000"/>
          <w:kern w:val="0"/>
          <w:sz w:val="24"/>
          <w:szCs w:val="24"/>
          <w:u w:val="none"/>
        </w:rPr>
        <w:t>。</w:t>
      </w:r>
    </w:p>
    <w:p w14:paraId="236D6EB6">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b/>
          <w:color w:val="000000"/>
          <w:sz w:val="24"/>
          <w:szCs w:val="24"/>
          <w:shd w:val="clear" w:color="auto" w:fill="FFFF00"/>
        </w:rPr>
      </w:pPr>
      <w:r>
        <w:rPr>
          <w:rFonts w:hint="eastAsia" w:ascii="宋体" w:hAnsi="宋体" w:eastAsia="宋体" w:cs="宋体"/>
          <w:color w:val="000000"/>
          <w:kern w:val="0"/>
          <w:sz w:val="24"/>
          <w:szCs w:val="24"/>
        </w:rPr>
        <w:t>承包人提供履约担保的形式、金额及期限的：</w:t>
      </w:r>
      <w:r>
        <w:rPr>
          <w:rFonts w:hint="eastAsia" w:ascii="宋体" w:hAnsi="宋体" w:cs="宋体"/>
          <w:b/>
          <w:bCs/>
          <w:color w:val="000000"/>
          <w:sz w:val="24"/>
          <w:szCs w:val="24"/>
          <w:u w:val="single"/>
          <w:lang w:val="en-US" w:eastAsia="zh-CN"/>
        </w:rPr>
        <w:t xml:space="preserve">     /     </w:t>
      </w:r>
      <w:r>
        <w:rPr>
          <w:rFonts w:hint="eastAsia" w:ascii="宋体" w:hAnsi="宋体" w:eastAsia="宋体" w:cs="宋体"/>
          <w:color w:val="000000"/>
          <w:sz w:val="24"/>
          <w:szCs w:val="24"/>
          <w:u w:val="none"/>
        </w:rPr>
        <w:t>。</w:t>
      </w:r>
    </w:p>
    <w:p w14:paraId="53DCB97F">
      <w:pPr>
        <w:pStyle w:val="5"/>
        <w:pageBreakBefore w:val="0"/>
        <w:numPr>
          <w:ilvl w:val="3"/>
          <w:numId w:val="0"/>
        </w:numPr>
        <w:kinsoku/>
        <w:wordWrap/>
        <w:overflowPunct/>
        <w:topLinePunct w:val="0"/>
        <w:bidi w:val="0"/>
        <w:snapToGrid/>
        <w:spacing w:before="0" w:after="0" w:line="440" w:lineRule="atLeast"/>
        <w:contextualSpacing/>
        <w:textAlignment w:val="auto"/>
        <w:rPr>
          <w:rFonts w:hint="eastAsia" w:ascii="宋体" w:hAnsi="宋体" w:eastAsia="宋体" w:cs="宋体"/>
          <w:b w:val="0"/>
          <w:color w:val="000000"/>
          <w:sz w:val="24"/>
          <w:szCs w:val="24"/>
        </w:rPr>
      </w:pPr>
      <w:bookmarkStart w:id="487" w:name="_Toc4494147"/>
      <w:bookmarkStart w:id="488" w:name="_Toc528826776"/>
      <w:r>
        <w:rPr>
          <w:rFonts w:hint="eastAsia" w:ascii="宋体" w:hAnsi="宋体" w:eastAsia="宋体" w:cs="宋体"/>
          <w:b w:val="0"/>
          <w:color w:val="000000"/>
          <w:sz w:val="24"/>
          <w:szCs w:val="24"/>
        </w:rPr>
        <w:t>4</w:t>
      </w:r>
      <w:bookmarkStart w:id="489" w:name="_Toc296346663"/>
      <w:bookmarkStart w:id="490" w:name="_Toc296503162"/>
      <w:bookmarkStart w:id="491" w:name="_Toc297048348"/>
      <w:bookmarkStart w:id="492" w:name="_Toc297120462"/>
      <w:bookmarkStart w:id="493" w:name="_Toc296347161"/>
      <w:bookmarkStart w:id="494" w:name="_Toc292559366"/>
      <w:bookmarkStart w:id="495" w:name="_Toc296890990"/>
      <w:bookmarkStart w:id="496" w:name="_Toc296944501"/>
      <w:bookmarkStart w:id="497" w:name="_Toc292559871"/>
      <w:bookmarkStart w:id="498" w:name="_Toc296891202"/>
      <w:bookmarkStart w:id="499" w:name="_Toc267251413"/>
      <w:r>
        <w:rPr>
          <w:rFonts w:hint="eastAsia" w:ascii="宋体" w:hAnsi="宋体" w:eastAsia="宋体" w:cs="宋体"/>
          <w:b w:val="0"/>
          <w:color w:val="000000"/>
          <w:sz w:val="24"/>
          <w:szCs w:val="24"/>
        </w:rPr>
        <w:t>. 监</w:t>
      </w:r>
      <w:bookmarkEnd w:id="489"/>
      <w:bookmarkEnd w:id="490"/>
      <w:bookmarkEnd w:id="491"/>
      <w:bookmarkEnd w:id="492"/>
      <w:bookmarkEnd w:id="493"/>
      <w:bookmarkEnd w:id="494"/>
      <w:bookmarkEnd w:id="495"/>
      <w:bookmarkEnd w:id="496"/>
      <w:bookmarkEnd w:id="497"/>
      <w:bookmarkEnd w:id="498"/>
      <w:bookmarkEnd w:id="499"/>
      <w:r>
        <w:rPr>
          <w:rFonts w:hint="eastAsia" w:ascii="宋体" w:hAnsi="宋体" w:eastAsia="宋体" w:cs="宋体"/>
          <w:b w:val="0"/>
          <w:color w:val="000000"/>
          <w:sz w:val="24"/>
          <w:szCs w:val="24"/>
        </w:rPr>
        <w:t>理人</w:t>
      </w:r>
      <w:bookmarkEnd w:id="487"/>
      <w:bookmarkEnd w:id="488"/>
    </w:p>
    <w:p w14:paraId="516C7962">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500" w:name="_Toc4494148"/>
      <w:bookmarkStart w:id="501" w:name="_Toc528826777"/>
      <w:r>
        <w:rPr>
          <w:rFonts w:hint="eastAsia" w:ascii="宋体" w:hAnsi="宋体" w:eastAsia="宋体" w:cs="宋体"/>
          <w:b w:val="0"/>
          <w:color w:val="000000"/>
          <w:sz w:val="24"/>
          <w:szCs w:val="24"/>
        </w:rPr>
        <w:t>4.1监理人的一般规定</w:t>
      </w:r>
      <w:bookmarkEnd w:id="500"/>
      <w:bookmarkEnd w:id="501"/>
    </w:p>
    <w:p w14:paraId="383CBFDB">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关于监理人的监理内容：</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sz w:val="24"/>
          <w:szCs w:val="24"/>
          <w:u w:val="single"/>
        </w:rPr>
        <w:t xml:space="preserve"> </w:t>
      </w:r>
    </w:p>
    <w:p w14:paraId="6D127F55">
      <w:pPr>
        <w:pStyle w:val="16"/>
        <w:pageBreakBefore w:val="0"/>
        <w:kinsoku/>
        <w:wordWrap/>
        <w:overflowPunct/>
        <w:topLinePunct w:val="0"/>
        <w:bidi w:val="0"/>
        <w:snapToGrid/>
        <w:spacing w:line="440" w:lineRule="atLeast"/>
        <w:ind w:left="0" w:leftChars="0" w:firstLine="480" w:firstLineChars="200"/>
        <w:contextualSpacing/>
        <w:jc w:val="left"/>
        <w:textAlignment w:val="auto"/>
        <w:rPr>
          <w:rFonts w:hint="eastAsia" w:ascii="宋体" w:hAnsi="宋体" w:eastAsia="宋体" w:cs="宋体"/>
          <w:b w:val="0"/>
          <w:bCs w:val="0"/>
          <w:sz w:val="24"/>
          <w:szCs w:val="24"/>
          <w:u w:val="single"/>
        </w:rPr>
      </w:pPr>
      <w:r>
        <w:rPr>
          <w:rFonts w:hint="eastAsia" w:ascii="宋体" w:hAnsi="宋体" w:eastAsia="宋体" w:cs="宋体"/>
          <w:sz w:val="24"/>
          <w:szCs w:val="24"/>
        </w:rPr>
        <w:t>关于监理人的监理权限：</w:t>
      </w:r>
      <w:r>
        <w:rPr>
          <w:rFonts w:hint="eastAsia" w:ascii="宋体" w:hAnsi="宋体" w:eastAsia="宋体" w:cs="宋体"/>
          <w:b/>
          <w:bCs/>
          <w:color w:val="000000"/>
          <w:sz w:val="24"/>
          <w:szCs w:val="24"/>
          <w:u w:val="single"/>
          <w:lang w:val="en-US" w:eastAsia="zh-CN"/>
        </w:rPr>
        <w:t xml:space="preserve">                       </w:t>
      </w:r>
    </w:p>
    <w:p w14:paraId="0A94EBA5">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关于监理人在施工现场的办公场所、生活场所的提供和费用承担的约定：</w:t>
      </w:r>
      <w:r>
        <w:rPr>
          <w:rFonts w:hint="eastAsia" w:ascii="宋体" w:hAnsi="宋体" w:eastAsia="宋体" w:cs="宋体"/>
          <w:b/>
          <w:bCs/>
          <w:color w:val="000000"/>
          <w:sz w:val="24"/>
          <w:szCs w:val="24"/>
          <w:u w:val="single"/>
          <w:lang w:val="en-US" w:eastAsia="zh-CN"/>
        </w:rPr>
        <w:t xml:space="preserve">                       </w:t>
      </w:r>
    </w:p>
    <w:p w14:paraId="0B1AE08A">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502" w:name="_Toc4494149"/>
      <w:bookmarkStart w:id="503" w:name="_Toc528826778"/>
      <w:r>
        <w:rPr>
          <w:rFonts w:hint="eastAsia" w:ascii="宋体" w:hAnsi="宋体" w:eastAsia="宋体" w:cs="宋体"/>
          <w:b w:val="0"/>
          <w:color w:val="000000"/>
          <w:sz w:val="24"/>
          <w:szCs w:val="24"/>
        </w:rPr>
        <w:t>4.2 监理人员</w:t>
      </w:r>
      <w:bookmarkEnd w:id="502"/>
      <w:bookmarkEnd w:id="503"/>
    </w:p>
    <w:p w14:paraId="169698AC">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总监理工程师：</w:t>
      </w:r>
    </w:p>
    <w:p w14:paraId="0365B09F">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姓    名：</w:t>
      </w:r>
      <w:r>
        <w:rPr>
          <w:rFonts w:hint="eastAsia" w:ascii="宋体" w:hAnsi="宋体" w:eastAsia="宋体" w:cs="宋体"/>
          <w:color w:val="000000"/>
          <w:sz w:val="24"/>
          <w:szCs w:val="24"/>
          <w:u w:val="single"/>
        </w:rPr>
        <w:t></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p>
    <w:p w14:paraId="7A70F986">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职    务：</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p>
    <w:p w14:paraId="5452F140">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监理工程师执业资格证书号：</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p>
    <w:p w14:paraId="638B6C86">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联系电话：</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p>
    <w:p w14:paraId="50812C80">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电子信箱：</w:t>
      </w:r>
      <w:r>
        <w:rPr>
          <w:rFonts w:hint="eastAsia" w:ascii="宋体" w:hAnsi="宋体" w:eastAsia="宋体" w:cs="宋体"/>
          <w:color w:val="000000"/>
          <w:sz w:val="24"/>
          <w:szCs w:val="24"/>
          <w:u w:val="single"/>
        </w:rPr>
        <w:t xml:space="preserve">   </w:t>
      </w:r>
    </w:p>
    <w:p w14:paraId="420FB882">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通信地址：</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p>
    <w:p w14:paraId="2FD371D2">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关于监理人的其他约定：</w:t>
      </w:r>
      <w:r>
        <w:rPr>
          <w:rFonts w:hint="eastAsia" w:ascii="宋体" w:hAnsi="宋体" w:eastAsia="宋体" w:cs="宋体"/>
          <w:b/>
          <w:bCs/>
          <w:color w:val="000000"/>
          <w:sz w:val="24"/>
          <w:szCs w:val="24"/>
          <w:u w:val="single"/>
          <w:lang w:val="en-US" w:eastAsia="zh-CN"/>
        </w:rPr>
        <w:t xml:space="preserve">                 </w:t>
      </w:r>
    </w:p>
    <w:p w14:paraId="64C0955D">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504" w:name="_Toc4494150"/>
      <w:bookmarkStart w:id="505" w:name="_Toc528826779"/>
      <w:r>
        <w:rPr>
          <w:rFonts w:hint="eastAsia" w:ascii="宋体" w:hAnsi="宋体" w:eastAsia="宋体" w:cs="宋体"/>
          <w:b w:val="0"/>
          <w:color w:val="000000"/>
          <w:sz w:val="24"/>
          <w:szCs w:val="24"/>
        </w:rPr>
        <w:t>4.4 商定或确定</w:t>
      </w:r>
      <w:bookmarkEnd w:id="504"/>
      <w:bookmarkEnd w:id="505"/>
    </w:p>
    <w:p w14:paraId="2E550144">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bookmarkStart w:id="506" w:name="_Toc267251418"/>
      <w:r>
        <w:rPr>
          <w:rFonts w:hint="eastAsia" w:ascii="宋体" w:hAnsi="宋体" w:eastAsia="宋体" w:cs="宋体"/>
          <w:color w:val="000000"/>
          <w:sz w:val="24"/>
          <w:szCs w:val="24"/>
        </w:rPr>
        <w:t>在发包人和承包人不能通过协商达成一致意见时，发包人授权监理人对以下事项进行确定：</w:t>
      </w:r>
    </w:p>
    <w:p w14:paraId="704F8224">
      <w:pPr>
        <w:pageBreakBefore w:val="0"/>
        <w:numPr>
          <w:ilvl w:val="0"/>
          <w:numId w:val="2"/>
        </w:numPr>
        <w:kinsoku/>
        <w:wordWrap/>
        <w:overflowPunct/>
        <w:topLinePunct w:val="0"/>
        <w:autoSpaceDE w:val="0"/>
        <w:autoSpaceDN w:val="0"/>
        <w:bidi w:val="0"/>
        <w:adjustRightInd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17BDEE46">
      <w:pPr>
        <w:pageBreakBefore w:val="0"/>
        <w:kinsoku/>
        <w:wordWrap/>
        <w:overflowPunct/>
        <w:topLinePunct w:val="0"/>
        <w:autoSpaceDE w:val="0"/>
        <w:autoSpaceDN w:val="0"/>
        <w:bidi w:val="0"/>
        <w:adjustRightInd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413D844A">
      <w:pPr>
        <w:pageBreakBefore w:val="0"/>
        <w:kinsoku/>
        <w:wordWrap/>
        <w:overflowPunct/>
        <w:topLinePunct w:val="0"/>
        <w:autoSpaceDE w:val="0"/>
        <w:autoSpaceDN w:val="0"/>
        <w:bidi w:val="0"/>
        <w:adjustRightInd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2C90984F">
      <w:pPr>
        <w:pStyle w:val="5"/>
        <w:pageBreakBefore w:val="0"/>
        <w:numPr>
          <w:ilvl w:val="3"/>
          <w:numId w:val="0"/>
        </w:numPr>
        <w:kinsoku/>
        <w:wordWrap/>
        <w:overflowPunct/>
        <w:topLinePunct w:val="0"/>
        <w:bidi w:val="0"/>
        <w:snapToGrid/>
        <w:spacing w:before="0" w:after="0" w:line="440" w:lineRule="atLeast"/>
        <w:contextualSpacing/>
        <w:textAlignment w:val="auto"/>
        <w:rPr>
          <w:rFonts w:hint="eastAsia" w:ascii="宋体" w:hAnsi="宋体" w:eastAsia="宋体" w:cs="宋体"/>
          <w:b w:val="0"/>
          <w:color w:val="000000"/>
          <w:sz w:val="24"/>
          <w:szCs w:val="24"/>
        </w:rPr>
      </w:pPr>
      <w:bookmarkStart w:id="507" w:name="_Toc4494151"/>
      <w:bookmarkStart w:id="508" w:name="_Toc528826780"/>
      <w:r>
        <w:rPr>
          <w:rFonts w:hint="eastAsia" w:ascii="宋体" w:hAnsi="宋体" w:eastAsia="宋体" w:cs="宋体"/>
          <w:b w:val="0"/>
          <w:color w:val="000000"/>
          <w:sz w:val="24"/>
          <w:szCs w:val="24"/>
        </w:rPr>
        <w:t>5</w:t>
      </w:r>
      <w:bookmarkEnd w:id="506"/>
      <w:bookmarkStart w:id="509" w:name="_Toc297120463"/>
      <w:bookmarkStart w:id="510" w:name="_Toc296890991"/>
      <w:bookmarkStart w:id="511" w:name="_Toc296944502"/>
      <w:bookmarkStart w:id="512" w:name="_Toc296891203"/>
      <w:bookmarkStart w:id="513" w:name="_Toc296347162"/>
      <w:bookmarkStart w:id="514" w:name="_Toc296503163"/>
      <w:bookmarkStart w:id="515" w:name="_Toc296346664"/>
      <w:bookmarkStart w:id="516" w:name="_Toc292559367"/>
      <w:bookmarkStart w:id="517" w:name="_Toc297048349"/>
      <w:bookmarkStart w:id="518" w:name="_Toc292559872"/>
      <w:r>
        <w:rPr>
          <w:rFonts w:hint="eastAsia" w:ascii="宋体" w:hAnsi="宋体" w:eastAsia="宋体" w:cs="宋体"/>
          <w:b w:val="0"/>
          <w:color w:val="000000"/>
          <w:sz w:val="24"/>
          <w:szCs w:val="24"/>
        </w:rPr>
        <w:t>. 工程质量</w:t>
      </w:r>
      <w:bookmarkEnd w:id="507"/>
      <w:bookmarkEnd w:id="508"/>
    </w:p>
    <w:p w14:paraId="4233B3E4">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519" w:name="_Toc4494152"/>
      <w:bookmarkStart w:id="520" w:name="_Toc528826781"/>
      <w:r>
        <w:rPr>
          <w:rFonts w:hint="eastAsia" w:ascii="宋体" w:hAnsi="宋体" w:eastAsia="宋体" w:cs="宋体"/>
          <w:b w:val="0"/>
          <w:color w:val="000000"/>
          <w:sz w:val="24"/>
          <w:szCs w:val="24"/>
        </w:rPr>
        <w:t>5.1 质量要求</w:t>
      </w:r>
      <w:bookmarkEnd w:id="519"/>
      <w:bookmarkEnd w:id="520"/>
    </w:p>
    <w:p w14:paraId="43804361">
      <w:pPr>
        <w:pStyle w:val="16"/>
        <w:pageBreakBefore w:val="0"/>
        <w:kinsoku/>
        <w:wordWrap/>
        <w:overflowPunct/>
        <w:topLinePunct w:val="0"/>
        <w:bidi w:val="0"/>
        <w:snapToGrid/>
        <w:spacing w:line="440" w:lineRule="atLeast"/>
        <w:contextualSpacing/>
        <w:jc w:val="left"/>
        <w:textAlignment w:val="auto"/>
        <w:rPr>
          <w:rFonts w:hint="eastAsia" w:ascii="宋体" w:hAnsi="宋体" w:eastAsia="宋体" w:cs="宋体"/>
          <w:b w:val="0"/>
          <w:sz w:val="24"/>
          <w:szCs w:val="24"/>
        </w:rPr>
      </w:pPr>
      <w:r>
        <w:rPr>
          <w:rFonts w:hint="eastAsia" w:ascii="宋体" w:hAnsi="宋体" w:eastAsia="宋体" w:cs="宋体"/>
          <w:sz w:val="24"/>
          <w:szCs w:val="24"/>
        </w:rPr>
        <w:t>5</w:t>
      </w:r>
      <w:bookmarkStart w:id="521" w:name="_Toc303539106"/>
      <w:bookmarkStart w:id="522" w:name="_Toc312677997"/>
      <w:bookmarkStart w:id="523" w:name="_Toc297123496"/>
      <w:bookmarkStart w:id="524" w:name="_Toc304295527"/>
      <w:bookmarkStart w:id="525" w:name="_Toc318581164"/>
      <w:bookmarkStart w:id="526" w:name="_Toc297216155"/>
      <w:bookmarkStart w:id="527" w:name="_Toc300934949"/>
      <w:r>
        <w:rPr>
          <w:rFonts w:hint="eastAsia" w:ascii="宋体" w:hAnsi="宋体" w:eastAsia="宋体" w:cs="宋体"/>
          <w:sz w:val="24"/>
          <w:szCs w:val="24"/>
        </w:rPr>
        <w:t>.1.1 特殊质量标准和要求：</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2B6CF922">
      <w:pPr>
        <w:pageBreakBefore w:val="0"/>
        <w:kinsoku/>
        <w:wordWrap/>
        <w:overflowPunct/>
        <w:topLinePunct w:val="0"/>
        <w:autoSpaceDE w:val="0"/>
        <w:autoSpaceDN w:val="0"/>
        <w:bidi w:val="0"/>
        <w:adjustRightInd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关于工程奖项的约定：</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2D9864A8">
      <w:pPr>
        <w:pageBreakBefore w:val="0"/>
        <w:kinsoku/>
        <w:wordWrap/>
        <w:overflowPunct/>
        <w:topLinePunct w:val="0"/>
        <w:autoSpaceDE w:val="0"/>
        <w:autoSpaceDN w:val="0"/>
        <w:bidi w:val="0"/>
        <w:adjustRightInd w:val="0"/>
        <w:snapToGrid/>
        <w:spacing w:line="440" w:lineRule="atLeast"/>
        <w:ind w:firstLine="480" w:firstLineChars="200"/>
        <w:contextualSpacing/>
        <w:jc w:val="left"/>
        <w:textAlignment w:val="auto"/>
        <w:rPr>
          <w:rFonts w:hint="eastAsia" w:ascii="宋体" w:hAnsi="宋体" w:eastAsia="宋体" w:cs="宋体"/>
          <w:b w:val="0"/>
          <w:bCs w:val="0"/>
          <w:sz w:val="24"/>
          <w:szCs w:val="24"/>
          <w:u w:val="single"/>
        </w:rPr>
      </w:pPr>
      <w:r>
        <w:rPr>
          <w:rFonts w:hint="eastAsia" w:ascii="宋体" w:hAnsi="宋体" w:eastAsia="宋体" w:cs="宋体"/>
          <w:color w:val="000000"/>
          <w:sz w:val="24"/>
          <w:szCs w:val="24"/>
        </w:rPr>
        <w:t>5.1.3工程质量方面的处罚规定：</w:t>
      </w:r>
      <w:r>
        <w:rPr>
          <w:rFonts w:hint="eastAsia" w:ascii="宋体" w:hAnsi="宋体" w:eastAsia="宋体" w:cs="宋体"/>
          <w:b/>
          <w:bCs/>
          <w:sz w:val="24"/>
          <w:szCs w:val="24"/>
          <w:u w:val="single"/>
        </w:rPr>
        <w:t>工程一次性验收合格，若达不到一次性验收合格，除承担返工费用外，按合同总价的</w:t>
      </w:r>
      <w:r>
        <w:rPr>
          <w:rFonts w:hint="eastAsia" w:ascii="宋体" w:hAnsi="宋体" w:eastAsia="宋体" w:cs="宋体"/>
          <w:b/>
          <w:bCs/>
          <w:sz w:val="24"/>
          <w:szCs w:val="24"/>
          <w:u w:val="single"/>
          <w:lang w:val="en-US" w:eastAsia="zh-CN"/>
        </w:rPr>
        <w:t>3</w:t>
      </w:r>
      <w:r>
        <w:rPr>
          <w:rFonts w:hint="eastAsia" w:ascii="宋体" w:hAnsi="宋体" w:eastAsia="宋体" w:cs="宋体"/>
          <w:b/>
          <w:bCs/>
          <w:sz w:val="24"/>
          <w:szCs w:val="24"/>
          <w:u w:val="single"/>
        </w:rPr>
        <w:t>%进行罚款。</w:t>
      </w:r>
    </w:p>
    <w:p w14:paraId="019B3FC8">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528" w:name="_Toc4494153"/>
      <w:bookmarkStart w:id="529" w:name="_Toc528826782"/>
      <w:r>
        <w:rPr>
          <w:rFonts w:hint="eastAsia" w:ascii="宋体" w:hAnsi="宋体" w:eastAsia="宋体" w:cs="宋体"/>
          <w:b w:val="0"/>
          <w:color w:val="000000"/>
          <w:sz w:val="24"/>
          <w:szCs w:val="24"/>
        </w:rPr>
        <w:t>5.3 隐蔽工程检查</w:t>
      </w:r>
      <w:bookmarkEnd w:id="528"/>
      <w:bookmarkEnd w:id="529"/>
    </w:p>
    <w:p w14:paraId="36B05AC5">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5.3.2承包人提前通知监理人隐蔽工程检查的期限的约定：</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68AF9055">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监理人不能按时进行检查时，应提前</w:t>
      </w:r>
      <w:r>
        <w:rPr>
          <w:rFonts w:hint="eastAsia" w:ascii="宋体" w:hAnsi="宋体" w:eastAsia="宋体" w:cs="宋体"/>
          <w:color w:val="000000"/>
          <w:sz w:val="24"/>
          <w:szCs w:val="24"/>
          <w:u w:val="single"/>
        </w:rPr>
        <w:t></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rPr>
        <w:t>小时提交书面延期要求。</w:t>
      </w:r>
    </w:p>
    <w:p w14:paraId="4DB160DE">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关于延期最长不得超过：</w:t>
      </w:r>
      <w:r>
        <w:rPr>
          <w:rFonts w:hint="eastAsia" w:ascii="宋体" w:hAnsi="宋体" w:eastAsia="宋体" w:cs="宋体"/>
          <w:color w:val="000000"/>
          <w:sz w:val="24"/>
          <w:szCs w:val="24"/>
          <w:u w:val="single"/>
        </w:rPr>
        <w:t></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rPr>
        <w:t>小时</w:t>
      </w:r>
      <w:r>
        <w:rPr>
          <w:rFonts w:hint="eastAsia" w:ascii="宋体" w:hAnsi="宋体" w:eastAsia="宋体" w:cs="宋体"/>
          <w:color w:val="000000"/>
          <w:sz w:val="24"/>
          <w:szCs w:val="24"/>
          <w:lang w:eastAsia="zh-CN"/>
        </w:rPr>
        <w:t>。</w:t>
      </w:r>
    </w:p>
    <w:p w14:paraId="712ACA6D">
      <w:pPr>
        <w:pStyle w:val="5"/>
        <w:pageBreakBefore w:val="0"/>
        <w:numPr>
          <w:ilvl w:val="3"/>
          <w:numId w:val="0"/>
        </w:numPr>
        <w:kinsoku/>
        <w:wordWrap/>
        <w:overflowPunct/>
        <w:topLinePunct w:val="0"/>
        <w:bidi w:val="0"/>
        <w:snapToGrid/>
        <w:spacing w:before="0" w:after="0" w:line="440" w:lineRule="atLeast"/>
        <w:contextualSpacing/>
        <w:textAlignment w:val="auto"/>
        <w:rPr>
          <w:rFonts w:hint="eastAsia" w:ascii="宋体" w:hAnsi="宋体" w:eastAsia="宋体" w:cs="宋体"/>
          <w:b w:val="0"/>
          <w:color w:val="000000"/>
          <w:sz w:val="24"/>
          <w:szCs w:val="24"/>
        </w:rPr>
      </w:pPr>
      <w:bookmarkStart w:id="530" w:name="_Toc4494154"/>
      <w:bookmarkStart w:id="531" w:name="_Toc528826783"/>
      <w:r>
        <w:rPr>
          <w:rFonts w:hint="eastAsia" w:ascii="宋体" w:hAnsi="宋体" w:eastAsia="宋体" w:cs="宋体"/>
          <w:b w:val="0"/>
          <w:color w:val="000000"/>
          <w:sz w:val="24"/>
          <w:szCs w:val="24"/>
        </w:rPr>
        <w:t>6. 安全文明施工与环境保护</w:t>
      </w:r>
      <w:bookmarkEnd w:id="530"/>
      <w:bookmarkEnd w:id="531"/>
    </w:p>
    <w:p w14:paraId="73E8FD98">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532" w:name="_Toc4494155"/>
      <w:bookmarkStart w:id="533" w:name="_Toc528826784"/>
      <w:r>
        <w:rPr>
          <w:rFonts w:hint="eastAsia" w:ascii="宋体" w:hAnsi="宋体" w:eastAsia="宋体" w:cs="宋体"/>
          <w:b w:val="0"/>
          <w:color w:val="000000"/>
          <w:sz w:val="24"/>
          <w:szCs w:val="24"/>
        </w:rPr>
        <w:t>6.1安全文明施工</w:t>
      </w:r>
      <w:bookmarkEnd w:id="532"/>
      <w:bookmarkEnd w:id="533"/>
    </w:p>
    <w:p w14:paraId="34A42F5F">
      <w:pPr>
        <w:pStyle w:val="12"/>
        <w:pageBreakBefore w:val="0"/>
        <w:kinsoku/>
        <w:wordWrap/>
        <w:overflowPunct/>
        <w:topLinePunct w:val="0"/>
        <w:bidi w:val="0"/>
        <w:adjustRightInd w:val="0"/>
        <w:snapToGrid/>
        <w:spacing w:line="440" w:lineRule="atLeast"/>
        <w:ind w:firstLine="420"/>
        <w:contextualSpacing/>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6.1.1 项目安全生产的达标目标及相应事项的约定：</w:t>
      </w:r>
      <w:r>
        <w:rPr>
          <w:rFonts w:hint="eastAsia" w:ascii="宋体" w:hAnsi="宋体" w:eastAsia="宋体" w:cs="宋体"/>
          <w:b/>
          <w:bCs/>
          <w:color w:val="000000"/>
          <w:sz w:val="24"/>
          <w:szCs w:val="24"/>
          <w:u w:val="single"/>
        </w:rPr>
        <w:t>杜绝一切安全事故隐患，若发生安全事故，由承包人负责，并承担由此造成的一切损失</w:t>
      </w:r>
      <w:r>
        <w:rPr>
          <w:rFonts w:hint="eastAsia" w:ascii="宋体" w:hAnsi="宋体" w:eastAsia="宋体" w:cs="宋体"/>
          <w:b/>
          <w:bCs/>
          <w:color w:val="000000"/>
          <w:sz w:val="24"/>
          <w:szCs w:val="24"/>
        </w:rPr>
        <w:t>。</w:t>
      </w:r>
    </w:p>
    <w:p w14:paraId="4B03BBFF">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6.1.4 关于治安保卫的特别约定：</w:t>
      </w:r>
      <w:r>
        <w:rPr>
          <w:rFonts w:hint="eastAsia" w:ascii="宋体" w:hAnsi="宋体" w:eastAsia="宋体" w:cs="宋体"/>
          <w:b/>
          <w:bCs/>
          <w:color w:val="000000"/>
          <w:sz w:val="24"/>
          <w:szCs w:val="24"/>
          <w:u w:val="single"/>
        </w:rPr>
        <w:t>承包人负责建立现场治安管理机构或联防组织，统一管理施工场地的治安保卫事项，相应的费用由承包人承担</w:t>
      </w:r>
      <w:r>
        <w:rPr>
          <w:rFonts w:hint="eastAsia" w:ascii="宋体" w:hAnsi="宋体" w:eastAsia="宋体" w:cs="宋体"/>
          <w:b/>
          <w:bCs/>
          <w:color w:val="000000"/>
          <w:sz w:val="24"/>
          <w:szCs w:val="24"/>
        </w:rPr>
        <w:t>。</w:t>
      </w:r>
    </w:p>
    <w:p w14:paraId="61FCB2CE">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关于编制施工场地治安管理计划的约定：</w:t>
      </w:r>
      <w:r>
        <w:rPr>
          <w:rFonts w:hint="eastAsia" w:ascii="宋体" w:hAnsi="宋体" w:eastAsia="宋体" w:cs="宋体"/>
          <w:b/>
          <w:bCs/>
          <w:color w:val="000000"/>
          <w:sz w:val="24"/>
          <w:szCs w:val="24"/>
          <w:u w:val="single"/>
          <w:lang w:val="en-US" w:eastAsia="zh-CN"/>
        </w:rPr>
        <w:t xml:space="preserve">                           </w:t>
      </w:r>
    </w:p>
    <w:p w14:paraId="22FE4CB7">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6.1.5 文明施工</w:t>
      </w:r>
    </w:p>
    <w:p w14:paraId="4253BA23">
      <w:pPr>
        <w:pStyle w:val="16"/>
        <w:pageBreakBefore w:val="0"/>
        <w:kinsoku/>
        <w:wordWrap/>
        <w:overflowPunct/>
        <w:topLinePunct w:val="0"/>
        <w:bidi w:val="0"/>
        <w:snapToGrid/>
        <w:spacing w:line="440" w:lineRule="atLeast"/>
        <w:ind w:left="0" w:leftChars="0" w:firstLine="480" w:firstLineChars="200"/>
        <w:contextualSpacing/>
        <w:jc w:val="left"/>
        <w:textAlignment w:val="auto"/>
        <w:rPr>
          <w:rFonts w:hint="eastAsia" w:ascii="宋体" w:hAnsi="宋体" w:eastAsia="宋体" w:cs="宋体"/>
          <w:b w:val="0"/>
          <w:bCs w:val="0"/>
          <w:sz w:val="24"/>
          <w:szCs w:val="24"/>
          <w:u w:val="single"/>
        </w:rPr>
      </w:pPr>
      <w:r>
        <w:rPr>
          <w:rFonts w:hint="eastAsia" w:ascii="宋体" w:hAnsi="宋体" w:eastAsia="宋体" w:cs="宋体"/>
          <w:sz w:val="24"/>
          <w:szCs w:val="24"/>
        </w:rPr>
        <w:t>合同当事人对文明施工的要求：</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6C8AB08B">
      <w:pPr>
        <w:pageBreakBefore w:val="0"/>
        <w:kinsoku/>
        <w:wordWrap/>
        <w:overflowPunct/>
        <w:topLinePunct w:val="0"/>
        <w:autoSpaceDE w:val="0"/>
        <w:autoSpaceDN w:val="0"/>
        <w:bidi w:val="0"/>
        <w:adjustRightInd w:val="0"/>
        <w:snapToGrid/>
        <w:spacing w:line="440" w:lineRule="atLeast"/>
        <w:ind w:firstLine="480" w:firstLineChars="200"/>
        <w:contextualSpacing/>
        <w:jc w:val="left"/>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6.1.6 关于安全文明施工费支付比例和支付期限的约定：</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14C7261C">
      <w:pPr>
        <w:pageBreakBefore w:val="0"/>
        <w:kinsoku/>
        <w:wordWrap/>
        <w:overflowPunct/>
        <w:topLinePunct w:val="0"/>
        <w:autoSpaceDE w:val="0"/>
        <w:autoSpaceDN w:val="0"/>
        <w:bidi w:val="0"/>
        <w:adjustRightInd w:val="0"/>
        <w:snapToGrid/>
        <w:spacing w:line="440" w:lineRule="atLeast"/>
        <w:ind w:firstLine="480" w:firstLineChars="200"/>
        <w:contextualSpacing/>
        <w:jc w:val="left"/>
        <w:textAlignment w:val="auto"/>
        <w:rPr>
          <w:rFonts w:hint="eastAsia" w:ascii="宋体" w:hAnsi="宋体" w:eastAsia="宋体" w:cs="宋体"/>
          <w:b/>
          <w:bCs/>
          <w:color w:val="000000"/>
          <w:sz w:val="24"/>
          <w:szCs w:val="24"/>
          <w:u w:val="single"/>
        </w:rPr>
      </w:pPr>
      <w:r>
        <w:rPr>
          <w:rFonts w:hint="eastAsia" w:ascii="宋体" w:hAnsi="宋体" w:eastAsia="宋体" w:cs="宋体"/>
          <w:color w:val="000000"/>
          <w:kern w:val="0"/>
          <w:sz w:val="24"/>
          <w:szCs w:val="24"/>
        </w:rPr>
        <w:t>6.1.7</w:t>
      </w:r>
      <w:r>
        <w:rPr>
          <w:rFonts w:hint="eastAsia" w:ascii="宋体" w:hAnsi="宋体" w:eastAsia="宋体" w:cs="宋体"/>
          <w:b w:val="0"/>
          <w:bCs w:val="0"/>
          <w:color w:val="000000"/>
          <w:kern w:val="0"/>
          <w:sz w:val="24"/>
          <w:szCs w:val="24"/>
        </w:rPr>
        <w:t>紧急情况处理：</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58628DA8">
      <w:pPr>
        <w:pageBreakBefore w:val="0"/>
        <w:kinsoku/>
        <w:wordWrap/>
        <w:overflowPunct/>
        <w:topLinePunct w:val="0"/>
        <w:autoSpaceDE w:val="0"/>
        <w:autoSpaceDN w:val="0"/>
        <w:bidi w:val="0"/>
        <w:adjustRightInd w:val="0"/>
        <w:snapToGrid/>
        <w:spacing w:line="440" w:lineRule="atLeast"/>
        <w:ind w:firstLine="480" w:firstLineChars="200"/>
        <w:contextualSpacing/>
        <w:jc w:val="left"/>
        <w:textAlignment w:val="auto"/>
        <w:rPr>
          <w:rFonts w:hint="eastAsia" w:ascii="宋体" w:hAnsi="宋体" w:eastAsia="宋体" w:cs="宋体"/>
          <w:b/>
          <w:bCs/>
          <w:color w:val="000000"/>
          <w:kern w:val="0"/>
          <w:sz w:val="24"/>
          <w:szCs w:val="24"/>
          <w:u w:val="single"/>
        </w:rPr>
      </w:pPr>
      <w:r>
        <w:rPr>
          <w:rFonts w:hint="eastAsia" w:ascii="宋体" w:hAnsi="宋体" w:eastAsia="宋体" w:cs="宋体"/>
          <w:color w:val="000000"/>
          <w:sz w:val="24"/>
          <w:szCs w:val="24"/>
        </w:rPr>
        <w:t>6.1.8</w:t>
      </w:r>
      <w:r>
        <w:rPr>
          <w:rFonts w:hint="eastAsia" w:ascii="宋体" w:hAnsi="宋体" w:eastAsia="宋体" w:cs="宋体"/>
          <w:b w:val="0"/>
          <w:bCs w:val="0"/>
          <w:color w:val="000000"/>
          <w:sz w:val="24"/>
          <w:szCs w:val="24"/>
        </w:rPr>
        <w:t>事故处理：</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18356ADA">
      <w:pPr>
        <w:pStyle w:val="9"/>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b w:val="0"/>
          <w:bCs w:val="0"/>
          <w:sz w:val="24"/>
          <w:szCs w:val="24"/>
          <w:u w:val="single"/>
          <w:lang w:eastAsia="zh-CN"/>
        </w:rPr>
      </w:pPr>
      <w:r>
        <w:rPr>
          <w:rFonts w:hint="eastAsia" w:ascii="宋体" w:hAnsi="宋体" w:eastAsia="宋体" w:cs="宋体"/>
          <w:b w:val="0"/>
          <w:bCs/>
          <w:kern w:val="0"/>
          <w:sz w:val="24"/>
          <w:szCs w:val="24"/>
        </w:rPr>
        <w:t>6.1.9.2承包人的安全责任</w:t>
      </w:r>
      <w:r>
        <w:rPr>
          <w:rFonts w:hint="eastAsia" w:ascii="宋体" w:hAnsi="宋体" w:eastAsia="宋体" w:cs="宋体"/>
          <w:b w:val="0"/>
          <w:bCs/>
          <w:kern w:val="0"/>
          <w:sz w:val="24"/>
          <w:szCs w:val="24"/>
          <w:lang w:eastAsia="zh-CN"/>
        </w:rPr>
        <w:t>：</w:t>
      </w:r>
      <w:r>
        <w:rPr>
          <w:rFonts w:hint="eastAsia" w:ascii="宋体" w:hAnsi="宋体" w:eastAsia="宋体" w:cs="宋体"/>
          <w:b w:val="0"/>
          <w:bCs w:val="0"/>
          <w:sz w:val="24"/>
          <w:szCs w:val="24"/>
          <w:u w:val="none"/>
        </w:rPr>
        <w:t>除按通用条款执行外，承包人因自身原因造成的重大安全事故(含工程质量事故)的，按国家规定由行政主管部门处罚</w:t>
      </w:r>
      <w:r>
        <w:rPr>
          <w:rFonts w:hint="eastAsia" w:ascii="宋体" w:hAnsi="宋体" w:eastAsia="宋体" w:cs="宋体"/>
          <w:b w:val="0"/>
          <w:bCs w:val="0"/>
          <w:sz w:val="24"/>
          <w:szCs w:val="24"/>
          <w:u w:val="none"/>
          <w:lang w:eastAsia="zh-CN"/>
        </w:rPr>
        <w:t>。</w:t>
      </w:r>
    </w:p>
    <w:bookmarkEnd w:id="521"/>
    <w:bookmarkEnd w:id="522"/>
    <w:bookmarkEnd w:id="523"/>
    <w:bookmarkEnd w:id="524"/>
    <w:bookmarkEnd w:id="525"/>
    <w:bookmarkEnd w:id="526"/>
    <w:bookmarkEnd w:id="527"/>
    <w:p w14:paraId="339B258F">
      <w:pPr>
        <w:pStyle w:val="5"/>
        <w:pageBreakBefore w:val="0"/>
        <w:numPr>
          <w:ilvl w:val="3"/>
          <w:numId w:val="0"/>
        </w:numPr>
        <w:kinsoku/>
        <w:wordWrap/>
        <w:overflowPunct/>
        <w:topLinePunct w:val="0"/>
        <w:bidi w:val="0"/>
        <w:snapToGrid/>
        <w:spacing w:before="0" w:after="0" w:line="440" w:lineRule="atLeast"/>
        <w:contextualSpacing/>
        <w:textAlignment w:val="auto"/>
        <w:rPr>
          <w:rFonts w:hint="eastAsia" w:ascii="宋体" w:hAnsi="宋体" w:eastAsia="宋体" w:cs="宋体"/>
          <w:b w:val="0"/>
          <w:color w:val="000000"/>
          <w:sz w:val="24"/>
          <w:szCs w:val="24"/>
        </w:rPr>
      </w:pPr>
      <w:bookmarkStart w:id="534" w:name="_Toc4494156"/>
      <w:bookmarkStart w:id="535" w:name="_Toc528826785"/>
      <w:r>
        <w:rPr>
          <w:rFonts w:hint="eastAsia" w:ascii="宋体" w:hAnsi="宋体" w:eastAsia="宋体" w:cs="宋体"/>
          <w:b w:val="0"/>
          <w:color w:val="000000"/>
          <w:sz w:val="24"/>
          <w:szCs w:val="24"/>
        </w:rPr>
        <w:t>7. 工期和进度</w:t>
      </w:r>
      <w:bookmarkEnd w:id="534"/>
      <w:bookmarkEnd w:id="535"/>
    </w:p>
    <w:p w14:paraId="293802C2">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536" w:name="_Toc4494157"/>
      <w:bookmarkStart w:id="537" w:name="_Toc528826786"/>
      <w:r>
        <w:rPr>
          <w:rFonts w:hint="eastAsia" w:ascii="宋体" w:hAnsi="宋体" w:eastAsia="宋体" w:cs="宋体"/>
          <w:b w:val="0"/>
          <w:color w:val="000000"/>
          <w:sz w:val="24"/>
          <w:szCs w:val="24"/>
        </w:rPr>
        <w:t>7.1 施工组织设计</w:t>
      </w:r>
      <w:bookmarkEnd w:id="536"/>
      <w:bookmarkEnd w:id="537"/>
    </w:p>
    <w:p w14:paraId="0F23561A">
      <w:pPr>
        <w:pageBreakBefore w:val="0"/>
        <w:kinsoku/>
        <w:wordWrap/>
        <w:overflowPunct/>
        <w:topLinePunct w:val="0"/>
        <w:autoSpaceDE w:val="0"/>
        <w:autoSpaceDN w:val="0"/>
        <w:bidi w:val="0"/>
        <w:adjustRightInd w:val="0"/>
        <w:snapToGrid/>
        <w:spacing w:line="440" w:lineRule="atLeast"/>
        <w:ind w:firstLine="480" w:firstLineChars="200"/>
        <w:contextualSpacing/>
        <w:jc w:val="left"/>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7.1.1 合</w:t>
      </w:r>
      <w:r>
        <w:rPr>
          <w:rFonts w:hint="eastAsia" w:ascii="宋体" w:hAnsi="宋体" w:eastAsia="宋体" w:cs="宋体"/>
          <w:color w:val="000000"/>
          <w:kern w:val="0"/>
          <w:sz w:val="24"/>
          <w:szCs w:val="24"/>
        </w:rPr>
        <w:t>同当事人约定的施工组织设计应包括的其他内容：</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4A621C44">
      <w:pPr>
        <w:pageBreakBefore w:val="0"/>
        <w:kinsoku/>
        <w:wordWrap/>
        <w:overflowPunct/>
        <w:topLinePunct w:val="0"/>
        <w:autoSpaceDE w:val="0"/>
        <w:autoSpaceDN w:val="0"/>
        <w:bidi w:val="0"/>
        <w:adjustRightInd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sz w:val="24"/>
          <w:szCs w:val="24"/>
        </w:rPr>
        <w:t xml:space="preserve">7.1.2 </w:t>
      </w:r>
      <w:r>
        <w:rPr>
          <w:rFonts w:hint="eastAsia" w:ascii="宋体" w:hAnsi="宋体" w:eastAsia="宋体" w:cs="宋体"/>
          <w:color w:val="000000"/>
          <w:kern w:val="0"/>
          <w:sz w:val="24"/>
          <w:szCs w:val="24"/>
        </w:rPr>
        <w:t>施工组织设计的提交和修改</w:t>
      </w:r>
      <w:r>
        <w:rPr>
          <w:rFonts w:hint="eastAsia" w:ascii="宋体" w:hAnsi="宋体" w:eastAsia="宋体" w:cs="宋体"/>
          <w:color w:val="000000"/>
          <w:kern w:val="0"/>
          <w:sz w:val="24"/>
          <w:szCs w:val="24"/>
          <w:lang w:val="en-US" w:eastAsia="zh-CN"/>
        </w:rPr>
        <w:t xml:space="preserve"> </w:t>
      </w:r>
    </w:p>
    <w:p w14:paraId="2CC18394">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承包人提交详细施工组织设计的期限的约定：</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1874A313">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发包人和监理人在收到详细的施工组织设计后确认或提出修改意见的期限：</w:t>
      </w:r>
      <w:r>
        <w:rPr>
          <w:rFonts w:hint="eastAsia" w:ascii="宋体" w:hAnsi="宋体" w:eastAsia="宋体" w:cs="宋体"/>
          <w:color w:val="000000"/>
          <w:sz w:val="24"/>
          <w:szCs w:val="24"/>
          <w:u w:val="single"/>
        </w:rPr>
        <w:t></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0C616540">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538" w:name="_Toc4494158"/>
      <w:bookmarkStart w:id="539" w:name="_Toc528826787"/>
      <w:r>
        <w:rPr>
          <w:rFonts w:hint="eastAsia" w:ascii="宋体" w:hAnsi="宋体" w:eastAsia="宋体" w:cs="宋体"/>
          <w:b w:val="0"/>
          <w:color w:val="000000"/>
          <w:sz w:val="24"/>
          <w:szCs w:val="24"/>
        </w:rPr>
        <w:t>7</w:t>
      </w:r>
      <w:bookmarkStart w:id="540" w:name="_Toc312677479"/>
      <w:bookmarkStart w:id="541" w:name="_Toc312678005"/>
      <w:bookmarkStart w:id="542" w:name="_Toc297216173"/>
      <w:bookmarkStart w:id="543" w:name="_Toc300934966"/>
      <w:bookmarkStart w:id="544" w:name="_Toc303539123"/>
      <w:bookmarkStart w:id="545" w:name="_Toc304295541"/>
      <w:bookmarkStart w:id="546" w:name="_Toc297123514"/>
      <w:r>
        <w:rPr>
          <w:rFonts w:hint="eastAsia" w:ascii="宋体" w:hAnsi="宋体" w:eastAsia="宋体" w:cs="宋体"/>
          <w:b w:val="0"/>
          <w:color w:val="000000"/>
          <w:sz w:val="24"/>
          <w:szCs w:val="24"/>
        </w:rPr>
        <w:t>.2 施工进度计划</w:t>
      </w:r>
      <w:bookmarkEnd w:id="538"/>
      <w:bookmarkEnd w:id="539"/>
    </w:p>
    <w:p w14:paraId="4141B2BE">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7.2.1施工进度计划的编制</w:t>
      </w:r>
      <w:r>
        <w:rPr>
          <w:rFonts w:hint="eastAsia" w:ascii="宋体" w:hAnsi="宋体" w:eastAsia="宋体" w:cs="宋体"/>
          <w:color w:val="000000"/>
          <w:sz w:val="24"/>
          <w:szCs w:val="24"/>
          <w:lang w:eastAsia="zh-CN"/>
        </w:rPr>
        <w:t>：</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75D55D96">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7.2.2 施工进度计划的修订</w:t>
      </w:r>
      <w:r>
        <w:rPr>
          <w:rFonts w:hint="eastAsia" w:ascii="宋体" w:hAnsi="宋体" w:eastAsia="宋体" w:cs="宋体"/>
          <w:color w:val="000000"/>
          <w:sz w:val="24"/>
          <w:szCs w:val="24"/>
          <w:lang w:eastAsia="zh-CN"/>
        </w:rPr>
        <w:t>：</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479B522B">
      <w:pPr>
        <w:pStyle w:val="70"/>
        <w:pageBreakBefore w:val="0"/>
        <w:kinsoku/>
        <w:wordWrap/>
        <w:overflowPunct/>
        <w:topLinePunct w:val="0"/>
        <w:bidi w:val="0"/>
        <w:snapToGrid/>
        <w:spacing w:after="0" w:line="440" w:lineRule="atLeast"/>
        <w:ind w:firstLine="472" w:firstLineChars="197"/>
        <w:contextualSpacing/>
        <w:textAlignment w:val="auto"/>
        <w:rPr>
          <w:rFonts w:hint="eastAsia" w:ascii="宋体" w:hAnsi="宋体" w:eastAsia="宋体" w:cs="宋体"/>
          <w:b/>
          <w:bCs/>
          <w:color w:val="000000"/>
          <w:kern w:val="2"/>
          <w:sz w:val="24"/>
          <w:szCs w:val="24"/>
          <w:u w:val="single"/>
        </w:rPr>
      </w:pPr>
      <w:r>
        <w:rPr>
          <w:rFonts w:hint="eastAsia" w:ascii="宋体" w:hAnsi="宋体" w:eastAsia="宋体" w:cs="宋体"/>
          <w:color w:val="000000"/>
          <w:sz w:val="24"/>
          <w:szCs w:val="24"/>
        </w:rPr>
        <w:t>发包人和监理人在收到修订的施工进度计划后确认或提出修改意见的期限：</w:t>
      </w:r>
      <w:r>
        <w:rPr>
          <w:rFonts w:hint="eastAsia" w:ascii="宋体" w:hAnsi="宋体" w:eastAsia="宋体" w:cs="宋体"/>
          <w:color w:val="000000"/>
          <w:sz w:val="24"/>
          <w:szCs w:val="24"/>
          <w:u w:val="single"/>
        </w:rPr>
        <w:t></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32C52C79">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547" w:name="_Toc528826788"/>
      <w:bookmarkStart w:id="548" w:name="_Toc4494159"/>
      <w:r>
        <w:rPr>
          <w:rFonts w:hint="eastAsia" w:ascii="宋体" w:hAnsi="宋体" w:eastAsia="宋体" w:cs="宋体"/>
          <w:b w:val="0"/>
          <w:color w:val="000000"/>
          <w:sz w:val="24"/>
          <w:szCs w:val="24"/>
        </w:rPr>
        <w:t>7.3 开工</w:t>
      </w:r>
      <w:bookmarkEnd w:id="547"/>
      <w:bookmarkEnd w:id="548"/>
    </w:p>
    <w:p w14:paraId="2BE747B1">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7.3.1 开工准备</w:t>
      </w:r>
    </w:p>
    <w:p w14:paraId="7D1C1CBC">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关于承包人提交</w:t>
      </w:r>
      <w:r>
        <w:rPr>
          <w:rFonts w:hint="eastAsia" w:ascii="宋体" w:hAnsi="宋体" w:eastAsia="宋体" w:cs="宋体"/>
          <w:color w:val="000000"/>
          <w:kern w:val="0"/>
          <w:sz w:val="24"/>
          <w:szCs w:val="24"/>
        </w:rPr>
        <w:t>工程开工报审表的期限：</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703D30E4">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关于发包人应完成的其他开工准备工作及期限： </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3AC37016">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u w:val="single"/>
          <w:lang w:val="en-US" w:eastAsia="zh-CN"/>
        </w:rPr>
      </w:pPr>
      <w:r>
        <w:rPr>
          <w:rFonts w:hint="eastAsia" w:ascii="宋体" w:hAnsi="宋体" w:eastAsia="宋体" w:cs="宋体"/>
          <w:color w:val="000000"/>
          <w:sz w:val="24"/>
          <w:szCs w:val="24"/>
        </w:rPr>
        <w:t>关于承包人应完成的其他开工准备工作及期限：</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11787F1A">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7.3.2开工通知</w:t>
      </w:r>
    </w:p>
    <w:p w14:paraId="62519B2A">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因发包人原因造成监理人未能在计划开工日期之日起</w:t>
      </w:r>
      <w:r>
        <w:rPr>
          <w:rFonts w:hint="eastAsia" w:ascii="宋体" w:hAnsi="宋体" w:eastAsia="宋体" w:cs="宋体"/>
          <w:b/>
          <w:bCs/>
          <w:color w:val="000000"/>
          <w:sz w:val="24"/>
          <w:szCs w:val="24"/>
          <w:u w:val="single"/>
        </w:rPr>
        <w:t>双方协商解决</w:t>
      </w:r>
      <w:r>
        <w:rPr>
          <w:rFonts w:hint="eastAsia" w:ascii="宋体" w:hAnsi="宋体" w:eastAsia="宋体" w:cs="宋体"/>
          <w:color w:val="000000"/>
          <w:sz w:val="24"/>
          <w:szCs w:val="24"/>
        </w:rPr>
        <w:t>天内发出开工通知的，承包人有权提出价格调整要求，或者解除合同。</w:t>
      </w:r>
    </w:p>
    <w:bookmarkEnd w:id="540"/>
    <w:bookmarkEnd w:id="541"/>
    <w:bookmarkEnd w:id="542"/>
    <w:bookmarkEnd w:id="543"/>
    <w:bookmarkEnd w:id="544"/>
    <w:bookmarkEnd w:id="545"/>
    <w:bookmarkEnd w:id="546"/>
    <w:p w14:paraId="364B6AE3">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549" w:name="_Toc528826789"/>
      <w:bookmarkStart w:id="550" w:name="_Toc4494160"/>
      <w:r>
        <w:rPr>
          <w:rFonts w:hint="eastAsia" w:ascii="宋体" w:hAnsi="宋体" w:eastAsia="宋体" w:cs="宋体"/>
          <w:b w:val="0"/>
          <w:color w:val="000000"/>
          <w:sz w:val="24"/>
          <w:szCs w:val="24"/>
        </w:rPr>
        <w:t>7.4 测量放线</w:t>
      </w:r>
      <w:bookmarkEnd w:id="549"/>
      <w:bookmarkEnd w:id="550"/>
    </w:p>
    <w:p w14:paraId="134293FE">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7.4.1发包人通过监理人向承包人提供测量基准点、基准线和水准点及其书面资料的期限：</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63FFFDF4">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551" w:name="_Toc4494161"/>
      <w:bookmarkStart w:id="552" w:name="_Toc528826790"/>
      <w:r>
        <w:rPr>
          <w:rFonts w:hint="eastAsia" w:ascii="宋体" w:hAnsi="宋体" w:eastAsia="宋体" w:cs="宋体"/>
          <w:b w:val="0"/>
          <w:color w:val="000000"/>
          <w:sz w:val="24"/>
          <w:szCs w:val="24"/>
        </w:rPr>
        <w:t>7</w:t>
      </w:r>
      <w:bookmarkStart w:id="553" w:name="_Toc303539125"/>
      <w:bookmarkStart w:id="554" w:name="_Toc297216175"/>
      <w:bookmarkStart w:id="555" w:name="_Toc312677484"/>
      <w:bookmarkStart w:id="556" w:name="_Toc297123516"/>
      <w:bookmarkStart w:id="557" w:name="_Toc304295546"/>
      <w:bookmarkStart w:id="558" w:name="_Toc312678010"/>
      <w:bookmarkStart w:id="559" w:name="_Toc300934968"/>
      <w:r>
        <w:rPr>
          <w:rFonts w:hint="eastAsia" w:ascii="宋体" w:hAnsi="宋体" w:eastAsia="宋体" w:cs="宋体"/>
          <w:b w:val="0"/>
          <w:color w:val="000000"/>
          <w:sz w:val="24"/>
          <w:szCs w:val="24"/>
        </w:rPr>
        <w:t>.5 工期延误</w:t>
      </w:r>
      <w:bookmarkEnd w:id="551"/>
      <w:bookmarkEnd w:id="552"/>
    </w:p>
    <w:p w14:paraId="7FF4DA4B">
      <w:pPr>
        <w:pageBreakBefore w:val="0"/>
        <w:kinsoku/>
        <w:wordWrap/>
        <w:overflowPunct/>
        <w:topLinePunct w:val="0"/>
        <w:bidi w:val="0"/>
        <w:snapToGrid/>
        <w:spacing w:line="440" w:lineRule="atLeast"/>
        <w:ind w:firstLine="482" w:firstLineChars="200"/>
        <w:contextualSpacing/>
        <w:jc w:val="left"/>
        <w:textAlignment w:val="auto"/>
        <w:rPr>
          <w:rFonts w:hint="eastAsia" w:ascii="宋体" w:hAnsi="宋体" w:eastAsia="宋体" w:cs="宋体"/>
          <w:b/>
          <w:bCs/>
          <w:color w:val="000000"/>
          <w:sz w:val="24"/>
          <w:szCs w:val="24"/>
          <w:u w:val="single"/>
        </w:rPr>
      </w:pPr>
      <w:r>
        <w:rPr>
          <w:rFonts w:hint="eastAsia" w:ascii="宋体" w:hAnsi="宋体" w:eastAsia="宋体" w:cs="宋体"/>
          <w:b/>
          <w:bCs/>
          <w:color w:val="000000"/>
          <w:sz w:val="24"/>
          <w:szCs w:val="24"/>
          <w:u w:val="single"/>
        </w:rPr>
        <w:t>本工程约定工期，除经发包人批准或遇到不可抗力外，工期一律不顺延</w:t>
      </w:r>
      <w:r>
        <w:rPr>
          <w:rFonts w:hint="eastAsia" w:ascii="宋体" w:hAnsi="宋体" w:eastAsia="宋体" w:cs="宋体"/>
          <w:b/>
          <w:bCs/>
          <w:color w:val="000000"/>
          <w:sz w:val="24"/>
          <w:szCs w:val="24"/>
        </w:rPr>
        <w:t>。</w:t>
      </w:r>
    </w:p>
    <w:bookmarkEnd w:id="553"/>
    <w:bookmarkEnd w:id="554"/>
    <w:bookmarkEnd w:id="555"/>
    <w:bookmarkEnd w:id="556"/>
    <w:bookmarkEnd w:id="557"/>
    <w:bookmarkEnd w:id="558"/>
    <w:bookmarkEnd w:id="559"/>
    <w:p w14:paraId="55A674FB">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7.5.1 因发包人原因导致工期延误</w:t>
      </w:r>
    </w:p>
    <w:p w14:paraId="7D93CDDE">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（7）因发包人原因导致工期延误的其他情形：</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34C48803">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w:t>
      </w:r>
      <w:bookmarkStart w:id="560" w:name="_Toc318581169"/>
      <w:bookmarkStart w:id="561" w:name="_Toc312677486"/>
      <w:bookmarkStart w:id="562" w:name="_Toc312678012"/>
      <w:bookmarkStart w:id="563" w:name="_Toc297123518"/>
      <w:bookmarkStart w:id="564" w:name="_Toc304295548"/>
      <w:bookmarkStart w:id="565" w:name="_Toc303539127"/>
      <w:bookmarkStart w:id="566" w:name="_Toc297216177"/>
      <w:bookmarkStart w:id="567" w:name="_Toc300934970"/>
      <w:r>
        <w:rPr>
          <w:rFonts w:hint="eastAsia" w:ascii="宋体" w:hAnsi="宋体" w:eastAsia="宋体" w:cs="宋体"/>
          <w:color w:val="000000"/>
          <w:sz w:val="24"/>
          <w:szCs w:val="24"/>
        </w:rPr>
        <w:t>.5.2 因承包人原因导致工期延误</w:t>
      </w:r>
    </w:p>
    <w:bookmarkEnd w:id="560"/>
    <w:bookmarkEnd w:id="561"/>
    <w:bookmarkEnd w:id="562"/>
    <w:p w14:paraId="5AB7AAF0">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cs="宋体"/>
          <w:color w:val="000000"/>
          <w:kern w:val="0"/>
          <w:sz w:val="24"/>
          <w:szCs w:val="24"/>
          <w:u w:val="none"/>
          <w:lang w:val="en-US" w:eastAsia="zh-CN"/>
        </w:rPr>
      </w:pPr>
      <w:r>
        <w:rPr>
          <w:rFonts w:hint="eastAsia" w:ascii="宋体" w:hAnsi="宋体" w:eastAsia="宋体" w:cs="宋体"/>
          <w:color w:val="000000"/>
          <w:sz w:val="24"/>
          <w:szCs w:val="24"/>
        </w:rPr>
        <w:t>因</w:t>
      </w:r>
      <w:bookmarkStart w:id="568" w:name="_Toc312678013"/>
      <w:bookmarkStart w:id="569" w:name="_Toc312677487"/>
      <w:bookmarkStart w:id="570" w:name="_Toc318581170"/>
      <w:r>
        <w:rPr>
          <w:rFonts w:hint="eastAsia" w:ascii="宋体" w:hAnsi="宋体" w:eastAsia="宋体" w:cs="宋体"/>
          <w:color w:val="000000"/>
          <w:sz w:val="24"/>
          <w:szCs w:val="24"/>
        </w:rPr>
        <w:t>承包人原因造成工期延误，逾期竣工违约金的计算方法为：</w:t>
      </w:r>
      <w:bookmarkEnd w:id="563"/>
      <w:bookmarkEnd w:id="564"/>
      <w:bookmarkEnd w:id="565"/>
      <w:bookmarkEnd w:id="566"/>
      <w:bookmarkEnd w:id="567"/>
      <w:bookmarkEnd w:id="568"/>
      <w:bookmarkEnd w:id="569"/>
      <w:bookmarkEnd w:id="570"/>
      <w:bookmarkStart w:id="571" w:name="_Toc318581171"/>
      <w:bookmarkStart w:id="572" w:name="_Toc312678014"/>
      <w:r>
        <w:rPr>
          <w:rFonts w:hint="eastAsia" w:ascii="宋体" w:hAnsi="宋体" w:cs="宋体"/>
          <w:color w:val="000000"/>
          <w:kern w:val="0"/>
          <w:sz w:val="24"/>
          <w:szCs w:val="24"/>
          <w:u w:val="single"/>
          <w:lang w:val="en-US" w:eastAsia="zh-CN"/>
        </w:rPr>
        <w:t xml:space="preserve">              </w:t>
      </w:r>
    </w:p>
    <w:p w14:paraId="5B76E5A9">
      <w:pPr>
        <w:pStyle w:val="27"/>
        <w:rPr>
          <w:rFonts w:hint="default" w:eastAsia="宋体"/>
          <w:sz w:val="24"/>
          <w:szCs w:val="24"/>
          <w:lang w:val="en-US" w:eastAsia="zh-CN"/>
        </w:rPr>
      </w:pPr>
      <w:r>
        <w:rPr>
          <w:rFonts w:hint="eastAsia" w:ascii="宋体" w:hAnsi="宋体" w:eastAsia="宋体" w:cs="宋体"/>
          <w:color w:val="000000"/>
          <w:sz w:val="24"/>
          <w:szCs w:val="24"/>
        </w:rPr>
        <w:t>因承包人原因造成工期延误，逾期竣工违约金的</w:t>
      </w:r>
      <w:r>
        <w:rPr>
          <w:rFonts w:hint="eastAsia" w:cs="宋体"/>
          <w:color w:val="000000"/>
          <w:sz w:val="24"/>
          <w:szCs w:val="24"/>
          <w:lang w:val="en-US" w:eastAsia="zh-CN"/>
        </w:rPr>
        <w:t>上限：</w:t>
      </w:r>
      <w:r>
        <w:rPr>
          <w:rFonts w:hint="eastAsia" w:cs="宋体"/>
          <w:color w:val="000000"/>
          <w:sz w:val="24"/>
          <w:szCs w:val="24"/>
          <w:u w:val="single"/>
          <w:lang w:val="en-US" w:eastAsia="zh-CN"/>
        </w:rPr>
        <w:t xml:space="preserve">                    </w:t>
      </w:r>
    </w:p>
    <w:bookmarkEnd w:id="571"/>
    <w:bookmarkEnd w:id="572"/>
    <w:p w14:paraId="17557046">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573" w:name="_Toc528826791"/>
      <w:bookmarkStart w:id="574" w:name="_Toc4494162"/>
      <w:r>
        <w:rPr>
          <w:rFonts w:hint="eastAsia" w:ascii="宋体" w:hAnsi="宋体" w:eastAsia="宋体" w:cs="宋体"/>
          <w:b w:val="0"/>
          <w:color w:val="000000"/>
          <w:sz w:val="24"/>
          <w:szCs w:val="24"/>
        </w:rPr>
        <w:t>7</w:t>
      </w:r>
      <w:bookmarkStart w:id="575" w:name="_Toc297123519"/>
      <w:bookmarkStart w:id="576" w:name="_Toc304295549"/>
      <w:bookmarkStart w:id="577" w:name="_Toc300934971"/>
      <w:bookmarkStart w:id="578" w:name="_Toc297216178"/>
      <w:bookmarkStart w:id="579" w:name="_Toc303539128"/>
      <w:bookmarkStart w:id="580" w:name="_Toc312678015"/>
      <w:r>
        <w:rPr>
          <w:rFonts w:hint="eastAsia" w:ascii="宋体" w:hAnsi="宋体" w:eastAsia="宋体" w:cs="宋体"/>
          <w:b w:val="0"/>
          <w:color w:val="000000"/>
          <w:sz w:val="24"/>
          <w:szCs w:val="24"/>
        </w:rPr>
        <w:t>.6 不</w:t>
      </w:r>
      <w:bookmarkEnd w:id="575"/>
      <w:bookmarkEnd w:id="576"/>
      <w:bookmarkEnd w:id="577"/>
      <w:bookmarkEnd w:id="578"/>
      <w:bookmarkEnd w:id="579"/>
      <w:bookmarkEnd w:id="580"/>
      <w:r>
        <w:rPr>
          <w:rFonts w:hint="eastAsia" w:ascii="宋体" w:hAnsi="宋体" w:eastAsia="宋体" w:cs="宋体"/>
          <w:b w:val="0"/>
          <w:color w:val="000000"/>
          <w:sz w:val="24"/>
          <w:szCs w:val="24"/>
        </w:rPr>
        <w:t>利物质条件</w:t>
      </w:r>
      <w:bookmarkEnd w:id="573"/>
      <w:bookmarkEnd w:id="574"/>
    </w:p>
    <w:p w14:paraId="51E867E6">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bCs/>
          <w:color w:val="000000"/>
          <w:sz w:val="24"/>
          <w:szCs w:val="24"/>
          <w:u w:val="single"/>
        </w:rPr>
      </w:pPr>
      <w:bookmarkStart w:id="581" w:name="_Toc297123520"/>
      <w:bookmarkStart w:id="582" w:name="_Toc318581172"/>
      <w:bookmarkStart w:id="583" w:name="_Toc300934972"/>
      <w:bookmarkStart w:id="584" w:name="_Toc303539129"/>
      <w:bookmarkStart w:id="585" w:name="_Toc312678016"/>
      <w:bookmarkStart w:id="586" w:name="_Toc304295550"/>
      <w:bookmarkStart w:id="587" w:name="_Toc297216179"/>
      <w:r>
        <w:rPr>
          <w:rFonts w:hint="eastAsia" w:ascii="宋体" w:hAnsi="宋体" w:eastAsia="宋体" w:cs="宋体"/>
          <w:color w:val="000000"/>
          <w:sz w:val="24"/>
          <w:szCs w:val="24"/>
        </w:rPr>
        <w:t>不利物质条件的其他情形和有关约定：</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p>
    <w:bookmarkEnd w:id="581"/>
    <w:bookmarkEnd w:id="582"/>
    <w:bookmarkEnd w:id="583"/>
    <w:bookmarkEnd w:id="584"/>
    <w:bookmarkEnd w:id="585"/>
    <w:bookmarkEnd w:id="586"/>
    <w:bookmarkEnd w:id="587"/>
    <w:p w14:paraId="2B901D26">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bCs/>
          <w:color w:val="000000"/>
          <w:sz w:val="24"/>
          <w:szCs w:val="24"/>
          <w:u w:val="single"/>
        </w:rPr>
      </w:pPr>
      <w:bookmarkStart w:id="588" w:name="_Toc528826792"/>
      <w:bookmarkStart w:id="589" w:name="_Toc4494163"/>
      <w:r>
        <w:rPr>
          <w:rFonts w:hint="eastAsia" w:ascii="宋体" w:hAnsi="宋体" w:eastAsia="宋体" w:cs="宋体"/>
          <w:b w:val="0"/>
          <w:bCs/>
          <w:color w:val="000000"/>
          <w:sz w:val="24"/>
          <w:szCs w:val="24"/>
        </w:rPr>
        <w:t>7</w:t>
      </w:r>
      <w:bookmarkStart w:id="590" w:name="_Toc304295551"/>
      <w:bookmarkStart w:id="591" w:name="_Toc297123521"/>
      <w:bookmarkStart w:id="592" w:name="_Toc303539130"/>
      <w:bookmarkStart w:id="593" w:name="_Toc297216180"/>
      <w:bookmarkStart w:id="594" w:name="_Toc312678017"/>
      <w:bookmarkStart w:id="595" w:name="_Toc300934973"/>
      <w:r>
        <w:rPr>
          <w:rFonts w:hint="eastAsia" w:ascii="宋体" w:hAnsi="宋体" w:eastAsia="宋体" w:cs="宋体"/>
          <w:b w:val="0"/>
          <w:bCs/>
          <w:color w:val="000000"/>
          <w:sz w:val="24"/>
          <w:szCs w:val="24"/>
        </w:rPr>
        <w:t>.7</w:t>
      </w:r>
      <w:r>
        <w:rPr>
          <w:rFonts w:hint="eastAsia" w:ascii="宋体" w:hAnsi="宋体" w:eastAsia="宋体" w:cs="宋体"/>
          <w:b w:val="0"/>
          <w:color w:val="000000"/>
          <w:sz w:val="24"/>
          <w:szCs w:val="24"/>
        </w:rPr>
        <w:t>异常恶劣的气候条件</w:t>
      </w:r>
      <w:r>
        <w:rPr>
          <w:rFonts w:hint="eastAsia" w:ascii="宋体" w:hAnsi="宋体" w:eastAsia="宋体" w:cs="宋体"/>
          <w:color w:val="000000"/>
          <w:sz w:val="24"/>
          <w:szCs w:val="24"/>
        </w:rPr>
        <w:t>：</w:t>
      </w:r>
      <w:bookmarkEnd w:id="588"/>
      <w:bookmarkEnd w:id="589"/>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bookmarkEnd w:id="590"/>
    <w:bookmarkEnd w:id="591"/>
    <w:bookmarkEnd w:id="592"/>
    <w:bookmarkEnd w:id="593"/>
    <w:bookmarkEnd w:id="594"/>
    <w:bookmarkEnd w:id="595"/>
    <w:p w14:paraId="562E9B48">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596" w:name="_Toc4494164"/>
      <w:bookmarkStart w:id="597" w:name="_Toc528826793"/>
      <w:r>
        <w:rPr>
          <w:rFonts w:hint="eastAsia" w:ascii="宋体" w:hAnsi="宋体" w:eastAsia="宋体" w:cs="宋体"/>
          <w:b w:val="0"/>
          <w:color w:val="000000"/>
          <w:sz w:val="24"/>
          <w:szCs w:val="24"/>
        </w:rPr>
        <w:t>7.9 提前竣工的奖励</w:t>
      </w:r>
      <w:bookmarkEnd w:id="596"/>
      <w:bookmarkEnd w:id="597"/>
    </w:p>
    <w:p w14:paraId="2ECA1763">
      <w:pPr>
        <w:pageBreakBefore w:val="0"/>
        <w:kinsoku/>
        <w:wordWrap/>
        <w:overflowPunct/>
        <w:topLinePunct w:val="0"/>
        <w:bidi w:val="0"/>
        <w:snapToGrid/>
        <w:spacing w:line="440" w:lineRule="atLeast"/>
        <w:ind w:firstLine="480" w:firstLineChars="200"/>
        <w:contextualSpacing/>
        <w:jc w:val="left"/>
        <w:textAlignment w:val="auto"/>
        <w:rPr>
          <w:rFonts w:hint="default" w:ascii="宋体" w:hAnsi="宋体" w:eastAsia="宋体" w:cs="宋体"/>
          <w:color w:val="000000"/>
          <w:sz w:val="24"/>
          <w:szCs w:val="24"/>
          <w:lang w:val="en-US"/>
        </w:rPr>
      </w:pPr>
      <w:r>
        <w:rPr>
          <w:rFonts w:hint="eastAsia" w:ascii="宋体" w:hAnsi="宋体" w:eastAsia="宋体" w:cs="宋体"/>
          <w:color w:val="000000"/>
          <w:sz w:val="24"/>
          <w:szCs w:val="24"/>
        </w:rPr>
        <w:t>7.9.2提前竣工的奖励：</w:t>
      </w:r>
      <w:r>
        <w:rPr>
          <w:rFonts w:hint="eastAsia" w:ascii="宋体" w:hAnsi="宋体" w:cs="宋体"/>
          <w:color w:val="000000"/>
          <w:kern w:val="0"/>
          <w:sz w:val="24"/>
          <w:szCs w:val="24"/>
          <w:u w:val="single"/>
          <w:lang w:val="en-US" w:eastAsia="zh-CN"/>
        </w:rPr>
        <w:t xml:space="preserve">                               </w:t>
      </w:r>
    </w:p>
    <w:p w14:paraId="00DB3648">
      <w:pPr>
        <w:pStyle w:val="5"/>
        <w:pageBreakBefore w:val="0"/>
        <w:numPr>
          <w:ilvl w:val="3"/>
          <w:numId w:val="0"/>
        </w:numPr>
        <w:kinsoku/>
        <w:wordWrap/>
        <w:overflowPunct/>
        <w:topLinePunct w:val="0"/>
        <w:bidi w:val="0"/>
        <w:snapToGrid/>
        <w:spacing w:before="0" w:after="0" w:line="440" w:lineRule="atLeast"/>
        <w:contextualSpacing/>
        <w:textAlignment w:val="auto"/>
        <w:rPr>
          <w:rFonts w:hint="eastAsia" w:ascii="宋体" w:hAnsi="宋体" w:eastAsia="宋体" w:cs="宋体"/>
          <w:color w:val="000000"/>
          <w:sz w:val="24"/>
          <w:szCs w:val="24"/>
        </w:rPr>
      </w:pPr>
      <w:bookmarkStart w:id="598" w:name="_Toc4494165"/>
      <w:bookmarkStart w:id="599" w:name="_Toc528826794"/>
      <w:r>
        <w:rPr>
          <w:rFonts w:hint="eastAsia" w:ascii="宋体" w:hAnsi="宋体" w:eastAsia="宋体" w:cs="宋体"/>
          <w:b w:val="0"/>
          <w:color w:val="000000"/>
          <w:sz w:val="24"/>
          <w:szCs w:val="24"/>
          <w:lang w:val="en-US" w:eastAsia="zh-CN"/>
        </w:rPr>
        <w:t>8.</w:t>
      </w:r>
      <w:r>
        <w:rPr>
          <w:rFonts w:hint="eastAsia" w:ascii="宋体" w:hAnsi="宋体" w:eastAsia="宋体" w:cs="宋体"/>
          <w:b w:val="0"/>
          <w:color w:val="000000"/>
          <w:sz w:val="24"/>
          <w:szCs w:val="24"/>
        </w:rPr>
        <w:t>材料与设备</w:t>
      </w:r>
      <w:bookmarkEnd w:id="598"/>
      <w:bookmarkEnd w:id="599"/>
    </w:p>
    <w:p w14:paraId="6A8FB51D">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600" w:name="_Toc4494166"/>
      <w:bookmarkStart w:id="601" w:name="_Toc528826795"/>
      <w:r>
        <w:rPr>
          <w:rFonts w:hint="eastAsia" w:ascii="宋体" w:hAnsi="宋体" w:eastAsia="宋体" w:cs="宋体"/>
          <w:b w:val="0"/>
          <w:color w:val="000000"/>
          <w:sz w:val="24"/>
          <w:szCs w:val="24"/>
        </w:rPr>
        <w:t>8.1发包人供应材料与工程设备</w:t>
      </w:r>
      <w:bookmarkEnd w:id="600"/>
      <w:bookmarkEnd w:id="601"/>
    </w:p>
    <w:p w14:paraId="5E91AC80">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发包人供应材料与工程设备：</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bookmarkEnd w:id="509"/>
    <w:bookmarkEnd w:id="510"/>
    <w:bookmarkEnd w:id="511"/>
    <w:bookmarkEnd w:id="512"/>
    <w:bookmarkEnd w:id="513"/>
    <w:bookmarkEnd w:id="514"/>
    <w:bookmarkEnd w:id="515"/>
    <w:bookmarkEnd w:id="516"/>
    <w:bookmarkEnd w:id="517"/>
    <w:bookmarkEnd w:id="518"/>
    <w:p w14:paraId="3DD6DE86">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602" w:name="_Toc4494167"/>
      <w:bookmarkStart w:id="603" w:name="_Toc528826796"/>
      <w:r>
        <w:rPr>
          <w:rFonts w:hint="eastAsia" w:ascii="宋体" w:hAnsi="宋体" w:eastAsia="宋体" w:cs="宋体"/>
          <w:b w:val="0"/>
          <w:color w:val="000000"/>
          <w:sz w:val="24"/>
          <w:szCs w:val="24"/>
        </w:rPr>
        <w:t>8</w:t>
      </w:r>
      <w:bookmarkStart w:id="604" w:name="_Toc280868654"/>
      <w:bookmarkStart w:id="605" w:name="_Toc296347166"/>
      <w:bookmarkStart w:id="606" w:name="_Toc296890995"/>
      <w:bookmarkStart w:id="607" w:name="_Toc296346668"/>
      <w:bookmarkStart w:id="608" w:name="_Toc292559877"/>
      <w:bookmarkStart w:id="609" w:name="_Toc296944506"/>
      <w:bookmarkStart w:id="610" w:name="_Toc296891207"/>
      <w:bookmarkStart w:id="611" w:name="_Toc312678019"/>
      <w:bookmarkStart w:id="612" w:name="_Toc297216186"/>
      <w:bookmarkStart w:id="613" w:name="_Toc303539136"/>
      <w:bookmarkStart w:id="614" w:name="_Toc292559372"/>
      <w:bookmarkStart w:id="615" w:name="_Toc300934979"/>
      <w:bookmarkStart w:id="616" w:name="_Toc297123527"/>
      <w:bookmarkStart w:id="617" w:name="_Toc304295556"/>
      <w:bookmarkStart w:id="618" w:name="_Toc296503167"/>
      <w:bookmarkStart w:id="619" w:name="_Toc297120467"/>
      <w:bookmarkStart w:id="620" w:name="_Toc312677493"/>
      <w:bookmarkStart w:id="621" w:name="_Toc297048353"/>
      <w:bookmarkStart w:id="622" w:name="_Toc280868655"/>
      <w:bookmarkStart w:id="623" w:name="_Toc280868656"/>
      <w:bookmarkStart w:id="624" w:name="_Toc267251424"/>
      <w:r>
        <w:rPr>
          <w:rFonts w:hint="eastAsia" w:ascii="宋体" w:hAnsi="宋体" w:eastAsia="宋体" w:cs="宋体"/>
          <w:b w:val="0"/>
          <w:color w:val="000000"/>
          <w:sz w:val="24"/>
          <w:szCs w:val="24"/>
        </w:rPr>
        <w:t>.4材料与工程设备的保管与使用</w:t>
      </w:r>
      <w:bookmarkEnd w:id="602"/>
      <w:bookmarkEnd w:id="603"/>
    </w:p>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p w14:paraId="5E8A728F">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8</w:t>
      </w:r>
      <w:bookmarkStart w:id="625" w:name="_Toc292559373"/>
      <w:bookmarkStart w:id="626" w:name="_Toc292559878"/>
      <w:bookmarkStart w:id="627" w:name="_Toc304295557"/>
      <w:bookmarkStart w:id="628" w:name="_Toc312677494"/>
      <w:bookmarkStart w:id="629" w:name="_Toc296944507"/>
      <w:bookmarkStart w:id="630" w:name="_Toc297123528"/>
      <w:bookmarkStart w:id="631" w:name="_Toc312678020"/>
      <w:bookmarkStart w:id="632" w:name="_Toc318581173"/>
      <w:bookmarkStart w:id="633" w:name="_Toc297048354"/>
      <w:bookmarkStart w:id="634" w:name="_Toc296347167"/>
      <w:bookmarkStart w:id="635" w:name="_Toc297216187"/>
      <w:bookmarkStart w:id="636" w:name="_Toc296503168"/>
      <w:bookmarkStart w:id="637" w:name="_Toc297120468"/>
      <w:bookmarkStart w:id="638" w:name="_Toc296346669"/>
      <w:bookmarkStart w:id="639" w:name="_Toc300934980"/>
      <w:bookmarkStart w:id="640" w:name="_Toc303539137"/>
      <w:bookmarkStart w:id="641" w:name="_Toc296890996"/>
      <w:bookmarkStart w:id="642" w:name="_Toc296891208"/>
      <w:r>
        <w:rPr>
          <w:rFonts w:hint="eastAsia" w:ascii="宋体" w:hAnsi="宋体" w:eastAsia="宋体" w:cs="宋体"/>
          <w:color w:val="000000"/>
          <w:sz w:val="24"/>
          <w:szCs w:val="24"/>
        </w:rPr>
        <w:t>.4.1发包人供应的材料设备的保管费用的承担：</w:t>
      </w:r>
      <w:bookmarkEnd w:id="625"/>
      <w:bookmarkEnd w:id="626"/>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2877CBC5">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643" w:name="_Toc4494168"/>
      <w:bookmarkStart w:id="644" w:name="_Toc528826797"/>
      <w:r>
        <w:rPr>
          <w:rFonts w:hint="eastAsia" w:ascii="宋体" w:hAnsi="宋体" w:eastAsia="宋体" w:cs="宋体"/>
          <w:b w:val="0"/>
          <w:color w:val="000000"/>
          <w:sz w:val="24"/>
          <w:szCs w:val="24"/>
        </w:rPr>
        <w:t>8.6 样品</w:t>
      </w:r>
      <w:bookmarkEnd w:id="643"/>
      <w:bookmarkEnd w:id="644"/>
    </w:p>
    <w:p w14:paraId="3B927F4C">
      <w:pPr>
        <w:pageBreakBefore w:val="0"/>
        <w:kinsoku/>
        <w:wordWrap/>
        <w:overflowPunct/>
        <w:topLinePunct w:val="0"/>
        <w:autoSpaceDE w:val="0"/>
        <w:autoSpaceDN w:val="0"/>
        <w:bidi w:val="0"/>
        <w:adjustRightInd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8.6.1样品的报送与封存</w:t>
      </w:r>
    </w:p>
    <w:p w14:paraId="2095647C">
      <w:pPr>
        <w:pageBreakBefore w:val="0"/>
        <w:kinsoku/>
        <w:wordWrap/>
        <w:overflowPunct/>
        <w:topLinePunct w:val="0"/>
        <w:autoSpaceDE w:val="0"/>
        <w:autoSpaceDN w:val="0"/>
        <w:bidi w:val="0"/>
        <w:adjustRightInd w:val="0"/>
        <w:snapToGrid/>
        <w:spacing w:line="440" w:lineRule="atLeast"/>
        <w:ind w:firstLine="480" w:firstLineChars="200"/>
        <w:contextualSpacing/>
        <w:jc w:val="left"/>
        <w:textAlignment w:val="auto"/>
        <w:rPr>
          <w:rFonts w:hint="eastAsia" w:ascii="宋体" w:hAnsi="宋体" w:eastAsia="宋体" w:cs="宋体"/>
          <w:b/>
          <w:bCs/>
          <w:color w:val="000000"/>
          <w:sz w:val="24"/>
          <w:szCs w:val="24"/>
          <w:u w:val="single"/>
        </w:rPr>
      </w:pPr>
      <w:r>
        <w:rPr>
          <w:rFonts w:hint="eastAsia" w:ascii="宋体" w:hAnsi="宋体" w:eastAsia="宋体" w:cs="宋体"/>
          <w:color w:val="000000"/>
          <w:kern w:val="0"/>
          <w:sz w:val="24"/>
          <w:szCs w:val="24"/>
        </w:rPr>
        <w:t>需要承包人报送样品的材料或工程设备，样品的种类、名称、规格、数量要求：</w:t>
      </w:r>
      <w:r>
        <w:rPr>
          <w:rFonts w:hint="eastAsia" w:ascii="宋体" w:hAnsi="宋体" w:eastAsia="宋体" w:cs="宋体"/>
          <w:color w:val="000000"/>
          <w:sz w:val="24"/>
          <w:szCs w:val="24"/>
          <w:u w:val="single"/>
        </w:rPr>
        <w:t></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59C07FD3">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645" w:name="_Toc528826798"/>
      <w:bookmarkStart w:id="646" w:name="_Toc4494169"/>
      <w:r>
        <w:rPr>
          <w:rFonts w:hint="eastAsia" w:ascii="宋体" w:hAnsi="宋体" w:eastAsia="宋体" w:cs="宋体"/>
          <w:b w:val="0"/>
          <w:color w:val="000000"/>
          <w:sz w:val="24"/>
          <w:szCs w:val="24"/>
        </w:rPr>
        <w:t>8.8 施工设备和临时设施</w:t>
      </w:r>
      <w:bookmarkEnd w:id="645"/>
      <w:bookmarkEnd w:id="646"/>
    </w:p>
    <w:p w14:paraId="41A51F15">
      <w:pPr>
        <w:pageBreakBefore w:val="0"/>
        <w:kinsoku/>
        <w:wordWrap/>
        <w:overflowPunct/>
        <w:topLinePunct w:val="0"/>
        <w:autoSpaceDE w:val="0"/>
        <w:autoSpaceDN w:val="0"/>
        <w:bidi w:val="0"/>
        <w:adjustRightInd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8.8.1 承包人提供的施工设备和临时设施</w:t>
      </w:r>
    </w:p>
    <w:p w14:paraId="74893954">
      <w:pPr>
        <w:pageBreakBefore w:val="0"/>
        <w:kinsoku/>
        <w:wordWrap/>
        <w:overflowPunct/>
        <w:topLinePunct w:val="0"/>
        <w:autoSpaceDE w:val="0"/>
        <w:autoSpaceDN w:val="0"/>
        <w:bidi w:val="0"/>
        <w:adjustRightInd w:val="0"/>
        <w:snapToGrid/>
        <w:spacing w:line="440" w:lineRule="atLeast"/>
        <w:ind w:firstLine="480" w:firstLineChars="200"/>
        <w:contextualSpacing/>
        <w:jc w:val="left"/>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关于修建临时设施费用承担的约定：</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6B7EA543">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647" w:name="_Toc4494170"/>
      <w:bookmarkStart w:id="648" w:name="_Toc528826799"/>
      <w:r>
        <w:rPr>
          <w:rFonts w:hint="eastAsia" w:ascii="宋体" w:hAnsi="宋体" w:eastAsia="宋体" w:cs="宋体"/>
          <w:b w:val="0"/>
          <w:color w:val="000000"/>
          <w:sz w:val="24"/>
          <w:szCs w:val="24"/>
        </w:rPr>
        <w:t>8.10 承包人采购的材料、设备的规定：</w:t>
      </w:r>
      <w:bookmarkEnd w:id="647"/>
      <w:bookmarkEnd w:id="648"/>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14:paraId="5BCCD453">
      <w:pPr>
        <w:pStyle w:val="5"/>
        <w:pageBreakBefore w:val="0"/>
        <w:numPr>
          <w:ilvl w:val="3"/>
          <w:numId w:val="0"/>
        </w:numPr>
        <w:kinsoku/>
        <w:wordWrap/>
        <w:overflowPunct/>
        <w:topLinePunct w:val="0"/>
        <w:bidi w:val="0"/>
        <w:snapToGrid/>
        <w:spacing w:before="0" w:after="0" w:line="440" w:lineRule="atLeast"/>
        <w:contextualSpacing/>
        <w:textAlignment w:val="auto"/>
        <w:rPr>
          <w:rFonts w:hint="eastAsia" w:ascii="宋体" w:hAnsi="宋体" w:eastAsia="宋体" w:cs="宋体"/>
          <w:b w:val="0"/>
          <w:color w:val="000000"/>
          <w:sz w:val="24"/>
          <w:szCs w:val="24"/>
        </w:rPr>
      </w:pPr>
      <w:bookmarkStart w:id="649" w:name="_Toc528826800"/>
      <w:bookmarkStart w:id="650" w:name="_Toc4494171"/>
      <w:r>
        <w:rPr>
          <w:rFonts w:hint="eastAsia" w:ascii="宋体" w:hAnsi="宋体" w:eastAsia="宋体" w:cs="宋体"/>
          <w:b w:val="0"/>
          <w:color w:val="000000"/>
          <w:sz w:val="24"/>
          <w:szCs w:val="24"/>
        </w:rPr>
        <w:t>9</w:t>
      </w:r>
      <w:bookmarkEnd w:id="622"/>
      <w:bookmarkEnd w:id="623"/>
      <w:bookmarkEnd w:id="624"/>
      <w:bookmarkStart w:id="651" w:name="_Toc297123533"/>
      <w:bookmarkStart w:id="652" w:name="_Toc304295559"/>
      <w:bookmarkStart w:id="653" w:name="_Toc303539139"/>
      <w:bookmarkStart w:id="654" w:name="_Toc312678021"/>
      <w:bookmarkStart w:id="655" w:name="_Toc297216192"/>
      <w:bookmarkStart w:id="656" w:name="_Toc300934982"/>
      <w:bookmarkStart w:id="657" w:name="_Toc312677495"/>
      <w:bookmarkStart w:id="658" w:name="_Toc296891213"/>
      <w:bookmarkStart w:id="659" w:name="_Toc292559883"/>
      <w:bookmarkStart w:id="660" w:name="_Toc296503173"/>
      <w:bookmarkStart w:id="661" w:name="_Toc296347172"/>
      <w:bookmarkStart w:id="662" w:name="_Toc296944512"/>
      <w:bookmarkStart w:id="663" w:name="_Toc292559378"/>
      <w:bookmarkStart w:id="664" w:name="_Toc296346674"/>
      <w:bookmarkStart w:id="665" w:name="_Toc297120473"/>
      <w:bookmarkStart w:id="666" w:name="_Toc267251427"/>
      <w:bookmarkStart w:id="667" w:name="_Toc296891001"/>
      <w:bookmarkStart w:id="668" w:name="_Toc297048359"/>
      <w:bookmarkStart w:id="669" w:name="_Toc267251428"/>
      <w:r>
        <w:rPr>
          <w:rFonts w:hint="eastAsia" w:ascii="宋体" w:hAnsi="宋体" w:eastAsia="宋体" w:cs="宋体"/>
          <w:b w:val="0"/>
          <w:color w:val="000000"/>
          <w:sz w:val="24"/>
          <w:szCs w:val="24"/>
        </w:rPr>
        <w:t>. 试验与检验</w:t>
      </w:r>
      <w:bookmarkEnd w:id="649"/>
      <w:bookmarkEnd w:id="650"/>
    </w:p>
    <w:bookmarkEnd w:id="651"/>
    <w:bookmarkEnd w:id="652"/>
    <w:bookmarkEnd w:id="653"/>
    <w:bookmarkEnd w:id="654"/>
    <w:bookmarkEnd w:id="655"/>
    <w:bookmarkEnd w:id="656"/>
    <w:bookmarkEnd w:id="657"/>
    <w:p w14:paraId="262426B4">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670" w:name="_Toc528826801"/>
      <w:bookmarkStart w:id="671" w:name="_Toc4494172"/>
      <w:r>
        <w:rPr>
          <w:rFonts w:hint="eastAsia" w:ascii="宋体" w:hAnsi="宋体" w:eastAsia="宋体" w:cs="宋体"/>
          <w:b w:val="0"/>
          <w:color w:val="000000"/>
          <w:sz w:val="24"/>
          <w:szCs w:val="24"/>
        </w:rPr>
        <w:t>9</w:t>
      </w:r>
      <w:bookmarkStart w:id="672" w:name="_Toc312677496"/>
      <w:bookmarkStart w:id="673" w:name="_Toc312678022"/>
      <w:bookmarkStart w:id="674" w:name="_Toc304295560"/>
      <w:bookmarkStart w:id="675" w:name="_Toc303539140"/>
      <w:bookmarkStart w:id="676" w:name="_Toc300934983"/>
      <w:bookmarkStart w:id="677" w:name="_Toc297216193"/>
      <w:bookmarkStart w:id="678" w:name="_Toc297123534"/>
      <w:r>
        <w:rPr>
          <w:rFonts w:hint="eastAsia" w:ascii="宋体" w:hAnsi="宋体" w:eastAsia="宋体" w:cs="宋体"/>
          <w:b w:val="0"/>
          <w:color w:val="000000"/>
          <w:sz w:val="24"/>
          <w:szCs w:val="24"/>
        </w:rPr>
        <w:t>.1试验设备与试验人员</w:t>
      </w:r>
      <w:bookmarkEnd w:id="670"/>
      <w:bookmarkEnd w:id="671"/>
    </w:p>
    <w:bookmarkEnd w:id="672"/>
    <w:bookmarkEnd w:id="673"/>
    <w:bookmarkEnd w:id="674"/>
    <w:bookmarkEnd w:id="675"/>
    <w:bookmarkEnd w:id="676"/>
    <w:bookmarkEnd w:id="677"/>
    <w:bookmarkEnd w:id="678"/>
    <w:p w14:paraId="71901A8F">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9</w:t>
      </w:r>
      <w:bookmarkStart w:id="679" w:name="_Toc297123535"/>
      <w:bookmarkStart w:id="680" w:name="_Toc300934984"/>
      <w:bookmarkStart w:id="681" w:name="_Toc297216194"/>
      <w:bookmarkStart w:id="682" w:name="_Toc304295561"/>
      <w:bookmarkStart w:id="683" w:name="_Toc312678023"/>
      <w:bookmarkStart w:id="684" w:name="_Toc312677497"/>
      <w:bookmarkStart w:id="685" w:name="_Toc303539141"/>
      <w:bookmarkStart w:id="686" w:name="_Toc318581174"/>
      <w:r>
        <w:rPr>
          <w:rFonts w:hint="eastAsia" w:ascii="宋体" w:hAnsi="宋体" w:eastAsia="宋体" w:cs="宋体"/>
          <w:color w:val="000000"/>
          <w:sz w:val="24"/>
          <w:szCs w:val="24"/>
        </w:rPr>
        <w:t>.1.2 试验设备</w:t>
      </w:r>
    </w:p>
    <w:p w14:paraId="45B4C092">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施工现场需要配置的试验场所：</w:t>
      </w:r>
      <w:bookmarkEnd w:id="679"/>
      <w:bookmarkEnd w:id="680"/>
      <w:bookmarkEnd w:id="681"/>
      <w:bookmarkEnd w:id="682"/>
      <w:bookmarkEnd w:id="683"/>
      <w:bookmarkEnd w:id="684"/>
      <w:bookmarkEnd w:id="685"/>
      <w:bookmarkStart w:id="687" w:name="_Toc297123536"/>
      <w:bookmarkStart w:id="688" w:name="_Toc304295562"/>
      <w:bookmarkStart w:id="689" w:name="_Toc297216195"/>
      <w:bookmarkStart w:id="690" w:name="_Toc300934985"/>
      <w:bookmarkStart w:id="691" w:name="_Toc312677498"/>
      <w:bookmarkStart w:id="692" w:name="_Toc312678024"/>
      <w:bookmarkStart w:id="693" w:name="_Toc303539142"/>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0D2546AB">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施工现场需要配备的试验设备：</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b/>
          <w:bCs/>
          <w:color w:val="000000"/>
          <w:sz w:val="24"/>
          <w:szCs w:val="24"/>
        </w:rPr>
        <w:t xml:space="preserve"> </w:t>
      </w:r>
    </w:p>
    <w:p w14:paraId="0A4AF025">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施工现场需要具备的其他试验条件：</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b/>
          <w:bCs/>
          <w:color w:val="000000"/>
          <w:sz w:val="24"/>
          <w:szCs w:val="24"/>
        </w:rPr>
        <w:t xml:space="preserve"> </w:t>
      </w:r>
    </w:p>
    <w:p w14:paraId="4DD9835B">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694" w:name="_Toc528826802"/>
      <w:bookmarkStart w:id="695" w:name="_Toc4494173"/>
      <w:r>
        <w:rPr>
          <w:rFonts w:hint="eastAsia" w:ascii="宋体" w:hAnsi="宋体" w:eastAsia="宋体" w:cs="宋体"/>
          <w:b w:val="0"/>
          <w:color w:val="000000"/>
          <w:sz w:val="24"/>
          <w:szCs w:val="24"/>
        </w:rPr>
        <w:t>9.4 现场工艺试验</w:t>
      </w:r>
      <w:bookmarkEnd w:id="694"/>
      <w:bookmarkEnd w:id="695"/>
      <w:r>
        <w:rPr>
          <w:rFonts w:hint="eastAsia" w:ascii="宋体" w:hAnsi="宋体" w:eastAsia="宋体" w:cs="宋体"/>
          <w:b w:val="0"/>
          <w:color w:val="000000"/>
          <w:sz w:val="24"/>
          <w:szCs w:val="24"/>
        </w:rPr>
        <w:t xml:space="preserve"> </w:t>
      </w:r>
    </w:p>
    <w:p w14:paraId="4BEDBE08">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现场工艺试验的有关约定：</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bookmarkEnd w:id="686"/>
    <w:bookmarkEnd w:id="687"/>
    <w:bookmarkEnd w:id="688"/>
    <w:bookmarkEnd w:id="689"/>
    <w:bookmarkEnd w:id="690"/>
    <w:bookmarkEnd w:id="691"/>
    <w:bookmarkEnd w:id="692"/>
    <w:bookmarkEnd w:id="693"/>
    <w:p w14:paraId="48F48AA5">
      <w:pPr>
        <w:pStyle w:val="5"/>
        <w:pageBreakBefore w:val="0"/>
        <w:numPr>
          <w:ilvl w:val="3"/>
          <w:numId w:val="0"/>
        </w:numPr>
        <w:kinsoku/>
        <w:wordWrap/>
        <w:overflowPunct/>
        <w:topLinePunct w:val="0"/>
        <w:bidi w:val="0"/>
        <w:snapToGrid/>
        <w:spacing w:before="0" w:after="0" w:line="440" w:lineRule="atLeast"/>
        <w:contextualSpacing/>
        <w:textAlignment w:val="auto"/>
        <w:rPr>
          <w:rFonts w:hint="eastAsia" w:ascii="宋体" w:hAnsi="宋体" w:eastAsia="宋体" w:cs="宋体"/>
          <w:b w:val="0"/>
          <w:color w:val="000000"/>
          <w:sz w:val="24"/>
          <w:szCs w:val="24"/>
          <w:lang w:val="en-US" w:eastAsia="zh-CN"/>
        </w:rPr>
      </w:pPr>
      <w:bookmarkStart w:id="696" w:name="_Toc528826803"/>
      <w:bookmarkStart w:id="697" w:name="_Toc4494174"/>
      <w:r>
        <w:rPr>
          <w:rFonts w:hint="eastAsia" w:ascii="宋体" w:hAnsi="宋体" w:eastAsia="宋体" w:cs="宋体"/>
          <w:b w:val="0"/>
          <w:color w:val="000000"/>
          <w:sz w:val="24"/>
          <w:szCs w:val="24"/>
        </w:rPr>
        <w:t>1</w:t>
      </w:r>
      <w:bookmarkEnd w:id="658"/>
      <w:bookmarkEnd w:id="659"/>
      <w:bookmarkEnd w:id="660"/>
      <w:bookmarkEnd w:id="661"/>
      <w:bookmarkEnd w:id="662"/>
      <w:bookmarkEnd w:id="663"/>
      <w:bookmarkEnd w:id="664"/>
      <w:bookmarkEnd w:id="665"/>
      <w:bookmarkEnd w:id="666"/>
      <w:bookmarkEnd w:id="667"/>
      <w:bookmarkEnd w:id="668"/>
      <w:bookmarkEnd w:id="669"/>
      <w:bookmarkStart w:id="698" w:name="_Toc297123540"/>
      <w:bookmarkStart w:id="699" w:name="_Toc296891021"/>
      <w:bookmarkStart w:id="700" w:name="_Toc292559903"/>
      <w:bookmarkStart w:id="701" w:name="_Toc303539146"/>
      <w:bookmarkStart w:id="702" w:name="_Toc292559398"/>
      <w:bookmarkStart w:id="703" w:name="_Toc300934989"/>
      <w:bookmarkStart w:id="704" w:name="_Toc296346694"/>
      <w:bookmarkStart w:id="705" w:name="_Toc297216199"/>
      <w:bookmarkStart w:id="706" w:name="_Toc296891233"/>
      <w:bookmarkStart w:id="707" w:name="_Toc296944532"/>
      <w:bookmarkStart w:id="708" w:name="_Toc304295566"/>
      <w:bookmarkStart w:id="709" w:name="_Toc296347192"/>
      <w:bookmarkStart w:id="710" w:name="_Toc297120493"/>
      <w:bookmarkStart w:id="711" w:name="_Toc296503193"/>
      <w:bookmarkStart w:id="712" w:name="_Toc297048379"/>
      <w:bookmarkStart w:id="713" w:name="_Toc312677499"/>
      <w:bookmarkStart w:id="714" w:name="_Toc312678025"/>
      <w:bookmarkStart w:id="715" w:name="_Toc267251433"/>
      <w:bookmarkStart w:id="716" w:name="_Toc267251440"/>
      <w:bookmarkStart w:id="717" w:name="_Toc267251437"/>
      <w:bookmarkStart w:id="718" w:name="_Toc267251435"/>
      <w:bookmarkStart w:id="719" w:name="_Toc267251441"/>
      <w:bookmarkStart w:id="720" w:name="_Toc267251439"/>
      <w:bookmarkStart w:id="721" w:name="_Toc267251442"/>
      <w:r>
        <w:rPr>
          <w:rFonts w:hint="eastAsia" w:ascii="宋体" w:hAnsi="宋体" w:eastAsia="宋体" w:cs="宋体"/>
          <w:b w:val="0"/>
          <w:color w:val="000000"/>
          <w:sz w:val="24"/>
          <w:szCs w:val="24"/>
        </w:rPr>
        <w:t>0. 变更</w:t>
      </w:r>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r>
        <w:rPr>
          <w:rFonts w:hint="eastAsia" w:ascii="宋体" w:hAnsi="宋体" w:eastAsia="宋体" w:cs="宋体"/>
          <w:b w:val="0"/>
          <w:color w:val="000000"/>
          <w:sz w:val="24"/>
          <w:szCs w:val="24"/>
          <w:lang w:val="en-US" w:eastAsia="zh-CN"/>
        </w:rPr>
        <w:t xml:space="preserve"> </w:t>
      </w:r>
    </w:p>
    <w:bookmarkEnd w:id="713"/>
    <w:bookmarkEnd w:id="714"/>
    <w:p w14:paraId="436B38B6">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722" w:name="_Toc4494175"/>
      <w:bookmarkStart w:id="723" w:name="_Toc528826804"/>
      <w:r>
        <w:rPr>
          <w:rFonts w:hint="eastAsia" w:ascii="宋体" w:hAnsi="宋体" w:eastAsia="宋体" w:cs="宋体"/>
          <w:b w:val="0"/>
          <w:color w:val="000000"/>
          <w:sz w:val="24"/>
          <w:szCs w:val="24"/>
        </w:rPr>
        <w:t>1</w:t>
      </w:r>
      <w:bookmarkStart w:id="724" w:name="_Toc297216200"/>
      <w:bookmarkStart w:id="725" w:name="_Toc304295567"/>
      <w:bookmarkStart w:id="726" w:name="_Toc296891234"/>
      <w:bookmarkStart w:id="727" w:name="_Toc292559399"/>
      <w:bookmarkStart w:id="728" w:name="_Toc296944533"/>
      <w:bookmarkStart w:id="729" w:name="_Toc296346695"/>
      <w:bookmarkStart w:id="730" w:name="_Toc297120494"/>
      <w:bookmarkStart w:id="731" w:name="_Toc312678026"/>
      <w:bookmarkStart w:id="732" w:name="_Toc300934990"/>
      <w:bookmarkStart w:id="733" w:name="_Toc303539147"/>
      <w:bookmarkStart w:id="734" w:name="_Toc296503194"/>
      <w:bookmarkStart w:id="735" w:name="_Toc296347193"/>
      <w:bookmarkStart w:id="736" w:name="_Toc297048380"/>
      <w:bookmarkStart w:id="737" w:name="_Toc297123541"/>
      <w:bookmarkStart w:id="738" w:name="_Toc296891022"/>
      <w:bookmarkStart w:id="739" w:name="_Toc312677500"/>
      <w:bookmarkStart w:id="740" w:name="_Toc292559904"/>
      <w:r>
        <w:rPr>
          <w:rFonts w:hint="eastAsia" w:ascii="宋体" w:hAnsi="宋体" w:eastAsia="宋体" w:cs="宋体"/>
          <w:b w:val="0"/>
          <w:color w:val="000000"/>
          <w:sz w:val="24"/>
          <w:szCs w:val="24"/>
        </w:rPr>
        <w:t>0.1变更的范围</w:t>
      </w:r>
      <w:bookmarkEnd w:id="722"/>
      <w:bookmarkEnd w:id="723"/>
    </w:p>
    <w:p w14:paraId="7E18A25B">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关于变更的范围的约定：</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02FB3C86">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741" w:name="_Toc4494176"/>
      <w:bookmarkStart w:id="742" w:name="_Toc528826805"/>
      <w:r>
        <w:rPr>
          <w:rFonts w:hint="eastAsia" w:ascii="宋体" w:hAnsi="宋体" w:eastAsia="宋体" w:cs="宋体"/>
          <w:b w:val="0"/>
          <w:color w:val="000000"/>
          <w:sz w:val="24"/>
          <w:szCs w:val="24"/>
        </w:rPr>
        <w:t>10.4 变更估价</w:t>
      </w:r>
      <w:bookmarkEnd w:id="741"/>
      <w:bookmarkEnd w:id="742"/>
    </w:p>
    <w:p w14:paraId="79E69195">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10.4.1 变更估价原则</w:t>
      </w:r>
    </w:p>
    <w:p w14:paraId="07F4CE82">
      <w:pPr>
        <w:pageBreakBefore w:val="0"/>
        <w:kinsoku/>
        <w:wordWrap/>
        <w:overflowPunct/>
        <w:topLinePunct w:val="0"/>
        <w:bidi w:val="0"/>
        <w:snapToGrid/>
        <w:spacing w:line="440" w:lineRule="atLeast"/>
        <w:ind w:firstLine="470" w:firstLineChars="196"/>
        <w:contextualSpacing/>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 xml:space="preserve">关于变更估价的约定： </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5DB89A4A">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color w:val="000000"/>
          <w:sz w:val="24"/>
          <w:szCs w:val="24"/>
        </w:rPr>
      </w:pPr>
      <w:bookmarkStart w:id="743" w:name="_Toc4494177"/>
      <w:bookmarkStart w:id="744" w:name="_Toc528826806"/>
      <w:r>
        <w:rPr>
          <w:rFonts w:hint="eastAsia" w:ascii="宋体" w:hAnsi="宋体" w:eastAsia="宋体" w:cs="宋体"/>
          <w:b w:val="0"/>
          <w:color w:val="000000"/>
          <w:sz w:val="24"/>
          <w:szCs w:val="24"/>
        </w:rPr>
        <w:t>1</w:t>
      </w:r>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Start w:id="745" w:name="_Toc296347196"/>
      <w:bookmarkStart w:id="746" w:name="_Toc296346698"/>
      <w:bookmarkStart w:id="747" w:name="_Toc292559907"/>
      <w:bookmarkStart w:id="748" w:name="_Toc292559402"/>
      <w:bookmarkStart w:id="749" w:name="_Toc296944536"/>
      <w:bookmarkStart w:id="750" w:name="_Toc296503197"/>
      <w:bookmarkStart w:id="751" w:name="_Toc300934993"/>
      <w:bookmarkStart w:id="752" w:name="_Toc303539150"/>
      <w:bookmarkStart w:id="753" w:name="_Toc297048383"/>
      <w:bookmarkStart w:id="754" w:name="_Toc297120497"/>
      <w:bookmarkStart w:id="755" w:name="_Toc297216203"/>
      <w:bookmarkStart w:id="756" w:name="_Toc296891025"/>
      <w:bookmarkStart w:id="757" w:name="_Toc296891237"/>
      <w:bookmarkStart w:id="758" w:name="_Toc297123544"/>
      <w:bookmarkStart w:id="759" w:name="_Toc304295570"/>
      <w:bookmarkStart w:id="760" w:name="_Toc312677503"/>
      <w:bookmarkStart w:id="761" w:name="_Toc312678029"/>
      <w:r>
        <w:rPr>
          <w:rFonts w:hint="eastAsia" w:ascii="宋体" w:hAnsi="宋体" w:eastAsia="宋体" w:cs="宋体"/>
          <w:b w:val="0"/>
          <w:color w:val="000000"/>
          <w:sz w:val="24"/>
          <w:szCs w:val="24"/>
        </w:rPr>
        <w:t>0.5承</w:t>
      </w:r>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Start w:id="762" w:name="_Toc292559408"/>
      <w:bookmarkStart w:id="763" w:name="_Toc297216204"/>
      <w:bookmarkStart w:id="764" w:name="_Toc296346704"/>
      <w:bookmarkStart w:id="765" w:name="_Toc296944542"/>
      <w:bookmarkStart w:id="766" w:name="_Toc300934994"/>
      <w:bookmarkStart w:id="767" w:name="_Toc292559913"/>
      <w:bookmarkStart w:id="768" w:name="_Toc296891031"/>
      <w:bookmarkStart w:id="769" w:name="_Toc296891243"/>
      <w:bookmarkStart w:id="770" w:name="_Toc296347202"/>
      <w:bookmarkStart w:id="771" w:name="_Toc303539151"/>
      <w:bookmarkStart w:id="772" w:name="_Toc297048389"/>
      <w:bookmarkStart w:id="773" w:name="_Toc297123545"/>
      <w:bookmarkStart w:id="774" w:name="_Toc297120503"/>
      <w:bookmarkStart w:id="775" w:name="_Toc296503203"/>
      <w:r>
        <w:rPr>
          <w:rFonts w:hint="eastAsia" w:ascii="宋体" w:hAnsi="宋体" w:eastAsia="宋体" w:cs="宋体"/>
          <w:b w:val="0"/>
          <w:color w:val="000000"/>
          <w:sz w:val="24"/>
          <w:szCs w:val="24"/>
        </w:rPr>
        <w:t>包人的合理化建议</w:t>
      </w:r>
      <w:bookmarkEnd w:id="743"/>
      <w:bookmarkEnd w:id="744"/>
    </w:p>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p w14:paraId="25514D61">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监理人审查承包人合理化建议的期限：</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711C8F5F">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发包人审批承包人合理化建议的期限：</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6B0150FF">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承</w:t>
      </w:r>
      <w:bookmarkStart w:id="776" w:name="_Toc292559409"/>
      <w:bookmarkStart w:id="777" w:name="_Toc296891244"/>
      <w:bookmarkStart w:id="778" w:name="_Toc312677504"/>
      <w:bookmarkStart w:id="779" w:name="_Toc300934995"/>
      <w:bookmarkStart w:id="780" w:name="_Toc304295571"/>
      <w:bookmarkStart w:id="781" w:name="_Toc303539152"/>
      <w:bookmarkStart w:id="782" w:name="_Toc292559914"/>
      <w:bookmarkStart w:id="783" w:name="_Toc296503204"/>
      <w:bookmarkStart w:id="784" w:name="_Toc296891032"/>
      <w:bookmarkStart w:id="785" w:name="_Toc297120504"/>
      <w:bookmarkStart w:id="786" w:name="_Toc318581175"/>
      <w:bookmarkStart w:id="787" w:name="_Toc296944543"/>
      <w:bookmarkStart w:id="788" w:name="_Toc297123546"/>
      <w:bookmarkStart w:id="789" w:name="_Toc296347203"/>
      <w:bookmarkStart w:id="790" w:name="_Toc297048390"/>
      <w:bookmarkStart w:id="791" w:name="_Toc312678030"/>
      <w:bookmarkStart w:id="792" w:name="_Toc296346705"/>
      <w:bookmarkStart w:id="793" w:name="_Toc297216205"/>
      <w:r>
        <w:rPr>
          <w:rFonts w:hint="eastAsia" w:ascii="宋体" w:hAnsi="宋体" w:eastAsia="宋体" w:cs="宋体"/>
          <w:color w:val="000000"/>
          <w:sz w:val="24"/>
          <w:szCs w:val="24"/>
        </w:rPr>
        <w:t>包人提出的合理化建议降低了合同价格或者提高了工程经济效益的奖励的方法和金额为：</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p w14:paraId="5B9F152D">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794" w:name="_Toc4494178"/>
      <w:bookmarkStart w:id="795" w:name="_Toc528826807"/>
      <w:r>
        <w:rPr>
          <w:rFonts w:hint="eastAsia" w:ascii="宋体" w:hAnsi="宋体" w:eastAsia="宋体" w:cs="宋体"/>
          <w:b w:val="0"/>
          <w:color w:val="000000"/>
          <w:sz w:val="24"/>
          <w:szCs w:val="24"/>
        </w:rPr>
        <w:t>1</w:t>
      </w:r>
      <w:bookmarkStart w:id="796" w:name="_Toc296347198"/>
      <w:bookmarkStart w:id="797" w:name="_Toc312677507"/>
      <w:bookmarkStart w:id="798" w:name="_Toc304295574"/>
      <w:bookmarkStart w:id="799" w:name="_Toc297120499"/>
      <w:bookmarkStart w:id="800" w:name="_Toc300934997"/>
      <w:bookmarkStart w:id="801" w:name="_Toc296891027"/>
      <w:bookmarkStart w:id="802" w:name="_Toc292559404"/>
      <w:bookmarkStart w:id="803" w:name="_Toc297216207"/>
      <w:bookmarkStart w:id="804" w:name="_Toc292559909"/>
      <w:bookmarkStart w:id="805" w:name="_Toc296503199"/>
      <w:bookmarkStart w:id="806" w:name="_Toc312678033"/>
      <w:bookmarkStart w:id="807" w:name="_Toc297123548"/>
      <w:bookmarkStart w:id="808" w:name="_Toc296891239"/>
      <w:bookmarkStart w:id="809" w:name="_Toc296346700"/>
      <w:bookmarkStart w:id="810" w:name="_Toc303539154"/>
      <w:bookmarkStart w:id="811" w:name="_Toc297048385"/>
      <w:bookmarkStart w:id="812" w:name="_Toc296944538"/>
      <w:r>
        <w:rPr>
          <w:rFonts w:hint="eastAsia" w:ascii="宋体" w:hAnsi="宋体" w:eastAsia="宋体" w:cs="宋体"/>
          <w:b w:val="0"/>
          <w:color w:val="000000"/>
          <w:sz w:val="24"/>
          <w:szCs w:val="24"/>
        </w:rPr>
        <w:t>0.7 暂估价</w:t>
      </w:r>
      <w:bookmarkEnd w:id="794"/>
      <w:bookmarkEnd w:id="795"/>
    </w:p>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p w14:paraId="23280884">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rPr>
        <w:t>暂</w:t>
      </w:r>
      <w:bookmarkStart w:id="813" w:name="_Toc318581176"/>
      <w:bookmarkStart w:id="814" w:name="_Toc312678034"/>
      <w:bookmarkStart w:id="815" w:name="_Toc312677508"/>
      <w:r>
        <w:rPr>
          <w:rFonts w:hint="eastAsia" w:ascii="宋体" w:hAnsi="宋体" w:eastAsia="宋体" w:cs="宋体"/>
          <w:color w:val="000000"/>
          <w:kern w:val="0"/>
          <w:sz w:val="24"/>
          <w:szCs w:val="24"/>
        </w:rPr>
        <w:t>估价材料和工程设备的明细详见附件11：</w:t>
      </w:r>
      <w:r>
        <w:rPr>
          <w:rFonts w:hint="eastAsia" w:ascii="宋体" w:hAnsi="宋体" w:eastAsia="宋体" w:cs="宋体"/>
          <w:b/>
          <w:bCs/>
          <w:color w:val="000000"/>
          <w:sz w:val="24"/>
          <w:szCs w:val="24"/>
          <w:u w:val="single"/>
        </w:rPr>
        <w:t>《暂估价一览表》</w:t>
      </w:r>
      <w:r>
        <w:rPr>
          <w:rFonts w:hint="eastAsia" w:ascii="宋体" w:hAnsi="宋体" w:eastAsia="宋体" w:cs="宋体"/>
          <w:b w:val="0"/>
          <w:bCs w:val="0"/>
          <w:color w:val="000000"/>
          <w:sz w:val="24"/>
          <w:szCs w:val="24"/>
          <w:u w:val="none"/>
        </w:rPr>
        <w:t>。</w:t>
      </w:r>
    </w:p>
    <w:bookmarkEnd w:id="813"/>
    <w:bookmarkEnd w:id="814"/>
    <w:bookmarkEnd w:id="815"/>
    <w:p w14:paraId="67E423C3">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bookmarkStart w:id="816" w:name="_Toc312678035"/>
      <w:bookmarkStart w:id="817" w:name="_Toc318581177"/>
      <w:bookmarkStart w:id="818" w:name="_Toc312677509"/>
      <w:r>
        <w:rPr>
          <w:rFonts w:hint="eastAsia" w:ascii="宋体" w:hAnsi="宋体" w:eastAsia="宋体" w:cs="宋体"/>
          <w:color w:val="000000"/>
          <w:sz w:val="24"/>
          <w:szCs w:val="24"/>
        </w:rPr>
        <w:t>0.7.1 依法必须招标的暂估价项目</w:t>
      </w:r>
    </w:p>
    <w:bookmarkEnd w:id="816"/>
    <w:bookmarkEnd w:id="817"/>
    <w:bookmarkEnd w:id="818"/>
    <w:p w14:paraId="1A0AB232">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对于依法必须招标的暂估价项目的确认和批准采取第</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color w:val="000000"/>
          <w:sz w:val="24"/>
          <w:szCs w:val="24"/>
        </w:rPr>
        <w:t>种方式确定。</w:t>
      </w:r>
    </w:p>
    <w:p w14:paraId="0E452146">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10.7.2 不属于依法必须招标的暂估价项目</w:t>
      </w:r>
    </w:p>
    <w:p w14:paraId="61F43680">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对于不属于依法必须招标的暂估价项目的确认和批准采取第</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color w:val="000000"/>
          <w:sz w:val="24"/>
          <w:szCs w:val="24"/>
        </w:rPr>
        <w:t xml:space="preserve"> 种方式确定。</w:t>
      </w:r>
    </w:p>
    <w:p w14:paraId="4E56C002">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sz w:val="24"/>
          <w:szCs w:val="24"/>
        </w:rPr>
        <w:t>第3种方式：</w:t>
      </w:r>
      <w:r>
        <w:rPr>
          <w:rFonts w:hint="eastAsia" w:ascii="宋体" w:hAnsi="宋体" w:eastAsia="宋体" w:cs="宋体"/>
          <w:color w:val="000000"/>
          <w:kern w:val="0"/>
          <w:sz w:val="24"/>
          <w:szCs w:val="24"/>
        </w:rPr>
        <w:t>承包人直接实施的暂估价项目</w:t>
      </w:r>
    </w:p>
    <w:p w14:paraId="11895492">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承包人直接实施的暂估价项目的约定：</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69B33A1B">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10.7.4暂估价的其他调整原则：</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4FCC57D6">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819" w:name="_Toc4494179"/>
      <w:bookmarkStart w:id="820" w:name="_Toc528826808"/>
      <w:r>
        <w:rPr>
          <w:rFonts w:hint="eastAsia" w:ascii="宋体" w:hAnsi="宋体" w:eastAsia="宋体" w:cs="宋体"/>
          <w:b w:val="0"/>
          <w:color w:val="000000"/>
          <w:sz w:val="24"/>
          <w:szCs w:val="24"/>
        </w:rPr>
        <w:t>10.8 暂列金额</w:t>
      </w:r>
      <w:bookmarkEnd w:id="819"/>
      <w:bookmarkEnd w:id="820"/>
    </w:p>
    <w:p w14:paraId="1F3803E0">
      <w:pPr>
        <w:pageBreakBefore w:val="0"/>
        <w:kinsoku/>
        <w:wordWrap/>
        <w:overflowPunct/>
        <w:topLinePunct w:val="0"/>
        <w:bidi w:val="0"/>
        <w:snapToGrid/>
        <w:spacing w:line="440" w:lineRule="atLeast"/>
        <w:ind w:firstLine="470" w:firstLineChars="196"/>
        <w:contextualSpacing/>
        <w:textAlignment w:val="auto"/>
        <w:rPr>
          <w:rFonts w:hint="eastAsia" w:ascii="宋体" w:hAnsi="宋体" w:eastAsia="宋体" w:cs="宋体"/>
          <w:b/>
          <w:bCs/>
          <w:color w:val="000000"/>
          <w:sz w:val="24"/>
          <w:szCs w:val="24"/>
          <w:u w:val="single"/>
        </w:rPr>
      </w:pPr>
      <w:r>
        <w:rPr>
          <w:rFonts w:hint="eastAsia" w:ascii="宋体" w:hAnsi="宋体" w:eastAsia="宋体" w:cs="宋体"/>
          <w:color w:val="000000"/>
          <w:kern w:val="0"/>
          <w:sz w:val="24"/>
          <w:szCs w:val="24"/>
        </w:rPr>
        <w:t>合同当事人关于暂列金额使用的约定：</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0E5DABB1">
      <w:pPr>
        <w:pStyle w:val="5"/>
        <w:pageBreakBefore w:val="0"/>
        <w:numPr>
          <w:ilvl w:val="3"/>
          <w:numId w:val="0"/>
        </w:numPr>
        <w:kinsoku/>
        <w:wordWrap/>
        <w:overflowPunct/>
        <w:topLinePunct w:val="0"/>
        <w:bidi w:val="0"/>
        <w:snapToGrid/>
        <w:spacing w:before="0" w:after="0" w:line="440" w:lineRule="atLeast"/>
        <w:contextualSpacing/>
        <w:textAlignment w:val="auto"/>
        <w:rPr>
          <w:rFonts w:hint="eastAsia" w:ascii="宋体" w:hAnsi="宋体" w:eastAsia="宋体" w:cs="宋体"/>
          <w:b w:val="0"/>
          <w:color w:val="000000"/>
          <w:sz w:val="24"/>
          <w:szCs w:val="24"/>
        </w:rPr>
      </w:pPr>
      <w:bookmarkStart w:id="821" w:name="_Toc4494180"/>
      <w:bookmarkStart w:id="822" w:name="_Toc528826809"/>
      <w:r>
        <w:rPr>
          <w:rFonts w:hint="eastAsia" w:ascii="宋体" w:hAnsi="宋体" w:eastAsia="宋体" w:cs="宋体"/>
          <w:b w:val="0"/>
          <w:color w:val="000000"/>
          <w:sz w:val="24"/>
          <w:szCs w:val="24"/>
        </w:rPr>
        <w:t>11. 价格调整</w:t>
      </w:r>
      <w:bookmarkEnd w:id="821"/>
      <w:bookmarkEnd w:id="822"/>
    </w:p>
    <w:p w14:paraId="1ACD7129">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823" w:name="_Toc4494181"/>
      <w:bookmarkStart w:id="824" w:name="_Toc528826810"/>
      <w:bookmarkStart w:id="825" w:name="_Toc296346702"/>
      <w:bookmarkStart w:id="826" w:name="_Toc297123550"/>
      <w:bookmarkStart w:id="827" w:name="_Toc300935000"/>
      <w:bookmarkStart w:id="828" w:name="_Toc297048387"/>
      <w:bookmarkStart w:id="829" w:name="_Toc296891029"/>
      <w:bookmarkStart w:id="830" w:name="_Toc292559911"/>
      <w:bookmarkStart w:id="831" w:name="_Toc292559406"/>
      <w:bookmarkStart w:id="832" w:name="_Toc304295577"/>
      <w:bookmarkStart w:id="833" w:name="_Toc296944540"/>
      <w:bookmarkStart w:id="834" w:name="_Toc296891241"/>
      <w:bookmarkStart w:id="835" w:name="_Toc296347200"/>
      <w:bookmarkStart w:id="836" w:name="_Toc303539157"/>
      <w:bookmarkStart w:id="837" w:name="_Toc296503201"/>
      <w:bookmarkStart w:id="838" w:name="_Toc297216209"/>
      <w:bookmarkStart w:id="839" w:name="_Toc297120501"/>
      <w:bookmarkStart w:id="840" w:name="_Toc312678039"/>
      <w:r>
        <w:rPr>
          <w:rFonts w:hint="eastAsia" w:ascii="宋体" w:hAnsi="宋体" w:eastAsia="宋体" w:cs="宋体"/>
          <w:b w:val="0"/>
          <w:color w:val="000000"/>
          <w:sz w:val="24"/>
          <w:szCs w:val="24"/>
        </w:rPr>
        <w:t>11.1 市场价格波动引起的调整</w:t>
      </w:r>
      <w:bookmarkEnd w:id="823"/>
      <w:bookmarkEnd w:id="824"/>
    </w:p>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p w14:paraId="28055BD0">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bCs/>
          <w:color w:val="000000"/>
          <w:sz w:val="24"/>
          <w:szCs w:val="24"/>
          <w:u w:val="single"/>
        </w:rPr>
      </w:pPr>
      <w:r>
        <w:rPr>
          <w:rFonts w:hint="eastAsia" w:ascii="宋体" w:hAnsi="宋体" w:eastAsia="宋体" w:cs="宋体"/>
          <w:color w:val="000000"/>
          <w:kern w:val="0"/>
          <w:sz w:val="24"/>
          <w:szCs w:val="24"/>
        </w:rPr>
        <w:t>市场价格波动是否调整合同价格的约定：</w:t>
      </w:r>
      <w:r>
        <w:rPr>
          <w:rFonts w:hint="eastAsia" w:ascii="宋体" w:hAnsi="宋体" w:eastAsia="宋体" w:cs="宋体"/>
          <w:b/>
          <w:bCs/>
          <w:color w:val="000000"/>
          <w:sz w:val="24"/>
          <w:szCs w:val="24"/>
          <w:u w:val="single"/>
          <w:lang w:val="en-US" w:eastAsia="zh-CN"/>
        </w:rPr>
        <w:t>不</w:t>
      </w:r>
      <w:r>
        <w:rPr>
          <w:rFonts w:hint="eastAsia" w:ascii="宋体" w:hAnsi="宋体" w:eastAsia="宋体" w:cs="宋体"/>
          <w:b/>
          <w:bCs/>
          <w:color w:val="000000"/>
          <w:sz w:val="24"/>
          <w:szCs w:val="24"/>
          <w:u w:val="single"/>
        </w:rPr>
        <w:t>允许调整</w:t>
      </w:r>
      <w:r>
        <w:rPr>
          <w:rFonts w:hint="eastAsia" w:ascii="宋体" w:hAnsi="宋体" w:eastAsia="宋体" w:cs="宋体"/>
          <w:b/>
          <w:bCs/>
          <w:color w:val="000000"/>
          <w:sz w:val="24"/>
          <w:szCs w:val="24"/>
        </w:rPr>
        <w:t>。</w:t>
      </w:r>
    </w:p>
    <w:p w14:paraId="0EADA86B">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因市场价格波动调整合同价格，采用以下第</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u w:val="single"/>
          <w:lang w:val="en-US" w:eastAsia="zh-CN"/>
        </w:rPr>
        <w:t>/</w:t>
      </w:r>
      <w:r>
        <w:rPr>
          <w:rFonts w:hint="eastAsia" w:ascii="宋体" w:hAnsi="宋体" w:eastAsia="宋体" w:cs="宋体"/>
          <w:b/>
          <w:color w:val="000000"/>
          <w:sz w:val="24"/>
          <w:szCs w:val="24"/>
          <w:u w:val="single"/>
        </w:rPr>
        <w:t xml:space="preserve"> </w:t>
      </w:r>
      <w:r>
        <w:rPr>
          <w:rFonts w:hint="eastAsia" w:ascii="宋体" w:hAnsi="宋体" w:eastAsia="宋体" w:cs="宋体"/>
          <w:color w:val="000000"/>
          <w:sz w:val="24"/>
          <w:szCs w:val="24"/>
        </w:rPr>
        <w:t>种方式对合同价格进行调整：</w:t>
      </w:r>
    </w:p>
    <w:p w14:paraId="33C267E6">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第1种方式：采用价格指数进行价格调整。</w:t>
      </w:r>
    </w:p>
    <w:p w14:paraId="5D163756">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关于各可调因子、定值和变值权重，以及基本价格指数及其来源的约定：</w:t>
      </w:r>
      <w:r>
        <w:rPr>
          <w:rFonts w:hint="eastAsia" w:ascii="宋体" w:hAnsi="宋体" w:eastAsia="宋体" w:cs="宋体"/>
          <w:b/>
          <w:bCs/>
          <w:color w:val="000000"/>
          <w:sz w:val="24"/>
          <w:szCs w:val="24"/>
          <w:u w:val="single"/>
        </w:rPr>
        <w:t xml:space="preserve">  /  </w:t>
      </w:r>
      <w:r>
        <w:rPr>
          <w:rFonts w:hint="eastAsia" w:ascii="宋体" w:hAnsi="宋体" w:eastAsia="宋体" w:cs="宋体"/>
          <w:b w:val="0"/>
          <w:bCs w:val="0"/>
          <w:color w:val="000000"/>
          <w:sz w:val="24"/>
          <w:szCs w:val="24"/>
          <w:u w:val="none"/>
        </w:rPr>
        <w:t>；</w:t>
      </w:r>
      <w:r>
        <w:rPr>
          <w:rFonts w:hint="eastAsia" w:ascii="宋体" w:hAnsi="宋体" w:eastAsia="宋体" w:cs="宋体"/>
          <w:color w:val="000000"/>
          <w:sz w:val="24"/>
          <w:szCs w:val="24"/>
        </w:rPr>
        <w:t xml:space="preserve">  </w:t>
      </w:r>
    </w:p>
    <w:p w14:paraId="281FDF58">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第2种方式：采用造价信息进行价格调整。</w:t>
      </w:r>
    </w:p>
    <w:p w14:paraId="5C6BDE58">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14:paraId="252BE671">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1DD802F5">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（2）材料、工程设备价格变化的价款调整按照发包人提供的基准价格，按以下风险范围规定执行：</w:t>
      </w:r>
    </w:p>
    <w:p w14:paraId="3FBA5B23">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①承包人在已标价工程量清单或预算书中载明材料单价低于基准价格的：除专用合同条款另有约定外，合同履行期间材料单价涨幅以基准价格为基础超过</w:t>
      </w:r>
      <w:r>
        <w:rPr>
          <w:rFonts w:hint="eastAsia" w:ascii="宋体" w:hAnsi="宋体" w:eastAsia="宋体" w:cs="宋体"/>
          <w:b/>
          <w:bCs/>
          <w:color w:val="000000"/>
          <w:sz w:val="24"/>
          <w:szCs w:val="24"/>
          <w:u w:val="single"/>
          <w:lang w:val="en-US" w:eastAsia="zh-CN"/>
        </w:rPr>
        <w:t>5</w:t>
      </w:r>
      <w:r>
        <w:rPr>
          <w:rFonts w:hint="eastAsia" w:ascii="宋体" w:hAnsi="宋体" w:eastAsia="宋体" w:cs="宋体"/>
          <w:b/>
          <w:bCs/>
          <w:color w:val="000000"/>
          <w:sz w:val="24"/>
          <w:szCs w:val="24"/>
          <w:u w:val="single"/>
        </w:rPr>
        <w:t>%</w:t>
      </w:r>
      <w:r>
        <w:rPr>
          <w:rFonts w:hint="eastAsia" w:ascii="宋体" w:hAnsi="宋体" w:eastAsia="宋体" w:cs="宋体"/>
          <w:color w:val="000000"/>
          <w:sz w:val="24"/>
          <w:szCs w:val="24"/>
        </w:rPr>
        <w:t>时，或材料单价跌幅以在已标价工程量清单或预算书中载明材料单价为基础超过</w:t>
      </w:r>
      <w:r>
        <w:rPr>
          <w:rFonts w:hint="eastAsia" w:ascii="宋体" w:hAnsi="宋体" w:eastAsia="宋体" w:cs="宋体"/>
          <w:b/>
          <w:bCs/>
          <w:color w:val="000000"/>
          <w:sz w:val="24"/>
          <w:szCs w:val="24"/>
          <w:u w:val="single"/>
          <w:lang w:val="en-US" w:eastAsia="zh-CN"/>
        </w:rPr>
        <w:t>5</w:t>
      </w:r>
      <w:r>
        <w:rPr>
          <w:rFonts w:hint="eastAsia" w:ascii="宋体" w:hAnsi="宋体" w:eastAsia="宋体" w:cs="宋体"/>
          <w:b/>
          <w:bCs/>
          <w:color w:val="000000"/>
          <w:sz w:val="24"/>
          <w:szCs w:val="24"/>
          <w:u w:val="single"/>
        </w:rPr>
        <w:t>%</w:t>
      </w:r>
      <w:r>
        <w:rPr>
          <w:rFonts w:hint="eastAsia" w:ascii="宋体" w:hAnsi="宋体" w:eastAsia="宋体" w:cs="宋体"/>
          <w:color w:val="000000"/>
          <w:sz w:val="24"/>
          <w:szCs w:val="24"/>
        </w:rPr>
        <w:t>时，其超过部分据实调整。</w:t>
      </w:r>
    </w:p>
    <w:p w14:paraId="38486C27">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②承包人在已标价工程量清单或预算书中载明材料单价高于基准价格的：除专用合同条款另有约定外，合同履行期间材料单价跌幅以基准价格为基础超过</w:t>
      </w:r>
      <w:r>
        <w:rPr>
          <w:rFonts w:hint="eastAsia" w:ascii="宋体" w:hAnsi="宋体" w:eastAsia="宋体" w:cs="宋体"/>
          <w:b/>
          <w:bCs/>
          <w:color w:val="000000"/>
          <w:sz w:val="24"/>
          <w:szCs w:val="24"/>
          <w:u w:val="single"/>
          <w:lang w:val="en-US" w:eastAsia="zh-CN"/>
        </w:rPr>
        <w:t>5</w:t>
      </w:r>
      <w:r>
        <w:rPr>
          <w:rFonts w:hint="eastAsia" w:ascii="宋体" w:hAnsi="宋体" w:eastAsia="宋体" w:cs="宋体"/>
          <w:b/>
          <w:bCs/>
          <w:color w:val="000000"/>
          <w:sz w:val="24"/>
          <w:szCs w:val="24"/>
          <w:u w:val="single"/>
        </w:rPr>
        <w:t>%</w:t>
      </w:r>
      <w:r>
        <w:rPr>
          <w:rFonts w:hint="eastAsia" w:ascii="宋体" w:hAnsi="宋体" w:eastAsia="宋体" w:cs="宋体"/>
          <w:color w:val="000000"/>
          <w:sz w:val="24"/>
          <w:szCs w:val="24"/>
        </w:rPr>
        <w:t>时，材料单价涨幅以在已标价工程量清单或预算书中载明材料单价为基础超过</w:t>
      </w:r>
      <w:r>
        <w:rPr>
          <w:rFonts w:hint="eastAsia" w:ascii="宋体" w:hAnsi="宋体" w:eastAsia="宋体" w:cs="宋体"/>
          <w:b/>
          <w:bCs/>
          <w:color w:val="000000"/>
          <w:sz w:val="24"/>
          <w:szCs w:val="24"/>
          <w:u w:val="single"/>
          <w:lang w:val="en-US" w:eastAsia="zh-CN"/>
        </w:rPr>
        <w:t>5</w:t>
      </w:r>
      <w:r>
        <w:rPr>
          <w:rFonts w:hint="eastAsia" w:ascii="宋体" w:hAnsi="宋体" w:eastAsia="宋体" w:cs="宋体"/>
          <w:b/>
          <w:bCs/>
          <w:color w:val="000000"/>
          <w:sz w:val="24"/>
          <w:szCs w:val="24"/>
          <w:u w:val="single"/>
        </w:rPr>
        <w:t>%</w:t>
      </w:r>
      <w:r>
        <w:rPr>
          <w:rFonts w:hint="eastAsia" w:ascii="宋体" w:hAnsi="宋体" w:eastAsia="宋体" w:cs="宋体"/>
          <w:color w:val="000000"/>
          <w:sz w:val="24"/>
          <w:szCs w:val="24"/>
        </w:rPr>
        <w:t>时，其超过部分据实调整。</w:t>
      </w:r>
    </w:p>
    <w:p w14:paraId="569CE11A">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③承包人在已标价工程量清单或预算书中载明材料单价等于基准价格的：除专用合同条款另有约定外，合同履行期间材料单价涨跌幅以基准价格为基础超过</w:t>
      </w:r>
      <w:r>
        <w:rPr>
          <w:rFonts w:hint="eastAsia" w:ascii="宋体" w:hAnsi="宋体" w:eastAsia="宋体" w:cs="宋体"/>
          <w:b/>
          <w:bCs/>
          <w:color w:val="000000"/>
          <w:sz w:val="24"/>
          <w:szCs w:val="24"/>
          <w:u w:val="single"/>
        </w:rPr>
        <w:t>±</w:t>
      </w:r>
      <w:r>
        <w:rPr>
          <w:rFonts w:hint="eastAsia" w:ascii="宋体" w:hAnsi="宋体" w:eastAsia="宋体" w:cs="宋体"/>
          <w:b/>
          <w:bCs/>
          <w:color w:val="000000"/>
          <w:sz w:val="24"/>
          <w:szCs w:val="24"/>
          <w:u w:val="single"/>
          <w:lang w:val="en-US" w:eastAsia="zh-CN"/>
        </w:rPr>
        <w:t>5</w:t>
      </w:r>
      <w:r>
        <w:rPr>
          <w:rFonts w:hint="eastAsia" w:ascii="宋体" w:hAnsi="宋体" w:eastAsia="宋体" w:cs="宋体"/>
          <w:b/>
          <w:bCs/>
          <w:color w:val="000000"/>
          <w:sz w:val="24"/>
          <w:szCs w:val="24"/>
          <w:u w:val="single"/>
        </w:rPr>
        <w:t>%</w:t>
      </w:r>
      <w:r>
        <w:rPr>
          <w:rFonts w:hint="eastAsia" w:ascii="宋体" w:hAnsi="宋体" w:eastAsia="宋体" w:cs="宋体"/>
          <w:color w:val="000000"/>
          <w:sz w:val="24"/>
          <w:szCs w:val="24"/>
        </w:rPr>
        <w:t>时，其超过部分据实调整。</w:t>
      </w:r>
    </w:p>
    <w:p w14:paraId="675FB6C4">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（3）关于基准价格的约定：</w:t>
      </w:r>
      <w:r>
        <w:rPr>
          <w:rFonts w:hint="eastAsia" w:ascii="宋体" w:hAnsi="宋体" w:eastAsia="宋体" w:cs="宋体"/>
          <w:b/>
          <w:bCs/>
          <w:color w:val="000000"/>
          <w:sz w:val="24"/>
          <w:szCs w:val="24"/>
          <w:u w:val="single"/>
        </w:rPr>
        <w:t>当月工程所在地造价管理部门发布的《价格信息》所公布的价格</w:t>
      </w:r>
      <w:r>
        <w:rPr>
          <w:rFonts w:hint="eastAsia" w:ascii="宋体" w:hAnsi="宋体" w:eastAsia="宋体" w:cs="宋体"/>
          <w:b/>
          <w:bCs/>
          <w:color w:val="000000"/>
          <w:sz w:val="24"/>
          <w:szCs w:val="24"/>
        </w:rPr>
        <w:t>。</w:t>
      </w:r>
    </w:p>
    <w:p w14:paraId="659750CC">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第3种方式：其他价格调整方式</w:t>
      </w:r>
      <w:r>
        <w:rPr>
          <w:rFonts w:hint="eastAsia" w:ascii="宋体" w:hAnsi="宋体" w:eastAsia="宋体" w:cs="宋体"/>
          <w:b w:val="0"/>
          <w:bCs w:val="0"/>
          <w:color w:val="000000"/>
          <w:sz w:val="24"/>
          <w:szCs w:val="24"/>
          <w:u w:val="none"/>
        </w:rPr>
        <w:t>：</w:t>
      </w:r>
      <w:bookmarkEnd w:id="715"/>
      <w:bookmarkEnd w:id="716"/>
      <w:bookmarkEnd w:id="717"/>
      <w:bookmarkEnd w:id="718"/>
      <w:bookmarkEnd w:id="719"/>
      <w:bookmarkEnd w:id="720"/>
      <w:bookmarkStart w:id="841" w:name="_Toc292559410"/>
      <w:bookmarkStart w:id="842" w:name="_Toc296944544"/>
      <w:bookmarkStart w:id="843" w:name="_Toc296347204"/>
      <w:bookmarkStart w:id="844" w:name="_Toc292559915"/>
      <w:bookmarkStart w:id="845" w:name="_Toc296891245"/>
      <w:bookmarkStart w:id="846" w:name="_Toc296891033"/>
      <w:bookmarkStart w:id="847" w:name="_Toc296346706"/>
      <w:bookmarkStart w:id="848" w:name="_Toc297048391"/>
      <w:bookmarkStart w:id="849" w:name="_Toc297120505"/>
      <w:bookmarkStart w:id="850" w:name="_Toc296503205"/>
      <w:bookmarkStart w:id="851" w:name="_Toc300935002"/>
      <w:bookmarkStart w:id="852" w:name="_Toc304295579"/>
      <w:bookmarkStart w:id="853" w:name="_Toc312678040"/>
      <w:bookmarkStart w:id="854" w:name="_Toc297123552"/>
      <w:bookmarkStart w:id="855" w:name="_Toc297216211"/>
      <w:bookmarkStart w:id="856" w:name="_Toc303539159"/>
      <w:r>
        <w:rPr>
          <w:rFonts w:hint="eastAsia" w:ascii="宋体" w:hAnsi="宋体" w:eastAsia="宋体" w:cs="宋体"/>
          <w:b/>
          <w:bCs/>
          <w:color w:val="000000"/>
          <w:sz w:val="24"/>
          <w:szCs w:val="24"/>
          <w:u w:val="single"/>
        </w:rPr>
        <w:t xml:space="preserve">  /  </w:t>
      </w:r>
      <w:r>
        <w:rPr>
          <w:rFonts w:hint="eastAsia" w:ascii="宋体" w:hAnsi="宋体" w:eastAsia="宋体" w:cs="宋体"/>
          <w:b/>
          <w:bCs/>
          <w:color w:val="000000"/>
          <w:sz w:val="24"/>
          <w:szCs w:val="24"/>
          <w:u w:val="none"/>
        </w:rPr>
        <w:t>。</w:t>
      </w:r>
    </w:p>
    <w:p w14:paraId="2C6326FC">
      <w:pPr>
        <w:pStyle w:val="5"/>
        <w:pageBreakBefore w:val="0"/>
        <w:numPr>
          <w:ilvl w:val="3"/>
          <w:numId w:val="0"/>
        </w:numPr>
        <w:kinsoku/>
        <w:wordWrap/>
        <w:overflowPunct/>
        <w:topLinePunct w:val="0"/>
        <w:bidi w:val="0"/>
        <w:snapToGrid/>
        <w:spacing w:before="0" w:after="0" w:line="440" w:lineRule="atLeast"/>
        <w:contextualSpacing/>
        <w:textAlignment w:val="auto"/>
        <w:rPr>
          <w:rFonts w:hint="eastAsia" w:ascii="宋体" w:hAnsi="宋体" w:eastAsia="宋体" w:cs="宋体"/>
          <w:b w:val="0"/>
          <w:color w:val="000000"/>
          <w:sz w:val="24"/>
          <w:szCs w:val="24"/>
        </w:rPr>
      </w:pPr>
      <w:bookmarkStart w:id="857" w:name="_Toc4494182"/>
      <w:bookmarkStart w:id="858" w:name="_Toc528826811"/>
      <w:r>
        <w:rPr>
          <w:rFonts w:hint="eastAsia" w:ascii="宋体" w:hAnsi="宋体" w:eastAsia="宋体" w:cs="宋体"/>
          <w:b w:val="0"/>
          <w:color w:val="000000"/>
          <w:sz w:val="24"/>
          <w:szCs w:val="24"/>
        </w:rPr>
        <w:t xml:space="preserve">12. </w:t>
      </w:r>
      <w:bookmarkEnd w:id="841"/>
      <w:bookmarkEnd w:id="842"/>
      <w:bookmarkEnd w:id="843"/>
      <w:bookmarkEnd w:id="844"/>
      <w:bookmarkEnd w:id="845"/>
      <w:bookmarkEnd w:id="846"/>
      <w:bookmarkEnd w:id="847"/>
      <w:bookmarkEnd w:id="848"/>
      <w:bookmarkEnd w:id="849"/>
      <w:bookmarkEnd w:id="850"/>
      <w:r>
        <w:rPr>
          <w:rFonts w:hint="eastAsia" w:ascii="宋体" w:hAnsi="宋体" w:eastAsia="宋体" w:cs="宋体"/>
          <w:b w:val="0"/>
          <w:color w:val="000000"/>
          <w:sz w:val="24"/>
          <w:szCs w:val="24"/>
        </w:rPr>
        <w:t>合同价格、计量与支付</w:t>
      </w:r>
      <w:bookmarkEnd w:id="857"/>
      <w:bookmarkEnd w:id="858"/>
    </w:p>
    <w:bookmarkEnd w:id="851"/>
    <w:bookmarkEnd w:id="852"/>
    <w:bookmarkEnd w:id="853"/>
    <w:bookmarkEnd w:id="854"/>
    <w:bookmarkEnd w:id="855"/>
    <w:bookmarkEnd w:id="856"/>
    <w:p w14:paraId="31FA0899">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859" w:name="_Toc267251461"/>
      <w:bookmarkStart w:id="860" w:name="_Toc292559916"/>
      <w:bookmarkStart w:id="861" w:name="_Toc292559411"/>
      <w:bookmarkStart w:id="862" w:name="_Toc296891034"/>
      <w:bookmarkStart w:id="863" w:name="_Toc296503206"/>
      <w:bookmarkStart w:id="864" w:name="_Toc297048392"/>
      <w:bookmarkStart w:id="865" w:name="_Toc296944545"/>
      <w:bookmarkStart w:id="866" w:name="_Toc297120506"/>
      <w:bookmarkStart w:id="867" w:name="_Toc296891246"/>
      <w:bookmarkStart w:id="868" w:name="_Toc296346707"/>
      <w:bookmarkStart w:id="869" w:name="_Toc296347205"/>
      <w:bookmarkStart w:id="870" w:name="_Toc528826812"/>
      <w:bookmarkStart w:id="871" w:name="_Toc4494183"/>
      <w:bookmarkStart w:id="872" w:name="_Toc297123553"/>
      <w:bookmarkStart w:id="873" w:name="_Toc300935003"/>
      <w:bookmarkStart w:id="874" w:name="_Toc297216212"/>
      <w:bookmarkStart w:id="875" w:name="_Toc304295580"/>
      <w:bookmarkStart w:id="876" w:name="_Toc312678041"/>
      <w:bookmarkStart w:id="877" w:name="_Toc303539160"/>
      <w:r>
        <w:rPr>
          <w:rFonts w:hint="eastAsia" w:ascii="宋体" w:hAnsi="宋体" w:eastAsia="宋体" w:cs="宋体"/>
          <w:b w:val="0"/>
          <w:color w:val="000000"/>
          <w:sz w:val="24"/>
          <w:szCs w:val="24"/>
        </w:rPr>
        <w:t>12.1 合</w:t>
      </w:r>
      <w:bookmarkEnd w:id="859"/>
      <w:bookmarkEnd w:id="860"/>
      <w:bookmarkEnd w:id="861"/>
      <w:r>
        <w:rPr>
          <w:rFonts w:hint="eastAsia" w:ascii="宋体" w:hAnsi="宋体" w:eastAsia="宋体" w:cs="宋体"/>
          <w:b w:val="0"/>
          <w:color w:val="000000"/>
          <w:sz w:val="24"/>
          <w:szCs w:val="24"/>
        </w:rPr>
        <w:t>同价</w:t>
      </w:r>
      <w:bookmarkEnd w:id="862"/>
      <w:bookmarkEnd w:id="863"/>
      <w:bookmarkEnd w:id="864"/>
      <w:bookmarkEnd w:id="865"/>
      <w:bookmarkEnd w:id="866"/>
      <w:bookmarkEnd w:id="867"/>
      <w:bookmarkEnd w:id="868"/>
      <w:bookmarkEnd w:id="869"/>
      <w:r>
        <w:rPr>
          <w:rFonts w:hint="eastAsia" w:ascii="宋体" w:hAnsi="宋体" w:eastAsia="宋体" w:cs="宋体"/>
          <w:b w:val="0"/>
          <w:color w:val="000000"/>
          <w:sz w:val="24"/>
          <w:szCs w:val="24"/>
        </w:rPr>
        <w:t>格形式</w:t>
      </w:r>
      <w:bookmarkEnd w:id="870"/>
      <w:bookmarkEnd w:id="871"/>
    </w:p>
    <w:bookmarkEnd w:id="872"/>
    <w:bookmarkEnd w:id="873"/>
    <w:bookmarkEnd w:id="874"/>
    <w:bookmarkEnd w:id="875"/>
    <w:bookmarkEnd w:id="876"/>
    <w:bookmarkEnd w:id="877"/>
    <w:p w14:paraId="59946BA1">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1、单价合同。</w:t>
      </w:r>
    </w:p>
    <w:p w14:paraId="7D7F4F29">
      <w:pPr>
        <w:pageBreakBefore w:val="0"/>
        <w:kinsoku/>
        <w:wordWrap/>
        <w:overflowPunct/>
        <w:topLinePunct w:val="0"/>
        <w:bidi w:val="0"/>
        <w:snapToGrid/>
        <w:spacing w:line="440" w:lineRule="atLeast"/>
        <w:ind w:firstLine="470" w:firstLineChars="196"/>
        <w:contextualSpacing/>
        <w:textAlignment w:val="auto"/>
        <w:rPr>
          <w:rFonts w:hint="eastAsia" w:ascii="宋体" w:hAnsi="宋体" w:eastAsia="宋体" w:cs="宋体"/>
          <w:bCs/>
          <w:color w:val="000000"/>
          <w:sz w:val="24"/>
          <w:szCs w:val="24"/>
        </w:rPr>
      </w:pPr>
      <w:r>
        <w:rPr>
          <w:rFonts w:hint="eastAsia" w:ascii="宋体" w:hAnsi="宋体" w:eastAsia="宋体" w:cs="宋体"/>
          <w:color w:val="000000"/>
          <w:sz w:val="24"/>
          <w:szCs w:val="24"/>
        </w:rPr>
        <w:t>（1）综合单价包含的风险范围：</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7B1F13DC">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（2）风险费用的计算方法：</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b/>
          <w:bCs/>
          <w:color w:val="000000"/>
          <w:sz w:val="24"/>
          <w:szCs w:val="24"/>
        </w:rPr>
        <w:t xml:space="preserve"> </w:t>
      </w:r>
    </w:p>
    <w:p w14:paraId="0375E5EE">
      <w:pPr>
        <w:pStyle w:val="16"/>
        <w:pageBreakBefore w:val="0"/>
        <w:kinsoku/>
        <w:wordWrap/>
        <w:overflowPunct/>
        <w:topLinePunct w:val="0"/>
        <w:bidi w:val="0"/>
        <w:snapToGrid/>
        <w:spacing w:line="440" w:lineRule="atLeast"/>
        <w:contextualSpacing/>
        <w:jc w:val="left"/>
        <w:textAlignment w:val="auto"/>
        <w:rPr>
          <w:rFonts w:hint="eastAsia" w:ascii="宋体" w:hAnsi="宋体" w:eastAsia="宋体" w:cs="宋体"/>
          <w:sz w:val="24"/>
          <w:szCs w:val="24"/>
          <w:u w:val="single"/>
        </w:rPr>
      </w:pPr>
      <w:r>
        <w:rPr>
          <w:rFonts w:hint="eastAsia" w:ascii="宋体" w:hAnsi="宋体" w:eastAsia="宋体" w:cs="宋体"/>
          <w:sz w:val="24"/>
          <w:szCs w:val="24"/>
        </w:rPr>
        <w:t>（3）风险范围以外合同价格的调整方法：</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1AC62952">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2、总价合同。</w:t>
      </w:r>
    </w:p>
    <w:p w14:paraId="26F2E38E">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总价包含的风险范围：</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5102CB5C">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风险费用的计算方法：</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19E6454E">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风险范围以外合同价格的调整方法：</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p>
    <w:p w14:paraId="59FF3855">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3、其他价格方式：</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01DA2840">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878" w:name="_Toc528826813"/>
      <w:bookmarkStart w:id="879" w:name="_Toc4494184"/>
      <w:bookmarkStart w:id="880" w:name="_Toc297216213"/>
      <w:bookmarkStart w:id="881" w:name="_Toc300935004"/>
      <w:bookmarkStart w:id="882" w:name="_Toc297123554"/>
      <w:bookmarkStart w:id="883" w:name="_Toc304295581"/>
      <w:bookmarkStart w:id="884" w:name="_Toc312678042"/>
      <w:bookmarkStart w:id="885" w:name="_Toc303539161"/>
      <w:bookmarkStart w:id="886" w:name="_Toc296347206"/>
      <w:bookmarkStart w:id="887" w:name="_Toc297120507"/>
      <w:bookmarkStart w:id="888" w:name="_Toc292559412"/>
      <w:bookmarkStart w:id="889" w:name="_Toc296346708"/>
      <w:bookmarkStart w:id="890" w:name="_Toc296891247"/>
      <w:bookmarkStart w:id="891" w:name="_Toc296891035"/>
      <w:bookmarkStart w:id="892" w:name="_Toc297048393"/>
      <w:bookmarkStart w:id="893" w:name="_Toc296944546"/>
      <w:bookmarkStart w:id="894" w:name="_Toc296503207"/>
      <w:bookmarkStart w:id="895" w:name="_Toc292559917"/>
      <w:r>
        <w:rPr>
          <w:rFonts w:hint="eastAsia" w:ascii="宋体" w:hAnsi="宋体" w:eastAsia="宋体" w:cs="宋体"/>
          <w:b w:val="0"/>
          <w:color w:val="000000"/>
          <w:sz w:val="24"/>
          <w:szCs w:val="24"/>
        </w:rPr>
        <w:t>12.2 预付款</w:t>
      </w:r>
      <w:bookmarkEnd w:id="878"/>
      <w:bookmarkEnd w:id="879"/>
    </w:p>
    <w:bookmarkEnd w:id="880"/>
    <w:bookmarkEnd w:id="881"/>
    <w:bookmarkEnd w:id="882"/>
    <w:bookmarkEnd w:id="883"/>
    <w:bookmarkEnd w:id="884"/>
    <w:bookmarkEnd w:id="885"/>
    <w:p w14:paraId="4F90B634">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12.2.1 预付款的支付</w:t>
      </w:r>
    </w:p>
    <w:p w14:paraId="56541A98">
      <w:pPr>
        <w:pStyle w:val="16"/>
        <w:pageBreakBefore w:val="0"/>
        <w:kinsoku/>
        <w:wordWrap/>
        <w:overflowPunct/>
        <w:topLinePunct w:val="0"/>
        <w:bidi w:val="0"/>
        <w:snapToGrid/>
        <w:spacing w:line="440" w:lineRule="atLeast"/>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预付款支付比例或金额：</w:t>
      </w:r>
      <w:r>
        <w:rPr>
          <w:rFonts w:hint="eastAsia" w:ascii="宋体" w:hAnsi="宋体" w:cs="宋体"/>
          <w:b/>
          <w:bCs/>
          <w:color w:val="000000"/>
          <w:sz w:val="24"/>
          <w:szCs w:val="24"/>
          <w:u w:val="single"/>
          <w:lang w:val="en-US" w:eastAsia="zh-CN"/>
        </w:rPr>
        <w:t xml:space="preserve">     /     </w:t>
      </w:r>
      <w:r>
        <w:rPr>
          <w:rFonts w:hint="eastAsia" w:ascii="宋体" w:hAnsi="宋体" w:eastAsia="宋体" w:cs="宋体"/>
          <w:b w:val="0"/>
          <w:bCs w:val="0"/>
          <w:sz w:val="24"/>
          <w:szCs w:val="24"/>
          <w:u w:val="none"/>
        </w:rPr>
        <w:t>。</w:t>
      </w:r>
    </w:p>
    <w:p w14:paraId="19F0841C">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预付款支付期限：</w:t>
      </w:r>
      <w:r>
        <w:rPr>
          <w:rFonts w:hint="eastAsia" w:ascii="宋体" w:hAnsi="宋体" w:cs="宋体"/>
          <w:b/>
          <w:bCs/>
          <w:color w:val="000000"/>
          <w:sz w:val="24"/>
          <w:szCs w:val="24"/>
          <w:u w:val="single"/>
          <w:lang w:val="en-US" w:eastAsia="zh-CN"/>
        </w:rPr>
        <w:t xml:space="preserve">     /     </w:t>
      </w:r>
      <w:r>
        <w:rPr>
          <w:rFonts w:hint="eastAsia" w:ascii="宋体" w:hAnsi="宋体" w:eastAsia="宋体" w:cs="宋体"/>
          <w:b/>
          <w:bCs/>
          <w:color w:val="000000"/>
          <w:sz w:val="24"/>
          <w:szCs w:val="24"/>
          <w:u w:val="none"/>
        </w:rPr>
        <w:t>。</w:t>
      </w:r>
    </w:p>
    <w:p w14:paraId="682ACF26">
      <w:pPr>
        <w:pageBreakBefore w:val="0"/>
        <w:widowControl/>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预付款扣回的方式：</w:t>
      </w:r>
      <w:r>
        <w:rPr>
          <w:rFonts w:hint="eastAsia" w:ascii="宋体" w:hAnsi="宋体" w:cs="宋体"/>
          <w:b/>
          <w:bCs/>
          <w:color w:val="000000"/>
          <w:sz w:val="24"/>
          <w:szCs w:val="24"/>
          <w:u w:val="single"/>
          <w:lang w:val="en-US" w:eastAsia="zh-CN"/>
        </w:rPr>
        <w:t xml:space="preserve">     /     </w:t>
      </w:r>
      <w:r>
        <w:rPr>
          <w:rFonts w:hint="eastAsia" w:ascii="宋体" w:hAnsi="宋体" w:eastAsia="宋体" w:cs="宋体"/>
          <w:b/>
          <w:bCs/>
          <w:color w:val="000000"/>
          <w:sz w:val="24"/>
          <w:szCs w:val="24"/>
          <w:u w:val="none"/>
        </w:rPr>
        <w:t>。</w:t>
      </w:r>
    </w:p>
    <w:p w14:paraId="2789A3EA">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12.2.2 预付款担保</w:t>
      </w:r>
    </w:p>
    <w:p w14:paraId="01830A98">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承包人提交预付款担保的期限：</w:t>
      </w:r>
      <w:r>
        <w:rPr>
          <w:rFonts w:hint="eastAsia" w:ascii="宋体" w:hAnsi="宋体" w:cs="宋体"/>
          <w:b/>
          <w:bCs/>
          <w:color w:val="000000"/>
          <w:sz w:val="24"/>
          <w:szCs w:val="24"/>
          <w:u w:val="single"/>
          <w:lang w:val="en-US" w:eastAsia="zh-CN"/>
        </w:rPr>
        <w:t xml:space="preserve">     /     </w:t>
      </w:r>
      <w:r>
        <w:rPr>
          <w:rFonts w:hint="eastAsia" w:ascii="宋体" w:hAnsi="宋体" w:eastAsia="宋体" w:cs="宋体"/>
          <w:b/>
          <w:bCs/>
          <w:color w:val="000000"/>
          <w:sz w:val="24"/>
          <w:szCs w:val="24"/>
          <w:u w:val="none"/>
        </w:rPr>
        <w:t>。</w:t>
      </w:r>
    </w:p>
    <w:p w14:paraId="37AF5B61">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预付款担保的形式为：</w:t>
      </w:r>
      <w:r>
        <w:rPr>
          <w:rFonts w:hint="eastAsia" w:ascii="宋体" w:hAnsi="宋体" w:cs="宋体"/>
          <w:b/>
          <w:bCs/>
          <w:color w:val="000000"/>
          <w:sz w:val="24"/>
          <w:szCs w:val="24"/>
          <w:u w:val="single"/>
          <w:lang w:val="en-US" w:eastAsia="zh-CN"/>
        </w:rPr>
        <w:t xml:space="preserve">     /     </w:t>
      </w:r>
      <w:r>
        <w:rPr>
          <w:rFonts w:hint="eastAsia" w:ascii="宋体" w:hAnsi="宋体" w:eastAsia="宋体" w:cs="宋体"/>
          <w:b/>
          <w:bCs/>
          <w:color w:val="000000"/>
          <w:sz w:val="24"/>
          <w:szCs w:val="24"/>
          <w:u w:val="none"/>
        </w:rPr>
        <w:t>。</w:t>
      </w:r>
    </w:p>
    <w:bookmarkEnd w:id="886"/>
    <w:bookmarkEnd w:id="887"/>
    <w:bookmarkEnd w:id="888"/>
    <w:bookmarkEnd w:id="889"/>
    <w:bookmarkEnd w:id="890"/>
    <w:bookmarkEnd w:id="891"/>
    <w:bookmarkEnd w:id="892"/>
    <w:bookmarkEnd w:id="893"/>
    <w:bookmarkEnd w:id="894"/>
    <w:bookmarkEnd w:id="895"/>
    <w:p w14:paraId="494CD369">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896" w:name="_Toc528826814"/>
      <w:bookmarkStart w:id="897" w:name="_Toc4494185"/>
      <w:r>
        <w:rPr>
          <w:rFonts w:hint="eastAsia" w:ascii="宋体" w:hAnsi="宋体" w:eastAsia="宋体" w:cs="宋体"/>
          <w:b w:val="0"/>
          <w:color w:val="000000"/>
          <w:sz w:val="24"/>
          <w:szCs w:val="24"/>
        </w:rPr>
        <w:t>12.3 计量</w:t>
      </w:r>
      <w:bookmarkEnd w:id="896"/>
      <w:bookmarkEnd w:id="897"/>
    </w:p>
    <w:p w14:paraId="147DED81">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12.3.1 计量原则</w:t>
      </w:r>
    </w:p>
    <w:p w14:paraId="37EFD2F1">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工程量计算规则：</w:t>
      </w:r>
      <w:r>
        <w:rPr>
          <w:rFonts w:hint="eastAsia" w:ascii="宋体" w:hAnsi="宋体" w:eastAsia="宋体" w:cs="宋体"/>
          <w:b/>
          <w:bCs/>
          <w:color w:val="000000"/>
          <w:sz w:val="24"/>
          <w:szCs w:val="24"/>
          <w:u w:val="single"/>
        </w:rPr>
        <w:t>按《建设工程工程量清单计价</w:t>
      </w:r>
      <w:r>
        <w:rPr>
          <w:rFonts w:hint="eastAsia" w:ascii="宋体" w:hAnsi="宋体" w:eastAsia="宋体" w:cs="宋体"/>
          <w:b/>
          <w:bCs/>
          <w:color w:val="000000"/>
          <w:sz w:val="24"/>
          <w:szCs w:val="24"/>
          <w:u w:val="single"/>
          <w:lang w:val="en-US" w:eastAsia="zh-CN"/>
        </w:rPr>
        <w:t>标准</w:t>
      </w:r>
      <w:r>
        <w:rPr>
          <w:rFonts w:hint="eastAsia" w:ascii="宋体" w:hAnsi="宋体" w:eastAsia="宋体" w:cs="宋体"/>
          <w:b/>
          <w:bCs/>
          <w:color w:val="000000"/>
          <w:sz w:val="24"/>
          <w:szCs w:val="24"/>
          <w:u w:val="single"/>
        </w:rPr>
        <w:t>》GB</w:t>
      </w:r>
      <w:r>
        <w:rPr>
          <w:rFonts w:hint="eastAsia" w:ascii="宋体" w:hAnsi="宋体" w:eastAsia="宋体" w:cs="宋体"/>
          <w:b/>
          <w:bCs/>
          <w:color w:val="000000"/>
          <w:sz w:val="24"/>
          <w:szCs w:val="24"/>
          <w:u w:val="single"/>
          <w:lang w:val="en-US" w:eastAsia="zh-CN"/>
        </w:rPr>
        <w:t>/T</w:t>
      </w:r>
      <w:r>
        <w:rPr>
          <w:rFonts w:hint="eastAsia" w:ascii="宋体" w:hAnsi="宋体" w:eastAsia="宋体" w:cs="宋体"/>
          <w:b/>
          <w:bCs/>
          <w:color w:val="000000"/>
          <w:sz w:val="24"/>
          <w:szCs w:val="24"/>
          <w:u w:val="single"/>
        </w:rPr>
        <w:t>50500-</w:t>
      </w:r>
      <w:r>
        <w:rPr>
          <w:rFonts w:hint="eastAsia" w:ascii="宋体" w:hAnsi="宋体" w:eastAsia="宋体" w:cs="宋体"/>
          <w:b/>
          <w:bCs/>
          <w:color w:val="000000"/>
          <w:sz w:val="24"/>
          <w:szCs w:val="24"/>
          <w:u w:val="single"/>
          <w:lang w:val="en-US" w:eastAsia="zh-CN"/>
        </w:rPr>
        <w:t>2024</w:t>
      </w:r>
      <w:r>
        <w:rPr>
          <w:rFonts w:hint="eastAsia" w:ascii="宋体" w:hAnsi="宋体" w:eastAsia="宋体" w:cs="宋体"/>
          <w:b/>
          <w:bCs/>
          <w:color w:val="000000"/>
          <w:sz w:val="24"/>
          <w:szCs w:val="24"/>
          <w:u w:val="single"/>
        </w:rPr>
        <w:t>中规定的工程量规则、云南省工程建设地方标准定额20</w:t>
      </w:r>
      <w:r>
        <w:rPr>
          <w:rFonts w:hint="eastAsia" w:ascii="宋体" w:hAnsi="宋体" w:eastAsia="宋体" w:cs="宋体"/>
          <w:b/>
          <w:bCs/>
          <w:color w:val="000000"/>
          <w:sz w:val="24"/>
          <w:szCs w:val="24"/>
          <w:u w:val="single"/>
          <w:lang w:val="en-US" w:eastAsia="zh-CN"/>
        </w:rPr>
        <w:t>20</w:t>
      </w:r>
      <w:r>
        <w:rPr>
          <w:rFonts w:hint="eastAsia" w:ascii="宋体" w:hAnsi="宋体" w:eastAsia="宋体" w:cs="宋体"/>
          <w:b/>
          <w:bCs/>
          <w:color w:val="000000"/>
          <w:sz w:val="24"/>
          <w:szCs w:val="24"/>
          <w:u w:val="single"/>
        </w:rPr>
        <w:t>版计算以及国家、行业、地方政府机构发布的相应的规定及规范</w:t>
      </w:r>
      <w:r>
        <w:rPr>
          <w:rFonts w:hint="eastAsia" w:ascii="宋体" w:hAnsi="宋体" w:eastAsia="宋体" w:cs="宋体"/>
          <w:b/>
          <w:bCs/>
          <w:color w:val="000000"/>
          <w:sz w:val="24"/>
          <w:szCs w:val="24"/>
        </w:rPr>
        <w:t>。</w:t>
      </w:r>
    </w:p>
    <w:p w14:paraId="3537FCBA">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12.3.2 计量周期</w:t>
      </w:r>
    </w:p>
    <w:p w14:paraId="0DA0FD75">
      <w:pPr>
        <w:pStyle w:val="16"/>
        <w:pageBreakBefore w:val="0"/>
        <w:kinsoku/>
        <w:wordWrap/>
        <w:overflowPunct/>
        <w:topLinePunct w:val="0"/>
        <w:bidi w:val="0"/>
        <w:snapToGrid/>
        <w:spacing w:line="440" w:lineRule="atLeast"/>
        <w:contextualSpacing/>
        <w:jc w:val="left"/>
        <w:textAlignment w:val="auto"/>
        <w:rPr>
          <w:rFonts w:hint="eastAsia" w:ascii="宋体" w:hAnsi="宋体" w:eastAsia="宋体" w:cs="宋体"/>
          <w:sz w:val="24"/>
          <w:szCs w:val="24"/>
          <w:u w:val="single"/>
        </w:rPr>
      </w:pPr>
      <w:r>
        <w:rPr>
          <w:rFonts w:hint="eastAsia" w:ascii="宋体" w:hAnsi="宋体" w:eastAsia="宋体" w:cs="宋体"/>
          <w:sz w:val="24"/>
          <w:szCs w:val="24"/>
        </w:rPr>
        <w:t>关于计量周期的约定：</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710DF2E0">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12.3.3 单价合同的计量</w:t>
      </w:r>
    </w:p>
    <w:p w14:paraId="1E7131EC">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关于单价合同计量的约定：</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7B90D7F3">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12.3.4 总价合同的计量</w:t>
      </w:r>
    </w:p>
    <w:p w14:paraId="4F4D45EF">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关于总价合同计量的约定：</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6979CFBE">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12.3.5总价合同采用支付分解表计量支付的，是否适用第</w:t>
      </w:r>
      <w:r>
        <w:rPr>
          <w:rFonts w:hint="eastAsia" w:ascii="宋体" w:hAnsi="宋体" w:eastAsia="宋体" w:cs="宋体"/>
          <w:color w:val="000000"/>
          <w:kern w:val="0"/>
          <w:sz w:val="24"/>
          <w:szCs w:val="24"/>
        </w:rPr>
        <w:t xml:space="preserve">12.3.4 </w:t>
      </w:r>
      <w:r>
        <w:rPr>
          <w:rFonts w:hint="eastAsia" w:ascii="宋体" w:hAnsi="宋体" w:eastAsia="宋体" w:cs="宋体"/>
          <w:color w:val="000000"/>
          <w:sz w:val="24"/>
          <w:szCs w:val="24"/>
        </w:rPr>
        <w:t>项</w:t>
      </w:r>
      <w:r>
        <w:rPr>
          <w:rFonts w:hint="eastAsia" w:ascii="宋体" w:hAnsi="宋体" w:eastAsia="宋体" w:cs="宋体"/>
          <w:color w:val="000000"/>
          <w:kern w:val="0"/>
          <w:sz w:val="24"/>
          <w:szCs w:val="24"/>
        </w:rPr>
        <w:t>〔总价合同的计量〕</w:t>
      </w:r>
      <w:r>
        <w:rPr>
          <w:rFonts w:hint="eastAsia" w:ascii="宋体" w:hAnsi="宋体" w:eastAsia="宋体" w:cs="宋体"/>
          <w:color w:val="000000"/>
          <w:sz w:val="24"/>
          <w:szCs w:val="24"/>
        </w:rPr>
        <w:t>约定进行计量：</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69896315">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12.3.6 其他价格形式合同的计量</w:t>
      </w:r>
    </w:p>
    <w:p w14:paraId="2217DF4B">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color w:val="000000"/>
          <w:sz w:val="24"/>
          <w:szCs w:val="24"/>
        </w:rPr>
      </w:pPr>
      <w:r>
        <w:rPr>
          <w:rFonts w:hint="eastAsia" w:ascii="宋体" w:hAnsi="宋体" w:eastAsia="宋体" w:cs="宋体"/>
          <w:color w:val="000000"/>
          <w:sz w:val="24"/>
          <w:szCs w:val="24"/>
        </w:rPr>
        <w:t>其他价格形式的计量方式和程序：</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p>
    <w:p w14:paraId="64FB1640">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898" w:name="_Toc4494186"/>
      <w:bookmarkStart w:id="899" w:name="_Toc528826815"/>
      <w:r>
        <w:rPr>
          <w:rFonts w:hint="eastAsia" w:ascii="宋体" w:hAnsi="宋体" w:eastAsia="宋体" w:cs="宋体"/>
          <w:b w:val="0"/>
          <w:color w:val="000000"/>
          <w:sz w:val="24"/>
          <w:szCs w:val="24"/>
        </w:rPr>
        <w:t>12.4 工程进度款支付</w:t>
      </w:r>
      <w:bookmarkEnd w:id="898"/>
      <w:bookmarkEnd w:id="899"/>
    </w:p>
    <w:p w14:paraId="4E2CC6C9">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bookmarkStart w:id="900" w:name="_Toc297216215"/>
      <w:bookmarkStart w:id="901" w:name="_Toc296891039"/>
      <w:bookmarkStart w:id="902" w:name="_Toc300935006"/>
      <w:bookmarkStart w:id="903" w:name="_Toc296503211"/>
      <w:bookmarkStart w:id="904" w:name="_Toc296891251"/>
      <w:bookmarkStart w:id="905" w:name="_Toc297123556"/>
      <w:bookmarkStart w:id="906" w:name="_Toc292559921"/>
      <w:bookmarkStart w:id="907" w:name="_Toc297120511"/>
      <w:bookmarkStart w:id="908" w:name="_Toc296346712"/>
      <w:bookmarkStart w:id="909" w:name="_Toc296347210"/>
      <w:bookmarkStart w:id="910" w:name="_Toc297048397"/>
      <w:bookmarkStart w:id="911" w:name="_Toc292559416"/>
      <w:bookmarkStart w:id="912" w:name="_Toc296944550"/>
      <w:bookmarkStart w:id="913" w:name="_Toc303539163"/>
      <w:r>
        <w:rPr>
          <w:rFonts w:hint="eastAsia" w:ascii="宋体" w:hAnsi="宋体" w:eastAsia="宋体" w:cs="宋体"/>
          <w:color w:val="000000"/>
          <w:sz w:val="24"/>
          <w:szCs w:val="24"/>
        </w:rPr>
        <w:t>12.4.1 付款周期</w:t>
      </w:r>
    </w:p>
    <w:p w14:paraId="6F5960F9">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color w:val="000000"/>
          <w:sz w:val="24"/>
          <w:szCs w:val="24"/>
          <w:u w:val="none"/>
          <w:lang w:eastAsia="zh-CN"/>
        </w:rPr>
      </w:pPr>
      <w:r>
        <w:rPr>
          <w:rFonts w:hint="eastAsia" w:ascii="宋体" w:hAnsi="宋体" w:eastAsia="宋体" w:cs="宋体"/>
          <w:color w:val="000000"/>
          <w:sz w:val="24"/>
          <w:szCs w:val="24"/>
        </w:rPr>
        <w:t>关于付款周期的约定：</w:t>
      </w:r>
      <w:r>
        <w:rPr>
          <w:rFonts w:hint="eastAsia" w:ascii="宋体" w:hAnsi="宋体" w:cs="宋体"/>
          <w:b/>
          <w:color w:val="auto"/>
          <w:sz w:val="24"/>
          <w:szCs w:val="24"/>
          <w:u w:val="single"/>
          <w:lang w:val="en-US" w:eastAsia="zh-CN"/>
        </w:rPr>
        <w:t xml:space="preserve">                         </w:t>
      </w:r>
    </w:p>
    <w:p w14:paraId="639A1483">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12.4.2 进度付款申请单的编制</w:t>
      </w:r>
    </w:p>
    <w:p w14:paraId="38AB44FD">
      <w:pPr>
        <w:pageBreakBefore w:val="0"/>
        <w:tabs>
          <w:tab w:val="left" w:pos="628"/>
        </w:tabs>
        <w:kinsoku/>
        <w:wordWrap/>
        <w:overflowPunct/>
        <w:topLinePunct w:val="0"/>
        <w:autoSpaceDE w:val="0"/>
        <w:autoSpaceDN w:val="0"/>
        <w:bidi w:val="0"/>
        <w:adjustRightInd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关于进度付款申请单编制的约定：</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sz w:val="24"/>
          <w:szCs w:val="24"/>
        </w:rPr>
        <w:t xml:space="preserve">      </w:t>
      </w:r>
    </w:p>
    <w:p w14:paraId="6B295167">
      <w:pPr>
        <w:pageBreakBefore w:val="0"/>
        <w:tabs>
          <w:tab w:val="left" w:pos="628"/>
        </w:tabs>
        <w:kinsoku/>
        <w:wordWrap/>
        <w:overflowPunct/>
        <w:topLinePunct w:val="0"/>
        <w:autoSpaceDE w:val="0"/>
        <w:autoSpaceDN w:val="0"/>
        <w:bidi w:val="0"/>
        <w:adjustRightInd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r>
        <w:rPr>
          <w:rFonts w:hint="eastAsia" w:ascii="宋体" w:hAnsi="宋体" w:eastAsia="宋体" w:cs="宋体"/>
          <w:color w:val="000000"/>
          <w:sz w:val="24"/>
          <w:szCs w:val="24"/>
        </w:rPr>
        <w:t>2.4.3 进度付款申请单的提交</w:t>
      </w:r>
    </w:p>
    <w:p w14:paraId="50ACFEF9">
      <w:pPr>
        <w:pageBreakBefore w:val="0"/>
        <w:numPr>
          <w:ilvl w:val="0"/>
          <w:numId w:val="3"/>
        </w:numPr>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单价合同进度付款申请单提交的约定：</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p>
    <w:p w14:paraId="2DD19CD5">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（2）总价合同进度付款申请单提交的约定：</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p>
    <w:p w14:paraId="0AC51C9C">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（3）其他价格形式合同进度付款申请单提交的约定：</w:t>
      </w:r>
      <w:r>
        <w:rPr>
          <w:rFonts w:hint="eastAsia" w:ascii="宋体" w:hAnsi="宋体" w:eastAsia="宋体" w:cs="宋体"/>
          <w:color w:val="000000"/>
          <w:kern w:val="0"/>
          <w:sz w:val="24"/>
          <w:szCs w:val="24"/>
          <w:u w:val="single"/>
          <w:lang w:val="en-US" w:eastAsia="zh-CN"/>
        </w:rPr>
        <w:t xml:space="preserve">           </w:t>
      </w:r>
    </w:p>
    <w:p w14:paraId="65608398">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12.4.4 进度款审核和支付</w:t>
      </w:r>
    </w:p>
    <w:p w14:paraId="656AE673">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（1）监理人审查并报送发包人的期限：</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4236CF0C">
      <w:pPr>
        <w:pageBreakBefore w:val="0"/>
        <w:tabs>
          <w:tab w:val="left" w:pos="628"/>
        </w:tabs>
        <w:kinsoku/>
        <w:wordWrap/>
        <w:overflowPunct/>
        <w:topLinePunct w:val="0"/>
        <w:autoSpaceDE w:val="0"/>
        <w:autoSpaceDN w:val="0"/>
        <w:bidi w:val="0"/>
        <w:adjustRightInd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发包人完成审批并签发进度款支付证书的期限：</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6C55DF34">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（2）发包人支付进度款的期限：</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1CD8AC7E">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发包人逾期支付进度款的违约金的计算方式：</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43FE533E">
      <w:pPr>
        <w:pageBreakBefore w:val="0"/>
        <w:kinsoku/>
        <w:wordWrap/>
        <w:overflowPunct/>
        <w:topLinePunct w:val="0"/>
        <w:bidi w:val="0"/>
        <w:snapToGrid/>
        <w:spacing w:line="440" w:lineRule="atLeast"/>
        <w:ind w:firstLine="600" w:firstLineChars="25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12.4.6 支付分解表的编制</w:t>
      </w:r>
    </w:p>
    <w:p w14:paraId="20C32153">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2、总价合同支付分解表的编制与审批：</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4AC15422">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u w:val="single"/>
          <w:lang w:val="en-US" w:eastAsia="zh-CN"/>
        </w:rPr>
      </w:pPr>
      <w:r>
        <w:rPr>
          <w:rFonts w:hint="eastAsia" w:ascii="宋体" w:hAnsi="宋体" w:eastAsia="宋体" w:cs="宋体"/>
          <w:color w:val="000000"/>
          <w:sz w:val="24"/>
          <w:szCs w:val="24"/>
        </w:rPr>
        <w:t>3、单价合同的总价项目支付分解表的编制与审批：</w:t>
      </w:r>
      <w:bookmarkStart w:id="914" w:name="_Toc528826816"/>
      <w:r>
        <w:rPr>
          <w:rFonts w:hint="eastAsia" w:ascii="宋体" w:hAnsi="宋体" w:eastAsia="宋体" w:cs="宋体"/>
          <w:color w:val="000000"/>
          <w:kern w:val="0"/>
          <w:sz w:val="24"/>
          <w:szCs w:val="24"/>
          <w:u w:val="single"/>
          <w:lang w:val="en-US" w:eastAsia="zh-CN"/>
        </w:rPr>
        <w:t xml:space="preserve">             </w:t>
      </w:r>
    </w:p>
    <w:p w14:paraId="680CA8C1">
      <w:pPr>
        <w:pageBreakBefore w:val="0"/>
        <w:kinsoku/>
        <w:wordWrap/>
        <w:overflowPunct/>
        <w:topLinePunct w:val="0"/>
        <w:bidi w:val="0"/>
        <w:snapToGrid/>
        <w:spacing w:line="440" w:lineRule="atLeast"/>
        <w:ind w:firstLine="480" w:firstLineChars="200"/>
        <w:contextualSpacing/>
        <w:jc w:val="left"/>
        <w:textAlignment w:val="auto"/>
        <w:rPr>
          <w:rFonts w:hint="default"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rPr>
        <w:t>12.6 工程款支付的其他约定：</w:t>
      </w:r>
      <w:bookmarkEnd w:id="914"/>
      <w:r>
        <w:rPr>
          <w:rFonts w:hint="eastAsia" w:ascii="宋体" w:hAnsi="宋体" w:cs="宋体"/>
          <w:bCs/>
          <w:color w:val="000000"/>
          <w:sz w:val="24"/>
          <w:szCs w:val="24"/>
          <w:u w:val="single"/>
          <w:lang w:val="en-US" w:eastAsia="zh-CN"/>
        </w:rPr>
        <w:t xml:space="preserve">                      </w:t>
      </w:r>
    </w:p>
    <w:bookmarkEnd w:id="721"/>
    <w:p w14:paraId="374B4FB5">
      <w:pPr>
        <w:pStyle w:val="5"/>
        <w:pageBreakBefore w:val="0"/>
        <w:numPr>
          <w:ilvl w:val="3"/>
          <w:numId w:val="0"/>
        </w:numPr>
        <w:kinsoku/>
        <w:wordWrap/>
        <w:overflowPunct/>
        <w:topLinePunct w:val="0"/>
        <w:bidi w:val="0"/>
        <w:snapToGrid/>
        <w:spacing w:before="0" w:after="0" w:line="440" w:lineRule="atLeast"/>
        <w:contextualSpacing/>
        <w:textAlignment w:val="auto"/>
        <w:rPr>
          <w:rFonts w:hint="eastAsia" w:ascii="宋体" w:hAnsi="宋体" w:eastAsia="宋体" w:cs="宋体"/>
          <w:b w:val="0"/>
          <w:color w:val="000000"/>
          <w:sz w:val="24"/>
          <w:szCs w:val="24"/>
        </w:rPr>
      </w:pPr>
      <w:bookmarkStart w:id="915" w:name="_Toc4494187"/>
      <w:bookmarkStart w:id="916" w:name="_Toc528826817"/>
      <w:bookmarkStart w:id="917" w:name="_Toc297216223"/>
      <w:bookmarkStart w:id="918" w:name="_Toc297123564"/>
      <w:bookmarkStart w:id="919" w:name="_Toc296503219"/>
      <w:bookmarkStart w:id="920" w:name="_Toc296944558"/>
      <w:bookmarkStart w:id="921" w:name="_Toc300935015"/>
      <w:bookmarkStart w:id="922" w:name="_Toc297048405"/>
      <w:bookmarkStart w:id="923" w:name="_Toc303539172"/>
      <w:bookmarkStart w:id="924" w:name="_Toc297120519"/>
      <w:bookmarkStart w:id="925" w:name="_Toc296346720"/>
      <w:bookmarkStart w:id="926" w:name="_Toc312678053"/>
      <w:bookmarkStart w:id="927" w:name="_Toc304295593"/>
      <w:bookmarkStart w:id="928" w:name="_Toc296891047"/>
      <w:bookmarkStart w:id="929" w:name="_Toc292559929"/>
      <w:bookmarkStart w:id="930" w:name="_Toc296891259"/>
      <w:bookmarkStart w:id="931" w:name="_Toc292559424"/>
      <w:bookmarkStart w:id="932" w:name="_Toc296347218"/>
      <w:r>
        <w:rPr>
          <w:rFonts w:hint="eastAsia" w:ascii="宋体" w:hAnsi="宋体" w:eastAsia="宋体" w:cs="宋体"/>
          <w:b w:val="0"/>
          <w:color w:val="000000"/>
          <w:sz w:val="24"/>
          <w:szCs w:val="24"/>
        </w:rPr>
        <w:t>13.验收和工程试车</w:t>
      </w:r>
      <w:bookmarkEnd w:id="915"/>
      <w:bookmarkEnd w:id="916"/>
    </w:p>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p w14:paraId="5A5D6456">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933" w:name="_Toc528826818"/>
      <w:bookmarkStart w:id="934" w:name="_Toc4494188"/>
      <w:r>
        <w:rPr>
          <w:rFonts w:hint="eastAsia" w:ascii="宋体" w:hAnsi="宋体" w:eastAsia="宋体" w:cs="宋体"/>
          <w:b w:val="0"/>
          <w:color w:val="000000"/>
          <w:sz w:val="24"/>
          <w:szCs w:val="24"/>
        </w:rPr>
        <w:t>13.1 分部分项工程验收</w:t>
      </w:r>
      <w:bookmarkEnd w:id="933"/>
      <w:bookmarkEnd w:id="934"/>
    </w:p>
    <w:p w14:paraId="25F2FA5D">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13.1.2监理人不能按时进行验收时，应提前</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color w:val="000000"/>
          <w:sz w:val="24"/>
          <w:szCs w:val="24"/>
        </w:rPr>
        <w:t>小时提交书面延期要求。</w:t>
      </w:r>
    </w:p>
    <w:p w14:paraId="4DF62CB2">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color w:val="000000"/>
          <w:sz w:val="24"/>
          <w:szCs w:val="24"/>
        </w:rPr>
      </w:pPr>
      <w:r>
        <w:rPr>
          <w:rFonts w:hint="eastAsia" w:ascii="宋体" w:hAnsi="宋体" w:eastAsia="宋体" w:cs="宋体"/>
          <w:color w:val="000000"/>
          <w:sz w:val="24"/>
          <w:szCs w:val="24"/>
        </w:rPr>
        <w:t>关于延期最长不得超过：</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color w:val="000000"/>
          <w:sz w:val="24"/>
          <w:szCs w:val="24"/>
        </w:rPr>
        <w:t>小时。</w:t>
      </w:r>
    </w:p>
    <w:p w14:paraId="585E4A56">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935" w:name="_Toc4494189"/>
      <w:bookmarkStart w:id="936" w:name="_Toc528826819"/>
      <w:bookmarkStart w:id="937" w:name="_Toc297216224"/>
      <w:bookmarkStart w:id="938" w:name="_Toc292559428"/>
      <w:bookmarkStart w:id="939" w:name="_Toc304295596"/>
      <w:bookmarkStart w:id="940" w:name="_Toc297123565"/>
      <w:bookmarkStart w:id="941" w:name="_Toc296944562"/>
      <w:bookmarkStart w:id="942" w:name="_Toc303539173"/>
      <w:bookmarkStart w:id="943" w:name="_Toc296503223"/>
      <w:bookmarkStart w:id="944" w:name="_Toc296891263"/>
      <w:bookmarkStart w:id="945" w:name="_Toc300935016"/>
      <w:bookmarkStart w:id="946" w:name="_Toc296347222"/>
      <w:bookmarkStart w:id="947" w:name="_Toc292559933"/>
      <w:bookmarkStart w:id="948" w:name="_Toc296346724"/>
      <w:bookmarkStart w:id="949" w:name="_Toc312678056"/>
      <w:bookmarkStart w:id="950" w:name="_Toc297120523"/>
      <w:bookmarkStart w:id="951" w:name="_Toc296891051"/>
      <w:bookmarkStart w:id="952" w:name="_Toc297048409"/>
      <w:bookmarkStart w:id="953" w:name="_Toc267251471"/>
      <w:bookmarkStart w:id="954" w:name="_Toc267251475"/>
      <w:bookmarkStart w:id="955" w:name="_Toc267251474"/>
      <w:bookmarkStart w:id="956" w:name="_Toc267251470"/>
      <w:bookmarkStart w:id="957" w:name="_Toc267251472"/>
      <w:bookmarkStart w:id="958" w:name="_Toc267251473"/>
      <w:bookmarkStart w:id="959" w:name="_Toc267251476"/>
      <w:r>
        <w:rPr>
          <w:rFonts w:hint="eastAsia" w:ascii="宋体" w:hAnsi="宋体" w:eastAsia="宋体" w:cs="宋体"/>
          <w:b w:val="0"/>
          <w:color w:val="000000"/>
          <w:sz w:val="24"/>
          <w:szCs w:val="24"/>
        </w:rPr>
        <w:t>13.2 竣工验收</w:t>
      </w:r>
      <w:bookmarkEnd w:id="935"/>
      <w:bookmarkEnd w:id="936"/>
    </w:p>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p w14:paraId="452095A2">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bookmarkStart w:id="960" w:name="_Toc280868704"/>
      <w:bookmarkStart w:id="961" w:name="_Toc280868705"/>
      <w:bookmarkStart w:id="962" w:name="_Toc280868706"/>
      <w:bookmarkStart w:id="963" w:name="_Toc280868707"/>
      <w:bookmarkStart w:id="964" w:name="_Toc280868708"/>
      <w:bookmarkStart w:id="965" w:name="_Toc280868709"/>
      <w:r>
        <w:rPr>
          <w:rFonts w:hint="eastAsia" w:ascii="宋体" w:hAnsi="宋体" w:eastAsia="宋体" w:cs="宋体"/>
          <w:color w:val="000000"/>
          <w:sz w:val="24"/>
          <w:szCs w:val="24"/>
        </w:rPr>
        <w:t>13.2.2竣工验收程序</w:t>
      </w:r>
    </w:p>
    <w:bookmarkEnd w:id="960"/>
    <w:p w14:paraId="65366066">
      <w:pPr>
        <w:pStyle w:val="16"/>
        <w:pageBreakBefore w:val="0"/>
        <w:kinsoku/>
        <w:wordWrap/>
        <w:overflowPunct/>
        <w:topLinePunct w:val="0"/>
        <w:bidi w:val="0"/>
        <w:snapToGrid/>
        <w:spacing w:line="440" w:lineRule="atLeast"/>
        <w:contextualSpacing/>
        <w:jc w:val="left"/>
        <w:textAlignment w:val="auto"/>
        <w:rPr>
          <w:rFonts w:hint="eastAsia" w:ascii="宋体" w:hAnsi="宋体" w:eastAsia="宋体" w:cs="宋体"/>
          <w:b w:val="0"/>
          <w:sz w:val="24"/>
          <w:szCs w:val="24"/>
        </w:rPr>
      </w:pPr>
      <w:r>
        <w:rPr>
          <w:rFonts w:hint="eastAsia" w:ascii="宋体" w:hAnsi="宋体" w:eastAsia="宋体" w:cs="宋体"/>
          <w:sz w:val="24"/>
          <w:szCs w:val="24"/>
        </w:rPr>
        <w:t>关于竣工验收程序的约定：</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20B10961">
      <w:pPr>
        <w:pStyle w:val="16"/>
        <w:pageBreakBefore w:val="0"/>
        <w:kinsoku/>
        <w:wordWrap/>
        <w:overflowPunct/>
        <w:topLinePunct w:val="0"/>
        <w:bidi w:val="0"/>
        <w:snapToGrid/>
        <w:spacing w:line="440" w:lineRule="atLeast"/>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发包人不按照本项约定组织竣工验收、颁发工程接收证书的违约金的计算方法：</w:t>
      </w:r>
      <w:r>
        <w:rPr>
          <w:rFonts w:hint="eastAsia" w:ascii="宋体" w:hAnsi="宋体" w:eastAsia="宋体" w:cs="宋体"/>
          <w:color w:val="000000"/>
          <w:kern w:val="0"/>
          <w:sz w:val="24"/>
          <w:szCs w:val="24"/>
          <w:u w:val="single"/>
          <w:lang w:val="en-US" w:eastAsia="zh-CN"/>
        </w:rPr>
        <w:t xml:space="preserve">           </w:t>
      </w:r>
    </w:p>
    <w:bookmarkEnd w:id="961"/>
    <w:p w14:paraId="50192D6A">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13.2.5移交、接收全部与部分工程</w:t>
      </w:r>
    </w:p>
    <w:bookmarkEnd w:id="962"/>
    <w:p w14:paraId="53A63A9D">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承包人向发包人移交工程的期限：</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4B5CA35A">
      <w:pPr>
        <w:pageBreakBefore w:val="0"/>
        <w:kinsoku/>
        <w:wordWrap/>
        <w:overflowPunct/>
        <w:topLinePunct w:val="0"/>
        <w:bidi w:val="0"/>
        <w:snapToGrid/>
        <w:spacing w:line="440" w:lineRule="atLeast"/>
        <w:ind w:left="479" w:leftChars="228" w:firstLine="0" w:firstLineChars="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rPr>
        <w:t>发包人未按本合同约定接收全部或部分工程的，违约金的计算方法为：</w:t>
      </w:r>
      <w:bookmarkEnd w:id="963"/>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rPr>
        <w:t>承包人未按时移交工程的，违约金的计算方法为：</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6C98D3DA">
      <w:pPr>
        <w:pageBreakBefore w:val="0"/>
        <w:kinsoku/>
        <w:wordWrap/>
        <w:overflowPunct/>
        <w:topLinePunct w:val="0"/>
        <w:bidi w:val="0"/>
        <w:snapToGrid/>
        <w:spacing w:line="440" w:lineRule="atLeast"/>
        <w:ind w:firstLine="480" w:firstLineChars="200"/>
        <w:contextualSpacing/>
        <w:jc w:val="left"/>
        <w:textAlignment w:val="auto"/>
        <w:rPr>
          <w:rFonts w:hint="default" w:ascii="宋体" w:hAnsi="宋体" w:eastAsia="宋体" w:cs="宋体"/>
          <w:b/>
          <w:bCs/>
          <w:sz w:val="24"/>
          <w:szCs w:val="24"/>
          <w:u w:val="single"/>
          <w:lang w:val="en-US" w:eastAsia="zh-CN"/>
        </w:rPr>
      </w:pPr>
      <w:r>
        <w:rPr>
          <w:rFonts w:hint="eastAsia" w:ascii="宋体" w:hAnsi="宋体" w:eastAsia="宋体" w:cs="宋体"/>
          <w:color w:val="000000"/>
          <w:sz w:val="24"/>
          <w:szCs w:val="24"/>
        </w:rPr>
        <w:t>13.2.6 工程验收的其他约定：</w:t>
      </w:r>
      <w:r>
        <w:rPr>
          <w:rFonts w:hint="eastAsia" w:ascii="宋体" w:hAnsi="宋体" w:eastAsia="宋体" w:cs="宋体"/>
          <w:b/>
          <w:bCs/>
          <w:sz w:val="24"/>
          <w:szCs w:val="24"/>
          <w:u w:val="single"/>
          <w:lang w:val="en-US" w:eastAsia="zh-CN"/>
        </w:rPr>
        <w:t xml:space="preserve">                 </w:t>
      </w:r>
    </w:p>
    <w:p w14:paraId="3C82CFDD">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966" w:name="_Toc528826820"/>
      <w:bookmarkStart w:id="967" w:name="_Toc4494190"/>
      <w:r>
        <w:rPr>
          <w:rFonts w:hint="eastAsia" w:ascii="宋体" w:hAnsi="宋体" w:eastAsia="宋体" w:cs="宋体"/>
          <w:b w:val="0"/>
          <w:color w:val="000000"/>
          <w:sz w:val="24"/>
          <w:szCs w:val="24"/>
        </w:rPr>
        <w:t>13.3 工程试车</w:t>
      </w:r>
      <w:bookmarkEnd w:id="966"/>
      <w:bookmarkEnd w:id="967"/>
    </w:p>
    <w:bookmarkEnd w:id="964"/>
    <w:p w14:paraId="3615B9EA">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13.3.1 试车程序</w:t>
      </w:r>
    </w:p>
    <w:p w14:paraId="7297A797">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工程试车内容：</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4E0F731E">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（1）单机无负荷试车费用由</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color w:val="000000"/>
          <w:kern w:val="0"/>
          <w:sz w:val="24"/>
          <w:szCs w:val="24"/>
        </w:rPr>
        <w:t>承担；</w:t>
      </w:r>
    </w:p>
    <w:p w14:paraId="399B6156">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（2）无负荷联动试车费用由</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color w:val="000000"/>
          <w:kern w:val="0"/>
          <w:sz w:val="24"/>
          <w:szCs w:val="24"/>
        </w:rPr>
        <w:t>承担。</w:t>
      </w:r>
    </w:p>
    <w:p w14:paraId="04371B4C">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13.3.3 投料试车</w:t>
      </w:r>
    </w:p>
    <w:p w14:paraId="5C18B6F7">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关于投料试车相关事项的约定：</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2D894FB3">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968" w:name="_Toc4494191"/>
      <w:bookmarkStart w:id="969" w:name="_Toc528826821"/>
      <w:r>
        <w:rPr>
          <w:rFonts w:hint="eastAsia" w:ascii="宋体" w:hAnsi="宋体" w:eastAsia="宋体" w:cs="宋体"/>
          <w:b w:val="0"/>
          <w:color w:val="000000"/>
          <w:sz w:val="24"/>
          <w:szCs w:val="24"/>
        </w:rPr>
        <w:t>13.6 竣工退场</w:t>
      </w:r>
      <w:bookmarkEnd w:id="968"/>
      <w:bookmarkEnd w:id="969"/>
    </w:p>
    <w:p w14:paraId="51DC5D27">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13.6.1 竣工退场</w:t>
      </w:r>
    </w:p>
    <w:p w14:paraId="2F95E38E">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u w:val="single"/>
        </w:rPr>
      </w:pPr>
      <w:r>
        <w:rPr>
          <w:rFonts w:hint="eastAsia" w:ascii="宋体" w:hAnsi="宋体" w:eastAsia="宋体" w:cs="宋体"/>
          <w:color w:val="000000"/>
          <w:kern w:val="0"/>
          <w:sz w:val="24"/>
          <w:szCs w:val="24"/>
        </w:rPr>
        <w:t>承包人完成竣工退场的期限：</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7468277D">
      <w:pPr>
        <w:pStyle w:val="5"/>
        <w:pageBreakBefore w:val="0"/>
        <w:numPr>
          <w:ilvl w:val="3"/>
          <w:numId w:val="0"/>
        </w:numPr>
        <w:kinsoku/>
        <w:wordWrap/>
        <w:overflowPunct/>
        <w:topLinePunct w:val="0"/>
        <w:bidi w:val="0"/>
        <w:snapToGrid/>
        <w:spacing w:before="0" w:after="0" w:line="440" w:lineRule="atLeast"/>
        <w:contextualSpacing/>
        <w:textAlignment w:val="auto"/>
        <w:rPr>
          <w:rFonts w:hint="eastAsia" w:ascii="宋体" w:hAnsi="宋体" w:eastAsia="宋体" w:cs="宋体"/>
          <w:b w:val="0"/>
          <w:color w:val="000000"/>
          <w:sz w:val="24"/>
          <w:szCs w:val="24"/>
        </w:rPr>
      </w:pPr>
      <w:bookmarkStart w:id="970" w:name="_Toc528826822"/>
      <w:bookmarkStart w:id="971" w:name="_Toc4494192"/>
      <w:r>
        <w:rPr>
          <w:rFonts w:hint="eastAsia" w:ascii="宋体" w:hAnsi="宋体" w:eastAsia="宋体" w:cs="宋体"/>
          <w:b w:val="0"/>
          <w:color w:val="000000"/>
          <w:sz w:val="24"/>
          <w:szCs w:val="24"/>
        </w:rPr>
        <w:t>14. 竣工结算</w:t>
      </w:r>
      <w:bookmarkEnd w:id="970"/>
      <w:bookmarkEnd w:id="971"/>
    </w:p>
    <w:p w14:paraId="2494391B">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972" w:name="_Toc528826823"/>
      <w:bookmarkStart w:id="973" w:name="_Toc4494193"/>
      <w:r>
        <w:rPr>
          <w:rFonts w:hint="eastAsia" w:ascii="宋体" w:hAnsi="宋体" w:eastAsia="宋体" w:cs="宋体"/>
          <w:b w:val="0"/>
          <w:color w:val="000000"/>
          <w:sz w:val="24"/>
          <w:szCs w:val="24"/>
        </w:rPr>
        <w:t>14.1 竣工结算申请</w:t>
      </w:r>
      <w:bookmarkEnd w:id="972"/>
      <w:bookmarkEnd w:id="973"/>
    </w:p>
    <w:p w14:paraId="0C76B4AD">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承包人提交竣工结算申请单的期限：</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08B32C26">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竣工结算申请单应包括的内容：</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496A9A84">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b/>
          <w:bCs/>
          <w:color w:val="000000"/>
          <w:sz w:val="24"/>
          <w:szCs w:val="24"/>
        </w:rPr>
      </w:pPr>
      <w:r>
        <w:rPr>
          <w:rFonts w:hint="eastAsia" w:ascii="宋体" w:hAnsi="宋体" w:eastAsia="宋体" w:cs="宋体"/>
          <w:color w:val="000000"/>
          <w:sz w:val="24"/>
          <w:szCs w:val="24"/>
        </w:rPr>
        <w:t>竣工结算的其他约定：</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02B63739">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974" w:name="_Toc528826824"/>
      <w:bookmarkStart w:id="975" w:name="_Toc4494194"/>
      <w:r>
        <w:rPr>
          <w:rFonts w:hint="eastAsia" w:ascii="宋体" w:hAnsi="宋体" w:eastAsia="宋体" w:cs="宋体"/>
          <w:b w:val="0"/>
          <w:color w:val="000000"/>
          <w:sz w:val="24"/>
          <w:szCs w:val="24"/>
        </w:rPr>
        <w:t>14.2 竣工结算审核</w:t>
      </w:r>
      <w:bookmarkEnd w:id="974"/>
      <w:bookmarkEnd w:id="975"/>
    </w:p>
    <w:p w14:paraId="34F0B8B4">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发包人审批竣工付款申请单的期限：</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006D1F06">
      <w:pPr>
        <w:pageBreakBefore w:val="0"/>
        <w:kinsoku/>
        <w:wordWrap/>
        <w:overflowPunct/>
        <w:topLinePunct w:val="0"/>
        <w:autoSpaceDE w:val="0"/>
        <w:autoSpaceDN w:val="0"/>
        <w:bidi w:val="0"/>
        <w:adjustRightInd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u w:val="single"/>
          <w:lang w:val="en-US" w:eastAsia="zh-CN"/>
        </w:rPr>
      </w:pPr>
      <w:r>
        <w:rPr>
          <w:rFonts w:hint="eastAsia" w:ascii="宋体" w:hAnsi="宋体" w:eastAsia="宋体" w:cs="宋体"/>
          <w:color w:val="000000"/>
          <w:sz w:val="24"/>
          <w:szCs w:val="24"/>
        </w:rPr>
        <w:t>发包人完成竣工付款的期限：</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4743C0F1">
      <w:pPr>
        <w:pageBreakBefore w:val="0"/>
        <w:kinsoku/>
        <w:wordWrap/>
        <w:overflowPunct/>
        <w:topLinePunct w:val="0"/>
        <w:autoSpaceDE w:val="0"/>
        <w:autoSpaceDN w:val="0"/>
        <w:bidi w:val="0"/>
        <w:adjustRightInd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u w:val="single"/>
        </w:rPr>
      </w:pPr>
      <w:r>
        <w:rPr>
          <w:rFonts w:hint="eastAsia" w:ascii="宋体" w:hAnsi="宋体" w:eastAsia="宋体" w:cs="宋体"/>
          <w:color w:val="000000"/>
          <w:sz w:val="24"/>
          <w:szCs w:val="24"/>
        </w:rPr>
        <w:t>关于竣工付款证书异议部分复核的方式和程序：</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56A91788">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color w:val="000000"/>
          <w:kern w:val="0"/>
          <w:sz w:val="24"/>
          <w:szCs w:val="24"/>
          <w:u w:val="single"/>
        </w:rPr>
      </w:pPr>
      <w:bookmarkStart w:id="976" w:name="_Toc528826825"/>
      <w:bookmarkStart w:id="977" w:name="_Toc4494195"/>
      <w:r>
        <w:rPr>
          <w:rFonts w:hint="eastAsia" w:ascii="宋体" w:hAnsi="宋体" w:eastAsia="宋体" w:cs="宋体"/>
          <w:b w:val="0"/>
          <w:color w:val="000000"/>
          <w:sz w:val="24"/>
          <w:szCs w:val="24"/>
        </w:rPr>
        <w:t>14.3 甩项竣工协议</w:t>
      </w:r>
      <w:bookmarkEnd w:id="976"/>
      <w:bookmarkEnd w:id="977"/>
      <w:r>
        <w:rPr>
          <w:rFonts w:hint="eastAsia" w:ascii="宋体" w:hAnsi="宋体" w:eastAsia="宋体" w:cs="宋体"/>
          <w:b w:val="0"/>
          <w:color w:val="000000"/>
          <w:sz w:val="24"/>
          <w:szCs w:val="24"/>
          <w:lang w:eastAsia="zh-CN"/>
        </w:rPr>
        <w:t>：</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1C94AE17">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978" w:name="_Toc528826826"/>
      <w:bookmarkStart w:id="979" w:name="_Toc4494196"/>
      <w:r>
        <w:rPr>
          <w:rFonts w:hint="eastAsia" w:ascii="宋体" w:hAnsi="宋体" w:eastAsia="宋体" w:cs="宋体"/>
          <w:b w:val="0"/>
          <w:color w:val="000000"/>
          <w:sz w:val="24"/>
          <w:szCs w:val="24"/>
        </w:rPr>
        <w:t>14.4 最终结清</w:t>
      </w:r>
      <w:bookmarkEnd w:id="978"/>
      <w:bookmarkEnd w:id="979"/>
    </w:p>
    <w:p w14:paraId="0CFB3F42">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14.4.1 最终结清申请单</w:t>
      </w:r>
    </w:p>
    <w:p w14:paraId="138D589E">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承包人提交最终结清申请单的份数：</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182C70CE">
      <w:pPr>
        <w:pageBreakBefore w:val="0"/>
        <w:kinsoku/>
        <w:wordWrap/>
        <w:overflowPunct/>
        <w:topLinePunct w:val="0"/>
        <w:autoSpaceDE w:val="0"/>
        <w:autoSpaceDN w:val="0"/>
        <w:bidi w:val="0"/>
        <w:adjustRightInd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u w:val="single"/>
        </w:rPr>
      </w:pPr>
      <w:r>
        <w:rPr>
          <w:rFonts w:hint="eastAsia" w:ascii="宋体" w:hAnsi="宋体" w:eastAsia="宋体" w:cs="宋体"/>
          <w:color w:val="000000"/>
          <w:kern w:val="0"/>
          <w:sz w:val="24"/>
          <w:szCs w:val="24"/>
        </w:rPr>
        <w:t>承包人提交最终结算申请单的期限：</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24D98894">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14.4.2 最终结清证书和支付</w:t>
      </w:r>
    </w:p>
    <w:p w14:paraId="669C6DC6">
      <w:pPr>
        <w:pageBreakBefore w:val="0"/>
        <w:kinsoku/>
        <w:wordWrap/>
        <w:overflowPunct/>
        <w:topLinePunct w:val="0"/>
        <w:bidi w:val="0"/>
        <w:snapToGrid/>
        <w:spacing w:line="440" w:lineRule="atLeast"/>
        <w:ind w:left="479" w:leftChars="228" w:firstLine="0" w:firstLineChars="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（1）发包人完成最终结清申请单的审批并颁发最终结清证书的期限：</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rPr>
        <w:t>（2）发包人完成支付的期限：</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bookmarkEnd w:id="953"/>
    <w:bookmarkEnd w:id="954"/>
    <w:bookmarkEnd w:id="955"/>
    <w:bookmarkEnd w:id="956"/>
    <w:bookmarkEnd w:id="957"/>
    <w:bookmarkEnd w:id="958"/>
    <w:bookmarkEnd w:id="959"/>
    <w:bookmarkEnd w:id="965"/>
    <w:p w14:paraId="292443DD">
      <w:pPr>
        <w:pStyle w:val="5"/>
        <w:pageBreakBefore w:val="0"/>
        <w:numPr>
          <w:ilvl w:val="3"/>
          <w:numId w:val="0"/>
        </w:numPr>
        <w:kinsoku/>
        <w:wordWrap/>
        <w:overflowPunct/>
        <w:topLinePunct w:val="0"/>
        <w:bidi w:val="0"/>
        <w:snapToGrid/>
        <w:spacing w:before="0" w:after="0" w:line="440" w:lineRule="atLeast"/>
        <w:contextualSpacing/>
        <w:textAlignment w:val="auto"/>
        <w:rPr>
          <w:rFonts w:hint="eastAsia" w:ascii="宋体" w:hAnsi="宋体" w:eastAsia="宋体" w:cs="宋体"/>
          <w:b w:val="0"/>
          <w:color w:val="000000"/>
          <w:sz w:val="24"/>
          <w:szCs w:val="24"/>
        </w:rPr>
      </w:pPr>
      <w:bookmarkStart w:id="980" w:name="_Toc528826827"/>
      <w:bookmarkStart w:id="981" w:name="_Toc4494197"/>
      <w:bookmarkStart w:id="982" w:name="_Toc267251483"/>
      <w:bookmarkStart w:id="983" w:name="_Toc267251484"/>
      <w:bookmarkStart w:id="984" w:name="_Toc267251482"/>
      <w:bookmarkStart w:id="985" w:name="_Toc267251485"/>
      <w:bookmarkStart w:id="986" w:name="_Toc267251490"/>
      <w:bookmarkStart w:id="987" w:name="_Toc267251486"/>
      <w:bookmarkStart w:id="988" w:name="_Toc267251489"/>
      <w:bookmarkStart w:id="989" w:name="_Toc267251488"/>
      <w:bookmarkStart w:id="990" w:name="_Toc267251494"/>
      <w:bookmarkStart w:id="991" w:name="_Toc267251499"/>
      <w:bookmarkStart w:id="992" w:name="_Toc267251501"/>
      <w:bookmarkStart w:id="993" w:name="_Toc267251503"/>
      <w:bookmarkStart w:id="994" w:name="_Toc267251498"/>
      <w:bookmarkStart w:id="995" w:name="_Toc267251491"/>
      <w:bookmarkStart w:id="996" w:name="_Toc267251496"/>
      <w:bookmarkStart w:id="997" w:name="_Toc267251502"/>
      <w:bookmarkStart w:id="998" w:name="_Toc267251492"/>
      <w:bookmarkStart w:id="999" w:name="_Toc267251495"/>
      <w:bookmarkStart w:id="1000" w:name="_Toc267251497"/>
      <w:bookmarkStart w:id="1001" w:name="_Toc267251493"/>
      <w:bookmarkStart w:id="1002" w:name="_Toc267251504"/>
      <w:bookmarkStart w:id="1003" w:name="_Toc267251506"/>
      <w:bookmarkStart w:id="1004" w:name="_Toc267251507"/>
      <w:bookmarkStart w:id="1005" w:name="_Toc267251508"/>
      <w:bookmarkStart w:id="1006" w:name="_Toc267251511"/>
      <w:bookmarkStart w:id="1007" w:name="_Toc267251509"/>
      <w:bookmarkStart w:id="1008" w:name="_Toc267251510"/>
      <w:bookmarkStart w:id="1009" w:name="_Toc267251514"/>
      <w:bookmarkStart w:id="1010" w:name="_Toc267251515"/>
      <w:bookmarkStart w:id="1011" w:name="_Toc267251513"/>
      <w:r>
        <w:rPr>
          <w:rFonts w:hint="eastAsia" w:ascii="宋体" w:hAnsi="宋体" w:eastAsia="宋体" w:cs="宋体"/>
          <w:b w:val="0"/>
          <w:color w:val="000000"/>
          <w:sz w:val="24"/>
          <w:szCs w:val="24"/>
        </w:rPr>
        <w:t>15. 缺陷责任期与保修</w:t>
      </w:r>
      <w:bookmarkEnd w:id="980"/>
      <w:bookmarkEnd w:id="981"/>
    </w:p>
    <w:p w14:paraId="685C6E1F">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1012" w:name="_Toc528826828"/>
      <w:bookmarkStart w:id="1013" w:name="_Toc4494198"/>
      <w:r>
        <w:rPr>
          <w:rFonts w:hint="eastAsia" w:ascii="宋体" w:hAnsi="宋体" w:eastAsia="宋体" w:cs="宋体"/>
          <w:b w:val="0"/>
          <w:color w:val="000000"/>
          <w:sz w:val="24"/>
          <w:szCs w:val="24"/>
        </w:rPr>
        <w:t>15.2 缺陷责任期</w:t>
      </w:r>
      <w:bookmarkEnd w:id="982"/>
      <w:bookmarkEnd w:id="1012"/>
      <w:bookmarkEnd w:id="1013"/>
    </w:p>
    <w:p w14:paraId="0A7F573F">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缺陷责任期的具体期限：</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1E2B38B1">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1014" w:name="_Toc4494199"/>
      <w:bookmarkStart w:id="1015" w:name="_Toc528826829"/>
      <w:r>
        <w:rPr>
          <w:rFonts w:hint="eastAsia" w:ascii="宋体" w:hAnsi="宋体" w:eastAsia="宋体" w:cs="宋体"/>
          <w:b w:val="0"/>
          <w:color w:val="000000"/>
          <w:sz w:val="24"/>
          <w:szCs w:val="24"/>
        </w:rPr>
        <w:t>15.3 质量保证金</w:t>
      </w:r>
      <w:bookmarkEnd w:id="1014"/>
      <w:bookmarkEnd w:id="1015"/>
    </w:p>
    <w:p w14:paraId="0C763554">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color w:val="000000"/>
          <w:sz w:val="24"/>
          <w:szCs w:val="24"/>
          <w:u w:val="none"/>
        </w:rPr>
      </w:pPr>
      <w:r>
        <w:rPr>
          <w:rFonts w:hint="eastAsia" w:ascii="宋体" w:hAnsi="宋体" w:eastAsia="宋体" w:cs="宋体"/>
          <w:color w:val="000000"/>
          <w:sz w:val="24"/>
          <w:szCs w:val="24"/>
        </w:rPr>
        <w:t>关于是否扣留质量保证金的约定：</w:t>
      </w:r>
      <w:r>
        <w:rPr>
          <w:rFonts w:hint="eastAsia" w:ascii="宋体" w:hAnsi="宋体" w:eastAsia="宋体" w:cs="宋体"/>
          <w:b/>
          <w:color w:val="000000"/>
          <w:sz w:val="24"/>
          <w:szCs w:val="24"/>
          <w:u w:val="single"/>
        </w:rPr>
        <w:t>工程质量</w:t>
      </w:r>
      <w:r>
        <w:rPr>
          <w:rFonts w:hint="eastAsia" w:ascii="宋体" w:hAnsi="宋体" w:cs="宋体"/>
          <w:b/>
          <w:color w:val="000000"/>
          <w:sz w:val="24"/>
          <w:szCs w:val="24"/>
          <w:u w:val="single"/>
          <w:lang w:val="en-US" w:eastAsia="zh-CN"/>
        </w:rPr>
        <w:t>保证</w:t>
      </w:r>
      <w:r>
        <w:rPr>
          <w:rFonts w:hint="eastAsia" w:ascii="宋体" w:hAnsi="宋体" w:eastAsia="宋体" w:cs="宋体"/>
          <w:b/>
          <w:color w:val="000000"/>
          <w:sz w:val="24"/>
          <w:szCs w:val="24"/>
          <w:u w:val="single"/>
        </w:rPr>
        <w:t>金为结算</w:t>
      </w:r>
      <w:r>
        <w:rPr>
          <w:rFonts w:hint="eastAsia" w:ascii="宋体" w:hAnsi="宋体" w:cs="宋体"/>
          <w:b/>
          <w:color w:val="000000"/>
          <w:sz w:val="24"/>
          <w:szCs w:val="24"/>
          <w:u w:val="single"/>
          <w:lang w:val="en-US" w:eastAsia="zh-CN"/>
        </w:rPr>
        <w:t>审定</w:t>
      </w:r>
      <w:r>
        <w:rPr>
          <w:rFonts w:hint="eastAsia" w:ascii="宋体" w:hAnsi="宋体" w:eastAsia="宋体" w:cs="宋体"/>
          <w:b/>
          <w:color w:val="000000"/>
          <w:sz w:val="24"/>
          <w:szCs w:val="24"/>
          <w:u w:val="single"/>
        </w:rPr>
        <w:t>价的3%</w:t>
      </w:r>
      <w:r>
        <w:rPr>
          <w:rFonts w:hint="eastAsia" w:ascii="宋体" w:hAnsi="宋体" w:eastAsia="宋体" w:cs="宋体"/>
          <w:b w:val="0"/>
          <w:bCs/>
          <w:color w:val="000000"/>
          <w:sz w:val="24"/>
          <w:szCs w:val="24"/>
          <w:u w:val="none"/>
        </w:rPr>
        <w:t>。</w:t>
      </w:r>
    </w:p>
    <w:p w14:paraId="720FACA5">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在工程项目竣工前，承包人按专用合同条款第3.7条提供履约担保的，发包人不得同时预留工程质量保证金。</w:t>
      </w:r>
    </w:p>
    <w:p w14:paraId="0C8F002A">
      <w:pPr>
        <w:pageBreakBefore w:val="0"/>
        <w:kinsoku/>
        <w:wordWrap/>
        <w:overflowPunct/>
        <w:topLinePunct w:val="0"/>
        <w:bidi w:val="0"/>
        <w:snapToGrid/>
        <w:spacing w:line="440" w:lineRule="atLeast"/>
        <w:ind w:left="149" w:leftChars="71" w:firstLine="360" w:firstLineChars="15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15.3.1 承包人提供质量保证金的方式</w:t>
      </w:r>
    </w:p>
    <w:p w14:paraId="7E9BD904">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质量保证金采用以下第</w:t>
      </w:r>
      <w:r>
        <w:rPr>
          <w:rFonts w:hint="eastAsia" w:ascii="宋体" w:hAnsi="宋体" w:eastAsia="宋体" w:cs="宋体"/>
          <w:b/>
          <w:color w:val="000000"/>
          <w:sz w:val="24"/>
          <w:szCs w:val="24"/>
          <w:u w:val="single"/>
        </w:rPr>
        <w:t>（2）</w:t>
      </w:r>
      <w:r>
        <w:rPr>
          <w:rFonts w:hint="eastAsia" w:ascii="宋体" w:hAnsi="宋体" w:eastAsia="宋体" w:cs="宋体"/>
          <w:color w:val="000000"/>
          <w:sz w:val="24"/>
          <w:szCs w:val="24"/>
        </w:rPr>
        <w:t>种方式：</w:t>
      </w:r>
    </w:p>
    <w:p w14:paraId="519F4004">
      <w:pPr>
        <w:pageBreakBefore w:val="0"/>
        <w:kinsoku/>
        <w:wordWrap/>
        <w:overflowPunct/>
        <w:topLinePunct w:val="0"/>
        <w:autoSpaceDE w:val="0"/>
        <w:autoSpaceDN w:val="0"/>
        <w:bidi w:val="0"/>
        <w:adjustRightInd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（1）质量保证金保函，保证金额为：</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 xml:space="preserve">； </w:t>
      </w:r>
    </w:p>
    <w:p w14:paraId="08983CDD">
      <w:pPr>
        <w:pageBreakBefore w:val="0"/>
        <w:kinsoku/>
        <w:wordWrap/>
        <w:overflowPunct/>
        <w:topLinePunct w:val="0"/>
        <w:autoSpaceDE w:val="0"/>
        <w:autoSpaceDN w:val="0"/>
        <w:bidi w:val="0"/>
        <w:adjustRightInd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r>
        <w:rPr>
          <w:rFonts w:hint="eastAsia" w:ascii="宋体" w:hAnsi="宋体" w:eastAsia="宋体" w:cs="宋体"/>
          <w:color w:val="000000"/>
          <w:kern w:val="0"/>
          <w:sz w:val="24"/>
          <w:szCs w:val="24"/>
          <w:u w:val="single"/>
        </w:rPr>
        <w:t xml:space="preserve"> </w:t>
      </w:r>
      <w:r>
        <w:rPr>
          <w:rFonts w:hint="eastAsia" w:ascii="宋体" w:hAnsi="宋体" w:eastAsia="宋体" w:cs="宋体"/>
          <w:b/>
          <w:bCs/>
          <w:color w:val="000000"/>
          <w:kern w:val="0"/>
          <w:sz w:val="24"/>
          <w:szCs w:val="24"/>
          <w:u w:val="single"/>
        </w:rPr>
        <w:t>3</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%的工程款；</w:t>
      </w:r>
    </w:p>
    <w:p w14:paraId="3B4A1F9D">
      <w:pPr>
        <w:pageBreakBefore w:val="0"/>
        <w:kinsoku/>
        <w:wordWrap/>
        <w:overflowPunct/>
        <w:topLinePunct w:val="0"/>
        <w:autoSpaceDE w:val="0"/>
        <w:autoSpaceDN w:val="0"/>
        <w:bidi w:val="0"/>
        <w:adjustRightInd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（3）其他方式：</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w:t>
      </w:r>
    </w:p>
    <w:p w14:paraId="0F3C9B1A">
      <w:pPr>
        <w:pageBreakBefore w:val="0"/>
        <w:kinsoku/>
        <w:wordWrap/>
        <w:overflowPunct/>
        <w:topLinePunct w:val="0"/>
        <w:bidi w:val="0"/>
        <w:snapToGrid/>
        <w:spacing w:line="440" w:lineRule="atLeast"/>
        <w:ind w:left="149" w:leftChars="71" w:firstLine="360" w:firstLineChars="15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15.3.2 质量保证金的扣留 </w:t>
      </w:r>
    </w:p>
    <w:p w14:paraId="3D51B63F">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质量保证金的扣留采取以下第</w:t>
      </w:r>
      <w:r>
        <w:rPr>
          <w:rFonts w:hint="eastAsia" w:ascii="宋体" w:hAnsi="宋体" w:eastAsia="宋体" w:cs="宋体"/>
          <w:b/>
          <w:color w:val="000000"/>
          <w:sz w:val="24"/>
          <w:szCs w:val="24"/>
          <w:u w:val="single"/>
        </w:rPr>
        <w:t>（2）</w:t>
      </w:r>
      <w:r>
        <w:rPr>
          <w:rFonts w:hint="eastAsia" w:ascii="宋体" w:hAnsi="宋体" w:eastAsia="宋体" w:cs="宋体"/>
          <w:color w:val="000000"/>
          <w:sz w:val="24"/>
          <w:szCs w:val="24"/>
        </w:rPr>
        <w:t>种方式：</w:t>
      </w:r>
    </w:p>
    <w:p w14:paraId="0D00867D">
      <w:pPr>
        <w:pageBreakBefore w:val="0"/>
        <w:kinsoku/>
        <w:wordWrap/>
        <w:overflowPunct/>
        <w:topLinePunct w:val="0"/>
        <w:autoSpaceDE w:val="0"/>
        <w:autoSpaceDN w:val="0"/>
        <w:bidi w:val="0"/>
        <w:adjustRightInd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（1）在支付工程进度款时逐次扣留，在此情形下，质量保证金的计算基数不包括预付款的支付、扣回以及价格调整的金额；</w:t>
      </w:r>
    </w:p>
    <w:p w14:paraId="2D489832">
      <w:pPr>
        <w:pageBreakBefore w:val="0"/>
        <w:kinsoku/>
        <w:wordWrap/>
        <w:overflowPunct/>
        <w:topLinePunct w:val="0"/>
        <w:bidi w:val="0"/>
        <w:snapToGrid/>
        <w:spacing w:line="440" w:lineRule="atLeast"/>
        <w:ind w:left="149" w:leftChars="71" w:firstLine="360" w:firstLineChars="15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（2）工程竣工结算时一次性扣留质量保证金；</w:t>
      </w:r>
    </w:p>
    <w:p w14:paraId="7711CC32">
      <w:pPr>
        <w:pageBreakBefore w:val="0"/>
        <w:kinsoku/>
        <w:wordWrap/>
        <w:overflowPunct/>
        <w:topLinePunct w:val="0"/>
        <w:autoSpaceDE w:val="0"/>
        <w:autoSpaceDN w:val="0"/>
        <w:bidi w:val="0"/>
        <w:adjustRightInd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（3）其他扣留方式：</w:t>
      </w:r>
      <w:r>
        <w:rPr>
          <w:rFonts w:hint="eastAsia" w:ascii="宋体" w:hAnsi="宋体" w:eastAsia="宋体" w:cs="宋体"/>
          <w:b/>
          <w:color w:val="000000"/>
          <w:kern w:val="0"/>
          <w:sz w:val="24"/>
          <w:szCs w:val="24"/>
          <w:u w:val="single"/>
        </w:rPr>
        <w:t>无</w:t>
      </w:r>
      <w:r>
        <w:rPr>
          <w:rFonts w:hint="eastAsia" w:ascii="宋体" w:hAnsi="宋体" w:eastAsia="宋体" w:cs="宋体"/>
          <w:b w:val="0"/>
          <w:bCs/>
          <w:color w:val="000000"/>
          <w:kern w:val="0"/>
          <w:sz w:val="24"/>
          <w:szCs w:val="24"/>
          <w:u w:val="none"/>
        </w:rPr>
        <w:t>。</w:t>
      </w:r>
    </w:p>
    <w:p w14:paraId="65388D70">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关于质量保证金的补充约定：</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bookmarkEnd w:id="983"/>
    <w:bookmarkEnd w:id="984"/>
    <w:p w14:paraId="61CA4834">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1016" w:name="_Toc4494200"/>
      <w:bookmarkStart w:id="1017" w:name="_Toc528826830"/>
      <w:r>
        <w:rPr>
          <w:rFonts w:hint="eastAsia" w:ascii="宋体" w:hAnsi="宋体" w:eastAsia="宋体" w:cs="宋体"/>
          <w:b w:val="0"/>
          <w:color w:val="000000"/>
          <w:sz w:val="24"/>
          <w:szCs w:val="24"/>
        </w:rPr>
        <w:t>15.4 保修</w:t>
      </w:r>
      <w:bookmarkEnd w:id="1016"/>
      <w:bookmarkEnd w:id="1017"/>
    </w:p>
    <w:bookmarkEnd w:id="985"/>
    <w:p w14:paraId="4605875E">
      <w:pPr>
        <w:pageBreakBefore w:val="0"/>
        <w:kinsoku/>
        <w:wordWrap/>
        <w:overflowPunct/>
        <w:topLinePunct w:val="0"/>
        <w:bidi w:val="0"/>
        <w:snapToGrid/>
        <w:spacing w:line="440" w:lineRule="atLeast"/>
        <w:ind w:firstLine="468" w:firstLineChars="195"/>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15.4.1 保修责任</w:t>
      </w:r>
    </w:p>
    <w:p w14:paraId="498F7139">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color w:val="000000"/>
          <w:kern w:val="0"/>
          <w:sz w:val="24"/>
          <w:szCs w:val="24"/>
        </w:rPr>
      </w:pPr>
      <w:r>
        <w:rPr>
          <w:rFonts w:hint="eastAsia" w:ascii="宋体" w:hAnsi="宋体" w:eastAsia="宋体" w:cs="宋体"/>
          <w:color w:val="000000"/>
          <w:sz w:val="24"/>
          <w:szCs w:val="24"/>
        </w:rPr>
        <w:t>工程保修期为：</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5B4FF3E1">
      <w:pPr>
        <w:pageBreakBefore w:val="0"/>
        <w:kinsoku/>
        <w:wordWrap/>
        <w:overflowPunct/>
        <w:topLinePunct w:val="0"/>
        <w:bidi w:val="0"/>
        <w:snapToGrid/>
        <w:spacing w:line="440" w:lineRule="atLeast"/>
        <w:ind w:firstLine="468" w:firstLineChars="195"/>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15.4.3 修复通知</w:t>
      </w:r>
    </w:p>
    <w:p w14:paraId="1D599668">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color w:val="000000"/>
          <w:sz w:val="24"/>
          <w:szCs w:val="24"/>
          <w:u w:val="single"/>
        </w:rPr>
      </w:pPr>
      <w:r>
        <w:rPr>
          <w:rFonts w:hint="eastAsia" w:ascii="宋体" w:hAnsi="宋体" w:eastAsia="宋体" w:cs="宋体"/>
          <w:color w:val="000000"/>
          <w:kern w:val="0"/>
          <w:sz w:val="24"/>
          <w:szCs w:val="24"/>
        </w:rPr>
        <w:t>承包人收到保修通知并到达工程现场的合理时间：</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bookmarkEnd w:id="986"/>
    <w:bookmarkEnd w:id="987"/>
    <w:bookmarkEnd w:id="988"/>
    <w:bookmarkEnd w:id="989"/>
    <w:p w14:paraId="50E2BD77">
      <w:pPr>
        <w:pStyle w:val="5"/>
        <w:pageBreakBefore w:val="0"/>
        <w:numPr>
          <w:ilvl w:val="3"/>
          <w:numId w:val="0"/>
        </w:numPr>
        <w:kinsoku/>
        <w:wordWrap/>
        <w:overflowPunct/>
        <w:topLinePunct w:val="0"/>
        <w:bidi w:val="0"/>
        <w:snapToGrid/>
        <w:spacing w:before="0" w:after="0" w:line="440" w:lineRule="atLeast"/>
        <w:contextualSpacing/>
        <w:textAlignment w:val="auto"/>
        <w:rPr>
          <w:rFonts w:hint="eastAsia" w:ascii="宋体" w:hAnsi="宋体" w:eastAsia="宋体" w:cs="宋体"/>
          <w:b w:val="0"/>
          <w:color w:val="000000"/>
          <w:sz w:val="24"/>
          <w:szCs w:val="24"/>
        </w:rPr>
      </w:pPr>
      <w:bookmarkStart w:id="1018" w:name="_Toc4494201"/>
      <w:bookmarkStart w:id="1019" w:name="_Toc528826831"/>
      <w:bookmarkStart w:id="1020" w:name="_Toc280868717"/>
      <w:bookmarkStart w:id="1021" w:name="_Toc280868718"/>
      <w:r>
        <w:rPr>
          <w:rFonts w:hint="eastAsia" w:ascii="宋体" w:hAnsi="宋体" w:eastAsia="宋体" w:cs="宋体"/>
          <w:b w:val="0"/>
          <w:color w:val="000000"/>
          <w:sz w:val="24"/>
          <w:szCs w:val="24"/>
        </w:rPr>
        <w:t>16. 违约</w:t>
      </w:r>
      <w:bookmarkEnd w:id="1018"/>
      <w:bookmarkEnd w:id="1019"/>
    </w:p>
    <w:p w14:paraId="5232EB00">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1022" w:name="_Toc4494202"/>
      <w:bookmarkStart w:id="1023" w:name="_Toc528826832"/>
      <w:r>
        <w:rPr>
          <w:rFonts w:hint="eastAsia" w:ascii="宋体" w:hAnsi="宋体" w:eastAsia="宋体" w:cs="宋体"/>
          <w:b w:val="0"/>
          <w:color w:val="000000"/>
          <w:sz w:val="24"/>
          <w:szCs w:val="24"/>
        </w:rPr>
        <w:t>16.1 发包人违约</w:t>
      </w:r>
      <w:bookmarkEnd w:id="1022"/>
      <w:bookmarkEnd w:id="1023"/>
    </w:p>
    <w:p w14:paraId="26ACFBDA">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16.1.1发包人违约的情形 </w:t>
      </w:r>
    </w:p>
    <w:p w14:paraId="0BE185E5">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color w:val="000000"/>
          <w:kern w:val="0"/>
          <w:sz w:val="24"/>
          <w:szCs w:val="24"/>
        </w:rPr>
      </w:pPr>
      <w:r>
        <w:rPr>
          <w:rFonts w:hint="eastAsia" w:ascii="宋体" w:hAnsi="宋体" w:eastAsia="宋体" w:cs="宋体"/>
          <w:color w:val="000000"/>
          <w:kern w:val="0"/>
          <w:sz w:val="24"/>
          <w:szCs w:val="24"/>
        </w:rPr>
        <w:t>发包人违约的其他情形：</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6A43244C">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16.1.2 发包人违约的责任</w:t>
      </w:r>
    </w:p>
    <w:p w14:paraId="36D94CBD">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发包人违约责任的承担方式和计算方法：</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p>
    <w:p w14:paraId="3662053C">
      <w:pPr>
        <w:pageBreakBefore w:val="0"/>
        <w:kinsoku/>
        <w:wordWrap/>
        <w:overflowPunct/>
        <w:topLinePunct w:val="0"/>
        <w:bidi w:val="0"/>
        <w:snapToGrid/>
        <w:spacing w:line="440" w:lineRule="atLeast"/>
        <w:ind w:left="479" w:leftChars="228" w:firstLine="0" w:firstLineChars="0"/>
        <w:contextualSpacing/>
        <w:jc w:val="left"/>
        <w:textAlignment w:val="auto"/>
        <w:rPr>
          <w:rFonts w:hint="eastAsia" w:ascii="宋体" w:hAnsi="宋体" w:eastAsia="宋体" w:cs="宋体"/>
          <w:color w:val="000000"/>
          <w:kern w:val="0"/>
          <w:sz w:val="24"/>
          <w:szCs w:val="24"/>
          <w:u w:val="single"/>
        </w:rPr>
      </w:pPr>
      <w:r>
        <w:rPr>
          <w:rFonts w:hint="eastAsia" w:ascii="宋体" w:hAnsi="宋体" w:eastAsia="宋体" w:cs="宋体"/>
          <w:color w:val="000000"/>
          <w:kern w:val="0"/>
          <w:sz w:val="24"/>
          <w:szCs w:val="24"/>
        </w:rPr>
        <w:t>（1）因发包人原因未能在计划开工日期前7天内下达开工通知的违约责任：</w:t>
      </w:r>
      <w:r>
        <w:rPr>
          <w:rFonts w:hint="eastAsia" w:ascii="宋体" w:hAnsi="宋体" w:eastAsia="宋体" w:cs="宋体"/>
          <w:color w:val="000000"/>
          <w:sz w:val="24"/>
          <w:szCs w:val="24"/>
          <w:u w:val="single"/>
        </w:rPr>
        <w:t></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kern w:val="0"/>
          <w:sz w:val="24"/>
          <w:szCs w:val="24"/>
        </w:rPr>
        <w:t>（2）因发包人原因未能按合同约定支付合同价款的违约责任：</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4D07B28B">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u w:val="single"/>
        </w:rPr>
      </w:pPr>
      <w:r>
        <w:rPr>
          <w:rFonts w:hint="eastAsia" w:ascii="宋体" w:hAnsi="宋体" w:eastAsia="宋体" w:cs="宋体"/>
          <w:color w:val="000000"/>
          <w:kern w:val="0"/>
          <w:sz w:val="24"/>
          <w:szCs w:val="24"/>
        </w:rPr>
        <w:t>（3）发包人违反第10.1款〔变更的范围〕第（2）项约定，自行实施被取消的工作或转由他人实施的违约责任：</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0C663246">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u w:val="single"/>
        </w:rPr>
      </w:pPr>
      <w:r>
        <w:rPr>
          <w:rFonts w:hint="eastAsia" w:ascii="宋体" w:hAnsi="宋体" w:eastAsia="宋体" w:cs="宋体"/>
          <w:color w:val="000000"/>
          <w:kern w:val="0"/>
          <w:sz w:val="24"/>
          <w:szCs w:val="24"/>
        </w:rPr>
        <w:t>（4）发包人提供的材料、工程设备的规格、数量或质量不符合合同约定，或因发包人原因导致交货日期延误或交货地点变更等情况的违约责任：</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26D464E7">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u w:val="single"/>
        </w:rPr>
      </w:pPr>
      <w:r>
        <w:rPr>
          <w:rFonts w:hint="eastAsia" w:ascii="宋体" w:hAnsi="宋体" w:eastAsia="宋体" w:cs="宋体"/>
          <w:color w:val="000000"/>
          <w:kern w:val="0"/>
          <w:sz w:val="24"/>
          <w:szCs w:val="24"/>
        </w:rPr>
        <w:t>（5）因发包人违反合同约定造成暂停施工的违约责任：</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4242C8C5">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u w:val="single"/>
        </w:rPr>
      </w:pPr>
      <w:r>
        <w:rPr>
          <w:rFonts w:hint="eastAsia" w:ascii="宋体" w:hAnsi="宋体" w:eastAsia="宋体" w:cs="宋体"/>
          <w:color w:val="000000"/>
          <w:kern w:val="0"/>
          <w:sz w:val="24"/>
          <w:szCs w:val="24"/>
        </w:rPr>
        <w:t>（6）发包人无正当理由没有在约定期限内发出复工指示，导致承包人无法复工的违约责任：</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18E11D51">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（7）其他：</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3280B7C7">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16.1.3 因发包人违约解除合同</w:t>
      </w:r>
    </w:p>
    <w:p w14:paraId="5D28B61E">
      <w:pPr>
        <w:pageBreakBefore w:val="0"/>
        <w:kinsoku/>
        <w:wordWrap/>
        <w:overflowPunct/>
        <w:topLinePunct w:val="0"/>
        <w:autoSpaceDE w:val="0"/>
        <w:autoSpaceDN w:val="0"/>
        <w:bidi w:val="0"/>
        <w:adjustRightInd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承包人按16.1.1项〔发包人违约的情形〕约定暂停施工</w:t>
      </w:r>
      <w:r>
        <w:rPr>
          <w:rFonts w:hint="eastAsia" w:ascii="宋体" w:hAnsi="宋体" w:eastAsia="宋体" w:cs="宋体"/>
          <w:b/>
          <w:color w:val="000000"/>
          <w:kern w:val="0"/>
          <w:sz w:val="24"/>
          <w:szCs w:val="24"/>
          <w:u w:val="single"/>
          <w:lang w:val="en-US" w:eastAsia="zh-CN"/>
        </w:rPr>
        <w:t xml:space="preserve">         </w:t>
      </w:r>
      <w:r>
        <w:rPr>
          <w:rFonts w:hint="eastAsia" w:ascii="宋体" w:hAnsi="宋体" w:eastAsia="宋体" w:cs="宋体"/>
          <w:color w:val="000000"/>
          <w:kern w:val="0"/>
          <w:sz w:val="24"/>
          <w:szCs w:val="24"/>
        </w:rPr>
        <w:t>发包人仍不纠正其违约行为并致使合同目的不能实现的，承包人有权解除合同。</w:t>
      </w:r>
    </w:p>
    <w:p w14:paraId="5B685296">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1024" w:name="_Toc528826833"/>
      <w:bookmarkStart w:id="1025" w:name="_Toc4494203"/>
      <w:r>
        <w:rPr>
          <w:rFonts w:hint="eastAsia" w:ascii="宋体" w:hAnsi="宋体" w:eastAsia="宋体" w:cs="宋体"/>
          <w:b w:val="0"/>
          <w:color w:val="000000"/>
          <w:sz w:val="24"/>
          <w:szCs w:val="24"/>
        </w:rPr>
        <w:t>16.2 承包人违约</w:t>
      </w:r>
      <w:bookmarkEnd w:id="1024"/>
      <w:bookmarkEnd w:id="1025"/>
    </w:p>
    <w:p w14:paraId="65B2B44B">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16.2.1 承包人违约的情形</w:t>
      </w:r>
    </w:p>
    <w:p w14:paraId="1078D6E4">
      <w:pPr>
        <w:pStyle w:val="16"/>
        <w:pageBreakBefore w:val="0"/>
        <w:kinsoku/>
        <w:wordWrap/>
        <w:overflowPunct/>
        <w:topLinePunct w:val="0"/>
        <w:bidi w:val="0"/>
        <w:snapToGrid/>
        <w:spacing w:line="440" w:lineRule="atLeast"/>
        <w:contextualSpacing/>
        <w:jc w:val="left"/>
        <w:textAlignment w:val="auto"/>
        <w:rPr>
          <w:rFonts w:hint="eastAsia" w:ascii="宋体" w:hAnsi="宋体" w:eastAsia="宋体" w:cs="宋体"/>
          <w:b w:val="0"/>
          <w:sz w:val="24"/>
          <w:szCs w:val="24"/>
        </w:rPr>
      </w:pPr>
      <w:r>
        <w:rPr>
          <w:rFonts w:hint="eastAsia" w:ascii="宋体" w:hAnsi="宋体" w:eastAsia="宋体" w:cs="宋体"/>
          <w:b w:val="0"/>
          <w:sz w:val="24"/>
          <w:szCs w:val="24"/>
        </w:rPr>
        <w:t>承包人违约的其他情形：</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19567DD5">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16.2.2承包人违约的责任</w:t>
      </w:r>
    </w:p>
    <w:p w14:paraId="63627074">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u w:val="single"/>
        </w:rPr>
      </w:pPr>
      <w:r>
        <w:rPr>
          <w:rFonts w:hint="eastAsia" w:ascii="宋体" w:hAnsi="宋体" w:eastAsia="宋体" w:cs="宋体"/>
          <w:color w:val="000000"/>
          <w:kern w:val="0"/>
          <w:sz w:val="24"/>
          <w:szCs w:val="24"/>
        </w:rPr>
        <w:t>承包人违约责任的承担方式和计算方法：</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p>
    <w:p w14:paraId="641F1EF0">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16.2.3 因承包人违约解除合同</w:t>
      </w:r>
    </w:p>
    <w:p w14:paraId="41FE4062">
      <w:pPr>
        <w:pStyle w:val="16"/>
        <w:pageBreakBefore w:val="0"/>
        <w:kinsoku/>
        <w:wordWrap/>
        <w:overflowPunct/>
        <w:topLinePunct w:val="0"/>
        <w:bidi w:val="0"/>
        <w:snapToGrid/>
        <w:spacing w:line="440" w:lineRule="atLeast"/>
        <w:contextualSpacing/>
        <w:jc w:val="left"/>
        <w:textAlignment w:val="auto"/>
        <w:rPr>
          <w:rFonts w:hint="eastAsia" w:ascii="宋体" w:hAnsi="宋体" w:eastAsia="宋体" w:cs="宋体"/>
          <w:b w:val="0"/>
          <w:sz w:val="24"/>
          <w:szCs w:val="24"/>
          <w:u w:val="single"/>
        </w:rPr>
      </w:pPr>
      <w:r>
        <w:rPr>
          <w:rFonts w:hint="eastAsia" w:ascii="宋体" w:hAnsi="宋体" w:eastAsia="宋体" w:cs="宋体"/>
          <w:sz w:val="24"/>
          <w:szCs w:val="24"/>
        </w:rPr>
        <w:t>关于承包人违约解除合同的特别约定：</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p>
    <w:p w14:paraId="14907AFA">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发包人继续使用承包人在施工现场的材料、设备、临时工程、承包人文件和由承包人或以其名义编制的其他文件的费用承担方式：</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14EAB352">
      <w:pPr>
        <w:pStyle w:val="5"/>
        <w:pageBreakBefore w:val="0"/>
        <w:numPr>
          <w:ilvl w:val="3"/>
          <w:numId w:val="0"/>
        </w:numPr>
        <w:kinsoku/>
        <w:wordWrap/>
        <w:overflowPunct/>
        <w:topLinePunct w:val="0"/>
        <w:bidi w:val="0"/>
        <w:snapToGrid/>
        <w:spacing w:before="0" w:after="0" w:line="440" w:lineRule="atLeast"/>
        <w:contextualSpacing/>
        <w:textAlignment w:val="auto"/>
        <w:rPr>
          <w:rFonts w:hint="eastAsia" w:ascii="宋体" w:hAnsi="宋体" w:eastAsia="宋体" w:cs="宋体"/>
          <w:b w:val="0"/>
          <w:color w:val="000000"/>
          <w:sz w:val="24"/>
          <w:szCs w:val="24"/>
        </w:rPr>
      </w:pPr>
      <w:bookmarkStart w:id="1026" w:name="_Toc4494204"/>
      <w:bookmarkStart w:id="1027" w:name="_Toc528826834"/>
      <w:r>
        <w:rPr>
          <w:rFonts w:hint="eastAsia" w:ascii="宋体" w:hAnsi="宋体" w:eastAsia="宋体" w:cs="宋体"/>
          <w:b w:val="0"/>
          <w:color w:val="000000"/>
          <w:sz w:val="24"/>
          <w:szCs w:val="24"/>
        </w:rPr>
        <w:t>17. 不可抗力</w:t>
      </w:r>
      <w:bookmarkEnd w:id="1026"/>
      <w:bookmarkEnd w:id="1027"/>
      <w:r>
        <w:rPr>
          <w:rFonts w:hint="eastAsia" w:ascii="宋体" w:hAnsi="宋体" w:eastAsia="宋体" w:cs="宋体"/>
          <w:b w:val="0"/>
          <w:color w:val="000000"/>
          <w:sz w:val="24"/>
          <w:szCs w:val="24"/>
        </w:rPr>
        <w:t xml:space="preserve"> </w:t>
      </w:r>
      <w:bookmarkEnd w:id="1020"/>
    </w:p>
    <w:p w14:paraId="081C7F40">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1028" w:name="_Toc4494205"/>
      <w:bookmarkStart w:id="1029" w:name="_Toc528826835"/>
      <w:r>
        <w:rPr>
          <w:rFonts w:hint="eastAsia" w:ascii="宋体" w:hAnsi="宋体" w:eastAsia="宋体" w:cs="宋体"/>
          <w:b w:val="0"/>
          <w:color w:val="000000"/>
          <w:sz w:val="24"/>
          <w:szCs w:val="24"/>
        </w:rPr>
        <w:t>17.1 不可抗力的确认</w:t>
      </w:r>
      <w:bookmarkEnd w:id="1028"/>
      <w:bookmarkEnd w:id="1029"/>
    </w:p>
    <w:p w14:paraId="64BCC37F">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u w:val="single"/>
        </w:rPr>
      </w:pPr>
      <w:r>
        <w:rPr>
          <w:rFonts w:hint="eastAsia" w:ascii="宋体" w:hAnsi="宋体" w:eastAsia="宋体" w:cs="宋体"/>
          <w:color w:val="000000"/>
          <w:sz w:val="24"/>
          <w:szCs w:val="24"/>
        </w:rPr>
        <w:t>除通用合同条款约定的不可抗力事件之外，视为不可抗力的其他情形：</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005B7EA2">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1030" w:name="_Toc4494206"/>
      <w:bookmarkStart w:id="1031" w:name="_Toc528826836"/>
      <w:r>
        <w:rPr>
          <w:rFonts w:hint="eastAsia" w:ascii="宋体" w:hAnsi="宋体" w:eastAsia="宋体" w:cs="宋体"/>
          <w:b w:val="0"/>
          <w:color w:val="000000"/>
          <w:sz w:val="24"/>
          <w:szCs w:val="24"/>
        </w:rPr>
        <w:t>17.4 因不可抗力解除合同</w:t>
      </w:r>
      <w:bookmarkEnd w:id="1030"/>
      <w:bookmarkEnd w:id="1031"/>
    </w:p>
    <w:p w14:paraId="6F98535B">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合同解除后，发包人应在商定或确定发包人应支付款项后</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color w:val="000000"/>
          <w:sz w:val="24"/>
          <w:szCs w:val="24"/>
        </w:rPr>
        <w:t>天内完成款项的支付。</w:t>
      </w:r>
    </w:p>
    <w:p w14:paraId="126A1B34">
      <w:pPr>
        <w:pStyle w:val="5"/>
        <w:pageBreakBefore w:val="0"/>
        <w:numPr>
          <w:ilvl w:val="3"/>
          <w:numId w:val="0"/>
        </w:numPr>
        <w:kinsoku/>
        <w:wordWrap/>
        <w:overflowPunct/>
        <w:topLinePunct w:val="0"/>
        <w:bidi w:val="0"/>
        <w:snapToGrid/>
        <w:spacing w:before="0" w:after="0" w:line="440" w:lineRule="atLeast"/>
        <w:contextualSpacing/>
        <w:textAlignment w:val="auto"/>
        <w:rPr>
          <w:rFonts w:hint="eastAsia" w:ascii="宋体" w:hAnsi="宋体" w:eastAsia="宋体" w:cs="宋体"/>
          <w:b w:val="0"/>
          <w:color w:val="000000"/>
          <w:sz w:val="24"/>
          <w:szCs w:val="24"/>
        </w:rPr>
      </w:pPr>
      <w:bookmarkStart w:id="1032" w:name="_Toc4494207"/>
      <w:bookmarkStart w:id="1033" w:name="_Toc528826837"/>
      <w:r>
        <w:rPr>
          <w:rFonts w:hint="eastAsia" w:ascii="宋体" w:hAnsi="宋体" w:eastAsia="宋体" w:cs="宋体"/>
          <w:b w:val="0"/>
          <w:color w:val="000000"/>
          <w:sz w:val="24"/>
          <w:szCs w:val="24"/>
        </w:rPr>
        <w:t>18. 保险</w:t>
      </w:r>
      <w:bookmarkEnd w:id="1032"/>
      <w:bookmarkEnd w:id="1033"/>
    </w:p>
    <w:bookmarkEnd w:id="1021"/>
    <w:p w14:paraId="47AF0ECC">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1034" w:name="_Toc528826838"/>
      <w:bookmarkStart w:id="1035" w:name="_Toc4494208"/>
      <w:r>
        <w:rPr>
          <w:rFonts w:hint="eastAsia" w:ascii="宋体" w:hAnsi="宋体" w:eastAsia="宋体" w:cs="宋体"/>
          <w:b w:val="0"/>
          <w:color w:val="000000"/>
          <w:sz w:val="24"/>
          <w:szCs w:val="24"/>
        </w:rPr>
        <w:t>18.1 工程保险</w:t>
      </w:r>
      <w:bookmarkEnd w:id="1034"/>
      <w:bookmarkEnd w:id="1035"/>
    </w:p>
    <w:p w14:paraId="62C7ECE4">
      <w:pPr>
        <w:pageBreakBefore w:val="0"/>
        <w:kinsoku/>
        <w:wordWrap/>
        <w:overflowPunct/>
        <w:topLinePunct w:val="0"/>
        <w:bidi w:val="0"/>
        <w:adjustRightInd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关于工程保险的特别约定：</w:t>
      </w:r>
      <w:bookmarkStart w:id="1036" w:name="_Toc528826839"/>
      <w:r>
        <w:rPr>
          <w:rFonts w:hint="eastAsia" w:ascii="宋体" w:hAnsi="宋体" w:eastAsia="宋体" w:cs="宋体"/>
          <w:color w:val="000000"/>
          <w:sz w:val="24"/>
          <w:szCs w:val="24"/>
        </w:rPr>
        <w:t>工程开工前，承包人按有关规定办理保险，支付保险费用。</w:t>
      </w:r>
    </w:p>
    <w:p w14:paraId="0EF554F2">
      <w:pPr>
        <w:pageBreakBefore w:val="0"/>
        <w:kinsoku/>
        <w:wordWrap/>
        <w:overflowPunct/>
        <w:topLinePunct w:val="0"/>
        <w:bidi w:val="0"/>
        <w:adjustRightInd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承包人必须为从事危险作业的职工办理意外伤害保险，并为施工场地内自有人员生命财产和施工机械设备办理保险，支付保险费用。</w:t>
      </w:r>
    </w:p>
    <w:p w14:paraId="3F7B1577">
      <w:pPr>
        <w:pageBreakBefore w:val="0"/>
        <w:kinsoku/>
        <w:wordWrap/>
        <w:overflowPunct/>
        <w:topLinePunct w:val="0"/>
        <w:bidi w:val="0"/>
        <w:adjustRightInd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保险事故发生时，发包人承包人有责任尽力采取必要的措施，防止或者减少损失。</w:t>
      </w:r>
    </w:p>
    <w:p w14:paraId="5768CB7A">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18.3 其他保险</w:t>
      </w:r>
      <w:bookmarkEnd w:id="1036"/>
    </w:p>
    <w:p w14:paraId="4F912A96">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sz w:val="24"/>
          <w:szCs w:val="24"/>
        </w:rPr>
        <w:t>关于其他保险的约定：</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37DA9EFD">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承包人是否应为其施工设备等办理财产保险：</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p>
    <w:p w14:paraId="5D246AED">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color w:val="000000"/>
          <w:sz w:val="24"/>
          <w:szCs w:val="24"/>
          <w:u w:val="single"/>
        </w:rPr>
      </w:pPr>
      <w:bookmarkStart w:id="1037" w:name="_Toc528826840"/>
      <w:bookmarkStart w:id="1038" w:name="_Toc4494209"/>
      <w:r>
        <w:rPr>
          <w:rFonts w:hint="eastAsia" w:ascii="宋体" w:hAnsi="宋体" w:eastAsia="宋体" w:cs="宋体"/>
          <w:b w:val="0"/>
          <w:color w:val="000000"/>
          <w:sz w:val="24"/>
          <w:szCs w:val="24"/>
        </w:rPr>
        <w:t>18.6 未按约定投保的补救：</w:t>
      </w:r>
      <w:bookmarkEnd w:id="1037"/>
      <w:bookmarkEnd w:id="1038"/>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07D1176A">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1039" w:name="_Toc4494210"/>
      <w:bookmarkStart w:id="1040" w:name="_Toc528826841"/>
      <w:r>
        <w:rPr>
          <w:rFonts w:hint="eastAsia" w:ascii="宋体" w:hAnsi="宋体" w:eastAsia="宋体" w:cs="宋体"/>
          <w:b w:val="0"/>
          <w:color w:val="000000"/>
          <w:sz w:val="24"/>
          <w:szCs w:val="24"/>
        </w:rPr>
        <w:t>18.7 通知义务</w:t>
      </w:r>
      <w:bookmarkEnd w:id="1039"/>
      <w:bookmarkEnd w:id="1040"/>
    </w:p>
    <w:p w14:paraId="7915F00E">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rPr>
        <w:t>关于变更保险合同时的通知义务的约定：</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bookmarkEnd w:id="990"/>
    <w:bookmarkEnd w:id="991"/>
    <w:bookmarkEnd w:id="992"/>
    <w:bookmarkEnd w:id="993"/>
    <w:bookmarkEnd w:id="994"/>
    <w:bookmarkEnd w:id="995"/>
    <w:bookmarkEnd w:id="996"/>
    <w:bookmarkEnd w:id="997"/>
    <w:bookmarkEnd w:id="998"/>
    <w:bookmarkEnd w:id="999"/>
    <w:bookmarkEnd w:id="1000"/>
    <w:bookmarkEnd w:id="1001"/>
    <w:p w14:paraId="06A21CCA">
      <w:pPr>
        <w:pStyle w:val="5"/>
        <w:pageBreakBefore w:val="0"/>
        <w:numPr>
          <w:ilvl w:val="3"/>
          <w:numId w:val="0"/>
        </w:numPr>
        <w:kinsoku/>
        <w:wordWrap/>
        <w:overflowPunct/>
        <w:topLinePunct w:val="0"/>
        <w:bidi w:val="0"/>
        <w:snapToGrid/>
        <w:spacing w:before="0" w:after="0" w:line="440" w:lineRule="atLeast"/>
        <w:contextualSpacing/>
        <w:textAlignment w:val="auto"/>
        <w:rPr>
          <w:rFonts w:hint="eastAsia" w:ascii="宋体" w:hAnsi="宋体" w:eastAsia="宋体" w:cs="宋体"/>
          <w:b w:val="0"/>
          <w:color w:val="000000"/>
          <w:sz w:val="24"/>
          <w:szCs w:val="24"/>
        </w:rPr>
      </w:pPr>
      <w:bookmarkStart w:id="1041" w:name="_Toc528826842"/>
      <w:bookmarkStart w:id="1042" w:name="_Toc4494211"/>
      <w:r>
        <w:rPr>
          <w:rFonts w:hint="eastAsia" w:ascii="宋体" w:hAnsi="宋体" w:eastAsia="宋体" w:cs="宋体"/>
          <w:b w:val="0"/>
          <w:color w:val="000000"/>
          <w:sz w:val="24"/>
          <w:szCs w:val="24"/>
          <w:lang w:val="en-US" w:eastAsia="zh-CN"/>
        </w:rPr>
        <w:t>19</w:t>
      </w:r>
      <w:r>
        <w:rPr>
          <w:rFonts w:hint="eastAsia" w:ascii="宋体" w:hAnsi="宋体" w:eastAsia="宋体" w:cs="宋体"/>
          <w:b w:val="0"/>
          <w:color w:val="000000"/>
          <w:sz w:val="24"/>
          <w:szCs w:val="24"/>
        </w:rPr>
        <w:t>. 争议解决</w:t>
      </w:r>
      <w:bookmarkEnd w:id="1041"/>
      <w:bookmarkEnd w:id="1042"/>
    </w:p>
    <w:bookmarkEnd w:id="1002"/>
    <w:bookmarkEnd w:id="1003"/>
    <w:p w14:paraId="63B883D1">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1043" w:name="_Toc4494212"/>
      <w:bookmarkStart w:id="1044" w:name="_Toc528826843"/>
      <w:r>
        <w:rPr>
          <w:rFonts w:hint="eastAsia" w:ascii="宋体" w:hAnsi="宋体" w:eastAsia="宋体" w:cs="宋体"/>
          <w:b w:val="0"/>
          <w:color w:val="000000"/>
          <w:sz w:val="24"/>
          <w:szCs w:val="24"/>
          <w:lang w:val="en-US" w:eastAsia="zh-CN"/>
        </w:rPr>
        <w:t>19</w:t>
      </w:r>
      <w:r>
        <w:rPr>
          <w:rFonts w:hint="eastAsia" w:ascii="宋体" w:hAnsi="宋体" w:eastAsia="宋体" w:cs="宋体"/>
          <w:b w:val="0"/>
          <w:color w:val="000000"/>
          <w:sz w:val="24"/>
          <w:szCs w:val="24"/>
        </w:rPr>
        <w:t>.3 争</w:t>
      </w:r>
      <w:bookmarkEnd w:id="1004"/>
      <w:r>
        <w:rPr>
          <w:rFonts w:hint="eastAsia" w:ascii="宋体" w:hAnsi="宋体" w:eastAsia="宋体" w:cs="宋体"/>
          <w:b w:val="0"/>
          <w:color w:val="000000"/>
          <w:sz w:val="24"/>
          <w:szCs w:val="24"/>
        </w:rPr>
        <w:t>议评审</w:t>
      </w:r>
      <w:bookmarkEnd w:id="1043"/>
      <w:bookmarkEnd w:id="1044"/>
    </w:p>
    <w:p w14:paraId="53107467">
      <w:pPr>
        <w:pageBreakBefore w:val="0"/>
        <w:kinsoku/>
        <w:wordWrap/>
        <w:overflowPunct/>
        <w:topLinePunct w:val="0"/>
        <w:bidi w:val="0"/>
        <w:snapToGrid/>
        <w:spacing w:line="440" w:lineRule="atLeast"/>
        <w:ind w:left="149" w:leftChars="71" w:firstLine="360" w:firstLineChars="150"/>
        <w:contextualSpacing/>
        <w:jc w:val="left"/>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合同当事人是否同意将工程争议提交争议评审小组决定：</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0D9C93BA">
      <w:pPr>
        <w:pageBreakBefore w:val="0"/>
        <w:kinsoku/>
        <w:wordWrap/>
        <w:overflowPunct/>
        <w:topLinePunct w:val="0"/>
        <w:bidi w:val="0"/>
        <w:snapToGrid/>
        <w:spacing w:line="440" w:lineRule="atLeast"/>
        <w:ind w:left="149" w:leftChars="71" w:firstLine="360" w:firstLineChars="15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19</w:t>
      </w:r>
      <w:r>
        <w:rPr>
          <w:rFonts w:hint="eastAsia" w:ascii="宋体" w:hAnsi="宋体" w:eastAsia="宋体" w:cs="宋体"/>
          <w:color w:val="000000"/>
          <w:sz w:val="24"/>
          <w:szCs w:val="24"/>
        </w:rPr>
        <w:t>.3.1 争议评审小组的确定</w:t>
      </w:r>
    </w:p>
    <w:p w14:paraId="7AAAA861">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争议评审小组成员的确定：</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0054E08A">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选定争议评审员的期限：</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374B413B">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争议评审小组成员的报酬承担方式：</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3360190B">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其他事项的约定：</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4E56B343">
      <w:pPr>
        <w:pageBreakBefore w:val="0"/>
        <w:kinsoku/>
        <w:wordWrap/>
        <w:overflowPunct/>
        <w:topLinePunct w:val="0"/>
        <w:bidi w:val="0"/>
        <w:snapToGrid/>
        <w:spacing w:line="440" w:lineRule="atLeast"/>
        <w:ind w:left="149" w:leftChars="71" w:firstLine="360" w:firstLineChars="15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19</w:t>
      </w:r>
      <w:r>
        <w:rPr>
          <w:rFonts w:hint="eastAsia" w:ascii="宋体" w:hAnsi="宋体" w:eastAsia="宋体" w:cs="宋体"/>
          <w:color w:val="000000"/>
          <w:sz w:val="24"/>
          <w:szCs w:val="24"/>
        </w:rPr>
        <w:t>.3.2 争议评审小组的决定</w:t>
      </w:r>
    </w:p>
    <w:p w14:paraId="5717BD56">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合同当事人关于本项的约定：</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u w:val="single"/>
          <w:lang w:val="en-US" w:eastAsia="zh-CN"/>
        </w:rPr>
        <w:t xml:space="preserve">       </w:t>
      </w:r>
    </w:p>
    <w:p w14:paraId="7EA9110D">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bookmarkStart w:id="1045" w:name="_Toc528826844"/>
      <w:bookmarkStart w:id="1046" w:name="_Toc4494213"/>
      <w:r>
        <w:rPr>
          <w:rFonts w:hint="eastAsia" w:ascii="宋体" w:hAnsi="宋体" w:eastAsia="宋体" w:cs="宋体"/>
          <w:b w:val="0"/>
          <w:color w:val="000000"/>
          <w:sz w:val="24"/>
          <w:szCs w:val="24"/>
          <w:lang w:val="en-US" w:eastAsia="zh-CN"/>
        </w:rPr>
        <w:t>19</w:t>
      </w:r>
      <w:r>
        <w:rPr>
          <w:rFonts w:hint="eastAsia" w:ascii="宋体" w:hAnsi="宋体" w:eastAsia="宋体" w:cs="宋体"/>
          <w:b w:val="0"/>
          <w:color w:val="000000"/>
          <w:sz w:val="24"/>
          <w:szCs w:val="24"/>
        </w:rPr>
        <w:t>.4 仲裁或诉讼</w:t>
      </w:r>
      <w:bookmarkEnd w:id="1005"/>
      <w:bookmarkEnd w:id="1045"/>
      <w:bookmarkEnd w:id="1046"/>
    </w:p>
    <w:p w14:paraId="01F5AFF6">
      <w:pPr>
        <w:pageBreakBefore w:val="0"/>
        <w:kinsoku/>
        <w:wordWrap/>
        <w:overflowPunct/>
        <w:topLinePunct w:val="0"/>
        <w:bidi w:val="0"/>
        <w:snapToGrid/>
        <w:spacing w:line="440" w:lineRule="atLeast"/>
        <w:ind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因合同及合同有关事项发生的争议，按下列第</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u w:val="single"/>
        </w:rPr>
        <w:t xml:space="preserve"> </w:t>
      </w:r>
      <w:r>
        <w:rPr>
          <w:rFonts w:hint="eastAsia" w:ascii="宋体" w:hAnsi="宋体" w:eastAsia="宋体" w:cs="宋体"/>
          <w:color w:val="000000"/>
          <w:sz w:val="24"/>
          <w:szCs w:val="24"/>
        </w:rPr>
        <w:t>种方式解决：</w:t>
      </w:r>
    </w:p>
    <w:p w14:paraId="76BE7986">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（1）向</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color w:val="000000"/>
          <w:sz w:val="24"/>
          <w:szCs w:val="24"/>
        </w:rPr>
        <w:t>仲裁委员会申请仲裁；</w:t>
      </w:r>
    </w:p>
    <w:p w14:paraId="61A70CA7">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（2）向</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color w:val="000000"/>
          <w:sz w:val="24"/>
          <w:szCs w:val="24"/>
        </w:rPr>
        <w:t>人民法院起诉。</w:t>
      </w:r>
      <w:bookmarkEnd w:id="1006"/>
      <w:bookmarkEnd w:id="1007"/>
      <w:bookmarkEnd w:id="1008"/>
      <w:bookmarkEnd w:id="1009"/>
      <w:bookmarkEnd w:id="1010"/>
      <w:bookmarkEnd w:id="1011"/>
      <w:bookmarkStart w:id="1047" w:name="_Toc4494219"/>
    </w:p>
    <w:p w14:paraId="57E83E16">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val="0"/>
          <w:color w:val="000000"/>
          <w:sz w:val="24"/>
          <w:szCs w:val="24"/>
          <w:lang w:val="en-US" w:eastAsia="zh-CN"/>
        </w:rPr>
      </w:pPr>
      <w:r>
        <w:rPr>
          <w:rFonts w:hint="eastAsia" w:ascii="宋体" w:hAnsi="宋体" w:eastAsia="宋体" w:cs="宋体"/>
          <w:b w:val="0"/>
          <w:color w:val="000000"/>
          <w:sz w:val="24"/>
          <w:szCs w:val="24"/>
          <w:lang w:val="en-US" w:eastAsia="zh-CN"/>
        </w:rPr>
        <w:t>20.承包人应严格落实建筑垃圾减量化目标，严格执行《云南省房屋市政工程建筑垃圾减量化工作实施方案》要求，施工现场建筑垃圾排放量（不包含工程渣土、工程泥浆）不高于300t/万平方米，装配式建筑施工现场建筑垃圾排放量（不包含工程渣土、工程泥浆）不高于200t/万平方米。</w:t>
      </w:r>
    </w:p>
    <w:p w14:paraId="22CC1081">
      <w:pPr>
        <w:pageBreakBefore w:val="0"/>
        <w:kinsoku/>
        <w:wordWrap/>
        <w:overflowPunct/>
        <w:topLinePunct w:val="0"/>
        <w:bidi w:val="0"/>
        <w:snapToGrid/>
        <w:spacing w:line="440" w:lineRule="atLeast"/>
        <w:contextualSpacing/>
        <w:jc w:val="left"/>
        <w:textAlignment w:val="auto"/>
        <w:rPr>
          <w:rFonts w:hint="eastAsia" w:ascii="宋体" w:hAnsi="宋体" w:eastAsia="宋体" w:cs="宋体"/>
          <w:b w:val="0"/>
          <w:color w:val="000000"/>
          <w:sz w:val="24"/>
          <w:szCs w:val="24"/>
          <w:lang w:val="en-US" w:eastAsia="zh-CN"/>
        </w:rPr>
      </w:pPr>
      <w:r>
        <w:rPr>
          <w:rFonts w:hint="eastAsia" w:ascii="宋体" w:hAnsi="宋体" w:eastAsia="宋体" w:cs="宋体"/>
          <w:b w:val="0"/>
          <w:color w:val="000000"/>
          <w:sz w:val="24"/>
          <w:szCs w:val="24"/>
          <w:lang w:val="en-US" w:eastAsia="zh-CN"/>
        </w:rPr>
        <w:t>21、农民工工资支付条例：</w:t>
      </w:r>
    </w:p>
    <w:p w14:paraId="2832058B">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val="0"/>
          <w:color w:val="000000"/>
          <w:sz w:val="24"/>
          <w:szCs w:val="24"/>
          <w:lang w:val="en-US" w:eastAsia="zh-CN"/>
        </w:rPr>
      </w:pPr>
      <w:r>
        <w:rPr>
          <w:rFonts w:hint="eastAsia" w:ascii="宋体" w:hAnsi="宋体" w:eastAsia="宋体" w:cs="宋体"/>
          <w:b w:val="0"/>
          <w:color w:val="000000"/>
          <w:sz w:val="24"/>
          <w:szCs w:val="24"/>
          <w:lang w:val="en-US" w:eastAsia="zh-CN"/>
        </w:rPr>
        <w:t>21.1建设单位与承包人依法订立书面工程施工合同，应当约定工程款计量周期、工程款进度结算办法以及人工费用拨付周期，并按照保障农民工工资按时足额支付的要求约定人工费用，人工费用拨付周期不得超过1个月。</w:t>
      </w:r>
    </w:p>
    <w:p w14:paraId="62AE4D21">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val="0"/>
          <w:color w:val="000000"/>
          <w:sz w:val="24"/>
          <w:szCs w:val="24"/>
          <w:lang w:val="en-US" w:eastAsia="zh-CN"/>
        </w:rPr>
      </w:pPr>
      <w:r>
        <w:rPr>
          <w:rFonts w:hint="eastAsia" w:ascii="宋体" w:hAnsi="宋体" w:eastAsia="宋体" w:cs="宋体"/>
          <w:b w:val="0"/>
          <w:color w:val="000000"/>
          <w:sz w:val="24"/>
          <w:szCs w:val="24"/>
          <w:lang w:val="en-US" w:eastAsia="zh-CN"/>
        </w:rPr>
        <w:t>21.2在工程项目开工前，按照合同工程价款的3%向人力资源社会保障行政部门指定的银行专户交存农民工工资保证金，办理《建设领域农民工工资保证金交存证明》。承包人对其所承包工程项目的农民工工资支付负总责，在工程项目竣工并结清农民工工资前不得支取农民工工资保证金。</w:t>
      </w:r>
    </w:p>
    <w:p w14:paraId="6FFAF416">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val="0"/>
          <w:color w:val="000000"/>
          <w:sz w:val="24"/>
          <w:szCs w:val="24"/>
          <w:lang w:val="en-US" w:eastAsia="zh-CN"/>
        </w:rPr>
      </w:pPr>
      <w:r>
        <w:rPr>
          <w:rFonts w:hint="eastAsia" w:ascii="宋体" w:hAnsi="宋体" w:eastAsia="宋体" w:cs="宋体"/>
          <w:b w:val="0"/>
          <w:color w:val="000000"/>
          <w:sz w:val="24"/>
          <w:szCs w:val="24"/>
          <w:lang w:val="en-US" w:eastAsia="zh-CN"/>
        </w:rPr>
        <w:t>21.3施工总承包单位应按照有关规定开设农民工工资专用账户，专项用于支付该工程建设项目农民工工资。</w:t>
      </w:r>
    </w:p>
    <w:p w14:paraId="506DCADA">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val="0"/>
          <w:color w:val="000000"/>
          <w:sz w:val="24"/>
          <w:szCs w:val="24"/>
          <w:lang w:val="en-US" w:eastAsia="zh-CN"/>
        </w:rPr>
      </w:pPr>
      <w:r>
        <w:rPr>
          <w:rFonts w:hint="eastAsia" w:ascii="宋体" w:hAnsi="宋体" w:eastAsia="宋体" w:cs="宋体"/>
          <w:b w:val="0"/>
          <w:color w:val="000000"/>
          <w:sz w:val="24"/>
          <w:szCs w:val="24"/>
          <w:lang w:val="en-US" w:eastAsia="zh-CN"/>
        </w:rPr>
        <w:t>21.4施工总承包单位或分包单位应依法与所招用农民工订立劳动合同并进行用工实名登记，具备条件的行业应当通过相应管理服务信息平台进行用工实名登记、管理。未与施工总承包单位或者分包单位订立劳动合同并进行用工实名登记的人员，不得进入项目现场施工。</w:t>
      </w:r>
    </w:p>
    <w:p w14:paraId="267DFDE4">
      <w:pPr>
        <w:pageBreakBefore w:val="0"/>
        <w:kinsoku/>
        <w:wordWrap/>
        <w:overflowPunct/>
        <w:topLinePunct w:val="0"/>
        <w:bidi w:val="0"/>
        <w:snapToGrid/>
        <w:spacing w:line="440" w:lineRule="atLeast"/>
        <w:ind w:firstLine="480" w:firstLineChars="200"/>
        <w:contextualSpacing/>
        <w:jc w:val="left"/>
        <w:textAlignment w:val="auto"/>
        <w:rPr>
          <w:rFonts w:hint="eastAsia" w:ascii="宋体" w:hAnsi="宋体" w:eastAsia="宋体" w:cs="宋体"/>
          <w:b w:val="0"/>
          <w:color w:val="000000"/>
          <w:sz w:val="24"/>
          <w:szCs w:val="24"/>
          <w:lang w:val="en-US" w:eastAsia="zh-CN"/>
        </w:rPr>
      </w:pPr>
      <w:r>
        <w:rPr>
          <w:rFonts w:hint="eastAsia" w:ascii="宋体" w:hAnsi="宋体" w:eastAsia="宋体" w:cs="宋体"/>
          <w:b w:val="0"/>
          <w:color w:val="000000"/>
          <w:sz w:val="24"/>
          <w:szCs w:val="24"/>
          <w:lang w:val="en-US" w:eastAsia="zh-CN"/>
        </w:rPr>
        <w:t>21.5金融机构应当优化农民工工资专用账户开设服务流程，做好农民工工资专用账户日常管理工作；发现资金未按约定拨付等情况的，及时通知承包人，由承包人报告人力资源社会保障行政部门和相关行业工程建设主管部门，并纳入欠薪预警系统；工程完工且未拖欠农民工工资的，承包人公示30日后，可以申请注销农民工工资专用账户，账户内余额归承包人所有。</w:t>
      </w:r>
    </w:p>
    <w:p w14:paraId="25F8667B">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lang w:val="en-US" w:eastAsia="zh-CN"/>
        </w:rPr>
      </w:pPr>
      <w:r>
        <w:rPr>
          <w:rFonts w:hint="eastAsia" w:ascii="宋体" w:hAnsi="宋体" w:eastAsia="宋体" w:cs="宋体"/>
          <w:b w:val="0"/>
          <w:color w:val="000000"/>
          <w:sz w:val="24"/>
          <w:szCs w:val="24"/>
          <w:lang w:val="en-US" w:eastAsia="zh-CN"/>
        </w:rPr>
        <w:t>21.6工程项目竣工验收备案前，承包人持全额支付工资的凭证、建设单位出具的工程竣工验收报告办理《建设领域农民工工资足额支付证明》，向人力资源社会保障行政部门申请退还农民工工资保证金。</w:t>
      </w:r>
    </w:p>
    <w:p w14:paraId="2457E8C8">
      <w:pPr>
        <w:pStyle w:val="6"/>
        <w:pageBreakBefore w:val="0"/>
        <w:kinsoku/>
        <w:wordWrap/>
        <w:overflowPunct/>
        <w:topLinePunct w:val="0"/>
        <w:bidi w:val="0"/>
        <w:snapToGrid/>
        <w:spacing w:before="0" w:after="0" w:line="440" w:lineRule="atLeast"/>
        <w:ind w:firstLine="480" w:firstLineChars="200"/>
        <w:contextualSpacing/>
        <w:textAlignment w:val="auto"/>
        <w:rPr>
          <w:rFonts w:hint="default"/>
          <w:sz w:val="24"/>
          <w:szCs w:val="24"/>
          <w:lang w:val="en-US" w:eastAsia="zh-CN"/>
        </w:rPr>
      </w:pPr>
      <w:r>
        <w:rPr>
          <w:rFonts w:hint="eastAsia" w:ascii="宋体" w:hAnsi="宋体" w:eastAsia="宋体" w:cs="宋体"/>
          <w:b w:val="0"/>
          <w:color w:val="000000"/>
          <w:sz w:val="24"/>
          <w:szCs w:val="24"/>
          <w:lang w:val="en-US" w:eastAsia="zh-CN"/>
        </w:rPr>
        <w:t>21.7发生拖欠、克扣农民工工资的，由人力资源社会保障行政部责令承包人限期支付，逾期不支付的，人力资源社会保障行政部门提取承包人交存的农民工工资保证金，用于发放拖欠、克扣的农民工工资，并按照《劳动保障监察条例》的有关规定处理。</w:t>
      </w:r>
    </w:p>
    <w:p w14:paraId="567CF84D">
      <w:pPr>
        <w:pStyle w:val="6"/>
        <w:pageBreakBefore w:val="0"/>
        <w:kinsoku/>
        <w:wordWrap/>
        <w:overflowPunct/>
        <w:topLinePunct w:val="0"/>
        <w:bidi w:val="0"/>
        <w:snapToGrid/>
        <w:spacing w:before="0" w:after="0" w:line="440" w:lineRule="atLeast"/>
        <w:ind w:firstLine="480" w:firstLineChars="200"/>
        <w:contextualSpacing/>
        <w:textAlignment w:val="auto"/>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2</w:t>
      </w:r>
      <w:r>
        <w:rPr>
          <w:rFonts w:hint="eastAsia" w:ascii="宋体" w:hAnsi="宋体" w:eastAsia="宋体" w:cs="宋体"/>
          <w:b w:val="0"/>
          <w:color w:val="000000"/>
          <w:sz w:val="24"/>
          <w:szCs w:val="24"/>
          <w:lang w:val="en-US" w:eastAsia="zh-CN"/>
        </w:rPr>
        <w:t>2</w:t>
      </w:r>
      <w:r>
        <w:rPr>
          <w:rFonts w:hint="eastAsia" w:ascii="宋体" w:hAnsi="宋体" w:eastAsia="宋体" w:cs="宋体"/>
          <w:b w:val="0"/>
          <w:color w:val="000000"/>
          <w:sz w:val="24"/>
          <w:szCs w:val="24"/>
        </w:rPr>
        <w:t>.在其他未尽事宜，经双方协商以书面形式确认为准。</w:t>
      </w:r>
      <w:bookmarkEnd w:id="1047"/>
    </w:p>
    <w:p w14:paraId="5CF8B11E">
      <w:pPr>
        <w:pStyle w:val="27"/>
        <w:rPr>
          <w:rFonts w:hint="eastAsia" w:ascii="宋体" w:hAnsi="宋体" w:eastAsia="宋体" w:cs="宋体"/>
          <w:color w:val="000000"/>
          <w:sz w:val="24"/>
          <w:szCs w:val="24"/>
        </w:rPr>
      </w:pPr>
    </w:p>
    <w:p w14:paraId="73B2630C">
      <w:pPr>
        <w:pStyle w:val="17"/>
        <w:rPr>
          <w:rFonts w:hint="eastAsia"/>
          <w:sz w:val="24"/>
          <w:szCs w:val="24"/>
        </w:rPr>
      </w:pPr>
    </w:p>
    <w:p w14:paraId="57EA4308">
      <w:pPr>
        <w:pageBreakBefore w:val="0"/>
        <w:kinsoku/>
        <w:wordWrap/>
        <w:overflowPunct/>
        <w:topLinePunct w:val="0"/>
        <w:bidi w:val="0"/>
        <w:snapToGrid/>
        <w:spacing w:line="440" w:lineRule="atLeast"/>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  (公章)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承包人：  (公章)</w:t>
      </w:r>
    </w:p>
    <w:p w14:paraId="1C14B122">
      <w:pPr>
        <w:pageBreakBefore w:val="0"/>
        <w:kinsoku/>
        <w:wordWrap/>
        <w:overflowPunct/>
        <w:topLinePunct w:val="0"/>
        <w:bidi w:val="0"/>
        <w:snapToGrid/>
        <w:spacing w:line="440" w:lineRule="atLeast"/>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法定代表人或其委托代理人：（签字）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法定代表人或其委托代理人：（签字）          </w:t>
      </w:r>
      <w:r>
        <w:rPr>
          <w:rFonts w:hint="eastAsia" w:ascii="宋体" w:hAnsi="宋体" w:eastAsia="宋体" w:cs="宋体"/>
          <w:color w:val="000000"/>
          <w:sz w:val="24"/>
          <w:szCs w:val="24"/>
          <w:lang w:val="en-US" w:eastAsia="zh-CN"/>
        </w:rPr>
        <w:t xml:space="preserve">                 </w:t>
      </w:r>
    </w:p>
    <w:p w14:paraId="04C8C069">
      <w:pPr>
        <w:pageBreakBefore w:val="0"/>
        <w:tabs>
          <w:tab w:val="left" w:pos="4410"/>
        </w:tabs>
        <w:kinsoku/>
        <w:wordWrap/>
        <w:overflowPunct/>
        <w:topLinePunct w:val="0"/>
        <w:bidi w:val="0"/>
        <w:snapToGrid/>
        <w:spacing w:line="440" w:lineRule="atLeast"/>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组织机构代码：</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组织机构代码：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p>
    <w:p w14:paraId="7688CA02">
      <w:pPr>
        <w:pageBreakBefore w:val="0"/>
        <w:kinsoku/>
        <w:wordWrap/>
        <w:overflowPunct/>
        <w:topLinePunct w:val="0"/>
        <w:bidi w:val="0"/>
        <w:snapToGrid/>
        <w:spacing w:line="440" w:lineRule="atLeast"/>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地  址：</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地  址：</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p>
    <w:p w14:paraId="660C1C59">
      <w:pPr>
        <w:pageBreakBefore w:val="0"/>
        <w:kinsoku/>
        <w:wordWrap/>
        <w:overflowPunct/>
        <w:topLinePunct w:val="0"/>
        <w:bidi w:val="0"/>
        <w:snapToGrid/>
        <w:spacing w:line="440" w:lineRule="atLeast"/>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邮政编码：</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邮政编码：</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p>
    <w:p w14:paraId="2A74D3C3">
      <w:pPr>
        <w:pageBreakBefore w:val="0"/>
        <w:kinsoku/>
        <w:wordWrap/>
        <w:overflowPunct/>
        <w:topLinePunct w:val="0"/>
        <w:bidi w:val="0"/>
        <w:snapToGrid/>
        <w:spacing w:line="440" w:lineRule="atLeast"/>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法定代表人：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       </w:t>
      </w:r>
    </w:p>
    <w:p w14:paraId="3803234B">
      <w:pPr>
        <w:pageBreakBefore w:val="0"/>
        <w:kinsoku/>
        <w:wordWrap/>
        <w:overflowPunct/>
        <w:topLinePunct w:val="0"/>
        <w:bidi w:val="0"/>
        <w:snapToGrid/>
        <w:spacing w:line="440" w:lineRule="atLeast"/>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委托代理人：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委托代理人：</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p>
    <w:p w14:paraId="5A8D8F20">
      <w:pPr>
        <w:pageBreakBefore w:val="0"/>
        <w:kinsoku/>
        <w:wordWrap/>
        <w:overflowPunct/>
        <w:topLinePunct w:val="0"/>
        <w:bidi w:val="0"/>
        <w:snapToGrid/>
        <w:spacing w:line="440" w:lineRule="atLeast"/>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电  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电  话：</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p>
    <w:p w14:paraId="112B1ECD">
      <w:pPr>
        <w:pageBreakBefore w:val="0"/>
        <w:kinsoku/>
        <w:wordWrap/>
        <w:overflowPunct/>
        <w:topLinePunct w:val="0"/>
        <w:bidi w:val="0"/>
        <w:snapToGrid/>
        <w:spacing w:line="440" w:lineRule="atLeast"/>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传  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传  真：</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   </w:t>
      </w:r>
    </w:p>
    <w:p w14:paraId="27FA8A78">
      <w:pPr>
        <w:pageBreakBefore w:val="0"/>
        <w:kinsoku/>
        <w:wordWrap/>
        <w:overflowPunct/>
        <w:topLinePunct w:val="0"/>
        <w:bidi w:val="0"/>
        <w:snapToGrid/>
        <w:spacing w:line="440" w:lineRule="atLeast"/>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电子信箱：</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p>
    <w:p w14:paraId="4882C9AB">
      <w:pPr>
        <w:pageBreakBefore w:val="0"/>
        <w:kinsoku/>
        <w:wordWrap/>
        <w:overflowPunct/>
        <w:topLinePunct w:val="0"/>
        <w:bidi w:val="0"/>
        <w:snapToGrid/>
        <w:spacing w:line="440" w:lineRule="atLeast"/>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开户银行：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开户银行：</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p>
    <w:p w14:paraId="62F4A91B">
      <w:pPr>
        <w:pageBreakBefore w:val="0"/>
        <w:kinsoku/>
        <w:wordWrap/>
        <w:overflowPunct/>
        <w:topLinePunct w:val="0"/>
        <w:bidi w:val="0"/>
        <w:snapToGrid/>
        <w:spacing w:line="440" w:lineRule="atLeast"/>
        <w:contextualSpacing/>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账  号：</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账  号：</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p>
    <w:p w14:paraId="01F7E6A1">
      <w:pPr>
        <w:pageBreakBefore w:val="0"/>
        <w:kinsoku/>
        <w:wordWrap/>
        <w:overflowPunct/>
        <w:topLinePunct w:val="0"/>
        <w:bidi w:val="0"/>
        <w:snapToGrid/>
        <w:spacing w:line="440" w:lineRule="atLeast"/>
        <w:contextualSpacing/>
        <w:textAlignment w:val="auto"/>
        <w:rPr>
          <w:rFonts w:hint="eastAsia" w:ascii="宋体" w:hAnsi="宋体" w:eastAsia="宋体" w:cs="宋体"/>
          <w:color w:val="000000"/>
          <w:sz w:val="24"/>
          <w:szCs w:val="24"/>
          <w:u w:val="single"/>
        </w:rPr>
      </w:pPr>
    </w:p>
    <w:p w14:paraId="70D2DD94">
      <w:pPr>
        <w:pageBreakBefore w:val="0"/>
        <w:kinsoku/>
        <w:wordWrap/>
        <w:overflowPunct/>
        <w:topLinePunct w:val="0"/>
        <w:bidi w:val="0"/>
        <w:snapToGrid/>
        <w:spacing w:line="440" w:lineRule="atLeast"/>
        <w:contextualSpacing/>
        <w:textAlignment w:val="auto"/>
        <w:rPr>
          <w:rFonts w:hint="eastAsia" w:ascii="宋体" w:hAnsi="宋体" w:eastAsia="宋体" w:cs="宋体"/>
          <w:color w:val="000000"/>
          <w:sz w:val="24"/>
          <w:szCs w:val="24"/>
          <w:u w:val="single"/>
        </w:rPr>
      </w:pPr>
    </w:p>
    <w:p w14:paraId="6C43B7CD">
      <w:pPr>
        <w:pageBreakBefore w:val="0"/>
        <w:kinsoku/>
        <w:wordWrap/>
        <w:overflowPunct/>
        <w:topLinePunct w:val="0"/>
        <w:bidi w:val="0"/>
        <w:snapToGrid/>
        <w:spacing w:line="440" w:lineRule="atLeast"/>
        <w:contextualSpacing/>
        <w:textAlignment w:val="auto"/>
        <w:rPr>
          <w:rFonts w:hint="eastAsia" w:ascii="宋体" w:hAnsi="宋体" w:eastAsia="宋体" w:cs="宋体"/>
          <w:color w:val="000000"/>
          <w:sz w:val="24"/>
          <w:szCs w:val="24"/>
          <w:u w:val="single"/>
        </w:rPr>
      </w:pPr>
    </w:p>
    <w:p w14:paraId="032FC76A">
      <w:pPr>
        <w:pageBreakBefore w:val="0"/>
        <w:kinsoku/>
        <w:wordWrap/>
        <w:overflowPunct/>
        <w:topLinePunct w:val="0"/>
        <w:bidi w:val="0"/>
        <w:snapToGrid/>
        <w:spacing w:line="440" w:lineRule="atLeast"/>
        <w:contextualSpacing/>
        <w:textAlignment w:val="auto"/>
        <w:rPr>
          <w:rFonts w:hint="eastAsia" w:ascii="宋体" w:hAnsi="宋体" w:eastAsia="宋体" w:cs="宋体"/>
          <w:color w:val="000000"/>
          <w:sz w:val="24"/>
          <w:szCs w:val="24"/>
          <w:u w:val="single"/>
        </w:rPr>
      </w:pPr>
    </w:p>
    <w:p w14:paraId="583AEF1D">
      <w:pPr>
        <w:pageBreakBefore w:val="0"/>
        <w:kinsoku/>
        <w:wordWrap/>
        <w:overflowPunct/>
        <w:topLinePunct w:val="0"/>
        <w:bidi w:val="0"/>
        <w:snapToGrid/>
        <w:spacing w:line="440" w:lineRule="atLeast"/>
        <w:contextualSpacing/>
        <w:textAlignment w:val="auto"/>
        <w:rPr>
          <w:rFonts w:hint="eastAsia" w:ascii="宋体" w:hAnsi="宋体" w:eastAsia="宋体" w:cs="宋体"/>
          <w:color w:val="000000"/>
          <w:sz w:val="24"/>
          <w:szCs w:val="24"/>
          <w:u w:val="single"/>
        </w:rPr>
      </w:pPr>
    </w:p>
    <w:p w14:paraId="7CFF7637">
      <w:pPr>
        <w:rPr>
          <w:rFonts w:hint="eastAsia"/>
          <w:lang w:val="en-US" w:eastAsia="zh-CN"/>
        </w:rPr>
      </w:pPr>
      <w:bookmarkStart w:id="1048" w:name="_Toc5765"/>
      <w:bookmarkStart w:id="1049" w:name="_Toc11706"/>
      <w:bookmarkStart w:id="1050" w:name="_Toc19178"/>
      <w:r>
        <w:rPr>
          <w:rFonts w:hint="eastAsia"/>
          <w:lang w:val="en-US" w:eastAsia="zh-CN"/>
        </w:rPr>
        <w:br w:type="page"/>
      </w:r>
    </w:p>
    <w:p w14:paraId="6A36B7A1">
      <w:pPr>
        <w:pStyle w:val="3"/>
        <w:bidi w:val="0"/>
        <w:outlineLvl w:val="0"/>
        <w:rPr>
          <w:rFonts w:hint="default"/>
          <w:lang w:val="en-US" w:eastAsia="zh-CN"/>
        </w:rPr>
      </w:pPr>
      <w:r>
        <w:rPr>
          <w:rFonts w:hint="eastAsia"/>
          <w:lang w:val="en-US" w:eastAsia="zh-CN"/>
        </w:rPr>
        <w:t>附件一、</w:t>
      </w:r>
      <w:bookmarkEnd w:id="1048"/>
      <w:bookmarkEnd w:id="1049"/>
      <w:bookmarkEnd w:id="1050"/>
    </w:p>
    <w:p w14:paraId="279900A4">
      <w:pPr>
        <w:spacing w:line="588" w:lineRule="exact"/>
        <w:jc w:val="center"/>
        <w:rPr>
          <w:rFonts w:hint="eastAsia" w:ascii="宋体" w:hAnsi="宋体" w:eastAsia="宋体" w:cs="宋体"/>
          <w:b/>
          <w:spacing w:val="6"/>
          <w:sz w:val="32"/>
          <w:szCs w:val="32"/>
          <w:lang w:eastAsia="zh-CN"/>
        </w:rPr>
      </w:pPr>
      <w:r>
        <w:rPr>
          <w:rFonts w:hint="eastAsia" w:ascii="宋体" w:hAnsi="宋体" w:eastAsia="宋体" w:cs="宋体"/>
          <w:b/>
          <w:spacing w:val="6"/>
          <w:sz w:val="32"/>
          <w:szCs w:val="32"/>
          <w:lang w:eastAsia="zh-CN"/>
        </w:rPr>
        <w:t>最终</w:t>
      </w:r>
      <w:r>
        <w:rPr>
          <w:rFonts w:hint="eastAsia" w:ascii="宋体" w:hAnsi="宋体" w:eastAsia="宋体" w:cs="宋体"/>
          <w:b/>
          <w:spacing w:val="6"/>
          <w:sz w:val="32"/>
          <w:szCs w:val="32"/>
          <w:lang w:val="en-US" w:eastAsia="zh-CN"/>
        </w:rPr>
        <w:t>磋商</w:t>
      </w:r>
      <w:r>
        <w:rPr>
          <w:rFonts w:hint="eastAsia" w:ascii="宋体" w:hAnsi="宋体" w:eastAsia="宋体" w:cs="宋体"/>
          <w:b/>
          <w:spacing w:val="6"/>
          <w:sz w:val="32"/>
          <w:szCs w:val="32"/>
          <w:lang w:eastAsia="zh-CN"/>
        </w:rPr>
        <w:t>报价</w:t>
      </w:r>
      <w:r>
        <w:rPr>
          <w:rFonts w:hint="eastAsia" w:ascii="宋体" w:hAnsi="宋体" w:eastAsia="宋体" w:cs="宋体"/>
          <w:b/>
          <w:spacing w:val="6"/>
          <w:sz w:val="32"/>
          <w:szCs w:val="32"/>
        </w:rPr>
        <w:t>表</w:t>
      </w:r>
    </w:p>
    <w:p w14:paraId="583C3FAE">
      <w:pPr>
        <w:pStyle w:val="15"/>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项目名称：                                        </w:t>
      </w:r>
    </w:p>
    <w:p w14:paraId="1D2C31C8">
      <w:pPr>
        <w:pStyle w:val="15"/>
        <w:spacing w:line="360" w:lineRule="auto"/>
        <w:rPr>
          <w:rFonts w:hint="eastAsia" w:ascii="宋体" w:hAnsi="宋体" w:eastAsia="宋体" w:cs="宋体"/>
          <w:b w:val="0"/>
          <w:bCs/>
          <w:color w:val="auto"/>
          <w:sz w:val="24"/>
          <w:szCs w:val="24"/>
          <w:u w:val="single"/>
        </w:rPr>
      </w:pPr>
      <w:r>
        <w:rPr>
          <w:rFonts w:hint="eastAsia" w:ascii="宋体" w:hAnsi="宋体" w:eastAsia="宋体" w:cs="宋体"/>
          <w:b w:val="0"/>
          <w:bCs/>
          <w:color w:val="auto"/>
          <w:sz w:val="24"/>
          <w:szCs w:val="24"/>
          <w:lang w:eastAsia="zh-CN"/>
        </w:rPr>
        <w:t>项目编号</w:t>
      </w:r>
      <w:r>
        <w:rPr>
          <w:rFonts w:hint="eastAsia" w:ascii="宋体" w:hAnsi="宋体" w:eastAsia="宋体" w:cs="宋体"/>
          <w:b w:val="0"/>
          <w:bCs/>
          <w:color w:val="auto"/>
          <w:sz w:val="24"/>
          <w:szCs w:val="24"/>
        </w:rPr>
        <w:t>：</w:t>
      </w:r>
    </w:p>
    <w:tbl>
      <w:tblPr>
        <w:tblStyle w:val="28"/>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37"/>
        <w:gridCol w:w="6144"/>
      </w:tblGrid>
      <w:tr w14:paraId="7EAA3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1690" w:type="pct"/>
            <w:tcBorders>
              <w:top w:val="single" w:color="auto" w:sz="4" w:space="0"/>
              <w:left w:val="single" w:color="auto" w:sz="4" w:space="0"/>
              <w:bottom w:val="single" w:color="auto" w:sz="4" w:space="0"/>
              <w:right w:val="single" w:color="auto" w:sz="4" w:space="0"/>
            </w:tcBorders>
            <w:vAlign w:val="center"/>
          </w:tcPr>
          <w:p w14:paraId="02F97EEC">
            <w:pPr>
              <w:spacing w:line="32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名称</w:t>
            </w:r>
          </w:p>
        </w:tc>
        <w:tc>
          <w:tcPr>
            <w:tcW w:w="3309" w:type="pct"/>
            <w:tcBorders>
              <w:top w:val="single" w:color="auto" w:sz="4" w:space="0"/>
              <w:left w:val="single" w:color="auto" w:sz="4" w:space="0"/>
              <w:bottom w:val="single" w:color="auto" w:sz="4" w:space="0"/>
              <w:right w:val="single" w:color="auto" w:sz="4" w:space="0"/>
            </w:tcBorders>
            <w:vAlign w:val="center"/>
          </w:tcPr>
          <w:p w14:paraId="451574F8">
            <w:pPr>
              <w:jc w:val="left"/>
              <w:rPr>
                <w:rFonts w:hint="eastAsia" w:ascii="宋体" w:hAnsi="宋体" w:eastAsia="宋体" w:cs="宋体"/>
                <w:color w:val="auto"/>
                <w:sz w:val="24"/>
                <w:szCs w:val="24"/>
              </w:rPr>
            </w:pPr>
          </w:p>
        </w:tc>
      </w:tr>
      <w:tr w14:paraId="64C66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1690" w:type="pct"/>
            <w:tcBorders>
              <w:top w:val="single" w:color="auto" w:sz="4" w:space="0"/>
              <w:left w:val="single" w:color="auto" w:sz="4" w:space="0"/>
              <w:right w:val="single" w:color="auto" w:sz="4" w:space="0"/>
            </w:tcBorders>
            <w:vAlign w:val="center"/>
          </w:tcPr>
          <w:p w14:paraId="0FCFA624">
            <w:pPr>
              <w:spacing w:line="32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w:t>
            </w:r>
            <w:r>
              <w:rPr>
                <w:rFonts w:hint="eastAsia" w:ascii="宋体" w:hAnsi="宋体" w:eastAsia="宋体" w:cs="宋体"/>
                <w:color w:val="auto"/>
                <w:sz w:val="24"/>
                <w:szCs w:val="24"/>
                <w:lang w:eastAsia="zh-CN"/>
              </w:rPr>
              <w:t>总</w:t>
            </w:r>
            <w:r>
              <w:rPr>
                <w:rFonts w:hint="eastAsia" w:ascii="宋体" w:hAnsi="宋体" w:eastAsia="宋体" w:cs="宋体"/>
                <w:color w:val="auto"/>
                <w:sz w:val="24"/>
                <w:szCs w:val="24"/>
              </w:rPr>
              <w:t>报价（元）</w:t>
            </w:r>
          </w:p>
        </w:tc>
        <w:tc>
          <w:tcPr>
            <w:tcW w:w="3309" w:type="pct"/>
            <w:tcBorders>
              <w:top w:val="single" w:color="auto" w:sz="4" w:space="0"/>
              <w:left w:val="single" w:color="auto" w:sz="4" w:space="0"/>
              <w:right w:val="single" w:color="auto" w:sz="4" w:space="0"/>
            </w:tcBorders>
            <w:vAlign w:val="center"/>
          </w:tcPr>
          <w:p w14:paraId="7F703C5C">
            <w:pPr>
              <w:spacing w:line="360" w:lineRule="auto"/>
              <w:jc w:val="both"/>
              <w:rPr>
                <w:rFonts w:ascii="宋体" w:hAnsi="宋体" w:eastAsia="宋体" w:cs="宋体"/>
                <w:sz w:val="24"/>
                <w:szCs w:val="24"/>
                <w:u w:val="single"/>
                <w:lang w:eastAsia="zh-CN"/>
              </w:rPr>
            </w:pPr>
            <w:r>
              <w:rPr>
                <w:rFonts w:hint="eastAsia" w:ascii="宋体" w:hAnsi="宋体" w:eastAsia="宋体" w:cs="宋体"/>
                <w:sz w:val="24"/>
                <w:szCs w:val="24"/>
                <w:lang w:eastAsia="zh-CN"/>
              </w:rPr>
              <w:t>优惠下浮</w:t>
            </w:r>
            <w:r>
              <w:rPr>
                <w:rFonts w:hint="eastAsia" w:ascii="宋体" w:hAnsi="宋体" w:eastAsia="宋体" w:cs="宋体"/>
                <w:sz w:val="24"/>
                <w:szCs w:val="24"/>
                <w:lang w:val="en-US" w:eastAsia="zh-CN"/>
              </w:rPr>
              <w:t>率</w:t>
            </w:r>
            <w:r>
              <w:rPr>
                <w:rFonts w:hint="eastAsia" w:ascii="宋体" w:hAnsi="宋体" w:eastAsia="宋体" w:cs="宋体"/>
                <w:sz w:val="24"/>
                <w:szCs w:val="24"/>
                <w:u w:val="single"/>
                <w:lang w:eastAsia="zh-CN"/>
              </w:rPr>
              <w:t xml:space="preserve">      %</w:t>
            </w:r>
          </w:p>
          <w:p w14:paraId="59B446EA">
            <w:pPr>
              <w:adjustRightInd w:val="0"/>
              <w:snapToGrid w:val="0"/>
              <w:jc w:val="left"/>
              <w:rPr>
                <w:rFonts w:hint="eastAsia" w:ascii="宋体" w:hAnsi="宋体" w:eastAsia="宋体" w:cs="宋体"/>
                <w:color w:val="auto"/>
                <w:sz w:val="24"/>
                <w:szCs w:val="24"/>
              </w:rPr>
            </w:pPr>
            <w:r>
              <w:rPr>
                <w:rFonts w:hint="eastAsia" w:ascii="宋体" w:hAnsi="宋体" w:eastAsia="宋体" w:cs="宋体"/>
                <w:sz w:val="24"/>
                <w:szCs w:val="24"/>
                <w:lang w:eastAsia="zh-CN"/>
              </w:rPr>
              <w:t>下浮后总价：</w:t>
            </w:r>
            <w:r>
              <w:rPr>
                <w:rFonts w:hint="eastAsia" w:ascii="宋体" w:hAnsi="宋体" w:eastAsia="宋体" w:cs="宋体"/>
                <w:sz w:val="24"/>
                <w:szCs w:val="24"/>
                <w:u w:val="single"/>
                <w:lang w:eastAsia="zh-CN"/>
              </w:rPr>
              <w:t xml:space="preserve">            元（大写：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 xml:space="preserve">    ）</w:t>
            </w:r>
          </w:p>
        </w:tc>
      </w:tr>
      <w:tr w14:paraId="44E4B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1690" w:type="pct"/>
            <w:tcBorders>
              <w:top w:val="single" w:color="auto" w:sz="4" w:space="0"/>
              <w:left w:val="single" w:color="auto" w:sz="4" w:space="0"/>
              <w:right w:val="single" w:color="auto" w:sz="4" w:space="0"/>
            </w:tcBorders>
            <w:vAlign w:val="center"/>
          </w:tcPr>
          <w:p w14:paraId="2C0FFB26">
            <w:pPr>
              <w:spacing w:line="32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合同履行期限</w:t>
            </w:r>
          </w:p>
          <w:p w14:paraId="3D3F9D82">
            <w:pPr>
              <w:pStyle w:val="5"/>
              <w:numPr>
                <w:ilvl w:val="3"/>
                <w:numId w:val="0"/>
              </w:numPr>
              <w:jc w:val="center"/>
              <w:rPr>
                <w:rFonts w:hint="default"/>
                <w:lang w:val="en-US"/>
              </w:rPr>
            </w:pPr>
            <w:r>
              <w:rPr>
                <w:rFonts w:hint="eastAsia" w:ascii="宋体" w:hAnsi="宋体" w:eastAsia="宋体" w:cs="宋体"/>
                <w:color w:val="auto"/>
                <w:sz w:val="24"/>
                <w:szCs w:val="24"/>
                <w:lang w:val="en-US" w:eastAsia="zh-CN"/>
              </w:rPr>
              <w:t>（施工工期）</w:t>
            </w:r>
          </w:p>
        </w:tc>
        <w:tc>
          <w:tcPr>
            <w:tcW w:w="3309" w:type="pct"/>
            <w:tcBorders>
              <w:top w:val="single" w:color="auto" w:sz="4" w:space="0"/>
              <w:left w:val="single" w:color="auto" w:sz="4" w:space="0"/>
              <w:right w:val="single" w:color="auto" w:sz="4" w:space="0"/>
            </w:tcBorders>
            <w:vAlign w:val="center"/>
          </w:tcPr>
          <w:p w14:paraId="7A24ED80">
            <w:pPr>
              <w:rPr>
                <w:rFonts w:hint="eastAsia" w:ascii="宋体" w:hAnsi="宋体" w:eastAsia="宋体" w:cs="宋体"/>
                <w:color w:val="auto"/>
                <w:sz w:val="24"/>
                <w:szCs w:val="24"/>
              </w:rPr>
            </w:pPr>
          </w:p>
        </w:tc>
      </w:tr>
      <w:tr w14:paraId="66943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1690" w:type="pct"/>
            <w:tcBorders>
              <w:top w:val="single" w:color="auto" w:sz="4" w:space="0"/>
              <w:left w:val="single" w:color="auto" w:sz="4" w:space="0"/>
              <w:bottom w:val="single" w:color="auto" w:sz="4" w:space="0"/>
              <w:right w:val="single" w:color="auto" w:sz="4" w:space="0"/>
            </w:tcBorders>
            <w:vAlign w:val="center"/>
          </w:tcPr>
          <w:p w14:paraId="6FFF5697">
            <w:pPr>
              <w:spacing w:line="32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质量</w:t>
            </w:r>
            <w:r>
              <w:rPr>
                <w:rFonts w:hint="eastAsia" w:ascii="宋体" w:hAnsi="宋体" w:eastAsia="宋体" w:cs="宋体"/>
                <w:color w:val="auto"/>
                <w:sz w:val="24"/>
                <w:szCs w:val="24"/>
                <w:lang w:val="en-US" w:eastAsia="zh-CN"/>
              </w:rPr>
              <w:t>标准</w:t>
            </w:r>
          </w:p>
        </w:tc>
        <w:tc>
          <w:tcPr>
            <w:tcW w:w="3309" w:type="pct"/>
            <w:tcBorders>
              <w:top w:val="single" w:color="auto" w:sz="4" w:space="0"/>
              <w:left w:val="single" w:color="auto" w:sz="4" w:space="0"/>
              <w:bottom w:val="single" w:color="auto" w:sz="4" w:space="0"/>
              <w:right w:val="single" w:color="auto" w:sz="4" w:space="0"/>
            </w:tcBorders>
            <w:vAlign w:val="center"/>
          </w:tcPr>
          <w:p w14:paraId="66342133">
            <w:pPr>
              <w:rPr>
                <w:rFonts w:hint="eastAsia" w:ascii="宋体" w:hAnsi="宋体" w:eastAsia="宋体" w:cs="宋体"/>
                <w:color w:val="auto"/>
                <w:sz w:val="24"/>
                <w:szCs w:val="24"/>
              </w:rPr>
            </w:pPr>
          </w:p>
        </w:tc>
      </w:tr>
      <w:tr w14:paraId="48C47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1690" w:type="pct"/>
            <w:tcBorders>
              <w:top w:val="single" w:color="auto" w:sz="4" w:space="0"/>
              <w:left w:val="single" w:color="auto" w:sz="4" w:space="0"/>
              <w:bottom w:val="single" w:color="auto" w:sz="4" w:space="0"/>
              <w:right w:val="single" w:color="auto" w:sz="4" w:space="0"/>
            </w:tcBorders>
            <w:vAlign w:val="center"/>
          </w:tcPr>
          <w:p w14:paraId="50C9F447">
            <w:pPr>
              <w:spacing w:line="320" w:lineRule="exact"/>
              <w:jc w:val="center"/>
              <w:rPr>
                <w:rFonts w:hint="default" w:ascii="宋体" w:hAnsi="宋体" w:eastAsia="宋体" w:cs="宋体"/>
                <w:color w:val="auto"/>
                <w:sz w:val="24"/>
                <w:szCs w:val="24"/>
                <w:lang w:val="en-US"/>
              </w:rPr>
            </w:pPr>
            <w:r>
              <w:rPr>
                <w:rFonts w:hint="eastAsia" w:ascii="宋体" w:hAnsi="宋体" w:eastAsia="宋体" w:cs="宋体"/>
                <w:color w:val="auto"/>
                <w:sz w:val="24"/>
                <w:szCs w:val="24"/>
                <w:lang w:val="en-US" w:eastAsia="zh-CN"/>
              </w:rPr>
              <w:t>项目负责人</w:t>
            </w:r>
          </w:p>
        </w:tc>
        <w:tc>
          <w:tcPr>
            <w:tcW w:w="3309" w:type="pct"/>
            <w:tcBorders>
              <w:top w:val="single" w:color="auto" w:sz="4" w:space="0"/>
              <w:left w:val="single" w:color="auto" w:sz="4" w:space="0"/>
              <w:bottom w:val="single" w:color="auto" w:sz="4" w:space="0"/>
              <w:right w:val="single" w:color="auto" w:sz="4" w:space="0"/>
            </w:tcBorders>
            <w:vAlign w:val="center"/>
          </w:tcPr>
          <w:p w14:paraId="31509FFF">
            <w:pPr>
              <w:jc w:val="center"/>
              <w:rPr>
                <w:rFonts w:hint="eastAsia" w:ascii="宋体" w:hAnsi="宋体" w:eastAsia="宋体" w:cs="宋体"/>
                <w:color w:val="auto"/>
                <w:sz w:val="24"/>
                <w:szCs w:val="24"/>
              </w:rPr>
            </w:pPr>
          </w:p>
        </w:tc>
      </w:tr>
      <w:tr w14:paraId="0398A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0" w:hRule="atLeast"/>
          <w:jc w:val="center"/>
        </w:trPr>
        <w:tc>
          <w:tcPr>
            <w:tcW w:w="5000" w:type="pct"/>
            <w:gridSpan w:val="2"/>
            <w:tcBorders>
              <w:top w:val="single" w:color="auto" w:sz="4" w:space="0"/>
              <w:left w:val="single" w:color="auto" w:sz="4" w:space="0"/>
              <w:bottom w:val="single" w:color="auto" w:sz="4" w:space="0"/>
              <w:right w:val="single" w:color="auto" w:sz="4" w:space="0"/>
            </w:tcBorders>
            <w:vAlign w:val="center"/>
          </w:tcPr>
          <w:p w14:paraId="27025F94">
            <w:pPr>
              <w:widowControl/>
              <w:spacing w:line="4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盖章</w:t>
            </w:r>
            <w:r>
              <w:rPr>
                <w:rFonts w:hint="eastAsia" w:ascii="宋体" w:hAnsi="宋体" w:eastAsia="宋体" w:cs="宋体"/>
                <w:color w:val="auto"/>
                <w:sz w:val="24"/>
                <w:szCs w:val="24"/>
                <w:highlight w:val="none"/>
              </w:rPr>
              <w:t>）：</w:t>
            </w:r>
          </w:p>
          <w:p w14:paraId="7B48A382">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4C5115D1">
            <w:pPr>
              <w:widowControl/>
              <w:spacing w:line="4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法定代表人</w:t>
            </w:r>
            <w:r>
              <w:rPr>
                <w:rFonts w:hint="eastAsia" w:ascii="宋体" w:hAnsi="宋体" w:eastAsia="宋体" w:cs="宋体"/>
                <w:color w:val="auto"/>
                <w:sz w:val="24"/>
                <w:szCs w:val="24"/>
                <w:highlight w:val="none"/>
              </w:rPr>
              <w:t xml:space="preserve">或委托代理人（签字）： </w:t>
            </w:r>
          </w:p>
          <w:p w14:paraId="15F8CA0E">
            <w:pPr>
              <w:rPr>
                <w:rFonts w:hint="eastAsia" w:ascii="宋体" w:hAnsi="宋体" w:eastAsia="宋体" w:cs="宋体"/>
                <w:color w:val="auto"/>
                <w:sz w:val="24"/>
                <w:szCs w:val="24"/>
                <w:highlight w:val="none"/>
              </w:rPr>
            </w:pPr>
          </w:p>
          <w:p w14:paraId="69E62521">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5046D738">
            <w:pPr>
              <w:jc w:val="right"/>
              <w:rPr>
                <w:rFonts w:hint="eastAsia" w:ascii="宋体" w:hAnsi="宋体" w:eastAsia="宋体" w:cs="宋体"/>
                <w:color w:val="auto"/>
                <w:sz w:val="24"/>
                <w:szCs w:val="24"/>
                <w:u w:val="single"/>
              </w:rPr>
            </w:pPr>
            <w:r>
              <w:rPr>
                <w:rFonts w:hint="eastAsia" w:ascii="宋体" w:hAnsi="宋体" w:eastAsia="宋体" w:cs="宋体"/>
                <w:color w:val="auto"/>
                <w:sz w:val="24"/>
                <w:szCs w:val="24"/>
                <w:highlight w:val="none"/>
              </w:rPr>
              <w:t xml:space="preserve">　　　年　　月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p>
        </w:tc>
      </w:tr>
    </w:tbl>
    <w:p w14:paraId="7977258F">
      <w:pPr>
        <w:spacing w:line="360" w:lineRule="auto"/>
        <w:jc w:val="left"/>
        <w:rPr>
          <w:rFonts w:hint="eastAsia" w:ascii="宋体" w:hAnsi="宋体" w:eastAsia="宋体" w:cs="宋体"/>
          <w:b/>
          <w:bCs/>
          <w:sz w:val="24"/>
          <w:szCs w:val="24"/>
          <w:highlight w:val="none"/>
          <w:lang w:val="en-US" w:eastAsia="zh-CN"/>
        </w:rPr>
      </w:pPr>
      <w:bookmarkStart w:id="1051" w:name="OLE_LINK16"/>
      <w:r>
        <w:rPr>
          <w:rFonts w:hint="eastAsia" w:ascii="宋体" w:hAnsi="宋体" w:eastAsia="宋体" w:cs="宋体"/>
          <w:b/>
          <w:bCs/>
          <w:sz w:val="24"/>
          <w:szCs w:val="24"/>
          <w:highlight w:val="none"/>
          <w:lang w:val="en-US" w:eastAsia="zh-CN"/>
        </w:rPr>
        <w:t>说明：1.此表在最终磋商报价时由供应商单独填写签字盖章后作为附件上传到政采云平台（按磋商过程中磋商小组实际要求为准）</w:t>
      </w:r>
      <w:bookmarkEnd w:id="1051"/>
      <w:r>
        <w:rPr>
          <w:rFonts w:hint="eastAsia" w:ascii="宋体" w:hAnsi="宋体" w:eastAsia="宋体" w:cs="宋体"/>
          <w:b/>
          <w:bCs/>
          <w:sz w:val="24"/>
          <w:szCs w:val="24"/>
          <w:highlight w:val="none"/>
          <w:lang w:val="en-US" w:eastAsia="zh-CN"/>
        </w:rPr>
        <w:t>。</w:t>
      </w:r>
    </w:p>
    <w:p w14:paraId="2F9B1E94">
      <w:pPr>
        <w:spacing w:line="360" w:lineRule="auto"/>
        <w:jc w:val="lef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2.如本项目工程量清单中有暂估价（暂列金）的，暂估价（暂列金）不参与最终磋商报价优惠率下浮；最终磋商报价=（第一次磋商报价-暂估价（暂列金））*优惠下浮率+暂估价（暂列金）。</w:t>
      </w:r>
    </w:p>
    <w:p w14:paraId="58C6D933">
      <w:pPr>
        <w:rPr>
          <w:rFonts w:hint="eastAsia"/>
          <w:highlight w:val="yellow"/>
          <w:lang w:val="en-US" w:eastAsia="zh-CN"/>
        </w:rPr>
      </w:pPr>
    </w:p>
    <w:p w14:paraId="4DC0499E">
      <w:pPr>
        <w:rPr>
          <w:rFonts w:hint="eastAsia"/>
          <w:highlight w:val="none"/>
          <w:lang w:val="en-US" w:eastAsia="zh-CN"/>
        </w:rPr>
      </w:pPr>
    </w:p>
    <w:p w14:paraId="3E6AF601">
      <w:pPr>
        <w:rPr>
          <w:rFonts w:hint="eastAsia" w:ascii="宋体" w:hAnsi="宋体" w:eastAsia="宋体" w:cs="宋体"/>
          <w:b/>
          <w:bCs/>
          <w:color w:val="000000"/>
          <w:kern w:val="0"/>
          <w:sz w:val="24"/>
          <w:szCs w:val="24"/>
          <w:lang w:val="en-US" w:eastAsia="zh-CN" w:bidi="ar"/>
        </w:rPr>
      </w:pPr>
    </w:p>
    <w:sectPr>
      <w:headerReference r:id="rId7" w:type="default"/>
      <w:footerReference r:id="rId8" w:type="default"/>
      <w:type w:val="continuous"/>
      <w:pgSz w:w="11906" w:h="16838"/>
      <w:pgMar w:top="1417" w:right="1417" w:bottom="1417" w:left="1417"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AF31AA8-E35A-431A-B13A-72FD870028BC}"/>
  </w:font>
  <w:font w:name="黑体">
    <w:panose1 w:val="02010609060101010101"/>
    <w:charset w:val="86"/>
    <w:family w:val="auto"/>
    <w:pitch w:val="default"/>
    <w:sig w:usb0="800002BF" w:usb1="38CF7CFA" w:usb2="00000016" w:usb3="00000000" w:csb0="00040001" w:csb1="00000000"/>
    <w:embedRegular r:id="rId2" w:fontKey="{9D82AFEE-0824-474A-A2BC-64A268A58FC1}"/>
  </w:font>
  <w:font w:name="Courier New">
    <w:panose1 w:val="02070309020205020404"/>
    <w:charset w:val="01"/>
    <w:family w:val="modern"/>
    <w:pitch w:val="default"/>
    <w:sig w:usb0="E0002EFF" w:usb1="C0007843" w:usb2="00000009" w:usb3="00000000" w:csb0="400001FF" w:csb1="FFFF0000"/>
    <w:embedRegular r:id="rId3" w:fontKey="{2034212D-1AD8-4D2F-8C5A-FA297F5C29DE}"/>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166EA09F-1492-4A6D-AF3F-09311E75E6B3}"/>
  </w:font>
  <w:font w:name="仿宋_GB2312">
    <w:panose1 w:val="02010609030101010101"/>
    <w:charset w:val="86"/>
    <w:family w:val="modern"/>
    <w:pitch w:val="default"/>
    <w:sig w:usb0="00000001" w:usb1="080E0000" w:usb2="00000000" w:usb3="00000000" w:csb0="00040000" w:csb1="00000000"/>
    <w:embedRegular r:id="rId5" w:fontKey="{E86D138D-A461-4A93-A761-21124BD64B4C}"/>
  </w:font>
  <w:font w:name="楷体_GB2312">
    <w:altName w:val="楷体"/>
    <w:panose1 w:val="02010609030101010101"/>
    <w:charset w:val="86"/>
    <w:family w:val="modern"/>
    <w:pitch w:val="default"/>
    <w:sig w:usb0="00000000" w:usb1="00000000" w:usb2="00000000" w:usb3="00000000" w:csb0="00040000" w:csb1="00000000"/>
  </w:font>
  <w:font w:name="Helvetica">
    <w:altName w:val="Arial"/>
    <w:panose1 w:val="020B0504020202030204"/>
    <w:charset w:val="00"/>
    <w:family w:val="swiss"/>
    <w:pitch w:val="default"/>
    <w:sig w:usb0="00000000" w:usb1="00000000" w:usb2="00000000" w:usb3="00000000" w:csb0="00000093" w:csb1="00000000"/>
  </w:font>
  <w:font w:name="Arial Unicode MS">
    <w:altName w:val="Arial"/>
    <w:panose1 w:val="020B0604020202020204"/>
    <w:charset w:val="80"/>
    <w:family w:val="swiss"/>
    <w:pitch w:val="default"/>
    <w:sig w:usb0="00000000" w:usb1="00000000" w:usb2="0000003F" w:usb3="00000000" w:csb0="603F01FF" w:csb1="FFFF0000"/>
  </w:font>
  <w:font w:name="方正仿宋_GBK">
    <w:altName w:val="微软雅黑"/>
    <w:panose1 w:val="03000509000000000000"/>
    <w:charset w:val="86"/>
    <w:family w:val="auto"/>
    <w:pitch w:val="default"/>
    <w:sig w:usb0="00000000" w:usb1="00000000" w:usb2="00000000" w:usb3="00000000" w:csb0="00040000" w:csb1="00000000"/>
  </w:font>
  <w:font w:name="方正黑体_GBK">
    <w:panose1 w:val="02010600010101010101"/>
    <w:charset w:val="86"/>
    <w:family w:val="auto"/>
    <w:pitch w:val="default"/>
    <w:sig w:usb0="00000001" w:usb1="080E0000" w:usb2="00000000" w:usb3="00000000" w:csb0="00040000" w:csb1="00000000"/>
    <w:embedRegular r:id="rId6" w:fontKey="{F27BA6FB-579E-4184-8BC6-47FD814F73F1}"/>
  </w:font>
  <w:font w:name="Segoe UI Symbol">
    <w:panose1 w:val="020B0502040204020203"/>
    <w:charset w:val="00"/>
    <w:family w:val="swiss"/>
    <w:pitch w:val="default"/>
    <w:sig w:usb0="800001E3" w:usb1="1200FFEF" w:usb2="00040000" w:usb3="04000000" w:csb0="00000001" w:csb1="40000000"/>
    <w:embedRegular r:id="rId7" w:fontKey="{CC8DF11A-38C5-49F3-AC30-91E4900E06FB}"/>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WPSEMBED7">
    <w:panose1 w:val="02010609030101010101"/>
    <w:charset w:val="86"/>
    <w:family w:val="auto"/>
    <w:pitch w:val="default"/>
    <w:sig w:usb0="00000001" w:usb1="080E0000" w:usb2="00000000" w:usb3="00000000" w:csb0="00040000" w:csb1="00000000"/>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KSOF6398537F">
    <w:panose1 w:val="020B0604020202020204"/>
    <w:charset w:val="86"/>
    <w:family w:val="auto"/>
    <w:pitch w:val="default"/>
    <w:sig w:usb0="00000001" w:usb1="00000000" w:usb2="00000000" w:usb3="00000000" w:csb0="003E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D78A1">
    <w:pPr>
      <w:pStyle w:val="1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1037B1">
                          <w:pPr>
                            <w:pStyle w:val="18"/>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11037B1">
                    <w:pPr>
                      <w:pStyle w:val="18"/>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259073">
    <w:pPr>
      <w:pStyle w:val="18"/>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CD403C">
                          <w:pPr>
                            <w:pStyle w:val="18"/>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3CD403C">
                    <w:pPr>
                      <w:pStyle w:val="18"/>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02261">
    <w:pPr>
      <w:pStyle w:val="18"/>
      <w:rPr>
        <w:rStyle w:val="31"/>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5E5AF2">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25E5AF2">
                    <w:pPr>
                      <w:pStyle w:val="18"/>
                    </w:pPr>
                    <w:r>
                      <w:fldChar w:fldCharType="begin"/>
                    </w:r>
                    <w:r>
                      <w:instrText xml:space="preserve"> PAGE  \* MERGEFORMAT </w:instrText>
                    </w:r>
                    <w:r>
                      <w:fldChar w:fldCharType="separate"/>
                    </w:r>
                    <w:r>
                      <w:t>1</w:t>
                    </w:r>
                    <w:r>
                      <w:fldChar w:fldCharType="end"/>
                    </w:r>
                  </w:p>
                </w:txbxContent>
              </v:textbox>
            </v:shape>
          </w:pict>
        </mc:Fallback>
      </mc:AlternateContent>
    </w:r>
  </w:p>
  <w:p w14:paraId="107F10D8">
    <w:pPr>
      <w:pStyle w:val="1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E8951">
    <w:pPr>
      <w:pStyle w:val="1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E30323">
                          <w:pPr>
                            <w:pStyle w:val="18"/>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BE30323">
                    <w:pPr>
                      <w:pStyle w:val="18"/>
                    </w:pPr>
                    <w:r>
                      <w:fldChar w:fldCharType="begin"/>
                    </w:r>
                    <w:r>
                      <w:instrText xml:space="preserve"> PAGE  \* MERGEFORMAT </w:instrText>
                    </w:r>
                    <w:r>
                      <w:fldChar w:fldCharType="separate"/>
                    </w:r>
                    <w:r>
                      <w:t>41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9B888A">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824865</wp:posOffset>
              </wp:positionH>
              <wp:positionV relativeFrom="page">
                <wp:posOffset>381635</wp:posOffset>
              </wp:positionV>
              <wp:extent cx="5897880" cy="106680"/>
              <wp:effectExtent l="0" t="0" r="0" b="0"/>
              <wp:wrapNone/>
              <wp:docPr id="18" name="Shape 11"/>
              <wp:cNvGraphicFramePr/>
              <a:graphic xmlns:a="http://schemas.openxmlformats.org/drawingml/2006/main">
                <a:graphicData uri="http://schemas.microsoft.com/office/word/2010/wordprocessingShape">
                  <wps:wsp>
                    <wps:cNvSpPr txBox="1"/>
                    <wps:spPr>
                      <a:xfrm>
                        <a:off x="0" y="0"/>
                        <a:ext cx="5897880" cy="106680"/>
                      </a:xfrm>
                      <a:prstGeom prst="rect">
                        <a:avLst/>
                      </a:prstGeom>
                      <a:noFill/>
                    </wps:spPr>
                    <wps:txbx>
                      <w:txbxContent>
                        <w:p w14:paraId="4063A1F9">
                          <w:pPr>
                            <w:pStyle w:val="64"/>
                            <w:keepNext w:val="0"/>
                            <w:keepLines w:val="0"/>
                            <w:widowControl w:val="0"/>
                            <w:shd w:val="clear" w:color="auto" w:fill="auto"/>
                            <w:tabs>
                              <w:tab w:val="right" w:pos="9288"/>
                            </w:tabs>
                            <w:bidi w:val="0"/>
                            <w:spacing w:before="0" w:after="0" w:line="240" w:lineRule="auto"/>
                            <w:ind w:left="0" w:right="0" w:firstLine="0"/>
                            <w:jc w:val="left"/>
                            <w:rPr>
                              <w:rFonts w:hint="eastAsia" w:eastAsia="宋体"/>
                              <w:sz w:val="18"/>
                              <w:szCs w:val="18"/>
                              <w:lang w:eastAsia="zh-CN"/>
                            </w:rPr>
                          </w:pPr>
                          <w:r>
                            <w:rPr>
                              <w:rFonts w:ascii="宋体" w:hAnsi="宋体" w:eastAsia="宋体" w:cs="宋体"/>
                              <w:color w:val="000000"/>
                              <w:spacing w:val="0"/>
                              <w:w w:val="100"/>
                              <w:position w:val="0"/>
                              <w:sz w:val="18"/>
                              <w:szCs w:val="18"/>
                            </w:rPr>
                            <w:tab/>
                          </w:r>
                        </w:p>
                      </w:txbxContent>
                    </wps:txbx>
                    <wps:bodyPr lIns="0" tIns="0" rIns="0" bIns="0">
                      <a:spAutoFit/>
                    </wps:bodyPr>
                  </wps:wsp>
                </a:graphicData>
              </a:graphic>
            </wp:anchor>
          </w:drawing>
        </mc:Choice>
        <mc:Fallback>
          <w:pict>
            <v:shape id="Shape 11" o:spid="_x0000_s1026" o:spt="202" type="#_x0000_t202" style="position:absolute;left:0pt;margin-left:64.95pt;margin-top:30.05pt;height:8.4pt;width:464.4pt;mso-position-horizontal-relative:page;mso-position-vertical-relative:page;z-index:-251657216;mso-width-relative:page;mso-height-relative:page;" filled="f" stroked="f" coordsize="21600,21600" o:gfxdata="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310YP9UAAAAKAQAADwAAAAAA&#10;AAABACAAAAAiAAAAZHJzL2Rvd25yZXYueG1sUEsBAhQAFAAAAAgAh07iQLuFkDykAQAAZgMAAA4A&#10;AAAAAAAAAQAgAAAAJAEAAGRycy9lMm9Eb2MueG1sUEsFBgAAAAAGAAYAWQEAADoFAAAAAA==&#10;">
              <v:fill on="f" focussize="0,0"/>
              <v:stroke on="f"/>
              <v:imagedata o:title=""/>
              <o:lock v:ext="edit" aspectratio="f"/>
              <v:textbox inset="0mm,0mm,0mm,0mm" style="mso-fit-shape-to-text:t;">
                <w:txbxContent>
                  <w:p w14:paraId="4063A1F9">
                    <w:pPr>
                      <w:pStyle w:val="64"/>
                      <w:keepNext w:val="0"/>
                      <w:keepLines w:val="0"/>
                      <w:widowControl w:val="0"/>
                      <w:shd w:val="clear" w:color="auto" w:fill="auto"/>
                      <w:tabs>
                        <w:tab w:val="right" w:pos="9288"/>
                      </w:tabs>
                      <w:bidi w:val="0"/>
                      <w:spacing w:before="0" w:after="0" w:line="240" w:lineRule="auto"/>
                      <w:ind w:left="0" w:right="0" w:firstLine="0"/>
                      <w:jc w:val="left"/>
                      <w:rPr>
                        <w:rFonts w:hint="eastAsia" w:eastAsia="宋体"/>
                        <w:sz w:val="18"/>
                        <w:szCs w:val="18"/>
                        <w:lang w:eastAsia="zh-CN"/>
                      </w:rPr>
                    </w:pPr>
                    <w:r>
                      <w:rPr>
                        <w:rFonts w:ascii="宋体" w:hAnsi="宋体" w:eastAsia="宋体" w:cs="宋体"/>
                        <w:color w:val="000000"/>
                        <w:spacing w:val="0"/>
                        <w:w w:val="100"/>
                        <w:position w:val="0"/>
                        <w:sz w:val="18"/>
                        <w:szCs w:val="18"/>
                      </w:rPr>
                      <w:tab/>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06CB7A">
    <w:pPr>
      <w:pStyle w:val="1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BB1F53"/>
    <w:multiLevelType w:val="singleLevel"/>
    <w:tmpl w:val="85BB1F53"/>
    <w:lvl w:ilvl="0" w:tentative="0">
      <w:start w:val="1"/>
      <w:numFmt w:val="decimal"/>
      <w:suff w:val="space"/>
      <w:lvlText w:val="（%1）"/>
      <w:lvlJc w:val="left"/>
    </w:lvl>
  </w:abstractNum>
  <w:abstractNum w:abstractNumId="1">
    <w:nsid w:val="0315620E"/>
    <w:multiLevelType w:val="multilevel"/>
    <w:tmpl w:val="0315620E"/>
    <w:lvl w:ilvl="0" w:tentative="0">
      <w:start w:val="1"/>
      <w:numFmt w:val="decimal"/>
      <w:lvlText w:val="%1"/>
      <w:lvlJc w:val="left"/>
      <w:pPr>
        <w:tabs>
          <w:tab w:val="left" w:pos="360"/>
        </w:tabs>
        <w:ind w:left="284" w:hanging="284"/>
      </w:pPr>
      <w:rPr>
        <w:rFonts w:hint="default" w:ascii="Times New Roman" w:hAnsi="Times New Roman"/>
        <w:b/>
        <w:i w:val="0"/>
        <w:sz w:val="28"/>
      </w:rPr>
    </w:lvl>
    <w:lvl w:ilvl="1" w:tentative="0">
      <w:start w:val="1"/>
      <w:numFmt w:val="decimal"/>
      <w:lvlText w:val="%1.%2"/>
      <w:lvlJc w:val="left"/>
      <w:pPr>
        <w:tabs>
          <w:tab w:val="left" w:pos="1021"/>
        </w:tabs>
        <w:ind w:left="1021" w:hanging="596"/>
      </w:pPr>
      <w:rPr>
        <w:rFonts w:hint="default" w:ascii="Times New Roman" w:hAnsi="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b/>
        <w:i w:val="0"/>
        <w:sz w:val="24"/>
      </w:rPr>
    </w:lvl>
    <w:lvl w:ilvl="3" w:tentative="0">
      <w:start w:val="1"/>
      <w:numFmt w:val="decimal"/>
      <w:pStyle w:val="5"/>
      <w:lvlText w:val="%1.%2.%3.%4"/>
      <w:lvlJc w:val="left"/>
      <w:pPr>
        <w:tabs>
          <w:tab w:val="left" w:pos="2155"/>
        </w:tabs>
        <w:ind w:left="2758"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2">
    <w:nsid w:val="5A9CFC8B"/>
    <w:multiLevelType w:val="singleLevel"/>
    <w:tmpl w:val="5A9CFC8B"/>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AxMzJhMTE4NzgzYzc1YzJmMDk3Mzg0N2VhYzM2YTUifQ=="/>
    <w:docVar w:name="KSO_WPS_MARK_KEY" w:val="5d0cbad7-f96b-4a3d-bc0c-34ecd5ec5ad6"/>
  </w:docVars>
  <w:rsids>
    <w:rsidRoot w:val="15C65504"/>
    <w:rsid w:val="00276E33"/>
    <w:rsid w:val="00332C8A"/>
    <w:rsid w:val="006B1CA5"/>
    <w:rsid w:val="007F61E9"/>
    <w:rsid w:val="00A34C2F"/>
    <w:rsid w:val="00B341C8"/>
    <w:rsid w:val="00B92F9C"/>
    <w:rsid w:val="00C70461"/>
    <w:rsid w:val="00C73C99"/>
    <w:rsid w:val="00C94F77"/>
    <w:rsid w:val="00E068AD"/>
    <w:rsid w:val="00F11F19"/>
    <w:rsid w:val="012015DC"/>
    <w:rsid w:val="013A1025"/>
    <w:rsid w:val="016A47F7"/>
    <w:rsid w:val="01783E0A"/>
    <w:rsid w:val="01AE5BCE"/>
    <w:rsid w:val="01AF11CE"/>
    <w:rsid w:val="01BA3B84"/>
    <w:rsid w:val="01DC7E0B"/>
    <w:rsid w:val="01F219A7"/>
    <w:rsid w:val="022C0730"/>
    <w:rsid w:val="02644444"/>
    <w:rsid w:val="0275668A"/>
    <w:rsid w:val="0286634E"/>
    <w:rsid w:val="028B607A"/>
    <w:rsid w:val="028D25B7"/>
    <w:rsid w:val="02A03C0E"/>
    <w:rsid w:val="02C7387D"/>
    <w:rsid w:val="02CB1CA5"/>
    <w:rsid w:val="0310556F"/>
    <w:rsid w:val="03265180"/>
    <w:rsid w:val="033E2799"/>
    <w:rsid w:val="033E3F8C"/>
    <w:rsid w:val="03433F84"/>
    <w:rsid w:val="03453B70"/>
    <w:rsid w:val="0373691E"/>
    <w:rsid w:val="03774AF5"/>
    <w:rsid w:val="0383720A"/>
    <w:rsid w:val="0387224C"/>
    <w:rsid w:val="0394658D"/>
    <w:rsid w:val="03C3693E"/>
    <w:rsid w:val="03F74175"/>
    <w:rsid w:val="03FE03E7"/>
    <w:rsid w:val="04043713"/>
    <w:rsid w:val="040B335F"/>
    <w:rsid w:val="04385A96"/>
    <w:rsid w:val="04623988"/>
    <w:rsid w:val="04630E01"/>
    <w:rsid w:val="04713B51"/>
    <w:rsid w:val="048134BE"/>
    <w:rsid w:val="049662C2"/>
    <w:rsid w:val="04F0405B"/>
    <w:rsid w:val="05246664"/>
    <w:rsid w:val="05276634"/>
    <w:rsid w:val="05300925"/>
    <w:rsid w:val="053D33AC"/>
    <w:rsid w:val="055427DB"/>
    <w:rsid w:val="05654691"/>
    <w:rsid w:val="056F07D7"/>
    <w:rsid w:val="05736601"/>
    <w:rsid w:val="057958D3"/>
    <w:rsid w:val="058464C5"/>
    <w:rsid w:val="0593120D"/>
    <w:rsid w:val="059C14C0"/>
    <w:rsid w:val="05C05EDE"/>
    <w:rsid w:val="05C7701E"/>
    <w:rsid w:val="05E06147"/>
    <w:rsid w:val="060C7247"/>
    <w:rsid w:val="06287461"/>
    <w:rsid w:val="06394519"/>
    <w:rsid w:val="06AF16C9"/>
    <w:rsid w:val="06BA72A5"/>
    <w:rsid w:val="06C54CB0"/>
    <w:rsid w:val="06C76ABA"/>
    <w:rsid w:val="06EA0289"/>
    <w:rsid w:val="06F2019A"/>
    <w:rsid w:val="06FE1251"/>
    <w:rsid w:val="06FE67D4"/>
    <w:rsid w:val="07140F49"/>
    <w:rsid w:val="07574ABF"/>
    <w:rsid w:val="07771467"/>
    <w:rsid w:val="07966D78"/>
    <w:rsid w:val="07BA65DE"/>
    <w:rsid w:val="07C63F46"/>
    <w:rsid w:val="07F11717"/>
    <w:rsid w:val="07FB4C48"/>
    <w:rsid w:val="08083740"/>
    <w:rsid w:val="08150E83"/>
    <w:rsid w:val="08275B31"/>
    <w:rsid w:val="08417601"/>
    <w:rsid w:val="0847418A"/>
    <w:rsid w:val="085413CF"/>
    <w:rsid w:val="085539E8"/>
    <w:rsid w:val="085560FE"/>
    <w:rsid w:val="08624EAC"/>
    <w:rsid w:val="087D3A94"/>
    <w:rsid w:val="0889695E"/>
    <w:rsid w:val="08A458D1"/>
    <w:rsid w:val="08B240F9"/>
    <w:rsid w:val="08B37E08"/>
    <w:rsid w:val="08E8610B"/>
    <w:rsid w:val="0931646F"/>
    <w:rsid w:val="09475938"/>
    <w:rsid w:val="097D6CB3"/>
    <w:rsid w:val="09AE695F"/>
    <w:rsid w:val="09B75A7D"/>
    <w:rsid w:val="09C9503C"/>
    <w:rsid w:val="09DC5BBF"/>
    <w:rsid w:val="09FB6D7F"/>
    <w:rsid w:val="0A142B60"/>
    <w:rsid w:val="0A3B6FED"/>
    <w:rsid w:val="0A536C08"/>
    <w:rsid w:val="0A5A3744"/>
    <w:rsid w:val="0A6A0FF4"/>
    <w:rsid w:val="0A6F75BD"/>
    <w:rsid w:val="0AA37EE0"/>
    <w:rsid w:val="0AB44B76"/>
    <w:rsid w:val="0ADD5DCA"/>
    <w:rsid w:val="0B0A34CA"/>
    <w:rsid w:val="0B185CF6"/>
    <w:rsid w:val="0B443115"/>
    <w:rsid w:val="0B573926"/>
    <w:rsid w:val="0B737BBA"/>
    <w:rsid w:val="0B744A0F"/>
    <w:rsid w:val="0B7B67B3"/>
    <w:rsid w:val="0B7D3522"/>
    <w:rsid w:val="0B8C1448"/>
    <w:rsid w:val="0B8E48F8"/>
    <w:rsid w:val="0C073E0E"/>
    <w:rsid w:val="0C207949"/>
    <w:rsid w:val="0C2A3CF3"/>
    <w:rsid w:val="0C473F3F"/>
    <w:rsid w:val="0C563D0A"/>
    <w:rsid w:val="0C6A44A1"/>
    <w:rsid w:val="0C6D769B"/>
    <w:rsid w:val="0C8E5E00"/>
    <w:rsid w:val="0C984BC6"/>
    <w:rsid w:val="0CAA0BCF"/>
    <w:rsid w:val="0CAB56CC"/>
    <w:rsid w:val="0CB3426C"/>
    <w:rsid w:val="0CBE6F19"/>
    <w:rsid w:val="0CCA0F68"/>
    <w:rsid w:val="0CD520F0"/>
    <w:rsid w:val="0CFF7188"/>
    <w:rsid w:val="0D04378C"/>
    <w:rsid w:val="0D5D647A"/>
    <w:rsid w:val="0D6918F7"/>
    <w:rsid w:val="0D8E3761"/>
    <w:rsid w:val="0DA701B0"/>
    <w:rsid w:val="0DBE545C"/>
    <w:rsid w:val="0DC15F4F"/>
    <w:rsid w:val="0DCB750D"/>
    <w:rsid w:val="0DD220F4"/>
    <w:rsid w:val="0DF46A0F"/>
    <w:rsid w:val="0DFC4AE5"/>
    <w:rsid w:val="0E0C329C"/>
    <w:rsid w:val="0E0F0EA8"/>
    <w:rsid w:val="0E205608"/>
    <w:rsid w:val="0E360D93"/>
    <w:rsid w:val="0E390F41"/>
    <w:rsid w:val="0E3D4F85"/>
    <w:rsid w:val="0E41491F"/>
    <w:rsid w:val="0E6E588B"/>
    <w:rsid w:val="0E710BE8"/>
    <w:rsid w:val="0E7112CD"/>
    <w:rsid w:val="0E8C0035"/>
    <w:rsid w:val="0E905A81"/>
    <w:rsid w:val="0E9854BE"/>
    <w:rsid w:val="0EAB1F74"/>
    <w:rsid w:val="0EAD49A7"/>
    <w:rsid w:val="0EB94C69"/>
    <w:rsid w:val="0EBE2240"/>
    <w:rsid w:val="0EC144C7"/>
    <w:rsid w:val="0EC91843"/>
    <w:rsid w:val="0EEF556E"/>
    <w:rsid w:val="0F0D72EC"/>
    <w:rsid w:val="0F0F74A3"/>
    <w:rsid w:val="0F196699"/>
    <w:rsid w:val="0F1A0C85"/>
    <w:rsid w:val="0F377199"/>
    <w:rsid w:val="0F397CD2"/>
    <w:rsid w:val="0F616EB4"/>
    <w:rsid w:val="0F72689B"/>
    <w:rsid w:val="0F9332D7"/>
    <w:rsid w:val="0FB10A42"/>
    <w:rsid w:val="0FC83373"/>
    <w:rsid w:val="0FF30ADF"/>
    <w:rsid w:val="10673610"/>
    <w:rsid w:val="10B40409"/>
    <w:rsid w:val="10CD2AC8"/>
    <w:rsid w:val="10E92040"/>
    <w:rsid w:val="10EE1E4F"/>
    <w:rsid w:val="11193483"/>
    <w:rsid w:val="1122342A"/>
    <w:rsid w:val="11290EEC"/>
    <w:rsid w:val="112D7DF8"/>
    <w:rsid w:val="1141009E"/>
    <w:rsid w:val="114B1A8F"/>
    <w:rsid w:val="114F0605"/>
    <w:rsid w:val="115563A0"/>
    <w:rsid w:val="117F5C56"/>
    <w:rsid w:val="11FC1934"/>
    <w:rsid w:val="12320E62"/>
    <w:rsid w:val="124E1FFD"/>
    <w:rsid w:val="124F09F7"/>
    <w:rsid w:val="12573F56"/>
    <w:rsid w:val="127E3D4F"/>
    <w:rsid w:val="129D7DF5"/>
    <w:rsid w:val="12A179AE"/>
    <w:rsid w:val="12D36995"/>
    <w:rsid w:val="131C03D8"/>
    <w:rsid w:val="13315A99"/>
    <w:rsid w:val="133E2C9A"/>
    <w:rsid w:val="13473A80"/>
    <w:rsid w:val="134B7792"/>
    <w:rsid w:val="135276D0"/>
    <w:rsid w:val="13600588"/>
    <w:rsid w:val="136A01E4"/>
    <w:rsid w:val="137B73F8"/>
    <w:rsid w:val="13B20653"/>
    <w:rsid w:val="13E25E26"/>
    <w:rsid w:val="13EC761B"/>
    <w:rsid w:val="13F310AE"/>
    <w:rsid w:val="140E413A"/>
    <w:rsid w:val="144506B9"/>
    <w:rsid w:val="148E48A3"/>
    <w:rsid w:val="149D05C1"/>
    <w:rsid w:val="14C37B85"/>
    <w:rsid w:val="14C8758B"/>
    <w:rsid w:val="14F40F1B"/>
    <w:rsid w:val="150C0DAD"/>
    <w:rsid w:val="150D619F"/>
    <w:rsid w:val="1529544B"/>
    <w:rsid w:val="152D32D7"/>
    <w:rsid w:val="153B7E56"/>
    <w:rsid w:val="15592692"/>
    <w:rsid w:val="15710EAB"/>
    <w:rsid w:val="15AE1730"/>
    <w:rsid w:val="15BD0328"/>
    <w:rsid w:val="15C65504"/>
    <w:rsid w:val="15CF1A34"/>
    <w:rsid w:val="15F730F2"/>
    <w:rsid w:val="160550C9"/>
    <w:rsid w:val="1606331B"/>
    <w:rsid w:val="16255B02"/>
    <w:rsid w:val="162773C4"/>
    <w:rsid w:val="16324C41"/>
    <w:rsid w:val="163E29EB"/>
    <w:rsid w:val="16472E2D"/>
    <w:rsid w:val="164E7F86"/>
    <w:rsid w:val="165955A2"/>
    <w:rsid w:val="16696D72"/>
    <w:rsid w:val="166A0A4E"/>
    <w:rsid w:val="167069E6"/>
    <w:rsid w:val="16874476"/>
    <w:rsid w:val="16991669"/>
    <w:rsid w:val="169E17A5"/>
    <w:rsid w:val="16A57DC7"/>
    <w:rsid w:val="16DB5ECF"/>
    <w:rsid w:val="16E01211"/>
    <w:rsid w:val="16F775E2"/>
    <w:rsid w:val="170C23A9"/>
    <w:rsid w:val="1713221D"/>
    <w:rsid w:val="172244D9"/>
    <w:rsid w:val="17446CFC"/>
    <w:rsid w:val="17614581"/>
    <w:rsid w:val="17DC1165"/>
    <w:rsid w:val="17E85AC5"/>
    <w:rsid w:val="1824217E"/>
    <w:rsid w:val="184B1351"/>
    <w:rsid w:val="185E3EA8"/>
    <w:rsid w:val="187B2616"/>
    <w:rsid w:val="18C43019"/>
    <w:rsid w:val="18FE38BD"/>
    <w:rsid w:val="19037FE5"/>
    <w:rsid w:val="190D2C12"/>
    <w:rsid w:val="19143E66"/>
    <w:rsid w:val="191C63D0"/>
    <w:rsid w:val="191D5295"/>
    <w:rsid w:val="193A684A"/>
    <w:rsid w:val="193B4DF8"/>
    <w:rsid w:val="194D289F"/>
    <w:rsid w:val="19551B41"/>
    <w:rsid w:val="1964015F"/>
    <w:rsid w:val="198F150C"/>
    <w:rsid w:val="199456F1"/>
    <w:rsid w:val="19B25F6B"/>
    <w:rsid w:val="19B673C3"/>
    <w:rsid w:val="19E22305"/>
    <w:rsid w:val="19F06F22"/>
    <w:rsid w:val="1A1104E0"/>
    <w:rsid w:val="1A173418"/>
    <w:rsid w:val="1A18363D"/>
    <w:rsid w:val="1A204B35"/>
    <w:rsid w:val="1A2B6BE2"/>
    <w:rsid w:val="1A2D38D2"/>
    <w:rsid w:val="1A354D9F"/>
    <w:rsid w:val="1A540C74"/>
    <w:rsid w:val="1A5F2540"/>
    <w:rsid w:val="1AA03612"/>
    <w:rsid w:val="1AEF5419"/>
    <w:rsid w:val="1AF168FC"/>
    <w:rsid w:val="1B01495F"/>
    <w:rsid w:val="1B236270"/>
    <w:rsid w:val="1B351FAC"/>
    <w:rsid w:val="1B5E1503"/>
    <w:rsid w:val="1B9D24C1"/>
    <w:rsid w:val="1BD872E5"/>
    <w:rsid w:val="1BE840B8"/>
    <w:rsid w:val="1C015185"/>
    <w:rsid w:val="1C0C6E4C"/>
    <w:rsid w:val="1C1100CB"/>
    <w:rsid w:val="1C1E56C5"/>
    <w:rsid w:val="1C461749"/>
    <w:rsid w:val="1C47643B"/>
    <w:rsid w:val="1C4B03B8"/>
    <w:rsid w:val="1C88604E"/>
    <w:rsid w:val="1C89085B"/>
    <w:rsid w:val="1CB47331"/>
    <w:rsid w:val="1CD613A5"/>
    <w:rsid w:val="1CF0262F"/>
    <w:rsid w:val="1D024F7F"/>
    <w:rsid w:val="1D085F6F"/>
    <w:rsid w:val="1D1128DF"/>
    <w:rsid w:val="1D1267E1"/>
    <w:rsid w:val="1D2E35C0"/>
    <w:rsid w:val="1D3A1AFC"/>
    <w:rsid w:val="1D4A170D"/>
    <w:rsid w:val="1D4E1C75"/>
    <w:rsid w:val="1D4E414E"/>
    <w:rsid w:val="1D58534B"/>
    <w:rsid w:val="1D5B357F"/>
    <w:rsid w:val="1D5D3C94"/>
    <w:rsid w:val="1D87366A"/>
    <w:rsid w:val="1D8D7CE8"/>
    <w:rsid w:val="1D97355D"/>
    <w:rsid w:val="1DA0229D"/>
    <w:rsid w:val="1DB400D1"/>
    <w:rsid w:val="1DB81F3A"/>
    <w:rsid w:val="1DE43C5B"/>
    <w:rsid w:val="1E293CA2"/>
    <w:rsid w:val="1E780C65"/>
    <w:rsid w:val="1E7B150D"/>
    <w:rsid w:val="1EC24545"/>
    <w:rsid w:val="1EC4630A"/>
    <w:rsid w:val="1ED1233E"/>
    <w:rsid w:val="1EEC1C72"/>
    <w:rsid w:val="1F066139"/>
    <w:rsid w:val="1F11495C"/>
    <w:rsid w:val="1F1D28A6"/>
    <w:rsid w:val="1F3172FE"/>
    <w:rsid w:val="1F381476"/>
    <w:rsid w:val="1F393637"/>
    <w:rsid w:val="1F546E19"/>
    <w:rsid w:val="1F5A5BB5"/>
    <w:rsid w:val="1F76617D"/>
    <w:rsid w:val="1FB223E3"/>
    <w:rsid w:val="1FBC0768"/>
    <w:rsid w:val="1FDB75C6"/>
    <w:rsid w:val="1FE22C37"/>
    <w:rsid w:val="1FF07AB1"/>
    <w:rsid w:val="2003305E"/>
    <w:rsid w:val="20084133"/>
    <w:rsid w:val="200A44E7"/>
    <w:rsid w:val="204F2C6C"/>
    <w:rsid w:val="20674A61"/>
    <w:rsid w:val="207E2A49"/>
    <w:rsid w:val="20A40048"/>
    <w:rsid w:val="20A63AF2"/>
    <w:rsid w:val="20A7159D"/>
    <w:rsid w:val="20DB53A4"/>
    <w:rsid w:val="20E77EF4"/>
    <w:rsid w:val="20EB01F3"/>
    <w:rsid w:val="21043690"/>
    <w:rsid w:val="216655B5"/>
    <w:rsid w:val="218B0B78"/>
    <w:rsid w:val="21A6582E"/>
    <w:rsid w:val="22017B31"/>
    <w:rsid w:val="22076543"/>
    <w:rsid w:val="22152DA6"/>
    <w:rsid w:val="22345BD7"/>
    <w:rsid w:val="227E06DD"/>
    <w:rsid w:val="22891AF8"/>
    <w:rsid w:val="228A1892"/>
    <w:rsid w:val="22AB0C2C"/>
    <w:rsid w:val="22B35DEB"/>
    <w:rsid w:val="22E23088"/>
    <w:rsid w:val="23224C8F"/>
    <w:rsid w:val="23242A99"/>
    <w:rsid w:val="23275D12"/>
    <w:rsid w:val="236F1F47"/>
    <w:rsid w:val="23874801"/>
    <w:rsid w:val="23A57AE5"/>
    <w:rsid w:val="23F44362"/>
    <w:rsid w:val="240D646D"/>
    <w:rsid w:val="243303BE"/>
    <w:rsid w:val="24335B6F"/>
    <w:rsid w:val="24945247"/>
    <w:rsid w:val="24B43FF7"/>
    <w:rsid w:val="24B970CD"/>
    <w:rsid w:val="24BD3695"/>
    <w:rsid w:val="24CE39AC"/>
    <w:rsid w:val="25093D68"/>
    <w:rsid w:val="25113CED"/>
    <w:rsid w:val="2512053D"/>
    <w:rsid w:val="25294BB0"/>
    <w:rsid w:val="25330B4A"/>
    <w:rsid w:val="258A2FBE"/>
    <w:rsid w:val="25BF766B"/>
    <w:rsid w:val="25CC36FB"/>
    <w:rsid w:val="25D80104"/>
    <w:rsid w:val="260C0986"/>
    <w:rsid w:val="26211AAB"/>
    <w:rsid w:val="26333C8F"/>
    <w:rsid w:val="265853B6"/>
    <w:rsid w:val="26616E7C"/>
    <w:rsid w:val="26AE2A58"/>
    <w:rsid w:val="26B85DA8"/>
    <w:rsid w:val="26C72857"/>
    <w:rsid w:val="26CB2DC4"/>
    <w:rsid w:val="27755C75"/>
    <w:rsid w:val="277A46D2"/>
    <w:rsid w:val="27944A18"/>
    <w:rsid w:val="27A50132"/>
    <w:rsid w:val="27CA4CBE"/>
    <w:rsid w:val="27DD7B52"/>
    <w:rsid w:val="27FF4445"/>
    <w:rsid w:val="280B0BA7"/>
    <w:rsid w:val="2816138E"/>
    <w:rsid w:val="282A7347"/>
    <w:rsid w:val="28392C7B"/>
    <w:rsid w:val="283D0FC5"/>
    <w:rsid w:val="289120A5"/>
    <w:rsid w:val="289627E7"/>
    <w:rsid w:val="28A33013"/>
    <w:rsid w:val="28AF5AC0"/>
    <w:rsid w:val="28B42ACE"/>
    <w:rsid w:val="28BD61BD"/>
    <w:rsid w:val="29152150"/>
    <w:rsid w:val="29241367"/>
    <w:rsid w:val="295C7E14"/>
    <w:rsid w:val="29620A37"/>
    <w:rsid w:val="29653E87"/>
    <w:rsid w:val="296D3831"/>
    <w:rsid w:val="298B7225"/>
    <w:rsid w:val="2995792D"/>
    <w:rsid w:val="29A81845"/>
    <w:rsid w:val="29B062F9"/>
    <w:rsid w:val="29CE021D"/>
    <w:rsid w:val="29F73D99"/>
    <w:rsid w:val="2A1536D4"/>
    <w:rsid w:val="2A4A35CA"/>
    <w:rsid w:val="2A7C19A5"/>
    <w:rsid w:val="2A967ABD"/>
    <w:rsid w:val="2ABF543C"/>
    <w:rsid w:val="2AC93F0C"/>
    <w:rsid w:val="2ACC5F55"/>
    <w:rsid w:val="2AD04A3A"/>
    <w:rsid w:val="2AD95E49"/>
    <w:rsid w:val="2AE83EFB"/>
    <w:rsid w:val="2AF04A54"/>
    <w:rsid w:val="2AF50AF6"/>
    <w:rsid w:val="2B1B582C"/>
    <w:rsid w:val="2B3D549F"/>
    <w:rsid w:val="2B4328A1"/>
    <w:rsid w:val="2B440FC1"/>
    <w:rsid w:val="2B47127D"/>
    <w:rsid w:val="2B5F5E77"/>
    <w:rsid w:val="2B7D59D5"/>
    <w:rsid w:val="2C003F71"/>
    <w:rsid w:val="2C476200"/>
    <w:rsid w:val="2C505A39"/>
    <w:rsid w:val="2C640D38"/>
    <w:rsid w:val="2C724967"/>
    <w:rsid w:val="2C873093"/>
    <w:rsid w:val="2C8A5B0D"/>
    <w:rsid w:val="2C980F15"/>
    <w:rsid w:val="2C993DA9"/>
    <w:rsid w:val="2CA451E4"/>
    <w:rsid w:val="2CA45E23"/>
    <w:rsid w:val="2CA666A6"/>
    <w:rsid w:val="2CC725C1"/>
    <w:rsid w:val="2CD446F2"/>
    <w:rsid w:val="2D0939DF"/>
    <w:rsid w:val="2D281FB4"/>
    <w:rsid w:val="2D7467D7"/>
    <w:rsid w:val="2D927C18"/>
    <w:rsid w:val="2D9B2636"/>
    <w:rsid w:val="2DA44100"/>
    <w:rsid w:val="2DAD2CC4"/>
    <w:rsid w:val="2DB0354B"/>
    <w:rsid w:val="2DB277CB"/>
    <w:rsid w:val="2DE802AD"/>
    <w:rsid w:val="2E030006"/>
    <w:rsid w:val="2E0527A2"/>
    <w:rsid w:val="2E2406A3"/>
    <w:rsid w:val="2E6A475B"/>
    <w:rsid w:val="2E736685"/>
    <w:rsid w:val="2E84281C"/>
    <w:rsid w:val="2EBC5500"/>
    <w:rsid w:val="2EE87609"/>
    <w:rsid w:val="2EFF4953"/>
    <w:rsid w:val="2F4C0708"/>
    <w:rsid w:val="2F540531"/>
    <w:rsid w:val="2F561AF3"/>
    <w:rsid w:val="2F5A7C1A"/>
    <w:rsid w:val="2F5F3C62"/>
    <w:rsid w:val="2F745341"/>
    <w:rsid w:val="2F7708EA"/>
    <w:rsid w:val="2F855EA5"/>
    <w:rsid w:val="2FA54863"/>
    <w:rsid w:val="2FCC6DC8"/>
    <w:rsid w:val="2FDA10CD"/>
    <w:rsid w:val="2FE67DA9"/>
    <w:rsid w:val="2FF5654E"/>
    <w:rsid w:val="2FFA54F3"/>
    <w:rsid w:val="2FFB0727"/>
    <w:rsid w:val="300D2E40"/>
    <w:rsid w:val="30130062"/>
    <w:rsid w:val="303F591A"/>
    <w:rsid w:val="30AE5261"/>
    <w:rsid w:val="30B63004"/>
    <w:rsid w:val="30CD21D4"/>
    <w:rsid w:val="30CF5398"/>
    <w:rsid w:val="30DE6F64"/>
    <w:rsid w:val="30E3277E"/>
    <w:rsid w:val="30E41C33"/>
    <w:rsid w:val="30E45100"/>
    <w:rsid w:val="30F23755"/>
    <w:rsid w:val="31412450"/>
    <w:rsid w:val="315432D6"/>
    <w:rsid w:val="3161544B"/>
    <w:rsid w:val="316A5E7A"/>
    <w:rsid w:val="318D157D"/>
    <w:rsid w:val="319B575E"/>
    <w:rsid w:val="31B310B0"/>
    <w:rsid w:val="31DA7196"/>
    <w:rsid w:val="31DB6AD9"/>
    <w:rsid w:val="31DD69F1"/>
    <w:rsid w:val="32036F60"/>
    <w:rsid w:val="323F74B0"/>
    <w:rsid w:val="32440E6A"/>
    <w:rsid w:val="32682922"/>
    <w:rsid w:val="326C5E9D"/>
    <w:rsid w:val="32711834"/>
    <w:rsid w:val="327250D3"/>
    <w:rsid w:val="32A001FB"/>
    <w:rsid w:val="32A53AD0"/>
    <w:rsid w:val="32B819E9"/>
    <w:rsid w:val="32D429B5"/>
    <w:rsid w:val="32EC7821"/>
    <w:rsid w:val="32FB0D84"/>
    <w:rsid w:val="330429F1"/>
    <w:rsid w:val="331D7A9E"/>
    <w:rsid w:val="331E312D"/>
    <w:rsid w:val="33476192"/>
    <w:rsid w:val="33585C2A"/>
    <w:rsid w:val="33642BF6"/>
    <w:rsid w:val="336A4A1A"/>
    <w:rsid w:val="337D0287"/>
    <w:rsid w:val="33A67327"/>
    <w:rsid w:val="33BB2226"/>
    <w:rsid w:val="33C9740B"/>
    <w:rsid w:val="33CB74B7"/>
    <w:rsid w:val="33CF557C"/>
    <w:rsid w:val="33D83672"/>
    <w:rsid w:val="341D4A42"/>
    <w:rsid w:val="34365E56"/>
    <w:rsid w:val="343D2AE6"/>
    <w:rsid w:val="345D2EDB"/>
    <w:rsid w:val="347D2CCE"/>
    <w:rsid w:val="34853B4C"/>
    <w:rsid w:val="34911AAA"/>
    <w:rsid w:val="34913A96"/>
    <w:rsid w:val="34D71057"/>
    <w:rsid w:val="34FE6DB6"/>
    <w:rsid w:val="34FF3B70"/>
    <w:rsid w:val="3544271F"/>
    <w:rsid w:val="355E0C87"/>
    <w:rsid w:val="35624D04"/>
    <w:rsid w:val="3584757C"/>
    <w:rsid w:val="359E7E0A"/>
    <w:rsid w:val="35E47923"/>
    <w:rsid w:val="35F17622"/>
    <w:rsid w:val="35FC1813"/>
    <w:rsid w:val="36462420"/>
    <w:rsid w:val="36511F38"/>
    <w:rsid w:val="368328CA"/>
    <w:rsid w:val="369D517D"/>
    <w:rsid w:val="36B57F17"/>
    <w:rsid w:val="36B96EA2"/>
    <w:rsid w:val="36C04AAF"/>
    <w:rsid w:val="36CD20EF"/>
    <w:rsid w:val="36D73C8C"/>
    <w:rsid w:val="36F154C9"/>
    <w:rsid w:val="376D65EB"/>
    <w:rsid w:val="376D6D4B"/>
    <w:rsid w:val="3772444C"/>
    <w:rsid w:val="379540A7"/>
    <w:rsid w:val="381A1BEC"/>
    <w:rsid w:val="381A55E0"/>
    <w:rsid w:val="381B5E1E"/>
    <w:rsid w:val="38210C77"/>
    <w:rsid w:val="3822793A"/>
    <w:rsid w:val="383624FB"/>
    <w:rsid w:val="384652AF"/>
    <w:rsid w:val="384A30E3"/>
    <w:rsid w:val="38654309"/>
    <w:rsid w:val="386F3A34"/>
    <w:rsid w:val="3882287D"/>
    <w:rsid w:val="38951D19"/>
    <w:rsid w:val="38DD5C49"/>
    <w:rsid w:val="390E0620"/>
    <w:rsid w:val="39173CD2"/>
    <w:rsid w:val="391F00CC"/>
    <w:rsid w:val="393B341F"/>
    <w:rsid w:val="39440A0C"/>
    <w:rsid w:val="39442BC1"/>
    <w:rsid w:val="39466C3A"/>
    <w:rsid w:val="394753A6"/>
    <w:rsid w:val="39924D42"/>
    <w:rsid w:val="39CE0CDE"/>
    <w:rsid w:val="39D7105F"/>
    <w:rsid w:val="39DB1108"/>
    <w:rsid w:val="39E83AA1"/>
    <w:rsid w:val="39F310A6"/>
    <w:rsid w:val="3A173F92"/>
    <w:rsid w:val="3A1F49EA"/>
    <w:rsid w:val="3A290B99"/>
    <w:rsid w:val="3A4D1E76"/>
    <w:rsid w:val="3A4F0AA8"/>
    <w:rsid w:val="3A680E28"/>
    <w:rsid w:val="3AB175DC"/>
    <w:rsid w:val="3AE077B1"/>
    <w:rsid w:val="3AE53E90"/>
    <w:rsid w:val="3B167C0B"/>
    <w:rsid w:val="3B6961AA"/>
    <w:rsid w:val="3BCA4AB3"/>
    <w:rsid w:val="3C02657D"/>
    <w:rsid w:val="3C0835FD"/>
    <w:rsid w:val="3C101F4E"/>
    <w:rsid w:val="3C2547F3"/>
    <w:rsid w:val="3C300828"/>
    <w:rsid w:val="3C5329C8"/>
    <w:rsid w:val="3C5A6430"/>
    <w:rsid w:val="3CC2593E"/>
    <w:rsid w:val="3D123AC2"/>
    <w:rsid w:val="3D4A1610"/>
    <w:rsid w:val="3D5A69B5"/>
    <w:rsid w:val="3D7742DF"/>
    <w:rsid w:val="3D913506"/>
    <w:rsid w:val="3D9E46E1"/>
    <w:rsid w:val="3DBF1E7D"/>
    <w:rsid w:val="3DC40CD9"/>
    <w:rsid w:val="3DE23AE2"/>
    <w:rsid w:val="3DF978FB"/>
    <w:rsid w:val="3E220993"/>
    <w:rsid w:val="3E6677E8"/>
    <w:rsid w:val="3E6A0262"/>
    <w:rsid w:val="3E741CCD"/>
    <w:rsid w:val="3EA97733"/>
    <w:rsid w:val="3EAA2A39"/>
    <w:rsid w:val="3EAE0607"/>
    <w:rsid w:val="3EBE62C0"/>
    <w:rsid w:val="3EE86BA7"/>
    <w:rsid w:val="3F38176A"/>
    <w:rsid w:val="3F511703"/>
    <w:rsid w:val="3F641C70"/>
    <w:rsid w:val="3F6B00DB"/>
    <w:rsid w:val="3F7862FF"/>
    <w:rsid w:val="3F7B0026"/>
    <w:rsid w:val="3F7D6074"/>
    <w:rsid w:val="3F851B2A"/>
    <w:rsid w:val="3FA4757D"/>
    <w:rsid w:val="3FD17BE6"/>
    <w:rsid w:val="40047E9D"/>
    <w:rsid w:val="40051862"/>
    <w:rsid w:val="40786313"/>
    <w:rsid w:val="407C2246"/>
    <w:rsid w:val="40854D60"/>
    <w:rsid w:val="4089633D"/>
    <w:rsid w:val="40984BCB"/>
    <w:rsid w:val="410B1343"/>
    <w:rsid w:val="41181B6E"/>
    <w:rsid w:val="412F22E7"/>
    <w:rsid w:val="413C5593"/>
    <w:rsid w:val="416E6EE9"/>
    <w:rsid w:val="418B7E3D"/>
    <w:rsid w:val="419378A9"/>
    <w:rsid w:val="41F74AAD"/>
    <w:rsid w:val="41F9139D"/>
    <w:rsid w:val="420267DC"/>
    <w:rsid w:val="420D7F10"/>
    <w:rsid w:val="422C2C46"/>
    <w:rsid w:val="424D3F16"/>
    <w:rsid w:val="42701FEA"/>
    <w:rsid w:val="4278617C"/>
    <w:rsid w:val="427D7E24"/>
    <w:rsid w:val="42AC01F0"/>
    <w:rsid w:val="42D50FCC"/>
    <w:rsid w:val="42ED2B88"/>
    <w:rsid w:val="42F907F5"/>
    <w:rsid w:val="4301202C"/>
    <w:rsid w:val="43071BA7"/>
    <w:rsid w:val="433104DF"/>
    <w:rsid w:val="433F68D0"/>
    <w:rsid w:val="434D646F"/>
    <w:rsid w:val="43504A29"/>
    <w:rsid w:val="438A2A04"/>
    <w:rsid w:val="438C09DE"/>
    <w:rsid w:val="43CC2BFE"/>
    <w:rsid w:val="43D46490"/>
    <w:rsid w:val="43D71C10"/>
    <w:rsid w:val="43E97C54"/>
    <w:rsid w:val="43F11C59"/>
    <w:rsid w:val="442F6DC3"/>
    <w:rsid w:val="44364F17"/>
    <w:rsid w:val="44421811"/>
    <w:rsid w:val="44423B7B"/>
    <w:rsid w:val="44425C19"/>
    <w:rsid w:val="44AD36F9"/>
    <w:rsid w:val="44B36CD1"/>
    <w:rsid w:val="44B85F15"/>
    <w:rsid w:val="44D819A6"/>
    <w:rsid w:val="452B604A"/>
    <w:rsid w:val="452F5A50"/>
    <w:rsid w:val="453B0DED"/>
    <w:rsid w:val="4541586E"/>
    <w:rsid w:val="45491CB8"/>
    <w:rsid w:val="455A0102"/>
    <w:rsid w:val="456A2A6D"/>
    <w:rsid w:val="458813C1"/>
    <w:rsid w:val="45974475"/>
    <w:rsid w:val="45A90ACE"/>
    <w:rsid w:val="45C20E9E"/>
    <w:rsid w:val="45C26BE0"/>
    <w:rsid w:val="45DA63D4"/>
    <w:rsid w:val="45E73EF7"/>
    <w:rsid w:val="46452166"/>
    <w:rsid w:val="465B449A"/>
    <w:rsid w:val="46674E60"/>
    <w:rsid w:val="467F792D"/>
    <w:rsid w:val="468A055B"/>
    <w:rsid w:val="4693200E"/>
    <w:rsid w:val="46987574"/>
    <w:rsid w:val="46AC51E8"/>
    <w:rsid w:val="46C16C66"/>
    <w:rsid w:val="4709049F"/>
    <w:rsid w:val="471E0A6F"/>
    <w:rsid w:val="47204F2D"/>
    <w:rsid w:val="47406408"/>
    <w:rsid w:val="47A112C4"/>
    <w:rsid w:val="47AF5CB0"/>
    <w:rsid w:val="47D60594"/>
    <w:rsid w:val="47E437A7"/>
    <w:rsid w:val="48264E6E"/>
    <w:rsid w:val="482F13EF"/>
    <w:rsid w:val="484E1EAB"/>
    <w:rsid w:val="48547638"/>
    <w:rsid w:val="486458D5"/>
    <w:rsid w:val="487B7005"/>
    <w:rsid w:val="48854420"/>
    <w:rsid w:val="48B620CF"/>
    <w:rsid w:val="48D31519"/>
    <w:rsid w:val="48D332A6"/>
    <w:rsid w:val="48E2325E"/>
    <w:rsid w:val="48E2579D"/>
    <w:rsid w:val="48E33F23"/>
    <w:rsid w:val="49017F63"/>
    <w:rsid w:val="490B427D"/>
    <w:rsid w:val="490F790E"/>
    <w:rsid w:val="493150F6"/>
    <w:rsid w:val="495711BC"/>
    <w:rsid w:val="498225EC"/>
    <w:rsid w:val="498B70B7"/>
    <w:rsid w:val="49A02A64"/>
    <w:rsid w:val="49C06955"/>
    <w:rsid w:val="49C268D6"/>
    <w:rsid w:val="49D95728"/>
    <w:rsid w:val="49DB156B"/>
    <w:rsid w:val="49E311DF"/>
    <w:rsid w:val="49E52C86"/>
    <w:rsid w:val="4A255219"/>
    <w:rsid w:val="4A331C29"/>
    <w:rsid w:val="4A4C59A3"/>
    <w:rsid w:val="4A6E0EB3"/>
    <w:rsid w:val="4A732226"/>
    <w:rsid w:val="4A825D8D"/>
    <w:rsid w:val="4AC8634F"/>
    <w:rsid w:val="4AF3211A"/>
    <w:rsid w:val="4B0127C8"/>
    <w:rsid w:val="4B1E5DBF"/>
    <w:rsid w:val="4B621737"/>
    <w:rsid w:val="4B6D0008"/>
    <w:rsid w:val="4B7A59DC"/>
    <w:rsid w:val="4B8B32FD"/>
    <w:rsid w:val="4B9106E2"/>
    <w:rsid w:val="4BBC6270"/>
    <w:rsid w:val="4BBF48B8"/>
    <w:rsid w:val="4BD51AF2"/>
    <w:rsid w:val="4BDD467C"/>
    <w:rsid w:val="4C174394"/>
    <w:rsid w:val="4C5604AF"/>
    <w:rsid w:val="4C62394D"/>
    <w:rsid w:val="4C633B45"/>
    <w:rsid w:val="4C7351BB"/>
    <w:rsid w:val="4C91428E"/>
    <w:rsid w:val="4CA82EA2"/>
    <w:rsid w:val="4CC83397"/>
    <w:rsid w:val="4CE22926"/>
    <w:rsid w:val="4CE22A29"/>
    <w:rsid w:val="4CFF4044"/>
    <w:rsid w:val="4D023675"/>
    <w:rsid w:val="4D206DD1"/>
    <w:rsid w:val="4D65223A"/>
    <w:rsid w:val="4D891815"/>
    <w:rsid w:val="4DA60964"/>
    <w:rsid w:val="4DC702F2"/>
    <w:rsid w:val="4DD27D5E"/>
    <w:rsid w:val="4DEE47A1"/>
    <w:rsid w:val="4E055E94"/>
    <w:rsid w:val="4E0B6517"/>
    <w:rsid w:val="4E0C7D07"/>
    <w:rsid w:val="4E0D5326"/>
    <w:rsid w:val="4E18598C"/>
    <w:rsid w:val="4E1B1742"/>
    <w:rsid w:val="4E2D77D5"/>
    <w:rsid w:val="4E42610C"/>
    <w:rsid w:val="4E6B3C3C"/>
    <w:rsid w:val="4E9B0F2B"/>
    <w:rsid w:val="4EAF611D"/>
    <w:rsid w:val="4ED66230"/>
    <w:rsid w:val="4EEE16B2"/>
    <w:rsid w:val="4F0679B3"/>
    <w:rsid w:val="4F0A6BB6"/>
    <w:rsid w:val="4F231D95"/>
    <w:rsid w:val="4F385399"/>
    <w:rsid w:val="4F521F59"/>
    <w:rsid w:val="4F8F053C"/>
    <w:rsid w:val="4F9A7EFA"/>
    <w:rsid w:val="4FDB425B"/>
    <w:rsid w:val="4FEB23F5"/>
    <w:rsid w:val="4FF31327"/>
    <w:rsid w:val="50117A4B"/>
    <w:rsid w:val="50171C7B"/>
    <w:rsid w:val="501E523A"/>
    <w:rsid w:val="502A1B84"/>
    <w:rsid w:val="503B47D3"/>
    <w:rsid w:val="50525375"/>
    <w:rsid w:val="50560D1D"/>
    <w:rsid w:val="50834CFD"/>
    <w:rsid w:val="509748C6"/>
    <w:rsid w:val="51016C34"/>
    <w:rsid w:val="510E66B0"/>
    <w:rsid w:val="5116706A"/>
    <w:rsid w:val="512247A5"/>
    <w:rsid w:val="5127473E"/>
    <w:rsid w:val="51321BDF"/>
    <w:rsid w:val="515517DD"/>
    <w:rsid w:val="516101CE"/>
    <w:rsid w:val="5164453C"/>
    <w:rsid w:val="517E4212"/>
    <w:rsid w:val="51891C98"/>
    <w:rsid w:val="519D56FB"/>
    <w:rsid w:val="51AF55CF"/>
    <w:rsid w:val="51CB391A"/>
    <w:rsid w:val="51CD1551"/>
    <w:rsid w:val="51CE40D2"/>
    <w:rsid w:val="51F078E9"/>
    <w:rsid w:val="51F76131"/>
    <w:rsid w:val="51FA7D66"/>
    <w:rsid w:val="52001EDD"/>
    <w:rsid w:val="520951AD"/>
    <w:rsid w:val="523F255F"/>
    <w:rsid w:val="5262185E"/>
    <w:rsid w:val="528E7916"/>
    <w:rsid w:val="5308378E"/>
    <w:rsid w:val="530C3683"/>
    <w:rsid w:val="53173E5A"/>
    <w:rsid w:val="532109CD"/>
    <w:rsid w:val="53267F17"/>
    <w:rsid w:val="53316F22"/>
    <w:rsid w:val="53507811"/>
    <w:rsid w:val="535350EA"/>
    <w:rsid w:val="535A7BFE"/>
    <w:rsid w:val="537E6FF5"/>
    <w:rsid w:val="53870D4D"/>
    <w:rsid w:val="53967C3D"/>
    <w:rsid w:val="53AB4B1B"/>
    <w:rsid w:val="53AD3B52"/>
    <w:rsid w:val="53AF4069"/>
    <w:rsid w:val="53C96FE0"/>
    <w:rsid w:val="53D37FD9"/>
    <w:rsid w:val="53EF537E"/>
    <w:rsid w:val="54106B37"/>
    <w:rsid w:val="54736953"/>
    <w:rsid w:val="549E6392"/>
    <w:rsid w:val="54A81357"/>
    <w:rsid w:val="54E40863"/>
    <w:rsid w:val="54E63A66"/>
    <w:rsid w:val="54EE57E5"/>
    <w:rsid w:val="550338EA"/>
    <w:rsid w:val="55063CF2"/>
    <w:rsid w:val="55145966"/>
    <w:rsid w:val="552E326A"/>
    <w:rsid w:val="553575B8"/>
    <w:rsid w:val="55583E80"/>
    <w:rsid w:val="55766E6E"/>
    <w:rsid w:val="558E2155"/>
    <w:rsid w:val="55924DCB"/>
    <w:rsid w:val="55B97953"/>
    <w:rsid w:val="563B1625"/>
    <w:rsid w:val="56412C14"/>
    <w:rsid w:val="56452B2F"/>
    <w:rsid w:val="56463E40"/>
    <w:rsid w:val="566D1B95"/>
    <w:rsid w:val="567C2653"/>
    <w:rsid w:val="56A11369"/>
    <w:rsid w:val="56F97A67"/>
    <w:rsid w:val="5708338B"/>
    <w:rsid w:val="570E17B8"/>
    <w:rsid w:val="572479A0"/>
    <w:rsid w:val="57727AE0"/>
    <w:rsid w:val="57750A21"/>
    <w:rsid w:val="57767A6A"/>
    <w:rsid w:val="578461BA"/>
    <w:rsid w:val="57A702BE"/>
    <w:rsid w:val="57A744E0"/>
    <w:rsid w:val="57EB2EBA"/>
    <w:rsid w:val="57F74887"/>
    <w:rsid w:val="581A29EB"/>
    <w:rsid w:val="581E2413"/>
    <w:rsid w:val="586109A0"/>
    <w:rsid w:val="587F428B"/>
    <w:rsid w:val="589377EB"/>
    <w:rsid w:val="58A41F44"/>
    <w:rsid w:val="58B801F8"/>
    <w:rsid w:val="58D82334"/>
    <w:rsid w:val="58DE6A30"/>
    <w:rsid w:val="58EF6D48"/>
    <w:rsid w:val="58FB74C3"/>
    <w:rsid w:val="58FD0018"/>
    <w:rsid w:val="5926525F"/>
    <w:rsid w:val="596A17C6"/>
    <w:rsid w:val="597162CA"/>
    <w:rsid w:val="5983125A"/>
    <w:rsid w:val="59A169A1"/>
    <w:rsid w:val="59F22BD6"/>
    <w:rsid w:val="5A052B3B"/>
    <w:rsid w:val="5A3040B5"/>
    <w:rsid w:val="5A6A3073"/>
    <w:rsid w:val="5A970A6C"/>
    <w:rsid w:val="5AA95717"/>
    <w:rsid w:val="5AAA1105"/>
    <w:rsid w:val="5AAD48B3"/>
    <w:rsid w:val="5AC42C2C"/>
    <w:rsid w:val="5AD355CA"/>
    <w:rsid w:val="5ADD6A53"/>
    <w:rsid w:val="5AFA1B66"/>
    <w:rsid w:val="5B2156A4"/>
    <w:rsid w:val="5B265014"/>
    <w:rsid w:val="5B2B4A3C"/>
    <w:rsid w:val="5B6473EB"/>
    <w:rsid w:val="5B655EE5"/>
    <w:rsid w:val="5B7C57B0"/>
    <w:rsid w:val="5B9C5154"/>
    <w:rsid w:val="5BB406F0"/>
    <w:rsid w:val="5BB8628A"/>
    <w:rsid w:val="5BCF5323"/>
    <w:rsid w:val="5BE76245"/>
    <w:rsid w:val="5C0D6A04"/>
    <w:rsid w:val="5C456023"/>
    <w:rsid w:val="5C4C2E4D"/>
    <w:rsid w:val="5C5E535A"/>
    <w:rsid w:val="5CBD2AAB"/>
    <w:rsid w:val="5CC558B0"/>
    <w:rsid w:val="5CF526CE"/>
    <w:rsid w:val="5CFD21A5"/>
    <w:rsid w:val="5D343CFF"/>
    <w:rsid w:val="5D443348"/>
    <w:rsid w:val="5D4851BA"/>
    <w:rsid w:val="5D522E56"/>
    <w:rsid w:val="5D8D51BC"/>
    <w:rsid w:val="5DB14544"/>
    <w:rsid w:val="5DDD2891"/>
    <w:rsid w:val="5DFC276E"/>
    <w:rsid w:val="5E122F18"/>
    <w:rsid w:val="5E3A797D"/>
    <w:rsid w:val="5E400044"/>
    <w:rsid w:val="5E4448D8"/>
    <w:rsid w:val="5E59557E"/>
    <w:rsid w:val="5E846748"/>
    <w:rsid w:val="5E960E9B"/>
    <w:rsid w:val="5EA75B56"/>
    <w:rsid w:val="5EC7698C"/>
    <w:rsid w:val="5EE3033B"/>
    <w:rsid w:val="5EE86134"/>
    <w:rsid w:val="5EEB6F1B"/>
    <w:rsid w:val="5F03103E"/>
    <w:rsid w:val="5F182E6F"/>
    <w:rsid w:val="5F207F52"/>
    <w:rsid w:val="5F3A6868"/>
    <w:rsid w:val="5F4723AE"/>
    <w:rsid w:val="5F66484A"/>
    <w:rsid w:val="5F6E47AF"/>
    <w:rsid w:val="5F77220E"/>
    <w:rsid w:val="5FA41F05"/>
    <w:rsid w:val="5FB503DB"/>
    <w:rsid w:val="5FCA6734"/>
    <w:rsid w:val="5FE71934"/>
    <w:rsid w:val="5FF009C7"/>
    <w:rsid w:val="5FF64F68"/>
    <w:rsid w:val="600805F8"/>
    <w:rsid w:val="603B7D38"/>
    <w:rsid w:val="605E50CE"/>
    <w:rsid w:val="60624321"/>
    <w:rsid w:val="60E156A9"/>
    <w:rsid w:val="60F5390D"/>
    <w:rsid w:val="60F778DD"/>
    <w:rsid w:val="61375E67"/>
    <w:rsid w:val="613B2FF3"/>
    <w:rsid w:val="6162650D"/>
    <w:rsid w:val="61785D1C"/>
    <w:rsid w:val="617E2781"/>
    <w:rsid w:val="618516A7"/>
    <w:rsid w:val="61A00F6C"/>
    <w:rsid w:val="61A9731E"/>
    <w:rsid w:val="61BE0D38"/>
    <w:rsid w:val="61D70C94"/>
    <w:rsid w:val="61D80291"/>
    <w:rsid w:val="61FE2911"/>
    <w:rsid w:val="62322165"/>
    <w:rsid w:val="62426BFF"/>
    <w:rsid w:val="624349F1"/>
    <w:rsid w:val="625B3859"/>
    <w:rsid w:val="62776215"/>
    <w:rsid w:val="62943C91"/>
    <w:rsid w:val="62AB699B"/>
    <w:rsid w:val="62B879D0"/>
    <w:rsid w:val="62B9454F"/>
    <w:rsid w:val="62CA4350"/>
    <w:rsid w:val="62F83F7A"/>
    <w:rsid w:val="62FD0BCE"/>
    <w:rsid w:val="63063EC2"/>
    <w:rsid w:val="63283343"/>
    <w:rsid w:val="63385B8B"/>
    <w:rsid w:val="634678C3"/>
    <w:rsid w:val="637068E9"/>
    <w:rsid w:val="639A1FE8"/>
    <w:rsid w:val="63A909C3"/>
    <w:rsid w:val="63B86140"/>
    <w:rsid w:val="63BB71C0"/>
    <w:rsid w:val="63C33063"/>
    <w:rsid w:val="63F209FC"/>
    <w:rsid w:val="640239C3"/>
    <w:rsid w:val="6412180C"/>
    <w:rsid w:val="644864B6"/>
    <w:rsid w:val="647C43C9"/>
    <w:rsid w:val="648D414A"/>
    <w:rsid w:val="64C245AD"/>
    <w:rsid w:val="64CC0D08"/>
    <w:rsid w:val="65272973"/>
    <w:rsid w:val="65356AF7"/>
    <w:rsid w:val="653D4597"/>
    <w:rsid w:val="65660603"/>
    <w:rsid w:val="656D1D99"/>
    <w:rsid w:val="656F3C6B"/>
    <w:rsid w:val="658A0485"/>
    <w:rsid w:val="659C68E5"/>
    <w:rsid w:val="65BB267B"/>
    <w:rsid w:val="65D44ADD"/>
    <w:rsid w:val="65DE5D12"/>
    <w:rsid w:val="65E16585"/>
    <w:rsid w:val="65E55C47"/>
    <w:rsid w:val="65E9368C"/>
    <w:rsid w:val="661F29E1"/>
    <w:rsid w:val="664D487B"/>
    <w:rsid w:val="664E598D"/>
    <w:rsid w:val="66667D30"/>
    <w:rsid w:val="66817A35"/>
    <w:rsid w:val="669143AC"/>
    <w:rsid w:val="66962F74"/>
    <w:rsid w:val="66A15D14"/>
    <w:rsid w:val="66AC5B37"/>
    <w:rsid w:val="66EA7221"/>
    <w:rsid w:val="66EC7E26"/>
    <w:rsid w:val="67373F83"/>
    <w:rsid w:val="67447371"/>
    <w:rsid w:val="676115B6"/>
    <w:rsid w:val="677D4F9E"/>
    <w:rsid w:val="67A55F61"/>
    <w:rsid w:val="67C2769C"/>
    <w:rsid w:val="680C25E4"/>
    <w:rsid w:val="682E78E2"/>
    <w:rsid w:val="68361325"/>
    <w:rsid w:val="683C1C04"/>
    <w:rsid w:val="68420FD1"/>
    <w:rsid w:val="684B69CC"/>
    <w:rsid w:val="68930513"/>
    <w:rsid w:val="68933A70"/>
    <w:rsid w:val="68A634BD"/>
    <w:rsid w:val="68C1444C"/>
    <w:rsid w:val="68E02C6E"/>
    <w:rsid w:val="68E34749"/>
    <w:rsid w:val="69251C54"/>
    <w:rsid w:val="694713EF"/>
    <w:rsid w:val="6953538D"/>
    <w:rsid w:val="696F5F8D"/>
    <w:rsid w:val="698B1A0E"/>
    <w:rsid w:val="69A52001"/>
    <w:rsid w:val="69BE469F"/>
    <w:rsid w:val="69D628FB"/>
    <w:rsid w:val="69D755BC"/>
    <w:rsid w:val="6A49091E"/>
    <w:rsid w:val="6A5D5FCD"/>
    <w:rsid w:val="6A617C95"/>
    <w:rsid w:val="6A757C9B"/>
    <w:rsid w:val="6A772FAD"/>
    <w:rsid w:val="6AB33088"/>
    <w:rsid w:val="6AB617C8"/>
    <w:rsid w:val="6B0554AD"/>
    <w:rsid w:val="6B19019F"/>
    <w:rsid w:val="6B2A2F3E"/>
    <w:rsid w:val="6B2B3DFF"/>
    <w:rsid w:val="6B370279"/>
    <w:rsid w:val="6B712159"/>
    <w:rsid w:val="6B7A3154"/>
    <w:rsid w:val="6B811C71"/>
    <w:rsid w:val="6BC60C78"/>
    <w:rsid w:val="6BD03EBE"/>
    <w:rsid w:val="6BD567CA"/>
    <w:rsid w:val="6BDD159D"/>
    <w:rsid w:val="6BDE156B"/>
    <w:rsid w:val="6BFA3BF2"/>
    <w:rsid w:val="6C050CBB"/>
    <w:rsid w:val="6C265675"/>
    <w:rsid w:val="6C2E1637"/>
    <w:rsid w:val="6C373151"/>
    <w:rsid w:val="6C494D86"/>
    <w:rsid w:val="6C5242F8"/>
    <w:rsid w:val="6C564DD5"/>
    <w:rsid w:val="6C58248B"/>
    <w:rsid w:val="6C60437B"/>
    <w:rsid w:val="6C94077E"/>
    <w:rsid w:val="6CBB7590"/>
    <w:rsid w:val="6CCB17B2"/>
    <w:rsid w:val="6CCF4EB0"/>
    <w:rsid w:val="6D10211E"/>
    <w:rsid w:val="6D1E00BF"/>
    <w:rsid w:val="6D1E65B1"/>
    <w:rsid w:val="6D205BE5"/>
    <w:rsid w:val="6D3B303D"/>
    <w:rsid w:val="6D3D460F"/>
    <w:rsid w:val="6D6A6C6A"/>
    <w:rsid w:val="6D720842"/>
    <w:rsid w:val="6E07076D"/>
    <w:rsid w:val="6E163253"/>
    <w:rsid w:val="6E43431F"/>
    <w:rsid w:val="6E804BA8"/>
    <w:rsid w:val="6EA1342F"/>
    <w:rsid w:val="6EA92F0A"/>
    <w:rsid w:val="6ECE1701"/>
    <w:rsid w:val="6ED0211E"/>
    <w:rsid w:val="6F165D1C"/>
    <w:rsid w:val="6F37706A"/>
    <w:rsid w:val="6F437969"/>
    <w:rsid w:val="6F776AC1"/>
    <w:rsid w:val="6F810491"/>
    <w:rsid w:val="6F9F1BA4"/>
    <w:rsid w:val="6FA42784"/>
    <w:rsid w:val="6FD03FD5"/>
    <w:rsid w:val="6FD607DD"/>
    <w:rsid w:val="6FD6664D"/>
    <w:rsid w:val="6FD81756"/>
    <w:rsid w:val="6FE77349"/>
    <w:rsid w:val="6FEF7419"/>
    <w:rsid w:val="6FFD3FBC"/>
    <w:rsid w:val="70244B0F"/>
    <w:rsid w:val="70375E10"/>
    <w:rsid w:val="704C12FD"/>
    <w:rsid w:val="705A5C07"/>
    <w:rsid w:val="707A2CC5"/>
    <w:rsid w:val="708054CD"/>
    <w:rsid w:val="709D59C2"/>
    <w:rsid w:val="70E433CD"/>
    <w:rsid w:val="710E3E39"/>
    <w:rsid w:val="71122E92"/>
    <w:rsid w:val="7127351F"/>
    <w:rsid w:val="712C2E37"/>
    <w:rsid w:val="718B55F7"/>
    <w:rsid w:val="71924F92"/>
    <w:rsid w:val="71A210EF"/>
    <w:rsid w:val="71A54990"/>
    <w:rsid w:val="71C56D5B"/>
    <w:rsid w:val="71CA77D3"/>
    <w:rsid w:val="71F746E8"/>
    <w:rsid w:val="71F94490"/>
    <w:rsid w:val="72255F8C"/>
    <w:rsid w:val="722577FA"/>
    <w:rsid w:val="72640322"/>
    <w:rsid w:val="727462F3"/>
    <w:rsid w:val="728A03E9"/>
    <w:rsid w:val="72A8678F"/>
    <w:rsid w:val="72AD462A"/>
    <w:rsid w:val="72FA6ED8"/>
    <w:rsid w:val="73194BCA"/>
    <w:rsid w:val="731A751C"/>
    <w:rsid w:val="73480163"/>
    <w:rsid w:val="734D1FA2"/>
    <w:rsid w:val="735500E9"/>
    <w:rsid w:val="736202B4"/>
    <w:rsid w:val="737C4C01"/>
    <w:rsid w:val="738A7E47"/>
    <w:rsid w:val="739C3AEB"/>
    <w:rsid w:val="73B76F67"/>
    <w:rsid w:val="73C30C56"/>
    <w:rsid w:val="73D82A2A"/>
    <w:rsid w:val="73F63320"/>
    <w:rsid w:val="74094119"/>
    <w:rsid w:val="74140C35"/>
    <w:rsid w:val="741A6587"/>
    <w:rsid w:val="742C1FFF"/>
    <w:rsid w:val="742E3FF5"/>
    <w:rsid w:val="74324450"/>
    <w:rsid w:val="74610CB2"/>
    <w:rsid w:val="747F1CEA"/>
    <w:rsid w:val="748962D1"/>
    <w:rsid w:val="74A7231F"/>
    <w:rsid w:val="74A91F32"/>
    <w:rsid w:val="74B35E78"/>
    <w:rsid w:val="74D06681"/>
    <w:rsid w:val="74EB7403"/>
    <w:rsid w:val="75014A45"/>
    <w:rsid w:val="751332B8"/>
    <w:rsid w:val="75267A26"/>
    <w:rsid w:val="75311EE0"/>
    <w:rsid w:val="754259C9"/>
    <w:rsid w:val="754B35D8"/>
    <w:rsid w:val="75626E19"/>
    <w:rsid w:val="75A73362"/>
    <w:rsid w:val="75AB44BA"/>
    <w:rsid w:val="75B65EDC"/>
    <w:rsid w:val="76042F7C"/>
    <w:rsid w:val="763B6D77"/>
    <w:rsid w:val="76441D60"/>
    <w:rsid w:val="766506E4"/>
    <w:rsid w:val="766A2588"/>
    <w:rsid w:val="766D357C"/>
    <w:rsid w:val="76CA3B29"/>
    <w:rsid w:val="76CA5C60"/>
    <w:rsid w:val="772404F4"/>
    <w:rsid w:val="773F6E47"/>
    <w:rsid w:val="774365E6"/>
    <w:rsid w:val="7743784D"/>
    <w:rsid w:val="775526B4"/>
    <w:rsid w:val="775B7585"/>
    <w:rsid w:val="77740B8B"/>
    <w:rsid w:val="778012CE"/>
    <w:rsid w:val="77A92C7B"/>
    <w:rsid w:val="77B77146"/>
    <w:rsid w:val="77D5329B"/>
    <w:rsid w:val="77D62EC6"/>
    <w:rsid w:val="77DA6E84"/>
    <w:rsid w:val="77E22D97"/>
    <w:rsid w:val="77E40829"/>
    <w:rsid w:val="77E7173F"/>
    <w:rsid w:val="77EA78E5"/>
    <w:rsid w:val="77EE6C33"/>
    <w:rsid w:val="77F84DB5"/>
    <w:rsid w:val="783A5084"/>
    <w:rsid w:val="786A4994"/>
    <w:rsid w:val="78705202"/>
    <w:rsid w:val="78957489"/>
    <w:rsid w:val="78AC2F39"/>
    <w:rsid w:val="78DF26B6"/>
    <w:rsid w:val="78EE568E"/>
    <w:rsid w:val="79015684"/>
    <w:rsid w:val="79254469"/>
    <w:rsid w:val="793B2FCE"/>
    <w:rsid w:val="7975758D"/>
    <w:rsid w:val="797D0FCA"/>
    <w:rsid w:val="799A1B58"/>
    <w:rsid w:val="79C3209A"/>
    <w:rsid w:val="79E653FC"/>
    <w:rsid w:val="79FC580E"/>
    <w:rsid w:val="7A0D5EC0"/>
    <w:rsid w:val="7A0E5017"/>
    <w:rsid w:val="7A8442C8"/>
    <w:rsid w:val="7A856EC2"/>
    <w:rsid w:val="7A965738"/>
    <w:rsid w:val="7AB64C7D"/>
    <w:rsid w:val="7AC04563"/>
    <w:rsid w:val="7AD6607C"/>
    <w:rsid w:val="7AE93E06"/>
    <w:rsid w:val="7AF16E13"/>
    <w:rsid w:val="7B0922E5"/>
    <w:rsid w:val="7B0F299A"/>
    <w:rsid w:val="7B2F514A"/>
    <w:rsid w:val="7B4B7E55"/>
    <w:rsid w:val="7B5E0D07"/>
    <w:rsid w:val="7B650A1F"/>
    <w:rsid w:val="7B68396D"/>
    <w:rsid w:val="7B717C15"/>
    <w:rsid w:val="7B902188"/>
    <w:rsid w:val="7BA004F1"/>
    <w:rsid w:val="7BB70C8E"/>
    <w:rsid w:val="7BD81D81"/>
    <w:rsid w:val="7BE923C3"/>
    <w:rsid w:val="7C127EF3"/>
    <w:rsid w:val="7C1F5B5B"/>
    <w:rsid w:val="7C2C599B"/>
    <w:rsid w:val="7C7074B1"/>
    <w:rsid w:val="7C7B749C"/>
    <w:rsid w:val="7C8141C6"/>
    <w:rsid w:val="7C964F2C"/>
    <w:rsid w:val="7C9C4B5C"/>
    <w:rsid w:val="7CB00048"/>
    <w:rsid w:val="7CB273EB"/>
    <w:rsid w:val="7D390C37"/>
    <w:rsid w:val="7D3C2598"/>
    <w:rsid w:val="7D51065C"/>
    <w:rsid w:val="7D5D44CB"/>
    <w:rsid w:val="7D831FE3"/>
    <w:rsid w:val="7D842A4D"/>
    <w:rsid w:val="7D9D0963"/>
    <w:rsid w:val="7DAA19E9"/>
    <w:rsid w:val="7DAE0A81"/>
    <w:rsid w:val="7E275317"/>
    <w:rsid w:val="7E314311"/>
    <w:rsid w:val="7E431733"/>
    <w:rsid w:val="7E4328AA"/>
    <w:rsid w:val="7E5B5831"/>
    <w:rsid w:val="7E610966"/>
    <w:rsid w:val="7E61605D"/>
    <w:rsid w:val="7E6E2B70"/>
    <w:rsid w:val="7E7046CD"/>
    <w:rsid w:val="7E7501FA"/>
    <w:rsid w:val="7E900275"/>
    <w:rsid w:val="7EEB7152"/>
    <w:rsid w:val="7F0E3CAC"/>
    <w:rsid w:val="7F3622CF"/>
    <w:rsid w:val="7F4F235A"/>
    <w:rsid w:val="7F5035C1"/>
    <w:rsid w:val="7F7D6EC7"/>
    <w:rsid w:val="7FB0636B"/>
    <w:rsid w:val="7FC87C02"/>
    <w:rsid w:val="7FCD1361"/>
    <w:rsid w:val="7FD50AB1"/>
    <w:rsid w:val="7FFF78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0" w:semiHidden="0" w:name="heading 2"/>
    <w:lsdException w:qFormat="1" w:unhideWhenUsed="0" w:uiPriority="1"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99" w:semiHidden="0" w:name="index 8"/>
    <w:lsdException w:unhideWhenUsed="0" w:uiPriority="0" w:semiHidden="0" w:name="index 9"/>
    <w:lsdException w:qFormat="1" w:unhideWhenUsed="0" w:uiPriority="39" w:semiHidden="0" w:name="toc 1"/>
    <w:lsdException w:qFormat="1" w:uiPriority="39" w:semiHidden="0" w:name="toc 2"/>
    <w:lsdException w:qFormat="1" w:unhideWhenUsed="0" w:uiPriority="0" w:semiHidden="0" w:name="toc 3"/>
    <w:lsdException w:unhideWhenUsed="0" w:uiPriority="0" w:semiHidden="0" w:name="toc 4"/>
    <w:lsdException w:qFormat="1"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3"/>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52"/>
    <w:autoRedefine/>
    <w:qFormat/>
    <w:uiPriority w:val="1"/>
    <w:pPr>
      <w:spacing w:before="1"/>
      <w:ind w:left="435" w:right="379"/>
      <w:outlineLvl w:val="1"/>
    </w:pPr>
    <w:rPr>
      <w:rFonts w:ascii="宋体" w:hAnsi="宋体" w:eastAsia="宋体" w:cs="宋体"/>
      <w:b/>
      <w:bCs/>
      <w:sz w:val="52"/>
      <w:szCs w:val="52"/>
      <w:lang w:val="en-US" w:eastAsia="zh-CN" w:bidi="ar-SA"/>
    </w:rPr>
  </w:style>
  <w:style w:type="paragraph" w:styleId="3">
    <w:name w:val="heading 2"/>
    <w:basedOn w:val="1"/>
    <w:next w:val="1"/>
    <w:autoRedefine/>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autoRedefine/>
    <w:qFormat/>
    <w:uiPriority w:val="1"/>
    <w:pPr>
      <w:ind w:left="680"/>
      <w:outlineLvl w:val="3"/>
    </w:pPr>
    <w:rPr>
      <w:rFonts w:ascii="宋体" w:hAnsi="宋体" w:eastAsia="宋体" w:cs="宋体"/>
      <w:b/>
      <w:bCs/>
      <w:sz w:val="21"/>
      <w:szCs w:val="21"/>
      <w:lang w:val="en-US" w:eastAsia="zh-CN" w:bidi="ar-SA"/>
    </w:rPr>
  </w:style>
  <w:style w:type="paragraph" w:styleId="5">
    <w:name w:val="heading 4"/>
    <w:basedOn w:val="1"/>
    <w:next w:val="1"/>
    <w:autoRedefine/>
    <w:qFormat/>
    <w:uiPriority w:val="0"/>
    <w:pPr>
      <w:numPr>
        <w:ilvl w:val="3"/>
        <w:numId w:val="1"/>
      </w:numPr>
      <w:adjustRightInd w:val="0"/>
      <w:spacing w:before="120" w:line="360" w:lineRule="auto"/>
      <w:textAlignment w:val="baseline"/>
      <w:outlineLvl w:val="3"/>
    </w:pPr>
    <w:rPr>
      <w:rFonts w:ascii="Arial" w:hAnsi="Arial" w:eastAsia="黑体"/>
      <w:kern w:val="0"/>
      <w:sz w:val="28"/>
      <w:szCs w:val="20"/>
    </w:rPr>
  </w:style>
  <w:style w:type="paragraph" w:styleId="6">
    <w:name w:val="heading 5"/>
    <w:basedOn w:val="1"/>
    <w:next w:val="1"/>
    <w:qFormat/>
    <w:uiPriority w:val="0"/>
    <w:pPr>
      <w:keepNext/>
      <w:keepLines/>
      <w:spacing w:before="280" w:after="290" w:line="376" w:lineRule="auto"/>
      <w:outlineLvl w:val="4"/>
    </w:pPr>
    <w:rPr>
      <w:b/>
      <w:bCs/>
      <w:sz w:val="28"/>
      <w:szCs w:val="28"/>
    </w:rPr>
  </w:style>
  <w:style w:type="character" w:default="1" w:styleId="30">
    <w:name w:val="Default Paragraph Font"/>
    <w:autoRedefine/>
    <w:semiHidden/>
    <w:qFormat/>
    <w:uiPriority w:val="0"/>
  </w:style>
  <w:style w:type="table" w:default="1" w:styleId="28">
    <w:name w:val="Normal Table"/>
    <w:autoRedefine/>
    <w:semiHidden/>
    <w:qFormat/>
    <w:uiPriority w:val="0"/>
    <w:tblPr>
      <w:tblCellMar>
        <w:top w:w="0" w:type="dxa"/>
        <w:left w:w="108" w:type="dxa"/>
        <w:bottom w:w="0" w:type="dxa"/>
        <w:right w:w="108" w:type="dxa"/>
      </w:tblCellMar>
    </w:tblPr>
  </w:style>
  <w:style w:type="paragraph" w:styleId="7">
    <w:name w:val="index 8"/>
    <w:basedOn w:val="1"/>
    <w:next w:val="1"/>
    <w:autoRedefine/>
    <w:qFormat/>
    <w:uiPriority w:val="99"/>
    <w:pPr>
      <w:ind w:left="1400" w:leftChars="1400"/>
    </w:pPr>
  </w:style>
  <w:style w:type="paragraph" w:styleId="8">
    <w:name w:val="Normal Indent"/>
    <w:basedOn w:val="1"/>
    <w:next w:val="9"/>
    <w:autoRedefine/>
    <w:qFormat/>
    <w:uiPriority w:val="0"/>
    <w:pPr>
      <w:ind w:firstLine="420"/>
    </w:pPr>
    <w:rPr>
      <w:rFonts w:ascii="Times New Roman" w:hAnsi="Times New Roman"/>
      <w:szCs w:val="20"/>
    </w:rPr>
  </w:style>
  <w:style w:type="paragraph" w:customStyle="1" w:styleId="9">
    <w:name w:val="Default"/>
    <w:autoRedefine/>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0">
    <w:name w:val="annotation text"/>
    <w:basedOn w:val="1"/>
    <w:autoRedefine/>
    <w:qFormat/>
    <w:uiPriority w:val="0"/>
    <w:pPr>
      <w:jc w:val="left"/>
    </w:pPr>
  </w:style>
  <w:style w:type="paragraph" w:styleId="11">
    <w:name w:val="Body Text"/>
    <w:basedOn w:val="1"/>
    <w:next w:val="1"/>
    <w:autoRedefine/>
    <w:qFormat/>
    <w:uiPriority w:val="1"/>
    <w:rPr>
      <w:rFonts w:ascii="宋体" w:hAnsi="宋体" w:eastAsia="宋体" w:cs="宋体"/>
      <w:sz w:val="21"/>
      <w:szCs w:val="21"/>
      <w:lang w:val="en-US" w:eastAsia="zh-CN" w:bidi="ar-SA"/>
    </w:rPr>
  </w:style>
  <w:style w:type="paragraph" w:styleId="12">
    <w:name w:val="Body Text Indent"/>
    <w:basedOn w:val="1"/>
    <w:autoRedefine/>
    <w:qFormat/>
    <w:uiPriority w:val="0"/>
    <w:pPr>
      <w:ind w:firstLine="420"/>
    </w:pPr>
    <w:rPr>
      <w:rFonts w:ascii="Times New Roman" w:hAnsi="Times New Roman"/>
      <w:sz w:val="28"/>
      <w:szCs w:val="20"/>
    </w:rPr>
  </w:style>
  <w:style w:type="paragraph" w:styleId="13">
    <w:name w:val="toc 5"/>
    <w:basedOn w:val="1"/>
    <w:next w:val="1"/>
    <w:unhideWhenUsed/>
    <w:qFormat/>
    <w:uiPriority w:val="39"/>
    <w:pPr>
      <w:ind w:left="1680" w:leftChars="800"/>
    </w:pPr>
    <w:rPr>
      <w:rFonts w:ascii="Calibri" w:hAnsi="Calibri"/>
      <w:szCs w:val="22"/>
    </w:rPr>
  </w:style>
  <w:style w:type="paragraph" w:styleId="14">
    <w:name w:val="toc 3"/>
    <w:basedOn w:val="1"/>
    <w:next w:val="1"/>
    <w:qFormat/>
    <w:uiPriority w:val="0"/>
    <w:pPr>
      <w:ind w:left="840" w:leftChars="400"/>
    </w:pPr>
  </w:style>
  <w:style w:type="paragraph" w:styleId="15">
    <w:name w:val="Plain Text"/>
    <w:basedOn w:val="1"/>
    <w:autoRedefine/>
    <w:qFormat/>
    <w:uiPriority w:val="99"/>
    <w:rPr>
      <w:rFonts w:ascii="宋体" w:hAnsi="Courier New" w:eastAsia="仿宋_GB2312" w:cstheme="minorBidi"/>
      <w:szCs w:val="22"/>
    </w:rPr>
  </w:style>
  <w:style w:type="paragraph" w:styleId="16">
    <w:name w:val="Body Text Indent 2"/>
    <w:basedOn w:val="1"/>
    <w:autoRedefine/>
    <w:qFormat/>
    <w:uiPriority w:val="99"/>
    <w:pPr>
      <w:spacing w:after="120" w:line="480" w:lineRule="auto"/>
      <w:ind w:left="420" w:leftChars="200"/>
    </w:pPr>
  </w:style>
  <w:style w:type="paragraph" w:styleId="17">
    <w:name w:val="endnote text"/>
    <w:basedOn w:val="1"/>
    <w:next w:val="1"/>
    <w:qFormat/>
    <w:uiPriority w:val="0"/>
    <w:pPr>
      <w:widowControl/>
    </w:pPr>
    <w:rPr>
      <w:sz w:val="20"/>
    </w:rPr>
  </w:style>
  <w:style w:type="paragraph" w:styleId="18">
    <w:name w:val="footer"/>
    <w:basedOn w:val="1"/>
    <w:next w:val="1"/>
    <w:autoRedefine/>
    <w:qFormat/>
    <w:uiPriority w:val="0"/>
    <w:pPr>
      <w:tabs>
        <w:tab w:val="center" w:pos="4153"/>
        <w:tab w:val="right" w:pos="8306"/>
      </w:tabs>
      <w:snapToGrid w:val="0"/>
      <w:jc w:val="left"/>
    </w:pPr>
    <w:rPr>
      <w:sz w:val="18"/>
    </w:rPr>
  </w:style>
  <w:style w:type="paragraph" w:styleId="19">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0">
    <w:name w:val="toc 1"/>
    <w:basedOn w:val="1"/>
    <w:next w:val="1"/>
    <w:autoRedefine/>
    <w:qFormat/>
    <w:uiPriority w:val="39"/>
    <w:pPr>
      <w:spacing w:before="120" w:beforeLines="0" w:after="120" w:afterLines="0"/>
    </w:pPr>
    <w:rPr>
      <w:b/>
      <w:bCs/>
      <w:caps/>
    </w:rPr>
  </w:style>
  <w:style w:type="paragraph" w:styleId="21">
    <w:name w:val="toc 2"/>
    <w:basedOn w:val="1"/>
    <w:next w:val="1"/>
    <w:autoRedefine/>
    <w:unhideWhenUsed/>
    <w:qFormat/>
    <w:uiPriority w:val="39"/>
    <w:pPr>
      <w:ind w:left="420" w:leftChars="200"/>
    </w:pPr>
  </w:style>
  <w:style w:type="paragraph" w:styleId="22">
    <w:name w:val="Body Text 2"/>
    <w:basedOn w:val="1"/>
    <w:autoRedefine/>
    <w:qFormat/>
    <w:uiPriority w:val="99"/>
    <w:rPr>
      <w:rFonts w:ascii="宋体" w:hAnsi="Times New Roman" w:eastAsia="宋体" w:cs="宋体"/>
      <w:kern w:val="0"/>
      <w:sz w:val="20"/>
      <w:szCs w:val="20"/>
    </w:rPr>
  </w:style>
  <w:style w:type="paragraph" w:styleId="23">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24">
    <w:name w:val="Normal (Web)"/>
    <w:basedOn w:val="1"/>
    <w:autoRedefine/>
    <w:qFormat/>
    <w:uiPriority w:val="0"/>
    <w:pPr>
      <w:widowControl/>
      <w:spacing w:before="100" w:beforeAutospacing="1" w:after="100" w:afterAutospacing="1"/>
      <w:jc w:val="left"/>
    </w:pPr>
    <w:rPr>
      <w:rFonts w:ascii="宋体" w:hAnsi="宋体" w:cs="宋体"/>
      <w:kern w:val="0"/>
      <w:sz w:val="24"/>
      <w:szCs w:val="24"/>
      <w:lang w:bidi="th-TH"/>
    </w:rPr>
  </w:style>
  <w:style w:type="paragraph" w:styleId="25">
    <w:name w:val="annotation subject"/>
    <w:basedOn w:val="10"/>
    <w:next w:val="1"/>
    <w:unhideWhenUsed/>
    <w:qFormat/>
    <w:uiPriority w:val="99"/>
    <w:rPr>
      <w:b/>
      <w:bCs/>
    </w:rPr>
  </w:style>
  <w:style w:type="paragraph" w:styleId="26">
    <w:name w:val="Body Text First Indent"/>
    <w:basedOn w:val="11"/>
    <w:autoRedefine/>
    <w:qFormat/>
    <w:uiPriority w:val="0"/>
    <w:pPr>
      <w:tabs>
        <w:tab w:val="center" w:pos="2185"/>
      </w:tabs>
      <w:spacing w:beforeLines="50" w:line="300" w:lineRule="auto"/>
      <w:ind w:firstLine="200" w:firstLineChars="200"/>
    </w:pPr>
    <w:rPr>
      <w:rFonts w:ascii="楷体_GB2312" w:eastAsia="楷体_GB2312"/>
      <w:spacing w:val="4"/>
    </w:rPr>
  </w:style>
  <w:style w:type="paragraph" w:styleId="27">
    <w:name w:val="Body Text First Indent 2"/>
    <w:basedOn w:val="12"/>
    <w:autoRedefine/>
    <w:qFormat/>
    <w:uiPriority w:val="0"/>
    <w:pPr>
      <w:ind w:firstLine="420" w:firstLineChars="200"/>
    </w:pPr>
    <w:rPr>
      <w:rFonts w:ascii="Times New Roman"/>
      <w:szCs w:val="24"/>
    </w:rPr>
  </w:style>
  <w:style w:type="table" w:styleId="29">
    <w:name w:val="Table Grid"/>
    <w:basedOn w:val="2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page number"/>
    <w:basedOn w:val="30"/>
    <w:autoRedefine/>
    <w:qFormat/>
    <w:uiPriority w:val="0"/>
  </w:style>
  <w:style w:type="character" w:styleId="32">
    <w:name w:val="Hyperlink"/>
    <w:autoRedefine/>
    <w:qFormat/>
    <w:uiPriority w:val="99"/>
    <w:rPr>
      <w:color w:val="0000FF"/>
      <w:u w:val="single"/>
    </w:rPr>
  </w:style>
  <w:style w:type="paragraph" w:customStyle="1" w:styleId="33">
    <w:name w:val="正文（自定义）"/>
    <w:basedOn w:val="1"/>
    <w:autoRedefine/>
    <w:qFormat/>
    <w:uiPriority w:val="0"/>
    <w:pPr>
      <w:ind w:firstLine="200" w:firstLineChars="200"/>
    </w:pPr>
    <w:rPr>
      <w:rFonts w:ascii="仿宋_GB2312" w:hAnsi="仿宋_GB2312" w:eastAsia="仿宋_GB2312"/>
      <w:sz w:val="32"/>
    </w:rPr>
  </w:style>
  <w:style w:type="paragraph" w:customStyle="1" w:styleId="34">
    <w:name w:val="正文文本首行缩进 2"/>
    <w:basedOn w:val="12"/>
    <w:autoRedefine/>
    <w:qFormat/>
    <w:uiPriority w:val="99"/>
    <w:pPr>
      <w:spacing w:line="200" w:lineRule="atLeast"/>
      <w:ind w:firstLine="420"/>
    </w:pPr>
    <w:rPr>
      <w:rFonts w:ascii="宋体" w:hAnsi="Courier New"/>
      <w:spacing w:val="-4"/>
      <w:sz w:val="18"/>
    </w:rPr>
  </w:style>
  <w:style w:type="paragraph" w:customStyle="1" w:styleId="35">
    <w:name w:val="正文缩进1"/>
    <w:basedOn w:val="1"/>
    <w:autoRedefine/>
    <w:qFormat/>
    <w:uiPriority w:val="0"/>
    <w:pPr>
      <w:widowControl/>
      <w:ind w:firstLine="420"/>
      <w:jc w:val="left"/>
    </w:pPr>
    <w:rPr>
      <w:kern w:val="0"/>
    </w:rPr>
  </w:style>
  <w:style w:type="paragraph" w:customStyle="1" w:styleId="36">
    <w:name w:val="无间隔1"/>
    <w:next w:val="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7">
    <w:name w:val="Table Paragraph"/>
    <w:basedOn w:val="1"/>
    <w:autoRedefine/>
    <w:qFormat/>
    <w:uiPriority w:val="1"/>
    <w:rPr>
      <w:rFonts w:ascii="宋体" w:hAnsi="宋体" w:eastAsia="宋体" w:cs="宋体"/>
      <w:lang w:val="en-US" w:eastAsia="zh-CN" w:bidi="ar-SA"/>
    </w:rPr>
  </w:style>
  <w:style w:type="character" w:customStyle="1" w:styleId="38">
    <w:name w:val="font21"/>
    <w:basedOn w:val="30"/>
    <w:autoRedefine/>
    <w:qFormat/>
    <w:uiPriority w:val="0"/>
    <w:rPr>
      <w:rFonts w:hint="eastAsia" w:ascii="宋体" w:hAnsi="宋体" w:eastAsia="宋体" w:cs="宋体"/>
      <w:color w:val="000000"/>
      <w:sz w:val="22"/>
      <w:szCs w:val="22"/>
      <w:u w:val="none"/>
    </w:rPr>
  </w:style>
  <w:style w:type="character" w:customStyle="1" w:styleId="39">
    <w:name w:val="font01"/>
    <w:basedOn w:val="30"/>
    <w:autoRedefine/>
    <w:qFormat/>
    <w:uiPriority w:val="0"/>
    <w:rPr>
      <w:rFonts w:hint="default" w:ascii="Times New Roman" w:hAnsi="Times New Roman" w:cs="Times New Roman"/>
      <w:color w:val="000000"/>
      <w:sz w:val="22"/>
      <w:szCs w:val="22"/>
      <w:u w:val="none"/>
    </w:rPr>
  </w:style>
  <w:style w:type="paragraph" w:customStyle="1" w:styleId="40">
    <w:name w:val="正文文本缩进1"/>
    <w:basedOn w:val="1"/>
    <w:autoRedefine/>
    <w:qFormat/>
    <w:uiPriority w:val="0"/>
    <w:pPr>
      <w:spacing w:line="200" w:lineRule="exact"/>
      <w:ind w:firstLine="301"/>
    </w:pPr>
    <w:rPr>
      <w:rFonts w:ascii="Times New Roman" w:hAnsi="Times New Roman" w:eastAsia="宋体" w:cs="Times New Roman"/>
      <w:spacing w:val="-4"/>
      <w:sz w:val="18"/>
    </w:rPr>
  </w:style>
  <w:style w:type="paragraph" w:customStyle="1" w:styleId="41">
    <w:name w:val="表格文字"/>
    <w:basedOn w:val="1"/>
    <w:autoRedefine/>
    <w:qFormat/>
    <w:uiPriority w:val="0"/>
    <w:pPr>
      <w:jc w:val="left"/>
    </w:pPr>
    <w:rPr>
      <w:rFonts w:ascii="Times New Roman" w:hAnsi="Times New Roman" w:eastAsia="宋体" w:cs="Times New Roman"/>
      <w:sz w:val="18"/>
      <w:szCs w:val="24"/>
    </w:rPr>
  </w:style>
  <w:style w:type="paragraph" w:customStyle="1" w:styleId="42">
    <w:name w:val="一级条标题"/>
    <w:basedOn w:val="43"/>
    <w:next w:val="1"/>
    <w:autoRedefine/>
    <w:qFormat/>
    <w:uiPriority w:val="99"/>
    <w:pPr>
      <w:widowControl/>
      <w:ind w:left="420"/>
      <w:outlineLvl w:val="2"/>
    </w:pPr>
    <w:rPr>
      <w:rFonts w:ascii="黑体" w:eastAsia="黑体" w:cs="黑体"/>
    </w:rPr>
  </w:style>
  <w:style w:type="paragraph" w:customStyle="1" w:styleId="43">
    <w:name w:val="章标题"/>
    <w:next w:val="44"/>
    <w:autoRedefine/>
    <w:qFormat/>
    <w:uiPriority w:val="0"/>
    <w:pPr>
      <w:spacing w:before="50" w:beforeLines="50" w:after="50" w:afterLines="50"/>
      <w:jc w:val="both"/>
      <w:outlineLvl w:val="1"/>
    </w:pPr>
    <w:rPr>
      <w:rFonts w:ascii="黑体" w:hAnsi="Times New Roman" w:eastAsia="黑体" w:cs="Times New Roman"/>
      <w:sz w:val="21"/>
      <w:lang w:val="en-US" w:eastAsia="zh-CN" w:bidi="ar-SA"/>
    </w:rPr>
  </w:style>
  <w:style w:type="paragraph" w:customStyle="1" w:styleId="44">
    <w:name w:val="段"/>
    <w:autoRedefine/>
    <w:qFormat/>
    <w:uiPriority w:val="0"/>
    <w:pPr>
      <w:autoSpaceDE w:val="0"/>
      <w:autoSpaceDN w:val="0"/>
      <w:ind w:firstLine="200" w:firstLineChars="200"/>
      <w:jc w:val="both"/>
    </w:pPr>
    <w:rPr>
      <w:rFonts w:ascii="宋体" w:hAnsi="宋体" w:eastAsia="Times New Roman" w:cs="Times New Roman"/>
      <w:sz w:val="21"/>
      <w:lang w:val="en-US" w:eastAsia="zh-CN" w:bidi="ar-SA"/>
    </w:rPr>
  </w:style>
  <w:style w:type="paragraph" w:customStyle="1" w:styleId="45">
    <w:name w:val="List Paragraph"/>
    <w:basedOn w:val="1"/>
    <w:autoRedefine/>
    <w:qFormat/>
    <w:uiPriority w:val="0"/>
    <w:pPr>
      <w:ind w:firstLine="420" w:firstLineChars="200"/>
    </w:pPr>
    <w:rPr>
      <w:rFonts w:ascii="Times New Roman" w:hAnsi="Times New Roman" w:eastAsia="宋体" w:cs="Times New Roman"/>
    </w:rPr>
  </w:style>
  <w:style w:type="paragraph" w:customStyle="1" w:styleId="46">
    <w:name w:val="Body text|1"/>
    <w:basedOn w:val="1"/>
    <w:autoRedefine/>
    <w:qFormat/>
    <w:uiPriority w:val="0"/>
    <w:pPr>
      <w:widowControl w:val="0"/>
      <w:shd w:val="clear" w:color="auto" w:fill="auto"/>
      <w:spacing w:after="120" w:line="341" w:lineRule="auto"/>
      <w:ind w:firstLine="400"/>
    </w:pPr>
    <w:rPr>
      <w:rFonts w:ascii="宋体" w:hAnsi="宋体" w:eastAsia="宋体" w:cs="宋体"/>
      <w:sz w:val="19"/>
      <w:szCs w:val="19"/>
      <w:u w:val="none"/>
      <w:shd w:val="clear" w:color="auto" w:fill="auto"/>
      <w:lang w:val="zh-TW" w:eastAsia="zh-TW" w:bidi="zh-TW"/>
    </w:rPr>
  </w:style>
  <w:style w:type="paragraph" w:customStyle="1" w:styleId="47">
    <w:name w:val="图表目录1"/>
    <w:basedOn w:val="48"/>
    <w:next w:val="48"/>
    <w:autoRedefine/>
    <w:qFormat/>
    <w:uiPriority w:val="0"/>
    <w:pPr>
      <w:spacing w:beforeAutospacing="1" w:afterAutospacing="1"/>
      <w:ind w:left="200" w:leftChars="200" w:hanging="200" w:hangingChars="200"/>
    </w:pPr>
  </w:style>
  <w:style w:type="paragraph" w:customStyle="1" w:styleId="48">
    <w:name w:val="正文 New New New New New New New New New New New New New New New New New New New New New New New New New New New New New New New New New New New New New New New New New New New New New New New New New New New New New New New New New New New New New New Ne"/>
    <w:next w:val="47"/>
    <w:autoRedefine/>
    <w:qFormat/>
    <w:uiPriority w:val="0"/>
    <w:pPr>
      <w:widowControl w:val="0"/>
      <w:jc w:val="both"/>
    </w:pPr>
    <w:rPr>
      <w:rFonts w:ascii="Times New Roman" w:hAnsi="Times New Roman" w:eastAsia="宋体" w:cs="黑体"/>
      <w:kern w:val="2"/>
      <w:sz w:val="21"/>
      <w:szCs w:val="24"/>
      <w:lang w:val="en-US" w:eastAsia="zh-CN" w:bidi="ar-SA"/>
    </w:rPr>
  </w:style>
  <w:style w:type="paragraph" w:customStyle="1" w:styleId="49">
    <w:name w:val="纯文本1"/>
    <w:basedOn w:val="1"/>
    <w:autoRedefine/>
    <w:qFormat/>
    <w:uiPriority w:val="99"/>
  </w:style>
  <w:style w:type="paragraph" w:customStyle="1" w:styleId="50">
    <w:name w:val="列出段落1"/>
    <w:basedOn w:val="1"/>
    <w:autoRedefine/>
    <w:qFormat/>
    <w:uiPriority w:val="34"/>
    <w:pPr>
      <w:ind w:firstLine="420" w:firstLineChars="200"/>
    </w:pPr>
  </w:style>
  <w:style w:type="paragraph" w:customStyle="1" w:styleId="51">
    <w:name w:val="章正文"/>
    <w:autoRedefine/>
    <w:qFormat/>
    <w:locked/>
    <w:uiPriority w:val="0"/>
    <w:pPr>
      <w:widowControl w:val="0"/>
      <w:spacing w:before="156" w:beforeLines="50" w:after="120" w:line="300" w:lineRule="auto"/>
      <w:ind w:firstLine="480" w:firstLineChars="0"/>
      <w:jc w:val="both"/>
    </w:pPr>
    <w:rPr>
      <w:rFonts w:ascii="Helvetica" w:hAnsi="Helvetica" w:eastAsia="宋体" w:cs="Times New Roman"/>
      <w:kern w:val="0"/>
      <w:sz w:val="21"/>
      <w:szCs w:val="24"/>
      <w:lang w:val="en-US" w:eastAsia="zh-CN" w:bidi="ar-SA"/>
    </w:rPr>
  </w:style>
  <w:style w:type="character" w:customStyle="1" w:styleId="52">
    <w:name w:val="标题 1 字符"/>
    <w:link w:val="2"/>
    <w:autoRedefine/>
    <w:qFormat/>
    <w:locked/>
    <w:uiPriority w:val="0"/>
    <w:rPr>
      <w:rFonts w:ascii="宋体" w:hAnsi="宋体" w:eastAsia="宋体" w:cs="宋体"/>
      <w:b/>
      <w:bCs/>
      <w:sz w:val="52"/>
      <w:szCs w:val="52"/>
      <w:lang w:val="en-US" w:eastAsia="zh-CN" w:bidi="ar-SA"/>
    </w:rPr>
  </w:style>
  <w:style w:type="table" w:customStyle="1" w:styleId="53">
    <w:name w:val="Table Normal"/>
    <w:autoRedefine/>
    <w:unhideWhenUsed/>
    <w:qFormat/>
    <w:uiPriority w:val="0"/>
    <w:tblPr>
      <w:tblCellMar>
        <w:top w:w="0" w:type="dxa"/>
        <w:left w:w="0" w:type="dxa"/>
        <w:bottom w:w="0" w:type="dxa"/>
        <w:right w:w="0" w:type="dxa"/>
      </w:tblCellMar>
    </w:tblPr>
  </w:style>
  <w:style w:type="paragraph" w:customStyle="1" w:styleId="54">
    <w:name w:val="Table Text"/>
    <w:basedOn w:val="1"/>
    <w:autoRedefine/>
    <w:semiHidden/>
    <w:qFormat/>
    <w:uiPriority w:val="0"/>
    <w:rPr>
      <w:rFonts w:ascii="宋体" w:hAnsi="宋体" w:eastAsia="宋体" w:cs="宋体"/>
      <w:sz w:val="20"/>
      <w:szCs w:val="20"/>
      <w:lang w:eastAsia="en-US"/>
    </w:rPr>
  </w:style>
  <w:style w:type="table" w:customStyle="1" w:styleId="55">
    <w:name w:val="Table Normal_1"/>
    <w:autoRedefine/>
    <w:semiHidden/>
    <w:unhideWhenUsed/>
    <w:qFormat/>
    <w:uiPriority w:val="0"/>
    <w:pPr>
      <w:spacing w:after="200" w:line="276" w:lineRule="auto"/>
    </w:pPr>
    <w:rPr>
      <w:rFonts w:ascii="Times New Roman" w:hAnsi="Times New Roman" w:eastAsia="宋体" w:cs="Times New Roman"/>
      <w:kern w:val="0"/>
      <w:sz w:val="20"/>
      <w:szCs w:val="20"/>
    </w:rPr>
    <w:tblPr>
      <w:tblCellMar>
        <w:top w:w="0" w:type="dxa"/>
        <w:left w:w="0" w:type="dxa"/>
        <w:bottom w:w="0" w:type="dxa"/>
        <w:right w:w="0" w:type="dxa"/>
      </w:tblCellMar>
    </w:tblPr>
  </w:style>
  <w:style w:type="paragraph" w:customStyle="1" w:styleId="56">
    <w:name w:val="Plain Text_0"/>
    <w:basedOn w:val="1"/>
    <w:autoRedefine/>
    <w:qFormat/>
    <w:uiPriority w:val="0"/>
    <w:rPr>
      <w:rFonts w:ascii="宋体"/>
    </w:rPr>
  </w:style>
  <w:style w:type="character" w:customStyle="1" w:styleId="57">
    <w:name w:val="标题 2 Char Char"/>
    <w:autoRedefine/>
    <w:qFormat/>
    <w:uiPriority w:val="0"/>
    <w:rPr>
      <w:rFonts w:ascii="Arial" w:hAnsi="Arial" w:eastAsia="宋体"/>
      <w:b/>
      <w:color w:val="000000"/>
      <w:spacing w:val="40"/>
      <w:sz w:val="32"/>
    </w:rPr>
  </w:style>
  <w:style w:type="paragraph" w:customStyle="1" w:styleId="58">
    <w:name w:val="目录文字"/>
    <w:basedOn w:val="1"/>
    <w:qFormat/>
    <w:uiPriority w:val="0"/>
    <w:pPr>
      <w:spacing w:line="480" w:lineRule="auto"/>
    </w:pPr>
    <w:rPr>
      <w:rFonts w:ascii="宋体" w:hAnsi="宋体"/>
      <w:sz w:val="24"/>
    </w:rPr>
  </w:style>
  <w:style w:type="paragraph" w:customStyle="1" w:styleId="59">
    <w:name w:val="PlainText"/>
    <w:basedOn w:val="1"/>
    <w:qFormat/>
    <w:uiPriority w:val="0"/>
    <w:pPr>
      <w:textAlignment w:val="baseline"/>
    </w:pPr>
    <w:rPr>
      <w:rFonts w:ascii="宋体"/>
      <w:szCs w:val="20"/>
    </w:rPr>
  </w:style>
  <w:style w:type="paragraph" w:customStyle="1" w:styleId="60">
    <w:name w:val="表格样式2"/>
    <w:basedOn w:val="1"/>
    <w:qFormat/>
    <w:uiPriority w:val="0"/>
    <w:pPr>
      <w:widowControl/>
      <w:spacing w:line="276" w:lineRule="auto"/>
      <w:jc w:val="left"/>
    </w:pPr>
    <w:rPr>
      <w:rFonts w:ascii="仿宋_GB2312" w:eastAsia="仿宋_GB2312"/>
      <w:kern w:val="0"/>
      <w:sz w:val="18"/>
      <w:szCs w:val="18"/>
      <w:lang w:bidi="en-US"/>
    </w:rPr>
  </w:style>
  <w:style w:type="paragraph" w:customStyle="1" w:styleId="61">
    <w:name w:val="样式 标题 2 + Times New Roman 四号 非加粗 段前: 5 磅 段后: 0 磅 行距: 固定值 20..."/>
    <w:basedOn w:val="3"/>
    <w:qFormat/>
    <w:uiPriority w:val="0"/>
    <w:pPr>
      <w:spacing w:before="100" w:after="0" w:line="400" w:lineRule="exact"/>
    </w:pPr>
    <w:rPr>
      <w:bCs w:val="0"/>
      <w:szCs w:val="20"/>
    </w:rPr>
  </w:style>
  <w:style w:type="paragraph" w:customStyle="1" w:styleId="62">
    <w:name w:val="_Style 2"/>
    <w:basedOn w:val="1"/>
    <w:qFormat/>
    <w:uiPriority w:val="0"/>
  </w:style>
  <w:style w:type="character" w:customStyle="1" w:styleId="63">
    <w:name w:val="NormalCharacter"/>
    <w:link w:val="1"/>
    <w:autoRedefine/>
    <w:semiHidden/>
    <w:qFormat/>
    <w:uiPriority w:val="0"/>
    <w:rPr>
      <w:rFonts w:asciiTheme="minorHAnsi" w:hAnsiTheme="minorHAnsi" w:eastAsiaTheme="minorEastAsia" w:cstheme="minorBidi"/>
      <w:kern w:val="2"/>
      <w:sz w:val="21"/>
      <w:szCs w:val="24"/>
      <w:lang w:val="en-US" w:eastAsia="zh-CN" w:bidi="ar-SA"/>
    </w:rPr>
  </w:style>
  <w:style w:type="paragraph" w:customStyle="1" w:styleId="64">
    <w:name w:val="Header or footer|2"/>
    <w:basedOn w:val="1"/>
    <w:autoRedefine/>
    <w:qFormat/>
    <w:uiPriority w:val="0"/>
    <w:pPr>
      <w:widowControl w:val="0"/>
      <w:shd w:val="clear" w:color="auto" w:fill="auto"/>
    </w:pPr>
    <w:rPr>
      <w:sz w:val="20"/>
      <w:szCs w:val="20"/>
      <w:u w:val="none"/>
      <w:shd w:val="clear" w:color="auto" w:fill="auto"/>
      <w:lang w:val="zh-TW" w:eastAsia="zh-TW" w:bidi="zh-TW"/>
    </w:rPr>
  </w:style>
  <w:style w:type="paragraph" w:customStyle="1" w:styleId="65">
    <w:name w:val="05正文"/>
    <w:basedOn w:val="1"/>
    <w:autoRedefine/>
    <w:qFormat/>
    <w:uiPriority w:val="0"/>
    <w:rPr>
      <w:rFonts w:ascii="宋体" w:hAnsi="Calibri"/>
    </w:rPr>
  </w:style>
  <w:style w:type="paragraph" w:customStyle="1" w:styleId="66">
    <w:name w:val="WPSOffice手动目录 1"/>
    <w:qFormat/>
    <w:uiPriority w:val="0"/>
    <w:pPr>
      <w:ind w:leftChars="0"/>
    </w:pPr>
    <w:rPr>
      <w:rFonts w:ascii="Times New Roman" w:hAnsi="Times New Roman" w:eastAsia="宋体" w:cs="Times New Roman"/>
      <w:sz w:val="20"/>
      <w:szCs w:val="20"/>
    </w:rPr>
  </w:style>
  <w:style w:type="paragraph" w:customStyle="1" w:styleId="67">
    <w:name w:val="WPSOffice手动目录 2"/>
    <w:qFormat/>
    <w:uiPriority w:val="0"/>
    <w:pPr>
      <w:ind w:leftChars="200"/>
    </w:pPr>
    <w:rPr>
      <w:rFonts w:ascii="Times New Roman" w:hAnsi="Times New Roman" w:eastAsia="宋体" w:cs="Times New Roman"/>
      <w:sz w:val="20"/>
      <w:szCs w:val="20"/>
    </w:rPr>
  </w:style>
  <w:style w:type="paragraph" w:customStyle="1" w:styleId="68">
    <w:name w:val="null3"/>
    <w:qFormat/>
    <w:uiPriority w:val="0"/>
    <w:rPr>
      <w:rFonts w:hint="eastAsia" w:ascii="Calibri" w:hAnsi="Calibri" w:eastAsia="宋体" w:cs="Times New Roman"/>
      <w:lang w:val="en-US" w:eastAsia="zh-CN" w:bidi="ar-SA"/>
    </w:rPr>
  </w:style>
  <w:style w:type="paragraph" w:customStyle="1" w:styleId="69">
    <w:name w:val="正文 A"/>
    <w:next w:val="11"/>
    <w:qFormat/>
    <w:uiPriority w:val="0"/>
    <w:rPr>
      <w:rFonts w:ascii="Arial Unicode MS" w:hAnsi="Arial Unicode MS" w:eastAsia="Times New Roman" w:cs="宋体"/>
      <w:color w:val="000000"/>
      <w:sz w:val="24"/>
      <w:szCs w:val="24"/>
      <w:u w:color="000000"/>
      <w:lang w:val="en-US" w:eastAsia="zh-CN" w:bidi="ar-SA"/>
    </w:rPr>
  </w:style>
  <w:style w:type="paragraph" w:customStyle="1" w:styleId="70">
    <w:name w:val="CM95"/>
    <w:basedOn w:val="1"/>
    <w:next w:val="1"/>
    <w:autoRedefine/>
    <w:qFormat/>
    <w:uiPriority w:val="0"/>
    <w:pPr>
      <w:autoSpaceDE w:val="0"/>
      <w:autoSpaceDN w:val="0"/>
      <w:adjustRightInd w:val="0"/>
      <w:spacing w:after="115"/>
      <w:jc w:val="left"/>
    </w:pPr>
    <w:rPr>
      <w:rFonts w:hint="eastAsia" w:ascii="宋体" w:hAnsi="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保山市直属党政机关单位</Company>
  <Pages>88</Pages>
  <Words>30779</Words>
  <Characters>32411</Characters>
  <Lines>0</Lines>
  <Paragraphs>0</Paragraphs>
  <TotalTime>13</TotalTime>
  <ScaleCrop>false</ScaleCrop>
  <LinksUpToDate>false</LinksUpToDate>
  <CharactersWithSpaces>35031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2023-10-05T02:01:00Z</dcterms:created>
  <dc:creator>wang</dc:creator>
  <cp:lastModifiedBy>云南广邦项目管理咨询有限公司</cp:lastModifiedBy>
  <cp:lastPrinted>2024-10-17T01:05:00Z</cp:lastPrinted>
  <dcterms:modified xsi:type="dcterms:W3CDTF">2026-07-14T03:47:44Z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F5F13DF9708F40C8A1E177D4BA40E20A_13</vt:lpwstr>
  </property>
  <property fmtid="{D5CDD505-2E9C-101B-9397-08002B2CF9AE}" pid="4" name="KSOTemplateDocerSaveRecord">
    <vt:lpwstr>eyJoZGlkIjoiOWFjYmEzYmExYjcwMjYxMTFlMTM4OWQzNjBhZmFlNTkiLCJ1c2VySWQiOiIxNzg4ODEzMDY2In0=</vt:lpwstr>
  </property>
</Properties>
</file>