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A60C1">
      <w:pPr>
        <w:pStyle w:val="20"/>
        <w:numPr>
          <w:ilvl w:val="0"/>
          <w:numId w:val="4"/>
        </w:numPr>
        <w:spacing w:before="0" w:beforeAutospacing="0" w:after="50" w:afterAutospacing="0" w:line="360" w:lineRule="auto"/>
        <w:jc w:val="center"/>
        <w:outlineLvl w:val="0"/>
        <w:rPr>
          <w:rFonts w:ascii="黑体" w:hAnsi="黑体" w:eastAsia="黑体"/>
          <w:b/>
          <w:color w:val="auto"/>
          <w:sz w:val="36"/>
          <w:szCs w:val="36"/>
        </w:rPr>
      </w:pPr>
      <w:r>
        <w:rPr>
          <w:rFonts w:hint="eastAsia" w:ascii="黑体" w:hAnsi="黑体" w:eastAsia="黑体"/>
          <w:b/>
          <w:color w:val="auto"/>
          <w:sz w:val="36"/>
          <w:szCs w:val="36"/>
        </w:rPr>
        <w:t xml:space="preserve"> </w:t>
      </w:r>
      <w:bookmarkStart w:id="0" w:name="_Toc3382"/>
      <w:r>
        <w:rPr>
          <w:rFonts w:hint="eastAsia" w:ascii="黑体" w:hAnsi="黑体" w:eastAsia="黑体"/>
          <w:b/>
          <w:color w:val="auto"/>
          <w:sz w:val="36"/>
          <w:szCs w:val="36"/>
        </w:rPr>
        <w:t>投标邀请</w:t>
      </w:r>
      <w:bookmarkEnd w:id="0"/>
    </w:p>
    <w:p w14:paraId="1C844EDE">
      <w:pPr>
        <w:spacing w:line="360" w:lineRule="auto"/>
        <w:ind w:firstLine="480" w:firstLineChars="20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四川祥跃项目管理有限公司</w:t>
      </w:r>
      <w:r>
        <w:rPr>
          <w:rFonts w:hint="eastAsia" w:asciiTheme="minorEastAsia" w:hAnsiTheme="minorEastAsia" w:eastAsiaTheme="minorEastAsia" w:cstheme="minorEastAsia"/>
          <w:color w:val="auto"/>
          <w:sz w:val="24"/>
          <w:szCs w:val="24"/>
        </w:rPr>
        <w:t>（采购代理机构）受</w:t>
      </w:r>
      <w:r>
        <w:rPr>
          <w:rFonts w:hint="eastAsia" w:hAnsi="宋体" w:cs="宋体"/>
          <w:color w:val="auto"/>
          <w:sz w:val="24"/>
          <w:szCs w:val="24"/>
          <w:u w:val="single"/>
          <w:lang w:val="zh-TW" w:eastAsia="zh-CN"/>
        </w:rPr>
        <w:t>四川省遂宁市拦江中学（牵头校）</w:t>
      </w:r>
      <w:r>
        <w:rPr>
          <w:rFonts w:hint="eastAsia" w:asciiTheme="minorEastAsia" w:hAnsiTheme="minorEastAsia" w:eastAsiaTheme="minorEastAsia" w:cstheme="minorEastAsia"/>
          <w:bCs/>
          <w:color w:val="auto"/>
          <w:sz w:val="24"/>
          <w:szCs w:val="24"/>
        </w:rPr>
        <w:t>（采购人）</w:t>
      </w:r>
      <w:r>
        <w:rPr>
          <w:rFonts w:hint="eastAsia" w:asciiTheme="minorEastAsia" w:hAnsiTheme="minorEastAsia" w:eastAsiaTheme="minorEastAsia" w:cstheme="minorEastAsia"/>
          <w:color w:val="auto"/>
          <w:sz w:val="24"/>
          <w:szCs w:val="24"/>
        </w:rPr>
        <w:t>委托，拟</w:t>
      </w:r>
      <w:r>
        <w:rPr>
          <w:rFonts w:hint="eastAsia" w:asciiTheme="minorEastAsia" w:hAnsiTheme="minorEastAsia" w:eastAsiaTheme="minorEastAsia" w:cstheme="minorEastAsia"/>
          <w:bCs/>
          <w:color w:val="auto"/>
          <w:sz w:val="24"/>
          <w:szCs w:val="24"/>
          <w:u w:val="none"/>
        </w:rPr>
        <w:t>对</w:t>
      </w:r>
      <w:r>
        <w:rPr>
          <w:rFonts w:hint="eastAsia" w:asciiTheme="minorEastAsia" w:hAnsiTheme="minorEastAsia" w:eastAsiaTheme="minorEastAsia" w:cstheme="minorEastAsia"/>
          <w:bCs/>
          <w:color w:val="auto"/>
          <w:sz w:val="24"/>
          <w:szCs w:val="24"/>
          <w:u w:val="single"/>
          <w:lang w:val="zh-TW" w:eastAsia="zh-CN"/>
        </w:rPr>
        <w:t>遂宁市安居区拦江中学（牵头）等5所学校食堂食材联合配送服务项目（第二次）（包3）</w:t>
      </w:r>
      <w:r>
        <w:rPr>
          <w:rFonts w:hint="eastAsia" w:asciiTheme="minorEastAsia" w:hAnsiTheme="minorEastAsia" w:eastAsiaTheme="minorEastAsia" w:cstheme="minorEastAsia"/>
          <w:color w:val="auto"/>
          <w:sz w:val="24"/>
          <w:szCs w:val="24"/>
        </w:rPr>
        <w:t>进行国内公开招标，兹邀请符合本次招标要求的供应商参加投标。</w:t>
      </w:r>
    </w:p>
    <w:p w14:paraId="0D3AFB26">
      <w:pPr>
        <w:spacing w:line="360" w:lineRule="auto"/>
        <w:ind w:firstLine="241" w:firstLineChars="1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一、</w:t>
      </w:r>
      <w:r>
        <w:rPr>
          <w:rFonts w:hint="eastAsia" w:asciiTheme="minorEastAsia" w:hAnsiTheme="minorEastAsia" w:eastAsiaTheme="minorEastAsia" w:cstheme="minorEastAsia"/>
          <w:b/>
          <w:color w:val="auto"/>
          <w:sz w:val="24"/>
          <w:szCs w:val="24"/>
          <w:lang w:eastAsia="zh-CN"/>
        </w:rPr>
        <w:t>项目</w:t>
      </w:r>
      <w:r>
        <w:rPr>
          <w:rFonts w:hint="eastAsia" w:asciiTheme="minorEastAsia" w:hAnsiTheme="minorEastAsia" w:eastAsiaTheme="minorEastAsia" w:cstheme="minorEastAsia"/>
          <w:b/>
          <w:color w:val="auto"/>
          <w:sz w:val="24"/>
          <w:szCs w:val="24"/>
        </w:rPr>
        <w:t>编号：</w:t>
      </w:r>
      <w:r>
        <w:rPr>
          <w:rFonts w:hint="eastAsia" w:asciiTheme="minorEastAsia" w:hAnsiTheme="minorEastAsia" w:eastAsiaTheme="minorEastAsia" w:cstheme="minorEastAsia"/>
          <w:b w:val="0"/>
          <w:bCs/>
          <w:color w:val="auto"/>
          <w:sz w:val="24"/>
          <w:szCs w:val="24"/>
          <w:lang w:val="en-US" w:eastAsia="zh-CN"/>
        </w:rPr>
        <w:t>SCXY-2024-086号</w:t>
      </w:r>
    </w:p>
    <w:p w14:paraId="3C726F2D">
      <w:pPr>
        <w:spacing w:line="360" w:lineRule="auto"/>
        <w:ind w:right="31" w:rightChars="15" w:firstLine="241" w:firstLineChars="100"/>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bCs/>
          <w:color w:val="auto"/>
          <w:sz w:val="24"/>
          <w:szCs w:val="24"/>
        </w:rPr>
        <w:t>二、</w:t>
      </w:r>
      <w:r>
        <w:rPr>
          <w:rFonts w:hint="eastAsia" w:asciiTheme="minorEastAsia" w:hAnsiTheme="minorEastAsia" w:eastAsiaTheme="minorEastAsia" w:cstheme="minorEastAsia"/>
          <w:b/>
          <w:color w:val="auto"/>
          <w:sz w:val="24"/>
          <w:szCs w:val="24"/>
        </w:rPr>
        <w:t>项目名称：</w:t>
      </w:r>
      <w:r>
        <w:rPr>
          <w:rFonts w:hint="eastAsia" w:asciiTheme="minorEastAsia" w:hAnsiTheme="minorEastAsia" w:eastAsiaTheme="minorEastAsia" w:cstheme="minorEastAsia"/>
          <w:b w:val="0"/>
          <w:bCs/>
          <w:color w:val="auto"/>
          <w:sz w:val="24"/>
          <w:szCs w:val="24"/>
          <w:lang w:val="en-US" w:eastAsia="zh-CN"/>
        </w:rPr>
        <w:t>遂宁市安居区拦江中学（牵头）等5所学校食堂食材联合配送服务项目（第二次）（包3）</w:t>
      </w:r>
    </w:p>
    <w:p w14:paraId="0A20B68C">
      <w:pPr>
        <w:keepNext w:val="0"/>
        <w:keepLines w:val="0"/>
        <w:pageBreakBefore w:val="0"/>
        <w:widowControl w:val="0"/>
        <w:kinsoku/>
        <w:wordWrap/>
        <w:overflowPunct/>
        <w:topLinePunct w:val="0"/>
        <w:autoSpaceDE/>
        <w:autoSpaceDN/>
        <w:bidi w:val="0"/>
        <w:adjustRightInd/>
        <w:snapToGrid/>
        <w:spacing w:afterLines="50" w:line="360" w:lineRule="auto"/>
        <w:ind w:firstLine="241" w:firstLineChars="100"/>
        <w:textAlignment w:val="auto"/>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三</w:t>
      </w:r>
      <w:r>
        <w:rPr>
          <w:rFonts w:hint="eastAsia" w:asciiTheme="minorEastAsia" w:hAnsiTheme="minorEastAsia" w:eastAsiaTheme="minorEastAsia" w:cstheme="minorEastAsia"/>
          <w:b/>
          <w:bCs/>
          <w:color w:val="auto"/>
          <w:sz w:val="24"/>
          <w:szCs w:val="24"/>
        </w:rPr>
        <w:t>、供应商参加本次采购活动，应当在提交投标文件前具备下列条件：</w:t>
      </w:r>
      <w:r>
        <w:rPr>
          <w:rFonts w:hint="eastAsia" w:asciiTheme="minorEastAsia" w:hAnsiTheme="minorEastAsia" w:eastAsiaTheme="minorEastAsia" w:cstheme="minorEastAsia"/>
          <w:b/>
          <w:bCs/>
          <w:color w:val="auto"/>
          <w:sz w:val="24"/>
          <w:szCs w:val="24"/>
          <w:lang w:eastAsia="zh-CN"/>
        </w:rPr>
        <w:t>（包3）</w:t>
      </w:r>
    </w:p>
    <w:p w14:paraId="0C22CE13">
      <w:pPr>
        <w:pStyle w:val="46"/>
        <w:keepNext w:val="0"/>
        <w:keepLines w:val="0"/>
        <w:pageBreakBefore w:val="0"/>
        <w:widowControl w:val="0"/>
        <w:kinsoku/>
        <w:wordWrap/>
        <w:overflowPunct/>
        <w:topLinePunct w:val="0"/>
        <w:autoSpaceDE/>
        <w:autoSpaceDN/>
        <w:bidi w:val="0"/>
        <w:adjustRightInd/>
        <w:snapToGrid/>
        <w:spacing w:line="360" w:lineRule="auto"/>
        <w:ind w:firstLine="600" w:firstLineChars="250"/>
        <w:textAlignment w:val="auto"/>
        <w:rPr>
          <w:rFonts w:asciiTheme="minorEastAsia" w:hAnsiTheme="minorEastAsia" w:cstheme="minorEastAsia"/>
          <w:color w:val="auto"/>
          <w:sz w:val="24"/>
        </w:rPr>
      </w:pPr>
      <w:r>
        <w:rPr>
          <w:rFonts w:hint="eastAsia" w:asciiTheme="minorEastAsia" w:hAnsiTheme="minorEastAsia" w:cstheme="minorEastAsia"/>
          <w:color w:val="auto"/>
          <w:sz w:val="24"/>
          <w:lang w:val="en-US" w:eastAsia="zh-CN"/>
        </w:rPr>
        <w:t>1、</w:t>
      </w:r>
      <w:r>
        <w:rPr>
          <w:rFonts w:hint="eastAsia" w:asciiTheme="minorEastAsia" w:hAnsiTheme="minorEastAsia" w:cstheme="minorEastAsia"/>
          <w:color w:val="auto"/>
          <w:sz w:val="24"/>
        </w:rPr>
        <w:t>具有独立承担民事责任的能力；</w:t>
      </w:r>
    </w:p>
    <w:p w14:paraId="2824A7C8">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600" w:firstLineChars="250"/>
        <w:textAlignment w:val="auto"/>
        <w:rPr>
          <w:rFonts w:asciiTheme="minorEastAsia" w:hAnsiTheme="minorEastAsia" w:cstheme="minorEastAsia"/>
          <w:color w:val="auto"/>
          <w:sz w:val="24"/>
        </w:rPr>
      </w:pPr>
      <w:r>
        <w:rPr>
          <w:rFonts w:hint="eastAsia" w:asciiTheme="minorEastAsia" w:hAnsiTheme="minorEastAsia" w:cstheme="minorEastAsia"/>
          <w:color w:val="auto"/>
          <w:sz w:val="24"/>
          <w:lang w:val="en-US" w:eastAsia="zh-CN"/>
        </w:rPr>
        <w:t>2、</w:t>
      </w:r>
      <w:r>
        <w:rPr>
          <w:rFonts w:hint="eastAsia" w:asciiTheme="minorEastAsia" w:hAnsiTheme="minorEastAsia" w:cstheme="minorEastAsia"/>
          <w:color w:val="auto"/>
          <w:sz w:val="24"/>
        </w:rPr>
        <w:t>具有良好的商业信誉和健全的财务会计制度；</w:t>
      </w:r>
    </w:p>
    <w:p w14:paraId="1C18DE75">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600" w:firstLineChars="250"/>
        <w:textAlignment w:val="auto"/>
        <w:rPr>
          <w:rFonts w:asciiTheme="minorEastAsia" w:hAnsiTheme="minorEastAsia" w:cstheme="minorEastAsia"/>
          <w:color w:val="auto"/>
          <w:sz w:val="24"/>
        </w:rPr>
      </w:pPr>
      <w:r>
        <w:rPr>
          <w:rFonts w:hint="eastAsia" w:asciiTheme="minorEastAsia" w:hAnsiTheme="minorEastAsia" w:cstheme="minorEastAsia"/>
          <w:color w:val="auto"/>
          <w:sz w:val="24"/>
          <w:lang w:val="en-US" w:eastAsia="zh-CN"/>
        </w:rPr>
        <w:t>3、</w:t>
      </w:r>
      <w:r>
        <w:rPr>
          <w:rFonts w:hint="eastAsia" w:asciiTheme="minorEastAsia" w:hAnsiTheme="minorEastAsia" w:cstheme="minorEastAsia"/>
          <w:color w:val="auto"/>
          <w:sz w:val="24"/>
        </w:rPr>
        <w:t>具有履行合同所必须的设备和专业技术能力；</w:t>
      </w:r>
    </w:p>
    <w:p w14:paraId="19FDCAE1">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600" w:firstLineChars="250"/>
        <w:textAlignment w:val="auto"/>
        <w:rPr>
          <w:rFonts w:asciiTheme="minorEastAsia" w:hAnsiTheme="minorEastAsia" w:cstheme="minorEastAsia"/>
          <w:color w:val="auto"/>
          <w:sz w:val="24"/>
        </w:rPr>
      </w:pPr>
      <w:r>
        <w:rPr>
          <w:rFonts w:hint="eastAsia" w:asciiTheme="minorEastAsia" w:hAnsiTheme="minorEastAsia" w:cstheme="minorEastAsia"/>
          <w:color w:val="auto"/>
          <w:sz w:val="24"/>
          <w:lang w:val="en-US" w:eastAsia="zh-CN"/>
        </w:rPr>
        <w:t>4、</w:t>
      </w:r>
      <w:r>
        <w:rPr>
          <w:rFonts w:hint="eastAsia" w:asciiTheme="minorEastAsia" w:hAnsiTheme="minorEastAsia" w:cstheme="minorEastAsia"/>
          <w:color w:val="auto"/>
          <w:sz w:val="24"/>
        </w:rPr>
        <w:t>具有依法缴纳税收和社会保障资金的良好记录；</w:t>
      </w:r>
    </w:p>
    <w:p w14:paraId="43E38960">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600" w:firstLineChars="250"/>
        <w:textAlignment w:val="auto"/>
        <w:rPr>
          <w:rFonts w:asciiTheme="minorEastAsia" w:hAnsiTheme="minorEastAsia" w:cstheme="minorEastAsia"/>
          <w:color w:val="auto"/>
          <w:sz w:val="24"/>
        </w:rPr>
      </w:pPr>
      <w:r>
        <w:rPr>
          <w:rFonts w:hint="eastAsia" w:asciiTheme="minorEastAsia" w:hAnsiTheme="minorEastAsia" w:cstheme="minorEastAsia"/>
          <w:color w:val="auto"/>
          <w:sz w:val="24"/>
          <w:lang w:val="en-US" w:eastAsia="zh-CN"/>
        </w:rPr>
        <w:t>5、</w:t>
      </w:r>
      <w:r>
        <w:rPr>
          <w:rFonts w:hint="eastAsia" w:asciiTheme="minorEastAsia" w:hAnsiTheme="minorEastAsia" w:cstheme="minorEastAsia"/>
          <w:color w:val="auto"/>
          <w:sz w:val="24"/>
        </w:rPr>
        <w:t>参加本次采购活动前三年内，在经营活动中没有重大违法记录；</w:t>
      </w:r>
    </w:p>
    <w:p w14:paraId="3EA42A72">
      <w:pPr>
        <w:pStyle w:val="46"/>
        <w:keepNext w:val="0"/>
        <w:keepLines w:val="0"/>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lang w:val="en-US" w:eastAsia="zh-CN"/>
        </w:rPr>
        <w:t>6、</w:t>
      </w:r>
      <w:r>
        <w:rPr>
          <w:rFonts w:hint="eastAsia" w:asciiTheme="minorEastAsia" w:hAnsiTheme="minorEastAsia" w:cstheme="minorEastAsia"/>
          <w:color w:val="auto"/>
          <w:sz w:val="24"/>
          <w:highlight w:val="none"/>
        </w:rPr>
        <w:t>法律、行政法规规定的其他条件；</w:t>
      </w:r>
    </w:p>
    <w:p w14:paraId="7553C49B">
      <w:pPr>
        <w:pStyle w:val="46"/>
        <w:keepNext w:val="0"/>
        <w:keepLines w:val="0"/>
        <w:pageBreakBefore w:val="0"/>
        <w:widowControl w:val="0"/>
        <w:kinsoku/>
        <w:wordWrap/>
        <w:overflowPunct/>
        <w:topLinePunct w:val="0"/>
        <w:bidi w:val="0"/>
        <w:snapToGrid/>
        <w:spacing w:line="440" w:lineRule="exact"/>
        <w:ind w:firstLine="600" w:firstLineChars="2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采购人根据采购项目提出的特殊条件。</w:t>
      </w:r>
    </w:p>
    <w:p w14:paraId="0CE9C9D5">
      <w:pPr>
        <w:pStyle w:val="46"/>
        <w:keepNext w:val="0"/>
        <w:keepLines w:val="0"/>
        <w:pageBreakBefore w:val="0"/>
        <w:widowControl w:val="0"/>
        <w:kinsoku/>
        <w:wordWrap/>
        <w:overflowPunct/>
        <w:topLinePunct w:val="0"/>
        <w:bidi w:val="0"/>
        <w:snapToGrid/>
        <w:spacing w:line="440" w:lineRule="exact"/>
        <w:ind w:left="147" w:leftChars="70" w:firstLine="600" w:firstLineChars="250"/>
        <w:textAlignment w:val="auto"/>
        <w:rPr>
          <w:rFonts w:hint="eastAsia" w:hAnsi="宋体" w:cs="宋体"/>
          <w:color w:val="auto"/>
          <w:sz w:val="24"/>
          <w:szCs w:val="24"/>
          <w:lang w:val="en-US" w:eastAsia="zh-CN"/>
        </w:rPr>
      </w:pPr>
      <w:r>
        <w:rPr>
          <w:rFonts w:hint="eastAsia" w:ascii="宋体" w:hAnsi="宋体" w:eastAsia="宋体" w:cs="宋体"/>
          <w:color w:val="auto"/>
          <w:sz w:val="24"/>
          <w:szCs w:val="24"/>
          <w:lang w:val="en-US" w:eastAsia="zh-CN"/>
        </w:rPr>
        <w:t>7.1提供参加此项采购活动的供应商及现任法定代表人、主要负责人无行贿犯罪记录承诺函</w:t>
      </w:r>
      <w:r>
        <w:rPr>
          <w:rFonts w:hint="eastAsia" w:hAnsi="宋体" w:cs="宋体"/>
          <w:color w:val="auto"/>
          <w:sz w:val="24"/>
          <w:szCs w:val="24"/>
          <w:lang w:val="en-US" w:eastAsia="zh-CN"/>
        </w:rPr>
        <w:t>；</w:t>
      </w:r>
    </w:p>
    <w:p w14:paraId="7A8B62A3">
      <w:pPr>
        <w:pStyle w:val="46"/>
        <w:keepNext w:val="0"/>
        <w:keepLines w:val="0"/>
        <w:pageBreakBefore w:val="0"/>
        <w:widowControl w:val="0"/>
        <w:kinsoku/>
        <w:wordWrap/>
        <w:overflowPunct/>
        <w:topLinePunct w:val="0"/>
        <w:bidi w:val="0"/>
        <w:snapToGrid/>
        <w:spacing w:line="440" w:lineRule="exact"/>
        <w:ind w:left="147" w:leftChars="70" w:firstLine="600" w:firstLineChars="250"/>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7.2供应商具有有效的食品经营许可证；</w:t>
      </w:r>
    </w:p>
    <w:p w14:paraId="33FE0D61">
      <w:pPr>
        <w:pStyle w:val="46"/>
        <w:keepNext w:val="0"/>
        <w:keepLines w:val="0"/>
        <w:pageBreakBefore w:val="0"/>
        <w:widowControl w:val="0"/>
        <w:kinsoku/>
        <w:wordWrap/>
        <w:overflowPunct/>
        <w:topLinePunct w:val="0"/>
        <w:bidi w:val="0"/>
        <w:snapToGrid/>
        <w:spacing w:line="440" w:lineRule="exact"/>
        <w:ind w:left="147" w:leftChars="70" w:firstLine="600" w:firstLineChars="25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7.3本项目专门面向中小企业采购。</w:t>
      </w:r>
    </w:p>
    <w:p w14:paraId="2BEE298F">
      <w:pPr>
        <w:widowControl/>
        <w:spacing w:line="360" w:lineRule="auto"/>
        <w:ind w:firstLine="241" w:firstLineChars="10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eastAsia="zh-CN"/>
        </w:rPr>
        <w:t>四</w:t>
      </w:r>
      <w:r>
        <w:rPr>
          <w:rFonts w:hint="eastAsia" w:asciiTheme="minorEastAsia" w:hAnsiTheme="minorEastAsia" w:eastAsiaTheme="minorEastAsia" w:cstheme="minorEastAsia"/>
          <w:b/>
          <w:color w:val="auto"/>
          <w:sz w:val="24"/>
          <w:szCs w:val="24"/>
        </w:rPr>
        <w:t>、</w:t>
      </w:r>
      <w:r>
        <w:rPr>
          <w:rFonts w:hint="eastAsia" w:asciiTheme="minorEastAsia" w:hAnsiTheme="minorEastAsia" w:eastAsiaTheme="minorEastAsia" w:cstheme="minorEastAsia"/>
          <w:b/>
          <w:bCs/>
          <w:color w:val="auto"/>
          <w:sz w:val="24"/>
          <w:szCs w:val="24"/>
        </w:rPr>
        <w:t>禁止参加本次采购活动的供应商</w:t>
      </w:r>
    </w:p>
    <w:p w14:paraId="6BDD93DB">
      <w:pPr>
        <w:keepNext w:val="0"/>
        <w:keepLines w:val="0"/>
        <w:pageBreakBefore w:val="0"/>
        <w:widowControl w:val="0"/>
        <w:kinsoku/>
        <w:wordWrap/>
        <w:overflowPunct/>
        <w:topLinePunct w:val="0"/>
        <w:bidi w:val="0"/>
        <w:snapToGrid/>
        <w:spacing w:line="440" w:lineRule="exact"/>
        <w:ind w:firstLine="480" w:firstLineChars="200"/>
        <w:textAlignment w:val="auto"/>
        <w:rPr>
          <w:rFonts w:hint="eastAsia" w:asciiTheme="minorEastAsia" w:hAnsiTheme="minorEastAsia" w:eastAsiaTheme="minorEastAsia" w:cstheme="minorEastAsia"/>
          <w:color w:val="auto"/>
          <w:kern w:val="2"/>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参照</w:t>
      </w:r>
      <w:r>
        <w:rPr>
          <w:rFonts w:hint="eastAsia" w:asciiTheme="minorEastAsia" w:hAnsiTheme="minorEastAsia" w:eastAsiaTheme="minorEastAsia" w:cstheme="minorEastAsia"/>
          <w:color w:val="auto"/>
          <w:kern w:val="2"/>
          <w:sz w:val="24"/>
          <w:szCs w:val="24"/>
        </w:rPr>
        <w:t>《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以联合体形式参加本项目采购活动，联合体成员存在不良信用记录的，视同联合体存在不良信用记录）。</w:t>
      </w:r>
    </w:p>
    <w:p w14:paraId="5D4B1C08">
      <w:pPr>
        <w:keepNext w:val="0"/>
        <w:keepLines w:val="0"/>
        <w:pageBreakBefore w:val="0"/>
        <w:widowControl w:val="0"/>
        <w:kinsoku/>
        <w:wordWrap/>
        <w:overflowPunct/>
        <w:topLinePunct w:val="0"/>
        <w:bidi w:val="0"/>
        <w:snapToGrid/>
        <w:spacing w:line="440" w:lineRule="exact"/>
        <w:ind w:firstLine="480" w:firstLineChars="200"/>
        <w:textAlignment w:val="auto"/>
        <w:rPr>
          <w:rFonts w:asciiTheme="minorEastAsia" w:hAnsiTheme="minorEastAsia" w:eastAsiaTheme="minorEastAsia" w:cstheme="minorEastAsia"/>
          <w:color w:val="auto"/>
          <w:kern w:val="2"/>
          <w:sz w:val="24"/>
          <w:szCs w:val="24"/>
        </w:rPr>
      </w:pPr>
      <w:r>
        <w:rPr>
          <w:rFonts w:hint="eastAsia" w:ascii="宋体" w:hAnsi="宋体" w:eastAsia="宋体" w:cs="宋体"/>
          <w:color w:val="auto"/>
          <w:sz w:val="24"/>
          <w:szCs w:val="24"/>
        </w:rPr>
        <w:t>2.为采购项目提供整体设计、规范编制或者项目管理、监理、检测等服务的供应商，不得参加本采购项目。供应商为采购人、采购代理机构在确定采购需求、编制</w:t>
      </w:r>
      <w:r>
        <w:rPr>
          <w:rFonts w:hint="eastAsia" w:hAnsi="宋体" w:cs="宋体"/>
          <w:color w:val="auto"/>
          <w:sz w:val="24"/>
          <w:szCs w:val="24"/>
          <w:lang w:eastAsia="zh-CN"/>
        </w:rPr>
        <w:t>招标</w:t>
      </w:r>
      <w:r>
        <w:rPr>
          <w:rFonts w:hint="eastAsia" w:ascii="宋体" w:hAnsi="宋体" w:eastAsia="宋体" w:cs="宋体"/>
          <w:color w:val="auto"/>
          <w:sz w:val="24"/>
          <w:szCs w:val="24"/>
        </w:rPr>
        <w:t>文件过程中提供咨询论证，其提供的咨询论证意见成为</w:t>
      </w:r>
      <w:r>
        <w:rPr>
          <w:rFonts w:hint="eastAsia" w:hAnsi="宋体" w:cs="宋体"/>
          <w:color w:val="auto"/>
          <w:sz w:val="24"/>
          <w:szCs w:val="24"/>
          <w:lang w:eastAsia="zh-CN"/>
        </w:rPr>
        <w:t>招标</w:t>
      </w:r>
      <w:r>
        <w:rPr>
          <w:rFonts w:hint="eastAsia" w:ascii="宋体" w:hAnsi="宋体" w:eastAsia="宋体" w:cs="宋体"/>
          <w:color w:val="auto"/>
          <w:sz w:val="24"/>
          <w:szCs w:val="24"/>
        </w:rPr>
        <w:t>文件中规定的供应商资格条件、技术服务商务要求、评审因素和标准、政府采购合同等实质性内容条款的，视同为采购项目提供规范编制。</w:t>
      </w:r>
    </w:p>
    <w:p w14:paraId="4D878AB7">
      <w:pPr>
        <w:spacing w:after="50" w:line="360" w:lineRule="auto"/>
        <w:ind w:firstLine="482" w:firstLineChars="2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eastAsia="zh-CN"/>
        </w:rPr>
        <w:t>五</w:t>
      </w:r>
      <w:r>
        <w:rPr>
          <w:rFonts w:hint="eastAsia" w:asciiTheme="minorEastAsia" w:hAnsiTheme="minorEastAsia" w:eastAsiaTheme="minorEastAsia" w:cstheme="minorEastAsia"/>
          <w:b/>
          <w:color w:val="auto"/>
          <w:sz w:val="24"/>
          <w:szCs w:val="24"/>
        </w:rPr>
        <w:t>、招标文件获取方式、时间、地点：</w:t>
      </w:r>
    </w:p>
    <w:p w14:paraId="2C6DEDA0">
      <w:pPr>
        <w:keepNext w:val="0"/>
        <w:keepLines w:val="0"/>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rPr>
        <w:t>文件自</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hAnsi="宋体" w:cs="宋体"/>
          <w:color w:val="auto"/>
          <w:sz w:val="24"/>
          <w:szCs w:val="24"/>
          <w:lang w:val="en-US" w:eastAsia="zh-CN"/>
        </w:rPr>
        <w:t>4</w:t>
      </w:r>
      <w:r>
        <w:rPr>
          <w:rFonts w:hint="eastAsia" w:ascii="宋体" w:hAnsi="宋体" w:eastAsia="宋体" w:cs="宋体"/>
          <w:color w:val="auto"/>
          <w:sz w:val="24"/>
          <w:szCs w:val="24"/>
        </w:rPr>
        <w:t>年</w:t>
      </w:r>
      <w:r>
        <w:rPr>
          <w:rFonts w:hint="eastAsia" w:ascii="宋体" w:hAnsi="宋体" w:cs="宋体"/>
          <w:color w:val="auto"/>
          <w:sz w:val="24"/>
          <w:szCs w:val="24"/>
          <w:u w:val="single"/>
          <w:lang w:val="en-US" w:eastAsia="zh-CN"/>
        </w:rPr>
        <w:t xml:space="preserve"> </w:t>
      </w:r>
      <w:r>
        <w:rPr>
          <w:rFonts w:hint="eastAsia" w:hAnsi="宋体" w:cs="宋体"/>
          <w:color w:val="auto"/>
          <w:sz w:val="24"/>
          <w:szCs w:val="24"/>
          <w:u w:val="single"/>
          <w:lang w:val="en-US" w:eastAsia="zh-CN"/>
        </w:rPr>
        <w:t>8</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hAnsi="宋体" w:cs="宋体"/>
          <w:color w:val="auto"/>
          <w:sz w:val="24"/>
          <w:szCs w:val="24"/>
          <w:u w:val="single"/>
          <w:lang w:val="en-US" w:eastAsia="zh-CN"/>
        </w:rPr>
        <w:t>20</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日至</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hAnsi="宋体" w:cs="宋体"/>
          <w:color w:val="auto"/>
          <w:sz w:val="24"/>
          <w:szCs w:val="24"/>
          <w:lang w:val="en-US" w:eastAsia="zh-CN"/>
        </w:rPr>
        <w:t>4</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 xml:space="preserve"> </w:t>
      </w:r>
      <w:r>
        <w:rPr>
          <w:rFonts w:hint="eastAsia" w:hAnsi="宋体" w:cs="宋体"/>
          <w:color w:val="auto"/>
          <w:sz w:val="24"/>
          <w:szCs w:val="24"/>
          <w:u w:val="single"/>
          <w:lang w:val="en-US" w:eastAsia="zh-CN"/>
        </w:rPr>
        <w:t>8</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hAnsi="宋体" w:cs="宋体"/>
          <w:color w:val="auto"/>
          <w:sz w:val="24"/>
          <w:szCs w:val="24"/>
          <w:u w:val="single"/>
          <w:lang w:val="en-US" w:eastAsia="zh-CN"/>
        </w:rPr>
        <w:t>26</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0</w:t>
      </w:r>
      <w:r>
        <w:rPr>
          <w:rFonts w:hint="eastAsia" w:hAnsi="宋体" w:cs="宋体"/>
          <w:color w:val="auto"/>
          <w:sz w:val="24"/>
          <w:szCs w:val="24"/>
          <w:lang w:val="en-US" w:eastAsia="zh-CN"/>
        </w:rPr>
        <w:t>9</w:t>
      </w:r>
      <w:r>
        <w:rPr>
          <w:rFonts w:hint="eastAsia" w:ascii="宋体" w:hAnsi="宋体" w:eastAsia="宋体" w:cs="宋体"/>
          <w:color w:val="auto"/>
          <w:sz w:val="24"/>
          <w:szCs w:val="24"/>
          <w:lang w:val="en-US" w:eastAsia="zh-CN"/>
        </w:rPr>
        <w:t>:</w:t>
      </w:r>
      <w:r>
        <w:rPr>
          <w:rFonts w:hint="eastAsia" w:hAnsi="宋体" w:cs="宋体"/>
          <w:color w:val="auto"/>
          <w:sz w:val="24"/>
          <w:szCs w:val="24"/>
          <w:lang w:val="en-US" w:eastAsia="zh-CN"/>
        </w:rPr>
        <w:t>0</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12:00,14:00-</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17:</w:t>
      </w:r>
      <w:r>
        <w:rPr>
          <w:rFonts w:hint="eastAsia" w:hAnsi="宋体" w:cs="宋体"/>
          <w:color w:val="auto"/>
          <w:sz w:val="24"/>
          <w:szCs w:val="24"/>
          <w:lang w:val="en-US" w:eastAsia="zh-CN"/>
        </w:rPr>
        <w:t>0</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（北京时间，法定节假日除外）在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遂宁市船山区遂州中路600号1层</w:t>
      </w:r>
      <w:r>
        <w:rPr>
          <w:rFonts w:hint="eastAsia" w:ascii="宋体" w:hAnsi="宋体" w:eastAsia="宋体" w:cs="宋体"/>
          <w:color w:val="auto"/>
          <w:sz w:val="24"/>
          <w:szCs w:val="24"/>
          <w:u w:val="single"/>
          <w:lang w:val="en-US" w:eastAsia="zh-CN"/>
        </w:rPr>
        <w:t>（四川祥跃项目管理有限公司）</w:t>
      </w:r>
      <w:r>
        <w:rPr>
          <w:rFonts w:hint="eastAsia" w:ascii="宋体" w:hAnsi="宋体" w:eastAsia="宋体" w:cs="宋体"/>
          <w:color w:val="auto"/>
          <w:sz w:val="24"/>
          <w:szCs w:val="24"/>
        </w:rPr>
        <w:t>。</w:t>
      </w:r>
    </w:p>
    <w:p w14:paraId="5579C687">
      <w:pPr>
        <w:keepNext w:val="0"/>
        <w:keepLines w:val="0"/>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本项目</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rPr>
        <w:t>文件有偿获取，</w:t>
      </w:r>
      <w:r>
        <w:rPr>
          <w:rFonts w:hint="eastAsia" w:hAnsi="宋体" w:cs="宋体"/>
          <w:color w:val="auto"/>
          <w:sz w:val="24"/>
          <w:szCs w:val="24"/>
          <w:lang w:eastAsia="zh-CN"/>
        </w:rPr>
        <w:t>招标</w:t>
      </w:r>
      <w:r>
        <w:rPr>
          <w:rFonts w:hint="eastAsia" w:ascii="宋体" w:hAnsi="宋体" w:eastAsia="宋体" w:cs="宋体"/>
          <w:color w:val="auto"/>
          <w:sz w:val="24"/>
          <w:szCs w:val="24"/>
        </w:rPr>
        <w:t>文件售价：人民币</w:t>
      </w:r>
      <w:r>
        <w:rPr>
          <w:rFonts w:hint="eastAsia" w:ascii="宋体" w:hAnsi="宋体" w:eastAsia="宋体" w:cs="宋体"/>
          <w:color w:val="auto"/>
          <w:sz w:val="24"/>
          <w:szCs w:val="24"/>
          <w:u w:val="single"/>
          <w:lang w:val="en-US" w:eastAsia="zh-CN"/>
        </w:rPr>
        <w:t xml:space="preserve"> </w:t>
      </w:r>
      <w:r>
        <w:rPr>
          <w:rFonts w:hint="eastAsia" w:hAnsi="宋体" w:cs="宋体"/>
          <w:color w:val="auto"/>
          <w:sz w:val="24"/>
          <w:szCs w:val="24"/>
          <w:u w:val="single"/>
          <w:lang w:val="en-US" w:eastAsia="zh-CN"/>
        </w:rPr>
        <w:t>400</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lang w:eastAsia="zh-CN"/>
        </w:rPr>
        <w:t>包</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rPr>
        <w:t>文件售后不退, 资格不能转让）。</w:t>
      </w:r>
    </w:p>
    <w:p w14:paraId="15420D18">
      <w:pPr>
        <w:keepNext w:val="0"/>
        <w:keepLines w:val="0"/>
        <w:pageBreakBefore w:val="0"/>
        <w:widowControl w:val="0"/>
        <w:kinsoku/>
        <w:wordWrap/>
        <w:overflowPunct/>
        <w:topLinePunct w:val="0"/>
        <w:bidi w:val="0"/>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3、采购文件获取方式及资料：</w:t>
      </w:r>
      <w:r>
        <w:rPr>
          <w:rFonts w:hint="eastAsia" w:ascii="宋体" w:hAnsi="宋体" w:eastAsia="宋体" w:cs="宋体"/>
          <w:color w:val="auto"/>
          <w:sz w:val="24"/>
          <w:szCs w:val="24"/>
          <w:lang w:val="en-US" w:eastAsia="zh-CN"/>
        </w:rPr>
        <w:t>现场</w:t>
      </w:r>
      <w:r>
        <w:rPr>
          <w:rFonts w:hint="eastAsia" w:ascii="宋体" w:hAnsi="宋体" w:eastAsia="宋体" w:cs="宋体"/>
          <w:color w:val="auto"/>
          <w:sz w:val="24"/>
          <w:szCs w:val="24"/>
        </w:rPr>
        <w:t>获取</w:t>
      </w:r>
      <w:r>
        <w:rPr>
          <w:rFonts w:hint="eastAsia" w:ascii="宋体" w:hAnsi="宋体" w:eastAsia="宋体" w:cs="宋体"/>
          <w:color w:val="auto"/>
          <w:sz w:val="24"/>
          <w:szCs w:val="24"/>
          <w:lang w:eastAsia="zh-CN"/>
        </w:rPr>
        <w:t>或网上报名。采取网上报名的需将报名资料发送至邮箱：</w:t>
      </w:r>
      <w:r>
        <w:rPr>
          <w:rFonts w:hint="eastAsia" w:ascii="宋体" w:hAnsi="宋体" w:eastAsia="宋体" w:cs="宋体"/>
          <w:color w:val="auto"/>
          <w:sz w:val="24"/>
          <w:szCs w:val="24"/>
          <w:lang w:val="en-US" w:eastAsia="zh-CN"/>
        </w:rPr>
        <w:t>614911009@qq.com并与我公司报名处工作人员予以确认，联系人：王女士，联系电话：0825-2280887。报名所需提供资料如下：</w:t>
      </w:r>
    </w:p>
    <w:p w14:paraId="19972F73">
      <w:pPr>
        <w:keepNext w:val="0"/>
        <w:keepLines w:val="0"/>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（1）供应商为法人或者其他组织的需提供：单位介绍信和经办人身份证复印件盖公章（原件备查）；</w:t>
      </w:r>
    </w:p>
    <w:p w14:paraId="5F75B56F">
      <w:pPr>
        <w:spacing w:afterLines="50"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（2）供应商为自然人的，只需提供本人身份证复印件。</w:t>
      </w:r>
    </w:p>
    <w:p w14:paraId="5A8E0072">
      <w:pPr>
        <w:spacing w:afterLines="50" w:line="360" w:lineRule="auto"/>
        <w:ind w:firstLine="482" w:firstLineChars="200"/>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六</w:t>
      </w:r>
      <w:r>
        <w:rPr>
          <w:rFonts w:hint="eastAsia" w:asciiTheme="minorEastAsia" w:hAnsiTheme="minorEastAsia" w:eastAsiaTheme="minorEastAsia" w:cstheme="minorEastAsia"/>
          <w:b/>
          <w:color w:val="auto"/>
          <w:sz w:val="24"/>
          <w:szCs w:val="24"/>
          <w:highlight w:val="none"/>
        </w:rPr>
        <w:t>、投标截止时间：</w:t>
      </w:r>
      <w:r>
        <w:rPr>
          <w:rFonts w:hint="eastAsia" w:asciiTheme="minorEastAsia" w:hAnsiTheme="minorEastAsia" w:eastAsiaTheme="minorEastAsia" w:cstheme="minorEastAsia"/>
          <w:b/>
          <w:bCs/>
          <w:color w:val="auto"/>
          <w:sz w:val="24"/>
          <w:szCs w:val="24"/>
          <w:highlight w:val="none"/>
        </w:rPr>
        <w:t>202</w:t>
      </w:r>
      <w:r>
        <w:rPr>
          <w:rFonts w:hint="eastAsia" w:asciiTheme="minorEastAsia" w:hAnsiTheme="minorEastAsia" w:eastAsiaTheme="minorEastAsia" w:cstheme="minorEastAsia"/>
          <w:b/>
          <w:bCs/>
          <w:color w:val="auto"/>
          <w:sz w:val="24"/>
          <w:szCs w:val="24"/>
          <w:highlight w:val="none"/>
          <w:lang w:val="en-US" w:eastAsia="zh-CN"/>
        </w:rPr>
        <w:t>4</w:t>
      </w:r>
      <w:r>
        <w:rPr>
          <w:rFonts w:hint="eastAsia" w:asciiTheme="minorEastAsia" w:hAnsiTheme="minorEastAsia" w:eastAsiaTheme="minorEastAsia" w:cstheme="minorEastAsia"/>
          <w:b/>
          <w:bCs/>
          <w:color w:val="auto"/>
          <w:sz w:val="24"/>
          <w:szCs w:val="24"/>
          <w:highlight w:val="none"/>
        </w:rPr>
        <w:t>年</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u w:val="single"/>
          <w:lang w:val="en-US" w:eastAsia="zh-CN"/>
        </w:rPr>
        <w:t xml:space="preserve"> 9 </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月</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u w:val="single"/>
          <w:lang w:val="en-US" w:eastAsia="zh-CN"/>
        </w:rPr>
        <w:t>9</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日</w:t>
      </w:r>
      <w:r>
        <w:rPr>
          <w:rFonts w:hint="eastAsia" w:asciiTheme="minorEastAsia" w:hAnsiTheme="minorEastAsia" w:eastAsiaTheme="minorEastAsia" w:cstheme="minorEastAsia"/>
          <w:b/>
          <w:bCs/>
          <w:color w:val="auto"/>
          <w:sz w:val="24"/>
          <w:szCs w:val="24"/>
          <w:highlight w:val="none"/>
          <w:u w:val="single"/>
          <w:lang w:val="en-US" w:eastAsia="zh-CN"/>
        </w:rPr>
        <w:t xml:space="preserve"> 09:30 </w:t>
      </w:r>
      <w:r>
        <w:rPr>
          <w:rFonts w:hint="eastAsia" w:asciiTheme="minorEastAsia" w:hAnsiTheme="minorEastAsia" w:eastAsiaTheme="minorEastAsia" w:cstheme="minorEastAsia"/>
          <w:color w:val="auto"/>
          <w:sz w:val="24"/>
          <w:szCs w:val="24"/>
          <w:highlight w:val="none"/>
        </w:rPr>
        <w:t>（北京时间）。</w:t>
      </w:r>
    </w:p>
    <w:p w14:paraId="4E5A682F">
      <w:pPr>
        <w:spacing w:afterLines="50" w:line="360" w:lineRule="auto"/>
        <w:ind w:firstLine="964" w:firstLineChars="4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开标时间：</w:t>
      </w:r>
      <w:r>
        <w:rPr>
          <w:rFonts w:hint="eastAsia" w:asciiTheme="minorEastAsia" w:hAnsiTheme="minorEastAsia" w:eastAsiaTheme="minorEastAsia" w:cstheme="minorEastAsia"/>
          <w:b/>
          <w:bCs/>
          <w:color w:val="auto"/>
          <w:sz w:val="24"/>
          <w:szCs w:val="24"/>
          <w:highlight w:val="none"/>
        </w:rPr>
        <w:t>202</w:t>
      </w:r>
      <w:r>
        <w:rPr>
          <w:rFonts w:hint="eastAsia" w:asciiTheme="minorEastAsia" w:hAnsiTheme="minorEastAsia" w:eastAsiaTheme="minorEastAsia" w:cstheme="minorEastAsia"/>
          <w:b/>
          <w:bCs/>
          <w:color w:val="auto"/>
          <w:sz w:val="24"/>
          <w:szCs w:val="24"/>
          <w:highlight w:val="none"/>
          <w:lang w:val="en-US" w:eastAsia="zh-CN"/>
        </w:rPr>
        <w:t>4</w:t>
      </w:r>
      <w:r>
        <w:rPr>
          <w:rFonts w:hint="eastAsia" w:asciiTheme="minorEastAsia" w:hAnsiTheme="minorEastAsia" w:eastAsiaTheme="minorEastAsia" w:cstheme="minorEastAsia"/>
          <w:b/>
          <w:bCs/>
          <w:color w:val="auto"/>
          <w:sz w:val="24"/>
          <w:szCs w:val="24"/>
          <w:highlight w:val="none"/>
        </w:rPr>
        <w:t>年</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u w:val="single"/>
          <w:lang w:val="en-US" w:eastAsia="zh-CN"/>
        </w:rPr>
        <w:t xml:space="preserve"> 9 </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月</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u w:val="single"/>
          <w:lang w:val="en-US" w:eastAsia="zh-CN"/>
        </w:rPr>
        <w:t>9</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日</w:t>
      </w:r>
      <w:r>
        <w:rPr>
          <w:rFonts w:hint="eastAsia" w:asciiTheme="minorEastAsia" w:hAnsiTheme="minorEastAsia" w:eastAsiaTheme="minorEastAsia" w:cstheme="minorEastAsia"/>
          <w:b/>
          <w:bCs/>
          <w:color w:val="auto"/>
          <w:sz w:val="24"/>
          <w:szCs w:val="24"/>
          <w:highlight w:val="none"/>
          <w:u w:val="single"/>
          <w:lang w:val="en-US" w:eastAsia="zh-CN"/>
        </w:rPr>
        <w:t xml:space="preserve"> 09:30</w:t>
      </w:r>
      <w:r>
        <w:rPr>
          <w:rFonts w:hint="eastAsia" w:asciiTheme="minorEastAsia" w:hAnsiTheme="minorEastAsia" w:eastAsiaTheme="minorEastAsia" w:cstheme="minorEastAsia"/>
          <w:color w:val="auto"/>
          <w:sz w:val="24"/>
          <w:szCs w:val="24"/>
          <w:highlight w:val="none"/>
        </w:rPr>
        <w:t>（北京时间）。</w:t>
      </w:r>
    </w:p>
    <w:p w14:paraId="470FBA35">
      <w:pPr>
        <w:pStyle w:val="11"/>
        <w:spacing w:afterLines="50" w:line="360" w:lineRule="auto"/>
        <w:ind w:firstLine="48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投标文件必须在投标截止时间前送达开标地点。逾期送达的投标文件不予接收。本次招标不接受邮寄的投标文件。</w:t>
      </w:r>
    </w:p>
    <w:p w14:paraId="05941C3A">
      <w:pPr>
        <w:spacing w:after="50" w:line="360" w:lineRule="auto"/>
        <w:ind w:firstLine="489" w:firstLineChars="203"/>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eastAsia="zh-CN"/>
        </w:rPr>
        <w:t>七</w:t>
      </w:r>
      <w:r>
        <w:rPr>
          <w:rFonts w:hint="eastAsia" w:asciiTheme="minorEastAsia" w:hAnsiTheme="minorEastAsia" w:eastAsiaTheme="minorEastAsia" w:cstheme="minorEastAsia"/>
          <w:b/>
          <w:color w:val="auto"/>
          <w:sz w:val="24"/>
          <w:szCs w:val="24"/>
        </w:rPr>
        <w:t>、</w:t>
      </w:r>
      <w:r>
        <w:rPr>
          <w:rFonts w:hint="eastAsia" w:asciiTheme="minorEastAsia" w:hAnsiTheme="minorEastAsia" w:eastAsiaTheme="minorEastAsia" w:cstheme="minorEastAsia"/>
          <w:b/>
          <w:bCs/>
          <w:color w:val="auto"/>
          <w:sz w:val="24"/>
          <w:szCs w:val="24"/>
        </w:rPr>
        <w:t>开标地点：</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eastAsia="zh-CN"/>
        </w:rPr>
        <w:t>遂宁市船山区遂州中路600号1层</w:t>
      </w:r>
      <w:r>
        <w:rPr>
          <w:rFonts w:hint="eastAsia" w:asciiTheme="minorEastAsia" w:hAnsiTheme="minorEastAsia" w:eastAsiaTheme="minorEastAsia" w:cstheme="minorEastAsia"/>
          <w:color w:val="auto"/>
          <w:sz w:val="24"/>
          <w:szCs w:val="24"/>
        </w:rPr>
        <w:t>（四川祥跃项目管理有限公司）</w:t>
      </w:r>
    </w:p>
    <w:p w14:paraId="3AA22798">
      <w:pPr>
        <w:pStyle w:val="46"/>
        <w:ind w:firstLine="482"/>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lang w:eastAsia="zh-CN"/>
        </w:rPr>
        <w:t>八</w:t>
      </w:r>
      <w:r>
        <w:rPr>
          <w:rFonts w:hint="eastAsia" w:asciiTheme="minorEastAsia" w:hAnsiTheme="minorEastAsia" w:eastAsiaTheme="minorEastAsia" w:cstheme="minorEastAsia"/>
          <w:b/>
          <w:color w:val="auto"/>
          <w:sz w:val="24"/>
          <w:szCs w:val="24"/>
        </w:rPr>
        <w:t>、公告方式：</w:t>
      </w:r>
      <w:r>
        <w:rPr>
          <w:rFonts w:hint="eastAsia" w:asciiTheme="minorEastAsia" w:hAnsiTheme="minorEastAsia" w:eastAsiaTheme="minorEastAsia" w:cstheme="minorEastAsia"/>
          <w:color w:val="auto"/>
          <w:sz w:val="24"/>
          <w:szCs w:val="24"/>
        </w:rPr>
        <w:t>本投标邀请在</w:t>
      </w:r>
      <w:r>
        <w:rPr>
          <w:rFonts w:hint="eastAsia" w:asciiTheme="minorEastAsia" w:hAnsiTheme="minorEastAsia" w:eastAsiaTheme="minorEastAsia" w:cstheme="minorEastAsia"/>
          <w:color w:val="auto"/>
          <w:sz w:val="24"/>
          <w:szCs w:val="24"/>
          <w:lang w:eastAsia="zh-CN"/>
        </w:rPr>
        <w:t>中国</w:t>
      </w:r>
      <w:r>
        <w:rPr>
          <w:rFonts w:hint="eastAsia" w:asciiTheme="minorEastAsia" w:hAnsiTheme="minorEastAsia" w:eastAsiaTheme="minorEastAsia" w:cstheme="minorEastAsia"/>
          <w:color w:val="auto"/>
          <w:sz w:val="24"/>
          <w:szCs w:val="24"/>
        </w:rPr>
        <w:t>政府采购网（</w:t>
      </w:r>
      <w:r>
        <w:rPr>
          <w:rFonts w:hint="eastAsia" w:ascii="宋体" w:hAnsi="宋体"/>
          <w:bCs/>
          <w:color w:val="auto"/>
          <w:sz w:val="24"/>
        </w:rPr>
        <w:fldChar w:fldCharType="begin"/>
      </w:r>
      <w:r>
        <w:rPr>
          <w:rFonts w:hint="eastAsia" w:ascii="宋体" w:hAnsi="宋体"/>
          <w:bCs/>
          <w:color w:val="auto"/>
          <w:sz w:val="24"/>
        </w:rPr>
        <w:instrText xml:space="preserve"> HYPERLINK "http://www.ccgp.gov.cn/" </w:instrText>
      </w:r>
      <w:r>
        <w:rPr>
          <w:rFonts w:hint="eastAsia" w:ascii="宋体" w:hAnsi="宋体"/>
          <w:bCs/>
          <w:color w:val="auto"/>
          <w:sz w:val="24"/>
        </w:rPr>
        <w:fldChar w:fldCharType="separate"/>
      </w:r>
      <w:r>
        <w:rPr>
          <w:rFonts w:hint="eastAsia" w:ascii="宋体" w:hAnsi="宋体"/>
          <w:bCs/>
          <w:color w:val="auto"/>
          <w:sz w:val="24"/>
        </w:rPr>
        <w:t>http://www.ccgp.gov.cn/</w:t>
      </w:r>
      <w:r>
        <w:rPr>
          <w:rFonts w:hint="eastAsia" w:ascii="宋体" w:hAnsi="宋体"/>
          <w:bCs/>
          <w:color w:val="auto"/>
          <w:sz w:val="24"/>
        </w:rPr>
        <w:fldChar w:fldCharType="end"/>
      </w:r>
      <w:r>
        <w:rPr>
          <w:rFonts w:hint="eastAsia" w:asciiTheme="minorEastAsia" w:hAnsiTheme="minorEastAsia" w:eastAsiaTheme="minorEastAsia" w:cstheme="minorEastAsia"/>
          <w:color w:val="auto"/>
          <w:sz w:val="24"/>
          <w:szCs w:val="24"/>
        </w:rPr>
        <w:t>）上以公告形式发布。</w:t>
      </w:r>
    </w:p>
    <w:p w14:paraId="15CB668E">
      <w:pPr>
        <w:pStyle w:val="46"/>
        <w:ind w:firstLine="420"/>
        <w:rPr>
          <w:rFonts w:hint="eastAsia" w:asciiTheme="minorEastAsia" w:hAnsiTheme="minorEastAsia" w:eastAsiaTheme="minorEastAsia" w:cstheme="minorEastAsia"/>
          <w:b/>
          <w:color w:val="auto"/>
          <w:sz w:val="24"/>
          <w:szCs w:val="24"/>
          <w:lang w:eastAsia="zh-CN"/>
        </w:rPr>
      </w:pPr>
    </w:p>
    <w:p w14:paraId="600DBF92">
      <w:pPr>
        <w:pStyle w:val="46"/>
        <w:ind w:firstLine="420"/>
        <w:rPr>
          <w:rFonts w:hint="eastAsia" w:asciiTheme="minorEastAsia" w:hAnsiTheme="minorEastAsia" w:eastAsiaTheme="minorEastAsia" w:cstheme="minorEastAsia"/>
          <w:b/>
          <w:color w:val="auto"/>
          <w:sz w:val="24"/>
          <w:szCs w:val="24"/>
          <w:lang w:eastAsia="zh-CN"/>
        </w:rPr>
      </w:pPr>
    </w:p>
    <w:p w14:paraId="5D94B9F3">
      <w:pPr>
        <w:pStyle w:val="46"/>
        <w:ind w:firstLine="42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eastAsia="zh-CN"/>
        </w:rPr>
        <w:t>九</w:t>
      </w:r>
      <w:r>
        <w:rPr>
          <w:rFonts w:hint="eastAsia" w:asciiTheme="minorEastAsia" w:hAnsiTheme="minorEastAsia" w:eastAsiaTheme="minorEastAsia" w:cstheme="minorEastAsia"/>
          <w:b/>
          <w:color w:val="auto"/>
          <w:sz w:val="24"/>
          <w:szCs w:val="24"/>
        </w:rPr>
        <w:t>、联系方式</w:t>
      </w:r>
    </w:p>
    <w:p w14:paraId="21278610">
      <w:pPr>
        <w:pStyle w:val="46"/>
        <w:ind w:firstLine="1195" w:firstLineChars="496"/>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color w:val="auto"/>
          <w:sz w:val="24"/>
          <w:szCs w:val="24"/>
        </w:rPr>
        <w:t>采</w:t>
      </w:r>
      <w:r>
        <w:rPr>
          <w:rFonts w:hint="eastAsia" w:asciiTheme="minorEastAsia" w:hAnsiTheme="minorEastAsia" w:eastAsiaTheme="minorEastAsia" w:cstheme="minorEastAsia"/>
          <w:b/>
          <w:color w:val="auto"/>
          <w:sz w:val="24"/>
          <w:szCs w:val="24"/>
          <w:lang w:val="en-US" w:eastAsia="zh-CN"/>
        </w:rPr>
        <w:t xml:space="preserve"> </w:t>
      </w:r>
      <w:r>
        <w:rPr>
          <w:rFonts w:hint="eastAsia" w:asciiTheme="minorEastAsia" w:hAnsiTheme="minorEastAsia" w:eastAsiaTheme="minorEastAsia" w:cstheme="minorEastAsia"/>
          <w:b/>
          <w:color w:val="auto"/>
          <w:sz w:val="24"/>
          <w:szCs w:val="24"/>
        </w:rPr>
        <w:t>购</w:t>
      </w:r>
      <w:r>
        <w:rPr>
          <w:rFonts w:hint="eastAsia" w:asciiTheme="minorEastAsia" w:hAnsiTheme="minorEastAsia" w:eastAsiaTheme="minorEastAsia" w:cstheme="minorEastAsia"/>
          <w:b/>
          <w:color w:val="auto"/>
          <w:sz w:val="24"/>
          <w:szCs w:val="24"/>
          <w:lang w:val="en-US" w:eastAsia="zh-CN"/>
        </w:rPr>
        <w:t xml:space="preserve"> </w:t>
      </w:r>
      <w:r>
        <w:rPr>
          <w:rFonts w:hint="eastAsia" w:asciiTheme="minorEastAsia" w:hAnsiTheme="minorEastAsia" w:eastAsiaTheme="minorEastAsia" w:cstheme="minorEastAsia"/>
          <w:b/>
          <w:color w:val="auto"/>
          <w:sz w:val="24"/>
          <w:szCs w:val="24"/>
        </w:rPr>
        <w:t>人：</w:t>
      </w:r>
      <w:r>
        <w:rPr>
          <w:rFonts w:hint="eastAsia" w:asciiTheme="minorEastAsia" w:hAnsiTheme="minorEastAsia" w:eastAsiaTheme="minorEastAsia" w:cstheme="minorEastAsia"/>
          <w:b/>
          <w:color w:val="auto"/>
          <w:sz w:val="24"/>
          <w:szCs w:val="24"/>
          <w:lang w:val="en-US" w:eastAsia="zh-CN"/>
        </w:rPr>
        <w:t>四川省遂宁市拦江中学（牵头校）</w:t>
      </w:r>
    </w:p>
    <w:p w14:paraId="1EB12F56">
      <w:pPr>
        <w:pStyle w:val="46"/>
        <w:ind w:firstLine="1200" w:firstLineChars="5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联 系 人：</w:t>
      </w:r>
      <w:r>
        <w:rPr>
          <w:rFonts w:hint="eastAsia" w:asciiTheme="minorEastAsia" w:hAnsiTheme="minorEastAsia" w:eastAsiaTheme="minorEastAsia" w:cstheme="minorEastAsia"/>
          <w:color w:val="auto"/>
          <w:sz w:val="24"/>
          <w:szCs w:val="24"/>
          <w:lang w:eastAsia="zh-CN"/>
        </w:rPr>
        <w:t>谭老师</w:t>
      </w:r>
      <w:r>
        <w:rPr>
          <w:rFonts w:hint="eastAsia" w:asciiTheme="minorEastAsia" w:hAnsiTheme="minorEastAsia" w:eastAsiaTheme="minorEastAsia" w:cstheme="minorEastAsia"/>
          <w:color w:val="auto"/>
          <w:sz w:val="24"/>
          <w:szCs w:val="24"/>
          <w:lang w:val="en-US" w:eastAsia="zh-CN"/>
        </w:rPr>
        <w:t xml:space="preserve"> </w:t>
      </w:r>
    </w:p>
    <w:p w14:paraId="03D9EEAB">
      <w:pPr>
        <w:pStyle w:val="46"/>
        <w:ind w:firstLine="1200" w:firstLineChars="5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rPr>
        <w:t>联系电话：</w:t>
      </w:r>
      <w:r>
        <w:rPr>
          <w:rFonts w:hint="eastAsia" w:asciiTheme="minorEastAsia" w:hAnsiTheme="minorEastAsia" w:eastAsiaTheme="minorEastAsia" w:cstheme="minorEastAsia"/>
          <w:bCs/>
          <w:color w:val="auto"/>
          <w:sz w:val="24"/>
          <w:szCs w:val="24"/>
          <w:lang w:val="en-US" w:eastAsia="zh-CN"/>
        </w:rPr>
        <w:t xml:space="preserve">13882592526  </w:t>
      </w:r>
    </w:p>
    <w:p w14:paraId="1C8A10A9">
      <w:pPr>
        <w:pStyle w:val="46"/>
        <w:ind w:firstLine="1205" w:firstLineChars="5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 xml:space="preserve">采购代理机构：四川祥跃项目管理有限公司 </w:t>
      </w:r>
    </w:p>
    <w:p w14:paraId="3E2B2FA2">
      <w:pPr>
        <w:spacing w:after="50" w:line="360" w:lineRule="auto"/>
        <w:ind w:left="1935" w:leftChars="350" w:hanging="1200" w:hangingChars="50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r>
        <w:rPr>
          <w:rFonts w:hint="eastAsia" w:asciiTheme="minorEastAsia" w:hAnsiTheme="minorEastAsia" w:eastAsiaTheme="minorEastAsia" w:cstheme="minorEastAsia"/>
          <w:color w:val="auto"/>
          <w:sz w:val="24"/>
          <w:szCs w:val="24"/>
          <w:lang w:eastAsia="zh-CN"/>
        </w:rPr>
        <w:t>遂宁市船山区遂州中路600号1层</w:t>
      </w:r>
      <w:r>
        <w:rPr>
          <w:rFonts w:hint="eastAsia" w:asciiTheme="minorEastAsia" w:hAnsiTheme="minorEastAsia" w:eastAsiaTheme="minorEastAsia" w:cstheme="minorEastAsia"/>
          <w:color w:val="auto"/>
          <w:sz w:val="24"/>
          <w:szCs w:val="24"/>
        </w:rPr>
        <w:t>（四川祥跃项目管理有限公司）</w:t>
      </w:r>
    </w:p>
    <w:p w14:paraId="0594D8F4">
      <w:pPr>
        <w:pStyle w:val="46"/>
        <w:ind w:firstLine="1200" w:firstLineChars="5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 系 人： 田女士（业务）    联系电话：0825-2280987</w:t>
      </w:r>
    </w:p>
    <w:p w14:paraId="07A4A706">
      <w:pPr>
        <w:pStyle w:val="46"/>
        <w:ind w:firstLine="1200" w:firstLineChars="500"/>
        <w:rPr>
          <w:color w:val="auto"/>
          <w:sz w:val="24"/>
          <w:szCs w:val="24"/>
        </w:rPr>
      </w:pPr>
      <w:r>
        <w:rPr>
          <w:rFonts w:hint="eastAsia" w:asciiTheme="minorEastAsia" w:hAnsiTheme="minorEastAsia" w:eastAsiaTheme="minorEastAsia" w:cstheme="minorEastAsia"/>
          <w:color w:val="auto"/>
          <w:sz w:val="24"/>
          <w:szCs w:val="24"/>
        </w:rPr>
        <w:t>联 系 人： 王女士（财务）    联系电话：0825-2280887</w:t>
      </w:r>
    </w:p>
    <w:p w14:paraId="5FAF1411">
      <w:pPr>
        <w:pStyle w:val="20"/>
        <w:keepNext w:val="0"/>
        <w:keepLines w:val="0"/>
        <w:pageBreakBefore w:val="0"/>
        <w:kinsoku/>
        <w:wordWrap/>
        <w:overflowPunct/>
        <w:topLinePunct w:val="0"/>
        <w:bidi w:val="0"/>
        <w:snapToGrid/>
        <w:spacing w:before="0" w:beforeAutospacing="0" w:after="50" w:afterAutospacing="0" w:line="360" w:lineRule="auto"/>
        <w:jc w:val="center"/>
        <w:textAlignment w:val="auto"/>
        <w:outlineLvl w:val="0"/>
        <w:rPr>
          <w:rFonts w:hint="eastAsia" w:ascii="黑体" w:hAnsi="黑体" w:eastAsia="黑体"/>
          <w:b/>
          <w:color w:val="auto"/>
          <w:sz w:val="36"/>
          <w:szCs w:val="36"/>
        </w:rPr>
      </w:pPr>
    </w:p>
    <w:p w14:paraId="76D0B9DC">
      <w:pPr>
        <w:rPr>
          <w:rFonts w:hint="eastAsia"/>
          <w:lang w:eastAsia="zh-CN"/>
        </w:rPr>
      </w:pPr>
    </w:p>
    <w:p w14:paraId="73191909">
      <w:pPr>
        <w:pStyle w:val="2"/>
        <w:rPr>
          <w:rFonts w:hint="eastAsia"/>
          <w:lang w:eastAsia="zh-CN"/>
        </w:rPr>
      </w:pPr>
    </w:p>
    <w:p w14:paraId="6336CDCF">
      <w:pPr>
        <w:rPr>
          <w:rFonts w:hint="eastAsia"/>
          <w:lang w:eastAsia="zh-CN"/>
        </w:rPr>
      </w:pPr>
    </w:p>
    <w:p w14:paraId="1026B07F">
      <w:pPr>
        <w:pStyle w:val="2"/>
        <w:rPr>
          <w:rFonts w:hint="eastAsia"/>
          <w:lang w:eastAsia="zh-CN"/>
        </w:rPr>
      </w:pPr>
    </w:p>
    <w:p w14:paraId="7637EC75">
      <w:pPr>
        <w:rPr>
          <w:rFonts w:hint="eastAsia"/>
          <w:lang w:eastAsia="zh-CN"/>
        </w:rPr>
      </w:pPr>
    </w:p>
    <w:p w14:paraId="665B6E27">
      <w:pPr>
        <w:pStyle w:val="2"/>
        <w:rPr>
          <w:rFonts w:hint="eastAsia"/>
          <w:lang w:eastAsia="zh-CN"/>
        </w:rPr>
      </w:pPr>
    </w:p>
    <w:p w14:paraId="2BF51FEC">
      <w:pPr>
        <w:rPr>
          <w:rFonts w:hint="eastAsia"/>
          <w:lang w:eastAsia="zh-CN"/>
        </w:rPr>
      </w:pPr>
    </w:p>
    <w:p w14:paraId="5DE647CB">
      <w:pPr>
        <w:pStyle w:val="2"/>
        <w:rPr>
          <w:rFonts w:hint="eastAsia"/>
          <w:lang w:eastAsia="zh-CN"/>
        </w:rPr>
      </w:pPr>
    </w:p>
    <w:p w14:paraId="59DE3F3C">
      <w:pPr>
        <w:rPr>
          <w:rFonts w:hint="eastAsia"/>
          <w:lang w:eastAsia="zh-CN"/>
        </w:rPr>
      </w:pPr>
    </w:p>
    <w:p w14:paraId="505EBD57">
      <w:pPr>
        <w:pStyle w:val="2"/>
        <w:rPr>
          <w:rFonts w:hint="eastAsia"/>
          <w:lang w:eastAsia="zh-CN"/>
        </w:rPr>
      </w:pPr>
    </w:p>
    <w:p w14:paraId="294BB93B">
      <w:pPr>
        <w:rPr>
          <w:rFonts w:hint="eastAsia"/>
          <w:lang w:eastAsia="zh-CN"/>
        </w:rPr>
      </w:pPr>
    </w:p>
    <w:p w14:paraId="3FA6A983">
      <w:pPr>
        <w:pStyle w:val="2"/>
        <w:rPr>
          <w:rFonts w:hint="eastAsia"/>
          <w:lang w:eastAsia="zh-CN"/>
        </w:rPr>
      </w:pPr>
    </w:p>
    <w:p w14:paraId="33D1EDF4">
      <w:pPr>
        <w:rPr>
          <w:rFonts w:hint="eastAsia"/>
          <w:lang w:eastAsia="zh-CN"/>
        </w:rPr>
      </w:pPr>
    </w:p>
    <w:p w14:paraId="7502063B">
      <w:pPr>
        <w:pStyle w:val="2"/>
        <w:rPr>
          <w:rFonts w:hint="eastAsia"/>
          <w:lang w:eastAsia="zh-CN"/>
        </w:rPr>
      </w:pPr>
    </w:p>
    <w:p w14:paraId="12646D58">
      <w:pPr>
        <w:rPr>
          <w:rFonts w:hint="eastAsia"/>
          <w:lang w:eastAsia="zh-CN"/>
        </w:rPr>
      </w:pPr>
    </w:p>
    <w:p w14:paraId="3AE800AD">
      <w:pPr>
        <w:pStyle w:val="2"/>
        <w:rPr>
          <w:rFonts w:hint="eastAsia"/>
          <w:lang w:eastAsia="zh-CN"/>
        </w:rPr>
      </w:pPr>
    </w:p>
    <w:p w14:paraId="67D60125">
      <w:pPr>
        <w:rPr>
          <w:rFonts w:hint="eastAsia"/>
          <w:lang w:eastAsia="zh-CN"/>
        </w:rPr>
      </w:pPr>
    </w:p>
    <w:p w14:paraId="5CE0F880">
      <w:pPr>
        <w:pStyle w:val="2"/>
        <w:rPr>
          <w:rFonts w:hint="eastAsia"/>
          <w:lang w:eastAsia="zh-CN"/>
        </w:rPr>
      </w:pPr>
    </w:p>
    <w:p w14:paraId="4B28F1D7">
      <w:pPr>
        <w:rPr>
          <w:rFonts w:hint="eastAsia"/>
          <w:lang w:eastAsia="zh-CN"/>
        </w:rPr>
      </w:pPr>
    </w:p>
    <w:p w14:paraId="175031C3">
      <w:pPr>
        <w:pStyle w:val="2"/>
        <w:rPr>
          <w:rFonts w:hint="eastAsia"/>
          <w:lang w:eastAsia="zh-CN"/>
        </w:rPr>
      </w:pPr>
    </w:p>
    <w:p w14:paraId="66B42A83">
      <w:pPr>
        <w:rPr>
          <w:rFonts w:hint="eastAsia"/>
          <w:lang w:eastAsia="zh-CN"/>
        </w:rPr>
      </w:pPr>
    </w:p>
    <w:p w14:paraId="7B1AC9FF">
      <w:pPr>
        <w:pStyle w:val="2"/>
        <w:rPr>
          <w:rFonts w:hint="eastAsia"/>
          <w:lang w:eastAsia="zh-CN"/>
        </w:rPr>
      </w:pPr>
    </w:p>
    <w:p w14:paraId="567097C7">
      <w:pPr>
        <w:rPr>
          <w:rFonts w:hint="eastAsia"/>
          <w:lang w:eastAsia="zh-CN"/>
        </w:rPr>
      </w:pPr>
    </w:p>
    <w:p w14:paraId="0738200C">
      <w:pPr>
        <w:pStyle w:val="2"/>
        <w:rPr>
          <w:rFonts w:hint="eastAsia"/>
          <w:lang w:eastAsia="zh-CN"/>
        </w:rPr>
      </w:pPr>
    </w:p>
    <w:p w14:paraId="2AC32D45">
      <w:pPr>
        <w:rPr>
          <w:rFonts w:hint="eastAsia"/>
          <w:lang w:eastAsia="zh-CN"/>
        </w:rPr>
      </w:pPr>
    </w:p>
    <w:p w14:paraId="765AEF89">
      <w:pPr>
        <w:pStyle w:val="2"/>
        <w:rPr>
          <w:rFonts w:hint="eastAsia"/>
          <w:lang w:eastAsia="zh-CN"/>
        </w:rPr>
      </w:pPr>
    </w:p>
    <w:p w14:paraId="39403E89">
      <w:pPr>
        <w:rPr>
          <w:rFonts w:hint="eastAsia"/>
          <w:lang w:eastAsia="zh-CN"/>
        </w:rPr>
      </w:pPr>
    </w:p>
    <w:p w14:paraId="10D2428E">
      <w:pPr>
        <w:pStyle w:val="2"/>
        <w:rPr>
          <w:rFonts w:hint="eastAsia"/>
          <w:lang w:eastAsia="zh-CN"/>
        </w:rPr>
      </w:pPr>
    </w:p>
    <w:p w14:paraId="0EC586D3">
      <w:pPr>
        <w:pStyle w:val="20"/>
        <w:spacing w:before="0" w:beforeAutospacing="0" w:after="50" w:afterAutospacing="0" w:line="360" w:lineRule="auto"/>
        <w:jc w:val="center"/>
        <w:outlineLvl w:val="0"/>
        <w:rPr>
          <w:rFonts w:hint="eastAsia" w:ascii="黑体" w:hAnsi="黑体" w:eastAsia="黑体"/>
          <w:b/>
          <w:color w:val="auto"/>
          <w:sz w:val="36"/>
          <w:szCs w:val="36"/>
        </w:rPr>
      </w:pPr>
      <w:r>
        <w:rPr>
          <w:rFonts w:hint="eastAsia" w:ascii="黑体" w:hAnsi="黑体" w:eastAsia="黑体"/>
          <w:b/>
          <w:color w:val="auto"/>
          <w:sz w:val="36"/>
          <w:szCs w:val="36"/>
          <w:lang w:eastAsia="zh-CN"/>
        </w:rPr>
        <w:t>第二章</w:t>
      </w:r>
      <w:r>
        <w:rPr>
          <w:rFonts w:hint="eastAsia" w:ascii="黑体" w:hAnsi="黑体" w:eastAsia="黑体"/>
          <w:b/>
          <w:color w:val="auto"/>
          <w:sz w:val="36"/>
          <w:szCs w:val="36"/>
          <w:lang w:val="en-US" w:eastAsia="zh-CN"/>
        </w:rPr>
        <w:t xml:space="preserve"> </w:t>
      </w:r>
      <w:bookmarkStart w:id="16" w:name="_GoBack"/>
      <w:bookmarkEnd w:id="16"/>
      <w:r>
        <w:rPr>
          <w:rFonts w:hint="eastAsia" w:ascii="黑体" w:hAnsi="黑体" w:eastAsia="黑体"/>
          <w:b/>
          <w:color w:val="auto"/>
          <w:sz w:val="36"/>
          <w:szCs w:val="36"/>
        </w:rPr>
        <w:t>招标项目技术、服务、</w:t>
      </w:r>
      <w:r>
        <w:rPr>
          <w:rFonts w:hint="eastAsia" w:ascii="黑体" w:hAnsi="黑体" w:eastAsia="黑体"/>
          <w:b/>
          <w:color w:val="auto"/>
          <w:sz w:val="36"/>
          <w:szCs w:val="36"/>
          <w:lang w:eastAsia="zh-CN"/>
        </w:rPr>
        <w:t>采购</w:t>
      </w:r>
      <w:r>
        <w:rPr>
          <w:rFonts w:hint="eastAsia" w:ascii="黑体" w:hAnsi="黑体" w:eastAsia="黑体"/>
          <w:b/>
          <w:color w:val="auto"/>
          <w:sz w:val="36"/>
          <w:szCs w:val="36"/>
        </w:rPr>
        <w:t>合同内容条款及其他商务要求</w:t>
      </w:r>
    </w:p>
    <w:p w14:paraId="1B3DDD63">
      <w:pPr>
        <w:widowControl/>
        <w:spacing w:line="360" w:lineRule="auto"/>
        <w:jc w:val="left"/>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一、项目名称、最高限价</w:t>
      </w:r>
    </w:p>
    <w:p w14:paraId="50FCC677">
      <w:pPr>
        <w:spacing w:line="360" w:lineRule="auto"/>
        <w:ind w:firstLine="480" w:firstLineChars="200"/>
        <w:jc w:val="left"/>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1、项目名称：</w:t>
      </w:r>
      <w:r>
        <w:rPr>
          <w:rFonts w:hint="eastAsia" w:asciiTheme="minorEastAsia" w:hAnsiTheme="minorEastAsia" w:cstheme="minorEastAsia"/>
          <w:color w:val="auto"/>
          <w:sz w:val="24"/>
          <w:highlight w:val="none"/>
          <w:lang w:eastAsia="zh-CN"/>
        </w:rPr>
        <w:t>遂宁市安居区拦江中学（牵头）等5所学校食堂食材联合配送服务项目（第二次）（包3）</w:t>
      </w:r>
    </w:p>
    <w:p w14:paraId="241E8A03">
      <w:pPr>
        <w:spacing w:line="360" w:lineRule="auto"/>
        <w:ind w:firstLine="48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z w:val="24"/>
          <w:highlight w:val="none"/>
        </w:rPr>
        <w:t>2、最高限价：</w:t>
      </w:r>
      <w:r>
        <w:rPr>
          <w:rFonts w:hint="eastAsia" w:asciiTheme="minorEastAsia" w:hAnsiTheme="minorEastAsia" w:eastAsiaTheme="minorEastAsia" w:cstheme="minorEastAsia"/>
          <w:color w:val="auto"/>
          <w:sz w:val="24"/>
          <w:highlight w:val="none"/>
          <w:lang w:val="en-US" w:eastAsia="zh-CN"/>
        </w:rPr>
        <w:t>报价时各类食材按统一下浮率进行报价，各类食材的下浮率须为一致。（</w:t>
      </w:r>
      <w:r>
        <w:rPr>
          <w:rFonts w:hint="eastAsia" w:asciiTheme="minorEastAsia" w:hAnsi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lang w:val="en-US" w:eastAsia="zh-CN"/>
        </w:rPr>
        <w:t>%≤统一下浮率＜100%）</w:t>
      </w:r>
      <w:r>
        <w:rPr>
          <w:rFonts w:hint="eastAsia" w:asciiTheme="minorEastAsia" w:hAnsiTheme="minorEastAsia" w:eastAsiaTheme="minorEastAsia" w:cstheme="minorEastAsia"/>
          <w:color w:val="auto"/>
          <w:sz w:val="24"/>
          <w:highlight w:val="none"/>
        </w:rPr>
        <w:t>。</w:t>
      </w:r>
      <w:r>
        <w:rPr>
          <w:rFonts w:hint="eastAsia" w:asciiTheme="minorEastAsia" w:hAnsiTheme="minorEastAsia" w:cstheme="minorEastAsia"/>
          <w:color w:val="auto"/>
          <w:sz w:val="24"/>
          <w:highlight w:val="none"/>
          <w:lang w:eastAsia="zh-CN"/>
        </w:rPr>
        <w:t>（下浮率保留小数点后</w:t>
      </w:r>
      <w:r>
        <w:rPr>
          <w:rFonts w:hint="eastAsia" w:asciiTheme="minorEastAsia" w:hAnsiTheme="minorEastAsia" w:cstheme="minorEastAsia"/>
          <w:color w:val="auto"/>
          <w:sz w:val="24"/>
          <w:highlight w:val="none"/>
          <w:lang w:val="en-US" w:eastAsia="zh-CN"/>
        </w:rPr>
        <w:t>2</w:t>
      </w:r>
      <w:r>
        <w:rPr>
          <w:rFonts w:hint="eastAsia" w:asciiTheme="minorEastAsia" w:hAnsiTheme="minorEastAsia" w:cstheme="minorEastAsia"/>
          <w:color w:val="auto"/>
          <w:sz w:val="24"/>
          <w:highlight w:val="none"/>
          <w:lang w:eastAsia="zh-CN"/>
        </w:rPr>
        <w:t>位，如：</w:t>
      </w:r>
      <w:r>
        <w:rPr>
          <w:rFonts w:hint="eastAsia" w:asciiTheme="minorEastAsia" w:hAnsiTheme="minorEastAsia" w:cstheme="minorEastAsia"/>
          <w:color w:val="auto"/>
          <w:sz w:val="24"/>
          <w:highlight w:val="none"/>
          <w:lang w:val="en-US" w:eastAsia="zh-CN"/>
        </w:rPr>
        <w:t>7.00%</w:t>
      </w:r>
      <w:r>
        <w:rPr>
          <w:rFonts w:hint="eastAsia" w:asciiTheme="minorEastAsia" w:hAnsiTheme="minorEastAsia" w:cstheme="minorEastAsia"/>
          <w:color w:val="auto"/>
          <w:sz w:val="24"/>
          <w:highlight w:val="none"/>
          <w:lang w:eastAsia="zh-CN"/>
        </w:rPr>
        <w:t>）</w:t>
      </w:r>
      <w:r>
        <w:rPr>
          <w:rFonts w:hint="eastAsia" w:asciiTheme="minorEastAsia" w:hAnsiTheme="minorEastAsia" w:cstheme="minorEastAsia"/>
          <w:b w:val="0"/>
          <w:bCs w:val="0"/>
          <w:color w:val="auto"/>
          <w:sz w:val="24"/>
          <w:highlight w:val="none"/>
          <w:lang w:eastAsia="zh-CN"/>
        </w:rPr>
        <w:t>（</w:t>
      </w:r>
      <w:r>
        <w:rPr>
          <w:rFonts w:hint="eastAsia" w:asciiTheme="minorEastAsia" w:hAnsiTheme="minorEastAsia" w:cstheme="minorEastAsia"/>
          <w:b w:val="0"/>
          <w:bCs w:val="0"/>
          <w:color w:val="auto"/>
          <w:sz w:val="24"/>
          <w:highlight w:val="none"/>
          <w:lang w:val="en-US" w:eastAsia="zh-CN"/>
        </w:rPr>
        <w:t>包3</w:t>
      </w:r>
      <w:r>
        <w:rPr>
          <w:rFonts w:hint="eastAsia" w:asciiTheme="minorEastAsia" w:hAnsiTheme="minorEastAsia" w:cstheme="minorEastAsia"/>
          <w:b w:val="0"/>
          <w:bCs w:val="0"/>
          <w:color w:val="auto"/>
          <w:sz w:val="24"/>
          <w:highlight w:val="none"/>
          <w:lang w:eastAsia="zh-CN"/>
        </w:rPr>
        <w:t>）</w:t>
      </w:r>
    </w:p>
    <w:p w14:paraId="23321962">
      <w:pPr>
        <w:spacing w:line="360" w:lineRule="auto"/>
        <w:rPr>
          <w:rFonts w:hint="eastAsia" w:asciiTheme="minorEastAsia" w:hAnsiTheme="minorEastAsia" w:eastAsiaTheme="minorEastAsia" w:cstheme="minorEastAsia"/>
          <w:b/>
          <w:bCs/>
          <w:color w:val="auto"/>
          <w:sz w:val="24"/>
          <w:highlight w:val="none"/>
          <w:lang w:eastAsia="zh-CN"/>
        </w:rPr>
      </w:pPr>
      <w:r>
        <w:rPr>
          <w:rFonts w:hint="eastAsia" w:asciiTheme="minorEastAsia" w:hAnsiTheme="minorEastAsia" w:eastAsiaTheme="minorEastAsia" w:cstheme="minorEastAsia"/>
          <w:b/>
          <w:bCs/>
          <w:color w:val="auto"/>
          <w:sz w:val="24"/>
          <w:highlight w:val="none"/>
        </w:rPr>
        <w:t>二、</w:t>
      </w:r>
      <w:r>
        <w:rPr>
          <w:rFonts w:hint="eastAsia" w:asciiTheme="minorEastAsia" w:hAnsiTheme="minorEastAsia" w:eastAsiaTheme="minorEastAsia" w:cstheme="minorEastAsia"/>
          <w:b/>
          <w:bCs/>
          <w:color w:val="auto"/>
          <w:sz w:val="24"/>
          <w:highlight w:val="none"/>
          <w:lang w:eastAsia="zh-CN"/>
        </w:rPr>
        <w:t>项目概况</w:t>
      </w:r>
    </w:p>
    <w:p w14:paraId="11BD3CEB">
      <w:pPr>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本项目实行联合采购，本项目采购的单位包括四川省遂宁市拦江中学（牵头校）、遂宁市安居区分水镇中心小学校、遂宁市安居区分水镇中心幼儿园、遂宁市安居区保石镇明德小学校</w:t>
      </w:r>
      <w:r>
        <w:rPr>
          <w:rFonts w:hint="eastAsia" w:asciiTheme="minorEastAsia" w:hAnsiTheme="minorEastAsia" w:cstheme="minorEastAsia"/>
          <w:color w:val="auto"/>
          <w:sz w:val="24"/>
          <w:highlight w:val="none"/>
          <w:lang w:val="en-US" w:eastAsia="zh-CN"/>
        </w:rPr>
        <w:t>、</w:t>
      </w:r>
      <w:r>
        <w:rPr>
          <w:rFonts w:hint="eastAsia" w:asciiTheme="minorEastAsia" w:hAnsiTheme="minorEastAsia" w:eastAsiaTheme="minorEastAsia" w:cstheme="minorEastAsia"/>
          <w:color w:val="auto"/>
          <w:sz w:val="24"/>
          <w:highlight w:val="none"/>
          <w:lang w:val="en-US" w:eastAsia="zh-CN"/>
        </w:rPr>
        <w:t>遂宁市安居区分水镇兴旺明德小学。成交供应商应当与四川省遂宁市拦江中学、遂宁市安居区分水镇中心小学校、遂宁市安居区分水镇中心幼儿园、遂宁市安居区保石镇明德小学校</w:t>
      </w:r>
      <w:r>
        <w:rPr>
          <w:rFonts w:hint="eastAsia" w:asciiTheme="minorEastAsia" w:hAnsiTheme="minorEastAsia" w:cstheme="minorEastAsia"/>
          <w:color w:val="auto"/>
          <w:sz w:val="24"/>
          <w:highlight w:val="none"/>
          <w:lang w:val="en-US" w:eastAsia="zh-CN"/>
        </w:rPr>
        <w:t>、</w:t>
      </w:r>
      <w:r>
        <w:rPr>
          <w:rFonts w:hint="eastAsia" w:asciiTheme="minorEastAsia" w:hAnsiTheme="minorEastAsia" w:eastAsiaTheme="minorEastAsia" w:cstheme="minorEastAsia"/>
          <w:color w:val="auto"/>
          <w:sz w:val="24"/>
          <w:highlight w:val="none"/>
          <w:lang w:val="en-US" w:eastAsia="zh-CN"/>
        </w:rPr>
        <w:t>遂宁市安居区分水镇兴旺明德小学分别签订采购合同。</w:t>
      </w:r>
    </w:p>
    <w:p w14:paraId="673F00C1">
      <w:pPr>
        <w:pStyle w:val="2"/>
        <w:ind w:left="0" w:leftChars="0" w:firstLine="0" w:firstLineChars="0"/>
        <w:rPr>
          <w:rFonts w:hint="eastAsia" w:asciiTheme="minorEastAsia" w:hAnsiTheme="minorEastAsia" w:eastAsiaTheme="minorEastAsia" w:cstheme="minorEastAsia"/>
          <w:b/>
          <w:bCs/>
          <w:color w:val="auto"/>
          <w:sz w:val="24"/>
          <w:highlight w:val="none"/>
          <w:lang w:val="en-US" w:eastAsia="zh-CN"/>
        </w:rPr>
      </w:pPr>
      <w:r>
        <w:rPr>
          <w:rFonts w:hint="eastAsia" w:asciiTheme="minorEastAsia" w:hAnsiTheme="minorEastAsia" w:eastAsiaTheme="minorEastAsia" w:cstheme="minorEastAsia"/>
          <w:b/>
          <w:bCs/>
          <w:color w:val="auto"/>
          <w:sz w:val="24"/>
          <w:highlight w:val="none"/>
          <w:lang w:val="en-US" w:eastAsia="zh-CN"/>
        </w:rPr>
        <w:t>三、采购预算</w:t>
      </w:r>
    </w:p>
    <w:tbl>
      <w:tblPr>
        <w:tblStyle w:val="2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1434"/>
        <w:gridCol w:w="2184"/>
        <w:gridCol w:w="1539"/>
        <w:gridCol w:w="1516"/>
        <w:gridCol w:w="1169"/>
      </w:tblGrid>
      <w:tr w14:paraId="191FB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397" w:type="pct"/>
            <w:vAlign w:val="center"/>
          </w:tcPr>
          <w:p w14:paraId="0A68BFE3">
            <w:pPr>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序号</w:t>
            </w:r>
          </w:p>
        </w:tc>
        <w:tc>
          <w:tcPr>
            <w:tcW w:w="841" w:type="pct"/>
            <w:vAlign w:val="center"/>
          </w:tcPr>
          <w:p w14:paraId="4EF8227C">
            <w:pPr>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学校名称</w:t>
            </w:r>
          </w:p>
        </w:tc>
        <w:tc>
          <w:tcPr>
            <w:tcW w:w="1281" w:type="pct"/>
            <w:vAlign w:val="center"/>
          </w:tcPr>
          <w:p w14:paraId="07A2E8BD">
            <w:pPr>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包号及名称</w:t>
            </w:r>
          </w:p>
        </w:tc>
        <w:tc>
          <w:tcPr>
            <w:tcW w:w="903" w:type="pct"/>
            <w:vAlign w:val="center"/>
          </w:tcPr>
          <w:p w14:paraId="494975E2">
            <w:pPr>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预算金额（万元）</w:t>
            </w:r>
          </w:p>
        </w:tc>
        <w:tc>
          <w:tcPr>
            <w:tcW w:w="889" w:type="pct"/>
            <w:vAlign w:val="center"/>
          </w:tcPr>
          <w:p w14:paraId="0555B0EC">
            <w:pPr>
              <w:jc w:val="center"/>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履约保证金（万元）</w:t>
            </w:r>
          </w:p>
        </w:tc>
        <w:tc>
          <w:tcPr>
            <w:tcW w:w="686" w:type="pct"/>
            <w:vAlign w:val="center"/>
          </w:tcPr>
          <w:p w14:paraId="75561BDE">
            <w:pPr>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备注</w:t>
            </w:r>
          </w:p>
        </w:tc>
      </w:tr>
      <w:tr w14:paraId="3C7D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97" w:type="pct"/>
            <w:vAlign w:val="center"/>
          </w:tcPr>
          <w:p w14:paraId="60F6EC21">
            <w:pPr>
              <w:jc w:val="center"/>
              <w:rPr>
                <w:rFonts w:hint="default" w:ascii="宋体" w:hAnsi="宋体" w:eastAsia="宋体" w:cs="宋体"/>
                <w:color w:val="auto"/>
                <w:sz w:val="24"/>
                <w:szCs w:val="24"/>
                <w:vertAlign w:val="baseline"/>
                <w:lang w:val="en-US" w:eastAsia="zh-CN"/>
              </w:rPr>
            </w:pPr>
            <w:r>
              <w:rPr>
                <w:rFonts w:hint="eastAsia" w:hAnsi="宋体" w:cs="宋体"/>
                <w:color w:val="auto"/>
                <w:sz w:val="24"/>
                <w:szCs w:val="24"/>
                <w:vertAlign w:val="baseline"/>
                <w:lang w:val="en-US" w:eastAsia="zh-CN"/>
              </w:rPr>
              <w:t>1</w:t>
            </w:r>
          </w:p>
        </w:tc>
        <w:tc>
          <w:tcPr>
            <w:tcW w:w="841" w:type="pct"/>
            <w:vAlign w:val="center"/>
          </w:tcPr>
          <w:p w14:paraId="4CCBFA22">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四川省遂宁市拦江中学（牵头学校）</w:t>
            </w:r>
          </w:p>
        </w:tc>
        <w:tc>
          <w:tcPr>
            <w:tcW w:w="1281" w:type="pct"/>
            <w:vAlign w:val="center"/>
          </w:tcPr>
          <w:p w14:paraId="3D66CA84">
            <w:p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kern w:val="2"/>
                <w:sz w:val="24"/>
                <w:szCs w:val="24"/>
                <w:highlight w:val="none"/>
                <w:lang w:val="en-US" w:eastAsia="zh-CN" w:bidi="ar-SA"/>
              </w:rPr>
              <w:t>包3：</w:t>
            </w:r>
            <w:r>
              <w:rPr>
                <w:rFonts w:hint="eastAsia" w:hAnsi="宋体" w:cs="宋体"/>
                <w:color w:val="auto"/>
                <w:kern w:val="2"/>
                <w:sz w:val="24"/>
                <w:szCs w:val="24"/>
                <w:highlight w:val="none"/>
                <w:lang w:val="en-US" w:eastAsia="zh-CN" w:bidi="ar-SA"/>
              </w:rPr>
              <w:t>肉类、水产类</w:t>
            </w:r>
          </w:p>
        </w:tc>
        <w:tc>
          <w:tcPr>
            <w:tcW w:w="903" w:type="pct"/>
            <w:vAlign w:val="center"/>
          </w:tcPr>
          <w:p w14:paraId="4BF1E54E">
            <w:pPr>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118</w:t>
            </w:r>
          </w:p>
        </w:tc>
        <w:tc>
          <w:tcPr>
            <w:tcW w:w="889" w:type="pct"/>
            <w:vAlign w:val="center"/>
          </w:tcPr>
          <w:p w14:paraId="7D4C5DD5">
            <w:pPr>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10</w:t>
            </w:r>
          </w:p>
        </w:tc>
        <w:tc>
          <w:tcPr>
            <w:tcW w:w="686" w:type="pct"/>
            <w:vMerge w:val="restart"/>
            <w:vAlign w:val="center"/>
          </w:tcPr>
          <w:p w14:paraId="75C33896">
            <w:p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本项目预算金额为预估金额，具体金额以实际发生的金额为准。</w:t>
            </w:r>
          </w:p>
        </w:tc>
      </w:tr>
      <w:tr w14:paraId="55FD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97" w:type="pct"/>
            <w:vAlign w:val="center"/>
          </w:tcPr>
          <w:p w14:paraId="63EBCC77">
            <w:pPr>
              <w:jc w:val="center"/>
              <w:rPr>
                <w:rFonts w:hint="default" w:hAnsi="宋体" w:cs="宋体"/>
                <w:color w:val="auto"/>
                <w:sz w:val="24"/>
                <w:szCs w:val="24"/>
                <w:vertAlign w:val="baseline"/>
                <w:lang w:val="en-US" w:eastAsia="zh-CN"/>
              </w:rPr>
            </w:pPr>
            <w:r>
              <w:rPr>
                <w:rFonts w:hint="eastAsia" w:hAnsi="宋体" w:cs="宋体"/>
                <w:color w:val="auto"/>
                <w:sz w:val="24"/>
                <w:szCs w:val="24"/>
                <w:vertAlign w:val="baseline"/>
                <w:lang w:val="en-US" w:eastAsia="zh-CN"/>
              </w:rPr>
              <w:t>2</w:t>
            </w:r>
          </w:p>
        </w:tc>
        <w:tc>
          <w:tcPr>
            <w:tcW w:w="841" w:type="pct"/>
            <w:vAlign w:val="top"/>
          </w:tcPr>
          <w:p w14:paraId="02C2E30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遂宁市安居区分水镇中心小学校</w:t>
            </w:r>
          </w:p>
        </w:tc>
        <w:tc>
          <w:tcPr>
            <w:tcW w:w="1281" w:type="pct"/>
            <w:vAlign w:val="center"/>
          </w:tcPr>
          <w:p w14:paraId="1234049B">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包3：</w:t>
            </w:r>
            <w:r>
              <w:rPr>
                <w:rFonts w:hint="eastAsia" w:hAnsi="宋体" w:cs="宋体"/>
                <w:color w:val="auto"/>
                <w:kern w:val="2"/>
                <w:sz w:val="24"/>
                <w:szCs w:val="24"/>
                <w:highlight w:val="none"/>
                <w:lang w:val="en-US" w:eastAsia="zh-CN" w:bidi="ar-SA"/>
              </w:rPr>
              <w:t>肉类、水产类</w:t>
            </w:r>
          </w:p>
        </w:tc>
        <w:tc>
          <w:tcPr>
            <w:tcW w:w="903" w:type="pct"/>
            <w:vAlign w:val="center"/>
          </w:tcPr>
          <w:p w14:paraId="1055E5E4">
            <w:p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13.32</w:t>
            </w:r>
          </w:p>
        </w:tc>
        <w:tc>
          <w:tcPr>
            <w:tcW w:w="889" w:type="pct"/>
            <w:vAlign w:val="center"/>
          </w:tcPr>
          <w:p w14:paraId="089EB375">
            <w:pPr>
              <w:jc w:val="center"/>
              <w:rPr>
                <w:rFonts w:hint="default" w:ascii="宋体" w:hAnsi="宋体" w:eastAsia="宋体" w:cs="宋体"/>
                <w:color w:val="auto"/>
                <w:sz w:val="24"/>
                <w:szCs w:val="24"/>
                <w:vertAlign w:val="baseline"/>
                <w:lang w:val="en-US" w:eastAsia="zh-CN"/>
              </w:rPr>
            </w:pPr>
            <w:r>
              <w:rPr>
                <w:rFonts w:hint="eastAsia" w:hAnsi="宋体" w:cs="宋体"/>
                <w:color w:val="auto"/>
                <w:sz w:val="24"/>
                <w:szCs w:val="24"/>
                <w:vertAlign w:val="baseline"/>
                <w:lang w:val="en-US" w:eastAsia="zh-CN"/>
              </w:rPr>
              <w:t>1</w:t>
            </w:r>
          </w:p>
        </w:tc>
        <w:tc>
          <w:tcPr>
            <w:tcW w:w="686" w:type="pct"/>
            <w:vMerge w:val="continue"/>
          </w:tcPr>
          <w:p w14:paraId="22414649">
            <w:pPr>
              <w:rPr>
                <w:rFonts w:hint="eastAsia" w:ascii="宋体" w:hAnsi="宋体" w:eastAsia="宋体" w:cs="宋体"/>
                <w:color w:val="auto"/>
                <w:sz w:val="24"/>
                <w:szCs w:val="24"/>
                <w:vertAlign w:val="baseline"/>
                <w:lang w:val="en-US" w:eastAsia="zh-CN"/>
              </w:rPr>
            </w:pPr>
          </w:p>
        </w:tc>
      </w:tr>
      <w:tr w14:paraId="628B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97" w:type="pct"/>
            <w:vAlign w:val="center"/>
          </w:tcPr>
          <w:p w14:paraId="696054EB">
            <w:pPr>
              <w:jc w:val="center"/>
              <w:rPr>
                <w:rFonts w:hint="default" w:hAnsi="宋体" w:cs="宋体"/>
                <w:color w:val="auto"/>
                <w:sz w:val="24"/>
                <w:szCs w:val="24"/>
                <w:vertAlign w:val="baseline"/>
                <w:lang w:val="en-US" w:eastAsia="zh-CN"/>
              </w:rPr>
            </w:pPr>
            <w:r>
              <w:rPr>
                <w:rFonts w:hint="eastAsia" w:hAnsi="宋体" w:cs="宋体"/>
                <w:color w:val="auto"/>
                <w:sz w:val="24"/>
                <w:szCs w:val="24"/>
                <w:vertAlign w:val="baseline"/>
                <w:lang w:val="en-US" w:eastAsia="zh-CN"/>
              </w:rPr>
              <w:t>3</w:t>
            </w:r>
          </w:p>
        </w:tc>
        <w:tc>
          <w:tcPr>
            <w:tcW w:w="841" w:type="pct"/>
            <w:vAlign w:val="top"/>
          </w:tcPr>
          <w:p w14:paraId="650BBE50">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遂宁市安居区分水镇兴旺明德小学</w:t>
            </w:r>
          </w:p>
        </w:tc>
        <w:tc>
          <w:tcPr>
            <w:tcW w:w="1281" w:type="pct"/>
            <w:vAlign w:val="center"/>
          </w:tcPr>
          <w:p w14:paraId="55F1884E">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包3：</w:t>
            </w:r>
            <w:r>
              <w:rPr>
                <w:rFonts w:hint="eastAsia" w:hAnsi="宋体" w:cs="宋体"/>
                <w:color w:val="auto"/>
                <w:kern w:val="2"/>
                <w:sz w:val="24"/>
                <w:szCs w:val="24"/>
                <w:highlight w:val="none"/>
                <w:lang w:val="en-US" w:eastAsia="zh-CN" w:bidi="ar-SA"/>
              </w:rPr>
              <w:t>肉类、水产类</w:t>
            </w:r>
          </w:p>
        </w:tc>
        <w:tc>
          <w:tcPr>
            <w:tcW w:w="903" w:type="pct"/>
            <w:vAlign w:val="center"/>
          </w:tcPr>
          <w:p w14:paraId="089CD57A">
            <w:p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w:t>
            </w:r>
          </w:p>
        </w:tc>
        <w:tc>
          <w:tcPr>
            <w:tcW w:w="889" w:type="pct"/>
            <w:vAlign w:val="center"/>
          </w:tcPr>
          <w:p w14:paraId="7994074F">
            <w:pPr>
              <w:jc w:val="center"/>
              <w:rPr>
                <w:rFonts w:hint="default" w:ascii="宋体" w:hAnsi="宋体" w:eastAsia="宋体" w:cs="宋体"/>
                <w:color w:val="auto"/>
                <w:sz w:val="24"/>
                <w:szCs w:val="24"/>
                <w:vertAlign w:val="baseline"/>
                <w:lang w:val="en-US" w:eastAsia="zh-CN"/>
              </w:rPr>
            </w:pPr>
            <w:r>
              <w:rPr>
                <w:rFonts w:hint="eastAsia" w:hAnsi="宋体" w:cs="宋体"/>
                <w:color w:val="auto"/>
                <w:sz w:val="24"/>
                <w:szCs w:val="24"/>
                <w:vertAlign w:val="baseline"/>
                <w:lang w:val="en-US" w:eastAsia="zh-CN"/>
              </w:rPr>
              <w:t>1</w:t>
            </w:r>
          </w:p>
        </w:tc>
        <w:tc>
          <w:tcPr>
            <w:tcW w:w="686" w:type="pct"/>
            <w:vMerge w:val="continue"/>
          </w:tcPr>
          <w:p w14:paraId="10DA65B3">
            <w:pPr>
              <w:rPr>
                <w:rFonts w:hint="eastAsia" w:ascii="宋体" w:hAnsi="宋体" w:eastAsia="宋体" w:cs="宋体"/>
                <w:color w:val="auto"/>
                <w:sz w:val="24"/>
                <w:szCs w:val="24"/>
                <w:vertAlign w:val="baseline"/>
                <w:lang w:val="en-US" w:eastAsia="zh-CN"/>
              </w:rPr>
            </w:pPr>
          </w:p>
        </w:tc>
      </w:tr>
      <w:tr w14:paraId="46B9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97" w:type="pct"/>
            <w:vAlign w:val="center"/>
          </w:tcPr>
          <w:p w14:paraId="0600C992">
            <w:pPr>
              <w:jc w:val="center"/>
              <w:rPr>
                <w:rFonts w:hint="default" w:hAnsi="宋体" w:cs="宋体"/>
                <w:color w:val="auto"/>
                <w:sz w:val="24"/>
                <w:szCs w:val="24"/>
                <w:vertAlign w:val="baseline"/>
                <w:lang w:val="en-US" w:eastAsia="zh-CN"/>
              </w:rPr>
            </w:pPr>
            <w:r>
              <w:rPr>
                <w:rFonts w:hint="eastAsia" w:hAnsi="宋体" w:cs="宋体"/>
                <w:color w:val="auto"/>
                <w:sz w:val="24"/>
                <w:szCs w:val="24"/>
                <w:vertAlign w:val="baseline"/>
                <w:lang w:val="en-US" w:eastAsia="zh-CN"/>
              </w:rPr>
              <w:t>4</w:t>
            </w:r>
          </w:p>
        </w:tc>
        <w:tc>
          <w:tcPr>
            <w:tcW w:w="841" w:type="pct"/>
            <w:vAlign w:val="center"/>
          </w:tcPr>
          <w:p w14:paraId="4B54896B">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遂宁市安居区分水镇中心幼儿园</w:t>
            </w:r>
          </w:p>
        </w:tc>
        <w:tc>
          <w:tcPr>
            <w:tcW w:w="1281" w:type="pct"/>
            <w:vAlign w:val="center"/>
          </w:tcPr>
          <w:p w14:paraId="731BC97D">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包3：</w:t>
            </w:r>
            <w:r>
              <w:rPr>
                <w:rFonts w:hint="eastAsia" w:hAnsi="宋体" w:cs="宋体"/>
                <w:color w:val="auto"/>
                <w:kern w:val="2"/>
                <w:sz w:val="24"/>
                <w:szCs w:val="24"/>
                <w:highlight w:val="none"/>
                <w:lang w:val="en-US" w:eastAsia="zh-CN" w:bidi="ar-SA"/>
              </w:rPr>
              <w:t>肉类、水产类</w:t>
            </w:r>
          </w:p>
        </w:tc>
        <w:tc>
          <w:tcPr>
            <w:tcW w:w="903" w:type="pct"/>
            <w:vAlign w:val="center"/>
          </w:tcPr>
          <w:p w14:paraId="05A34D69">
            <w:p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w:t>
            </w:r>
          </w:p>
        </w:tc>
        <w:tc>
          <w:tcPr>
            <w:tcW w:w="889" w:type="pct"/>
            <w:vAlign w:val="center"/>
          </w:tcPr>
          <w:p w14:paraId="7D35AC69">
            <w:pPr>
              <w:jc w:val="center"/>
              <w:rPr>
                <w:rFonts w:hint="default" w:ascii="宋体" w:hAnsi="宋体" w:eastAsia="宋体" w:cs="宋体"/>
                <w:color w:val="auto"/>
                <w:sz w:val="24"/>
                <w:szCs w:val="24"/>
                <w:vertAlign w:val="baseline"/>
                <w:lang w:val="en-US" w:eastAsia="zh-CN"/>
              </w:rPr>
            </w:pPr>
            <w:r>
              <w:rPr>
                <w:rFonts w:hint="eastAsia" w:hAnsi="宋体" w:cs="宋体"/>
                <w:color w:val="auto"/>
                <w:sz w:val="24"/>
                <w:szCs w:val="24"/>
                <w:vertAlign w:val="baseline"/>
                <w:lang w:val="en-US" w:eastAsia="zh-CN"/>
              </w:rPr>
              <w:t>1</w:t>
            </w:r>
          </w:p>
        </w:tc>
        <w:tc>
          <w:tcPr>
            <w:tcW w:w="686" w:type="pct"/>
            <w:vMerge w:val="continue"/>
          </w:tcPr>
          <w:p w14:paraId="5AE051F5">
            <w:pPr>
              <w:rPr>
                <w:rFonts w:hint="eastAsia" w:ascii="宋体" w:hAnsi="宋体" w:eastAsia="宋体" w:cs="宋体"/>
                <w:color w:val="auto"/>
                <w:sz w:val="24"/>
                <w:szCs w:val="24"/>
                <w:vertAlign w:val="baseline"/>
                <w:lang w:val="en-US" w:eastAsia="zh-CN"/>
              </w:rPr>
            </w:pPr>
          </w:p>
        </w:tc>
      </w:tr>
      <w:tr w14:paraId="46F5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97" w:type="pct"/>
            <w:vAlign w:val="center"/>
          </w:tcPr>
          <w:p w14:paraId="7DBF57FF">
            <w:pPr>
              <w:jc w:val="center"/>
              <w:rPr>
                <w:rFonts w:hint="default" w:hAnsi="宋体" w:cs="宋体"/>
                <w:color w:val="auto"/>
                <w:sz w:val="24"/>
                <w:szCs w:val="24"/>
                <w:vertAlign w:val="baseline"/>
                <w:lang w:val="en-US" w:eastAsia="zh-CN"/>
              </w:rPr>
            </w:pPr>
            <w:r>
              <w:rPr>
                <w:rFonts w:hint="eastAsia" w:hAnsi="宋体" w:cs="宋体"/>
                <w:color w:val="auto"/>
                <w:sz w:val="24"/>
                <w:szCs w:val="24"/>
                <w:vertAlign w:val="baseline"/>
                <w:lang w:val="en-US" w:eastAsia="zh-CN"/>
              </w:rPr>
              <w:t>5</w:t>
            </w:r>
          </w:p>
        </w:tc>
        <w:tc>
          <w:tcPr>
            <w:tcW w:w="841" w:type="pct"/>
            <w:vAlign w:val="top"/>
          </w:tcPr>
          <w:p w14:paraId="694F2359">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遂宁市安居区保石镇明德小学校</w:t>
            </w:r>
          </w:p>
        </w:tc>
        <w:tc>
          <w:tcPr>
            <w:tcW w:w="1281" w:type="pct"/>
            <w:vAlign w:val="center"/>
          </w:tcPr>
          <w:p w14:paraId="4413568A">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包3：</w:t>
            </w:r>
            <w:r>
              <w:rPr>
                <w:rFonts w:hint="eastAsia" w:hAnsi="宋体" w:cs="宋体"/>
                <w:color w:val="auto"/>
                <w:kern w:val="2"/>
                <w:sz w:val="24"/>
                <w:szCs w:val="24"/>
                <w:highlight w:val="none"/>
                <w:lang w:val="en-US" w:eastAsia="zh-CN" w:bidi="ar-SA"/>
              </w:rPr>
              <w:t>肉类、水产类</w:t>
            </w:r>
          </w:p>
        </w:tc>
        <w:tc>
          <w:tcPr>
            <w:tcW w:w="903" w:type="pct"/>
            <w:vAlign w:val="center"/>
          </w:tcPr>
          <w:p w14:paraId="13EEC7F9">
            <w:p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w:t>
            </w:r>
          </w:p>
        </w:tc>
        <w:tc>
          <w:tcPr>
            <w:tcW w:w="889" w:type="pct"/>
            <w:vAlign w:val="center"/>
          </w:tcPr>
          <w:p w14:paraId="31A5C497">
            <w:pPr>
              <w:jc w:val="center"/>
              <w:rPr>
                <w:rFonts w:hint="default" w:ascii="宋体" w:hAnsi="宋体" w:eastAsia="宋体" w:cs="宋体"/>
                <w:color w:val="auto"/>
                <w:sz w:val="24"/>
                <w:szCs w:val="24"/>
                <w:vertAlign w:val="baseline"/>
                <w:lang w:val="en-US" w:eastAsia="zh-CN"/>
              </w:rPr>
            </w:pPr>
            <w:r>
              <w:rPr>
                <w:rFonts w:hint="eastAsia" w:hAnsi="宋体" w:cs="宋体"/>
                <w:color w:val="auto"/>
                <w:sz w:val="24"/>
                <w:szCs w:val="24"/>
                <w:vertAlign w:val="baseline"/>
                <w:lang w:val="en-US" w:eastAsia="zh-CN"/>
              </w:rPr>
              <w:t>1</w:t>
            </w:r>
          </w:p>
        </w:tc>
        <w:tc>
          <w:tcPr>
            <w:tcW w:w="686" w:type="pct"/>
            <w:vMerge w:val="continue"/>
          </w:tcPr>
          <w:p w14:paraId="01E2F857">
            <w:pPr>
              <w:rPr>
                <w:rFonts w:hint="eastAsia" w:ascii="宋体" w:hAnsi="宋体" w:eastAsia="宋体" w:cs="宋体"/>
                <w:color w:val="auto"/>
                <w:sz w:val="24"/>
                <w:szCs w:val="24"/>
                <w:vertAlign w:val="baseline"/>
                <w:lang w:val="en-US" w:eastAsia="zh-CN"/>
              </w:rPr>
            </w:pPr>
          </w:p>
        </w:tc>
      </w:tr>
      <w:tr w14:paraId="0378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238" w:type="pct"/>
            <w:gridSpan w:val="2"/>
            <w:vAlign w:val="center"/>
          </w:tcPr>
          <w:p w14:paraId="58BE8150">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vertAlign w:val="baseline"/>
                <w:lang w:val="en-US" w:eastAsia="zh-CN"/>
              </w:rPr>
              <w:t>合计</w:t>
            </w:r>
          </w:p>
        </w:tc>
        <w:tc>
          <w:tcPr>
            <w:tcW w:w="1281" w:type="pct"/>
            <w:vAlign w:val="center"/>
          </w:tcPr>
          <w:p w14:paraId="3BFF5E9D">
            <w:pPr>
              <w:jc w:val="center"/>
              <w:rPr>
                <w:rFonts w:hint="default" w:ascii="宋体" w:hAnsi="宋体" w:eastAsia="宋体" w:cs="宋体"/>
                <w:color w:val="auto"/>
                <w:kern w:val="2"/>
                <w:sz w:val="24"/>
                <w:szCs w:val="24"/>
                <w:highlight w:val="none"/>
                <w:lang w:val="en-US" w:eastAsia="zh-CN" w:bidi="ar-SA"/>
              </w:rPr>
            </w:pPr>
            <w:r>
              <w:rPr>
                <w:rFonts w:hint="eastAsia" w:hAnsi="宋体" w:cs="宋体"/>
                <w:color w:val="auto"/>
                <w:kern w:val="2"/>
                <w:sz w:val="24"/>
                <w:szCs w:val="24"/>
                <w:highlight w:val="none"/>
                <w:lang w:val="en-US" w:eastAsia="zh-CN" w:bidi="ar-SA"/>
              </w:rPr>
              <w:t>/</w:t>
            </w:r>
          </w:p>
        </w:tc>
        <w:tc>
          <w:tcPr>
            <w:tcW w:w="903" w:type="pct"/>
            <w:vAlign w:val="center"/>
          </w:tcPr>
          <w:p w14:paraId="599F2479">
            <w:pPr>
              <w:jc w:val="center"/>
              <w:rPr>
                <w:rFonts w:hint="default" w:ascii="宋体" w:hAnsi="宋体" w:eastAsia="宋体" w:cs="宋体"/>
                <w:color w:val="auto"/>
                <w:sz w:val="24"/>
                <w:szCs w:val="24"/>
                <w:vertAlign w:val="baseline"/>
                <w:lang w:val="en-US" w:eastAsia="zh-CN"/>
              </w:rPr>
            </w:pPr>
            <w:r>
              <w:rPr>
                <w:rFonts w:hint="eastAsia" w:hAnsi="宋体" w:cs="宋体"/>
                <w:color w:val="auto"/>
                <w:sz w:val="24"/>
                <w:szCs w:val="24"/>
                <w:vertAlign w:val="baseline"/>
                <w:lang w:val="en-US" w:eastAsia="zh-CN"/>
              </w:rPr>
              <w:t>151.32</w:t>
            </w:r>
          </w:p>
        </w:tc>
        <w:tc>
          <w:tcPr>
            <w:tcW w:w="889" w:type="pct"/>
          </w:tcPr>
          <w:p w14:paraId="22E30F3F">
            <w:pPr>
              <w:jc w:val="center"/>
              <w:rPr>
                <w:rFonts w:hint="default" w:ascii="宋体" w:hAnsi="宋体" w:eastAsia="宋体" w:cs="宋体"/>
                <w:color w:val="auto"/>
                <w:sz w:val="24"/>
                <w:szCs w:val="24"/>
                <w:vertAlign w:val="baseline"/>
                <w:lang w:val="en-US" w:eastAsia="zh-CN"/>
              </w:rPr>
            </w:pPr>
            <w:r>
              <w:rPr>
                <w:rFonts w:hint="eastAsia" w:hAnsi="宋体" w:cs="宋体"/>
                <w:color w:val="auto"/>
                <w:sz w:val="24"/>
                <w:szCs w:val="24"/>
                <w:vertAlign w:val="baseline"/>
                <w:lang w:val="en-US" w:eastAsia="zh-CN"/>
              </w:rPr>
              <w:t>/</w:t>
            </w:r>
          </w:p>
        </w:tc>
        <w:tc>
          <w:tcPr>
            <w:tcW w:w="686" w:type="pct"/>
            <w:vMerge w:val="continue"/>
          </w:tcPr>
          <w:p w14:paraId="26308381">
            <w:pPr>
              <w:rPr>
                <w:rFonts w:hint="eastAsia" w:ascii="宋体" w:hAnsi="宋体" w:eastAsia="宋体" w:cs="宋体"/>
                <w:color w:val="auto"/>
                <w:sz w:val="24"/>
                <w:szCs w:val="24"/>
                <w:vertAlign w:val="baseline"/>
                <w:lang w:val="en-US" w:eastAsia="zh-CN"/>
              </w:rPr>
            </w:pPr>
          </w:p>
        </w:tc>
      </w:tr>
    </w:tbl>
    <w:p w14:paraId="50558AE3">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cstheme="minorEastAsia"/>
          <w:b/>
          <w:bCs/>
          <w:color w:val="auto"/>
          <w:sz w:val="24"/>
          <w:highlight w:val="none"/>
          <w:lang w:eastAsia="zh-CN"/>
        </w:rPr>
        <w:t>四</w:t>
      </w:r>
      <w:r>
        <w:rPr>
          <w:rFonts w:hint="eastAsia" w:asciiTheme="minorEastAsia" w:hAnsiTheme="minorEastAsia" w:eastAsiaTheme="minorEastAsia" w:cstheme="minorEastAsia"/>
          <w:b/>
          <w:bCs/>
          <w:color w:val="auto"/>
          <w:sz w:val="24"/>
          <w:highlight w:val="none"/>
          <w:lang w:eastAsia="zh-CN"/>
        </w:rPr>
        <w:t>、</w:t>
      </w:r>
      <w:r>
        <w:rPr>
          <w:rFonts w:hint="eastAsia" w:asciiTheme="minorEastAsia" w:hAnsiTheme="minorEastAsia" w:eastAsiaTheme="minorEastAsia" w:cstheme="minorEastAsia"/>
          <w:b/>
          <w:bCs/>
          <w:color w:val="auto"/>
          <w:sz w:val="24"/>
          <w:highlight w:val="none"/>
        </w:rPr>
        <w:t>项目服务要求：</w:t>
      </w:r>
      <w:r>
        <w:rPr>
          <w:rFonts w:hint="eastAsia" w:asciiTheme="minorEastAsia" w:hAnsiTheme="minorEastAsia" w:cstheme="minorEastAsia"/>
          <w:b/>
          <w:bCs/>
          <w:color w:val="auto"/>
          <w:sz w:val="24"/>
          <w:highlight w:val="none"/>
          <w:lang w:eastAsia="zh-CN"/>
        </w:rPr>
        <w:t>（实质性要求）</w:t>
      </w:r>
    </w:p>
    <w:p w14:paraId="6EF68A31">
      <w:pPr>
        <w:pStyle w:val="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包3：肉类、水产类</w:t>
      </w:r>
    </w:p>
    <w:tbl>
      <w:tblPr>
        <w:tblStyle w:val="24"/>
        <w:tblW w:w="9636"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528"/>
        <w:gridCol w:w="5891"/>
        <w:gridCol w:w="763"/>
        <w:gridCol w:w="895"/>
      </w:tblGrid>
      <w:tr w14:paraId="57A8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9" w:type="dxa"/>
            <w:noWrap w:val="0"/>
            <w:vAlign w:val="center"/>
          </w:tcPr>
          <w:p w14:paraId="32160D63">
            <w:pPr>
              <w:pStyle w:val="8"/>
              <w:spacing w:line="460" w:lineRule="exact"/>
              <w:ind w:firstLine="0" w:firstLineChars="0"/>
              <w:jc w:val="center"/>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序号</w:t>
            </w:r>
          </w:p>
        </w:tc>
        <w:tc>
          <w:tcPr>
            <w:tcW w:w="1528" w:type="dxa"/>
            <w:noWrap w:val="0"/>
            <w:vAlign w:val="center"/>
          </w:tcPr>
          <w:p w14:paraId="5A59C037">
            <w:pPr>
              <w:pStyle w:val="8"/>
              <w:spacing w:line="460" w:lineRule="exact"/>
              <w:ind w:firstLine="0" w:firstLineChars="0"/>
              <w:jc w:val="center"/>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食材</w:t>
            </w:r>
          </w:p>
          <w:p w14:paraId="09AB40AB">
            <w:pPr>
              <w:pStyle w:val="8"/>
              <w:spacing w:line="460" w:lineRule="exact"/>
              <w:ind w:firstLine="0" w:firstLineChars="0"/>
              <w:jc w:val="center"/>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分类</w:t>
            </w:r>
          </w:p>
        </w:tc>
        <w:tc>
          <w:tcPr>
            <w:tcW w:w="5891" w:type="dxa"/>
            <w:noWrap w:val="0"/>
            <w:vAlign w:val="center"/>
          </w:tcPr>
          <w:p w14:paraId="6C13A510">
            <w:pPr>
              <w:pStyle w:val="8"/>
              <w:spacing w:line="360" w:lineRule="auto"/>
              <w:ind w:firstLine="0" w:firstLineChars="0"/>
              <w:jc w:val="center"/>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标准及要求</w:t>
            </w:r>
          </w:p>
        </w:tc>
        <w:tc>
          <w:tcPr>
            <w:tcW w:w="763" w:type="dxa"/>
            <w:noWrap w:val="0"/>
            <w:vAlign w:val="center"/>
          </w:tcPr>
          <w:p w14:paraId="0C79FC9A">
            <w:pPr>
              <w:pStyle w:val="8"/>
              <w:spacing w:line="460" w:lineRule="exact"/>
              <w:ind w:firstLine="0" w:firstLineChars="0"/>
              <w:jc w:val="center"/>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单位</w:t>
            </w:r>
          </w:p>
        </w:tc>
        <w:tc>
          <w:tcPr>
            <w:tcW w:w="895" w:type="dxa"/>
            <w:noWrap w:val="0"/>
            <w:vAlign w:val="center"/>
          </w:tcPr>
          <w:p w14:paraId="5951A42C">
            <w:pPr>
              <w:pStyle w:val="8"/>
              <w:spacing w:line="460" w:lineRule="exact"/>
              <w:ind w:firstLine="0" w:firstLineChars="0"/>
              <w:jc w:val="center"/>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数量</w:t>
            </w:r>
          </w:p>
        </w:tc>
      </w:tr>
      <w:tr w14:paraId="0C4FC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noWrap w:val="0"/>
            <w:vAlign w:val="center"/>
          </w:tcPr>
          <w:p w14:paraId="370C7E04">
            <w:pPr>
              <w:pStyle w:val="8"/>
              <w:spacing w:line="420" w:lineRule="exact"/>
              <w:ind w:firstLine="0" w:firstLineChars="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w:t>
            </w:r>
          </w:p>
        </w:tc>
        <w:tc>
          <w:tcPr>
            <w:tcW w:w="1528" w:type="dxa"/>
            <w:noWrap w:val="0"/>
            <w:vAlign w:val="center"/>
          </w:tcPr>
          <w:p w14:paraId="16903B05">
            <w:pPr>
              <w:pStyle w:val="8"/>
              <w:spacing w:line="420" w:lineRule="exact"/>
              <w:ind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鲜猪肉</w:t>
            </w:r>
          </w:p>
        </w:tc>
        <w:tc>
          <w:tcPr>
            <w:tcW w:w="5891" w:type="dxa"/>
            <w:noWrap w:val="0"/>
            <w:vAlign w:val="center"/>
          </w:tcPr>
          <w:p w14:paraId="3F448A58">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配送猪肉须为屠宰场当日屠宰的活鲜肉并经过严格生产工艺处理后，达到冷鲜肉标准（低于0℃环境下，将肉中心温度降低到0℃--4℃，而不产生冰结晶的肉），必须完成猪肉分割和包装，应符合生产地生猪溯源体系的要求</w:t>
            </w:r>
            <w:r>
              <w:rPr>
                <w:rFonts w:hint="default" w:asciiTheme="minorEastAsia" w:hAnsiTheme="minorEastAsia" w:eastAsiaTheme="minorEastAsia" w:cstheme="minorEastAsia"/>
                <w:color w:val="auto"/>
                <w:sz w:val="24"/>
                <w:szCs w:val="24"/>
                <w:lang w:eastAsia="zh-CN"/>
              </w:rPr>
              <w:t>，符合</w:t>
            </w:r>
            <w:r>
              <w:rPr>
                <w:rFonts w:ascii="宋体" w:hAnsi="宋体" w:eastAsia="宋体" w:cs="宋体"/>
                <w:color w:val="auto"/>
                <w:sz w:val="24"/>
                <w:szCs w:val="24"/>
              </w:rPr>
              <w:t>GB/T 9959.1-2019、《食品安全国家标准食品中兽药最大残留限量》 GB31650-2019 标准。猪肉瘦肉精检测项目(沙丁胺醇、莱克多巴胺、克伦特罗) 必须合格</w:t>
            </w:r>
            <w:r>
              <w:rPr>
                <w:rFonts w:hint="eastAsia" w:asciiTheme="minorEastAsia" w:hAnsiTheme="minorEastAsia" w:eastAsiaTheme="minorEastAsia" w:cstheme="minorEastAsia"/>
                <w:color w:val="auto"/>
                <w:sz w:val="24"/>
                <w:szCs w:val="24"/>
                <w:lang w:val="en-US" w:eastAsia="zh-CN"/>
              </w:rPr>
              <w:t>。</w:t>
            </w:r>
          </w:p>
          <w:p w14:paraId="7F9B0C83">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肉质要求：</w:t>
            </w:r>
          </w:p>
          <w:p w14:paraId="00067DA7">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1、色泽：肌肉色泽鲜红，有光泽，脂肪呈乳白色；</w:t>
            </w:r>
          </w:p>
          <w:p w14:paraId="0047D46A">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2、状态：肉质紧密有坚实感；</w:t>
            </w:r>
          </w:p>
          <w:p w14:paraId="145ED669">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3、气味：具有猪肉固有的气味，无异味。</w:t>
            </w:r>
          </w:p>
        </w:tc>
        <w:tc>
          <w:tcPr>
            <w:tcW w:w="763" w:type="dxa"/>
            <w:noWrap w:val="0"/>
            <w:vAlign w:val="center"/>
          </w:tcPr>
          <w:p w14:paraId="234F346A">
            <w:pPr>
              <w:pStyle w:val="8"/>
              <w:spacing w:line="380" w:lineRule="exact"/>
              <w:ind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kg</w:t>
            </w:r>
          </w:p>
        </w:tc>
        <w:tc>
          <w:tcPr>
            <w:tcW w:w="895" w:type="dxa"/>
            <w:noWrap w:val="0"/>
            <w:vAlign w:val="center"/>
          </w:tcPr>
          <w:p w14:paraId="5D37925A">
            <w:pPr>
              <w:pStyle w:val="8"/>
              <w:spacing w:line="380" w:lineRule="exact"/>
              <w:ind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按采购人要求提供</w:t>
            </w:r>
          </w:p>
        </w:tc>
      </w:tr>
      <w:tr w14:paraId="32AC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noWrap w:val="0"/>
            <w:vAlign w:val="center"/>
          </w:tcPr>
          <w:p w14:paraId="32E4159A">
            <w:pPr>
              <w:pStyle w:val="8"/>
              <w:spacing w:line="420" w:lineRule="exact"/>
              <w:ind w:firstLine="0" w:firstLineChars="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w:t>
            </w:r>
          </w:p>
        </w:tc>
        <w:tc>
          <w:tcPr>
            <w:tcW w:w="1528" w:type="dxa"/>
            <w:noWrap w:val="0"/>
            <w:vAlign w:val="center"/>
          </w:tcPr>
          <w:p w14:paraId="2738E8D8">
            <w:pPr>
              <w:pStyle w:val="8"/>
              <w:spacing w:line="420" w:lineRule="exact"/>
              <w:ind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0"/>
                <w:sz w:val="24"/>
                <w:szCs w:val="24"/>
                <w:lang w:val="en-US" w:eastAsia="zh-CN" w:bidi="ar-SA"/>
              </w:rPr>
              <w:t>冻货类</w:t>
            </w:r>
          </w:p>
        </w:tc>
        <w:tc>
          <w:tcPr>
            <w:tcW w:w="5891" w:type="dxa"/>
            <w:noWrap w:val="0"/>
            <w:vAlign w:val="center"/>
          </w:tcPr>
          <w:p w14:paraId="43D16FB8">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0"/>
                <w:sz w:val="24"/>
                <w:szCs w:val="24"/>
                <w:lang w:val="en-US" w:eastAsia="zh-CN" w:bidi="ar-SA"/>
              </w:rPr>
              <w:t>冷冻肉类：肉要求肉体冻实而坚硬，无化冻现象，肉质紧密而有弹性，色泽均匀，不粘手，交货时干净、新鲜、无异味，冷冻禽类食品解冻后净重量不少于 90%以上，冷冻肉类食品解冻后净重量不少于 92% ；所有冷冻食品均清晰列出产品品牌、规格、类型、包装方式、包装净重、含冰量等相关参数。配送肉类包括须符合 GB 2707-2016《食品安全国家标准鲜（冻）畜、禽产品》、GB31650-2019《食品安全国家标准食品中兽药最大残留限量》现行国家标准或国家卫生、食品安全最新标准。</w:t>
            </w:r>
          </w:p>
        </w:tc>
        <w:tc>
          <w:tcPr>
            <w:tcW w:w="763" w:type="dxa"/>
            <w:noWrap w:val="0"/>
            <w:vAlign w:val="center"/>
          </w:tcPr>
          <w:p w14:paraId="7E70E9C0">
            <w:pPr>
              <w:pStyle w:val="8"/>
              <w:spacing w:line="420" w:lineRule="exact"/>
              <w:ind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kg</w:t>
            </w:r>
          </w:p>
        </w:tc>
        <w:tc>
          <w:tcPr>
            <w:tcW w:w="895" w:type="dxa"/>
            <w:noWrap w:val="0"/>
            <w:vAlign w:val="center"/>
          </w:tcPr>
          <w:p w14:paraId="36FF64E6">
            <w:pPr>
              <w:pStyle w:val="8"/>
              <w:spacing w:line="420" w:lineRule="exact"/>
              <w:ind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0"/>
                <w:sz w:val="24"/>
                <w:szCs w:val="24"/>
                <w:lang w:val="en-US" w:eastAsia="zh-CN" w:bidi="ar-SA"/>
              </w:rPr>
              <w:t>按采购人要求提供</w:t>
            </w:r>
          </w:p>
        </w:tc>
      </w:tr>
      <w:tr w14:paraId="2DA6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9" w:type="dxa"/>
            <w:noWrap w:val="0"/>
            <w:vAlign w:val="center"/>
          </w:tcPr>
          <w:p w14:paraId="1275AB74">
            <w:pPr>
              <w:pStyle w:val="8"/>
              <w:spacing w:line="420" w:lineRule="exact"/>
              <w:ind w:firstLine="0" w:firstLineChars="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w:t>
            </w:r>
          </w:p>
        </w:tc>
        <w:tc>
          <w:tcPr>
            <w:tcW w:w="1528" w:type="dxa"/>
            <w:noWrap w:val="0"/>
            <w:vAlign w:val="center"/>
          </w:tcPr>
          <w:p w14:paraId="0B810562">
            <w:pPr>
              <w:pStyle w:val="8"/>
              <w:spacing w:line="420" w:lineRule="exact"/>
              <w:ind w:firstLine="0" w:firstLineChars="0"/>
              <w:jc w:val="center"/>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lang w:val="en-US" w:eastAsia="zh-CN" w:bidi="ar-SA"/>
              </w:rPr>
              <w:t>鲜鸡、鸭肉</w:t>
            </w:r>
          </w:p>
        </w:tc>
        <w:tc>
          <w:tcPr>
            <w:tcW w:w="5891" w:type="dxa"/>
            <w:noWrap w:val="0"/>
            <w:vAlign w:val="center"/>
          </w:tcPr>
          <w:p w14:paraId="50147E08">
            <w:pPr>
              <w:numPr>
                <w:ilvl w:val="0"/>
                <w:numId w:val="5"/>
              </w:numPr>
              <w:spacing w:line="360" w:lineRule="auto"/>
              <w:jc w:val="left"/>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不含内脏；</w:t>
            </w:r>
          </w:p>
          <w:p w14:paraId="263501A1">
            <w:pPr>
              <w:numPr>
                <w:ilvl w:val="0"/>
                <w:numId w:val="0"/>
              </w:numPr>
              <w:spacing w:line="360" w:lineRule="auto"/>
              <w:jc w:val="left"/>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2.</w:t>
            </w:r>
            <w:r>
              <w:rPr>
                <w:rFonts w:hint="eastAsia" w:asciiTheme="minorEastAsia" w:hAnsiTheme="minorEastAsia" w:eastAsiaTheme="minorEastAsia" w:cstheme="minorEastAsia"/>
                <w:color w:val="auto"/>
                <w:kern w:val="0"/>
                <w:sz w:val="24"/>
                <w:szCs w:val="24"/>
              </w:rPr>
              <w:t>正常无异味，无血污，无泥污，</w:t>
            </w:r>
            <w:r>
              <w:rPr>
                <w:rFonts w:hint="eastAsia" w:asciiTheme="minorEastAsia" w:hAnsiTheme="minorEastAsia" w:eastAsiaTheme="minorEastAsia" w:cstheme="minorEastAsia"/>
                <w:color w:val="auto"/>
                <w:kern w:val="0"/>
                <w:sz w:val="24"/>
                <w:szCs w:val="24"/>
                <w:lang w:val="en-US" w:eastAsia="zh-CN"/>
              </w:rPr>
              <w:t>无变质；具有鲜鸡鸭肉正常气味；</w:t>
            </w:r>
          </w:p>
          <w:p w14:paraId="00BD6162">
            <w:pPr>
              <w:numPr>
                <w:ilvl w:val="0"/>
                <w:numId w:val="0"/>
              </w:numPr>
              <w:spacing w:line="360" w:lineRule="auto"/>
              <w:jc w:val="left"/>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皮肤有光泽</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lang w:val="en-US" w:eastAsia="zh-CN"/>
              </w:rPr>
              <w:t>弹性良好，</w:t>
            </w:r>
            <w:r>
              <w:rPr>
                <w:rFonts w:hint="eastAsia" w:asciiTheme="minorEastAsia" w:hAnsiTheme="minorEastAsia" w:eastAsiaTheme="minorEastAsia" w:cstheme="minorEastAsia"/>
                <w:color w:val="auto"/>
                <w:kern w:val="0"/>
                <w:sz w:val="24"/>
                <w:szCs w:val="24"/>
              </w:rPr>
              <w:t>外表稍湿润，不粘手，指压后凹陷立即恢复</w:t>
            </w:r>
            <w:r>
              <w:rPr>
                <w:rFonts w:hint="eastAsia" w:asciiTheme="minorEastAsia" w:hAnsiTheme="minorEastAsia" w:eastAsiaTheme="minorEastAsia" w:cstheme="minorEastAsia"/>
                <w:color w:val="auto"/>
                <w:kern w:val="0"/>
                <w:sz w:val="24"/>
                <w:szCs w:val="24"/>
                <w:lang w:eastAsia="zh-CN"/>
              </w:rPr>
              <w:t>；</w:t>
            </w:r>
          </w:p>
          <w:p w14:paraId="1EB01B12">
            <w:pPr>
              <w:spacing w:line="360" w:lineRule="auto"/>
              <w:jc w:val="left"/>
              <w:rPr>
                <w:rFonts w:hint="eastAsia" w:asciiTheme="minorEastAsia" w:hAnsiTheme="minorEastAsia" w:eastAsiaTheme="minorEastAsia" w:cstheme="minorEastAsia"/>
                <w:b/>
                <w:color w:val="auto"/>
                <w:kern w:val="2"/>
                <w:sz w:val="24"/>
                <w:szCs w:val="24"/>
                <w:lang w:val="en-US" w:eastAsia="zh-CN" w:bidi="ar-SA"/>
              </w:rPr>
            </w:pPr>
            <w:r>
              <w:rPr>
                <w:rFonts w:hint="eastAsia" w:asciiTheme="minorEastAsia" w:hAnsiTheme="minorEastAsia" w:eastAsiaTheme="minorEastAsia" w:cstheme="minorEastAsia"/>
                <w:color w:val="auto"/>
                <w:kern w:val="0"/>
                <w:sz w:val="24"/>
                <w:szCs w:val="24"/>
                <w:lang w:val="en-US" w:eastAsia="zh-CN"/>
              </w:rPr>
              <w:t>4.</w:t>
            </w:r>
            <w:r>
              <w:rPr>
                <w:rFonts w:hint="eastAsia" w:asciiTheme="minorEastAsia" w:hAnsiTheme="minorEastAsia" w:eastAsiaTheme="minorEastAsia" w:cstheme="minorEastAsia"/>
                <w:color w:val="auto"/>
                <w:kern w:val="0"/>
                <w:sz w:val="24"/>
                <w:szCs w:val="24"/>
              </w:rPr>
              <w:t>肉边整齐，无碎肉，碎骨，符合</w:t>
            </w:r>
            <w:r>
              <w:rPr>
                <w:rFonts w:hint="eastAsia" w:asciiTheme="minorEastAsia" w:hAnsiTheme="minorEastAsia" w:eastAsiaTheme="minorEastAsia" w:cstheme="minorEastAsia"/>
                <w:color w:val="auto"/>
                <w:kern w:val="0"/>
                <w:sz w:val="24"/>
                <w:szCs w:val="24"/>
                <w:lang w:val="en-US" w:eastAsia="zh-CN"/>
              </w:rPr>
              <w:t>最新现行</w:t>
            </w:r>
            <w:r>
              <w:rPr>
                <w:rFonts w:hint="eastAsia" w:asciiTheme="minorEastAsia" w:hAnsiTheme="minorEastAsia" w:eastAsiaTheme="minorEastAsia" w:cstheme="minorEastAsia"/>
                <w:color w:val="auto"/>
                <w:kern w:val="0"/>
                <w:sz w:val="24"/>
                <w:szCs w:val="24"/>
              </w:rPr>
              <w:t>食品安全国家标准。</w:t>
            </w:r>
          </w:p>
        </w:tc>
        <w:tc>
          <w:tcPr>
            <w:tcW w:w="763" w:type="dxa"/>
            <w:noWrap w:val="0"/>
            <w:vAlign w:val="center"/>
          </w:tcPr>
          <w:p w14:paraId="1DD124AF">
            <w:pPr>
              <w:jc w:val="center"/>
              <w:rPr>
                <w:rFonts w:hint="eastAsia" w:asciiTheme="minorEastAsia" w:hAnsiTheme="minorEastAsia" w:eastAsiaTheme="minorEastAsia" w:cstheme="minorEastAsia"/>
                <w:b/>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kg</w:t>
            </w:r>
          </w:p>
        </w:tc>
        <w:tc>
          <w:tcPr>
            <w:tcW w:w="895" w:type="dxa"/>
            <w:noWrap w:val="0"/>
            <w:vAlign w:val="center"/>
          </w:tcPr>
          <w:p w14:paraId="6839E96C">
            <w:pPr>
              <w:jc w:val="center"/>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按采购人要求提供</w:t>
            </w:r>
          </w:p>
        </w:tc>
      </w:tr>
      <w:tr w14:paraId="06F1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noWrap w:val="0"/>
            <w:vAlign w:val="center"/>
          </w:tcPr>
          <w:p w14:paraId="0CE7C754">
            <w:pPr>
              <w:pStyle w:val="8"/>
              <w:spacing w:line="420" w:lineRule="exact"/>
              <w:ind w:firstLine="0" w:firstLineChars="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w:t>
            </w:r>
          </w:p>
        </w:tc>
        <w:tc>
          <w:tcPr>
            <w:tcW w:w="1528" w:type="dxa"/>
            <w:noWrap w:val="0"/>
            <w:vAlign w:val="center"/>
          </w:tcPr>
          <w:p w14:paraId="67B80A58">
            <w:pPr>
              <w:pStyle w:val="8"/>
              <w:spacing w:line="420" w:lineRule="exact"/>
              <w:ind w:firstLine="0" w:firstLineChars="0"/>
              <w:jc w:val="center"/>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lang w:val="en-US" w:eastAsia="zh-CN" w:bidi="ar-SA"/>
              </w:rPr>
              <w:t>其他肉类（牛、羊肉）</w:t>
            </w:r>
          </w:p>
        </w:tc>
        <w:tc>
          <w:tcPr>
            <w:tcW w:w="5891" w:type="dxa"/>
            <w:noWrap w:val="0"/>
            <w:vAlign w:val="center"/>
          </w:tcPr>
          <w:p w14:paraId="6210DE9B">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牛肉肉质要求：</w:t>
            </w:r>
          </w:p>
          <w:p w14:paraId="2D615C31">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1.颜色暗红，有光泽，脂肪洁白或淡黄色；</w:t>
            </w:r>
          </w:p>
          <w:p w14:paraId="5AB0A6B9">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2.肉质纤维细腻紧实，略有脂肪，肉质微湿；</w:t>
            </w:r>
          </w:p>
          <w:p w14:paraId="36DFD0FD">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3.弹性好，指压至凹陷能立即恢复；</w:t>
            </w:r>
          </w:p>
          <w:p w14:paraId="71978025">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4.表面微干，有风干膜，不黏手，有牛肉的膻气味。</w:t>
            </w:r>
          </w:p>
          <w:p w14:paraId="3660274A">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羊肉肉质要求：</w:t>
            </w:r>
          </w:p>
          <w:p w14:paraId="7452EABA">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1.色泽：肌肉色泽鲜红，有光泽，脂肪颜色洁白或乳白；</w:t>
            </w:r>
          </w:p>
          <w:p w14:paraId="7DCF3263">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2.状态：肉质紧密有坚实感；弹性好，指压后凹陷能立即恢复，不黏手；</w:t>
            </w:r>
          </w:p>
          <w:p w14:paraId="784834BF">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3.气味：肉质纤维细软，少有脂肪夹杂，有羊肉的膻气味。</w:t>
            </w:r>
          </w:p>
          <w:p w14:paraId="1D018AD7">
            <w:pPr>
              <w:pStyle w:val="8"/>
              <w:spacing w:line="360" w:lineRule="auto"/>
              <w:ind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0"/>
                <w:sz w:val="24"/>
                <w:szCs w:val="24"/>
                <w:lang w:val="en-US" w:eastAsia="zh-CN" w:bidi="ar-SA"/>
              </w:rPr>
              <w:t>所有肉类均应符合现行国家标准或国家卫生、食品安全最新标准。</w:t>
            </w:r>
          </w:p>
        </w:tc>
        <w:tc>
          <w:tcPr>
            <w:tcW w:w="763" w:type="dxa"/>
            <w:noWrap w:val="0"/>
            <w:vAlign w:val="center"/>
          </w:tcPr>
          <w:p w14:paraId="2CAB973B">
            <w:pPr>
              <w:pStyle w:val="8"/>
              <w:spacing w:line="420" w:lineRule="exact"/>
              <w:ind w:firstLine="0" w:firstLineChars="0"/>
              <w:jc w:val="center"/>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kg</w:t>
            </w:r>
          </w:p>
        </w:tc>
        <w:tc>
          <w:tcPr>
            <w:tcW w:w="895" w:type="dxa"/>
            <w:noWrap w:val="0"/>
            <w:vAlign w:val="center"/>
          </w:tcPr>
          <w:p w14:paraId="5D1B3DEF">
            <w:pPr>
              <w:pStyle w:val="8"/>
              <w:spacing w:line="420" w:lineRule="exact"/>
              <w:ind w:firstLine="0" w:firstLineChars="0"/>
              <w:jc w:val="center"/>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按采购人要求提供</w:t>
            </w:r>
          </w:p>
        </w:tc>
      </w:tr>
      <w:tr w14:paraId="6DF3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noWrap w:val="0"/>
            <w:vAlign w:val="center"/>
          </w:tcPr>
          <w:p w14:paraId="0302157F">
            <w:pPr>
              <w:pStyle w:val="8"/>
              <w:spacing w:line="420" w:lineRule="exact"/>
              <w:ind w:firstLine="0" w:firstLineChars="0"/>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w:t>
            </w:r>
          </w:p>
        </w:tc>
        <w:tc>
          <w:tcPr>
            <w:tcW w:w="1528" w:type="dxa"/>
            <w:noWrap w:val="0"/>
            <w:vAlign w:val="center"/>
          </w:tcPr>
          <w:p w14:paraId="7B5566AA">
            <w:pPr>
              <w:pStyle w:val="8"/>
              <w:spacing w:line="420" w:lineRule="exact"/>
              <w:ind w:firstLine="0" w:firstLineChars="0"/>
              <w:jc w:val="center"/>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水产类</w:t>
            </w:r>
          </w:p>
        </w:tc>
        <w:tc>
          <w:tcPr>
            <w:tcW w:w="5891" w:type="dxa"/>
            <w:noWrap w:val="0"/>
            <w:vAlign w:val="center"/>
          </w:tcPr>
          <w:p w14:paraId="4145BDD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符合《水产品卫生管理办法》，水产须为非污染水域产品，执行标准须符合国家有关水产类食品卫生流通标准。无特殊说明水产类须保持鲜活。用整洁完好的周转箱或水产专用塑料袋封装。水产鲜活，无硬伤及血块，形态正常无包块畸形。</w:t>
            </w:r>
          </w:p>
        </w:tc>
        <w:tc>
          <w:tcPr>
            <w:tcW w:w="763" w:type="dxa"/>
            <w:noWrap w:val="0"/>
            <w:vAlign w:val="center"/>
          </w:tcPr>
          <w:p w14:paraId="0B8CF01F">
            <w:pPr>
              <w:pStyle w:val="8"/>
              <w:spacing w:line="420" w:lineRule="exact"/>
              <w:ind w:firstLine="0" w:firstLineChars="0"/>
              <w:jc w:val="center"/>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kg</w:t>
            </w:r>
          </w:p>
        </w:tc>
        <w:tc>
          <w:tcPr>
            <w:tcW w:w="895" w:type="dxa"/>
            <w:noWrap w:val="0"/>
            <w:vAlign w:val="center"/>
          </w:tcPr>
          <w:p w14:paraId="3C1A654D">
            <w:pPr>
              <w:pStyle w:val="8"/>
              <w:spacing w:line="420" w:lineRule="exact"/>
              <w:ind w:firstLine="0" w:firstLineChars="0"/>
              <w:jc w:val="center"/>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按采购人要求提供</w:t>
            </w:r>
          </w:p>
        </w:tc>
      </w:tr>
    </w:tbl>
    <w:p w14:paraId="7876F7C7">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0" w:firstLineChars="0"/>
        <w:jc w:val="both"/>
        <w:textAlignment w:val="auto"/>
        <w:outlineLvl w:val="1"/>
        <w:rPr>
          <w:rFonts w:hint="eastAsia" w:asciiTheme="minorEastAsia" w:hAnsiTheme="minorEastAsia" w:eastAsiaTheme="minorEastAsia" w:cstheme="minorEastAsia"/>
          <w:b/>
          <w:bCs/>
          <w:color w:val="auto"/>
          <w:sz w:val="28"/>
          <w:szCs w:val="28"/>
          <w:lang w:val="en-US" w:eastAsia="zh-CN"/>
        </w:rPr>
      </w:pPr>
    </w:p>
    <w:p w14:paraId="6D84F6A4">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0" w:firstLineChars="0"/>
        <w:jc w:val="both"/>
        <w:textAlignment w:val="auto"/>
        <w:outlineLvl w:val="1"/>
        <w:rPr>
          <w:rFonts w:hint="eastAsia" w:asciiTheme="minorEastAsia" w:hAnsiTheme="minorEastAsia" w:eastAsiaTheme="minorEastAsia" w:cstheme="minorEastAsia"/>
          <w:b/>
          <w:bCs/>
          <w:color w:val="auto"/>
          <w:sz w:val="28"/>
          <w:szCs w:val="28"/>
          <w:lang w:val="en-US" w:eastAsia="zh-CN"/>
        </w:rPr>
      </w:pPr>
      <w:r>
        <w:rPr>
          <w:rFonts w:hint="eastAsia" w:ascii="宋体" w:hAnsi="宋体" w:eastAsia="宋体" w:cs="宋体"/>
          <w:b/>
          <w:bCs/>
          <w:color w:val="auto"/>
          <w:kern w:val="0"/>
          <w:sz w:val="24"/>
          <w:szCs w:val="24"/>
          <w:lang w:val="en-US" w:eastAsia="zh-CN" w:bidi="ar"/>
        </w:rPr>
        <w:t>注：以上所有</w:t>
      </w:r>
      <w:r>
        <w:rPr>
          <w:rFonts w:hint="eastAsia" w:hAnsi="宋体" w:cs="宋体"/>
          <w:b/>
          <w:bCs/>
          <w:color w:val="auto"/>
          <w:kern w:val="0"/>
          <w:sz w:val="24"/>
          <w:szCs w:val="24"/>
          <w:lang w:val="en-US" w:eastAsia="zh-CN" w:bidi="ar"/>
        </w:rPr>
        <w:t>标准</w:t>
      </w:r>
      <w:r>
        <w:rPr>
          <w:rFonts w:hint="eastAsia" w:ascii="宋体" w:hAnsi="宋体" w:eastAsia="宋体" w:cs="宋体"/>
          <w:b/>
          <w:bCs/>
          <w:color w:val="auto"/>
          <w:kern w:val="0"/>
          <w:sz w:val="24"/>
          <w:szCs w:val="24"/>
          <w:lang w:val="en-US" w:eastAsia="zh-CN" w:bidi="ar"/>
        </w:rPr>
        <w:t>如有最新标准时按最新标准执行</w:t>
      </w:r>
      <w:r>
        <w:rPr>
          <w:rFonts w:hint="eastAsia" w:hAnsi="宋体" w:cs="宋体"/>
          <w:b/>
          <w:bCs/>
          <w:color w:val="auto"/>
          <w:kern w:val="0"/>
          <w:sz w:val="24"/>
          <w:szCs w:val="24"/>
          <w:lang w:val="en-US" w:eastAsia="zh-CN" w:bidi="ar"/>
        </w:rPr>
        <w:t>。（包3）</w:t>
      </w:r>
    </w:p>
    <w:p w14:paraId="530F2BE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right="0" w:rightChars="0"/>
        <w:jc w:val="both"/>
        <w:textAlignment w:val="auto"/>
        <w:outlineLvl w:val="1"/>
        <w:rPr>
          <w:rFonts w:hint="eastAsia" w:asciiTheme="minorEastAsia" w:hAnsiTheme="minorEastAsia" w:cstheme="minorEastAsia"/>
          <w:b/>
          <w:bCs/>
          <w:color w:val="auto"/>
          <w:sz w:val="24"/>
          <w:szCs w:val="24"/>
          <w:lang w:val="en-US" w:eastAsia="zh-CN"/>
        </w:rPr>
      </w:pPr>
      <w:bookmarkStart w:id="1" w:name="_Toc26826"/>
      <w:bookmarkStart w:id="2" w:name="_Toc6382"/>
    </w:p>
    <w:p w14:paraId="6AD3070C">
      <w:pPr>
        <w:pStyle w:val="2"/>
        <w:rPr>
          <w:rFonts w:hint="eastAsia" w:asciiTheme="minorEastAsia" w:hAnsiTheme="minorEastAsia" w:cstheme="minorEastAsia"/>
          <w:b/>
          <w:bCs/>
          <w:color w:val="auto"/>
          <w:sz w:val="24"/>
          <w:szCs w:val="24"/>
          <w:lang w:val="en-US" w:eastAsia="zh-CN"/>
        </w:rPr>
      </w:pPr>
    </w:p>
    <w:p w14:paraId="5BD3ADAA">
      <w:pPr>
        <w:rPr>
          <w:rFonts w:hint="eastAsia" w:asciiTheme="minorEastAsia" w:hAnsiTheme="minorEastAsia" w:cstheme="minorEastAsia"/>
          <w:b/>
          <w:bCs/>
          <w:color w:val="auto"/>
          <w:sz w:val="24"/>
          <w:szCs w:val="24"/>
          <w:lang w:val="en-US" w:eastAsia="zh-CN"/>
        </w:rPr>
      </w:pPr>
    </w:p>
    <w:p w14:paraId="125E2350">
      <w:pPr>
        <w:pStyle w:val="2"/>
        <w:rPr>
          <w:rFonts w:hint="eastAsia" w:asciiTheme="minorEastAsia" w:hAnsiTheme="minorEastAsia" w:cstheme="minorEastAsia"/>
          <w:b/>
          <w:bCs/>
          <w:color w:val="auto"/>
          <w:sz w:val="24"/>
          <w:szCs w:val="24"/>
          <w:lang w:val="en-US" w:eastAsia="zh-CN"/>
        </w:rPr>
      </w:pPr>
    </w:p>
    <w:p w14:paraId="0FDFFC75">
      <w:pPr>
        <w:rPr>
          <w:rFonts w:hint="eastAsia" w:asciiTheme="minorEastAsia" w:hAnsiTheme="minorEastAsia" w:cstheme="minorEastAsia"/>
          <w:b/>
          <w:bCs/>
          <w:color w:val="auto"/>
          <w:sz w:val="24"/>
          <w:szCs w:val="24"/>
          <w:lang w:val="en-US" w:eastAsia="zh-CN"/>
        </w:rPr>
      </w:pPr>
    </w:p>
    <w:p w14:paraId="0974C458">
      <w:pPr>
        <w:pStyle w:val="2"/>
        <w:rPr>
          <w:rFonts w:hint="eastAsia" w:asciiTheme="minorEastAsia" w:hAnsiTheme="minorEastAsia" w:cstheme="minorEastAsia"/>
          <w:b/>
          <w:bCs/>
          <w:color w:val="auto"/>
          <w:sz w:val="24"/>
          <w:szCs w:val="24"/>
          <w:lang w:val="en-US" w:eastAsia="zh-CN"/>
        </w:rPr>
      </w:pPr>
    </w:p>
    <w:p w14:paraId="0C02F4D4">
      <w:pPr>
        <w:rPr>
          <w:rFonts w:hint="eastAsia"/>
          <w:lang w:val="en-US" w:eastAsia="zh-CN"/>
        </w:rPr>
      </w:pPr>
    </w:p>
    <w:p w14:paraId="2D147A1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right="0" w:rightChars="0"/>
        <w:jc w:val="both"/>
        <w:textAlignment w:val="auto"/>
        <w:outlineLvl w:val="1"/>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b/>
          <w:bCs/>
          <w:color w:val="auto"/>
          <w:sz w:val="24"/>
          <w:szCs w:val="24"/>
          <w:lang w:val="en-US" w:eastAsia="zh-CN"/>
        </w:rPr>
        <w:t>五</w:t>
      </w:r>
      <w:r>
        <w:rPr>
          <w:rFonts w:hint="eastAsia" w:asciiTheme="minorEastAsia" w:hAnsiTheme="minorEastAsia" w:eastAsiaTheme="minorEastAsia" w:cstheme="minorEastAsia"/>
          <w:b/>
          <w:bCs/>
          <w:color w:val="auto"/>
          <w:sz w:val="24"/>
          <w:szCs w:val="24"/>
          <w:lang w:val="en-US" w:eastAsia="zh-CN"/>
        </w:rPr>
        <w:t>、服务</w:t>
      </w:r>
      <w:r>
        <w:rPr>
          <w:rFonts w:hint="eastAsia" w:asciiTheme="minorEastAsia" w:hAnsiTheme="minorEastAsia" w:eastAsiaTheme="minorEastAsia" w:cstheme="minorEastAsia"/>
          <w:b/>
          <w:bCs/>
          <w:color w:val="auto"/>
          <w:sz w:val="24"/>
          <w:szCs w:val="24"/>
          <w:lang w:eastAsia="zh-CN"/>
        </w:rPr>
        <w:t>内容（</w:t>
      </w:r>
      <w:r>
        <w:rPr>
          <w:rFonts w:hint="eastAsia" w:asciiTheme="minorEastAsia" w:hAnsiTheme="minorEastAsia" w:eastAsiaTheme="minorEastAsia" w:cstheme="minorEastAsia"/>
          <w:b/>
          <w:bCs/>
          <w:color w:val="auto"/>
          <w:sz w:val="24"/>
          <w:szCs w:val="24"/>
          <w:lang w:val="en-US" w:eastAsia="zh-CN"/>
        </w:rPr>
        <w:t>包3）</w:t>
      </w:r>
      <w:bookmarkEnd w:id="1"/>
      <w:bookmarkEnd w:id="2"/>
    </w:p>
    <w:p w14:paraId="66C6246B">
      <w:pPr>
        <w:pStyle w:val="2"/>
        <w:keepNext w:val="0"/>
        <w:keepLines w:val="0"/>
        <w:pageBreakBefore w:val="0"/>
        <w:widowControl w:val="0"/>
        <w:kinsoku/>
        <w:wordWrap/>
        <w:overflowPunct/>
        <w:topLinePunct w:val="0"/>
        <w:autoSpaceDE/>
        <w:autoSpaceDN/>
        <w:bidi w:val="0"/>
        <w:spacing w:line="360" w:lineRule="auto"/>
        <w:ind w:right="418"/>
        <w:jc w:val="both"/>
        <w:textAlignment w:val="auto"/>
        <w:rPr>
          <w:rFonts w:hint="eastAsia" w:asciiTheme="minorEastAsia" w:hAnsiTheme="minorEastAsia" w:eastAsiaTheme="minorEastAsia" w:cstheme="minorEastAsia"/>
          <w:b/>
          <w:color w:val="auto"/>
          <w:kern w:val="0"/>
          <w:sz w:val="24"/>
          <w:szCs w:val="24"/>
          <w:lang w:val="en-US" w:eastAsia="zh-CN" w:bidi="ar-SA"/>
        </w:rPr>
      </w:pPr>
      <w:r>
        <w:rPr>
          <w:rFonts w:hint="eastAsia" w:asciiTheme="minorEastAsia" w:hAnsiTheme="minorEastAsia" w:eastAsiaTheme="minorEastAsia" w:cstheme="minorEastAsia"/>
          <w:b/>
          <w:color w:val="auto"/>
          <w:kern w:val="0"/>
          <w:sz w:val="24"/>
          <w:szCs w:val="24"/>
          <w:lang w:val="en-US" w:eastAsia="zh-CN" w:bidi="ar-SA"/>
        </w:rPr>
        <w:t>1.配送要求：</w:t>
      </w:r>
    </w:p>
    <w:p w14:paraId="1A2908AE">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zh-CN" w:eastAsia="zh-CN" w:bidi="zh-CN"/>
        </w:rPr>
      </w:pPr>
      <w:r>
        <w:rPr>
          <w:rFonts w:hint="eastAsia" w:asciiTheme="minorEastAsia" w:hAnsiTheme="minorEastAsia" w:eastAsiaTheme="minorEastAsia" w:cstheme="minorEastAsia"/>
          <w:color w:val="auto"/>
          <w:sz w:val="24"/>
          <w:szCs w:val="24"/>
          <w:lang w:val="en-US" w:eastAsia="zh-CN" w:bidi="zh-CN"/>
        </w:rPr>
        <w:t>1</w:t>
      </w:r>
      <w:r>
        <w:rPr>
          <w:rFonts w:hint="eastAsia" w:asciiTheme="minorEastAsia" w:hAnsiTheme="minorEastAsia" w:eastAsiaTheme="minorEastAsia" w:cstheme="minorEastAsia"/>
          <w:color w:val="auto"/>
          <w:sz w:val="24"/>
          <w:szCs w:val="24"/>
          <w:lang w:val="zh-CN" w:eastAsia="zh-CN" w:bidi="zh-CN"/>
        </w:rPr>
        <w:t>.1配送数量及损耗补偿：</w:t>
      </w:r>
    </w:p>
    <w:p w14:paraId="52A0AE51">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zh-CN" w:eastAsia="zh-CN" w:bidi="zh-CN"/>
        </w:rPr>
      </w:pPr>
      <w:r>
        <w:rPr>
          <w:rFonts w:hint="eastAsia" w:asciiTheme="minorEastAsia" w:hAnsiTheme="minorEastAsia" w:eastAsiaTheme="minorEastAsia" w:cstheme="minorEastAsia"/>
          <w:color w:val="auto"/>
          <w:sz w:val="24"/>
          <w:szCs w:val="24"/>
          <w:lang w:val="zh-CN" w:eastAsia="zh-CN" w:bidi="zh-CN"/>
        </w:rPr>
        <w:t>①供应商每天按学校营养餐备餐实际需求食材品种、数量进行配送。</w:t>
      </w:r>
    </w:p>
    <w:p w14:paraId="2B22FE23">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b w:val="0"/>
          <w:bCs w:val="0"/>
          <w:color w:val="auto"/>
          <w:sz w:val="24"/>
          <w:szCs w:val="24"/>
          <w:lang w:val="en-US" w:eastAsia="zh-CN" w:bidi="zh-CN"/>
        </w:rPr>
      </w:pPr>
      <w:r>
        <w:rPr>
          <w:rFonts w:hint="eastAsia" w:asciiTheme="minorEastAsia" w:hAnsiTheme="minorEastAsia" w:eastAsiaTheme="minorEastAsia" w:cstheme="minorEastAsia"/>
          <w:b w:val="0"/>
          <w:bCs w:val="0"/>
          <w:color w:val="auto"/>
          <w:sz w:val="24"/>
          <w:szCs w:val="24"/>
          <w:lang w:val="zh-CN" w:eastAsia="zh-CN" w:bidi="zh-CN"/>
        </w:rPr>
        <w:t>②每学期结束时，各学校食材应为零库存，</w:t>
      </w:r>
      <w:r>
        <w:rPr>
          <w:rFonts w:hint="eastAsia" w:asciiTheme="minorEastAsia" w:hAnsiTheme="minorEastAsia" w:eastAsiaTheme="minorEastAsia" w:cstheme="minorEastAsia"/>
          <w:b w:val="0"/>
          <w:bCs w:val="0"/>
          <w:color w:val="auto"/>
          <w:sz w:val="24"/>
          <w:szCs w:val="24"/>
          <w:lang w:val="en-US" w:eastAsia="zh-CN" w:bidi="zh-CN"/>
        </w:rPr>
        <w:t>多余库存按原价退回供应商。</w:t>
      </w:r>
    </w:p>
    <w:p w14:paraId="49C1D8BE">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1.2配送企业必须具备符合行业规定及满足配送需要的仓储、交通运输等设施设备，确保食品原料的安全储存和安全运输。</w:t>
      </w:r>
    </w:p>
    <w:p w14:paraId="76257530">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1.3所有食品均应符合《中华人民共和国食品安全法》的要求及国家及当地最新卫生、食品部门颁发的相关标准。</w:t>
      </w:r>
    </w:p>
    <w:p w14:paraId="7F7500A0">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包3：供应商需提供瘦肉精残留检测报告等。</w:t>
      </w:r>
    </w:p>
    <w:p w14:paraId="277C80E3">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default" w:asciiTheme="minorEastAsia" w:hAnsiTheme="minorEastAsia" w:eastAsiaTheme="minorEastAsia" w:cstheme="minorEastAsia"/>
          <w:color w:val="auto"/>
          <w:sz w:val="24"/>
          <w:szCs w:val="24"/>
          <w:lang w:val="en-US" w:eastAsia="zh-CN" w:bidi="zh-CN"/>
        </w:rPr>
      </w:pPr>
      <w:bookmarkStart w:id="3" w:name="bookmark47"/>
      <w:bookmarkEnd w:id="3"/>
      <w:r>
        <w:rPr>
          <w:rFonts w:hint="eastAsia" w:asciiTheme="minorEastAsia" w:hAnsiTheme="minorEastAsia" w:eastAsiaTheme="minorEastAsia" w:cstheme="minorEastAsia"/>
          <w:color w:val="auto"/>
          <w:sz w:val="24"/>
          <w:szCs w:val="24"/>
          <w:lang w:val="en-US" w:eastAsia="zh-CN" w:bidi="zh-CN"/>
        </w:rPr>
        <w:t>1.4本项目肉类屠宰场级别需至少为A级。</w:t>
      </w:r>
    </w:p>
    <w:p w14:paraId="249EBAF4">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1.5配送企业提供的食品原料必须是符合质量标准和食品标准安全的食品。不得提供转基因食品或利用转基因食品原料加工的成品。</w:t>
      </w:r>
    </w:p>
    <w:p w14:paraId="13329718">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1.6供应商应具有符合规定的自有或租赁的厢式食材配送专用车辆。车厢应为专用封闭式，车辆内部结构应平整、便于清洁，运输配送冷冻、冷藏食品的车辆应有温度控制设备，符合相关卫生要求。所有车辆应做到每日清洗、消毒并做好消毒记录。</w:t>
      </w:r>
    </w:p>
    <w:p w14:paraId="4F7913AB">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1.7供应商拟为本项目配备的服务保障人员，至少包括专职配送服务人员、专职驾驶员，应提供有效的身份证、健康证</w:t>
      </w:r>
      <w:r>
        <w:rPr>
          <w:rFonts w:hint="eastAsia" w:asciiTheme="minorEastAsia" w:hAnsiTheme="minorEastAsia" w:eastAsiaTheme="minorEastAsia" w:cstheme="minorEastAsia"/>
          <w:b/>
          <w:bCs/>
          <w:color w:val="auto"/>
          <w:sz w:val="24"/>
          <w:szCs w:val="24"/>
          <w:lang w:val="en-US" w:eastAsia="zh-CN" w:bidi="zh-CN"/>
        </w:rPr>
        <w:t>（投标时提供身份证及有效的健康证复印件并加盖鲜章）。</w:t>
      </w:r>
    </w:p>
    <w:p w14:paraId="701458A5">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1.8供应商必须自行提供配送服务，不得将配送工作进行任何方式的转包或分包。</w:t>
      </w:r>
    </w:p>
    <w:p w14:paraId="7E44417B">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eastAsia" w:asciiTheme="minorEastAsia" w:hAnsiTheme="minorEastAsia" w:eastAsiaTheme="minorEastAsia" w:cstheme="minorEastAsia"/>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bidi="zh-CN"/>
        </w:rPr>
        <w:t>1.9供应商需承诺在配送运输中要确保安全，在运输及装卸过程中发生的一切安全事故，包括人员、车辆事故等情况，由配送供应商负责处置，并依法承担所有责任。</w:t>
      </w:r>
    </w:p>
    <w:p w14:paraId="3EC03444">
      <w:pPr>
        <w:pStyle w:val="2"/>
        <w:keepNext w:val="0"/>
        <w:keepLines w:val="0"/>
        <w:pageBreakBefore w:val="0"/>
        <w:widowControl w:val="0"/>
        <w:kinsoku/>
        <w:wordWrap/>
        <w:overflowPunct/>
        <w:topLinePunct w:val="0"/>
        <w:autoSpaceDE/>
        <w:autoSpaceDN/>
        <w:bidi w:val="0"/>
        <w:adjustRightInd/>
        <w:snapToGrid/>
        <w:spacing w:line="360" w:lineRule="auto"/>
        <w:ind w:right="418" w:firstLine="480" w:firstLineChars="200"/>
        <w:jc w:val="both"/>
        <w:textAlignment w:val="auto"/>
        <w:rPr>
          <w:rFonts w:hint="default"/>
          <w:color w:val="auto"/>
          <w:lang w:val="en-US" w:eastAsia="zh-CN"/>
        </w:rPr>
      </w:pPr>
      <w:r>
        <w:rPr>
          <w:rFonts w:hint="eastAsia" w:asciiTheme="minorEastAsia" w:hAnsiTheme="minorEastAsia" w:eastAsiaTheme="minorEastAsia" w:cstheme="minorEastAsia"/>
          <w:color w:val="auto"/>
          <w:sz w:val="24"/>
          <w:szCs w:val="24"/>
          <w:lang w:val="en-US" w:eastAsia="zh-CN" w:bidi="zh-CN"/>
        </w:rPr>
        <w:t>1.10日常食材的配送品种和数量按照采购人要求执行。供应商在食材配送前1天向各学校采购联系人提供配送食材的实时价格，以供采购人按需选择配送品种和数量。</w:t>
      </w:r>
    </w:p>
    <w:p w14:paraId="2B429EC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2.违约责任及索赔</w:t>
      </w:r>
    </w:p>
    <w:p w14:paraId="2CA5F7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bookmarkStart w:id="4" w:name="bookmark53"/>
      <w:bookmarkEnd w:id="4"/>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lang w:val="en-US" w:eastAsia="en-US"/>
        </w:rPr>
        <w:t>1</w:t>
      </w:r>
      <w:r>
        <w:rPr>
          <w:rFonts w:hint="eastAsia" w:asciiTheme="minorEastAsia" w:hAnsiTheme="minorEastAsia" w:eastAsiaTheme="minorEastAsia" w:cstheme="minorEastAsia"/>
          <w:color w:val="auto"/>
          <w:sz w:val="24"/>
          <w:szCs w:val="24"/>
          <w:lang w:val="en-US" w:eastAsia="zh-CN"/>
        </w:rPr>
        <w:t>超过配送时间的送货造成学生不能按时就餐，根据学校用餐人数的标准，并视情节给与</w:t>
      </w:r>
      <w:r>
        <w:rPr>
          <w:rFonts w:hint="eastAsia" w:asciiTheme="minorEastAsia" w:hAnsiTheme="minorEastAsia" w:eastAsiaTheme="minorEastAsia" w:cstheme="minorEastAsia"/>
          <w:b/>
          <w:bCs/>
          <w:color w:val="auto"/>
          <w:sz w:val="24"/>
          <w:szCs w:val="24"/>
          <w:lang w:val="en-US" w:eastAsia="zh-CN"/>
        </w:rPr>
        <w:t>10000-20000元/次</w:t>
      </w:r>
      <w:r>
        <w:rPr>
          <w:rFonts w:hint="eastAsia" w:asciiTheme="minorEastAsia" w:hAnsiTheme="minorEastAsia" w:eastAsiaTheme="minorEastAsia" w:cstheme="minorEastAsia"/>
          <w:color w:val="auto"/>
          <w:sz w:val="24"/>
          <w:szCs w:val="24"/>
          <w:lang w:val="en-US" w:eastAsia="zh-CN"/>
        </w:rPr>
        <w:t>的经济补偿。</w:t>
      </w:r>
    </w:p>
    <w:p w14:paraId="52F58A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bookmarkStart w:id="5" w:name="bookmark54"/>
      <w:bookmarkEnd w:id="5"/>
      <w:r>
        <w:rPr>
          <w:rFonts w:hint="eastAsia" w:asciiTheme="minorEastAsia" w:hAnsiTheme="minorEastAsia" w:eastAsiaTheme="minorEastAsia" w:cstheme="minorEastAsia"/>
          <w:color w:val="auto"/>
          <w:sz w:val="24"/>
          <w:szCs w:val="24"/>
          <w:lang w:val="en-US" w:eastAsia="zh-CN"/>
        </w:rPr>
        <w:t>2.2提供商品溯源：积极配合学校及相关部门随时抽查商品来源、制作场所及流程。供应商如无正当理由拒绝，也不书面安排重新抽查的，给予</w:t>
      </w:r>
      <w:r>
        <w:rPr>
          <w:rFonts w:hint="eastAsia" w:asciiTheme="minorEastAsia" w:hAnsiTheme="minorEastAsia" w:eastAsiaTheme="minorEastAsia" w:cstheme="minorEastAsia"/>
          <w:b/>
          <w:bCs/>
          <w:color w:val="auto"/>
          <w:sz w:val="24"/>
          <w:szCs w:val="24"/>
          <w:lang w:val="en-US" w:eastAsia="zh-CN"/>
        </w:rPr>
        <w:t>10000元/次</w:t>
      </w:r>
      <w:r>
        <w:rPr>
          <w:rFonts w:hint="eastAsia" w:asciiTheme="minorEastAsia" w:hAnsiTheme="minorEastAsia" w:eastAsiaTheme="minorEastAsia" w:cstheme="minorEastAsia"/>
          <w:color w:val="auto"/>
          <w:sz w:val="24"/>
          <w:szCs w:val="24"/>
          <w:lang w:val="en-US" w:eastAsia="zh-CN"/>
        </w:rPr>
        <w:t>的经济补偿，同时办理其解约事宜。</w:t>
      </w:r>
    </w:p>
    <w:p w14:paraId="79A4E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bookmarkStart w:id="6" w:name="bookmark55"/>
      <w:bookmarkEnd w:id="6"/>
      <w:r>
        <w:rPr>
          <w:rFonts w:hint="eastAsia" w:asciiTheme="minorEastAsia" w:hAnsiTheme="minorEastAsia" w:eastAsiaTheme="minorEastAsia" w:cstheme="minorEastAsia"/>
          <w:color w:val="auto"/>
          <w:sz w:val="24"/>
          <w:szCs w:val="24"/>
          <w:lang w:val="en-US" w:eastAsia="zh-CN"/>
        </w:rPr>
        <w:t>2.3因食用学校供餐发生食物中毒，经有关单位鉴定原因后，如确定为供应商提供之货品问题，供应商除需负担全数医药费及赔偿相关一切损失之外，应承担法律上一切责任，同时办理解约事宜。</w:t>
      </w:r>
    </w:p>
    <w:p w14:paraId="19462B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lang w:eastAsia="zh-CN"/>
        </w:rPr>
      </w:pPr>
      <w:bookmarkStart w:id="7" w:name="bookmark56"/>
      <w:bookmarkEnd w:id="7"/>
      <w:r>
        <w:rPr>
          <w:rFonts w:hint="eastAsia" w:asciiTheme="minorEastAsia" w:hAnsiTheme="minorEastAsia" w:eastAsiaTheme="minorEastAsia" w:cstheme="minorEastAsia"/>
          <w:color w:val="auto"/>
          <w:sz w:val="24"/>
          <w:szCs w:val="24"/>
          <w:lang w:val="en-US" w:eastAsia="zh-CN"/>
        </w:rPr>
        <w:t>2.4供应商未按规定告知即停止或中断供货时，学校及相关部门立即发函通知将其列为不良厂商，并依约不予支付全部上月货款。</w:t>
      </w:r>
    </w:p>
    <w:p w14:paraId="304C22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四、商务要求（</w:t>
      </w:r>
      <w:r>
        <w:rPr>
          <w:rFonts w:hint="eastAsia" w:asciiTheme="minorEastAsia" w:hAnsiTheme="minorEastAsia" w:cstheme="minorEastAsia"/>
          <w:b/>
          <w:bCs/>
          <w:color w:val="auto"/>
          <w:sz w:val="24"/>
          <w:szCs w:val="24"/>
          <w:lang w:eastAsia="zh-CN"/>
        </w:rPr>
        <w:t>包3</w:t>
      </w:r>
      <w:r>
        <w:rPr>
          <w:rFonts w:hint="eastAsia" w:asciiTheme="minorEastAsia" w:hAnsiTheme="minorEastAsia" w:eastAsiaTheme="minorEastAsia" w:cstheme="minorEastAsia"/>
          <w:b/>
          <w:bCs/>
          <w:color w:val="auto"/>
          <w:sz w:val="24"/>
          <w:szCs w:val="24"/>
          <w:lang w:eastAsia="zh-CN"/>
        </w:rPr>
        <w:t>）</w:t>
      </w:r>
      <w:r>
        <w:rPr>
          <w:rFonts w:hint="eastAsia" w:asciiTheme="minorEastAsia" w:hAnsiTheme="minorEastAsia" w:cstheme="minorEastAsia"/>
          <w:b/>
          <w:bCs/>
          <w:color w:val="auto"/>
          <w:sz w:val="24"/>
          <w:szCs w:val="24"/>
          <w:lang w:eastAsia="zh-CN"/>
        </w:rPr>
        <w:t>（实质性要求）</w:t>
      </w:r>
    </w:p>
    <w:p w14:paraId="39BC9F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1.配送服务产品定价</w:t>
      </w:r>
    </w:p>
    <w:p w14:paraId="540C166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（1）价格确定方式合同结算价：包3 按市场价统一下浮方式结算。</w:t>
      </w:r>
    </w:p>
    <w:p w14:paraId="18AA71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（2）采用询价方式。在每个月的第四周的星期五进行询价（如有特殊原因，采购人可另行安排时间进行询价），采购人派出专人对食材当时市场价进行询价。包3的货物随机在遂宁</w:t>
      </w:r>
      <w:r>
        <w:rPr>
          <w:rFonts w:hint="eastAsia" w:asciiTheme="minorEastAsia" w:hAnsiTheme="minorEastAsia" w:cstheme="minorEastAsia"/>
          <w:color w:val="auto"/>
          <w:sz w:val="24"/>
          <w:szCs w:val="24"/>
          <w:lang w:val="en-US" w:eastAsia="zh-CN"/>
        </w:rPr>
        <w:t>市区域内不少于3个</w:t>
      </w:r>
      <w:r>
        <w:rPr>
          <w:rFonts w:hint="eastAsia" w:asciiTheme="minorEastAsia" w:hAnsiTheme="minorEastAsia" w:eastAsiaTheme="minorEastAsia" w:cstheme="minorEastAsia"/>
          <w:color w:val="auto"/>
          <w:sz w:val="24"/>
          <w:szCs w:val="24"/>
          <w:lang w:val="en-US" w:eastAsia="zh-CN"/>
        </w:rPr>
        <w:t>规模较大的超市和市场等对采购货物价格进行调查后，</w:t>
      </w:r>
      <w:r>
        <w:rPr>
          <w:rFonts w:hint="eastAsia" w:asciiTheme="minorEastAsia" w:hAnsiTheme="minorEastAsia" w:eastAsiaTheme="minorEastAsia" w:cstheme="minorEastAsia"/>
          <w:b/>
          <w:bCs/>
          <w:color w:val="auto"/>
          <w:sz w:val="24"/>
          <w:szCs w:val="24"/>
          <w:lang w:val="en-US" w:eastAsia="zh-CN"/>
        </w:rPr>
        <w:t>取同产品同等级的平均价（参照本地价格）确定为本周期该货物结算基准价。【注：项目履约过程中，若上级主管部门对询价周期（例如：一个月需询价2次）另有规定的，询价周期按上级主管部门要求执行。】</w:t>
      </w:r>
    </w:p>
    <w:p w14:paraId="098D81E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（3）结算方式为：结算金额=食材实际收货数量*结算基准价*（1-统一下浮率）。</w:t>
      </w:r>
      <w:r>
        <w:rPr>
          <w:rFonts w:hint="eastAsia" w:asciiTheme="minorEastAsia" w:hAnsiTheme="minorEastAsia" w:cstheme="minorEastAsia"/>
          <w:color w:val="auto"/>
          <w:sz w:val="24"/>
          <w:szCs w:val="24"/>
          <w:lang w:val="en-US" w:eastAsia="zh-CN"/>
        </w:rPr>
        <w:t>（结算金额按四舍五入保留2位小数）</w:t>
      </w:r>
    </w:p>
    <w:p w14:paraId="48CEF440">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bookmarkStart w:id="8" w:name="_Toc25337"/>
      <w:bookmarkStart w:id="9" w:name="_Toc17257"/>
      <w:bookmarkStart w:id="10" w:name="_Toc32102"/>
      <w:bookmarkStart w:id="11" w:name="_Toc4359"/>
      <w:bookmarkStart w:id="12" w:name="_Toc17819"/>
      <w:bookmarkStart w:id="13" w:name="_Toc21289"/>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．交货方式：送货上门；</w:t>
      </w:r>
    </w:p>
    <w:p w14:paraId="5E2D5F1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．交货地点：采购人指定地点；</w:t>
      </w:r>
    </w:p>
    <w:p w14:paraId="18642504">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 送货时间：按照采购人要求的时间按时送货。</w:t>
      </w:r>
    </w:p>
    <w:p w14:paraId="5A52C6F1">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服务期限：</w:t>
      </w:r>
    </w:p>
    <w:p w14:paraId="4422D41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5.1</w:t>
      </w:r>
      <w:r>
        <w:rPr>
          <w:rFonts w:hint="eastAsia" w:asciiTheme="minorEastAsia" w:hAnsiTheme="minorEastAsia" w:eastAsiaTheme="minorEastAsia" w:cstheme="minorEastAsia"/>
          <w:color w:val="auto"/>
          <w:sz w:val="24"/>
          <w:highlight w:val="none"/>
          <w:lang w:val="en-US" w:eastAsia="zh-CN"/>
        </w:rPr>
        <w:t>遂宁市安居区分水镇中心小学校、遂宁市安居区分水镇中心幼儿园、遂宁市安居区保石镇明德小学校</w:t>
      </w:r>
      <w:r>
        <w:rPr>
          <w:rFonts w:hint="eastAsia" w:asciiTheme="minorEastAsia" w:hAnsiTheme="minorEastAsia" w:cstheme="minorEastAsia"/>
          <w:color w:val="auto"/>
          <w:sz w:val="24"/>
          <w:highlight w:val="none"/>
          <w:lang w:val="en-US" w:eastAsia="zh-CN"/>
        </w:rPr>
        <w:t>、</w:t>
      </w:r>
      <w:r>
        <w:rPr>
          <w:rFonts w:hint="eastAsia" w:asciiTheme="minorEastAsia" w:hAnsiTheme="minorEastAsia" w:eastAsiaTheme="minorEastAsia" w:cstheme="minorEastAsia"/>
          <w:color w:val="auto"/>
          <w:sz w:val="24"/>
          <w:highlight w:val="none"/>
          <w:lang w:val="en-US" w:eastAsia="zh-CN"/>
        </w:rPr>
        <w:t>遂宁市安居区分水镇兴旺明德小学服务期限为：自签订合同之日起1年。</w:t>
      </w:r>
    </w:p>
    <w:p w14:paraId="431B477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color w:val="auto"/>
          <w:sz w:val="24"/>
          <w:highlight w:val="none"/>
          <w:lang w:val="en-US" w:eastAsia="zh-CN"/>
        </w:rPr>
        <w:t>5.2 四川省遂宁市拦江中学服务期限为2024年11月1日至2025年8月31日止。</w:t>
      </w:r>
    </w:p>
    <w:p w14:paraId="6F053DBC">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．验收</w:t>
      </w:r>
      <w:r>
        <w:rPr>
          <w:rFonts w:hint="eastAsia" w:asciiTheme="minorEastAsia" w:hAnsiTheme="minorEastAsia" w:eastAsiaTheme="minorEastAsia" w:cstheme="minorEastAsia"/>
          <w:color w:val="auto"/>
          <w:sz w:val="24"/>
          <w:szCs w:val="24"/>
          <w:lang w:eastAsia="zh-CN"/>
        </w:rPr>
        <w:t>方法</w:t>
      </w:r>
      <w:r>
        <w:rPr>
          <w:rFonts w:hint="eastAsia" w:asciiTheme="minorEastAsia" w:hAnsiTheme="minorEastAsia" w:eastAsiaTheme="minorEastAsia" w:cstheme="minorEastAsia"/>
          <w:color w:val="auto"/>
          <w:sz w:val="24"/>
          <w:szCs w:val="24"/>
        </w:rPr>
        <w:t>：</w:t>
      </w:r>
    </w:p>
    <w:p w14:paraId="526CC22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参照《关于进一步加强政府采购需求和履约验收管理的指导意见》（财库[2016]205号）及</w:t>
      </w:r>
      <w:r>
        <w:rPr>
          <w:rFonts w:hint="eastAsia" w:asciiTheme="minorEastAsia" w:hAnsi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lang w:val="en-US" w:eastAsia="zh-CN"/>
        </w:rPr>
        <w:t>文件要求进行验收</w:t>
      </w:r>
      <w:r>
        <w:rPr>
          <w:rFonts w:hint="eastAsia" w:asciiTheme="minorEastAsia" w:hAnsiTheme="minorEastAsia" w:eastAsiaTheme="minorEastAsia" w:cstheme="minorEastAsia"/>
          <w:color w:val="auto"/>
          <w:sz w:val="24"/>
          <w:szCs w:val="24"/>
          <w:lang w:val="en-US" w:eastAsia="zh-CN" w:bidi="ar-SA"/>
        </w:rPr>
        <w:t>；</w:t>
      </w:r>
    </w:p>
    <w:p w14:paraId="2E9524B2">
      <w:pPr>
        <w:pStyle w:val="2"/>
        <w:keepNext w:val="0"/>
        <w:keepLines w:val="0"/>
        <w:pageBreakBefore w:val="0"/>
        <w:widowControl w:val="0"/>
        <w:kinsoku/>
        <w:wordWrap/>
        <w:overflowPunct/>
        <w:topLinePunct w:val="0"/>
        <w:autoSpaceDE/>
        <w:autoSpaceDN/>
        <w:bidi w:val="0"/>
        <w:adjustRightInd/>
        <w:snapToGrid/>
        <w:spacing w:after="0" w:line="360" w:lineRule="auto"/>
        <w:ind w:firstLine="240" w:firstLineChars="1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（2）所有货物及外包装必须安全、卫生、无毒、无害，</w:t>
      </w:r>
      <w:r>
        <w:rPr>
          <w:rFonts w:hint="eastAsia" w:asciiTheme="minorEastAsia" w:hAnsiTheme="minorEastAsia" w:eastAsiaTheme="minorEastAsia" w:cstheme="minorEastAsia"/>
          <w:color w:val="auto"/>
          <w:sz w:val="24"/>
          <w:szCs w:val="24"/>
          <w:lang w:val="en-US" w:eastAsia="zh-CN"/>
        </w:rPr>
        <w:t>符合国家相关安全质量标准要求</w:t>
      </w:r>
      <w:r>
        <w:rPr>
          <w:rFonts w:hint="eastAsia" w:asciiTheme="minorEastAsia" w:hAnsiTheme="minorEastAsia" w:eastAsiaTheme="minorEastAsia" w:cstheme="minorEastAsia"/>
          <w:color w:val="auto"/>
          <w:sz w:val="24"/>
          <w:szCs w:val="24"/>
          <w:lang w:eastAsia="zh-CN"/>
        </w:rPr>
        <w:t>。</w:t>
      </w:r>
    </w:p>
    <w:p w14:paraId="37B76667">
      <w:pPr>
        <w:pStyle w:val="2"/>
        <w:keepNext w:val="0"/>
        <w:keepLines w:val="0"/>
        <w:pageBreakBefore w:val="0"/>
        <w:widowControl w:val="0"/>
        <w:kinsoku/>
        <w:wordWrap/>
        <w:overflowPunct/>
        <w:topLinePunct w:val="0"/>
        <w:autoSpaceDE/>
        <w:autoSpaceDN/>
        <w:bidi w:val="0"/>
        <w:adjustRightInd/>
        <w:snapToGrid/>
        <w:spacing w:after="0" w:line="360" w:lineRule="auto"/>
        <w:ind w:firstLine="240" w:firstLineChars="1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）所有货物有较好的感官形状。</w:t>
      </w:r>
    </w:p>
    <w:p w14:paraId="5BDC3DF7">
      <w:pPr>
        <w:pStyle w:val="2"/>
        <w:keepNext w:val="0"/>
        <w:keepLines w:val="0"/>
        <w:pageBreakBefore w:val="0"/>
        <w:widowControl w:val="0"/>
        <w:kinsoku/>
        <w:wordWrap/>
        <w:overflowPunct/>
        <w:topLinePunct w:val="0"/>
        <w:autoSpaceDE/>
        <w:autoSpaceDN/>
        <w:bidi w:val="0"/>
        <w:adjustRightInd/>
        <w:snapToGrid/>
        <w:spacing w:after="0" w:line="360" w:lineRule="auto"/>
        <w:ind w:firstLine="240" w:firstLineChars="1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）若</w:t>
      </w:r>
      <w:r>
        <w:rPr>
          <w:rFonts w:hint="eastAsia" w:asciiTheme="minorEastAsia" w:hAnsiTheme="minorEastAsia" w:eastAsiaTheme="minorEastAsia" w:cstheme="minorEastAsia"/>
          <w:color w:val="auto"/>
          <w:sz w:val="24"/>
          <w:szCs w:val="24"/>
          <w:lang w:eastAsia="zh-CN"/>
        </w:rPr>
        <w:t>中标人</w:t>
      </w:r>
      <w:r>
        <w:rPr>
          <w:rFonts w:hint="eastAsia" w:asciiTheme="minorEastAsia" w:hAnsiTheme="minorEastAsia" w:eastAsiaTheme="minorEastAsia" w:cstheme="minorEastAsia"/>
          <w:color w:val="auto"/>
          <w:sz w:val="24"/>
          <w:szCs w:val="24"/>
        </w:rPr>
        <w:t>所提供物资的质量因不符合相关质量标准，导致采购人被</w:t>
      </w:r>
      <w:r>
        <w:rPr>
          <w:rFonts w:hint="eastAsia" w:asciiTheme="minorEastAsia" w:hAnsiTheme="minorEastAsia" w:eastAsiaTheme="minorEastAsia" w:cstheme="minorEastAsia"/>
          <w:color w:val="auto"/>
          <w:sz w:val="24"/>
          <w:szCs w:val="24"/>
          <w:lang w:val="en-US" w:eastAsia="zh-CN"/>
        </w:rPr>
        <w:t>市场监管</w:t>
      </w:r>
      <w:r>
        <w:rPr>
          <w:rFonts w:hint="eastAsia" w:asciiTheme="minorEastAsia" w:hAnsiTheme="minorEastAsia" w:eastAsiaTheme="minorEastAsia" w:cstheme="minorEastAsia"/>
          <w:color w:val="auto"/>
          <w:sz w:val="24"/>
          <w:szCs w:val="24"/>
        </w:rPr>
        <w:t>部门处罚，所产生的罚款费用及相关法律责任由</w:t>
      </w:r>
      <w:r>
        <w:rPr>
          <w:rFonts w:hint="eastAsia" w:asciiTheme="minorEastAsia" w:hAnsiTheme="minorEastAsia" w:eastAsiaTheme="minorEastAsia" w:cstheme="minorEastAsia"/>
          <w:color w:val="auto"/>
          <w:sz w:val="24"/>
          <w:szCs w:val="24"/>
          <w:lang w:eastAsia="zh-CN"/>
        </w:rPr>
        <w:t>中标人</w:t>
      </w:r>
      <w:r>
        <w:rPr>
          <w:rFonts w:hint="eastAsia" w:asciiTheme="minorEastAsia" w:hAnsiTheme="minorEastAsia" w:eastAsiaTheme="minorEastAsia" w:cstheme="minorEastAsia"/>
          <w:color w:val="auto"/>
          <w:sz w:val="24"/>
          <w:szCs w:val="24"/>
        </w:rPr>
        <w:t>全部承担，并同时报相关部门处理。</w:t>
      </w:r>
    </w:p>
    <w:p w14:paraId="2A1EECB1">
      <w:pPr>
        <w:pStyle w:val="2"/>
        <w:keepNext w:val="0"/>
        <w:keepLines w:val="0"/>
        <w:pageBreakBefore w:val="0"/>
        <w:widowControl w:val="0"/>
        <w:kinsoku/>
        <w:wordWrap/>
        <w:overflowPunct/>
        <w:topLinePunct w:val="0"/>
        <w:autoSpaceDE/>
        <w:autoSpaceDN/>
        <w:bidi w:val="0"/>
        <w:adjustRightInd/>
        <w:snapToGrid/>
        <w:spacing w:after="0" w:line="360" w:lineRule="auto"/>
        <w:ind w:firstLine="240" w:firstLineChars="100"/>
        <w:textAlignment w:val="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）原材料验收由采购人、供应商双方现场检验，对供应产品的质量、产地、品牌、规格标准无异议，数量准确无误后，</w:t>
      </w:r>
      <w:r>
        <w:rPr>
          <w:rFonts w:hint="eastAsia" w:asciiTheme="minorEastAsia" w:hAnsiTheme="minorEastAsia" w:eastAsiaTheme="minorEastAsia" w:cstheme="minorEastAsia"/>
          <w:b/>
          <w:bCs/>
          <w:color w:val="auto"/>
          <w:sz w:val="24"/>
          <w:szCs w:val="24"/>
        </w:rPr>
        <w:t>由</w:t>
      </w:r>
      <w:r>
        <w:rPr>
          <w:rFonts w:hint="eastAsia" w:asciiTheme="minorEastAsia" w:hAnsiTheme="minorEastAsia" w:eastAsiaTheme="minorEastAsia" w:cstheme="minorEastAsia"/>
          <w:b/>
          <w:bCs/>
          <w:color w:val="auto"/>
          <w:sz w:val="24"/>
          <w:szCs w:val="24"/>
          <w:lang w:val="en-US" w:eastAsia="zh-CN"/>
        </w:rPr>
        <w:t>学校、学校食堂劳务方负责人、家长代表、</w:t>
      </w:r>
      <w:r>
        <w:rPr>
          <w:rFonts w:hint="eastAsia" w:asciiTheme="minorEastAsia" w:hAnsiTheme="minorEastAsia" w:eastAsiaTheme="minorEastAsia" w:cstheme="minorEastAsia"/>
          <w:b/>
          <w:bCs/>
          <w:color w:val="auto"/>
          <w:sz w:val="24"/>
          <w:szCs w:val="24"/>
        </w:rPr>
        <w:t>供应商</w:t>
      </w:r>
      <w:r>
        <w:rPr>
          <w:rFonts w:hint="eastAsia" w:asciiTheme="minorEastAsia" w:hAnsiTheme="minorEastAsia" w:eastAsiaTheme="minorEastAsia" w:cstheme="minorEastAsia"/>
          <w:b/>
          <w:bCs/>
          <w:color w:val="auto"/>
          <w:sz w:val="24"/>
          <w:szCs w:val="24"/>
          <w:lang w:val="en-US" w:eastAsia="zh-CN"/>
        </w:rPr>
        <w:t>四</w:t>
      </w:r>
      <w:r>
        <w:rPr>
          <w:rFonts w:hint="eastAsia" w:asciiTheme="minorEastAsia" w:hAnsiTheme="minorEastAsia" w:eastAsiaTheme="minorEastAsia" w:cstheme="minorEastAsia"/>
          <w:b/>
          <w:bCs/>
          <w:color w:val="auto"/>
          <w:sz w:val="24"/>
          <w:szCs w:val="24"/>
        </w:rPr>
        <w:t>方签字，一式</w:t>
      </w:r>
      <w:r>
        <w:rPr>
          <w:rFonts w:hint="eastAsia" w:asciiTheme="minorEastAsia" w:hAnsiTheme="minorEastAsia" w:eastAsiaTheme="minorEastAsia" w:cstheme="minorEastAsia"/>
          <w:b/>
          <w:bCs/>
          <w:color w:val="auto"/>
          <w:sz w:val="24"/>
          <w:szCs w:val="24"/>
          <w:lang w:val="en-US" w:eastAsia="zh-CN"/>
        </w:rPr>
        <w:t>四</w:t>
      </w:r>
      <w:r>
        <w:rPr>
          <w:rFonts w:hint="eastAsia" w:asciiTheme="minorEastAsia" w:hAnsiTheme="minorEastAsia" w:eastAsiaTheme="minorEastAsia" w:cstheme="minorEastAsia"/>
          <w:b/>
          <w:bCs/>
          <w:color w:val="auto"/>
          <w:sz w:val="24"/>
          <w:szCs w:val="24"/>
        </w:rPr>
        <w:t>份，各自留存。</w:t>
      </w:r>
    </w:p>
    <w:p w14:paraId="4A82AF52">
      <w:pPr>
        <w:pStyle w:val="2"/>
        <w:keepNext w:val="0"/>
        <w:keepLines w:val="0"/>
        <w:pageBreakBefore w:val="0"/>
        <w:widowControl w:val="0"/>
        <w:kinsoku/>
        <w:wordWrap/>
        <w:overflowPunct/>
        <w:topLinePunct w:val="0"/>
        <w:autoSpaceDE/>
        <w:autoSpaceDN/>
        <w:bidi w:val="0"/>
        <w:adjustRightInd/>
        <w:snapToGrid/>
        <w:spacing w:after="0" w:line="360" w:lineRule="auto"/>
        <w:ind w:firstLine="240" w:firstLineChars="1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）鲜肉类必须保证供应为当日生产的产品，须出具加盖地方政府监督所检疫章的动物检疫证明，肉品须色泽鲜亮、无任何异味、无毛、按压无水迹。</w:t>
      </w:r>
    </w:p>
    <w:p w14:paraId="3C037C72">
      <w:pPr>
        <w:pStyle w:val="2"/>
        <w:keepNext w:val="0"/>
        <w:keepLines w:val="0"/>
        <w:pageBreakBefore w:val="0"/>
        <w:widowControl w:val="0"/>
        <w:kinsoku/>
        <w:wordWrap/>
        <w:overflowPunct/>
        <w:topLinePunct w:val="0"/>
        <w:autoSpaceDE/>
        <w:autoSpaceDN/>
        <w:bidi w:val="0"/>
        <w:adjustRightInd/>
        <w:snapToGrid/>
        <w:spacing w:after="0" w:line="360" w:lineRule="auto"/>
        <w:ind w:firstLine="240" w:firstLineChars="1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）原材料在验收时有不符合要求的，一律退回，供应商无条件重新更换达到标准要求配送货物，如出现两次不符合要求的，采购人有权终止合同。</w:t>
      </w:r>
    </w:p>
    <w:p w14:paraId="544C4169">
      <w:pPr>
        <w:pStyle w:val="2"/>
        <w:keepNext w:val="0"/>
        <w:keepLines w:val="0"/>
        <w:pageBreakBefore w:val="0"/>
        <w:widowControl w:val="0"/>
        <w:kinsoku/>
        <w:wordWrap/>
        <w:overflowPunct/>
        <w:topLinePunct w:val="0"/>
        <w:autoSpaceDE/>
        <w:autoSpaceDN/>
        <w:bidi w:val="0"/>
        <w:adjustRightInd/>
        <w:snapToGrid/>
        <w:spacing w:after="0" w:line="360" w:lineRule="auto"/>
        <w:ind w:firstLine="240" w:firstLineChars="100"/>
        <w:textAlignment w:val="auto"/>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8</w:t>
      </w:r>
      <w:r>
        <w:rPr>
          <w:rFonts w:hint="eastAsia" w:asciiTheme="minorEastAsia" w:hAnsiTheme="minorEastAsia" w:eastAsiaTheme="minorEastAsia" w:cstheme="minorEastAsia"/>
          <w:color w:val="auto"/>
          <w:sz w:val="24"/>
          <w:szCs w:val="24"/>
        </w:rPr>
        <w:t>）因</w:t>
      </w:r>
      <w:r>
        <w:rPr>
          <w:rFonts w:hint="eastAsia" w:asciiTheme="minorEastAsia" w:hAnsiTheme="minorEastAsia" w:eastAsiaTheme="minorEastAsia" w:cstheme="minorEastAsia"/>
          <w:color w:val="auto"/>
          <w:sz w:val="24"/>
          <w:szCs w:val="24"/>
          <w:lang w:eastAsia="zh-CN"/>
        </w:rPr>
        <w:t>中标人</w:t>
      </w:r>
      <w:r>
        <w:rPr>
          <w:rFonts w:hint="eastAsia" w:asciiTheme="minorEastAsia" w:hAnsiTheme="minorEastAsia" w:eastAsiaTheme="minorEastAsia" w:cstheme="minorEastAsia"/>
          <w:color w:val="auto"/>
          <w:sz w:val="24"/>
          <w:szCs w:val="24"/>
        </w:rPr>
        <w:t>供货质量原因，引起采购人食品安全事故，采购人将报相关主管部门，并按《中华人民共和国食品安全法》及相关规定，除赔偿当期的原材料损失外，还应对由此引起的其他延续损失给予全额经济赔偿(包括医疗、声誉)，并承担其他相应法律责任。</w:t>
      </w:r>
    </w:p>
    <w:p w14:paraId="2B6E066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SA"/>
        </w:rPr>
        <w:t>7</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kern w:val="0"/>
          <w:sz w:val="24"/>
          <w:szCs w:val="24"/>
          <w:lang w:val="en-US" w:eastAsia="zh-CN" w:bidi="ar-SA"/>
        </w:rPr>
        <w:t>验收标准：</w:t>
      </w:r>
      <w:r>
        <w:rPr>
          <w:rFonts w:hint="eastAsia" w:asciiTheme="minorEastAsia" w:hAnsiTheme="minorEastAsia" w:eastAsiaTheme="minorEastAsia" w:cstheme="minorEastAsia"/>
          <w:color w:val="auto"/>
          <w:sz w:val="24"/>
          <w:szCs w:val="24"/>
        </w:rPr>
        <w:t>符合国家</w:t>
      </w:r>
      <w:r>
        <w:rPr>
          <w:rFonts w:hint="eastAsia" w:asciiTheme="minorEastAsia" w:hAnsiTheme="minorEastAsia" w:eastAsiaTheme="minorEastAsia" w:cstheme="minorEastAsia"/>
          <w:color w:val="auto"/>
          <w:sz w:val="24"/>
          <w:szCs w:val="24"/>
          <w:lang w:eastAsia="zh-CN"/>
        </w:rPr>
        <w:t>相关</w:t>
      </w:r>
      <w:r>
        <w:rPr>
          <w:rFonts w:hint="eastAsia" w:asciiTheme="minorEastAsia" w:hAnsiTheme="minorEastAsia" w:eastAsiaTheme="minorEastAsia" w:cstheme="minorEastAsia"/>
          <w:color w:val="auto"/>
          <w:sz w:val="24"/>
          <w:szCs w:val="24"/>
        </w:rPr>
        <w:t>行业标准。</w:t>
      </w:r>
    </w:p>
    <w:p w14:paraId="0C162CF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cstheme="minorEastAsia"/>
          <w:b/>
          <w:bCs/>
          <w:color w:val="auto"/>
          <w:sz w:val="24"/>
          <w:szCs w:val="24"/>
          <w:lang w:val="en-US" w:eastAsia="zh-CN"/>
        </w:rPr>
      </w:pPr>
      <w:r>
        <w:rPr>
          <w:rFonts w:hint="eastAsia" w:asciiTheme="minorEastAsia" w:hAnsiTheme="minorEastAsia" w:eastAsiaTheme="minorEastAsia" w:cstheme="minorEastAsia"/>
          <w:color w:val="auto"/>
          <w:kern w:val="0"/>
          <w:sz w:val="24"/>
          <w:szCs w:val="24"/>
          <w:lang w:val="en-US" w:eastAsia="zh-CN" w:bidi="ar-SA"/>
        </w:rPr>
        <w:t>8.</w:t>
      </w:r>
      <w:bookmarkStart w:id="14" w:name="_Toc10646"/>
      <w:bookmarkStart w:id="15" w:name="_Toc25999"/>
      <w:r>
        <w:rPr>
          <w:rFonts w:hint="eastAsia" w:asciiTheme="minorEastAsia" w:hAnsiTheme="minorEastAsia" w:eastAsiaTheme="minorEastAsia" w:cstheme="minorEastAsia"/>
          <w:color w:val="auto"/>
          <w:kern w:val="0"/>
          <w:sz w:val="24"/>
          <w:szCs w:val="24"/>
          <w:lang w:val="en-US" w:eastAsia="zh-CN" w:bidi="ar-SA"/>
        </w:rPr>
        <w:t>付款方式</w:t>
      </w:r>
      <w:bookmarkEnd w:id="14"/>
      <w:bookmarkEnd w:id="15"/>
      <w:r>
        <w:rPr>
          <w:rFonts w:hint="eastAsia" w:asciiTheme="minorEastAsia" w:hAnsiTheme="minorEastAsia" w:eastAsiaTheme="minorEastAsia" w:cstheme="minorEastAsia"/>
          <w:color w:val="auto"/>
          <w:kern w:val="0"/>
          <w:sz w:val="24"/>
          <w:szCs w:val="24"/>
          <w:lang w:val="en-US" w:eastAsia="zh-CN" w:bidi="ar-SA"/>
        </w:rPr>
        <w:t>：</w:t>
      </w:r>
      <w:r>
        <w:rPr>
          <w:rFonts w:hint="eastAsia" w:asciiTheme="minorEastAsia" w:hAnsiTheme="minorEastAsia" w:cstheme="minorEastAsia"/>
          <w:b w:val="0"/>
          <w:bCs w:val="0"/>
          <w:color w:val="auto"/>
          <w:sz w:val="24"/>
          <w:szCs w:val="24"/>
          <w:lang w:val="en-US" w:eastAsia="zh-CN"/>
        </w:rPr>
        <w:t>按月结算，待采购人收到财政专项款后10日内支付相应货款。</w:t>
      </w:r>
    </w:p>
    <w:p w14:paraId="483C2BBA">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9.其他未尽事宜在签订合同中另行约定。</w:t>
      </w:r>
    </w:p>
    <w:p w14:paraId="4910A20B">
      <w:pPr>
        <w:pStyle w:val="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w:t>
      </w:r>
    </w:p>
    <w:p w14:paraId="0F6B295E">
      <w:pPr>
        <w:pStyle w:val="2"/>
        <w:rPr>
          <w:rFonts w:hint="default" w:eastAsia="宋体" w:asciiTheme="minorEastAsia" w:hAnsiTheme="minorEastAsia" w:cstheme="minorEastAsia"/>
          <w:b/>
          <w:bCs/>
          <w:color w:val="auto"/>
          <w:kern w:val="0"/>
          <w:sz w:val="24"/>
          <w:szCs w:val="24"/>
          <w:lang w:val="en-US" w:eastAsia="zh-CN" w:bidi="ar-SA"/>
        </w:rPr>
      </w:pPr>
      <w:r>
        <w:rPr>
          <w:rFonts w:hint="eastAsia" w:eastAsia="宋体" w:asciiTheme="minorEastAsia" w:hAnsiTheme="minorEastAsia" w:cstheme="minorEastAsia"/>
          <w:b/>
          <w:bCs/>
          <w:color w:val="auto"/>
          <w:kern w:val="0"/>
          <w:sz w:val="24"/>
          <w:szCs w:val="24"/>
          <w:lang w:val="en-US" w:eastAsia="zh-CN" w:bidi="ar-SA"/>
        </w:rPr>
        <w:t xml:space="preserve"> 五、其他要求：</w:t>
      </w:r>
    </w:p>
    <w:p w14:paraId="31D54251">
      <w:pPr>
        <w:pStyle w:val="2"/>
        <w:keepNext w:val="0"/>
        <w:keepLines w:val="0"/>
        <w:pageBreakBefore w:val="0"/>
        <w:widowControl w:val="0"/>
        <w:kinsoku/>
        <w:wordWrap/>
        <w:overflowPunct/>
        <w:topLinePunct w:val="0"/>
        <w:autoSpaceDE/>
        <w:autoSpaceDN/>
        <w:bidi w:val="0"/>
        <w:adjustRightInd/>
        <w:snapToGrid/>
        <w:spacing w:after="0" w:line="360" w:lineRule="auto"/>
        <w:ind w:firstLine="482" w:firstLineChars="200"/>
        <w:textAlignment w:val="auto"/>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1.</w:t>
      </w:r>
      <w:r>
        <w:rPr>
          <w:rFonts w:hint="default" w:asciiTheme="minorEastAsia" w:hAnsiTheme="minorEastAsia" w:eastAsiaTheme="minorEastAsia" w:cstheme="minorEastAsia"/>
          <w:b/>
          <w:bCs/>
          <w:color w:val="auto"/>
          <w:sz w:val="24"/>
          <w:szCs w:val="24"/>
          <w:lang w:val="en-US" w:eastAsia="zh-CN"/>
        </w:rPr>
        <w:t>本项目共</w:t>
      </w:r>
      <w:r>
        <w:rPr>
          <w:rFonts w:hint="eastAsia" w:asciiTheme="minorEastAsia" w:hAnsiTheme="minorEastAsia" w:eastAsiaTheme="minorEastAsia" w:cstheme="minorEastAsia"/>
          <w:b/>
          <w:bCs/>
          <w:color w:val="auto"/>
          <w:sz w:val="24"/>
          <w:szCs w:val="24"/>
          <w:lang w:val="en-US" w:eastAsia="zh-CN"/>
        </w:rPr>
        <w:t>3</w:t>
      </w:r>
      <w:r>
        <w:rPr>
          <w:rFonts w:hint="default" w:asciiTheme="minorEastAsia" w:hAnsiTheme="minorEastAsia" w:eastAsiaTheme="minorEastAsia" w:cstheme="minorEastAsia"/>
          <w:b/>
          <w:bCs/>
          <w:color w:val="auto"/>
          <w:sz w:val="24"/>
          <w:szCs w:val="24"/>
          <w:lang w:val="en-US" w:eastAsia="zh-CN"/>
        </w:rPr>
        <w:t>个包，为便于本项目顺利实施和质量保障，供应商可以参加本采购项目单个或多个包的投标，并分包编制响应文件。同一供应商只允许中标一个包</w:t>
      </w:r>
      <w:r>
        <w:rPr>
          <w:rFonts w:hint="eastAsia" w:asciiTheme="minorEastAsia" w:hAnsiTheme="minorEastAsia" w:eastAsiaTheme="minorEastAsia" w:cstheme="minorEastAsia"/>
          <w:b/>
          <w:bCs/>
          <w:color w:val="auto"/>
          <w:sz w:val="24"/>
          <w:szCs w:val="24"/>
          <w:lang w:val="en-US" w:eastAsia="zh-CN"/>
        </w:rPr>
        <w:t>，在本项目包1、包2中已经确认为中标供应商的，包3不再确认为中标候选人</w:t>
      </w:r>
      <w:r>
        <w:rPr>
          <w:rFonts w:hint="default" w:asciiTheme="minorEastAsia" w:hAnsiTheme="minorEastAsia" w:eastAsiaTheme="minorEastAsia" w:cstheme="minorEastAsia"/>
          <w:b/>
          <w:bCs/>
          <w:color w:val="auto"/>
          <w:sz w:val="24"/>
          <w:szCs w:val="24"/>
          <w:lang w:val="en-US" w:eastAsia="zh-CN"/>
        </w:rPr>
        <w:t xml:space="preserve">。 </w:t>
      </w:r>
    </w:p>
    <w:p w14:paraId="1683F93A">
      <w:pPr>
        <w:rPr>
          <w:rFonts w:hint="default"/>
          <w:b w:val="0"/>
          <w:bCs w:val="0"/>
          <w:color w:val="auto"/>
          <w:lang w:val="en-US" w:eastAsia="zh-CN"/>
        </w:rPr>
      </w:pPr>
      <w:r>
        <w:rPr>
          <w:rFonts w:hint="eastAsia" w:asciiTheme="minorEastAsia" w:hAnsiTheme="minorEastAsia" w:eastAsiaTheme="minorEastAsia" w:cstheme="minorEastAsia"/>
          <w:b/>
          <w:bCs/>
          <w:color w:val="auto"/>
          <w:sz w:val="24"/>
          <w:szCs w:val="24"/>
          <w:lang w:val="en-US" w:eastAsia="zh-CN"/>
        </w:rPr>
        <w:t xml:space="preserve">    2.供应商应根据采购项目特点和实际需求撰写服务方案、售后服务方案。</w:t>
      </w:r>
    </w:p>
    <w:bookmarkEnd w:id="8"/>
    <w:bookmarkEnd w:id="9"/>
    <w:bookmarkEnd w:id="10"/>
    <w:bookmarkEnd w:id="11"/>
    <w:bookmarkEnd w:id="12"/>
    <w:bookmarkEnd w:id="13"/>
    <w:p w14:paraId="5B4B5E72">
      <w:pPr>
        <w:pStyle w:val="20"/>
        <w:spacing w:before="0" w:beforeAutospacing="0" w:after="50" w:afterAutospacing="0" w:line="360" w:lineRule="auto"/>
        <w:jc w:val="both"/>
        <w:outlineLvl w:val="0"/>
        <w:rPr>
          <w:rFonts w:hint="eastAsia" w:ascii="黑体" w:hAnsi="黑体" w:eastAsia="黑体"/>
          <w:b/>
          <w:color w:val="auto"/>
          <w:sz w:val="36"/>
          <w:szCs w:val="36"/>
        </w:rPr>
      </w:pPr>
    </w:p>
    <w:p w14:paraId="3940E2AC">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ì.">
    <w:altName w:val="黑体"/>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68267">
    <w:pPr>
      <w:pStyle w:val="15"/>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996B4">
                          <w:pPr>
                            <w:pStyle w:val="15"/>
                          </w:pPr>
                          <w:r>
                            <w:fldChar w:fldCharType="begin"/>
                          </w:r>
                          <w:r>
                            <w:instrText xml:space="preserve"> PAGE  \* MERGEFORMAT </w:instrText>
                          </w:r>
                          <w:r>
                            <w:fldChar w:fldCharType="separate"/>
                          </w:r>
                          <w:r>
                            <w:t>- 28 -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1C996B4">
                    <w:pPr>
                      <w:pStyle w:val="15"/>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5BF76">
    <w:pPr>
      <w:pStyle w:val="16"/>
      <w:pBdr>
        <w:bottom w:val="none" w:color="auto" w:sz="0" w:space="1"/>
      </w:pBdr>
      <w:jc w:val="left"/>
    </w:pPr>
    <w:r>
      <w:rPr>
        <w:rFonts w:hint="eastAsia"/>
        <w:sz w:val="24"/>
        <w:szCs w:val="24"/>
      </w:rP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1E513"/>
    <w:multiLevelType w:val="singleLevel"/>
    <w:tmpl w:val="8D61E513"/>
    <w:lvl w:ilvl="0" w:tentative="0">
      <w:start w:val="1"/>
      <w:numFmt w:val="decimal"/>
      <w:lvlText w:val="%1."/>
      <w:lvlJc w:val="left"/>
      <w:pPr>
        <w:tabs>
          <w:tab w:val="left" w:pos="312"/>
        </w:tabs>
      </w:pPr>
    </w:lvl>
  </w:abstractNum>
  <w:abstractNum w:abstractNumId="1">
    <w:nsid w:val="8F059E8F"/>
    <w:multiLevelType w:val="singleLevel"/>
    <w:tmpl w:val="8F059E8F"/>
    <w:lvl w:ilvl="0" w:tentative="0">
      <w:start w:val="1"/>
      <w:numFmt w:val="chineseCounting"/>
      <w:suff w:val="space"/>
      <w:lvlText w:val="第%1章"/>
      <w:lvlJc w:val="left"/>
      <w:rPr>
        <w:rFonts w:hint="eastAsia"/>
      </w:rPr>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3"/>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3">
    <w:nsid w:val="3F5448FA"/>
    <w:multiLevelType w:val="multilevel"/>
    <w:tmpl w:val="3F5448FA"/>
    <w:lvl w:ilvl="0" w:tentative="0">
      <w:start w:val="1"/>
      <w:numFmt w:val="decimal"/>
      <w:lvlText w:val="%1"/>
      <w:lvlJc w:val="left"/>
      <w:pPr>
        <w:ind w:left="425" w:hanging="425"/>
      </w:pPr>
      <w:rPr>
        <w:rFonts w:hint="eastAsia"/>
      </w:rPr>
    </w:lvl>
    <w:lvl w:ilvl="1" w:tentative="0">
      <w:start w:val="1"/>
      <w:numFmt w:val="decimal"/>
      <w:isLgl/>
      <w:lvlText w:val="%1.%2"/>
      <w:lvlJc w:val="left"/>
      <w:pPr>
        <w:ind w:left="992" w:hanging="567"/>
      </w:pPr>
      <w:rPr>
        <w:rFonts w:hint="eastAsia" w:eastAsia="微软雅黑"/>
        <w:b/>
        <w:i w:val="0"/>
        <w:sz w:val="24"/>
      </w:rPr>
    </w:lvl>
    <w:lvl w:ilvl="2" w:tentative="0">
      <w:start w:val="1"/>
      <w:numFmt w:val="decimal"/>
      <w:pStyle w:val="5"/>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C59B2F8"/>
    <w:multiLevelType w:val="multilevel"/>
    <w:tmpl w:val="5C59B2F8"/>
    <w:lvl w:ilvl="0" w:tentative="0">
      <w:start w:val="1"/>
      <w:numFmt w:val="chineseCounting"/>
      <w:suff w:val="nothing"/>
      <w:lvlText w:val="%1、"/>
      <w:lvlJc w:val="left"/>
      <w:pPr>
        <w:tabs>
          <w:tab w:val="left" w:pos="0"/>
        </w:tabs>
        <w:ind w:left="0" w:firstLine="0"/>
      </w:pPr>
      <w:rPr>
        <w:rFonts w:hint="eastAsia" w:eastAsia="楷体"/>
      </w:rPr>
    </w:lvl>
    <w:lvl w:ilvl="1" w:tentative="0">
      <w:start w:val="1"/>
      <w:numFmt w:val="chineseCounting"/>
      <w:suff w:val="nothing"/>
      <w:lvlText w:val="（%2）"/>
      <w:lvlJc w:val="left"/>
      <w:pPr>
        <w:tabs>
          <w:tab w:val="left" w:pos="0"/>
        </w:tabs>
        <w:ind w:left="1400" w:firstLine="0"/>
      </w:pPr>
      <w:rPr>
        <w:rFonts w:hint="eastAsia" w:eastAsia="宋体"/>
      </w:rPr>
    </w:lvl>
    <w:lvl w:ilvl="2" w:tentative="0">
      <w:start w:val="1"/>
      <w:numFmt w:val="chineseCounting"/>
      <w:suff w:val="nothing"/>
      <w:lvlText w:val="第%3章"/>
      <w:lvlJc w:val="left"/>
      <w:pPr>
        <w:ind w:left="600" w:firstLine="400"/>
      </w:pPr>
      <w:rPr>
        <w:rFonts w:hint="eastAsia"/>
      </w:rPr>
    </w:lvl>
    <w:lvl w:ilvl="3" w:tentative="0">
      <w:start w:val="1"/>
      <w:numFmt w:val="decimal"/>
      <w:pStyle w:val="6"/>
      <w:suff w:val="nothing"/>
      <w:lvlText w:val="%4."/>
      <w:lvlJc w:val="left"/>
      <w:pPr>
        <w:tabs>
          <w:tab w:val="left" w:pos="0"/>
        </w:tabs>
        <w:ind w:left="0" w:firstLine="402"/>
      </w:pPr>
      <w:rPr>
        <w:rFonts w:hint="eastAsia" w:eastAsia="微软雅黑"/>
      </w:rPr>
    </w:lvl>
    <w:lvl w:ilvl="4" w:tentative="0">
      <w:start w:val="1"/>
      <w:numFmt w:val="decimal"/>
      <w:suff w:val="nothing"/>
      <w:lvlText w:val="%4.%5"/>
      <w:lvlJc w:val="left"/>
      <w:pPr>
        <w:ind w:left="0" w:firstLine="402"/>
      </w:pPr>
      <w:rPr>
        <w:rFonts w:hint="eastAsia"/>
      </w:rPr>
    </w:lvl>
    <w:lvl w:ilvl="5" w:tentative="0">
      <w:start w:val="1"/>
      <w:numFmt w:val="decimal"/>
      <w:suff w:val="nothing"/>
      <w:lvlText w:val="%4.%5.%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3YmQ2Nzg0NmQ2MjBiMjg5Zjg4NWE3ZTM4MDE4OTIifQ=="/>
  </w:docVars>
  <w:rsids>
    <w:rsidRoot w:val="3785278A"/>
    <w:rsid w:val="012A34DD"/>
    <w:rsid w:val="03560BF3"/>
    <w:rsid w:val="046970EB"/>
    <w:rsid w:val="055D7990"/>
    <w:rsid w:val="063937EB"/>
    <w:rsid w:val="06FB7F21"/>
    <w:rsid w:val="07350E59"/>
    <w:rsid w:val="07410334"/>
    <w:rsid w:val="07B9039C"/>
    <w:rsid w:val="082C64B8"/>
    <w:rsid w:val="084A342C"/>
    <w:rsid w:val="088B0290"/>
    <w:rsid w:val="09F94C6F"/>
    <w:rsid w:val="0AB172A8"/>
    <w:rsid w:val="0B7828B6"/>
    <w:rsid w:val="0C682BC5"/>
    <w:rsid w:val="0CDE55D4"/>
    <w:rsid w:val="0D382E4F"/>
    <w:rsid w:val="0E1E7B45"/>
    <w:rsid w:val="120349E8"/>
    <w:rsid w:val="1282775F"/>
    <w:rsid w:val="13A4230A"/>
    <w:rsid w:val="148B208E"/>
    <w:rsid w:val="15E41990"/>
    <w:rsid w:val="16902AFC"/>
    <w:rsid w:val="16CB6F28"/>
    <w:rsid w:val="18B85563"/>
    <w:rsid w:val="19767C6E"/>
    <w:rsid w:val="1B8A103A"/>
    <w:rsid w:val="1C0D23EB"/>
    <w:rsid w:val="1C79039E"/>
    <w:rsid w:val="1C8526DC"/>
    <w:rsid w:val="1CA877B9"/>
    <w:rsid w:val="1CC10BCD"/>
    <w:rsid w:val="1D4F2FEE"/>
    <w:rsid w:val="1E3265CD"/>
    <w:rsid w:val="1EDC2DED"/>
    <w:rsid w:val="1FC2175D"/>
    <w:rsid w:val="20377495"/>
    <w:rsid w:val="20855F6A"/>
    <w:rsid w:val="217C6CD5"/>
    <w:rsid w:val="22BF2AC2"/>
    <w:rsid w:val="242D6D8F"/>
    <w:rsid w:val="24625EA0"/>
    <w:rsid w:val="258529E2"/>
    <w:rsid w:val="26D734A8"/>
    <w:rsid w:val="27F21E35"/>
    <w:rsid w:val="27F841BC"/>
    <w:rsid w:val="2AD32609"/>
    <w:rsid w:val="2BCD1C57"/>
    <w:rsid w:val="2BD83160"/>
    <w:rsid w:val="2C9228B0"/>
    <w:rsid w:val="2CA557A6"/>
    <w:rsid w:val="2DEF296C"/>
    <w:rsid w:val="2E7F6BF7"/>
    <w:rsid w:val="304A1C79"/>
    <w:rsid w:val="31135EF2"/>
    <w:rsid w:val="31E14535"/>
    <w:rsid w:val="31E60B5B"/>
    <w:rsid w:val="34C010F4"/>
    <w:rsid w:val="367E24C4"/>
    <w:rsid w:val="36996485"/>
    <w:rsid w:val="36BC2021"/>
    <w:rsid w:val="3785278A"/>
    <w:rsid w:val="382E0FFD"/>
    <w:rsid w:val="3875572F"/>
    <w:rsid w:val="38FF5582"/>
    <w:rsid w:val="39504A55"/>
    <w:rsid w:val="3A0A0019"/>
    <w:rsid w:val="3AEF5051"/>
    <w:rsid w:val="3BA749AA"/>
    <w:rsid w:val="3BE549A2"/>
    <w:rsid w:val="3C190FDD"/>
    <w:rsid w:val="3C35483A"/>
    <w:rsid w:val="3E3F0ACA"/>
    <w:rsid w:val="3E89630E"/>
    <w:rsid w:val="3F7C45CC"/>
    <w:rsid w:val="3FF54B12"/>
    <w:rsid w:val="41A04585"/>
    <w:rsid w:val="41C50D94"/>
    <w:rsid w:val="42202D5E"/>
    <w:rsid w:val="437E05D3"/>
    <w:rsid w:val="43815C5C"/>
    <w:rsid w:val="48116C55"/>
    <w:rsid w:val="48DF7AA9"/>
    <w:rsid w:val="48F94A10"/>
    <w:rsid w:val="498357CA"/>
    <w:rsid w:val="4B7827DD"/>
    <w:rsid w:val="4B9153CD"/>
    <w:rsid w:val="4C7F1CED"/>
    <w:rsid w:val="4CE958FF"/>
    <w:rsid w:val="4EA47E8E"/>
    <w:rsid w:val="4FB3742D"/>
    <w:rsid w:val="4FB45DD1"/>
    <w:rsid w:val="4FD67F89"/>
    <w:rsid w:val="50EB614B"/>
    <w:rsid w:val="522467CB"/>
    <w:rsid w:val="529C5C09"/>
    <w:rsid w:val="52B70089"/>
    <w:rsid w:val="53725137"/>
    <w:rsid w:val="54137E2E"/>
    <w:rsid w:val="541A312C"/>
    <w:rsid w:val="553B5E99"/>
    <w:rsid w:val="55B5759F"/>
    <w:rsid w:val="55F72074"/>
    <w:rsid w:val="561912DC"/>
    <w:rsid w:val="56864CBD"/>
    <w:rsid w:val="578D4718"/>
    <w:rsid w:val="58133119"/>
    <w:rsid w:val="58940A52"/>
    <w:rsid w:val="596E1EAF"/>
    <w:rsid w:val="599F10D8"/>
    <w:rsid w:val="5BD62F69"/>
    <w:rsid w:val="5C6953BD"/>
    <w:rsid w:val="5DD84591"/>
    <w:rsid w:val="5E25739F"/>
    <w:rsid w:val="5F1D468A"/>
    <w:rsid w:val="610B1669"/>
    <w:rsid w:val="610D0C66"/>
    <w:rsid w:val="61451FA9"/>
    <w:rsid w:val="624E155D"/>
    <w:rsid w:val="64CB61F8"/>
    <w:rsid w:val="65182528"/>
    <w:rsid w:val="658130B8"/>
    <w:rsid w:val="661C7797"/>
    <w:rsid w:val="66BA1644"/>
    <w:rsid w:val="67955E56"/>
    <w:rsid w:val="683C30EB"/>
    <w:rsid w:val="68503265"/>
    <w:rsid w:val="685511F7"/>
    <w:rsid w:val="68D774E6"/>
    <w:rsid w:val="69E93626"/>
    <w:rsid w:val="6AE74D9D"/>
    <w:rsid w:val="6AE85CC0"/>
    <w:rsid w:val="6B5873CF"/>
    <w:rsid w:val="6C1570CA"/>
    <w:rsid w:val="6CDA258A"/>
    <w:rsid w:val="6DAA483D"/>
    <w:rsid w:val="6E9B5295"/>
    <w:rsid w:val="6F86288F"/>
    <w:rsid w:val="70BE0ECB"/>
    <w:rsid w:val="71157C05"/>
    <w:rsid w:val="71485ABC"/>
    <w:rsid w:val="72D91956"/>
    <w:rsid w:val="7465180E"/>
    <w:rsid w:val="74FC0A64"/>
    <w:rsid w:val="757A0120"/>
    <w:rsid w:val="758F04C6"/>
    <w:rsid w:val="765F181F"/>
    <w:rsid w:val="76B82675"/>
    <w:rsid w:val="77135C47"/>
    <w:rsid w:val="772225B5"/>
    <w:rsid w:val="77B818AE"/>
    <w:rsid w:val="7902639D"/>
    <w:rsid w:val="792705EB"/>
    <w:rsid w:val="79481E13"/>
    <w:rsid w:val="79AC06B3"/>
    <w:rsid w:val="79CB49D2"/>
    <w:rsid w:val="7A5C36CC"/>
    <w:rsid w:val="7A6943F7"/>
    <w:rsid w:val="7AC66B8E"/>
    <w:rsid w:val="7B3F7FCE"/>
    <w:rsid w:val="7B9A01B2"/>
    <w:rsid w:val="7BCC6089"/>
    <w:rsid w:val="7C387B7C"/>
    <w:rsid w:val="7EE25C37"/>
    <w:rsid w:val="7EE42C18"/>
    <w:rsid w:val="7FDB4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99"/>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unhideWhenUsed/>
    <w:qFormat/>
    <w:uiPriority w:val="0"/>
    <w:pPr>
      <w:keepNext/>
      <w:keepLines/>
      <w:numPr>
        <w:ilvl w:val="3"/>
        <w:numId w:val="2"/>
      </w:numPr>
      <w:spacing w:before="280" w:after="290" w:line="372" w:lineRule="auto"/>
      <w:outlineLvl w:val="3"/>
    </w:pPr>
    <w:rPr>
      <w:rFonts w:ascii="Arial" w:hAnsi="Arial" w:eastAsia="黑体" w:cs="Times New Roman"/>
      <w:b/>
      <w:sz w:val="30"/>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uppressAutoHyphens/>
      <w:spacing w:after="120"/>
    </w:pPr>
    <w:rPr>
      <w:kern w:val="1"/>
      <w:lang w:eastAsia="ar-SA"/>
    </w:rPr>
  </w:style>
  <w:style w:type="paragraph" w:styleId="7">
    <w:name w:val="table of authorities"/>
    <w:basedOn w:val="1"/>
    <w:next w:val="1"/>
    <w:autoRedefine/>
    <w:unhideWhenUsed/>
    <w:qFormat/>
    <w:uiPriority w:val="99"/>
    <w:pPr>
      <w:ind w:left="420" w:leftChars="200"/>
    </w:pPr>
  </w:style>
  <w:style w:type="paragraph" w:styleId="8">
    <w:name w:val="Normal Indent"/>
    <w:basedOn w:val="1"/>
    <w:autoRedefine/>
    <w:qFormat/>
    <w:uiPriority w:val="0"/>
    <w:pPr>
      <w:ind w:firstLine="420" w:firstLineChars="200"/>
    </w:pPr>
  </w:style>
  <w:style w:type="paragraph" w:styleId="9">
    <w:name w:val="annotation text"/>
    <w:basedOn w:val="1"/>
    <w:qFormat/>
    <w:uiPriority w:val="0"/>
    <w:pPr>
      <w:jc w:val="left"/>
    </w:pPr>
  </w:style>
  <w:style w:type="paragraph" w:styleId="10">
    <w:name w:val="index 6"/>
    <w:basedOn w:val="1"/>
    <w:next w:val="1"/>
    <w:semiHidden/>
    <w:qFormat/>
    <w:uiPriority w:val="0"/>
    <w:pPr>
      <w:ind w:left="1000" w:leftChars="1000"/>
    </w:pPr>
  </w:style>
  <w:style w:type="paragraph" w:styleId="11">
    <w:name w:val="Body Text Indent"/>
    <w:basedOn w:val="1"/>
    <w:next w:val="12"/>
    <w:autoRedefine/>
    <w:qFormat/>
    <w:uiPriority w:val="0"/>
    <w:pPr>
      <w:ind w:firstLine="630"/>
    </w:pPr>
    <w:rPr>
      <w:sz w:val="32"/>
      <w:szCs w:val="20"/>
    </w:rPr>
  </w:style>
  <w:style w:type="paragraph" w:styleId="12">
    <w:name w:val="envelope return"/>
    <w:basedOn w:val="1"/>
    <w:autoRedefine/>
    <w:qFormat/>
    <w:uiPriority w:val="0"/>
    <w:pPr>
      <w:snapToGrid w:val="0"/>
    </w:pPr>
    <w:rPr>
      <w:rFonts w:ascii="Arial" w:hAnsi="Arial" w:cs="Arial"/>
    </w:rPr>
  </w:style>
  <w:style w:type="paragraph" w:styleId="13">
    <w:name w:val="List 2"/>
    <w:basedOn w:val="1"/>
    <w:autoRedefine/>
    <w:unhideWhenUsed/>
    <w:qFormat/>
    <w:uiPriority w:val="0"/>
    <w:pPr>
      <w:spacing w:line="240" w:lineRule="auto"/>
      <w:ind w:left="100" w:leftChars="200" w:hanging="200" w:hangingChars="200"/>
      <w:contextualSpacing/>
      <w:jc w:val="both"/>
    </w:pPr>
    <w:rPr>
      <w:rFonts w:ascii="Calibri" w:hAnsi="Calibri" w:eastAsia="宋体" w:cs="Times New Roman"/>
    </w:rPr>
  </w:style>
  <w:style w:type="paragraph" w:styleId="14">
    <w:name w:val="Plain Text"/>
    <w:basedOn w:val="1"/>
    <w:autoRedefine/>
    <w:qFormat/>
    <w:uiPriority w:val="0"/>
    <w:rPr>
      <w:rFonts w:ascii="宋体" w:hAnsi="Courier New"/>
      <w:szCs w:val="20"/>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0"/>
  </w:style>
  <w:style w:type="paragraph" w:styleId="18">
    <w:name w:val="Subtitle"/>
    <w:basedOn w:val="1"/>
    <w:next w:val="1"/>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9">
    <w:name w:val="HTML Preformatted"/>
    <w:basedOn w:val="1"/>
    <w:autoRedefine/>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20">
    <w:name w:val="Normal (Web)"/>
    <w:basedOn w:val="1"/>
    <w:autoRedefine/>
    <w:unhideWhenUsed/>
    <w:qFormat/>
    <w:uiPriority w:val="99"/>
    <w:pPr>
      <w:autoSpaceDE/>
      <w:autoSpaceDN/>
      <w:jc w:val="both"/>
    </w:pPr>
    <w:rPr>
      <w:rFonts w:ascii="Times New Roman" w:hAnsi="Times New Roman" w:eastAsia="宋体" w:cs="Times New Roman"/>
      <w:kern w:val="2"/>
      <w:sz w:val="24"/>
      <w:szCs w:val="24"/>
      <w:lang w:val="en-US" w:bidi="ar-SA"/>
    </w:rPr>
  </w:style>
  <w:style w:type="paragraph" w:styleId="21">
    <w:name w:val="Title"/>
    <w:basedOn w:val="1"/>
    <w:autoRedefine/>
    <w:qFormat/>
    <w:uiPriority w:val="0"/>
    <w:pPr>
      <w:spacing w:before="240" w:after="60"/>
      <w:jc w:val="center"/>
      <w:outlineLvl w:val="0"/>
    </w:pPr>
    <w:rPr>
      <w:rFonts w:ascii="Arial" w:hAnsi="Arial" w:cs="Arial"/>
      <w:b/>
      <w:bCs/>
      <w:sz w:val="32"/>
      <w:szCs w:val="32"/>
    </w:rPr>
  </w:style>
  <w:style w:type="paragraph" w:styleId="22">
    <w:name w:val="Body Text First Indent"/>
    <w:basedOn w:val="2"/>
    <w:autoRedefine/>
    <w:qFormat/>
    <w:uiPriority w:val="0"/>
    <w:pPr>
      <w:ind w:firstLine="420" w:firstLineChars="100"/>
    </w:pPr>
  </w:style>
  <w:style w:type="paragraph" w:styleId="23">
    <w:name w:val="Body Text First Indent 2"/>
    <w:basedOn w:val="11"/>
    <w:autoRedefine/>
    <w:unhideWhenUsed/>
    <w:qFormat/>
    <w:uiPriority w:val="99"/>
    <w:pPr>
      <w:ind w:firstLine="420"/>
    </w:p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BodyText"/>
    <w:basedOn w:val="1"/>
    <w:autoRedefine/>
    <w:qFormat/>
    <w:uiPriority w:val="0"/>
    <w:pPr>
      <w:widowControl/>
      <w:spacing w:after="120" w:line="240" w:lineRule="auto"/>
    </w:pPr>
    <w:rPr>
      <w:rFonts w:ascii="Calibri" w:hAnsi="Calibri" w:eastAsia="宋体" w:cs="Times New Roman"/>
    </w:rPr>
  </w:style>
  <w:style w:type="paragraph" w:customStyle="1" w:styleId="2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9">
    <w:name w:val="引用1"/>
    <w:next w:val="1"/>
    <w:autoRedefine/>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30">
    <w:name w:val="段落正文"/>
    <w:basedOn w:val="1"/>
    <w:autoRedefine/>
    <w:qFormat/>
    <w:uiPriority w:val="0"/>
    <w:pPr>
      <w:spacing w:before="50" w:beforeLines="50" w:line="360" w:lineRule="auto"/>
      <w:ind w:firstLine="200" w:firstLineChars="200"/>
    </w:pPr>
    <w:rPr>
      <w:rFonts w:ascii="Times New Roman" w:hAnsi="Times New Roman"/>
      <w:spacing w:val="2"/>
      <w:sz w:val="24"/>
      <w:szCs w:val="20"/>
    </w:rPr>
  </w:style>
  <w:style w:type="paragraph" w:customStyle="1" w:styleId="31">
    <w:name w:val="Default"/>
    <w:autoRedefine/>
    <w:qFormat/>
    <w:uiPriority w:val="99"/>
    <w:pPr>
      <w:widowControl w:val="0"/>
      <w:autoSpaceDE w:val="0"/>
      <w:autoSpaceDN w:val="0"/>
      <w:adjustRightInd w:val="0"/>
    </w:pPr>
    <w:rPr>
      <w:rFonts w:ascii="..ì." w:hAnsi="..ì." w:eastAsia="..ì." w:cs="..ì."/>
      <w:color w:val="000000"/>
      <w:kern w:val="0"/>
      <w:sz w:val="24"/>
      <w:szCs w:val="24"/>
      <w:lang w:val="en-US" w:eastAsia="zh-CN" w:bidi="ar-SA"/>
    </w:rPr>
  </w:style>
  <w:style w:type="paragraph" w:customStyle="1" w:styleId="32">
    <w:name w:val="附件标题-1"/>
    <w:next w:val="1"/>
    <w:autoRedefine/>
    <w:qFormat/>
    <w:uiPriority w:val="0"/>
    <w:pPr>
      <w:widowControl w:val="0"/>
      <w:spacing w:beforeLines="50" w:afterLines="50"/>
      <w:jc w:val="center"/>
    </w:pPr>
    <w:rPr>
      <w:rFonts w:ascii="Times New Roman" w:hAnsi="Times New Roman" w:eastAsia="黑体" w:cs="Times New Roman"/>
      <w:kern w:val="2"/>
      <w:sz w:val="32"/>
      <w:szCs w:val="24"/>
      <w:lang w:val="en-US" w:eastAsia="zh-CN" w:bidi="ar-SA"/>
    </w:rPr>
  </w:style>
  <w:style w:type="paragraph" w:customStyle="1" w:styleId="33">
    <w:name w:val="标题 5（有编号）（绿盟科技）"/>
    <w:basedOn w:val="1"/>
    <w:next w:val="34"/>
    <w:autoRedefine/>
    <w:qFormat/>
    <w:uiPriority w:val="0"/>
    <w:pPr>
      <w:keepNext/>
      <w:keepLines/>
      <w:numPr>
        <w:ilvl w:val="4"/>
        <w:numId w:val="3"/>
      </w:numPr>
      <w:spacing w:before="280" w:after="156" w:line="377" w:lineRule="auto"/>
      <w:jc w:val="left"/>
      <w:outlineLvl w:val="4"/>
    </w:pPr>
    <w:rPr>
      <w:rFonts w:ascii="Arial" w:hAnsi="Arial" w:eastAsia="黑体"/>
      <w:b/>
      <w:kern w:val="0"/>
      <w:sz w:val="24"/>
      <w:szCs w:val="28"/>
    </w:rPr>
  </w:style>
  <w:style w:type="paragraph" w:customStyle="1" w:styleId="34">
    <w:name w:val="正文（绿盟科技）"/>
    <w:autoRedefine/>
    <w:qFormat/>
    <w:uiPriority w:val="0"/>
    <w:pPr>
      <w:spacing w:line="300" w:lineRule="auto"/>
    </w:pPr>
    <w:rPr>
      <w:rFonts w:ascii="Arial" w:hAnsi="Arial" w:eastAsia="宋体" w:cs="黑体"/>
      <w:sz w:val="21"/>
      <w:szCs w:val="21"/>
      <w:lang w:val="en-US" w:eastAsia="zh-CN" w:bidi="ar-SA"/>
    </w:rPr>
  </w:style>
  <w:style w:type="paragraph" w:customStyle="1" w:styleId="35">
    <w:name w:val="UserStyle_4"/>
    <w:basedOn w:val="1"/>
    <w:autoRedefine/>
    <w:qFormat/>
    <w:uiPriority w:val="99"/>
    <w:pPr>
      <w:spacing w:line="400" w:lineRule="exact"/>
      <w:ind w:firstLine="200" w:firstLineChars="200"/>
      <w:textAlignment w:val="baseline"/>
    </w:pPr>
    <w:rPr>
      <w:sz w:val="24"/>
      <w:szCs w:val="24"/>
    </w:rPr>
  </w:style>
  <w:style w:type="character" w:customStyle="1" w:styleId="36">
    <w:name w:val="NormalCharacter"/>
    <w:autoRedefine/>
    <w:semiHidden/>
    <w:qFormat/>
    <w:uiPriority w:val="99"/>
    <w:rPr>
      <w:rFonts w:ascii="Calibri" w:hAnsi="Calibri" w:eastAsia="宋体" w:cs="Calibri"/>
      <w:kern w:val="2"/>
      <w:sz w:val="24"/>
      <w:szCs w:val="24"/>
      <w:lang w:val="en-US" w:eastAsia="zh-CN"/>
    </w:rPr>
  </w:style>
  <w:style w:type="paragraph" w:customStyle="1" w:styleId="37">
    <w:name w:val="Table Paragraph"/>
    <w:basedOn w:val="1"/>
    <w:autoRedefine/>
    <w:qFormat/>
    <w:uiPriority w:val="0"/>
    <w:pPr>
      <w:autoSpaceDE w:val="0"/>
      <w:autoSpaceDN w:val="0"/>
      <w:jc w:val="left"/>
    </w:pPr>
    <w:rPr>
      <w:rFonts w:ascii="宋体" w:hAnsi="宋体" w:cs="宋体"/>
      <w:kern w:val="0"/>
      <w:sz w:val="22"/>
      <w:szCs w:val="22"/>
      <w:lang w:val="zh-CN"/>
    </w:rPr>
  </w:style>
  <w:style w:type="character" w:customStyle="1" w:styleId="38">
    <w:name w:val="font01"/>
    <w:basedOn w:val="26"/>
    <w:autoRedefine/>
    <w:qFormat/>
    <w:uiPriority w:val="0"/>
    <w:rPr>
      <w:rFonts w:hint="eastAsia" w:ascii="宋体" w:hAnsi="宋体" w:eastAsia="宋体" w:cs="宋体"/>
      <w:color w:val="000000"/>
      <w:sz w:val="22"/>
      <w:szCs w:val="22"/>
      <w:u w:val="none"/>
    </w:rPr>
  </w:style>
  <w:style w:type="character" w:customStyle="1" w:styleId="39">
    <w:name w:val="font41"/>
    <w:basedOn w:val="26"/>
    <w:autoRedefine/>
    <w:qFormat/>
    <w:uiPriority w:val="0"/>
    <w:rPr>
      <w:rFonts w:hint="eastAsia" w:ascii="宋体" w:hAnsi="宋体" w:eastAsia="宋体" w:cs="宋体"/>
      <w:b/>
      <w:color w:val="000000"/>
      <w:sz w:val="21"/>
      <w:szCs w:val="21"/>
      <w:u w:val="none"/>
    </w:rPr>
  </w:style>
  <w:style w:type="character" w:customStyle="1" w:styleId="40">
    <w:name w:val="font11"/>
    <w:basedOn w:val="26"/>
    <w:autoRedefine/>
    <w:qFormat/>
    <w:uiPriority w:val="0"/>
    <w:rPr>
      <w:rFonts w:hint="eastAsia" w:ascii="宋体" w:hAnsi="宋体" w:eastAsia="宋体" w:cs="宋体"/>
      <w:b/>
      <w:color w:val="000000"/>
      <w:sz w:val="21"/>
      <w:szCs w:val="21"/>
      <w:u w:val="none"/>
    </w:rPr>
  </w:style>
  <w:style w:type="character" w:customStyle="1" w:styleId="41">
    <w:name w:val="font81"/>
    <w:basedOn w:val="26"/>
    <w:autoRedefine/>
    <w:qFormat/>
    <w:uiPriority w:val="0"/>
    <w:rPr>
      <w:rFonts w:hint="eastAsia" w:ascii="宋体" w:hAnsi="宋体" w:eastAsia="宋体" w:cs="宋体"/>
      <w:color w:val="000000"/>
      <w:sz w:val="21"/>
      <w:szCs w:val="21"/>
      <w:u w:val="none"/>
    </w:rPr>
  </w:style>
  <w:style w:type="paragraph" w:customStyle="1" w:styleId="42">
    <w:name w:val="样式 首行缩进:  2 字符"/>
    <w:basedOn w:val="1"/>
    <w:autoRedefine/>
    <w:qFormat/>
    <w:uiPriority w:val="0"/>
    <w:pPr>
      <w:spacing w:line="400" w:lineRule="exact"/>
      <w:ind w:firstLine="200" w:firstLineChars="200"/>
    </w:pPr>
    <w:rPr>
      <w:rFonts w:cs="宋体"/>
      <w:sz w:val="24"/>
    </w:rPr>
  </w:style>
  <w:style w:type="character" w:customStyle="1" w:styleId="43">
    <w:name w:val="font71"/>
    <w:basedOn w:val="26"/>
    <w:autoRedefine/>
    <w:qFormat/>
    <w:uiPriority w:val="0"/>
    <w:rPr>
      <w:rFonts w:hint="eastAsia" w:ascii="宋体" w:hAnsi="宋体" w:eastAsia="宋体" w:cs="宋体"/>
      <w:color w:val="000000"/>
      <w:sz w:val="22"/>
      <w:szCs w:val="22"/>
      <w:u w:val="none"/>
    </w:rPr>
  </w:style>
  <w:style w:type="character" w:customStyle="1" w:styleId="44">
    <w:name w:val="font112"/>
    <w:basedOn w:val="26"/>
    <w:autoRedefine/>
    <w:qFormat/>
    <w:uiPriority w:val="0"/>
    <w:rPr>
      <w:rFonts w:ascii="宋体" w:hAnsi="宋体" w:eastAsia="宋体" w:cs="宋体"/>
      <w:color w:val="000000"/>
      <w:sz w:val="22"/>
      <w:szCs w:val="22"/>
      <w:u w:val="none"/>
    </w:rPr>
  </w:style>
  <w:style w:type="character" w:customStyle="1" w:styleId="45">
    <w:name w:val="font121"/>
    <w:basedOn w:val="26"/>
    <w:autoRedefine/>
    <w:qFormat/>
    <w:uiPriority w:val="0"/>
    <w:rPr>
      <w:rFonts w:hint="eastAsia" w:ascii="宋体" w:hAnsi="宋体" w:eastAsia="宋体" w:cs="宋体"/>
      <w:color w:val="000000"/>
      <w:sz w:val="22"/>
      <w:szCs w:val="22"/>
      <w:u w:val="none"/>
      <w:vertAlign w:val="superscript"/>
    </w:rPr>
  </w:style>
  <w:style w:type="paragraph" w:customStyle="1" w:styleId="46">
    <w:name w:val="正文首行缩进两字符"/>
    <w:basedOn w:val="1"/>
    <w:autoRedefine/>
    <w:qFormat/>
    <w:uiPriority w:val="0"/>
    <w:pPr>
      <w:spacing w:line="360" w:lineRule="auto"/>
      <w:ind w:firstLine="200" w:firstLineChars="200"/>
    </w:pPr>
  </w:style>
  <w:style w:type="paragraph" w:customStyle="1" w:styleId="47">
    <w:name w:val="表格"/>
    <w:basedOn w:val="1"/>
    <w:autoRedefine/>
    <w:qFormat/>
    <w:uiPriority w:val="99"/>
    <w:pPr>
      <w:spacing w:line="400" w:lineRule="exact"/>
    </w:pPr>
    <w:rPr>
      <w:rFonts w:ascii="等线" w:hAnsi="等线" w:eastAsia="等线"/>
      <w:kern w:val="0"/>
      <w:sz w:val="24"/>
    </w:rPr>
  </w:style>
  <w:style w:type="paragraph" w:customStyle="1" w:styleId="4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49">
    <w:name w:val="font51"/>
    <w:basedOn w:val="26"/>
    <w:autoRedefine/>
    <w:qFormat/>
    <w:uiPriority w:val="0"/>
    <w:rPr>
      <w:rFonts w:hint="eastAsia" w:ascii="宋体" w:hAnsi="宋体" w:eastAsia="宋体" w:cs="宋体"/>
      <w:color w:val="000000"/>
      <w:sz w:val="21"/>
      <w:szCs w:val="21"/>
      <w:u w:val="none"/>
    </w:rPr>
  </w:style>
  <w:style w:type="character" w:customStyle="1" w:styleId="50">
    <w:name w:val="font31"/>
    <w:basedOn w:val="26"/>
    <w:autoRedefine/>
    <w:qFormat/>
    <w:uiPriority w:val="0"/>
    <w:rPr>
      <w:rFonts w:hint="eastAsia" w:ascii="宋体" w:hAnsi="宋体" w:eastAsia="宋体" w:cs="宋体"/>
      <w:b/>
      <w:bCs/>
      <w:color w:val="000000"/>
      <w:sz w:val="21"/>
      <w:szCs w:val="21"/>
      <w:u w:val="none"/>
    </w:rPr>
  </w:style>
  <w:style w:type="character" w:customStyle="1" w:styleId="51">
    <w:name w:val="font21"/>
    <w:basedOn w:val="26"/>
    <w:autoRedefine/>
    <w:qFormat/>
    <w:uiPriority w:val="0"/>
    <w:rPr>
      <w:rFonts w:hint="eastAsia" w:ascii="宋体" w:hAnsi="宋体" w:eastAsia="宋体" w:cs="宋体"/>
      <w:b/>
      <w:bCs/>
      <w:color w:val="000000"/>
      <w:sz w:val="21"/>
      <w:szCs w:val="21"/>
      <w:u w:val="none"/>
    </w:rPr>
  </w:style>
  <w:style w:type="character" w:customStyle="1" w:styleId="52">
    <w:name w:val="font101"/>
    <w:basedOn w:val="26"/>
    <w:autoRedefine/>
    <w:qFormat/>
    <w:uiPriority w:val="0"/>
    <w:rPr>
      <w:rFonts w:hint="eastAsia" w:ascii="宋体" w:hAnsi="宋体" w:eastAsia="宋体" w:cs="宋体"/>
      <w:color w:val="000000"/>
      <w:sz w:val="21"/>
      <w:szCs w:val="21"/>
      <w:u w:val="none"/>
      <w:vertAlign w:val="superscript"/>
    </w:rPr>
  </w:style>
  <w:style w:type="character" w:customStyle="1" w:styleId="53">
    <w:name w:val="font61"/>
    <w:basedOn w:val="26"/>
    <w:autoRedefine/>
    <w:qFormat/>
    <w:uiPriority w:val="0"/>
    <w:rPr>
      <w:rFonts w:hint="eastAsia" w:ascii="宋体" w:hAnsi="宋体" w:eastAsia="宋体" w:cs="宋体"/>
      <w:color w:val="C00000"/>
      <w:sz w:val="21"/>
      <w:szCs w:val="21"/>
      <w:u w:val="none"/>
    </w:rPr>
  </w:style>
  <w:style w:type="paragraph" w:customStyle="1" w:styleId="54">
    <w:name w:val="Body text|1"/>
    <w:basedOn w:val="1"/>
    <w:autoRedefine/>
    <w:qFormat/>
    <w:uiPriority w:val="0"/>
    <w:pPr>
      <w:spacing w:line="276" w:lineRule="auto"/>
      <w:ind w:firstLine="20"/>
    </w:pPr>
    <w:rPr>
      <w:rFonts w:ascii="宋体" w:hAnsi="宋体" w:eastAsia="宋体" w:cs="宋体"/>
      <w:lang w:val="zh-TW" w:eastAsia="zh-TW" w:bidi="zh-TW"/>
    </w:rPr>
  </w:style>
  <w:style w:type="paragraph" w:customStyle="1" w:styleId="55">
    <w:name w:val="列出段落1"/>
    <w:basedOn w:val="1"/>
    <w:autoRedefine/>
    <w:qFormat/>
    <w:uiPriority w:val="0"/>
    <w:pPr>
      <w:ind w:firstLine="420" w:firstLineChars="200"/>
    </w:pPr>
  </w:style>
  <w:style w:type="paragraph" w:styleId="56">
    <w:name w:val="List Paragraph"/>
    <w:basedOn w:val="1"/>
    <w:autoRedefine/>
    <w:qFormat/>
    <w:uiPriority w:val="0"/>
    <w:pPr>
      <w:ind w:firstLine="420" w:firstLineChars="200"/>
    </w:pPr>
  </w:style>
  <w:style w:type="paragraph" w:customStyle="1" w:styleId="57">
    <w:name w:val="正文2"/>
    <w:basedOn w:val="1"/>
    <w:autoRedefine/>
    <w:qFormat/>
    <w:uiPriority w:val="0"/>
    <w:pPr>
      <w:spacing w:line="360" w:lineRule="auto"/>
      <w:ind w:firstLine="420" w:firstLineChars="200"/>
    </w:pPr>
    <w:rPr>
      <w:sz w:val="24"/>
    </w:rPr>
  </w:style>
  <w:style w:type="paragraph" w:customStyle="1" w:styleId="58">
    <w:name w:val="列表段落1"/>
    <w:basedOn w:val="1"/>
    <w:autoRedefine/>
    <w:qFormat/>
    <w:uiPriority w:val="34"/>
    <w:pPr>
      <w:ind w:firstLine="420" w:firstLineChars="200"/>
    </w:pPr>
  </w:style>
  <w:style w:type="paragraph" w:customStyle="1" w:styleId="59">
    <w:name w:val="正文 首行缩进:  2 字符"/>
    <w:basedOn w:val="1"/>
    <w:autoRedefine/>
    <w:qFormat/>
    <w:uiPriority w:val="99"/>
    <w:pPr>
      <w:ind w:firstLine="579" w:firstLineChars="200"/>
    </w:pPr>
    <w:rPr>
      <w:rFonts w:cs="宋体"/>
      <w:sz w:val="28"/>
    </w:rPr>
  </w:style>
  <w:style w:type="paragraph" w:customStyle="1" w:styleId="60">
    <w:name w:val="Normal_3"/>
    <w:autoRedefine/>
    <w:qFormat/>
    <w:uiPriority w:val="99"/>
    <w:pPr>
      <w:widowControl w:val="0"/>
      <w:jc w:val="both"/>
    </w:pPr>
    <w:rPr>
      <w:rFonts w:ascii="Calibri" w:hAnsi="Calibri" w:eastAsia="宋体" w:cs="Calibri"/>
      <w:kern w:val="2"/>
      <w:sz w:val="21"/>
      <w:szCs w:val="21"/>
      <w:lang w:val="en-US" w:eastAsia="zh-CN" w:bidi="ar-SA"/>
    </w:rPr>
  </w:style>
  <w:style w:type="paragraph" w:customStyle="1" w:styleId="61">
    <w:name w:val="_Style 1"/>
    <w:basedOn w:val="1"/>
    <w:autoRedefine/>
    <w:qFormat/>
    <w:uiPriority w:val="99"/>
    <w:pPr>
      <w:ind w:firstLine="420" w:firstLineChars="200"/>
    </w:pPr>
    <w:rPr>
      <w:rFonts w:ascii="Calibri" w:hAnsi="Calibri" w:cs="宋体"/>
      <w:szCs w:val="21"/>
    </w:rPr>
  </w:style>
  <w:style w:type="paragraph" w:customStyle="1" w:styleId="62">
    <w:name w:val="表格文字"/>
    <w:basedOn w:val="1"/>
    <w:autoRedefine/>
    <w:qFormat/>
    <w:uiPriority w:val="0"/>
    <w:pPr>
      <w:spacing w:before="25" w:after="25" w:line="240" w:lineRule="auto"/>
      <w:ind w:firstLine="0"/>
      <w:jc w:val="left"/>
    </w:pPr>
    <w:rPr>
      <w:spacing w:val="10"/>
      <w:kern w:val="0"/>
      <w:sz w:val="24"/>
      <w:szCs w:val="24"/>
    </w:rPr>
  </w:style>
  <w:style w:type="paragraph" w:styleId="63">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table" w:customStyle="1" w:styleId="64">
    <w:name w:val="网格型1"/>
    <w:basedOn w:val="24"/>
    <w:autoRedefine/>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5">
    <w:name w:val="正文_1"/>
    <w:autoRedefine/>
    <w:qFormat/>
    <w:uiPriority w:val="0"/>
    <w:pPr>
      <w:widowControl w:val="0"/>
      <w:jc w:val="both"/>
    </w:pPr>
    <w:rPr>
      <w:rFonts w:hint="eastAsia" w:ascii="Calibri" w:hAnsi="Calibri" w:eastAsia="宋体" w:cs="Times New Roman"/>
      <w:kern w:val="2"/>
      <w:sz w:val="21"/>
      <w:lang w:val="en-US" w:eastAsia="zh-CN" w:bidi="ar-SA"/>
    </w:rPr>
  </w:style>
  <w:style w:type="table" w:customStyle="1" w:styleId="66">
    <w:name w:val="Table Normal"/>
    <w:unhideWhenUsed/>
    <w:qFormat/>
    <w:uiPriority w:val="0"/>
    <w:tblPr>
      <w:tblCellMar>
        <w:top w:w="0" w:type="dxa"/>
        <w:left w:w="0" w:type="dxa"/>
        <w:bottom w:w="0" w:type="dxa"/>
        <w:right w:w="0" w:type="dxa"/>
      </w:tblCellMar>
    </w:tblPr>
  </w:style>
  <w:style w:type="paragraph" w:customStyle="1" w:styleId="67">
    <w:name w:val="null3"/>
    <w:qFormat/>
    <w:uiPriority w:val="0"/>
    <w:rPr>
      <w:rFonts w:hint="eastAsia" w:ascii="Calibri" w:hAnsi="Calibri" w:eastAsia="宋体" w:cs="Times New Roman"/>
      <w:kern w:val="0"/>
      <w:sz w:val="20"/>
      <w:szCs w:val="20"/>
      <w:lang w:val="en-US" w:eastAsia="zh-Hans" w:bidi="ar-SA"/>
    </w:rPr>
  </w:style>
  <w:style w:type="paragraph" w:customStyle="1" w:styleId="68">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69">
    <w:name w:val="列出段落21"/>
    <w:basedOn w:val="1"/>
    <w:qFormat/>
    <w:uiPriority w:val="99"/>
    <w:pPr>
      <w:ind w:firstLine="420" w:firstLineChars="200"/>
    </w:pPr>
    <w:rPr>
      <w:kern w:val="0"/>
      <w:sz w:val="24"/>
      <w:szCs w:val="24"/>
    </w:rPr>
  </w:style>
  <w:style w:type="paragraph" w:styleId="70">
    <w:name w:val="Quote"/>
    <w:basedOn w:val="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6465</Words>
  <Characters>6807</Characters>
  <Lines>0</Lines>
  <Paragraphs>0</Paragraphs>
  <TotalTime>0</TotalTime>
  <ScaleCrop>false</ScaleCrop>
  <LinksUpToDate>false</LinksUpToDate>
  <CharactersWithSpaces>7142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2020-05-21T01:15:00Z</dcterms:created>
  <dc:creator>呵呵</dc:creator>
  <cp:lastModifiedBy>Administrator</cp:lastModifiedBy>
  <cp:lastPrinted>2022-01-06T02:13:00Z</cp:lastPrinted>
  <dcterms:modified xsi:type="dcterms:W3CDTF">2024-08-19T07:33:12Z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DE19EC7827AE41B59E7F5D5EB6DCA342</vt:lpwstr>
  </property>
</Properties>
</file>