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835EDE">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技术、服务及其他要求</w:t>
      </w:r>
    </w:p>
    <w:p w14:paraId="6938CC9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4F18AB64">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4B6D14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69B3B9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3,297,000.00</w:t>
      </w:r>
    </w:p>
    <w:p w14:paraId="1011B7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3,295,000.00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01B95D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4B8B44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28BB65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1AE845E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20238F2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6E8E919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4ECDB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4181B87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0D6B5C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1F29E8C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58532E2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75B0F6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73368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50168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3CFCFE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C05040100 公共安全服务</w:t>
            </w:r>
          </w:p>
        </w:tc>
        <w:tc>
          <w:tcPr>
            <w:tcW w:w="821" w:type="dxa"/>
          </w:tcPr>
          <w:p w14:paraId="3F2C6C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2027年至2029年安保服务</w:t>
            </w:r>
          </w:p>
        </w:tc>
        <w:tc>
          <w:tcPr>
            <w:tcW w:w="821" w:type="dxa"/>
          </w:tcPr>
          <w:p w14:paraId="4A3F5006">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7DD09B7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3,295,000.00</w:t>
            </w:r>
          </w:p>
        </w:tc>
        <w:tc>
          <w:tcPr>
            <w:tcW w:w="821" w:type="dxa"/>
          </w:tcPr>
          <w:p w14:paraId="67480D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租赁和商务服务业</w:t>
            </w:r>
          </w:p>
        </w:tc>
        <w:tc>
          <w:tcPr>
            <w:tcW w:w="821" w:type="dxa"/>
          </w:tcPr>
          <w:p w14:paraId="78E54C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672C91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3882A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1463A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F1904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6CFB0B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是否适用本国产品标准：否</w:t>
      </w:r>
    </w:p>
    <w:p w14:paraId="7682A4F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686819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1E8CB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E5A9A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37B81A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34D318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6F1C36B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6C13E6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1258CA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2CD3A4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585ED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3A66F4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2027年至2029年安保服务</w:t>
            </w:r>
          </w:p>
        </w:tc>
        <w:tc>
          <w:tcPr>
            <w:tcW w:w="1138" w:type="dxa"/>
          </w:tcPr>
          <w:p w14:paraId="17F684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6441A24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3,295,000.00</w:t>
            </w:r>
          </w:p>
        </w:tc>
        <w:tc>
          <w:tcPr>
            <w:tcW w:w="1138" w:type="dxa"/>
          </w:tcPr>
          <w:p w14:paraId="472B161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65BCE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465FD8A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★注：采购包涉及采购货物的，投标人响应产品应当明确品牌和规格型号并指向唯一产品，不能指向唯一产品的，应通过报价表唯一产品说明栏补充说明。</w:t>
      </w:r>
    </w:p>
    <w:p w14:paraId="0B556CD0">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本项目涉及核心产品：</w:t>
      </w:r>
    </w:p>
    <w:p w14:paraId="7121FD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AEC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808D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D9DD9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89419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BD535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8DBA5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D67E6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E9C15B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0449A86C">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67E5BF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6FB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7096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35B55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8A234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85CC3C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445DD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CAB9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055CAE5">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51C55123">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2F9337A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FFE9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F11D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11A760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ECBDEF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447DE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5D90E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727732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7FAAF0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548523A">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1D5C92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E665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8BEC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3C5FFE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42AE79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F3FC22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3FF3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BD46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E20381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0D004B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1F0C5F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8E383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4D61A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CB9F9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E208B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F3AF9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4EE9E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FC214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0DDA667">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1795BE4">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5ED7B7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0C9AD6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标的名称：2027年至2029年安保服务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E77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3346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60BBFF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89CAE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D452A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3A2CBC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7C050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89F0E4F">
            <w:pPr>
              <w:rPr>
                <w:rFonts w:ascii="Calibri" w:hAnsi="Calibri" w:eastAsia="宋体" w:cs="Times New Roman"/>
              </w:rPr>
            </w:pPr>
          </w:p>
        </w:tc>
        <w:tc>
          <w:tcPr>
            <w:tcW w:w="1495" w:type="dxa"/>
          </w:tcPr>
          <w:p w14:paraId="468376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c>
          <w:tcPr>
            <w:tcW w:w="5814" w:type="dxa"/>
          </w:tcPr>
          <w:p w14:paraId="21C51238">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一、治安保卫服务内容及要求</w:t>
            </w:r>
          </w:p>
          <w:p w14:paraId="2D19A857">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（一）标准化管理体系建设</w:t>
            </w:r>
          </w:p>
          <w:p w14:paraId="35427B4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供应商进场后1个月内完成全院安保全套标准化制度建设，建立完整台账，包含门卫管理、巡逻、消防控制室、交接班、接处警、培训演练、投诉处理、设备维保、人员考核、信息保密等各项管理制度、岗位说明书、设备操作规程、突发事件处置流程；</w:t>
            </w:r>
          </w:p>
          <w:p w14:paraId="6F31A25F">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2.按月、季、年度制定安保工作计划及工作总结，每月出具安全数据总结、隐患分析书面报表报送医院安全保卫部，针对安全薄弱环节持续整改闭环；</w:t>
            </w:r>
          </w:p>
          <w:p w14:paraId="54AF600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3.建立完整人员人事档案、排班考勤、月度考核记录；全员统一着装、配齐安保装备、规范仪容仪表，不合格人员经采购人发现后7日内需完成更换；</w:t>
            </w:r>
          </w:p>
          <w:p w14:paraId="49D938F6">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4.常态化培训要求:每半月开展1次全员列队体能训练；每月至少组织1次反恐防爆、初期灭火的实战培训及演练；留存完整照片、视频、签到台账备查；</w:t>
            </w:r>
          </w:p>
          <w:p w14:paraId="0E7AF4E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5.配合采购人完成上级安全专项检查、院内大型活动安保保障，独立编制专项安保方案并落地执行，服从医院临时调度安排。</w:t>
            </w:r>
          </w:p>
          <w:p w14:paraId="5B7414C8">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(二)日常院内治安秩序管控</w:t>
            </w:r>
          </w:p>
          <w:p w14:paraId="4A0BF5C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★1.各岗位24小时定岗值守，定时分区巡查，完整留存巡逻、值班、交接班纸质台账；清理院内闲散人员，盘查可疑人员、危险物品，协助公安部门打击医托、盗窃、寻衅滋事等违法行为；</w:t>
            </w:r>
          </w:p>
          <w:p w14:paraId="56E043B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 5分钟内到场处置医患纠纷、院内肢体冲突；文明规范劝阻在院区摆花圈、拉横幅、搭设灵堂、焚烧纸钱等扰乱正常医疗秩序行为，处置不当引发治安案件、法律纠纷全部由供应商承担责任；</w:t>
            </w:r>
          </w:p>
          <w:p w14:paraId="0E6600F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收费处、药房、手术室、急诊、儿科、档案室、行政财务室、后勤楼食堂、锅炉房、中心供氧站、配电房、实验室、危化品库房、ICU病区、水泵房、消防控制室、药剂科库房、中心档案室重点区域专人值守，严防盗窃、滋扰、财物破坏；夜间加密住院楼、地下室、老旧院区防火防盗巡查频次；</w:t>
            </w:r>
          </w:p>
          <w:p w14:paraId="14BF9BA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分级处突机制:一般治安隐患（包含的情形有：①人员情绪异常:就诊人员醉酒、情绪激动、扬言要闹事，但暂未发生行为；②重点区域门禁、监控缺损，巡更不到位，物防设施损坏；③外来人员游荡逗留、反复徘徊，形迹可疑，暂未实施违法行为；④防暴八件套、应急器材摆放不规范、缺失、过期；⑤访客管理松散，无关人员随意进出重点科室；⑥矛盾苗头:已经出现投诉、多次表达不满，有发生冲突潜在可能；⑦通道、出入口易发生争执的环境风险，无人员疏导。）、小型纠纷（包含的情形有：①医患口角、言语争执、投诉争吵，只有口头争吵，无推操、无辱骂威胁升级；②家属之间、患者之间排队、床位、噪音、费用等琐事拌嘴；③家属对诊疗结果不满，发牢骚、抱怨，仅口头表达诉求；④轻微拉扯，没有摔倒、受伤，无砸毁物品;双方情绪尚可沟通；⑤1-3人，短时争执，不堵通道、不围堵诊室办公室）5分钟内到场控制事态；事态无法现场控制时，启动应急小组处置（开展隔离、稳控、疏导、警戒、救助先期处置，同步逐级上报），事后出具处置记录（包含时间、地点、人物、起因、经过、行为、处置、结果、后续、佐证全部闭环，相关记录无断层、无留白、无模糊描述）、事件复盘总结。</w:t>
            </w:r>
          </w:p>
          <w:p w14:paraId="42EAC22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投标时提供全套安保管理台账样表，包含岗位交接班、重点部位巡查、装备检查、事件处置、培训、隐患整改等检查表模板，内容包含①安保岗位值守巡查记录表、②院区重点部位巡查表(液氧站、配电房、消防控制室、停车场、出入口等)、③防暴装备、对讲机、执法记录仪日常检查维护表、④突发事件处置登记台账(纠纷、滋事、伤医警情记录)、⑤保安员岗前/日常培训记录表、⑥人员交接班记录表、⑦消防、监控设备巡检检查表、⑧隐患排查及整改闭环记录表。</w:t>
            </w:r>
          </w:p>
          <w:p w14:paraId="7274373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（三）保密与安全责任划分</w:t>
            </w:r>
          </w:p>
          <w:p w14:paraId="468679A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1.所有安保人员签订安保责任书，严禁泄露患者隐私、医院运营数据、医疗纠纷信息、监控录像资料；违规造成经济、名誉损失由供应商全额赔偿。</w:t>
            </w:r>
          </w:p>
          <w:p w14:paraId="565359B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2.安保人员在岗履职期间造成采购人、第三方人身伤害、财产损失、名誉损害，全部法律责任、经济赔偿由供应商独立承担，采购人不承担任何连带责任。</w:t>
            </w:r>
          </w:p>
          <w:p w14:paraId="3B9F7D4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二、</w:t>
            </w:r>
            <w:r>
              <w:rPr>
                <w:rFonts w:hint="eastAsia" w:ascii="仿宋_GB2312" w:hAnsi="仿宋_GB2312" w:eastAsia="仿宋_GB2312" w:cs="仿宋_GB2312"/>
                <w:b/>
                <w:sz w:val="24"/>
                <w:lang w:val="en-US" w:eastAsia="zh-Hans"/>
              </w:rPr>
              <w:t>消防安全服务内容及要求</w:t>
            </w:r>
          </w:p>
          <w:p w14:paraId="1D80E9D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★1.消防控制室须双人24小时持证在岗值班，熟练操作消防主机、视频监控、门禁联动系统，实时接警调度现场处置、完整登记值班记录、故障报修、设备巡检台账；</w:t>
            </w:r>
          </w:p>
          <w:p w14:paraId="3BAC471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2.防火巡查频次标准:门诊、住院区域白天每日不少于2小时1次；急诊、住院病区夜间每日不少于2次；行政、后勤区域每日不少于1次；每日工作结束全面清场，消除遗留火种，巡查记录真实可追溯；</w:t>
            </w:r>
          </w:p>
          <w:p w14:paraId="7B49076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3.每半月开展一次分区巡检消防泵房、屋顶水箱、消火栓、灭火器、应急照明疏散设施，建立全院消防设施台账；每月开展一次全院消防安全专项排查，安全隐患书面上报采购人并限期整改闭环；</w:t>
            </w:r>
          </w:p>
          <w:p w14:paraId="6C9E715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4.协助医院管理义务消防队、微型消防站；每月组织全员消防培训、灭火实操演练，熟练掌握初期火灾扑救、人员疏散引导全流程；</w:t>
            </w:r>
          </w:p>
          <w:p w14:paraId="3E3B2BB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5.因巡查缺位、消防管控不力引发火灾、重大消防隐患事故，供应商承担全部财产损失赔偿，并接受采购人经济处罚，情节严重采购人可直接终止服务合同；</w:t>
            </w:r>
          </w:p>
          <w:p w14:paraId="1FAF050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6.配合采购人完成各类上级消防安全检查、消防评审、安保消防资料整理，全院各科室每半年至少一次面向医护人员、就诊患者开展消防安全科普教学。</w:t>
            </w:r>
          </w:p>
          <w:p w14:paraId="1813BE92">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★三、安保装备及办公物资配置要求</w:t>
            </w:r>
          </w:p>
          <w:p w14:paraId="26BEF5B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1.本项目所有个人基础安保装备、公共应急防暴装备、办公物资均由供应商自行配置，设备产权归属供应商，耗材、维修、更换费用由供应商自行承担。</w:t>
            </w:r>
          </w:p>
          <w:p w14:paraId="0CAF101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个人基础安保装备(人手一套，定期更新)：制式帽子、全套夏季、秋季制服、工作鞋、雨衣、雨靴、多功能腰带、强光手电、对讲机、橡胶警棍、催泪喷射器、防刺手套、约束捆绳、防刺背心、防暴头盔。（注：消防控制室值守安保人员工作服应与普通安保岗位人员制式服装有所区分）</w:t>
            </w:r>
          </w:p>
          <w:p w14:paraId="16A68D3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3.公共应急防暴装备(全院足额配置)：防暴盾牌、防暴钢叉、长短防暴棍、警戒隔离栏、警戒带、交通锥形筒、手持金属探测器、执法记录仪；各人员全员佩戴执法记录仪并能熟练使用；</w:t>
            </w:r>
          </w:p>
          <w:p w14:paraId="5EA9AE0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4.项目办公物资：由采购人提供专用办公场地，供应商自行配置电脑、打印机、文件柜、办公桌椅、全套安保消防标识标牌。</w:t>
            </w:r>
          </w:p>
          <w:p w14:paraId="075C7CA8">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为保障采购人的正常工作秩序，合同签订时供应商应提供拟投入本项目的安保装备（至少包含防暴盾牌、防暴钢又、防刺背心、防刺手套、强光手电、对讲机、执法记录仪、全套夏季、秋季制服）完整清单，清单须列明设备的名称、规格型号、数量，以及夏季、秋季制服样式图片。交采购人逐一核定，复印件交采购人存档，如果供应商不能提供或不能完整提供或提供不真实资料或无效资料或与投标文件不一致采购人将依法上报财政部门处理。人员进驻当日，采购人将根据合同签订时供应商所提供的相关信息一一核对，如不满足，不得进场，由此造成的相关费用支出及损失由供应商负责承担。</w:t>
            </w:r>
          </w:p>
          <w:p w14:paraId="7E28F0B6">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四、安保人员配置要求</w:t>
            </w:r>
          </w:p>
          <w:p w14:paraId="044C72D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（一）总体要求：</w:t>
            </w:r>
          </w:p>
          <w:p w14:paraId="7302A90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1.本项目最低配置安保人员不少于57人；白班在岗总人数≥20人，夜班在岗总人数≥12人，全程不得脱岗、空岗、睡岗。</w:t>
            </w:r>
          </w:p>
          <w:p w14:paraId="1D11C0B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（二）项目管理人员配置：</w:t>
            </w:r>
          </w:p>
          <w:p w14:paraId="7A291BB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配置专职现场负责人1名，要求全时段驻院开展管理工作，不得兼任其他项目职务，负责统筹对接医院安全保卫部的各项工作安排，落实日常安保工作调度、人员考勤管理、应急事件带队处置、每月工作台账梳理汇总；</w:t>
            </w:r>
          </w:p>
          <w:p w14:paraId="6FF97E5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2.配置安保负责人1名，要求全时段驻院开展管理工作，要求具有安保管理从业年限≥5年，熟悉消防管理规范、治安管理规范、医疗纠纷全流程处置流程，能够熟练应对医院各类突发安全事件；</w:t>
            </w:r>
          </w:p>
          <w:p w14:paraId="0FA1091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配置消防主管队长1名，全时段在岗（排班正常休假例外），负责日常消防控制室管理、消防设施巡查、消防台账登记、消防隐患排查整改对接、消防宣传及义务消防队员的培训演练等工作，熟悉医院消防布局与各类消防设施操作规范；</w:t>
            </w:r>
          </w:p>
          <w:p w14:paraId="2E9969B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配置治安主管队长1名，要求全时段在岗（排班正常休假除外），牵头负责院区日常治安秩序维护、治安巡逻安排、重点区域值守调度、突发治安事件及医疗纠纷冲突的先期处置对接，熟悉公安机关治安管理工作要求，掌握医疗场所突发冲突处置规范；</w:t>
            </w:r>
          </w:p>
          <w:p w14:paraId="7C26153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专职现场负责人或安保负责人每月走访全院各临床、行政科室，收集安保服务满意度意见，梳理建立问题台账，针对收集到的问题制定整改方案并明确整改时限，将整改结果反馈给对应科室及医院安全保卫部，同步形成月度管理工作报告提交采购人备案。专职现场负责人和安保负责人均须纳入医院日常考勤管理，脱岗、缺勤按《日常违规标准》进行考核扣款。</w:t>
            </w:r>
          </w:p>
          <w:p w14:paraId="556ACE1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（三）人员基本要求：</w:t>
            </w:r>
          </w:p>
          <w:p w14:paraId="052C833F">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1.年龄50周岁以内，45周岁以上人员不得超过总派驻人数比例20%（消防控制室岗可放宽至55周岁以内）；男性身高≥1.6m，女性身高≥1.55m，身体健康，无影响履职的疾病；初中及以上学历，普通话沟通流利；</w:t>
            </w:r>
          </w:p>
          <w:p w14:paraId="56BFF81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★2.无犯罪记录、无精神类疾病、无传染性疾病，上岗前提交正规医院体检合格报告；</w:t>
            </w:r>
          </w:p>
          <w:p w14:paraId="6A400BA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全员持有有效《无犯罪记录证明》、《保安员证》；消防控制室值班人员必须持有依据2008年标准颁发的《建（构）筑物消防员》中级及以上或依据2019年版标准颁发的《消防设施操作员》中级（四级）及以上（职业方向：消防设施监控操作)或依据2026年标准颁发的《消防设施操作员》四级/中级工证书；未经医院安全保卫部书面同意，不得随意更换在岗人员；</w:t>
            </w:r>
          </w:p>
          <w:p w14:paraId="260282C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4.退伍军人占派驻总人数≥20%，具备应急处突、医患纠纷维稳处置能力；</w:t>
            </w:r>
          </w:p>
          <w:p w14:paraId="04BD752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5.所有人员入职前完成无犯罪记录审核、岗前培训考核，合格后方可持证上岗；</w:t>
            </w:r>
          </w:p>
          <w:p w14:paraId="69FCC2B8">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6.人员更换、新增必须提前向医院安全保卫部报备，审核通过后方可到岗。</w:t>
            </w:r>
          </w:p>
          <w:p w14:paraId="62D1E23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（四）特定岗位值守配置：</w:t>
            </w:r>
          </w:p>
          <w:p w14:paraId="59249FA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1.义务消防队员≥12名，熟悉医院消防应急处置流程、消防设施器具的使用，能够按照医院要求完成日常消防巡查、隐患初查上报、突发火灾先期处置工作，配合消防主管队长完成日常消防培训及演练任务；</w:t>
            </w:r>
          </w:p>
          <w:p w14:paraId="682D5D1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2.最小应急单元队员≥12名，熟悉医院反恐防暴、治安突发事件、医患纠纷等流程的处置，熟练使用防暴装备，配合治安主管队长完成日常培训及演练任务；</w:t>
            </w:r>
          </w:p>
          <w:p w14:paraId="5820136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3.消防控制室岗≥8名、24小时双人值班，每班2名持证在岗，熟练掌握消防控制室设备的使用；</w:t>
            </w:r>
          </w:p>
          <w:p w14:paraId="56B0FEE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主要进出口安检岗位≥8名，负责医院门诊、急诊、住院后门等主要出入口的人员及随身物品安检工作，落实“逢包必检、逢疑必查”要求，严格管控管制器具、易燃易爆及有毒有害等危险物品进入院区，引导人员有序进出，维持出入口通行秩序，及时发现并上报形迹可疑人员、违规进入院区的各类违规推销人员。</w:t>
            </w:r>
          </w:p>
          <w:p w14:paraId="7CC7F723">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五、其他服务要求：</w:t>
            </w:r>
          </w:p>
          <w:p w14:paraId="2B34E74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1.院内大型会议、健康体检、义诊活动、上级督导检查等临时安保任务，供应商应在不额外增加总编制的情况下，通过内部排班调整，增派安保人员，不收取任何额外费用。</w:t>
            </w:r>
          </w:p>
          <w:p w14:paraId="27C7025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2.服务全过程接受全院职工监督，职工提供照片、视频佐证安保人员违规行为，经医院安全保卫部核实后直接执行扣款处罚。</w:t>
            </w:r>
          </w:p>
          <w:p w14:paraId="4E7B154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3.供应商对月度考核结果存在异议，可在收到考核通知5个工作日内向医院安全保卫部提交书面申诉，逾期不予受理。</w:t>
            </w:r>
          </w:p>
        </w:tc>
      </w:tr>
    </w:tbl>
    <w:p w14:paraId="21E3426E">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0F2B7D54">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510F96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EAFC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9210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17C2C3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521A905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1BBBB2D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4EE9C0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EDFD9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205A60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AF5CC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4C40A20D">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【因一体化系统固化，“3.3.2.商务要求”中的“付款进度安排”不适用本项目，供应商应答“付款进度安排”时，可仅应答本条要求即可，对于“3.3.2商务要求”中“付款进度安排”要求的应答不作强制要求】</w:t>
            </w:r>
          </w:p>
          <w:p w14:paraId="0C497C21">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1.本项目按月结算服务费，当月服务周期结束后，供应商次月10日前提交完整付款申请、全额含税增值税专用发票。采购人根据“附件：《月度考核表》+</w:t>
            </w:r>
            <w:r>
              <w:rPr>
                <w:rFonts w:hint="eastAsia" w:ascii="仿宋_GB2312" w:hAnsi="仿宋_GB2312" w:eastAsia="仿宋_GB2312" w:cs="仿宋_GB2312"/>
                <w:b/>
                <w:sz w:val="24"/>
                <w:lang w:val="en-US" w:eastAsia="zh-Hans"/>
              </w:rPr>
              <w:t>违规单项处罚标准</w:t>
            </w:r>
            <w:r>
              <w:rPr>
                <w:rFonts w:hint="eastAsia" w:ascii="仿宋_GB2312" w:hAnsi="仿宋_GB2312" w:eastAsia="仿宋_GB2312" w:cs="仿宋_GB2312"/>
                <w:sz w:val="24"/>
                <w:lang w:val="en-US" w:eastAsia="zh-Hans"/>
              </w:rPr>
              <w:t>”考核结果，将月服务费支付到合同约定的供应商账户。</w:t>
            </w:r>
          </w:p>
          <w:p w14:paraId="5C1C8416">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2.采购人安全保卫部对相关资料审核完成，满足付款条件后10个工作日内申请支付月度服务费，法定节假日顺延；未提供合规发票可暂缓付款，采购人不承担逾期付款违约责任。</w:t>
            </w:r>
          </w:p>
        </w:tc>
      </w:tr>
    </w:tbl>
    <w:p w14:paraId="18F9412C">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652B89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56270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F689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0246C4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25440C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20F730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2D8D6C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44D39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05B822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7961E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w:t>
            </w:r>
          </w:p>
        </w:tc>
        <w:tc>
          <w:tcPr>
            <w:tcW w:w="2076" w:type="dxa"/>
          </w:tcPr>
          <w:p w14:paraId="39545F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合同服务期为三年，合同一年一签；每年服务期满，由采购人依据年度综合考评结果判定是否续签下一年合同，考核不合格、发生重大安全事故的，采购人有权单方面终止合同，不予续签。</w:t>
            </w:r>
          </w:p>
        </w:tc>
      </w:tr>
      <w:tr w14:paraId="4446B1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6B6E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603DB6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7EEAEE9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服务地点</w:t>
            </w:r>
          </w:p>
        </w:tc>
        <w:tc>
          <w:tcPr>
            <w:tcW w:w="2076" w:type="dxa"/>
          </w:tcPr>
          <w:p w14:paraId="74A813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成都市龙泉驿区第一人民医院（采购人指定地点）</w:t>
            </w:r>
          </w:p>
        </w:tc>
      </w:tr>
      <w:tr w14:paraId="6D55A8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4CC1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516974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67D33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26976A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【因系统固化，本项目“验收、交付标准和方法”以此处要求为准，招标文件第二章“2.6.6.履约验收方案”中内容与此处不一致的，以此处要求为准】： 1）验收组织方式：自行验收； 2）是否邀请本项目的其他供应商：否； 3）是否邀请专家：否； 4）是否邀请服务对象：否； 5）是否邀请第三方检测机构：否； 6）履约验收程序：一次性验收； 7）履约验收时间：供应商提出验收申请之日起15日内由采购人进行验收； 8）验收组织的其他事项：无； 9）技术履约验收内容：按照本项目采购文件中“技术要求”及中标人投标文件响应情况进行验收； 10）商务履约验收内容：按照本项目采购文件中“服务要求”及中标人投标文件响应情况进行验收； 11）履约验收标准：由采购人组织，严格按照《财政部关于进一步加强政府采购需求和履约验收管理的指导意见》(财库〔2016〕205号)、招标文件要求、中标供应商的投标文件及承诺、合同约定标准进行验收； 12）履约验收其他事项： 年度履约验收： 1.每年服务期满，采购人依据《财政部关于进一步加强政府采购需求和履约验收管理的指导意见》(财库(2016]205号)开展全维度履约验收；验收不合格不予续签，15个工作日内整改仍不达标直接清场退场。</w:t>
            </w:r>
          </w:p>
        </w:tc>
      </w:tr>
      <w:tr w14:paraId="21FAB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141041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7CDD0E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E56F7A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333E73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02E411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6AFB6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34149529">
            <w:pPr>
              <w:rPr>
                <w:rFonts w:ascii="Calibri" w:hAnsi="Calibri" w:eastAsia="宋体" w:cs="Times New Roman"/>
              </w:rPr>
            </w:pPr>
          </w:p>
        </w:tc>
        <w:tc>
          <w:tcPr>
            <w:tcW w:w="2076" w:type="dxa"/>
          </w:tcPr>
          <w:p w14:paraId="084436D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669AC0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1、${payTypeName}付款条件：本项目按月结算服务费，当月服务周期结束后，供应商次月10 日前提交完整付款申请、全额含税增值税专用发票。 2.采购人安全保卫部对相关资料审核完成，满足付款条件后。达到该付款条件起10个工作日内，据实情况为采购人根据“《月度考核表》+违规单项处罚标准”考核结果，将月服务费支付到合同约定的供应商账户。法定节假日顺延；未提供合规发票可暂缓付款，采购人不承担逾期付款违约责任</w:t>
            </w:r>
            <w:r>
              <w:rPr>
                <w:rFonts w:hint="eastAsia" w:ascii="Calibri" w:hAnsi="Calibri" w:eastAsia="宋体" w:cs="Times New Roman"/>
                <w:lang w:val="en-US" w:eastAsia="zh-Hans"/>
              </w:rPr>
              <w:br w:type="textWrapping"/>
            </w:r>
          </w:p>
        </w:tc>
      </w:tr>
      <w:tr w14:paraId="7DD440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AE72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7F81DD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7A7EF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601F40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（一）违约责任： 1.甲乙双方必须遵守本合同并执行合同中的各项规定，保证本合同的正常履行。 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 （二）不可抗力事件处理： 1.在合同有效期内，任何一方因不可抗力事件导致不能履行合同，则合同履行期可延长，其延长期与不可抗力影响期相同。 2.不可抗力事件发生后，应立即通知对方，并寄送有关权威机构出具的证明。 3.不可抗力事件延续120天以上，双方应通过友好协商，确定是否继续履行合同。 （三）解决合同纠纷的方式： 1.在执行本合同中发生的或与本合同有关的争端，双方应通过友好协商解决，经协商在60天内不能达成协议时，应提交成都仲裁委员会仲裁。 2.仲裁裁决应为最终决定，并对双方具有约束力。 3.除另有裁决外，仲裁费应由败诉方负担。 4.在仲裁期间，除正在进行仲裁部分外，合同其他部分继续执行。 【以上内容中的“甲方”和“乙方”分别指代“采购人”和“中标供应商”】</w:t>
            </w:r>
          </w:p>
        </w:tc>
      </w:tr>
    </w:tbl>
    <w:p w14:paraId="2E616B34">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7F9E782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61BA32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（一）【因系统固化，本条仅作告知说明，供应商无需单独应答】未载明或者载明的标的名称、数量、计量单位及其他政府采购合同实质性内容与采购文件要求不一致，且采购单位无法接受的，属于无效响应。 （二）方案要求： 1.供应商需针对本项目提供需求分析：内容包含①结合医院布局提供安保人员部署分析；②管理重难点分析及相应措施和解决办法。所提供的内容将作为本项目评审依据，也将作为中标后履约过程中的监督及验收依据。 2.供应商需针对本项目提供项目实施方案：内容包含①消防控制室专项值守实施方案；②院区全域治安网格化防控实施方案；③医患纠纷分级处置与矛盾化解实施方案；④重点区域专项安防管控实施方案；⑤消防通道、急救通道保通专项管控方案；⑥24小时昼夜分班值守与夜间防控实施方案；⑦人员访客、车辆进出常态化管控实施方案；⑧突发事件应急处置闭环实施方案；⑨安保队伍培训、考核、稳控管理实施方案；⑩隐患排查、问题整改闭环管理方案。所提供的内容将作为本项目评审依据，也将作为中标后履约过程中的监督及验收依据。 3.供应商需针对本项目提供治安管理、消防管理服务方案，内容包含：①项目管理组织机构设置；②管理体系及制度制定方案；③各岗位职责；④人员内部考核办法；⑤服务质量保障措施；⑥投诉处理办法；⑦人员绩效奖惩办法。所提供的内容将作为本项目评审依据，也将作为中标后履约过程中的监督及验收依据。 4.供应商需针对本项目提供应急保障方案，内容包含①应急物资配备；②应急保障职责；③应急小组安排及分工。所提供的内容将作为本项目评审依据，也将作为中标后履约过程中的监督及验收依据。</w:t>
      </w:r>
    </w:p>
    <w:p w14:paraId="36B1874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917DD5"/>
    <w:rsid w:val="2D917D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2026-10-09T04:58:00Z</dcterms:created>
  <dc:creator>胡晓晴</dc:creator>
  <cp:lastModifiedBy>胡晓晴</cp:lastModifiedBy>
  <dcterms:modified xsi:type="dcterms:W3CDTF">2026-10-09T04:58:37Z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D321BCE347C7470CB7F7B29C4BCA505D_11</vt:lpwstr>
  </property>
  <property fmtid="{D5CDD505-2E9C-101B-9397-08002B2CF9AE}" pid="4" name="KSOTemplateDocerSaveRecord">
    <vt:lpwstr>eyJoZGlkIjoiYTQ1MjY2MzU1MWNhOTg2NTE3ZTFmYTFhNmMyYmE4MWIiLCJ1c2VySWQiOiIxNTA4NjgyMTg2In0=</vt:lpwstr>
  </property>
</Properties>
</file>