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AFED2F">
      <w:pPr>
        <w:pStyle w:val="4"/>
        <w:jc w:val="center"/>
        <w:outlineLvl w:val="1"/>
      </w:pPr>
      <w:r>
        <w:rPr>
          <w:rFonts w:ascii="仿宋_GB2312" w:hAnsi="仿宋_GB2312" w:eastAsia="仿宋_GB2312" w:cs="仿宋_GB2312"/>
          <w:b/>
          <w:sz w:val="36"/>
        </w:rPr>
        <w:t>技术、服务及其他要求</w:t>
      </w:r>
    </w:p>
    <w:p w14:paraId="4464109D">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25E959B9">
      <w:pPr>
        <w:pStyle w:val="4"/>
        <w:jc w:val="left"/>
        <w:outlineLvl w:val="2"/>
      </w:pPr>
      <w:r>
        <w:rPr>
          <w:rFonts w:ascii="仿宋_GB2312" w:hAnsi="仿宋_GB2312" w:eastAsia="仿宋_GB2312" w:cs="仿宋_GB2312"/>
          <w:b/>
          <w:sz w:val="28"/>
        </w:rPr>
        <w:t>3.1.采购内容</w:t>
      </w:r>
    </w:p>
    <w:p w14:paraId="21216D39">
      <w:pPr>
        <w:pStyle w:val="4"/>
        <w:jc w:val="left"/>
      </w:pPr>
      <w:r>
        <w:rPr>
          <w:rFonts w:ascii="仿宋_GB2312" w:hAnsi="仿宋_GB2312" w:eastAsia="仿宋_GB2312" w:cs="仿宋_GB2312"/>
        </w:rPr>
        <w:t>采购包1：</w:t>
      </w:r>
    </w:p>
    <w:p w14:paraId="72E906AC">
      <w:pPr>
        <w:pStyle w:val="4"/>
        <w:jc w:val="left"/>
      </w:pPr>
      <w:r>
        <w:rPr>
          <w:rFonts w:ascii="仿宋_GB2312" w:hAnsi="仿宋_GB2312" w:eastAsia="仿宋_GB2312" w:cs="仿宋_GB2312"/>
        </w:rPr>
        <w:t>采购包预算金额（元）: 2,000,000.00</w:t>
      </w:r>
      <w:bookmarkStart w:id="0" w:name="_GoBack"/>
      <w:bookmarkEnd w:id="0"/>
    </w:p>
    <w:p w14:paraId="3FA8C11B">
      <w:pPr>
        <w:pStyle w:val="4"/>
        <w:jc w:val="left"/>
      </w:pPr>
      <w:r>
        <w:rPr>
          <w:rFonts w:ascii="仿宋_GB2312" w:hAnsi="仿宋_GB2312" w:eastAsia="仿宋_GB2312" w:cs="仿宋_GB2312"/>
        </w:rPr>
        <w:t>采购包最高限价（元）: 2,000,000.00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7"/>
        <w:gridCol w:w="1116"/>
        <w:gridCol w:w="779"/>
        <w:gridCol w:w="820"/>
        <w:gridCol w:w="1216"/>
        <w:gridCol w:w="739"/>
        <w:gridCol w:w="739"/>
        <w:gridCol w:w="739"/>
        <w:gridCol w:w="739"/>
        <w:gridCol w:w="594"/>
        <w:gridCol w:w="594"/>
      </w:tblGrid>
      <w:tr w14:paraId="58F3B6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95F66E0">
            <w:pPr>
              <w:pStyle w:val="4"/>
              <w:jc w:val="center"/>
            </w:pPr>
            <w:r>
              <w:rPr>
                <w:rFonts w:ascii="仿宋_GB2312" w:hAnsi="仿宋_GB2312" w:eastAsia="仿宋_GB2312" w:cs="仿宋_GB2312"/>
              </w:rPr>
              <w:t>序号</w:t>
            </w:r>
          </w:p>
        </w:tc>
        <w:tc>
          <w:tcPr>
            <w:tcW w:w="821" w:type="dxa"/>
          </w:tcPr>
          <w:p w14:paraId="10293DE2">
            <w:pPr>
              <w:pStyle w:val="4"/>
              <w:jc w:val="center"/>
            </w:pPr>
            <w:r>
              <w:rPr>
                <w:rFonts w:ascii="仿宋_GB2312" w:hAnsi="仿宋_GB2312" w:eastAsia="仿宋_GB2312" w:cs="仿宋_GB2312"/>
              </w:rPr>
              <w:t>采购品目名称</w:t>
            </w:r>
          </w:p>
        </w:tc>
        <w:tc>
          <w:tcPr>
            <w:tcW w:w="821" w:type="dxa"/>
          </w:tcPr>
          <w:p w14:paraId="6A09A2C4">
            <w:pPr>
              <w:pStyle w:val="4"/>
              <w:jc w:val="center"/>
            </w:pPr>
            <w:r>
              <w:rPr>
                <w:rFonts w:ascii="仿宋_GB2312" w:hAnsi="仿宋_GB2312" w:eastAsia="仿宋_GB2312" w:cs="仿宋_GB2312"/>
              </w:rPr>
              <w:t>标的名称</w:t>
            </w:r>
          </w:p>
        </w:tc>
        <w:tc>
          <w:tcPr>
            <w:tcW w:w="821" w:type="dxa"/>
          </w:tcPr>
          <w:p w14:paraId="463E9E74">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4444F06A">
            <w:pPr>
              <w:pStyle w:val="4"/>
              <w:jc w:val="center"/>
            </w:pPr>
            <w:r>
              <w:rPr>
                <w:rFonts w:ascii="仿宋_GB2312" w:hAnsi="仿宋_GB2312" w:eastAsia="仿宋_GB2312" w:cs="仿宋_GB2312"/>
              </w:rPr>
              <w:t>标的金额 （元）</w:t>
            </w:r>
          </w:p>
        </w:tc>
        <w:tc>
          <w:tcPr>
            <w:tcW w:w="821" w:type="dxa"/>
          </w:tcPr>
          <w:p w14:paraId="6CE21A41">
            <w:pPr>
              <w:pStyle w:val="4"/>
              <w:jc w:val="center"/>
            </w:pPr>
            <w:r>
              <w:rPr>
                <w:rFonts w:ascii="仿宋_GB2312" w:hAnsi="仿宋_GB2312" w:eastAsia="仿宋_GB2312" w:cs="仿宋_GB2312"/>
              </w:rPr>
              <w:t>所属行业</w:t>
            </w:r>
          </w:p>
        </w:tc>
        <w:tc>
          <w:tcPr>
            <w:tcW w:w="821" w:type="dxa"/>
          </w:tcPr>
          <w:p w14:paraId="2D288E89">
            <w:pPr>
              <w:pStyle w:val="4"/>
              <w:jc w:val="center"/>
            </w:pPr>
            <w:r>
              <w:rPr>
                <w:rFonts w:ascii="仿宋_GB2312" w:hAnsi="仿宋_GB2312" w:eastAsia="仿宋_GB2312" w:cs="仿宋_GB2312"/>
              </w:rPr>
              <w:t>是否涉及核心产品</w:t>
            </w:r>
          </w:p>
        </w:tc>
        <w:tc>
          <w:tcPr>
            <w:tcW w:w="821" w:type="dxa"/>
          </w:tcPr>
          <w:p w14:paraId="08BA401D">
            <w:pPr>
              <w:pStyle w:val="4"/>
              <w:jc w:val="center"/>
            </w:pPr>
            <w:r>
              <w:rPr>
                <w:rFonts w:ascii="仿宋_GB2312" w:hAnsi="仿宋_GB2312" w:eastAsia="仿宋_GB2312" w:cs="仿宋_GB2312"/>
              </w:rPr>
              <w:t>是否涉及采购进口产品</w:t>
            </w:r>
          </w:p>
        </w:tc>
        <w:tc>
          <w:tcPr>
            <w:tcW w:w="821" w:type="dxa"/>
          </w:tcPr>
          <w:p w14:paraId="1D7F7177">
            <w:pPr>
              <w:pStyle w:val="4"/>
              <w:jc w:val="center"/>
            </w:pPr>
            <w:r>
              <w:rPr>
                <w:rFonts w:ascii="仿宋_GB2312" w:hAnsi="仿宋_GB2312" w:eastAsia="仿宋_GB2312" w:cs="仿宋_GB2312"/>
              </w:rPr>
              <w:t>是否涉及强制采购节能产品</w:t>
            </w:r>
          </w:p>
        </w:tc>
        <w:tc>
          <w:tcPr>
            <w:tcW w:w="639" w:type="dxa"/>
          </w:tcPr>
          <w:p w14:paraId="03E58F6F">
            <w:pPr>
              <w:pStyle w:val="4"/>
              <w:jc w:val="center"/>
            </w:pPr>
            <w:r>
              <w:rPr>
                <w:rFonts w:ascii="仿宋_GB2312" w:hAnsi="仿宋_GB2312" w:eastAsia="仿宋_GB2312" w:cs="仿宋_GB2312"/>
              </w:rPr>
              <w:t>是否涉及优先采购节能产品</w:t>
            </w:r>
          </w:p>
        </w:tc>
        <w:tc>
          <w:tcPr>
            <w:tcW w:w="639" w:type="dxa"/>
          </w:tcPr>
          <w:p w14:paraId="71354AD2">
            <w:pPr>
              <w:pStyle w:val="4"/>
              <w:jc w:val="center"/>
            </w:pPr>
            <w:r>
              <w:rPr>
                <w:rFonts w:ascii="仿宋_GB2312" w:hAnsi="仿宋_GB2312" w:eastAsia="仿宋_GB2312" w:cs="仿宋_GB2312"/>
              </w:rPr>
              <w:t>是否涉及优先采购环境标志产品</w:t>
            </w:r>
          </w:p>
        </w:tc>
      </w:tr>
      <w:tr w14:paraId="07012B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47B6649">
            <w:pPr>
              <w:pStyle w:val="4"/>
              <w:jc w:val="left"/>
            </w:pPr>
            <w:r>
              <w:rPr>
                <w:rFonts w:ascii="仿宋_GB2312" w:hAnsi="仿宋_GB2312" w:eastAsia="仿宋_GB2312" w:cs="仿宋_GB2312"/>
              </w:rPr>
              <w:t>1</w:t>
            </w:r>
          </w:p>
        </w:tc>
        <w:tc>
          <w:tcPr>
            <w:tcW w:w="821" w:type="dxa"/>
          </w:tcPr>
          <w:p w14:paraId="4BF53D6B">
            <w:pPr>
              <w:pStyle w:val="4"/>
              <w:jc w:val="left"/>
            </w:pPr>
            <w:r>
              <w:rPr>
                <w:rFonts w:ascii="仿宋_GB2312" w:hAnsi="仿宋_GB2312" w:eastAsia="仿宋_GB2312" w:cs="仿宋_GB2312"/>
              </w:rPr>
              <w:t>A02400100 火化设备</w:t>
            </w:r>
          </w:p>
        </w:tc>
        <w:tc>
          <w:tcPr>
            <w:tcW w:w="821" w:type="dxa"/>
          </w:tcPr>
          <w:p w14:paraId="0A43E976">
            <w:pPr>
              <w:pStyle w:val="4"/>
              <w:jc w:val="left"/>
            </w:pPr>
            <w:r>
              <w:rPr>
                <w:rFonts w:ascii="仿宋_GB2312" w:hAnsi="仿宋_GB2312" w:eastAsia="仿宋_GB2312" w:cs="仿宋_GB2312"/>
              </w:rPr>
              <w:t>拣灰火化机（油气两用）</w:t>
            </w:r>
          </w:p>
        </w:tc>
        <w:tc>
          <w:tcPr>
            <w:tcW w:w="821" w:type="dxa"/>
          </w:tcPr>
          <w:p w14:paraId="54A6B85D">
            <w:pPr>
              <w:pStyle w:val="4"/>
              <w:jc w:val="right"/>
            </w:pPr>
            <w:r>
              <w:rPr>
                <w:rFonts w:ascii="仿宋_GB2312" w:hAnsi="仿宋_GB2312" w:eastAsia="仿宋_GB2312" w:cs="仿宋_GB2312"/>
              </w:rPr>
              <w:t>2.00（套）</w:t>
            </w:r>
          </w:p>
        </w:tc>
        <w:tc>
          <w:tcPr>
            <w:tcW w:w="821" w:type="dxa"/>
          </w:tcPr>
          <w:p w14:paraId="556DB594">
            <w:pPr>
              <w:pStyle w:val="4"/>
              <w:jc w:val="right"/>
            </w:pPr>
            <w:r>
              <w:rPr>
                <w:rFonts w:ascii="仿宋_GB2312" w:hAnsi="仿宋_GB2312" w:eastAsia="仿宋_GB2312" w:cs="仿宋_GB2312"/>
              </w:rPr>
              <w:t>830,000.00</w:t>
            </w:r>
          </w:p>
        </w:tc>
        <w:tc>
          <w:tcPr>
            <w:tcW w:w="821" w:type="dxa"/>
          </w:tcPr>
          <w:p w14:paraId="6B3BA35F">
            <w:pPr>
              <w:pStyle w:val="4"/>
              <w:jc w:val="left"/>
            </w:pPr>
            <w:r>
              <w:rPr>
                <w:rFonts w:ascii="仿宋_GB2312" w:hAnsi="仿宋_GB2312" w:eastAsia="仿宋_GB2312" w:cs="仿宋_GB2312"/>
              </w:rPr>
              <w:t>工业</w:t>
            </w:r>
          </w:p>
        </w:tc>
        <w:tc>
          <w:tcPr>
            <w:tcW w:w="821" w:type="dxa"/>
          </w:tcPr>
          <w:p w14:paraId="3FF3FE0F">
            <w:pPr>
              <w:pStyle w:val="4"/>
              <w:jc w:val="left"/>
            </w:pPr>
            <w:r>
              <w:rPr>
                <w:rFonts w:ascii="仿宋_GB2312" w:hAnsi="仿宋_GB2312" w:eastAsia="仿宋_GB2312" w:cs="仿宋_GB2312"/>
              </w:rPr>
              <w:t>是</w:t>
            </w:r>
          </w:p>
        </w:tc>
        <w:tc>
          <w:tcPr>
            <w:tcW w:w="821" w:type="dxa"/>
          </w:tcPr>
          <w:p w14:paraId="6C6F76E6">
            <w:pPr>
              <w:pStyle w:val="4"/>
              <w:jc w:val="left"/>
            </w:pPr>
            <w:r>
              <w:rPr>
                <w:rFonts w:ascii="仿宋_GB2312" w:hAnsi="仿宋_GB2312" w:eastAsia="仿宋_GB2312" w:cs="仿宋_GB2312"/>
              </w:rPr>
              <w:t>否</w:t>
            </w:r>
          </w:p>
        </w:tc>
        <w:tc>
          <w:tcPr>
            <w:tcW w:w="821" w:type="dxa"/>
          </w:tcPr>
          <w:p w14:paraId="2E18769D">
            <w:pPr>
              <w:pStyle w:val="4"/>
              <w:jc w:val="left"/>
            </w:pPr>
            <w:r>
              <w:rPr>
                <w:rFonts w:ascii="仿宋_GB2312" w:hAnsi="仿宋_GB2312" w:eastAsia="仿宋_GB2312" w:cs="仿宋_GB2312"/>
              </w:rPr>
              <w:t>否</w:t>
            </w:r>
          </w:p>
        </w:tc>
        <w:tc>
          <w:tcPr>
            <w:tcW w:w="639" w:type="dxa"/>
          </w:tcPr>
          <w:p w14:paraId="3C2A8DBB">
            <w:pPr>
              <w:pStyle w:val="4"/>
              <w:jc w:val="left"/>
            </w:pPr>
            <w:r>
              <w:rPr>
                <w:rFonts w:ascii="仿宋_GB2312" w:hAnsi="仿宋_GB2312" w:eastAsia="仿宋_GB2312" w:cs="仿宋_GB2312"/>
              </w:rPr>
              <w:t>否</w:t>
            </w:r>
          </w:p>
        </w:tc>
        <w:tc>
          <w:tcPr>
            <w:tcW w:w="639" w:type="dxa"/>
          </w:tcPr>
          <w:p w14:paraId="67B5FE20">
            <w:pPr>
              <w:pStyle w:val="4"/>
              <w:jc w:val="left"/>
            </w:pPr>
            <w:r>
              <w:rPr>
                <w:rFonts w:ascii="仿宋_GB2312" w:hAnsi="仿宋_GB2312" w:eastAsia="仿宋_GB2312" w:cs="仿宋_GB2312"/>
              </w:rPr>
              <w:t>否</w:t>
            </w:r>
          </w:p>
        </w:tc>
      </w:tr>
      <w:tr w14:paraId="6AE426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765F5A1">
            <w:pPr>
              <w:pStyle w:val="4"/>
              <w:jc w:val="left"/>
            </w:pPr>
            <w:r>
              <w:rPr>
                <w:rFonts w:ascii="仿宋_GB2312" w:hAnsi="仿宋_GB2312" w:eastAsia="仿宋_GB2312" w:cs="仿宋_GB2312"/>
              </w:rPr>
              <w:t>2</w:t>
            </w:r>
          </w:p>
        </w:tc>
        <w:tc>
          <w:tcPr>
            <w:tcW w:w="821" w:type="dxa"/>
          </w:tcPr>
          <w:p w14:paraId="274A346F">
            <w:pPr>
              <w:pStyle w:val="4"/>
              <w:jc w:val="left"/>
            </w:pPr>
            <w:r>
              <w:rPr>
                <w:rFonts w:ascii="仿宋_GB2312" w:hAnsi="仿宋_GB2312" w:eastAsia="仿宋_GB2312" w:cs="仿宋_GB2312"/>
              </w:rPr>
              <w:t>A02400100 火化设备</w:t>
            </w:r>
          </w:p>
        </w:tc>
        <w:tc>
          <w:tcPr>
            <w:tcW w:w="821" w:type="dxa"/>
          </w:tcPr>
          <w:p w14:paraId="64993EC5">
            <w:pPr>
              <w:pStyle w:val="4"/>
              <w:jc w:val="left"/>
            </w:pPr>
            <w:r>
              <w:rPr>
                <w:rFonts w:ascii="仿宋_GB2312" w:hAnsi="仿宋_GB2312" w:eastAsia="仿宋_GB2312" w:cs="仿宋_GB2312"/>
              </w:rPr>
              <w:t>尾气净化处理器（一拖一）</w:t>
            </w:r>
          </w:p>
        </w:tc>
        <w:tc>
          <w:tcPr>
            <w:tcW w:w="821" w:type="dxa"/>
          </w:tcPr>
          <w:p w14:paraId="69A5FA6D">
            <w:pPr>
              <w:pStyle w:val="4"/>
              <w:jc w:val="right"/>
            </w:pPr>
            <w:r>
              <w:rPr>
                <w:rFonts w:ascii="仿宋_GB2312" w:hAnsi="仿宋_GB2312" w:eastAsia="仿宋_GB2312" w:cs="仿宋_GB2312"/>
              </w:rPr>
              <w:t>2.00（套）</w:t>
            </w:r>
          </w:p>
        </w:tc>
        <w:tc>
          <w:tcPr>
            <w:tcW w:w="821" w:type="dxa"/>
          </w:tcPr>
          <w:p w14:paraId="0AABAB34">
            <w:pPr>
              <w:pStyle w:val="4"/>
              <w:jc w:val="right"/>
            </w:pPr>
            <w:r>
              <w:rPr>
                <w:rFonts w:ascii="仿宋_GB2312" w:hAnsi="仿宋_GB2312" w:eastAsia="仿宋_GB2312" w:cs="仿宋_GB2312"/>
              </w:rPr>
              <w:t>870,000.00</w:t>
            </w:r>
          </w:p>
        </w:tc>
        <w:tc>
          <w:tcPr>
            <w:tcW w:w="821" w:type="dxa"/>
          </w:tcPr>
          <w:p w14:paraId="454EAE5A">
            <w:pPr>
              <w:pStyle w:val="4"/>
              <w:jc w:val="left"/>
            </w:pPr>
            <w:r>
              <w:rPr>
                <w:rFonts w:ascii="仿宋_GB2312" w:hAnsi="仿宋_GB2312" w:eastAsia="仿宋_GB2312" w:cs="仿宋_GB2312"/>
              </w:rPr>
              <w:t>工业</w:t>
            </w:r>
          </w:p>
        </w:tc>
        <w:tc>
          <w:tcPr>
            <w:tcW w:w="821" w:type="dxa"/>
          </w:tcPr>
          <w:p w14:paraId="0A1E8A67">
            <w:pPr>
              <w:pStyle w:val="4"/>
              <w:jc w:val="left"/>
            </w:pPr>
            <w:r>
              <w:rPr>
                <w:rFonts w:ascii="仿宋_GB2312" w:hAnsi="仿宋_GB2312" w:eastAsia="仿宋_GB2312" w:cs="仿宋_GB2312"/>
              </w:rPr>
              <w:t>否</w:t>
            </w:r>
          </w:p>
        </w:tc>
        <w:tc>
          <w:tcPr>
            <w:tcW w:w="821" w:type="dxa"/>
          </w:tcPr>
          <w:p w14:paraId="635DFCEA">
            <w:pPr>
              <w:pStyle w:val="4"/>
              <w:jc w:val="left"/>
            </w:pPr>
            <w:r>
              <w:rPr>
                <w:rFonts w:ascii="仿宋_GB2312" w:hAnsi="仿宋_GB2312" w:eastAsia="仿宋_GB2312" w:cs="仿宋_GB2312"/>
              </w:rPr>
              <w:t>否</w:t>
            </w:r>
          </w:p>
        </w:tc>
        <w:tc>
          <w:tcPr>
            <w:tcW w:w="821" w:type="dxa"/>
          </w:tcPr>
          <w:p w14:paraId="74D9AFC7">
            <w:pPr>
              <w:pStyle w:val="4"/>
              <w:jc w:val="left"/>
            </w:pPr>
            <w:r>
              <w:rPr>
                <w:rFonts w:ascii="仿宋_GB2312" w:hAnsi="仿宋_GB2312" w:eastAsia="仿宋_GB2312" w:cs="仿宋_GB2312"/>
              </w:rPr>
              <w:t>否</w:t>
            </w:r>
          </w:p>
        </w:tc>
        <w:tc>
          <w:tcPr>
            <w:tcW w:w="639" w:type="dxa"/>
          </w:tcPr>
          <w:p w14:paraId="747C6C8D">
            <w:pPr>
              <w:pStyle w:val="4"/>
              <w:jc w:val="left"/>
            </w:pPr>
            <w:r>
              <w:rPr>
                <w:rFonts w:ascii="仿宋_GB2312" w:hAnsi="仿宋_GB2312" w:eastAsia="仿宋_GB2312" w:cs="仿宋_GB2312"/>
              </w:rPr>
              <w:t>否</w:t>
            </w:r>
          </w:p>
        </w:tc>
        <w:tc>
          <w:tcPr>
            <w:tcW w:w="639" w:type="dxa"/>
          </w:tcPr>
          <w:p w14:paraId="4253ACC9">
            <w:pPr>
              <w:pStyle w:val="4"/>
              <w:jc w:val="left"/>
            </w:pPr>
            <w:r>
              <w:rPr>
                <w:rFonts w:ascii="仿宋_GB2312" w:hAnsi="仿宋_GB2312" w:eastAsia="仿宋_GB2312" w:cs="仿宋_GB2312"/>
              </w:rPr>
              <w:t>否</w:t>
            </w:r>
          </w:p>
        </w:tc>
      </w:tr>
      <w:tr w14:paraId="7820FA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0281609">
            <w:pPr>
              <w:pStyle w:val="4"/>
              <w:jc w:val="left"/>
            </w:pPr>
            <w:r>
              <w:rPr>
                <w:rFonts w:ascii="仿宋_GB2312" w:hAnsi="仿宋_GB2312" w:eastAsia="仿宋_GB2312" w:cs="仿宋_GB2312"/>
              </w:rPr>
              <w:t>3</w:t>
            </w:r>
          </w:p>
        </w:tc>
        <w:tc>
          <w:tcPr>
            <w:tcW w:w="821" w:type="dxa"/>
          </w:tcPr>
          <w:p w14:paraId="797F4B8C">
            <w:pPr>
              <w:pStyle w:val="4"/>
              <w:jc w:val="left"/>
            </w:pPr>
            <w:r>
              <w:rPr>
                <w:rFonts w:ascii="仿宋_GB2312" w:hAnsi="仿宋_GB2312" w:eastAsia="仿宋_GB2312" w:cs="仿宋_GB2312"/>
              </w:rPr>
              <w:t>A02400100 火化设备</w:t>
            </w:r>
          </w:p>
        </w:tc>
        <w:tc>
          <w:tcPr>
            <w:tcW w:w="821" w:type="dxa"/>
          </w:tcPr>
          <w:p w14:paraId="0AB26D20">
            <w:pPr>
              <w:pStyle w:val="4"/>
              <w:jc w:val="left"/>
            </w:pPr>
            <w:r>
              <w:rPr>
                <w:rFonts w:ascii="仿宋_GB2312" w:hAnsi="仿宋_GB2312" w:eastAsia="仿宋_GB2312" w:cs="仿宋_GB2312"/>
              </w:rPr>
              <w:t>三门冷冻柜</w:t>
            </w:r>
          </w:p>
        </w:tc>
        <w:tc>
          <w:tcPr>
            <w:tcW w:w="821" w:type="dxa"/>
          </w:tcPr>
          <w:p w14:paraId="5B30053C">
            <w:pPr>
              <w:pStyle w:val="4"/>
              <w:jc w:val="right"/>
            </w:pPr>
            <w:r>
              <w:rPr>
                <w:rFonts w:ascii="仿宋_GB2312" w:hAnsi="仿宋_GB2312" w:eastAsia="仿宋_GB2312" w:cs="仿宋_GB2312"/>
              </w:rPr>
              <w:t>10.00（组）</w:t>
            </w:r>
          </w:p>
        </w:tc>
        <w:tc>
          <w:tcPr>
            <w:tcW w:w="821" w:type="dxa"/>
          </w:tcPr>
          <w:p w14:paraId="176610E0">
            <w:pPr>
              <w:pStyle w:val="4"/>
              <w:jc w:val="right"/>
            </w:pPr>
            <w:r>
              <w:rPr>
                <w:rFonts w:ascii="仿宋_GB2312" w:hAnsi="仿宋_GB2312" w:eastAsia="仿宋_GB2312" w:cs="仿宋_GB2312"/>
              </w:rPr>
              <w:t>300,000.00</w:t>
            </w:r>
          </w:p>
        </w:tc>
        <w:tc>
          <w:tcPr>
            <w:tcW w:w="821" w:type="dxa"/>
          </w:tcPr>
          <w:p w14:paraId="3FF5AE92">
            <w:pPr>
              <w:pStyle w:val="4"/>
              <w:jc w:val="left"/>
            </w:pPr>
            <w:r>
              <w:rPr>
                <w:rFonts w:ascii="仿宋_GB2312" w:hAnsi="仿宋_GB2312" w:eastAsia="仿宋_GB2312" w:cs="仿宋_GB2312"/>
              </w:rPr>
              <w:t>工业</w:t>
            </w:r>
          </w:p>
        </w:tc>
        <w:tc>
          <w:tcPr>
            <w:tcW w:w="821" w:type="dxa"/>
          </w:tcPr>
          <w:p w14:paraId="5DD2DB7B">
            <w:pPr>
              <w:pStyle w:val="4"/>
              <w:jc w:val="left"/>
            </w:pPr>
            <w:r>
              <w:rPr>
                <w:rFonts w:ascii="仿宋_GB2312" w:hAnsi="仿宋_GB2312" w:eastAsia="仿宋_GB2312" w:cs="仿宋_GB2312"/>
              </w:rPr>
              <w:t>否</w:t>
            </w:r>
          </w:p>
        </w:tc>
        <w:tc>
          <w:tcPr>
            <w:tcW w:w="821" w:type="dxa"/>
          </w:tcPr>
          <w:p w14:paraId="49C96A27">
            <w:pPr>
              <w:pStyle w:val="4"/>
              <w:jc w:val="left"/>
            </w:pPr>
            <w:r>
              <w:rPr>
                <w:rFonts w:ascii="仿宋_GB2312" w:hAnsi="仿宋_GB2312" w:eastAsia="仿宋_GB2312" w:cs="仿宋_GB2312"/>
              </w:rPr>
              <w:t>否</w:t>
            </w:r>
          </w:p>
        </w:tc>
        <w:tc>
          <w:tcPr>
            <w:tcW w:w="821" w:type="dxa"/>
          </w:tcPr>
          <w:p w14:paraId="47519909">
            <w:pPr>
              <w:pStyle w:val="4"/>
              <w:jc w:val="left"/>
            </w:pPr>
            <w:r>
              <w:rPr>
                <w:rFonts w:ascii="仿宋_GB2312" w:hAnsi="仿宋_GB2312" w:eastAsia="仿宋_GB2312" w:cs="仿宋_GB2312"/>
              </w:rPr>
              <w:t>否</w:t>
            </w:r>
          </w:p>
        </w:tc>
        <w:tc>
          <w:tcPr>
            <w:tcW w:w="639" w:type="dxa"/>
          </w:tcPr>
          <w:p w14:paraId="5BC9C642">
            <w:pPr>
              <w:pStyle w:val="4"/>
              <w:jc w:val="left"/>
            </w:pPr>
            <w:r>
              <w:rPr>
                <w:rFonts w:ascii="仿宋_GB2312" w:hAnsi="仿宋_GB2312" w:eastAsia="仿宋_GB2312" w:cs="仿宋_GB2312"/>
              </w:rPr>
              <w:t>否</w:t>
            </w:r>
          </w:p>
        </w:tc>
        <w:tc>
          <w:tcPr>
            <w:tcW w:w="639" w:type="dxa"/>
          </w:tcPr>
          <w:p w14:paraId="2E4768EF">
            <w:pPr>
              <w:pStyle w:val="4"/>
              <w:jc w:val="left"/>
            </w:pPr>
            <w:r>
              <w:rPr>
                <w:rFonts w:ascii="仿宋_GB2312" w:hAnsi="仿宋_GB2312" w:eastAsia="仿宋_GB2312" w:cs="仿宋_GB2312"/>
              </w:rPr>
              <w:t>否</w:t>
            </w:r>
          </w:p>
        </w:tc>
      </w:tr>
    </w:tbl>
    <w:p w14:paraId="344FDD5B">
      <w:pPr>
        <w:pStyle w:val="4"/>
        <w:jc w:val="left"/>
        <w:outlineLvl w:val="3"/>
      </w:pPr>
      <w:r>
        <w:rPr>
          <w:rFonts w:ascii="仿宋_GB2312" w:hAnsi="仿宋_GB2312" w:eastAsia="仿宋_GB2312" w:cs="仿宋_GB2312"/>
          <w:b/>
          <w:sz w:val="24"/>
        </w:rPr>
        <w:t>报价要求</w:t>
      </w:r>
    </w:p>
    <w:p w14:paraId="0B32E21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4BE1C0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A1D7FF3">
            <w:pPr>
              <w:pStyle w:val="4"/>
              <w:jc w:val="center"/>
            </w:pPr>
            <w:r>
              <w:rPr>
                <w:rFonts w:ascii="仿宋_GB2312" w:hAnsi="仿宋_GB2312" w:eastAsia="仿宋_GB2312" w:cs="仿宋_GB2312"/>
              </w:rPr>
              <w:t>序号</w:t>
            </w:r>
          </w:p>
        </w:tc>
        <w:tc>
          <w:tcPr>
            <w:tcW w:w="1707" w:type="dxa"/>
          </w:tcPr>
          <w:p w14:paraId="17DBDF67">
            <w:pPr>
              <w:pStyle w:val="4"/>
              <w:jc w:val="center"/>
            </w:pPr>
            <w:r>
              <w:rPr>
                <w:rFonts w:ascii="仿宋_GB2312" w:hAnsi="仿宋_GB2312" w:eastAsia="仿宋_GB2312" w:cs="仿宋_GB2312"/>
              </w:rPr>
              <w:t>报价内容</w:t>
            </w:r>
          </w:p>
        </w:tc>
        <w:tc>
          <w:tcPr>
            <w:tcW w:w="1138" w:type="dxa"/>
          </w:tcPr>
          <w:p w14:paraId="17ECE98C">
            <w:pPr>
              <w:pStyle w:val="4"/>
              <w:jc w:val="center"/>
            </w:pPr>
            <w:r>
              <w:rPr>
                <w:rFonts w:ascii="仿宋_GB2312" w:hAnsi="仿宋_GB2312" w:eastAsia="仿宋_GB2312" w:cs="仿宋_GB2312"/>
              </w:rPr>
              <w:t>数量（计量单位）</w:t>
            </w:r>
          </w:p>
        </w:tc>
        <w:tc>
          <w:tcPr>
            <w:tcW w:w="1365" w:type="dxa"/>
          </w:tcPr>
          <w:p w14:paraId="744F8309">
            <w:pPr>
              <w:pStyle w:val="4"/>
              <w:jc w:val="center"/>
            </w:pPr>
            <w:r>
              <w:rPr>
                <w:rFonts w:ascii="仿宋_GB2312" w:hAnsi="仿宋_GB2312" w:eastAsia="仿宋_GB2312" w:cs="仿宋_GB2312"/>
              </w:rPr>
              <w:t>最高限价</w:t>
            </w:r>
          </w:p>
        </w:tc>
        <w:tc>
          <w:tcPr>
            <w:tcW w:w="1138" w:type="dxa"/>
          </w:tcPr>
          <w:p w14:paraId="39CC2DB3">
            <w:pPr>
              <w:pStyle w:val="4"/>
              <w:jc w:val="center"/>
            </w:pPr>
            <w:r>
              <w:rPr>
                <w:rFonts w:ascii="仿宋_GB2312" w:hAnsi="仿宋_GB2312" w:eastAsia="仿宋_GB2312" w:cs="仿宋_GB2312"/>
              </w:rPr>
              <w:t>价款形式</w:t>
            </w:r>
          </w:p>
        </w:tc>
        <w:tc>
          <w:tcPr>
            <w:tcW w:w="1934" w:type="dxa"/>
          </w:tcPr>
          <w:p w14:paraId="7CB2205F">
            <w:pPr>
              <w:pStyle w:val="4"/>
              <w:jc w:val="center"/>
            </w:pPr>
            <w:r>
              <w:rPr>
                <w:rFonts w:ascii="仿宋_GB2312" w:hAnsi="仿宋_GB2312" w:eastAsia="仿宋_GB2312" w:cs="仿宋_GB2312"/>
              </w:rPr>
              <w:t>报价说明</w:t>
            </w:r>
          </w:p>
        </w:tc>
      </w:tr>
      <w:tr w14:paraId="507FAE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3925704">
            <w:pPr>
              <w:pStyle w:val="4"/>
              <w:jc w:val="center"/>
            </w:pPr>
            <w:r>
              <w:rPr>
                <w:rFonts w:ascii="仿宋_GB2312" w:hAnsi="仿宋_GB2312" w:eastAsia="仿宋_GB2312" w:cs="仿宋_GB2312"/>
              </w:rPr>
              <w:t>1</w:t>
            </w:r>
          </w:p>
        </w:tc>
        <w:tc>
          <w:tcPr>
            <w:tcW w:w="1707" w:type="dxa"/>
          </w:tcPr>
          <w:p w14:paraId="4E798323">
            <w:pPr>
              <w:pStyle w:val="4"/>
              <w:jc w:val="center"/>
            </w:pPr>
            <w:r>
              <w:rPr>
                <w:rFonts w:ascii="仿宋_GB2312" w:hAnsi="仿宋_GB2312" w:eastAsia="仿宋_GB2312" w:cs="仿宋_GB2312"/>
              </w:rPr>
              <w:t>拣灰火化机（油气两用）</w:t>
            </w:r>
          </w:p>
        </w:tc>
        <w:tc>
          <w:tcPr>
            <w:tcW w:w="1138" w:type="dxa"/>
          </w:tcPr>
          <w:p w14:paraId="44C02182">
            <w:pPr>
              <w:pStyle w:val="4"/>
              <w:jc w:val="center"/>
            </w:pPr>
            <w:r>
              <w:rPr>
                <w:rFonts w:ascii="仿宋_GB2312" w:hAnsi="仿宋_GB2312" w:eastAsia="仿宋_GB2312" w:cs="仿宋_GB2312"/>
              </w:rPr>
              <w:t>2.00（套）</w:t>
            </w:r>
          </w:p>
        </w:tc>
        <w:tc>
          <w:tcPr>
            <w:tcW w:w="1365" w:type="dxa"/>
          </w:tcPr>
          <w:p w14:paraId="4D38A48F">
            <w:pPr>
              <w:pStyle w:val="4"/>
              <w:jc w:val="center"/>
            </w:pPr>
            <w:r>
              <w:rPr>
                <w:rFonts w:ascii="仿宋_GB2312" w:hAnsi="仿宋_GB2312" w:eastAsia="仿宋_GB2312" w:cs="仿宋_GB2312"/>
              </w:rPr>
              <w:t>830,000.00</w:t>
            </w:r>
          </w:p>
        </w:tc>
        <w:tc>
          <w:tcPr>
            <w:tcW w:w="1138" w:type="dxa"/>
          </w:tcPr>
          <w:p w14:paraId="68E98BD3">
            <w:pPr>
              <w:pStyle w:val="4"/>
              <w:jc w:val="center"/>
            </w:pPr>
            <w:r>
              <w:rPr>
                <w:rFonts w:ascii="仿宋_GB2312" w:hAnsi="仿宋_GB2312" w:eastAsia="仿宋_GB2312" w:cs="仿宋_GB2312"/>
              </w:rPr>
              <w:t>总价</w:t>
            </w:r>
          </w:p>
        </w:tc>
        <w:tc>
          <w:tcPr>
            <w:tcW w:w="1934" w:type="dxa"/>
          </w:tcPr>
          <w:p w14:paraId="5789604A">
            <w:pPr>
              <w:pStyle w:val="4"/>
              <w:jc w:val="left"/>
            </w:pPr>
            <w:r>
              <w:rPr>
                <w:rFonts w:ascii="仿宋_GB2312" w:hAnsi="仿宋_GB2312" w:eastAsia="仿宋_GB2312" w:cs="仿宋_GB2312"/>
              </w:rPr>
              <w:t>无</w:t>
            </w:r>
          </w:p>
        </w:tc>
      </w:tr>
      <w:tr w14:paraId="1B0B77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2376A3D">
            <w:pPr>
              <w:pStyle w:val="4"/>
              <w:jc w:val="center"/>
            </w:pPr>
            <w:r>
              <w:rPr>
                <w:rFonts w:ascii="仿宋_GB2312" w:hAnsi="仿宋_GB2312" w:eastAsia="仿宋_GB2312" w:cs="仿宋_GB2312"/>
              </w:rPr>
              <w:t>2</w:t>
            </w:r>
          </w:p>
        </w:tc>
        <w:tc>
          <w:tcPr>
            <w:tcW w:w="1707" w:type="dxa"/>
          </w:tcPr>
          <w:p w14:paraId="520A1BF2">
            <w:pPr>
              <w:pStyle w:val="4"/>
              <w:jc w:val="center"/>
            </w:pPr>
            <w:r>
              <w:rPr>
                <w:rFonts w:ascii="仿宋_GB2312" w:hAnsi="仿宋_GB2312" w:eastAsia="仿宋_GB2312" w:cs="仿宋_GB2312"/>
              </w:rPr>
              <w:t>尾气净化处理器（一拖一）</w:t>
            </w:r>
          </w:p>
        </w:tc>
        <w:tc>
          <w:tcPr>
            <w:tcW w:w="1138" w:type="dxa"/>
          </w:tcPr>
          <w:p w14:paraId="1B09D1B2">
            <w:pPr>
              <w:pStyle w:val="4"/>
              <w:jc w:val="center"/>
            </w:pPr>
            <w:r>
              <w:rPr>
                <w:rFonts w:ascii="仿宋_GB2312" w:hAnsi="仿宋_GB2312" w:eastAsia="仿宋_GB2312" w:cs="仿宋_GB2312"/>
              </w:rPr>
              <w:t>2.00（套）</w:t>
            </w:r>
          </w:p>
        </w:tc>
        <w:tc>
          <w:tcPr>
            <w:tcW w:w="1365" w:type="dxa"/>
          </w:tcPr>
          <w:p w14:paraId="5F63C7B5">
            <w:pPr>
              <w:pStyle w:val="4"/>
              <w:jc w:val="center"/>
            </w:pPr>
            <w:r>
              <w:rPr>
                <w:rFonts w:ascii="仿宋_GB2312" w:hAnsi="仿宋_GB2312" w:eastAsia="仿宋_GB2312" w:cs="仿宋_GB2312"/>
              </w:rPr>
              <w:t>870,000.00</w:t>
            </w:r>
          </w:p>
        </w:tc>
        <w:tc>
          <w:tcPr>
            <w:tcW w:w="1138" w:type="dxa"/>
          </w:tcPr>
          <w:p w14:paraId="10F4E614">
            <w:pPr>
              <w:pStyle w:val="4"/>
              <w:jc w:val="center"/>
            </w:pPr>
            <w:r>
              <w:rPr>
                <w:rFonts w:ascii="仿宋_GB2312" w:hAnsi="仿宋_GB2312" w:eastAsia="仿宋_GB2312" w:cs="仿宋_GB2312"/>
              </w:rPr>
              <w:t>总价</w:t>
            </w:r>
          </w:p>
        </w:tc>
        <w:tc>
          <w:tcPr>
            <w:tcW w:w="1934" w:type="dxa"/>
          </w:tcPr>
          <w:p w14:paraId="25B3F54D">
            <w:pPr>
              <w:pStyle w:val="4"/>
              <w:jc w:val="left"/>
            </w:pPr>
            <w:r>
              <w:rPr>
                <w:rFonts w:ascii="仿宋_GB2312" w:hAnsi="仿宋_GB2312" w:eastAsia="仿宋_GB2312" w:cs="仿宋_GB2312"/>
              </w:rPr>
              <w:t>无</w:t>
            </w:r>
          </w:p>
        </w:tc>
      </w:tr>
      <w:tr w14:paraId="789D18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A13431D">
            <w:pPr>
              <w:pStyle w:val="4"/>
              <w:jc w:val="center"/>
            </w:pPr>
            <w:r>
              <w:rPr>
                <w:rFonts w:ascii="仿宋_GB2312" w:hAnsi="仿宋_GB2312" w:eastAsia="仿宋_GB2312" w:cs="仿宋_GB2312"/>
              </w:rPr>
              <w:t>3</w:t>
            </w:r>
          </w:p>
        </w:tc>
        <w:tc>
          <w:tcPr>
            <w:tcW w:w="1707" w:type="dxa"/>
          </w:tcPr>
          <w:p w14:paraId="23413CB8">
            <w:pPr>
              <w:pStyle w:val="4"/>
              <w:jc w:val="center"/>
            </w:pPr>
            <w:r>
              <w:rPr>
                <w:rFonts w:ascii="仿宋_GB2312" w:hAnsi="仿宋_GB2312" w:eastAsia="仿宋_GB2312" w:cs="仿宋_GB2312"/>
              </w:rPr>
              <w:t>三门冷冻柜</w:t>
            </w:r>
          </w:p>
        </w:tc>
        <w:tc>
          <w:tcPr>
            <w:tcW w:w="1138" w:type="dxa"/>
          </w:tcPr>
          <w:p w14:paraId="3DF470D8">
            <w:pPr>
              <w:pStyle w:val="4"/>
              <w:jc w:val="center"/>
            </w:pPr>
            <w:r>
              <w:rPr>
                <w:rFonts w:ascii="仿宋_GB2312" w:hAnsi="仿宋_GB2312" w:eastAsia="仿宋_GB2312" w:cs="仿宋_GB2312"/>
              </w:rPr>
              <w:t>10.00（组）</w:t>
            </w:r>
          </w:p>
        </w:tc>
        <w:tc>
          <w:tcPr>
            <w:tcW w:w="1365" w:type="dxa"/>
          </w:tcPr>
          <w:p w14:paraId="559FAF98">
            <w:pPr>
              <w:pStyle w:val="4"/>
              <w:jc w:val="center"/>
            </w:pPr>
            <w:r>
              <w:rPr>
                <w:rFonts w:ascii="仿宋_GB2312" w:hAnsi="仿宋_GB2312" w:eastAsia="仿宋_GB2312" w:cs="仿宋_GB2312"/>
              </w:rPr>
              <w:t>300,000.00</w:t>
            </w:r>
          </w:p>
        </w:tc>
        <w:tc>
          <w:tcPr>
            <w:tcW w:w="1138" w:type="dxa"/>
          </w:tcPr>
          <w:p w14:paraId="7FD5CBB2">
            <w:pPr>
              <w:pStyle w:val="4"/>
              <w:jc w:val="center"/>
            </w:pPr>
            <w:r>
              <w:rPr>
                <w:rFonts w:ascii="仿宋_GB2312" w:hAnsi="仿宋_GB2312" w:eastAsia="仿宋_GB2312" w:cs="仿宋_GB2312"/>
              </w:rPr>
              <w:t>总价</w:t>
            </w:r>
          </w:p>
        </w:tc>
        <w:tc>
          <w:tcPr>
            <w:tcW w:w="1934" w:type="dxa"/>
          </w:tcPr>
          <w:p w14:paraId="4C386887">
            <w:pPr>
              <w:pStyle w:val="4"/>
              <w:jc w:val="left"/>
            </w:pPr>
            <w:r>
              <w:rPr>
                <w:rFonts w:ascii="仿宋_GB2312" w:hAnsi="仿宋_GB2312" w:eastAsia="仿宋_GB2312" w:cs="仿宋_GB2312"/>
              </w:rPr>
              <w:t>无</w:t>
            </w:r>
          </w:p>
        </w:tc>
      </w:tr>
    </w:tbl>
    <w:p w14:paraId="1FF3DDFF">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60357AD6">
      <w:pPr>
        <w:pStyle w:val="4"/>
        <w:jc w:val="left"/>
        <w:outlineLvl w:val="3"/>
      </w:pPr>
      <w:r>
        <w:rPr>
          <w:rFonts w:ascii="仿宋_GB2312" w:hAnsi="仿宋_GB2312" w:eastAsia="仿宋_GB2312" w:cs="仿宋_GB2312"/>
          <w:b/>
          <w:sz w:val="24"/>
        </w:rPr>
        <w:t>本项目涉及核心产品：</w:t>
      </w:r>
    </w:p>
    <w:p w14:paraId="1B13286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D9C48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72CE8D1">
            <w:pPr>
              <w:pStyle w:val="4"/>
              <w:jc w:val="center"/>
            </w:pPr>
            <w:r>
              <w:rPr>
                <w:rFonts w:ascii="仿宋_GB2312" w:hAnsi="仿宋_GB2312" w:eastAsia="仿宋_GB2312" w:cs="仿宋_GB2312"/>
              </w:rPr>
              <w:t>序号</w:t>
            </w:r>
          </w:p>
        </w:tc>
        <w:tc>
          <w:tcPr>
            <w:tcW w:w="2492" w:type="dxa"/>
          </w:tcPr>
          <w:p w14:paraId="38A96F29">
            <w:pPr>
              <w:pStyle w:val="4"/>
              <w:jc w:val="center"/>
            </w:pPr>
            <w:r>
              <w:rPr>
                <w:rFonts w:ascii="仿宋_GB2312" w:hAnsi="仿宋_GB2312" w:eastAsia="仿宋_GB2312" w:cs="仿宋_GB2312"/>
              </w:rPr>
              <w:t>采购品目名称</w:t>
            </w:r>
          </w:p>
        </w:tc>
        <w:tc>
          <w:tcPr>
            <w:tcW w:w="2492" w:type="dxa"/>
          </w:tcPr>
          <w:p w14:paraId="2A07E8A5">
            <w:pPr>
              <w:pStyle w:val="4"/>
              <w:jc w:val="center"/>
            </w:pPr>
            <w:r>
              <w:rPr>
                <w:rFonts w:ascii="仿宋_GB2312" w:hAnsi="仿宋_GB2312" w:eastAsia="仿宋_GB2312" w:cs="仿宋_GB2312"/>
              </w:rPr>
              <w:t>标的名称</w:t>
            </w:r>
          </w:p>
        </w:tc>
        <w:tc>
          <w:tcPr>
            <w:tcW w:w="2492" w:type="dxa"/>
          </w:tcPr>
          <w:p w14:paraId="6CFF95FD">
            <w:pPr>
              <w:pStyle w:val="4"/>
              <w:jc w:val="center"/>
            </w:pPr>
            <w:r>
              <w:rPr>
                <w:rFonts w:ascii="仿宋_GB2312" w:hAnsi="仿宋_GB2312" w:eastAsia="仿宋_GB2312" w:cs="仿宋_GB2312"/>
              </w:rPr>
              <w:t>产品名称</w:t>
            </w:r>
          </w:p>
        </w:tc>
      </w:tr>
      <w:tr w14:paraId="46626A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D8E496E">
            <w:pPr>
              <w:pStyle w:val="4"/>
              <w:jc w:val="left"/>
            </w:pPr>
            <w:r>
              <w:rPr>
                <w:rFonts w:ascii="仿宋_GB2312" w:hAnsi="仿宋_GB2312" w:eastAsia="仿宋_GB2312" w:cs="仿宋_GB2312"/>
              </w:rPr>
              <w:t>1</w:t>
            </w:r>
          </w:p>
        </w:tc>
        <w:tc>
          <w:tcPr>
            <w:tcW w:w="2492" w:type="dxa"/>
          </w:tcPr>
          <w:p w14:paraId="1DAE6E55">
            <w:pPr>
              <w:pStyle w:val="4"/>
              <w:jc w:val="left"/>
            </w:pPr>
            <w:r>
              <w:rPr>
                <w:rFonts w:ascii="仿宋_GB2312" w:hAnsi="仿宋_GB2312" w:eastAsia="仿宋_GB2312" w:cs="仿宋_GB2312"/>
              </w:rPr>
              <w:t>A02400100 火化设备</w:t>
            </w:r>
          </w:p>
        </w:tc>
        <w:tc>
          <w:tcPr>
            <w:tcW w:w="2492" w:type="dxa"/>
          </w:tcPr>
          <w:p w14:paraId="673B82D9">
            <w:pPr>
              <w:pStyle w:val="4"/>
              <w:jc w:val="left"/>
            </w:pPr>
            <w:r>
              <w:rPr>
                <w:rFonts w:ascii="仿宋_GB2312" w:hAnsi="仿宋_GB2312" w:eastAsia="仿宋_GB2312" w:cs="仿宋_GB2312"/>
              </w:rPr>
              <w:t>拣灰火化机（油气两用）</w:t>
            </w:r>
          </w:p>
        </w:tc>
        <w:tc>
          <w:tcPr>
            <w:tcW w:w="2492" w:type="dxa"/>
          </w:tcPr>
          <w:p w14:paraId="0ADF12CB">
            <w:pPr>
              <w:pStyle w:val="4"/>
              <w:jc w:val="left"/>
            </w:pPr>
            <w:r>
              <w:rPr>
                <w:rFonts w:ascii="仿宋_GB2312" w:hAnsi="仿宋_GB2312" w:eastAsia="仿宋_GB2312" w:cs="仿宋_GB2312"/>
              </w:rPr>
              <w:t>拣灰火化机（油气两用）</w:t>
            </w:r>
          </w:p>
        </w:tc>
      </w:tr>
    </w:tbl>
    <w:p w14:paraId="78D5B1A5">
      <w:pPr>
        <w:pStyle w:val="4"/>
        <w:ind w:firstLine="480"/>
        <w:jc w:val="left"/>
      </w:pPr>
      <w:r>
        <w:rPr>
          <w:rFonts w:ascii="仿宋_GB2312" w:hAnsi="仿宋_GB2312" w:eastAsia="仿宋_GB2312" w:cs="仿宋_GB2312"/>
        </w:rPr>
        <w:t>注：涉及核心产品的，具体评审规定见第五章。</w:t>
      </w:r>
    </w:p>
    <w:p w14:paraId="4F67DB06">
      <w:pPr>
        <w:pStyle w:val="4"/>
        <w:jc w:val="left"/>
        <w:outlineLvl w:val="3"/>
      </w:pPr>
      <w:r>
        <w:rPr>
          <w:rFonts w:ascii="仿宋_GB2312" w:hAnsi="仿宋_GB2312" w:eastAsia="仿宋_GB2312" w:cs="仿宋_GB2312"/>
          <w:b/>
          <w:sz w:val="24"/>
        </w:rPr>
        <w:t>本项目涉及采购进口产品：</w:t>
      </w:r>
    </w:p>
    <w:p w14:paraId="44C29C8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B6105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93D1714">
            <w:pPr>
              <w:pStyle w:val="4"/>
              <w:jc w:val="center"/>
            </w:pPr>
            <w:r>
              <w:rPr>
                <w:rFonts w:ascii="仿宋_GB2312" w:hAnsi="仿宋_GB2312" w:eastAsia="仿宋_GB2312" w:cs="仿宋_GB2312"/>
              </w:rPr>
              <w:t>序号</w:t>
            </w:r>
          </w:p>
        </w:tc>
        <w:tc>
          <w:tcPr>
            <w:tcW w:w="2492" w:type="dxa"/>
          </w:tcPr>
          <w:p w14:paraId="77BE04FB">
            <w:pPr>
              <w:pStyle w:val="4"/>
              <w:jc w:val="center"/>
            </w:pPr>
            <w:r>
              <w:rPr>
                <w:rFonts w:ascii="仿宋_GB2312" w:hAnsi="仿宋_GB2312" w:eastAsia="仿宋_GB2312" w:cs="仿宋_GB2312"/>
              </w:rPr>
              <w:t>采购品目名称</w:t>
            </w:r>
          </w:p>
        </w:tc>
        <w:tc>
          <w:tcPr>
            <w:tcW w:w="2492" w:type="dxa"/>
          </w:tcPr>
          <w:p w14:paraId="17E0A878">
            <w:pPr>
              <w:pStyle w:val="4"/>
              <w:jc w:val="center"/>
            </w:pPr>
            <w:r>
              <w:rPr>
                <w:rFonts w:ascii="仿宋_GB2312" w:hAnsi="仿宋_GB2312" w:eastAsia="仿宋_GB2312" w:cs="仿宋_GB2312"/>
              </w:rPr>
              <w:t>标的名称</w:t>
            </w:r>
          </w:p>
        </w:tc>
        <w:tc>
          <w:tcPr>
            <w:tcW w:w="2492" w:type="dxa"/>
          </w:tcPr>
          <w:p w14:paraId="1C60333E">
            <w:pPr>
              <w:pStyle w:val="4"/>
              <w:jc w:val="center"/>
            </w:pPr>
            <w:r>
              <w:rPr>
                <w:rFonts w:ascii="仿宋_GB2312" w:hAnsi="仿宋_GB2312" w:eastAsia="仿宋_GB2312" w:cs="仿宋_GB2312"/>
              </w:rPr>
              <w:t>产品名称</w:t>
            </w:r>
          </w:p>
        </w:tc>
      </w:tr>
      <w:tr w14:paraId="2E0F01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63D306C">
            <w:pPr>
              <w:pStyle w:val="4"/>
              <w:jc w:val="center"/>
            </w:pPr>
            <w:r>
              <w:rPr>
                <w:rFonts w:ascii="仿宋_GB2312" w:hAnsi="仿宋_GB2312" w:eastAsia="仿宋_GB2312" w:cs="仿宋_GB2312"/>
              </w:rPr>
              <w:t>不涉及</w:t>
            </w:r>
          </w:p>
        </w:tc>
      </w:tr>
    </w:tbl>
    <w:p w14:paraId="5CDF8D34">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61CF338D">
      <w:pPr>
        <w:pStyle w:val="4"/>
        <w:jc w:val="left"/>
        <w:outlineLvl w:val="3"/>
      </w:pPr>
      <w:r>
        <w:rPr>
          <w:rFonts w:ascii="仿宋_GB2312" w:hAnsi="仿宋_GB2312" w:eastAsia="仿宋_GB2312" w:cs="仿宋_GB2312"/>
          <w:b/>
          <w:sz w:val="24"/>
        </w:rPr>
        <w:t>本项目涉及强制采购节能产品：</w:t>
      </w:r>
    </w:p>
    <w:p w14:paraId="4EF500C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B1BEC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AF3837C">
            <w:pPr>
              <w:pStyle w:val="4"/>
              <w:jc w:val="center"/>
            </w:pPr>
            <w:r>
              <w:rPr>
                <w:rFonts w:ascii="仿宋_GB2312" w:hAnsi="仿宋_GB2312" w:eastAsia="仿宋_GB2312" w:cs="仿宋_GB2312"/>
              </w:rPr>
              <w:t>序号</w:t>
            </w:r>
          </w:p>
        </w:tc>
        <w:tc>
          <w:tcPr>
            <w:tcW w:w="2492" w:type="dxa"/>
          </w:tcPr>
          <w:p w14:paraId="2FB6697E">
            <w:pPr>
              <w:pStyle w:val="4"/>
              <w:jc w:val="center"/>
            </w:pPr>
            <w:r>
              <w:rPr>
                <w:rFonts w:ascii="仿宋_GB2312" w:hAnsi="仿宋_GB2312" w:eastAsia="仿宋_GB2312" w:cs="仿宋_GB2312"/>
              </w:rPr>
              <w:t>采购品目名称</w:t>
            </w:r>
          </w:p>
        </w:tc>
        <w:tc>
          <w:tcPr>
            <w:tcW w:w="2492" w:type="dxa"/>
          </w:tcPr>
          <w:p w14:paraId="26775D2E">
            <w:pPr>
              <w:pStyle w:val="4"/>
              <w:jc w:val="center"/>
            </w:pPr>
            <w:r>
              <w:rPr>
                <w:rFonts w:ascii="仿宋_GB2312" w:hAnsi="仿宋_GB2312" w:eastAsia="仿宋_GB2312" w:cs="仿宋_GB2312"/>
              </w:rPr>
              <w:t>标的名称</w:t>
            </w:r>
          </w:p>
        </w:tc>
        <w:tc>
          <w:tcPr>
            <w:tcW w:w="2492" w:type="dxa"/>
          </w:tcPr>
          <w:p w14:paraId="59FE6285">
            <w:pPr>
              <w:pStyle w:val="4"/>
              <w:jc w:val="center"/>
            </w:pPr>
            <w:r>
              <w:rPr>
                <w:rFonts w:ascii="仿宋_GB2312" w:hAnsi="仿宋_GB2312" w:eastAsia="仿宋_GB2312" w:cs="仿宋_GB2312"/>
              </w:rPr>
              <w:t>产品名称</w:t>
            </w:r>
          </w:p>
        </w:tc>
      </w:tr>
      <w:tr w14:paraId="3A8E43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6F664BC">
            <w:pPr>
              <w:pStyle w:val="4"/>
              <w:jc w:val="center"/>
            </w:pPr>
            <w:r>
              <w:rPr>
                <w:rFonts w:ascii="仿宋_GB2312" w:hAnsi="仿宋_GB2312" w:eastAsia="仿宋_GB2312" w:cs="仿宋_GB2312"/>
              </w:rPr>
              <w:t>不涉及</w:t>
            </w:r>
          </w:p>
        </w:tc>
      </w:tr>
    </w:tbl>
    <w:p w14:paraId="64E28C17">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5D7B25C0">
      <w:pPr>
        <w:pStyle w:val="4"/>
        <w:jc w:val="left"/>
      </w:pPr>
      <w:r>
        <w:rPr>
          <w:rFonts w:ascii="仿宋_GB2312" w:hAnsi="仿宋_GB2312" w:eastAsia="仿宋_GB2312" w:cs="仿宋_GB2312"/>
          <w:b/>
        </w:rPr>
        <w:t>本项目涉及优先采购节能产品：</w:t>
      </w:r>
    </w:p>
    <w:p w14:paraId="5E130AF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944BD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3DC6998">
            <w:pPr>
              <w:pStyle w:val="4"/>
              <w:jc w:val="center"/>
            </w:pPr>
            <w:r>
              <w:rPr>
                <w:rFonts w:ascii="仿宋_GB2312" w:hAnsi="仿宋_GB2312" w:eastAsia="仿宋_GB2312" w:cs="仿宋_GB2312"/>
              </w:rPr>
              <w:t>序号</w:t>
            </w:r>
          </w:p>
        </w:tc>
        <w:tc>
          <w:tcPr>
            <w:tcW w:w="2492" w:type="dxa"/>
          </w:tcPr>
          <w:p w14:paraId="297F6568">
            <w:pPr>
              <w:pStyle w:val="4"/>
              <w:jc w:val="center"/>
            </w:pPr>
            <w:r>
              <w:rPr>
                <w:rFonts w:ascii="仿宋_GB2312" w:hAnsi="仿宋_GB2312" w:eastAsia="仿宋_GB2312" w:cs="仿宋_GB2312"/>
              </w:rPr>
              <w:t>采购品目名称</w:t>
            </w:r>
          </w:p>
        </w:tc>
        <w:tc>
          <w:tcPr>
            <w:tcW w:w="2492" w:type="dxa"/>
          </w:tcPr>
          <w:p w14:paraId="5D80B663">
            <w:pPr>
              <w:pStyle w:val="4"/>
              <w:jc w:val="center"/>
            </w:pPr>
            <w:r>
              <w:rPr>
                <w:rFonts w:ascii="仿宋_GB2312" w:hAnsi="仿宋_GB2312" w:eastAsia="仿宋_GB2312" w:cs="仿宋_GB2312"/>
              </w:rPr>
              <w:t>标的名称</w:t>
            </w:r>
          </w:p>
        </w:tc>
        <w:tc>
          <w:tcPr>
            <w:tcW w:w="2492" w:type="dxa"/>
          </w:tcPr>
          <w:p w14:paraId="6C1C253F">
            <w:pPr>
              <w:pStyle w:val="4"/>
              <w:jc w:val="center"/>
            </w:pPr>
            <w:r>
              <w:rPr>
                <w:rFonts w:ascii="仿宋_GB2312" w:hAnsi="仿宋_GB2312" w:eastAsia="仿宋_GB2312" w:cs="仿宋_GB2312"/>
              </w:rPr>
              <w:t>产品名称</w:t>
            </w:r>
          </w:p>
        </w:tc>
      </w:tr>
      <w:tr w14:paraId="2F877A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94C00F2">
            <w:pPr>
              <w:pStyle w:val="4"/>
              <w:jc w:val="center"/>
            </w:pPr>
            <w:r>
              <w:rPr>
                <w:rFonts w:ascii="仿宋_GB2312" w:hAnsi="仿宋_GB2312" w:eastAsia="仿宋_GB2312" w:cs="仿宋_GB2312"/>
              </w:rPr>
              <w:t>不涉及</w:t>
            </w:r>
          </w:p>
        </w:tc>
      </w:tr>
    </w:tbl>
    <w:p w14:paraId="5EFF930A">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502B2F56">
      <w:pPr>
        <w:pStyle w:val="4"/>
        <w:jc w:val="left"/>
        <w:outlineLvl w:val="3"/>
      </w:pPr>
      <w:r>
        <w:rPr>
          <w:rFonts w:ascii="仿宋_GB2312" w:hAnsi="仿宋_GB2312" w:eastAsia="仿宋_GB2312" w:cs="仿宋_GB2312"/>
          <w:b/>
          <w:sz w:val="24"/>
        </w:rPr>
        <w:t>本项目涉及优先采购环境标志产品：</w:t>
      </w:r>
    </w:p>
    <w:p w14:paraId="3FCF361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C9B3C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5B23785">
            <w:pPr>
              <w:pStyle w:val="4"/>
              <w:jc w:val="center"/>
            </w:pPr>
            <w:r>
              <w:rPr>
                <w:rFonts w:ascii="仿宋_GB2312" w:hAnsi="仿宋_GB2312" w:eastAsia="仿宋_GB2312" w:cs="仿宋_GB2312"/>
              </w:rPr>
              <w:t>序号</w:t>
            </w:r>
          </w:p>
        </w:tc>
        <w:tc>
          <w:tcPr>
            <w:tcW w:w="2492" w:type="dxa"/>
          </w:tcPr>
          <w:p w14:paraId="1296194D">
            <w:pPr>
              <w:pStyle w:val="4"/>
              <w:jc w:val="center"/>
            </w:pPr>
            <w:r>
              <w:rPr>
                <w:rFonts w:ascii="仿宋_GB2312" w:hAnsi="仿宋_GB2312" w:eastAsia="仿宋_GB2312" w:cs="仿宋_GB2312"/>
              </w:rPr>
              <w:t>采购品目名称</w:t>
            </w:r>
          </w:p>
        </w:tc>
        <w:tc>
          <w:tcPr>
            <w:tcW w:w="2492" w:type="dxa"/>
          </w:tcPr>
          <w:p w14:paraId="66D441AB">
            <w:pPr>
              <w:pStyle w:val="4"/>
              <w:jc w:val="center"/>
            </w:pPr>
            <w:r>
              <w:rPr>
                <w:rFonts w:ascii="仿宋_GB2312" w:hAnsi="仿宋_GB2312" w:eastAsia="仿宋_GB2312" w:cs="仿宋_GB2312"/>
              </w:rPr>
              <w:t>标的名称</w:t>
            </w:r>
          </w:p>
        </w:tc>
        <w:tc>
          <w:tcPr>
            <w:tcW w:w="2492" w:type="dxa"/>
          </w:tcPr>
          <w:p w14:paraId="2A49B246">
            <w:pPr>
              <w:pStyle w:val="4"/>
              <w:jc w:val="center"/>
            </w:pPr>
            <w:r>
              <w:rPr>
                <w:rFonts w:ascii="仿宋_GB2312" w:hAnsi="仿宋_GB2312" w:eastAsia="仿宋_GB2312" w:cs="仿宋_GB2312"/>
              </w:rPr>
              <w:t>产品名称</w:t>
            </w:r>
          </w:p>
        </w:tc>
      </w:tr>
      <w:tr w14:paraId="5FEA61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DA01F7C">
            <w:pPr>
              <w:pStyle w:val="4"/>
              <w:jc w:val="center"/>
            </w:pPr>
            <w:r>
              <w:rPr>
                <w:rFonts w:ascii="仿宋_GB2312" w:hAnsi="仿宋_GB2312" w:eastAsia="仿宋_GB2312" w:cs="仿宋_GB2312"/>
              </w:rPr>
              <w:t>不涉及</w:t>
            </w:r>
          </w:p>
        </w:tc>
      </w:tr>
    </w:tbl>
    <w:p w14:paraId="78071388">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365B19EE">
      <w:pPr>
        <w:pStyle w:val="4"/>
        <w:jc w:val="left"/>
        <w:outlineLvl w:val="2"/>
      </w:pPr>
      <w:r>
        <w:rPr>
          <w:rFonts w:ascii="仿宋_GB2312" w:hAnsi="仿宋_GB2312" w:eastAsia="仿宋_GB2312" w:cs="仿宋_GB2312"/>
          <w:b/>
          <w:sz w:val="28"/>
        </w:rPr>
        <w:t>3.2.技术要求</w:t>
      </w:r>
    </w:p>
    <w:p w14:paraId="500AC5D0">
      <w:pPr>
        <w:pStyle w:val="4"/>
        <w:jc w:val="left"/>
      </w:pPr>
      <w:r>
        <w:rPr>
          <w:rFonts w:ascii="仿宋_GB2312" w:hAnsi="仿宋_GB2312" w:eastAsia="仿宋_GB2312" w:cs="仿宋_GB2312"/>
        </w:rPr>
        <w:t>采购包1：</w:t>
      </w:r>
    </w:p>
    <w:p w14:paraId="0F849A4F">
      <w:pPr>
        <w:pStyle w:val="4"/>
        <w:jc w:val="left"/>
      </w:pPr>
      <w:r>
        <w:rPr>
          <w:rFonts w:ascii="仿宋_GB2312" w:hAnsi="仿宋_GB2312" w:eastAsia="仿宋_GB2312" w:cs="仿宋_GB2312"/>
        </w:rPr>
        <w:t>标的名称：拣灰火化机（油气两用）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1C6B5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E021A11">
            <w:pPr>
              <w:pStyle w:val="4"/>
              <w:jc w:val="center"/>
            </w:pPr>
            <w:r>
              <w:rPr>
                <w:rFonts w:ascii="仿宋_GB2312" w:hAnsi="仿宋_GB2312" w:eastAsia="仿宋_GB2312" w:cs="仿宋_GB2312"/>
              </w:rPr>
              <w:t>序号</w:t>
            </w:r>
          </w:p>
        </w:tc>
        <w:tc>
          <w:tcPr>
            <w:tcW w:w="581" w:type="dxa"/>
          </w:tcPr>
          <w:p w14:paraId="4760D155">
            <w:pPr>
              <w:pStyle w:val="4"/>
              <w:jc w:val="center"/>
            </w:pPr>
            <w:r>
              <w:rPr>
                <w:rFonts w:ascii="仿宋_GB2312" w:hAnsi="仿宋_GB2312" w:eastAsia="仿宋_GB2312" w:cs="仿宋_GB2312"/>
              </w:rPr>
              <w:t>符号标识</w:t>
            </w:r>
          </w:p>
        </w:tc>
        <w:tc>
          <w:tcPr>
            <w:tcW w:w="1495" w:type="dxa"/>
          </w:tcPr>
          <w:p w14:paraId="74998CE7">
            <w:pPr>
              <w:pStyle w:val="4"/>
              <w:jc w:val="center"/>
            </w:pPr>
            <w:r>
              <w:rPr>
                <w:rFonts w:ascii="仿宋_GB2312" w:hAnsi="仿宋_GB2312" w:eastAsia="仿宋_GB2312" w:cs="仿宋_GB2312"/>
              </w:rPr>
              <w:t>技术要求名称</w:t>
            </w:r>
          </w:p>
        </w:tc>
        <w:tc>
          <w:tcPr>
            <w:tcW w:w="5814" w:type="dxa"/>
          </w:tcPr>
          <w:p w14:paraId="61FBF067">
            <w:pPr>
              <w:pStyle w:val="4"/>
              <w:jc w:val="center"/>
            </w:pPr>
            <w:r>
              <w:rPr>
                <w:rFonts w:ascii="仿宋_GB2312" w:hAnsi="仿宋_GB2312" w:eastAsia="仿宋_GB2312" w:cs="仿宋_GB2312"/>
              </w:rPr>
              <w:t>技术参数与性能指标</w:t>
            </w:r>
          </w:p>
        </w:tc>
      </w:tr>
      <w:tr w14:paraId="5AEC7F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EB92FFB">
            <w:pPr>
              <w:pStyle w:val="4"/>
              <w:jc w:val="center"/>
            </w:pPr>
            <w:r>
              <w:rPr>
                <w:rFonts w:ascii="仿宋_GB2312" w:hAnsi="仿宋_GB2312" w:eastAsia="仿宋_GB2312" w:cs="仿宋_GB2312"/>
              </w:rPr>
              <w:t>1</w:t>
            </w:r>
          </w:p>
        </w:tc>
        <w:tc>
          <w:tcPr>
            <w:tcW w:w="581" w:type="dxa"/>
          </w:tcPr>
          <w:p w14:paraId="1F40A56A"/>
        </w:tc>
        <w:tc>
          <w:tcPr>
            <w:tcW w:w="1495" w:type="dxa"/>
          </w:tcPr>
          <w:p w14:paraId="7ED54485">
            <w:pPr>
              <w:pStyle w:val="4"/>
              <w:jc w:val="left"/>
            </w:pPr>
            <w:r>
              <w:rPr>
                <w:rFonts w:ascii="仿宋_GB2312" w:hAnsi="仿宋_GB2312" w:eastAsia="仿宋_GB2312" w:cs="仿宋_GB2312"/>
              </w:rPr>
              <w:t>拣灰火化机（油气两用）</w:t>
            </w:r>
          </w:p>
        </w:tc>
        <w:tc>
          <w:tcPr>
            <w:tcW w:w="5814" w:type="dxa"/>
          </w:tcPr>
          <w:p w14:paraId="340B33DC">
            <w:pPr>
              <w:pStyle w:val="4"/>
              <w:jc w:val="left"/>
            </w:pPr>
            <w:r>
              <w:rPr>
                <w:rFonts w:ascii="仿宋_GB2312" w:hAnsi="仿宋_GB2312" w:eastAsia="仿宋_GB2312" w:cs="仿宋_GB2312"/>
                <w:b/>
              </w:rPr>
              <w:t>一、基本技术参数</w:t>
            </w:r>
          </w:p>
          <w:p w14:paraId="270F3E42">
            <w:pPr>
              <w:pStyle w:val="4"/>
              <w:jc w:val="left"/>
            </w:pPr>
            <w:r>
              <w:rPr>
                <w:rFonts w:ascii="仿宋_GB2312" w:hAnsi="仿宋_GB2312" w:eastAsia="仿宋_GB2312" w:cs="仿宋_GB2312"/>
              </w:rPr>
              <w:t>1、炉体外形尺寸：长×宽×高=≤4000×≤2500×≤3500mm（根据蓬溪县殡葬服务中心火化车间现有场地进行设计安装）。</w:t>
            </w:r>
          </w:p>
          <w:p w14:paraId="56825F32">
            <w:pPr>
              <w:pStyle w:val="4"/>
              <w:jc w:val="left"/>
            </w:pPr>
            <w:r>
              <w:rPr>
                <w:rFonts w:ascii="仿宋_GB2312" w:hAnsi="仿宋_GB2312" w:eastAsia="仿宋_GB2312" w:cs="仿宋_GB2312"/>
              </w:rPr>
              <w:t>2、拣灰车外形尺寸：长×宽×高=≥2200×≥700×≥700mm 。</w:t>
            </w:r>
          </w:p>
          <w:p w14:paraId="2B289A36">
            <w:pPr>
              <w:pStyle w:val="4"/>
              <w:jc w:val="left"/>
            </w:pPr>
            <w:r>
              <w:rPr>
                <w:rFonts w:ascii="仿宋_GB2312" w:hAnsi="仿宋_GB2312" w:eastAsia="仿宋_GB2312" w:cs="仿宋_GB2312"/>
              </w:rPr>
              <w:t>3、预备门尺寸：高×宽=≤2000×≤1000mm。</w:t>
            </w:r>
          </w:p>
          <w:p w14:paraId="678F1021">
            <w:pPr>
              <w:pStyle w:val="4"/>
              <w:jc w:val="left"/>
            </w:pPr>
            <w:r>
              <w:rPr>
                <w:rFonts w:ascii="仿宋_GB2312" w:hAnsi="仿宋_GB2312" w:eastAsia="仿宋_GB2312" w:cs="仿宋_GB2312"/>
              </w:rPr>
              <w:t>4、主炉膛尺寸：长×宽×高=：≥2200×≥700×≥700mm。</w:t>
            </w:r>
          </w:p>
          <w:p w14:paraId="373E7886">
            <w:pPr>
              <w:pStyle w:val="4"/>
              <w:jc w:val="left"/>
            </w:pPr>
            <w:r>
              <w:rPr>
                <w:rFonts w:ascii="仿宋_GB2312" w:hAnsi="仿宋_GB2312" w:eastAsia="仿宋_GB2312" w:cs="仿宋_GB2312"/>
              </w:rPr>
              <w:t>5、引射风机功率：≥7.5KW。</w:t>
            </w:r>
          </w:p>
          <w:p w14:paraId="2E0C2EEE">
            <w:pPr>
              <w:pStyle w:val="4"/>
              <w:jc w:val="left"/>
            </w:pPr>
            <w:r>
              <w:rPr>
                <w:rFonts w:ascii="仿宋_GB2312" w:hAnsi="仿宋_GB2312" w:eastAsia="仿宋_GB2312" w:cs="仿宋_GB2312"/>
              </w:rPr>
              <w:t>6、高压鼓风机功率：≥7.5KW。</w:t>
            </w:r>
          </w:p>
          <w:p w14:paraId="3F823071">
            <w:pPr>
              <w:pStyle w:val="4"/>
              <w:jc w:val="left"/>
            </w:pPr>
            <w:r>
              <w:rPr>
                <w:rFonts w:ascii="仿宋_GB2312" w:hAnsi="仿宋_GB2312" w:eastAsia="仿宋_GB2312" w:cs="仿宋_GB2312"/>
              </w:rPr>
              <w:t>7、总功率：≤20KW。</w:t>
            </w:r>
          </w:p>
          <w:p w14:paraId="3462BC3C">
            <w:pPr>
              <w:pStyle w:val="4"/>
              <w:jc w:val="left"/>
            </w:pPr>
            <w:r>
              <w:rPr>
                <w:rFonts w:ascii="仿宋_GB2312" w:hAnsi="仿宋_GB2312" w:eastAsia="仿宋_GB2312" w:cs="仿宋_GB2312"/>
              </w:rPr>
              <w:t>8、能耗：耗气量每小时≤50m³，耗油量每小时≤18升。天然气平均能耗≤35m³/具（连续火化）； 柴油平均能耗≤15升/具（连续火化）。</w:t>
            </w:r>
          </w:p>
          <w:p w14:paraId="08C7DBBB">
            <w:pPr>
              <w:pStyle w:val="4"/>
              <w:jc w:val="left"/>
            </w:pPr>
            <w:r>
              <w:rPr>
                <w:rFonts w:ascii="仿宋_GB2312" w:hAnsi="仿宋_GB2312" w:eastAsia="仿宋_GB2312" w:cs="仿宋_GB2312"/>
              </w:rPr>
              <w:t>9、连续火化平均用时：≤50分钟/具（符合GB/T 19054-2003要求）。</w:t>
            </w:r>
          </w:p>
          <w:p w14:paraId="5D126E48">
            <w:pPr>
              <w:pStyle w:val="4"/>
              <w:jc w:val="left"/>
            </w:pPr>
            <w:r>
              <w:rPr>
                <w:rFonts w:ascii="仿宋_GB2312" w:hAnsi="仿宋_GB2312" w:eastAsia="仿宋_GB2312" w:cs="仿宋_GB2312"/>
              </w:rPr>
              <w:t>10、燃料：轻质轻柴油、天然气两用。</w:t>
            </w:r>
          </w:p>
          <w:p w14:paraId="57D58A54">
            <w:pPr>
              <w:pStyle w:val="4"/>
              <w:jc w:val="left"/>
            </w:pPr>
            <w:r>
              <w:rPr>
                <w:rFonts w:ascii="仿宋_GB2312" w:hAnsi="仿宋_GB2312" w:eastAsia="仿宋_GB2312" w:cs="仿宋_GB2312"/>
              </w:rPr>
              <w:t>11、环保标准：经尾气处理后各种污染物排放标准、浓度和总量应达到GB 13801-2015《火葬场大气污染物排放标准》国家排放标准要求。</w:t>
            </w:r>
          </w:p>
          <w:p w14:paraId="4258A574">
            <w:pPr>
              <w:pStyle w:val="4"/>
              <w:jc w:val="left"/>
            </w:pPr>
            <w:r>
              <w:rPr>
                <w:rFonts w:ascii="仿宋_GB2312" w:hAnsi="仿宋_GB2312" w:eastAsia="仿宋_GB2312" w:cs="仿宋_GB2312"/>
              </w:rPr>
              <w:t>12、炉膛维保：火化量≥3000具或运行≥3年。</w:t>
            </w:r>
          </w:p>
          <w:p w14:paraId="3BA6287C">
            <w:pPr>
              <w:pStyle w:val="4"/>
              <w:jc w:val="left"/>
            </w:pPr>
            <w:r>
              <w:rPr>
                <w:rFonts w:ascii="仿宋_GB2312" w:hAnsi="仿宋_GB2312" w:eastAsia="仿宋_GB2312" w:cs="仿宋_GB2312"/>
                <w:b/>
              </w:rPr>
              <w:t>二、详细技术参数</w:t>
            </w:r>
          </w:p>
          <w:p w14:paraId="79A9DB94">
            <w:pPr>
              <w:pStyle w:val="4"/>
              <w:jc w:val="left"/>
            </w:pPr>
            <w:r>
              <w:rPr>
                <w:rFonts w:ascii="仿宋_GB2312" w:hAnsi="仿宋_GB2312" w:eastAsia="仿宋_GB2312" w:cs="仿宋_GB2312"/>
                <w:b/>
              </w:rPr>
              <w:t>2.1预备门系统：</w:t>
            </w:r>
          </w:p>
          <w:p w14:paraId="18EDF06C">
            <w:pPr>
              <w:pStyle w:val="4"/>
              <w:jc w:val="left"/>
            </w:pPr>
            <w:r>
              <w:rPr>
                <w:rFonts w:ascii="仿宋_GB2312" w:hAnsi="仿宋_GB2312" w:eastAsia="仿宋_GB2312" w:cs="仿宋_GB2312"/>
              </w:rPr>
              <w:t>1、预备门采用≥1.0mm 304拉丝不锈钢板制作。</w:t>
            </w:r>
          </w:p>
          <w:p w14:paraId="4530204E">
            <w:pPr>
              <w:pStyle w:val="4"/>
              <w:jc w:val="left"/>
            </w:pPr>
            <w:r>
              <w:rPr>
                <w:rFonts w:ascii="仿宋_GB2312" w:hAnsi="仿宋_GB2312" w:eastAsia="仿宋_GB2312" w:cs="仿宋_GB2312"/>
              </w:rPr>
              <w:t>2、传动系统采用电梯门控制器悬挂式传动，电机设减速装置，运行静音不卡顿。</w:t>
            </w:r>
          </w:p>
          <w:p w14:paraId="1382F617">
            <w:pPr>
              <w:pStyle w:val="4"/>
              <w:jc w:val="left"/>
            </w:pPr>
            <w:r>
              <w:rPr>
                <w:rFonts w:ascii="仿宋_GB2312" w:hAnsi="仿宋_GB2312" w:eastAsia="仿宋_GB2312" w:cs="仿宋_GB2312"/>
              </w:rPr>
              <w:t>3、预备门上方设计有条形LED显示装置，可现实设备的运行状态。</w:t>
            </w:r>
          </w:p>
          <w:p w14:paraId="1AD1804A">
            <w:pPr>
              <w:pStyle w:val="4"/>
              <w:jc w:val="left"/>
            </w:pPr>
            <w:r>
              <w:rPr>
                <w:rFonts w:ascii="仿宋_GB2312" w:hAnsi="仿宋_GB2312" w:eastAsia="仿宋_GB2312" w:cs="仿宋_GB2312"/>
              </w:rPr>
              <w:t>4、预备门运行平稳，开启、闭合时无异响。</w:t>
            </w:r>
          </w:p>
          <w:p w14:paraId="0DB0E3B6">
            <w:pPr>
              <w:pStyle w:val="4"/>
              <w:jc w:val="left"/>
            </w:pPr>
            <w:r>
              <w:rPr>
                <w:rFonts w:ascii="仿宋_GB2312" w:hAnsi="仿宋_GB2312" w:eastAsia="仿宋_GB2312" w:cs="仿宋_GB2312"/>
                <w:b/>
              </w:rPr>
              <w:t>2.2冷却平移系统</w:t>
            </w:r>
          </w:p>
          <w:p w14:paraId="0DAD84A1">
            <w:pPr>
              <w:pStyle w:val="4"/>
              <w:jc w:val="left"/>
            </w:pPr>
            <w:r>
              <w:rPr>
                <w:rFonts w:ascii="仿宋_GB2312" w:hAnsi="仿宋_GB2312" w:eastAsia="仿宋_GB2312" w:cs="仿宋_GB2312"/>
              </w:rPr>
              <w:t>1、冷却平移车主体采用国标角铁、槽钢制作。</w:t>
            </w:r>
          </w:p>
          <w:p w14:paraId="12F5B6C4">
            <w:pPr>
              <w:pStyle w:val="4"/>
              <w:jc w:val="left"/>
            </w:pPr>
            <w:r>
              <w:rPr>
                <w:rFonts w:ascii="仿宋_GB2312" w:hAnsi="仿宋_GB2312" w:eastAsia="仿宋_GB2312" w:cs="仿宋_GB2312"/>
              </w:rPr>
              <w:t>2、冷却平移车伸缩臂厚度不小于10mm。</w:t>
            </w:r>
          </w:p>
          <w:p w14:paraId="22979F33">
            <w:pPr>
              <w:pStyle w:val="4"/>
              <w:jc w:val="left"/>
            </w:pPr>
            <w:r>
              <w:rPr>
                <w:rFonts w:ascii="仿宋_GB2312" w:hAnsi="仿宋_GB2312" w:eastAsia="仿宋_GB2312" w:cs="仿宋_GB2312"/>
              </w:rPr>
              <w:t>3、冷却罩采用采用国标1.5mm 304拉丝不锈钢板制作。</w:t>
            </w:r>
          </w:p>
          <w:p w14:paraId="6512DB84">
            <w:pPr>
              <w:pStyle w:val="4"/>
              <w:jc w:val="left"/>
            </w:pPr>
            <w:r>
              <w:rPr>
                <w:rFonts w:ascii="仿宋_GB2312" w:hAnsi="仿宋_GB2312" w:eastAsia="仿宋_GB2312" w:cs="仿宋_GB2312"/>
              </w:rPr>
              <w:t>4、冷却罩必须做加固处理，冷却时冷却罩不能出现异响、晃动，坑面距离冷却罩高度100-120mm，冷却时间≤15min。</w:t>
            </w:r>
          </w:p>
          <w:p w14:paraId="585F420D">
            <w:pPr>
              <w:pStyle w:val="4"/>
              <w:jc w:val="left"/>
            </w:pPr>
            <w:r>
              <w:rPr>
                <w:rFonts w:ascii="仿宋_GB2312" w:hAnsi="仿宋_GB2312" w:eastAsia="仿宋_GB2312" w:cs="仿宋_GB2312"/>
              </w:rPr>
              <w:t>5、冷却系统具备两种控制方式，可设定冷却时间，也可以设定冷却温度。</w:t>
            </w:r>
          </w:p>
          <w:p w14:paraId="79A40A03">
            <w:pPr>
              <w:pStyle w:val="4"/>
              <w:jc w:val="left"/>
            </w:pPr>
            <w:r>
              <w:rPr>
                <w:rFonts w:ascii="仿宋_GB2312" w:hAnsi="仿宋_GB2312" w:eastAsia="仿宋_GB2312" w:cs="仿宋_GB2312"/>
                <w:b/>
              </w:rPr>
              <w:t>2.3遗体传动系统</w:t>
            </w:r>
          </w:p>
          <w:p w14:paraId="411FCC6D">
            <w:pPr>
              <w:pStyle w:val="4"/>
              <w:jc w:val="left"/>
            </w:pPr>
            <w:r>
              <w:rPr>
                <w:rFonts w:ascii="仿宋_GB2312" w:hAnsi="仿宋_GB2312" w:eastAsia="仿宋_GB2312" w:cs="仿宋_GB2312"/>
              </w:rPr>
              <w:t>1、拣灰车进尸车采用静音电机带动减速机传动前后移动运送遗体，尸车具备升降装置满足双炕面循环工作。</w:t>
            </w:r>
          </w:p>
          <w:p w14:paraId="3DD1DD62">
            <w:pPr>
              <w:pStyle w:val="4"/>
              <w:jc w:val="left"/>
            </w:pPr>
            <w:r>
              <w:rPr>
                <w:rFonts w:ascii="仿宋_GB2312" w:hAnsi="仿宋_GB2312" w:eastAsia="仿宋_GB2312" w:cs="仿宋_GB2312"/>
              </w:rPr>
              <w:t>2、尸车炕床采用铸铁工艺制作，炕面采用特种耐火高铝浇注料定模浇筑成型三块拼接安装。</w:t>
            </w:r>
          </w:p>
          <w:p w14:paraId="2BC34E5B">
            <w:pPr>
              <w:pStyle w:val="4"/>
              <w:jc w:val="left"/>
            </w:pPr>
            <w:r>
              <w:rPr>
                <w:rFonts w:ascii="仿宋_GB2312" w:hAnsi="仿宋_GB2312" w:eastAsia="仿宋_GB2312" w:cs="仿宋_GB2312"/>
              </w:rPr>
              <w:t>3、要求结构合理、运行平稳、安全可靠、噪音低、定位精确。</w:t>
            </w:r>
          </w:p>
          <w:p w14:paraId="787F9FCB">
            <w:pPr>
              <w:pStyle w:val="4"/>
              <w:jc w:val="left"/>
            </w:pPr>
            <w:r>
              <w:rPr>
                <w:rFonts w:ascii="仿宋_GB2312" w:hAnsi="仿宋_GB2312" w:eastAsia="仿宋_GB2312" w:cs="仿宋_GB2312"/>
                <w:b/>
              </w:rPr>
              <w:t>2.4火化炉主体</w:t>
            </w:r>
          </w:p>
          <w:p w14:paraId="49834314">
            <w:pPr>
              <w:pStyle w:val="4"/>
              <w:jc w:val="left"/>
            </w:pPr>
            <w:r>
              <w:rPr>
                <w:rFonts w:ascii="仿宋_GB2312" w:hAnsi="仿宋_GB2312" w:eastAsia="仿宋_GB2312" w:cs="仿宋_GB2312"/>
              </w:rPr>
              <w:t>1、火化炉炉架、炉膛外侧和炉底采用耐高温材料制作，具有稳定性能高，使用寿命长等特点。</w:t>
            </w:r>
          </w:p>
          <w:p w14:paraId="004C6362">
            <w:pPr>
              <w:pStyle w:val="4"/>
              <w:jc w:val="left"/>
            </w:pPr>
            <w:r>
              <w:rPr>
                <w:rFonts w:ascii="仿宋_GB2312" w:hAnsi="仿宋_GB2312" w:eastAsia="仿宋_GB2312" w:cs="仿宋_GB2312"/>
              </w:rPr>
              <w:t>2、火化炉炉门外框使用不锈钢板制作，耐火度&gt;1500℃。</w:t>
            </w:r>
          </w:p>
          <w:p w14:paraId="15C7E0B2">
            <w:pPr>
              <w:pStyle w:val="4"/>
              <w:jc w:val="left"/>
            </w:pPr>
            <w:r>
              <w:rPr>
                <w:rFonts w:ascii="仿宋_GB2312" w:hAnsi="仿宋_GB2312" w:eastAsia="仿宋_GB2312" w:cs="仿宋_GB2312"/>
              </w:rPr>
              <w:t>3、火化炉炉门上方具备烟雾回收装置防止开启炉门时烟气外溢。</w:t>
            </w:r>
          </w:p>
          <w:p w14:paraId="3D6ADD88">
            <w:pPr>
              <w:pStyle w:val="4"/>
              <w:jc w:val="left"/>
            </w:pPr>
            <w:r>
              <w:rPr>
                <w:rFonts w:ascii="仿宋_GB2312" w:hAnsi="仿宋_GB2312" w:eastAsia="仿宋_GB2312" w:cs="仿宋_GB2312"/>
              </w:rPr>
              <w:t>4、火化炉后方设置有操作口和观火口，外框使用国标1.0mm不锈钢板进行外装修。</w:t>
            </w:r>
          </w:p>
          <w:p w14:paraId="7DD8B939">
            <w:pPr>
              <w:pStyle w:val="4"/>
              <w:jc w:val="left"/>
            </w:pPr>
            <w:r>
              <w:rPr>
                <w:rFonts w:ascii="仿宋_GB2312" w:hAnsi="仿宋_GB2312" w:eastAsia="仿宋_GB2312" w:cs="仿宋_GB2312"/>
              </w:rPr>
              <w:t>5、▲炉体外结构表面温升≤30℃，炉门和观察孔局部温升≤60℃。（符合GB/T 19054-2003要求）。</w:t>
            </w:r>
          </w:p>
          <w:p w14:paraId="4287D8EC">
            <w:pPr>
              <w:pStyle w:val="4"/>
              <w:jc w:val="left"/>
            </w:pPr>
            <w:r>
              <w:rPr>
                <w:rFonts w:ascii="仿宋_GB2312" w:hAnsi="仿宋_GB2312" w:eastAsia="仿宋_GB2312" w:cs="仿宋_GB2312"/>
              </w:rPr>
              <w:t>6、砖缝厚度≤2mm。</w:t>
            </w:r>
          </w:p>
          <w:p w14:paraId="18A122F5">
            <w:pPr>
              <w:pStyle w:val="4"/>
              <w:jc w:val="left"/>
            </w:pPr>
            <w:r>
              <w:rPr>
                <w:rFonts w:ascii="仿宋_GB2312" w:hAnsi="仿宋_GB2312" w:eastAsia="仿宋_GB2312" w:cs="仿宋_GB2312"/>
              </w:rPr>
              <w:t>7、▲正常运行100h后，耐火表面应无剥落、裂缝、孔洞和网状裂纹。（符合GB/T 19054-2003要求）。</w:t>
            </w:r>
          </w:p>
          <w:p w14:paraId="48018198">
            <w:pPr>
              <w:pStyle w:val="4"/>
              <w:jc w:val="left"/>
            </w:pPr>
            <w:r>
              <w:rPr>
                <w:rFonts w:ascii="仿宋_GB2312" w:hAnsi="仿宋_GB2312" w:eastAsia="仿宋_GB2312" w:cs="仿宋_GB2312"/>
              </w:rPr>
              <w:t>8、火化机炉膛主燃烧室及二燃室采用高铝砖、磷酸盐砖、碳化硅砖等耐高温砖砌筑，其他部分采用高强度粘土耐火砖砌筑，极限耐高温性能不低于1200℃。（符合GB/T 7322-2017要求）。</w:t>
            </w:r>
          </w:p>
          <w:p w14:paraId="19424AB5">
            <w:pPr>
              <w:pStyle w:val="4"/>
              <w:jc w:val="left"/>
            </w:pPr>
            <w:r>
              <w:rPr>
                <w:rFonts w:ascii="仿宋_GB2312" w:hAnsi="仿宋_GB2312" w:eastAsia="仿宋_GB2312" w:cs="仿宋_GB2312"/>
              </w:rPr>
              <w:t>9、炉膛拱顶、火口和烟道口等烟气高流速区域采用高铝质耐火现浇注料砌筑，极限耐高温性能不低于1200℃。（符合GB/T 7322-2017要求）。</w:t>
            </w:r>
          </w:p>
          <w:p w14:paraId="51C3655E">
            <w:pPr>
              <w:pStyle w:val="4"/>
              <w:jc w:val="left"/>
            </w:pPr>
            <w:r>
              <w:rPr>
                <w:rFonts w:ascii="仿宋_GB2312" w:hAnsi="仿宋_GB2312" w:eastAsia="仿宋_GB2312" w:cs="仿宋_GB2312"/>
              </w:rPr>
              <w:t xml:space="preserve"> </w:t>
            </w:r>
          </w:p>
          <w:p w14:paraId="4B38D623">
            <w:pPr>
              <w:pStyle w:val="4"/>
              <w:jc w:val="left"/>
            </w:pPr>
            <w:r>
              <w:rPr>
                <w:rFonts w:ascii="仿宋_GB2312" w:hAnsi="仿宋_GB2312" w:eastAsia="仿宋_GB2312" w:cs="仿宋_GB2312"/>
                <w:b/>
              </w:rPr>
              <w:t>2.5点火、燃烧系统</w:t>
            </w:r>
          </w:p>
          <w:p w14:paraId="3B6BE5BC">
            <w:pPr>
              <w:pStyle w:val="4"/>
              <w:jc w:val="left"/>
            </w:pPr>
            <w:r>
              <w:rPr>
                <w:rFonts w:ascii="仿宋_GB2312" w:hAnsi="仿宋_GB2312" w:eastAsia="仿宋_GB2312" w:cs="仿宋_GB2312"/>
              </w:rPr>
              <w:t>1、燃烧器雾化效果好，可手动调节油气燃烧配比，烧嘴角度采用电动推杆自动调节。</w:t>
            </w:r>
          </w:p>
          <w:p w14:paraId="6E690C76">
            <w:pPr>
              <w:pStyle w:val="4"/>
              <w:jc w:val="left"/>
            </w:pPr>
            <w:r>
              <w:rPr>
                <w:rFonts w:ascii="仿宋_GB2312" w:hAnsi="仿宋_GB2312" w:eastAsia="仿宋_GB2312" w:cs="仿宋_GB2312"/>
              </w:rPr>
              <w:t>2、 燃烧器采用节能环保烧嘴，并具有大小火控制装置。</w:t>
            </w:r>
          </w:p>
          <w:p w14:paraId="322266F1">
            <w:pPr>
              <w:pStyle w:val="4"/>
              <w:jc w:val="left"/>
            </w:pPr>
            <w:r>
              <w:rPr>
                <w:rFonts w:ascii="仿宋_GB2312" w:hAnsi="仿宋_GB2312" w:eastAsia="仿宋_GB2312" w:cs="仿宋_GB2312"/>
              </w:rPr>
              <w:t>3、采用机电一体式燃烧器或高能点火装置点火，安全可靠。</w:t>
            </w:r>
          </w:p>
          <w:p w14:paraId="7EC91465">
            <w:pPr>
              <w:pStyle w:val="4"/>
              <w:jc w:val="left"/>
            </w:pPr>
            <w:r>
              <w:rPr>
                <w:rFonts w:ascii="仿宋_GB2312" w:hAnsi="仿宋_GB2312" w:eastAsia="仿宋_GB2312" w:cs="仿宋_GB2312"/>
              </w:rPr>
              <w:t>4、 燃烧器具有耐高温挡板保护装置，保证燃烧器的安全使用。</w:t>
            </w:r>
          </w:p>
          <w:p w14:paraId="35336FEF">
            <w:pPr>
              <w:pStyle w:val="4"/>
              <w:jc w:val="left"/>
            </w:pPr>
            <w:r>
              <w:rPr>
                <w:rFonts w:ascii="仿宋_GB2312" w:hAnsi="仿宋_GB2312" w:eastAsia="仿宋_GB2312" w:cs="仿宋_GB2312"/>
              </w:rPr>
              <w:t>5、 二次燃烧室燃烧器采用机电一体全自动燃烧，自动点火， 自动进退。</w:t>
            </w:r>
          </w:p>
          <w:p w14:paraId="0ACBF478">
            <w:pPr>
              <w:pStyle w:val="4"/>
              <w:jc w:val="left"/>
            </w:pPr>
            <w:r>
              <w:rPr>
                <w:rFonts w:ascii="仿宋_GB2312" w:hAnsi="仿宋_GB2312" w:eastAsia="仿宋_GB2312" w:cs="仿宋_GB2312"/>
              </w:rPr>
              <w:t>6、▲燃烧器应设有安全保护装置，如点火失败，安全保护装置能自动切断燃料供应。（符合GB/T 19054-2003要求）。</w:t>
            </w:r>
          </w:p>
          <w:p w14:paraId="0F5C9180">
            <w:pPr>
              <w:pStyle w:val="4"/>
              <w:jc w:val="left"/>
            </w:pPr>
            <w:r>
              <w:rPr>
                <w:rFonts w:ascii="仿宋_GB2312" w:hAnsi="仿宋_GB2312" w:eastAsia="仿宋_GB2312" w:cs="仿宋_GB2312"/>
              </w:rPr>
              <w:t>7、▲主燃室和再燃室温度、压力应有超限保护和防爆装置。（符合GB/T 19054-2003要求）。</w:t>
            </w:r>
          </w:p>
          <w:p w14:paraId="687B9B2C">
            <w:pPr>
              <w:pStyle w:val="4"/>
              <w:jc w:val="left"/>
            </w:pPr>
            <w:r>
              <w:rPr>
                <w:rFonts w:ascii="仿宋_GB2312" w:hAnsi="仿宋_GB2312" w:eastAsia="仿宋_GB2312" w:cs="仿宋_GB2312"/>
              </w:rPr>
              <w:t>8、▲在任何运行状况下，火化机主燃室和再燃室内均应保持负压，以防止烟气外溢。（符合GB/T 19054-2003要求）。</w:t>
            </w:r>
          </w:p>
          <w:p w14:paraId="0C43B9BC">
            <w:pPr>
              <w:pStyle w:val="4"/>
              <w:jc w:val="left"/>
            </w:pPr>
            <w:r>
              <w:rPr>
                <w:rFonts w:ascii="仿宋_GB2312" w:hAnsi="仿宋_GB2312" w:eastAsia="仿宋_GB2312" w:cs="仿宋_GB2312"/>
                <w:b/>
              </w:rPr>
              <w:t>2.6智能电气控制系统</w:t>
            </w:r>
          </w:p>
          <w:p w14:paraId="2597851B">
            <w:pPr>
              <w:pStyle w:val="4"/>
              <w:jc w:val="left"/>
            </w:pPr>
            <w:r>
              <w:rPr>
                <w:rFonts w:ascii="仿宋_GB2312" w:hAnsi="仿宋_GB2312" w:eastAsia="仿宋_GB2312" w:cs="仿宋_GB2312"/>
              </w:rPr>
              <w:t>▲1、控制系统应具有自动、半自动和手动控制三种方式，可以互不干扰自由切换。采用触摸显示屏及PLC电控系统，带漏电保护，多段温度显示，超温自动报警，具备同步设备运行信号显示功能。</w:t>
            </w:r>
          </w:p>
          <w:p w14:paraId="7D901577">
            <w:pPr>
              <w:pStyle w:val="4"/>
              <w:jc w:val="left"/>
            </w:pPr>
            <w:r>
              <w:rPr>
                <w:rFonts w:ascii="仿宋_GB2312" w:hAnsi="仿宋_GB2312" w:eastAsia="仿宋_GB2312" w:cs="仿宋_GB2312"/>
              </w:rPr>
              <w:t>2、电气控制柜采用独立的电气控柜，具有过载、短路等电器保护功能及系统综合控制功能。设备前厅控制系统具备自动一键式操作功能，同时可设置等待模式、手动模式、电柜模式等操作模式。同时具备紧急停止功能和电机卡死自动停止功能防止设备发生故障时产生损坏。</w:t>
            </w:r>
          </w:p>
          <w:p w14:paraId="65798D2A">
            <w:pPr>
              <w:pStyle w:val="4"/>
              <w:jc w:val="left"/>
            </w:pPr>
            <w:r>
              <w:rPr>
                <w:rFonts w:ascii="仿宋_GB2312" w:hAnsi="仿宋_GB2312" w:eastAsia="仿宋_GB2312" w:cs="仿宋_GB2312"/>
              </w:rPr>
              <w:t>3、前厅系统和后厅系统又互锁运作机制，可防止火化工作时误操作造成危险事故和设备损坏。具备急停功能防止碰撞。</w:t>
            </w:r>
          </w:p>
          <w:p w14:paraId="2520BD98">
            <w:pPr>
              <w:pStyle w:val="4"/>
              <w:jc w:val="left"/>
            </w:pPr>
            <w:r>
              <w:rPr>
                <w:rFonts w:ascii="仿宋_GB2312" w:hAnsi="仿宋_GB2312" w:eastAsia="仿宋_GB2312" w:cs="仿宋_GB2312"/>
              </w:rPr>
              <w:t>4、后厅控制系统配置有远程检修维护系统。</w:t>
            </w:r>
          </w:p>
          <w:p w14:paraId="7F4068F4">
            <w:pPr>
              <w:pStyle w:val="4"/>
              <w:jc w:val="left"/>
            </w:pPr>
            <w:r>
              <w:rPr>
                <w:rFonts w:ascii="仿宋_GB2312" w:hAnsi="仿宋_GB2312" w:eastAsia="仿宋_GB2312" w:cs="仿宋_GB2312"/>
              </w:rPr>
              <w:t>5、设备能够记录运行数据、工作日志等。</w:t>
            </w:r>
          </w:p>
          <w:p w14:paraId="7BB80385">
            <w:pPr>
              <w:pStyle w:val="4"/>
              <w:jc w:val="left"/>
            </w:pPr>
            <w:r>
              <w:rPr>
                <w:rFonts w:ascii="仿宋_GB2312" w:hAnsi="仿宋_GB2312" w:eastAsia="仿宋_GB2312" w:cs="仿宋_GB2312"/>
              </w:rPr>
              <w:t>6、设备可根据工作需要具备延时停机功能。</w:t>
            </w:r>
          </w:p>
          <w:p w14:paraId="1B2AB1F5">
            <w:pPr>
              <w:pStyle w:val="4"/>
              <w:jc w:val="left"/>
            </w:pPr>
            <w:r>
              <w:rPr>
                <w:rFonts w:ascii="仿宋_GB2312" w:hAnsi="仿宋_GB2312" w:eastAsia="仿宋_GB2312" w:cs="仿宋_GB2312"/>
              </w:rPr>
              <w:t>7、设备触摸屏采用可视化10寸以上触摸屏。</w:t>
            </w:r>
          </w:p>
          <w:p w14:paraId="3F1A458A">
            <w:pPr>
              <w:pStyle w:val="4"/>
              <w:jc w:val="left"/>
            </w:pPr>
            <w:r>
              <w:rPr>
                <w:rFonts w:ascii="仿宋_GB2312" w:hAnsi="仿宋_GB2312" w:eastAsia="仿宋_GB2312" w:cs="仿宋_GB2312"/>
                <w:b/>
              </w:rPr>
              <w:t>2.7直排引射系统</w:t>
            </w:r>
          </w:p>
          <w:p w14:paraId="1BFB178E">
            <w:pPr>
              <w:pStyle w:val="4"/>
              <w:jc w:val="left"/>
            </w:pPr>
            <w:r>
              <w:rPr>
                <w:rFonts w:ascii="仿宋_GB2312" w:hAnsi="仿宋_GB2312" w:eastAsia="仿宋_GB2312" w:cs="仿宋_GB2312"/>
              </w:rPr>
              <w:t>1、直排引射系统采取喷射烟筒结构，引射烟肉总高约8-13米，采用不小于3 毫米厚优质不锈钢卷制，埋入地下的第一节采用不小于4 毫米厚材质不锈钢板卷制。</w:t>
            </w:r>
          </w:p>
          <w:p w14:paraId="54F9548F">
            <w:pPr>
              <w:pStyle w:val="4"/>
              <w:jc w:val="left"/>
            </w:pPr>
            <w:r>
              <w:rPr>
                <w:rFonts w:ascii="仿宋_GB2312" w:hAnsi="仿宋_GB2312" w:eastAsia="仿宋_GB2312" w:cs="仿宋_GB2312"/>
              </w:rPr>
              <w:t>2、风机采用减震定位，出风口采用橡胶伸缩法兰连接套管，并装有消音装置。</w:t>
            </w:r>
          </w:p>
        </w:tc>
      </w:tr>
    </w:tbl>
    <w:p w14:paraId="54D5E985">
      <w:pPr>
        <w:pStyle w:val="4"/>
        <w:jc w:val="left"/>
      </w:pPr>
      <w:r>
        <w:rPr>
          <w:rFonts w:ascii="仿宋_GB2312" w:hAnsi="仿宋_GB2312" w:eastAsia="仿宋_GB2312" w:cs="仿宋_GB2312"/>
        </w:rPr>
        <w:t>标的名称：尾气净化处理器（一拖一）</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82942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FA2D10F">
            <w:pPr>
              <w:pStyle w:val="4"/>
              <w:jc w:val="center"/>
            </w:pPr>
            <w:r>
              <w:rPr>
                <w:rFonts w:ascii="仿宋_GB2312" w:hAnsi="仿宋_GB2312" w:eastAsia="仿宋_GB2312" w:cs="仿宋_GB2312"/>
              </w:rPr>
              <w:t>序号</w:t>
            </w:r>
          </w:p>
        </w:tc>
        <w:tc>
          <w:tcPr>
            <w:tcW w:w="581" w:type="dxa"/>
          </w:tcPr>
          <w:p w14:paraId="1BBC5A94">
            <w:pPr>
              <w:pStyle w:val="4"/>
              <w:jc w:val="center"/>
            </w:pPr>
            <w:r>
              <w:rPr>
                <w:rFonts w:ascii="仿宋_GB2312" w:hAnsi="仿宋_GB2312" w:eastAsia="仿宋_GB2312" w:cs="仿宋_GB2312"/>
              </w:rPr>
              <w:t>符号标识</w:t>
            </w:r>
          </w:p>
        </w:tc>
        <w:tc>
          <w:tcPr>
            <w:tcW w:w="1495" w:type="dxa"/>
          </w:tcPr>
          <w:p w14:paraId="133AD9AB">
            <w:pPr>
              <w:pStyle w:val="4"/>
              <w:jc w:val="center"/>
            </w:pPr>
            <w:r>
              <w:rPr>
                <w:rFonts w:ascii="仿宋_GB2312" w:hAnsi="仿宋_GB2312" w:eastAsia="仿宋_GB2312" w:cs="仿宋_GB2312"/>
              </w:rPr>
              <w:t>技术要求名称</w:t>
            </w:r>
          </w:p>
        </w:tc>
        <w:tc>
          <w:tcPr>
            <w:tcW w:w="5814" w:type="dxa"/>
          </w:tcPr>
          <w:p w14:paraId="4036620A">
            <w:pPr>
              <w:pStyle w:val="4"/>
              <w:jc w:val="center"/>
            </w:pPr>
            <w:r>
              <w:rPr>
                <w:rFonts w:ascii="仿宋_GB2312" w:hAnsi="仿宋_GB2312" w:eastAsia="仿宋_GB2312" w:cs="仿宋_GB2312"/>
              </w:rPr>
              <w:t>技术参数与性能指标</w:t>
            </w:r>
          </w:p>
        </w:tc>
      </w:tr>
      <w:tr w14:paraId="199C1F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AB42682">
            <w:pPr>
              <w:pStyle w:val="4"/>
              <w:jc w:val="center"/>
            </w:pPr>
            <w:r>
              <w:rPr>
                <w:rFonts w:ascii="仿宋_GB2312" w:hAnsi="仿宋_GB2312" w:eastAsia="仿宋_GB2312" w:cs="仿宋_GB2312"/>
              </w:rPr>
              <w:t>1</w:t>
            </w:r>
          </w:p>
        </w:tc>
        <w:tc>
          <w:tcPr>
            <w:tcW w:w="581" w:type="dxa"/>
          </w:tcPr>
          <w:p w14:paraId="4FA68F8F">
            <w:pPr>
              <w:pStyle w:val="4"/>
              <w:jc w:val="center"/>
            </w:pPr>
            <w:r>
              <w:rPr>
                <w:rFonts w:ascii="仿宋_GB2312" w:hAnsi="仿宋_GB2312" w:eastAsia="仿宋_GB2312" w:cs="仿宋_GB2312"/>
              </w:rPr>
              <w:t>★</w:t>
            </w:r>
          </w:p>
        </w:tc>
        <w:tc>
          <w:tcPr>
            <w:tcW w:w="1495" w:type="dxa"/>
          </w:tcPr>
          <w:p w14:paraId="0594A349">
            <w:pPr>
              <w:pStyle w:val="4"/>
              <w:jc w:val="left"/>
            </w:pPr>
            <w:r>
              <w:rPr>
                <w:rFonts w:ascii="仿宋_GB2312" w:hAnsi="仿宋_GB2312" w:eastAsia="仿宋_GB2312" w:cs="仿宋_GB2312"/>
              </w:rPr>
              <w:t>总体要求</w:t>
            </w:r>
          </w:p>
        </w:tc>
        <w:tc>
          <w:tcPr>
            <w:tcW w:w="5814" w:type="dxa"/>
          </w:tcPr>
          <w:p w14:paraId="61635D60">
            <w:pPr>
              <w:pStyle w:val="4"/>
              <w:jc w:val="left"/>
            </w:pPr>
            <w:r>
              <w:rPr>
                <w:rFonts w:ascii="仿宋_GB2312" w:hAnsi="仿宋_GB2312" w:eastAsia="仿宋_GB2312" w:cs="仿宋_GB2312"/>
                <w:sz w:val="21"/>
              </w:rPr>
              <w:t>尾气处理设备适用于与单台火化机（拣灰炉）配套使用，主要用于对火化过程中产生的高温含尘烟气进行冷却、除尘、脱酸、去除有害物质及降噪处理，确保遗体火化尾气达标排放。烟气净化设备系统包括但不限于以下主要功能部件构成：组合式高温烟气急冷系统、双筒旋风除尘装置、火星拦截装置、不锈钢高温烟气管道系统、脱硫脱酸吸附系统、布袋除尘器系统、二噁英活性炭吸附处理装置、压缩空气系统、脉冲清灰系统、气动蝶阀组件、排烟与引风系统、电气控制系统、设备检修与操作维护平台系统。</w:t>
            </w:r>
          </w:p>
          <w:p w14:paraId="1CE82517">
            <w:pPr>
              <w:pStyle w:val="4"/>
              <w:jc w:val="both"/>
            </w:pPr>
            <w:r>
              <w:rPr>
                <w:rFonts w:ascii="仿宋_GB2312" w:hAnsi="仿宋_GB2312" w:eastAsia="仿宋_GB2312" w:cs="仿宋_GB2312"/>
                <w:sz w:val="21"/>
              </w:rPr>
              <w:t xml:space="preserve">    </w:t>
            </w:r>
            <w:r>
              <w:rPr>
                <w:rFonts w:ascii="仿宋_GB2312" w:hAnsi="仿宋_GB2312" w:eastAsia="仿宋_GB2312" w:cs="仿宋_GB2312"/>
                <w:color w:val="000000"/>
                <w:sz w:val="21"/>
              </w:rPr>
              <w:t>整套尾气处理设备的设计、制造、安装与运行应符合相关国家现行标准，并应通过可靠性、安全性、易维护性等方面的系统优化，确保系统运行稳定、处理高效、环保达标。</w:t>
            </w:r>
          </w:p>
        </w:tc>
      </w:tr>
      <w:tr w14:paraId="64B56A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CEA986C">
            <w:pPr>
              <w:pStyle w:val="4"/>
              <w:jc w:val="center"/>
            </w:pPr>
            <w:r>
              <w:rPr>
                <w:rFonts w:ascii="仿宋_GB2312" w:hAnsi="仿宋_GB2312" w:eastAsia="仿宋_GB2312" w:cs="仿宋_GB2312"/>
              </w:rPr>
              <w:t>2</w:t>
            </w:r>
          </w:p>
        </w:tc>
        <w:tc>
          <w:tcPr>
            <w:tcW w:w="581" w:type="dxa"/>
          </w:tcPr>
          <w:p w14:paraId="5EAB077C"/>
        </w:tc>
        <w:tc>
          <w:tcPr>
            <w:tcW w:w="1495" w:type="dxa"/>
          </w:tcPr>
          <w:p w14:paraId="1D78B049">
            <w:pPr>
              <w:pStyle w:val="4"/>
              <w:jc w:val="left"/>
            </w:pPr>
            <w:r>
              <w:rPr>
                <w:rFonts w:ascii="仿宋_GB2312" w:hAnsi="仿宋_GB2312" w:eastAsia="仿宋_GB2312" w:cs="仿宋_GB2312"/>
              </w:rPr>
              <w:t>尾气处理设备主要性能参数要求</w:t>
            </w:r>
          </w:p>
        </w:tc>
        <w:tc>
          <w:tcPr>
            <w:tcW w:w="5814" w:type="dxa"/>
          </w:tcPr>
          <w:p w14:paraId="0A38995C">
            <w:pPr>
              <w:pStyle w:val="4"/>
              <w:jc w:val="left"/>
            </w:pPr>
            <w:r>
              <w:rPr>
                <w:rFonts w:ascii="仿宋_GB2312" w:hAnsi="仿宋_GB2312" w:eastAsia="仿宋_GB2312" w:cs="仿宋_GB2312"/>
                <w:color w:val="000000"/>
                <w:sz w:val="21"/>
              </w:rPr>
              <w:t>1.工作环境：设备应适用于室内外环境运行，系统结构及材料应具备防尘、防潮、防腐蚀性能。</w:t>
            </w:r>
          </w:p>
          <w:p w14:paraId="7BCFAB26">
            <w:pPr>
              <w:pStyle w:val="4"/>
              <w:jc w:val="left"/>
            </w:pPr>
            <w:r>
              <w:rPr>
                <w:rFonts w:ascii="仿宋_GB2312" w:hAnsi="仿宋_GB2312" w:eastAsia="仿宋_GB2312" w:cs="仿宋_GB2312"/>
                <w:color w:val="000000"/>
                <w:sz w:val="21"/>
              </w:rPr>
              <w:t>2.工作环境温度范围：-25～50℃。</w:t>
            </w:r>
          </w:p>
          <w:p w14:paraId="72A75628">
            <w:pPr>
              <w:pStyle w:val="4"/>
              <w:jc w:val="left"/>
            </w:pPr>
            <w:r>
              <w:rPr>
                <w:rFonts w:ascii="仿宋_GB2312" w:hAnsi="仿宋_GB2312" w:eastAsia="仿宋_GB2312" w:cs="仿宋_GB2312"/>
                <w:color w:val="000000"/>
                <w:sz w:val="21"/>
              </w:rPr>
              <w:t>3.烟气净化能力：≥11000m³/h，满足单台火化机连续火化烟气排放处理需求。</w:t>
            </w:r>
          </w:p>
          <w:p w14:paraId="2B40F3BD">
            <w:pPr>
              <w:pStyle w:val="4"/>
              <w:jc w:val="left"/>
            </w:pPr>
            <w:r>
              <w:rPr>
                <w:rFonts w:ascii="仿宋_GB2312" w:hAnsi="仿宋_GB2312" w:eastAsia="仿宋_GB2312" w:cs="仿宋_GB2312"/>
                <w:color w:val="000000"/>
                <w:sz w:val="21"/>
              </w:rPr>
              <w:t>★4.净化排放标准：处理后尾气排放须全面达到《GB 13801-2015 火葬场大气污染物排放标准》限值要求。</w:t>
            </w:r>
          </w:p>
          <w:p w14:paraId="62FA7BB2">
            <w:pPr>
              <w:pStyle w:val="4"/>
              <w:jc w:val="left"/>
            </w:pPr>
            <w:r>
              <w:rPr>
                <w:rFonts w:ascii="仿宋_GB2312" w:hAnsi="仿宋_GB2312" w:eastAsia="仿宋_GB2312" w:cs="仿宋_GB2312"/>
                <w:color w:val="000000"/>
                <w:sz w:val="21"/>
              </w:rPr>
              <w:t>5.布置适应性与施工性：设备布置应根据殡仪馆场地实际情况进行优化设计，确保系统在满足环保要求的前提下，具备结构紧凑、运行节能、操作简便、检修空间合理、隔音措施有效等特性，便于后期维护管理。</w:t>
            </w:r>
          </w:p>
          <w:p w14:paraId="6480AE40">
            <w:pPr>
              <w:pStyle w:val="4"/>
              <w:jc w:val="both"/>
            </w:pPr>
            <w:r>
              <w:rPr>
                <w:rFonts w:ascii="仿宋_GB2312" w:hAnsi="仿宋_GB2312" w:eastAsia="仿宋_GB2312" w:cs="仿宋_GB2312"/>
                <w:color w:val="000000"/>
                <w:sz w:val="21"/>
              </w:rPr>
              <w:t>6.整机使用年限：正常使用不低于10年。</w:t>
            </w:r>
          </w:p>
        </w:tc>
      </w:tr>
      <w:tr w14:paraId="44CAF4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A6DD459">
            <w:pPr>
              <w:pStyle w:val="4"/>
              <w:jc w:val="center"/>
            </w:pPr>
            <w:r>
              <w:rPr>
                <w:rFonts w:ascii="仿宋_GB2312" w:hAnsi="仿宋_GB2312" w:eastAsia="仿宋_GB2312" w:cs="仿宋_GB2312"/>
              </w:rPr>
              <w:t>3</w:t>
            </w:r>
          </w:p>
        </w:tc>
        <w:tc>
          <w:tcPr>
            <w:tcW w:w="581" w:type="dxa"/>
          </w:tcPr>
          <w:p w14:paraId="6AD7E0F4"/>
        </w:tc>
        <w:tc>
          <w:tcPr>
            <w:tcW w:w="1495" w:type="dxa"/>
          </w:tcPr>
          <w:p w14:paraId="422216F8">
            <w:pPr>
              <w:pStyle w:val="4"/>
              <w:jc w:val="left"/>
            </w:pPr>
            <w:r>
              <w:rPr>
                <w:rFonts w:ascii="仿宋_GB2312" w:hAnsi="仿宋_GB2312" w:eastAsia="仿宋_GB2312" w:cs="仿宋_GB2312"/>
              </w:rPr>
              <w:t>组合式高温烟气急冷系统</w:t>
            </w:r>
          </w:p>
        </w:tc>
        <w:tc>
          <w:tcPr>
            <w:tcW w:w="5814" w:type="dxa"/>
          </w:tcPr>
          <w:p w14:paraId="7E4076AD">
            <w:pPr>
              <w:pStyle w:val="4"/>
              <w:jc w:val="left"/>
            </w:pPr>
            <w:r>
              <w:rPr>
                <w:rFonts w:ascii="仿宋_GB2312" w:hAnsi="仿宋_GB2312" w:eastAsia="仿宋_GB2312" w:cs="仿宋_GB2312"/>
                <w:color w:val="000000"/>
                <w:sz w:val="21"/>
              </w:rPr>
              <w:t>1.系统结构：</w:t>
            </w:r>
            <w:r>
              <w:rPr>
                <w:rFonts w:ascii="仿宋_GB2312" w:hAnsi="仿宋_GB2312" w:eastAsia="仿宋_GB2312" w:cs="仿宋_GB2312"/>
                <w:sz w:val="21"/>
              </w:rPr>
              <w:t>组合式高温烟气急冷系统由高效列管换热器、火星拦截器、双筒旋风除尘器等模块组合而成，具备结构紧凑、功能集成、占地面积小等特点，适用于火化设备烟气的初步预处理与降温。</w:t>
            </w:r>
          </w:p>
          <w:p w14:paraId="2F4F4AC5">
            <w:pPr>
              <w:pStyle w:val="4"/>
              <w:jc w:val="left"/>
            </w:pPr>
            <w:r>
              <w:rPr>
                <w:rFonts w:ascii="仿宋_GB2312" w:hAnsi="仿宋_GB2312" w:eastAsia="仿宋_GB2312" w:cs="仿宋_GB2312"/>
                <w:color w:val="000000"/>
                <w:sz w:val="21"/>
              </w:rPr>
              <w:t>2.组合式高温烟气急冷系统性能及工艺要求</w:t>
            </w:r>
          </w:p>
          <w:p w14:paraId="0601237A">
            <w:pPr>
              <w:pStyle w:val="4"/>
              <w:jc w:val="left"/>
            </w:pPr>
            <w:r>
              <w:rPr>
                <w:rFonts w:ascii="仿宋_GB2312" w:hAnsi="仿宋_GB2312" w:eastAsia="仿宋_GB2312" w:cs="仿宋_GB2312"/>
                <w:color w:val="000000"/>
                <w:sz w:val="21"/>
              </w:rPr>
              <w:t>（1）降温性能：系统应具备急速降温能力，能在2秒内将尾气温度至200℃以下，有效避开二噁英再合成温区环境，确保后级滤袋系统稳定运行。</w:t>
            </w:r>
          </w:p>
          <w:p w14:paraId="614222C9">
            <w:pPr>
              <w:pStyle w:val="4"/>
              <w:jc w:val="left"/>
            </w:pPr>
            <w:r>
              <w:rPr>
                <w:rFonts w:ascii="仿宋_GB2312" w:hAnsi="仿宋_GB2312" w:eastAsia="仿宋_GB2312" w:cs="仿宋_GB2312"/>
                <w:color w:val="000000"/>
                <w:sz w:val="21"/>
              </w:rPr>
              <w:t>（2）材料要求：外壳主体采用国标304不锈钢材料，厚度不小于3mm，具备良好的耐高温、耐腐蚀性能。</w:t>
            </w:r>
          </w:p>
          <w:p w14:paraId="3722E442">
            <w:pPr>
              <w:pStyle w:val="4"/>
              <w:jc w:val="left"/>
            </w:pPr>
            <w:r>
              <w:rPr>
                <w:rFonts w:ascii="仿宋_GB2312" w:hAnsi="仿宋_GB2312" w:eastAsia="仿宋_GB2312" w:cs="仿宋_GB2312"/>
                <w:color w:val="000000"/>
                <w:sz w:val="21"/>
              </w:rPr>
              <w:t>（3）焊接工艺：结构焊接应选用匹配的不锈钢焊材，焊点牢固、焊缝美观，无虚焊、漏焊等缺陷，满足长期稳定运行要求。</w:t>
            </w:r>
          </w:p>
          <w:p w14:paraId="7D331356">
            <w:pPr>
              <w:pStyle w:val="4"/>
              <w:jc w:val="left"/>
            </w:pPr>
            <w:r>
              <w:rPr>
                <w:rFonts w:ascii="仿宋_GB2312" w:hAnsi="仿宋_GB2312" w:eastAsia="仿宋_GB2312" w:cs="仿宋_GB2312"/>
                <w:color w:val="000000"/>
                <w:sz w:val="21"/>
              </w:rPr>
              <w:t>（4）结构尺寸：具体应结合蓬溪县殡葬服务中心现场条件进行设计并安装。</w:t>
            </w:r>
          </w:p>
          <w:p w14:paraId="7FBD9BEC">
            <w:pPr>
              <w:pStyle w:val="4"/>
              <w:jc w:val="left"/>
            </w:pPr>
            <w:r>
              <w:rPr>
                <w:rFonts w:ascii="仿宋_GB2312" w:hAnsi="仿宋_GB2312" w:eastAsia="仿宋_GB2312" w:cs="仿宋_GB2312"/>
                <w:color w:val="000000"/>
                <w:sz w:val="21"/>
              </w:rPr>
              <w:t>3.构成各模块技术要求</w:t>
            </w:r>
          </w:p>
          <w:p w14:paraId="767D0008">
            <w:pPr>
              <w:pStyle w:val="4"/>
              <w:jc w:val="left"/>
            </w:pPr>
            <w:r>
              <w:rPr>
                <w:rFonts w:ascii="仿宋_GB2312" w:hAnsi="仿宋_GB2312" w:eastAsia="仿宋_GB2312" w:cs="仿宋_GB2312"/>
                <w:color w:val="000000"/>
                <w:sz w:val="21"/>
              </w:rPr>
              <w:t>（1）双筒旋风除尘装置</w:t>
            </w:r>
          </w:p>
          <w:p w14:paraId="69B4AF9E">
            <w:pPr>
              <w:pStyle w:val="4"/>
              <w:jc w:val="left"/>
            </w:pPr>
            <w:r>
              <w:rPr>
                <w:rFonts w:ascii="仿宋_GB2312" w:hAnsi="仿宋_GB2312" w:eastAsia="仿宋_GB2312" w:cs="仿宋_GB2312"/>
                <w:color w:val="000000"/>
                <w:sz w:val="21"/>
              </w:rPr>
              <w:t>★①设备结构：双筒旋风除尘装置应由进气管、排气管、圆筒体、锥体和集灰斗组成。</w:t>
            </w:r>
          </w:p>
          <w:p w14:paraId="78F84C64">
            <w:pPr>
              <w:pStyle w:val="4"/>
              <w:jc w:val="left"/>
            </w:pPr>
            <w:r>
              <w:rPr>
                <w:rFonts w:ascii="仿宋_GB2312" w:hAnsi="仿宋_GB2312" w:eastAsia="仿宋_GB2312" w:cs="仿宋_GB2312"/>
                <w:color w:val="000000"/>
                <w:sz w:val="21"/>
              </w:rPr>
              <w:t>②除尘效率：系统整体针对≥100μm颗粒物的去除效率不低于70%，具备预除尘、减温、缓冲气流的综合功能。</w:t>
            </w:r>
          </w:p>
          <w:p w14:paraId="161453AF">
            <w:pPr>
              <w:pStyle w:val="4"/>
              <w:jc w:val="left"/>
            </w:pPr>
            <w:r>
              <w:rPr>
                <w:rFonts w:ascii="仿宋_GB2312" w:hAnsi="仿宋_GB2312" w:eastAsia="仿宋_GB2312" w:cs="仿宋_GB2312"/>
                <w:color w:val="000000"/>
                <w:sz w:val="21"/>
              </w:rPr>
              <w:t>③制造材质：除尘器本体、接口法兰及支撑件均采用不低于3mm厚304不锈钢板制造，具备高温耐腐蚀与结构强度保障。</w:t>
            </w:r>
          </w:p>
          <w:p w14:paraId="7990702B">
            <w:pPr>
              <w:pStyle w:val="4"/>
              <w:jc w:val="left"/>
            </w:pPr>
            <w:r>
              <w:rPr>
                <w:rFonts w:ascii="仿宋_GB2312" w:hAnsi="仿宋_GB2312" w:eastAsia="仿宋_GB2312" w:cs="仿宋_GB2312"/>
                <w:color w:val="000000"/>
                <w:sz w:val="21"/>
              </w:rPr>
              <w:t>④检修与清灰：设备应配有可拆卸人孔或检修口，用于日常维护与检修操作。</w:t>
            </w:r>
          </w:p>
          <w:p w14:paraId="270FE9F9">
            <w:pPr>
              <w:pStyle w:val="4"/>
              <w:jc w:val="left"/>
            </w:pPr>
            <w:r>
              <w:rPr>
                <w:rFonts w:ascii="仿宋_GB2312" w:hAnsi="仿宋_GB2312" w:eastAsia="仿宋_GB2312" w:cs="仿宋_GB2312"/>
                <w:sz w:val="21"/>
              </w:rPr>
              <w:t>（2）</w:t>
            </w:r>
            <w:r>
              <w:rPr>
                <w:rFonts w:ascii="仿宋_GB2312" w:hAnsi="仿宋_GB2312" w:eastAsia="仿宋_GB2312" w:cs="仿宋_GB2312"/>
                <w:color w:val="000000"/>
                <w:sz w:val="21"/>
              </w:rPr>
              <w:t>火星拦截装置</w:t>
            </w:r>
          </w:p>
          <w:p w14:paraId="5A0997AE">
            <w:pPr>
              <w:pStyle w:val="4"/>
              <w:jc w:val="left"/>
            </w:pPr>
            <w:r>
              <w:rPr>
                <w:rFonts w:ascii="仿宋_GB2312" w:hAnsi="仿宋_GB2312" w:eastAsia="仿宋_GB2312" w:cs="仿宋_GB2312"/>
                <w:color w:val="000000"/>
                <w:sz w:val="21"/>
              </w:rPr>
              <w:t>①系统组成：火星拦截装置由金属滤筒组件、不锈钢外壳、脉冲清灰系统等组成，设于旋风除尘器之后，进一步拦截烟气中残留的明火星与细颗粒，保护下游滤袋系统。</w:t>
            </w:r>
          </w:p>
          <w:p w14:paraId="70DC4FD7">
            <w:pPr>
              <w:pStyle w:val="4"/>
              <w:jc w:val="left"/>
            </w:pPr>
            <w:r>
              <w:rPr>
                <w:rFonts w:ascii="仿宋_GB2312" w:hAnsi="仿宋_GB2312" w:eastAsia="仿宋_GB2312" w:cs="仿宋_GB2312"/>
                <w:color w:val="000000"/>
                <w:sz w:val="21"/>
              </w:rPr>
              <w:t>★②滤筒配置：采用金属滤筒式结构，内设不少于10根直径≥200mm的不锈钢编织网滤筒，布置均匀，过滤面积大，阻燃耐高温；火星拦截率≥99%。</w:t>
            </w:r>
          </w:p>
          <w:p w14:paraId="4F58CB24">
            <w:pPr>
              <w:pStyle w:val="4"/>
              <w:jc w:val="left"/>
            </w:pPr>
            <w:r>
              <w:rPr>
                <w:rFonts w:ascii="仿宋_GB2312" w:hAnsi="仿宋_GB2312" w:eastAsia="仿宋_GB2312" w:cs="仿宋_GB2312"/>
                <w:color w:val="000000"/>
                <w:sz w:val="21"/>
              </w:rPr>
              <w:t>③自动清灰：配备自动脉冲清灰系统，设有不少于2个高效电磁脉冲阀，每个脉冲通道负责对5个滤筒同步清灰，清灰效果强，阻力恢复快。</w:t>
            </w:r>
          </w:p>
          <w:p w14:paraId="6C5E2085">
            <w:pPr>
              <w:pStyle w:val="4"/>
              <w:jc w:val="left"/>
            </w:pPr>
            <w:r>
              <w:rPr>
                <w:rFonts w:ascii="仿宋_GB2312" w:hAnsi="仿宋_GB2312" w:eastAsia="仿宋_GB2312" w:cs="仿宋_GB2312"/>
                <w:color w:val="000000"/>
                <w:sz w:val="21"/>
              </w:rPr>
              <w:t>④材料要求：设备整体采用不低于2mm厚304不锈钢材料制作，结构坚固，耐热耐腐蚀，焊接质量符合不锈钢焊接标准，无虚焊、裂焊、焊瘤等缺陷。</w:t>
            </w:r>
          </w:p>
          <w:p w14:paraId="7E6C83AF">
            <w:pPr>
              <w:pStyle w:val="4"/>
              <w:jc w:val="both"/>
            </w:pPr>
            <w:r>
              <w:rPr>
                <w:rFonts w:ascii="仿宋_GB2312" w:hAnsi="仿宋_GB2312" w:eastAsia="仿宋_GB2312" w:cs="仿宋_GB2312"/>
                <w:color w:val="000000"/>
                <w:sz w:val="21"/>
              </w:rPr>
              <w:t>⑤功能性能：该系统兼具除火星、消明焰、降温减速多重作用，是尾气净化系统安全运行的重要防护节点。</w:t>
            </w:r>
          </w:p>
        </w:tc>
      </w:tr>
      <w:tr w14:paraId="348845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5B42612">
            <w:pPr>
              <w:pStyle w:val="4"/>
              <w:jc w:val="center"/>
            </w:pPr>
            <w:r>
              <w:rPr>
                <w:rFonts w:ascii="仿宋_GB2312" w:hAnsi="仿宋_GB2312" w:eastAsia="仿宋_GB2312" w:cs="仿宋_GB2312"/>
              </w:rPr>
              <w:t>4</w:t>
            </w:r>
          </w:p>
        </w:tc>
        <w:tc>
          <w:tcPr>
            <w:tcW w:w="581" w:type="dxa"/>
          </w:tcPr>
          <w:p w14:paraId="0B70B846"/>
        </w:tc>
        <w:tc>
          <w:tcPr>
            <w:tcW w:w="1495" w:type="dxa"/>
          </w:tcPr>
          <w:p w14:paraId="37BB46CB">
            <w:pPr>
              <w:pStyle w:val="4"/>
              <w:jc w:val="left"/>
            </w:pPr>
            <w:r>
              <w:rPr>
                <w:rFonts w:ascii="仿宋_GB2312" w:hAnsi="仿宋_GB2312" w:eastAsia="仿宋_GB2312" w:cs="仿宋_GB2312"/>
              </w:rPr>
              <w:t>不锈钢高温烟气管道系统</w:t>
            </w:r>
          </w:p>
        </w:tc>
        <w:tc>
          <w:tcPr>
            <w:tcW w:w="5814" w:type="dxa"/>
          </w:tcPr>
          <w:p w14:paraId="50F231AC">
            <w:pPr>
              <w:pStyle w:val="4"/>
              <w:jc w:val="left"/>
            </w:pPr>
            <w:r>
              <w:rPr>
                <w:rFonts w:ascii="仿宋_GB2312" w:hAnsi="仿宋_GB2312" w:eastAsia="仿宋_GB2312" w:cs="仿宋_GB2312"/>
                <w:sz w:val="21"/>
              </w:rPr>
              <w:t>1.布置与密封性能：烟气管道应根据施工现场空间条件合理布局，整体走向应顺畅、紧凑，便于施工安装和后期检修维护。系统连接应采用法兰或焊接方式，确保整体无漏风、抗负压性能良好。</w:t>
            </w:r>
          </w:p>
          <w:p w14:paraId="6EC005C1">
            <w:pPr>
              <w:pStyle w:val="4"/>
              <w:jc w:val="left"/>
            </w:pPr>
            <w:r>
              <w:rPr>
                <w:rFonts w:ascii="仿宋_GB2312" w:hAnsi="仿宋_GB2312" w:eastAsia="仿宋_GB2312" w:cs="仿宋_GB2312"/>
                <w:sz w:val="21"/>
              </w:rPr>
              <w:t>★2.材料与厚度要求：连接管道应全部采用优质304不锈钢材料制造，厚度不低于3mm。连接部位应配耐高温密封垫片，所有应急管道或支路上的阀门须耐温不低于300℃，保证在高温状态下安全启闭和密封。不锈钢超高温烟气管道：耐高温不低于900℃，外管材料采用厚度不低于3mm的不锈钢材料制造，高温内衬采用高温锆金属纤维卷筒保温隔热。</w:t>
            </w:r>
          </w:p>
          <w:p w14:paraId="563DE6B0">
            <w:pPr>
              <w:pStyle w:val="4"/>
              <w:jc w:val="both"/>
            </w:pPr>
            <w:r>
              <w:rPr>
                <w:rFonts w:ascii="仿宋_GB2312" w:hAnsi="仿宋_GB2312" w:eastAsia="仿宋_GB2312" w:cs="仿宋_GB2312"/>
                <w:sz w:val="21"/>
              </w:rPr>
              <w:t>3.系统兼容性与安装规范：烟气管道系统需与各净化单元（急冷器、旋风除尘器、布袋除尘器、引风机等）接口预留配套连接方式，整体设计应符合工业管道施工相关国家标准及规范要求，安装时应采取防变形、抗热胀冷缩技术措施。</w:t>
            </w:r>
          </w:p>
        </w:tc>
      </w:tr>
      <w:tr w14:paraId="3E6FAC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1BFCC11">
            <w:pPr>
              <w:pStyle w:val="4"/>
              <w:jc w:val="center"/>
            </w:pPr>
            <w:r>
              <w:rPr>
                <w:rFonts w:ascii="仿宋_GB2312" w:hAnsi="仿宋_GB2312" w:eastAsia="仿宋_GB2312" w:cs="仿宋_GB2312"/>
              </w:rPr>
              <w:t>5</w:t>
            </w:r>
          </w:p>
        </w:tc>
        <w:tc>
          <w:tcPr>
            <w:tcW w:w="581" w:type="dxa"/>
          </w:tcPr>
          <w:p w14:paraId="08DCAAB7"/>
        </w:tc>
        <w:tc>
          <w:tcPr>
            <w:tcW w:w="1495" w:type="dxa"/>
          </w:tcPr>
          <w:p w14:paraId="028A0735">
            <w:pPr>
              <w:pStyle w:val="4"/>
              <w:jc w:val="left"/>
            </w:pPr>
            <w:r>
              <w:rPr>
                <w:rFonts w:ascii="仿宋_GB2312" w:hAnsi="仿宋_GB2312" w:eastAsia="仿宋_GB2312" w:cs="仿宋_GB2312"/>
              </w:rPr>
              <w:t>脱硫脱酸吸附系统</w:t>
            </w:r>
          </w:p>
        </w:tc>
        <w:tc>
          <w:tcPr>
            <w:tcW w:w="5814" w:type="dxa"/>
          </w:tcPr>
          <w:p w14:paraId="23A98976">
            <w:pPr>
              <w:pStyle w:val="4"/>
              <w:jc w:val="left"/>
            </w:pPr>
            <w:r>
              <w:rPr>
                <w:rFonts w:ascii="仿宋_GB2312" w:hAnsi="仿宋_GB2312" w:eastAsia="仿宋_GB2312" w:cs="仿宋_GB2312"/>
                <w:sz w:val="21"/>
              </w:rPr>
              <w:t>1.控制方式与处理能力：系统应采用电动可调式定量控制装置，容积不小于0.1m³，能根据烟气浓度自动调节碱性吸附剂投加量，确保SO₂、HCl等酸性气体去除效率不低于95%。</w:t>
            </w:r>
          </w:p>
          <w:p w14:paraId="4EF3F247">
            <w:pPr>
              <w:pStyle w:val="4"/>
              <w:jc w:val="left"/>
            </w:pPr>
            <w:r>
              <w:rPr>
                <w:rFonts w:ascii="仿宋_GB2312" w:hAnsi="仿宋_GB2312" w:eastAsia="仿宋_GB2312" w:cs="仿宋_GB2312"/>
                <w:sz w:val="21"/>
              </w:rPr>
              <w:t>2.结构布置：设备应采用低位安装方式，操作平台加料口设置合理，满足现场操作便捷性要求；投料方式应为喷射式干粉投加，保证吸附剂与烟气充分接触反应。</w:t>
            </w:r>
          </w:p>
          <w:p w14:paraId="664A436D">
            <w:pPr>
              <w:pStyle w:val="4"/>
              <w:jc w:val="left"/>
            </w:pPr>
            <w:r>
              <w:rPr>
                <w:rFonts w:ascii="仿宋_GB2312" w:hAnsi="仿宋_GB2312" w:eastAsia="仿宋_GB2312" w:cs="仿宋_GB2312"/>
                <w:sz w:val="21"/>
              </w:rPr>
              <w:t>3.材料与耐高温耐腐蚀性：设备本体应使用厚度不小于5mm的耐高温、耐腐蚀优质不锈钢板材（304或更高等级），并配备必要的隔热、耐热结构措施，以适应长期高温烟气环境运行。</w:t>
            </w:r>
          </w:p>
          <w:p w14:paraId="644BAAB0">
            <w:pPr>
              <w:pStyle w:val="4"/>
              <w:jc w:val="left"/>
            </w:pPr>
            <w:r>
              <w:rPr>
                <w:rFonts w:ascii="仿宋_GB2312" w:hAnsi="仿宋_GB2312" w:eastAsia="仿宋_GB2312" w:cs="仿宋_GB2312"/>
                <w:sz w:val="21"/>
              </w:rPr>
              <w:t>4.反应性能要求：系统应确保所投碱性吸附剂（如消石灰、氧化钙、复合氧化剂等）与烟气中酸性成分充分中和反应，达到脱硫脱酸效果，反应产物应能被下游布袋除尘器有效收集。</w:t>
            </w:r>
          </w:p>
          <w:p w14:paraId="1FFD5A34">
            <w:pPr>
              <w:pStyle w:val="4"/>
              <w:jc w:val="left"/>
            </w:pPr>
            <w:r>
              <w:rPr>
                <w:rFonts w:ascii="仿宋_GB2312" w:hAnsi="仿宋_GB2312" w:eastAsia="仿宋_GB2312" w:cs="仿宋_GB2312"/>
                <w:sz w:val="21"/>
              </w:rPr>
              <w:t>5.密封与安全性能：系统应具备优良的密封性能，无漏气、无粉尘泄露，所有连接部位应设置密封垫片并便于检修，防止吸附粉末外逸造成污染或安全隐患。</w:t>
            </w:r>
          </w:p>
          <w:p w14:paraId="5034F4D8">
            <w:pPr>
              <w:pStyle w:val="4"/>
              <w:jc w:val="both"/>
            </w:pPr>
            <w:r>
              <w:rPr>
                <w:rFonts w:ascii="仿宋_GB2312" w:hAnsi="仿宋_GB2312" w:eastAsia="仿宋_GB2312" w:cs="仿宋_GB2312"/>
                <w:sz w:val="21"/>
              </w:rPr>
              <w:t>★6.使用寿命：设备在正常使用及维护条件下，结构和内衬应确保10年内不被烟气腐蚀穿透。</w:t>
            </w:r>
          </w:p>
        </w:tc>
      </w:tr>
      <w:tr w14:paraId="1E5A9F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39CC486">
            <w:pPr>
              <w:pStyle w:val="4"/>
              <w:jc w:val="center"/>
            </w:pPr>
            <w:r>
              <w:rPr>
                <w:rFonts w:ascii="仿宋_GB2312" w:hAnsi="仿宋_GB2312" w:eastAsia="仿宋_GB2312" w:cs="仿宋_GB2312"/>
              </w:rPr>
              <w:t>6</w:t>
            </w:r>
          </w:p>
        </w:tc>
        <w:tc>
          <w:tcPr>
            <w:tcW w:w="581" w:type="dxa"/>
          </w:tcPr>
          <w:p w14:paraId="2B929275"/>
        </w:tc>
        <w:tc>
          <w:tcPr>
            <w:tcW w:w="1495" w:type="dxa"/>
          </w:tcPr>
          <w:p w14:paraId="1DB23233">
            <w:pPr>
              <w:pStyle w:val="4"/>
              <w:jc w:val="left"/>
            </w:pPr>
            <w:r>
              <w:rPr>
                <w:rFonts w:ascii="仿宋_GB2312" w:hAnsi="仿宋_GB2312" w:eastAsia="仿宋_GB2312" w:cs="仿宋_GB2312"/>
              </w:rPr>
              <w:t>布袋除尘器系统</w:t>
            </w:r>
          </w:p>
        </w:tc>
        <w:tc>
          <w:tcPr>
            <w:tcW w:w="5814" w:type="dxa"/>
          </w:tcPr>
          <w:p w14:paraId="20FC5F0A">
            <w:pPr>
              <w:pStyle w:val="4"/>
              <w:jc w:val="left"/>
            </w:pPr>
            <w:r>
              <w:rPr>
                <w:rFonts w:ascii="仿宋_GB2312" w:hAnsi="仿宋_GB2312" w:eastAsia="仿宋_GB2312" w:cs="仿宋_GB2312"/>
                <w:color w:val="000000"/>
                <w:sz w:val="21"/>
              </w:rPr>
              <w:t>1.系统组成：布袋除尘器应包括箱体、支架、检修平台、滤袋及其支撑骨架、导流装置、收尘室、脉冲喷吹系统、电控系统、气力输灰系统等部件，整体结构应紧凑合理、检修方便。</w:t>
            </w:r>
          </w:p>
          <w:p w14:paraId="5F30DFEE">
            <w:pPr>
              <w:pStyle w:val="4"/>
              <w:jc w:val="left"/>
            </w:pPr>
            <w:r>
              <w:rPr>
                <w:rFonts w:ascii="仿宋_GB2312" w:hAnsi="仿宋_GB2312" w:eastAsia="仿宋_GB2312" w:cs="仿宋_GB2312"/>
                <w:color w:val="000000"/>
                <w:sz w:val="21"/>
              </w:rPr>
              <w:t>2.主体材质：除尘器本体及主要结构件应采用不低于3mm厚的304不锈钢板材制造，具备优良的耐高温、耐腐蚀性能，满足长期运行条件下的强度与安全要求。</w:t>
            </w:r>
          </w:p>
          <w:p w14:paraId="016505CE">
            <w:pPr>
              <w:pStyle w:val="4"/>
              <w:jc w:val="left"/>
            </w:pPr>
            <w:r>
              <w:rPr>
                <w:rFonts w:ascii="仿宋_GB2312" w:hAnsi="仿宋_GB2312" w:eastAsia="仿宋_GB2312" w:cs="仿宋_GB2312"/>
                <w:color w:val="000000"/>
                <w:sz w:val="21"/>
              </w:rPr>
              <w:t>3.设备尺寸：具体尺寸应结合实际布置图纸确定。</w:t>
            </w:r>
          </w:p>
          <w:p w14:paraId="4805BF1E">
            <w:pPr>
              <w:pStyle w:val="4"/>
              <w:jc w:val="left"/>
            </w:pPr>
            <w:r>
              <w:rPr>
                <w:rFonts w:ascii="仿宋_GB2312" w:hAnsi="仿宋_GB2312" w:eastAsia="仿宋_GB2312" w:cs="仿宋_GB2312"/>
                <w:color w:val="000000"/>
                <w:sz w:val="21"/>
              </w:rPr>
              <w:t>4.过滤能力：</w:t>
            </w:r>
          </w:p>
          <w:p w14:paraId="4627EAC8">
            <w:pPr>
              <w:pStyle w:val="4"/>
              <w:jc w:val="left"/>
            </w:pPr>
            <w:r>
              <w:rPr>
                <w:rFonts w:ascii="仿宋_GB2312" w:hAnsi="仿宋_GB2312" w:eastAsia="仿宋_GB2312" w:cs="仿宋_GB2312"/>
                <w:color w:val="000000"/>
                <w:sz w:val="21"/>
              </w:rPr>
              <w:t>（1）有效过滤面积应大于130㎡；</w:t>
            </w:r>
          </w:p>
          <w:p w14:paraId="35D10FA8">
            <w:pPr>
              <w:pStyle w:val="4"/>
              <w:jc w:val="left"/>
            </w:pPr>
            <w:r>
              <w:rPr>
                <w:rFonts w:ascii="仿宋_GB2312" w:hAnsi="仿宋_GB2312" w:eastAsia="仿宋_GB2312" w:cs="仿宋_GB2312"/>
                <w:color w:val="000000"/>
                <w:sz w:val="21"/>
              </w:rPr>
              <w:t>（2）处理尾气量应大于11000m³/h；</w:t>
            </w:r>
          </w:p>
          <w:p w14:paraId="718C6079">
            <w:pPr>
              <w:pStyle w:val="4"/>
              <w:jc w:val="left"/>
            </w:pPr>
            <w:r>
              <w:rPr>
                <w:rFonts w:ascii="仿宋_GB2312" w:hAnsi="仿宋_GB2312" w:eastAsia="仿宋_GB2312" w:cs="仿宋_GB2312"/>
                <w:color w:val="000000"/>
                <w:sz w:val="21"/>
              </w:rPr>
              <w:t>（3）滤袋数量不少于120条，单袋规格为φ130mm×2200mm；</w:t>
            </w:r>
          </w:p>
          <w:p w14:paraId="69D7F131">
            <w:pPr>
              <w:pStyle w:val="4"/>
              <w:jc w:val="left"/>
            </w:pPr>
            <w:r>
              <w:rPr>
                <w:rFonts w:ascii="仿宋_GB2312" w:hAnsi="仿宋_GB2312" w:eastAsia="仿宋_GB2312" w:cs="仿宋_GB2312"/>
                <w:color w:val="000000"/>
                <w:sz w:val="21"/>
              </w:rPr>
              <w:t>（4）设计过滤风速小于1.0 m/min，系统阻力应不高于1200Pa。</w:t>
            </w:r>
          </w:p>
          <w:p w14:paraId="1FE74EAA">
            <w:pPr>
              <w:pStyle w:val="4"/>
              <w:jc w:val="left"/>
            </w:pPr>
            <w:r>
              <w:rPr>
                <w:rFonts w:ascii="仿宋_GB2312" w:hAnsi="仿宋_GB2312" w:eastAsia="仿宋_GB2312" w:cs="仿宋_GB2312"/>
                <w:sz w:val="21"/>
              </w:rPr>
              <w:t>★5.滤袋性能：滤袋应采用PTFE覆膜复合滤料，具有优良的耐高温性、腐蚀性与疏水性。</w:t>
            </w:r>
          </w:p>
          <w:p w14:paraId="3F734F00">
            <w:pPr>
              <w:pStyle w:val="4"/>
              <w:jc w:val="left"/>
            </w:pPr>
            <w:r>
              <w:rPr>
                <w:rFonts w:ascii="仿宋_GB2312" w:hAnsi="仿宋_GB2312" w:eastAsia="仿宋_GB2312" w:cs="仿宋_GB2312"/>
                <w:sz w:val="21"/>
              </w:rPr>
              <w:t>★6.除尘效率：系统整体除尘效率应不低于99.9%。</w:t>
            </w:r>
          </w:p>
          <w:p w14:paraId="318EE847">
            <w:pPr>
              <w:pStyle w:val="4"/>
              <w:jc w:val="left"/>
            </w:pPr>
            <w:r>
              <w:rPr>
                <w:rFonts w:ascii="仿宋_GB2312" w:hAnsi="仿宋_GB2312" w:eastAsia="仿宋_GB2312" w:cs="仿宋_GB2312"/>
                <w:color w:val="000000"/>
                <w:sz w:val="21"/>
              </w:rPr>
              <w:t>7.安全与保护装置：系统应设置高温应急旁通管道及气动蝶阀，旁通管道采用同等厚度不锈钢板焊接而成，与布袋除尘器箱体集成一体，采用在滤袋高温风险时可自动切换，避免烧袋事故。</w:t>
            </w:r>
          </w:p>
          <w:p w14:paraId="3122D727">
            <w:pPr>
              <w:pStyle w:val="4"/>
              <w:jc w:val="left"/>
            </w:pPr>
            <w:r>
              <w:rPr>
                <w:rFonts w:ascii="仿宋_GB2312" w:hAnsi="仿宋_GB2312" w:eastAsia="仿宋_GB2312" w:cs="仿宋_GB2312"/>
                <w:color w:val="000000"/>
                <w:sz w:val="21"/>
              </w:rPr>
              <w:t>8.配置电磁脉冲阀。</w:t>
            </w:r>
          </w:p>
          <w:p w14:paraId="064C35D0">
            <w:pPr>
              <w:pStyle w:val="4"/>
              <w:jc w:val="left"/>
            </w:pPr>
            <w:r>
              <w:rPr>
                <w:rFonts w:ascii="仿宋_GB2312" w:hAnsi="仿宋_GB2312" w:eastAsia="仿宋_GB2312" w:cs="仿宋_GB2312"/>
                <w:color w:val="000000"/>
                <w:sz w:val="21"/>
              </w:rPr>
              <w:t>9.控制系统应具备时序控制与压差联动功能，保障滤袋清灰效率及除尘器低阻运行，独立控制除尘器的飞灰输送，并统一输送至专用的储灰仓。</w:t>
            </w:r>
          </w:p>
          <w:p w14:paraId="3EDEFD4D">
            <w:pPr>
              <w:pStyle w:val="4"/>
              <w:jc w:val="both"/>
            </w:pPr>
            <w:r>
              <w:rPr>
                <w:rFonts w:ascii="仿宋_GB2312" w:hAnsi="仿宋_GB2312" w:eastAsia="仿宋_GB2312" w:cs="仿宋_GB2312"/>
                <w:color w:val="000000"/>
                <w:sz w:val="21"/>
              </w:rPr>
              <w:t>10.防结露措施：整机应具备防结露结构设计，设置适当的保温层及内部温度监控手段，避免低温烟气冷凝造成滤袋堵塞、结垢与腐蚀。</w:t>
            </w:r>
          </w:p>
        </w:tc>
      </w:tr>
      <w:tr w14:paraId="4AC721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E507D2B">
            <w:pPr>
              <w:pStyle w:val="4"/>
              <w:jc w:val="center"/>
            </w:pPr>
            <w:r>
              <w:rPr>
                <w:rFonts w:ascii="仿宋_GB2312" w:hAnsi="仿宋_GB2312" w:eastAsia="仿宋_GB2312" w:cs="仿宋_GB2312"/>
              </w:rPr>
              <w:t>7</w:t>
            </w:r>
          </w:p>
        </w:tc>
        <w:tc>
          <w:tcPr>
            <w:tcW w:w="581" w:type="dxa"/>
          </w:tcPr>
          <w:p w14:paraId="53EDA0F6"/>
        </w:tc>
        <w:tc>
          <w:tcPr>
            <w:tcW w:w="1495" w:type="dxa"/>
          </w:tcPr>
          <w:p w14:paraId="37FAFE26">
            <w:pPr>
              <w:pStyle w:val="4"/>
              <w:jc w:val="left"/>
            </w:pPr>
            <w:r>
              <w:rPr>
                <w:rFonts w:ascii="仿宋_GB2312" w:hAnsi="仿宋_GB2312" w:eastAsia="仿宋_GB2312" w:cs="仿宋_GB2312"/>
              </w:rPr>
              <w:t>二噁英活性炭吸附处理装置</w:t>
            </w:r>
          </w:p>
        </w:tc>
        <w:tc>
          <w:tcPr>
            <w:tcW w:w="5814" w:type="dxa"/>
          </w:tcPr>
          <w:p w14:paraId="29ABD5EA">
            <w:pPr>
              <w:pStyle w:val="4"/>
              <w:jc w:val="left"/>
            </w:pPr>
            <w:r>
              <w:rPr>
                <w:rFonts w:ascii="仿宋_GB2312" w:hAnsi="仿宋_GB2312" w:eastAsia="仿宋_GB2312" w:cs="仿宋_GB2312"/>
                <w:color w:val="000000"/>
                <w:sz w:val="21"/>
              </w:rPr>
              <w:t>1.吸附原理与性能要求：系统应采用活性炭颗粒吸附法，通过物理吸附作用去除火化烟气中二噁英类有机污染物，二噁英去除率不低于98%，同时去除烟气中重金属、VOCs等微量污染物。</w:t>
            </w:r>
          </w:p>
          <w:p w14:paraId="0836B159">
            <w:pPr>
              <w:pStyle w:val="4"/>
              <w:jc w:val="left"/>
            </w:pPr>
            <w:r>
              <w:rPr>
                <w:rFonts w:ascii="仿宋_GB2312" w:hAnsi="仿宋_GB2312" w:eastAsia="仿宋_GB2312" w:cs="仿宋_GB2312"/>
                <w:color w:val="000000"/>
                <w:sz w:val="21"/>
              </w:rPr>
              <w:t>2.运行温度控制：设备应在&lt;110℃的稳定温区内运行，确保活性炭吸附效率并有效避免高温导致二噁英二次解吸或再合成，无二次污染风险。</w:t>
            </w:r>
          </w:p>
          <w:p w14:paraId="2B99A59E">
            <w:pPr>
              <w:pStyle w:val="4"/>
              <w:jc w:val="left"/>
            </w:pPr>
            <w:r>
              <w:rPr>
                <w:rFonts w:ascii="仿宋_GB2312" w:hAnsi="仿宋_GB2312" w:eastAsia="仿宋_GB2312" w:cs="仿宋_GB2312"/>
                <w:color w:val="000000"/>
                <w:sz w:val="21"/>
              </w:rPr>
              <w:t>3.结构形式：吸附装置与布袋除尘器应采用一体化结构设计，有利于布置紧凑、热能衰减最小化、维护管理高效。</w:t>
            </w:r>
          </w:p>
          <w:p w14:paraId="1E0CB5D2">
            <w:pPr>
              <w:pStyle w:val="4"/>
              <w:jc w:val="both"/>
            </w:pPr>
            <w:r>
              <w:rPr>
                <w:rFonts w:ascii="仿宋_GB2312" w:hAnsi="仿宋_GB2312" w:eastAsia="仿宋_GB2312" w:cs="仿宋_GB2312"/>
                <w:color w:val="000000"/>
                <w:sz w:val="21"/>
              </w:rPr>
              <w:t>4.吸附材料配置：吸附层填充材料应为φ12mm优质防水型竹质活性炭颗粒，具有高比表面积和高吸附容量，能够稳定运行≥2000小时以上，材料须可更换。</w:t>
            </w:r>
          </w:p>
        </w:tc>
      </w:tr>
      <w:tr w14:paraId="31CE99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989D952">
            <w:pPr>
              <w:pStyle w:val="4"/>
              <w:jc w:val="center"/>
            </w:pPr>
            <w:r>
              <w:rPr>
                <w:rFonts w:ascii="仿宋_GB2312" w:hAnsi="仿宋_GB2312" w:eastAsia="仿宋_GB2312" w:cs="仿宋_GB2312"/>
              </w:rPr>
              <w:t>8</w:t>
            </w:r>
          </w:p>
        </w:tc>
        <w:tc>
          <w:tcPr>
            <w:tcW w:w="581" w:type="dxa"/>
          </w:tcPr>
          <w:p w14:paraId="59F4F8AD"/>
        </w:tc>
        <w:tc>
          <w:tcPr>
            <w:tcW w:w="1495" w:type="dxa"/>
          </w:tcPr>
          <w:p w14:paraId="4EA381E0">
            <w:pPr>
              <w:pStyle w:val="4"/>
              <w:jc w:val="left"/>
            </w:pPr>
            <w:r>
              <w:rPr>
                <w:rFonts w:ascii="仿宋_GB2312" w:hAnsi="仿宋_GB2312" w:eastAsia="仿宋_GB2312" w:cs="仿宋_GB2312"/>
              </w:rPr>
              <w:t>压缩空气系统</w:t>
            </w:r>
          </w:p>
        </w:tc>
        <w:tc>
          <w:tcPr>
            <w:tcW w:w="5814" w:type="dxa"/>
          </w:tcPr>
          <w:p w14:paraId="133B1520">
            <w:pPr>
              <w:pStyle w:val="4"/>
              <w:jc w:val="left"/>
            </w:pPr>
            <w:r>
              <w:rPr>
                <w:rFonts w:ascii="仿宋_GB2312" w:hAnsi="仿宋_GB2312" w:eastAsia="仿宋_GB2312" w:cs="仿宋_GB2312"/>
                <w:color w:val="000000"/>
                <w:sz w:val="21"/>
              </w:rPr>
              <w:t xml:space="preserve">1.每套烟气净化系统独立配置1台空压机组，单台空压机额定功率不小于7.5kW。  </w:t>
            </w:r>
          </w:p>
          <w:p w14:paraId="6F533688">
            <w:pPr>
              <w:pStyle w:val="4"/>
              <w:jc w:val="left"/>
            </w:pPr>
            <w:r>
              <w:rPr>
                <w:rFonts w:ascii="仿宋_GB2312" w:hAnsi="仿宋_GB2312" w:eastAsia="仿宋_GB2312" w:cs="仿宋_GB2312"/>
                <w:color w:val="000000"/>
                <w:sz w:val="21"/>
              </w:rPr>
              <w:t>2.支持根据用气需求自动启停/切换设备，实现负载均衡与节能运行。</w:t>
            </w:r>
          </w:p>
          <w:p w14:paraId="44E75D3F">
            <w:pPr>
              <w:pStyle w:val="4"/>
              <w:jc w:val="left"/>
            </w:pPr>
            <w:r>
              <w:rPr>
                <w:rFonts w:ascii="仿宋_GB2312" w:hAnsi="仿宋_GB2312" w:eastAsia="仿宋_GB2312" w:cs="仿宋_GB2312"/>
                <w:color w:val="000000"/>
                <w:sz w:val="21"/>
              </w:rPr>
              <w:t xml:space="preserve">3.单台故障时备用机组须在10秒内无缝投运，保障供气连续性。    </w:t>
            </w:r>
          </w:p>
          <w:p w14:paraId="59A4B803">
            <w:pPr>
              <w:pStyle w:val="4"/>
              <w:jc w:val="both"/>
            </w:pPr>
            <w:r>
              <w:rPr>
                <w:rFonts w:ascii="仿宋_GB2312" w:hAnsi="仿宋_GB2312" w:eastAsia="仿宋_GB2312" w:cs="仿宋_GB2312"/>
                <w:color w:val="000000"/>
                <w:sz w:val="21"/>
              </w:rPr>
              <w:t>4.连接管道必须确保无气体渗漏影响压力。</w:t>
            </w:r>
          </w:p>
        </w:tc>
      </w:tr>
      <w:tr w14:paraId="227159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D6327B1">
            <w:pPr>
              <w:pStyle w:val="4"/>
              <w:jc w:val="center"/>
            </w:pPr>
            <w:r>
              <w:rPr>
                <w:rFonts w:ascii="仿宋_GB2312" w:hAnsi="仿宋_GB2312" w:eastAsia="仿宋_GB2312" w:cs="仿宋_GB2312"/>
              </w:rPr>
              <w:t>9</w:t>
            </w:r>
          </w:p>
        </w:tc>
        <w:tc>
          <w:tcPr>
            <w:tcW w:w="581" w:type="dxa"/>
          </w:tcPr>
          <w:p w14:paraId="72589D54"/>
        </w:tc>
        <w:tc>
          <w:tcPr>
            <w:tcW w:w="1495" w:type="dxa"/>
          </w:tcPr>
          <w:p w14:paraId="244AEBF7">
            <w:pPr>
              <w:pStyle w:val="4"/>
              <w:jc w:val="left"/>
            </w:pPr>
            <w:r>
              <w:rPr>
                <w:rFonts w:ascii="仿宋_GB2312" w:hAnsi="仿宋_GB2312" w:eastAsia="仿宋_GB2312" w:cs="仿宋_GB2312"/>
              </w:rPr>
              <w:t>排烟与引风系统</w:t>
            </w:r>
          </w:p>
        </w:tc>
        <w:tc>
          <w:tcPr>
            <w:tcW w:w="5814" w:type="dxa"/>
          </w:tcPr>
          <w:p w14:paraId="32729152">
            <w:pPr>
              <w:pStyle w:val="4"/>
              <w:spacing w:before="30"/>
              <w:ind w:right="90"/>
              <w:jc w:val="both"/>
            </w:pPr>
            <w:r>
              <w:rPr>
                <w:rFonts w:ascii="仿宋_GB2312" w:hAnsi="仿宋_GB2312" w:eastAsia="仿宋_GB2312" w:cs="仿宋_GB2312"/>
                <w:sz w:val="21"/>
              </w:rPr>
              <w:t>1.引风机：额定功率≥15kW（电机效率等级不低于IE3），控制方式变频控制。耐高温、抗腐蚀、性能可靠、无振动。</w:t>
            </w:r>
          </w:p>
          <w:p w14:paraId="59C9B437">
            <w:pPr>
              <w:pStyle w:val="4"/>
              <w:spacing w:before="30"/>
              <w:ind w:right="90"/>
              <w:jc w:val="both"/>
            </w:pPr>
            <w:r>
              <w:rPr>
                <w:rFonts w:ascii="仿宋_GB2312" w:hAnsi="仿宋_GB2312" w:eastAsia="仿宋_GB2312" w:cs="仿宋_GB2312"/>
                <w:sz w:val="21"/>
              </w:rPr>
              <w:t>▲2.风机应能承受产品专用技术条件规定的极限环境高温条件下的寿命试验，试验时间为1000h，试验后随后转速应不低于额定转速的90%。（符合GB/T</w:t>
            </w:r>
            <w:r>
              <w:rPr>
                <w:rFonts w:ascii="仿宋_GB2312" w:hAnsi="仿宋_GB2312" w:eastAsia="仿宋_GB2312" w:cs="仿宋_GB2312"/>
              </w:rPr>
              <w:t xml:space="preserve"> </w:t>
            </w:r>
            <w:r>
              <w:rPr>
                <w:rFonts w:ascii="仿宋_GB2312" w:hAnsi="仿宋_GB2312" w:eastAsia="仿宋_GB2312" w:cs="仿宋_GB2312"/>
                <w:sz w:val="21"/>
              </w:rPr>
              <w:t>2658-2015)</w:t>
            </w:r>
          </w:p>
          <w:p w14:paraId="45608D35">
            <w:pPr>
              <w:pStyle w:val="4"/>
              <w:jc w:val="both"/>
            </w:pPr>
            <w:r>
              <w:rPr>
                <w:rFonts w:ascii="仿宋_GB2312" w:hAnsi="仿宋_GB2312" w:eastAsia="仿宋_GB2312" w:cs="仿宋_GB2312"/>
                <w:sz w:val="21"/>
              </w:rPr>
              <w:t>3.材质：304不锈钢。 基材厚度 ≥3mm，整体焊接成型，焊缝内壁光滑无毛刺</w:t>
            </w:r>
          </w:p>
        </w:tc>
      </w:tr>
      <w:tr w14:paraId="7BC8BF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6A19DDA">
            <w:pPr>
              <w:pStyle w:val="4"/>
              <w:jc w:val="center"/>
            </w:pPr>
            <w:r>
              <w:rPr>
                <w:rFonts w:ascii="仿宋_GB2312" w:hAnsi="仿宋_GB2312" w:eastAsia="仿宋_GB2312" w:cs="仿宋_GB2312"/>
              </w:rPr>
              <w:t>10</w:t>
            </w:r>
          </w:p>
        </w:tc>
        <w:tc>
          <w:tcPr>
            <w:tcW w:w="581" w:type="dxa"/>
          </w:tcPr>
          <w:p w14:paraId="0884BEA4"/>
        </w:tc>
        <w:tc>
          <w:tcPr>
            <w:tcW w:w="1495" w:type="dxa"/>
          </w:tcPr>
          <w:p w14:paraId="4ECE81C6">
            <w:pPr>
              <w:pStyle w:val="4"/>
              <w:jc w:val="left"/>
            </w:pPr>
            <w:r>
              <w:rPr>
                <w:rFonts w:ascii="仿宋_GB2312" w:hAnsi="仿宋_GB2312" w:eastAsia="仿宋_GB2312" w:cs="仿宋_GB2312"/>
              </w:rPr>
              <w:t>电器控制系统</w:t>
            </w:r>
          </w:p>
        </w:tc>
        <w:tc>
          <w:tcPr>
            <w:tcW w:w="5814" w:type="dxa"/>
          </w:tcPr>
          <w:p w14:paraId="663CF0A0">
            <w:pPr>
              <w:pStyle w:val="4"/>
              <w:jc w:val="left"/>
            </w:pPr>
            <w:r>
              <w:rPr>
                <w:rFonts w:ascii="仿宋_GB2312" w:hAnsi="仿宋_GB2312" w:eastAsia="仿宋_GB2312" w:cs="仿宋_GB2312"/>
                <w:sz w:val="21"/>
              </w:rPr>
              <w:t>1、控制系统具备有手动和自动两套控制方式可以互不干扰自由切换。采用触摸显示装置及PLC电控系统；带漏电保护，多段温度显示，超温自动报警，具备同步设备运行信号显示功能。</w:t>
            </w:r>
          </w:p>
          <w:p w14:paraId="4FABCBD0">
            <w:pPr>
              <w:pStyle w:val="4"/>
              <w:jc w:val="left"/>
            </w:pPr>
            <w:r>
              <w:rPr>
                <w:rFonts w:ascii="仿宋_GB2312" w:hAnsi="仿宋_GB2312" w:eastAsia="仿宋_GB2312" w:cs="仿宋_GB2312"/>
                <w:sz w:val="21"/>
              </w:rPr>
              <w:t>2、尾气控制系统要和火化机的控制系统相兼容匹配，一套净化处理设备处理系统采用一套控制系统，电气控制柜采用独立的电气控柜，具有过载、短路等电器保护功能及系统综合控制功能。</w:t>
            </w:r>
          </w:p>
          <w:p w14:paraId="1A85EB74">
            <w:pPr>
              <w:pStyle w:val="4"/>
              <w:jc w:val="left"/>
            </w:pPr>
            <w:r>
              <w:rPr>
                <w:rFonts w:ascii="仿宋_GB2312" w:hAnsi="仿宋_GB2312" w:eastAsia="仿宋_GB2312" w:cs="仿宋_GB2312"/>
                <w:sz w:val="21"/>
              </w:rPr>
              <w:t>3、火化炉后厅控制系统可与尾气处理设备、空气净化设备实现联动控制。火化设备和尾气设备可实现设备单界面融合操作，也可实现分界面操作火化炉后厅控制系统可与尾气处理设备、空气净化设备实现联动控制。</w:t>
            </w:r>
          </w:p>
          <w:p w14:paraId="600E0D40">
            <w:pPr>
              <w:pStyle w:val="4"/>
              <w:jc w:val="left"/>
            </w:pPr>
            <w:r>
              <w:rPr>
                <w:rFonts w:ascii="仿宋_GB2312" w:hAnsi="仿宋_GB2312" w:eastAsia="仿宋_GB2312" w:cs="仿宋_GB2312"/>
                <w:b/>
                <w:sz w:val="24"/>
              </w:rPr>
              <w:t>▲</w:t>
            </w:r>
            <w:r>
              <w:rPr>
                <w:rFonts w:ascii="仿宋_GB2312" w:hAnsi="仿宋_GB2312" w:eastAsia="仿宋_GB2312" w:cs="仿宋_GB2312"/>
                <w:sz w:val="21"/>
              </w:rPr>
              <w:t>4、控制系统须有欠压、过载、报警保护，须有运行画面或指示灯，同步可读数据显示，各种检测元件及实时反馈等。</w:t>
            </w:r>
          </w:p>
          <w:p w14:paraId="06A383AE">
            <w:pPr>
              <w:pStyle w:val="4"/>
              <w:jc w:val="left"/>
            </w:pPr>
            <w:r>
              <w:rPr>
                <w:rFonts w:ascii="仿宋_GB2312" w:hAnsi="仿宋_GB2312" w:eastAsia="仿宋_GB2312" w:cs="仿宋_GB2312"/>
                <w:b/>
                <w:sz w:val="24"/>
              </w:rPr>
              <w:t>▲</w:t>
            </w:r>
            <w:r>
              <w:rPr>
                <w:rFonts w:ascii="仿宋_GB2312" w:hAnsi="仿宋_GB2312" w:eastAsia="仿宋_GB2312" w:cs="仿宋_GB2312"/>
                <w:sz w:val="21"/>
              </w:rPr>
              <w:t>5、具有紧急状态，危险状态预判能力，以及部分状态关联操作的能力。</w:t>
            </w:r>
          </w:p>
          <w:p w14:paraId="1075CD9F">
            <w:pPr>
              <w:pStyle w:val="4"/>
              <w:jc w:val="left"/>
            </w:pPr>
            <w:r>
              <w:rPr>
                <w:rFonts w:ascii="仿宋_GB2312" w:hAnsi="仿宋_GB2312" w:eastAsia="仿宋_GB2312" w:cs="仿宋_GB2312"/>
                <w:sz w:val="21"/>
              </w:rPr>
              <w:t>6、设备能够记录运行数据、工作日志等，并能够进行分析，绘制曲线图。</w:t>
            </w:r>
          </w:p>
          <w:p w14:paraId="1E03BCF5">
            <w:pPr>
              <w:pStyle w:val="4"/>
              <w:jc w:val="both"/>
            </w:pPr>
            <w:r>
              <w:rPr>
                <w:rFonts w:ascii="仿宋_GB2312" w:hAnsi="仿宋_GB2312" w:eastAsia="仿宋_GB2312" w:cs="仿宋_GB2312"/>
                <w:sz w:val="21"/>
              </w:rPr>
              <w:t>7、设备可根据工作需要具备延时停机功能。</w:t>
            </w:r>
          </w:p>
        </w:tc>
      </w:tr>
    </w:tbl>
    <w:p w14:paraId="041868EF">
      <w:pPr>
        <w:pStyle w:val="4"/>
        <w:jc w:val="left"/>
      </w:pPr>
      <w:r>
        <w:rPr>
          <w:rFonts w:ascii="仿宋_GB2312" w:hAnsi="仿宋_GB2312" w:eastAsia="仿宋_GB2312" w:cs="仿宋_GB2312"/>
        </w:rPr>
        <w:t>标的名称：三门冷冻柜</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33C94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8941B8E">
            <w:pPr>
              <w:pStyle w:val="4"/>
              <w:jc w:val="center"/>
            </w:pPr>
            <w:r>
              <w:rPr>
                <w:rFonts w:ascii="仿宋_GB2312" w:hAnsi="仿宋_GB2312" w:eastAsia="仿宋_GB2312" w:cs="仿宋_GB2312"/>
              </w:rPr>
              <w:t>序号</w:t>
            </w:r>
          </w:p>
        </w:tc>
        <w:tc>
          <w:tcPr>
            <w:tcW w:w="581" w:type="dxa"/>
          </w:tcPr>
          <w:p w14:paraId="2D562C76">
            <w:pPr>
              <w:pStyle w:val="4"/>
              <w:jc w:val="center"/>
            </w:pPr>
            <w:r>
              <w:rPr>
                <w:rFonts w:ascii="仿宋_GB2312" w:hAnsi="仿宋_GB2312" w:eastAsia="仿宋_GB2312" w:cs="仿宋_GB2312"/>
              </w:rPr>
              <w:t>符号标识</w:t>
            </w:r>
          </w:p>
        </w:tc>
        <w:tc>
          <w:tcPr>
            <w:tcW w:w="1495" w:type="dxa"/>
          </w:tcPr>
          <w:p w14:paraId="15B73AC8">
            <w:pPr>
              <w:pStyle w:val="4"/>
              <w:jc w:val="center"/>
            </w:pPr>
            <w:r>
              <w:rPr>
                <w:rFonts w:ascii="仿宋_GB2312" w:hAnsi="仿宋_GB2312" w:eastAsia="仿宋_GB2312" w:cs="仿宋_GB2312"/>
              </w:rPr>
              <w:t>技术要求名称</w:t>
            </w:r>
          </w:p>
        </w:tc>
        <w:tc>
          <w:tcPr>
            <w:tcW w:w="5814" w:type="dxa"/>
          </w:tcPr>
          <w:p w14:paraId="106DA7A4">
            <w:pPr>
              <w:pStyle w:val="4"/>
              <w:jc w:val="center"/>
            </w:pPr>
            <w:r>
              <w:rPr>
                <w:rFonts w:ascii="仿宋_GB2312" w:hAnsi="仿宋_GB2312" w:eastAsia="仿宋_GB2312" w:cs="仿宋_GB2312"/>
              </w:rPr>
              <w:t>技术参数与性能指标</w:t>
            </w:r>
          </w:p>
        </w:tc>
      </w:tr>
      <w:tr w14:paraId="218E7C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2F87AC2">
            <w:pPr>
              <w:pStyle w:val="4"/>
              <w:jc w:val="center"/>
            </w:pPr>
            <w:r>
              <w:rPr>
                <w:rFonts w:ascii="仿宋_GB2312" w:hAnsi="仿宋_GB2312" w:eastAsia="仿宋_GB2312" w:cs="仿宋_GB2312"/>
              </w:rPr>
              <w:t>1</w:t>
            </w:r>
          </w:p>
        </w:tc>
        <w:tc>
          <w:tcPr>
            <w:tcW w:w="581" w:type="dxa"/>
          </w:tcPr>
          <w:p w14:paraId="7463F4F2"/>
        </w:tc>
        <w:tc>
          <w:tcPr>
            <w:tcW w:w="1495" w:type="dxa"/>
          </w:tcPr>
          <w:p w14:paraId="2E630B83">
            <w:pPr>
              <w:pStyle w:val="4"/>
              <w:jc w:val="left"/>
            </w:pPr>
            <w:r>
              <w:rPr>
                <w:rFonts w:ascii="仿宋_GB2312" w:hAnsi="仿宋_GB2312" w:eastAsia="仿宋_GB2312" w:cs="仿宋_GB2312"/>
              </w:rPr>
              <w:t>规格</w:t>
            </w:r>
          </w:p>
        </w:tc>
        <w:tc>
          <w:tcPr>
            <w:tcW w:w="5814" w:type="dxa"/>
          </w:tcPr>
          <w:p w14:paraId="0A140F07">
            <w:pPr>
              <w:pStyle w:val="4"/>
              <w:jc w:val="left"/>
            </w:pPr>
            <w:r>
              <w:rPr>
                <w:rFonts w:ascii="仿宋_GB2312" w:hAnsi="仿宋_GB2312" w:eastAsia="仿宋_GB2312" w:cs="仿宋_GB2312"/>
                <w:color w:val="000000"/>
                <w:sz w:val="21"/>
              </w:rPr>
              <w:t>外部尺寸：长宽高≥2200*900*2100mm，</w:t>
            </w:r>
          </w:p>
          <w:p w14:paraId="49EFC7DF">
            <w:pPr>
              <w:pStyle w:val="4"/>
              <w:jc w:val="both"/>
            </w:pPr>
            <w:r>
              <w:rPr>
                <w:rFonts w:ascii="仿宋_GB2312" w:hAnsi="仿宋_GB2312" w:eastAsia="仿宋_GB2312" w:cs="仿宋_GB2312"/>
                <w:color w:val="000000"/>
                <w:sz w:val="21"/>
              </w:rPr>
              <w:t>内部尺寸:长宽高≥2000*700*420mm</w:t>
            </w:r>
          </w:p>
        </w:tc>
      </w:tr>
      <w:tr w14:paraId="0C56BE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DD01597">
            <w:pPr>
              <w:pStyle w:val="4"/>
              <w:jc w:val="center"/>
            </w:pPr>
            <w:r>
              <w:rPr>
                <w:rFonts w:ascii="仿宋_GB2312" w:hAnsi="仿宋_GB2312" w:eastAsia="仿宋_GB2312" w:cs="仿宋_GB2312"/>
              </w:rPr>
              <w:t>2</w:t>
            </w:r>
          </w:p>
        </w:tc>
        <w:tc>
          <w:tcPr>
            <w:tcW w:w="581" w:type="dxa"/>
          </w:tcPr>
          <w:p w14:paraId="0E94A116"/>
        </w:tc>
        <w:tc>
          <w:tcPr>
            <w:tcW w:w="1495" w:type="dxa"/>
          </w:tcPr>
          <w:p w14:paraId="49F84788">
            <w:pPr>
              <w:pStyle w:val="4"/>
              <w:jc w:val="left"/>
            </w:pPr>
            <w:r>
              <w:rPr>
                <w:rFonts w:ascii="仿宋_GB2312" w:hAnsi="仿宋_GB2312" w:eastAsia="仿宋_GB2312" w:cs="仿宋_GB2312"/>
              </w:rPr>
              <w:t>外墙柜门框架托板</w:t>
            </w:r>
          </w:p>
        </w:tc>
        <w:tc>
          <w:tcPr>
            <w:tcW w:w="5814" w:type="dxa"/>
          </w:tcPr>
          <w:p w14:paraId="45C0BF28">
            <w:pPr>
              <w:pStyle w:val="4"/>
              <w:jc w:val="both"/>
            </w:pPr>
            <w:r>
              <w:rPr>
                <w:rFonts w:ascii="仿宋_GB2312" w:hAnsi="仿宋_GB2312" w:eastAsia="仿宋_GB2312" w:cs="仿宋_GB2312"/>
                <w:color w:val="000000"/>
                <w:sz w:val="21"/>
              </w:rPr>
              <w:t>符合国家标准的不锈钢材质</w:t>
            </w:r>
          </w:p>
        </w:tc>
      </w:tr>
      <w:tr w14:paraId="152AAF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503A1D5">
            <w:pPr>
              <w:pStyle w:val="4"/>
              <w:jc w:val="center"/>
            </w:pPr>
            <w:r>
              <w:rPr>
                <w:rFonts w:ascii="仿宋_GB2312" w:hAnsi="仿宋_GB2312" w:eastAsia="仿宋_GB2312" w:cs="仿宋_GB2312"/>
              </w:rPr>
              <w:t>3</w:t>
            </w:r>
          </w:p>
        </w:tc>
        <w:tc>
          <w:tcPr>
            <w:tcW w:w="581" w:type="dxa"/>
          </w:tcPr>
          <w:p w14:paraId="77364D7C"/>
        </w:tc>
        <w:tc>
          <w:tcPr>
            <w:tcW w:w="1495" w:type="dxa"/>
          </w:tcPr>
          <w:p w14:paraId="0C6C74C7">
            <w:pPr>
              <w:pStyle w:val="4"/>
              <w:jc w:val="left"/>
            </w:pPr>
            <w:r>
              <w:rPr>
                <w:rFonts w:ascii="仿宋_GB2312" w:hAnsi="仿宋_GB2312" w:eastAsia="仿宋_GB2312" w:cs="仿宋_GB2312"/>
              </w:rPr>
              <w:t>内胆</w:t>
            </w:r>
          </w:p>
        </w:tc>
        <w:tc>
          <w:tcPr>
            <w:tcW w:w="5814" w:type="dxa"/>
          </w:tcPr>
          <w:p w14:paraId="5E8611FC">
            <w:pPr>
              <w:pStyle w:val="4"/>
              <w:jc w:val="both"/>
            </w:pPr>
            <w:r>
              <w:rPr>
                <w:rFonts w:ascii="仿宋_GB2312" w:hAnsi="仿宋_GB2312" w:eastAsia="仿宋_GB2312" w:cs="仿宋_GB2312"/>
                <w:color w:val="000000"/>
                <w:sz w:val="21"/>
              </w:rPr>
              <w:t>符合国标要求</w:t>
            </w:r>
          </w:p>
        </w:tc>
      </w:tr>
      <w:tr w14:paraId="78C693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A1BD806">
            <w:pPr>
              <w:pStyle w:val="4"/>
              <w:jc w:val="center"/>
            </w:pPr>
            <w:r>
              <w:rPr>
                <w:rFonts w:ascii="仿宋_GB2312" w:hAnsi="仿宋_GB2312" w:eastAsia="仿宋_GB2312" w:cs="仿宋_GB2312"/>
              </w:rPr>
              <w:t>4</w:t>
            </w:r>
          </w:p>
        </w:tc>
        <w:tc>
          <w:tcPr>
            <w:tcW w:w="581" w:type="dxa"/>
          </w:tcPr>
          <w:p w14:paraId="33F112F3"/>
        </w:tc>
        <w:tc>
          <w:tcPr>
            <w:tcW w:w="1495" w:type="dxa"/>
          </w:tcPr>
          <w:p w14:paraId="39B52451">
            <w:pPr>
              <w:pStyle w:val="4"/>
              <w:jc w:val="left"/>
            </w:pPr>
            <w:r>
              <w:rPr>
                <w:rFonts w:ascii="仿宋_GB2312" w:hAnsi="仿宋_GB2312" w:eastAsia="仿宋_GB2312" w:cs="仿宋_GB2312"/>
              </w:rPr>
              <w:t>蒸发器、冷凝器</w:t>
            </w:r>
          </w:p>
        </w:tc>
        <w:tc>
          <w:tcPr>
            <w:tcW w:w="5814" w:type="dxa"/>
          </w:tcPr>
          <w:p w14:paraId="3F752739">
            <w:pPr>
              <w:pStyle w:val="4"/>
              <w:jc w:val="both"/>
            </w:pPr>
            <w:r>
              <w:rPr>
                <w:rFonts w:ascii="仿宋_GB2312" w:hAnsi="仿宋_GB2312" w:eastAsia="仿宋_GB2312" w:cs="仿宋_GB2312"/>
                <w:color w:val="000000"/>
                <w:sz w:val="21"/>
              </w:rPr>
              <w:t>紫铜盘管材质</w:t>
            </w:r>
          </w:p>
        </w:tc>
      </w:tr>
      <w:tr w14:paraId="38C46E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720854A">
            <w:pPr>
              <w:pStyle w:val="4"/>
              <w:jc w:val="center"/>
            </w:pPr>
            <w:r>
              <w:rPr>
                <w:rFonts w:ascii="仿宋_GB2312" w:hAnsi="仿宋_GB2312" w:eastAsia="仿宋_GB2312" w:cs="仿宋_GB2312"/>
              </w:rPr>
              <w:t>5</w:t>
            </w:r>
          </w:p>
        </w:tc>
        <w:tc>
          <w:tcPr>
            <w:tcW w:w="581" w:type="dxa"/>
          </w:tcPr>
          <w:p w14:paraId="75EC3481"/>
        </w:tc>
        <w:tc>
          <w:tcPr>
            <w:tcW w:w="1495" w:type="dxa"/>
          </w:tcPr>
          <w:p w14:paraId="08912BC8">
            <w:pPr>
              <w:pStyle w:val="4"/>
              <w:jc w:val="left"/>
            </w:pPr>
            <w:r>
              <w:rPr>
                <w:rFonts w:ascii="仿宋_GB2312" w:hAnsi="仿宋_GB2312" w:eastAsia="仿宋_GB2312" w:cs="仿宋_GB2312"/>
              </w:rPr>
              <w:t>保温层</w:t>
            </w:r>
          </w:p>
        </w:tc>
        <w:tc>
          <w:tcPr>
            <w:tcW w:w="5814" w:type="dxa"/>
          </w:tcPr>
          <w:p w14:paraId="5CF8891A">
            <w:pPr>
              <w:pStyle w:val="4"/>
              <w:jc w:val="both"/>
            </w:pPr>
            <w:r>
              <w:rPr>
                <w:rFonts w:ascii="仿宋_GB2312" w:hAnsi="仿宋_GB2312" w:eastAsia="仿宋_GB2312" w:cs="仿宋_GB2312"/>
                <w:color w:val="000000"/>
                <w:sz w:val="21"/>
              </w:rPr>
              <w:t>聚氨脂发泡料整体高压回温发泡，厚不低于100㎜，密度不低于50</w:t>
            </w:r>
            <w:r>
              <w:rPr>
                <w:rFonts w:ascii="仿宋_GB2312" w:hAnsi="仿宋_GB2312" w:eastAsia="仿宋_GB2312" w:cs="仿宋_GB2312"/>
                <w:sz w:val="21"/>
              </w:rPr>
              <w:t>kg/m3</w:t>
            </w:r>
          </w:p>
        </w:tc>
      </w:tr>
      <w:tr w14:paraId="376301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A4A4C1B">
            <w:pPr>
              <w:pStyle w:val="4"/>
              <w:jc w:val="center"/>
            </w:pPr>
            <w:r>
              <w:rPr>
                <w:rFonts w:ascii="仿宋_GB2312" w:hAnsi="仿宋_GB2312" w:eastAsia="仿宋_GB2312" w:cs="仿宋_GB2312"/>
              </w:rPr>
              <w:t>6</w:t>
            </w:r>
          </w:p>
        </w:tc>
        <w:tc>
          <w:tcPr>
            <w:tcW w:w="581" w:type="dxa"/>
          </w:tcPr>
          <w:p w14:paraId="0BF97917"/>
        </w:tc>
        <w:tc>
          <w:tcPr>
            <w:tcW w:w="1495" w:type="dxa"/>
          </w:tcPr>
          <w:p w14:paraId="181AAB44">
            <w:pPr>
              <w:pStyle w:val="4"/>
              <w:jc w:val="left"/>
            </w:pPr>
            <w:r>
              <w:rPr>
                <w:rFonts w:ascii="仿宋_GB2312" w:hAnsi="仿宋_GB2312" w:eastAsia="仿宋_GB2312" w:cs="仿宋_GB2312"/>
              </w:rPr>
              <w:t>额定温度</w:t>
            </w:r>
          </w:p>
        </w:tc>
        <w:tc>
          <w:tcPr>
            <w:tcW w:w="5814" w:type="dxa"/>
          </w:tcPr>
          <w:p w14:paraId="127D16DC">
            <w:pPr>
              <w:pStyle w:val="4"/>
              <w:jc w:val="both"/>
            </w:pPr>
            <w:r>
              <w:rPr>
                <w:rFonts w:ascii="仿宋_GB2312" w:hAnsi="仿宋_GB2312" w:eastAsia="仿宋_GB2312" w:cs="仿宋_GB2312"/>
                <w:color w:val="000000"/>
                <w:sz w:val="21"/>
              </w:rPr>
              <w:t>-15°C以下，可根据需求调节</w:t>
            </w:r>
          </w:p>
        </w:tc>
      </w:tr>
      <w:tr w14:paraId="2760B3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0FF7D8A">
            <w:pPr>
              <w:pStyle w:val="4"/>
              <w:jc w:val="center"/>
            </w:pPr>
            <w:r>
              <w:rPr>
                <w:rFonts w:ascii="仿宋_GB2312" w:hAnsi="仿宋_GB2312" w:eastAsia="仿宋_GB2312" w:cs="仿宋_GB2312"/>
              </w:rPr>
              <w:t>7</w:t>
            </w:r>
          </w:p>
        </w:tc>
        <w:tc>
          <w:tcPr>
            <w:tcW w:w="581" w:type="dxa"/>
          </w:tcPr>
          <w:p w14:paraId="11FC7EB7"/>
        </w:tc>
        <w:tc>
          <w:tcPr>
            <w:tcW w:w="1495" w:type="dxa"/>
          </w:tcPr>
          <w:p w14:paraId="769387B4">
            <w:pPr>
              <w:pStyle w:val="4"/>
              <w:jc w:val="left"/>
            </w:pPr>
            <w:r>
              <w:rPr>
                <w:rFonts w:ascii="仿宋_GB2312" w:hAnsi="仿宋_GB2312" w:eastAsia="仿宋_GB2312" w:cs="仿宋_GB2312"/>
              </w:rPr>
              <w:t>输入功率</w:t>
            </w:r>
          </w:p>
        </w:tc>
        <w:tc>
          <w:tcPr>
            <w:tcW w:w="5814" w:type="dxa"/>
          </w:tcPr>
          <w:p w14:paraId="466CB1AC">
            <w:pPr>
              <w:pStyle w:val="4"/>
              <w:jc w:val="both"/>
            </w:pPr>
            <w:r>
              <w:rPr>
                <w:rFonts w:ascii="仿宋_GB2312" w:hAnsi="仿宋_GB2312" w:eastAsia="仿宋_GB2312" w:cs="仿宋_GB2312"/>
                <w:color w:val="000000"/>
                <w:sz w:val="21"/>
              </w:rPr>
              <w:t>≥350W*4</w:t>
            </w:r>
          </w:p>
        </w:tc>
      </w:tr>
      <w:tr w14:paraId="136761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8177A5C">
            <w:pPr>
              <w:pStyle w:val="4"/>
              <w:jc w:val="center"/>
            </w:pPr>
            <w:r>
              <w:rPr>
                <w:rFonts w:ascii="仿宋_GB2312" w:hAnsi="仿宋_GB2312" w:eastAsia="仿宋_GB2312" w:cs="仿宋_GB2312"/>
              </w:rPr>
              <w:t>8</w:t>
            </w:r>
          </w:p>
        </w:tc>
        <w:tc>
          <w:tcPr>
            <w:tcW w:w="581" w:type="dxa"/>
          </w:tcPr>
          <w:p w14:paraId="668E2EC9"/>
        </w:tc>
        <w:tc>
          <w:tcPr>
            <w:tcW w:w="1495" w:type="dxa"/>
          </w:tcPr>
          <w:p w14:paraId="4FDC1E41">
            <w:pPr>
              <w:pStyle w:val="4"/>
              <w:jc w:val="left"/>
            </w:pPr>
            <w:r>
              <w:rPr>
                <w:rFonts w:ascii="仿宋_GB2312" w:hAnsi="仿宋_GB2312" w:eastAsia="仿宋_GB2312" w:cs="仿宋_GB2312"/>
              </w:rPr>
              <w:t>电压</w:t>
            </w:r>
          </w:p>
        </w:tc>
        <w:tc>
          <w:tcPr>
            <w:tcW w:w="5814" w:type="dxa"/>
          </w:tcPr>
          <w:p w14:paraId="060676EB">
            <w:pPr>
              <w:pStyle w:val="4"/>
              <w:jc w:val="both"/>
            </w:pPr>
            <w:r>
              <w:rPr>
                <w:rFonts w:ascii="仿宋_GB2312" w:hAnsi="仿宋_GB2312" w:eastAsia="仿宋_GB2312" w:cs="仿宋_GB2312"/>
                <w:color w:val="000000"/>
                <w:sz w:val="21"/>
              </w:rPr>
              <w:t>220V±10%</w:t>
            </w:r>
          </w:p>
        </w:tc>
      </w:tr>
      <w:tr w14:paraId="624658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30CC3CD">
            <w:pPr>
              <w:pStyle w:val="4"/>
              <w:jc w:val="center"/>
            </w:pPr>
            <w:r>
              <w:rPr>
                <w:rFonts w:ascii="仿宋_GB2312" w:hAnsi="仿宋_GB2312" w:eastAsia="仿宋_GB2312" w:cs="仿宋_GB2312"/>
              </w:rPr>
              <w:t>9</w:t>
            </w:r>
          </w:p>
        </w:tc>
        <w:tc>
          <w:tcPr>
            <w:tcW w:w="581" w:type="dxa"/>
          </w:tcPr>
          <w:p w14:paraId="24012925"/>
        </w:tc>
        <w:tc>
          <w:tcPr>
            <w:tcW w:w="1495" w:type="dxa"/>
          </w:tcPr>
          <w:p w14:paraId="7444EBBF">
            <w:pPr>
              <w:pStyle w:val="4"/>
              <w:jc w:val="left"/>
            </w:pPr>
            <w:r>
              <w:rPr>
                <w:rFonts w:ascii="仿宋_GB2312" w:hAnsi="仿宋_GB2312" w:eastAsia="仿宋_GB2312" w:cs="仿宋_GB2312"/>
              </w:rPr>
              <w:t>机组</w:t>
            </w:r>
          </w:p>
        </w:tc>
        <w:tc>
          <w:tcPr>
            <w:tcW w:w="5814" w:type="dxa"/>
          </w:tcPr>
          <w:p w14:paraId="399480DE">
            <w:pPr>
              <w:pStyle w:val="4"/>
              <w:jc w:val="both"/>
            </w:pPr>
            <w:r>
              <w:rPr>
                <w:rFonts w:ascii="仿宋_GB2312" w:hAnsi="仿宋_GB2312" w:eastAsia="仿宋_GB2312" w:cs="仿宋_GB2312"/>
                <w:color w:val="000000"/>
                <w:sz w:val="21"/>
              </w:rPr>
              <w:t>全封闭压缩机（4台）</w:t>
            </w:r>
          </w:p>
        </w:tc>
      </w:tr>
      <w:tr w14:paraId="18E2A9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B878526">
            <w:pPr>
              <w:pStyle w:val="4"/>
              <w:jc w:val="center"/>
            </w:pPr>
            <w:r>
              <w:rPr>
                <w:rFonts w:ascii="仿宋_GB2312" w:hAnsi="仿宋_GB2312" w:eastAsia="仿宋_GB2312" w:cs="仿宋_GB2312"/>
              </w:rPr>
              <w:t>10</w:t>
            </w:r>
          </w:p>
        </w:tc>
        <w:tc>
          <w:tcPr>
            <w:tcW w:w="581" w:type="dxa"/>
          </w:tcPr>
          <w:p w14:paraId="4E84AA80"/>
        </w:tc>
        <w:tc>
          <w:tcPr>
            <w:tcW w:w="1495" w:type="dxa"/>
          </w:tcPr>
          <w:p w14:paraId="0059DCDA">
            <w:pPr>
              <w:pStyle w:val="4"/>
              <w:jc w:val="left"/>
            </w:pPr>
            <w:r>
              <w:rPr>
                <w:rFonts w:ascii="仿宋_GB2312" w:hAnsi="仿宋_GB2312" w:eastAsia="仿宋_GB2312" w:cs="仿宋_GB2312"/>
              </w:rPr>
              <w:t>形式</w:t>
            </w:r>
          </w:p>
        </w:tc>
        <w:tc>
          <w:tcPr>
            <w:tcW w:w="5814" w:type="dxa"/>
          </w:tcPr>
          <w:p w14:paraId="20578BEC">
            <w:pPr>
              <w:pStyle w:val="4"/>
              <w:jc w:val="both"/>
            </w:pPr>
            <w:r>
              <w:rPr>
                <w:rFonts w:ascii="仿宋_GB2312" w:hAnsi="仿宋_GB2312" w:eastAsia="仿宋_GB2312" w:cs="仿宋_GB2312"/>
                <w:color w:val="000000"/>
                <w:sz w:val="21"/>
              </w:rPr>
              <w:t>▲压缩机加速寿命：最大负荷工况和最大压差工况运转，运转时间为1000h。（符合GB/T 10079-2018）</w:t>
            </w:r>
          </w:p>
        </w:tc>
      </w:tr>
      <w:tr w14:paraId="6728E5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5E14775">
            <w:pPr>
              <w:pStyle w:val="4"/>
              <w:jc w:val="center"/>
            </w:pPr>
            <w:r>
              <w:rPr>
                <w:rFonts w:ascii="仿宋_GB2312" w:hAnsi="仿宋_GB2312" w:eastAsia="仿宋_GB2312" w:cs="仿宋_GB2312"/>
              </w:rPr>
              <w:t>11</w:t>
            </w:r>
          </w:p>
        </w:tc>
        <w:tc>
          <w:tcPr>
            <w:tcW w:w="581" w:type="dxa"/>
          </w:tcPr>
          <w:p w14:paraId="12BE1305"/>
        </w:tc>
        <w:tc>
          <w:tcPr>
            <w:tcW w:w="1495" w:type="dxa"/>
          </w:tcPr>
          <w:p w14:paraId="5E4483F6">
            <w:pPr>
              <w:pStyle w:val="4"/>
              <w:jc w:val="left"/>
            </w:pPr>
            <w:r>
              <w:rPr>
                <w:rFonts w:ascii="仿宋_GB2312" w:hAnsi="仿宋_GB2312" w:eastAsia="仿宋_GB2312" w:cs="仿宋_GB2312"/>
              </w:rPr>
              <w:t>温度控制</w:t>
            </w:r>
          </w:p>
        </w:tc>
        <w:tc>
          <w:tcPr>
            <w:tcW w:w="5814" w:type="dxa"/>
          </w:tcPr>
          <w:p w14:paraId="5AF1EF0C">
            <w:pPr>
              <w:pStyle w:val="4"/>
              <w:jc w:val="both"/>
            </w:pPr>
            <w:r>
              <w:rPr>
                <w:rFonts w:ascii="仿宋_GB2312" w:hAnsi="仿宋_GB2312" w:eastAsia="仿宋_GB2312" w:cs="仿宋_GB2312"/>
                <w:color w:val="000000"/>
                <w:sz w:val="21"/>
              </w:rPr>
              <w:t>▲微电脑全自动温控器，在长时期工作未达到设定温度时，温度控制器发出声光报警提示，并可手动设定温度。在电压不稳定时压缩机可自行延时，进行自我保护。</w:t>
            </w:r>
          </w:p>
        </w:tc>
      </w:tr>
      <w:tr w14:paraId="48CDB9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337BC81">
            <w:pPr>
              <w:pStyle w:val="4"/>
              <w:jc w:val="center"/>
            </w:pPr>
            <w:r>
              <w:rPr>
                <w:rFonts w:ascii="仿宋_GB2312" w:hAnsi="仿宋_GB2312" w:eastAsia="仿宋_GB2312" w:cs="仿宋_GB2312"/>
              </w:rPr>
              <w:t>12</w:t>
            </w:r>
          </w:p>
        </w:tc>
        <w:tc>
          <w:tcPr>
            <w:tcW w:w="581" w:type="dxa"/>
          </w:tcPr>
          <w:p w14:paraId="020E01EA"/>
        </w:tc>
        <w:tc>
          <w:tcPr>
            <w:tcW w:w="1495" w:type="dxa"/>
          </w:tcPr>
          <w:p w14:paraId="67D374FB">
            <w:pPr>
              <w:pStyle w:val="4"/>
              <w:jc w:val="left"/>
            </w:pPr>
            <w:r>
              <w:rPr>
                <w:rFonts w:ascii="仿宋_GB2312" w:hAnsi="仿宋_GB2312" w:eastAsia="仿宋_GB2312" w:cs="仿宋_GB2312"/>
              </w:rPr>
              <w:t>功能</w:t>
            </w:r>
          </w:p>
        </w:tc>
        <w:tc>
          <w:tcPr>
            <w:tcW w:w="5814" w:type="dxa"/>
          </w:tcPr>
          <w:p w14:paraId="78500602">
            <w:pPr>
              <w:pStyle w:val="4"/>
              <w:jc w:val="both"/>
            </w:pPr>
            <w:r>
              <w:rPr>
                <w:rFonts w:ascii="仿宋_GB2312" w:hAnsi="仿宋_GB2312" w:eastAsia="仿宋_GB2312" w:cs="仿宋_GB2312"/>
                <w:color w:val="000000"/>
                <w:sz w:val="21"/>
              </w:rPr>
              <w:t>▲整机采用二套独立的制冷系统和控制系统，可单机工作/备用/双机同时工作：模式一、功能开关在单机/备用工作时，A机先工作，当A机出现故障时自动切换到B机工作。模式二、功能开关在双机工作时，双系统同时工作。（迅速降温，快速到达设定温度）模式三、可设置制冷机组切换时间，根据所设置的时间自动切换制冷机组。</w:t>
            </w:r>
          </w:p>
        </w:tc>
      </w:tr>
      <w:tr w14:paraId="21731E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FC3F285">
            <w:pPr>
              <w:pStyle w:val="4"/>
              <w:jc w:val="center"/>
            </w:pPr>
            <w:r>
              <w:rPr>
                <w:rFonts w:ascii="仿宋_GB2312" w:hAnsi="仿宋_GB2312" w:eastAsia="仿宋_GB2312" w:cs="仿宋_GB2312"/>
              </w:rPr>
              <w:t>13</w:t>
            </w:r>
          </w:p>
        </w:tc>
        <w:tc>
          <w:tcPr>
            <w:tcW w:w="581" w:type="dxa"/>
          </w:tcPr>
          <w:p w14:paraId="0592F16B"/>
        </w:tc>
        <w:tc>
          <w:tcPr>
            <w:tcW w:w="1495" w:type="dxa"/>
          </w:tcPr>
          <w:p w14:paraId="08D459D1">
            <w:pPr>
              <w:pStyle w:val="4"/>
              <w:jc w:val="left"/>
            </w:pPr>
            <w:r>
              <w:rPr>
                <w:rFonts w:ascii="仿宋_GB2312" w:hAnsi="仿宋_GB2312" w:eastAsia="仿宋_GB2312" w:cs="仿宋_GB2312"/>
              </w:rPr>
              <w:t>特点</w:t>
            </w:r>
          </w:p>
        </w:tc>
        <w:tc>
          <w:tcPr>
            <w:tcW w:w="5814" w:type="dxa"/>
          </w:tcPr>
          <w:p w14:paraId="5B094787">
            <w:pPr>
              <w:pStyle w:val="4"/>
              <w:jc w:val="both"/>
            </w:pPr>
            <w:r>
              <w:rPr>
                <w:rFonts w:ascii="仿宋_GB2312" w:hAnsi="仿宋_GB2312" w:eastAsia="仿宋_GB2312" w:cs="仿宋_GB2312"/>
                <w:color w:val="000000"/>
                <w:sz w:val="21"/>
              </w:rPr>
              <w:t>柜门有防凝露功能。</w:t>
            </w:r>
          </w:p>
        </w:tc>
      </w:tr>
    </w:tbl>
    <w:p w14:paraId="06EA1F34">
      <w:pPr>
        <w:pStyle w:val="4"/>
        <w:jc w:val="left"/>
        <w:outlineLvl w:val="2"/>
      </w:pPr>
      <w:r>
        <w:rPr>
          <w:rFonts w:ascii="仿宋_GB2312" w:hAnsi="仿宋_GB2312" w:eastAsia="仿宋_GB2312" w:cs="仿宋_GB2312"/>
          <w:b/>
          <w:sz w:val="28"/>
        </w:rPr>
        <w:t>3.3.服务要求</w:t>
      </w:r>
    </w:p>
    <w:p w14:paraId="3CD7263E">
      <w:pPr>
        <w:pStyle w:val="4"/>
        <w:jc w:val="left"/>
        <w:outlineLvl w:val="3"/>
      </w:pPr>
      <w:r>
        <w:rPr>
          <w:rFonts w:ascii="仿宋_GB2312" w:hAnsi="仿宋_GB2312" w:eastAsia="仿宋_GB2312" w:cs="仿宋_GB2312"/>
          <w:b/>
          <w:sz w:val="24"/>
        </w:rPr>
        <w:t>3.3.1.服务内容要求</w:t>
      </w:r>
    </w:p>
    <w:p w14:paraId="4C24C70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6CDB5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70A243B">
            <w:pPr>
              <w:pStyle w:val="4"/>
              <w:jc w:val="center"/>
            </w:pPr>
            <w:r>
              <w:rPr>
                <w:rFonts w:ascii="仿宋_GB2312" w:hAnsi="仿宋_GB2312" w:eastAsia="仿宋_GB2312" w:cs="仿宋_GB2312"/>
              </w:rPr>
              <w:t xml:space="preserve"> 序号</w:t>
            </w:r>
          </w:p>
        </w:tc>
        <w:tc>
          <w:tcPr>
            <w:tcW w:w="581" w:type="dxa"/>
          </w:tcPr>
          <w:p w14:paraId="3B38D092">
            <w:pPr>
              <w:pStyle w:val="4"/>
              <w:jc w:val="center"/>
            </w:pPr>
            <w:r>
              <w:rPr>
                <w:rFonts w:ascii="仿宋_GB2312" w:hAnsi="仿宋_GB2312" w:eastAsia="仿宋_GB2312" w:cs="仿宋_GB2312"/>
              </w:rPr>
              <w:t xml:space="preserve"> 符号标识</w:t>
            </w:r>
          </w:p>
        </w:tc>
        <w:tc>
          <w:tcPr>
            <w:tcW w:w="1495" w:type="dxa"/>
          </w:tcPr>
          <w:p w14:paraId="5C5B940F">
            <w:pPr>
              <w:pStyle w:val="4"/>
              <w:jc w:val="center"/>
            </w:pPr>
            <w:r>
              <w:rPr>
                <w:rFonts w:ascii="仿宋_GB2312" w:hAnsi="仿宋_GB2312" w:eastAsia="仿宋_GB2312" w:cs="仿宋_GB2312"/>
              </w:rPr>
              <w:t xml:space="preserve"> 服务要求名称</w:t>
            </w:r>
          </w:p>
        </w:tc>
        <w:tc>
          <w:tcPr>
            <w:tcW w:w="5814" w:type="dxa"/>
          </w:tcPr>
          <w:p w14:paraId="2F9CE471">
            <w:pPr>
              <w:pStyle w:val="4"/>
              <w:jc w:val="center"/>
            </w:pPr>
            <w:r>
              <w:rPr>
                <w:rFonts w:ascii="仿宋_GB2312" w:hAnsi="仿宋_GB2312" w:eastAsia="仿宋_GB2312" w:cs="仿宋_GB2312"/>
              </w:rPr>
              <w:t xml:space="preserve"> 服务要求内容</w:t>
            </w:r>
          </w:p>
        </w:tc>
      </w:tr>
      <w:tr w14:paraId="090AF7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867B257">
            <w:pPr>
              <w:pStyle w:val="4"/>
              <w:jc w:val="center"/>
            </w:pPr>
            <w:r>
              <w:rPr>
                <w:rFonts w:ascii="仿宋_GB2312" w:hAnsi="仿宋_GB2312" w:eastAsia="仿宋_GB2312" w:cs="仿宋_GB2312"/>
              </w:rPr>
              <w:t>1</w:t>
            </w:r>
          </w:p>
        </w:tc>
        <w:tc>
          <w:tcPr>
            <w:tcW w:w="581" w:type="dxa"/>
          </w:tcPr>
          <w:p w14:paraId="377A0D2F">
            <w:pPr>
              <w:pStyle w:val="4"/>
              <w:jc w:val="center"/>
            </w:pPr>
            <w:r>
              <w:rPr>
                <w:rFonts w:ascii="仿宋_GB2312" w:hAnsi="仿宋_GB2312" w:eastAsia="仿宋_GB2312" w:cs="仿宋_GB2312"/>
              </w:rPr>
              <w:t>★</w:t>
            </w:r>
          </w:p>
        </w:tc>
        <w:tc>
          <w:tcPr>
            <w:tcW w:w="1495" w:type="dxa"/>
          </w:tcPr>
          <w:p w14:paraId="47FA715E">
            <w:pPr>
              <w:pStyle w:val="4"/>
              <w:jc w:val="left"/>
            </w:pPr>
            <w:r>
              <w:rPr>
                <w:rFonts w:ascii="仿宋_GB2312" w:hAnsi="仿宋_GB2312" w:eastAsia="仿宋_GB2312" w:cs="仿宋_GB2312"/>
              </w:rPr>
              <w:t>售后服务要求</w:t>
            </w:r>
          </w:p>
        </w:tc>
        <w:tc>
          <w:tcPr>
            <w:tcW w:w="5814" w:type="dxa"/>
          </w:tcPr>
          <w:p w14:paraId="294ACC10">
            <w:pPr>
              <w:pStyle w:val="4"/>
              <w:jc w:val="left"/>
            </w:pPr>
            <w:r>
              <w:rPr>
                <w:rFonts w:ascii="仿宋_GB2312" w:hAnsi="仿宋_GB2312" w:eastAsia="仿宋_GB2312" w:cs="仿宋_GB2312"/>
                <w:color w:val="000000"/>
                <w:sz w:val="24"/>
              </w:rPr>
              <w:t>项目验收合格之日起1年。在质保期内，对产品质量实行“三包”服务。</w:t>
            </w:r>
          </w:p>
          <w:p w14:paraId="3761AB48">
            <w:pPr>
              <w:pStyle w:val="4"/>
              <w:jc w:val="left"/>
            </w:pPr>
            <w:r>
              <w:rPr>
                <w:rFonts w:ascii="仿宋_GB2312" w:hAnsi="仿宋_GB2312" w:eastAsia="仿宋_GB2312" w:cs="仿宋_GB2312"/>
                <w:color w:val="000000"/>
                <w:sz w:val="24"/>
              </w:rPr>
              <w:t>1、售后服务： 提供7×24小时的服务，成交供应商需指定专人与采购人指定联系人联系售后事宜，并配置专门的服务电话，设备出现故障或质量问题，4小时内制定解决方案，1个工作日内解决；同一质量问题连续两次维修无法正常使用的，须更换同品牌、同型号的全新设备，所产生的费用由成交供应商承担。</w:t>
            </w:r>
          </w:p>
          <w:p w14:paraId="2EC3EF9C">
            <w:pPr>
              <w:pStyle w:val="4"/>
              <w:jc w:val="left"/>
            </w:pPr>
            <w:r>
              <w:rPr>
                <w:rFonts w:ascii="仿宋_GB2312" w:hAnsi="仿宋_GB2312" w:eastAsia="仿宋_GB2312" w:cs="仿宋_GB2312"/>
                <w:color w:val="000000"/>
                <w:sz w:val="24"/>
              </w:rPr>
              <w:t xml:space="preserve"> 2、质保期外，提供设备的更换、维修只收取成本费用，不收取人工技术费用。在设备的设计使用寿命内，保证采购人更换到原厂的零部件，确保设备的正常使用。</w:t>
            </w:r>
          </w:p>
          <w:p w14:paraId="1ED8AFFC">
            <w:pPr>
              <w:pStyle w:val="4"/>
              <w:jc w:val="both"/>
            </w:pPr>
            <w:r>
              <w:rPr>
                <w:rFonts w:ascii="仿宋_GB2312" w:hAnsi="仿宋_GB2312" w:eastAsia="仿宋_GB2312" w:cs="仿宋_GB2312"/>
                <w:color w:val="000000"/>
                <w:sz w:val="24"/>
              </w:rPr>
              <w:t>3、因质量问题导致拒收、退换货等造成的损失由成交供应商自行承担。</w:t>
            </w:r>
          </w:p>
        </w:tc>
      </w:tr>
    </w:tbl>
    <w:p w14:paraId="50E21BA3">
      <w:pPr>
        <w:pStyle w:val="4"/>
        <w:jc w:val="left"/>
        <w:outlineLvl w:val="3"/>
      </w:pPr>
      <w:r>
        <w:rPr>
          <w:rFonts w:ascii="仿宋_GB2312" w:hAnsi="仿宋_GB2312" w:eastAsia="仿宋_GB2312" w:cs="仿宋_GB2312"/>
          <w:b/>
          <w:sz w:val="24"/>
        </w:rPr>
        <w:t>3.3.2.商务要求</w:t>
      </w:r>
    </w:p>
    <w:p w14:paraId="79AFA7E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58F92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2927D84">
            <w:pPr>
              <w:pStyle w:val="4"/>
              <w:jc w:val="center"/>
            </w:pPr>
            <w:r>
              <w:rPr>
                <w:rFonts w:ascii="仿宋_GB2312" w:hAnsi="仿宋_GB2312" w:eastAsia="仿宋_GB2312" w:cs="仿宋_GB2312"/>
              </w:rPr>
              <w:t>序号</w:t>
            </w:r>
          </w:p>
        </w:tc>
        <w:tc>
          <w:tcPr>
            <w:tcW w:w="581" w:type="dxa"/>
          </w:tcPr>
          <w:p w14:paraId="5581CCB9">
            <w:pPr>
              <w:pStyle w:val="4"/>
              <w:jc w:val="center"/>
            </w:pPr>
            <w:r>
              <w:rPr>
                <w:rFonts w:ascii="仿宋_GB2312" w:hAnsi="仿宋_GB2312" w:eastAsia="仿宋_GB2312" w:cs="仿宋_GB2312"/>
              </w:rPr>
              <w:t>符号标识</w:t>
            </w:r>
          </w:p>
        </w:tc>
        <w:tc>
          <w:tcPr>
            <w:tcW w:w="1495" w:type="dxa"/>
          </w:tcPr>
          <w:p w14:paraId="56D350EF">
            <w:pPr>
              <w:pStyle w:val="4"/>
              <w:jc w:val="center"/>
            </w:pPr>
            <w:r>
              <w:rPr>
                <w:rFonts w:ascii="仿宋_GB2312" w:hAnsi="仿宋_GB2312" w:eastAsia="仿宋_GB2312" w:cs="仿宋_GB2312"/>
              </w:rPr>
              <w:t>商务要求名称</w:t>
            </w:r>
          </w:p>
        </w:tc>
        <w:tc>
          <w:tcPr>
            <w:tcW w:w="5814" w:type="dxa"/>
          </w:tcPr>
          <w:p w14:paraId="74497C7A">
            <w:pPr>
              <w:pStyle w:val="4"/>
              <w:jc w:val="center"/>
            </w:pPr>
            <w:r>
              <w:rPr>
                <w:rFonts w:ascii="仿宋_GB2312" w:hAnsi="仿宋_GB2312" w:eastAsia="仿宋_GB2312" w:cs="仿宋_GB2312"/>
              </w:rPr>
              <w:t>商务要求内容</w:t>
            </w:r>
          </w:p>
        </w:tc>
      </w:tr>
      <w:tr w14:paraId="19B541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7B899AB">
            <w:pPr>
              <w:pStyle w:val="4"/>
              <w:jc w:val="center"/>
            </w:pPr>
            <w:r>
              <w:rPr>
                <w:rFonts w:ascii="仿宋_GB2312" w:hAnsi="仿宋_GB2312" w:eastAsia="仿宋_GB2312" w:cs="仿宋_GB2312"/>
              </w:rPr>
              <w:t>1</w:t>
            </w:r>
          </w:p>
        </w:tc>
        <w:tc>
          <w:tcPr>
            <w:tcW w:w="581" w:type="dxa"/>
          </w:tcPr>
          <w:p w14:paraId="3F0EC9B9">
            <w:pPr>
              <w:pStyle w:val="4"/>
              <w:jc w:val="center"/>
            </w:pPr>
            <w:r>
              <w:rPr>
                <w:rFonts w:ascii="仿宋_GB2312" w:hAnsi="仿宋_GB2312" w:eastAsia="仿宋_GB2312" w:cs="仿宋_GB2312"/>
              </w:rPr>
              <w:t>★</w:t>
            </w:r>
          </w:p>
        </w:tc>
        <w:tc>
          <w:tcPr>
            <w:tcW w:w="1495" w:type="dxa"/>
          </w:tcPr>
          <w:p w14:paraId="78919804">
            <w:pPr>
              <w:pStyle w:val="4"/>
              <w:jc w:val="left"/>
            </w:pPr>
            <w:r>
              <w:rPr>
                <w:rFonts w:ascii="仿宋_GB2312" w:hAnsi="仿宋_GB2312" w:eastAsia="仿宋_GB2312" w:cs="仿宋_GB2312"/>
              </w:rPr>
              <w:t>交货时间</w:t>
            </w:r>
          </w:p>
        </w:tc>
        <w:tc>
          <w:tcPr>
            <w:tcW w:w="5814" w:type="dxa"/>
          </w:tcPr>
          <w:p w14:paraId="4C7ACF29">
            <w:pPr>
              <w:pStyle w:val="4"/>
              <w:jc w:val="left"/>
            </w:pPr>
            <w:r>
              <w:rPr>
                <w:rFonts w:ascii="仿宋_GB2312" w:hAnsi="仿宋_GB2312" w:eastAsia="仿宋_GB2312" w:cs="仿宋_GB2312"/>
              </w:rPr>
              <w:t>自合同签订之日起30日</w:t>
            </w:r>
          </w:p>
        </w:tc>
      </w:tr>
      <w:tr w14:paraId="36B5F9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73EEC6C">
            <w:pPr>
              <w:pStyle w:val="4"/>
              <w:jc w:val="center"/>
            </w:pPr>
            <w:r>
              <w:rPr>
                <w:rFonts w:ascii="仿宋_GB2312" w:hAnsi="仿宋_GB2312" w:eastAsia="仿宋_GB2312" w:cs="仿宋_GB2312"/>
              </w:rPr>
              <w:t>2</w:t>
            </w:r>
          </w:p>
        </w:tc>
        <w:tc>
          <w:tcPr>
            <w:tcW w:w="581" w:type="dxa"/>
          </w:tcPr>
          <w:p w14:paraId="1174F1EF">
            <w:pPr>
              <w:pStyle w:val="4"/>
              <w:jc w:val="center"/>
            </w:pPr>
            <w:r>
              <w:rPr>
                <w:rFonts w:ascii="仿宋_GB2312" w:hAnsi="仿宋_GB2312" w:eastAsia="仿宋_GB2312" w:cs="仿宋_GB2312"/>
              </w:rPr>
              <w:t>★</w:t>
            </w:r>
          </w:p>
        </w:tc>
        <w:tc>
          <w:tcPr>
            <w:tcW w:w="1495" w:type="dxa"/>
          </w:tcPr>
          <w:p w14:paraId="4A2807A7">
            <w:pPr>
              <w:pStyle w:val="4"/>
              <w:jc w:val="left"/>
            </w:pPr>
            <w:r>
              <w:rPr>
                <w:rFonts w:ascii="仿宋_GB2312" w:hAnsi="仿宋_GB2312" w:eastAsia="仿宋_GB2312" w:cs="仿宋_GB2312"/>
              </w:rPr>
              <w:t>交货地点</w:t>
            </w:r>
          </w:p>
        </w:tc>
        <w:tc>
          <w:tcPr>
            <w:tcW w:w="5814" w:type="dxa"/>
          </w:tcPr>
          <w:p w14:paraId="4362BC91">
            <w:pPr>
              <w:pStyle w:val="4"/>
              <w:jc w:val="left"/>
            </w:pPr>
            <w:r>
              <w:rPr>
                <w:rFonts w:ascii="仿宋_GB2312" w:hAnsi="仿宋_GB2312" w:eastAsia="仿宋_GB2312" w:cs="仿宋_GB2312"/>
              </w:rPr>
              <w:t>采购人指定地点</w:t>
            </w:r>
          </w:p>
        </w:tc>
      </w:tr>
      <w:tr w14:paraId="5AF2BD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6F664B5">
            <w:pPr>
              <w:pStyle w:val="4"/>
              <w:jc w:val="center"/>
            </w:pPr>
            <w:r>
              <w:rPr>
                <w:rFonts w:ascii="仿宋_GB2312" w:hAnsi="仿宋_GB2312" w:eastAsia="仿宋_GB2312" w:cs="仿宋_GB2312"/>
              </w:rPr>
              <w:t>3</w:t>
            </w:r>
          </w:p>
        </w:tc>
        <w:tc>
          <w:tcPr>
            <w:tcW w:w="581" w:type="dxa"/>
          </w:tcPr>
          <w:p w14:paraId="1B7E6F47">
            <w:pPr>
              <w:pStyle w:val="4"/>
              <w:jc w:val="center"/>
            </w:pPr>
            <w:r>
              <w:rPr>
                <w:rFonts w:ascii="仿宋_GB2312" w:hAnsi="仿宋_GB2312" w:eastAsia="仿宋_GB2312" w:cs="仿宋_GB2312"/>
              </w:rPr>
              <w:t>★</w:t>
            </w:r>
          </w:p>
        </w:tc>
        <w:tc>
          <w:tcPr>
            <w:tcW w:w="1495" w:type="dxa"/>
          </w:tcPr>
          <w:p w14:paraId="240D757F">
            <w:pPr>
              <w:pStyle w:val="4"/>
              <w:jc w:val="left"/>
            </w:pPr>
            <w:r>
              <w:rPr>
                <w:rFonts w:ascii="仿宋_GB2312" w:hAnsi="仿宋_GB2312" w:eastAsia="仿宋_GB2312" w:cs="仿宋_GB2312"/>
              </w:rPr>
              <w:t>支付方式</w:t>
            </w:r>
          </w:p>
        </w:tc>
        <w:tc>
          <w:tcPr>
            <w:tcW w:w="5814" w:type="dxa"/>
          </w:tcPr>
          <w:p w14:paraId="3AC4A4FA">
            <w:pPr>
              <w:pStyle w:val="4"/>
              <w:jc w:val="left"/>
            </w:pPr>
            <w:r>
              <w:rPr>
                <w:rFonts w:ascii="仿宋_GB2312" w:hAnsi="仿宋_GB2312" w:eastAsia="仿宋_GB2312" w:cs="仿宋_GB2312"/>
              </w:rPr>
              <w:t>分期付款</w:t>
            </w:r>
          </w:p>
        </w:tc>
      </w:tr>
      <w:tr w14:paraId="54DD3D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25DE378">
            <w:pPr>
              <w:pStyle w:val="4"/>
              <w:jc w:val="center"/>
            </w:pPr>
            <w:r>
              <w:rPr>
                <w:rFonts w:ascii="仿宋_GB2312" w:hAnsi="仿宋_GB2312" w:eastAsia="仿宋_GB2312" w:cs="仿宋_GB2312"/>
              </w:rPr>
              <w:t>4</w:t>
            </w:r>
          </w:p>
        </w:tc>
        <w:tc>
          <w:tcPr>
            <w:tcW w:w="581" w:type="dxa"/>
          </w:tcPr>
          <w:p w14:paraId="251777D9">
            <w:pPr>
              <w:pStyle w:val="4"/>
              <w:jc w:val="center"/>
            </w:pPr>
            <w:r>
              <w:rPr>
                <w:rFonts w:ascii="仿宋_GB2312" w:hAnsi="仿宋_GB2312" w:eastAsia="仿宋_GB2312" w:cs="仿宋_GB2312"/>
              </w:rPr>
              <w:t>★</w:t>
            </w:r>
          </w:p>
        </w:tc>
        <w:tc>
          <w:tcPr>
            <w:tcW w:w="1495" w:type="dxa"/>
          </w:tcPr>
          <w:p w14:paraId="69906117">
            <w:pPr>
              <w:pStyle w:val="4"/>
              <w:jc w:val="left"/>
            </w:pPr>
            <w:r>
              <w:rPr>
                <w:rFonts w:ascii="仿宋_GB2312" w:hAnsi="仿宋_GB2312" w:eastAsia="仿宋_GB2312" w:cs="仿宋_GB2312"/>
              </w:rPr>
              <w:t>付款进度安排</w:t>
            </w:r>
          </w:p>
        </w:tc>
        <w:tc>
          <w:tcPr>
            <w:tcW w:w="5814" w:type="dxa"/>
          </w:tcPr>
          <w:p w14:paraId="4DC81917">
            <w:pPr>
              <w:pStyle w:val="4"/>
              <w:jc w:val="left"/>
            </w:pPr>
            <w:r>
              <w:rPr>
                <w:rFonts w:ascii="仿宋_GB2312" w:hAnsi="仿宋_GB2312" w:eastAsia="仿宋_GB2312" w:cs="仿宋_GB2312"/>
              </w:rPr>
              <w:t>1、合同签订后，达到付款条件起15日内，支付合同总金额的20.00%</w:t>
            </w:r>
          </w:p>
          <w:p w14:paraId="44397F6C">
            <w:pPr>
              <w:pStyle w:val="4"/>
              <w:jc w:val="left"/>
            </w:pPr>
            <w:r>
              <w:rPr>
                <w:rFonts w:ascii="仿宋_GB2312" w:hAnsi="仿宋_GB2312" w:eastAsia="仿宋_GB2312" w:cs="仿宋_GB2312"/>
              </w:rPr>
              <w:t>2、货物到场，达到付款条件起15日内，支付合同总金额的40.00%</w:t>
            </w:r>
          </w:p>
          <w:p w14:paraId="03AABB25">
            <w:pPr>
              <w:pStyle w:val="4"/>
              <w:jc w:val="left"/>
            </w:pPr>
            <w:r>
              <w:rPr>
                <w:rFonts w:ascii="仿宋_GB2312" w:hAnsi="仿宋_GB2312" w:eastAsia="仿宋_GB2312" w:cs="仿宋_GB2312"/>
              </w:rPr>
              <w:t>3、安装、调试、验收合格后，达到付款条件起15日内，支付合同总金额的35.00%</w:t>
            </w:r>
          </w:p>
          <w:p w14:paraId="02F3F8C1">
            <w:pPr>
              <w:pStyle w:val="4"/>
              <w:jc w:val="left"/>
            </w:pPr>
            <w:r>
              <w:rPr>
                <w:rFonts w:ascii="仿宋_GB2312" w:hAnsi="仿宋_GB2312" w:eastAsia="仿宋_GB2312" w:cs="仿宋_GB2312"/>
              </w:rPr>
              <w:t>4、一年后，达到付款条件起15日内，支付合同总金额的5.00%</w:t>
            </w:r>
          </w:p>
        </w:tc>
      </w:tr>
      <w:tr w14:paraId="19B543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BA12EB8">
            <w:pPr>
              <w:pStyle w:val="4"/>
              <w:jc w:val="center"/>
            </w:pPr>
            <w:r>
              <w:rPr>
                <w:rFonts w:ascii="仿宋_GB2312" w:hAnsi="仿宋_GB2312" w:eastAsia="仿宋_GB2312" w:cs="仿宋_GB2312"/>
              </w:rPr>
              <w:t>5</w:t>
            </w:r>
          </w:p>
        </w:tc>
        <w:tc>
          <w:tcPr>
            <w:tcW w:w="581" w:type="dxa"/>
          </w:tcPr>
          <w:p w14:paraId="7C951BAC">
            <w:pPr>
              <w:pStyle w:val="4"/>
              <w:jc w:val="center"/>
            </w:pPr>
            <w:r>
              <w:rPr>
                <w:rFonts w:ascii="仿宋_GB2312" w:hAnsi="仿宋_GB2312" w:eastAsia="仿宋_GB2312" w:cs="仿宋_GB2312"/>
              </w:rPr>
              <w:t>★</w:t>
            </w:r>
          </w:p>
        </w:tc>
        <w:tc>
          <w:tcPr>
            <w:tcW w:w="1495" w:type="dxa"/>
          </w:tcPr>
          <w:p w14:paraId="4A715FD3">
            <w:pPr>
              <w:pStyle w:val="4"/>
              <w:jc w:val="left"/>
            </w:pPr>
            <w:r>
              <w:rPr>
                <w:rFonts w:ascii="仿宋_GB2312" w:hAnsi="仿宋_GB2312" w:eastAsia="仿宋_GB2312" w:cs="仿宋_GB2312"/>
              </w:rPr>
              <w:t>验收、交付标准和方法</w:t>
            </w:r>
          </w:p>
        </w:tc>
        <w:tc>
          <w:tcPr>
            <w:tcW w:w="5814" w:type="dxa"/>
          </w:tcPr>
          <w:p w14:paraId="0D209793">
            <w:pPr>
              <w:pStyle w:val="4"/>
              <w:jc w:val="left"/>
            </w:pPr>
            <w:r>
              <w:rPr>
                <w:rFonts w:ascii="仿宋_GB2312" w:hAnsi="仿宋_GB2312" w:eastAsia="仿宋_GB2312" w:cs="仿宋_GB2312"/>
              </w:rPr>
              <w:t>1、验收标准：严格按照国家及行业相关规范和标准、采购文件的技术指标、成交供应商的响应文件及承诺、合同约定标准以及《财政部关于进一步加强政府采购需求和履约验收管理的指导意见》（财 库〔2016〕205 号）的要求进行验收。 2、验收方法： （1）供应商提出验收申请后，由采购人组织验收，供应商配合进行，严格按照本项目验收标准进行验收。采购人与供应商双方如对质量要求和技术指标的约定标准有相互抵触或异议的事项，由采购人在采购文件及响应文件中按质量要求和技术指标比较优胜的原则确定该项的约定标准进行验收；验收时如发现所交付的货物有短装、次品、损坏或其它不符合标准及本合同规定之情形者，采购人应做出详尽的现场记录，或由采购人与供应商双方签署备忘录，此现场记录或备忘录可用作补充、缺失和更换损坏部件的有效证据，由此产生的时间延误与有关费用由供应商承担，验收期限相应顺延。 （2）如质量验收合格，双方签署质量验收报告。</w:t>
            </w:r>
          </w:p>
        </w:tc>
      </w:tr>
      <w:tr w14:paraId="258B5E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83ADC3E">
            <w:pPr>
              <w:pStyle w:val="4"/>
              <w:jc w:val="center"/>
            </w:pPr>
            <w:r>
              <w:rPr>
                <w:rFonts w:ascii="仿宋_GB2312" w:hAnsi="仿宋_GB2312" w:eastAsia="仿宋_GB2312" w:cs="仿宋_GB2312"/>
              </w:rPr>
              <w:t>6</w:t>
            </w:r>
          </w:p>
        </w:tc>
        <w:tc>
          <w:tcPr>
            <w:tcW w:w="581" w:type="dxa"/>
          </w:tcPr>
          <w:p w14:paraId="096A7298">
            <w:pPr>
              <w:pStyle w:val="4"/>
              <w:jc w:val="center"/>
            </w:pPr>
            <w:r>
              <w:rPr>
                <w:rFonts w:ascii="仿宋_GB2312" w:hAnsi="仿宋_GB2312" w:eastAsia="仿宋_GB2312" w:cs="仿宋_GB2312"/>
              </w:rPr>
              <w:t>★</w:t>
            </w:r>
          </w:p>
        </w:tc>
        <w:tc>
          <w:tcPr>
            <w:tcW w:w="1495" w:type="dxa"/>
          </w:tcPr>
          <w:p w14:paraId="13E37F86">
            <w:pPr>
              <w:pStyle w:val="4"/>
              <w:jc w:val="left"/>
            </w:pPr>
            <w:r>
              <w:rPr>
                <w:rFonts w:ascii="仿宋_GB2312" w:hAnsi="仿宋_GB2312" w:eastAsia="仿宋_GB2312" w:cs="仿宋_GB2312"/>
              </w:rPr>
              <w:t>质量保修范围和保修期</w:t>
            </w:r>
          </w:p>
        </w:tc>
        <w:tc>
          <w:tcPr>
            <w:tcW w:w="5814" w:type="dxa"/>
          </w:tcPr>
          <w:p w14:paraId="28ED3C70">
            <w:pPr>
              <w:pStyle w:val="4"/>
              <w:jc w:val="left"/>
            </w:pPr>
            <w:r>
              <w:rPr>
                <w:rFonts w:ascii="仿宋_GB2312" w:hAnsi="仿宋_GB2312" w:eastAsia="仿宋_GB2312" w:cs="仿宋_GB2312"/>
              </w:rPr>
              <w:t>1、质量要求 （1）成交供应商须提供全新的货物（含零部件、配件等），表面无划伤、无碰撞痕迹，且权属清楚，不得侵害他人的知识产权。 （2）货物必须符合或优于国家（行业）相关标准，以及本项目的质量要求和技术指标与出厂标准。 （3）成交供应商需承诺，签订合同前应将投标时提供的佐证相关技术参数的检测报告原件交采购人处核验，如无法提供或提供虚假材料，作无效投标处理。（单独提供承诺函，格式自拟） 2、质保期：项目验收合格之日起1年。在质保期内，对产品质量实行“三包”服务。 3、售后服务： 提供7×24小时的服务，成交供应商需指定专人与采购人指定联系人联系售后事宜，并配置专门的服务电话，设备出现故障或质量问题，4小时内制定解决方案，1个工作日内解决；同一质量问题连续两次维修无法正常使用的，须更换同品牌、同型号的全新设备，所产生的费用由成交供应商承担。 4、质保期外，提供设备的更换、维修只收取成本费用，不收取人工技术费用。在设备的设计使用寿命内，保证采购人更换到原厂的零部件，确保设备的正常使用。 5、因质量问题导致拒收、退换货等造成的损失由成交供应商自行承担。</w:t>
            </w:r>
          </w:p>
        </w:tc>
      </w:tr>
      <w:tr w14:paraId="59EF18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C59B388">
            <w:pPr>
              <w:pStyle w:val="4"/>
              <w:jc w:val="center"/>
            </w:pPr>
            <w:r>
              <w:rPr>
                <w:rFonts w:ascii="仿宋_GB2312" w:hAnsi="仿宋_GB2312" w:eastAsia="仿宋_GB2312" w:cs="仿宋_GB2312"/>
              </w:rPr>
              <w:t>7</w:t>
            </w:r>
          </w:p>
        </w:tc>
        <w:tc>
          <w:tcPr>
            <w:tcW w:w="581" w:type="dxa"/>
          </w:tcPr>
          <w:p w14:paraId="06CF52E9">
            <w:pPr>
              <w:pStyle w:val="4"/>
              <w:jc w:val="center"/>
            </w:pPr>
            <w:r>
              <w:rPr>
                <w:rFonts w:ascii="仿宋_GB2312" w:hAnsi="仿宋_GB2312" w:eastAsia="仿宋_GB2312" w:cs="仿宋_GB2312"/>
              </w:rPr>
              <w:t>★</w:t>
            </w:r>
          </w:p>
        </w:tc>
        <w:tc>
          <w:tcPr>
            <w:tcW w:w="1495" w:type="dxa"/>
          </w:tcPr>
          <w:p w14:paraId="1AEB2E2E">
            <w:pPr>
              <w:pStyle w:val="4"/>
              <w:jc w:val="left"/>
            </w:pPr>
            <w:r>
              <w:rPr>
                <w:rFonts w:ascii="仿宋_GB2312" w:hAnsi="仿宋_GB2312" w:eastAsia="仿宋_GB2312" w:cs="仿宋_GB2312"/>
              </w:rPr>
              <w:t>违约责任与解决争议的方法</w:t>
            </w:r>
          </w:p>
        </w:tc>
        <w:tc>
          <w:tcPr>
            <w:tcW w:w="5814" w:type="dxa"/>
          </w:tcPr>
          <w:p w14:paraId="49E598E6">
            <w:pPr>
              <w:pStyle w:val="4"/>
              <w:jc w:val="left"/>
            </w:pPr>
            <w:r>
              <w:rPr>
                <w:rFonts w:ascii="仿宋_GB2312" w:hAnsi="仿宋_GB2312" w:eastAsia="仿宋_GB2312" w:cs="仿宋_GB2312"/>
              </w:rPr>
              <w:t>1、甲乙双方必须遵守合同并执行合同中的各项规定，保证合同的正常履行。 2、如因成交供应商工作人员在履行职务过程中的疏忽、失职、过错等故意或者过失原因给采购人造成损失或侵害，包括但不限于采购人本身的财产损失、由此而导致的采购人对任何第三方的法律责任等，成交供应商对此均应承担全部的赔偿责任。 3、合同履行期间，若双方发生争议，可协商或由有关部门调解解决，协商或调解不成的，由当事人依法向法院提起诉讼维护其合法权益。 4、其他以合同约定为准。</w:t>
            </w:r>
          </w:p>
        </w:tc>
      </w:tr>
      <w:tr w14:paraId="74CA2D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870C3AA">
            <w:pPr>
              <w:pStyle w:val="4"/>
              <w:jc w:val="center"/>
            </w:pPr>
            <w:r>
              <w:rPr>
                <w:rFonts w:ascii="仿宋_GB2312" w:hAnsi="仿宋_GB2312" w:eastAsia="仿宋_GB2312" w:cs="仿宋_GB2312"/>
              </w:rPr>
              <w:t>8</w:t>
            </w:r>
          </w:p>
        </w:tc>
        <w:tc>
          <w:tcPr>
            <w:tcW w:w="581" w:type="dxa"/>
          </w:tcPr>
          <w:p w14:paraId="7DC5E2C9">
            <w:pPr>
              <w:pStyle w:val="4"/>
              <w:jc w:val="center"/>
            </w:pPr>
            <w:r>
              <w:rPr>
                <w:rFonts w:ascii="仿宋_GB2312" w:hAnsi="仿宋_GB2312" w:eastAsia="仿宋_GB2312" w:cs="仿宋_GB2312"/>
              </w:rPr>
              <w:t>★</w:t>
            </w:r>
          </w:p>
        </w:tc>
        <w:tc>
          <w:tcPr>
            <w:tcW w:w="1495" w:type="dxa"/>
          </w:tcPr>
          <w:p w14:paraId="12982368">
            <w:pPr>
              <w:pStyle w:val="4"/>
              <w:jc w:val="left"/>
            </w:pPr>
            <w:r>
              <w:rPr>
                <w:rFonts w:ascii="仿宋_GB2312" w:hAnsi="仿宋_GB2312" w:eastAsia="仿宋_GB2312" w:cs="仿宋_GB2312"/>
              </w:rPr>
              <w:t>包装方式及运输</w:t>
            </w:r>
          </w:p>
        </w:tc>
        <w:tc>
          <w:tcPr>
            <w:tcW w:w="5814" w:type="dxa"/>
          </w:tcPr>
          <w:p w14:paraId="3A801F15">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19792BB2">
      <w:pPr>
        <w:pStyle w:val="4"/>
        <w:jc w:val="left"/>
        <w:outlineLvl w:val="2"/>
      </w:pPr>
      <w:r>
        <w:rPr>
          <w:rFonts w:ascii="仿宋_GB2312" w:hAnsi="仿宋_GB2312" w:eastAsia="仿宋_GB2312" w:cs="仿宋_GB2312"/>
          <w:b/>
          <w:sz w:val="28"/>
        </w:rPr>
        <w:t>3.4.其他要求</w:t>
      </w:r>
    </w:p>
    <w:p w14:paraId="57F40157">
      <w:pPr>
        <w:pStyle w:val="4"/>
        <w:jc w:val="left"/>
      </w:pPr>
      <w:r>
        <w:rPr>
          <w:rFonts w:ascii="仿宋_GB2312" w:hAnsi="仿宋_GB2312" w:eastAsia="仿宋_GB2312" w:cs="仿宋_GB2312"/>
        </w:rPr>
        <w:t>1、投标人负责原有旧设备的拆除及垃圾外运处置，旧设备的拆除和新设备安装中涉及对原有设备、现场环境造成损坏的，投标人应负责恢复原状，以上费用均已包含在其投标报价中。 2、设备安装完成后，设备应由经采购人认可具备检测资质的第三方机构对已安装的尾气处理设备进行尾气排放检测并出具符合国家行业标准的检测报告，检测不合格的应负责整改至合格，否则视为验收不合格；检测、整改费用由中标人承担。 注：本项目实施过程中（合同履行过程中），前文涉及的技术标准、规范有修改更新的，以最新实施的技术标准、规范内容为准。</w:t>
      </w:r>
    </w:p>
    <w:p w14:paraId="5865EA78">
      <w:r>
        <w:rPr>
          <w:rFonts w:ascii="仿宋_GB2312" w:hAnsi="仿宋_GB2312" w:eastAsia="仿宋_GB2312" w:cs="仿宋_GB2312"/>
        </w:rPr>
        <w:t xml:space="preserve"> </w:t>
      </w:r>
      <w:r>
        <w:rPr>
          <w:rFonts w:ascii="仿宋_GB2312" w:hAnsi="仿宋_GB2312" w:eastAsia="仿宋_GB2312" w:cs="仿宋_GB2312"/>
        </w:rPr>
        <w:br w:type="textWrapp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A62E04"/>
    <w:rsid w:val="71A62E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2025-10-29T07:39:00Z</dcterms:created>
  <dc:creator>Administrator</dc:creator>
  <cp:lastModifiedBy>Administrator</cp:lastModifiedBy>
  <dcterms:modified xsi:type="dcterms:W3CDTF">2025-10-29T07:41:29Z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373C503C15F7458488ED564B6770FF7E_11</vt:lpwstr>
  </property>
  <property fmtid="{D5CDD505-2E9C-101B-9397-08002B2CF9AE}" pid="4" name="KSOTemplateDocerSaveRecord">
    <vt:lpwstr>eyJoZGlkIjoiOWZjYzUzOTI2YjIyZGVjZTczNTE3ODZhMWYyYzk2MzcifQ==</vt:lpwstr>
  </property>
</Properties>
</file>