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440101-2024-23894</w:t>
      </w:r>
    </w:p>
    <w:p>
      <w:pPr>
        <w:pStyle w:val="null3"/>
        <w:jc w:val="center"/>
        <w:outlineLvl w:val="3"/>
      </w:pPr>
      <w:r>
        <w:rPr>
          <w:sz w:val="24"/>
          <w:b/>
        </w:rPr>
        <w:t>采购项目编号：</w:t>
      </w:r>
      <w:r>
        <w:rPr>
          <w:sz w:val="24"/>
          <w:b/>
        </w:rPr>
        <w:t>HYGZ24SH01C0572</w:t>
      </w:r>
    </w:p>
    <w:p>
      <w:pPr>
        <w:pStyle w:val="null3"/>
        <w:jc w:val="center"/>
        <w:outlineLvl w:val="3"/>
      </w:pPr>
      <w:r>
        <w:rPr>
          <w:sz w:val="24"/>
          <w:b/>
        </w:rPr>
        <w:t>项目名称：</w:t>
      </w:r>
      <w:r>
        <w:rPr>
          <w:sz w:val="24"/>
          <w:b/>
        </w:rPr>
        <w:t>广州市生态环境局南沙环境监测站无人水质实验室构建</w:t>
      </w:r>
    </w:p>
    <w:p>
      <w:pPr>
        <w:pStyle w:val="null3"/>
        <w:jc w:val="center"/>
        <w:outlineLvl w:val="3"/>
      </w:pPr>
      <w:r>
        <w:rPr>
          <w:sz w:val="24"/>
          <w:b/>
        </w:rPr>
        <w:t>采购人：</w:t>
      </w:r>
      <w:r>
        <w:rPr>
          <w:sz w:val="24"/>
          <w:b/>
        </w:rPr>
        <w:t>广州市生态环境局南沙环境监测站</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广州市生态环境局南沙环境监测站</w:t>
      </w:r>
      <w:r>
        <w:rPr/>
        <w:t>的委托，采用</w:t>
      </w:r>
      <w:r>
        <w:rPr/>
        <w:t>公开招标</w:t>
      </w:r>
      <w:r>
        <w:rPr/>
        <w:t>方式组织采购</w:t>
      </w:r>
      <w:r>
        <w:rPr/>
        <w:t>广州市生态环境局南沙环境监测站无人水质实验室构建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广州市生态环境局南沙环境监测站无人水质实验室构建</w:t>
      </w:r>
    </w:p>
    <w:p>
      <w:pPr>
        <w:pStyle w:val="null3"/>
        <w:ind w:firstLine="480"/>
      </w:pPr>
      <w:r>
        <w:rPr/>
        <w:t>采购计划编号：</w:t>
      </w:r>
      <w:r>
        <w:rPr/>
        <w:t>440101-2024-23894</w:t>
      </w:r>
    </w:p>
    <w:p>
      <w:pPr>
        <w:pStyle w:val="null3"/>
        <w:ind w:firstLine="480"/>
      </w:pPr>
      <w:r>
        <w:rPr/>
        <w:t>采购项目编号：</w:t>
      </w:r>
      <w:r>
        <w:rPr/>
        <w:t>HYGZ24SH01C0572</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采购包1(无人水质实验室建设):</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环保监测设备</w:t>
            </w:r>
          </w:p>
        </w:tc>
        <w:tc>
          <w:tcPr>
            <w:tcW w:type="dxa" w:w="2136"/>
          </w:tcPr>
          <w:p>
            <w:pPr>
              <w:pStyle w:val="null3"/>
            </w:pPr>
            <w:r>
              <w:rPr/>
              <w:t>无人水质实验室设备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60日（日历日）内完成交货；开箱验收通过之日起180日（日历日）内完成安装、调试、试运行和验收资料的准备。由采购人组织开展设备验收。（2025年12月15日前完成设备安装调试及验收），自设备验收之日起提供1年的运行维护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采购包1（无人水质实验室建设）：</w:t>
      </w:r>
      <w:r>
        <w:rPr/>
        <w:t>本项目不属于专门面向中小企业采购。</w:t>
      </w:r>
    </w:p>
    <w:p>
      <w:pPr>
        <w:pStyle w:val="null3"/>
        <w:outlineLvl w:val="3"/>
      </w:pPr>
      <w:r>
        <w:rPr>
          <w:sz w:val="24"/>
          <w:b/>
        </w:rPr>
        <w:t>3.本项目特定的资格要求：</w:t>
      </w:r>
    </w:p>
    <w:p>
      <w:pPr>
        <w:pStyle w:val="null3"/>
      </w:pPr>
      <w:r>
        <w:rPr/>
        <w:t>采购包1（无人水质实验室建设）：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广州市生态环境局南沙环境监测站</w:t>
      </w:r>
    </w:p>
    <w:p>
      <w:pPr>
        <w:pStyle w:val="null3"/>
        <w:ind w:firstLine="480"/>
      </w:pPr>
      <w:r>
        <w:rPr/>
        <w:t xml:space="preserve"> 地址：</w:t>
      </w:r>
      <w:r>
        <w:rPr/>
        <w:t>广州市南沙区横沥镇大元村发源路2号之十（环境监测站）</w:t>
      </w:r>
    </w:p>
    <w:p>
      <w:pPr>
        <w:pStyle w:val="null3"/>
        <w:ind w:firstLine="480"/>
      </w:pPr>
      <w:r>
        <w:rPr/>
        <w:t xml:space="preserve"> 联系方式：</w:t>
      </w:r>
      <w:r>
        <w:rPr/>
        <w:t>020-39910362</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广州市生态环境局南沙环境监测站新实验场所运转后将承接大量的样品，品类繁多且时效性紧急，而样品分析流程主要依赖手工操作，面临着人工投入大、实验人员短缺、数据质量不可控、量值溯源困难等一系列问题。为积极践行生态环境监测智能化建设、生态环境监测现代化建设的方针政策，提升广州市生态环境局南沙环境监测站自动化、智能化的水质检测能力，本项目在广州市生态环境局南沙环境监测站建设1套无人水质实验室，预算经费为300万元。</w:t>
      </w:r>
      <w:r>
        <w:br/>
      </w:r>
      <w:r>
        <w:rPr/>
        <w:t xml:space="preserve"> 二、建设内容</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jc w:val="center"/>
            </w:pPr>
            <w:r>
              <w:rPr/>
              <w:t>项目名称</w:t>
            </w:r>
          </w:p>
        </w:tc>
        <w:tc>
          <w:tcPr>
            <w:tcW w:type="dxa" w:w="2076"/>
          </w:tcPr>
          <w:p>
            <w:pPr>
              <w:pStyle w:val="null3"/>
              <w:jc w:val="center"/>
            </w:pPr>
            <w:r>
              <w:rPr/>
              <w:t>数量</w:t>
            </w:r>
          </w:p>
        </w:tc>
        <w:tc>
          <w:tcPr>
            <w:tcW w:type="dxa" w:w="2076"/>
          </w:tcPr>
          <w:p>
            <w:pPr>
              <w:pStyle w:val="null3"/>
              <w:jc w:val="center"/>
            </w:pPr>
            <w:r>
              <w:rPr/>
              <w:t>金额</w:t>
            </w:r>
          </w:p>
        </w:tc>
        <w:tc>
          <w:tcPr>
            <w:tcW w:type="dxa" w:w="2076"/>
          </w:tcPr>
          <w:p>
            <w:pPr>
              <w:pStyle w:val="null3"/>
              <w:jc w:val="center"/>
            </w:pPr>
            <w:r>
              <w:rPr/>
              <w:t>服务期限</w:t>
            </w:r>
          </w:p>
        </w:tc>
      </w:tr>
      <w:tr>
        <w:tc>
          <w:tcPr>
            <w:tcW w:type="dxa" w:w="2076"/>
          </w:tcPr>
          <w:p>
            <w:pPr>
              <w:pStyle w:val="null3"/>
              <w:jc w:val="center"/>
            </w:pPr>
            <w:r>
              <w:rPr/>
              <w:t>广州市生态环境局南沙环境监测站无人水质实验室构建</w:t>
            </w:r>
          </w:p>
        </w:tc>
        <w:tc>
          <w:tcPr>
            <w:tcW w:type="dxa" w:w="2076"/>
          </w:tcPr>
          <w:p>
            <w:pPr>
              <w:pStyle w:val="null3"/>
              <w:jc w:val="center"/>
            </w:pPr>
            <w:r>
              <w:rPr/>
              <w:t>1套</w:t>
            </w:r>
          </w:p>
        </w:tc>
        <w:tc>
          <w:tcPr>
            <w:tcW w:type="dxa" w:w="2076"/>
          </w:tcPr>
          <w:p>
            <w:pPr>
              <w:pStyle w:val="null3"/>
              <w:jc w:val="center"/>
            </w:pPr>
            <w:r>
              <w:rPr/>
              <w:t>300万元</w:t>
            </w:r>
          </w:p>
        </w:tc>
        <w:tc>
          <w:tcPr>
            <w:tcW w:type="dxa" w:w="2076"/>
          </w:tcPr>
          <w:p>
            <w:pPr>
              <w:pStyle w:val="null3"/>
              <w:jc w:val="center"/>
            </w:pPr>
            <w:r>
              <w:rPr/>
              <w:t>1、合同签订之日起60日（日历日）内完成交货；</w:t>
            </w:r>
          </w:p>
          <w:p>
            <w:pPr>
              <w:pStyle w:val="null3"/>
              <w:jc w:val="center"/>
            </w:pPr>
            <w:r>
              <w:rPr/>
              <w:t>2、开箱验收通过之日起180日（日历日）内完成安装、调试、试运行和验收资料的准备。由采购人组织开展设备验收。（2025年12月15日前完成设备安装调试及验收）。</w:t>
            </w:r>
          </w:p>
          <w:p>
            <w:pPr>
              <w:pStyle w:val="null3"/>
              <w:jc w:val="center"/>
            </w:pPr>
            <w:r>
              <w:rPr/>
              <w:t>3、自设备验收之日起提供1年的运行维护服务。</w:t>
            </w:r>
          </w:p>
        </w:tc>
      </w:tr>
    </w:tbl>
    <w:p>
      <w:pPr>
        <w:pStyle w:val="null3"/>
      </w:pPr>
      <w:r>
        <w:rPr/>
        <w:t>三、技术要求</w:t>
      </w:r>
      <w:r>
        <w:br/>
      </w:r>
      <w:r>
        <w:rPr/>
        <w:t xml:space="preserve"> （一）产品配置</w:t>
      </w:r>
      <w:r>
        <w:br/>
      </w:r>
      <w:r>
        <w:rPr/>
        <w:t xml:space="preserve"> 无人水质实验室包含收样工作站、样品自动存储库及分液工作站、样品传输及循环工作站、全自动加液工作站、样品自动前处理工作站（消解）、静置工作站、全自动紫外检测分光工作站和化学需氧量（CODcr）检测工作站。</w:t>
      </w:r>
      <w:r>
        <w:br/>
      </w:r>
      <w:r>
        <w:rPr/>
        <w:t xml:space="preserve"> （二）总体要求</w:t>
      </w:r>
      <w:r>
        <w:br/>
      </w:r>
      <w:r>
        <w:rPr/>
        <w:t xml:space="preserve"> 建成1套无人水质实验室，实现样品全自动分样、前处理、流转及自动检测，可实现总磷、总氮、磷酸盐、亚硝酸盐氮、六价铬、化学需氧量（CODcr）6个指标的自动检测。此套无人水质实验室需具备以下功能要求：</w:t>
      </w:r>
      <w:r>
        <w:br/>
      </w:r>
      <w:r>
        <w:rPr/>
        <w:t xml:space="preserve"> ▲1、实现地表水样品测试无人化操作。自动完成样品分类、样品储存、可实现试剂加液、样品消解、样品转移、显色、检测、清洗等流程自动化，实现自动测试分析。</w:t>
      </w:r>
      <w:r>
        <w:br/>
      </w:r>
      <w:r>
        <w:rPr/>
        <w:t xml:space="preserve"> 2、采用柔性构架多参数合并，便于测试方法调整、自定义测试流程、扩展性好。</w:t>
      </w:r>
      <w:r>
        <w:br/>
      </w:r>
      <w:r>
        <w:rPr/>
        <w:t xml:space="preserve"> 3、独立机器人样品存储柜，便于增加库容与搬迁。</w:t>
      </w:r>
      <w:r>
        <w:br/>
      </w:r>
      <w:r>
        <w:rPr/>
        <w:t xml:space="preserve"> 4、严格按照各参数相关标准方法要求（见表1），对水质无人实验室进行整体设计，保证测试结果符合标准要求。</w:t>
      </w:r>
      <w:r>
        <w:br/>
      </w:r>
      <w:r>
        <w:rPr/>
        <w:t xml:space="preserve"> 5、配套控制模块，实现对设备的全方位运行管理、流程管理、数据管理。</w:t>
      </w:r>
      <w:r>
        <w:br/>
      </w:r>
      <w:r>
        <w:rPr/>
        <w:t xml:space="preserve"> 6、无人水质实验室的数据符合LIMS数据编码要求，可接入LIMS系统，数据自动上传。</w:t>
      </w:r>
      <w:r>
        <w:br/>
      </w:r>
      <w:r>
        <w:rPr/>
        <w:t xml:space="preserve"> （三）无人水质实验室技术参数要求</w:t>
      </w:r>
      <w:r>
        <w:br/>
      </w:r>
      <w:r>
        <w:rPr/>
        <w:t xml:space="preserve"> 功能要求：实现样品自动分样、前处理、流转及自动检测，可实现总磷，总氮，磷酸盐，亚硝酸盐氮，六价铬、化学需氧量（CODcr）6个指标的自动检测，并监控检测流程，对检测过程及结果数据进行记录。各个参数的前处理及检测过程应符合标准方法，且检测精度达到标准方法要求（见表1）。</w:t>
      </w:r>
    </w:p>
    <w:p>
      <w:pPr>
        <w:pStyle w:val="null3"/>
        <w:jc w:val="center"/>
      </w:pPr>
      <w:r>
        <w:rPr/>
        <w:t>表1水质检测标准要求一览表</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jc w:val="center"/>
            </w:pPr>
            <w:r>
              <w:rPr/>
              <w:t>序号</w:t>
            </w:r>
          </w:p>
        </w:tc>
        <w:tc>
          <w:tcPr>
            <w:tcW w:type="dxa" w:w="1384"/>
          </w:tcPr>
          <w:p>
            <w:pPr>
              <w:pStyle w:val="null3"/>
              <w:jc w:val="center"/>
            </w:pPr>
            <w:r>
              <w:rPr/>
              <w:t>指标</w:t>
            </w:r>
          </w:p>
        </w:tc>
        <w:tc>
          <w:tcPr>
            <w:tcW w:type="dxa" w:w="1384"/>
          </w:tcPr>
          <w:p>
            <w:pPr>
              <w:pStyle w:val="null3"/>
              <w:jc w:val="center"/>
            </w:pPr>
            <w:r>
              <w:rPr/>
              <w:t>介质</w:t>
            </w:r>
          </w:p>
        </w:tc>
        <w:tc>
          <w:tcPr>
            <w:tcW w:type="dxa" w:w="1384"/>
          </w:tcPr>
          <w:p>
            <w:pPr>
              <w:pStyle w:val="null3"/>
              <w:jc w:val="center"/>
            </w:pPr>
            <w:r>
              <w:rPr/>
              <w:t>参考标准</w:t>
            </w:r>
          </w:p>
        </w:tc>
        <w:tc>
          <w:tcPr>
            <w:tcW w:type="dxa" w:w="1384"/>
          </w:tcPr>
          <w:p>
            <w:pPr>
              <w:pStyle w:val="null3"/>
              <w:jc w:val="center"/>
            </w:pPr>
            <w:r>
              <w:rPr/>
              <w:t>测定重复性</w:t>
            </w:r>
          </w:p>
        </w:tc>
        <w:tc>
          <w:tcPr>
            <w:tcW w:type="dxa" w:w="1384"/>
          </w:tcPr>
          <w:p>
            <w:pPr>
              <w:pStyle w:val="null3"/>
              <w:jc w:val="center"/>
            </w:pPr>
            <w:r>
              <w:rPr/>
              <w:t>测定范围mg/L</w:t>
            </w:r>
          </w:p>
        </w:tc>
      </w:tr>
      <w:tr>
        <w:tc>
          <w:tcPr>
            <w:tcW w:type="dxa" w:w="1384"/>
          </w:tcPr>
          <w:p>
            <w:pPr>
              <w:pStyle w:val="null3"/>
              <w:jc w:val="center"/>
            </w:pPr>
            <w:r>
              <w:rPr/>
              <w:t>1</w:t>
            </w:r>
          </w:p>
        </w:tc>
        <w:tc>
          <w:tcPr>
            <w:tcW w:type="dxa" w:w="1384"/>
          </w:tcPr>
          <w:p>
            <w:pPr>
              <w:pStyle w:val="null3"/>
              <w:jc w:val="center"/>
            </w:pPr>
            <w:r>
              <w:rPr/>
              <w:t>总磷</w:t>
            </w:r>
          </w:p>
        </w:tc>
        <w:tc>
          <w:tcPr>
            <w:tcW w:type="dxa" w:w="1384"/>
          </w:tcPr>
          <w:p>
            <w:pPr>
              <w:pStyle w:val="null3"/>
              <w:jc w:val="center"/>
            </w:pPr>
            <w:r>
              <w:rPr/>
              <w:t>水质</w:t>
            </w:r>
          </w:p>
        </w:tc>
        <w:tc>
          <w:tcPr>
            <w:tcW w:type="dxa" w:w="1384"/>
          </w:tcPr>
          <w:p>
            <w:pPr>
              <w:pStyle w:val="null3"/>
              <w:jc w:val="center"/>
            </w:pPr>
            <w:r>
              <w:rPr/>
              <w:t>《水质总磷的测定钼酸铵分光光度法》（GB11893-1989）</w:t>
            </w:r>
          </w:p>
        </w:tc>
        <w:tc>
          <w:tcPr>
            <w:tcW w:type="dxa" w:w="1384"/>
          </w:tcPr>
          <w:p>
            <w:pPr>
              <w:pStyle w:val="null3"/>
              <w:jc w:val="center"/>
            </w:pPr>
            <w:r>
              <w:rPr/>
              <w:t>2%</w:t>
            </w:r>
          </w:p>
        </w:tc>
        <w:tc>
          <w:tcPr>
            <w:tcW w:type="dxa" w:w="1384"/>
          </w:tcPr>
          <w:p>
            <w:pPr>
              <w:pStyle w:val="null3"/>
              <w:jc w:val="center"/>
            </w:pPr>
            <w:r>
              <w:rPr/>
              <w:t>0.04~1.20</w:t>
            </w:r>
          </w:p>
        </w:tc>
      </w:tr>
      <w:tr>
        <w:tc>
          <w:tcPr>
            <w:tcW w:type="dxa" w:w="1384"/>
          </w:tcPr>
          <w:p>
            <w:pPr>
              <w:pStyle w:val="null3"/>
              <w:jc w:val="center"/>
            </w:pPr>
            <w:r>
              <w:rPr/>
              <w:t>2</w:t>
            </w:r>
          </w:p>
        </w:tc>
        <w:tc>
          <w:tcPr>
            <w:tcW w:type="dxa" w:w="1384"/>
          </w:tcPr>
          <w:p>
            <w:pPr>
              <w:pStyle w:val="null3"/>
              <w:jc w:val="center"/>
            </w:pPr>
            <w:r>
              <w:rPr/>
              <w:t>总氮</w:t>
            </w:r>
          </w:p>
        </w:tc>
        <w:tc>
          <w:tcPr>
            <w:tcW w:type="dxa" w:w="1384"/>
          </w:tcPr>
          <w:p>
            <w:pPr>
              <w:pStyle w:val="null3"/>
              <w:jc w:val="center"/>
            </w:pPr>
            <w:r>
              <w:rPr/>
              <w:t>水质</w:t>
            </w:r>
          </w:p>
        </w:tc>
        <w:tc>
          <w:tcPr>
            <w:tcW w:type="dxa" w:w="1384"/>
          </w:tcPr>
          <w:p>
            <w:pPr>
              <w:pStyle w:val="null3"/>
              <w:jc w:val="center"/>
            </w:pPr>
            <w:r>
              <w:rPr/>
              <w:t>《水质总氮的测定碱性过硫酸钾消解紫外分光光度法》（HJ636-2012）</w:t>
            </w:r>
          </w:p>
        </w:tc>
        <w:tc>
          <w:tcPr>
            <w:tcW w:type="dxa" w:w="1384"/>
          </w:tcPr>
          <w:p>
            <w:pPr>
              <w:pStyle w:val="null3"/>
              <w:jc w:val="center"/>
            </w:pPr>
            <w:r>
              <w:rPr/>
              <w:t>5%</w:t>
            </w:r>
          </w:p>
        </w:tc>
        <w:tc>
          <w:tcPr>
            <w:tcW w:type="dxa" w:w="1384"/>
          </w:tcPr>
          <w:p>
            <w:pPr>
              <w:pStyle w:val="null3"/>
              <w:jc w:val="center"/>
            </w:pPr>
            <w:r>
              <w:rPr/>
              <w:t>0.20~7.00</w:t>
            </w:r>
          </w:p>
        </w:tc>
      </w:tr>
      <w:tr>
        <w:tc>
          <w:tcPr>
            <w:tcW w:type="dxa" w:w="1384"/>
          </w:tcPr>
          <w:p>
            <w:pPr>
              <w:pStyle w:val="null3"/>
              <w:jc w:val="center"/>
            </w:pPr>
            <w:r>
              <w:rPr/>
              <w:t>3</w:t>
            </w:r>
          </w:p>
        </w:tc>
        <w:tc>
          <w:tcPr>
            <w:tcW w:type="dxa" w:w="1384"/>
          </w:tcPr>
          <w:p>
            <w:pPr>
              <w:pStyle w:val="null3"/>
              <w:jc w:val="center"/>
            </w:pPr>
            <w:r>
              <w:rPr/>
              <w:t>磷酸盐</w:t>
            </w:r>
          </w:p>
        </w:tc>
        <w:tc>
          <w:tcPr>
            <w:tcW w:type="dxa" w:w="1384"/>
          </w:tcPr>
          <w:p>
            <w:pPr>
              <w:pStyle w:val="null3"/>
              <w:jc w:val="center"/>
            </w:pPr>
            <w:r>
              <w:rPr/>
              <w:t>水质</w:t>
            </w:r>
          </w:p>
        </w:tc>
        <w:tc>
          <w:tcPr>
            <w:tcW w:type="dxa" w:w="1384"/>
          </w:tcPr>
          <w:p>
            <w:pPr>
              <w:pStyle w:val="null3"/>
              <w:jc w:val="center"/>
            </w:pPr>
            <w:r>
              <w:rPr/>
              <w:t>《生活饮用水标准检验方法》（GB/T5750.5-2023）</w:t>
            </w:r>
          </w:p>
        </w:tc>
        <w:tc>
          <w:tcPr>
            <w:tcW w:type="dxa" w:w="1384"/>
          </w:tcPr>
          <w:p>
            <w:pPr>
              <w:pStyle w:val="null3"/>
              <w:jc w:val="center"/>
            </w:pPr>
            <w:r>
              <w:rPr/>
              <w:t>2%</w:t>
            </w:r>
          </w:p>
        </w:tc>
        <w:tc>
          <w:tcPr>
            <w:tcW w:type="dxa" w:w="1384"/>
          </w:tcPr>
          <w:p>
            <w:pPr>
              <w:pStyle w:val="null3"/>
              <w:jc w:val="center"/>
            </w:pPr>
            <w:r>
              <w:rPr/>
              <w:t>0.10~2.0</w:t>
            </w:r>
          </w:p>
        </w:tc>
      </w:tr>
      <w:tr>
        <w:tc>
          <w:tcPr>
            <w:tcW w:type="dxa" w:w="1384"/>
          </w:tcPr>
          <w:p>
            <w:pPr>
              <w:pStyle w:val="null3"/>
              <w:jc w:val="center"/>
            </w:pPr>
            <w:r>
              <w:rPr/>
              <w:t>4</w:t>
            </w:r>
          </w:p>
        </w:tc>
        <w:tc>
          <w:tcPr>
            <w:tcW w:type="dxa" w:w="1384"/>
          </w:tcPr>
          <w:p>
            <w:pPr>
              <w:pStyle w:val="null3"/>
              <w:jc w:val="center"/>
            </w:pPr>
            <w:r>
              <w:rPr/>
              <w:t>亚硝酸</w:t>
            </w:r>
          </w:p>
          <w:p>
            <w:pPr>
              <w:pStyle w:val="null3"/>
              <w:jc w:val="center"/>
            </w:pPr>
            <w:r>
              <w:rPr/>
              <w:t>盐氮</w:t>
            </w:r>
          </w:p>
        </w:tc>
        <w:tc>
          <w:tcPr>
            <w:tcW w:type="dxa" w:w="1384"/>
          </w:tcPr>
          <w:p>
            <w:pPr>
              <w:pStyle w:val="null3"/>
              <w:jc w:val="center"/>
            </w:pPr>
            <w:r>
              <w:rPr/>
              <w:t>水质</w:t>
            </w:r>
          </w:p>
        </w:tc>
        <w:tc>
          <w:tcPr>
            <w:tcW w:type="dxa" w:w="1384"/>
          </w:tcPr>
          <w:p>
            <w:pPr>
              <w:pStyle w:val="null3"/>
              <w:jc w:val="center"/>
            </w:pPr>
            <w:r>
              <w:rPr/>
              <w:t>《水质亚硝酸盐氮的测定分光光度法》（GB/T7493-1987）</w:t>
            </w:r>
          </w:p>
        </w:tc>
        <w:tc>
          <w:tcPr>
            <w:tcW w:type="dxa" w:w="1384"/>
          </w:tcPr>
          <w:p>
            <w:pPr>
              <w:pStyle w:val="null3"/>
              <w:jc w:val="center"/>
            </w:pPr>
            <w:r>
              <w:rPr/>
              <w:t>5%</w:t>
            </w:r>
          </w:p>
        </w:tc>
        <w:tc>
          <w:tcPr>
            <w:tcW w:type="dxa" w:w="1384"/>
          </w:tcPr>
          <w:p>
            <w:pPr>
              <w:pStyle w:val="null3"/>
              <w:jc w:val="center"/>
            </w:pPr>
            <w:r>
              <w:rPr/>
              <w:t>0.020~0.200</w:t>
            </w:r>
          </w:p>
        </w:tc>
      </w:tr>
      <w:tr>
        <w:tc>
          <w:tcPr>
            <w:tcW w:type="dxa" w:w="1384"/>
          </w:tcPr>
          <w:p>
            <w:pPr>
              <w:pStyle w:val="null3"/>
              <w:jc w:val="center"/>
            </w:pPr>
            <w:r>
              <w:rPr/>
              <w:t>5</w:t>
            </w:r>
          </w:p>
        </w:tc>
        <w:tc>
          <w:tcPr>
            <w:tcW w:type="dxa" w:w="1384"/>
          </w:tcPr>
          <w:p>
            <w:pPr>
              <w:pStyle w:val="null3"/>
              <w:jc w:val="center"/>
            </w:pPr>
            <w:r>
              <w:rPr/>
              <w:t>六价铬</w:t>
            </w:r>
          </w:p>
        </w:tc>
        <w:tc>
          <w:tcPr>
            <w:tcW w:type="dxa" w:w="1384"/>
          </w:tcPr>
          <w:p>
            <w:pPr>
              <w:pStyle w:val="null3"/>
              <w:jc w:val="center"/>
            </w:pPr>
            <w:r>
              <w:rPr/>
              <w:t>水质</w:t>
            </w:r>
          </w:p>
        </w:tc>
        <w:tc>
          <w:tcPr>
            <w:tcW w:type="dxa" w:w="1384"/>
          </w:tcPr>
          <w:p>
            <w:pPr>
              <w:pStyle w:val="null3"/>
              <w:jc w:val="center"/>
            </w:pPr>
            <w:r>
              <w:rPr/>
              <w:t>《水质六价铬的测定二苯碳酰二肼分光光度法》（GB7467-1987）</w:t>
            </w:r>
          </w:p>
        </w:tc>
        <w:tc>
          <w:tcPr>
            <w:tcW w:type="dxa" w:w="1384"/>
          </w:tcPr>
          <w:p>
            <w:pPr>
              <w:pStyle w:val="null3"/>
              <w:jc w:val="center"/>
            </w:pPr>
            <w:r>
              <w:rPr/>
              <w:t>2%</w:t>
            </w:r>
          </w:p>
        </w:tc>
        <w:tc>
          <w:tcPr>
            <w:tcW w:type="dxa" w:w="1384"/>
          </w:tcPr>
          <w:p>
            <w:pPr>
              <w:pStyle w:val="null3"/>
              <w:jc w:val="center"/>
            </w:pPr>
            <w:r>
              <w:rPr/>
              <w:t>0.004~0.200</w:t>
            </w:r>
          </w:p>
        </w:tc>
      </w:tr>
      <w:tr>
        <w:tc>
          <w:tcPr>
            <w:tcW w:type="dxa" w:w="1384"/>
          </w:tcPr>
          <w:p>
            <w:pPr>
              <w:pStyle w:val="null3"/>
              <w:jc w:val="center"/>
            </w:pPr>
            <w:r>
              <w:rPr/>
              <w:t>6</w:t>
            </w:r>
          </w:p>
        </w:tc>
        <w:tc>
          <w:tcPr>
            <w:tcW w:type="dxa" w:w="1384"/>
          </w:tcPr>
          <w:p>
            <w:pPr>
              <w:pStyle w:val="null3"/>
              <w:jc w:val="center"/>
            </w:pPr>
            <w:r>
              <w:rPr/>
              <w:t>化学需</w:t>
            </w:r>
          </w:p>
          <w:p>
            <w:pPr>
              <w:pStyle w:val="null3"/>
              <w:jc w:val="center"/>
            </w:pPr>
            <w:r>
              <w:rPr/>
              <w:t>氧量（CODcr）</w:t>
            </w:r>
          </w:p>
        </w:tc>
        <w:tc>
          <w:tcPr>
            <w:tcW w:type="dxa" w:w="1384"/>
          </w:tcPr>
          <w:p>
            <w:pPr>
              <w:pStyle w:val="null3"/>
              <w:jc w:val="center"/>
            </w:pPr>
            <w:r>
              <w:rPr/>
              <w:t>水质</w:t>
            </w:r>
          </w:p>
        </w:tc>
        <w:tc>
          <w:tcPr>
            <w:tcW w:type="dxa" w:w="1384"/>
          </w:tcPr>
          <w:p>
            <w:pPr>
              <w:pStyle w:val="null3"/>
              <w:jc w:val="center"/>
            </w:pPr>
            <w:r>
              <w:rPr/>
              <w:t>《HJ828-2017水质化学需氧量的测定重铬酸盐法》</w:t>
            </w:r>
          </w:p>
        </w:tc>
        <w:tc>
          <w:tcPr>
            <w:tcW w:type="dxa" w:w="1384"/>
          </w:tcPr>
          <w:p>
            <w:pPr>
              <w:pStyle w:val="null3"/>
              <w:jc w:val="center"/>
            </w:pPr>
            <w:r>
              <w:rPr/>
              <w:t>2%</w:t>
            </w:r>
          </w:p>
        </w:tc>
        <w:tc>
          <w:tcPr>
            <w:tcW w:type="dxa" w:w="1384"/>
          </w:tcPr>
          <w:p>
            <w:pPr>
              <w:pStyle w:val="null3"/>
              <w:jc w:val="center"/>
            </w:pPr>
            <w:r>
              <w:rPr/>
              <w:t>16-700</w:t>
            </w:r>
          </w:p>
        </w:tc>
      </w:tr>
    </w:tbl>
    <w:p>
      <w:pPr>
        <w:pStyle w:val="null3"/>
      </w:pPr>
      <w:r>
        <w:rPr/>
        <w:t>（如国家标准修订或变更，按最新标准执行）</w:t>
      </w:r>
    </w:p>
    <w:p>
      <w:pPr>
        <w:pStyle w:val="null3"/>
      </w:pPr>
      <w:r>
        <w:rPr/>
        <w:t>3.1收样工作站</w:t>
      </w:r>
      <w:r>
        <w:br/>
      </w:r>
      <w:r>
        <w:rPr/>
        <w:t xml:space="preserve"> 总体要求：配备录样装置、样品缓存台实现地表水样品的自动收样，录入样品信息。</w:t>
      </w:r>
      <w:r>
        <w:br/>
      </w:r>
      <w:r>
        <w:rPr/>
        <w:t xml:space="preserve"> 3.1.1系统应支持手工直接在系统内录入水样信息，录入的样品信息包括但不限于样品编号、检测指标、采样时间等信息，通过系统记录样品所在位置的方式，监控样品。</w:t>
      </w:r>
      <w:r>
        <w:br/>
      </w:r>
      <w:r>
        <w:rPr/>
        <w:t xml:space="preserve"> 3.1.2可实现手动调节检测任务，包括但不限于每瓶样品需测试的指标、添加空白样、添加平行样等。</w:t>
      </w:r>
      <w:r>
        <w:br/>
      </w:r>
      <w:r>
        <w:rPr/>
        <w:t xml:space="preserve"> 3.1.3、设备分析检测过程中，各环节数据连续传输至中控系统，过程信息及结果信息统一在电脑终端呈现。</w:t>
      </w:r>
      <w:r>
        <w:br/>
      </w:r>
      <w:r>
        <w:rPr/>
        <w:t xml:space="preserve"> 3.1.4、设备运行过程中的出现的故障，能够及时预警并设置中止程序。各模块的运行状态都能够实时显示（空闲、忙碌、故障等）。对设备内的耗材统一进行存量管理，实时显示试剂、耗材的存量，低于20%进行提醒人工补充。</w:t>
      </w:r>
      <w:r>
        <w:br/>
      </w:r>
      <w:r>
        <w:rPr/>
        <w:t xml:space="preserve"> 3.1.5、中控系统通过用户名和密码登录，由权限内人员进行修改，具备权限管理和用户管理功能，包含新用户开通、注销、开通权限、暂停使用、密码修改等功能。</w:t>
      </w:r>
      <w:r>
        <w:br/>
      </w:r>
      <w:r>
        <w:rPr/>
        <w:t xml:space="preserve"> 3.1.6、中控系统具备数据自动备份功能，能够将检测得到的信息直接录入内置的标准表格内并输出EXCEL、TXT等格式的文件，可根据采购人需求定制数据报告模块。</w:t>
      </w:r>
      <w:r>
        <w:br/>
      </w:r>
      <w:r>
        <w:rPr/>
        <w:t xml:space="preserve"> 3.1.7、中控系统具备样品信息导入或录入编辑、任务生成、任务启动、任务进度展示、数据收集展示、数据报表生成、权限管理等功能。</w:t>
      </w:r>
      <w:r>
        <w:br/>
      </w:r>
      <w:r>
        <w:rPr/>
        <w:t xml:space="preserve"> 3.1.8、中控系统可实时了解并可反馈控制连接的仪器,系统可实时读取仪器故障或异常信息。</w:t>
      </w:r>
      <w:r>
        <w:br/>
      </w:r>
      <w:r>
        <w:rPr/>
        <w:t xml:space="preserve"> 3.2样品自动储存库及分液工作站</w:t>
      </w:r>
      <w:r>
        <w:br/>
      </w:r>
      <w:r>
        <w:rPr/>
        <w:t xml:space="preserve"> 功能要求：实现水质样品的自动存储、自动智能识别及自动分液及自动清洁功能。实现样品瓶的分拣、开盖、定量取样、拧盖功能，同时测定样品pH并上传数据。能够完成对样品的平行样、空白样、质控样品的制备。样品分液完成后由地轨机器人转运至加液模块。</w:t>
      </w:r>
      <w:r>
        <w:br/>
      </w:r>
      <w:r>
        <w:rPr/>
        <w:t xml:space="preserve"> 3.2.1、样品存储位≥85个；可实现取液完成后的样品，自动传输至样品库指定位置储存，样品储存库具备后续增加样品储存量及无人值守时间的功能设计。</w:t>
      </w:r>
      <w:r>
        <w:br/>
      </w:r>
      <w:r>
        <w:rPr/>
        <w:t xml:space="preserve"> 3.2.2、可满足500mL原样棕色玻璃瓶储存及取样。</w:t>
      </w:r>
      <w:r>
        <w:br/>
      </w:r>
      <w:r>
        <w:rPr/>
        <w:t xml:space="preserve"> 3.2.3、人工将整盘样品放至样品库的入库位后，样品可自动传输至样品库进行存储。检测任务设置后，样品库可自动调取样品，送至分液工作区；并实现原样瓶自动开关盖。</w:t>
      </w:r>
      <w:r>
        <w:br/>
      </w:r>
      <w:r>
        <w:rPr/>
        <w:t xml:space="preserve"> 3.2.4、可实现原样自动测定pH值，并将pH值测定结果传输至中央控制系统处理，为后续调整pH值提供信息支撑。具有饱和氯化钾保护液工位，传感器不使用时自动复位至保护液工位。</w:t>
      </w:r>
      <w:r>
        <w:br/>
      </w:r>
      <w:r>
        <w:rPr/>
        <w:t xml:space="preserve"> 3.2.5、可实现针对500ml容器的自动取液，模拟手工移液器开展移液，取液量0.1-300ml可调；加液臂可实现0.1-300ml加液，可适用25ml、50ml、100ml、250ml等多种口径容器加液。加液精度：误差≤1%。</w:t>
      </w:r>
      <w:r>
        <w:br/>
      </w:r>
      <w:r>
        <w:rPr/>
        <w:t xml:space="preserve"> 3.2.6、具备自动清洁功能，所有与样品接触部件，具备蒸馏水清洗功能，同时具备多重润洗功能，避免样品之间交叉污染。每次抽液前后都在蒸馏水池中进行清洗，管内润洗能够使用泵进行润洗。</w:t>
      </w:r>
      <w:r>
        <w:br/>
      </w:r>
      <w:r>
        <w:rPr/>
        <w:t xml:space="preserve"> 3.2.7、实验容器储存位≥200个，可根据任务分配、算法、运动控制实现实验容器自动选择，供给分液准备。实验完成后可完成脏污实验容器回收功能。</w:t>
      </w:r>
      <w:r>
        <w:br/>
      </w:r>
      <w:r>
        <w:rPr/>
        <w:t xml:space="preserve"> 3.3样品传输及循环工作站</w:t>
      </w:r>
      <w:r>
        <w:br/>
      </w:r>
      <w:r>
        <w:rPr/>
        <w:t xml:space="preserve"> 功能要求：根据实验任务自动实现指定位置实验容器批量转运，传送至指定位置。完成传递、堆叠、进样等基本动作。实现样品批量转运、循环、容器管理等辅助功能。</w:t>
      </w:r>
      <w:r>
        <w:br/>
      </w:r>
      <w:r>
        <w:rPr/>
        <w:t xml:space="preserve"> 3.3.1、配备机器人，完成模块之间样品转移、实现与各模块通讯控制，自动完成分析测试工作。</w:t>
      </w:r>
      <w:r>
        <w:br/>
      </w:r>
      <w:r>
        <w:rPr/>
        <w:t xml:space="preserve"> 3.3.1.1、机器人最大运行速度≥2000mm/s，定位精度≤±0.03mm，温度适用范围0-45℃。</w:t>
      </w:r>
      <w:r>
        <w:br/>
      </w:r>
      <w:r>
        <w:rPr/>
        <w:t xml:space="preserve"> 3.3.1.2、机器人可完成批量样品转移，并根据不同测试任务进行节拍选择计算样品转移任务，保证测试任务最优完成。</w:t>
      </w:r>
      <w:r>
        <w:br/>
      </w:r>
      <w:r>
        <w:rPr/>
        <w:t xml:space="preserve"> 3.3.1.3、机器人后台具备可编辑功能，未来扩展测试指标可增加扩展实验动作。</w:t>
      </w:r>
      <w:r>
        <w:br/>
      </w:r>
      <w:r>
        <w:rPr/>
        <w:t xml:space="preserve"> 3.3.2、可实现实验容器批量回收功能，将完成实验后实验容器转运回实验容器库。</w:t>
      </w:r>
      <w:r>
        <w:br/>
      </w:r>
      <w:r>
        <w:rPr/>
        <w:t xml:space="preserve"> 3.3.3、配备机器人地轨，轨道可将机器人送达实验模块所在坐标，轨道具备灵活性，未来支持模块化拓展加长。机械臂具备防碰撞功能，可根据待抓取物料的重量、尺寸、规格、材质调整机械手的臂展、负载以及抓手类型。</w:t>
      </w:r>
      <w:r>
        <w:br/>
      </w:r>
      <w:r>
        <w:rPr/>
        <w:t xml:space="preserve"> 3.4全自动加液工作站</w:t>
      </w:r>
      <w:r>
        <w:br/>
      </w:r>
      <w:r>
        <w:rPr/>
        <w:t xml:space="preserve"> 功能要求：实现多种试剂自动定量独立管道加液功能，加液精度不低于0.1ml，可同时处理不低于30种液体的加液需求。可批量自动完成pH值调整、全自动定容、添加试剂。可对中控设置的制定浓度样品进行全自动配备。</w:t>
      </w:r>
      <w:r>
        <w:br/>
      </w:r>
      <w:r>
        <w:rPr/>
        <w:t xml:space="preserve"> 3.4.1、加液精度：误差≤1%，重复性误差0.3%-0.5%，可适应5℃~55℃温度下工作，相对湿度：＜80%无冷凝状态。</w:t>
      </w:r>
      <w:r>
        <w:br/>
      </w:r>
      <w:r>
        <w:rPr/>
        <w:t xml:space="preserve"> 3.4.2、加液通道数≥30个，单次加液体积0.1ml-50ml，管路系统支持大体量蒸馏水、强酸、强碱、易结晶等不同浓度、化学性质试剂加取。</w:t>
      </w:r>
      <w:r>
        <w:br/>
      </w:r>
      <w:r>
        <w:rPr/>
        <w:t xml:space="preserve"> 3.4.3、配备试剂存储位，试剂存储位≥30个</w:t>
      </w:r>
      <w:r>
        <w:br/>
      </w:r>
      <w:r>
        <w:rPr/>
        <w:t xml:space="preserve"> 3.4.4、定容功能：通过识别样品液位，自动加注蒸馏水调整至指定容积。定容误差±2%。支持1-100ml试管定容。</w:t>
      </w:r>
      <w:r>
        <w:br/>
      </w:r>
      <w:r>
        <w:rPr/>
        <w:t xml:space="preserve"> 3.4.5、自动配液功能，根据中控设置的浓度自动配置标准样品，自动稀释至指定浓度，涵盖所有指标标准曲线各点浓度范围。</w:t>
      </w:r>
      <w:r>
        <w:br/>
      </w:r>
      <w:r>
        <w:rPr/>
        <w:t xml:space="preserve"> 3.4.6、调节pH功能：根据pH检测端发来的数据，对指定样品加注酸碱试剂精确调节样品pH，调节过程中可进行自动混匀，调节精度：±0.02pH。</w:t>
      </w:r>
      <w:r>
        <w:br/>
      </w:r>
      <w:r>
        <w:rPr/>
        <w:t xml:space="preserve"> 3.4.7、加液管路一键清洗功能：系统停机前，对所有使用过的管路进行一键蒸馏水清洗；开始检测前，对检测任务所需的试剂管路进行一键试剂润洗。</w:t>
      </w:r>
      <w:r>
        <w:br/>
      </w:r>
      <w:r>
        <w:rPr/>
        <w:t xml:space="preserve"> 3.4.8、可实现试剂预警及提醒更换试剂功能：具备可视化试剂余量监控展示功能。可针对试剂余量预警阈值、有效期自定义设置，每次开始实验前进行提醒，形成完整试剂管理闭环。</w:t>
      </w:r>
      <w:r>
        <w:br/>
      </w:r>
      <w:r>
        <w:rPr/>
        <w:t xml:space="preserve"> 3.5样品自动前处理工作站（消解）</w:t>
      </w:r>
      <w:r>
        <w:br/>
      </w:r>
      <w:r>
        <w:rPr/>
        <w:t xml:space="preserve"> 功能要求：实现批量样品自动蒸汽消解功能。自动将需消解样品批量放置进样位，实现自动批量消解，自动进样，自动开始消解，完成消解后自动停止、自动开盖、快速冷却及转移至完成工位，消解条件符合水质检测标准要求。</w:t>
      </w:r>
      <w:r>
        <w:br/>
      </w:r>
      <w:r>
        <w:rPr/>
        <w:t xml:space="preserve"> 3.5.1、配备全自动蒸汽消解系统，消解样品通道≥20个。</w:t>
      </w:r>
      <w:r>
        <w:br/>
      </w:r>
      <w:r>
        <w:rPr/>
        <w:t xml:space="preserve"> 3.5.2、消解方式：蒸汽消解；压力控制范围：3.1-3.4kg/cm2；温度控制范围：116℃-134℃可调，消解时间可设置。</w:t>
      </w:r>
      <w:r>
        <w:br/>
      </w:r>
      <w:r>
        <w:rPr/>
        <w:t xml:space="preserve"> 3.5.3、消解锅内置快速冷却功能，消解结束后，加速冷却至室温，减少等待时间。</w:t>
      </w:r>
      <w:r>
        <w:br/>
      </w:r>
      <w:r>
        <w:rPr/>
        <w:t xml:space="preserve"> 3.5.4、消解锅内置自动排气功能，消解结束时，自动排出高温高压气体至低温水内冷凝，防止蒸汽散发至设备内形成水汽。</w:t>
      </w:r>
      <w:r>
        <w:br/>
      </w:r>
      <w:r>
        <w:rPr/>
        <w:t xml:space="preserve"> 3.5.5、可实现消解锅自动开关盖，120℃恒温消解，消解时间可设，具有自动升温、恒温消解、恒温计时、冷却的功能。</w:t>
      </w:r>
      <w:r>
        <w:br/>
      </w:r>
      <w:r>
        <w:rPr/>
        <w:t xml:space="preserve"> 3.6静置工作站</w:t>
      </w:r>
      <w:r>
        <w:br/>
      </w:r>
      <w:r>
        <w:rPr/>
        <w:t xml:space="preserve"> 功能要求：实现批量样品添加试剂后的静置反应。可自动完成待反应样品的抓取、静置及完成反应后自动出库工作。</w:t>
      </w:r>
      <w:r>
        <w:br/>
      </w:r>
      <w:r>
        <w:rPr/>
        <w:t xml:space="preserve"> 3.6.1静置区数量≥9。</w:t>
      </w:r>
      <w:r>
        <w:br/>
      </w:r>
      <w:r>
        <w:rPr/>
        <w:t xml:space="preserve"> 3.6.2静置样品容量≥130个</w:t>
      </w:r>
      <w:r>
        <w:br/>
      </w:r>
      <w:r>
        <w:rPr/>
        <w:t xml:space="preserve"> 3.6.3静置区样品之间无交叉污染</w:t>
      </w:r>
      <w:r>
        <w:br/>
      </w:r>
      <w:r>
        <w:rPr/>
        <w:t xml:space="preserve"> 3.7全自动紫外检测分光工作站</w:t>
      </w:r>
      <w:r>
        <w:br/>
      </w:r>
      <w:r>
        <w:rPr/>
        <w:t xml:space="preserve"> 功能要求：实现全自动紫外波段和可见光波段紫外分光批量测试。每次测试结束可实现管路自动清洗，废液收集等功能。</w:t>
      </w:r>
      <w:r>
        <w:br/>
      </w:r>
      <w:r>
        <w:rPr/>
        <w:t xml:space="preserve"> 3.7.1、可实现样品的自动进样及自动检测功能。</w:t>
      </w:r>
      <w:r>
        <w:br/>
      </w:r>
      <w:r>
        <w:rPr/>
        <w:t xml:space="preserve"> 3.7.2、具备管理自动清洗，废液自动收集功能。</w:t>
      </w:r>
      <w:r>
        <w:br/>
      </w:r>
      <w:r>
        <w:rPr/>
        <w:t xml:space="preserve"> 3.7.3、检测指标包括但不限于总磷、总氮、六价铬、亚硝酸盐氮、磷酸盐。</w:t>
      </w:r>
      <w:r>
        <w:br/>
      </w:r>
      <w:r>
        <w:rPr/>
        <w:t xml:space="preserve"> 3.7.4、可根据待测指标自动切换流通池和光源，包括但不限于比色皿：10mm、30mm；光源波长：220nm、275nm、540nm、650nm、700nm。</w:t>
      </w:r>
      <w:r>
        <w:br/>
      </w:r>
      <w:r>
        <w:rPr/>
        <w:t xml:space="preserve"> 3.7.5、配置不少于5个进样管路，每种检测指标都对应一个独立的检测通道。</w:t>
      </w:r>
      <w:r>
        <w:br/>
      </w:r>
      <w:r>
        <w:rPr/>
        <w:t xml:space="preserve"> 3.8化学需氧量（CODcr）检测工作站</w:t>
      </w:r>
      <w:r>
        <w:br/>
      </w:r>
      <w:r>
        <w:rPr/>
        <w:t xml:space="preserve"> 3.8.1、应用范围：用于各类水质化学需氧量（CODcr）项目的批量样品自动消解分析</w:t>
      </w:r>
      <w:r>
        <w:br/>
      </w:r>
      <w:r>
        <w:rPr/>
        <w:t xml:space="preserve"> 3.8.2、标准要求：完全依循现行国家标准《HJ828-2017水质化学需氧量的测定重铬酸盐法》</w:t>
      </w:r>
      <w:r>
        <w:br/>
      </w:r>
      <w:r>
        <w:rPr/>
        <w:t xml:space="preserve"> 3.8.3、具备“一键检测”功能，无人工值守，在不同的实验阶段，自动完成试剂添加、加热消解、颜色滴定、自动分析CODcr值。</w:t>
      </w:r>
      <w:r>
        <w:br/>
      </w:r>
      <w:r>
        <w:rPr/>
        <w:t xml:space="preserve"> 3.8.4、滴定过程采用人眼视觉模拟判定，根据人眼光谱光视效率，高精度模拟还原人眼颜色识别，滴定过程实时记录显示传感器数据，非拍照及光度比色方式。</w:t>
      </w:r>
      <w:r>
        <w:br/>
      </w:r>
      <w:r>
        <w:rPr/>
        <w:t xml:space="preserve"> 3.8.5、要求仪器全自动完成水样分析，包括自动完成试剂添加、加热、冷却、滴定和数据保存。</w:t>
      </w:r>
      <w:r>
        <w:br/>
      </w:r>
      <w:r>
        <w:rPr/>
        <w:t xml:space="preserve"> 3.8.6、样品位数：≥20位</w:t>
      </w:r>
      <w:r>
        <w:br/>
      </w:r>
      <w:r>
        <w:rPr/>
        <w:t xml:space="preserve"> 3.8.7、消解位数：≥20位</w:t>
      </w:r>
      <w:r>
        <w:br/>
      </w:r>
      <w:r>
        <w:rPr/>
        <w:t xml:space="preserve"> 3.8.8、消解方式：加热回流</w:t>
      </w:r>
      <w:r>
        <w:br/>
      </w:r>
      <w:r>
        <w:rPr/>
        <w:t xml:space="preserve"> 3.8.9、检测范围：16-700mg/L</w:t>
      </w:r>
      <w:r>
        <w:br/>
      </w:r>
      <w:r>
        <w:rPr/>
        <w:t xml:space="preserve"> 3.8.10、测定重复性：RSD≤2.0%；</w:t>
      </w:r>
      <w:r>
        <w:br/>
      </w:r>
      <w:r>
        <w:rPr/>
        <w:t xml:space="preserve"> （四）运行维护要求（售后服务）</w:t>
      </w:r>
      <w:r>
        <w:br/>
      </w:r>
      <w:r>
        <w:rPr/>
        <w:t xml:space="preserve"> 运行维护期:从设备验收合格之日起计，中标供应商应免费提供本项目整体保修1年并对整套设备进行运行维护。运行维护期，所有设备系统维修和更换零配件保证仪器正常运行的等所有产生的费用均由中标供应商负责。运行维护期，如设备及相关设备系统或零部件因质量原因出现故障而造成停用时，则运行维护期顺延。设备运行期间，中标供应商应保障设备的正常使用，保障设备的正常运转及出数据。</w:t>
      </w:r>
      <w:r>
        <w:br/>
      </w:r>
      <w:r>
        <w:rPr/>
        <w:t xml:space="preserve"> 运行维护期内，如设备出现故障，中标供应商应在接到采购人通知后10分钟内做出响应，2小时内指派技术人员到达现场，提供上门服务，服务人员到达现场后，一般故障在24小时内修复，重大故障在72小时内修复。</w:t>
      </w:r>
      <w:r>
        <w:br/>
      </w:r>
      <w:r>
        <w:rPr/>
        <w:t xml:space="preserve"> 中标供应商需定期去设备现场进行巡检，对设备的现场环境、主要零部件的寿命和控制系统进行检查，巡检周期不少于每半个月一次；按照《环境监测质量管理技术导则》（HJ630-2011）和《环境监测分析方法标准制订技术导则》（HJ168-2020）要求，每季度进行一次质控校准；每年对设备中加液泵、消解锅及分光光度计等主要部件进行一次计量检定/校准。保障设备的稳定性和准确性。</w:t>
      </w:r>
      <w:r>
        <w:br/>
      </w:r>
      <w:r>
        <w:rPr/>
        <w:t xml:space="preserve"> （五）服务人员要求</w:t>
      </w:r>
      <w:r>
        <w:br/>
      </w:r>
      <w:r>
        <w:rPr/>
        <w:t xml:space="preserve"> 团队成员分工：该项目需具备项目负责人1名、技术负责人1名，现场服务人员不少于2名。人员具体工作如下：</w:t>
      </w:r>
      <w:r>
        <w:br/>
      </w:r>
      <w:r>
        <w:rPr/>
        <w:t xml:space="preserve"> 项目负责人是该项目上法定授权的第一负责人，全面负责广州市生态环境局南沙环境监测站无人水质实验室的建设工作，对整个项目的实施进度和实施质量进行管理，协调相关资源，保障项目进度和质量。</w:t>
      </w:r>
      <w:r>
        <w:br/>
      </w:r>
      <w:r>
        <w:rPr/>
        <w:t xml:space="preserve"> 技术负责人员需具备丰富的实验室水质样品检测经验，负责无人水质实验室设备的检测结果数据准确性检查，每季度检测指标的准确性验证，保障数据结果的准确性。</w:t>
      </w:r>
      <w:r>
        <w:br/>
      </w:r>
      <w:r>
        <w:rPr/>
        <w:t xml:space="preserve"> 现场服务人员负责设备现场的安装及调试工作，保障无人水质实验室的稳定运行，现场人员中必须要有设备硬件保障人员及软件保障人员。</w:t>
      </w:r>
      <w:r>
        <w:br/>
      </w:r>
      <w:r>
        <w:rPr/>
        <w:t xml:space="preserve"> 硬件保障人员负责设备安装前的场地环境整理、设备现场安装、现场维修、现场运行维护等工作。硬件保障人员需每半个月检查控制单元运行状态是否正常，每半个月对加液泵精度、机器人运行精度进行检查，检查上位机机操作系统及软件有无中毒现象，检查试剂管路有无漏液现象、检查试剂余量情况、检查设备控制模块运行状态。</w:t>
      </w:r>
      <w:r>
        <w:br/>
      </w:r>
      <w:r>
        <w:rPr/>
        <w:t xml:space="preserve"> 软件保障人员负责现场设备的运行调试、测试流程调整、与LIMS系统的对接工作。</w:t>
      </w:r>
      <w:r>
        <w:br/>
      </w:r>
      <w:r>
        <w:rPr/>
        <w:t xml:space="preserve"> 中标供应商需定期组织运维人员技术培训，宣贯、落实广州市生态环境局南沙环境监测站管理相关要求。中标供应商相关人员须参加采购人组织的技术培训以及检测质量的监督检查，接受采购人或其委托相关机构的监管和考核。</w:t>
      </w:r>
      <w:r>
        <w:br/>
      </w:r>
      <w:r>
        <w:rPr/>
        <w:t xml:space="preserve"> （六）培训要求</w:t>
      </w:r>
      <w:r>
        <w:br/>
      </w:r>
      <w:r>
        <w:rPr/>
        <w:t xml:space="preserve"> 中标供应商应按照采购人要求的时间、地点，提供不少于10次培训，培训人数及方式根据采购人要求，培训内容包括设备的使用及操作、日常维修、简单故障的识别及排除等，可包括现场培训、举办培训班等，直至采购人完全掌握设备的基本操作和维护管理。培训所需全部费用均由中标供应商支付。</w:t>
      </w:r>
      <w:r>
        <w:br/>
      </w:r>
      <w:r>
        <w:rPr/>
        <w:t xml:space="preserve"> （七）CMA实验室技术支持</w:t>
      </w:r>
      <w:r>
        <w:br/>
      </w:r>
      <w:r>
        <w:rPr/>
        <w:t xml:space="preserve"> 中标供应商应与具备本项目同一分析方法（见表1）CMA资质的检测检验机构（或自有的实验室）具有技术合作或支持关系，为本项目各参数进样分析全过程的准确性规范性提供技术指导和业务培训。</w:t>
      </w:r>
      <w:r>
        <w:br/>
      </w:r>
      <w:r>
        <w:rPr/>
        <w:t xml:space="preserve"> （八）应急要求</w:t>
      </w:r>
      <w:r>
        <w:br/>
      </w:r>
      <w:r>
        <w:rPr/>
        <w:t xml:space="preserve"> 为了应对项目实施过程中可能出现的突发情况，中标供应商需提供的针对各种可能发生的突发事件，做到事前预判，事后能保障快速、高效的应急方案。</w:t>
      </w:r>
      <w:r>
        <w:br/>
      </w:r>
      <w:r>
        <w:rPr/>
        <w:t xml:space="preserve"> （九）设备验收及履约验收</w:t>
      </w:r>
      <w:r>
        <w:br/>
      </w:r>
      <w:r>
        <w:rPr/>
        <w:t xml:space="preserve"> 1.中标供应商应将设备的用户手册、保修手册、有关单证资料及配备件、随机工具等交付给采购人，使用操作及安全须知等重要资料应附有中文说明。</w:t>
      </w:r>
      <w:r>
        <w:br/>
      </w:r>
      <w:r>
        <w:rPr/>
        <w:t xml:space="preserve"> 2.中标供应商应确保无人水质实验室包含收样、样品自动存储库及分液、样品传输及循环、全自动加液、样品自动前处理（消解）、静置、全自动紫外检测分光和化学需氧量（CODcr）检测等工作站或模块，且满足“三、技术要求”中3.1至3.8中各项参数要求。</w:t>
      </w:r>
      <w:r>
        <w:br/>
      </w:r>
      <w:r>
        <w:rPr/>
        <w:t xml:space="preserve"> 3.中标供应商应确保无人水质实验室可实现总磷，总氮，磷酸盐，亚硝酸盐氮，六价铬、化学需氧量（CODcr）6个检测指标的检测，依据《环境监测质量管理技术导则》（HJ 630-2011 ）和《环境监测分析方法标准制订技术导则》（HJ168-2020）要求，对设备的各检测指标的检测结果准确性进行测试，检测结果的标准曲线、重复性、质控（正确度）、精密度等准确性指标应达到“水质检测标准要求一览表”（见表1）的要求，以验证设备的检测能力。</w:t>
      </w:r>
      <w:r>
        <w:br/>
      </w:r>
      <w:r>
        <w:rPr/>
        <w:t xml:space="preserve"> 4.无人水质实验室应连续30天试运行正常，且每个检测指标的测试结果合格次数达到10次以上后，根据中标供应商提交的设备到货单、安装调试报告和设备检测能力测试报告，由采购人组织实施设备验收。中标供应商配合邀请专家组成验收小组具体实施，由验收小组鉴定是否符合招标项目的验收要求。验收不通过的，中标供应商应在60天内进行优化，中标供应商优化后仍无法达到设备参数要求的，采购人有权要求中标供应商进行货物更换，直至达到验收要求。</w:t>
      </w:r>
      <w:r>
        <w:br/>
      </w:r>
      <w:r>
        <w:rPr/>
        <w:t xml:space="preserve"> 5.通过设备验收且中标供应商完成一年运行维护工作后，对项目整体工作进行履约验收，履约验收由采购人组织实施，中标供应商配合邀请专家组成验收小组具体实施，并形成履约验收结论。</w:t>
      </w:r>
    </w:p>
    <w:p>
      <w:pPr>
        <w:pStyle w:val="null3"/>
      </w:pPr>
      <w:r>
        <w:rPr/>
        <w:t>采购包1（无人水质实验室建设）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日（日历日）内完成交货；开箱验收通过之日起180日（日历日）内完成安装、调试、试运行和验收资料的准备。由采购人组织开展设备验收。（2025年12月15日前完成设备安装调试及验收），自设备验收之日起提供1年的运行维护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1期：支付比例33.3%,签订合同后，采购人收到中标供应商开具的发票之日起15个工作日内向中标供应商支付合同总价的33.3%作为设备预付款。</w:t>
            </w:r>
          </w:p>
          <w:p>
            <w:pPr>
              <w:pStyle w:val="null3"/>
            </w:pPr>
            <w:r>
              <w:rPr/>
              <w:t>2期：支付比例20%,设备完成到货，采购人和中标供应商双方开箱确认后，采购人收到中标供应商开具的发票之日起15个工作日内，向中标供应商支付合同总价的20%作为设备到货款。</w:t>
            </w:r>
          </w:p>
          <w:p>
            <w:pPr>
              <w:pStyle w:val="null3"/>
            </w:pPr>
            <w:r>
              <w:rPr/>
              <w:t>3期：支付比例16.7%,设备调试完成并通过设备验收后，采购人收到中标供应商开具的发票之日起15个工作日内，向中标供应商支付合同总价的16.7%作为设备验收款。</w:t>
            </w:r>
          </w:p>
          <w:p>
            <w:pPr>
              <w:pStyle w:val="null3"/>
            </w:pPr>
            <w:r>
              <w:rPr/>
              <w:t>4期：支付比例30%,设备通过履约验收后，采购人收到中标供应商开具的发票之日起15个工作日内，向中标供应商支付合同的剩余尾款。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设备验收要求：无人水质实验室应连续30天试运行正常，且每个检测指标的测试结果合格次数达到10次以上后，根据中标供应商提交的设备到货单、安装调试报告和设备检测能力测试报告，由采购人组织实施设备验收。中标供应商配合邀请专家组成验收小组具体实施，由验收小组鉴定是否符合招标项目的验收要求。验收不通过的，中标供应商应在60天内进行优化，中标供应商优化后仍无法达到设备参数要求的，采购人有权要求中标供应商进行货物更换，直至达到验收要求。 2.履约验收要求：通过设备验收且中标供应商完成一年运行维护工作后，对项目整体工作进行履约验收，履约验收由采购人组织实施，中标供应商配合邀请专家组成验收小组具体实施，并形成履约验收结论。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环保监测设备</w:t>
            </w:r>
          </w:p>
        </w:tc>
        <w:tc>
          <w:tcPr>
            <w:tcW w:type="dxa" w:w="831"/>
          </w:tcPr>
          <w:p>
            <w:pPr>
              <w:pStyle w:val="null3"/>
              <w:jc w:val="left"/>
            </w:pPr>
            <w:r>
              <w:rPr/>
              <w:t>无人水质实验室设备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无人水质实验室设备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w:t>
            </w:r>
            <w:r>
              <w:rPr>
                <w:sz w:val="24"/>
              </w:rPr>
              <w:t>“项目概况”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广州市生态环境局南沙环境监测站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实行差额定率累进法计算收取，定额收取人民币肆万肆仟肆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3天内，须提供与递交投标文件电子标书内容一致且每页加盖单位公章的纸质文件1套（1正）及非加密电子版投标文件U盘（或光盘）1份给采购人（邮寄地址：广州市南沙区横沥镇大元村发源路2号之十（环境监测站），联系人：张小姐，020-39910362），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采购包1(无人水质实验室建设)：综合评分法,是指投标文件满足招标文件全部实质性要求，且按照评审因素的量化指标评审得分最高的投标人为中标候选人的评标方法。（最低报价不是中标的唯一依据。）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采购包1（无人水质实验室建设）：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采购包1（无人水质实验室建设）：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采购包1（无人水质实验室建设）：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采购包1(无人水质实验室建设):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(20.0分)</w:t>
            </w:r>
          </w:p>
        </w:tc>
        <w:tc>
          <w:tcPr>
            <w:tcW w:type="dxa" w:w="5076"/>
          </w:tcPr>
          <w:p>
            <w:pPr>
              <w:pStyle w:val="null3"/>
              <w:jc w:val="left"/>
            </w:pPr>
            <w:r>
              <w:rPr/>
              <w:t>完全满足最高得20分，▲技术指标要求每一项负偏离扣2分；其它技术指标要求每一项负偏离扣1分，扣完为止。 注：须提供技术响应偏离表及招标文件要求的佐证材料并加盖投标人公章，否则不得分。</w:t>
            </w:r>
          </w:p>
        </w:tc>
      </w:tr>
      <w:tr>
        <w:tc>
          <w:tcPr>
            <w:tcW w:type="dxa" w:w="922"/>
            <w:gridSpan w:val="2"/>
            <w:vMerge/>
          </w:tcPr>
          <w:p/>
        </w:tc>
        <w:tc>
          <w:tcPr>
            <w:tcW w:type="dxa" w:w="2307"/>
          </w:tcPr>
          <w:p>
            <w:pPr>
              <w:pStyle w:val="null3"/>
              <w:jc w:val="left"/>
            </w:pPr>
            <w:r>
              <w:rPr/>
              <w:t>投标人安装、调试、培训计划、实施执行方案 (8.0分)</w:t>
            </w:r>
            <w:r>
              <w:rPr/>
              <w:t>，（等次分值选择：</w:t>
            </w:r>
            <w:r>
              <w:rPr/>
              <w:t>0.0;</w:t>
            </w:r>
            <w:r>
              <w:rPr/>
              <w:t>3.0;</w:t>
            </w:r>
            <w:r>
              <w:rPr/>
              <w:t>5.0;</w:t>
            </w:r>
            <w:r>
              <w:rPr/>
              <w:t>8.0;</w:t>
            </w:r>
            <w:r>
              <w:rPr/>
              <w:t>）</w:t>
            </w:r>
          </w:p>
        </w:tc>
        <w:tc>
          <w:tcPr>
            <w:tcW w:type="dxa" w:w="5076"/>
          </w:tcPr>
          <w:p>
            <w:pPr>
              <w:pStyle w:val="null3"/>
              <w:jc w:val="left"/>
            </w:pPr>
            <w:r>
              <w:rPr/>
              <w:t>根据投标人提供的安装、调试、培训计划、实施执行方案进行评审： （1）投标人提供的方案可行性高，内容具体、细致，完全满足或优于招标文件要求，得8分； （2）投标人提供的方案可行性基本合理，内容基本具体、细致，基本满足招标文件要求，得5分； （3）投标人提供的方案可行性一般，内容不够具体、细致，部分满足招标文件要求，得3分； （4）投标人没有提供方案，或内容有缺项漏项，得0分。</w:t>
            </w:r>
          </w:p>
        </w:tc>
      </w:tr>
      <w:tr>
        <w:tc>
          <w:tcPr>
            <w:tcW w:type="dxa" w:w="922"/>
            <w:gridSpan w:val="2"/>
            <w:vMerge/>
          </w:tcPr>
          <w:p/>
        </w:tc>
        <w:tc>
          <w:tcPr>
            <w:tcW w:type="dxa" w:w="2307"/>
          </w:tcPr>
          <w:p>
            <w:pPr>
              <w:pStyle w:val="null3"/>
              <w:jc w:val="left"/>
            </w:pPr>
            <w:r>
              <w:rPr/>
              <w:t>售后服务方案 (6.0分)</w:t>
            </w:r>
            <w:r>
              <w:rPr/>
              <w:t>，（等次分值选择：</w:t>
            </w:r>
            <w:r>
              <w:rPr/>
              <w:t>0.0;</w:t>
            </w:r>
            <w:r>
              <w:rPr/>
              <w:t>2.0;</w:t>
            </w:r>
            <w:r>
              <w:rPr/>
              <w:t>4.0;</w:t>
            </w:r>
            <w:r>
              <w:rPr/>
              <w:t>6.0;</w:t>
            </w:r>
            <w:r>
              <w:rPr/>
              <w:t>）</w:t>
            </w:r>
          </w:p>
        </w:tc>
        <w:tc>
          <w:tcPr>
            <w:tcW w:type="dxa" w:w="5076"/>
          </w:tcPr>
          <w:p>
            <w:pPr>
              <w:pStyle w:val="null3"/>
              <w:jc w:val="left"/>
            </w:pPr>
            <w:r>
              <w:rPr/>
              <w:t>根据投标人提供的售后服务方案及服务承诺进行综合评分： 1)售后服务方案完善合理，可行性高，具备符合项目目的需求的系统性项目服务管理制度，服务人员的资质与项目实际情况相符，服务承诺具备详细可执行落实措施的，得6分； 2)售后服务方案基本完善合理，可行性尚可，具备项目服务管理制度能适合本项目，服务人员的资质基本符合项目需求，服务承诺具备落实措施但执行有难度的，得4分； 3)售后服务方案欠缺，可行性一般，项目管理制度不够完善，服务承诺明确但落实措施尚未制定的，得2分； 4)售后服务方案可行性差或无提供售后服务方案，均不得分。</w:t>
            </w:r>
          </w:p>
        </w:tc>
      </w:tr>
      <w:tr>
        <w:tc>
          <w:tcPr>
            <w:tcW w:type="dxa" w:w="922"/>
            <w:gridSpan w:val="2"/>
            <w:vMerge/>
          </w:tcPr>
          <w:p/>
        </w:tc>
        <w:tc>
          <w:tcPr>
            <w:tcW w:type="dxa" w:w="2307"/>
          </w:tcPr>
          <w:p>
            <w:pPr>
              <w:pStyle w:val="null3"/>
              <w:jc w:val="left"/>
            </w:pPr>
            <w:r>
              <w:rPr/>
              <w:t>应急预案及措施( (6.0分)</w:t>
            </w:r>
            <w:r>
              <w:rPr/>
              <w:t>，（等次分值选择：</w:t>
            </w:r>
            <w:r>
              <w:rPr/>
              <w:t>0.0;</w:t>
            </w:r>
            <w:r>
              <w:rPr/>
              <w:t>2.0;</w:t>
            </w:r>
            <w:r>
              <w:rPr/>
              <w:t>4.0;</w:t>
            </w:r>
            <w:r>
              <w:rPr/>
              <w:t>6.0;</w:t>
            </w:r>
            <w:r>
              <w:rPr/>
              <w:t>）</w:t>
            </w:r>
          </w:p>
        </w:tc>
        <w:tc>
          <w:tcPr>
            <w:tcW w:type="dxa" w:w="5076"/>
          </w:tcPr>
          <w:p>
            <w:pPr>
              <w:pStyle w:val="null3"/>
              <w:jc w:val="left"/>
            </w:pPr>
            <w:r>
              <w:rPr/>
              <w:t>根据投标人提供的针对突发事件时，做到事前预判，事后能保障快速、高效的应急方案进行评审: 1）应急方案全面、完善、可行，得6分； 2）应急方案基本全面、完善、可行，得4分； 3）应急方案不够全面、完善、可行，得2分；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投标人体系认证 (6.0分)</w:t>
            </w:r>
          </w:p>
        </w:tc>
        <w:tc>
          <w:tcPr>
            <w:tcW w:type="dxa" w:w="5076"/>
          </w:tcPr>
          <w:p>
            <w:pPr>
              <w:pStyle w:val="null3"/>
              <w:jc w:val="left"/>
            </w:pPr>
            <w:r>
              <w:rPr/>
              <w:t>投标人须同时具备①质量管理体系认证、②环境管理体系认证、③职业健康安全管理体系认证。本项最高得6分，缺少一项扣2分，扣完为止。 注：上述①-③项，投标人需同时提供有效证书复印件以及在全国认证认可信息公共服务平台上http∶//cx.cnca.cn查询结果的截图，证书状态必须为"有效"，无提供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项目团队人员配置 (6.0分)</w:t>
            </w:r>
          </w:p>
        </w:tc>
        <w:tc>
          <w:tcPr>
            <w:tcW w:type="dxa" w:w="5076"/>
          </w:tcPr>
          <w:p>
            <w:pPr>
              <w:pStyle w:val="null3"/>
              <w:jc w:val="left"/>
            </w:pPr>
            <w:r>
              <w:rPr/>
              <w:t>投标人应保证投入本项目人员具备专业基础： 1、拟投入到本项目的项目经理同时具有项目管理专业人员资格认证证书（PMP）和生态环境类中级或以上职称证书，得3分； 2、拟投入本项目的团队成员（含项目经理）应不少于4人。投入7人（含）以上得3分，投入6人得2人，投入5人得1分。 注：投标人应在投标文件中提供上述项目经理和团队成员的相关证书复印件，且上述人员必须是投标单位正式员工，以投标单位社保证明为准（社保证明需在开标前三个月内任意一个月），否则不得分。</w:t>
            </w:r>
          </w:p>
        </w:tc>
      </w:tr>
      <w:tr>
        <w:tc>
          <w:tcPr>
            <w:tcW w:type="dxa" w:w="922"/>
            <w:gridSpan w:val="2"/>
            <w:vMerge/>
          </w:tcPr>
          <w:p/>
        </w:tc>
        <w:tc>
          <w:tcPr>
            <w:tcW w:type="dxa" w:w="2307"/>
          </w:tcPr>
          <w:p>
            <w:pPr>
              <w:pStyle w:val="null3"/>
              <w:jc w:val="left"/>
            </w:pPr>
            <w:r>
              <w:rPr/>
              <w:t>诚信承诺 (2.0分)</w:t>
            </w:r>
          </w:p>
        </w:tc>
        <w:tc>
          <w:tcPr>
            <w:tcW w:type="dxa" w:w="5076"/>
          </w:tcPr>
          <w:p>
            <w:pPr>
              <w:pStyle w:val="null3"/>
              <w:jc w:val="left"/>
            </w:pPr>
            <w:r>
              <w:rPr/>
              <w:t>投标人需提供2021年1月1日至投标截止时间未受到全国各省县级（含）以上环保主管部门通报批评或行政处罚的承诺书，提供得2分，无提供不得分。 注：投标人需在投标文件中提供承诺书（格式自拟），无提供不得分。</w:t>
            </w:r>
          </w:p>
        </w:tc>
      </w:tr>
      <w:tr>
        <w:tc>
          <w:tcPr>
            <w:tcW w:type="dxa" w:w="922"/>
            <w:gridSpan w:val="2"/>
            <w:vMerge/>
          </w:tcPr>
          <w:p/>
        </w:tc>
        <w:tc>
          <w:tcPr>
            <w:tcW w:type="dxa" w:w="2307"/>
          </w:tcPr>
          <w:p>
            <w:pPr>
              <w:pStyle w:val="null3"/>
              <w:jc w:val="left"/>
            </w:pPr>
            <w:r>
              <w:rPr/>
              <w:t>投标人业绩情况 (4.0分)</w:t>
            </w:r>
          </w:p>
        </w:tc>
        <w:tc>
          <w:tcPr>
            <w:tcW w:type="dxa" w:w="5076"/>
          </w:tcPr>
          <w:p>
            <w:pPr>
              <w:pStyle w:val="null3"/>
              <w:jc w:val="left"/>
            </w:pPr>
            <w:r>
              <w:rPr/>
              <w:t>投标人2021年1月1日（以合同签订时间为准）至今具备类似项目业绩的得4分，最高4分。 注：1、类似项目业绩为必须包含本项目关键部件收样工作站、样品自动储存库、样品传输及循环工作站、样品自动前处理工作站、检测工作站内容的销售业绩。 2、投标人须提供相关业绩的以下证明材料复印件，并加盖投标人公章。缺少任何一份材料，都作为无效业绩处理： （1）中标通知书； （2）发票（如分期开具的，可出具任何一期）； （3）合同关键页（关键页包括能够获知合同双方名称、合同标的页面及签字盖章页）复印件，如合同体现不了设备名称，须提供合同甲方出具的证明文件；</w:t>
            </w:r>
          </w:p>
        </w:tc>
      </w:tr>
      <w:tr>
        <w:tc>
          <w:tcPr>
            <w:tcW w:type="dxa" w:w="922"/>
            <w:gridSpan w:val="2"/>
            <w:vMerge/>
          </w:tcPr>
          <w:p/>
        </w:tc>
        <w:tc>
          <w:tcPr>
            <w:tcW w:type="dxa" w:w="2307"/>
          </w:tcPr>
          <w:p>
            <w:pPr>
              <w:pStyle w:val="null3"/>
              <w:jc w:val="left"/>
            </w:pPr>
            <w:r>
              <w:rPr/>
              <w:t>以往客户评价 (2.0分)</w:t>
            </w:r>
          </w:p>
        </w:tc>
        <w:tc>
          <w:tcPr>
            <w:tcW w:type="dxa" w:w="5076"/>
          </w:tcPr>
          <w:p>
            <w:pPr>
              <w:pStyle w:val="null3"/>
              <w:jc w:val="left"/>
            </w:pPr>
            <w:r>
              <w:rPr/>
              <w:t>投标人2020年1月1日以来所承接生态环境监测类项目的客户评价情况。每份正面评价（满意或类似好评）得1分，无或其他不得分，最高得2分。 【提供运营业绩合同关键页（含签订合同双方的单位名称、合同项目名称、项目金额与含签订合同双方的落款盖章、签订日期的关键页）和该项目用户单位盖章确认的正面评价材料。同一客户或同一项目提供多项用户正面评价的，按一项计算。】</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投标人在项目所在地（南沙区）有常设机构的，或投标人承诺中标后15个工作日内设置，得5分； 注：提供常设机构的产权证明（或租赁合同或营业执照注明地址）复印件或承诺函， 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8"/>
          <w:shd w:fill="FFFFFF" w:val="clear"/>
        </w:rPr>
        <w:t>广州市生态环境局南沙环境监测站</w:t>
      </w:r>
    </w:p>
    <w:p>
      <w:pPr>
        <w:pStyle w:val="null3"/>
        <w:jc w:val="center"/>
      </w:pPr>
      <w:r>
        <w:rPr>
          <w:sz w:val="48"/>
          <w:shd w:fill="FFFFFF" w:val="clear"/>
        </w:rPr>
        <w:t>政府采购</w:t>
      </w:r>
    </w:p>
    <w:p>
      <w:pPr>
        <w:pStyle w:val="null3"/>
        <w:jc w:val="center"/>
      </w:pPr>
      <w:r>
        <w:rPr>
          <w:sz w:val="48"/>
          <w:shd w:fill="FFFFFF" w:val="clear"/>
        </w:rPr>
        <w:t>合　同　书</w:t>
      </w:r>
    </w:p>
    <w:p>
      <w:pPr>
        <w:pStyle w:val="null3"/>
        <w:ind w:left="2100"/>
        <w:jc w:val="left"/>
      </w:pPr>
      <w:r>
        <w:rPr>
          <w:sz w:val="28"/>
          <w:shd w:fill="FFFFFF" w:val="clear"/>
        </w:rPr>
        <w:t>采购编号：</w:t>
      </w:r>
    </w:p>
    <w:p>
      <w:pPr>
        <w:pStyle w:val="null3"/>
        <w:ind w:left="2100"/>
        <w:jc w:val="left"/>
      </w:pPr>
      <w:r>
        <w:rPr>
          <w:sz w:val="28"/>
          <w:shd w:fill="FFFFFF" w:val="clear"/>
        </w:rPr>
        <w:t>项目名称：</w:t>
      </w:r>
    </w:p>
    <w:p>
      <w:pPr>
        <w:pStyle w:val="null3"/>
        <w:jc w:val="both"/>
      </w:pPr>
      <w:r>
        <w:rPr>
          <w:sz w:val="24"/>
          <w:b/>
          <w:shd w:fill="FFFFFF" w:val="clear"/>
        </w:rPr>
        <w:t>注：本合同仅为合同的参考文本，合同签订双方可根据项目的具体要求进行修订，但不得修改实质性条款。</w:t>
      </w:r>
    </w:p>
    <w:p>
      <w:pPr>
        <w:pStyle w:val="null3"/>
        <w:ind w:firstLine="420"/>
        <w:jc w:val="both"/>
      </w:pPr>
      <w:r>
        <w:rPr>
          <w:sz w:val="24"/>
          <w:shd w:fill="FFFFFF" w:val="clear"/>
        </w:rPr>
        <w:t>甲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乙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根据</w:t>
      </w:r>
      <w:r>
        <w:rPr>
          <w:sz w:val="24"/>
          <w:u w:val="single"/>
        </w:rPr>
        <w:t xml:space="preserve">                 </w:t>
      </w:r>
      <w:r>
        <w:rPr>
          <w:sz w:val="24"/>
          <w:shd w:fill="FFFFFF" w:val="clear"/>
        </w:rPr>
        <w:t>项目</w:t>
      </w:r>
      <w:r>
        <w:rPr>
          <w:sz w:val="24"/>
          <w:shd w:fill="FFFFFF" w:val="clear"/>
        </w:rPr>
        <w:t>（</w:t>
      </w:r>
      <w:r>
        <w:rPr>
          <w:sz w:val="24"/>
          <w:shd w:fill="FFFFFF" w:val="clear"/>
        </w:rPr>
        <w:t>项目编号：</w:t>
      </w:r>
      <w:r>
        <w:rPr>
          <w:sz w:val="24"/>
          <w:u w:val="single"/>
        </w:rPr>
        <w:t xml:space="preserve">            </w:t>
      </w:r>
      <w:r>
        <w:rPr>
          <w:sz w:val="24"/>
          <w:shd w:fill="FFFFFF" w:val="clear"/>
        </w:rPr>
        <w:t>）</w:t>
      </w:r>
      <w:r>
        <w:rPr>
          <w:sz w:val="24"/>
          <w:shd w:fill="FFFFFF" w:val="clear"/>
        </w:rPr>
        <w:t>的采购结果，按照《中华人民共和国政府采购法》、《中华人民共和国民法典》的规定，经双方协商，本着平等互利和诚实信用的原则，一致同意签订本合同如下。</w:t>
      </w:r>
    </w:p>
    <w:p>
      <w:pPr>
        <w:pStyle w:val="null3"/>
        <w:ind w:firstLine="420"/>
        <w:jc w:val="both"/>
      </w:pPr>
      <w:r>
        <w:rPr>
          <w:sz w:val="24"/>
          <w:b/>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Pr>
          <w:p>
            <w:pPr>
              <w:pStyle w:val="null3"/>
              <w:jc w:val="center"/>
            </w:pPr>
            <w:r>
              <w:rPr>
                <w:sz w:val="19"/>
              </w:rPr>
              <w:t>序号</w:t>
            </w:r>
          </w:p>
        </w:tc>
        <w:tc>
          <w:tcPr>
            <w:tcW w:type="dxa" w:w="1186"/>
          </w:tcPr>
          <w:p>
            <w:pPr>
              <w:pStyle w:val="null3"/>
              <w:jc w:val="center"/>
            </w:pPr>
            <w:r>
              <w:rPr>
                <w:sz w:val="19"/>
              </w:rPr>
              <w:t>名称</w:t>
            </w:r>
          </w:p>
        </w:tc>
        <w:tc>
          <w:tcPr>
            <w:tcW w:type="dxa" w:w="1186"/>
          </w:tcPr>
          <w:p>
            <w:pPr>
              <w:pStyle w:val="null3"/>
              <w:jc w:val="center"/>
            </w:pPr>
            <w:r>
              <w:rPr>
                <w:sz w:val="19"/>
              </w:rPr>
              <w:t>品牌、规格型号、配置</w:t>
            </w:r>
          </w:p>
          <w:p>
            <w:pPr>
              <w:pStyle w:val="null3"/>
              <w:jc w:val="center"/>
            </w:pPr>
            <w:r>
              <w:rPr>
                <w:sz w:val="19"/>
              </w:rPr>
              <w:t>（性能参数）</w:t>
            </w:r>
          </w:p>
        </w:tc>
        <w:tc>
          <w:tcPr>
            <w:tcW w:type="dxa" w:w="1186"/>
          </w:tcPr>
          <w:p>
            <w:pPr>
              <w:pStyle w:val="null3"/>
              <w:jc w:val="center"/>
            </w:pPr>
            <w:r>
              <w:rPr>
                <w:sz w:val="19"/>
              </w:rPr>
              <w:t>产地</w:t>
            </w:r>
          </w:p>
        </w:tc>
        <w:tc>
          <w:tcPr>
            <w:tcW w:type="dxa" w:w="1186"/>
          </w:tcPr>
          <w:p>
            <w:pPr>
              <w:pStyle w:val="null3"/>
              <w:jc w:val="center"/>
            </w:pPr>
            <w:r>
              <w:rPr>
                <w:sz w:val="19"/>
              </w:rPr>
              <w:t>数量</w:t>
            </w:r>
          </w:p>
        </w:tc>
        <w:tc>
          <w:tcPr>
            <w:tcW w:type="dxa" w:w="1186"/>
          </w:tcPr>
          <w:p>
            <w:pPr>
              <w:pStyle w:val="null3"/>
              <w:jc w:val="center"/>
            </w:pPr>
            <w:r>
              <w:rPr>
                <w:sz w:val="19"/>
              </w:rPr>
              <w:t>单价(元)</w:t>
            </w:r>
          </w:p>
        </w:tc>
        <w:tc>
          <w:tcPr>
            <w:tcW w:type="dxa" w:w="1186"/>
          </w:tcPr>
          <w:p>
            <w:pPr>
              <w:pStyle w:val="null3"/>
              <w:jc w:val="center"/>
            </w:pPr>
            <w:r>
              <w:rPr>
                <w:sz w:val="19"/>
              </w:rPr>
              <w:t>金额(元)</w:t>
            </w:r>
          </w:p>
        </w:tc>
      </w:tr>
      <w:tr>
        <w:tc>
          <w:tcPr>
            <w:tcW w:type="dxa" w:w="1186"/>
          </w:tcPr>
          <w:p>
            <w:pPr>
              <w:pStyle w:val="null3"/>
              <w:jc w:val="center"/>
            </w:pPr>
            <w:r>
              <w:rPr>
                <w:sz w:val="19"/>
              </w:rPr>
              <w:t>1</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2</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8302"/>
            <w:gridSpan w:val="7"/>
          </w:tcPr>
          <w:p>
            <w:pPr>
              <w:pStyle w:val="null3"/>
            </w:pPr>
            <w:r>
              <w:rPr>
                <w:sz w:val="19"/>
              </w:rPr>
              <w:t>合计总额：￥            ；大写：         元</w:t>
            </w:r>
          </w:p>
        </w:tc>
      </w:tr>
    </w:tbl>
    <w:p>
      <w:pPr>
        <w:pStyle w:val="null3"/>
        <w:ind w:firstLine="480"/>
        <w:jc w:val="both"/>
      </w:pPr>
      <w:r>
        <w:rPr>
          <w:sz w:val="24"/>
        </w:rPr>
        <w:t>合同总额包括包括货物的搬运费、运输费、卸装费、保险费、验收、货物设计、制造、包装、培训、技术服务（包括技术资料、图纸的提供）、质保期保障、产品成本、利润、各种税金、及合同实施过程中不可预见费用等一切费用。</w:t>
      </w:r>
    </w:p>
    <w:p>
      <w:pPr>
        <w:pStyle w:val="null3"/>
        <w:ind w:firstLine="482"/>
        <w:jc w:val="both"/>
      </w:pPr>
      <w:r>
        <w:rPr>
          <w:sz w:val="24"/>
          <w:b/>
          <w:shd w:fill="FFFFFF" w:val="clear"/>
        </w:rPr>
        <w:t>二、合同金额</w:t>
      </w:r>
    </w:p>
    <w:p>
      <w:pPr>
        <w:pStyle w:val="null3"/>
        <w:ind w:firstLine="480"/>
        <w:jc w:val="both"/>
      </w:pPr>
      <w:r>
        <w:rPr>
          <w:sz w:val="24"/>
          <w:shd w:fill="FFFFFF" w:val="clear"/>
        </w:rPr>
        <w:t>合同金额为（大写）：</w:t>
      </w:r>
      <w:r>
        <w:rPr>
          <w:sz w:val="24"/>
          <w:shd w:fill="FFFFFF" w:val="clear"/>
        </w:rPr>
        <w:t>_________________元（￥_______________元）人民币。</w:t>
      </w:r>
    </w:p>
    <w:p>
      <w:pPr>
        <w:pStyle w:val="null3"/>
        <w:ind w:firstLine="482"/>
        <w:jc w:val="both"/>
      </w:pPr>
      <w:r>
        <w:rPr>
          <w:sz w:val="24"/>
          <w:b/>
          <w:shd w:fill="FFFFFF" w:val="clear"/>
        </w:rPr>
        <w:t>三、交货期及交货地点</w:t>
      </w:r>
    </w:p>
    <w:p>
      <w:pPr>
        <w:pStyle w:val="null3"/>
        <w:ind w:firstLine="480"/>
        <w:jc w:val="both"/>
      </w:pPr>
      <w:r>
        <w:rPr>
          <w:sz w:val="24"/>
        </w:rPr>
        <w:t>1</w:t>
      </w:r>
      <w:r>
        <w:rPr>
          <w:sz w:val="24"/>
        </w:rPr>
        <w:t>、</w:t>
      </w:r>
      <w:r>
        <w:rPr>
          <w:sz w:val="24"/>
        </w:rPr>
        <w:t>交货地点：甲方指定地点。</w:t>
      </w:r>
    </w:p>
    <w:p>
      <w:pPr>
        <w:pStyle w:val="null3"/>
        <w:ind w:firstLine="480"/>
        <w:jc w:val="both"/>
      </w:pPr>
      <w:r>
        <w:rPr>
          <w:sz w:val="24"/>
        </w:rPr>
        <w:t>2</w:t>
      </w:r>
      <w:r>
        <w:rPr>
          <w:sz w:val="24"/>
        </w:rPr>
        <w:t>、</w:t>
      </w:r>
      <w:r>
        <w:rPr>
          <w:sz w:val="24"/>
        </w:rPr>
        <w:t>交货时间：</w:t>
      </w:r>
      <w:r>
        <w:rPr>
          <w:sz w:val="24"/>
        </w:rPr>
        <w:t>合同签订之日起</w:t>
      </w:r>
      <w:r>
        <w:rPr>
          <w:sz w:val="24"/>
        </w:rPr>
        <w:t>60日（日历日）内完成交货；开箱验收通过之日起180日（日历日）内完成安装、调试、试运行和验收资料的准备。由</w:t>
      </w:r>
      <w:r>
        <w:rPr>
          <w:sz w:val="24"/>
        </w:rPr>
        <w:t>甲方</w:t>
      </w:r>
      <w:r>
        <w:rPr>
          <w:sz w:val="24"/>
        </w:rPr>
        <w:t>组织开展</w:t>
      </w:r>
      <w:r>
        <w:rPr>
          <w:sz w:val="24"/>
        </w:rPr>
        <w:t>设备</w:t>
      </w:r>
      <w:r>
        <w:rPr>
          <w:sz w:val="24"/>
        </w:rPr>
        <w:t>验收。自</w:t>
      </w:r>
      <w:r>
        <w:rPr>
          <w:sz w:val="24"/>
        </w:rPr>
        <w:t>设备</w:t>
      </w:r>
      <w:r>
        <w:rPr>
          <w:sz w:val="24"/>
        </w:rPr>
        <w:t>验收之日起提供</w:t>
      </w:r>
      <w:r>
        <w:rPr>
          <w:sz w:val="24"/>
        </w:rPr>
        <w:t>1年的运行维护服务</w:t>
      </w:r>
      <w:r>
        <w:rPr>
          <w:sz w:val="24"/>
        </w:rPr>
        <w:t>。</w:t>
      </w:r>
    </w:p>
    <w:p>
      <w:pPr>
        <w:pStyle w:val="null3"/>
        <w:ind w:firstLine="482"/>
        <w:jc w:val="both"/>
      </w:pPr>
      <w:r>
        <w:rPr>
          <w:sz w:val="24"/>
          <w:b/>
          <w:shd w:fill="FFFFFF" w:val="clear"/>
        </w:rPr>
        <w:t>四、</w:t>
      </w:r>
      <w:r>
        <w:rPr>
          <w:sz w:val="24"/>
          <w:b/>
        </w:rPr>
        <w:t>付款方式</w:t>
      </w:r>
    </w:p>
    <w:p>
      <w:pPr>
        <w:pStyle w:val="null3"/>
        <w:ind w:firstLine="480"/>
        <w:jc w:val="both"/>
      </w:pPr>
      <w:r>
        <w:rPr>
          <w:sz w:val="24"/>
        </w:rPr>
        <w:t>1</w:t>
      </w:r>
      <w:r>
        <w:rPr>
          <w:sz w:val="24"/>
        </w:rPr>
        <w:t>、预算金额安排：签订合同后，甲方收到乙方开具的发票之日起</w:t>
      </w:r>
      <w:r>
        <w:rPr>
          <w:sz w:val="24"/>
        </w:rPr>
        <w:t>15个工作日内向乙方支付合同总价的33.3%作为设备预付款。</w:t>
      </w:r>
    </w:p>
    <w:p>
      <w:pPr>
        <w:pStyle w:val="null3"/>
        <w:ind w:firstLine="480"/>
        <w:jc w:val="both"/>
      </w:pPr>
      <w:r>
        <w:rPr>
          <w:sz w:val="24"/>
        </w:rPr>
        <w:t>2、设备完成到货，甲方和乙方双方开箱确认后，甲方收到乙方开具的发票之日起15个工作日内，向乙方支付合同总价的20%作为设备到货款。</w:t>
      </w:r>
    </w:p>
    <w:p>
      <w:pPr>
        <w:pStyle w:val="null3"/>
        <w:ind w:firstLine="480"/>
        <w:jc w:val="both"/>
      </w:pPr>
      <w:r>
        <w:rPr>
          <w:sz w:val="24"/>
        </w:rPr>
        <w:t>3、设备调试完成并通过</w:t>
      </w:r>
      <w:r>
        <w:rPr>
          <w:sz w:val="24"/>
        </w:rPr>
        <w:t>设备</w:t>
      </w:r>
      <w:r>
        <w:rPr>
          <w:sz w:val="24"/>
        </w:rPr>
        <w:t>验收后，甲方收到乙方开具的发票之日起</w:t>
      </w:r>
      <w:r>
        <w:rPr>
          <w:sz w:val="24"/>
        </w:rPr>
        <w:t>15个工作日内，向乙方支付合同总价的16.</w:t>
      </w:r>
      <w:r>
        <w:rPr>
          <w:sz w:val="24"/>
        </w:rPr>
        <w:t>7</w:t>
      </w:r>
      <w:r>
        <w:rPr>
          <w:sz w:val="24"/>
        </w:rPr>
        <w:t>%作为设备验收款。</w:t>
      </w:r>
    </w:p>
    <w:p>
      <w:pPr>
        <w:pStyle w:val="null3"/>
        <w:ind w:firstLine="480"/>
        <w:jc w:val="both"/>
      </w:pPr>
      <w:r>
        <w:rPr>
          <w:sz w:val="24"/>
        </w:rPr>
        <w:t>4、设备通过</w:t>
      </w:r>
      <w:r>
        <w:rPr>
          <w:sz w:val="24"/>
        </w:rPr>
        <w:t>履约</w:t>
      </w:r>
      <w:r>
        <w:rPr>
          <w:sz w:val="24"/>
        </w:rPr>
        <w:t>验收后，甲方收到乙方开具的发票之日起</w:t>
      </w:r>
      <w:r>
        <w:rPr>
          <w:sz w:val="24"/>
        </w:rPr>
        <w:t>15个工作日内，向乙方支付合同的剩余尾款</w:t>
      </w:r>
      <w:r>
        <w:rPr>
          <w:sz w:val="24"/>
        </w:rPr>
        <w:t>。</w:t>
      </w:r>
    </w:p>
    <w:p>
      <w:pPr>
        <w:pStyle w:val="null3"/>
        <w:ind w:firstLine="482"/>
        <w:jc w:val="both"/>
      </w:pPr>
      <w:r>
        <w:rPr>
          <w:sz w:val="24"/>
          <w:b/>
          <w:shd w:fill="FFFFFF" w:val="clear"/>
        </w:rPr>
        <w:t>五、设备验收及履约验收</w:t>
      </w:r>
    </w:p>
    <w:p>
      <w:pPr>
        <w:pStyle w:val="null3"/>
        <w:ind w:firstLine="480"/>
        <w:jc w:val="both"/>
      </w:pPr>
      <w:r>
        <w:rPr>
          <w:sz w:val="24"/>
        </w:rPr>
        <w:t>1、</w:t>
      </w:r>
      <w:r>
        <w:rPr>
          <w:sz w:val="24"/>
        </w:rPr>
        <w:t>乙方</w:t>
      </w:r>
      <w:r>
        <w:rPr>
          <w:sz w:val="24"/>
          <w:shd w:fill="FFFFFF" w:val="clear"/>
        </w:rPr>
        <w:t>应将设备的用户手册、保修手册、有关单证资料及配备件、随机工具等交付给</w:t>
      </w:r>
      <w:r>
        <w:rPr>
          <w:sz w:val="24"/>
          <w:shd w:fill="FFFFFF" w:val="clear"/>
        </w:rPr>
        <w:t>甲方</w:t>
      </w:r>
      <w:r>
        <w:rPr>
          <w:sz w:val="24"/>
          <w:shd w:fill="FFFFFF" w:val="clear"/>
        </w:rPr>
        <w:t>，使用操作及安全须知等重要资料应附有中文说明。</w:t>
      </w:r>
    </w:p>
    <w:p>
      <w:pPr>
        <w:pStyle w:val="null3"/>
        <w:ind w:firstLine="480"/>
        <w:jc w:val="both"/>
      </w:pPr>
      <w:r>
        <w:rPr>
          <w:sz w:val="24"/>
          <w:shd w:fill="FFFFFF" w:val="clear"/>
        </w:rPr>
        <w:t>2</w:t>
      </w:r>
      <w:r>
        <w:rPr>
          <w:sz w:val="24"/>
          <w:shd w:fill="FFFFFF" w:val="clear"/>
        </w:rPr>
        <w:t>、</w:t>
      </w:r>
      <w:r>
        <w:rPr>
          <w:sz w:val="24"/>
        </w:rPr>
        <w:t>乙方</w:t>
      </w:r>
      <w:r>
        <w:rPr>
          <w:sz w:val="24"/>
          <w:shd w:fill="FFFFFF" w:val="clear"/>
        </w:rPr>
        <w:t>应确保无人水质实验室包含收样、样品自动存储库及分液、样品传输及循环、全自动加液、样品自动前处理（消解）、静置、全自动紫外检测分光和化学需氧量（</w:t>
      </w:r>
      <w:r>
        <w:rPr>
          <w:sz w:val="24"/>
          <w:shd w:fill="FFFFFF" w:val="clear"/>
        </w:rPr>
        <w:t>CODcr）检测</w:t>
      </w:r>
      <w:r>
        <w:rPr>
          <w:sz w:val="24"/>
          <w:shd w:fill="FFFFFF" w:val="clear"/>
        </w:rPr>
        <w:t>等</w:t>
      </w:r>
      <w:r>
        <w:rPr>
          <w:sz w:val="24"/>
          <w:shd w:fill="FFFFFF" w:val="clear"/>
        </w:rPr>
        <w:t>工作站</w:t>
      </w:r>
      <w:r>
        <w:rPr>
          <w:sz w:val="24"/>
          <w:shd w:fill="FFFFFF" w:val="clear"/>
        </w:rPr>
        <w:t>或模块</w:t>
      </w:r>
      <w:r>
        <w:rPr>
          <w:sz w:val="24"/>
          <w:shd w:fill="FFFFFF" w:val="clear"/>
        </w:rPr>
        <w:t>，且满足</w:t>
      </w:r>
      <w:r>
        <w:rPr>
          <w:sz w:val="24"/>
          <w:shd w:fill="FFFFFF" w:val="clear"/>
        </w:rPr>
        <w:t>“三、技术要求”中3.1至3.8中各项参数要求。</w:t>
      </w:r>
    </w:p>
    <w:p>
      <w:pPr>
        <w:pStyle w:val="null3"/>
        <w:ind w:firstLine="480"/>
        <w:jc w:val="both"/>
      </w:pPr>
      <w:r>
        <w:rPr>
          <w:sz w:val="24"/>
          <w:shd w:fill="FFFFFF" w:val="clear"/>
        </w:rPr>
        <w:t>3</w:t>
      </w:r>
      <w:r>
        <w:rPr>
          <w:sz w:val="24"/>
          <w:shd w:fill="FFFFFF" w:val="clear"/>
        </w:rPr>
        <w:t>、</w:t>
      </w:r>
      <w:r>
        <w:rPr>
          <w:sz w:val="24"/>
        </w:rPr>
        <w:t>乙方</w:t>
      </w:r>
      <w:r>
        <w:rPr>
          <w:sz w:val="24"/>
          <w:shd w:fill="FFFFFF" w:val="clear"/>
        </w:rPr>
        <w:t>应确保无人水质实验室可实现总磷，总氮，磷酸盐，亚硝酸盐氮，六价铬、化学需氧量（</w:t>
      </w:r>
      <w:r>
        <w:rPr>
          <w:sz w:val="24"/>
          <w:shd w:fill="FFFFFF" w:val="clear"/>
        </w:rPr>
        <w:t>CODcr）6个检测指标的检测，依据</w:t>
      </w:r>
      <w:r>
        <w:rPr>
          <w:sz w:val="24"/>
          <w:shd w:fill="FFFFFF" w:val="clear"/>
        </w:rPr>
        <w:t>《</w:t>
      </w:r>
      <w:r>
        <w:rPr>
          <w:sz w:val="24"/>
          <w:shd w:fill="FFFFFF" w:val="clear"/>
        </w:rPr>
        <w:t>环境监测质量管理技术导则</w:t>
      </w:r>
      <w:r>
        <w:rPr>
          <w:sz w:val="24"/>
          <w:shd w:fill="FFFFFF" w:val="clear"/>
        </w:rPr>
        <w:t>》（</w:t>
      </w:r>
      <w:r>
        <w:rPr>
          <w:sz w:val="24"/>
          <w:shd w:fill="FFFFFF" w:val="clear"/>
        </w:rPr>
        <w:t xml:space="preserve">HJ 630-2011 </w:t>
      </w:r>
      <w:r>
        <w:rPr>
          <w:sz w:val="24"/>
          <w:shd w:fill="FFFFFF" w:val="clear"/>
        </w:rPr>
        <w:t>）和</w:t>
      </w:r>
      <w:r>
        <w:rPr>
          <w:sz w:val="24"/>
          <w:shd w:fill="FFFFFF" w:val="clear"/>
        </w:rPr>
        <w:t>《环境监测分析方法标准制订技术导则》</w:t>
      </w:r>
      <w:r>
        <w:rPr>
          <w:sz w:val="24"/>
          <w:shd w:fill="FFFFFF" w:val="clear"/>
        </w:rPr>
        <w:t>（</w:t>
      </w:r>
      <w:r>
        <w:rPr>
          <w:sz w:val="24"/>
          <w:shd w:fill="FFFFFF" w:val="clear"/>
        </w:rPr>
        <w:t>HJ168-2020</w:t>
      </w:r>
      <w:r>
        <w:rPr>
          <w:sz w:val="24"/>
          <w:shd w:fill="FFFFFF" w:val="clear"/>
        </w:rPr>
        <w:t>）</w:t>
      </w:r>
      <w:r>
        <w:rPr>
          <w:sz w:val="24"/>
          <w:shd w:fill="FFFFFF" w:val="clear"/>
        </w:rPr>
        <w:t>要求，对设备的</w:t>
      </w:r>
      <w:r>
        <w:rPr>
          <w:sz w:val="24"/>
          <w:shd w:fill="FFFFFF" w:val="clear"/>
        </w:rPr>
        <w:t>各检测指标的</w:t>
      </w:r>
      <w:r>
        <w:rPr>
          <w:sz w:val="24"/>
          <w:shd w:fill="FFFFFF" w:val="clear"/>
        </w:rPr>
        <w:t>检测结果准确性进行测试，检测结果的标准曲线、重复性、质控（正确度）、精密度等准确性指标应达到</w:t>
      </w:r>
      <w:r>
        <w:rPr>
          <w:sz w:val="24"/>
          <w:shd w:fill="FFFFFF" w:val="clear"/>
        </w:rPr>
        <w:t>“水质检测标准要求一览表”</w:t>
      </w:r>
      <w:r>
        <w:rPr>
          <w:sz w:val="24"/>
          <w:shd w:fill="FFFFFF" w:val="clear"/>
        </w:rPr>
        <w:t>（见表</w:t>
      </w:r>
      <w:r>
        <w:rPr>
          <w:sz w:val="24"/>
          <w:shd w:fill="FFFFFF" w:val="clear"/>
        </w:rPr>
        <w:t>1）</w:t>
      </w:r>
      <w:r>
        <w:rPr>
          <w:sz w:val="24"/>
          <w:shd w:fill="FFFFFF" w:val="clear"/>
        </w:rPr>
        <w:t>的要求</w:t>
      </w:r>
      <w:r>
        <w:rPr>
          <w:sz w:val="24"/>
          <w:shd w:fill="FFFFFF" w:val="clear"/>
        </w:rPr>
        <w:t>，以验证设备的检测能力</w:t>
      </w:r>
      <w:r>
        <w:rPr>
          <w:sz w:val="24"/>
          <w:shd w:fill="FFFFFF" w:val="clear"/>
        </w:rPr>
        <w:t>。</w:t>
      </w:r>
    </w:p>
    <w:p>
      <w:pPr>
        <w:pStyle w:val="null3"/>
        <w:ind w:firstLine="480"/>
        <w:jc w:val="both"/>
      </w:pPr>
      <w:r>
        <w:rPr>
          <w:sz w:val="24"/>
          <w:shd w:fill="FFFFFF" w:val="clear"/>
        </w:rPr>
        <w:t>4</w:t>
      </w:r>
      <w:r>
        <w:rPr>
          <w:sz w:val="24"/>
          <w:shd w:fill="FFFFFF" w:val="clear"/>
        </w:rPr>
        <w:t>、</w:t>
      </w:r>
      <w:r>
        <w:rPr>
          <w:sz w:val="24"/>
          <w:shd w:fill="FFFFFF" w:val="clear"/>
        </w:rPr>
        <w:t>无人水质实验室</w:t>
      </w:r>
      <w:r>
        <w:rPr>
          <w:sz w:val="24"/>
          <w:shd w:fill="FFFFFF" w:val="clear"/>
        </w:rPr>
        <w:t>应连续</w:t>
      </w:r>
      <w:r>
        <w:rPr>
          <w:sz w:val="24"/>
          <w:shd w:fill="FFFFFF" w:val="clear"/>
        </w:rPr>
        <w:t>3</w:t>
      </w:r>
      <w:r>
        <w:rPr>
          <w:sz w:val="24"/>
          <w:shd w:fill="FFFFFF" w:val="clear"/>
        </w:rPr>
        <w:t>0天试运行正常，</w:t>
      </w:r>
      <w:r>
        <w:rPr>
          <w:sz w:val="24"/>
          <w:shd w:fill="FFFFFF" w:val="clear"/>
        </w:rPr>
        <w:t>且每个检测指标的测试结果合格次数达到</w:t>
      </w:r>
      <w:r>
        <w:rPr>
          <w:sz w:val="24"/>
          <w:shd w:fill="FFFFFF" w:val="clear"/>
        </w:rPr>
        <w:t>10次以上后，根据</w:t>
      </w:r>
      <w:r>
        <w:rPr>
          <w:sz w:val="24"/>
        </w:rPr>
        <w:t>乙方</w:t>
      </w:r>
      <w:r>
        <w:rPr>
          <w:sz w:val="24"/>
          <w:shd w:fill="FFFFFF" w:val="clear"/>
        </w:rPr>
        <w:t>提交的设备到货单、</w:t>
      </w:r>
      <w:r>
        <w:rPr>
          <w:sz w:val="24"/>
          <w:shd w:fill="FFFFFF" w:val="clear"/>
        </w:rPr>
        <w:t>安装调试报告和</w:t>
      </w:r>
      <w:r>
        <w:rPr>
          <w:sz w:val="24"/>
          <w:shd w:fill="FFFFFF" w:val="clear"/>
        </w:rPr>
        <w:t>设备检测能力</w:t>
      </w:r>
      <w:r>
        <w:rPr>
          <w:sz w:val="24"/>
          <w:shd w:fill="FFFFFF" w:val="clear"/>
        </w:rPr>
        <w:t>测试报告</w:t>
      </w:r>
      <w:r>
        <w:rPr>
          <w:sz w:val="24"/>
          <w:shd w:fill="FFFFFF" w:val="clear"/>
        </w:rPr>
        <w:t>，</w:t>
      </w:r>
      <w:r>
        <w:rPr>
          <w:sz w:val="24"/>
          <w:shd w:fill="FFFFFF" w:val="clear"/>
        </w:rPr>
        <w:t>由</w:t>
      </w:r>
      <w:r>
        <w:rPr>
          <w:sz w:val="24"/>
          <w:shd w:fill="FFFFFF" w:val="clear"/>
        </w:rPr>
        <w:t>甲方</w:t>
      </w:r>
      <w:r>
        <w:rPr>
          <w:sz w:val="24"/>
          <w:shd w:fill="FFFFFF" w:val="clear"/>
        </w:rPr>
        <w:t>组织</w:t>
      </w:r>
      <w:r>
        <w:rPr>
          <w:sz w:val="24"/>
          <w:shd w:fill="FFFFFF" w:val="clear"/>
        </w:rPr>
        <w:t>实施设备验收。</w:t>
      </w:r>
      <w:r>
        <w:rPr>
          <w:sz w:val="24"/>
        </w:rPr>
        <w:t>乙方</w:t>
      </w:r>
      <w:r>
        <w:rPr>
          <w:sz w:val="24"/>
          <w:shd w:fill="FFFFFF" w:val="clear"/>
        </w:rPr>
        <w:t>配合邀请</w:t>
      </w:r>
      <w:r>
        <w:rPr>
          <w:sz w:val="24"/>
          <w:shd w:fill="FFFFFF" w:val="clear"/>
        </w:rPr>
        <w:t>专家</w:t>
      </w:r>
      <w:r>
        <w:rPr>
          <w:sz w:val="24"/>
          <w:shd w:fill="FFFFFF" w:val="clear"/>
        </w:rPr>
        <w:t>组成验收小组具体实施</w:t>
      </w:r>
      <w:r>
        <w:rPr>
          <w:sz w:val="24"/>
          <w:shd w:fill="FFFFFF" w:val="clear"/>
        </w:rPr>
        <w:t>，由验收小组鉴定是否符合招标项目的验收要求。验收不通过的，</w:t>
      </w:r>
      <w:r>
        <w:rPr>
          <w:sz w:val="24"/>
        </w:rPr>
        <w:t>乙方</w:t>
      </w:r>
      <w:r>
        <w:rPr>
          <w:sz w:val="24"/>
          <w:shd w:fill="FFFFFF" w:val="clear"/>
        </w:rPr>
        <w:t>应在</w:t>
      </w:r>
      <w:r>
        <w:rPr>
          <w:sz w:val="24"/>
          <w:shd w:fill="FFFFFF" w:val="clear"/>
        </w:rPr>
        <w:t>60天内进行优化，</w:t>
      </w:r>
      <w:r>
        <w:rPr>
          <w:sz w:val="24"/>
        </w:rPr>
        <w:t>乙方</w:t>
      </w:r>
      <w:r>
        <w:rPr>
          <w:sz w:val="24"/>
          <w:shd w:fill="FFFFFF" w:val="clear"/>
        </w:rPr>
        <w:t>优化后仍无法达到设备参数要求的，</w:t>
      </w:r>
      <w:r>
        <w:rPr>
          <w:sz w:val="24"/>
          <w:shd w:fill="FFFFFF" w:val="clear"/>
        </w:rPr>
        <w:t>甲方</w:t>
      </w:r>
      <w:r>
        <w:rPr>
          <w:sz w:val="24"/>
          <w:shd w:fill="FFFFFF" w:val="clear"/>
        </w:rPr>
        <w:t>有权要求</w:t>
      </w:r>
      <w:r>
        <w:rPr>
          <w:sz w:val="24"/>
        </w:rPr>
        <w:t>乙方</w:t>
      </w:r>
      <w:r>
        <w:rPr>
          <w:sz w:val="24"/>
          <w:shd w:fill="FFFFFF" w:val="clear"/>
        </w:rPr>
        <w:t>进行货物更换，直至达到验收要求。</w:t>
      </w:r>
    </w:p>
    <w:p>
      <w:pPr>
        <w:pStyle w:val="null3"/>
        <w:ind w:firstLine="480"/>
        <w:jc w:val="both"/>
      </w:pPr>
      <w:r>
        <w:rPr>
          <w:sz w:val="24"/>
          <w:shd w:fill="FFFFFF" w:val="clear"/>
        </w:rPr>
        <w:t>5、通过设备验收且乙方完成一年运行维护工作后，对项目整体工作进行履约验收，履约验收由甲方组织实施，乙方配合邀请</w:t>
      </w:r>
      <w:r>
        <w:rPr>
          <w:sz w:val="24"/>
          <w:shd w:fill="FFFFFF" w:val="clear"/>
        </w:rPr>
        <w:t>专家</w:t>
      </w:r>
      <w:r>
        <w:rPr>
          <w:sz w:val="24"/>
          <w:shd w:fill="FFFFFF" w:val="clear"/>
        </w:rPr>
        <w:t>组成验收小组具体实施，并形成履约验收结论。</w:t>
      </w:r>
    </w:p>
    <w:p>
      <w:pPr>
        <w:pStyle w:val="null3"/>
        <w:ind w:firstLine="420"/>
        <w:jc w:val="both"/>
      </w:pPr>
      <w:r>
        <w:rPr>
          <w:sz w:val="24"/>
          <w:b/>
          <w:shd w:fill="FFFFFF" w:val="clear"/>
        </w:rPr>
        <w:t>六、技术要求（技术参数有要求的以技术参数为准）</w:t>
      </w:r>
    </w:p>
    <w:p>
      <w:pPr>
        <w:pStyle w:val="null3"/>
        <w:ind w:firstLine="482"/>
        <w:jc w:val="both"/>
      </w:pPr>
      <w:r>
        <w:rPr>
          <w:sz w:val="24"/>
          <w:b/>
          <w:shd w:fill="FFFFFF" w:val="clear"/>
        </w:rPr>
        <w:t>（一）产品配置</w:t>
      </w:r>
    </w:p>
    <w:p>
      <w:pPr>
        <w:pStyle w:val="null3"/>
        <w:ind w:firstLine="480"/>
        <w:jc w:val="both"/>
      </w:pPr>
      <w:r>
        <w:rPr>
          <w:sz w:val="24"/>
          <w:shd w:fill="FFFFFF" w:val="clear"/>
        </w:rPr>
        <w:t>无人水质实验室包含收样工作站、样品自动存储库及分液工作站、样品传输及循环工作站、全自动加液工作站、样品自动前处理工作站（消解）、静置工作站、全自动紫外检测分光工作站和化学需氧量（</w:t>
      </w:r>
      <w:r>
        <w:rPr>
          <w:sz w:val="24"/>
          <w:shd w:fill="FFFFFF" w:val="clear"/>
        </w:rPr>
        <w:t>CODcr）检测工作站。</w:t>
      </w:r>
    </w:p>
    <w:p>
      <w:pPr>
        <w:pStyle w:val="null3"/>
        <w:ind w:firstLine="482"/>
        <w:jc w:val="both"/>
      </w:pPr>
      <w:r>
        <w:rPr>
          <w:sz w:val="24"/>
          <w:b/>
        </w:rPr>
        <w:t>（二）总体要求</w:t>
      </w:r>
    </w:p>
    <w:p>
      <w:pPr>
        <w:pStyle w:val="null3"/>
        <w:ind w:firstLine="480"/>
        <w:jc w:val="both"/>
      </w:pPr>
      <w:r>
        <w:rPr>
          <w:sz w:val="24"/>
        </w:rPr>
        <w:t>建成</w:t>
      </w:r>
      <w:r>
        <w:rPr>
          <w:sz w:val="24"/>
        </w:rPr>
        <w:t>1套无人水质实验室，实现样品全自动分样、前处理、流转及自动检测，可实现总磷、总氮、磷酸盐、亚硝酸盐氮、六价铬、化学需氧量（CODcr）6个指标的自动检测。此套无人水质实验室需具备以下功能要求：</w:t>
      </w:r>
    </w:p>
    <w:p>
      <w:pPr>
        <w:pStyle w:val="null3"/>
        <w:ind w:firstLine="480"/>
        <w:jc w:val="left"/>
      </w:pPr>
      <w:r>
        <w:rPr>
          <w:sz w:val="24"/>
        </w:rPr>
        <w:t>1</w:t>
      </w:r>
      <w:r>
        <w:rPr>
          <w:sz w:val="24"/>
        </w:rPr>
        <w:t>、</w:t>
      </w:r>
      <w:r>
        <w:rPr>
          <w:sz w:val="24"/>
        </w:rPr>
        <w:t>实现</w:t>
      </w:r>
      <w:r>
        <w:rPr>
          <w:sz w:val="24"/>
        </w:rPr>
        <w:t>地表水</w:t>
      </w:r>
      <w:r>
        <w:rPr>
          <w:sz w:val="24"/>
        </w:rPr>
        <w:t>样品测试无人化操作。自动完成样品分类、样品储</w:t>
      </w:r>
      <w:r>
        <w:rPr>
          <w:sz w:val="24"/>
        </w:rPr>
        <w:t>存、可实现试剂加液、样品消解、样品转移、显色、检测、清洗等流程自动化，实现</w:t>
      </w:r>
      <w:r>
        <w:rPr>
          <w:sz w:val="24"/>
        </w:rPr>
        <w:t>自动测试</w:t>
      </w:r>
      <w:r>
        <w:rPr>
          <w:sz w:val="24"/>
        </w:rPr>
        <w:t>分析</w:t>
      </w:r>
      <w:r>
        <w:rPr>
          <w:sz w:val="24"/>
        </w:rPr>
        <w:t>。</w:t>
      </w:r>
    </w:p>
    <w:p>
      <w:pPr>
        <w:pStyle w:val="null3"/>
        <w:ind w:firstLine="480"/>
        <w:jc w:val="both"/>
      </w:pPr>
      <w:r>
        <w:rPr>
          <w:sz w:val="24"/>
        </w:rPr>
        <w:t>2</w:t>
      </w:r>
      <w:r>
        <w:rPr>
          <w:sz w:val="24"/>
        </w:rPr>
        <w:t>、</w:t>
      </w:r>
      <w:r>
        <w:rPr>
          <w:sz w:val="24"/>
        </w:rPr>
        <w:t>采用柔性构架多参数合并，便于测试方法调整、自定义测试流程、</w:t>
      </w:r>
      <w:r>
        <w:rPr>
          <w:sz w:val="24"/>
        </w:rPr>
        <w:t>扩展性好</w:t>
      </w:r>
      <w:r>
        <w:rPr>
          <w:sz w:val="24"/>
        </w:rPr>
        <w:t>。</w:t>
      </w:r>
    </w:p>
    <w:p>
      <w:pPr>
        <w:pStyle w:val="null3"/>
        <w:ind w:firstLine="480"/>
        <w:jc w:val="both"/>
      </w:pPr>
      <w:r>
        <w:rPr>
          <w:sz w:val="24"/>
        </w:rPr>
        <w:t>3</w:t>
      </w:r>
      <w:r>
        <w:rPr>
          <w:sz w:val="24"/>
        </w:rPr>
        <w:t>、</w:t>
      </w:r>
      <w:r>
        <w:rPr>
          <w:sz w:val="24"/>
        </w:rPr>
        <w:t>独</w:t>
      </w:r>
      <w:r>
        <w:rPr>
          <w:sz w:val="24"/>
        </w:rPr>
        <w:t>立</w:t>
      </w:r>
      <w:r>
        <w:rPr>
          <w:sz w:val="24"/>
        </w:rPr>
        <w:t>机器人样品存储柜，便于增加库容与搬迁。</w:t>
      </w:r>
    </w:p>
    <w:p>
      <w:pPr>
        <w:pStyle w:val="null3"/>
        <w:ind w:firstLine="480"/>
        <w:jc w:val="both"/>
      </w:pPr>
      <w:r>
        <w:rPr>
          <w:sz w:val="24"/>
        </w:rPr>
        <w:t>4</w:t>
      </w:r>
      <w:r>
        <w:rPr>
          <w:sz w:val="24"/>
        </w:rPr>
        <w:t>、</w:t>
      </w:r>
      <w:r>
        <w:rPr>
          <w:sz w:val="24"/>
        </w:rPr>
        <w:t>严格按照各参数相关标准方法要求（见</w:t>
      </w:r>
      <w:r>
        <w:rPr>
          <w:sz w:val="24"/>
        </w:rPr>
        <w:t>表</w:t>
      </w:r>
      <w:r>
        <w:rPr>
          <w:sz w:val="24"/>
        </w:rPr>
        <w:t>1</w:t>
      </w:r>
      <w:r>
        <w:rPr>
          <w:sz w:val="24"/>
        </w:rPr>
        <w:t>），对水质无人实验室进行整体设计</w:t>
      </w:r>
      <w:r>
        <w:rPr>
          <w:sz w:val="24"/>
        </w:rPr>
        <w:t>，保证测试结果</w:t>
      </w:r>
      <w:r>
        <w:rPr>
          <w:sz w:val="24"/>
        </w:rPr>
        <w:t>符合标准要求</w:t>
      </w:r>
      <w:r>
        <w:rPr>
          <w:sz w:val="24"/>
        </w:rPr>
        <w:t>。</w:t>
      </w:r>
    </w:p>
    <w:p>
      <w:pPr>
        <w:pStyle w:val="null3"/>
        <w:ind w:firstLine="480"/>
        <w:jc w:val="both"/>
      </w:pPr>
      <w:r>
        <w:rPr>
          <w:sz w:val="24"/>
        </w:rPr>
        <w:t>5、配套控制模块，实现对设备的全方位运行管理、流程管理、数据管理。</w:t>
      </w:r>
    </w:p>
    <w:p>
      <w:pPr>
        <w:pStyle w:val="null3"/>
        <w:ind w:firstLine="480"/>
        <w:jc w:val="both"/>
      </w:pPr>
      <w:r>
        <w:rPr>
          <w:sz w:val="24"/>
        </w:rPr>
        <w:t>6、无人水质实验室的数据符合LIMS数据编码要求，可接入LIMS系统，数据自动上传。</w:t>
      </w:r>
    </w:p>
    <w:p>
      <w:pPr>
        <w:pStyle w:val="null3"/>
        <w:ind w:firstLine="482"/>
        <w:jc w:val="both"/>
      </w:pPr>
      <w:r>
        <w:rPr>
          <w:sz w:val="24"/>
          <w:b/>
        </w:rPr>
        <w:t>（三）无人水质实验室技术参数要求</w:t>
      </w:r>
    </w:p>
    <w:p>
      <w:pPr>
        <w:pStyle w:val="null3"/>
        <w:ind w:firstLine="480"/>
        <w:jc w:val="both"/>
      </w:pPr>
      <w:r>
        <w:rPr>
          <w:sz w:val="24"/>
        </w:rPr>
        <w:t>功能要求：实现样品自动分样、前处理、流转及自动检测，可实现总磷，总氮，磷酸盐，亚硝酸盐氮，六价铬、化学需氧量（</w:t>
      </w:r>
      <w:r>
        <w:rPr>
          <w:sz w:val="24"/>
        </w:rPr>
        <w:t>CODcr）6个指标的自动检测，并监控检测流程，对检测过程及结果数据进行记录。各个参数的前处理及检测过程应符合标准方法，且检测精度达到标准方法要求（见</w:t>
      </w:r>
      <w:r>
        <w:rPr>
          <w:sz w:val="24"/>
        </w:rPr>
        <w:t>表</w:t>
      </w:r>
      <w:r>
        <w:rPr>
          <w:sz w:val="24"/>
        </w:rPr>
        <w:t>1</w:t>
      </w:r>
      <w:r>
        <w:rPr>
          <w:sz w:val="24"/>
        </w:rPr>
        <w:t>）。</w:t>
      </w:r>
    </w:p>
    <w:p>
      <w:pPr>
        <w:pStyle w:val="null3"/>
        <w:jc w:val="center"/>
      </w:pPr>
      <w:r>
        <w:rPr>
          <w:sz w:val="24"/>
        </w:rPr>
        <w:t>表</w:t>
      </w:r>
      <w:r>
        <w:rPr>
          <w:sz w:val="24"/>
        </w:rPr>
        <w:t>1水质检测标准要求一览表</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jc w:val="center"/>
            </w:pPr>
            <w:r>
              <w:rPr>
                <w:sz w:val="19"/>
              </w:rPr>
              <w:t>序号</w:t>
            </w:r>
          </w:p>
        </w:tc>
        <w:tc>
          <w:tcPr>
            <w:tcW w:type="dxa" w:w="1384"/>
          </w:tcPr>
          <w:p>
            <w:pPr>
              <w:pStyle w:val="null3"/>
              <w:jc w:val="center"/>
            </w:pPr>
            <w:r>
              <w:rPr>
                <w:sz w:val="19"/>
              </w:rPr>
              <w:t>指标</w:t>
            </w:r>
          </w:p>
        </w:tc>
        <w:tc>
          <w:tcPr>
            <w:tcW w:type="dxa" w:w="1384"/>
          </w:tcPr>
          <w:p>
            <w:pPr>
              <w:pStyle w:val="null3"/>
              <w:jc w:val="center"/>
            </w:pPr>
            <w:r>
              <w:rPr>
                <w:sz w:val="19"/>
              </w:rPr>
              <w:t>介质</w:t>
            </w:r>
          </w:p>
        </w:tc>
        <w:tc>
          <w:tcPr>
            <w:tcW w:type="dxa" w:w="1384"/>
          </w:tcPr>
          <w:p>
            <w:pPr>
              <w:pStyle w:val="null3"/>
              <w:jc w:val="center"/>
            </w:pPr>
            <w:r>
              <w:rPr>
                <w:sz w:val="19"/>
              </w:rPr>
              <w:t>参考标准</w:t>
            </w:r>
          </w:p>
        </w:tc>
        <w:tc>
          <w:tcPr>
            <w:tcW w:type="dxa" w:w="1384"/>
          </w:tcPr>
          <w:p>
            <w:pPr>
              <w:pStyle w:val="null3"/>
              <w:jc w:val="center"/>
            </w:pPr>
            <w:r>
              <w:rPr>
                <w:sz w:val="19"/>
              </w:rPr>
              <w:t>测定重复性</w:t>
            </w:r>
          </w:p>
        </w:tc>
        <w:tc>
          <w:tcPr>
            <w:tcW w:type="dxa" w:w="1384"/>
          </w:tcPr>
          <w:p>
            <w:pPr>
              <w:pStyle w:val="null3"/>
              <w:jc w:val="center"/>
            </w:pPr>
            <w:r>
              <w:rPr>
                <w:sz w:val="19"/>
              </w:rPr>
              <w:t>测定范围mg/L</w:t>
            </w:r>
          </w:p>
        </w:tc>
      </w:tr>
      <w:tr>
        <w:tc>
          <w:tcPr>
            <w:tcW w:type="dxa" w:w="1384"/>
          </w:tcPr>
          <w:p>
            <w:pPr>
              <w:pStyle w:val="null3"/>
              <w:jc w:val="center"/>
            </w:pPr>
            <w:r>
              <w:rPr>
                <w:sz w:val="19"/>
              </w:rPr>
              <w:t>1</w:t>
            </w:r>
          </w:p>
        </w:tc>
        <w:tc>
          <w:tcPr>
            <w:tcW w:type="dxa" w:w="1384"/>
          </w:tcPr>
          <w:p>
            <w:pPr>
              <w:pStyle w:val="null3"/>
              <w:jc w:val="center"/>
            </w:pPr>
            <w:r>
              <w:rPr>
                <w:sz w:val="19"/>
              </w:rPr>
              <w:t>总磷</w:t>
            </w:r>
          </w:p>
        </w:tc>
        <w:tc>
          <w:tcPr>
            <w:tcW w:type="dxa" w:w="1384"/>
          </w:tcPr>
          <w:p>
            <w:pPr>
              <w:pStyle w:val="null3"/>
              <w:jc w:val="center"/>
            </w:pPr>
            <w:r>
              <w:rPr>
                <w:sz w:val="19"/>
              </w:rPr>
              <w:t>水质</w:t>
            </w:r>
          </w:p>
        </w:tc>
        <w:tc>
          <w:tcPr>
            <w:tcW w:type="dxa" w:w="1384"/>
          </w:tcPr>
          <w:p>
            <w:pPr>
              <w:pStyle w:val="null3"/>
              <w:jc w:val="center"/>
            </w:pPr>
            <w:r>
              <w:rPr>
                <w:sz w:val="19"/>
              </w:rPr>
              <w:t>《水质总磷的测定钼酸铵分光光度法》（GB11893-1989）</w:t>
            </w:r>
          </w:p>
        </w:tc>
        <w:tc>
          <w:tcPr>
            <w:tcW w:type="dxa" w:w="1384"/>
          </w:tcPr>
          <w:p>
            <w:pPr>
              <w:pStyle w:val="null3"/>
              <w:jc w:val="center"/>
            </w:pPr>
            <w:r>
              <w:rPr>
                <w:sz w:val="19"/>
              </w:rPr>
              <w:t>2%</w:t>
            </w:r>
          </w:p>
        </w:tc>
        <w:tc>
          <w:tcPr>
            <w:tcW w:type="dxa" w:w="1384"/>
          </w:tcPr>
          <w:p>
            <w:pPr>
              <w:pStyle w:val="null3"/>
              <w:jc w:val="center"/>
            </w:pPr>
            <w:r>
              <w:rPr>
                <w:sz w:val="19"/>
              </w:rPr>
              <w:t>0.04~1.20</w:t>
            </w:r>
          </w:p>
        </w:tc>
      </w:tr>
      <w:tr>
        <w:tc>
          <w:tcPr>
            <w:tcW w:type="dxa" w:w="1384"/>
          </w:tcPr>
          <w:p>
            <w:pPr>
              <w:pStyle w:val="null3"/>
              <w:jc w:val="center"/>
            </w:pPr>
            <w:r>
              <w:rPr>
                <w:sz w:val="19"/>
              </w:rPr>
              <w:t>2</w:t>
            </w:r>
          </w:p>
        </w:tc>
        <w:tc>
          <w:tcPr>
            <w:tcW w:type="dxa" w:w="1384"/>
          </w:tcPr>
          <w:p>
            <w:pPr>
              <w:pStyle w:val="null3"/>
              <w:jc w:val="center"/>
            </w:pPr>
            <w:r>
              <w:rPr>
                <w:sz w:val="19"/>
              </w:rPr>
              <w:t>总氮</w:t>
            </w:r>
          </w:p>
        </w:tc>
        <w:tc>
          <w:tcPr>
            <w:tcW w:type="dxa" w:w="1384"/>
          </w:tcPr>
          <w:p>
            <w:pPr>
              <w:pStyle w:val="null3"/>
              <w:jc w:val="center"/>
            </w:pPr>
            <w:r>
              <w:rPr>
                <w:sz w:val="19"/>
              </w:rPr>
              <w:t>水质</w:t>
            </w:r>
          </w:p>
        </w:tc>
        <w:tc>
          <w:tcPr>
            <w:tcW w:type="dxa" w:w="1384"/>
          </w:tcPr>
          <w:p>
            <w:pPr>
              <w:pStyle w:val="null3"/>
              <w:jc w:val="center"/>
            </w:pPr>
            <w:r>
              <w:rPr>
                <w:sz w:val="19"/>
              </w:rPr>
              <w:t>《水质总氮的测定碱性过硫酸钾消解紫外分光光度法》（HJ636-2012）</w:t>
            </w:r>
          </w:p>
        </w:tc>
        <w:tc>
          <w:tcPr>
            <w:tcW w:type="dxa" w:w="1384"/>
          </w:tcPr>
          <w:p>
            <w:pPr>
              <w:pStyle w:val="null3"/>
              <w:jc w:val="center"/>
            </w:pPr>
            <w:r>
              <w:rPr>
                <w:sz w:val="19"/>
              </w:rPr>
              <w:t>5%</w:t>
            </w:r>
          </w:p>
        </w:tc>
        <w:tc>
          <w:tcPr>
            <w:tcW w:type="dxa" w:w="1384"/>
          </w:tcPr>
          <w:p>
            <w:pPr>
              <w:pStyle w:val="null3"/>
              <w:jc w:val="center"/>
            </w:pPr>
            <w:r>
              <w:rPr>
                <w:sz w:val="19"/>
              </w:rPr>
              <w:t>0.20~7.00</w:t>
            </w:r>
          </w:p>
        </w:tc>
      </w:tr>
      <w:tr>
        <w:tc>
          <w:tcPr>
            <w:tcW w:type="dxa" w:w="1384"/>
          </w:tcPr>
          <w:p>
            <w:pPr>
              <w:pStyle w:val="null3"/>
              <w:jc w:val="center"/>
            </w:pPr>
            <w:r>
              <w:rPr>
                <w:sz w:val="19"/>
              </w:rPr>
              <w:t>3</w:t>
            </w:r>
          </w:p>
        </w:tc>
        <w:tc>
          <w:tcPr>
            <w:tcW w:type="dxa" w:w="1384"/>
          </w:tcPr>
          <w:p>
            <w:pPr>
              <w:pStyle w:val="null3"/>
              <w:jc w:val="center"/>
            </w:pPr>
            <w:r>
              <w:rPr>
                <w:sz w:val="19"/>
              </w:rPr>
              <w:t>磷酸盐</w:t>
            </w:r>
          </w:p>
        </w:tc>
        <w:tc>
          <w:tcPr>
            <w:tcW w:type="dxa" w:w="1384"/>
          </w:tcPr>
          <w:p>
            <w:pPr>
              <w:pStyle w:val="null3"/>
              <w:jc w:val="center"/>
            </w:pPr>
            <w:r>
              <w:rPr>
                <w:sz w:val="19"/>
              </w:rPr>
              <w:t>水质</w:t>
            </w:r>
          </w:p>
        </w:tc>
        <w:tc>
          <w:tcPr>
            <w:tcW w:type="dxa" w:w="1384"/>
          </w:tcPr>
          <w:p>
            <w:pPr>
              <w:pStyle w:val="null3"/>
              <w:jc w:val="center"/>
            </w:pPr>
            <w:r>
              <w:rPr>
                <w:sz w:val="19"/>
              </w:rPr>
              <w:t>《生活饮用水标准检验方法》（GB/T5750.5-2023）</w:t>
            </w:r>
          </w:p>
        </w:tc>
        <w:tc>
          <w:tcPr>
            <w:tcW w:type="dxa" w:w="1384"/>
          </w:tcPr>
          <w:p>
            <w:pPr>
              <w:pStyle w:val="null3"/>
              <w:jc w:val="center"/>
            </w:pPr>
            <w:r>
              <w:rPr>
                <w:sz w:val="19"/>
              </w:rPr>
              <w:t>2%</w:t>
            </w:r>
          </w:p>
        </w:tc>
        <w:tc>
          <w:tcPr>
            <w:tcW w:type="dxa" w:w="1384"/>
          </w:tcPr>
          <w:p>
            <w:pPr>
              <w:pStyle w:val="null3"/>
              <w:jc w:val="center"/>
            </w:pPr>
            <w:r>
              <w:rPr>
                <w:sz w:val="19"/>
              </w:rPr>
              <w:t>0.10~2.0</w:t>
            </w:r>
          </w:p>
        </w:tc>
      </w:tr>
      <w:tr>
        <w:tc>
          <w:tcPr>
            <w:tcW w:type="dxa" w:w="1384"/>
          </w:tcPr>
          <w:p>
            <w:pPr>
              <w:pStyle w:val="null3"/>
              <w:jc w:val="center"/>
            </w:pPr>
            <w:r>
              <w:rPr>
                <w:sz w:val="19"/>
              </w:rPr>
              <w:t>4</w:t>
            </w:r>
          </w:p>
        </w:tc>
        <w:tc>
          <w:tcPr>
            <w:tcW w:type="dxa" w:w="1384"/>
          </w:tcPr>
          <w:p>
            <w:pPr>
              <w:pStyle w:val="null3"/>
              <w:jc w:val="center"/>
            </w:pPr>
            <w:r>
              <w:rPr>
                <w:sz w:val="19"/>
              </w:rPr>
              <w:t>亚硝酸</w:t>
            </w:r>
          </w:p>
          <w:p>
            <w:pPr>
              <w:pStyle w:val="null3"/>
              <w:jc w:val="center"/>
            </w:pPr>
            <w:r>
              <w:rPr>
                <w:sz w:val="19"/>
              </w:rPr>
              <w:t>盐氮</w:t>
            </w:r>
          </w:p>
        </w:tc>
        <w:tc>
          <w:tcPr>
            <w:tcW w:type="dxa" w:w="1384"/>
          </w:tcPr>
          <w:p>
            <w:pPr>
              <w:pStyle w:val="null3"/>
              <w:jc w:val="center"/>
            </w:pPr>
            <w:r>
              <w:rPr>
                <w:sz w:val="19"/>
              </w:rPr>
              <w:t>水质</w:t>
            </w:r>
          </w:p>
        </w:tc>
        <w:tc>
          <w:tcPr>
            <w:tcW w:type="dxa" w:w="1384"/>
          </w:tcPr>
          <w:p>
            <w:pPr>
              <w:pStyle w:val="null3"/>
              <w:jc w:val="center"/>
            </w:pPr>
            <w:r>
              <w:rPr>
                <w:sz w:val="19"/>
              </w:rPr>
              <w:t>《水质亚硝酸盐氮的测定分光光度法》（GB/T7493-1987）</w:t>
            </w:r>
          </w:p>
        </w:tc>
        <w:tc>
          <w:tcPr>
            <w:tcW w:type="dxa" w:w="1384"/>
          </w:tcPr>
          <w:p>
            <w:pPr>
              <w:pStyle w:val="null3"/>
              <w:jc w:val="center"/>
            </w:pPr>
            <w:r>
              <w:rPr>
                <w:sz w:val="19"/>
              </w:rPr>
              <w:t>5%</w:t>
            </w:r>
          </w:p>
        </w:tc>
        <w:tc>
          <w:tcPr>
            <w:tcW w:type="dxa" w:w="1384"/>
          </w:tcPr>
          <w:p>
            <w:pPr>
              <w:pStyle w:val="null3"/>
              <w:jc w:val="center"/>
            </w:pPr>
            <w:r>
              <w:rPr>
                <w:sz w:val="19"/>
              </w:rPr>
              <w:t>0.020~0.200</w:t>
            </w:r>
          </w:p>
        </w:tc>
      </w:tr>
      <w:tr>
        <w:tc>
          <w:tcPr>
            <w:tcW w:type="dxa" w:w="1384"/>
          </w:tcPr>
          <w:p>
            <w:pPr>
              <w:pStyle w:val="null3"/>
              <w:jc w:val="center"/>
            </w:pPr>
            <w:r>
              <w:rPr>
                <w:sz w:val="19"/>
              </w:rPr>
              <w:t>5</w:t>
            </w:r>
          </w:p>
        </w:tc>
        <w:tc>
          <w:tcPr>
            <w:tcW w:type="dxa" w:w="1384"/>
          </w:tcPr>
          <w:p>
            <w:pPr>
              <w:pStyle w:val="null3"/>
              <w:jc w:val="center"/>
            </w:pPr>
            <w:r>
              <w:rPr>
                <w:sz w:val="19"/>
              </w:rPr>
              <w:t>六价铬</w:t>
            </w:r>
          </w:p>
        </w:tc>
        <w:tc>
          <w:tcPr>
            <w:tcW w:type="dxa" w:w="1384"/>
          </w:tcPr>
          <w:p>
            <w:pPr>
              <w:pStyle w:val="null3"/>
              <w:jc w:val="center"/>
            </w:pPr>
            <w:r>
              <w:rPr>
                <w:sz w:val="19"/>
              </w:rPr>
              <w:t>水质</w:t>
            </w:r>
          </w:p>
        </w:tc>
        <w:tc>
          <w:tcPr>
            <w:tcW w:type="dxa" w:w="1384"/>
          </w:tcPr>
          <w:p>
            <w:pPr>
              <w:pStyle w:val="null3"/>
              <w:jc w:val="center"/>
            </w:pPr>
            <w:r>
              <w:rPr>
                <w:sz w:val="19"/>
              </w:rPr>
              <w:t>《水质六价铬的测定二苯碳酰二肼分光光度法》（GB7467-1987）</w:t>
            </w:r>
          </w:p>
        </w:tc>
        <w:tc>
          <w:tcPr>
            <w:tcW w:type="dxa" w:w="1384"/>
          </w:tcPr>
          <w:p>
            <w:pPr>
              <w:pStyle w:val="null3"/>
              <w:jc w:val="center"/>
            </w:pPr>
            <w:r>
              <w:rPr>
                <w:sz w:val="19"/>
              </w:rPr>
              <w:t>2%</w:t>
            </w:r>
          </w:p>
        </w:tc>
        <w:tc>
          <w:tcPr>
            <w:tcW w:type="dxa" w:w="1384"/>
          </w:tcPr>
          <w:p>
            <w:pPr>
              <w:pStyle w:val="null3"/>
              <w:jc w:val="center"/>
            </w:pPr>
            <w:r>
              <w:rPr>
                <w:sz w:val="19"/>
              </w:rPr>
              <w:t>0.004~0.200</w:t>
            </w:r>
          </w:p>
        </w:tc>
      </w:tr>
      <w:tr>
        <w:tc>
          <w:tcPr>
            <w:tcW w:type="dxa" w:w="1384"/>
          </w:tcPr>
          <w:p>
            <w:pPr>
              <w:pStyle w:val="null3"/>
              <w:jc w:val="center"/>
            </w:pPr>
            <w:r>
              <w:rPr>
                <w:sz w:val="19"/>
              </w:rPr>
              <w:t>6</w:t>
            </w:r>
          </w:p>
        </w:tc>
        <w:tc>
          <w:tcPr>
            <w:tcW w:type="dxa" w:w="1384"/>
          </w:tcPr>
          <w:p>
            <w:pPr>
              <w:pStyle w:val="null3"/>
              <w:jc w:val="center"/>
            </w:pPr>
            <w:r>
              <w:rPr>
                <w:sz w:val="19"/>
              </w:rPr>
              <w:t>化学需</w:t>
            </w:r>
          </w:p>
          <w:p>
            <w:pPr>
              <w:pStyle w:val="null3"/>
              <w:jc w:val="center"/>
            </w:pPr>
            <w:r>
              <w:rPr>
                <w:sz w:val="19"/>
              </w:rPr>
              <w:t>氧量（CODcr）</w:t>
            </w:r>
          </w:p>
        </w:tc>
        <w:tc>
          <w:tcPr>
            <w:tcW w:type="dxa" w:w="1384"/>
          </w:tcPr>
          <w:p>
            <w:pPr>
              <w:pStyle w:val="null3"/>
              <w:jc w:val="center"/>
            </w:pPr>
            <w:r>
              <w:rPr>
                <w:sz w:val="19"/>
              </w:rPr>
              <w:t>水质</w:t>
            </w:r>
          </w:p>
        </w:tc>
        <w:tc>
          <w:tcPr>
            <w:tcW w:type="dxa" w:w="1384"/>
          </w:tcPr>
          <w:p>
            <w:pPr>
              <w:pStyle w:val="null3"/>
              <w:jc w:val="center"/>
            </w:pPr>
            <w:r>
              <w:rPr>
                <w:sz w:val="19"/>
              </w:rPr>
              <w:t>《HJ828-2017水质化学需氧量的测定重铬酸盐法》</w:t>
            </w:r>
          </w:p>
        </w:tc>
        <w:tc>
          <w:tcPr>
            <w:tcW w:type="dxa" w:w="1384"/>
          </w:tcPr>
          <w:p>
            <w:pPr>
              <w:pStyle w:val="null3"/>
              <w:jc w:val="center"/>
            </w:pPr>
            <w:r>
              <w:rPr>
                <w:sz w:val="19"/>
              </w:rPr>
              <w:t>2%</w:t>
            </w:r>
          </w:p>
        </w:tc>
        <w:tc>
          <w:tcPr>
            <w:tcW w:type="dxa" w:w="1384"/>
          </w:tcPr>
          <w:p>
            <w:pPr>
              <w:pStyle w:val="null3"/>
              <w:jc w:val="center"/>
            </w:pPr>
            <w:r>
              <w:rPr>
                <w:sz w:val="19"/>
              </w:rPr>
              <w:t>16-700</w:t>
            </w:r>
          </w:p>
        </w:tc>
      </w:tr>
    </w:tbl>
    <w:p>
      <w:pPr>
        <w:pStyle w:val="null3"/>
        <w:jc w:val="both"/>
      </w:pPr>
      <w:r>
        <w:rPr>
          <w:sz w:val="24"/>
        </w:rPr>
        <w:t>（如国家标准修订或变更，按最新标准执行）</w:t>
      </w:r>
    </w:p>
    <w:p>
      <w:pPr>
        <w:pStyle w:val="null3"/>
        <w:ind w:firstLine="420"/>
        <w:jc w:val="both"/>
      </w:pPr>
      <w:r>
        <w:rPr>
          <w:sz w:val="24"/>
          <w:b/>
          <w:shd w:fill="FFFFFF" w:val="clear"/>
        </w:rPr>
        <w:t>七、</w:t>
      </w:r>
      <w:r>
        <w:rPr>
          <w:sz w:val="24"/>
          <w:b/>
        </w:rPr>
        <w:t>运行维护要求</w:t>
      </w:r>
      <w:r>
        <w:rPr>
          <w:sz w:val="24"/>
          <w:b/>
        </w:rPr>
        <w:t>（售后服务）</w:t>
      </w:r>
    </w:p>
    <w:p>
      <w:pPr>
        <w:pStyle w:val="null3"/>
        <w:ind w:firstLine="480"/>
        <w:jc w:val="both"/>
      </w:pPr>
      <w:r>
        <w:rPr>
          <w:sz w:val="24"/>
        </w:rPr>
        <w:t>运行维护期</w:t>
      </w:r>
      <w:r>
        <w:rPr>
          <w:sz w:val="24"/>
        </w:rPr>
        <w:t>:从</w:t>
      </w:r>
      <w:r>
        <w:rPr>
          <w:sz w:val="24"/>
        </w:rPr>
        <w:t>设备</w:t>
      </w:r>
      <w:r>
        <w:rPr>
          <w:sz w:val="24"/>
        </w:rPr>
        <w:t>验收合格之日起计，</w:t>
      </w:r>
      <w:r>
        <w:rPr>
          <w:sz w:val="24"/>
        </w:rPr>
        <w:t>乙方</w:t>
      </w:r>
      <w:r>
        <w:rPr>
          <w:sz w:val="24"/>
        </w:rPr>
        <w:t>应免费提供本项目整体保修</w:t>
      </w:r>
      <w:r>
        <w:rPr>
          <w:sz w:val="24"/>
        </w:rPr>
        <w:t>1年并对整套设备进行运行维护。运行维护期，所有设备系统维修和更换零配件保证仪器正常运行的等所有产生的费用均由</w:t>
      </w:r>
      <w:r>
        <w:rPr>
          <w:sz w:val="24"/>
        </w:rPr>
        <w:t>乙方</w:t>
      </w:r>
      <w:r>
        <w:rPr>
          <w:sz w:val="24"/>
        </w:rPr>
        <w:t>负责。运行维护期，如设备及相关设备系统或零部件因质量原因出现故障而造成停用时，则运行维护期顺延。设备运行期间，</w:t>
      </w:r>
      <w:r>
        <w:rPr>
          <w:sz w:val="24"/>
        </w:rPr>
        <w:t>乙方</w:t>
      </w:r>
      <w:r>
        <w:rPr>
          <w:sz w:val="24"/>
        </w:rPr>
        <w:t>应保障设备的正常使用，保障设备的正常运转及出数据。</w:t>
      </w:r>
    </w:p>
    <w:p>
      <w:pPr>
        <w:pStyle w:val="null3"/>
        <w:ind w:firstLine="480"/>
        <w:jc w:val="both"/>
      </w:pPr>
      <w:r>
        <w:rPr>
          <w:sz w:val="24"/>
        </w:rPr>
        <w:t>运行维护期内，如设备出现故障，</w:t>
      </w:r>
      <w:r>
        <w:rPr>
          <w:sz w:val="24"/>
        </w:rPr>
        <w:t>乙方</w:t>
      </w:r>
      <w:r>
        <w:rPr>
          <w:sz w:val="24"/>
        </w:rPr>
        <w:t>应在接到</w:t>
      </w:r>
      <w:r>
        <w:rPr>
          <w:sz w:val="24"/>
        </w:rPr>
        <w:t>甲方</w:t>
      </w:r>
      <w:r>
        <w:rPr>
          <w:sz w:val="24"/>
        </w:rPr>
        <w:t>通知后</w:t>
      </w:r>
      <w:r>
        <w:rPr>
          <w:sz w:val="24"/>
        </w:rPr>
        <w:t>10分钟内做出响应，2小时内指派技术人员到达现场，提供上门服务，服务人员到达现场后，一般故障在24小时内修复，重大故障在72小时内修复。</w:t>
      </w:r>
    </w:p>
    <w:p>
      <w:pPr>
        <w:pStyle w:val="null3"/>
        <w:ind w:firstLine="420"/>
        <w:jc w:val="both"/>
      </w:pPr>
      <w:r>
        <w:rPr>
          <w:sz w:val="24"/>
        </w:rPr>
        <w:t>乙方</w:t>
      </w:r>
      <w:r>
        <w:rPr>
          <w:sz w:val="24"/>
        </w:rPr>
        <w:t>需定期去设备现场进行巡检，对设备的现场环境、主要零部件的寿命和控制系统进行检查，巡检周期不少于每半个月一次；</w:t>
      </w:r>
      <w:r>
        <w:rPr>
          <w:sz w:val="24"/>
        </w:rPr>
        <w:t>按照《环境监测质量管理技术导则》（</w:t>
      </w:r>
      <w:r>
        <w:rPr>
          <w:sz w:val="24"/>
        </w:rPr>
        <w:t>HJ630-2011）和</w:t>
      </w:r>
      <w:r>
        <w:rPr>
          <w:sz w:val="24"/>
        </w:rPr>
        <w:t>《环境监测分析方法标准制订技术导则》</w:t>
      </w:r>
      <w:r>
        <w:rPr>
          <w:sz w:val="24"/>
        </w:rPr>
        <w:t>（</w:t>
      </w:r>
      <w:r>
        <w:rPr>
          <w:sz w:val="24"/>
        </w:rPr>
        <w:t>HJ168-2020</w:t>
      </w:r>
      <w:r>
        <w:rPr>
          <w:sz w:val="24"/>
        </w:rPr>
        <w:t>）</w:t>
      </w:r>
      <w:r>
        <w:rPr>
          <w:sz w:val="24"/>
        </w:rPr>
        <w:t>要求，每季度进行一次质控校准；每年对设备中加液泵、消解锅及分光光度计等主要部件进行一次计量检定</w:t>
      </w:r>
      <w:r>
        <w:rPr>
          <w:sz w:val="24"/>
        </w:rPr>
        <w:t>/校准。保障设备的稳定性和准确性</w:t>
      </w:r>
      <w:r>
        <w:rPr>
          <w:sz w:val="24"/>
          <w:shd w:fill="FFFFFF" w:val="clear"/>
        </w:rPr>
        <w:t>。</w:t>
      </w:r>
    </w:p>
    <w:p>
      <w:pPr>
        <w:pStyle w:val="null3"/>
        <w:ind w:firstLine="420"/>
        <w:jc w:val="both"/>
      </w:pPr>
      <w:r>
        <w:rPr>
          <w:sz w:val="24"/>
          <w:b/>
          <w:shd w:fill="FFFFFF" w:val="clear"/>
        </w:rPr>
        <w:t>八</w:t>
      </w:r>
      <w:r>
        <w:rPr>
          <w:sz w:val="24"/>
          <w:b/>
          <w:shd w:fill="FFFFFF" w:val="clear"/>
        </w:rPr>
        <w:t>、</w:t>
      </w:r>
      <w:r>
        <w:rPr>
          <w:sz w:val="24"/>
          <w:b/>
        </w:rPr>
        <w:t>服务人员要求</w:t>
      </w:r>
    </w:p>
    <w:p>
      <w:pPr>
        <w:pStyle w:val="null3"/>
        <w:ind w:firstLine="480"/>
        <w:jc w:val="both"/>
      </w:pPr>
      <w:r>
        <w:rPr>
          <w:sz w:val="24"/>
        </w:rPr>
        <w:t>团队成员分工：该项目需具备项目负责人</w:t>
      </w:r>
      <w:r>
        <w:rPr>
          <w:sz w:val="24"/>
        </w:rPr>
        <w:t>1名、技术负责人1名，现场服务人员不少于2名。人员具体工作如下：</w:t>
      </w:r>
    </w:p>
    <w:p>
      <w:pPr>
        <w:pStyle w:val="null3"/>
        <w:ind w:firstLine="480"/>
        <w:jc w:val="both"/>
      </w:pPr>
      <w:r>
        <w:rPr>
          <w:sz w:val="24"/>
        </w:rPr>
        <w:t>项目负责人是该项目上法定授权的第一负责人，全面负责</w:t>
      </w:r>
      <w:r>
        <w:rPr>
          <w:sz w:val="24"/>
        </w:rPr>
        <w:t>甲方</w:t>
      </w:r>
      <w:r>
        <w:rPr>
          <w:sz w:val="24"/>
        </w:rPr>
        <w:t>无人水质实验室的建设工作，对整个项目的实施进度和实施质量进行管理，协调相关资源，保障项目进度和质量。</w:t>
      </w:r>
    </w:p>
    <w:p>
      <w:pPr>
        <w:pStyle w:val="null3"/>
        <w:ind w:firstLine="480"/>
        <w:jc w:val="both"/>
      </w:pPr>
      <w:r>
        <w:rPr>
          <w:sz w:val="24"/>
        </w:rPr>
        <w:t>技术负责人员需具备丰富的实验室水质样品检测经验，负责无人水质实验室设备的检测结果数据准确性检查，每季度检测指标的准确性验证，保障数据结果的准确性。</w:t>
      </w:r>
    </w:p>
    <w:p>
      <w:pPr>
        <w:pStyle w:val="null3"/>
        <w:ind w:firstLine="480"/>
        <w:jc w:val="both"/>
      </w:pPr>
      <w:r>
        <w:rPr>
          <w:sz w:val="24"/>
        </w:rPr>
        <w:t>现场服务人员负责设备现场的安装及调试工作，保障无人水质实验室的稳定运行，现场人员中必须要有设备硬件保障人员及软件保障人员。</w:t>
      </w:r>
    </w:p>
    <w:p>
      <w:pPr>
        <w:pStyle w:val="null3"/>
        <w:ind w:firstLine="480"/>
        <w:jc w:val="both"/>
      </w:pPr>
      <w:r>
        <w:rPr>
          <w:sz w:val="24"/>
        </w:rPr>
        <w:t>硬件保障人员负责设备安装前的场地环境整理、设备现场安装、现场维修、现场运行维护等工作。硬件保障人员需每半个月检查控制单元运行状态是否正常，每半个月对加液泵精度、机器人运行精度进行检查，检查上位机机操作系统及软件有无中毒现象，检查试剂管路有无漏液现象、检查试剂余量情况、检查设备控制模块运行状态。</w:t>
      </w:r>
    </w:p>
    <w:p>
      <w:pPr>
        <w:pStyle w:val="null3"/>
        <w:ind w:firstLine="480"/>
        <w:jc w:val="both"/>
      </w:pPr>
      <w:r>
        <w:rPr>
          <w:sz w:val="24"/>
        </w:rPr>
        <w:t>软件保障人员负责现场设备的运行调试、测试流程调整、与</w:t>
      </w:r>
      <w:r>
        <w:rPr>
          <w:sz w:val="24"/>
        </w:rPr>
        <w:t>LIMS系统的对接工作。</w:t>
      </w:r>
    </w:p>
    <w:p>
      <w:pPr>
        <w:pStyle w:val="null3"/>
        <w:ind w:firstLine="480"/>
        <w:jc w:val="both"/>
      </w:pPr>
      <w:r>
        <w:rPr>
          <w:sz w:val="24"/>
        </w:rPr>
        <w:t>乙方</w:t>
      </w:r>
      <w:r>
        <w:rPr>
          <w:sz w:val="24"/>
        </w:rPr>
        <w:t>需定期组织运维人员技术培训，宣贯、落实</w:t>
      </w:r>
      <w:r>
        <w:rPr>
          <w:sz w:val="24"/>
        </w:rPr>
        <w:t>甲方</w:t>
      </w:r>
      <w:r>
        <w:rPr>
          <w:sz w:val="24"/>
        </w:rPr>
        <w:t>管理相关要求。</w:t>
      </w:r>
      <w:r>
        <w:rPr>
          <w:sz w:val="24"/>
        </w:rPr>
        <w:t>乙方</w:t>
      </w:r>
      <w:r>
        <w:rPr>
          <w:sz w:val="24"/>
        </w:rPr>
        <w:t>相关人员须参加</w:t>
      </w:r>
      <w:r>
        <w:rPr>
          <w:sz w:val="24"/>
        </w:rPr>
        <w:t>甲方</w:t>
      </w:r>
      <w:r>
        <w:rPr>
          <w:sz w:val="24"/>
        </w:rPr>
        <w:t>组织的技术培训以及检测质量的监督检查，接受</w:t>
      </w:r>
      <w:r>
        <w:rPr>
          <w:sz w:val="24"/>
        </w:rPr>
        <w:t>甲方</w:t>
      </w:r>
      <w:r>
        <w:rPr>
          <w:sz w:val="24"/>
        </w:rPr>
        <w:t>或其委托相关机构的监管和考核。</w:t>
      </w:r>
    </w:p>
    <w:p>
      <w:pPr>
        <w:pStyle w:val="null3"/>
        <w:ind w:firstLine="420"/>
        <w:jc w:val="both"/>
      </w:pPr>
      <w:r>
        <w:rPr>
          <w:sz w:val="24"/>
          <w:b/>
          <w:shd w:fill="FFFFFF" w:val="clear"/>
        </w:rPr>
        <w:t>九</w:t>
      </w:r>
      <w:r>
        <w:rPr>
          <w:sz w:val="24"/>
          <w:b/>
          <w:shd w:fill="FFFFFF" w:val="clear"/>
        </w:rPr>
        <w:t>、</w:t>
      </w:r>
      <w:r>
        <w:rPr>
          <w:sz w:val="24"/>
          <w:b/>
        </w:rPr>
        <w:t>培训要求</w:t>
      </w:r>
    </w:p>
    <w:p>
      <w:pPr>
        <w:pStyle w:val="null3"/>
        <w:ind w:firstLine="420"/>
        <w:jc w:val="both"/>
      </w:pPr>
      <w:r>
        <w:rPr>
          <w:sz w:val="24"/>
        </w:rPr>
        <w:t>乙方</w:t>
      </w:r>
      <w:r>
        <w:rPr>
          <w:sz w:val="24"/>
        </w:rPr>
        <w:t>应按照</w:t>
      </w:r>
      <w:r>
        <w:rPr>
          <w:sz w:val="24"/>
        </w:rPr>
        <w:t>甲方</w:t>
      </w:r>
      <w:r>
        <w:rPr>
          <w:sz w:val="24"/>
        </w:rPr>
        <w:t>要求的时间、地点，提供不少于</w:t>
      </w:r>
      <w:r>
        <w:rPr>
          <w:sz w:val="24"/>
        </w:rPr>
        <w:t>10次培训，培训人数及方式根据</w:t>
      </w:r>
      <w:r>
        <w:rPr>
          <w:sz w:val="24"/>
        </w:rPr>
        <w:t>甲方</w:t>
      </w:r>
      <w:r>
        <w:rPr>
          <w:sz w:val="24"/>
        </w:rPr>
        <w:t>要求，培训内容包括设备的使用及操作、日常维修、简单故障的识别及排除等，可包括现场培训、举办培训班等，直至</w:t>
      </w:r>
      <w:r>
        <w:rPr>
          <w:sz w:val="24"/>
        </w:rPr>
        <w:t>甲方</w:t>
      </w:r>
      <w:r>
        <w:rPr>
          <w:sz w:val="24"/>
        </w:rPr>
        <w:t>完全掌握设备的基本操作和维护管理。培训所需全部费用均由</w:t>
      </w:r>
      <w:r>
        <w:rPr>
          <w:sz w:val="24"/>
        </w:rPr>
        <w:t>乙方</w:t>
      </w:r>
      <w:r>
        <w:rPr>
          <w:sz w:val="24"/>
        </w:rPr>
        <w:t>支付。</w:t>
      </w:r>
    </w:p>
    <w:p>
      <w:pPr>
        <w:pStyle w:val="null3"/>
        <w:ind w:firstLine="420"/>
        <w:jc w:val="both"/>
      </w:pPr>
      <w:r>
        <w:rPr>
          <w:sz w:val="24"/>
          <w:b/>
          <w:shd w:fill="FFFFFF" w:val="clear"/>
        </w:rPr>
        <w:t>十</w:t>
      </w:r>
      <w:r>
        <w:rPr>
          <w:sz w:val="24"/>
          <w:b/>
          <w:shd w:fill="FFFFFF" w:val="clear"/>
        </w:rPr>
        <w:t>、</w:t>
      </w:r>
      <w:r>
        <w:rPr>
          <w:sz w:val="24"/>
          <w:b/>
        </w:rPr>
        <w:t>CMA实验室技术支持</w:t>
      </w:r>
    </w:p>
    <w:p>
      <w:pPr>
        <w:pStyle w:val="null3"/>
        <w:ind w:firstLine="480"/>
        <w:jc w:val="both"/>
      </w:pPr>
      <w:r>
        <w:rPr>
          <w:sz w:val="24"/>
        </w:rPr>
        <w:t>乙方应与具备本项目同一分析方法</w:t>
      </w:r>
      <w:r>
        <w:rPr>
          <w:sz w:val="24"/>
        </w:rPr>
        <w:t>（见表</w:t>
      </w:r>
      <w:r>
        <w:rPr>
          <w:sz w:val="24"/>
        </w:rPr>
        <w:t>1）</w:t>
      </w:r>
      <w:r>
        <w:rPr>
          <w:sz w:val="24"/>
        </w:rPr>
        <w:t>CMA资质的检测检验机构（或自有的实验室）具有技术合作或支持关系，为本项目各参数进样分析全过程的准确性规范性提供技术指导和业务培训。</w:t>
      </w:r>
    </w:p>
    <w:p>
      <w:pPr>
        <w:pStyle w:val="null3"/>
        <w:jc w:val="both"/>
      </w:pPr>
      <w:r>
        <w:rPr>
          <w:sz w:val="24"/>
          <w:b/>
        </w:rPr>
        <w:t>十一、应急要求</w:t>
      </w:r>
    </w:p>
    <w:p>
      <w:pPr>
        <w:pStyle w:val="null3"/>
        <w:ind w:firstLine="420"/>
        <w:jc w:val="both"/>
      </w:pPr>
      <w:r>
        <w:rPr>
          <w:sz w:val="24"/>
          <w:shd w:fill="FFFFFF" w:val="clear"/>
        </w:rPr>
        <w:t>为了应对项目实施过程中可能出现的突发情况</w:t>
      </w:r>
      <w:r>
        <w:rPr>
          <w:sz w:val="24"/>
        </w:rPr>
        <w:t>，乙方需</w:t>
      </w:r>
      <w:r>
        <w:rPr>
          <w:sz w:val="24"/>
        </w:rPr>
        <w:t>提供的</w:t>
      </w:r>
      <w:r>
        <w:rPr>
          <w:sz w:val="24"/>
        </w:rPr>
        <w:t>针对各种可能发生的</w:t>
      </w:r>
      <w:r>
        <w:rPr>
          <w:sz w:val="24"/>
        </w:rPr>
        <w:t>突发事件，做到事前预判，事后能保障快速、高效的应急方案</w:t>
      </w:r>
    </w:p>
    <w:p>
      <w:pPr>
        <w:pStyle w:val="null3"/>
        <w:ind w:firstLine="420"/>
        <w:jc w:val="both"/>
      </w:pPr>
      <w:r>
        <w:rPr>
          <w:sz w:val="24"/>
          <w:b/>
          <w:shd w:fill="FFFFFF" w:val="clear"/>
        </w:rPr>
        <w:t>十二</w:t>
      </w:r>
      <w:r>
        <w:rPr>
          <w:sz w:val="24"/>
          <w:b/>
          <w:shd w:fill="FFFFFF" w:val="clear"/>
        </w:rPr>
        <w:t>、违约责任与赔偿损失</w:t>
      </w:r>
    </w:p>
    <w:p>
      <w:pPr>
        <w:pStyle w:val="null3"/>
        <w:ind w:firstLine="420"/>
        <w:jc w:val="both"/>
      </w:pPr>
      <w:r>
        <w:rPr>
          <w:sz w:val="24"/>
          <w:shd w:fill="FFFFFF" w:val="clear"/>
        </w:rPr>
        <w:t>1、乙方交付的货物、工程/提供的服务不符合本合同规定的，甲方有权拒收，并且乙方须向甲方支付本合同总价5%的违约金。</w:t>
      </w:r>
    </w:p>
    <w:p>
      <w:pPr>
        <w:pStyle w:val="null3"/>
        <w:ind w:firstLine="420"/>
        <w:jc w:val="both"/>
      </w:pPr>
      <w:r>
        <w:rPr>
          <w:sz w:val="24"/>
          <w:shd w:fill="FFFFFF" w:val="clear"/>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shd w:fill="FFFFFF" w:val="clear"/>
        </w:rPr>
        <w:t>3、甲方无正当理由拒收货物/接受服务，到期拒付货物/服务款项的，甲方向乙方偿付本合同总的5%的违约金。甲方付款时间为向财政部门提出办理财政支付申请手续的时间（不含财政部门支付审核时间），甲方在约定时间内向财政部门提出支付申请手续即为按期支付。</w:t>
      </w:r>
    </w:p>
    <w:p>
      <w:pPr>
        <w:pStyle w:val="null3"/>
        <w:ind w:firstLine="420"/>
        <w:jc w:val="both"/>
      </w:pPr>
      <w:r>
        <w:rPr>
          <w:sz w:val="24"/>
          <w:shd w:fill="FFFFFF" w:val="clear"/>
        </w:rPr>
        <w:t>合同生效后，因财政部门未批复财政预算或财政预算不足，致使逾期支付，不视为甲方违约；甲方可以顺延至财政预算批复后付款。</w:t>
      </w:r>
    </w:p>
    <w:p>
      <w:pPr>
        <w:pStyle w:val="null3"/>
        <w:ind w:firstLine="420"/>
        <w:jc w:val="both"/>
      </w:pPr>
      <w:r>
        <w:rPr>
          <w:sz w:val="24"/>
          <w:shd w:fill="FFFFFF" w:val="clear"/>
        </w:rPr>
        <w:t>4、其它违约责任按《中华人民共和国民法典》处理。</w:t>
      </w:r>
    </w:p>
    <w:p>
      <w:pPr>
        <w:pStyle w:val="null3"/>
        <w:ind w:firstLine="420"/>
        <w:jc w:val="both"/>
      </w:pPr>
      <w:r>
        <w:rPr>
          <w:sz w:val="24"/>
          <w:b/>
          <w:shd w:fill="FFFFFF" w:val="clear"/>
        </w:rPr>
        <w:t>十</w:t>
      </w:r>
      <w:r>
        <w:rPr>
          <w:sz w:val="24"/>
          <w:b/>
          <w:shd w:fill="FFFFFF" w:val="clear"/>
        </w:rPr>
        <w:t>三</w:t>
      </w:r>
      <w:r>
        <w:rPr>
          <w:sz w:val="24"/>
          <w:b/>
          <w:shd w:fill="FFFFFF" w:val="clear"/>
        </w:rPr>
        <w:t>、争议的解决</w:t>
      </w:r>
    </w:p>
    <w:p>
      <w:pPr>
        <w:pStyle w:val="null3"/>
        <w:ind w:firstLine="420"/>
        <w:jc w:val="both"/>
      </w:pPr>
      <w:r>
        <w:rPr>
          <w:sz w:val="24"/>
          <w:shd w:fill="FFFFFF" w:val="clear"/>
        </w:rPr>
        <w:t>合同执行过程中发生的任何争议，如双方不能通过友好协商解决，按相关法律法规处理。</w:t>
      </w:r>
    </w:p>
    <w:p>
      <w:pPr>
        <w:pStyle w:val="null3"/>
        <w:ind w:firstLine="420"/>
        <w:jc w:val="both"/>
      </w:pPr>
      <w:r>
        <w:rPr>
          <w:sz w:val="24"/>
          <w:b/>
          <w:shd w:fill="FFFFFF" w:val="clear"/>
        </w:rPr>
        <w:t>十</w:t>
      </w:r>
      <w:r>
        <w:rPr>
          <w:sz w:val="24"/>
          <w:b/>
          <w:shd w:fill="FFFFFF" w:val="clear"/>
        </w:rPr>
        <w:t>四</w:t>
      </w:r>
      <w:r>
        <w:rPr>
          <w:sz w:val="24"/>
          <w:b/>
          <w:shd w:fill="FFFFFF" w:val="clear"/>
        </w:rPr>
        <w:t>、不可抗力</w:t>
      </w:r>
    </w:p>
    <w:p>
      <w:pPr>
        <w:pStyle w:val="null3"/>
        <w:ind w:firstLine="420"/>
        <w:jc w:val="both"/>
      </w:pPr>
      <w:r>
        <w:rPr>
          <w:sz w:val="24"/>
          <w:shd w:fill="FFFFFF" w:val="clear"/>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shd w:fill="FFFFFF" w:val="clear"/>
        </w:rPr>
        <w:t>十</w:t>
      </w:r>
      <w:r>
        <w:rPr>
          <w:sz w:val="24"/>
          <w:b/>
          <w:shd w:fill="FFFFFF" w:val="clear"/>
        </w:rPr>
        <w:t>五</w:t>
      </w:r>
      <w:r>
        <w:rPr>
          <w:sz w:val="24"/>
          <w:b/>
          <w:shd w:fill="FFFFFF" w:val="clear"/>
        </w:rPr>
        <w:t>、税费</w:t>
      </w:r>
    </w:p>
    <w:p>
      <w:pPr>
        <w:pStyle w:val="null3"/>
        <w:ind w:firstLine="420"/>
        <w:jc w:val="both"/>
      </w:pPr>
      <w:r>
        <w:rPr>
          <w:sz w:val="24"/>
          <w:shd w:fill="FFFFFF" w:val="clear"/>
        </w:rPr>
        <w:t>1、在中国境内、外发生的与本合同执行有关的一切税费均由乙方负担。</w:t>
      </w:r>
    </w:p>
    <w:p>
      <w:pPr>
        <w:pStyle w:val="null3"/>
        <w:ind w:firstLine="420"/>
        <w:jc w:val="both"/>
      </w:pPr>
      <w:r>
        <w:rPr>
          <w:sz w:val="24"/>
          <w:b/>
          <w:shd w:fill="FFFFFF" w:val="clear"/>
        </w:rPr>
        <w:t>十</w:t>
      </w:r>
      <w:r>
        <w:rPr>
          <w:sz w:val="24"/>
          <w:b/>
          <w:shd w:fill="FFFFFF" w:val="clear"/>
        </w:rPr>
        <w:t>六</w:t>
      </w:r>
      <w:r>
        <w:rPr>
          <w:sz w:val="24"/>
          <w:b/>
          <w:shd w:fill="FFFFFF" w:val="clear"/>
        </w:rPr>
        <w:t>、其它</w:t>
      </w:r>
    </w:p>
    <w:p>
      <w:pPr>
        <w:pStyle w:val="null3"/>
        <w:ind w:firstLine="420"/>
        <w:jc w:val="both"/>
      </w:pPr>
      <w:r>
        <w:rPr>
          <w:sz w:val="24"/>
          <w:shd w:fill="FFFFFF" w:val="clear"/>
        </w:rPr>
        <w:t>1、本合同所有附件、招标文件、投标文件、中标通知书均为合同的有效组成部分，与本合同具有同等法律效力。</w:t>
      </w:r>
    </w:p>
    <w:p>
      <w:pPr>
        <w:pStyle w:val="null3"/>
        <w:ind w:firstLine="420"/>
        <w:jc w:val="both"/>
      </w:pPr>
      <w:r>
        <w:rPr>
          <w:sz w:val="24"/>
          <w:shd w:fill="FFFFFF" w:val="clear"/>
        </w:rPr>
        <w:t>2、在执行本合同的过程中，所有经双方签署确认的文件（包括会议纪要、补充协议、往来信函）为本合同的有效组成部分。</w:t>
      </w:r>
    </w:p>
    <w:p>
      <w:pPr>
        <w:pStyle w:val="null3"/>
        <w:ind w:firstLine="420"/>
        <w:jc w:val="both"/>
      </w:pPr>
      <w:r>
        <w:rPr>
          <w:sz w:val="24"/>
          <w:shd w:fill="FFFFFF" w:val="clear"/>
        </w:rPr>
        <w:t>3、如一方地址、电话、传真号码有变更，应在变更当日内书面通知对方，否则，应承担相应责任。</w:t>
      </w:r>
    </w:p>
    <w:p>
      <w:pPr>
        <w:pStyle w:val="null3"/>
        <w:ind w:firstLine="420"/>
        <w:jc w:val="both"/>
      </w:pPr>
      <w:r>
        <w:rPr>
          <w:sz w:val="24"/>
          <w:shd w:fill="FFFFFF" w:val="clear"/>
        </w:rPr>
        <w:t>4、除甲方事先书面同意外，乙方不得部分或全部转让其应履行的合同项下的义务。</w:t>
      </w:r>
    </w:p>
    <w:p>
      <w:pPr>
        <w:pStyle w:val="null3"/>
        <w:ind w:firstLine="420"/>
        <w:jc w:val="both"/>
      </w:pPr>
      <w:r>
        <w:rPr>
          <w:sz w:val="24"/>
          <w:b/>
          <w:shd w:fill="FFFFFF" w:val="clear"/>
        </w:rPr>
        <w:t>十</w:t>
      </w:r>
      <w:r>
        <w:rPr>
          <w:sz w:val="24"/>
          <w:b/>
          <w:shd w:fill="FFFFFF" w:val="clear"/>
        </w:rPr>
        <w:t>七</w:t>
      </w:r>
      <w:r>
        <w:rPr>
          <w:sz w:val="24"/>
          <w:b/>
          <w:shd w:fill="FFFFFF" w:val="clear"/>
        </w:rPr>
        <w:t>、合同生效</w:t>
      </w:r>
    </w:p>
    <w:p>
      <w:pPr>
        <w:pStyle w:val="null3"/>
        <w:ind w:firstLine="420"/>
        <w:jc w:val="both"/>
      </w:pPr>
      <w:r>
        <w:rPr>
          <w:sz w:val="24"/>
          <w:shd w:fill="FFFFFF" w:val="clear"/>
        </w:rPr>
        <w:t>1、本合同在甲乙双方法人代表或其授权代表签字盖章后生效。</w:t>
      </w:r>
    </w:p>
    <w:p>
      <w:pPr>
        <w:pStyle w:val="null3"/>
        <w:ind w:firstLine="420"/>
        <w:jc w:val="both"/>
      </w:pPr>
      <w:r>
        <w:rPr>
          <w:sz w:val="24"/>
          <w:shd w:fill="FFFFFF" w:val="clear"/>
        </w:rPr>
        <w:t>2、合同一式份。</w:t>
      </w:r>
    </w:p>
    <w:p>
      <w:pPr>
        <w:pStyle w:val="null3"/>
        <w:ind w:firstLine="420"/>
        <w:jc w:val="both"/>
      </w:pPr>
      <w:r>
        <w:rPr>
          <w:sz w:val="24"/>
          <w:shd w:fill="FFFFFF" w:val="clear"/>
        </w:rPr>
        <w:t>甲方（盖章）：</w:t>
      </w:r>
      <w:r>
        <w:rPr>
          <w:sz w:val="24"/>
        </w:rPr>
        <w:t xml:space="preserve">                     </w:t>
      </w:r>
      <w:r>
        <w:rPr>
          <w:sz w:val="24"/>
          <w:shd w:fill="FFFFFF" w:val="clear"/>
        </w:rPr>
        <w:t>乙方（盖章）：</w:t>
      </w:r>
    </w:p>
    <w:p>
      <w:pPr>
        <w:pStyle w:val="null3"/>
        <w:ind w:firstLine="420"/>
        <w:jc w:val="both"/>
      </w:pPr>
      <w:r>
        <w:rPr>
          <w:sz w:val="24"/>
          <w:shd w:fill="FFFFFF" w:val="clear"/>
        </w:rPr>
        <w:t>代表：</w:t>
      </w:r>
      <w:r>
        <w:rPr>
          <w:sz w:val="24"/>
        </w:rPr>
        <w:t xml:space="preserve">                             </w:t>
      </w:r>
      <w:r>
        <w:rPr>
          <w:sz w:val="24"/>
          <w:shd w:fill="FFFFFF" w:val="clear"/>
        </w:rPr>
        <w:t>代表：</w:t>
      </w:r>
    </w:p>
    <w:p>
      <w:pPr>
        <w:pStyle w:val="null3"/>
        <w:ind w:firstLine="420"/>
        <w:jc w:val="both"/>
      </w:pPr>
      <w:r>
        <w:rPr>
          <w:sz w:val="24"/>
          <w:shd w:fill="FFFFFF" w:val="clear"/>
        </w:rPr>
        <w:t>签定地点：</w:t>
      </w:r>
    </w:p>
    <w:p>
      <w:pPr>
        <w:pStyle w:val="null3"/>
        <w:ind w:firstLine="420"/>
        <w:jc w:val="both"/>
      </w:pPr>
      <w:r>
        <w:rPr>
          <w:sz w:val="24"/>
          <w:shd w:fill="FFFFFF" w:val="clear"/>
        </w:rPr>
        <w:t>签定日期：　　　年　　月　　日</w:t>
      </w:r>
      <w:r>
        <w:rPr>
          <w:sz w:val="24"/>
        </w:rPr>
        <w:t xml:space="preserve">     </w:t>
      </w:r>
      <w:r>
        <w:rPr>
          <w:sz w:val="24"/>
          <w:shd w:fill="FFFFFF" w:val="clear"/>
        </w:rPr>
        <w:t>签定日期：　　年　　月　　日</w:t>
      </w:r>
    </w:p>
    <w:p>
      <w:pPr>
        <w:pStyle w:val="null3"/>
        <w:ind w:firstLine="2160"/>
        <w:jc w:val="both"/>
      </w:pPr>
      <w:r>
        <w:rPr>
          <w:sz w:val="24"/>
        </w:rPr>
        <w:t xml:space="preserve">                    </w:t>
      </w:r>
      <w:r>
        <w:rPr>
          <w:sz w:val="24"/>
          <w:shd w:fill="FFFFFF" w:val="clear"/>
        </w:rPr>
        <w:t>开户名称：</w:t>
      </w:r>
    </w:p>
    <w:p>
      <w:pPr>
        <w:pStyle w:val="null3"/>
        <w:ind w:firstLine="420"/>
        <w:jc w:val="both"/>
      </w:pPr>
      <w:r>
        <w:rPr>
          <w:sz w:val="24"/>
        </w:rPr>
        <w:t xml:space="preserve">                                   </w:t>
      </w:r>
      <w:r>
        <w:rPr>
          <w:sz w:val="24"/>
          <w:shd w:fill="FFFFFF" w:val="clear"/>
        </w:rPr>
        <w:t>银行帐号：</w:t>
      </w:r>
    </w:p>
    <w:p>
      <w:pPr>
        <w:pStyle w:val="null3"/>
        <w:ind w:firstLine="420"/>
        <w:jc w:val="both"/>
      </w:pPr>
      <w:r>
        <w:rPr>
          <w:sz w:val="24"/>
        </w:rPr>
        <w:t xml:space="preserve">                                   </w:t>
      </w:r>
      <w:r>
        <w:rPr>
          <w:sz w:val="24"/>
          <w:shd w:fill="FFFFFF" w:val="clear"/>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440101-2024-23894</w:t>
      </w:r>
    </w:p>
    <w:p>
      <w:pPr>
        <w:pStyle w:val="null3"/>
        <w:jc w:val="center"/>
        <w:outlineLvl w:val="3"/>
      </w:pPr>
      <w:r>
        <w:rPr>
          <w:sz w:val="24"/>
          <w:b/>
        </w:rPr>
        <w:t>采购项目编号：</w:t>
      </w:r>
      <w:r>
        <w:rPr>
          <w:sz w:val="24"/>
          <w:b/>
        </w:rPr>
        <w:t>HYGZ24SH01C0572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广州市生态环境局南沙环境监测站无人水质实验室构建</w:t>
      </w:r>
      <w:r>
        <w:rPr>
          <w:u w:val="single"/>
        </w:rPr>
        <w:t>”</w:t>
      </w:r>
      <w:r>
        <w:rPr/>
        <w:t>项目的招标[采购项目编号为：</w:t>
      </w:r>
      <w:r>
        <w:rPr>
          <w:u w:val="single"/>
        </w:rPr>
        <w:t>HYGZ24SH01C0572</w:t>
      </w:r>
      <w:r>
        <w:rPr/>
        <w:t>]，我方愿参与投标。</w:t>
      </w:r>
    </w:p>
    <w:p>
      <w:pPr>
        <w:pStyle w:val="null3"/>
        <w:ind w:firstLine="480"/>
      </w:pPr>
      <w:r>
        <w:rPr/>
        <w:t>我方确认收到贵方提供的</w:t>
      </w:r>
      <w:r>
        <w:rPr>
          <w:u w:val="single"/>
        </w:rPr>
        <w:t>“</w:t>
      </w:r>
      <w:r>
        <w:rPr>
          <w:u w:val="single"/>
        </w:rPr>
        <w:t>广州市生态环境局南沙环境监测站无人水质实验室构建</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广州市生态环境局南沙环境监测站无人水质实验室构建</w:t>
      </w:r>
      <w:r>
        <w:rPr/>
        <w:t>”项目采购[采购项目编号为</w:t>
      </w:r>
      <w:r>
        <w:rPr/>
        <w:t>HYGZ24SH01C0572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广州市生态环境局南沙环境监测站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广州市生态环境局南沙环境监测站无人水质实验室构建</w:t>
      </w:r>
      <w:r>
        <w:rPr/>
        <w:t>招标中获中标（采购项目编号：</w:t>
      </w:r>
      <w:r>
        <w:rPr/>
        <w:t>HYGZ24SH01C0572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