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版本号：N513426202500014520251022002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姜州镇姜州安置点烤烟种植配套基础设施建设工程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N5134262025000145</w:t>
      </w:r>
    </w:p>
    <w:p>
      <w:pPr>
        <w:pStyle w:val="null3"/>
        <w:jc w:val="center"/>
        <w:outlineLvl w:val="2"/>
      </w:pPr>
      <w:r>
        <w:rPr>
          <w:rFonts w:ascii="仿宋_GB2312" w:hAnsi="仿宋_GB2312" w:cs="仿宋_GB2312" w:eastAsia="仿宋_GB2312"/>
          <w:sz w:val="28"/>
          <w:b/>
        </w:rPr>
        <w:t>会东县姜州镇人民政府</w:t>
      </w:r>
    </w:p>
    <w:p>
      <w:pPr>
        <w:pStyle w:val="null3"/>
        <w:jc w:val="center"/>
        <w:outlineLvl w:val="2"/>
      </w:pPr>
      <w:r>
        <w:rPr>
          <w:rFonts w:ascii="仿宋_GB2312" w:hAnsi="仿宋_GB2312" w:cs="仿宋_GB2312" w:eastAsia="仿宋_GB2312"/>
          <w:sz w:val="28"/>
          <w:b/>
        </w:rPr>
        <w:t>会东县人民政府采购中心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会东县人民政府采购中心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会东县姜州镇人民政府</w:t>
      </w:r>
      <w:r>
        <w:rPr>
          <w:rFonts w:ascii="仿宋_GB2312" w:hAnsi="仿宋_GB2312" w:cs="仿宋_GB2312" w:eastAsia="仿宋_GB2312"/>
        </w:rPr>
        <w:t xml:space="preserve"> 委托，拟对 </w:t>
      </w:r>
      <w:r>
        <w:rPr>
          <w:rFonts w:ascii="仿宋_GB2312" w:hAnsi="仿宋_GB2312" w:cs="仿宋_GB2312" w:eastAsia="仿宋_GB2312"/>
        </w:rPr>
        <w:t>姜州镇姜州安置点烤烟种植配套基础设施建设工程</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凉山彝族自治州会东县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N5134262025000145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姜州镇姜州安置点烤烟种植配套基础设施建设工程</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工程为姜州镇姜州安置点烤烟种植配套基础设施建设工程，建设地点为会东县姜州镇。本工程内容包含：土石方工程、砌筑工程、混凝土及钢筋混凝土工程、金属结构工程、门窗工程、屋面及防水工程、楼地面装饰工程、墙、柱面装饰与隔断、幕墙工程。</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会东县姜州镇人民政府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会东县姜州镇商贸街</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615201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苏建麟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0834-5480019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会东县人民政府采购中心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四川省凉山彝族自治州会东县会东县金江新区政务服务大楼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申凯</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0834-5425106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采购包1：1,586,994.49元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保函/保险</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会东县姜州镇人民政府</w:t>
      </w:r>
      <w:r>
        <w:rPr>
          <w:rFonts w:ascii="仿宋_GB2312" w:hAnsi="仿宋_GB2312" w:cs="仿宋_GB2312" w:eastAsia="仿宋_GB2312"/>
        </w:rPr>
        <w:t xml:space="preserve"> 和 </w:t>
      </w:r>
      <w:r>
        <w:rPr>
          <w:rFonts w:ascii="仿宋_GB2312" w:hAnsi="仿宋_GB2312" w:cs="仿宋_GB2312" w:eastAsia="仿宋_GB2312"/>
        </w:rPr>
        <w:t>会东县人民政府采购中心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会东县姜州镇人民政府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会东县人民政府采购中心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工程竣工后由成交供应商提交竣工报告之日起15日内，采购方组织验收工作，书面形式通知供应商</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成交供应商与采购人应根据实际竣工时间约定并组织双方相关人员对合同履约事项进行验收确认，并出具验收报告。②成交供应商应将项目实施过程资料、验收文件等资料（如施工日志、测试报告、工程材料合格证明及监测报告等）进行整理、归档并移交采购人存档。</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1.满足磋商文件规定和投标供应商响应的资格性要求和符合性要求内容，是否按照清单内容和图纸要求进行施工。 2.供应商针对本项目的施工，必须达到国家及行业现行技术规范标准，符合国家及行业验收合格标准。 3.按照合同要求核定材料的品牌与产地等是否与投标时清单中提供的产品相符，防止使用假冒伪劣产品或者不符合要求的产品。 4.施工记录和报告是否完整（包含但不限于漏项工程验收记录、材料验收报告、分项分部工程质量检验评定记录等） 5.交付竣工验收的工程，必须符合规定的工程质量标准，有完整的工程技术经济资料和经签署的工程保修书，并具备国家规定的其他竣工条件。 6.施工过程中是否按照合同约定提供人员入场，技术指导和问题解决。 工程竣工经验收合格后，方可交付使用；验收合格后提供完整的《竣工验收资料》给予采 购人备案，图纸资料还须提供纸质及电子版。未经验收或者验收不合格的，不得交付使用。 7.验收结果合格的，采购人应向成交供应商出具履约验收报告，成交供应商凭验收报告办理相关手续。 8.验收结果不合格的，履约保证金将不予退还，给采购人造成的损失超过履约保证金数额的，还应当对超过部分予以赔偿；</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按照采购磋商文件、供应商投标文件、工程量清单及国家相关法律法规、行业主管部门要求执行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按照采购磋商文件、供应商投标文件、工程量清单及国家相关法律法规、行业主管部门要求执行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按照采购磋商文件、供应商投标文件、工程量清单及国家相关法律法规、行业主管部门要求执行</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会东县姜州镇人民政府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会东县人民政府采购中心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会东县人民政府采购中心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联系人：苏先生（采购需求）</w:t>
      </w:r>
    </w:p>
    <w:p>
      <w:pPr>
        <w:pStyle w:val="null3"/>
        <w:jc w:val="left"/>
      </w:pPr>
      <w:r>
        <w:rPr>
          <w:rFonts w:ascii="仿宋_GB2312" w:hAnsi="仿宋_GB2312" w:cs="仿宋_GB2312" w:eastAsia="仿宋_GB2312"/>
        </w:rPr>
        <w:t>联系电话：0834-5480019</w:t>
      </w:r>
    </w:p>
    <w:p>
      <w:pPr>
        <w:pStyle w:val="null3"/>
        <w:jc w:val="left"/>
      </w:pPr>
      <w:r>
        <w:rPr>
          <w:rFonts w:ascii="仿宋_GB2312" w:hAnsi="仿宋_GB2312" w:cs="仿宋_GB2312" w:eastAsia="仿宋_GB2312"/>
        </w:rPr>
        <w:t>地址：会东县姜州镇商贸街</w:t>
      </w:r>
    </w:p>
    <w:p>
      <w:pPr>
        <w:pStyle w:val="null3"/>
        <w:jc w:val="left"/>
      </w:pPr>
      <w:r>
        <w:rPr>
          <w:rFonts w:ascii="仿宋_GB2312" w:hAnsi="仿宋_GB2312" w:cs="仿宋_GB2312" w:eastAsia="仿宋_GB2312"/>
        </w:rPr>
        <w:t>邮编：615201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联系人：申先生/黄女士</w:t>
      </w:r>
    </w:p>
    <w:p>
      <w:pPr>
        <w:pStyle w:val="null3"/>
        <w:jc w:val="left"/>
      </w:pPr>
      <w:r>
        <w:rPr>
          <w:rFonts w:ascii="仿宋_GB2312" w:hAnsi="仿宋_GB2312" w:cs="仿宋_GB2312" w:eastAsia="仿宋_GB2312"/>
        </w:rPr>
        <w:t>联系电话：0834-5425106</w:t>
      </w:r>
    </w:p>
    <w:p>
      <w:pPr>
        <w:pStyle w:val="null3"/>
        <w:jc w:val="left"/>
      </w:pPr>
      <w:r>
        <w:rPr>
          <w:rFonts w:ascii="仿宋_GB2312" w:hAnsi="仿宋_GB2312" w:cs="仿宋_GB2312" w:eastAsia="仿宋_GB2312"/>
        </w:rPr>
        <w:t>地址：四川省凉山彝族自治州会东县会东县金江新区政务服务大楼</w:t>
      </w:r>
    </w:p>
    <w:p>
      <w:pPr>
        <w:pStyle w:val="null3"/>
        <w:jc w:val="left"/>
      </w:pPr>
      <w:r>
        <w:rPr>
          <w:rFonts w:ascii="仿宋_GB2312" w:hAnsi="仿宋_GB2312" w:cs="仿宋_GB2312" w:eastAsia="仿宋_GB2312"/>
        </w:rPr>
        <w:t>邮编：615200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1,586,994.49</w:t>
      </w:r>
    </w:p>
    <w:p>
      <w:pPr>
        <w:pStyle w:val="null3"/>
        <w:jc w:val="left"/>
      </w:pPr>
      <w:r>
        <w:rPr>
          <w:rFonts w:ascii="仿宋_GB2312" w:hAnsi="仿宋_GB2312" w:cs="仿宋_GB2312" w:eastAsia="仿宋_GB2312"/>
        </w:rPr>
        <w:t>采购包最高限价（元）: 1,559,319.30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B02990000 其他构筑物工程施工</w:t>
            </w:r>
          </w:p>
        </w:tc>
        <w:tc>
          <w:tcPr>
            <w:tcW w:type="dxa" w:w="821"/>
          </w:tcPr>
          <w:p>
            <w:pPr>
              <w:pStyle w:val="null3"/>
              <w:jc w:val="left"/>
            </w:pPr>
            <w:r>
              <w:rPr>
                <w:rFonts w:ascii="仿宋_GB2312" w:hAnsi="仿宋_GB2312" w:cs="仿宋_GB2312" w:eastAsia="仿宋_GB2312"/>
              </w:rPr>
              <w:t>姜州镇姜州安置点烤烟种植配套基础设施建设工程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1,559,319.30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姜州镇姜州安置点烤烟种植配套基础设施建设工程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1,559,319.30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本项目采用固定总价合同。以招标控制价金额：1559319.3元作为固定价（合同价）本项目必须提供工程量清单计价表，投标报价低于或高于固定价作无效响应处理。</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B02990000 其他构筑物工程施工</w:t>
            </w:r>
          </w:p>
        </w:tc>
        <w:tc>
          <w:tcPr>
            <w:tcW w:type="dxa" w:w="2492"/>
          </w:tcPr>
          <w:p>
            <w:pPr>
              <w:pStyle w:val="null3"/>
              <w:jc w:val="left"/>
            </w:pPr>
            <w:r>
              <w:rPr>
                <w:rFonts w:ascii="仿宋_GB2312" w:hAnsi="仿宋_GB2312" w:cs="仿宋_GB2312" w:eastAsia="仿宋_GB2312"/>
              </w:rPr>
              <w:t>姜州镇姜州安置点烤烟种植配套基础设施建设工程</w:t>
            </w:r>
          </w:p>
        </w:tc>
        <w:tc>
          <w:tcPr>
            <w:tcW w:type="dxa" w:w="2492"/>
          </w:tcPr>
          <w:p>
            <w:pPr>
              <w:pStyle w:val="null3"/>
              <w:jc w:val="left"/>
            </w:pPr>
            <w:r>
              <w:rPr>
                <w:rFonts w:ascii="仿宋_GB2312" w:hAnsi="仿宋_GB2312" w:cs="仿宋_GB2312" w:eastAsia="仿宋_GB2312"/>
              </w:rPr>
              <w:t>LED灯</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B02990000 其他构筑物工程施工</w:t>
            </w:r>
          </w:p>
        </w:tc>
        <w:tc>
          <w:tcPr>
            <w:tcW w:type="dxa" w:w="2492"/>
          </w:tcPr>
          <w:p>
            <w:pPr>
              <w:pStyle w:val="null3"/>
              <w:jc w:val="left"/>
            </w:pPr>
            <w:r>
              <w:rPr>
                <w:rFonts w:ascii="仿宋_GB2312" w:hAnsi="仿宋_GB2312" w:cs="仿宋_GB2312" w:eastAsia="仿宋_GB2312"/>
              </w:rPr>
              <w:t>姜州镇姜州安置点烤烟种植配套基础设施建设工程</w:t>
            </w:r>
          </w:p>
        </w:tc>
        <w:tc>
          <w:tcPr>
            <w:tcW w:type="dxa" w:w="2492"/>
          </w:tcPr>
          <w:p>
            <w:pPr>
              <w:pStyle w:val="null3"/>
              <w:jc w:val="left"/>
            </w:pPr>
            <w:r>
              <w:rPr>
                <w:rFonts w:ascii="仿宋_GB2312" w:hAnsi="仿宋_GB2312" w:cs="仿宋_GB2312" w:eastAsia="仿宋_GB2312"/>
              </w:rPr>
              <w:t>水泥</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B02990000 其他构筑物工程施工</w:t>
            </w:r>
          </w:p>
        </w:tc>
        <w:tc>
          <w:tcPr>
            <w:tcW w:type="dxa" w:w="2492"/>
          </w:tcPr>
          <w:p>
            <w:pPr>
              <w:pStyle w:val="null3"/>
              <w:jc w:val="left"/>
            </w:pPr>
            <w:r>
              <w:rPr>
                <w:rFonts w:ascii="仿宋_GB2312" w:hAnsi="仿宋_GB2312" w:cs="仿宋_GB2312" w:eastAsia="仿宋_GB2312"/>
              </w:rPr>
              <w:t>姜州镇姜州安置点烤烟种植配套基础设施建设工程</w:t>
            </w:r>
          </w:p>
        </w:tc>
        <w:tc>
          <w:tcPr>
            <w:tcW w:type="dxa" w:w="2492"/>
          </w:tcPr>
          <w:p>
            <w:pPr>
              <w:pStyle w:val="null3"/>
              <w:jc w:val="left"/>
            </w:pPr>
            <w:r>
              <w:rPr>
                <w:rFonts w:ascii="仿宋_GB2312" w:hAnsi="仿宋_GB2312" w:cs="仿宋_GB2312" w:eastAsia="仿宋_GB2312"/>
              </w:rPr>
              <w:t>钢板门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B02990000 其他构筑物工程施工</w:t>
            </w:r>
          </w:p>
        </w:tc>
        <w:tc>
          <w:tcPr>
            <w:tcW w:type="dxa" w:w="2492"/>
          </w:tcPr>
          <w:p>
            <w:pPr>
              <w:pStyle w:val="null3"/>
              <w:jc w:val="left"/>
            </w:pPr>
            <w:r>
              <w:rPr>
                <w:rFonts w:ascii="仿宋_GB2312" w:hAnsi="仿宋_GB2312" w:cs="仿宋_GB2312" w:eastAsia="仿宋_GB2312"/>
              </w:rPr>
              <w:t>姜州镇姜州安置点烤烟种植配套基础设施建设工程</w:t>
            </w:r>
          </w:p>
        </w:tc>
        <w:tc>
          <w:tcPr>
            <w:tcW w:type="dxa" w:w="2492"/>
          </w:tcPr>
          <w:p>
            <w:pPr>
              <w:pStyle w:val="null3"/>
              <w:jc w:val="left"/>
            </w:pPr>
            <w:r>
              <w:rPr>
                <w:rFonts w:ascii="仿宋_GB2312" w:hAnsi="仿宋_GB2312" w:cs="仿宋_GB2312" w:eastAsia="仿宋_GB2312"/>
              </w:rPr>
              <w:t>改性沥青防水卷材</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B02990000 其他构筑物工程施工</w:t>
            </w:r>
          </w:p>
        </w:tc>
        <w:tc>
          <w:tcPr>
            <w:tcW w:type="dxa" w:w="2492"/>
          </w:tcPr>
          <w:p>
            <w:pPr>
              <w:pStyle w:val="null3"/>
              <w:jc w:val="left"/>
            </w:pPr>
            <w:r>
              <w:rPr>
                <w:rFonts w:ascii="仿宋_GB2312" w:hAnsi="仿宋_GB2312" w:cs="仿宋_GB2312" w:eastAsia="仿宋_GB2312"/>
              </w:rPr>
              <w:t>姜州镇姜州安置点烤烟种植配套基础设施建设工程</w:t>
            </w:r>
          </w:p>
        </w:tc>
        <w:tc>
          <w:tcPr>
            <w:tcW w:type="dxa" w:w="2492"/>
          </w:tcPr>
          <w:p>
            <w:pPr>
              <w:pStyle w:val="null3"/>
              <w:jc w:val="left"/>
            </w:pPr>
            <w:r>
              <w:rPr>
                <w:rFonts w:ascii="仿宋_GB2312" w:hAnsi="仿宋_GB2312" w:cs="仿宋_GB2312" w:eastAsia="仿宋_GB2312"/>
              </w:rPr>
              <w:t>PVC管</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B02990000 其他构筑物工程施工</w:t>
            </w:r>
          </w:p>
        </w:tc>
        <w:tc>
          <w:tcPr>
            <w:tcW w:type="dxa" w:w="2492"/>
          </w:tcPr>
          <w:p>
            <w:pPr>
              <w:pStyle w:val="null3"/>
              <w:jc w:val="left"/>
            </w:pPr>
            <w:r>
              <w:rPr>
                <w:rFonts w:ascii="仿宋_GB2312" w:hAnsi="仿宋_GB2312" w:cs="仿宋_GB2312" w:eastAsia="仿宋_GB2312"/>
              </w:rPr>
              <w:t>姜州镇姜州安置点烤烟种植配套基础设施建设工程</w:t>
            </w:r>
          </w:p>
        </w:tc>
        <w:tc>
          <w:tcPr>
            <w:tcW w:type="dxa" w:w="2492"/>
          </w:tcPr>
          <w:p>
            <w:pPr>
              <w:pStyle w:val="null3"/>
              <w:jc w:val="left"/>
            </w:pPr>
            <w:r>
              <w:rPr>
                <w:rFonts w:ascii="仿宋_GB2312" w:hAnsi="仿宋_GB2312" w:cs="仿宋_GB2312" w:eastAsia="仿宋_GB2312"/>
              </w:rPr>
              <w:t>商品混泥土</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B02990000 其他构筑物工程施工</w:t>
            </w:r>
          </w:p>
        </w:tc>
        <w:tc>
          <w:tcPr>
            <w:tcW w:type="dxa" w:w="2492"/>
          </w:tcPr>
          <w:p>
            <w:pPr>
              <w:pStyle w:val="null3"/>
              <w:jc w:val="left"/>
            </w:pPr>
            <w:r>
              <w:rPr>
                <w:rFonts w:ascii="仿宋_GB2312" w:hAnsi="仿宋_GB2312" w:cs="仿宋_GB2312" w:eastAsia="仿宋_GB2312"/>
              </w:rPr>
              <w:t>姜州镇姜州安置点烤烟种植配套基础设施建设工程</w:t>
            </w:r>
          </w:p>
        </w:tc>
        <w:tc>
          <w:tcPr>
            <w:tcW w:type="dxa" w:w="2492"/>
          </w:tcPr>
          <w:p>
            <w:pPr>
              <w:pStyle w:val="null3"/>
              <w:jc w:val="left"/>
            </w:pPr>
            <w:r>
              <w:rPr>
                <w:rFonts w:ascii="仿宋_GB2312" w:hAnsi="仿宋_GB2312" w:cs="仿宋_GB2312" w:eastAsia="仿宋_GB2312"/>
              </w:rPr>
              <w:t>PC管</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B02990000 其他构筑物工程施工</w:t>
            </w:r>
          </w:p>
        </w:tc>
        <w:tc>
          <w:tcPr>
            <w:tcW w:type="dxa" w:w="2492"/>
          </w:tcPr>
          <w:p>
            <w:pPr>
              <w:pStyle w:val="null3"/>
              <w:jc w:val="left"/>
            </w:pPr>
            <w:r>
              <w:rPr>
                <w:rFonts w:ascii="仿宋_GB2312" w:hAnsi="仿宋_GB2312" w:cs="仿宋_GB2312" w:eastAsia="仿宋_GB2312"/>
              </w:rPr>
              <w:t>姜州镇姜州安置点烤烟种植配套基础设施建设工程</w:t>
            </w:r>
          </w:p>
        </w:tc>
        <w:tc>
          <w:tcPr>
            <w:tcW w:type="dxa" w:w="2492"/>
          </w:tcPr>
          <w:p>
            <w:pPr>
              <w:pStyle w:val="null3"/>
              <w:jc w:val="left"/>
            </w:pPr>
            <w:r>
              <w:rPr>
                <w:rFonts w:ascii="仿宋_GB2312" w:hAnsi="仿宋_GB2312" w:cs="仿宋_GB2312" w:eastAsia="仿宋_GB2312"/>
              </w:rPr>
              <w:t>复合模板</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标的名称：姜州镇姜州安置点烤烟种植配套基础设施建设工程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60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会东县姜州镇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当成交供应商完成施工前准备工作，监理方签发开工令后15日内预付合同价款40%的工程款，达到付款条件起15日内，据实情况说明为当成交供应商完成施工前准备工作，监理方签发开工令后15日内预付合同价款40%的工程款</w:t>
            </w:r>
          </w:p>
          <w:p>
            <w:pPr>
              <w:pStyle w:val="null3"/>
              <w:jc w:val="left"/>
            </w:pPr>
            <w:r>
              <w:rPr>
                <w:rFonts w:ascii="仿宋_GB2312" w:hAnsi="仿宋_GB2312" w:cs="仿宋_GB2312" w:eastAsia="仿宋_GB2312"/>
              </w:rPr>
              <w:t>2、工程完工至总工程量的80%，达到支付条件，15日内支付合同价款30%的工程款，达到付款条件起15日内，据实情况说明为工程完工至总工程量的80%，达到支付条件，15日内支付合同价款30%的工程款</w:t>
            </w:r>
          </w:p>
          <w:p>
            <w:pPr>
              <w:pStyle w:val="null3"/>
              <w:jc w:val="left"/>
            </w:pPr>
            <w:r>
              <w:rPr>
                <w:rFonts w:ascii="仿宋_GB2312" w:hAnsi="仿宋_GB2312" w:cs="仿宋_GB2312" w:eastAsia="仿宋_GB2312"/>
              </w:rPr>
              <w:t>3、工程竣工验收合格后15日内支付合同金额的20%，达到付款条件起15日内，据实情况说明为工程竣工验收合格后15日内支付合同金额的20%</w:t>
            </w:r>
          </w:p>
          <w:p>
            <w:pPr>
              <w:pStyle w:val="null3"/>
              <w:jc w:val="left"/>
            </w:pPr>
            <w:r>
              <w:rPr>
                <w:rFonts w:ascii="仿宋_GB2312" w:hAnsi="仿宋_GB2312" w:cs="仿宋_GB2312" w:eastAsia="仿宋_GB2312"/>
              </w:rPr>
              <w:t>4、工程完成竣工结算审核后，供应商需向采购人缴纳竣工结算审核金额的3%作为质量保证金后，达到支付条件，15日内支付到竣工结算金额的100%，达到付款条件起15日内，据实情况说明为工程完成竣工结算审核后，供应商需向采购人缴纳竣工结算审核金额的3%作为质量保证金后，达到支付条件，15日内支付到竣工结算金额的100%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工程竣工后由成交供应商提交竣工报告之日起15日内，采购方组织验收工作，书面形式通知供应商。 （1）验收方式：采购人组织相关人员进行验收。 （2）验收。供应商履约完成后，验收小组在规定时限内进行现场踏堪检查，逐项按照采购需求、技术需要、政府采购合同、国家有关规定标准和项目说明书（实施方案、施工图纸）等进行验收，对项目验收中存在的问题作好记录，并提出改正意见。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 ①验收结果不符合合同约定的，应当通知供应商限期整改达到合同约定的要求。给采购机构或采购人造成损失的，供应商应当承担赔偿责任。 ②验收结果与采购合同约定不完全符合，如不影响安全，且比原采购合同货物部分提高了使用要求和功能的或属技术更新换代产品的，在价款不变的前提下，采购人可以验收接受；如不影响安全、不降低使用要求和功能，而且要改变确有困难的，经协商一致并经有关主管部门批准后可减价验收接受。 （3）出具验收报告。召开项目验收评定会，汇总验收意见，评定验收结论。 （4）其他未尽事宜按照《财政部关于进一步加强政府采购需求和履约验收管理的指导意见》(财库〔2016〕205号)等要求进行验收。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合同当事人一方不履行合同义务或者履行合同义务不符合约定，给对方造成损失的，违约方应按照合同标的额的2%支付违约金给非违约方。②供应商（在采购人履行合同的情况下）不按合同规定的时间、标准和规定进行工程施工而给采购人造成损失的，供应商应根据实际损失一次性补偿。③当事人一方违约后，对方应当采取适当措施防止损失的扩大；没有采取适当措施致使损失扩大的，不得就扩大的损失要求赔偿；当事人因防止损失扩大支出的合理费用，由违约方承担。④供应商因第三人原因造成违约的，应当向采购人承担违约责任，并根据实际损失支付赔偿金。⑤未经采购人同意，不能分包、转包约定的政府采购工程事项及随意增加政府采购工程量。⑥其它违约责任按《中华人民共和国民法典》处理。（2）争议的解决：合同执行过程中发生的任何争议，如双方不能通过友好协商解决，按相关法律法规处理。</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下述①、②、③、④中任意一项均视为满足：①提供2022年1月1日至今任意一个年度经审计的财务报告（包含审计报告和审计报告中所涉及的财务报表和报表附注）或者银行出具的资信证明。②或未经审计的提供财务报告（包括资产负债表、利润表、现金流量表、所有者权益变动表及其附注）。③或供应商注册时间截至响应文件提交截止之日前不足一年的，也可提供在相关主管部门备案的公司章程等证明材料。④或提供健全的财务会计制度的承诺函（供应商可按《投标（响应）函》要求完成承诺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建筑工程二级注册建造师及以上建造师注册证书原件扫描件；供应商应当提供项目负责人的行业主管部门颁发的且在有效期内的房屋建筑和市政基础设施工程安全生产考核合格证书（B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投标（响应）函,企业资质信息表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满足磋商文件的实质性要求</w:t>
            </w:r>
          </w:p>
        </w:tc>
        <w:tc>
          <w:tcPr>
            <w:tcW w:type="dxa" w:w="3322"/>
          </w:tcPr>
          <w:p>
            <w:pPr>
              <w:pStyle w:val="null3"/>
              <w:jc w:val="left"/>
            </w:pPr>
            <w:r>
              <w:rPr>
                <w:rFonts w:ascii="仿宋_GB2312" w:hAnsi="仿宋_GB2312" w:cs="仿宋_GB2312" w:eastAsia="仿宋_GB2312"/>
              </w:rPr>
              <w:t>磋商文件需要单独提供的承诺函或证明材料</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施工组织设计</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施工组织设计</w:t>
            </w:r>
          </w:p>
        </w:tc>
        <w:tc>
          <w:tcPr>
            <w:tcW w:type="dxa" w:w="2575"/>
          </w:tcPr>
          <w:p>
            <w:pPr>
              <w:pStyle w:val="null3"/>
              <w:jc w:val="left"/>
            </w:pPr>
            <w:r>
              <w:rPr>
                <w:rFonts w:ascii="仿宋_GB2312" w:hAnsi="仿宋_GB2312" w:cs="仿宋_GB2312" w:eastAsia="仿宋_GB2312"/>
              </w:rPr>
              <w:t>1.施工方案与技术措施：根据供应商针对本项目提供的施工方案与技术措施，包括：①工程概况②施工总体规划（规划依据、难点分析、应急措施）；③施工准备及施工部署（技术准备、施工现场准备、物资准备、劳动力物质准备等）；④施工方案⑤施工技术措施等内容进行评审：上述内容均符合本项目实际情况、内容完善详细、描述准确、完全响应采购要求的得12分；每缺少一项内容的扣2.4分；每有一项存在内容缺陷和不足(内容缺陷和不足指：项目名称或实施地点和涉及的规范或标准与本项目要求不一致；规划与项目建设特点不匹配；施工方案与本项目特点不符合；技术工艺环节漏缺项)的扣1.2分，扣完为止。 2.项目管理机构：根据供应商针对本项目提供的人员配置及项目管理机构，包括：①项目施工组织管理结构图、②项目部主要成员岗位职责（项目经理、技术负责人、施工员、安全员等岗位设置和人员执业控制）等内容进行评审：上述内容均符合本项目实际情况、内容完善详细、机构健全、完全响应采购要求的得10分；每缺少一项内容的扣5分，每有一项存在内容缺陷和不足(内容缺陷和不足指：机构设置与项目建设要求有缺项；人员岗位职责不清晰或交叉混乱；协调措施缺乏监督机制；人员专业与项目岗位要求不匹配；不相容岗位分离未分离的)的扣2.5分，扣完为止。 3.质量管理体系及保证措施：根据供应商针对本项目提供的质量管理体系及保证措施，包括：①制定完整的质量保证体系、②确保项目质量的技术组织措施、③针对质量目标及质量控制的保证措施、④制定质量管理制度及检查制度等内容进行评审：上述内容均符合本项目实际情况、内容完善详细、措施健全、完全响应采购要求的得12分；每缺少一项内容的扣3分，每有一项存在内容缺陷和不足(内容缺陷和不足指：体系建设与项目内在需求有漏项；技术措施与项目施工特点不匹配；质控措施无监督制约机制；人员设置与质控管理要求不匹配；质控类不相容岗位分离未分离的)的扣1.5分，扣完为止。 4.安全防护及文明施工管理体系与措施：根据供应商针对本项目提供的安全防护及文明施工管理体系与措施，包括：①制定完整的文明施工安全保障体系、②制定完整的文明施工措施、③安全教育及培训计划、④安全保证措施及安全应急预案等内容进行评审：上述内容均符合本项目实际情况、内容完善详细、措施健全、完全响应采购要求的得12分；每缺少一项内容的扣3分，每有一项存在内容缺陷和不足(内容缺陷和不足指：安全体系建设与项目要求有漏项；文明措施与项目施工特点不匹配；安全培训教育与项目建设特点不匹配；安全类不相容岗位分离未分离的；应急预案与项目特点不匹配的)的扣1.5分，扣完为止。 5.环境保护管理体系与措施：根据供应商针对本项目提供的环境保护管理体系与措施，包括：①制定完整的环境保护管理体系、②制定完整的环境卫生保护措施、③污染物处理及排放措施、④现场管理人员环境保护职责及操作流程要求等内容进行评审：上述内容均符合本项目实际情况、内容完善详细、措施健全、完全响应采购要求的得12分；每缺少一项内容的扣3分，每有一项存在内容缺陷和不足(内容缺陷和不足指：环保体系建设与项目要求有漏项；环境卫生措施与项目施工特点不匹配；污染物处理措施与项目建设特点不匹配；职责不明确、操作流程不规范的)的扣1.5分，扣完为止。 6.项目进度计划与措施：根据供应商针对本项目提供的项目进度计划与措施，包括：①详细的项目进度计划（含计划开、竣工日期和施工进度网络图）、②完整的项目工期保证措施、③劳动力配备及管理措施、④主要人、料、机配置使用计划及管理措施等内容进行综合评审：上述内容均符合本项目实际情况、内容完善详细、措施健全、完全响应采购要求的得12分；每缺少一项内容的扣3分，每有一项存在内容缺陷和不足(内容缺陷和不足指：进度计划超期；进度计划违背项目施工质量及技术工艺要求)的扣1.5分，扣完为止。</w:t>
            </w:r>
          </w:p>
        </w:tc>
        <w:tc>
          <w:tcPr>
            <w:tcW w:type="dxa" w:w="831"/>
          </w:tcPr>
          <w:p>
            <w:pPr>
              <w:pStyle w:val="null3"/>
              <w:jc w:val="center"/>
            </w:pPr>
            <w:r>
              <w:rPr>
                <w:rFonts w:ascii="仿宋_GB2312" w:hAnsi="仿宋_GB2312" w:cs="仿宋_GB2312" w:eastAsia="仿宋_GB2312"/>
              </w:rPr>
              <w:t>70.0000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项目负责人信息表</w:t>
            </w:r>
          </w:p>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已标价工程量清单</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供应商2022年1月1日（以签订合同时间为准）以来具有一个已完成类似项目业绩的得7分，在此基础上每增加1个加7分，最多得14分。（提供施工合同复印件和竣工验收报告复印件。类似项目指建筑工程类等）</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节能、环保</w:t>
            </w:r>
          </w:p>
        </w:tc>
        <w:tc>
          <w:tcPr>
            <w:tcW w:type="dxa" w:w="2575"/>
          </w:tcPr>
          <w:p>
            <w:pPr>
              <w:pStyle w:val="null3"/>
              <w:jc w:val="left"/>
            </w:pPr>
            <w:r>
              <w:rPr>
                <w:rFonts w:ascii="仿宋_GB2312" w:hAnsi="仿宋_GB2312" w:cs="仿宋_GB2312" w:eastAsia="仿宋_GB2312"/>
              </w:rPr>
              <w:t>供应商所响应的产品中有属于节能产品政府采购品目清单中优先采购范围的或属于环境标志产品政府采购品目清单中优先采购范围的得6分；本项最多得1分。 说明： 1.可重复计分(是指某产品既是节能产品、又是环境标志产品，可按照要求计两次分)； 2.本项目采购的产品中属于节能产品政府采购品目清单中强制采购范围的，不属于本项评分范围。 3.供应商所响应的产品属于节能产品或环境标志产品政府采购品目清单中优先采购范围的，应当在响应文件中提供国家确定的认证机构的认证结果信息发布平台公布的该产品认证信息截图或者打印资料并加盖供应商公章(鲜章)，否则不予给分。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强制、优先采购产品承诺函</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经评标委员会评审，通过资格和符合性审查的 有效报价，本项目采用的是固定总价，所以只有供应商的响应报价等于最高限价（1559319.3元）时，该供应商得相应的价格分满分，高于或低于作无效响应处理。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本项目授权磋商小组在磋商报告确定的成交候选供应商名单中按顺序直接确定1名成交供应商。确认后代理机构在四川政府采购网发布成交结果公告，同时向成交供应商发出成交通知书。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《磋商文件》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