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版本号：240627001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成都市中西医结合医院2023年超声乳化手柄等医疗设备采购项目</w:t>
      </w:r>
    </w:p>
    <w:p>
      <w:pPr>
        <w:pStyle w:val="null3"/>
        <w:jc w:val="center"/>
        <w:outlineLvl w:val="2"/>
      </w:pPr>
      <w:r>
        <w:rPr>
          <w:b/>
          <w:sz w:val="28"/>
        </w:rPr>
        <w:t>采购项目编号：</w:t>
      </w:r>
      <w:r>
        <w:rPr>
          <w:b/>
          <w:sz w:val="28"/>
        </w:rPr>
        <w:t>N5101012024001088</w:t>
      </w:r>
    </w:p>
    <w:p>
      <w:pPr>
        <w:pStyle w:val="null3"/>
        <w:jc w:val="left"/>
        <w:outlineLvl w:val="2"/>
      </w:pPr>
      <w:r>
        <w:rPr>
          <w:b/>
          <w:sz w:val="28"/>
        </w:rPr>
        <w:t>成都市中西医结合医院（成都市第一人民医院、成都市中医医院）</w:t>
      </w:r>
    </w:p>
    <w:p>
      <w:pPr>
        <w:pStyle w:val="null3"/>
        <w:jc w:val="center"/>
        <w:outlineLvl w:val="2"/>
      </w:pPr>
      <w:r>
        <w:rPr>
          <w:b/>
          <w:sz w:val="28"/>
        </w:rPr>
        <w:t>联投项目管理（集团）有限公司</w:t>
      </w:r>
      <w:r>
        <w:rPr>
          <w:b/>
          <w:sz w:val="28"/>
        </w:rPr>
        <w:t>共同编制</w:t>
      </w:r>
    </w:p>
    <w:p>
      <w:pPr>
        <w:pStyle w:val="null3"/>
        <w:jc w:val="center"/>
      </w:pPr>
      <w:r>
        <w:rPr/>
        <w:t>2024年06月27日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联投项目管理（集团）有限公司</w:t>
      </w:r>
      <w:r>
        <w:rPr/>
        <w:t xml:space="preserve"> （以下简称“代理机构”）受 </w:t>
      </w:r>
      <w:r>
        <w:rPr/>
        <w:t>成都市中西医结合医院（成都市第一人民医院、成都市中医医院）</w:t>
      </w:r>
      <w:r>
        <w:rPr/>
        <w:t xml:space="preserve"> 委托，拟对 </w:t>
      </w:r>
      <w:r>
        <w:rPr/>
        <w:t>成都市中西医结合医院2023年超声乳化手柄等医疗设备采购项目</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N5101012024001088</w:t>
      </w:r>
    </w:p>
    <w:p>
      <w:pPr>
        <w:pStyle w:val="null3"/>
        <w:jc w:val="left"/>
        <w:outlineLvl w:val="2"/>
      </w:pPr>
      <w:r>
        <w:rPr>
          <w:b/>
          <w:sz w:val="28"/>
        </w:rPr>
        <w:t>1.2.采购项目名称</w:t>
      </w:r>
      <w:r>
        <w:rPr>
          <w:b/>
          <w:sz w:val="28"/>
        </w:rPr>
        <w:t xml:space="preserve">： </w:t>
      </w:r>
      <w:r>
        <w:rPr>
          <w:b/>
          <w:sz w:val="28"/>
        </w:rPr>
        <w:t>成都市中西医结合医院2023年超声乳化手柄等医疗设备采购项目</w:t>
      </w:r>
    </w:p>
    <w:p>
      <w:pPr>
        <w:pStyle w:val="null3"/>
        <w:jc w:val="left"/>
        <w:outlineLvl w:val="2"/>
      </w:pPr>
      <w:r>
        <w:rPr>
          <w:b/>
          <w:sz w:val="28"/>
        </w:rPr>
        <w:t>1.3.招标项目简介</w:t>
      </w:r>
    </w:p>
    <w:p>
      <w:pPr>
        <w:pStyle w:val="null3"/>
        <w:ind w:firstLine="480"/>
        <w:jc w:val="left"/>
      </w:pPr>
      <w:r>
        <w:rPr/>
        <w:t>本项目共计4个采购包，各包拟确定中标人1名。</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采购包1：不专门面向中小企业采购。</w:t>
      </w:r>
    </w:p>
    <w:p>
      <w:pPr>
        <w:pStyle w:val="null3"/>
        <w:jc w:val="left"/>
      </w:pPr>
      <w:r>
        <w:rPr/>
        <w:t>采购包2：不专门面向中小企业采购。</w:t>
      </w:r>
    </w:p>
    <w:p>
      <w:pPr>
        <w:pStyle w:val="null3"/>
        <w:jc w:val="left"/>
      </w:pPr>
      <w:r>
        <w:rPr/>
        <w:t>采购包3：不专门面向中小企业采购。</w:t>
      </w:r>
    </w:p>
    <w:p>
      <w:pPr>
        <w:pStyle w:val="null3"/>
        <w:jc w:val="left"/>
      </w:pPr>
      <w:r>
        <w:rPr/>
        <w:t>采购包4：不专门面向中小企业采购。</w:t>
      </w:r>
    </w:p>
    <w:p>
      <w:pPr>
        <w:pStyle w:val="null3"/>
        <w:ind w:firstLine="480"/>
        <w:jc w:val="left"/>
      </w:pPr>
      <w:r>
        <w:rPr/>
        <w:t>三、本项目的特定资格要求：</w:t>
      </w:r>
    </w:p>
    <w:p>
      <w:pPr>
        <w:pStyle w:val="null3"/>
        <w:ind w:firstLine="480"/>
        <w:jc w:val="left"/>
      </w:pPr>
      <w:r>
        <w:rPr/>
        <w:t>采购包1：</w:t>
      </w:r>
    </w:p>
    <w:p>
      <w:pPr>
        <w:pStyle w:val="null3"/>
        <w:jc w:val="left"/>
      </w:pPr>
      <w:r>
        <w:rPr/>
        <w:t>1、(1)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描述：(1)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p>
      <w:pPr>
        <w:pStyle w:val="null3"/>
        <w:jc w:val="left"/>
      </w:pPr>
      <w:r>
        <w:rPr/>
        <w:t>采购包2：</w:t>
      </w:r>
    </w:p>
    <w:p>
      <w:pPr>
        <w:pStyle w:val="null3"/>
        <w:jc w:val="left"/>
      </w:pPr>
      <w:r>
        <w:rPr/>
        <w:t>1、(1)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描述：(1)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p>
      <w:pPr>
        <w:pStyle w:val="null3"/>
        <w:jc w:val="left"/>
      </w:pPr>
      <w:r>
        <w:rPr/>
        <w:t>采购包3：</w:t>
      </w:r>
    </w:p>
    <w:p>
      <w:pPr>
        <w:pStyle w:val="null3"/>
        <w:jc w:val="left"/>
      </w:pPr>
      <w:r>
        <w:rPr/>
        <w:t>1、(1)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描述：(1)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p>
      <w:pPr>
        <w:pStyle w:val="null3"/>
        <w:jc w:val="left"/>
      </w:pPr>
      <w:r>
        <w:rPr/>
        <w:t>采购包4：</w:t>
      </w:r>
    </w:p>
    <w:p>
      <w:pPr>
        <w:pStyle w:val="null3"/>
        <w:jc w:val="left"/>
      </w:pPr>
      <w:r>
        <w:rPr/>
        <w:t>1、(1)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描述：(1)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供应商信用融资（蓉采贷）: 参加本次采购活动成交的中小企业无需提供财产抵押或第三方担保，凭借政府采购合同可向融资机构申请融资。具体内容详见《成都市财政局中国人民银行成都分行营业管理部关于印发〈成都市中小企业政府采购信用融资暂行办法〉和〈成都市级支持中小企业政府采购信用融资实施方案〉的通知》（成财采〔2019〕17号）和《成都市财政局关于增补“蓉采贷”政策合作银行及做好相关工作的通知》（成财采发〔2020〕20号）文件。</w:t>
      </w:r>
    </w:p>
    <w:p>
      <w:pPr>
        <w:pStyle w:val="null3"/>
        <w:jc w:val="left"/>
        <w:outlineLvl w:val="2"/>
      </w:pPr>
      <w:r>
        <w:rPr>
          <w:b/>
          <w:sz w:val="28"/>
        </w:rPr>
        <w:t>1.10.联系方式</w:t>
      </w:r>
    </w:p>
    <w:p>
      <w:pPr>
        <w:pStyle w:val="null3"/>
        <w:jc w:val="left"/>
      </w:pPr>
      <w:r>
        <w:rPr>
          <w:b/>
        </w:rPr>
        <w:t>采购人</w:t>
      </w:r>
      <w:r>
        <w:rPr>
          <w:b/>
        </w:rPr>
        <w:t xml:space="preserve">： </w:t>
      </w:r>
      <w:r>
        <w:rPr>
          <w:b/>
        </w:rPr>
        <w:t>成都市中西医结合医院（成都市第一人民医院、成都市中医医院）</w:t>
      </w:r>
    </w:p>
    <w:p>
      <w:pPr>
        <w:pStyle w:val="null3"/>
        <w:jc w:val="left"/>
      </w:pPr>
      <w:r>
        <w:rPr/>
        <w:t xml:space="preserve"> 地址： </w:t>
      </w:r>
      <w:r>
        <w:rPr/>
        <w:t>成都市高新区万象北路18号</w:t>
      </w:r>
    </w:p>
    <w:p>
      <w:pPr>
        <w:pStyle w:val="null3"/>
        <w:jc w:val="left"/>
      </w:pPr>
      <w:r>
        <w:rPr/>
        <w:t xml:space="preserve"> 邮编： </w:t>
      </w:r>
      <w:r>
        <w:rPr/>
        <w:t>610000</w:t>
      </w:r>
    </w:p>
    <w:p>
      <w:pPr>
        <w:pStyle w:val="null3"/>
        <w:jc w:val="left"/>
      </w:pPr>
      <w:r>
        <w:rPr/>
        <w:t xml:space="preserve"> 联系人： </w:t>
      </w:r>
      <w:r>
        <w:rPr/>
        <w:t>吴文皓</w:t>
      </w:r>
    </w:p>
    <w:p>
      <w:pPr>
        <w:pStyle w:val="null3"/>
        <w:jc w:val="left"/>
      </w:pPr>
      <w:r>
        <w:rPr/>
        <w:t xml:space="preserve"> 联系电话： </w:t>
      </w:r>
      <w:r>
        <w:rPr/>
        <w:t>028- 85311939</w:t>
      </w:r>
    </w:p>
    <w:p>
      <w:pPr>
        <w:pStyle w:val="null3"/>
        <w:jc w:val="left"/>
      </w:pPr>
      <w:r>
        <w:rPr>
          <w:b/>
        </w:rPr>
        <w:t>代理机构</w:t>
      </w:r>
      <w:r>
        <w:rPr>
          <w:b/>
        </w:rPr>
        <w:t xml:space="preserve">： </w:t>
      </w:r>
      <w:r>
        <w:rPr>
          <w:b/>
        </w:rPr>
        <w:t>联投项目管理（集团）有限公司</w:t>
      </w:r>
    </w:p>
    <w:p>
      <w:pPr>
        <w:pStyle w:val="null3"/>
        <w:jc w:val="left"/>
      </w:pPr>
      <w:r>
        <w:rPr/>
        <w:t xml:space="preserve"> 地址： </w:t>
      </w:r>
      <w:r>
        <w:rPr/>
        <w:t>成都市高新区天府大道北段1700号环球中心N5区20楼2015号</w:t>
      </w:r>
    </w:p>
    <w:p>
      <w:pPr>
        <w:pStyle w:val="null3"/>
        <w:jc w:val="left"/>
      </w:pPr>
      <w:r>
        <w:rPr/>
        <w:t xml:space="preserve"> 邮编： </w:t>
      </w:r>
      <w:r>
        <w:rPr/>
        <w:t>610000</w:t>
      </w:r>
    </w:p>
    <w:p>
      <w:pPr>
        <w:pStyle w:val="null3"/>
        <w:jc w:val="left"/>
      </w:pPr>
      <w:r>
        <w:rPr/>
        <w:t xml:space="preserve"> 联系人： </w:t>
      </w:r>
      <w:r>
        <w:rPr/>
        <w:t xml:space="preserve"> 陈女士</w:t>
      </w:r>
    </w:p>
    <w:p>
      <w:pPr>
        <w:pStyle w:val="null3"/>
        <w:jc w:val="left"/>
      </w:pPr>
      <w:r>
        <w:rPr/>
        <w:t xml:space="preserve"> 联系电话： </w:t>
      </w:r>
      <w:r>
        <w:rPr/>
        <w:t xml:space="preserve"> 028-67873777转9转135</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采购包1：95,000.00元</w:t>
            </w:r>
          </w:p>
          <w:p>
            <w:pPr>
              <w:pStyle w:val="null3"/>
              <w:jc w:val="left"/>
            </w:pPr>
            <w:r>
              <w:rPr/>
              <w:t>采购包2：70,000.00元</w:t>
            </w:r>
          </w:p>
          <w:p>
            <w:pPr>
              <w:pStyle w:val="null3"/>
              <w:jc w:val="left"/>
            </w:pPr>
            <w:r>
              <w:rPr/>
              <w:t>采购包3：560,000.00元</w:t>
            </w:r>
          </w:p>
          <w:p>
            <w:pPr>
              <w:pStyle w:val="null3"/>
              <w:jc w:val="left"/>
            </w:pPr>
            <w:r>
              <w:rPr/>
              <w:t>采购包4：2,190,000.00元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p>
          <w:p>
            <w:pPr>
              <w:pStyle w:val="null3"/>
              <w:jc w:val="left"/>
            </w:pPr>
            <w:r>
              <w:rPr/>
              <w:t>采购包4：综合评分法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采购包4：不接受联合体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p>
            <w:pPr>
              <w:pStyle w:val="null3"/>
              <w:jc w:val="left"/>
            </w:pPr>
            <w:r>
              <w:rPr/>
              <w:t>采购包4：不收取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代理服务费收费标准：（1）本项目按照“成本+合理利润”原则，以成交金额作为计算基数，按差额定率累进法下浮20%收取进行计算，费率标准为（货物采购项目）； ①成交金额100万元以下，费率1.5% ②成交金额100-500万元，费率1.1%；（2）由各包中标人在领取中标通知书前向采购代理机构一次性缴纳招标代理服务费； 收款单位：联投项目管理（集团）有限公司； 开 户 行：中国建设银行股份有限公司成都益州支行； 银行账号：51050141618500000138</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p>
            <w:pPr>
              <w:pStyle w:val="null3"/>
              <w:jc w:val="left"/>
            </w:pPr>
            <w:r>
              <w:rPr/>
              <w:t>采购包4：否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成都市中西医结合医院（成都市第一人民医院、成都市中医医院）</w:t>
      </w:r>
      <w:r>
        <w:rPr/>
        <w:t xml:space="preserve"> 和 </w:t>
      </w:r>
      <w:r>
        <w:rPr/>
        <w:t>联投项目管理（集团）有限公司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成都市中西医结合医院（成都市第一人民医院、成都市中医医院）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联投项目管理（集团）有限公司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jc w:val="left"/>
      </w:pPr>
      <w:r>
        <w:rPr/>
        <w:t>采购包4：</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jc w:val="left"/>
      </w:pPr>
      <w:r>
        <w:rPr/>
        <w:t>采购包4：</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供应商提出验收申请之日起15日内组织验收</w:t>
      </w:r>
      <w:r>
        <w:rPr/>
        <w:t xml:space="preserve"> ，达到验收条件起 </w:t>
      </w:r>
      <w:r>
        <w:rPr/>
        <w:t>15</w:t>
      </w:r>
      <w:r>
        <w:rPr/>
        <w:t xml:space="preserve"> 日内，验收合同总金额的 </w:t>
      </w:r>
      <w:r>
        <w:rPr/>
        <w:t>100</w:t>
      </w:r>
      <w:r>
        <w:rPr/>
        <w:t>%；</w:t>
      </w:r>
    </w:p>
    <w:p>
      <w:pPr>
        <w:pStyle w:val="null3"/>
        <w:jc w:val="left"/>
      </w:pPr>
      <w:r>
        <w:rPr/>
        <w:t>采购包2：</w:t>
      </w:r>
    </w:p>
    <w:p>
      <w:pPr>
        <w:pStyle w:val="null3"/>
        <w:ind w:firstLine="1200"/>
        <w:jc w:val="left"/>
      </w:pPr>
      <w:r>
        <w:rPr/>
        <w:t>1、</w:t>
      </w:r>
      <w:r>
        <w:rPr/>
        <w:t xml:space="preserve"> 验收条件说明： </w:t>
      </w:r>
      <w:r>
        <w:rPr/>
        <w:t>供应商提出验收申请之日起15日内组织验收</w:t>
      </w:r>
      <w:r>
        <w:rPr/>
        <w:t xml:space="preserve"> ，达到验收条件起 </w:t>
      </w:r>
      <w:r>
        <w:rPr/>
        <w:t>15</w:t>
      </w:r>
      <w:r>
        <w:rPr/>
        <w:t xml:space="preserve"> 日内，验收合同总金额的 </w:t>
      </w:r>
      <w:r>
        <w:rPr/>
        <w:t>100</w:t>
      </w:r>
      <w:r>
        <w:rPr/>
        <w:t>%；</w:t>
      </w:r>
    </w:p>
    <w:p>
      <w:pPr>
        <w:pStyle w:val="null3"/>
        <w:jc w:val="left"/>
      </w:pPr>
      <w:r>
        <w:rPr/>
        <w:t>采购包3：</w:t>
      </w:r>
    </w:p>
    <w:p>
      <w:pPr>
        <w:pStyle w:val="null3"/>
        <w:ind w:firstLine="1200"/>
        <w:jc w:val="left"/>
      </w:pPr>
      <w:r>
        <w:rPr/>
        <w:t>1、</w:t>
      </w:r>
      <w:r>
        <w:rPr/>
        <w:t xml:space="preserve"> 验收条件说明： </w:t>
      </w:r>
      <w:r>
        <w:rPr/>
        <w:t>供应商提出验收申请之日起15日内组织验收</w:t>
      </w:r>
      <w:r>
        <w:rPr/>
        <w:t xml:space="preserve"> ，达到验收条件起 </w:t>
      </w:r>
      <w:r>
        <w:rPr/>
        <w:t>15</w:t>
      </w:r>
      <w:r>
        <w:rPr/>
        <w:t xml:space="preserve"> 日内，验收合同总金额的 </w:t>
      </w:r>
      <w:r>
        <w:rPr/>
        <w:t>100</w:t>
      </w:r>
      <w:r>
        <w:rPr/>
        <w:t>%；</w:t>
      </w:r>
    </w:p>
    <w:p>
      <w:pPr>
        <w:pStyle w:val="null3"/>
        <w:jc w:val="left"/>
      </w:pPr>
      <w:r>
        <w:rPr/>
        <w:t>采购包4：</w:t>
      </w:r>
    </w:p>
    <w:p>
      <w:pPr>
        <w:pStyle w:val="null3"/>
        <w:ind w:firstLine="1200"/>
        <w:jc w:val="left"/>
      </w:pPr>
      <w:r>
        <w:rPr/>
        <w:t>1、</w:t>
      </w:r>
      <w:r>
        <w:rPr/>
        <w:t xml:space="preserve"> 验收条件说明： </w:t>
      </w:r>
      <w:r>
        <w:rPr/>
        <w:t>供应商提出验收申请之日起15日内组织验收</w:t>
      </w:r>
      <w:r>
        <w:rPr/>
        <w:t xml:space="preserve"> ，达到验收条件起 </w:t>
      </w:r>
      <w:r>
        <w:rPr/>
        <w:t>15</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ind w:firstLine="480"/>
        <w:jc w:val="left"/>
      </w:pPr>
      <w:r>
        <w:rPr/>
        <w:t>九、技术履约验收内容：</w:t>
      </w:r>
    </w:p>
    <w:p>
      <w:pPr>
        <w:pStyle w:val="null3"/>
        <w:ind w:firstLine="480"/>
        <w:jc w:val="left"/>
      </w:pPr>
      <w:r>
        <w:rPr/>
        <w:t>采购包1：</w:t>
      </w:r>
      <w:r>
        <w:rPr/>
        <w:t>按照本项目招标文件中“技术、服务要求”及中标供应商投标文件进行验收</w:t>
      </w:r>
    </w:p>
    <w:p>
      <w:pPr>
        <w:pStyle w:val="null3"/>
        <w:jc w:val="left"/>
      </w:pPr>
      <w:r>
        <w:rPr/>
        <w:t>采购包2：</w:t>
      </w:r>
      <w:r>
        <w:rPr/>
        <w:t>按照本项目招标文件中“技术、服务要求”及中标供应商投标文件进行验收</w:t>
      </w:r>
    </w:p>
    <w:p>
      <w:pPr>
        <w:pStyle w:val="null3"/>
        <w:jc w:val="left"/>
      </w:pPr>
      <w:r>
        <w:rPr/>
        <w:t>采购包3：</w:t>
      </w:r>
      <w:r>
        <w:rPr/>
        <w:t>按照本项目招标文件中“技术、服务要求”及中标供应商投标文件进行验收；</w:t>
      </w:r>
    </w:p>
    <w:p>
      <w:pPr>
        <w:pStyle w:val="null3"/>
        <w:jc w:val="left"/>
      </w:pPr>
      <w:r>
        <w:rPr/>
        <w:t>采购包4：</w:t>
      </w:r>
      <w:r>
        <w:rPr/>
        <w:t>按照本项目招标文件中“技术、服务要求”及中标供应商投标文件进行验收；</w:t>
      </w:r>
    </w:p>
    <w:p>
      <w:pPr>
        <w:pStyle w:val="null3"/>
        <w:ind w:firstLine="480"/>
        <w:jc w:val="left"/>
      </w:pPr>
      <w:r>
        <w:rPr/>
        <w:t>十、商务履约验收内容：</w:t>
      </w:r>
    </w:p>
    <w:p>
      <w:pPr>
        <w:pStyle w:val="null3"/>
        <w:ind w:firstLine="480"/>
        <w:jc w:val="left"/>
      </w:pPr>
      <w:r>
        <w:rPr/>
        <w:t>采购包1：</w:t>
      </w:r>
      <w:r>
        <w:rPr/>
        <w:t>按照本项目招标文件中“商务要求”及中标供应商投标文件进行验收</w:t>
      </w:r>
    </w:p>
    <w:p>
      <w:pPr>
        <w:pStyle w:val="null3"/>
        <w:jc w:val="left"/>
      </w:pPr>
      <w:r>
        <w:rPr/>
        <w:t>采购包2：</w:t>
      </w:r>
      <w:r>
        <w:rPr/>
        <w:t>按照本项目招标文件中“商务要求”及中标供应商投标文件进行验收</w:t>
      </w:r>
    </w:p>
    <w:p>
      <w:pPr>
        <w:pStyle w:val="null3"/>
        <w:jc w:val="left"/>
      </w:pPr>
      <w:r>
        <w:rPr/>
        <w:t>采购包3：</w:t>
      </w:r>
      <w:r>
        <w:rPr/>
        <w:t>按照本项目招标文件中“商务要求”及中标供应商投标文件进行验收；</w:t>
      </w:r>
    </w:p>
    <w:p>
      <w:pPr>
        <w:pStyle w:val="null3"/>
        <w:jc w:val="left"/>
      </w:pPr>
      <w:r>
        <w:rPr/>
        <w:t>采购包4：</w:t>
      </w:r>
      <w:r>
        <w:rPr/>
        <w:t>按照本项目招标文件中“商务要求”及中标供应商投标文件进行验收；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按照《财政部关于进一步加强政府采购需求和履约验收管理的指导意见》（财库〔2016〕205号）等政府采购相关法律法规的要求进行验收</w:t>
      </w:r>
    </w:p>
    <w:p>
      <w:pPr>
        <w:pStyle w:val="null3"/>
        <w:jc w:val="left"/>
      </w:pPr>
      <w:r>
        <w:rPr/>
        <w:t>采购包2：</w:t>
      </w:r>
      <w:r>
        <w:rPr/>
        <w:t>按照《财政部关于进一步加强政府采购需求和履约验收管理的指导意见》（财库〔2016〕205号）等政府采购相关法律法规的要求进行验收</w:t>
      </w:r>
    </w:p>
    <w:p>
      <w:pPr>
        <w:pStyle w:val="null3"/>
        <w:jc w:val="left"/>
      </w:pPr>
      <w:r>
        <w:rPr/>
        <w:t>采购包3：</w:t>
      </w:r>
      <w:r>
        <w:rPr/>
        <w:t>按照《财政部关于进一步加强政府采购需求和履约验收管理的指导意见》（财库〔2016〕205号）等政府采购相关法律法规的要求进行验收</w:t>
      </w:r>
    </w:p>
    <w:p>
      <w:pPr>
        <w:pStyle w:val="null3"/>
        <w:jc w:val="left"/>
      </w:pPr>
      <w:r>
        <w:rPr/>
        <w:t>采购包4：</w:t>
      </w:r>
      <w:r>
        <w:rPr/>
        <w:t>按照《财政部关于进一步加强政府采购需求和履约验收管理的指导意见》（财库〔2016〕205号）等政府采购相关法律法规的要求进行验收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成都市中西医结合医院（成都市第一人民医院、成都市中医医院）</w:t>
      </w:r>
      <w:r>
        <w:rPr/>
        <w:t xml:space="preserve"> 负责答复；投标人对除采购需求外的招标文件的询问、质疑由 </w:t>
      </w:r>
      <w:r>
        <w:rPr/>
        <w:t>联投项目管理（集团）有限公司</w:t>
      </w:r>
      <w:r>
        <w:rPr/>
        <w:t xml:space="preserve"> 负责答复；投标人对采购过程、采购结果的询问、质疑由 </w:t>
      </w:r>
      <w:r>
        <w:rPr/>
        <w:t>联投项目管理（集团）有限公司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联系人：吴老师</w:t>
      </w:r>
    </w:p>
    <w:p>
      <w:pPr>
        <w:pStyle w:val="null3"/>
        <w:jc w:val="left"/>
      </w:pPr>
      <w:r>
        <w:rPr/>
        <w:t>联系电话：028- 85311939</w:t>
      </w:r>
    </w:p>
    <w:p>
      <w:pPr>
        <w:pStyle w:val="null3"/>
        <w:jc w:val="left"/>
      </w:pPr>
      <w:r>
        <w:rPr/>
        <w:t>地址：成都市高新区万象北路18号</w:t>
      </w:r>
    </w:p>
    <w:p>
      <w:pPr>
        <w:pStyle w:val="null3"/>
        <w:jc w:val="left"/>
      </w:pPr>
      <w:r>
        <w:rPr/>
        <w:t>邮编： 610000</w:t>
      </w:r>
    </w:p>
    <w:p>
      <w:pPr>
        <w:pStyle w:val="null3"/>
        <w:jc w:val="left"/>
      </w:pPr>
      <w:r>
        <w:rPr/>
        <w:t>答复主体：代理机构</w:t>
      </w:r>
    </w:p>
    <w:p>
      <w:pPr>
        <w:pStyle w:val="null3"/>
        <w:jc w:val="left"/>
      </w:pPr>
      <w:r>
        <w:rPr/>
        <w:t>联系人：陈女士</w:t>
      </w:r>
    </w:p>
    <w:p>
      <w:pPr>
        <w:pStyle w:val="null3"/>
        <w:jc w:val="left"/>
      </w:pPr>
      <w:r>
        <w:rPr/>
        <w:t>联系电话：028-67873777转9转135</w:t>
      </w:r>
    </w:p>
    <w:p>
      <w:pPr>
        <w:pStyle w:val="null3"/>
        <w:jc w:val="left"/>
      </w:pPr>
      <w:r>
        <w:rPr/>
        <w:t>地址：成都市高新区天府大道北段1700号环球中心N5区20楼2015号</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jc w:val="left"/>
      </w:pPr>
      <w:r>
        <w:rPr/>
        <w:t>采购包2：本采购包无需提交样品</w:t>
      </w:r>
    </w:p>
    <w:p>
      <w:pPr>
        <w:pStyle w:val="null3"/>
        <w:jc w:val="left"/>
      </w:pPr>
      <w:r>
        <w:rPr/>
        <w:t>采购包3：本采购包无需提交样品</w:t>
      </w:r>
    </w:p>
    <w:p>
      <w:pPr>
        <w:pStyle w:val="null3"/>
        <w:jc w:val="left"/>
      </w:pPr>
      <w:r>
        <w:rPr/>
        <w:t>采购包4：本采购包无需提交样品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本项目共计4个采购包，各包拟确定中标人1名</w:t>
      </w:r>
    </w:p>
    <w:p>
      <w:pPr>
        <w:pStyle w:val="null3"/>
        <w:jc w:val="left"/>
        <w:outlineLvl w:val="2"/>
      </w:pPr>
      <w:r>
        <w:rPr>
          <w:b/>
          <w:sz w:val="28"/>
        </w:rPr>
        <w:t>3.2.采购内容</w:t>
      </w:r>
    </w:p>
    <w:p>
      <w:pPr>
        <w:pStyle w:val="null3"/>
        <w:jc w:val="left"/>
      </w:pPr>
      <w:r>
        <w:rPr/>
        <w:t>采购包1：</w:t>
      </w:r>
    </w:p>
    <w:p>
      <w:pPr>
        <w:pStyle w:val="null3"/>
        <w:jc w:val="left"/>
      </w:pPr>
      <w:r>
        <w:rPr/>
        <w:t>采购包预算金额（元）: 95,000.00</w:t>
      </w:r>
    </w:p>
    <w:p>
      <w:pPr>
        <w:pStyle w:val="null3"/>
        <w:jc w:val="left"/>
      </w:pPr>
      <w:r>
        <w:rPr/>
        <w:t>采购包最高限价（元）: 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临床检验设备</w:t>
            </w:r>
          </w:p>
        </w:tc>
        <w:tc>
          <w:tcPr>
            <w:tcW w:type="dxa" w:w="821"/>
          </w:tcPr>
          <w:p>
            <w:pPr>
              <w:pStyle w:val="null3"/>
              <w:jc w:val="left"/>
            </w:pPr>
            <w:r>
              <w:rPr/>
              <w:t>全自动电化学发光免疫分析仪</w:t>
            </w:r>
          </w:p>
        </w:tc>
        <w:tc>
          <w:tcPr>
            <w:tcW w:type="dxa" w:w="821"/>
          </w:tcPr>
          <w:p>
            <w:pPr>
              <w:pStyle w:val="null3"/>
              <w:jc w:val="right"/>
            </w:pPr>
            <w:r>
              <w:rPr/>
              <w:t>1.00（套）</w:t>
            </w:r>
          </w:p>
        </w:tc>
        <w:tc>
          <w:tcPr>
            <w:tcW w:type="dxa" w:w="821"/>
          </w:tcPr>
          <w:p>
            <w:pPr>
              <w:pStyle w:val="null3"/>
              <w:jc w:val="right"/>
            </w:pPr>
            <w:r>
              <w:rPr/>
              <w:t>95,000.00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70,000.00</w:t>
      </w:r>
    </w:p>
    <w:p>
      <w:pPr>
        <w:pStyle w:val="null3"/>
        <w:jc w:val="left"/>
      </w:pPr>
      <w:r>
        <w:rPr/>
        <w:t>采购包最高限价（元）: 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临床检验设备</w:t>
            </w:r>
          </w:p>
        </w:tc>
        <w:tc>
          <w:tcPr>
            <w:tcW w:type="dxa" w:w="821"/>
          </w:tcPr>
          <w:p>
            <w:pPr>
              <w:pStyle w:val="null3"/>
              <w:jc w:val="left"/>
            </w:pPr>
            <w:r>
              <w:rPr/>
              <w:t>全自动凝血分析仪</w:t>
            </w:r>
          </w:p>
        </w:tc>
        <w:tc>
          <w:tcPr>
            <w:tcW w:type="dxa" w:w="821"/>
          </w:tcPr>
          <w:p>
            <w:pPr>
              <w:pStyle w:val="null3"/>
              <w:jc w:val="right"/>
            </w:pPr>
            <w:r>
              <w:rPr/>
              <w:t>2.00（套）</w:t>
            </w:r>
          </w:p>
        </w:tc>
        <w:tc>
          <w:tcPr>
            <w:tcW w:type="dxa" w:w="821"/>
          </w:tcPr>
          <w:p>
            <w:pPr>
              <w:pStyle w:val="null3"/>
              <w:jc w:val="right"/>
            </w:pPr>
            <w:r>
              <w:rPr/>
              <w:t>70,000.00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560,000.00</w:t>
      </w:r>
    </w:p>
    <w:p>
      <w:pPr>
        <w:pStyle w:val="null3"/>
        <w:jc w:val="left"/>
      </w:pPr>
      <w:r>
        <w:rPr/>
        <w:t>采购包最高限价（元）: 560,000.00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临床检验设备</w:t>
            </w:r>
          </w:p>
        </w:tc>
        <w:tc>
          <w:tcPr>
            <w:tcW w:type="dxa" w:w="821"/>
          </w:tcPr>
          <w:p>
            <w:pPr>
              <w:pStyle w:val="null3"/>
              <w:jc w:val="left"/>
            </w:pPr>
            <w:r>
              <w:rPr/>
              <w:t>台式血气机</w:t>
            </w:r>
          </w:p>
        </w:tc>
        <w:tc>
          <w:tcPr>
            <w:tcW w:type="dxa" w:w="821"/>
          </w:tcPr>
          <w:p>
            <w:pPr>
              <w:pStyle w:val="null3"/>
              <w:jc w:val="right"/>
            </w:pPr>
            <w:r>
              <w:rPr/>
              <w:t>1.00（套）</w:t>
            </w:r>
          </w:p>
        </w:tc>
        <w:tc>
          <w:tcPr>
            <w:tcW w:type="dxa" w:w="821"/>
          </w:tcPr>
          <w:p>
            <w:pPr>
              <w:pStyle w:val="null3"/>
              <w:jc w:val="right"/>
            </w:pPr>
            <w:r>
              <w:rPr/>
              <w:t>80,000.00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临床检验设备</w:t>
            </w:r>
          </w:p>
        </w:tc>
        <w:tc>
          <w:tcPr>
            <w:tcW w:type="dxa" w:w="821"/>
          </w:tcPr>
          <w:p>
            <w:pPr>
              <w:pStyle w:val="null3"/>
              <w:jc w:val="left"/>
            </w:pPr>
            <w:r>
              <w:rPr/>
              <w:t>手持血气分析仪</w:t>
            </w:r>
          </w:p>
        </w:tc>
        <w:tc>
          <w:tcPr>
            <w:tcW w:type="dxa" w:w="821"/>
          </w:tcPr>
          <w:p>
            <w:pPr>
              <w:pStyle w:val="null3"/>
              <w:jc w:val="right"/>
            </w:pPr>
            <w:r>
              <w:rPr/>
              <w:t>6.00（套）</w:t>
            </w:r>
          </w:p>
        </w:tc>
        <w:tc>
          <w:tcPr>
            <w:tcW w:type="dxa" w:w="821"/>
          </w:tcPr>
          <w:p>
            <w:pPr>
              <w:pStyle w:val="null3"/>
              <w:jc w:val="right"/>
            </w:pPr>
            <w:r>
              <w:rPr/>
              <w:t>480,000.00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采购包4：</w:t>
      </w:r>
    </w:p>
    <w:p>
      <w:pPr>
        <w:pStyle w:val="null3"/>
        <w:jc w:val="left"/>
      </w:pPr>
      <w:r>
        <w:rPr/>
        <w:t>采购包预算金额（元）: 2,190,000.00</w:t>
      </w:r>
    </w:p>
    <w:p>
      <w:pPr>
        <w:pStyle w:val="null3"/>
        <w:jc w:val="left"/>
      </w:pPr>
      <w:r>
        <w:rPr/>
        <w:t>采购包最高限价（元）: 1,780,000.00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手术器械</w:t>
            </w:r>
          </w:p>
        </w:tc>
        <w:tc>
          <w:tcPr>
            <w:tcW w:type="dxa" w:w="821"/>
          </w:tcPr>
          <w:p>
            <w:pPr>
              <w:pStyle w:val="null3"/>
              <w:jc w:val="left"/>
            </w:pPr>
            <w:r>
              <w:rPr/>
              <w:t>超声乳化手柄</w:t>
            </w:r>
          </w:p>
        </w:tc>
        <w:tc>
          <w:tcPr>
            <w:tcW w:type="dxa" w:w="821"/>
          </w:tcPr>
          <w:p>
            <w:pPr>
              <w:pStyle w:val="null3"/>
              <w:jc w:val="right"/>
            </w:pPr>
            <w:r>
              <w:rPr/>
              <w:t>10.00（套）</w:t>
            </w:r>
          </w:p>
        </w:tc>
        <w:tc>
          <w:tcPr>
            <w:tcW w:type="dxa" w:w="821"/>
          </w:tcPr>
          <w:p>
            <w:pPr>
              <w:pStyle w:val="null3"/>
              <w:jc w:val="right"/>
            </w:pPr>
            <w:r>
              <w:rPr/>
              <w:t>1,780,000.00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全自动电化学发光免疫分析仪</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95,000.00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全自动凝血分析仪</w:t>
            </w:r>
          </w:p>
        </w:tc>
        <w:tc>
          <w:tcPr>
            <w:tcW w:type="dxa" w:w="977"/>
          </w:tcPr>
          <w:p>
            <w:pPr>
              <w:pStyle w:val="null3"/>
              <w:jc w:val="right"/>
            </w:pPr>
            <w:r>
              <w:rPr/>
              <w:t>2.00（套）</w:t>
            </w:r>
          </w:p>
        </w:tc>
        <w:tc>
          <w:tcPr>
            <w:tcW w:type="dxa" w:w="1173"/>
          </w:tcPr>
          <w:p>
            <w:pPr>
              <w:pStyle w:val="null3"/>
              <w:jc w:val="right"/>
            </w:pPr>
            <w:r>
              <w:rPr/>
              <w:t>35,000.00（元）</w:t>
            </w:r>
          </w:p>
        </w:tc>
        <w:tc>
          <w:tcPr>
            <w:tcW w:type="dxa" w:w="1173"/>
          </w:tcPr>
          <w:p>
            <w:pPr>
              <w:pStyle w:val="null3"/>
              <w:jc w:val="right"/>
            </w:pPr>
            <w:r>
              <w:rPr/>
              <w:t>70,000.00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台式血气机</w:t>
            </w:r>
          </w:p>
        </w:tc>
        <w:tc>
          <w:tcPr>
            <w:tcW w:type="dxa" w:w="977"/>
          </w:tcPr>
          <w:p>
            <w:pPr>
              <w:pStyle w:val="null3"/>
              <w:jc w:val="right"/>
            </w:pPr>
            <w:r>
              <w:rPr/>
              <w:t>1.00（套）</w:t>
            </w:r>
          </w:p>
        </w:tc>
        <w:tc>
          <w:tcPr>
            <w:tcW w:type="dxa" w:w="1173"/>
          </w:tcPr>
          <w:p>
            <w:pPr>
              <w:pStyle w:val="null3"/>
              <w:jc w:val="right"/>
            </w:pPr>
            <w:r>
              <w:rPr/>
              <w:t>80,000.00（元）</w:t>
            </w:r>
          </w:p>
        </w:tc>
        <w:tc>
          <w:tcPr>
            <w:tcW w:type="dxa" w:w="1173"/>
          </w:tcPr>
          <w:p>
            <w:pPr>
              <w:pStyle w:val="null3"/>
              <w:jc w:val="right"/>
            </w:pPr>
            <w:r>
              <w:rPr/>
              <w:t>80,000.00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手持血气分析仪</w:t>
            </w:r>
          </w:p>
        </w:tc>
        <w:tc>
          <w:tcPr>
            <w:tcW w:type="dxa" w:w="977"/>
          </w:tcPr>
          <w:p>
            <w:pPr>
              <w:pStyle w:val="null3"/>
              <w:jc w:val="right"/>
            </w:pPr>
            <w:r>
              <w:rPr/>
              <w:t>6.00（套）</w:t>
            </w:r>
          </w:p>
        </w:tc>
        <w:tc>
          <w:tcPr>
            <w:tcW w:type="dxa" w:w="1173"/>
          </w:tcPr>
          <w:p>
            <w:pPr>
              <w:pStyle w:val="null3"/>
              <w:jc w:val="right"/>
            </w:pPr>
            <w:r>
              <w:rPr/>
              <w:t>80,000.00（元）</w:t>
            </w:r>
          </w:p>
        </w:tc>
        <w:tc>
          <w:tcPr>
            <w:tcW w:type="dxa" w:w="1173"/>
          </w:tcPr>
          <w:p>
            <w:pPr>
              <w:pStyle w:val="null3"/>
              <w:jc w:val="right"/>
            </w:pPr>
            <w:r>
              <w:rPr/>
              <w:t>480,000.00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采购包4：</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超声乳化手柄</w:t>
            </w:r>
          </w:p>
        </w:tc>
        <w:tc>
          <w:tcPr>
            <w:tcW w:type="dxa" w:w="977"/>
          </w:tcPr>
          <w:p>
            <w:pPr>
              <w:pStyle w:val="null3"/>
              <w:jc w:val="right"/>
            </w:pPr>
            <w:r>
              <w:rPr/>
              <w:t>10.00（套）</w:t>
            </w:r>
          </w:p>
        </w:tc>
        <w:tc>
          <w:tcPr>
            <w:tcW w:type="dxa" w:w="1173"/>
          </w:tcPr>
          <w:p>
            <w:pPr>
              <w:pStyle w:val="null3"/>
              <w:jc w:val="right"/>
            </w:pPr>
            <w:r>
              <w:rPr/>
              <w:t>178,000.00（元）</w:t>
            </w:r>
          </w:p>
        </w:tc>
        <w:tc>
          <w:tcPr>
            <w:tcW w:type="dxa" w:w="1173"/>
          </w:tcPr>
          <w:p>
            <w:pPr>
              <w:pStyle w:val="null3"/>
              <w:jc w:val="right"/>
            </w:pPr>
            <w:r>
              <w:rPr/>
              <w:t>1,780,000.00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全自动电化学发光免疫分析仪</w:t>
            </w:r>
          </w:p>
        </w:tc>
        <w:tc>
          <w:tcPr>
            <w:tcW w:type="dxa" w:w="2492"/>
          </w:tcPr>
          <w:p>
            <w:pPr>
              <w:pStyle w:val="null3"/>
              <w:jc w:val="left"/>
            </w:pPr>
            <w:r>
              <w:rPr/>
              <w:t>全自动电化学发光免疫分析仪</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全自动凝血分析仪</w:t>
            </w:r>
          </w:p>
        </w:tc>
        <w:tc>
          <w:tcPr>
            <w:tcW w:type="dxa" w:w="2492"/>
          </w:tcPr>
          <w:p>
            <w:pPr>
              <w:pStyle w:val="null3"/>
              <w:jc w:val="left"/>
            </w:pPr>
            <w:r>
              <w:rPr/>
              <w:t>全自动凝血分析仪</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手持血气分析仪</w:t>
            </w:r>
          </w:p>
        </w:tc>
        <w:tc>
          <w:tcPr>
            <w:tcW w:type="dxa" w:w="2492"/>
          </w:tcPr>
          <w:p>
            <w:pPr>
              <w:pStyle w:val="null3"/>
              <w:jc w:val="left"/>
            </w:pPr>
            <w:r>
              <w:rPr/>
              <w:t>手持血气分析仪</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手术器械</w:t>
            </w:r>
          </w:p>
        </w:tc>
        <w:tc>
          <w:tcPr>
            <w:tcW w:type="dxa" w:w="2492"/>
          </w:tcPr>
          <w:p>
            <w:pPr>
              <w:pStyle w:val="null3"/>
              <w:jc w:val="left"/>
            </w:pPr>
            <w:r>
              <w:rPr/>
              <w:t>超声乳化手柄</w:t>
            </w:r>
          </w:p>
        </w:tc>
        <w:tc>
          <w:tcPr>
            <w:tcW w:type="dxa" w:w="2492"/>
          </w:tcPr>
          <w:p>
            <w:pPr>
              <w:pStyle w:val="null3"/>
              <w:jc w:val="left"/>
            </w:pPr>
            <w:r>
              <w:rPr/>
              <w:t>超声乳化手柄</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全自动电化学发光免疫分析仪</w:t>
            </w:r>
          </w:p>
        </w:tc>
        <w:tc>
          <w:tcPr>
            <w:tcW w:type="dxa" w:w="2492"/>
          </w:tcPr>
          <w:p>
            <w:pPr>
              <w:pStyle w:val="null3"/>
              <w:jc w:val="left"/>
            </w:pPr>
            <w:r>
              <w:rPr/>
              <w:t>全自动电化学发光免疫分析仪</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全自动凝血分析仪</w:t>
            </w:r>
          </w:p>
        </w:tc>
        <w:tc>
          <w:tcPr>
            <w:tcW w:type="dxa" w:w="2492"/>
          </w:tcPr>
          <w:p>
            <w:pPr>
              <w:pStyle w:val="null3"/>
              <w:jc w:val="left"/>
            </w:pPr>
            <w:r>
              <w:rPr/>
              <w:t>全自动凝血分析仪</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台式血气机</w:t>
            </w:r>
          </w:p>
        </w:tc>
        <w:tc>
          <w:tcPr>
            <w:tcW w:type="dxa" w:w="2492"/>
          </w:tcPr>
          <w:p>
            <w:pPr>
              <w:pStyle w:val="null3"/>
              <w:jc w:val="left"/>
            </w:pPr>
            <w:r>
              <w:rPr/>
              <w:t>台式血气机</w:t>
            </w:r>
          </w:p>
        </w:tc>
      </w:tr>
      <w:tr>
        <w:tc>
          <w:tcPr>
            <w:tcW w:type="dxa" w:w="831"/>
          </w:tcPr>
          <w:p>
            <w:pPr>
              <w:pStyle w:val="null3"/>
              <w:jc w:val="left"/>
            </w:pPr>
            <w:r>
              <w:rPr/>
              <w:t>2</w:t>
            </w:r>
          </w:p>
        </w:tc>
        <w:tc>
          <w:tcPr>
            <w:tcW w:type="dxa" w:w="2492"/>
          </w:tcPr>
          <w:p>
            <w:pPr>
              <w:pStyle w:val="null3"/>
              <w:jc w:val="left"/>
            </w:pPr>
            <w:r>
              <w:rPr/>
              <w:t>临床检验设备</w:t>
            </w:r>
          </w:p>
        </w:tc>
        <w:tc>
          <w:tcPr>
            <w:tcW w:type="dxa" w:w="2492"/>
          </w:tcPr>
          <w:p>
            <w:pPr>
              <w:pStyle w:val="null3"/>
              <w:jc w:val="left"/>
            </w:pPr>
            <w:r>
              <w:rPr/>
              <w:t>手持血气分析仪</w:t>
            </w:r>
          </w:p>
        </w:tc>
        <w:tc>
          <w:tcPr>
            <w:tcW w:type="dxa" w:w="2492"/>
          </w:tcPr>
          <w:p>
            <w:pPr>
              <w:pStyle w:val="null3"/>
              <w:jc w:val="left"/>
            </w:pPr>
            <w:r>
              <w:rPr/>
              <w:t>手持血气分析仪</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手术器械</w:t>
            </w:r>
          </w:p>
        </w:tc>
        <w:tc>
          <w:tcPr>
            <w:tcW w:type="dxa" w:w="2492"/>
          </w:tcPr>
          <w:p>
            <w:pPr>
              <w:pStyle w:val="null3"/>
              <w:jc w:val="left"/>
            </w:pPr>
            <w:r>
              <w:rPr/>
              <w:t>超声乳化手柄</w:t>
            </w:r>
          </w:p>
        </w:tc>
        <w:tc>
          <w:tcPr>
            <w:tcW w:type="dxa" w:w="2492"/>
          </w:tcPr>
          <w:p>
            <w:pPr>
              <w:pStyle w:val="null3"/>
              <w:jc w:val="left"/>
            </w:pPr>
            <w:r>
              <w:rPr/>
              <w:t>超声乳化手柄</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标的名称：全自动电化学发光免疫分析仪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4"/>
              </w:rPr>
              <w:t>▲1、全自动化学发光免疫分析仪一套，含化学发光免疫分析仪、样本处理系统、离心机等，所提供的以上设备须为同一品牌。</w:t>
            </w:r>
          </w:p>
          <w:p>
            <w:pPr>
              <w:pStyle w:val="null3"/>
              <w:jc w:val="both"/>
            </w:pPr>
            <w:r>
              <w:rPr>
                <w:rFonts w:ascii="仿宋" w:hAnsi="仿宋" w:cs="仿宋" w:eastAsia="仿宋"/>
                <w:sz w:val="22"/>
              </w:rPr>
              <w:t>★</w:t>
            </w:r>
            <w:r>
              <w:rPr>
                <w:rFonts w:ascii="仿宋" w:hAnsi="仿宋" w:cs="仿宋" w:eastAsia="仿宋"/>
                <w:sz w:val="24"/>
              </w:rPr>
              <w:t>2、化学发光检测系统总速度≥1100测试/小时，且至少提供1台试剂通道数≥42个的免疫分析仪。</w:t>
            </w:r>
          </w:p>
          <w:p>
            <w:pPr>
              <w:pStyle w:val="null3"/>
              <w:jc w:val="both"/>
            </w:pPr>
            <w:r>
              <w:rPr>
                <w:rFonts w:ascii="仿宋" w:hAnsi="仿宋" w:cs="仿宋" w:eastAsia="仿宋"/>
                <w:sz w:val="24"/>
              </w:rPr>
              <w:t>▲3、单台样本处理系统的单个进样单元处理速度≥1200样本/小时，且具有检测前自动血清质量监测功能，能自动判断标本溶血、脂血、黄疸等情况（须提供实现此功能的原理、组件、步骤的照片证明）。</w:t>
            </w:r>
          </w:p>
          <w:p>
            <w:pPr>
              <w:pStyle w:val="null3"/>
              <w:jc w:val="both"/>
            </w:pPr>
            <w:r>
              <w:rPr>
                <w:rFonts w:ascii="仿宋" w:hAnsi="仿宋" w:cs="仿宋" w:eastAsia="仿宋"/>
                <w:sz w:val="24"/>
              </w:rPr>
              <w:t>▲4、样本处理系统能对识别后的样本自动旋转去盖，可减少气溶胶产生，能去除多种类型的试管盖，单台在线去盖单元速度≥1200样本/小时。</w:t>
            </w:r>
          </w:p>
          <w:p>
            <w:pPr>
              <w:pStyle w:val="null3"/>
              <w:jc w:val="both"/>
            </w:pPr>
            <w:r>
              <w:rPr>
                <w:rFonts w:ascii="仿宋" w:hAnsi="仿宋" w:cs="仿宋" w:eastAsia="仿宋"/>
                <w:sz w:val="24"/>
              </w:rPr>
              <w:t>▲5、样本处理系统须具备分杯功能，单个分杯模块速度≥710样本/小时(1:1分杯)，单支原始管可分杯数≥10杯，可打印中文分杯管条码信息。</w:t>
            </w:r>
          </w:p>
          <w:p>
            <w:pPr>
              <w:pStyle w:val="null3"/>
              <w:jc w:val="both"/>
            </w:pPr>
            <w:r>
              <w:rPr>
                <w:rFonts w:ascii="仿宋" w:hAnsi="仿宋" w:cs="仿宋" w:eastAsia="仿宋"/>
                <w:sz w:val="24"/>
              </w:rPr>
              <w:t>▲6、单台离心机离心速度≥480管/小时，总离心速度≥900管/小时。</w:t>
            </w:r>
          </w:p>
          <w:p>
            <w:pPr>
              <w:pStyle w:val="null3"/>
              <w:jc w:val="both"/>
            </w:pPr>
            <w:r>
              <w:rPr>
                <w:rFonts w:ascii="仿宋" w:hAnsi="仿宋" w:cs="仿宋" w:eastAsia="仿宋"/>
                <w:sz w:val="24"/>
              </w:rPr>
              <w:t>7、化学发光免疫分析仪采用电化学发光或直接化学发光技术。</w:t>
            </w:r>
          </w:p>
          <w:p>
            <w:pPr>
              <w:pStyle w:val="null3"/>
              <w:jc w:val="both"/>
            </w:pPr>
            <w:r>
              <w:rPr>
                <w:rFonts w:ascii="仿宋" w:hAnsi="仿宋" w:cs="仿宋" w:eastAsia="仿宋"/>
                <w:sz w:val="24"/>
              </w:rPr>
              <w:t>8、具备不停机情况下连续装载和卸载检测试剂盒、辅助试剂和耗材的功能，减少反复加载试剂的操作。</w:t>
            </w:r>
          </w:p>
          <w:p>
            <w:pPr>
              <w:pStyle w:val="null3"/>
              <w:jc w:val="both"/>
            </w:pPr>
            <w:r>
              <w:rPr>
                <w:rFonts w:ascii="仿宋" w:hAnsi="仿宋" w:cs="仿宋" w:eastAsia="仿宋"/>
                <w:sz w:val="24"/>
              </w:rPr>
              <w:t>▲9、具备急诊检测模式功能，可在任何时间即时插入急诊样本，急诊项目最快检测时间≤9分钟，满足急诊项目快速检测需求。</w:t>
            </w:r>
          </w:p>
          <w:p>
            <w:pPr>
              <w:pStyle w:val="null3"/>
              <w:jc w:val="both"/>
            </w:pPr>
            <w:r>
              <w:rPr>
                <w:rFonts w:ascii="仿宋" w:hAnsi="仿宋" w:cs="仿宋" w:eastAsia="仿宋"/>
                <w:sz w:val="24"/>
              </w:rPr>
              <w:t>10、具有样品凝块检出功能及样品探针堵孔报警和防碰撞功能，具备试管液面探测技术。</w:t>
            </w:r>
          </w:p>
          <w:p>
            <w:pPr>
              <w:pStyle w:val="null3"/>
              <w:jc w:val="both"/>
            </w:pPr>
            <w:r>
              <w:rPr>
                <w:rFonts w:ascii="仿宋" w:hAnsi="仿宋" w:cs="仿宋" w:eastAsia="仿宋"/>
                <w:sz w:val="24"/>
              </w:rPr>
              <w:t>▲11、采用无携带污染的一次性吸头和反应杯，避免交叉污染。</w:t>
            </w:r>
          </w:p>
          <w:p>
            <w:pPr>
              <w:pStyle w:val="null3"/>
              <w:jc w:val="both"/>
            </w:pPr>
            <w:r>
              <w:rPr>
                <w:rFonts w:ascii="仿宋" w:hAnsi="仿宋" w:cs="仿宋" w:eastAsia="仿宋"/>
                <w:sz w:val="24"/>
              </w:rPr>
              <w:t>12、样品类型支持血清、血浆、尿液、脑脊液、上清液、全血。</w:t>
            </w:r>
          </w:p>
          <w:p>
            <w:pPr>
              <w:pStyle w:val="null3"/>
              <w:jc w:val="both"/>
            </w:pPr>
            <w:r>
              <w:rPr>
                <w:rFonts w:ascii="仿宋" w:hAnsi="仿宋" w:cs="仿宋" w:eastAsia="仿宋"/>
                <w:sz w:val="24"/>
              </w:rPr>
              <w:t>13、全部检测项目均采用2点定标</w:t>
            </w:r>
          </w:p>
          <w:p>
            <w:pPr>
              <w:pStyle w:val="null3"/>
              <w:jc w:val="both"/>
            </w:pPr>
            <w:r>
              <w:rPr>
                <w:rFonts w:ascii="仿宋" w:hAnsi="仿宋" w:cs="仿宋" w:eastAsia="仿宋"/>
                <w:sz w:val="24"/>
              </w:rPr>
              <w:t>▲14</w:t>
            </w:r>
            <w:r>
              <w:rPr>
                <w:rFonts w:ascii="仿宋" w:hAnsi="仿宋" w:cs="仿宋" w:eastAsia="仿宋"/>
                <w:sz w:val="24"/>
              </w:rPr>
              <w:t>、</w:t>
            </w:r>
            <w:r>
              <w:rPr>
                <w:rFonts w:ascii="仿宋" w:hAnsi="仿宋" w:cs="仿宋" w:eastAsia="仿宋"/>
                <w:sz w:val="24"/>
              </w:rPr>
              <w:t>适应范围：</w:t>
            </w:r>
          </w:p>
          <w:p>
            <w:pPr>
              <w:pStyle w:val="null3"/>
              <w:jc w:val="both"/>
            </w:pPr>
            <w:r>
              <w:rPr>
                <w:rFonts w:ascii="仿宋" w:hAnsi="仿宋" w:cs="仿宋" w:eastAsia="仿宋"/>
                <w:sz w:val="24"/>
              </w:rPr>
              <w:t>14.1、</w:t>
            </w:r>
            <w:r>
              <w:rPr>
                <w:rFonts w:ascii="仿宋" w:hAnsi="仿宋" w:cs="仿宋" w:eastAsia="仿宋"/>
                <w:sz w:val="24"/>
              </w:rPr>
              <w:t>能检测肿瘤标志物的</w:t>
            </w:r>
            <w:r>
              <w:rPr>
                <w:rFonts w:ascii="仿宋" w:hAnsi="仿宋" w:cs="仿宋" w:eastAsia="仿宋"/>
                <w:sz w:val="24"/>
              </w:rPr>
              <w:t>神经元特异性烯醇化酶、细胞角蛋白</w:t>
            </w:r>
            <w:r>
              <w:rPr>
                <w:rFonts w:ascii="仿宋" w:hAnsi="仿宋" w:cs="仿宋" w:eastAsia="仿宋"/>
                <w:sz w:val="24"/>
              </w:rPr>
              <w:t>19片段、人附睾蛋白4、糖类抗原CA72-4、鳞状上皮细胞癌抗原、胃泌素释放肽前体、异常凝血酶原</w:t>
            </w:r>
            <w:r>
              <w:rPr>
                <w:rFonts w:ascii="仿宋" w:hAnsi="仿宋" w:cs="仿宋" w:eastAsia="仿宋"/>
                <w:sz w:val="24"/>
              </w:rPr>
              <w:t>；</w:t>
            </w:r>
            <w:r>
              <w:rPr>
                <w:rFonts w:ascii="仿宋" w:hAnsi="仿宋" w:cs="仿宋" w:eastAsia="仿宋"/>
                <w:sz w:val="24"/>
              </w:rPr>
              <w:t>所投型号的化学发光分析仪须能检测甲状腺的</w:t>
            </w:r>
            <w:r>
              <w:rPr>
                <w:rFonts w:ascii="仿宋" w:hAnsi="仿宋" w:cs="仿宋" w:eastAsia="仿宋"/>
                <w:sz w:val="24"/>
              </w:rPr>
              <w:t>促甲状腺素受体抗体、降钙素</w:t>
            </w:r>
            <w:r>
              <w:rPr>
                <w:rFonts w:ascii="仿宋" w:hAnsi="仿宋" w:cs="仿宋" w:eastAsia="仿宋"/>
                <w:sz w:val="24"/>
              </w:rPr>
              <w:t>；</w:t>
            </w:r>
          </w:p>
          <w:p>
            <w:pPr>
              <w:pStyle w:val="null3"/>
              <w:jc w:val="both"/>
            </w:pPr>
            <w:r>
              <w:rPr>
                <w:rFonts w:ascii="仿宋" w:hAnsi="仿宋" w:cs="仿宋" w:eastAsia="仿宋"/>
                <w:sz w:val="24"/>
              </w:rPr>
              <w:t xml:space="preserve">14.2 </w:t>
            </w:r>
            <w:r>
              <w:rPr>
                <w:rFonts w:ascii="仿宋" w:hAnsi="仿宋" w:cs="仿宋" w:eastAsia="仿宋"/>
                <w:sz w:val="24"/>
              </w:rPr>
              <w:t>能检测骨代谢的</w:t>
            </w:r>
            <w:r>
              <w:rPr>
                <w:rFonts w:ascii="仿宋" w:hAnsi="仿宋" w:cs="仿宋" w:eastAsia="仿宋"/>
                <w:sz w:val="24"/>
              </w:rPr>
              <w:t>总</w:t>
            </w:r>
            <w:r>
              <w:rPr>
                <w:rFonts w:ascii="仿宋" w:hAnsi="仿宋" w:cs="仿宋" w:eastAsia="仿宋"/>
                <w:sz w:val="24"/>
              </w:rPr>
              <w:t>I型胶原氨基端延长肽、骨钙素、β-胶原特殊序列</w:t>
            </w:r>
            <w:r>
              <w:rPr>
                <w:rFonts w:ascii="仿宋" w:hAnsi="仿宋" w:cs="仿宋" w:eastAsia="仿宋"/>
                <w:sz w:val="24"/>
              </w:rPr>
              <w:t>；</w:t>
            </w:r>
            <w:r>
              <w:rPr>
                <w:rFonts w:ascii="仿宋" w:hAnsi="仿宋" w:cs="仿宋" w:eastAsia="仿宋"/>
                <w:sz w:val="24"/>
              </w:rPr>
              <w:t>所投型号的化学发光分析仪须能检测心肌的</w:t>
            </w:r>
            <w:r>
              <w:rPr>
                <w:rFonts w:ascii="仿宋" w:hAnsi="仿宋" w:cs="仿宋" w:eastAsia="仿宋"/>
                <w:sz w:val="24"/>
              </w:rPr>
              <w:t>高敏肌钙蛋白、脑利钠肽前体</w:t>
            </w:r>
            <w:r>
              <w:rPr>
                <w:rFonts w:ascii="仿宋" w:hAnsi="仿宋" w:cs="仿宋" w:eastAsia="仿宋"/>
                <w:sz w:val="24"/>
              </w:rPr>
              <w:t>；</w:t>
            </w:r>
          </w:p>
          <w:p>
            <w:pPr>
              <w:pStyle w:val="null3"/>
              <w:jc w:val="both"/>
            </w:pPr>
            <w:r>
              <w:rPr>
                <w:rFonts w:ascii="仿宋" w:hAnsi="仿宋" w:cs="仿宋" w:eastAsia="仿宋"/>
                <w:sz w:val="24"/>
              </w:rPr>
              <w:t>14.3</w:t>
            </w:r>
            <w:r>
              <w:rPr>
                <w:rFonts w:ascii="仿宋" w:hAnsi="仿宋" w:cs="仿宋" w:eastAsia="仿宋"/>
                <w:sz w:val="24"/>
              </w:rPr>
              <w:t>、</w:t>
            </w:r>
            <w:r>
              <w:rPr>
                <w:rFonts w:ascii="仿宋" w:hAnsi="仿宋" w:cs="仿宋" w:eastAsia="仿宋"/>
                <w:sz w:val="24"/>
              </w:rPr>
              <w:t>能检测优生优育的</w:t>
            </w:r>
            <w:r>
              <w:rPr>
                <w:rFonts w:ascii="仿宋" w:hAnsi="仿宋" w:cs="仿宋" w:eastAsia="仿宋"/>
                <w:sz w:val="24"/>
              </w:rPr>
              <w:t>Ⅰ型单纯疱疹病毒IgG、Ⅱ型单纯疱疹病毒IgG、弓形虫IgG抗体、弓形虫IgM抗体、风疹病毒IgG抗体、风疹病毒IgM抗体、巨细胞病毒IgG抗体、巨细胞病毒IgM抗体</w:t>
            </w:r>
            <w:r>
              <w:rPr>
                <w:rFonts w:ascii="仿宋" w:hAnsi="仿宋" w:cs="仿宋" w:eastAsia="仿宋"/>
                <w:sz w:val="24"/>
              </w:rPr>
              <w:t>；</w:t>
            </w:r>
          </w:p>
          <w:p>
            <w:pPr>
              <w:pStyle w:val="null3"/>
              <w:jc w:val="both"/>
            </w:pPr>
            <w:r>
              <w:rPr>
                <w:rFonts w:ascii="仿宋" w:hAnsi="仿宋" w:cs="仿宋" w:eastAsia="仿宋"/>
                <w:sz w:val="24"/>
              </w:rPr>
              <w:t>1</w:t>
            </w:r>
            <w:r>
              <w:rPr>
                <w:rFonts w:ascii="仿宋" w:hAnsi="仿宋" w:cs="仿宋" w:eastAsia="仿宋"/>
                <w:sz w:val="24"/>
              </w:rPr>
              <w:t>4.4、</w:t>
            </w:r>
            <w:r>
              <w:rPr>
                <w:rFonts w:ascii="仿宋" w:hAnsi="仿宋" w:cs="仿宋" w:eastAsia="仿宋"/>
                <w:sz w:val="24"/>
              </w:rPr>
              <w:t>能检测传染病的</w:t>
            </w:r>
            <w:r>
              <w:rPr>
                <w:rFonts w:ascii="仿宋" w:hAnsi="仿宋" w:cs="仿宋" w:eastAsia="仿宋"/>
                <w:sz w:val="24"/>
              </w:rPr>
              <w:t>梅毒螺旋体抗体、人类免疫缺陷病毒抗体和抗原</w:t>
            </w:r>
            <w:r>
              <w:rPr>
                <w:rFonts w:ascii="仿宋" w:hAnsi="仿宋" w:cs="仿宋" w:eastAsia="仿宋"/>
                <w:sz w:val="24"/>
              </w:rPr>
              <w:t>(P24)、丙型肝炎病毒抗体</w:t>
            </w:r>
            <w:r>
              <w:rPr>
                <w:rFonts w:ascii="仿宋" w:hAnsi="仿宋" w:cs="仿宋" w:eastAsia="仿宋"/>
                <w:sz w:val="24"/>
              </w:rPr>
              <w:t>；</w:t>
            </w:r>
          </w:p>
          <w:p>
            <w:pPr>
              <w:pStyle w:val="null3"/>
              <w:jc w:val="both"/>
            </w:pPr>
            <w:r>
              <w:rPr>
                <w:rFonts w:ascii="仿宋" w:hAnsi="仿宋" w:cs="仿宋" w:eastAsia="仿宋"/>
                <w:sz w:val="24"/>
              </w:rPr>
              <w:t>14.5 、</w:t>
            </w:r>
            <w:r>
              <w:rPr>
                <w:rFonts w:ascii="仿宋" w:hAnsi="仿宋" w:cs="仿宋" w:eastAsia="仿宋"/>
                <w:sz w:val="24"/>
              </w:rPr>
              <w:t>所投型号的化学发光分析仪须能检测</w:t>
            </w:r>
            <w:r>
              <w:rPr>
                <w:rFonts w:ascii="仿宋" w:hAnsi="仿宋" w:cs="仿宋" w:eastAsia="仿宋"/>
                <w:sz w:val="24"/>
              </w:rPr>
              <w:t>抗环瓜氨酸肽抗体、抗缪勒管激素、白介素</w:t>
            </w:r>
            <w:r>
              <w:rPr>
                <w:rFonts w:ascii="仿宋" w:hAnsi="仿宋" w:cs="仿宋" w:eastAsia="仿宋"/>
                <w:sz w:val="24"/>
              </w:rPr>
              <w:t>6、胰岛素、C肽</w:t>
            </w:r>
            <w:r>
              <w:rPr>
                <w:rFonts w:ascii="仿宋" w:hAnsi="仿宋" w:cs="仿宋" w:eastAsia="仿宋"/>
                <w:sz w:val="24"/>
              </w:rPr>
              <w:t>。</w:t>
            </w:r>
          </w:p>
          <w:p>
            <w:pPr>
              <w:pStyle w:val="null3"/>
              <w:spacing w:after="120"/>
              <w:jc w:val="both"/>
            </w:pPr>
            <w:r>
              <w:rPr>
                <w:rFonts w:ascii="仿宋" w:hAnsi="仿宋" w:cs="仿宋" w:eastAsia="仿宋"/>
                <w:sz w:val="22"/>
              </w:rPr>
              <w:t>★</w:t>
            </w:r>
            <w:r>
              <w:rPr>
                <w:rFonts w:ascii="仿宋" w:hAnsi="仿宋" w:cs="仿宋" w:eastAsia="仿宋"/>
                <w:sz w:val="24"/>
              </w:rPr>
              <w:t>15、配置清单</w:t>
            </w:r>
          </w:p>
          <w:p>
            <w:pPr>
              <w:pStyle w:val="null3"/>
              <w:spacing w:after="120"/>
              <w:jc w:val="both"/>
            </w:pPr>
            <w:r>
              <w:rPr>
                <w:rFonts w:ascii="仿宋" w:hAnsi="仿宋" w:cs="仿宋" w:eastAsia="仿宋"/>
                <w:sz w:val="24"/>
              </w:rPr>
              <w:t>15.1、全自动化学发光免疫分析仪5台</w:t>
            </w:r>
          </w:p>
          <w:p>
            <w:pPr>
              <w:pStyle w:val="null3"/>
              <w:spacing w:after="120"/>
              <w:jc w:val="both"/>
            </w:pPr>
            <w:r>
              <w:rPr>
                <w:rFonts w:ascii="仿宋" w:hAnsi="仿宋" w:cs="仿宋" w:eastAsia="仿宋"/>
                <w:sz w:val="24"/>
              </w:rPr>
              <w:t>15.2、分杯处理系统1台</w:t>
            </w:r>
          </w:p>
          <w:p>
            <w:pPr>
              <w:pStyle w:val="null3"/>
              <w:spacing w:after="120"/>
              <w:jc w:val="both"/>
            </w:pPr>
            <w:r>
              <w:rPr>
                <w:rFonts w:ascii="仿宋" w:hAnsi="仿宋" w:cs="仿宋" w:eastAsia="仿宋"/>
                <w:sz w:val="24"/>
              </w:rPr>
              <w:t>15.3、医用离心机1台</w:t>
            </w:r>
          </w:p>
        </w:tc>
      </w:tr>
    </w:tbl>
    <w:p>
      <w:pPr>
        <w:pStyle w:val="null3"/>
        <w:jc w:val="left"/>
      </w:pPr>
      <w:r>
        <w:rPr/>
        <w:t>采购包2：</w:t>
      </w:r>
    </w:p>
    <w:p>
      <w:pPr>
        <w:pStyle w:val="null3"/>
        <w:jc w:val="left"/>
      </w:pPr>
      <w:r>
        <w:rPr/>
        <w:t>标的名称：全自动凝血分析仪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sz w:val="24"/>
              </w:rPr>
              <w:t>▲</w:t>
            </w:r>
            <w:r>
              <w:rPr>
                <w:rFonts w:ascii="仿宋" w:hAnsi="仿宋" w:cs="仿宋" w:eastAsia="仿宋"/>
                <w:sz w:val="24"/>
              </w:rPr>
              <w:t>1、全自动凝血分析系统</w:t>
            </w:r>
            <w:r>
              <w:rPr>
                <w:rFonts w:ascii="仿宋" w:hAnsi="仿宋" w:cs="仿宋" w:eastAsia="仿宋"/>
                <w:sz w:val="24"/>
              </w:rPr>
              <w:t>两</w:t>
            </w:r>
            <w:r>
              <w:rPr>
                <w:rFonts w:ascii="仿宋" w:hAnsi="仿宋" w:cs="仿宋" w:eastAsia="仿宋"/>
                <w:sz w:val="24"/>
              </w:rPr>
              <w:t>套：</w:t>
            </w:r>
            <w:r>
              <w:rPr>
                <w:rFonts w:ascii="仿宋" w:hAnsi="仿宋" w:cs="仿宋" w:eastAsia="仿宋"/>
                <w:sz w:val="24"/>
              </w:rPr>
              <w:t>两套至少包含两</w:t>
            </w:r>
            <w:r>
              <w:rPr>
                <w:rFonts w:ascii="仿宋" w:hAnsi="仿宋" w:cs="仿宋" w:eastAsia="仿宋"/>
                <w:sz w:val="24"/>
              </w:rPr>
              <w:t>台凝血分析仪和凝血流水线轨道；轨道上的多台仪器互为备机，当其中一台维修保养或故障时，其它仪器仍可直接在轨道上运行操作。单机可以脱离流水线独立运行。</w:t>
            </w:r>
          </w:p>
          <w:p>
            <w:pPr>
              <w:pStyle w:val="null3"/>
              <w:jc w:val="both"/>
            </w:pPr>
            <w:r>
              <w:rPr>
                <w:rFonts w:ascii="仿宋" w:hAnsi="仿宋" w:cs="仿宋" w:eastAsia="仿宋"/>
                <w:sz w:val="24"/>
              </w:rPr>
              <w:t>2、开放数据接口，可与本院LIS和HIS系统连接，提供数据接口文档。</w:t>
            </w:r>
          </w:p>
          <w:p>
            <w:pPr>
              <w:pStyle w:val="null3"/>
              <w:jc w:val="both"/>
            </w:pPr>
            <w:r>
              <w:rPr>
                <w:rFonts w:ascii="仿宋" w:hAnsi="仿宋" w:cs="仿宋" w:eastAsia="仿宋"/>
                <w:sz w:val="24"/>
              </w:rPr>
              <w:t>3、一次性最大上样量≥200管, 可随时连续上样、出样。</w:t>
            </w:r>
          </w:p>
          <w:p>
            <w:pPr>
              <w:pStyle w:val="null3"/>
              <w:jc w:val="both"/>
            </w:pPr>
            <w:r>
              <w:rPr>
                <w:rFonts w:ascii="仿宋" w:hAnsi="仿宋" w:cs="仿宋" w:eastAsia="仿宋"/>
                <w:sz w:val="24"/>
              </w:rPr>
              <w:t>4、前处理样本进出样处理能力≥400管/小时。</w:t>
            </w:r>
          </w:p>
          <w:p>
            <w:pPr>
              <w:pStyle w:val="null3"/>
              <w:jc w:val="both"/>
            </w:pPr>
            <w:r>
              <w:rPr>
                <w:rFonts w:ascii="仿宋" w:hAnsi="仿宋" w:cs="仿宋" w:eastAsia="仿宋"/>
                <w:sz w:val="24"/>
              </w:rPr>
              <w:t>5、结果自动审核功能，可以自定义实验室审核规则，自动审核结果，危机值管理功能等。</w:t>
            </w:r>
          </w:p>
          <w:p>
            <w:pPr>
              <w:pStyle w:val="null3"/>
              <w:jc w:val="both"/>
            </w:pPr>
            <w:r>
              <w:rPr>
                <w:rFonts w:ascii="仿宋" w:hAnsi="仿宋" w:cs="仿宋" w:eastAsia="仿宋"/>
                <w:sz w:val="24"/>
              </w:rPr>
              <w:t>6、单台凝血仪试剂位≥30个；</w:t>
            </w:r>
          </w:p>
          <w:p>
            <w:pPr>
              <w:pStyle w:val="null3"/>
              <w:jc w:val="both"/>
            </w:pPr>
            <w:r>
              <w:rPr>
                <w:rFonts w:ascii="仿宋" w:hAnsi="仿宋" w:cs="仿宋" w:eastAsia="仿宋"/>
                <w:sz w:val="24"/>
              </w:rPr>
              <w:t>7、流水线上单机检测方法：每台仪器检测方法≥3种</w:t>
            </w:r>
            <w:r>
              <w:rPr>
                <w:rFonts w:ascii="仿宋" w:hAnsi="仿宋" w:cs="仿宋" w:eastAsia="仿宋"/>
                <w:sz w:val="24"/>
              </w:rPr>
              <w:t>，</w:t>
            </w:r>
            <w:r>
              <w:rPr>
                <w:rFonts w:ascii="仿宋" w:hAnsi="仿宋" w:cs="仿宋" w:eastAsia="仿宋"/>
                <w:sz w:val="24"/>
              </w:rPr>
              <w:t>至少包含</w:t>
            </w:r>
            <w:r>
              <w:rPr>
                <w:rFonts w:ascii="仿宋" w:hAnsi="仿宋" w:cs="仿宋" w:eastAsia="仿宋"/>
                <w:sz w:val="24"/>
              </w:rPr>
              <w:t>凝固法、发色底物法和免疫分析法</w:t>
            </w:r>
            <w:r>
              <w:rPr>
                <w:rFonts w:ascii="仿宋" w:hAnsi="仿宋" w:cs="仿宋" w:eastAsia="仿宋"/>
                <w:sz w:val="24"/>
              </w:rPr>
              <w:t>。</w:t>
            </w:r>
          </w:p>
          <w:p>
            <w:pPr>
              <w:pStyle w:val="null3"/>
              <w:jc w:val="both"/>
            </w:pPr>
            <w:r>
              <w:rPr>
                <w:rFonts w:ascii="仿宋" w:hAnsi="仿宋" w:cs="仿宋" w:eastAsia="仿宋"/>
                <w:sz w:val="24"/>
              </w:rPr>
              <w:t>8、流水线上单台凝血仪检测速度：PT≥350测试/小时。</w:t>
            </w:r>
          </w:p>
          <w:p>
            <w:pPr>
              <w:pStyle w:val="null3"/>
              <w:jc w:val="both"/>
            </w:pPr>
            <w:r>
              <w:rPr>
                <w:rFonts w:ascii="仿宋" w:hAnsi="仿宋" w:cs="仿宋" w:eastAsia="仿宋"/>
                <w:sz w:val="24"/>
              </w:rPr>
              <w:t>9、凝血仪应具备自动样本体积量进行监测和报警。</w:t>
            </w:r>
          </w:p>
          <w:p>
            <w:pPr>
              <w:pStyle w:val="null3"/>
              <w:jc w:val="both"/>
            </w:pPr>
            <w:r>
              <w:rPr>
                <w:rFonts w:ascii="仿宋" w:hAnsi="仿宋" w:cs="仿宋" w:eastAsia="仿宋"/>
                <w:sz w:val="24"/>
              </w:rPr>
              <w:t>10、能够开展下述检测项目：凝血酶原时间(PT)、活化部分凝血活酶时间(APTT)、凝血酶原时间(TT)、纤维蛋白原(FIB)、抗凝血酶(AT3)、纤维蛋白（原）降解产物(FDP)、D-二聚体(DD)。</w:t>
            </w:r>
          </w:p>
          <w:p>
            <w:pPr>
              <w:pStyle w:val="null3"/>
              <w:jc w:val="both"/>
            </w:pPr>
            <w:r>
              <w:rPr>
                <w:rFonts w:ascii="仿宋" w:hAnsi="仿宋" w:cs="仿宋" w:eastAsia="仿宋"/>
                <w:sz w:val="24"/>
              </w:rPr>
              <w:t>▲</w:t>
            </w:r>
            <w:r>
              <w:rPr>
                <w:rFonts w:ascii="仿宋" w:hAnsi="仿宋" w:cs="仿宋" w:eastAsia="仿宋"/>
                <w:sz w:val="24"/>
              </w:rPr>
              <w:t>11、反应杯单个独立，无需磁珠。</w:t>
            </w:r>
          </w:p>
          <w:p>
            <w:pPr>
              <w:pStyle w:val="null3"/>
              <w:jc w:val="both"/>
            </w:pPr>
            <w:r>
              <w:rPr>
                <w:rFonts w:ascii="仿宋" w:hAnsi="仿宋" w:cs="仿宋" w:eastAsia="仿宋"/>
                <w:sz w:val="24"/>
              </w:rPr>
              <w:t>12、每台凝血仪检测通道≥10个：每个通道可同时采用凝固法、发色底物法和免疫分析法检测样本。</w:t>
            </w:r>
          </w:p>
          <w:p>
            <w:pPr>
              <w:pStyle w:val="null3"/>
              <w:jc w:val="both"/>
            </w:pPr>
            <w:r>
              <w:rPr>
                <w:rFonts w:ascii="仿宋" w:hAnsi="仿宋" w:cs="仿宋" w:eastAsia="仿宋"/>
                <w:sz w:val="24"/>
              </w:rPr>
              <w:t>13、提供与仪器配套的试剂、质控品、校准品的溯源性文件。</w:t>
            </w:r>
          </w:p>
          <w:p>
            <w:pPr>
              <w:pStyle w:val="null3"/>
              <w:jc w:val="both"/>
            </w:pPr>
            <w:r>
              <w:rPr>
                <w:rFonts w:ascii="仿宋" w:hAnsi="仿宋" w:cs="仿宋" w:eastAsia="仿宋"/>
                <w:sz w:val="24"/>
              </w:rPr>
              <w:t>14、自动装载反应杯，每台仪器一次放置≥500个。</w:t>
            </w:r>
          </w:p>
          <w:p>
            <w:pPr>
              <w:pStyle w:val="null3"/>
              <w:jc w:val="both"/>
            </w:pPr>
            <w:r>
              <w:rPr>
                <w:rFonts w:ascii="仿宋" w:hAnsi="仿宋" w:cs="仿宋" w:eastAsia="仿宋"/>
                <w:sz w:val="24"/>
              </w:rPr>
              <w:t>▲</w:t>
            </w:r>
            <w:r>
              <w:rPr>
                <w:rFonts w:ascii="仿宋" w:hAnsi="仿宋" w:cs="仿宋" w:eastAsia="仿宋"/>
                <w:sz w:val="24"/>
              </w:rPr>
              <w:t>15、拥有PT演算纤维蛋白原与Clauss法实测纤维蛋白原两种方法。</w:t>
            </w:r>
          </w:p>
          <w:p>
            <w:pPr>
              <w:pStyle w:val="null3"/>
              <w:jc w:val="both"/>
            </w:pPr>
            <w:r>
              <w:rPr>
                <w:rFonts w:ascii="仿宋" w:hAnsi="仿宋" w:cs="仿宋" w:eastAsia="仿宋"/>
                <w:sz w:val="24"/>
              </w:rPr>
              <w:t>16、</w:t>
            </w:r>
            <w:r>
              <w:rPr>
                <w:rFonts w:ascii="仿宋" w:hAnsi="仿宋" w:cs="仿宋" w:eastAsia="仿宋"/>
                <w:sz w:val="24"/>
              </w:rPr>
              <w:t>操作界面：具有中文操作界面。</w:t>
            </w:r>
          </w:p>
          <w:p>
            <w:pPr>
              <w:pStyle w:val="null3"/>
              <w:spacing w:after="120"/>
              <w:jc w:val="both"/>
            </w:pPr>
            <w:r>
              <w:rPr>
                <w:rFonts w:ascii="仿宋" w:hAnsi="仿宋" w:cs="仿宋" w:eastAsia="仿宋"/>
                <w:sz w:val="24"/>
              </w:rPr>
              <w:t>★17、配置清单：全自动凝血分析仪2台及配套轨道（含进出样模块及条码识别功能）</w:t>
            </w:r>
          </w:p>
        </w:tc>
      </w:tr>
    </w:tbl>
    <w:p>
      <w:pPr>
        <w:pStyle w:val="null3"/>
        <w:jc w:val="left"/>
      </w:pPr>
      <w:r>
        <w:rPr/>
        <w:t>采购包3：</w:t>
      </w:r>
    </w:p>
    <w:p>
      <w:pPr>
        <w:pStyle w:val="null3"/>
        <w:jc w:val="left"/>
      </w:pPr>
      <w:r>
        <w:rPr/>
        <w:t>标的名称：台式血气机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t xml:space="preserve"> </w:t>
            </w:r>
          </w:p>
          <w:p>
            <w:pPr>
              <w:pStyle w:val="null3"/>
              <w:jc w:val="both"/>
            </w:pPr>
            <w:r>
              <w:rPr>
                <w:rFonts w:ascii="仿宋" w:hAnsi="仿宋" w:cs="仿宋" w:eastAsia="仿宋"/>
                <w:sz w:val="24"/>
              </w:rPr>
              <w:t>▲1、检测项目：血气，电解质,生化代谢物,血红蛋白衍生物等参数:</w:t>
            </w:r>
          </w:p>
          <w:p>
            <w:pPr>
              <w:pStyle w:val="null3"/>
              <w:jc w:val="both"/>
            </w:pPr>
            <w:r>
              <w:rPr>
                <w:rFonts w:ascii="仿宋" w:hAnsi="仿宋" w:cs="仿宋" w:eastAsia="仿宋"/>
                <w:sz w:val="24"/>
              </w:rPr>
              <w:t>血气：酸碱度（</w:t>
            </w:r>
            <w:r>
              <w:rPr>
                <w:rFonts w:ascii="仿宋" w:hAnsi="仿宋" w:cs="仿宋" w:eastAsia="仿宋"/>
                <w:sz w:val="24"/>
              </w:rPr>
              <w:t>PH），氧分压（PO2），二氧化碳分压（PCO2）；</w:t>
            </w:r>
          </w:p>
          <w:p>
            <w:pPr>
              <w:pStyle w:val="null3"/>
              <w:jc w:val="both"/>
            </w:pPr>
            <w:r>
              <w:rPr>
                <w:rFonts w:ascii="仿宋" w:hAnsi="仿宋" w:cs="仿宋" w:eastAsia="仿宋"/>
                <w:color w:val="000000"/>
                <w:sz w:val="24"/>
              </w:rPr>
              <w:t>电解质：钠离子（</w:t>
            </w:r>
            <w:r>
              <w:rPr>
                <w:rFonts w:ascii="仿宋" w:hAnsi="仿宋" w:cs="仿宋" w:eastAsia="仿宋"/>
                <w:color w:val="000000"/>
                <w:sz w:val="24"/>
              </w:rPr>
              <w:t>Na+），钾离子（K+），氯离子（CL-）,钙离子（ Ca++）</w:t>
            </w:r>
          </w:p>
          <w:p>
            <w:pPr>
              <w:pStyle w:val="null3"/>
              <w:jc w:val="both"/>
            </w:pPr>
            <w:r>
              <w:rPr>
                <w:rFonts w:ascii="仿宋" w:hAnsi="仿宋" w:cs="仿宋" w:eastAsia="仿宋"/>
                <w:color w:val="000000"/>
                <w:sz w:val="24"/>
              </w:rPr>
              <w:t>生化代谢物：葡萄糖（</w:t>
            </w:r>
            <w:r>
              <w:rPr>
                <w:rFonts w:ascii="仿宋" w:hAnsi="仿宋" w:cs="仿宋" w:eastAsia="仿宋"/>
                <w:color w:val="000000"/>
                <w:sz w:val="24"/>
              </w:rPr>
              <w:t>Glu）,乳酸（Lac）,新生儿血红蛋白（nBili）</w:t>
            </w:r>
          </w:p>
          <w:p>
            <w:pPr>
              <w:pStyle w:val="null3"/>
              <w:jc w:val="both"/>
            </w:pPr>
            <w:r>
              <w:rPr>
                <w:rFonts w:ascii="仿宋" w:hAnsi="仿宋" w:cs="仿宋" w:eastAsia="仿宋"/>
                <w:color w:val="000000"/>
                <w:sz w:val="24"/>
              </w:rPr>
              <w:t>血红蛋衍生物：总血红蛋白（</w:t>
            </w:r>
            <w:r>
              <w:rPr>
                <w:rFonts w:ascii="仿宋" w:hAnsi="仿宋" w:cs="仿宋" w:eastAsia="仿宋"/>
                <w:color w:val="000000"/>
                <w:sz w:val="24"/>
              </w:rPr>
              <w:t>tHb），氧合血红蛋白（FO2Hb），还原血红蛋白（FHHb），碳氧血红蛋白（FCOHb），高铁血红蛋白（FMetHb）等</w:t>
            </w:r>
          </w:p>
          <w:p>
            <w:pPr>
              <w:pStyle w:val="null3"/>
              <w:jc w:val="both"/>
            </w:pPr>
            <w:r>
              <w:rPr>
                <w:rFonts w:ascii="仿宋" w:hAnsi="仿宋" w:cs="仿宋" w:eastAsia="仿宋"/>
                <w:color w:val="000000"/>
                <w:sz w:val="24"/>
              </w:rPr>
              <w:t>2、计算项目：BE,BEecf,HCO3-act,HCO3-std,O2S,PO2(A-a),PO2(a/A),TO2、O2CT，AG,Ca++(7.4）,pO2/FiO2等, 测试和计算项目≥45项</w:t>
            </w:r>
          </w:p>
          <w:p>
            <w:pPr>
              <w:pStyle w:val="null3"/>
              <w:jc w:val="both"/>
            </w:pPr>
            <w:r>
              <w:rPr>
                <w:rFonts w:ascii="仿宋" w:hAnsi="仿宋" w:cs="仿宋" w:eastAsia="仿宋"/>
                <w:color w:val="000000"/>
                <w:sz w:val="24"/>
              </w:rPr>
              <w:t>▲3、样本类型:动脉，静脉，动静脉混合血，胸水</w:t>
            </w:r>
          </w:p>
          <w:p>
            <w:pPr>
              <w:pStyle w:val="null3"/>
              <w:jc w:val="both"/>
            </w:pPr>
            <w:r>
              <w:rPr>
                <w:rFonts w:ascii="仿宋" w:hAnsi="仿宋" w:cs="仿宋" w:eastAsia="仿宋"/>
                <w:color w:val="000000"/>
                <w:sz w:val="24"/>
              </w:rPr>
              <w:t>4、吸样量：≤100ul</w:t>
            </w:r>
          </w:p>
          <w:p>
            <w:pPr>
              <w:pStyle w:val="null3"/>
              <w:jc w:val="both"/>
            </w:pPr>
            <w:r>
              <w:rPr>
                <w:rFonts w:ascii="仿宋" w:hAnsi="仿宋" w:cs="仿宋" w:eastAsia="仿宋"/>
                <w:color w:val="000000"/>
                <w:sz w:val="24"/>
              </w:rPr>
              <w:t>▲5、加样后出报告时间：≤60秒</w:t>
            </w:r>
          </w:p>
          <w:p>
            <w:pPr>
              <w:pStyle w:val="null3"/>
              <w:jc w:val="both"/>
            </w:pPr>
            <w:r>
              <w:rPr>
                <w:rFonts w:ascii="仿宋" w:hAnsi="仿宋" w:cs="仿宋" w:eastAsia="仿宋"/>
                <w:color w:val="000000"/>
                <w:sz w:val="24"/>
              </w:rPr>
              <w:t>6、进样方式：全自动水平进样，无需手持进样，并能自动排除小气泡和微血凝块。</w:t>
            </w:r>
          </w:p>
          <w:p>
            <w:pPr>
              <w:pStyle w:val="null3"/>
              <w:jc w:val="both"/>
            </w:pPr>
            <w:r>
              <w:rPr>
                <w:rFonts w:ascii="仿宋" w:hAnsi="仿宋" w:cs="仿宋" w:eastAsia="仿宋"/>
                <w:color w:val="000000"/>
                <w:sz w:val="24"/>
              </w:rPr>
              <w:t>▲7、试剂：一体化抛弃型分析试剂包内含电极,无需使用单独电极卡或测试卡等其它耗材。</w:t>
            </w:r>
          </w:p>
          <w:p>
            <w:pPr>
              <w:pStyle w:val="null3"/>
              <w:jc w:val="both"/>
            </w:pPr>
            <w:r>
              <w:rPr>
                <w:rFonts w:ascii="仿宋" w:hAnsi="仿宋" w:cs="仿宋" w:eastAsia="仿宋"/>
                <w:color w:val="000000"/>
                <w:sz w:val="24"/>
              </w:rPr>
              <w:t>▲8、试剂包规格：可提供的试剂包规格≥4种</w:t>
            </w:r>
          </w:p>
          <w:p>
            <w:pPr>
              <w:pStyle w:val="null3"/>
              <w:jc w:val="both"/>
            </w:pPr>
            <w:r>
              <w:rPr>
                <w:rFonts w:ascii="仿宋" w:hAnsi="仿宋" w:cs="仿宋" w:eastAsia="仿宋"/>
                <w:color w:val="000000"/>
                <w:sz w:val="24"/>
              </w:rPr>
              <w:t>9、质控方式：手动质控,全自动质控两种方式可选。</w:t>
            </w:r>
          </w:p>
          <w:p>
            <w:pPr>
              <w:pStyle w:val="null3"/>
              <w:jc w:val="both"/>
            </w:pPr>
            <w:r>
              <w:rPr>
                <w:rFonts w:ascii="仿宋" w:hAnsi="仿宋" w:cs="仿宋" w:eastAsia="仿宋"/>
                <w:color w:val="000000"/>
                <w:sz w:val="24"/>
              </w:rPr>
              <w:t>▲10、报告系统：提供符合医院管理制度的中文报告软件，且具备联网和兼容其他品牌仪器接入功能。</w:t>
            </w:r>
          </w:p>
          <w:p>
            <w:pPr>
              <w:pStyle w:val="null3"/>
              <w:jc w:val="both"/>
            </w:pPr>
            <w:r>
              <w:rPr>
                <w:rFonts w:ascii="仿宋" w:hAnsi="仿宋" w:cs="仿宋" w:eastAsia="仿宋"/>
                <w:color w:val="000000"/>
                <w:sz w:val="24"/>
              </w:rPr>
              <w:t>11、信息传输；可连接计算机和网络；支持LIS、HIS系统及远程监管系统，并自动抓取定标和质控数据。</w:t>
            </w:r>
          </w:p>
          <w:p>
            <w:pPr>
              <w:pStyle w:val="null3"/>
              <w:jc w:val="both"/>
            </w:pPr>
            <w:r>
              <w:rPr>
                <w:rFonts w:ascii="仿宋" w:hAnsi="仿宋" w:cs="仿宋" w:eastAsia="仿宋"/>
                <w:color w:val="000000"/>
                <w:sz w:val="24"/>
              </w:rPr>
              <w:t>12、仪器维护：主机无管路及进样针，无需单独更换进样针、进样垫圈及支架等耗材。</w:t>
            </w:r>
          </w:p>
        </w:tc>
      </w:tr>
    </w:tbl>
    <w:p>
      <w:pPr>
        <w:pStyle w:val="null3"/>
        <w:jc w:val="left"/>
      </w:pPr>
      <w:r>
        <w:rPr/>
        <w:t>标的名称：手持血气分析仪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4"/>
              </w:rPr>
              <w:t>1、工作范围:</w:t>
            </w:r>
          </w:p>
          <w:p>
            <w:pPr>
              <w:pStyle w:val="null3"/>
              <w:jc w:val="both"/>
            </w:pPr>
            <w:r>
              <w:rPr>
                <w:rFonts w:ascii="仿宋" w:hAnsi="仿宋" w:cs="仿宋" w:eastAsia="仿宋"/>
                <w:color w:val="000000"/>
                <w:sz w:val="24"/>
              </w:rPr>
              <w:t>1.1 工作气压: 300-850 mmHg</w:t>
            </w:r>
          </w:p>
          <w:p>
            <w:pPr>
              <w:pStyle w:val="null3"/>
              <w:jc w:val="both"/>
            </w:pPr>
            <w:r>
              <w:rPr>
                <w:rFonts w:ascii="仿宋" w:hAnsi="仿宋" w:cs="仿宋" w:eastAsia="仿宋"/>
                <w:color w:val="000000"/>
                <w:sz w:val="24"/>
              </w:rPr>
              <w:t>1.2 工作温度: 16-30℃</w:t>
            </w:r>
          </w:p>
          <w:p>
            <w:pPr>
              <w:pStyle w:val="null3"/>
              <w:jc w:val="both"/>
            </w:pPr>
            <w:r>
              <w:rPr>
                <w:rFonts w:ascii="仿宋" w:hAnsi="仿宋" w:cs="仿宋" w:eastAsia="仿宋"/>
                <w:color w:val="000000"/>
                <w:sz w:val="24"/>
              </w:rPr>
              <w:t>1.3 工作湿度: ≤90%</w:t>
            </w:r>
          </w:p>
          <w:p>
            <w:pPr>
              <w:pStyle w:val="null3"/>
              <w:jc w:val="both"/>
            </w:pPr>
            <w:r>
              <w:rPr>
                <w:rFonts w:ascii="仿宋" w:hAnsi="仿宋" w:cs="仿宋" w:eastAsia="仿宋"/>
                <w:color w:val="000000"/>
                <w:sz w:val="24"/>
              </w:rPr>
              <w:t>2、技术参数</w:t>
            </w:r>
          </w:p>
          <w:p>
            <w:pPr>
              <w:pStyle w:val="null3"/>
              <w:jc w:val="both"/>
            </w:pPr>
            <w:r>
              <w:rPr>
                <w:rFonts w:ascii="仿宋" w:hAnsi="仿宋" w:cs="仿宋" w:eastAsia="仿宋"/>
                <w:color w:val="000000"/>
                <w:sz w:val="24"/>
              </w:rPr>
              <w:t>2.1测定原理﹑方式：生物电极法，微流体技术</w:t>
            </w:r>
          </w:p>
          <w:p>
            <w:pPr>
              <w:pStyle w:val="null3"/>
              <w:jc w:val="both"/>
            </w:pPr>
            <w:r>
              <w:rPr>
                <w:rFonts w:ascii="仿宋" w:hAnsi="仿宋" w:cs="仿宋" w:eastAsia="仿宋"/>
                <w:color w:val="000000"/>
                <w:sz w:val="24"/>
              </w:rPr>
              <w:t>▲2.2电源：直流电源，并配有充电装置及后备电池。在无外接电源（无UPS）的情况下可测试标本≥100个。能随时开关机，重开机进行检测用时≤10s</w:t>
            </w:r>
          </w:p>
          <w:p>
            <w:pPr>
              <w:pStyle w:val="null3"/>
              <w:jc w:val="both"/>
            </w:pPr>
            <w:r>
              <w:rPr>
                <w:rFonts w:ascii="仿宋" w:hAnsi="仿宋" w:cs="仿宋" w:eastAsia="仿宋"/>
                <w:color w:val="000000"/>
                <w:sz w:val="24"/>
              </w:rPr>
              <w:t>2.3定标：每次检测前定标，采取双重定标（电子定标和液体定标）</w:t>
            </w:r>
          </w:p>
          <w:p>
            <w:pPr>
              <w:pStyle w:val="null3"/>
              <w:jc w:val="both"/>
            </w:pPr>
            <w:r>
              <w:rPr>
                <w:rFonts w:ascii="仿宋" w:hAnsi="仿宋" w:cs="仿宋" w:eastAsia="仿宋"/>
                <w:color w:val="000000"/>
                <w:sz w:val="24"/>
              </w:rPr>
              <w:t>▲2.4测量参数：Na，K，Cl，PH，PCO2，PO2，iCa，Glu，HCT，Lac，BUN，Crea，PT/InR，ACT，cTnI(肌钙蛋白)，BNP（钠脲肽）等</w:t>
            </w:r>
          </w:p>
          <w:p>
            <w:pPr>
              <w:pStyle w:val="null3"/>
              <w:jc w:val="both"/>
            </w:pPr>
            <w:r>
              <w:rPr>
                <w:rFonts w:ascii="仿宋" w:hAnsi="仿宋" w:cs="仿宋" w:eastAsia="仿宋"/>
                <w:color w:val="000000"/>
                <w:sz w:val="24"/>
              </w:rPr>
              <w:t>2.5计算参数：HCO3,TCO2,BE,Anion Gap,sO2,Hb</w:t>
            </w:r>
          </w:p>
          <w:p>
            <w:pPr>
              <w:pStyle w:val="null3"/>
              <w:jc w:val="both"/>
            </w:pPr>
            <w:r>
              <w:rPr>
                <w:rFonts w:ascii="仿宋" w:hAnsi="仿宋" w:cs="仿宋" w:eastAsia="仿宋"/>
                <w:color w:val="000000"/>
                <w:sz w:val="24"/>
              </w:rPr>
              <w:t>2.6 检测速度: 2-10分钟/T（免疫项目10分钟）</w:t>
            </w:r>
          </w:p>
          <w:p>
            <w:pPr>
              <w:pStyle w:val="null3"/>
              <w:jc w:val="both"/>
            </w:pPr>
            <w:r>
              <w:rPr>
                <w:rFonts w:ascii="仿宋" w:hAnsi="仿宋" w:cs="仿宋" w:eastAsia="仿宋"/>
                <w:color w:val="000000"/>
                <w:sz w:val="24"/>
              </w:rPr>
              <w:t>▲2.7 采样量：≤100ul，最小样本量:17ul</w:t>
            </w:r>
          </w:p>
          <w:p>
            <w:pPr>
              <w:pStyle w:val="null3"/>
              <w:jc w:val="both"/>
            </w:pPr>
            <w:r>
              <w:rPr>
                <w:rFonts w:ascii="仿宋" w:hAnsi="仿宋" w:cs="仿宋" w:eastAsia="仿宋"/>
                <w:color w:val="000000"/>
                <w:sz w:val="24"/>
              </w:rPr>
              <w:t>2.8可采用样品: 全血检测，无需分离血浆或血清，且结果精确。动脉血﹑静脉血﹑毛细管血﹑脐带血﹑混合静脉血﹑体外循环血等均可</w:t>
            </w:r>
          </w:p>
          <w:p>
            <w:pPr>
              <w:pStyle w:val="null3"/>
              <w:jc w:val="both"/>
            </w:pPr>
            <w:r>
              <w:rPr>
                <w:rFonts w:ascii="仿宋" w:hAnsi="仿宋" w:cs="仿宋" w:eastAsia="仿宋"/>
                <w:color w:val="000000"/>
                <w:sz w:val="24"/>
              </w:rPr>
              <w:t>2.9质控方式：卡片定标液；内部电子模拟器检测；外部电子模拟器检测；通过卡片质控液进行质控（高﹑中﹑低三级质控液）</w:t>
            </w:r>
          </w:p>
          <w:p>
            <w:pPr>
              <w:pStyle w:val="null3"/>
              <w:jc w:val="both"/>
            </w:pPr>
            <w:r>
              <w:rPr>
                <w:rFonts w:ascii="仿宋" w:hAnsi="仿宋" w:cs="仿宋" w:eastAsia="仿宋"/>
                <w:color w:val="000000"/>
                <w:sz w:val="24"/>
              </w:rPr>
              <w:t>▲2.10主机存储检测数据数量≥5000组</w:t>
            </w:r>
          </w:p>
          <w:p>
            <w:pPr>
              <w:pStyle w:val="null3"/>
              <w:jc w:val="both"/>
            </w:pPr>
            <w:r>
              <w:rPr>
                <w:rFonts w:ascii="仿宋" w:hAnsi="仿宋" w:cs="仿宋" w:eastAsia="仿宋"/>
                <w:color w:val="000000"/>
                <w:sz w:val="24"/>
              </w:rPr>
              <w:t>▲2.11仪器重量：≤1000g（含电池）</w:t>
            </w:r>
          </w:p>
          <w:p>
            <w:pPr>
              <w:pStyle w:val="null3"/>
              <w:jc w:val="both"/>
            </w:pPr>
            <w:r>
              <w:rPr>
                <w:rFonts w:ascii="仿宋" w:hAnsi="仿宋" w:cs="仿宋" w:eastAsia="仿宋"/>
                <w:color w:val="000000"/>
                <w:sz w:val="24"/>
              </w:rPr>
              <w:t>2.12具备自诊断程序</w:t>
            </w:r>
          </w:p>
          <w:p>
            <w:pPr>
              <w:pStyle w:val="null3"/>
              <w:jc w:val="both"/>
            </w:pPr>
            <w:r>
              <w:rPr>
                <w:rFonts w:ascii="仿宋" w:hAnsi="仿宋" w:cs="仿宋" w:eastAsia="仿宋"/>
                <w:color w:val="000000"/>
                <w:sz w:val="24"/>
              </w:rPr>
              <w:t>2.13配置要求:内置红外扫描器，可扫码录入信息，避免人工误差。</w:t>
            </w:r>
          </w:p>
          <w:p>
            <w:pPr>
              <w:pStyle w:val="null3"/>
              <w:jc w:val="both"/>
            </w:pPr>
            <w:r>
              <w:rPr>
                <w:rFonts w:ascii="仿宋" w:hAnsi="仿宋" w:cs="仿宋" w:eastAsia="仿宋"/>
                <w:color w:val="000000"/>
                <w:sz w:val="24"/>
              </w:rPr>
              <w:t>▲2.14测试消耗品：除一次性检测用卡片外无其他消耗品</w:t>
            </w:r>
          </w:p>
          <w:p>
            <w:pPr>
              <w:pStyle w:val="null3"/>
              <w:jc w:val="both"/>
            </w:pPr>
            <w:r>
              <w:rPr>
                <w:rFonts w:ascii="仿宋" w:hAnsi="仿宋" w:cs="仿宋" w:eastAsia="仿宋"/>
                <w:color w:val="000000"/>
                <w:sz w:val="24"/>
              </w:rPr>
              <w:t>2.15测试卡片：单人份独立包装，一次性使用避免交叉污染。存储要求：常温/冷藏，低温保存有效期≥180天</w:t>
            </w:r>
          </w:p>
          <w:p>
            <w:pPr>
              <w:pStyle w:val="null3"/>
              <w:jc w:val="both"/>
            </w:pPr>
            <w:r>
              <w:rPr>
                <w:rFonts w:ascii="仿宋" w:hAnsi="仿宋" w:cs="仿宋" w:eastAsia="仿宋"/>
                <w:color w:val="000000"/>
                <w:sz w:val="24"/>
              </w:rPr>
              <w:t>2.16检测卡片具有多样性，可以组合搭配</w:t>
            </w:r>
          </w:p>
          <w:p>
            <w:pPr>
              <w:pStyle w:val="null3"/>
              <w:jc w:val="both"/>
            </w:pPr>
            <w:r>
              <w:rPr>
                <w:rFonts w:ascii="仿宋" w:hAnsi="仿宋" w:cs="仿宋" w:eastAsia="仿宋"/>
                <w:color w:val="000000"/>
                <w:sz w:val="24"/>
              </w:rPr>
              <w:t>2.17提供仪器软件升级</w:t>
            </w:r>
          </w:p>
          <w:p>
            <w:pPr>
              <w:pStyle w:val="null3"/>
              <w:jc w:val="both"/>
            </w:pPr>
            <w:r>
              <w:rPr>
                <w:rFonts w:ascii="仿宋" w:hAnsi="仿宋" w:cs="仿宋" w:eastAsia="仿宋"/>
                <w:color w:val="000000"/>
                <w:sz w:val="24"/>
              </w:rPr>
              <w:t>2.18打印机：外接热敏打印机</w:t>
            </w:r>
          </w:p>
          <w:p>
            <w:pPr>
              <w:pStyle w:val="null3"/>
              <w:jc w:val="both"/>
            </w:pPr>
            <w:r>
              <w:rPr>
                <w:rFonts w:ascii="仿宋" w:hAnsi="仿宋" w:cs="仿宋" w:eastAsia="仿宋"/>
                <w:color w:val="000000"/>
                <w:sz w:val="24"/>
              </w:rPr>
              <w:t>2.19显示屏：液晶显示屏</w:t>
            </w:r>
          </w:p>
          <w:p>
            <w:pPr>
              <w:pStyle w:val="null3"/>
              <w:jc w:val="both"/>
            </w:pPr>
            <w:r>
              <w:rPr>
                <w:rFonts w:ascii="仿宋" w:hAnsi="仿宋" w:cs="仿宋" w:eastAsia="仿宋"/>
                <w:color w:val="000000"/>
                <w:sz w:val="24"/>
              </w:rPr>
              <w:t>2.20接口：USB接口和有线网络接口</w:t>
            </w:r>
          </w:p>
          <w:p>
            <w:pPr>
              <w:pStyle w:val="null3"/>
              <w:jc w:val="both"/>
            </w:pPr>
            <w:r>
              <w:rPr>
                <w:rFonts w:ascii="仿宋" w:hAnsi="仿宋" w:cs="仿宋" w:eastAsia="仿宋"/>
                <w:color w:val="000000"/>
                <w:sz w:val="24"/>
              </w:rPr>
              <w:t>2.21 可连接CDS/DE系统，并通过CDS/DE系统连接HIS、LIS及其他医院管理系统</w:t>
            </w:r>
          </w:p>
        </w:tc>
      </w:tr>
    </w:tbl>
    <w:p>
      <w:pPr>
        <w:pStyle w:val="null3"/>
        <w:jc w:val="left"/>
      </w:pPr>
      <w:r>
        <w:rPr/>
        <w:t>采购包4：</w:t>
      </w:r>
    </w:p>
    <w:p>
      <w:pPr>
        <w:pStyle w:val="null3"/>
        <w:jc w:val="left"/>
      </w:pPr>
      <w:r>
        <w:rPr/>
        <w:t>标的名称：超声乳化手柄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b/>
                <w:color w:val="000000"/>
                <w:sz w:val="24"/>
              </w:rPr>
              <w:t>（一）超声乳化手柄</w:t>
            </w:r>
            <w:r>
              <w:rPr>
                <w:rFonts w:ascii="仿宋" w:hAnsi="仿宋" w:cs="仿宋" w:eastAsia="仿宋"/>
                <w:b/>
                <w:color w:val="000000"/>
                <w:sz w:val="24"/>
              </w:rPr>
              <w:t>1</w:t>
            </w:r>
            <w:r>
              <w:rPr>
                <w:rFonts w:ascii="仿宋" w:hAnsi="仿宋" w:cs="仿宋" w:eastAsia="仿宋"/>
                <w:b/>
                <w:color w:val="000000"/>
                <w:sz w:val="24"/>
              </w:rPr>
              <w:t>（横向超声）</w:t>
            </w:r>
          </w:p>
          <w:p>
            <w:pPr>
              <w:pStyle w:val="null3"/>
              <w:jc w:val="both"/>
            </w:pPr>
            <w:r>
              <w:rPr>
                <w:rFonts w:ascii="仿宋" w:hAnsi="仿宋" w:cs="仿宋" w:eastAsia="仿宋"/>
                <w:color w:val="000000"/>
                <w:sz w:val="24"/>
              </w:rPr>
              <w:t>1.▲横向超声，通过三维立体超声同时联合横向和纵向的超声，提高跟随性，有效的将核块保持在针头前端。</w:t>
            </w:r>
          </w:p>
          <w:p>
            <w:pPr>
              <w:pStyle w:val="null3"/>
              <w:jc w:val="both"/>
            </w:pPr>
            <w:r>
              <w:rPr>
                <w:rFonts w:ascii="仿宋" w:hAnsi="仿宋" w:cs="仿宋" w:eastAsia="仿宋"/>
                <w:color w:val="000000"/>
                <w:sz w:val="24"/>
              </w:rPr>
              <w:t>2.▲最大超声振幅60μm ±20%</w:t>
            </w:r>
          </w:p>
          <w:p>
            <w:pPr>
              <w:pStyle w:val="null3"/>
              <w:jc w:val="both"/>
            </w:pPr>
            <w:r>
              <w:rPr>
                <w:rFonts w:ascii="仿宋" w:hAnsi="仿宋" w:cs="仿宋" w:eastAsia="仿宋"/>
                <w:color w:val="000000"/>
                <w:sz w:val="24"/>
              </w:rPr>
              <w:t>3.最大超声电功率48 ±9W</w:t>
            </w:r>
          </w:p>
          <w:p>
            <w:pPr>
              <w:pStyle w:val="null3"/>
              <w:jc w:val="both"/>
            </w:pPr>
            <w:r>
              <w:rPr>
                <w:rFonts w:ascii="仿宋" w:hAnsi="仿宋" w:cs="仿宋" w:eastAsia="仿宋"/>
                <w:color w:val="000000"/>
                <w:sz w:val="24"/>
              </w:rPr>
              <w:t>4.可驳接19G、20G、21G直或弯针头，手术切口2.2mm-3.0mm。</w:t>
            </w:r>
          </w:p>
          <w:p>
            <w:pPr>
              <w:pStyle w:val="null3"/>
              <w:jc w:val="both"/>
            </w:pPr>
            <w:r>
              <w:rPr>
                <w:rFonts w:ascii="仿宋" w:hAnsi="仿宋" w:cs="仿宋" w:eastAsia="仿宋"/>
                <w:color w:val="000000"/>
                <w:sz w:val="24"/>
              </w:rPr>
              <w:t>5.▲超声频率38kHz ±2kHz</w:t>
            </w:r>
          </w:p>
          <w:p>
            <w:pPr>
              <w:pStyle w:val="null3"/>
              <w:jc w:val="both"/>
            </w:pPr>
            <w:r>
              <w:rPr>
                <w:rFonts w:ascii="仿宋" w:hAnsi="仿宋" w:cs="仿宋" w:eastAsia="仿宋"/>
                <w:color w:val="000000"/>
                <w:sz w:val="24"/>
              </w:rPr>
              <w:t>6.适配Compact Intuitiv眼科超声乳化治疗仪。</w:t>
            </w:r>
          </w:p>
          <w:p>
            <w:pPr>
              <w:pStyle w:val="null3"/>
              <w:jc w:val="both"/>
            </w:pPr>
            <w:r>
              <w:rPr>
                <w:rFonts w:ascii="仿宋" w:hAnsi="仿宋" w:cs="仿宋" w:eastAsia="仿宋"/>
                <w:color w:val="000000"/>
                <w:sz w:val="24"/>
              </w:rPr>
              <w:t>7、注/吸手柄和注/吸针头，针头0.3mm45度配硅树脂套管使用，可匹配2.2mm-3.0mm。</w:t>
            </w:r>
          </w:p>
          <w:p>
            <w:pPr>
              <w:pStyle w:val="null3"/>
              <w:jc w:val="both"/>
            </w:pPr>
            <w:r>
              <w:rPr>
                <w:rFonts w:ascii="仿宋" w:hAnsi="仿宋" w:cs="仿宋" w:eastAsia="仿宋"/>
                <w:b/>
                <w:color w:val="000000"/>
                <w:sz w:val="24"/>
              </w:rPr>
              <w:t>（二）超声乳化手柄</w:t>
            </w:r>
            <w:r>
              <w:rPr>
                <w:rFonts w:ascii="仿宋" w:hAnsi="仿宋" w:cs="仿宋" w:eastAsia="仿宋"/>
                <w:b/>
                <w:color w:val="000000"/>
                <w:sz w:val="24"/>
              </w:rPr>
              <w:t>2</w:t>
            </w:r>
            <w:r>
              <w:rPr>
                <w:rFonts w:ascii="仿宋" w:hAnsi="仿宋" w:cs="仿宋" w:eastAsia="仿宋"/>
                <w:b/>
                <w:color w:val="000000"/>
                <w:sz w:val="24"/>
              </w:rPr>
              <w:t>（纵向超声）</w:t>
            </w:r>
          </w:p>
          <w:p>
            <w:pPr>
              <w:pStyle w:val="null3"/>
              <w:jc w:val="both"/>
            </w:pPr>
            <w:r>
              <w:rPr>
                <w:rFonts w:ascii="仿宋" w:hAnsi="仿宋" w:cs="仿宋" w:eastAsia="仿宋"/>
                <w:color w:val="000000"/>
                <w:sz w:val="24"/>
              </w:rPr>
              <w:t>1.纵向超声模式，可匹配白星冷超乳技术。</w:t>
            </w:r>
          </w:p>
          <w:p>
            <w:pPr>
              <w:pStyle w:val="null3"/>
              <w:jc w:val="both"/>
            </w:pPr>
            <w:r>
              <w:rPr>
                <w:rFonts w:ascii="仿宋" w:hAnsi="仿宋" w:cs="仿宋" w:eastAsia="仿宋"/>
                <w:color w:val="000000"/>
                <w:sz w:val="24"/>
              </w:rPr>
              <w:t>2.▲最大超声振幅86μm ±20%</w:t>
            </w:r>
          </w:p>
          <w:p>
            <w:pPr>
              <w:pStyle w:val="null3"/>
              <w:jc w:val="both"/>
            </w:pPr>
            <w:r>
              <w:rPr>
                <w:rFonts w:ascii="仿宋" w:hAnsi="仿宋" w:cs="仿宋" w:eastAsia="仿宋"/>
                <w:color w:val="000000"/>
                <w:sz w:val="24"/>
              </w:rPr>
              <w:t>3.▲最大超声电功率43 ±7W</w:t>
            </w:r>
          </w:p>
          <w:p>
            <w:pPr>
              <w:pStyle w:val="null3"/>
              <w:jc w:val="both"/>
            </w:pPr>
            <w:r>
              <w:rPr>
                <w:rFonts w:ascii="仿宋" w:hAnsi="仿宋" w:cs="仿宋" w:eastAsia="仿宋"/>
                <w:color w:val="000000"/>
                <w:sz w:val="24"/>
              </w:rPr>
              <w:t>4.可驳接19G、20G、21G直或弯针头，手术切口2.2mm-3.0mm。</w:t>
            </w:r>
          </w:p>
          <w:p>
            <w:pPr>
              <w:pStyle w:val="null3"/>
              <w:jc w:val="both"/>
            </w:pPr>
            <w:r>
              <w:rPr>
                <w:rFonts w:ascii="仿宋" w:hAnsi="仿宋" w:cs="仿宋" w:eastAsia="仿宋"/>
                <w:color w:val="000000"/>
                <w:sz w:val="24"/>
              </w:rPr>
              <w:t>5.超声频率38kHz ±2kHz</w:t>
            </w:r>
          </w:p>
          <w:p>
            <w:pPr>
              <w:pStyle w:val="null3"/>
              <w:jc w:val="both"/>
            </w:pPr>
            <w:r>
              <w:rPr>
                <w:rFonts w:ascii="仿宋" w:hAnsi="仿宋" w:cs="仿宋" w:eastAsia="仿宋"/>
                <w:color w:val="000000"/>
                <w:sz w:val="24"/>
              </w:rPr>
              <w:t>6.适配SOVEREIGN Compact眼科超声乳化治疗仪。</w:t>
            </w:r>
          </w:p>
          <w:p>
            <w:pPr>
              <w:pStyle w:val="null3"/>
              <w:jc w:val="both"/>
            </w:pPr>
            <w:r>
              <w:rPr>
                <w:rFonts w:ascii="仿宋" w:hAnsi="仿宋" w:cs="仿宋" w:eastAsia="仿宋"/>
                <w:color w:val="000000"/>
                <w:sz w:val="24"/>
              </w:rPr>
              <w:t>7.注/吸手柄和注/吸针头，针头0.3mm45度配硅树脂套管使用，可匹配2.2mm-3.0mm</w:t>
            </w:r>
          </w:p>
          <w:p>
            <w:pPr>
              <w:pStyle w:val="null3"/>
              <w:jc w:val="both"/>
            </w:pPr>
            <w:r>
              <w:rPr/>
              <w:t xml:space="preserve"> </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1、合同签订生效且收到中标人提供的等额有效完整的增值税发票，达到付款条件起14日内，支付合同总金额的40.00%</w:t>
            </w:r>
          </w:p>
          <w:p>
            <w:pPr>
              <w:pStyle w:val="null3"/>
              <w:jc w:val="left"/>
            </w:pPr>
            <w:r>
              <w:rPr/>
              <w:t>2、货到验收合格后且收到中标人提供的等额有效完整的增值税发票，达到付款条件起14日内，支付合同总金额的60.00%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按照《财政部关于进一步加强政府采购需求和履约验收管理的指导意见》（财库〔2016〕205号）等政府采购相关法律法规的要求进行验收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质保期为设备验收合格之日起3年。质保期内供应商应负责设备维修及抢修，产生的所有费用包含在投标总价中。</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采购人与供应商签订合同时约定。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1、合同签订生效且收到中标人提供的等额有效完整的增值税发票，达到付款条件起14日内，支付合同总金额的40.00%</w:t>
            </w:r>
          </w:p>
          <w:p>
            <w:pPr>
              <w:pStyle w:val="null3"/>
              <w:jc w:val="left"/>
            </w:pPr>
            <w:r>
              <w:rPr/>
              <w:t>2、货到验收合格后且收到中标人提供的等额有效完整的增值税发票，达到付款条件起14日内，支付合同总金额的60.00%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按照《财政部关于进一步加强政府采购需求和履约验收管理的指导意见》（财库〔2016〕205号）等政府采购相关法律法规的要求进行验收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质保期为设备验收合格之日起3年。质保期内供应商应负责设备维修及抢修，产生的所有费用包含在投标总价中。</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采购人与供应商签订合同时约定。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1、合同签订生效且收到中标人提供的等额有效完整的增值税发票，达到付款条件起14日内，支付合同总金额的40.00%</w:t>
            </w:r>
          </w:p>
          <w:p>
            <w:pPr>
              <w:pStyle w:val="null3"/>
              <w:jc w:val="left"/>
            </w:pPr>
            <w:r>
              <w:rPr/>
              <w:t>2、货到验收合格后且收到中标人提供的等额有效完整的增值税发票，达到付款条件起14日内，支付合同总金额的60.00%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按照《财政部关于进一步加强政府采购需求和履约验收管理的指导意见》（财库〔2016〕205号）等政府采购相关法律法规的要求进行验收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质保期为设备验收合格之日起3年。质保期内供应商应负责设备维修及抢修，产生的所有费用包含在投标总价中。</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采购人与供应商签订合同时约定。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1、合同签订生效且收到中标人提供的等额有效完整的增值税发票，达到付款条件起14日内，支付合同总金额的40.00%</w:t>
            </w:r>
          </w:p>
          <w:p>
            <w:pPr>
              <w:pStyle w:val="null3"/>
              <w:jc w:val="left"/>
            </w:pPr>
            <w:r>
              <w:rPr/>
              <w:t>2、货到验收合格后且收到中标人提供的等额有效完整的增值税发票，达到付款条件起14日内，支付合同总金额的60.00%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按照《财政部关于进一步加强政府采购需求和履约验收管理的指导意见》（财库〔2016〕205号）等政府采购相关法律法规的要求进行验收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质保期为设备验收合格之日起3年。质保期内供应商应负责设备维修及抢修，产生的所有费用包含在投标总价中。</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采购人与供应商签订合同时约定。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说明1：根据《政府采购促进中小企业发展管理办法》的通知（财库〔2020〕46号）文件及相关规定。供应商应根据自身情况，确定是否属于该办法规定的范围。若需填写《中小企业声明函》，其中填写“标的名称”、“所属行业”以3.2表格中内容为准】 【说明2：评分标准中所涉及的响应内容，供应商编制于对应的“关联格式”中。若编制投标文件过程中，涉及提供证明材料或单独提供承诺函等，供应商将前述材料编制于第六章响应文件格式-《其他资料》中】【说明3：因系统固化原因，招标文件第二章2.4.6中第一项不适用于本项目，不作为评审依据】【说明4：★1. 交货时应提供以下技术资料（如涉及）：原产地证明书(由制造厂签发)、提供主机及配套设备的安装图纸及说明、提供主机及配套设备使用说明书、维护手册、备件手册、零件及易损件的图纸及相关资料、其它相关技术资料。 ★2.安装调试： 2.1供应商负责设备安装、调试。货物到达生产现场后，供应商接到采购人通知后3日内到达现场组织安装、调试，达到正常运行要求，保证采购人正常使用。所需的费用包括在投标总价格中。 2.2供应商应就设备的安装、调试、操作、维修、保养等对采购人维修技术人员进行培训。设备安装调试完毕后，供应商应对采购人操作人员进行现场培训，直至采购人的技术人员能独立操作，同时能完成一般常见故障的维修工作。 2.3供应商预留满足医院集成平台需要的数据接口，要求完成与医院HIS/Lis系统（医慧集成平台和柯林布瑞大数据中心）的对接及一系列的升级、维护工作，后期接入所需的费用（包括但不限于系统的对接及一系列的升级、维护所必须用的设备材料等）包括在投标总价格中。 ★3.耗材 所投设备若涉及专用耗材或封闭试剂需在投标文件商务应答表中标明，并列出专用耗材或封闭试剂的项目及价格清单（若属于四川省药械采购平台的需列出挂网产品流水号和平台当月采购最低价格）；所投设备若不涉及专用耗材或封闭试剂需在投标文件商务应答表中标明本次所投设备不涉及专用耗材或封闭式试剂。项目涉及专用耗材请注明，如未注明则视为无专用耗材。 注：此价格不参与本项目价格评审 ★4.售后服务： 4.1 备件送达期限：在设备的使用寿命期内，供应商应保证国内不超过7天。 4.2 终身零配件供应：供应商应保证设备停产后的备件供应保证10年，并以不高于市场价的价格提供该设备所需的维修零配件。 4.3 供应商承诺在国内应有24小时电话维修系统，并在交货时列出工程师名单、联系电话、通讯地址及备件库地址和备件的详细目录。（单独提供承诺函） 4.4质保期后，供应商应向采购人提供技术服务和备品备件供应。交货时应提供以下技术资料（如涉及）：原产地证明书(由制造厂签发)、提供主机及配套设备的安装图纸及说明、提供主机及配套设备使用说明书、维护手册、备件手册、零件及易损件的图纸及相关资料、其它相关技术资料。 （此条为实质性要求，供应商在商务要求表中响应）】【说明5：招标文件报价要求中“单价”“数量”为实质性要求】【1.投标人需为本项目提供类似业绩。 2.投标人需为本项目提供售后服务要求。】</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（3）若为其他组织：提供“对应主管部门颁发的准许执业证明文件或营业执照”； （4）若为自然人：提供“身份证明材料”</w:t>
            </w:r>
          </w:p>
        </w:tc>
        <w:tc>
          <w:tcPr>
            <w:tcW w:type="dxa" w:w="1910"/>
          </w:tcPr>
          <w:p>
            <w:pPr>
              <w:pStyle w:val="null3"/>
              <w:jc w:val="left"/>
            </w:pPr>
            <w:r>
              <w:rPr/>
              <w:t>其他资料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（3）若为其他组织：提供“对应主管部门颁发的准许执业证明文件或营业执照”； （4）若为自然人：提供“身份证明材料”</w:t>
            </w:r>
          </w:p>
        </w:tc>
        <w:tc>
          <w:tcPr>
            <w:tcW w:type="dxa" w:w="1910"/>
          </w:tcPr>
          <w:p>
            <w:pPr>
              <w:pStyle w:val="null3"/>
              <w:jc w:val="left"/>
            </w:pPr>
            <w:r>
              <w:rPr/>
              <w:t>其他资料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（3）若为其他组织：提供“对应主管部门颁发的准许执业证明文件或营业执照”； （4）若为自然人：提供“身份证明材料”</w:t>
            </w:r>
          </w:p>
        </w:tc>
        <w:tc>
          <w:tcPr>
            <w:tcW w:type="dxa" w:w="1910"/>
          </w:tcPr>
          <w:p>
            <w:pPr>
              <w:pStyle w:val="null3"/>
              <w:jc w:val="left"/>
            </w:pPr>
            <w:r>
              <w:rPr/>
              <w:t>其他资料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（3）若为其他组织：提供“对应主管部门颁发的准许执业证明文件或营业执照”； （4）若为自然人：提供“身份证明材料”</w:t>
            </w:r>
          </w:p>
        </w:tc>
        <w:tc>
          <w:tcPr>
            <w:tcW w:type="dxa" w:w="1910"/>
          </w:tcPr>
          <w:p>
            <w:pPr>
              <w:pStyle w:val="null3"/>
              <w:jc w:val="left"/>
            </w:pPr>
            <w:r>
              <w:rPr/>
              <w:t>其他资料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332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1910"/>
          </w:tcPr>
          <w:p>
            <w:pPr>
              <w:pStyle w:val="null3"/>
              <w:jc w:val="left"/>
            </w:pPr>
            <w:r>
              <w:rPr/>
              <w:t>其他资料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332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1910"/>
          </w:tcPr>
          <w:p>
            <w:pPr>
              <w:pStyle w:val="null3"/>
              <w:jc w:val="left"/>
            </w:pPr>
            <w:r>
              <w:rPr/>
              <w:t>其他资料</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332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1910"/>
          </w:tcPr>
          <w:p>
            <w:pPr>
              <w:pStyle w:val="null3"/>
              <w:jc w:val="left"/>
            </w:pPr>
            <w:r>
              <w:rPr/>
              <w:t>其他资料</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3322"/>
          </w:tcPr>
          <w:p>
            <w:pPr>
              <w:pStyle w:val="null3"/>
              <w:jc w:val="left"/>
            </w:pPr>
            <w:r>
              <w:rPr/>
              <w:t>(1)投标产品需具有符合《医疗器械注册与备案管理办法》等政策法规要求的中华人民共和国医疗器械注册或备案凭证影印件。（仅限医疗器械适用）；(2)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影印件。（仅限医疗器械适用）</w:t>
            </w:r>
          </w:p>
        </w:tc>
        <w:tc>
          <w:tcPr>
            <w:tcW w:type="dxa" w:w="1910"/>
          </w:tcPr>
          <w:p>
            <w:pPr>
              <w:pStyle w:val="null3"/>
              <w:jc w:val="left"/>
            </w:pPr>
            <w:r>
              <w:rPr/>
              <w:t>其他资料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报价一览表 其他资料 报价明细表 技术要求应答表 商务要求应答表 投标（响应）函</w:t>
            </w:r>
          </w:p>
        </w:tc>
      </w:tr>
      <w:tr>
        <w:tc>
          <w:tcPr>
            <w:tcW w:type="dxa" w:w="581"/>
          </w:tcPr>
          <w:p>
            <w:pPr>
              <w:pStyle w:val="null3"/>
              <w:jc w:val="center"/>
            </w:pPr>
            <w:r>
              <w:rPr/>
              <w:t>2</w:t>
            </w:r>
          </w:p>
        </w:tc>
        <w:tc>
          <w:tcPr>
            <w:tcW w:type="dxa" w:w="2492"/>
          </w:tcPr>
          <w:p>
            <w:pPr>
              <w:pStyle w:val="null3"/>
              <w:jc w:val="left"/>
            </w:pPr>
            <w:r>
              <w:rPr/>
              <w:t>需要供应商提供证明材料的实质性要求</w:t>
            </w:r>
          </w:p>
        </w:tc>
        <w:tc>
          <w:tcPr>
            <w:tcW w:type="dxa" w:w="3322"/>
          </w:tcPr>
          <w:p>
            <w:pPr>
              <w:pStyle w:val="null3"/>
              <w:jc w:val="left"/>
            </w:pPr>
            <w:r>
              <w:rPr/>
              <w:t>供应商应按照采购文件要求提供</w:t>
            </w:r>
          </w:p>
        </w:tc>
        <w:tc>
          <w:tcPr>
            <w:tcW w:type="dxa" w:w="1910"/>
          </w:tcPr>
          <w:p>
            <w:pPr>
              <w:pStyle w:val="null3"/>
              <w:jc w:val="left"/>
            </w:pPr>
            <w:r>
              <w:rPr/>
              <w:t>报价一览表 其他资料 技术要求应答表 报价明细表 商务要求应答表 投标（响应）函</w:t>
            </w:r>
          </w:p>
        </w:tc>
      </w:tr>
      <w:tr>
        <w:tc>
          <w:tcPr>
            <w:tcW w:type="dxa" w:w="581"/>
          </w:tcPr>
          <w:p>
            <w:pPr>
              <w:pStyle w:val="null3"/>
              <w:jc w:val="center"/>
            </w:pPr>
            <w:r>
              <w:rPr/>
              <w:t>3</w:t>
            </w:r>
          </w:p>
        </w:tc>
        <w:tc>
          <w:tcPr>
            <w:tcW w:type="dxa" w:w="2492"/>
          </w:tcPr>
          <w:p>
            <w:pPr>
              <w:pStyle w:val="null3"/>
              <w:jc w:val="left"/>
            </w:pPr>
            <w:r>
              <w:rPr/>
              <w:t>采购文件中未要求提供证明材料或单独提供承诺函的实质性要求</w:t>
            </w:r>
          </w:p>
        </w:tc>
        <w:tc>
          <w:tcPr>
            <w:tcW w:type="dxa" w:w="3322"/>
          </w:tcPr>
          <w:p>
            <w:pPr>
              <w:pStyle w:val="null3"/>
              <w:jc w:val="left"/>
            </w:pPr>
            <w:r>
              <w:rPr/>
              <w:t>供应商在《投标(响应)函》中以“我单位完全接受和理解本项目采购文件规定的实质性要求”即视为完全响应</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不属于采购文件规定的无效情形</w:t>
            </w:r>
          </w:p>
        </w:tc>
        <w:tc>
          <w:tcPr>
            <w:tcW w:type="dxa" w:w="3322"/>
          </w:tcPr>
          <w:p>
            <w:pPr>
              <w:pStyle w:val="null3"/>
              <w:jc w:val="left"/>
            </w:pPr>
            <w:r>
              <w:rPr/>
              <w:t>供应商的响应文件中不存在采购文件规定的无效情形</w:t>
            </w:r>
          </w:p>
        </w:tc>
        <w:tc>
          <w:tcPr>
            <w:tcW w:type="dxa" w:w="1910"/>
          </w:tcPr>
          <w:p>
            <w:pPr>
              <w:pStyle w:val="null3"/>
              <w:jc w:val="left"/>
            </w:pPr>
            <w:r>
              <w:rPr/>
              <w:t>报价一览表 其他资料 报价明细表 技术要求应答表 商务要求应答表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报价一览表 其他资料 技术要求应答表 报价明细表 商务要求应答表 投标（响应）函</w:t>
            </w:r>
          </w:p>
        </w:tc>
      </w:tr>
      <w:tr>
        <w:tc>
          <w:tcPr>
            <w:tcW w:type="dxa" w:w="581"/>
          </w:tcPr>
          <w:p>
            <w:pPr>
              <w:pStyle w:val="null3"/>
              <w:jc w:val="center"/>
            </w:pPr>
            <w:r>
              <w:rPr/>
              <w:t>2</w:t>
            </w:r>
          </w:p>
        </w:tc>
        <w:tc>
          <w:tcPr>
            <w:tcW w:type="dxa" w:w="2492"/>
          </w:tcPr>
          <w:p>
            <w:pPr>
              <w:pStyle w:val="null3"/>
              <w:jc w:val="left"/>
            </w:pPr>
            <w:r>
              <w:rPr/>
              <w:t>需要供应商提供证明材料的实质性要求</w:t>
            </w:r>
          </w:p>
        </w:tc>
        <w:tc>
          <w:tcPr>
            <w:tcW w:type="dxa" w:w="3322"/>
          </w:tcPr>
          <w:p>
            <w:pPr>
              <w:pStyle w:val="null3"/>
              <w:jc w:val="left"/>
            </w:pPr>
            <w:r>
              <w:rPr/>
              <w:t>供应商应按照采购文件要求提供</w:t>
            </w:r>
          </w:p>
        </w:tc>
        <w:tc>
          <w:tcPr>
            <w:tcW w:type="dxa" w:w="1910"/>
          </w:tcPr>
          <w:p>
            <w:pPr>
              <w:pStyle w:val="null3"/>
              <w:jc w:val="left"/>
            </w:pPr>
            <w:r>
              <w:rPr/>
              <w:t>报价一览表 其他资料 报价明细表 技术要求应答表 商务要求应答表 投标（响应）函</w:t>
            </w:r>
          </w:p>
        </w:tc>
      </w:tr>
      <w:tr>
        <w:tc>
          <w:tcPr>
            <w:tcW w:type="dxa" w:w="581"/>
          </w:tcPr>
          <w:p>
            <w:pPr>
              <w:pStyle w:val="null3"/>
              <w:jc w:val="center"/>
            </w:pPr>
            <w:r>
              <w:rPr/>
              <w:t>3</w:t>
            </w:r>
          </w:p>
        </w:tc>
        <w:tc>
          <w:tcPr>
            <w:tcW w:type="dxa" w:w="2492"/>
          </w:tcPr>
          <w:p>
            <w:pPr>
              <w:pStyle w:val="null3"/>
              <w:jc w:val="left"/>
            </w:pPr>
            <w:r>
              <w:rPr/>
              <w:t>采购文件中未要求提供证明材料或单独提供承诺函的实质性要求</w:t>
            </w:r>
          </w:p>
        </w:tc>
        <w:tc>
          <w:tcPr>
            <w:tcW w:type="dxa" w:w="3322"/>
          </w:tcPr>
          <w:p>
            <w:pPr>
              <w:pStyle w:val="null3"/>
              <w:jc w:val="left"/>
            </w:pPr>
            <w:r>
              <w:rPr/>
              <w:t>供应商在《投标(响应)函》中以“我单位完全接受和理解本项目采购文件规定的实质性要求”即视为完全响应</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不属于采购文件规定的无效情形</w:t>
            </w:r>
          </w:p>
        </w:tc>
        <w:tc>
          <w:tcPr>
            <w:tcW w:type="dxa" w:w="3322"/>
          </w:tcPr>
          <w:p>
            <w:pPr>
              <w:pStyle w:val="null3"/>
              <w:jc w:val="left"/>
            </w:pPr>
            <w:r>
              <w:rPr/>
              <w:t>供应商的响应文件中不存在采购文件规定的无效情形</w:t>
            </w:r>
          </w:p>
        </w:tc>
        <w:tc>
          <w:tcPr>
            <w:tcW w:type="dxa" w:w="1910"/>
          </w:tcPr>
          <w:p>
            <w:pPr>
              <w:pStyle w:val="null3"/>
              <w:jc w:val="left"/>
            </w:pPr>
            <w:r>
              <w:rPr/>
              <w:t>报价一览表 其他资料 技术要求应答表 报价明细表 商务要求应答表 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报价一览表 其他资料 技术要求应答表 报价明细表 商务要求应答表 投标（响应）函</w:t>
            </w:r>
          </w:p>
        </w:tc>
      </w:tr>
      <w:tr>
        <w:tc>
          <w:tcPr>
            <w:tcW w:type="dxa" w:w="581"/>
          </w:tcPr>
          <w:p>
            <w:pPr>
              <w:pStyle w:val="null3"/>
              <w:jc w:val="center"/>
            </w:pPr>
            <w:r>
              <w:rPr/>
              <w:t>2</w:t>
            </w:r>
          </w:p>
        </w:tc>
        <w:tc>
          <w:tcPr>
            <w:tcW w:type="dxa" w:w="2492"/>
          </w:tcPr>
          <w:p>
            <w:pPr>
              <w:pStyle w:val="null3"/>
              <w:jc w:val="left"/>
            </w:pPr>
            <w:r>
              <w:rPr/>
              <w:t>需要供应商提供证明材料的实质性要求</w:t>
            </w:r>
          </w:p>
        </w:tc>
        <w:tc>
          <w:tcPr>
            <w:tcW w:type="dxa" w:w="3322"/>
          </w:tcPr>
          <w:p>
            <w:pPr>
              <w:pStyle w:val="null3"/>
              <w:jc w:val="left"/>
            </w:pPr>
            <w:r>
              <w:rPr/>
              <w:t>供应商应按照采购文件要求提供</w:t>
            </w:r>
          </w:p>
        </w:tc>
        <w:tc>
          <w:tcPr>
            <w:tcW w:type="dxa" w:w="1910"/>
          </w:tcPr>
          <w:p>
            <w:pPr>
              <w:pStyle w:val="null3"/>
              <w:jc w:val="left"/>
            </w:pPr>
            <w:r>
              <w:rPr/>
              <w:t>报价一览表 其他资料 报价明细表 技术要求应答表 商务要求应答表 投标（响应）函</w:t>
            </w:r>
          </w:p>
        </w:tc>
      </w:tr>
      <w:tr>
        <w:tc>
          <w:tcPr>
            <w:tcW w:type="dxa" w:w="581"/>
          </w:tcPr>
          <w:p>
            <w:pPr>
              <w:pStyle w:val="null3"/>
              <w:jc w:val="center"/>
            </w:pPr>
            <w:r>
              <w:rPr/>
              <w:t>3</w:t>
            </w:r>
          </w:p>
        </w:tc>
        <w:tc>
          <w:tcPr>
            <w:tcW w:type="dxa" w:w="2492"/>
          </w:tcPr>
          <w:p>
            <w:pPr>
              <w:pStyle w:val="null3"/>
              <w:jc w:val="left"/>
            </w:pPr>
            <w:r>
              <w:rPr/>
              <w:t>采购文件中未要求提供证明材料或单独提供承诺函的实质性要求</w:t>
            </w:r>
          </w:p>
        </w:tc>
        <w:tc>
          <w:tcPr>
            <w:tcW w:type="dxa" w:w="3322"/>
          </w:tcPr>
          <w:p>
            <w:pPr>
              <w:pStyle w:val="null3"/>
              <w:jc w:val="left"/>
            </w:pPr>
            <w:r>
              <w:rPr/>
              <w:t>供应商在《投标(响应)函》中以“我单位完全接受和理解本项目采购文件规定的实质性要求”即视为完全响应</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不属于采购文件规定的无效情形</w:t>
            </w:r>
          </w:p>
        </w:tc>
        <w:tc>
          <w:tcPr>
            <w:tcW w:type="dxa" w:w="3322"/>
          </w:tcPr>
          <w:p>
            <w:pPr>
              <w:pStyle w:val="null3"/>
              <w:jc w:val="left"/>
            </w:pPr>
            <w:r>
              <w:rPr/>
              <w:t>供应商的响应文件中不存在采购文件规定的无效情形</w:t>
            </w:r>
          </w:p>
        </w:tc>
        <w:tc>
          <w:tcPr>
            <w:tcW w:type="dxa" w:w="1910"/>
          </w:tcPr>
          <w:p>
            <w:pPr>
              <w:pStyle w:val="null3"/>
              <w:jc w:val="left"/>
            </w:pPr>
            <w:r>
              <w:rPr/>
              <w:t>报价一览表 其他资料 报价明细表 技术要求应答表 商务要求应答表 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报价一览表 其他资料 技术要求应答表 报价明细表 商务要求应答表 投标（响应）函</w:t>
            </w:r>
          </w:p>
        </w:tc>
      </w:tr>
      <w:tr>
        <w:tc>
          <w:tcPr>
            <w:tcW w:type="dxa" w:w="581"/>
          </w:tcPr>
          <w:p>
            <w:pPr>
              <w:pStyle w:val="null3"/>
              <w:jc w:val="center"/>
            </w:pPr>
            <w:r>
              <w:rPr/>
              <w:t>2</w:t>
            </w:r>
          </w:p>
        </w:tc>
        <w:tc>
          <w:tcPr>
            <w:tcW w:type="dxa" w:w="2492"/>
          </w:tcPr>
          <w:p>
            <w:pPr>
              <w:pStyle w:val="null3"/>
              <w:jc w:val="left"/>
            </w:pPr>
            <w:r>
              <w:rPr/>
              <w:t>需要供应商提供证明材料的实质性要求</w:t>
            </w:r>
          </w:p>
        </w:tc>
        <w:tc>
          <w:tcPr>
            <w:tcW w:type="dxa" w:w="3322"/>
          </w:tcPr>
          <w:p>
            <w:pPr>
              <w:pStyle w:val="null3"/>
              <w:jc w:val="left"/>
            </w:pPr>
            <w:r>
              <w:rPr/>
              <w:t>供应商应按照采购文件要求提供</w:t>
            </w:r>
          </w:p>
        </w:tc>
        <w:tc>
          <w:tcPr>
            <w:tcW w:type="dxa" w:w="1910"/>
          </w:tcPr>
          <w:p>
            <w:pPr>
              <w:pStyle w:val="null3"/>
              <w:jc w:val="left"/>
            </w:pPr>
            <w:r>
              <w:rPr/>
              <w:t>报价一览表 其他资料 技术要求应答表 报价明细表 商务要求应答表 投标（响应）函</w:t>
            </w:r>
          </w:p>
        </w:tc>
      </w:tr>
      <w:tr>
        <w:tc>
          <w:tcPr>
            <w:tcW w:type="dxa" w:w="581"/>
          </w:tcPr>
          <w:p>
            <w:pPr>
              <w:pStyle w:val="null3"/>
              <w:jc w:val="center"/>
            </w:pPr>
            <w:r>
              <w:rPr/>
              <w:t>3</w:t>
            </w:r>
          </w:p>
        </w:tc>
        <w:tc>
          <w:tcPr>
            <w:tcW w:type="dxa" w:w="2492"/>
          </w:tcPr>
          <w:p>
            <w:pPr>
              <w:pStyle w:val="null3"/>
              <w:jc w:val="left"/>
            </w:pPr>
            <w:r>
              <w:rPr/>
              <w:t>采购文件中未要求提供证明材料或单独提供承诺函的实质性要求</w:t>
            </w:r>
          </w:p>
        </w:tc>
        <w:tc>
          <w:tcPr>
            <w:tcW w:type="dxa" w:w="3322"/>
          </w:tcPr>
          <w:p>
            <w:pPr>
              <w:pStyle w:val="null3"/>
              <w:jc w:val="left"/>
            </w:pPr>
            <w:r>
              <w:rPr/>
              <w:t>供应商在《投标(响应)函》中以“我单位完全接受和理解本项目采购文件规定的实质性要求”即视为完全响应</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不属于采购文件规定的无效情形</w:t>
            </w:r>
          </w:p>
        </w:tc>
        <w:tc>
          <w:tcPr>
            <w:tcW w:type="dxa" w:w="3322"/>
          </w:tcPr>
          <w:p>
            <w:pPr>
              <w:pStyle w:val="null3"/>
              <w:jc w:val="left"/>
            </w:pPr>
            <w:r>
              <w:rPr/>
              <w:t>供应商的响应文件中不存在采购文件规定的无效情形</w:t>
            </w:r>
          </w:p>
        </w:tc>
        <w:tc>
          <w:tcPr>
            <w:tcW w:type="dxa" w:w="1910"/>
          </w:tcPr>
          <w:p>
            <w:pPr>
              <w:pStyle w:val="null3"/>
              <w:jc w:val="left"/>
            </w:pPr>
            <w:r>
              <w:rPr/>
              <w:t>报价一览表 其他资料 技术要求应答表 报价明细表 商务要求应答表 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jc w:val="left"/>
      </w:pPr>
      <w:r>
        <w:rPr/>
        <w:t>采购包4：</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1、投标人针对招标文件第三章中的一般技术参数条款的响应得分规则如下：（一般技术参数条款指未标注 “▲”“★”的条款） 一般技术参数条款响应得分=（投标人满足一般技术参数条款的数量÷一般技术参数条款的总数量）×20分。 2、投标人针对招标文件第五章 “▲”技术参数条款的响应得分规则如下： “▲”技术参数条款响应得分=（投标人满足“▲”技术参数条款的数量÷ “▲”技术参数条款的总数量）×40分。 注： ①本招标文件以一级序号数字（如 “1.”“2.”“3.”…）为一条（标题除外）；数字序号下有多级序号的，以最小级数字序号为一条； ②针对标注“▲”号的技术参数，若技术参数要求提供对应证明材料，应按要求提供；若技术参数未要求提供证明材料，投标时需提供生产厂家的印刷资料或生产厂家的说明书或国家认可的第三方检测机构出具的检测报告，若未提供有效证明材料则该参数将被视为不满足 ③针对一般条款的技术响应，若技术参数要求提供对应证明材料，应按要求提供，否则对应技术参数条款将视为不满足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技术要求应答表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根据投标人2020年1月1日（含1日）至提交投标文件截止日的类似业绩进行评审，每提供1个业绩得1分，不提供不得分，最多得8分。 注：提供销售合同或中标（成交）通知书复印件加盖投标人公章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vMerge/>
          </w:tcPr>
          <w:p/>
        </w:tc>
        <w:tc>
          <w:tcPr>
            <w:tcW w:type="dxa" w:w="1661"/>
          </w:tcPr>
          <w:p>
            <w:pPr>
              <w:pStyle w:val="null3"/>
              <w:jc w:val="left"/>
            </w:pPr>
            <w:r>
              <w:rPr/>
              <w:t>售后服务要求</w:t>
            </w:r>
          </w:p>
        </w:tc>
        <w:tc>
          <w:tcPr>
            <w:tcW w:type="dxa" w:w="2575"/>
          </w:tcPr>
          <w:p>
            <w:pPr>
              <w:pStyle w:val="null3"/>
              <w:jc w:val="left"/>
            </w:pPr>
            <w:r>
              <w:rPr/>
              <w:t>提供投标产品制造厂家或具有厂家授权权限的代理商针对本项目的售后服务承诺函的得2分。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（1）满足招标文件要求且投标价格最低的投标报价为评标基准价，其价格分为满分； （2）投标报价得分=(评标基准价／投标报价)*30；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1、投标人针对招标文件第三章中的一般技术参数条款的响应得分规则如下：（一般技术参数条款指未标注 “▲”“★”的条款） 一般技术参数条款响应得分=（投标人满足一般技术参数条款的数量÷一般技术参数条款的总数量）×20分。 2、投标人针对招标文件第五章 “▲”技术参数条款的响应得分规则如下： “▲”技术参数条款响应得分=（投标人满足“▲”技术参数条款的数量÷ “▲”技术参数条款的总数量）×40分。 注： ①本招标文件以一级序号数字（如 “1.”“2.”“3.”…）为一条（标题除外）；数字序号下有多级序号的，以最小级数字序号为一条； ②针对标注“▲”号的技术参数，若技术参数要求提供对应证明材料，应按要求提供；若技术参数未要求提供证明材料，投标时需提供生产厂家的印刷资料或生产厂家的说明书或国家认可的第三方检测机构出具的检测报告，若未提供有效证明材料则该参数将被视为不满足 ③针对一般条款的技术响应，若技术参数要求提供对应证明材料，应按要求提供，否则对应技术参数条款将视为不满足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技术要求应答表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根据投标人2020年1月1日（含1日）至提交投标文件截止日的类似业绩进行评审，每提供1个业绩得1分，不提供不得分，最多得8分。 注：提供销售合同或中标（成交）通知书复印件加盖投标人公章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vMerge/>
          </w:tcPr>
          <w:p/>
        </w:tc>
        <w:tc>
          <w:tcPr>
            <w:tcW w:type="dxa" w:w="1661"/>
          </w:tcPr>
          <w:p>
            <w:pPr>
              <w:pStyle w:val="null3"/>
              <w:jc w:val="left"/>
            </w:pPr>
            <w:r>
              <w:rPr/>
              <w:t>售后服务要求</w:t>
            </w:r>
          </w:p>
        </w:tc>
        <w:tc>
          <w:tcPr>
            <w:tcW w:type="dxa" w:w="2575"/>
          </w:tcPr>
          <w:p>
            <w:pPr>
              <w:pStyle w:val="null3"/>
              <w:jc w:val="left"/>
            </w:pPr>
            <w:r>
              <w:rPr/>
              <w:t>提供投标产品制造厂家或具有厂家授权权限的代理商针对本项目的售后服务承诺函的得2分。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（1）满足招标文件要求且投标价格最低的投标报价为评标基准价，其价格分为满分； （2）投标报价得分=(评标基准价／投标报价)*30；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1、投标人针对招标文件第三章中的一般技术参数条款的响应得分规则如下：（一般技术参数条款指未标注 “▲”“★”的条款） 一般技术参数条款响应得分=（投标人满足一般技术参数条款的数量÷一般技术参数条款的总数量）×20分。 2、投标人针对招标文件第五章 “▲”技术参数条款的响应得分规则如下： “▲”技术参数条款响应得分=（投标人满足“▲”技术参数条款的数量÷ “▲”技术参数条款的总数量）×40分。 注： ①本招标文件以一级序号数字（如 “1.”“2.”“3.”…）为一条（标题除外）；数字序号下有多级序号的，以最小级数字序号为一条； ②针对标注“▲”号的技术参数，若技术参数要求提供对应证明材料，应按要求提供；若技术参数未要求提供证明材料，投标时需提供生产厂家的印刷资料或生产厂家的说明书或国家认可的第三方检测机构出具的检测报告，若未提供有效证明材料则该参数将被视为不满足 ③针对一般条款的技术响应，若技术参数要求提供对应证明材料，应按要求提供，否则对应技术参数条款将视为不满足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技术要求应答表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根据投标人2020年1月1日（含1日）至提交投标文件截止日的类似业绩进行评审，每提供1个业绩得1分，不提供不得分，最多得8分。 注：提供销售合同或中标（成交）通知书复印件加盖投标人公章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vMerge/>
          </w:tcPr>
          <w:p/>
        </w:tc>
        <w:tc>
          <w:tcPr>
            <w:tcW w:type="dxa" w:w="1661"/>
          </w:tcPr>
          <w:p>
            <w:pPr>
              <w:pStyle w:val="null3"/>
              <w:jc w:val="left"/>
            </w:pPr>
            <w:r>
              <w:rPr/>
              <w:t>售后服务要求</w:t>
            </w:r>
          </w:p>
        </w:tc>
        <w:tc>
          <w:tcPr>
            <w:tcW w:type="dxa" w:w="2575"/>
          </w:tcPr>
          <w:p>
            <w:pPr>
              <w:pStyle w:val="null3"/>
              <w:jc w:val="left"/>
            </w:pPr>
            <w:r>
              <w:rPr/>
              <w:t>提供投标产品制造厂家或具有厂家授权权限的代理商针对本项目的售后服务承诺函的得2分。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（1）满足招标文件要求且投标价格最低的投标报价为评标基准价，其价格分为满分； （2）投标报价得分=(评标基准价／投标报价)*30；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1、投标人针对招标文件第三章中的一般技术参数条款的响应得分规则如下：（一般技术参数条款指未标注 “▲”“★”的条款） 一般技术参数条款响应得分=（投标人满足一般技术参数条款的数量÷一般技术参数条款的总数量）×20分。 2、投标人针对招标文件第五章 “▲”技术参数条款的响应得分规则如下： “▲”技术参数条款响应得分=（投标人满足“▲”技术参数条款的数量÷ “▲”技术参数条款的总数量）×40分。 注： ①本招标文件以一级序号数字（如 “1.”“2.”“3.”…）为一条（标题除外）；数字序号下有多级序号的，以最小级数字序号为一条； ②针对标注“▲”号的技术参数，若技术参数要求提供对应证明材料，应按要求提供；若技术参数未要求提供证明材料，投标时需提供生产厂家的印刷资料或生产厂家的说明书或国家认可的第三方检测机构出具的检测报告，若未提供有效证明材料则该参数将被视为不满足 ③针对一般条款的技术响应，若技术参数要求提供对应证明材料，应按要求提供，否则对应技术参数条款将视为不满足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技术要求应答表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根据投标人2020年1月1日（含1日）至提交投标文件截止日的类似业绩进行评审，每提供1个业绩得1分，不提供不得分，最多得8分。 注：提供销售合同或中标（成交）通知书复印件加盖投标人公章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vMerge/>
          </w:tcPr>
          <w:p/>
        </w:tc>
        <w:tc>
          <w:tcPr>
            <w:tcW w:type="dxa" w:w="1661"/>
          </w:tcPr>
          <w:p>
            <w:pPr>
              <w:pStyle w:val="null3"/>
              <w:jc w:val="left"/>
            </w:pPr>
            <w:r>
              <w:rPr/>
              <w:t>售后服务要求</w:t>
            </w:r>
          </w:p>
        </w:tc>
        <w:tc>
          <w:tcPr>
            <w:tcW w:type="dxa" w:w="2575"/>
          </w:tcPr>
          <w:p>
            <w:pPr>
              <w:pStyle w:val="null3"/>
              <w:jc w:val="left"/>
            </w:pPr>
            <w:r>
              <w:rPr/>
              <w:t>提供投标产品制造厂家或具有厂家授权权限的代理商针对本项目的售后服务承诺函的得2分。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其他资料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（1）满足招标文件要求且投标价格最低的投标报价为评标基准价，其价格分为满分； （2）投标报价得分=(评标基准价／投标报价)*30；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根据《政府采购促进中小企业发展管理办法》（财库〔2020〕46号）《关于进一步加大政府采购支持中小企业力度的通知》（财库〔2022〕19号）的规定，对小微企业（监狱企业、残疾人福利性单位视同小微企业）制造的货物的价格给予10%的价格扣除，用扣除后的价格参加评审。</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根据《政府采购促进中小企业发展管理办法》（财库〔2020〕46号）《关于进一步加大政府采购支持中小企业力度的通知》（财库〔2022〕19号）的规定，对小微企业（监狱企业、残疾人福利性单位视同小微企业）制造的货物的价格给予10%的价格扣除，用扣除后的价格参加评审。</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根据《政府采购促进中小企业发展管理办法》（财库〔2020〕46号）《关于进一步加大政府采购支持中小企业力度的通知》（财库〔2022〕19号）的规定，对小微企业（监狱企业、残疾人福利性单位视同小微企业）制造的货物的价格给予10%的价格扣除，用扣除后的价格参加评审。</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根据《政府采购促进中小企业发展管理办法》（财库〔2020〕46号）《关于进一步加大政府采购支持中小企业力度的通知》（财库〔2022〕19号）的规定，对小微企业（监狱企业、残疾人福利性单位视同小微企业）制造的货物的价格给予10%的价格扣除，用扣除后的价格参加评审。</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一、评标委员会在交易系统中编制评标情况，生成评标报告。</w:t>
      </w:r>
    </w:p>
    <w:p>
      <w:pPr>
        <w:pStyle w:val="null3"/>
        <w:jc w:val="left"/>
      </w:pPr>
      <w:r>
        <w:rPr/>
        <w:t>二、代理机构应当在评标结束后2个工作日内将评标报告送采购人。</w:t>
      </w:r>
    </w:p>
    <w:p>
      <w:pPr>
        <w:pStyle w:val="null3"/>
        <w:jc w:val="left"/>
      </w:pPr>
      <w:r>
        <w:rPr/>
        <w:t>三、采购人在收到评标报告5个工作日内，未按评标报告推荐的中标候选人顺序确定中标人，又不能说明合法理由的，视同按评标报告推荐的顺序确定排名第一的中标候选人为中标人。</w:t>
      </w:r>
    </w:p>
    <w:p>
      <w:pPr>
        <w:pStyle w:val="null3"/>
        <w:jc w:val="left"/>
      </w:pPr>
      <w:r>
        <w:rPr/>
        <w:t>四、采购人或者代理机构应当自中标人确定之日起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详见附件：商务要求应答表</w:t>
      </w:r>
    </w:p>
    <w:p>
      <w:pPr>
        <w:pStyle w:val="null3"/>
        <w:ind w:firstLine="960"/>
        <w:jc w:val="left"/>
      </w:pPr>
      <w:r>
        <w:rPr/>
        <w:t>详见附件：技术要求应答表</w:t>
      </w:r>
    </w:p>
    <w:p>
      <w:pPr>
        <w:pStyle w:val="null3"/>
        <w:ind w:firstLine="960"/>
        <w:jc w:val="left"/>
      </w:pPr>
      <w:r>
        <w:rPr/>
        <w:t>详见附件：其他资料</w:t>
      </w:r>
    </w:p>
    <w:p>
      <w:pPr>
        <w:pStyle w:val="null3"/>
        <w:ind w:firstLine="960"/>
        <w:jc w:val="left"/>
      </w:pPr>
      <w:r>
        <w:rPr/>
        <w:t>详见附件：报价明细表</w:t>
      </w:r>
    </w:p>
    <w:p>
      <w:pPr>
        <w:pStyle w:val="null3"/>
        <w:ind w:firstLine="960"/>
        <w:jc w:val="left"/>
      </w:pPr>
      <w:r>
        <w:rPr/>
        <w:t>详见附件：投标（响应）函</w:t>
      </w:r>
    </w:p>
    <w:p>
      <w:pPr>
        <w:pStyle w:val="null3"/>
        <w:jc w:val="left"/>
      </w:pPr>
      <w:r>
        <w:rPr/>
        <w:t>采购包2：</w:t>
      </w:r>
    </w:p>
    <w:p>
      <w:pPr>
        <w:pStyle w:val="null3"/>
        <w:jc w:val="left"/>
      </w:pPr>
      <w:r>
        <w:rPr/>
        <w:t>分册名称：投标响应文件分册</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详见附件：商务要求应答表</w:t>
      </w:r>
    </w:p>
    <w:p>
      <w:pPr>
        <w:pStyle w:val="null3"/>
        <w:ind w:firstLine="960"/>
        <w:jc w:val="left"/>
      </w:pPr>
      <w:r>
        <w:rPr/>
        <w:t>详见附件：技术要求应答表</w:t>
      </w:r>
    </w:p>
    <w:p>
      <w:pPr>
        <w:pStyle w:val="null3"/>
        <w:ind w:firstLine="960"/>
        <w:jc w:val="left"/>
      </w:pPr>
      <w:r>
        <w:rPr/>
        <w:t>详见附件：其他资料</w:t>
      </w:r>
    </w:p>
    <w:p>
      <w:pPr>
        <w:pStyle w:val="null3"/>
        <w:ind w:firstLine="960"/>
        <w:jc w:val="left"/>
      </w:pPr>
      <w:r>
        <w:rPr/>
        <w:t>详见附件：投标（响应）函</w:t>
      </w:r>
    </w:p>
    <w:p>
      <w:pPr>
        <w:pStyle w:val="null3"/>
        <w:jc w:val="left"/>
      </w:pPr>
      <w:r>
        <w:rPr/>
        <w:t>采购包3：</w:t>
      </w:r>
    </w:p>
    <w:p>
      <w:pPr>
        <w:pStyle w:val="null3"/>
        <w:jc w:val="left"/>
      </w:pPr>
      <w:r>
        <w:rPr/>
        <w:t>分册名称：投标响应文件分册</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详见附件：商务要求应答表</w:t>
      </w:r>
    </w:p>
    <w:p>
      <w:pPr>
        <w:pStyle w:val="null3"/>
        <w:ind w:firstLine="960"/>
        <w:jc w:val="left"/>
      </w:pPr>
      <w:r>
        <w:rPr/>
        <w:t>详见附件：技术要求应答表</w:t>
      </w:r>
    </w:p>
    <w:p>
      <w:pPr>
        <w:pStyle w:val="null3"/>
        <w:ind w:firstLine="960"/>
        <w:jc w:val="left"/>
      </w:pPr>
      <w:r>
        <w:rPr/>
        <w:t>详见附件：其他资料</w:t>
      </w:r>
    </w:p>
    <w:p>
      <w:pPr>
        <w:pStyle w:val="null3"/>
        <w:ind w:firstLine="960"/>
        <w:jc w:val="left"/>
      </w:pPr>
      <w:r>
        <w:rPr/>
        <w:t>详见附件：投标（响应）函</w:t>
      </w:r>
    </w:p>
    <w:p>
      <w:pPr>
        <w:pStyle w:val="null3"/>
        <w:jc w:val="left"/>
      </w:pPr>
      <w:r>
        <w:rPr/>
        <w:t>采购包4：</w:t>
      </w:r>
    </w:p>
    <w:p>
      <w:pPr>
        <w:pStyle w:val="null3"/>
        <w:jc w:val="left"/>
      </w:pPr>
      <w:r>
        <w:rPr/>
        <w:t>分册名称：投标响应文件分册</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详见附件：商务要求应答表</w:t>
      </w:r>
    </w:p>
    <w:p>
      <w:pPr>
        <w:pStyle w:val="null3"/>
        <w:ind w:firstLine="960"/>
        <w:jc w:val="left"/>
      </w:pPr>
      <w:r>
        <w:rPr/>
        <w:t>详见附件：技术要求应答表</w:t>
      </w:r>
    </w:p>
    <w:p>
      <w:pPr>
        <w:pStyle w:val="null3"/>
        <w:ind w:firstLine="960"/>
        <w:jc w:val="left"/>
      </w:pPr>
      <w:r>
        <w:rPr/>
        <w:t>详见附件：其他资料</w:t>
      </w:r>
    </w:p>
    <w:p>
      <w:pPr>
        <w:pStyle w:val="null3"/>
        <w:ind w:firstLine="960"/>
        <w:jc w:val="left"/>
      </w:pPr>
      <w:r>
        <w:rPr/>
        <w:t>详见附件：投标（响应）函</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