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62408">
      <w:pPr>
        <w:pStyle w:val="12"/>
        <w:jc w:val="both"/>
        <w:outlineLvl w:val="0"/>
        <w:rPr>
          <w:rFonts w:hint="eastAsia" w:cs="宋体"/>
          <w:b/>
          <w:bCs/>
          <w:color w:val="auto"/>
          <w:sz w:val="44"/>
          <w:szCs w:val="44"/>
          <w:u w:val="single"/>
          <w:shd w:val="clear" w:color="auto" w:fill="FFFFFF"/>
          <w:lang w:val="en-US" w:eastAsia="zh-CN"/>
        </w:rPr>
      </w:pPr>
      <w:bookmarkStart w:id="0" w:name="_Toc21956"/>
      <w:bookmarkStart w:id="1" w:name="_Toc24470"/>
      <w:bookmarkStart w:id="2" w:name="_Toc22621"/>
      <w:bookmarkStart w:id="3" w:name="_Toc16419"/>
      <w:bookmarkStart w:id="4" w:name="_Toc5136"/>
      <w:bookmarkStart w:id="5" w:name="_Toc20769"/>
      <w:bookmarkStart w:id="6" w:name="_Toc14012"/>
      <w:bookmarkStart w:id="7" w:name="_Hlk144239961"/>
    </w:p>
    <w:p w14:paraId="15B8B1BC">
      <w:pPr>
        <w:pStyle w:val="12"/>
        <w:jc w:val="center"/>
        <w:outlineLvl w:val="0"/>
        <w:rPr>
          <w:rFonts w:hint="eastAsia" w:cs="宋体"/>
          <w:b/>
          <w:bCs/>
          <w:color w:val="auto"/>
          <w:sz w:val="44"/>
          <w:szCs w:val="44"/>
          <w:u w:val="single"/>
          <w:shd w:val="clear" w:color="auto" w:fill="FFFFFF"/>
          <w:lang w:val="en-US" w:eastAsia="zh-CN"/>
        </w:rPr>
      </w:pPr>
      <w:bookmarkStart w:id="8" w:name="_Toc25331"/>
      <w:bookmarkStart w:id="9" w:name="_Toc22557"/>
      <w:r>
        <w:rPr>
          <w:rFonts w:hint="eastAsia" w:cs="宋体"/>
          <w:b/>
          <w:bCs/>
          <w:color w:val="auto"/>
          <w:sz w:val="44"/>
          <w:szCs w:val="44"/>
          <w:u w:val="single"/>
          <w:shd w:val="clear" w:color="auto" w:fill="FFFFFF"/>
          <w:lang w:val="en-US" w:eastAsia="zh-CN"/>
        </w:rPr>
        <w:t>镇沅县古城镇建民村产业道路硬化建设</w:t>
      </w:r>
      <w:bookmarkEnd w:id="8"/>
    </w:p>
    <w:p w14:paraId="0E8E3996">
      <w:pPr>
        <w:pStyle w:val="12"/>
        <w:jc w:val="center"/>
        <w:outlineLvl w:val="0"/>
        <w:rPr>
          <w:rFonts w:hint="default" w:ascii="宋体" w:hAnsi="宋体" w:eastAsia="宋体" w:cs="宋体"/>
          <w:b/>
          <w:bCs/>
          <w:color w:val="auto"/>
          <w:sz w:val="44"/>
          <w:szCs w:val="44"/>
          <w:shd w:val="clear" w:color="auto" w:fill="FFFFFF"/>
          <w:lang w:val="en-US" w:eastAsia="zh-CN"/>
        </w:rPr>
      </w:pPr>
      <w:bookmarkStart w:id="10" w:name="_Toc22239"/>
      <w:r>
        <w:rPr>
          <w:rFonts w:hint="eastAsia" w:cs="宋体"/>
          <w:b/>
          <w:bCs/>
          <w:color w:val="auto"/>
          <w:sz w:val="44"/>
          <w:szCs w:val="44"/>
          <w:u w:val="single"/>
          <w:shd w:val="clear" w:color="auto" w:fill="FFFFFF"/>
          <w:lang w:val="en-US" w:eastAsia="zh-CN"/>
        </w:rPr>
        <w:t>项目</w:t>
      </w:r>
      <w:r>
        <w:rPr>
          <w:rFonts w:hint="eastAsia" w:ascii="宋体" w:hAnsi="宋体" w:eastAsia="宋体" w:cs="宋体"/>
          <w:b/>
          <w:bCs/>
          <w:color w:val="auto"/>
          <w:sz w:val="44"/>
          <w:szCs w:val="44"/>
          <w:shd w:val="clear" w:color="auto" w:fill="FFFFFF"/>
          <w:lang w:val="en-US" w:eastAsia="zh-CN"/>
        </w:rPr>
        <w:t>施工</w:t>
      </w:r>
      <w:bookmarkEnd w:id="0"/>
      <w:bookmarkEnd w:id="1"/>
      <w:bookmarkEnd w:id="2"/>
      <w:bookmarkEnd w:id="3"/>
      <w:bookmarkEnd w:id="4"/>
      <w:bookmarkEnd w:id="5"/>
      <w:bookmarkEnd w:id="6"/>
      <w:bookmarkEnd w:id="9"/>
      <w:r>
        <w:rPr>
          <w:rFonts w:hint="eastAsia" w:cs="宋体"/>
          <w:b/>
          <w:bCs/>
          <w:color w:val="auto"/>
          <w:sz w:val="44"/>
          <w:szCs w:val="44"/>
          <w:shd w:val="clear" w:color="auto" w:fill="FFFFFF"/>
          <w:lang w:val="en-US" w:eastAsia="zh-CN"/>
        </w:rPr>
        <w:t>（二次）</w:t>
      </w:r>
      <w:bookmarkEnd w:id="10"/>
    </w:p>
    <w:bookmarkEnd w:id="7"/>
    <w:p w14:paraId="69F10806">
      <w:pPr>
        <w:pStyle w:val="12"/>
        <w:rPr>
          <w:rFonts w:hint="eastAsia" w:ascii="宋体" w:hAnsi="宋体" w:eastAsia="宋体" w:cs="宋体"/>
          <w:color w:val="auto"/>
          <w:sz w:val="20"/>
          <w:shd w:val="clear" w:color="auto" w:fill="FFFFFF"/>
          <w:lang w:eastAsia="zh-CN"/>
        </w:rPr>
      </w:pPr>
    </w:p>
    <w:p w14:paraId="37BF5D35">
      <w:pPr>
        <w:pStyle w:val="12"/>
        <w:rPr>
          <w:rFonts w:hint="eastAsia" w:ascii="宋体" w:hAnsi="宋体" w:eastAsia="宋体" w:cs="宋体"/>
          <w:color w:val="auto"/>
          <w:sz w:val="20"/>
          <w:shd w:val="clear" w:color="auto" w:fill="FFFFFF"/>
          <w:lang w:eastAsia="zh-CN"/>
        </w:rPr>
      </w:pPr>
    </w:p>
    <w:p w14:paraId="286D13D9">
      <w:pPr>
        <w:pStyle w:val="12"/>
        <w:rPr>
          <w:rFonts w:hint="eastAsia" w:ascii="宋体" w:hAnsi="宋体" w:eastAsia="宋体" w:cs="宋体"/>
          <w:color w:val="auto"/>
          <w:sz w:val="20"/>
          <w:shd w:val="clear" w:color="auto" w:fill="FFFFFF"/>
          <w:lang w:eastAsia="zh-CN"/>
        </w:rPr>
      </w:pPr>
    </w:p>
    <w:p w14:paraId="63BA6CE5">
      <w:pPr>
        <w:rPr>
          <w:rFonts w:hint="eastAsia" w:ascii="宋体" w:hAnsi="宋体" w:eastAsia="宋体" w:cs="宋体"/>
          <w:color w:val="auto"/>
          <w:lang w:eastAsia="zh-CN"/>
        </w:rPr>
      </w:pPr>
    </w:p>
    <w:p w14:paraId="7FE84C41">
      <w:pPr>
        <w:pStyle w:val="12"/>
        <w:rPr>
          <w:rFonts w:hint="eastAsia" w:ascii="宋体" w:hAnsi="宋体" w:eastAsia="宋体" w:cs="宋体"/>
          <w:color w:val="auto"/>
          <w:sz w:val="20"/>
          <w:shd w:val="clear" w:color="auto" w:fill="FFFFFF"/>
          <w:lang w:eastAsia="zh-CN"/>
        </w:rPr>
      </w:pPr>
    </w:p>
    <w:p w14:paraId="6214698D">
      <w:pPr>
        <w:rPr>
          <w:rFonts w:hint="eastAsia" w:ascii="宋体" w:hAnsi="宋体" w:eastAsia="宋体" w:cs="宋体"/>
          <w:color w:val="auto"/>
          <w:sz w:val="20"/>
          <w:shd w:val="clear" w:color="auto" w:fill="FFFFFF"/>
          <w:lang w:eastAsia="zh-CN"/>
        </w:rPr>
      </w:pPr>
    </w:p>
    <w:p w14:paraId="2695CDF8">
      <w:pPr>
        <w:rPr>
          <w:rFonts w:hint="eastAsia" w:ascii="宋体" w:hAnsi="宋体" w:eastAsia="宋体" w:cs="宋体"/>
          <w:color w:val="auto"/>
          <w:sz w:val="20"/>
          <w:shd w:val="clear" w:color="auto" w:fill="FFFFFF"/>
          <w:lang w:eastAsia="zh-CN"/>
        </w:rPr>
      </w:pPr>
    </w:p>
    <w:p w14:paraId="459517B5">
      <w:pPr>
        <w:pStyle w:val="12"/>
        <w:rPr>
          <w:rFonts w:hint="eastAsia" w:ascii="宋体" w:hAnsi="宋体" w:eastAsia="宋体" w:cs="宋体"/>
          <w:color w:val="auto"/>
          <w:sz w:val="20"/>
          <w:shd w:val="clear" w:color="auto" w:fill="FFFFFF"/>
          <w:lang w:eastAsia="zh-CN"/>
        </w:rPr>
      </w:pPr>
    </w:p>
    <w:p w14:paraId="49C6B8D5">
      <w:pPr>
        <w:pStyle w:val="12"/>
        <w:rPr>
          <w:rFonts w:hint="eastAsia" w:ascii="宋体" w:hAnsi="宋体" w:eastAsia="宋体" w:cs="宋体"/>
          <w:color w:val="auto"/>
          <w:sz w:val="20"/>
          <w:shd w:val="clear" w:color="auto" w:fill="FFFFFF"/>
          <w:lang w:eastAsia="zh-CN"/>
        </w:rPr>
      </w:pPr>
    </w:p>
    <w:p w14:paraId="79E8E4A1">
      <w:pPr>
        <w:pStyle w:val="8"/>
        <w:spacing w:beforeLines="0"/>
        <w:ind w:firstLine="0" w:firstLineChars="0"/>
        <w:jc w:val="center"/>
        <w:outlineLvl w:val="0"/>
        <w:rPr>
          <w:rFonts w:hint="eastAsia" w:ascii="宋体" w:hAnsi="宋体" w:eastAsia="宋体" w:cs="宋体"/>
          <w:color w:val="auto"/>
          <w:sz w:val="21"/>
          <w:szCs w:val="21"/>
          <w:lang w:eastAsia="zh-CN"/>
        </w:rPr>
      </w:pPr>
      <w:bookmarkStart w:id="11" w:name="_Toc14379"/>
      <w:bookmarkStart w:id="12" w:name="_Toc31798"/>
      <w:bookmarkStart w:id="13" w:name="_Toc22282"/>
      <w:bookmarkStart w:id="14" w:name="_Toc13842"/>
      <w:bookmarkStart w:id="15" w:name="_Toc21330"/>
      <w:bookmarkStart w:id="16" w:name="_Toc2272"/>
      <w:bookmarkStart w:id="17" w:name="_Toc16745"/>
      <w:bookmarkStart w:id="18" w:name="_Toc19134"/>
      <w:bookmarkStart w:id="19" w:name="_Toc27468"/>
      <w:bookmarkStart w:id="20" w:name="_Toc6070"/>
      <w:bookmarkStart w:id="21" w:name="_Toc6772"/>
      <w:r>
        <w:rPr>
          <w:rFonts w:hint="eastAsia" w:ascii="宋体" w:hAnsi="宋体" w:eastAsia="宋体" w:cs="宋体"/>
          <w:bCs/>
          <w:color w:val="auto"/>
          <w:w w:val="95"/>
          <w:sz w:val="72"/>
          <w:szCs w:val="72"/>
          <w:shd w:val="clear" w:color="auto" w:fill="FFFFFF"/>
          <w:lang w:val="en-US" w:eastAsia="zh-CN"/>
        </w:rPr>
        <w:t>竞争性</w:t>
      </w:r>
      <w:r>
        <w:rPr>
          <w:rFonts w:hint="eastAsia" w:ascii="宋体" w:hAnsi="宋体" w:eastAsia="宋体" w:cs="宋体"/>
          <w:bCs/>
          <w:color w:val="auto"/>
          <w:w w:val="95"/>
          <w:sz w:val="72"/>
          <w:szCs w:val="72"/>
          <w:shd w:val="clear" w:color="auto" w:fill="FFFFFF"/>
          <w:lang w:eastAsia="zh-CN"/>
        </w:rPr>
        <w:t>磋商文件</w:t>
      </w:r>
      <w:bookmarkEnd w:id="11"/>
      <w:bookmarkEnd w:id="12"/>
      <w:bookmarkEnd w:id="13"/>
      <w:bookmarkEnd w:id="14"/>
      <w:bookmarkEnd w:id="15"/>
      <w:bookmarkEnd w:id="16"/>
      <w:bookmarkEnd w:id="17"/>
      <w:bookmarkEnd w:id="18"/>
      <w:bookmarkEnd w:id="19"/>
      <w:bookmarkEnd w:id="20"/>
      <w:bookmarkEnd w:id="21"/>
    </w:p>
    <w:p w14:paraId="7CEBDA84">
      <w:pPr>
        <w:rPr>
          <w:rFonts w:hint="eastAsia" w:ascii="宋体" w:hAnsi="宋体" w:eastAsia="宋体" w:cs="宋体"/>
          <w:color w:val="auto"/>
          <w:sz w:val="21"/>
          <w:szCs w:val="21"/>
          <w:lang w:eastAsia="zh-CN"/>
        </w:rPr>
      </w:pPr>
    </w:p>
    <w:p w14:paraId="2E6C0F5C">
      <w:pPr>
        <w:pStyle w:val="17"/>
        <w:rPr>
          <w:rFonts w:hint="eastAsia" w:ascii="宋体" w:hAnsi="宋体" w:eastAsia="宋体" w:cs="宋体"/>
          <w:color w:val="auto"/>
          <w:sz w:val="21"/>
          <w:szCs w:val="21"/>
          <w:lang w:eastAsia="zh-CN"/>
        </w:rPr>
      </w:pPr>
    </w:p>
    <w:p w14:paraId="3159B507">
      <w:pPr>
        <w:rPr>
          <w:rFonts w:hint="eastAsia" w:ascii="宋体" w:hAnsi="宋体" w:eastAsia="宋体" w:cs="宋体"/>
          <w:color w:val="auto"/>
          <w:lang w:eastAsia="zh-CN"/>
        </w:rPr>
      </w:pPr>
    </w:p>
    <w:p w14:paraId="1F21D1B7">
      <w:pPr>
        <w:pStyle w:val="17"/>
        <w:rPr>
          <w:rFonts w:hint="eastAsia" w:ascii="宋体" w:hAnsi="宋体" w:eastAsia="宋体" w:cs="宋体"/>
          <w:color w:val="auto"/>
          <w:lang w:eastAsia="zh-CN"/>
        </w:rPr>
      </w:pPr>
    </w:p>
    <w:p w14:paraId="58636E13">
      <w:pPr>
        <w:pStyle w:val="8"/>
        <w:spacing w:beforeLines="0"/>
        <w:ind w:firstLine="0" w:firstLineChars="0"/>
        <w:jc w:val="center"/>
        <w:rPr>
          <w:rFonts w:hint="eastAsia" w:ascii="宋体" w:hAnsi="宋体" w:eastAsia="宋体" w:cs="宋体"/>
          <w:color w:val="auto"/>
          <w:sz w:val="21"/>
          <w:szCs w:val="21"/>
          <w:lang w:eastAsia="zh-CN"/>
        </w:rPr>
      </w:pPr>
    </w:p>
    <w:p w14:paraId="5F79B030">
      <w:pPr>
        <w:pStyle w:val="8"/>
        <w:spacing w:beforeLines="0"/>
        <w:ind w:firstLine="0" w:firstLineChars="0"/>
        <w:jc w:val="center"/>
        <w:rPr>
          <w:rFonts w:hint="eastAsia" w:ascii="宋体" w:hAnsi="宋体" w:eastAsia="宋体" w:cs="宋体"/>
          <w:color w:val="auto"/>
          <w:sz w:val="21"/>
          <w:szCs w:val="21"/>
          <w:lang w:eastAsia="zh-CN"/>
        </w:rPr>
      </w:pPr>
    </w:p>
    <w:p w14:paraId="19DD6454">
      <w:pPr>
        <w:pStyle w:val="17"/>
        <w:spacing w:line="360" w:lineRule="auto"/>
        <w:jc w:val="center"/>
        <w:outlineLvl w:val="0"/>
        <w:rPr>
          <w:rFonts w:hint="eastAsia" w:hAnsi="宋体" w:cs="宋体"/>
          <w:b/>
          <w:bCs/>
          <w:color w:val="auto"/>
          <w:sz w:val="30"/>
          <w:szCs w:val="30"/>
          <w:lang w:eastAsia="zh-CN"/>
        </w:rPr>
      </w:pPr>
      <w:bookmarkStart w:id="22" w:name="_Toc13160"/>
      <w:bookmarkStart w:id="23" w:name="_Toc26001"/>
      <w:bookmarkStart w:id="24" w:name="_Toc27408"/>
      <w:bookmarkStart w:id="25" w:name="_Toc8264"/>
      <w:bookmarkStart w:id="26" w:name="_Toc17976"/>
      <w:bookmarkStart w:id="27" w:name="_Toc2815"/>
      <w:bookmarkStart w:id="28" w:name="_Toc7772"/>
      <w:bookmarkStart w:id="29" w:name="_Toc21567"/>
      <w:bookmarkStart w:id="30" w:name="_Toc3776"/>
      <w:bookmarkStart w:id="31" w:name="_Toc24868"/>
      <w:bookmarkStart w:id="32" w:name="_Toc13456"/>
      <w:bookmarkStart w:id="33" w:name="_Toc21944"/>
      <w:bookmarkStart w:id="34" w:name="_Toc4456"/>
      <w:bookmarkStart w:id="35" w:name="_Toc132"/>
      <w:bookmarkStart w:id="36" w:name="_Toc23650"/>
      <w:bookmarkStart w:id="37" w:name="_Toc11519"/>
      <w:bookmarkStart w:id="38" w:name="_Toc31083"/>
      <w:r>
        <w:rPr>
          <w:rFonts w:hint="eastAsia" w:hAnsi="宋体" w:cs="宋体"/>
          <w:b/>
          <w:bCs/>
          <w:color w:val="auto"/>
          <w:sz w:val="30"/>
          <w:szCs w:val="30"/>
          <w:lang w:eastAsia="zh-CN"/>
        </w:rPr>
        <w:t>招标</w:t>
      </w:r>
      <w:r>
        <w:rPr>
          <w:rFonts w:hint="eastAsia" w:ascii="宋体" w:hAnsi="宋体" w:eastAsia="宋体" w:cs="宋体"/>
          <w:b/>
          <w:bCs/>
          <w:color w:val="auto"/>
          <w:sz w:val="30"/>
          <w:szCs w:val="30"/>
          <w:lang w:eastAsia="zh-CN"/>
        </w:rPr>
        <w:t>编号：</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Start w:id="39" w:name="_Toc32596"/>
      <w:bookmarkStart w:id="40" w:name="_Toc224"/>
      <w:bookmarkStart w:id="41" w:name="_Toc3375"/>
      <w:bookmarkStart w:id="42" w:name="_Toc26248"/>
      <w:r>
        <w:rPr>
          <w:rFonts w:hint="eastAsia" w:hAnsi="宋体" w:cs="宋体"/>
          <w:b/>
          <w:bCs/>
          <w:color w:val="auto"/>
          <w:sz w:val="30"/>
          <w:szCs w:val="30"/>
          <w:lang w:eastAsia="zh-CN"/>
        </w:rPr>
        <w:t>2025-ZYCG-33</w:t>
      </w:r>
      <w:bookmarkEnd w:id="38"/>
    </w:p>
    <w:p w14:paraId="38A4C098">
      <w:pPr>
        <w:pStyle w:val="17"/>
        <w:spacing w:line="360" w:lineRule="auto"/>
        <w:jc w:val="center"/>
        <w:outlineLvl w:val="0"/>
        <w:rPr>
          <w:rFonts w:hint="eastAsia" w:asciiTheme="majorEastAsia" w:hAnsiTheme="majorEastAsia" w:eastAsiaTheme="majorEastAsia"/>
          <w:b/>
          <w:bCs/>
          <w:color w:val="auto"/>
          <w:sz w:val="32"/>
          <w:szCs w:val="32"/>
          <w:highlight w:val="none"/>
        </w:rPr>
      </w:pPr>
      <w:bookmarkStart w:id="43" w:name="_Toc19383"/>
      <w:bookmarkStart w:id="44" w:name="_Toc11894"/>
      <w:r>
        <w:rPr>
          <w:rFonts w:hint="eastAsia" w:asciiTheme="majorEastAsia" w:hAnsiTheme="majorEastAsia" w:eastAsiaTheme="majorEastAsia"/>
          <w:b/>
          <w:bCs/>
          <w:color w:val="auto"/>
          <w:sz w:val="32"/>
          <w:szCs w:val="32"/>
          <w:highlight w:val="none"/>
        </w:rPr>
        <w:t>（政采云项目编号：</w:t>
      </w:r>
      <w:r>
        <w:rPr>
          <w:rFonts w:hint="eastAsia" w:asciiTheme="majorEastAsia" w:hAnsiTheme="majorEastAsia" w:eastAsiaTheme="majorEastAsia"/>
          <w:b/>
          <w:bCs/>
          <w:color w:val="auto"/>
          <w:sz w:val="32"/>
          <w:szCs w:val="32"/>
          <w:highlight w:val="none"/>
          <w:lang w:eastAsia="zh-CN"/>
        </w:rPr>
        <w:t>PEZC2025-C2-01363-PESP-0124</w:t>
      </w:r>
      <w:r>
        <w:rPr>
          <w:rFonts w:hint="eastAsia" w:asciiTheme="majorEastAsia" w:hAnsiTheme="majorEastAsia" w:eastAsiaTheme="majorEastAsia"/>
          <w:b/>
          <w:bCs/>
          <w:color w:val="auto"/>
          <w:sz w:val="32"/>
          <w:szCs w:val="32"/>
          <w:highlight w:val="none"/>
        </w:rPr>
        <w:t>）</w:t>
      </w:r>
      <w:bookmarkEnd w:id="39"/>
      <w:bookmarkEnd w:id="40"/>
      <w:bookmarkEnd w:id="41"/>
      <w:bookmarkEnd w:id="42"/>
      <w:bookmarkEnd w:id="43"/>
      <w:bookmarkEnd w:id="44"/>
    </w:p>
    <w:p w14:paraId="10942E92">
      <w:pPr>
        <w:pStyle w:val="8"/>
        <w:spacing w:beforeLines="0"/>
        <w:ind w:firstLine="0" w:firstLineChars="0"/>
        <w:jc w:val="center"/>
        <w:rPr>
          <w:rFonts w:hint="eastAsia" w:ascii="宋体" w:hAnsi="宋体" w:eastAsia="宋体" w:cs="宋体"/>
          <w:b/>
          <w:bCs/>
          <w:color w:val="auto"/>
          <w:sz w:val="30"/>
          <w:szCs w:val="30"/>
          <w:highlight w:val="yellow"/>
          <w:lang w:eastAsia="zh-CN"/>
        </w:rPr>
      </w:pPr>
    </w:p>
    <w:p w14:paraId="78FEBC37">
      <w:pPr>
        <w:pStyle w:val="12"/>
        <w:rPr>
          <w:rFonts w:hint="eastAsia" w:ascii="宋体" w:hAnsi="宋体" w:eastAsia="宋体" w:cs="宋体"/>
          <w:color w:val="auto"/>
          <w:sz w:val="44"/>
          <w:shd w:val="clear" w:color="auto" w:fill="FFFFFF"/>
          <w:lang w:eastAsia="zh-CN"/>
        </w:rPr>
      </w:pPr>
    </w:p>
    <w:p w14:paraId="648227F8">
      <w:pPr>
        <w:rPr>
          <w:rFonts w:hint="eastAsia" w:ascii="宋体" w:hAnsi="宋体" w:eastAsia="宋体" w:cs="宋体"/>
          <w:color w:val="auto"/>
          <w:sz w:val="44"/>
          <w:shd w:val="clear" w:color="auto" w:fill="FFFFFF"/>
          <w:lang w:eastAsia="zh-CN"/>
        </w:rPr>
      </w:pPr>
    </w:p>
    <w:p w14:paraId="2FC65B65">
      <w:pPr>
        <w:spacing w:line="480" w:lineRule="auto"/>
        <w:rPr>
          <w:rFonts w:hint="eastAsia" w:ascii="宋体" w:hAnsi="宋体" w:eastAsia="宋体" w:cs="宋体"/>
          <w:color w:val="auto"/>
          <w:sz w:val="28"/>
          <w:shd w:val="clear" w:color="auto" w:fill="FFFFFF"/>
          <w:lang w:eastAsia="zh-CN"/>
        </w:rPr>
      </w:pPr>
    </w:p>
    <w:p w14:paraId="58DD53B3">
      <w:pPr>
        <w:spacing w:line="480" w:lineRule="auto"/>
        <w:ind w:firstLine="440" w:firstLineChars="200"/>
        <w:rPr>
          <w:rFonts w:hint="eastAsia" w:ascii="宋体" w:hAnsi="宋体" w:eastAsia="宋体" w:cs="宋体"/>
          <w:color w:val="auto"/>
          <w:sz w:val="30"/>
          <w:szCs w:val="30"/>
          <w:shd w:val="clear" w:color="auto" w:fill="FFFFFF"/>
          <w:lang w:eastAsia="zh-CN"/>
        </w:rPr>
      </w:pPr>
      <w:r>
        <w:rPr>
          <w:rFonts w:hint="eastAsia" w:ascii="宋体" w:hAnsi="宋体" w:eastAsia="宋体" w:cs="宋体"/>
          <w:color w:val="auto"/>
          <w:lang w:eastAsia="zh-CN"/>
        </w:rPr>
        <w:drawing>
          <wp:anchor distT="0" distB="0" distL="114300" distR="114300" simplePos="0" relativeHeight="251659264" behindDoc="0" locked="0" layoutInCell="1" allowOverlap="1">
            <wp:simplePos x="0" y="0"/>
            <wp:positionH relativeFrom="column">
              <wp:posOffset>4731385</wp:posOffset>
            </wp:positionH>
            <wp:positionV relativeFrom="paragraph">
              <wp:posOffset>4208780</wp:posOffset>
            </wp:positionV>
            <wp:extent cx="1595120" cy="1561465"/>
            <wp:effectExtent l="0" t="0" r="635" b="5080"/>
            <wp:wrapNone/>
            <wp:docPr id="3" name="图片 1" descr="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章"/>
                    <pic:cNvPicPr>
                      <a:picLocks noChangeAspect="1"/>
                    </pic:cNvPicPr>
                  </pic:nvPicPr>
                  <pic:blipFill>
                    <a:blip r:embed="rId9"/>
                    <a:srcRect l="40065" t="52252" r="39090" b="33322"/>
                    <a:stretch>
                      <a:fillRect/>
                    </a:stretch>
                  </pic:blipFill>
                  <pic:spPr>
                    <a:xfrm rot="-5400000">
                      <a:off x="0" y="0"/>
                      <a:ext cx="1595120" cy="1561465"/>
                    </a:xfrm>
                    <a:prstGeom prst="rect">
                      <a:avLst/>
                    </a:prstGeom>
                    <a:noFill/>
                    <a:ln>
                      <a:noFill/>
                    </a:ln>
                  </pic:spPr>
                </pic:pic>
              </a:graphicData>
            </a:graphic>
          </wp:anchor>
        </w:drawing>
      </w:r>
    </w:p>
    <w:p w14:paraId="29D6EC77">
      <w:pPr>
        <w:adjustRightInd w:val="0"/>
        <w:snapToGrid w:val="0"/>
        <w:spacing w:line="360" w:lineRule="auto"/>
        <w:jc w:val="center"/>
        <w:outlineLvl w:val="0"/>
        <w:rPr>
          <w:rFonts w:hint="eastAsia" w:ascii="宋体" w:hAnsi="宋体" w:eastAsia="宋体" w:cs="宋体"/>
          <w:b/>
          <w:bCs/>
          <w:color w:val="auto"/>
          <w:sz w:val="30"/>
          <w:szCs w:val="30"/>
          <w:shd w:val="clear" w:color="auto" w:fill="FFFFFF"/>
          <w:lang w:eastAsia="zh-CN"/>
        </w:rPr>
      </w:pPr>
      <w:bookmarkStart w:id="45" w:name="_Toc24964"/>
      <w:bookmarkStart w:id="46" w:name="_Toc13689"/>
      <w:bookmarkStart w:id="47" w:name="_Toc22591"/>
      <w:bookmarkStart w:id="48" w:name="_Toc19691"/>
      <w:bookmarkStart w:id="49" w:name="_Toc30289"/>
      <w:bookmarkStart w:id="50" w:name="_Toc27958"/>
      <w:bookmarkStart w:id="51" w:name="_Toc5275"/>
      <w:bookmarkStart w:id="52" w:name="_Toc4282"/>
      <w:bookmarkStart w:id="53" w:name="_Toc987"/>
      <w:bookmarkStart w:id="54" w:name="_Toc1759"/>
      <w:bookmarkStart w:id="55" w:name="_Toc16815"/>
      <w:bookmarkStart w:id="56" w:name="_Toc26470"/>
      <w:bookmarkStart w:id="57" w:name="_Toc18569"/>
      <w:bookmarkStart w:id="58" w:name="_Toc11172"/>
      <w:bookmarkStart w:id="59" w:name="_Toc429"/>
      <w:bookmarkStart w:id="60" w:name="_Toc29504"/>
      <w:bookmarkStart w:id="61" w:name="_Toc27709"/>
      <w:r>
        <w:rPr>
          <w:rFonts w:hint="eastAsia" w:ascii="宋体" w:hAnsi="宋体" w:eastAsia="宋体" w:cs="宋体"/>
          <w:b/>
          <w:bCs/>
          <w:color w:val="auto"/>
          <w:sz w:val="30"/>
          <w:szCs w:val="30"/>
          <w:shd w:val="clear" w:color="auto" w:fill="FFFFFF"/>
          <w:lang w:eastAsia="zh-CN"/>
        </w:rPr>
        <w:t>采购人：</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rFonts w:hint="eastAsia" w:cs="宋体"/>
          <w:b/>
          <w:bCs/>
          <w:color w:val="auto"/>
          <w:sz w:val="30"/>
          <w:szCs w:val="30"/>
          <w:shd w:val="clear" w:color="auto" w:fill="FFFFFF"/>
          <w:lang w:eastAsia="zh-CN"/>
        </w:rPr>
        <w:t>镇沅彝族哈尼族拉祜族自治县古城镇人民政府</w:t>
      </w:r>
      <w:bookmarkEnd w:id="61"/>
    </w:p>
    <w:p w14:paraId="14366B39">
      <w:pPr>
        <w:adjustRightInd w:val="0"/>
        <w:snapToGrid w:val="0"/>
        <w:spacing w:line="360" w:lineRule="auto"/>
        <w:jc w:val="center"/>
        <w:rPr>
          <w:rFonts w:hint="eastAsia" w:ascii="宋体" w:hAnsi="宋体" w:eastAsia="宋体" w:cs="宋体"/>
          <w:b/>
          <w:bCs/>
          <w:color w:val="auto"/>
          <w:sz w:val="30"/>
          <w:szCs w:val="30"/>
          <w:shd w:val="clear" w:color="auto" w:fill="FFFFFF"/>
          <w:lang w:eastAsia="zh-CN"/>
        </w:rPr>
      </w:pPr>
      <w:r>
        <w:rPr>
          <w:rFonts w:hint="eastAsia" w:ascii="宋体" w:hAnsi="宋体" w:eastAsia="宋体" w:cs="宋体"/>
          <w:b/>
          <w:bCs/>
          <w:color w:val="auto"/>
          <w:sz w:val="30"/>
          <w:szCs w:val="30"/>
          <w:shd w:val="clear" w:color="auto" w:fill="FFFFFF"/>
          <w:lang w:eastAsia="zh-CN"/>
        </w:rPr>
        <w:t>采购代理机构：普洱市普平工程招标有限责任公司</w:t>
      </w:r>
    </w:p>
    <w:p w14:paraId="1900BEC1">
      <w:pPr>
        <w:adjustRightInd w:val="0"/>
        <w:snapToGrid w:val="0"/>
        <w:spacing w:line="360" w:lineRule="auto"/>
        <w:ind w:firstLine="4216" w:firstLineChars="1400"/>
        <w:outlineLvl w:val="0"/>
        <w:rPr>
          <w:rFonts w:hint="eastAsia" w:ascii="宋体" w:hAnsi="宋体" w:eastAsia="宋体" w:cs="宋体"/>
          <w:b/>
          <w:bCs/>
          <w:color w:val="auto"/>
          <w:sz w:val="30"/>
          <w:szCs w:val="30"/>
          <w:shd w:val="clear" w:color="auto" w:fill="FFFFFF"/>
          <w:lang w:eastAsia="zh-CN"/>
        </w:rPr>
        <w:sectPr>
          <w:footerReference r:id="rId3" w:type="default"/>
          <w:pgSz w:w="11850" w:h="16783"/>
          <w:pgMar w:top="1440" w:right="1797" w:bottom="1440" w:left="1797" w:header="851" w:footer="720" w:gutter="0"/>
          <w:pgNumType w:start="1"/>
          <w:cols w:space="720" w:num="1"/>
          <w:docGrid w:linePitch="299" w:charSpace="0"/>
        </w:sectPr>
      </w:pPr>
      <w:bookmarkStart w:id="62" w:name="_Toc2565"/>
      <w:bookmarkStart w:id="63" w:name="_Toc4796"/>
      <w:bookmarkStart w:id="64" w:name="_Toc32337"/>
      <w:bookmarkStart w:id="65" w:name="_Toc23853"/>
      <w:bookmarkStart w:id="66" w:name="_Toc9474"/>
      <w:bookmarkStart w:id="67" w:name="_Toc12800"/>
      <w:bookmarkStart w:id="68" w:name="_Toc9110"/>
      <w:bookmarkStart w:id="69" w:name="_Toc26780"/>
      <w:bookmarkStart w:id="70" w:name="_Toc25248"/>
      <w:bookmarkStart w:id="71" w:name="_Toc29986"/>
      <w:bookmarkStart w:id="72" w:name="_Toc24629"/>
      <w:bookmarkStart w:id="73" w:name="_Toc9191"/>
      <w:bookmarkStart w:id="74" w:name="_Toc1601"/>
      <w:bookmarkStart w:id="75" w:name="_Toc25441"/>
      <w:bookmarkStart w:id="76" w:name="_Toc7816"/>
      <w:bookmarkStart w:id="77" w:name="_Toc25382"/>
      <w:bookmarkStart w:id="78" w:name="_Toc21099"/>
      <w:r>
        <w:rPr>
          <w:rFonts w:hint="eastAsia" w:ascii="宋体" w:hAnsi="宋体" w:eastAsia="宋体" w:cs="宋体"/>
          <w:b/>
          <w:bCs/>
          <w:color w:val="auto"/>
          <w:sz w:val="30"/>
          <w:szCs w:val="30"/>
          <w:shd w:val="clear" w:color="auto" w:fill="FFFFFF"/>
          <w:lang w:eastAsia="zh-CN"/>
        </w:rPr>
        <w:t>日期：二〇二</w:t>
      </w:r>
      <w:r>
        <w:rPr>
          <w:rFonts w:hint="eastAsia" w:cs="宋体"/>
          <w:b/>
          <w:bCs/>
          <w:color w:val="auto"/>
          <w:sz w:val="30"/>
          <w:szCs w:val="30"/>
          <w:shd w:val="clear" w:color="auto" w:fill="FFFFFF"/>
          <w:lang w:val="en-US" w:eastAsia="zh-CN"/>
        </w:rPr>
        <w:t>五</w:t>
      </w:r>
      <w:r>
        <w:rPr>
          <w:rFonts w:hint="eastAsia" w:ascii="宋体" w:hAnsi="宋体" w:eastAsia="宋体" w:cs="宋体"/>
          <w:b/>
          <w:bCs/>
          <w:color w:val="auto"/>
          <w:sz w:val="30"/>
          <w:szCs w:val="30"/>
          <w:shd w:val="clear" w:color="auto" w:fill="FFFFFF"/>
          <w:lang w:eastAsia="zh-CN"/>
        </w:rPr>
        <w:t>年</w:t>
      </w:r>
      <w:r>
        <w:rPr>
          <w:rFonts w:hint="eastAsia" w:cs="宋体"/>
          <w:b/>
          <w:bCs/>
          <w:color w:val="auto"/>
          <w:sz w:val="30"/>
          <w:szCs w:val="30"/>
          <w:shd w:val="clear" w:color="auto" w:fill="FFFFFF"/>
          <w:lang w:val="en-US" w:eastAsia="zh-CN"/>
        </w:rPr>
        <w:t>十</w:t>
      </w:r>
      <w:r>
        <w:rPr>
          <w:rFonts w:hint="eastAsia" w:ascii="宋体" w:hAnsi="宋体" w:eastAsia="宋体" w:cs="宋体"/>
          <w:b/>
          <w:bCs/>
          <w:color w:val="auto"/>
          <w:sz w:val="30"/>
          <w:szCs w:val="30"/>
          <w:shd w:val="clear" w:color="auto" w:fill="FFFFFF"/>
          <w:lang w:eastAsia="zh-CN"/>
        </w:rPr>
        <w:t>月</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5594568F">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目</w:t>
      </w:r>
      <w:r>
        <w:rPr>
          <w:rFonts w:hint="eastAsia" w:cs="宋体"/>
          <w:b/>
          <w:bCs/>
          <w:color w:val="auto"/>
          <w:sz w:val="36"/>
          <w:szCs w:val="36"/>
          <w:lang w:val="en-US" w:eastAsia="zh-CN"/>
        </w:rPr>
        <w:t xml:space="preserve">  </w:t>
      </w:r>
      <w:r>
        <w:rPr>
          <w:rFonts w:hint="eastAsia" w:ascii="宋体" w:hAnsi="宋体" w:eastAsia="宋体" w:cs="宋体"/>
          <w:b/>
          <w:bCs/>
          <w:color w:val="auto"/>
          <w:sz w:val="36"/>
          <w:szCs w:val="36"/>
        </w:rPr>
        <w:t>录</w:t>
      </w:r>
      <w:bookmarkStart w:id="79" w:name="_Toc12221"/>
      <w:bookmarkStart w:id="80" w:name="_Toc24563"/>
    </w:p>
    <w:p w14:paraId="7E46D15C">
      <w:pPr>
        <w:pStyle w:val="23"/>
        <w:tabs>
          <w:tab w:val="right" w:leader="dot" w:pos="9240"/>
        </w:tabs>
        <w:rPr>
          <w:sz w:val="21"/>
          <w:szCs w:val="21"/>
        </w:rPr>
      </w:pPr>
      <w:r>
        <w:rPr>
          <w:rFonts w:hint="eastAsia" w:ascii="宋体" w:hAnsi="宋体" w:eastAsia="宋体" w:cs="宋体"/>
          <w:b/>
          <w:bCs/>
          <w:color w:val="auto"/>
          <w:sz w:val="21"/>
          <w:szCs w:val="21"/>
          <w:lang w:eastAsia="zh-CN"/>
        </w:rPr>
        <w:fldChar w:fldCharType="begin"/>
      </w:r>
      <w:r>
        <w:rPr>
          <w:rFonts w:hint="eastAsia" w:ascii="宋体" w:hAnsi="宋体" w:eastAsia="宋体" w:cs="宋体"/>
          <w:b/>
          <w:bCs/>
          <w:color w:val="auto"/>
          <w:sz w:val="21"/>
          <w:szCs w:val="21"/>
          <w:lang w:eastAsia="zh-CN"/>
        </w:rPr>
        <w:instrText xml:space="preserve">TOC \o "1-2" \h \u </w:instrText>
      </w:r>
      <w:r>
        <w:rPr>
          <w:rFonts w:hint="eastAsia" w:ascii="宋体" w:hAnsi="宋体" w:eastAsia="宋体" w:cs="宋体"/>
          <w:b/>
          <w:bCs/>
          <w:color w:val="auto"/>
          <w:sz w:val="21"/>
          <w:szCs w:val="21"/>
          <w:lang w:eastAsia="zh-CN"/>
        </w:rPr>
        <w:fldChar w:fldCharType="separate"/>
      </w:r>
    </w:p>
    <w:p w14:paraId="4B916AF2">
      <w:pPr>
        <w:pStyle w:val="23"/>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_Toc22269 </w:instrText>
      </w:r>
      <w:r>
        <w:rPr>
          <w:rFonts w:hint="eastAsia" w:ascii="宋体" w:hAnsi="宋体" w:eastAsia="宋体" w:cs="宋体"/>
          <w:bCs/>
          <w:sz w:val="21"/>
          <w:szCs w:val="21"/>
          <w:lang w:eastAsia="zh-CN"/>
        </w:rPr>
        <w:fldChar w:fldCharType="separate"/>
      </w:r>
      <w:r>
        <w:rPr>
          <w:rFonts w:hint="eastAsia" w:ascii="宋体" w:hAnsi="宋体" w:eastAsia="宋体" w:cs="宋体"/>
          <w:sz w:val="21"/>
          <w:szCs w:val="21"/>
          <w:lang w:eastAsia="zh-CN"/>
        </w:rPr>
        <w:t>第一章 竞争性磋商公告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_Toc22269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2A0D6761">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_Toc29118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eastAsia="zh-CN"/>
        </w:rPr>
        <w:t>一、项目基本情况</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_Toc29118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1D1D142">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_Toc32424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eastAsia="zh-CN"/>
        </w:rPr>
        <w:t>二、供应商</w:t>
      </w:r>
      <w:r>
        <w:rPr>
          <w:rFonts w:hint="eastAsia" w:ascii="宋体" w:hAnsi="宋体" w:eastAsia="宋体" w:cs="宋体"/>
          <w:sz w:val="21"/>
          <w:szCs w:val="21"/>
          <w:lang w:eastAsia="zh-CN"/>
        </w:rPr>
        <w:t>的资格要求：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_Toc32424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26A65989">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_Toc18073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eastAsia="zh-CN"/>
        </w:rPr>
        <w:t>三、获取</w:t>
      </w:r>
      <w:r>
        <w:rPr>
          <w:rFonts w:hint="eastAsia" w:ascii="宋体" w:hAnsi="宋体" w:eastAsia="宋体" w:cs="宋体"/>
          <w:bCs/>
          <w:sz w:val="21"/>
          <w:szCs w:val="21"/>
          <w:lang w:val="zh-CN" w:eastAsia="zh-CN"/>
        </w:rPr>
        <w:t>采购文件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_Toc18073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5D6753D8">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_Toc20527 </w:instrText>
      </w:r>
      <w:r>
        <w:rPr>
          <w:rFonts w:hint="eastAsia" w:ascii="宋体" w:hAnsi="宋体" w:eastAsia="宋体" w:cs="宋体"/>
          <w:bCs/>
          <w:sz w:val="21"/>
          <w:szCs w:val="21"/>
          <w:lang w:eastAsia="zh-CN"/>
        </w:rPr>
        <w:fldChar w:fldCharType="separate"/>
      </w:r>
      <w:r>
        <w:rPr>
          <w:rFonts w:hint="eastAsia" w:ascii="宋体" w:hAnsi="宋体" w:eastAsia="宋体" w:cs="宋体"/>
          <w:sz w:val="21"/>
          <w:szCs w:val="21"/>
          <w:lang w:val="zh-CN" w:eastAsia="zh-CN"/>
        </w:rPr>
        <w:t>四、响应文件提交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_Toc20527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2C2D4CF5">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_Toc18140 </w:instrText>
      </w:r>
      <w:r>
        <w:rPr>
          <w:rFonts w:hint="eastAsia" w:ascii="宋体" w:hAnsi="宋体" w:eastAsia="宋体" w:cs="宋体"/>
          <w:bCs/>
          <w:sz w:val="21"/>
          <w:szCs w:val="21"/>
          <w:lang w:eastAsia="zh-CN"/>
        </w:rPr>
        <w:fldChar w:fldCharType="separate"/>
      </w:r>
      <w:r>
        <w:rPr>
          <w:rFonts w:hint="eastAsia" w:ascii="宋体" w:hAnsi="宋体" w:eastAsia="宋体" w:cs="宋体"/>
          <w:sz w:val="21"/>
          <w:szCs w:val="21"/>
          <w:lang w:val="zh-CN" w:eastAsia="zh-CN"/>
        </w:rPr>
        <w:t>五、开启</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_Toc18140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098A7CB7">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_Toc16753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zh-CN" w:eastAsia="zh-CN"/>
        </w:rPr>
        <w:t>六、公告期限</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_Toc16753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721FA37C">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_Toc11025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zh-CN" w:eastAsia="zh-CN"/>
        </w:rPr>
        <w:t>七、其他补充事宜：</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_Toc11025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25563AA3">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_Toc17034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zh-CN" w:eastAsia="zh-CN"/>
        </w:rPr>
        <w:t>八、对本次采购提出询问，请按以下方式联系。</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_Toc17034 \h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5D321CA6">
      <w:pPr>
        <w:pStyle w:val="23"/>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_Toc7622 </w:instrText>
      </w:r>
      <w:r>
        <w:rPr>
          <w:rFonts w:hint="eastAsia" w:ascii="宋体" w:hAnsi="宋体" w:eastAsia="宋体" w:cs="宋体"/>
          <w:bCs/>
          <w:sz w:val="21"/>
          <w:szCs w:val="21"/>
          <w:lang w:eastAsia="zh-CN"/>
        </w:rPr>
        <w:fldChar w:fldCharType="separate"/>
      </w:r>
      <w:r>
        <w:rPr>
          <w:rFonts w:hint="eastAsia" w:ascii="宋体" w:hAnsi="宋体" w:eastAsia="宋体" w:cs="宋体"/>
          <w:sz w:val="21"/>
          <w:szCs w:val="21"/>
          <w:lang w:eastAsia="zh-CN"/>
        </w:rPr>
        <w:t>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_Toc7622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06AE643E">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_Toc23177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一</w:t>
      </w:r>
      <w:r>
        <w:rPr>
          <w:rFonts w:hint="eastAsia" w:ascii="宋体" w:hAnsi="宋体" w:eastAsia="宋体" w:cs="宋体"/>
          <w:bCs/>
          <w:sz w:val="21"/>
          <w:szCs w:val="21"/>
          <w:lang w:eastAsia="zh-CN"/>
        </w:rPr>
        <w:t>、</w:t>
      </w:r>
      <w:r>
        <w:rPr>
          <w:rFonts w:hint="eastAsia" w:ascii="宋体" w:hAnsi="宋体" w:eastAsia="宋体" w:cs="宋体"/>
          <w:bCs/>
          <w:sz w:val="21"/>
          <w:szCs w:val="21"/>
        </w:rPr>
        <w:t>说</w:t>
      </w:r>
      <w:r>
        <w:rPr>
          <w:rFonts w:hint="eastAsia" w:ascii="宋体" w:hAnsi="宋体" w:eastAsia="宋体" w:cs="宋体"/>
          <w:bCs/>
          <w:spacing w:val="-18"/>
          <w:sz w:val="21"/>
          <w:szCs w:val="21"/>
        </w:rPr>
        <w:t>明</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_Toc23177 \h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512C5813">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_Toc10653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二</w:t>
      </w:r>
      <w:r>
        <w:rPr>
          <w:rFonts w:hint="eastAsia" w:ascii="宋体" w:hAnsi="宋体" w:eastAsia="宋体" w:cs="宋体"/>
          <w:bCs/>
          <w:sz w:val="21"/>
          <w:szCs w:val="21"/>
          <w:lang w:eastAsia="zh-CN"/>
        </w:rPr>
        <w:t>、</w:t>
      </w:r>
      <w:r>
        <w:rPr>
          <w:rFonts w:hint="eastAsia" w:ascii="宋体" w:hAnsi="宋体" w:eastAsia="宋体" w:cs="宋体"/>
          <w:bCs/>
          <w:sz w:val="21"/>
          <w:szCs w:val="21"/>
        </w:rPr>
        <w:t>竞争性磋商文件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_Toc10653 \h </w:instrText>
      </w:r>
      <w:r>
        <w:rPr>
          <w:rFonts w:hint="eastAsia" w:ascii="宋体" w:hAnsi="宋体" w:eastAsia="宋体" w:cs="宋体"/>
          <w:sz w:val="21"/>
          <w:szCs w:val="21"/>
        </w:rPr>
        <w:fldChar w:fldCharType="separate"/>
      </w:r>
      <w:r>
        <w:rPr>
          <w:rFonts w:hint="eastAsia" w:ascii="宋体" w:hAnsi="宋体" w:eastAsia="宋体" w:cs="宋体"/>
          <w:sz w:val="21"/>
          <w:szCs w:val="21"/>
        </w:rPr>
        <w:t>13</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3B500ABD">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_Toc14682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三</w:t>
      </w:r>
      <w:r>
        <w:rPr>
          <w:rFonts w:hint="eastAsia" w:ascii="宋体" w:hAnsi="宋体" w:eastAsia="宋体" w:cs="宋体"/>
          <w:bCs/>
          <w:sz w:val="21"/>
          <w:szCs w:val="21"/>
          <w:lang w:eastAsia="zh-CN"/>
        </w:rPr>
        <w:t>、</w:t>
      </w:r>
      <w:r>
        <w:rPr>
          <w:rFonts w:hint="eastAsia" w:ascii="宋体" w:hAnsi="宋体" w:eastAsia="宋体" w:cs="宋体"/>
          <w:bCs/>
          <w:sz w:val="21"/>
          <w:szCs w:val="21"/>
        </w:rPr>
        <w:t>响应文件的编制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_Toc14682 \h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043BAECD">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_Toc12834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四</w:t>
      </w:r>
      <w:r>
        <w:rPr>
          <w:rFonts w:hint="eastAsia" w:ascii="宋体" w:hAnsi="宋体" w:eastAsia="宋体" w:cs="宋体"/>
          <w:bCs/>
          <w:sz w:val="21"/>
          <w:szCs w:val="21"/>
          <w:lang w:eastAsia="zh-CN"/>
        </w:rPr>
        <w:t>、</w:t>
      </w:r>
      <w:r>
        <w:rPr>
          <w:rFonts w:hint="eastAsia" w:ascii="宋体" w:hAnsi="宋体" w:eastAsia="宋体" w:cs="宋体"/>
          <w:bCs/>
          <w:sz w:val="21"/>
          <w:szCs w:val="21"/>
        </w:rPr>
        <w:t>响应文件的提交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_Toc12834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AD97066">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_Toc13053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五</w:t>
      </w:r>
      <w:r>
        <w:rPr>
          <w:rFonts w:hint="eastAsia" w:ascii="宋体" w:hAnsi="宋体" w:eastAsia="宋体" w:cs="宋体"/>
          <w:bCs/>
          <w:sz w:val="21"/>
          <w:szCs w:val="21"/>
          <w:lang w:eastAsia="zh-CN"/>
        </w:rPr>
        <w:t>、</w:t>
      </w:r>
      <w:r>
        <w:rPr>
          <w:rFonts w:hint="eastAsia" w:ascii="宋体" w:hAnsi="宋体" w:eastAsia="宋体" w:cs="宋体"/>
          <w:bCs/>
          <w:sz w:val="21"/>
          <w:szCs w:val="21"/>
        </w:rPr>
        <w:t>评审</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_Toc13053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4A7352E7">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_Toc1349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六</w:t>
      </w:r>
      <w:r>
        <w:rPr>
          <w:rFonts w:hint="eastAsia" w:ascii="宋体" w:hAnsi="宋体" w:eastAsia="宋体" w:cs="宋体"/>
          <w:bCs/>
          <w:sz w:val="21"/>
          <w:szCs w:val="21"/>
          <w:lang w:eastAsia="zh-CN"/>
        </w:rPr>
        <w:t>、</w:t>
      </w:r>
      <w:r>
        <w:rPr>
          <w:rFonts w:hint="eastAsia" w:ascii="宋体" w:hAnsi="宋体" w:eastAsia="宋体" w:cs="宋体"/>
          <w:bCs/>
          <w:sz w:val="21"/>
          <w:szCs w:val="21"/>
        </w:rPr>
        <w:t>确定成交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_Toc1349 \h </w:instrText>
      </w:r>
      <w:r>
        <w:rPr>
          <w:rFonts w:hint="eastAsia" w:ascii="宋体" w:hAnsi="宋体" w:eastAsia="宋体" w:cs="宋体"/>
          <w:sz w:val="21"/>
          <w:szCs w:val="21"/>
        </w:rPr>
        <w:fldChar w:fldCharType="separate"/>
      </w:r>
      <w:r>
        <w:rPr>
          <w:rFonts w:hint="eastAsia" w:ascii="宋体" w:hAnsi="宋体" w:eastAsia="宋体" w:cs="宋体"/>
          <w:sz w:val="21"/>
          <w:szCs w:val="21"/>
        </w:rPr>
        <w:t>17</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6EAD652">
      <w:pPr>
        <w:pStyle w:val="23"/>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_Toc3223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eastAsia="zh-CN"/>
        </w:rPr>
        <w:t>第三章</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评审方法和评审标准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_Toc3223 \h </w:instrText>
      </w:r>
      <w:r>
        <w:rPr>
          <w:rFonts w:hint="eastAsia" w:ascii="宋体" w:hAnsi="宋体" w:eastAsia="宋体" w:cs="宋体"/>
          <w:sz w:val="21"/>
          <w:szCs w:val="21"/>
        </w:rPr>
        <w:fldChar w:fldCharType="separate"/>
      </w:r>
      <w:r>
        <w:rPr>
          <w:rFonts w:hint="eastAsia" w:ascii="宋体" w:hAnsi="宋体" w:eastAsia="宋体" w:cs="宋体"/>
          <w:sz w:val="21"/>
          <w:szCs w:val="21"/>
        </w:rPr>
        <w:t>20</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3DF07F10">
      <w:pPr>
        <w:pStyle w:val="23"/>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_Toc17938 </w:instrText>
      </w:r>
      <w:r>
        <w:rPr>
          <w:rFonts w:hint="eastAsia" w:ascii="宋体" w:hAnsi="宋体" w:eastAsia="宋体" w:cs="宋体"/>
          <w:bCs/>
          <w:sz w:val="21"/>
          <w:szCs w:val="21"/>
          <w:lang w:eastAsia="zh-CN"/>
        </w:rPr>
        <w:fldChar w:fldCharType="separate"/>
      </w:r>
      <w:r>
        <w:rPr>
          <w:rFonts w:hint="eastAsia" w:ascii="宋体" w:hAnsi="宋体" w:eastAsia="宋体" w:cs="宋体"/>
          <w:kern w:val="44"/>
          <w:sz w:val="21"/>
          <w:szCs w:val="21"/>
          <w:lang w:val="en-US" w:eastAsia="zh-CN" w:bidi="ar-SA"/>
        </w:rPr>
        <w:t>第四章 采购需求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_Toc17938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7AE2ED34">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_Toc3450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en-US" w:eastAsia="zh-CN"/>
        </w:rPr>
        <w:t>一、项目概况</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_Toc3450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0FDBEF8A">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_Toc29995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en-US" w:eastAsia="zh-CN"/>
        </w:rPr>
        <w:t>二、</w:t>
      </w:r>
      <w:r>
        <w:rPr>
          <w:rFonts w:hint="eastAsia" w:ascii="宋体" w:hAnsi="宋体" w:eastAsia="宋体" w:cs="宋体"/>
          <w:bCs/>
          <w:sz w:val="21"/>
          <w:szCs w:val="21"/>
          <w:lang w:eastAsia="zh-CN"/>
        </w:rPr>
        <w:t>工程内容</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_Toc29995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29EF8A68">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_Toc30733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en-US" w:eastAsia="zh-CN"/>
        </w:rPr>
        <w:t>三、商务要求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_Toc30733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5051924">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_Toc9848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en-US" w:eastAsia="zh-CN"/>
        </w:rPr>
        <w:t>三、技术要求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_Toc9848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FAF83A1">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_Toc1841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en-US" w:eastAsia="zh-CN"/>
        </w:rPr>
        <w:t>四、工程量清单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_Toc1841 \h </w:instrText>
      </w:r>
      <w:r>
        <w:rPr>
          <w:rFonts w:hint="eastAsia" w:ascii="宋体" w:hAnsi="宋体" w:eastAsia="宋体" w:cs="宋体"/>
          <w:sz w:val="21"/>
          <w:szCs w:val="21"/>
        </w:rPr>
        <w:fldChar w:fldCharType="separate"/>
      </w:r>
      <w:r>
        <w:rPr>
          <w:rFonts w:hint="eastAsia" w:ascii="宋体" w:hAnsi="宋体" w:eastAsia="宋体" w:cs="宋体"/>
          <w:sz w:val="21"/>
          <w:szCs w:val="21"/>
        </w:rPr>
        <w:t>27</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49F512E">
      <w:pPr>
        <w:pStyle w:val="27"/>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_Toc11661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lang w:val="en-US" w:eastAsia="zh-CN"/>
        </w:rPr>
        <w:t>五、图纸</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_Toc11661 \h </w:instrText>
      </w:r>
      <w:r>
        <w:rPr>
          <w:rFonts w:hint="eastAsia" w:ascii="宋体" w:hAnsi="宋体" w:eastAsia="宋体" w:cs="宋体"/>
          <w:sz w:val="21"/>
          <w:szCs w:val="21"/>
        </w:rPr>
        <w:fldChar w:fldCharType="separate"/>
      </w:r>
      <w:r>
        <w:rPr>
          <w:rFonts w:hint="eastAsia" w:ascii="宋体" w:hAnsi="宋体" w:eastAsia="宋体" w:cs="宋体"/>
          <w:sz w:val="21"/>
          <w:szCs w:val="21"/>
        </w:rPr>
        <w:t>27</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8897FBE">
      <w:pPr>
        <w:pStyle w:val="23"/>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_Toc31634 </w:instrText>
      </w:r>
      <w:r>
        <w:rPr>
          <w:rFonts w:hint="eastAsia" w:ascii="宋体" w:hAnsi="宋体" w:eastAsia="宋体" w:cs="宋体"/>
          <w:bCs/>
          <w:sz w:val="21"/>
          <w:szCs w:val="21"/>
          <w:lang w:eastAsia="zh-CN"/>
        </w:rPr>
        <w:fldChar w:fldCharType="separate"/>
      </w:r>
      <w:r>
        <w:rPr>
          <w:rFonts w:hint="eastAsia" w:ascii="宋体" w:hAnsi="宋体" w:eastAsia="宋体" w:cs="宋体"/>
          <w:kern w:val="44"/>
          <w:sz w:val="21"/>
          <w:szCs w:val="21"/>
          <w:lang w:val="en-US" w:eastAsia="zh-CN" w:bidi="ar-SA"/>
        </w:rPr>
        <w:t>第五章 合同样式及主要条款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_Toc31634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5B6DA12D">
      <w:pPr>
        <w:pStyle w:val="23"/>
        <w:tabs>
          <w:tab w:val="right" w:leader="dot" w:pos="9240"/>
        </w:tabs>
        <w:rPr>
          <w:rFonts w:hint="eastAsia" w:ascii="宋体" w:hAnsi="宋体" w:eastAsia="宋体" w:cs="宋体"/>
          <w:sz w:val="21"/>
          <w:szCs w:val="21"/>
        </w:rPr>
      </w:pPr>
      <w:r>
        <w:rPr>
          <w:rFonts w:hint="eastAsia" w:ascii="宋体" w:hAnsi="宋体" w:eastAsia="宋体" w:cs="宋体"/>
          <w:bCs/>
          <w:color w:val="auto"/>
          <w:sz w:val="21"/>
          <w:szCs w:val="21"/>
          <w:lang w:eastAsia="zh-CN"/>
        </w:rPr>
        <w:fldChar w:fldCharType="begin"/>
      </w:r>
      <w:r>
        <w:rPr>
          <w:rFonts w:hint="eastAsia" w:ascii="宋体" w:hAnsi="宋体" w:eastAsia="宋体" w:cs="宋体"/>
          <w:bCs/>
          <w:sz w:val="21"/>
          <w:szCs w:val="21"/>
          <w:lang w:eastAsia="zh-CN"/>
        </w:rPr>
        <w:instrText xml:space="preserve"> HYPERLINK \l _Toc15608 </w:instrText>
      </w:r>
      <w:r>
        <w:rPr>
          <w:rFonts w:hint="eastAsia" w:ascii="宋体" w:hAnsi="宋体" w:eastAsia="宋体" w:cs="宋体"/>
          <w:bCs/>
          <w:sz w:val="21"/>
          <w:szCs w:val="21"/>
          <w:lang w:eastAsia="zh-CN"/>
        </w:rPr>
        <w:fldChar w:fldCharType="separate"/>
      </w:r>
      <w:r>
        <w:rPr>
          <w:rFonts w:hint="eastAsia" w:ascii="宋体" w:hAnsi="宋体" w:eastAsia="宋体" w:cs="宋体"/>
          <w:bCs/>
          <w:sz w:val="21"/>
          <w:szCs w:val="21"/>
        </w:rPr>
        <w:t>第六章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_Toc15608 \h </w:instrText>
      </w:r>
      <w:r>
        <w:rPr>
          <w:rFonts w:hint="eastAsia" w:ascii="宋体" w:hAnsi="宋体" w:eastAsia="宋体" w:cs="宋体"/>
          <w:sz w:val="21"/>
          <w:szCs w:val="21"/>
        </w:rPr>
        <w:fldChar w:fldCharType="separate"/>
      </w:r>
      <w:r>
        <w:rPr>
          <w:rFonts w:hint="eastAsia" w:ascii="宋体" w:hAnsi="宋体" w:eastAsia="宋体" w:cs="宋体"/>
          <w:sz w:val="21"/>
          <w:szCs w:val="21"/>
        </w:rPr>
        <w:t>86</w:t>
      </w:r>
      <w:r>
        <w:rPr>
          <w:rFonts w:hint="eastAsia" w:ascii="宋体" w:hAnsi="宋体" w:eastAsia="宋体" w:cs="宋体"/>
          <w:sz w:val="21"/>
          <w:szCs w:val="21"/>
        </w:rPr>
        <w:fldChar w:fldCharType="end"/>
      </w:r>
      <w:r>
        <w:rPr>
          <w:rFonts w:hint="eastAsia" w:ascii="宋体" w:hAnsi="宋体" w:eastAsia="宋体" w:cs="宋体"/>
          <w:bCs/>
          <w:color w:val="auto"/>
          <w:sz w:val="21"/>
          <w:szCs w:val="21"/>
          <w:lang w:eastAsia="zh-CN"/>
        </w:rPr>
        <w:fldChar w:fldCharType="end"/>
      </w:r>
    </w:p>
    <w:p w14:paraId="10C3705C">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21"/>
          <w:szCs w:val="21"/>
          <w:lang w:eastAsia="zh-CN"/>
        </w:rPr>
        <w:sectPr>
          <w:footerReference r:id="rId4" w:type="default"/>
          <w:pgSz w:w="11850" w:h="16783"/>
          <w:pgMar w:top="1304" w:right="1253" w:bottom="1304" w:left="1357" w:header="851" w:footer="861" w:gutter="0"/>
          <w:pgNumType w:start="1"/>
          <w:cols w:space="720" w:num="1"/>
          <w:docGrid w:linePitch="299" w:charSpace="0"/>
        </w:sectPr>
      </w:pPr>
      <w:r>
        <w:rPr>
          <w:rFonts w:hint="eastAsia" w:ascii="宋体" w:hAnsi="宋体" w:eastAsia="宋体" w:cs="宋体"/>
          <w:bCs/>
          <w:color w:val="auto"/>
          <w:sz w:val="21"/>
          <w:szCs w:val="21"/>
          <w:lang w:eastAsia="zh-CN"/>
        </w:rPr>
        <w:fldChar w:fldCharType="end"/>
      </w:r>
      <w:bookmarkStart w:id="1091" w:name="_GoBack"/>
    </w:p>
    <w:bookmarkEnd w:id="1091"/>
    <w:p w14:paraId="11C8840E">
      <w:pPr>
        <w:pStyle w:val="2"/>
        <w:jc w:val="center"/>
        <w:rPr>
          <w:rFonts w:hint="eastAsia" w:ascii="宋体" w:hAnsi="宋体" w:eastAsia="宋体" w:cs="宋体"/>
          <w:color w:val="auto"/>
          <w:sz w:val="36"/>
          <w:szCs w:val="36"/>
          <w:shd w:val="clear" w:color="auto" w:fill="FFFFFF"/>
          <w:lang w:eastAsia="zh-CN"/>
        </w:rPr>
      </w:pPr>
      <w:bookmarkStart w:id="81" w:name="_Toc26557"/>
      <w:bookmarkStart w:id="82" w:name="_Toc28299"/>
      <w:bookmarkStart w:id="83" w:name="_Toc16622_WPSOffice_Level1"/>
      <w:bookmarkStart w:id="84" w:name="_Toc22269"/>
      <w:bookmarkStart w:id="85" w:name="_Toc12160"/>
      <w:r>
        <w:rPr>
          <w:rFonts w:hint="eastAsia" w:ascii="宋体" w:hAnsi="宋体" w:eastAsia="宋体" w:cs="宋体"/>
          <w:color w:val="auto"/>
          <w:sz w:val="36"/>
          <w:szCs w:val="36"/>
          <w:lang w:eastAsia="zh-CN"/>
        </w:rPr>
        <w:t xml:space="preserve">第一章 </w:t>
      </w:r>
      <w:bookmarkEnd w:id="79"/>
      <w:bookmarkStart w:id="86" w:name="_bookmark9"/>
      <w:bookmarkEnd w:id="86"/>
      <w:bookmarkStart w:id="87" w:name="_bookmark18"/>
      <w:bookmarkEnd w:id="87"/>
      <w:bookmarkStart w:id="88" w:name="_Toc518560874"/>
      <w:bookmarkStart w:id="89" w:name="_Toc520578600"/>
      <w:r>
        <w:rPr>
          <w:rFonts w:hint="eastAsia" w:ascii="宋体" w:hAnsi="宋体" w:eastAsia="宋体" w:cs="宋体"/>
          <w:color w:val="auto"/>
          <w:sz w:val="36"/>
          <w:szCs w:val="36"/>
          <w:lang w:eastAsia="zh-CN"/>
        </w:rPr>
        <w:t>竞争性磋商公告</w:t>
      </w:r>
      <w:bookmarkEnd w:id="80"/>
      <w:bookmarkEnd w:id="81"/>
      <w:bookmarkEnd w:id="82"/>
      <w:bookmarkEnd w:id="83"/>
      <w:bookmarkEnd w:id="84"/>
      <w:bookmarkEnd w:id="85"/>
      <w:bookmarkEnd w:id="88"/>
      <w:bookmarkEnd w:id="89"/>
    </w:p>
    <w:tbl>
      <w:tblPr>
        <w:tblStyle w:val="33"/>
        <w:tblW w:w="965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1"/>
      </w:tblGrid>
      <w:tr w14:paraId="53E0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9651" w:type="dxa"/>
          </w:tcPr>
          <w:p w14:paraId="3EC4F960">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项目概况</w:t>
            </w:r>
          </w:p>
          <w:p w14:paraId="58A04884">
            <w:pPr>
              <w:widowControl/>
              <w:spacing w:line="360" w:lineRule="auto"/>
              <w:ind w:firstLine="420" w:firstLineChars="200"/>
              <w:rPr>
                <w:rFonts w:hint="eastAsia" w:ascii="宋体" w:hAnsi="宋体" w:eastAsia="宋体" w:cs="宋体"/>
                <w:color w:val="auto"/>
                <w:sz w:val="21"/>
                <w:szCs w:val="21"/>
              </w:rPr>
            </w:pPr>
            <w:r>
              <w:rPr>
                <w:rFonts w:hint="eastAsia" w:cs="宋体"/>
                <w:color w:val="auto"/>
                <w:sz w:val="21"/>
                <w:szCs w:val="21"/>
                <w:u w:val="single"/>
                <w:lang w:eastAsia="zh-CN"/>
              </w:rPr>
              <w:t>镇沅县古城镇建民村产业道路硬化建设项目</w:t>
            </w:r>
            <w:r>
              <w:rPr>
                <w:rFonts w:hint="eastAsia" w:ascii="宋体" w:hAnsi="宋体" w:eastAsia="宋体" w:cs="宋体"/>
                <w:color w:val="auto"/>
                <w:sz w:val="21"/>
                <w:szCs w:val="21"/>
                <w:u w:val="none"/>
                <w:lang w:eastAsia="zh-CN"/>
              </w:rPr>
              <w:t>采购项目的</w:t>
            </w:r>
            <w:r>
              <w:rPr>
                <w:rFonts w:hint="eastAsia" w:ascii="宋体" w:hAnsi="宋体" w:eastAsia="宋体" w:cs="宋体"/>
                <w:color w:val="auto"/>
                <w:sz w:val="21"/>
                <w:szCs w:val="21"/>
              </w:rPr>
              <w:t>潜在供应商应</w:t>
            </w:r>
            <w:r>
              <w:rPr>
                <w:rFonts w:hint="eastAsia" w:ascii="宋体" w:hAnsi="宋体" w:eastAsia="宋体" w:cs="宋体"/>
                <w:color w:val="auto"/>
                <w:sz w:val="21"/>
                <w:szCs w:val="21"/>
                <w:lang w:eastAsia="zh-CN"/>
              </w:rPr>
              <w:t>在</w:t>
            </w:r>
            <w:r>
              <w:rPr>
                <w:rFonts w:hint="eastAsia" w:ascii="宋体" w:hAnsi="宋体" w:eastAsia="宋体" w:cs="宋体"/>
                <w:b w:val="0"/>
                <w:bCs/>
                <w:color w:val="auto"/>
                <w:sz w:val="21"/>
                <w:szCs w:val="21"/>
                <w:u w:val="single"/>
                <w:shd w:val="clear" w:color="auto" w:fill="FFFFFF"/>
                <w:lang w:val="en-US" w:eastAsia="zh-CN"/>
              </w:rPr>
              <w:t>“政采云”平台</w:t>
            </w:r>
            <w:r>
              <w:rPr>
                <w:rFonts w:hint="eastAsia" w:ascii="宋体" w:hAnsi="宋体" w:eastAsia="宋体" w:cs="宋体"/>
                <w:bCs/>
                <w:color w:val="auto"/>
                <w:sz w:val="21"/>
                <w:szCs w:val="21"/>
                <w:u w:val="single"/>
                <w:lang w:eastAsia="zh-CN"/>
              </w:rPr>
              <w:t>（https://www.zcygov.cn/）</w:t>
            </w:r>
            <w:r>
              <w:rPr>
                <w:rFonts w:hint="eastAsia" w:ascii="宋体" w:hAnsi="宋体" w:eastAsia="宋体" w:cs="宋体"/>
                <w:color w:val="auto"/>
                <w:sz w:val="21"/>
                <w:szCs w:val="21"/>
              </w:rPr>
              <w:t>获取</w:t>
            </w:r>
            <w:r>
              <w:rPr>
                <w:rFonts w:hint="eastAsia" w:ascii="宋体" w:hAnsi="宋体" w:eastAsia="宋体" w:cs="宋体"/>
                <w:color w:val="auto"/>
                <w:sz w:val="21"/>
                <w:szCs w:val="21"/>
                <w:lang w:eastAsia="zh-CN"/>
              </w:rPr>
              <w:t>采购文件</w:t>
            </w:r>
            <w:r>
              <w:rPr>
                <w:rFonts w:hint="eastAsia" w:ascii="宋体" w:hAnsi="宋体" w:eastAsia="宋体" w:cs="宋体"/>
                <w:color w:val="auto"/>
                <w:sz w:val="21"/>
                <w:szCs w:val="21"/>
              </w:rPr>
              <w:t>，并于</w:t>
            </w:r>
            <w:r>
              <w:rPr>
                <w:rFonts w:hint="eastAsia" w:cs="宋体"/>
                <w:color w:val="auto"/>
                <w:sz w:val="21"/>
                <w:szCs w:val="21"/>
                <w:u w:val="single"/>
                <w:lang w:eastAsia="zh-CN"/>
              </w:rPr>
              <w:t>2025年10月2</w:t>
            </w:r>
            <w:r>
              <w:rPr>
                <w:rFonts w:hint="eastAsia" w:cs="宋体"/>
                <w:color w:val="auto"/>
                <w:sz w:val="21"/>
                <w:szCs w:val="21"/>
                <w:u w:val="single"/>
                <w:lang w:val="en-US" w:eastAsia="zh-CN"/>
              </w:rPr>
              <w:t>4</w:t>
            </w:r>
            <w:r>
              <w:rPr>
                <w:rFonts w:hint="eastAsia" w:cs="宋体"/>
                <w:color w:val="auto"/>
                <w:sz w:val="21"/>
                <w:szCs w:val="21"/>
                <w:u w:val="single"/>
                <w:lang w:eastAsia="zh-CN"/>
              </w:rPr>
              <w:t>日</w:t>
            </w:r>
            <w:r>
              <w:rPr>
                <w:rFonts w:hint="eastAsia" w:ascii="宋体" w:hAnsi="宋体" w:eastAsia="宋体" w:cs="宋体"/>
                <w:color w:val="auto"/>
                <w:sz w:val="21"/>
                <w:szCs w:val="21"/>
                <w:u w:val="single"/>
                <w:lang w:eastAsia="zh-CN"/>
              </w:rPr>
              <w:t>8时30分</w:t>
            </w:r>
            <w:r>
              <w:rPr>
                <w:rFonts w:hint="eastAsia" w:ascii="宋体" w:hAnsi="宋体" w:eastAsia="宋体" w:cs="宋体"/>
                <w:color w:val="auto"/>
                <w:sz w:val="21"/>
                <w:szCs w:val="21"/>
              </w:rPr>
              <w:t>（北京时间）前提交响应文件。</w:t>
            </w:r>
          </w:p>
        </w:tc>
      </w:tr>
    </w:tbl>
    <w:p w14:paraId="0DC004A7">
      <w:pPr>
        <w:widowControl/>
        <w:autoSpaceDE/>
        <w:autoSpaceDN/>
        <w:spacing w:line="360" w:lineRule="auto"/>
        <w:outlineLvl w:val="1"/>
        <w:rPr>
          <w:rFonts w:hint="eastAsia" w:ascii="宋体" w:hAnsi="宋体" w:eastAsia="宋体" w:cs="宋体"/>
          <w:b/>
          <w:bCs/>
          <w:color w:val="auto"/>
          <w:sz w:val="21"/>
          <w:szCs w:val="21"/>
          <w:lang w:eastAsia="zh-CN"/>
        </w:rPr>
      </w:pPr>
      <w:bookmarkStart w:id="90" w:name="_Toc25855"/>
      <w:bookmarkStart w:id="91" w:name="_Toc16840"/>
      <w:bookmarkStart w:id="92" w:name="_Toc4705"/>
      <w:bookmarkStart w:id="93" w:name="_Toc6828"/>
      <w:bookmarkStart w:id="94" w:name="_Toc29118"/>
      <w:bookmarkStart w:id="95" w:name="_Toc15692"/>
      <w:bookmarkStart w:id="96" w:name="_Toc25984"/>
      <w:r>
        <w:rPr>
          <w:rFonts w:hint="eastAsia" w:ascii="宋体" w:hAnsi="宋体" w:eastAsia="宋体" w:cs="宋体"/>
          <w:b/>
          <w:bCs/>
          <w:color w:val="auto"/>
          <w:sz w:val="21"/>
          <w:szCs w:val="21"/>
          <w:lang w:eastAsia="zh-CN"/>
        </w:rPr>
        <w:t>一、项目基本情况</w:t>
      </w:r>
      <w:bookmarkEnd w:id="90"/>
      <w:bookmarkEnd w:id="91"/>
      <w:bookmarkEnd w:id="92"/>
      <w:bookmarkEnd w:id="93"/>
      <w:bookmarkEnd w:id="94"/>
      <w:bookmarkEnd w:id="95"/>
      <w:bookmarkEnd w:id="96"/>
    </w:p>
    <w:p w14:paraId="21A36C9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eastAsia" w:cs="宋体"/>
          <w:color w:val="auto"/>
          <w:sz w:val="21"/>
          <w:szCs w:val="21"/>
          <w:lang w:eastAsia="zh-CN"/>
        </w:rPr>
      </w:pPr>
      <w:r>
        <w:rPr>
          <w:rFonts w:hint="eastAsia" w:ascii="宋体" w:hAnsi="宋体" w:eastAsia="宋体" w:cs="宋体"/>
          <w:color w:val="auto"/>
          <w:sz w:val="21"/>
          <w:szCs w:val="21"/>
          <w:lang w:val="en-US" w:eastAsia="zh-CN"/>
        </w:rPr>
        <w:t>1.</w:t>
      </w:r>
      <w:r>
        <w:rPr>
          <w:rFonts w:hint="eastAsia" w:cs="宋体"/>
          <w:color w:val="auto"/>
          <w:sz w:val="21"/>
          <w:szCs w:val="21"/>
          <w:lang w:eastAsia="zh-CN"/>
        </w:rPr>
        <w:t>招标</w:t>
      </w:r>
      <w:r>
        <w:rPr>
          <w:rFonts w:hint="eastAsia" w:ascii="宋体" w:hAnsi="宋体" w:eastAsia="宋体" w:cs="宋体"/>
          <w:color w:val="auto"/>
          <w:sz w:val="21"/>
          <w:szCs w:val="21"/>
          <w:lang w:eastAsia="zh-CN"/>
        </w:rPr>
        <w:t>编号：</w:t>
      </w:r>
      <w:r>
        <w:rPr>
          <w:rFonts w:hint="eastAsia" w:cs="宋体"/>
          <w:color w:val="auto"/>
          <w:sz w:val="21"/>
          <w:szCs w:val="21"/>
          <w:lang w:eastAsia="zh-CN"/>
        </w:rPr>
        <w:t>2025-ZYCG-33</w:t>
      </w:r>
    </w:p>
    <w:p w14:paraId="6ABD1E13">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eastAsia"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项目名称：</w:t>
      </w:r>
      <w:r>
        <w:rPr>
          <w:rFonts w:hint="eastAsia" w:cs="宋体"/>
          <w:color w:val="auto"/>
          <w:sz w:val="21"/>
          <w:szCs w:val="21"/>
          <w:lang w:eastAsia="zh-CN"/>
        </w:rPr>
        <w:t>镇沅县古城镇建民村产业道路硬化建设项目</w:t>
      </w:r>
    </w:p>
    <w:p w14:paraId="32346B2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采购方式：竞争性磋商</w:t>
      </w:r>
    </w:p>
    <w:p w14:paraId="78D8DDB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预算金额：</w:t>
      </w:r>
      <w:r>
        <w:rPr>
          <w:rFonts w:hint="eastAsia" w:cs="宋体"/>
          <w:color w:val="auto"/>
          <w:sz w:val="21"/>
          <w:szCs w:val="21"/>
          <w:lang w:val="en-US" w:eastAsia="zh-CN"/>
        </w:rPr>
        <w:t>120万</w:t>
      </w:r>
      <w:r>
        <w:rPr>
          <w:rFonts w:hint="eastAsia" w:ascii="宋体" w:hAnsi="宋体" w:eastAsia="宋体" w:cs="宋体"/>
          <w:b w:val="0"/>
          <w:bCs/>
          <w:color w:val="auto"/>
          <w:sz w:val="21"/>
          <w:szCs w:val="21"/>
          <w:highlight w:val="none"/>
          <w:u w:val="none"/>
          <w:lang w:val="en-US" w:eastAsia="zh-CN"/>
        </w:rPr>
        <w:t>元</w:t>
      </w:r>
    </w:p>
    <w:p w14:paraId="7110C0C5">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最高限价：</w:t>
      </w:r>
      <w:r>
        <w:rPr>
          <w:rFonts w:hint="eastAsia" w:cs="宋体"/>
          <w:color w:val="auto"/>
          <w:sz w:val="21"/>
          <w:szCs w:val="21"/>
          <w:lang w:val="en-US" w:eastAsia="zh-CN"/>
        </w:rPr>
        <w:t>119.233794万</w:t>
      </w:r>
      <w:r>
        <w:rPr>
          <w:rFonts w:hint="eastAsia" w:ascii="宋体" w:hAnsi="宋体" w:eastAsia="宋体" w:cs="宋体"/>
          <w:b w:val="0"/>
          <w:bCs/>
          <w:color w:val="auto"/>
          <w:sz w:val="21"/>
          <w:szCs w:val="21"/>
          <w:highlight w:val="none"/>
          <w:u w:val="none"/>
          <w:lang w:val="en-US" w:eastAsia="zh-CN"/>
        </w:rPr>
        <w:t>元</w:t>
      </w:r>
    </w:p>
    <w:p w14:paraId="05F00423">
      <w:pPr>
        <w:pageBreakBefore w:val="0"/>
        <w:widowControl/>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采购需求：</w:t>
      </w:r>
      <w:bookmarkStart w:id="97" w:name="_Toc20032"/>
      <w:bookmarkStart w:id="98" w:name="_Toc18390"/>
      <w:bookmarkStart w:id="99" w:name="_Toc21362"/>
      <w:bookmarkStart w:id="100" w:name="_Toc11998"/>
      <w:r>
        <w:rPr>
          <w:rFonts w:hint="eastAsia" w:ascii="宋体" w:hAnsi="宋体" w:eastAsia="宋体" w:cs="宋体"/>
          <w:color w:val="auto"/>
          <w:sz w:val="21"/>
          <w:szCs w:val="21"/>
          <w:lang w:eastAsia="zh-CN"/>
        </w:rPr>
        <w:t>拟建里程3.72公里，其中主线长2.163km，起点位于正在实施的建民大桥（桥梁编码Y030530825L0030）引道延长线，止点为那闷组老李烧烤与建民路（路线编码Y030530825）岔口，支线长1.553km，起点建民小学下方砂石路岔口，止点位于沿过得河砂石路与建民路岔口。</w:t>
      </w:r>
      <w:r>
        <w:rPr>
          <w:rFonts w:hint="eastAsia" w:ascii="宋体" w:hAnsi="宋体" w:eastAsia="宋体" w:cs="宋体"/>
          <w:color w:val="auto"/>
          <w:sz w:val="21"/>
          <w:szCs w:val="21"/>
          <w:lang w:val="en-US" w:eastAsia="zh-CN"/>
        </w:rPr>
        <w:t>（详细内容详见工程量清单及施工图纸）。</w:t>
      </w:r>
      <w:r>
        <w:rPr>
          <w:rFonts w:hint="default" w:ascii="宋体" w:hAnsi="宋体" w:eastAsia="宋体" w:cs="宋体"/>
          <w:color w:val="auto"/>
          <w:sz w:val="21"/>
          <w:szCs w:val="21"/>
          <w:lang w:eastAsia="zh-CN"/>
        </w:rPr>
        <w:t>技术标准</w:t>
      </w:r>
      <w:r>
        <w:rPr>
          <w:rFonts w:hint="eastAsia" w:ascii="宋体" w:hAnsi="宋体" w:eastAsia="宋体" w:cs="宋体"/>
          <w:color w:val="auto"/>
          <w:sz w:val="21"/>
          <w:szCs w:val="21"/>
          <w:lang w:eastAsia="zh-CN"/>
        </w:rPr>
        <w:t>为</w:t>
      </w:r>
      <w:r>
        <w:rPr>
          <w:rFonts w:hint="default" w:ascii="宋体" w:hAnsi="宋体" w:eastAsia="宋体" w:cs="宋体"/>
          <w:color w:val="auto"/>
          <w:sz w:val="21"/>
          <w:szCs w:val="21"/>
          <w:lang w:eastAsia="zh-CN"/>
        </w:rPr>
        <w:t>公路等级</w:t>
      </w:r>
      <w:r>
        <w:rPr>
          <w:rFonts w:hint="default" w:ascii="宋体" w:hAnsi="宋体" w:eastAsia="宋体" w:cs="宋体"/>
          <w:color w:val="auto"/>
          <w:sz w:val="21"/>
          <w:szCs w:val="21"/>
          <w:lang w:val="en-US" w:eastAsia="zh-CN"/>
        </w:rPr>
        <w:t>为</w:t>
      </w:r>
      <w:r>
        <w:rPr>
          <w:rFonts w:hint="default" w:ascii="宋体" w:hAnsi="宋体" w:eastAsia="宋体" w:cs="宋体"/>
          <w:color w:val="auto"/>
          <w:sz w:val="21"/>
          <w:szCs w:val="21"/>
          <w:lang w:eastAsia="zh-CN"/>
        </w:rPr>
        <w:t>基本级，设计时速</w:t>
      </w:r>
      <w:r>
        <w:rPr>
          <w:rFonts w:hint="default" w:ascii="宋体" w:hAnsi="宋体" w:eastAsia="宋体" w:cs="宋体"/>
          <w:color w:val="auto"/>
          <w:sz w:val="21"/>
          <w:szCs w:val="21"/>
          <w:lang w:val="en-US" w:eastAsia="zh-CN"/>
        </w:rPr>
        <w:t>15</w:t>
      </w:r>
      <w:r>
        <w:rPr>
          <w:rFonts w:hint="default" w:ascii="宋体" w:hAnsi="宋体" w:eastAsia="宋体" w:cs="宋体"/>
          <w:color w:val="auto"/>
          <w:sz w:val="21"/>
          <w:szCs w:val="21"/>
          <w:lang w:eastAsia="zh-CN"/>
        </w:rPr>
        <w:t>公里/小时，路基宽度</w:t>
      </w:r>
      <w:r>
        <w:rPr>
          <w:rFonts w:hint="default" w:ascii="宋体" w:hAnsi="宋体" w:eastAsia="宋体" w:cs="宋体"/>
          <w:color w:val="auto"/>
          <w:sz w:val="21"/>
          <w:szCs w:val="21"/>
          <w:lang w:val="en-US" w:eastAsia="zh-CN"/>
        </w:rPr>
        <w:t>4.5</w:t>
      </w:r>
      <w:r>
        <w:rPr>
          <w:rFonts w:hint="default" w:ascii="宋体" w:hAnsi="宋体" w:eastAsia="宋体" w:cs="宋体"/>
          <w:color w:val="auto"/>
          <w:sz w:val="21"/>
          <w:szCs w:val="21"/>
          <w:lang w:eastAsia="zh-CN"/>
        </w:rPr>
        <w:t>米，路面宽度</w:t>
      </w:r>
      <w:r>
        <w:rPr>
          <w:rFonts w:hint="default" w:ascii="宋体" w:hAnsi="宋体" w:eastAsia="宋体" w:cs="宋体"/>
          <w:color w:val="auto"/>
          <w:sz w:val="21"/>
          <w:szCs w:val="21"/>
          <w:lang w:val="en-US" w:eastAsia="zh-CN"/>
        </w:rPr>
        <w:t>3.5</w:t>
      </w:r>
      <w:r>
        <w:rPr>
          <w:rFonts w:hint="default" w:ascii="宋体" w:hAnsi="宋体" w:eastAsia="宋体" w:cs="宋体"/>
          <w:color w:val="auto"/>
          <w:sz w:val="21"/>
          <w:szCs w:val="21"/>
          <w:lang w:eastAsia="zh-CN"/>
        </w:rPr>
        <w:t>米，路面结构类型为水泥混凝土路面，设计荷载为公路-Ⅱ级，公路自然区划为V5区，抗震设防为地震动峰值加速度系数0.15g，地震基本烈度Ⅶ度。</w:t>
      </w:r>
      <w:r>
        <w:rPr>
          <w:rFonts w:hint="default" w:ascii="宋体" w:hAnsi="宋体" w:eastAsia="宋体" w:cs="宋体"/>
          <w:color w:val="auto"/>
          <w:sz w:val="21"/>
          <w:szCs w:val="21"/>
          <w:lang w:val="en-US" w:eastAsia="zh-CN"/>
        </w:rPr>
        <w:t>建设内容</w:t>
      </w:r>
      <w:r>
        <w:rPr>
          <w:rFonts w:hint="eastAsia" w:ascii="宋体" w:hAnsi="宋体" w:eastAsia="宋体" w:cs="宋体"/>
          <w:color w:val="auto"/>
          <w:sz w:val="21"/>
          <w:szCs w:val="21"/>
          <w:lang w:val="en-US" w:eastAsia="zh-CN"/>
        </w:rPr>
        <w:t>为</w:t>
      </w:r>
      <w:r>
        <w:rPr>
          <w:rFonts w:hint="default" w:ascii="宋体" w:hAnsi="宋体" w:eastAsia="宋体" w:cs="宋体"/>
          <w:color w:val="auto"/>
          <w:sz w:val="21"/>
          <w:szCs w:val="21"/>
          <w:lang w:val="en-US" w:eastAsia="zh-CN"/>
        </w:rPr>
        <w:t>路面硬化、挡墙、涵洞、挖土石方、混凝土边沟、培土路肩、安全生命防护工程等。</w:t>
      </w:r>
      <w:r>
        <w:rPr>
          <w:rFonts w:hint="default" w:ascii="宋体" w:hAnsi="宋体" w:eastAsia="宋体" w:cs="宋体"/>
          <w:color w:val="auto"/>
          <w:sz w:val="21"/>
          <w:szCs w:val="21"/>
          <w:lang w:eastAsia="zh-CN"/>
        </w:rPr>
        <w:t>路面结构为</w:t>
      </w:r>
      <w:r>
        <w:rPr>
          <w:rFonts w:hint="default" w:ascii="宋体" w:hAnsi="宋体" w:eastAsia="宋体" w:cs="宋体"/>
          <w:color w:val="auto"/>
          <w:sz w:val="21"/>
          <w:szCs w:val="21"/>
          <w:lang w:val="en-US" w:eastAsia="zh-CN"/>
        </w:rPr>
        <w:t>15</w:t>
      </w:r>
      <w:r>
        <w:rPr>
          <w:rFonts w:hint="default" w:ascii="宋体" w:hAnsi="宋体" w:eastAsia="宋体" w:cs="宋体"/>
          <w:color w:val="auto"/>
          <w:sz w:val="21"/>
          <w:szCs w:val="21"/>
          <w:lang w:eastAsia="zh-CN"/>
        </w:rPr>
        <w:t>cm未筛分碎石调型层</w:t>
      </w:r>
      <w:r>
        <w:rPr>
          <w:rFonts w:hint="default" w:ascii="宋体" w:hAnsi="宋体" w:eastAsia="宋体" w:cs="宋体"/>
          <w:color w:val="auto"/>
          <w:sz w:val="21"/>
          <w:szCs w:val="21"/>
          <w:lang w:val="en-US" w:eastAsia="zh-CN"/>
        </w:rPr>
        <w:t>+20</w:t>
      </w:r>
      <w:r>
        <w:rPr>
          <w:rFonts w:hint="default" w:ascii="宋体" w:hAnsi="宋体" w:eastAsia="宋体" w:cs="宋体"/>
          <w:color w:val="auto"/>
          <w:sz w:val="21"/>
          <w:szCs w:val="21"/>
          <w:lang w:eastAsia="zh-CN"/>
        </w:rPr>
        <w:t>cm水泥混凝土路面（</w:t>
      </w:r>
      <w:r>
        <w:rPr>
          <w:rFonts w:hint="default" w:ascii="宋体" w:hAnsi="宋体" w:eastAsia="宋体" w:cs="宋体"/>
          <w:color w:val="auto"/>
          <w:sz w:val="21"/>
          <w:szCs w:val="21"/>
          <w:lang w:val="en-US" w:eastAsia="zh-CN"/>
        </w:rPr>
        <w:t>抗</w:t>
      </w:r>
      <w:r>
        <w:rPr>
          <w:rFonts w:hint="default" w:ascii="宋体" w:hAnsi="宋体" w:eastAsia="宋体" w:cs="宋体"/>
          <w:color w:val="auto"/>
          <w:sz w:val="21"/>
          <w:szCs w:val="21"/>
          <w:lang w:eastAsia="zh-CN"/>
        </w:rPr>
        <w:t>弯拉强度≥</w:t>
      </w:r>
      <w:r>
        <w:rPr>
          <w:rFonts w:hint="default" w:ascii="宋体" w:hAnsi="宋体" w:eastAsia="宋体" w:cs="宋体"/>
          <w:color w:val="auto"/>
          <w:sz w:val="21"/>
          <w:szCs w:val="21"/>
          <w:lang w:val="en-US" w:eastAsia="zh-CN"/>
        </w:rPr>
        <w:t>4.0MPa</w:t>
      </w:r>
      <w:r>
        <w:rPr>
          <w:rFonts w:hint="default" w:ascii="宋体" w:hAnsi="宋体" w:eastAsia="宋体" w:cs="宋体"/>
          <w:color w:val="auto"/>
          <w:sz w:val="21"/>
          <w:szCs w:val="21"/>
          <w:lang w:eastAsia="zh-CN"/>
        </w:rPr>
        <w:t>）。</w:t>
      </w:r>
    </w:p>
    <w:p w14:paraId="597C8784">
      <w:pPr>
        <w:widowControl/>
        <w:spacing w:line="360" w:lineRule="auto"/>
        <w:ind w:firstLine="420" w:firstLineChars="200"/>
        <w:jc w:val="left"/>
        <w:rPr>
          <w:rFonts w:hint="eastAsia" w:ascii="宋体" w:hAnsi="宋体" w:eastAsia="宋体"/>
          <w:color w:val="auto"/>
          <w:kern w:val="0"/>
          <w:sz w:val="21"/>
          <w:szCs w:val="21"/>
          <w:lang w:eastAsia="zh-CN"/>
        </w:rPr>
      </w:pPr>
      <w:r>
        <w:rPr>
          <w:rFonts w:hint="eastAsia" w:cs="宋体"/>
          <w:b w:val="0"/>
          <w:bCs w:val="0"/>
          <w:color w:val="auto"/>
          <w:kern w:val="2"/>
          <w:sz w:val="21"/>
          <w:szCs w:val="21"/>
          <w:highlight w:val="none"/>
          <w:lang w:val="en-US" w:eastAsia="zh-CN" w:bidi="ar-SA"/>
        </w:rPr>
        <w:t>6.</w:t>
      </w:r>
      <w:r>
        <w:rPr>
          <w:rFonts w:hint="eastAsia" w:ascii="宋体" w:hAnsi="宋体"/>
          <w:color w:val="auto"/>
          <w:kern w:val="0"/>
          <w:szCs w:val="21"/>
        </w:rPr>
        <w:t>质量要求：</w:t>
      </w:r>
      <w:r>
        <w:rPr>
          <w:rFonts w:hint="eastAsia" w:ascii="宋体" w:hAnsi="宋体" w:eastAsia="宋体" w:cs="宋体"/>
          <w:color w:val="auto"/>
          <w:sz w:val="21"/>
          <w:szCs w:val="21"/>
        </w:rPr>
        <w:t>标段工程交工验收的质量评定：满足交通运输部现行《公路工程质量检验评定标准》（JTGF80/1-2017）验收合格</w:t>
      </w:r>
      <w:r>
        <w:rPr>
          <w:rFonts w:hint="eastAsia" w:ascii="宋体" w:hAnsi="宋体" w:eastAsia="宋体" w:cs="宋体"/>
          <w:color w:val="auto"/>
          <w:sz w:val="21"/>
          <w:szCs w:val="21"/>
          <w:lang w:eastAsia="zh-CN"/>
        </w:rPr>
        <w:t>。</w:t>
      </w:r>
    </w:p>
    <w:p w14:paraId="7DF92E4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cs="宋体"/>
          <w:b w:val="0"/>
          <w:bCs w:val="0"/>
          <w:color w:val="auto"/>
          <w:kern w:val="2"/>
          <w:sz w:val="21"/>
          <w:szCs w:val="21"/>
          <w:highlight w:val="none"/>
          <w:lang w:val="en-US" w:eastAsia="zh-CN" w:bidi="ar-SA"/>
        </w:rPr>
      </w:pPr>
      <w:r>
        <w:rPr>
          <w:rFonts w:hint="eastAsia" w:ascii="宋体" w:hAnsi="宋体"/>
          <w:color w:val="auto"/>
          <w:kern w:val="0"/>
          <w:sz w:val="21"/>
          <w:szCs w:val="21"/>
          <w:lang w:val="en-US" w:eastAsia="zh-CN"/>
        </w:rPr>
        <w:t>7.</w:t>
      </w:r>
      <w:r>
        <w:rPr>
          <w:rFonts w:hint="eastAsia" w:cs="宋体"/>
          <w:b w:val="0"/>
          <w:bCs w:val="0"/>
          <w:color w:val="auto"/>
          <w:kern w:val="2"/>
          <w:sz w:val="21"/>
          <w:szCs w:val="21"/>
          <w:highlight w:val="none"/>
          <w:lang w:val="en-US" w:eastAsia="zh-CN" w:bidi="ar-SA"/>
        </w:rPr>
        <w:t>项目建设地点：古城镇建民村那闷、那落、黄庄、盐井组</w:t>
      </w:r>
    </w:p>
    <w:p w14:paraId="0181992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u w:val="none"/>
          <w:lang w:val="en-US" w:eastAsia="zh-CN"/>
        </w:rPr>
      </w:pPr>
      <w:r>
        <w:rPr>
          <w:rFonts w:hint="eastAsia" w:cs="宋体"/>
          <w:b w:val="0"/>
          <w:bCs w:val="0"/>
          <w:color w:val="auto"/>
          <w:kern w:val="2"/>
          <w:sz w:val="21"/>
          <w:szCs w:val="21"/>
          <w:highlight w:val="none"/>
          <w:lang w:val="en-US" w:eastAsia="zh-CN" w:bidi="ar-SA"/>
        </w:rPr>
        <w:t>8</w:t>
      </w:r>
      <w:r>
        <w:rPr>
          <w:rFonts w:hint="eastAsia" w:ascii="宋体" w:hAnsi="宋体" w:eastAsia="宋体" w:cs="宋体"/>
          <w:b w:val="0"/>
          <w:bCs w:val="0"/>
          <w:color w:val="auto"/>
          <w:kern w:val="2"/>
          <w:sz w:val="21"/>
          <w:szCs w:val="21"/>
          <w:highlight w:val="none"/>
          <w:lang w:val="en-US" w:eastAsia="zh-CN" w:bidi="ar-SA"/>
        </w:rPr>
        <w:t>.</w:t>
      </w:r>
      <w:r>
        <w:rPr>
          <w:rFonts w:hint="eastAsia" w:cs="宋体"/>
          <w:b w:val="0"/>
          <w:bCs w:val="0"/>
          <w:color w:val="auto"/>
          <w:kern w:val="2"/>
          <w:sz w:val="21"/>
          <w:szCs w:val="21"/>
          <w:highlight w:val="none"/>
          <w:lang w:val="en-US" w:eastAsia="zh-CN" w:bidi="ar-SA"/>
        </w:rPr>
        <w:t>计划工期</w:t>
      </w:r>
      <w:r>
        <w:rPr>
          <w:rFonts w:hint="eastAsia" w:ascii="宋体" w:hAnsi="宋体" w:eastAsia="宋体" w:cs="宋体"/>
          <w:color w:val="auto"/>
          <w:sz w:val="21"/>
          <w:szCs w:val="21"/>
          <w:lang w:val="en-US" w:eastAsia="zh-CN"/>
        </w:rPr>
        <w:t>：</w:t>
      </w:r>
      <w:r>
        <w:rPr>
          <w:rFonts w:hint="eastAsia" w:cs="宋体"/>
          <w:color w:val="auto"/>
          <w:sz w:val="21"/>
          <w:szCs w:val="21"/>
          <w:highlight w:val="none"/>
          <w:shd w:val="clear" w:color="auto" w:fill="auto"/>
          <w:lang w:val="en-US" w:eastAsia="zh-CN"/>
        </w:rPr>
        <w:t>120日历天</w:t>
      </w:r>
    </w:p>
    <w:p w14:paraId="4DF8227D">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lang w:val="en-US" w:eastAsia="zh-CN" w:bidi="ar-SA"/>
        </w:rPr>
      </w:pPr>
      <w:r>
        <w:rPr>
          <w:rFonts w:hint="eastAsia" w:cs="宋体"/>
          <w:color w:val="auto"/>
          <w:sz w:val="21"/>
          <w:szCs w:val="21"/>
          <w:lang w:val="en-US" w:eastAsia="zh-CN"/>
        </w:rPr>
        <w:t>9</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本项目不接受联合体投标。</w:t>
      </w:r>
    </w:p>
    <w:p w14:paraId="51D1576D">
      <w:pPr>
        <w:pStyle w:val="12"/>
        <w:autoSpaceDE/>
        <w:autoSpaceDN/>
        <w:spacing w:line="360" w:lineRule="auto"/>
        <w:outlineLvl w:val="1"/>
        <w:rPr>
          <w:rFonts w:hint="eastAsia" w:ascii="宋体" w:hAnsi="宋体" w:eastAsia="宋体" w:cs="宋体"/>
          <w:b/>
          <w:color w:val="auto"/>
          <w:sz w:val="21"/>
          <w:szCs w:val="21"/>
          <w:lang w:eastAsia="zh-CN"/>
        </w:rPr>
      </w:pPr>
      <w:bookmarkStart w:id="101" w:name="_Toc31581"/>
      <w:bookmarkStart w:id="102" w:name="_Toc25347"/>
      <w:bookmarkStart w:id="103" w:name="_Toc32424"/>
      <w:r>
        <w:rPr>
          <w:rFonts w:hint="eastAsia" w:ascii="宋体" w:hAnsi="宋体" w:eastAsia="宋体" w:cs="宋体"/>
          <w:b/>
          <w:bCs/>
          <w:color w:val="auto"/>
          <w:sz w:val="21"/>
          <w:szCs w:val="21"/>
          <w:lang w:eastAsia="zh-CN"/>
        </w:rPr>
        <w:t>二、供应商</w:t>
      </w:r>
      <w:r>
        <w:rPr>
          <w:rFonts w:hint="eastAsia" w:ascii="宋体" w:hAnsi="宋体" w:eastAsia="宋体" w:cs="宋体"/>
          <w:b/>
          <w:color w:val="auto"/>
          <w:sz w:val="21"/>
          <w:szCs w:val="21"/>
          <w:lang w:eastAsia="zh-CN"/>
        </w:rPr>
        <w:t>的资格要求：</w:t>
      </w:r>
      <w:bookmarkEnd w:id="97"/>
      <w:bookmarkEnd w:id="98"/>
      <w:bookmarkEnd w:id="99"/>
      <w:bookmarkEnd w:id="100"/>
      <w:bookmarkEnd w:id="101"/>
      <w:bookmarkEnd w:id="102"/>
      <w:bookmarkEnd w:id="103"/>
    </w:p>
    <w:p w14:paraId="24DC9D2A">
      <w:pPr>
        <w:pageBreakBefore w:val="0"/>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bCs/>
          <w:color w:val="auto"/>
          <w:sz w:val="21"/>
          <w:szCs w:val="21"/>
          <w:highlight w:val="none"/>
          <w:lang w:eastAsia="zh-CN"/>
        </w:rPr>
      </w:pPr>
      <w:bookmarkStart w:id="104" w:name="_Toc29125"/>
      <w:bookmarkStart w:id="105" w:name="_Toc221949525"/>
      <w:r>
        <w:rPr>
          <w:rFonts w:hint="eastAsia" w:ascii="宋体" w:hAnsi="宋体" w:eastAsia="宋体" w:cs="宋体"/>
          <w:b/>
          <w:bCs/>
          <w:color w:val="auto"/>
          <w:sz w:val="21"/>
          <w:szCs w:val="21"/>
          <w:highlight w:val="none"/>
          <w:lang w:eastAsia="zh-CN"/>
        </w:rPr>
        <w:t>1.满足《中华人民共和国政府采购法》第二十二条规定：</w:t>
      </w:r>
    </w:p>
    <w:p w14:paraId="7DBFCFE4">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（一）具有独立承担民事责任的能力； </w:t>
      </w:r>
    </w:p>
    <w:p w14:paraId="089F2395">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（二）具有良好的商业信誉和健全的财务会计制度； </w:t>
      </w:r>
    </w:p>
    <w:p w14:paraId="535967BC">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（三）具有履行合同所必需的设备和专业技术能力； </w:t>
      </w:r>
    </w:p>
    <w:p w14:paraId="6673C351">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（四）有依法缴纳税收和社会保障资金的良好记录； </w:t>
      </w:r>
    </w:p>
    <w:p w14:paraId="25E9BD9E">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（五）参加政府采购活动前三年内，在经营活动中没有重大违法记录； </w:t>
      </w:r>
    </w:p>
    <w:p w14:paraId="114E5251">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（六）法律、行政法规规定的其他条件。</w:t>
      </w:r>
    </w:p>
    <w:p w14:paraId="74B7A0F8">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1.1具有承担民事责任的能力（在中华人民共和国境内依法注册，提供法人或其他组织的营业执照）；</w:t>
      </w:r>
    </w:p>
    <w:p w14:paraId="17A613F3">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lang w:val="en-US" w:eastAsia="zh-CN"/>
        </w:rPr>
        <w:t>具有良好的商业信誉和健全的财务会计制度：</w:t>
      </w:r>
    </w:p>
    <w:p w14:paraId="38E16153">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A、供应商提供商业信誉承诺书；</w:t>
      </w:r>
    </w:p>
    <w:p w14:paraId="3FC593D5">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B、提供财务报表（包括资产负债表、利润表、现金流量表），成立不足一年或新成立的公司提供响应文件递交截止时间前两个月内基本开户银行出具的银行资信证明或资金存款证明或财务报表。</w:t>
      </w:r>
    </w:p>
    <w:p w14:paraId="123CDC32">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1.3具有履行合同所必需的设备和专业技术能力（提供书面声明加盖公章）。</w:t>
      </w:r>
    </w:p>
    <w:p w14:paraId="65A76F67">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1.4供应商有依法缴纳税收和社会保障资金的良好记录：</w:t>
      </w:r>
    </w:p>
    <w:p w14:paraId="5AFE14C9">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A、纳税证明材料：提供任意三个月的纳税申报的税务局税收通用缴款书扫描件或银行电子缴税（费）凭证扫描件或税务局出具纳税情况的相关证明扫描件；</w:t>
      </w:r>
    </w:p>
    <w:p w14:paraId="2EF6C08F">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B、缴纳社会保险证明材料：提供任意三个月的社会保险费缴款书扫描件或银行电子缴税（费）凭证扫描件或社保管理部门出具的有效的缴款证明扫描件。</w:t>
      </w:r>
    </w:p>
    <w:p w14:paraId="24E96354">
      <w:pPr>
        <w:pageBreakBefore w:val="0"/>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注：依法免税或不需要缴纳社会保障资金的供应商，应提供相应文件证明其依法免税或不需要缴纳社会保障资金。</w:t>
      </w:r>
    </w:p>
    <w:p w14:paraId="125B2D68">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1.5参加政府采购活动前三年内，在经</w:t>
      </w:r>
      <w:r>
        <w:rPr>
          <w:rFonts w:hint="eastAsia" w:ascii="宋体" w:hAnsi="宋体" w:eastAsia="宋体" w:cs="宋体"/>
          <w:color w:val="auto"/>
          <w:sz w:val="21"/>
          <w:szCs w:val="21"/>
          <w:highlight w:val="none"/>
          <w:lang w:eastAsia="zh-CN"/>
        </w:rPr>
        <w:t>营活动中没有重大违法记录</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lang w:eastAsia="zh-CN"/>
        </w:rPr>
        <w:t>（重大违法记录，是指供应商</w:t>
      </w:r>
      <w:r>
        <w:rPr>
          <w:rFonts w:hint="eastAsia" w:ascii="宋体" w:hAnsi="宋体" w:eastAsia="宋体" w:cs="宋体"/>
          <w:color w:val="auto"/>
          <w:lang w:val="en-US" w:eastAsia="zh-CN"/>
        </w:rPr>
        <w:t>没有受到责令停业的行政处罚或正处于财务被接管、冻结、破产的状态，近3年（2022年至今）所施工过的工程未发生过重大安全责任事故或质量事故，近3年（2022年至今）未发生过骗取中标和严重违约及重大合同纠纷</w:t>
      </w:r>
      <w:r>
        <w:rPr>
          <w:rFonts w:hint="eastAsia" w:ascii="宋体" w:hAnsi="宋体" w:eastAsia="宋体" w:cs="宋体"/>
          <w:color w:val="auto"/>
          <w:sz w:val="21"/>
          <w:szCs w:val="21"/>
          <w:highlight w:val="none"/>
          <w:lang w:eastAsia="zh-CN"/>
        </w:rPr>
        <w:t>）的书面声明；</w:t>
      </w:r>
    </w:p>
    <w:p w14:paraId="42038E56">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 </w:t>
      </w:r>
    </w:p>
    <w:p w14:paraId="41E49CDC">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lang w:val="en-US" w:eastAsia="zh-CN"/>
        </w:rPr>
        <w:t>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val="en-US" w:eastAsia="zh-CN"/>
        </w:rPr>
        <w:t>（提供相关证明材料或承诺函）。</w:t>
      </w:r>
    </w:p>
    <w:p w14:paraId="327243F2">
      <w:pPr>
        <w:pageBreakBefore w:val="0"/>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2.落实政府采购政策需满足的资格要求：</w:t>
      </w:r>
    </w:p>
    <w:p w14:paraId="48A7E5C0">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（1）本项目</w:t>
      </w:r>
      <w:r>
        <w:rPr>
          <w:rFonts w:hint="eastAsia" w:hAnsi="宋体" w:cs="宋体"/>
          <w:bCs/>
          <w:color w:val="auto"/>
          <w:sz w:val="21"/>
          <w:szCs w:val="21"/>
          <w:lang w:val="en-US" w:eastAsia="zh-CN"/>
        </w:rPr>
        <w:t>专门</w:t>
      </w:r>
      <w:r>
        <w:rPr>
          <w:rFonts w:hint="eastAsia" w:ascii="宋体" w:hAnsi="宋体" w:eastAsia="宋体" w:cs="宋体"/>
          <w:bCs/>
          <w:color w:val="auto"/>
          <w:sz w:val="21"/>
          <w:szCs w:val="21"/>
          <w:lang w:val="en-US" w:eastAsia="zh-CN"/>
        </w:rPr>
        <w:t>面向中小企采购；</w:t>
      </w:r>
    </w:p>
    <w:p w14:paraId="5964A6DC">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（2）监狱企业、残疾人福利性单位视同小型、微型企业，享受预留份额；</w:t>
      </w:r>
    </w:p>
    <w:p w14:paraId="6E1C065F">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（3）本项目须提供中小微企业声明函</w:t>
      </w:r>
      <w:r>
        <w:rPr>
          <w:rFonts w:hint="eastAsia" w:hAnsi="宋体" w:cs="宋体"/>
          <w:bCs/>
          <w:color w:val="auto"/>
          <w:sz w:val="21"/>
          <w:szCs w:val="21"/>
          <w:lang w:val="en-US" w:eastAsia="zh-CN"/>
        </w:rPr>
        <w:t>或</w:t>
      </w:r>
      <w:r>
        <w:rPr>
          <w:rFonts w:hint="eastAsia" w:ascii="宋体" w:hAnsi="宋体" w:eastAsia="宋体" w:cs="宋体"/>
          <w:bCs/>
          <w:color w:val="auto"/>
          <w:sz w:val="21"/>
          <w:szCs w:val="21"/>
          <w:lang w:val="en-US" w:eastAsia="zh-CN"/>
        </w:rPr>
        <w:t>残疾人福利性单位声明函</w:t>
      </w:r>
      <w:r>
        <w:rPr>
          <w:rFonts w:hint="eastAsia" w:hAnsi="宋体" w:cs="宋体"/>
          <w:bCs/>
          <w:color w:val="auto"/>
          <w:sz w:val="21"/>
          <w:szCs w:val="21"/>
          <w:lang w:val="en-US" w:eastAsia="zh-CN"/>
        </w:rPr>
        <w:t>或</w:t>
      </w:r>
      <w:r>
        <w:rPr>
          <w:rFonts w:hint="eastAsia" w:ascii="宋体" w:hAnsi="宋体" w:eastAsia="宋体" w:cs="宋体"/>
          <w:bCs/>
          <w:color w:val="auto"/>
          <w:sz w:val="21"/>
          <w:szCs w:val="21"/>
          <w:lang w:val="en-US" w:eastAsia="zh-CN"/>
        </w:rPr>
        <w:t>监狱企业须提供证明文件。</w:t>
      </w:r>
    </w:p>
    <w:p w14:paraId="6B1B16C0">
      <w:pPr>
        <w:pageBreakBefore w:val="0"/>
        <w:kinsoku/>
        <w:wordWrap/>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3．本项目的特定资格要求：</w:t>
      </w:r>
    </w:p>
    <w:p w14:paraId="6EF6305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b w:val="0"/>
          <w:bCs/>
          <w:color w:val="auto"/>
          <w:sz w:val="21"/>
          <w:szCs w:val="21"/>
        </w:rPr>
        <w:t>（1）供应商应</w:t>
      </w:r>
      <w:r>
        <w:rPr>
          <w:rFonts w:hint="eastAsia" w:ascii="宋体" w:hAnsi="宋体" w:eastAsia="宋体" w:cs="宋体"/>
          <w:color w:val="auto"/>
          <w:sz w:val="21"/>
          <w:szCs w:val="21"/>
        </w:rPr>
        <w:t>具备行政主管部门核发的公路工程施工总承包叁级以上（含叁级）资质和有效的安全生产许可证（公路工程施工总承包（叁级、贰级）企业必须达到三级及以上企业安全生产标准化达标考评，公路工程施工总承包（壹级及以上资质）的企业必须达到二级及以上企业安全生产标准化达标考评），并在人员、设备、资金等方面具有相应的施工能力。</w:t>
      </w:r>
    </w:p>
    <w:p w14:paraId="55E97CDA">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投标人应进入交通运输部“全国公路建设市场信用信息管理系统(https://glxy.mot.gov.cn)”或“省级公路水运建设市场信用信息管理系统”中的公路工程施工资质企业名录,且投标人名称和资质与该名录中的相应企业名称和资质完全一致。</w:t>
      </w:r>
    </w:p>
    <w:p w14:paraId="4BB20C9A">
      <w:pPr>
        <w:pStyle w:val="17"/>
        <w:autoSpaceDE/>
        <w:autoSpaceDN/>
        <w:spacing w:line="360" w:lineRule="auto"/>
        <w:ind w:firstLine="420" w:firstLineChars="200"/>
        <w:rPr>
          <w:rFonts w:hint="eastAsia" w:ascii="宋体" w:hAnsi="宋体" w:eastAsia="宋体" w:cs="宋体"/>
          <w:bCs/>
          <w:sz w:val="21"/>
          <w:szCs w:val="21"/>
          <w:lang w:eastAsia="zh-CN"/>
        </w:rPr>
      </w:pPr>
      <w:r>
        <w:rPr>
          <w:rFonts w:hint="eastAsia" w:ascii="宋体" w:hAnsi="宋体" w:eastAsia="宋体" w:cs="宋体"/>
          <w:b w:val="0"/>
          <w:bCs/>
          <w:color w:val="auto"/>
          <w:sz w:val="21"/>
          <w:szCs w:val="21"/>
        </w:rPr>
        <w:t>（</w:t>
      </w:r>
      <w:r>
        <w:rPr>
          <w:rFonts w:hint="eastAsia" w:cs="宋体"/>
          <w:b w:val="0"/>
          <w:bCs/>
          <w:color w:val="auto"/>
          <w:sz w:val="21"/>
          <w:szCs w:val="21"/>
          <w:lang w:val="en-US" w:eastAsia="zh-CN"/>
        </w:rPr>
        <w:t>2</w:t>
      </w:r>
      <w:r>
        <w:rPr>
          <w:rFonts w:hint="eastAsia" w:ascii="宋体" w:hAnsi="宋体" w:eastAsia="宋体" w:cs="宋体"/>
          <w:b w:val="0"/>
          <w:bCs/>
          <w:color w:val="auto"/>
          <w:sz w:val="21"/>
          <w:szCs w:val="21"/>
        </w:rPr>
        <w:t>）项目负责人资格：具有公路工程专业二级及以上注册建造师执业资格证书，同时持有省级及以上交通主管部门颁发的安全生产考核B类合格证；拟派项目负责人注册单位需与供应商申请单位名称一致</w:t>
      </w:r>
      <w:r>
        <w:rPr>
          <w:rFonts w:hint="eastAsia" w:hAnsi="宋体" w:cs="宋体"/>
          <w:b w:val="0"/>
          <w:bCs/>
          <w:color w:val="auto"/>
          <w:sz w:val="21"/>
          <w:szCs w:val="21"/>
          <w:lang w:eastAsia="zh-CN"/>
        </w:rPr>
        <w:t>，</w:t>
      </w:r>
      <w:r>
        <w:rPr>
          <w:rFonts w:hint="eastAsia" w:ascii="宋体" w:hAnsi="宋体" w:eastAsia="宋体" w:cs="宋体"/>
          <w:bCs/>
          <w:sz w:val="21"/>
          <w:szCs w:val="21"/>
          <w:lang w:eastAsia="zh-CN"/>
        </w:rPr>
        <w:t>且未担任其他在建建设工程项目的项目负责人。</w:t>
      </w:r>
    </w:p>
    <w:p w14:paraId="1AF9EDD2">
      <w:pPr>
        <w:pStyle w:val="12"/>
        <w:autoSpaceDE/>
        <w:autoSpaceDN/>
        <w:spacing w:line="360" w:lineRule="auto"/>
        <w:outlineLvl w:val="1"/>
        <w:rPr>
          <w:rFonts w:hint="eastAsia" w:ascii="宋体" w:hAnsi="宋体" w:eastAsia="宋体" w:cs="宋体"/>
          <w:b/>
          <w:bCs/>
          <w:color w:val="auto"/>
          <w:sz w:val="21"/>
          <w:szCs w:val="21"/>
          <w:lang w:eastAsia="zh-CN"/>
        </w:rPr>
      </w:pPr>
      <w:bookmarkStart w:id="106" w:name="_Toc17861"/>
      <w:bookmarkStart w:id="107" w:name="_Toc15712"/>
      <w:bookmarkStart w:id="108" w:name="_Toc18073"/>
      <w:r>
        <w:rPr>
          <w:rFonts w:hint="eastAsia" w:ascii="宋体" w:hAnsi="宋体" w:eastAsia="宋体" w:cs="宋体"/>
          <w:b/>
          <w:bCs/>
          <w:color w:val="auto"/>
          <w:sz w:val="21"/>
          <w:szCs w:val="21"/>
          <w:lang w:eastAsia="zh-CN"/>
        </w:rPr>
        <w:t>三、</w:t>
      </w:r>
      <w:bookmarkEnd w:id="104"/>
      <w:r>
        <w:rPr>
          <w:rFonts w:hint="eastAsia" w:ascii="宋体" w:hAnsi="宋体" w:eastAsia="宋体" w:cs="宋体"/>
          <w:b/>
          <w:bCs/>
          <w:color w:val="auto"/>
          <w:sz w:val="21"/>
          <w:szCs w:val="21"/>
          <w:lang w:eastAsia="zh-CN"/>
        </w:rPr>
        <w:t>获取</w:t>
      </w:r>
      <w:r>
        <w:rPr>
          <w:rFonts w:hint="eastAsia" w:ascii="宋体" w:hAnsi="宋体" w:eastAsia="宋体" w:cs="宋体"/>
          <w:b/>
          <w:bCs/>
          <w:color w:val="auto"/>
          <w:sz w:val="21"/>
          <w:szCs w:val="21"/>
          <w:lang w:val="zh-CN" w:eastAsia="zh-CN"/>
        </w:rPr>
        <w:t>采购文件</w:t>
      </w:r>
      <w:bookmarkEnd w:id="106"/>
      <w:bookmarkEnd w:id="107"/>
      <w:bookmarkEnd w:id="108"/>
    </w:p>
    <w:bookmarkEnd w:id="105"/>
    <w:p w14:paraId="7D0AF69E">
      <w:pPr>
        <w:adjustRightInd w:val="0"/>
        <w:snapToGrid w:val="0"/>
        <w:spacing w:line="360" w:lineRule="auto"/>
        <w:ind w:firstLine="424" w:firstLineChars="202"/>
        <w:rPr>
          <w:rFonts w:hint="eastAsia" w:ascii="宋体" w:hAnsi="宋体" w:eastAsia="宋体" w:cs="宋体"/>
          <w:color w:val="auto"/>
          <w:sz w:val="21"/>
          <w:szCs w:val="21"/>
          <w:lang w:eastAsia="zh-CN"/>
        </w:rPr>
      </w:pPr>
      <w:bookmarkStart w:id="109" w:name="_Toc29298"/>
      <w:r>
        <w:rPr>
          <w:rFonts w:hint="eastAsia" w:ascii="宋体" w:hAnsi="宋体" w:eastAsia="宋体" w:cs="宋体"/>
          <w:color w:val="auto"/>
          <w:sz w:val="21"/>
          <w:szCs w:val="21"/>
          <w:lang w:eastAsia="zh-CN"/>
        </w:rPr>
        <w:t>时间：202</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年</w:t>
      </w:r>
      <w:r>
        <w:rPr>
          <w:rFonts w:hint="eastAsia" w:cs="宋体"/>
          <w:color w:val="auto"/>
          <w:sz w:val="21"/>
          <w:szCs w:val="21"/>
          <w:lang w:val="en-US" w:eastAsia="zh-CN"/>
        </w:rPr>
        <w:t>10</w:t>
      </w:r>
      <w:r>
        <w:rPr>
          <w:rFonts w:hint="eastAsia" w:ascii="宋体" w:hAnsi="宋体" w:eastAsia="宋体" w:cs="宋体"/>
          <w:color w:val="auto"/>
          <w:sz w:val="21"/>
          <w:szCs w:val="21"/>
          <w:lang w:eastAsia="zh-CN"/>
        </w:rPr>
        <w:t>月</w:t>
      </w:r>
      <w:r>
        <w:rPr>
          <w:rFonts w:hint="eastAsia" w:cs="宋体"/>
          <w:color w:val="auto"/>
          <w:sz w:val="21"/>
          <w:szCs w:val="21"/>
          <w:lang w:val="en-US" w:eastAsia="zh-CN"/>
        </w:rPr>
        <w:t>13</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lang w:val="en-US" w:eastAsia="zh-CN"/>
        </w:rPr>
        <w:t>18</w:t>
      </w:r>
      <w:r>
        <w:rPr>
          <w:rFonts w:hint="eastAsia" w:ascii="宋体" w:hAnsi="宋体" w:eastAsia="宋体" w:cs="宋体"/>
          <w:color w:val="auto"/>
          <w:sz w:val="21"/>
          <w:szCs w:val="21"/>
          <w:lang w:eastAsia="zh-CN"/>
        </w:rPr>
        <w:t>时00分至202</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年</w:t>
      </w:r>
      <w:r>
        <w:rPr>
          <w:rFonts w:hint="eastAsia" w:cs="宋体"/>
          <w:color w:val="auto"/>
          <w:sz w:val="21"/>
          <w:szCs w:val="21"/>
          <w:lang w:val="en-US" w:eastAsia="zh-CN"/>
        </w:rPr>
        <w:t>10</w:t>
      </w:r>
      <w:r>
        <w:rPr>
          <w:rFonts w:hint="eastAsia" w:ascii="宋体" w:hAnsi="宋体" w:eastAsia="宋体" w:cs="宋体"/>
          <w:color w:val="auto"/>
          <w:sz w:val="21"/>
          <w:szCs w:val="21"/>
          <w:lang w:eastAsia="zh-CN"/>
        </w:rPr>
        <w:t>月</w:t>
      </w:r>
      <w:r>
        <w:rPr>
          <w:rFonts w:hint="eastAsia" w:cs="宋体"/>
          <w:color w:val="auto"/>
          <w:sz w:val="21"/>
          <w:szCs w:val="21"/>
          <w:lang w:val="en-US" w:eastAsia="zh-CN"/>
        </w:rPr>
        <w:t>20</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lang w:val="zh-CN" w:eastAsia="zh-CN"/>
        </w:rPr>
        <w:t>1</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zh-CN" w:eastAsia="zh-CN"/>
        </w:rPr>
        <w:t>时</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val="zh-CN" w:eastAsia="zh-CN"/>
        </w:rPr>
        <w:t>0分</w:t>
      </w:r>
      <w:r>
        <w:rPr>
          <w:rFonts w:hint="eastAsia" w:ascii="宋体" w:hAnsi="宋体" w:eastAsia="宋体" w:cs="宋体"/>
          <w:color w:val="auto"/>
          <w:sz w:val="21"/>
          <w:szCs w:val="21"/>
          <w:lang w:eastAsia="zh-CN"/>
        </w:rPr>
        <w:t>（北京时间，法定节假日除外，下同）；</w:t>
      </w:r>
    </w:p>
    <w:p w14:paraId="665E1534">
      <w:pPr>
        <w:adjustRightInd w:val="0"/>
        <w:snapToGrid w:val="0"/>
        <w:spacing w:line="360" w:lineRule="auto"/>
        <w:ind w:firstLine="424" w:firstLineChars="20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地点：政府采购云平台（http：//www.zcygov.cn），</w:t>
      </w:r>
      <w:r>
        <w:rPr>
          <w:rFonts w:hint="eastAsia" w:ascii="宋体" w:hAnsi="宋体" w:eastAsia="宋体" w:cs="宋体"/>
          <w:color w:val="auto"/>
          <w:sz w:val="21"/>
          <w:szCs w:val="21"/>
          <w:lang w:val="en-US" w:eastAsia="zh-CN"/>
        </w:rPr>
        <w:t>申请人</w:t>
      </w:r>
      <w:r>
        <w:rPr>
          <w:rFonts w:hint="eastAsia" w:ascii="宋体" w:hAnsi="宋体" w:eastAsia="宋体" w:cs="宋体"/>
          <w:color w:val="auto"/>
          <w:sz w:val="21"/>
          <w:szCs w:val="21"/>
          <w:lang w:eastAsia="zh-CN"/>
        </w:rPr>
        <w:t>自行在政府采购云平台</w:t>
      </w:r>
      <w:r>
        <w:rPr>
          <w:rFonts w:hint="eastAsia" w:ascii="宋体" w:hAnsi="宋体" w:eastAsia="宋体" w:cs="宋体"/>
          <w:color w:val="auto"/>
          <w:sz w:val="21"/>
          <w:szCs w:val="21"/>
          <w:lang w:val="en-US" w:eastAsia="zh-CN"/>
        </w:rPr>
        <w:t>（https://www.zcygov.cn/）</w:t>
      </w:r>
      <w:r>
        <w:rPr>
          <w:rFonts w:hint="eastAsia" w:ascii="宋体" w:hAnsi="宋体" w:eastAsia="宋体" w:cs="宋体"/>
          <w:color w:val="auto"/>
          <w:sz w:val="21"/>
          <w:szCs w:val="21"/>
          <w:lang w:eastAsia="zh-CN"/>
        </w:rPr>
        <w:t>下载</w:t>
      </w:r>
      <w:r>
        <w:rPr>
          <w:rFonts w:hint="eastAsia" w:ascii="宋体" w:hAnsi="宋体" w:eastAsia="宋体" w:cs="宋体"/>
          <w:color w:val="auto"/>
          <w:sz w:val="21"/>
          <w:szCs w:val="21"/>
          <w:lang w:val="en-US" w:eastAsia="zh-CN"/>
        </w:rPr>
        <w:t>采购</w:t>
      </w:r>
      <w:r>
        <w:rPr>
          <w:rFonts w:hint="eastAsia" w:ascii="宋体" w:hAnsi="宋体" w:eastAsia="宋体" w:cs="宋体"/>
          <w:color w:val="auto"/>
          <w:sz w:val="21"/>
          <w:szCs w:val="21"/>
          <w:lang w:eastAsia="zh-CN"/>
        </w:rPr>
        <w:t>文件（操作路径：登录“政采云”平台-项目采购-获取</w:t>
      </w:r>
      <w:r>
        <w:rPr>
          <w:rFonts w:hint="eastAsia" w:ascii="宋体" w:hAnsi="宋体" w:eastAsia="宋体" w:cs="宋体"/>
          <w:color w:val="auto"/>
          <w:sz w:val="21"/>
          <w:szCs w:val="21"/>
          <w:lang w:val="en-US" w:eastAsia="zh-CN"/>
        </w:rPr>
        <w:t>采购</w:t>
      </w:r>
      <w:r>
        <w:rPr>
          <w:rFonts w:hint="eastAsia" w:ascii="宋体" w:hAnsi="宋体" w:eastAsia="宋体" w:cs="宋体"/>
          <w:color w:val="auto"/>
          <w:sz w:val="21"/>
          <w:szCs w:val="21"/>
          <w:lang w:eastAsia="zh-CN"/>
        </w:rPr>
        <w:t>文件-找到本项目-点击“申请获取</w:t>
      </w:r>
      <w:r>
        <w:rPr>
          <w:rFonts w:hint="eastAsia" w:ascii="宋体" w:hAnsi="宋体" w:eastAsia="宋体" w:cs="宋体"/>
          <w:color w:val="auto"/>
          <w:sz w:val="21"/>
          <w:szCs w:val="21"/>
          <w:lang w:val="en-US" w:eastAsia="zh-CN"/>
        </w:rPr>
        <w:t>采购</w:t>
      </w:r>
      <w:r>
        <w:rPr>
          <w:rFonts w:hint="eastAsia" w:ascii="宋体" w:hAnsi="宋体" w:eastAsia="宋体" w:cs="宋体"/>
          <w:color w:val="auto"/>
          <w:sz w:val="21"/>
          <w:szCs w:val="21"/>
          <w:lang w:eastAsia="zh-CN"/>
        </w:rPr>
        <w:t>文件”），电子投标文件制作需要基于政府采购云平台</w:t>
      </w:r>
      <w:r>
        <w:rPr>
          <w:rFonts w:hint="eastAsia" w:ascii="宋体" w:hAnsi="宋体" w:eastAsia="宋体" w:cs="宋体"/>
          <w:color w:val="auto"/>
          <w:sz w:val="21"/>
          <w:szCs w:val="21"/>
          <w:lang w:val="en-US" w:eastAsia="zh-CN"/>
        </w:rPr>
        <w:t>（https://www.zcygov.cn/）</w:t>
      </w:r>
      <w:r>
        <w:rPr>
          <w:rFonts w:hint="eastAsia" w:ascii="宋体" w:hAnsi="宋体" w:eastAsia="宋体" w:cs="宋体"/>
          <w:color w:val="auto"/>
          <w:sz w:val="21"/>
          <w:szCs w:val="21"/>
          <w:lang w:eastAsia="zh-CN"/>
        </w:rPr>
        <w:t>获取的文件编制。</w:t>
      </w:r>
    </w:p>
    <w:p w14:paraId="6876A011">
      <w:pPr>
        <w:adjustRightInd w:val="0"/>
        <w:snapToGrid w:val="0"/>
        <w:spacing w:line="360" w:lineRule="auto"/>
        <w:ind w:firstLine="424" w:firstLineChars="20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方式：</w:t>
      </w:r>
      <w:r>
        <w:rPr>
          <w:rFonts w:hint="eastAsia" w:ascii="宋体" w:hAnsi="宋体" w:eastAsia="宋体" w:cs="宋体"/>
          <w:color w:val="auto"/>
          <w:sz w:val="21"/>
          <w:szCs w:val="21"/>
          <w:lang w:eastAsia="zh-CN"/>
        </w:rPr>
        <w:t>凡有意参加投标者，须在政采云平台办理数字证书（CA），并在政采云绑定数字证书（CA）后</w:t>
      </w:r>
      <w:r>
        <w:rPr>
          <w:rFonts w:hint="eastAsia" w:ascii="宋体" w:hAnsi="宋体" w:eastAsia="宋体" w:cs="宋体"/>
          <w:color w:val="auto"/>
          <w:sz w:val="21"/>
          <w:szCs w:val="21"/>
          <w:lang w:val="en-US" w:eastAsia="zh-CN"/>
        </w:rPr>
        <w:t>线上</w:t>
      </w:r>
      <w:r>
        <w:rPr>
          <w:rFonts w:hint="eastAsia" w:ascii="宋体" w:hAnsi="宋体" w:eastAsia="宋体" w:cs="宋体"/>
          <w:color w:val="auto"/>
          <w:sz w:val="21"/>
          <w:szCs w:val="21"/>
          <w:lang w:eastAsia="zh-CN"/>
        </w:rPr>
        <w:t>获取</w:t>
      </w:r>
      <w:r>
        <w:rPr>
          <w:rFonts w:hint="eastAsia" w:ascii="宋体" w:hAnsi="宋体" w:eastAsia="宋体" w:cs="宋体"/>
          <w:color w:val="auto"/>
          <w:sz w:val="21"/>
          <w:szCs w:val="21"/>
          <w:lang w:val="en-US" w:eastAsia="zh-CN"/>
        </w:rPr>
        <w:t>采购</w:t>
      </w:r>
      <w:r>
        <w:rPr>
          <w:rFonts w:hint="eastAsia" w:ascii="宋体" w:hAnsi="宋体" w:eastAsia="宋体" w:cs="宋体"/>
          <w:color w:val="auto"/>
          <w:sz w:val="21"/>
          <w:szCs w:val="21"/>
          <w:lang w:eastAsia="zh-CN"/>
        </w:rPr>
        <w:t>文件及其它采购资料。CA申领链接：https://middle.zcygov.cn/ca/apply/list?_app_=zcy.sys，CA申领后需登陆政采云平台完成数字证书(CA)绑定才可以使，数字证书（CA）详见其办理流程。按上述要求获取文件的供应商视为合法获取了本项目采购文件，具备本项目的投标资格。此为获取采购文件的唯一途径。</w:t>
      </w:r>
    </w:p>
    <w:p w14:paraId="6677776B">
      <w:pPr>
        <w:adjustRightInd w:val="0"/>
        <w:snapToGrid w:val="0"/>
        <w:spacing w:line="360" w:lineRule="auto"/>
        <w:ind w:firstLine="424" w:firstLineChars="20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售价：¥0.00元。</w:t>
      </w:r>
    </w:p>
    <w:p w14:paraId="23C2211C">
      <w:pPr>
        <w:pStyle w:val="12"/>
        <w:keepNext w:val="0"/>
        <w:keepLines w:val="0"/>
        <w:pageBreakBefore w:val="0"/>
        <w:widowControl w:val="0"/>
        <w:kinsoku/>
        <w:wordWrap/>
        <w:overflowPunct/>
        <w:topLinePunct w:val="0"/>
        <w:autoSpaceDE/>
        <w:autoSpaceDN/>
        <w:bidi w:val="0"/>
        <w:spacing w:line="360" w:lineRule="auto"/>
        <w:textAlignment w:val="auto"/>
        <w:outlineLvl w:val="1"/>
        <w:rPr>
          <w:rFonts w:hint="eastAsia" w:ascii="宋体" w:hAnsi="宋体" w:eastAsia="宋体" w:cs="宋体"/>
          <w:b/>
          <w:color w:val="auto"/>
          <w:sz w:val="21"/>
          <w:szCs w:val="21"/>
          <w:lang w:val="zh-CN" w:eastAsia="zh-CN"/>
        </w:rPr>
      </w:pPr>
      <w:bookmarkStart w:id="110" w:name="_Toc20527"/>
      <w:bookmarkStart w:id="111" w:name="_Toc3212"/>
      <w:bookmarkStart w:id="112" w:name="_Toc11008"/>
      <w:r>
        <w:rPr>
          <w:rFonts w:hint="eastAsia" w:ascii="宋体" w:hAnsi="宋体" w:eastAsia="宋体" w:cs="宋体"/>
          <w:b/>
          <w:color w:val="auto"/>
          <w:sz w:val="21"/>
          <w:szCs w:val="21"/>
          <w:lang w:val="zh-CN" w:eastAsia="zh-CN"/>
        </w:rPr>
        <w:t>四、响应文件</w:t>
      </w:r>
      <w:bookmarkEnd w:id="109"/>
      <w:r>
        <w:rPr>
          <w:rFonts w:hint="eastAsia" w:ascii="宋体" w:hAnsi="宋体" w:eastAsia="宋体" w:cs="宋体"/>
          <w:b/>
          <w:color w:val="auto"/>
          <w:sz w:val="21"/>
          <w:szCs w:val="21"/>
          <w:lang w:val="zh-CN" w:eastAsia="zh-CN"/>
        </w:rPr>
        <w:t>提交</w:t>
      </w:r>
      <w:bookmarkEnd w:id="110"/>
      <w:bookmarkEnd w:id="111"/>
      <w:bookmarkEnd w:id="112"/>
    </w:p>
    <w:p w14:paraId="5F1F2E53">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截止时间：</w:t>
      </w:r>
      <w:r>
        <w:rPr>
          <w:rFonts w:hint="eastAsia" w:cs="宋体"/>
          <w:color w:val="auto"/>
          <w:sz w:val="21"/>
          <w:szCs w:val="21"/>
          <w:u w:val="none"/>
          <w:lang w:eastAsia="zh-CN"/>
        </w:rPr>
        <w:t>2025年10月2</w:t>
      </w:r>
      <w:r>
        <w:rPr>
          <w:rFonts w:hint="eastAsia" w:cs="宋体"/>
          <w:color w:val="auto"/>
          <w:sz w:val="21"/>
          <w:szCs w:val="21"/>
          <w:u w:val="none"/>
          <w:lang w:val="en-US" w:eastAsia="zh-CN"/>
        </w:rPr>
        <w:t>4</w:t>
      </w:r>
      <w:r>
        <w:rPr>
          <w:rFonts w:hint="eastAsia" w:cs="宋体"/>
          <w:color w:val="auto"/>
          <w:sz w:val="21"/>
          <w:szCs w:val="21"/>
          <w:u w:val="none"/>
          <w:lang w:eastAsia="zh-CN"/>
        </w:rPr>
        <w:t>日</w:t>
      </w:r>
      <w:r>
        <w:rPr>
          <w:rFonts w:hint="eastAsia" w:ascii="宋体" w:hAnsi="宋体" w:eastAsia="宋体" w:cs="宋体"/>
          <w:color w:val="auto"/>
          <w:sz w:val="21"/>
          <w:szCs w:val="21"/>
          <w:u w:val="none"/>
          <w:lang w:eastAsia="zh-CN"/>
        </w:rPr>
        <w:t>8时30分</w:t>
      </w:r>
      <w:r>
        <w:rPr>
          <w:rFonts w:hint="eastAsia" w:ascii="宋体" w:hAnsi="宋体" w:eastAsia="宋体" w:cs="宋体"/>
          <w:color w:val="auto"/>
          <w:sz w:val="21"/>
          <w:szCs w:val="21"/>
          <w:u w:val="none"/>
          <w:lang w:val="en-US" w:eastAsia="zh-CN"/>
        </w:rPr>
        <w:t>(</w:t>
      </w:r>
      <w:r>
        <w:rPr>
          <w:rFonts w:hint="eastAsia" w:ascii="宋体" w:hAnsi="宋体" w:eastAsia="宋体" w:cs="宋体"/>
          <w:color w:val="auto"/>
          <w:sz w:val="21"/>
          <w:szCs w:val="21"/>
          <w:u w:val="none"/>
          <w:lang w:eastAsia="zh-CN"/>
        </w:rPr>
        <w:t>北京时间</w:t>
      </w:r>
      <w:r>
        <w:rPr>
          <w:rFonts w:hint="eastAsia" w:ascii="宋体" w:hAnsi="宋体" w:eastAsia="宋体" w:cs="宋体"/>
          <w:color w:val="auto"/>
          <w:sz w:val="21"/>
          <w:szCs w:val="21"/>
          <w:u w:val="none"/>
          <w:lang w:val="en-US" w:eastAsia="zh-CN"/>
        </w:rPr>
        <w:t>)。</w:t>
      </w:r>
      <w:r>
        <w:rPr>
          <w:rFonts w:hint="eastAsia" w:ascii="宋体" w:hAnsi="宋体" w:eastAsia="宋体" w:cs="宋体"/>
          <w:color w:val="auto"/>
          <w:sz w:val="21"/>
          <w:szCs w:val="21"/>
          <w:lang w:val="en-US" w:eastAsia="zh-CN"/>
        </w:rPr>
        <w:t xml:space="preserve"> </w:t>
      </w:r>
    </w:p>
    <w:p w14:paraId="1A153770">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地点：</w:t>
      </w:r>
      <w:r>
        <w:rPr>
          <w:rFonts w:hint="eastAsia" w:ascii="宋体" w:hAnsi="宋体" w:eastAsia="宋体" w:cs="宋体"/>
          <w:bCs/>
          <w:color w:val="auto"/>
          <w:sz w:val="21"/>
          <w:szCs w:val="21"/>
          <w:highlight w:val="none"/>
          <w:u w:val="none"/>
        </w:rPr>
        <w:t>普洱市普平工程招标有限责任公司</w:t>
      </w:r>
      <w:r>
        <w:rPr>
          <w:rFonts w:hint="eastAsia" w:ascii="宋体" w:hAnsi="宋体" w:eastAsia="宋体" w:cs="宋体"/>
          <w:bCs/>
          <w:color w:val="auto"/>
          <w:sz w:val="21"/>
          <w:szCs w:val="21"/>
          <w:highlight w:val="none"/>
          <w:u w:val="none"/>
          <w:lang w:eastAsia="zh-CN"/>
        </w:rPr>
        <w:t>镇沅</w:t>
      </w:r>
      <w:r>
        <w:rPr>
          <w:rFonts w:hint="eastAsia" w:ascii="宋体" w:hAnsi="宋体" w:eastAsia="宋体" w:cs="宋体"/>
          <w:bCs/>
          <w:color w:val="auto"/>
          <w:sz w:val="21"/>
          <w:szCs w:val="21"/>
          <w:highlight w:val="none"/>
          <w:u w:val="none"/>
        </w:rPr>
        <w:t>分公司</w:t>
      </w:r>
      <w:r>
        <w:rPr>
          <w:rFonts w:hint="eastAsia" w:ascii="宋体" w:hAnsi="宋体" w:eastAsia="宋体" w:cs="宋体"/>
          <w:color w:val="auto"/>
          <w:sz w:val="21"/>
          <w:szCs w:val="21"/>
          <w:u w:val="none"/>
          <w:lang w:eastAsia="zh-CN"/>
        </w:rPr>
        <w:t>（供应商无需到达开标地点，须在"政采云"平台进行远程解密电子版响应文件）。</w:t>
      </w:r>
    </w:p>
    <w:p w14:paraId="2036F773">
      <w:pPr>
        <w:snapToGrid w:val="0"/>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CA证书在线解密：响应文件开启时，</w:t>
      </w:r>
      <w:r>
        <w:rPr>
          <w:rFonts w:hint="eastAsia" w:ascii="宋体" w:hAnsi="宋体" w:eastAsia="宋体" w:cs="宋体"/>
          <w:b w:val="0"/>
          <w:bCs/>
          <w:color w:val="auto"/>
          <w:kern w:val="0"/>
          <w:sz w:val="21"/>
          <w:szCs w:val="21"/>
        </w:rPr>
        <w:t>有效数字证书（CA认证）</w:t>
      </w:r>
      <w:r>
        <w:rPr>
          <w:rFonts w:hint="eastAsia" w:ascii="宋体" w:hAnsi="宋体" w:eastAsia="宋体" w:cs="宋体"/>
          <w:color w:val="auto"/>
          <w:kern w:val="0"/>
          <w:sz w:val="21"/>
          <w:szCs w:val="21"/>
        </w:rPr>
        <w:t>登录“政采云”平台电子开标大厅现场按规定时间对加密的响应文件进行解密，未能按要求进行解密的，由此产生的后果由投标人自行承担。</w:t>
      </w:r>
    </w:p>
    <w:p w14:paraId="2A28E243">
      <w:pPr>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rPr>
        <w:t>2.</w:t>
      </w:r>
      <w:r>
        <w:rPr>
          <w:rFonts w:hint="eastAsia" w:ascii="宋体" w:hAnsi="宋体" w:eastAsia="宋体" w:cs="宋体"/>
          <w:color w:val="auto"/>
          <w:kern w:val="0"/>
          <w:sz w:val="21"/>
          <w:szCs w:val="21"/>
        </w:rPr>
        <w:t>供应商需要在具备有摄像头及语音功能且互联网网络状况良好的电脑登录“政采云”平台远程开标大厅参与本次磋商，否则后果自负。</w:t>
      </w:r>
    </w:p>
    <w:p w14:paraId="0E77FDBD">
      <w:pPr>
        <w:pStyle w:val="12"/>
        <w:keepNext w:val="0"/>
        <w:keepLines w:val="0"/>
        <w:pageBreakBefore w:val="0"/>
        <w:widowControl w:val="0"/>
        <w:kinsoku/>
        <w:wordWrap/>
        <w:overflowPunct/>
        <w:topLinePunct w:val="0"/>
        <w:autoSpaceDE/>
        <w:autoSpaceDN/>
        <w:bidi w:val="0"/>
        <w:spacing w:line="360" w:lineRule="auto"/>
        <w:textAlignment w:val="auto"/>
        <w:outlineLvl w:val="1"/>
        <w:rPr>
          <w:rFonts w:hint="eastAsia" w:ascii="宋体" w:hAnsi="宋体" w:eastAsia="宋体" w:cs="宋体"/>
          <w:b/>
          <w:color w:val="auto"/>
          <w:sz w:val="21"/>
          <w:szCs w:val="21"/>
          <w:lang w:val="zh-CN" w:eastAsia="zh-CN"/>
        </w:rPr>
      </w:pPr>
      <w:bookmarkStart w:id="113" w:name="_Toc10304"/>
      <w:bookmarkStart w:id="114" w:name="_Toc26449"/>
      <w:bookmarkStart w:id="115" w:name="_Toc18140"/>
      <w:r>
        <w:rPr>
          <w:rFonts w:hint="eastAsia" w:ascii="宋体" w:hAnsi="宋体" w:eastAsia="宋体" w:cs="宋体"/>
          <w:b/>
          <w:color w:val="auto"/>
          <w:sz w:val="21"/>
          <w:szCs w:val="21"/>
          <w:lang w:val="zh-CN" w:eastAsia="zh-CN"/>
        </w:rPr>
        <w:t>五、开启</w:t>
      </w:r>
      <w:bookmarkEnd w:id="113"/>
      <w:bookmarkEnd w:id="114"/>
      <w:bookmarkEnd w:id="115"/>
    </w:p>
    <w:p w14:paraId="75881212">
      <w:pPr>
        <w:adjustRightInd w:val="0"/>
        <w:snapToGrid w:val="0"/>
        <w:spacing w:line="360" w:lineRule="auto"/>
        <w:ind w:firstLine="424" w:firstLineChars="202"/>
        <w:rPr>
          <w:rFonts w:hint="eastAsia" w:ascii="宋体" w:hAnsi="宋体" w:eastAsia="宋体" w:cs="宋体"/>
          <w:color w:val="auto"/>
          <w:sz w:val="21"/>
          <w:szCs w:val="21"/>
          <w:lang w:val="en-US" w:eastAsia="zh-CN"/>
        </w:rPr>
      </w:pPr>
      <w:bookmarkStart w:id="116" w:name="_Toc23466"/>
      <w:bookmarkStart w:id="117" w:name="_Toc1468"/>
      <w:bookmarkStart w:id="118" w:name="_Toc980"/>
      <w:bookmarkStart w:id="119" w:name="_Toc6157"/>
      <w:bookmarkStart w:id="120" w:name="_Toc16051"/>
      <w:bookmarkStart w:id="121" w:name="_Toc21358"/>
      <w:bookmarkStart w:id="122" w:name="_Toc21660"/>
      <w:bookmarkStart w:id="123" w:name="_Toc21426"/>
      <w:bookmarkStart w:id="124" w:name="_Toc20235"/>
      <w:bookmarkStart w:id="125" w:name="_Toc1954"/>
      <w:bookmarkStart w:id="126" w:name="_Toc7187"/>
      <w:r>
        <w:rPr>
          <w:rFonts w:hint="eastAsia" w:ascii="宋体" w:hAnsi="宋体" w:eastAsia="宋体" w:cs="宋体"/>
          <w:color w:val="auto"/>
          <w:sz w:val="21"/>
          <w:szCs w:val="21"/>
        </w:rPr>
        <w:t>时间：</w:t>
      </w:r>
      <w:r>
        <w:rPr>
          <w:rFonts w:hint="eastAsia" w:cs="宋体"/>
          <w:color w:val="auto"/>
          <w:sz w:val="21"/>
          <w:szCs w:val="21"/>
          <w:u w:val="none"/>
          <w:lang w:eastAsia="zh-CN"/>
        </w:rPr>
        <w:t>2025年10月2</w:t>
      </w:r>
      <w:r>
        <w:rPr>
          <w:rFonts w:hint="eastAsia" w:cs="宋体"/>
          <w:color w:val="auto"/>
          <w:sz w:val="21"/>
          <w:szCs w:val="21"/>
          <w:u w:val="none"/>
          <w:lang w:val="en-US" w:eastAsia="zh-CN"/>
        </w:rPr>
        <w:t>4</w:t>
      </w:r>
      <w:r>
        <w:rPr>
          <w:rFonts w:hint="eastAsia" w:cs="宋体"/>
          <w:color w:val="auto"/>
          <w:sz w:val="21"/>
          <w:szCs w:val="21"/>
          <w:u w:val="none"/>
          <w:lang w:eastAsia="zh-CN"/>
        </w:rPr>
        <w:t>日</w:t>
      </w:r>
      <w:r>
        <w:rPr>
          <w:rFonts w:hint="eastAsia" w:ascii="宋体" w:hAnsi="宋体" w:eastAsia="宋体" w:cs="宋体"/>
          <w:color w:val="auto"/>
          <w:sz w:val="21"/>
          <w:szCs w:val="21"/>
          <w:u w:val="none"/>
          <w:lang w:eastAsia="zh-CN"/>
        </w:rPr>
        <w:t>8时30分</w:t>
      </w:r>
      <w:r>
        <w:rPr>
          <w:rFonts w:hint="eastAsia" w:ascii="宋体" w:hAnsi="宋体" w:eastAsia="宋体" w:cs="宋体"/>
          <w:color w:val="auto"/>
          <w:kern w:val="0"/>
          <w:sz w:val="21"/>
          <w:szCs w:val="21"/>
          <w:u w:val="none"/>
          <w:lang w:val="en-US" w:eastAsia="zh-CN"/>
        </w:rPr>
        <w:t>(</w:t>
      </w:r>
      <w:r>
        <w:rPr>
          <w:rFonts w:hint="eastAsia" w:ascii="宋体" w:hAnsi="宋体" w:eastAsia="宋体" w:cs="宋体"/>
          <w:color w:val="auto"/>
          <w:kern w:val="0"/>
          <w:sz w:val="21"/>
          <w:szCs w:val="21"/>
          <w:lang w:eastAsia="zh-CN"/>
        </w:rPr>
        <w:t>北京时间</w:t>
      </w:r>
      <w:r>
        <w:rPr>
          <w:rFonts w:hint="eastAsia" w:ascii="宋体" w:hAnsi="宋体" w:eastAsia="宋体" w:cs="宋体"/>
          <w:color w:val="auto"/>
          <w:kern w:val="0"/>
          <w:sz w:val="21"/>
          <w:szCs w:val="21"/>
          <w:lang w:val="en-US" w:eastAsia="zh-CN"/>
        </w:rPr>
        <w:t xml:space="preserve">)。 </w:t>
      </w:r>
    </w:p>
    <w:p w14:paraId="3A8561DD">
      <w:pPr>
        <w:spacing w:line="360" w:lineRule="auto"/>
        <w:ind w:firstLine="420" w:firstLineChars="200"/>
        <w:rPr>
          <w:rFonts w:hint="eastAsia" w:ascii="宋体" w:hAnsi="宋体" w:eastAsia="宋体" w:cs="宋体"/>
          <w:bCs/>
          <w:color w:val="auto"/>
          <w:sz w:val="21"/>
          <w:szCs w:val="21"/>
          <w:u w:val="none"/>
        </w:rPr>
      </w:pPr>
      <w:r>
        <w:rPr>
          <w:rFonts w:hint="eastAsia" w:ascii="宋体" w:hAnsi="宋体" w:eastAsia="宋体" w:cs="宋体"/>
          <w:color w:val="auto"/>
          <w:sz w:val="21"/>
          <w:szCs w:val="21"/>
        </w:rPr>
        <w:t>地点：</w:t>
      </w:r>
      <w:r>
        <w:rPr>
          <w:rFonts w:hint="eastAsia" w:ascii="宋体" w:hAnsi="宋体" w:eastAsia="宋体" w:cs="宋体"/>
          <w:color w:val="auto"/>
          <w:sz w:val="21"/>
          <w:szCs w:val="21"/>
          <w:u w:val="none"/>
          <w:lang w:eastAsia="zh-CN"/>
        </w:rPr>
        <w:t>政府采购云平台远程开标大厅。</w:t>
      </w:r>
    </w:p>
    <w:p w14:paraId="02277C46">
      <w:pPr>
        <w:adjustRightInd w:val="0"/>
        <w:snapToGrid w:val="0"/>
        <w:spacing w:line="360" w:lineRule="auto"/>
        <w:outlineLvl w:val="1"/>
        <w:rPr>
          <w:rFonts w:hint="eastAsia" w:ascii="宋体" w:hAnsi="宋体" w:eastAsia="宋体" w:cs="宋体"/>
          <w:b/>
          <w:bCs/>
          <w:color w:val="auto"/>
          <w:sz w:val="21"/>
          <w:szCs w:val="21"/>
          <w:lang w:val="zh-CN" w:eastAsia="zh-CN"/>
        </w:rPr>
      </w:pPr>
      <w:bookmarkStart w:id="127" w:name="_Toc3452"/>
      <w:bookmarkStart w:id="128" w:name="_Toc16753"/>
      <w:bookmarkStart w:id="129" w:name="_Toc571"/>
      <w:r>
        <w:rPr>
          <w:rFonts w:hint="eastAsia" w:ascii="宋体" w:hAnsi="宋体" w:eastAsia="宋体" w:cs="宋体"/>
          <w:b/>
          <w:bCs/>
          <w:color w:val="auto"/>
          <w:sz w:val="21"/>
          <w:szCs w:val="21"/>
          <w:lang w:val="zh-CN" w:eastAsia="zh-CN"/>
        </w:rPr>
        <w:t>六、公告期限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1A5DA534">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zh-CN" w:eastAsia="zh-CN"/>
        </w:rPr>
        <w:t xml:space="preserve">自本公告发布之日起 </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eastAsia="zh-CN"/>
        </w:rPr>
        <w:t xml:space="preserve"> 个工作日。</w:t>
      </w:r>
    </w:p>
    <w:p w14:paraId="29D2A487">
      <w:pPr>
        <w:adjustRightInd w:val="0"/>
        <w:snapToGrid w:val="0"/>
        <w:spacing w:line="360" w:lineRule="auto"/>
        <w:outlineLvl w:val="1"/>
        <w:rPr>
          <w:rFonts w:hint="eastAsia" w:ascii="宋体" w:hAnsi="宋体" w:eastAsia="宋体" w:cs="宋体"/>
          <w:b/>
          <w:bCs/>
          <w:color w:val="auto"/>
          <w:sz w:val="21"/>
          <w:szCs w:val="21"/>
          <w:lang w:eastAsia="zh-CN"/>
        </w:rPr>
      </w:pPr>
      <w:bookmarkStart w:id="130" w:name="_Toc13260"/>
      <w:bookmarkStart w:id="131" w:name="_Toc23645"/>
      <w:bookmarkStart w:id="132" w:name="_Toc7035"/>
      <w:bookmarkStart w:id="133" w:name="_Toc3421"/>
      <w:bookmarkStart w:id="134" w:name="_Toc10366"/>
      <w:bookmarkStart w:id="135" w:name="_Toc12427"/>
      <w:bookmarkStart w:id="136" w:name="_Toc8742"/>
      <w:bookmarkStart w:id="137" w:name="_Toc25497"/>
      <w:bookmarkStart w:id="138" w:name="_Toc11025"/>
      <w:bookmarkStart w:id="139" w:name="_Toc6644"/>
      <w:bookmarkStart w:id="140" w:name="_Toc26019"/>
      <w:bookmarkStart w:id="141" w:name="_Toc23402"/>
      <w:bookmarkStart w:id="142" w:name="_Toc9597"/>
      <w:bookmarkStart w:id="143" w:name="_Toc23787"/>
      <w:r>
        <w:rPr>
          <w:rFonts w:hint="eastAsia" w:ascii="宋体" w:hAnsi="宋体" w:eastAsia="宋体" w:cs="宋体"/>
          <w:b/>
          <w:bCs/>
          <w:color w:val="auto"/>
          <w:sz w:val="21"/>
          <w:szCs w:val="21"/>
          <w:lang w:val="zh-CN" w:eastAsia="zh-CN"/>
        </w:rPr>
        <w:t>七、其他补充事宜</w:t>
      </w:r>
      <w:bookmarkEnd w:id="130"/>
      <w:bookmarkEnd w:id="131"/>
      <w:bookmarkEnd w:id="132"/>
      <w:bookmarkEnd w:id="133"/>
      <w:bookmarkEnd w:id="134"/>
      <w:bookmarkEnd w:id="135"/>
      <w:bookmarkEnd w:id="136"/>
      <w:bookmarkStart w:id="144" w:name="_Toc30935"/>
      <w:bookmarkStart w:id="145" w:name="_Toc32754"/>
      <w:bookmarkStart w:id="146" w:name="_Toc16415"/>
      <w:bookmarkStart w:id="147" w:name="_Toc11509"/>
      <w:bookmarkStart w:id="148" w:name="_Toc27876"/>
      <w:bookmarkStart w:id="149" w:name="_Toc23593"/>
      <w:r>
        <w:rPr>
          <w:rFonts w:hint="eastAsia" w:ascii="宋体" w:hAnsi="宋体" w:eastAsia="宋体" w:cs="宋体"/>
          <w:b/>
          <w:bCs/>
          <w:color w:val="auto"/>
          <w:sz w:val="21"/>
          <w:szCs w:val="21"/>
          <w:lang w:val="zh-CN" w:eastAsia="zh-CN"/>
        </w:rPr>
        <w:t>：</w:t>
      </w:r>
      <w:bookmarkEnd w:id="137"/>
      <w:bookmarkEnd w:id="138"/>
      <w:bookmarkEnd w:id="139"/>
      <w:bookmarkEnd w:id="140"/>
      <w:bookmarkEnd w:id="141"/>
      <w:bookmarkEnd w:id="142"/>
      <w:bookmarkEnd w:id="143"/>
      <w:bookmarkStart w:id="150" w:name="_Toc1307"/>
      <w:bookmarkStart w:id="151" w:name="_Toc11417"/>
      <w:bookmarkStart w:id="152" w:name="_Toc5290"/>
      <w:bookmarkStart w:id="153" w:name="_Toc3845"/>
      <w:bookmarkStart w:id="154" w:name="_Toc3114"/>
      <w:bookmarkStart w:id="155" w:name="_Toc29868"/>
    </w:p>
    <w:bookmarkEnd w:id="150"/>
    <w:bookmarkEnd w:id="151"/>
    <w:bookmarkEnd w:id="152"/>
    <w:bookmarkEnd w:id="153"/>
    <w:bookmarkEnd w:id="154"/>
    <w:bookmarkEnd w:id="155"/>
    <w:p w14:paraId="234427FC">
      <w:pPr>
        <w:adjustRightInd w:val="0"/>
        <w:snapToGrid w:val="0"/>
        <w:spacing w:line="360" w:lineRule="auto"/>
        <w:ind w:firstLine="424" w:firstLineChars="202"/>
        <w:rPr>
          <w:rFonts w:hint="eastAsia" w:ascii="宋体" w:hAnsi="宋体" w:eastAsia="宋体" w:cs="宋体"/>
          <w:color w:val="auto"/>
          <w:sz w:val="21"/>
          <w:szCs w:val="21"/>
          <w:lang w:eastAsia="zh-CN"/>
        </w:rPr>
      </w:pPr>
      <w:bookmarkStart w:id="156" w:name="_Toc21640"/>
      <w:bookmarkStart w:id="157" w:name="_Toc13557"/>
      <w:bookmarkStart w:id="158" w:name="_Toc15350"/>
      <w:bookmarkStart w:id="159" w:name="_Toc32155"/>
      <w:bookmarkStart w:id="160" w:name="_Toc10841"/>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开标方式：远程开标</w:t>
      </w:r>
    </w:p>
    <w:p w14:paraId="52736EC6">
      <w:pPr>
        <w:adjustRightInd w:val="0"/>
        <w:snapToGrid w:val="0"/>
        <w:spacing w:line="360" w:lineRule="auto"/>
        <w:ind w:firstLine="424" w:firstLineChars="20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是否需要缴纳投标保证金:是</w:t>
      </w:r>
    </w:p>
    <w:p w14:paraId="700360AA">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cs="宋体"/>
          <w:color w:val="auto"/>
          <w:sz w:val="21"/>
          <w:szCs w:val="21"/>
          <w:lang w:eastAsia="zh-CN"/>
        </w:rPr>
        <w:t>2025-ZYCG-33</w:t>
      </w:r>
      <w:r>
        <w:rPr>
          <w:rFonts w:hint="eastAsia" w:ascii="宋体" w:hAnsi="宋体" w:eastAsia="宋体" w:cs="宋体"/>
          <w:color w:val="auto"/>
          <w:sz w:val="21"/>
          <w:szCs w:val="21"/>
          <w:lang w:eastAsia="zh-CN"/>
        </w:rPr>
        <w:t>)</w:t>
      </w:r>
      <w:r>
        <w:rPr>
          <w:rFonts w:hint="eastAsia" w:cs="宋体"/>
          <w:color w:val="auto"/>
          <w:sz w:val="21"/>
          <w:szCs w:val="21"/>
          <w:lang w:eastAsia="zh-CN"/>
        </w:rPr>
        <w:t>镇沅县古城镇建民村产业道路硬化建设项目</w:t>
      </w:r>
      <w:r>
        <w:rPr>
          <w:rFonts w:hint="eastAsia" w:ascii="宋体" w:hAnsi="宋体" w:eastAsia="宋体" w:cs="宋体"/>
          <w:color w:val="auto"/>
          <w:sz w:val="21"/>
          <w:szCs w:val="21"/>
          <w:lang w:eastAsia="zh-CN"/>
        </w:rPr>
        <w:t>保证金金额:</w:t>
      </w:r>
      <w:r>
        <w:rPr>
          <w:rFonts w:hint="eastAsia" w:cs="宋体"/>
          <w:color w:val="auto"/>
          <w:sz w:val="21"/>
          <w:szCs w:val="21"/>
          <w:lang w:val="en-US" w:eastAsia="zh-CN"/>
        </w:rPr>
        <w:t>1</w:t>
      </w:r>
      <w:r>
        <w:rPr>
          <w:rFonts w:hint="eastAsia" w:ascii="宋体" w:hAnsi="宋体" w:eastAsia="宋体" w:cs="宋体"/>
          <w:color w:val="auto"/>
          <w:sz w:val="21"/>
          <w:szCs w:val="21"/>
          <w:lang w:val="en-US" w:eastAsia="zh-CN"/>
        </w:rPr>
        <w:t>0000元</w:t>
      </w:r>
    </w:p>
    <w:p w14:paraId="6D9E8E10">
      <w:pPr>
        <w:adjustRightInd w:val="0"/>
        <w:snapToGrid w:val="0"/>
        <w:spacing w:line="360" w:lineRule="auto"/>
        <w:ind w:firstLine="424" w:firstLineChars="20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保证金缴纳方式:支票、汇票、本票、保函、保证保险、其他非现金形式</w:t>
      </w:r>
    </w:p>
    <w:p w14:paraId="4B0B01E7">
      <w:pPr>
        <w:adjustRightInd w:val="0"/>
        <w:snapToGrid w:val="0"/>
        <w:spacing w:line="360" w:lineRule="auto"/>
        <w:ind w:firstLine="424" w:firstLineChars="202"/>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保证金缴纳截止时间:</w:t>
      </w:r>
      <w:bookmarkEnd w:id="156"/>
      <w:bookmarkEnd w:id="157"/>
      <w:bookmarkStart w:id="161" w:name="_Toc832"/>
      <w:bookmarkStart w:id="162" w:name="_Toc7307"/>
      <w:r>
        <w:rPr>
          <w:rFonts w:hint="eastAsia" w:cs="宋体"/>
          <w:color w:val="auto"/>
          <w:sz w:val="21"/>
          <w:szCs w:val="21"/>
          <w:u w:val="none"/>
          <w:lang w:eastAsia="zh-CN"/>
        </w:rPr>
        <w:t>2025年10月2</w:t>
      </w:r>
      <w:r>
        <w:rPr>
          <w:rFonts w:hint="eastAsia" w:cs="宋体"/>
          <w:color w:val="auto"/>
          <w:sz w:val="21"/>
          <w:szCs w:val="21"/>
          <w:u w:val="none"/>
          <w:lang w:val="en-US" w:eastAsia="zh-CN"/>
        </w:rPr>
        <w:t>4</w:t>
      </w:r>
      <w:r>
        <w:rPr>
          <w:rFonts w:hint="eastAsia" w:cs="宋体"/>
          <w:color w:val="auto"/>
          <w:sz w:val="21"/>
          <w:szCs w:val="21"/>
          <w:u w:val="none"/>
          <w:lang w:eastAsia="zh-CN"/>
        </w:rPr>
        <w:t>日</w:t>
      </w:r>
      <w:r>
        <w:rPr>
          <w:rFonts w:hint="eastAsia" w:ascii="宋体" w:hAnsi="宋体" w:eastAsia="宋体" w:cs="宋体"/>
          <w:color w:val="auto"/>
          <w:sz w:val="21"/>
          <w:szCs w:val="21"/>
          <w:u w:val="none"/>
          <w:lang w:eastAsia="zh-CN"/>
        </w:rPr>
        <w:t>8时30分</w:t>
      </w:r>
    </w:p>
    <w:p w14:paraId="3746F0BA">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3.其他：</w:t>
      </w:r>
    </w:p>
    <w:p w14:paraId="2FF9AC30">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3.1发布公告的媒介：本次采购公告在《云南省政府采购网》上发布。采购人及采购代理机构对其他网站发布或转载的公告内容不承担任何责任。</w:t>
      </w:r>
    </w:p>
    <w:p w14:paraId="189021C6">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3.2本项目实行网上投标，采用电子投标文件；</w:t>
      </w:r>
    </w:p>
    <w:p w14:paraId="219663F0">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3.3各投标人应在开标前应确保成为政采云平台投标人，并完成CA数字证书申领。因未注册入库、未办理CA数字证书等原因造成无法投标或投标失败等后果由投标人自行承担。</w:t>
      </w:r>
    </w:p>
    <w:p w14:paraId="7FDDF582">
      <w:pPr>
        <w:adjustRightInd w:val="0"/>
        <w:snapToGrid w:val="0"/>
        <w:spacing w:line="360" w:lineRule="auto"/>
        <w:ind w:firstLine="424" w:firstLineChars="20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32695F46">
      <w:pPr>
        <w:widowControl/>
        <w:adjustRightInd w:val="0"/>
        <w:snapToGrid w:val="0"/>
        <w:spacing w:line="360" w:lineRule="auto"/>
        <w:outlineLvl w:val="1"/>
        <w:rPr>
          <w:rFonts w:hint="eastAsia" w:ascii="宋体" w:hAnsi="宋体" w:eastAsia="宋体" w:cs="宋体"/>
          <w:b/>
          <w:bCs/>
          <w:color w:val="auto"/>
          <w:sz w:val="21"/>
          <w:szCs w:val="21"/>
          <w:lang w:val="zh-CN" w:eastAsia="zh-CN"/>
        </w:rPr>
      </w:pPr>
      <w:bookmarkStart w:id="163" w:name="_Toc17034"/>
      <w:bookmarkStart w:id="164" w:name="_Toc1057"/>
      <w:r>
        <w:rPr>
          <w:rFonts w:hint="eastAsia" w:ascii="宋体" w:hAnsi="宋体" w:eastAsia="宋体" w:cs="宋体"/>
          <w:b/>
          <w:bCs/>
          <w:color w:val="auto"/>
          <w:sz w:val="21"/>
          <w:szCs w:val="21"/>
          <w:lang w:val="zh-CN" w:eastAsia="zh-CN"/>
        </w:rPr>
        <w:t>八、对本次采购提出询问，请按以下方式联系</w:t>
      </w:r>
      <w:bookmarkEnd w:id="144"/>
      <w:bookmarkEnd w:id="145"/>
      <w:bookmarkEnd w:id="146"/>
      <w:bookmarkEnd w:id="147"/>
      <w:bookmarkEnd w:id="148"/>
      <w:bookmarkEnd w:id="149"/>
      <w:r>
        <w:rPr>
          <w:rFonts w:hint="eastAsia" w:ascii="宋体" w:hAnsi="宋体" w:eastAsia="宋体" w:cs="宋体"/>
          <w:b/>
          <w:bCs/>
          <w:color w:val="auto"/>
          <w:sz w:val="21"/>
          <w:szCs w:val="21"/>
          <w:lang w:val="zh-CN" w:eastAsia="zh-CN"/>
        </w:rPr>
        <w:t>。</w:t>
      </w:r>
      <w:bookmarkEnd w:id="158"/>
      <w:bookmarkEnd w:id="159"/>
      <w:bookmarkEnd w:id="160"/>
      <w:bookmarkEnd w:id="161"/>
      <w:bookmarkEnd w:id="162"/>
      <w:bookmarkEnd w:id="163"/>
      <w:bookmarkEnd w:id="164"/>
    </w:p>
    <w:p w14:paraId="4C26376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1.采购人信息</w:t>
      </w:r>
    </w:p>
    <w:p w14:paraId="20E8E07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名 称：</w:t>
      </w:r>
      <w:r>
        <w:rPr>
          <w:rFonts w:hint="eastAsia" w:cs="宋体"/>
          <w:color w:val="auto"/>
          <w:sz w:val="21"/>
          <w:szCs w:val="21"/>
          <w:lang w:eastAsia="zh-CN"/>
        </w:rPr>
        <w:t>镇沅彝族哈尼族拉祜族自治县古城镇人民政府</w:t>
      </w:r>
      <w:r>
        <w:rPr>
          <w:rFonts w:hint="eastAsia" w:ascii="宋体" w:hAnsi="宋体" w:eastAsia="宋体" w:cs="宋体"/>
          <w:color w:val="auto"/>
          <w:sz w:val="21"/>
          <w:szCs w:val="21"/>
          <w:lang w:eastAsia="zh-CN"/>
        </w:rPr>
        <w:t xml:space="preserve">   </w:t>
      </w:r>
    </w:p>
    <w:p w14:paraId="5EE4DC1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地 址：</w:t>
      </w:r>
      <w:r>
        <w:rPr>
          <w:rFonts w:hint="eastAsia" w:cs="宋体"/>
          <w:color w:val="auto"/>
          <w:sz w:val="21"/>
          <w:szCs w:val="21"/>
          <w:lang w:val="en-US" w:eastAsia="zh-CN"/>
        </w:rPr>
        <w:t>镇沅县古城镇人民政府</w:t>
      </w:r>
    </w:p>
    <w:p w14:paraId="1EDA81D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联系方式：0879-5836013</w:t>
      </w:r>
    </w:p>
    <w:p w14:paraId="1751999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2.采购代理机构信息</w:t>
      </w:r>
    </w:p>
    <w:p w14:paraId="46D8F89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名 称：普洱市普平工程招标有限责任公司</w:t>
      </w:r>
    </w:p>
    <w:p w14:paraId="4C92D21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 址：普洱市思茅区龙生路83号</w:t>
      </w:r>
    </w:p>
    <w:p w14:paraId="19192A9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联系方式：</w:t>
      </w:r>
      <w:r>
        <w:rPr>
          <w:rFonts w:hint="eastAsia" w:ascii="宋体" w:hAnsi="宋体" w:eastAsia="宋体" w:cs="宋体"/>
          <w:color w:val="auto"/>
          <w:sz w:val="21"/>
          <w:szCs w:val="21"/>
          <w:lang w:val="en-US" w:eastAsia="zh-CN"/>
        </w:rPr>
        <w:t>0879-5811353</w:t>
      </w:r>
    </w:p>
    <w:p w14:paraId="33A0F12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3.项目联系方式</w:t>
      </w:r>
    </w:p>
    <w:p w14:paraId="3AA986D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联系人：张月娥</w:t>
      </w:r>
      <w:r>
        <w:rPr>
          <w:rFonts w:hint="eastAsia" w:ascii="宋体" w:hAnsi="宋体" w:eastAsia="宋体" w:cs="宋体"/>
          <w:color w:val="auto"/>
          <w:sz w:val="21"/>
          <w:szCs w:val="21"/>
          <w:lang w:val="en-US" w:eastAsia="zh-CN"/>
        </w:rPr>
        <w:t xml:space="preserve">  </w:t>
      </w:r>
    </w:p>
    <w:p w14:paraId="4AD08E0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1"/>
          <w:szCs w:val="21"/>
          <w:lang w:eastAsia="zh-CN"/>
        </w:rPr>
        <w:t>电 话：</w:t>
      </w:r>
      <w:r>
        <w:rPr>
          <w:rFonts w:hint="eastAsia" w:ascii="宋体" w:hAnsi="宋体" w:eastAsia="宋体" w:cs="宋体"/>
          <w:color w:val="auto"/>
          <w:sz w:val="21"/>
          <w:szCs w:val="21"/>
          <w:lang w:val="en-US" w:eastAsia="zh-CN"/>
        </w:rPr>
        <w:t>13312771370</w:t>
      </w:r>
    </w:p>
    <w:p w14:paraId="2F371F96">
      <w:pPr>
        <w:pStyle w:val="30"/>
        <w:rPr>
          <w:rFonts w:hint="eastAsia" w:cs="宋体"/>
          <w:color w:val="auto"/>
          <w:sz w:val="24"/>
          <w:szCs w:val="24"/>
          <w:lang w:val="en-US" w:eastAsia="zh-CN"/>
        </w:rPr>
      </w:pPr>
    </w:p>
    <w:p w14:paraId="102EE591">
      <w:pPr>
        <w:rPr>
          <w:rFonts w:hint="eastAsia" w:cs="宋体"/>
          <w:color w:val="auto"/>
          <w:sz w:val="24"/>
          <w:szCs w:val="24"/>
          <w:lang w:val="en-US" w:eastAsia="zh-CN"/>
        </w:rPr>
      </w:pPr>
    </w:p>
    <w:p w14:paraId="61C02D87">
      <w:pPr>
        <w:pStyle w:val="12"/>
        <w:rPr>
          <w:rFonts w:hint="eastAsia" w:cs="宋体"/>
          <w:color w:val="auto"/>
          <w:sz w:val="24"/>
          <w:szCs w:val="24"/>
          <w:lang w:val="en-US" w:eastAsia="zh-CN"/>
        </w:rPr>
      </w:pPr>
    </w:p>
    <w:p w14:paraId="23B177C4">
      <w:pPr>
        <w:rPr>
          <w:rFonts w:hint="eastAsia" w:cs="宋体"/>
          <w:color w:val="auto"/>
          <w:sz w:val="24"/>
          <w:szCs w:val="24"/>
          <w:lang w:val="en-US" w:eastAsia="zh-CN"/>
        </w:rPr>
      </w:pPr>
    </w:p>
    <w:p w14:paraId="76293361">
      <w:pPr>
        <w:pStyle w:val="12"/>
        <w:rPr>
          <w:rFonts w:hint="eastAsia" w:cs="宋体"/>
          <w:color w:val="auto"/>
          <w:sz w:val="24"/>
          <w:szCs w:val="24"/>
          <w:lang w:val="en-US" w:eastAsia="zh-CN"/>
        </w:rPr>
      </w:pPr>
    </w:p>
    <w:p w14:paraId="7267AB6A">
      <w:pPr>
        <w:rPr>
          <w:rFonts w:hint="eastAsia" w:cs="宋体"/>
          <w:color w:val="auto"/>
          <w:sz w:val="24"/>
          <w:szCs w:val="24"/>
          <w:lang w:val="en-US" w:eastAsia="zh-CN"/>
        </w:rPr>
      </w:pPr>
    </w:p>
    <w:p w14:paraId="76469A29">
      <w:pPr>
        <w:pStyle w:val="12"/>
        <w:rPr>
          <w:rFonts w:hint="eastAsia" w:cs="宋体"/>
          <w:color w:val="auto"/>
          <w:sz w:val="24"/>
          <w:szCs w:val="24"/>
          <w:lang w:val="en-US" w:eastAsia="zh-CN"/>
        </w:rPr>
      </w:pPr>
    </w:p>
    <w:p w14:paraId="54A52D48">
      <w:pPr>
        <w:rPr>
          <w:rFonts w:hint="eastAsia" w:cs="宋体"/>
          <w:color w:val="auto"/>
          <w:sz w:val="24"/>
          <w:szCs w:val="24"/>
          <w:lang w:val="en-US" w:eastAsia="zh-CN"/>
        </w:rPr>
      </w:pPr>
    </w:p>
    <w:p w14:paraId="7142E56F">
      <w:pPr>
        <w:pStyle w:val="12"/>
        <w:rPr>
          <w:rFonts w:hint="eastAsia" w:cs="宋体"/>
          <w:color w:val="auto"/>
          <w:sz w:val="24"/>
          <w:szCs w:val="24"/>
          <w:lang w:val="en-US" w:eastAsia="zh-CN"/>
        </w:rPr>
      </w:pPr>
    </w:p>
    <w:p w14:paraId="145342F9">
      <w:pPr>
        <w:rPr>
          <w:rFonts w:hint="eastAsia" w:cs="宋体"/>
          <w:color w:val="auto"/>
          <w:sz w:val="24"/>
          <w:szCs w:val="24"/>
          <w:lang w:val="en-US" w:eastAsia="zh-CN"/>
        </w:rPr>
      </w:pPr>
    </w:p>
    <w:p w14:paraId="65F7747E">
      <w:pPr>
        <w:pStyle w:val="12"/>
        <w:rPr>
          <w:rFonts w:hint="eastAsia" w:cs="宋体"/>
          <w:color w:val="auto"/>
          <w:sz w:val="24"/>
          <w:szCs w:val="24"/>
          <w:lang w:val="en-US" w:eastAsia="zh-CN"/>
        </w:rPr>
      </w:pPr>
    </w:p>
    <w:p w14:paraId="6349B94F">
      <w:pPr>
        <w:rPr>
          <w:rFonts w:hint="eastAsia"/>
          <w:color w:val="auto"/>
          <w:lang w:val="en-US" w:eastAsia="zh-CN"/>
        </w:rPr>
      </w:pPr>
    </w:p>
    <w:p w14:paraId="4D77A7C5">
      <w:pPr>
        <w:pStyle w:val="30"/>
        <w:rPr>
          <w:rFonts w:hint="eastAsia" w:cs="宋体"/>
          <w:color w:val="auto"/>
          <w:sz w:val="24"/>
          <w:szCs w:val="24"/>
          <w:lang w:val="en-US" w:eastAsia="zh-CN"/>
        </w:rPr>
      </w:pPr>
    </w:p>
    <w:p w14:paraId="3B637FB0">
      <w:pPr>
        <w:rPr>
          <w:rFonts w:hint="eastAsia" w:cs="宋体"/>
          <w:color w:val="auto"/>
          <w:sz w:val="24"/>
          <w:szCs w:val="24"/>
          <w:lang w:val="en-US" w:eastAsia="zh-CN"/>
        </w:rPr>
      </w:pPr>
    </w:p>
    <w:p w14:paraId="1298C4BB">
      <w:pPr>
        <w:pStyle w:val="12"/>
        <w:rPr>
          <w:rFonts w:hint="eastAsia"/>
          <w:color w:val="auto"/>
          <w:lang w:val="en-US" w:eastAsia="zh-CN"/>
        </w:rPr>
      </w:pPr>
    </w:p>
    <w:p w14:paraId="223572E6">
      <w:pPr>
        <w:rPr>
          <w:rFonts w:hint="eastAsia"/>
          <w:color w:val="auto"/>
          <w:lang w:val="en-US" w:eastAsia="zh-CN"/>
        </w:rPr>
      </w:pPr>
    </w:p>
    <w:p w14:paraId="1293CC4A">
      <w:pPr>
        <w:pStyle w:val="12"/>
        <w:rPr>
          <w:rFonts w:hint="eastAsia"/>
          <w:color w:val="auto"/>
          <w:lang w:val="en-US" w:eastAsia="zh-CN"/>
        </w:rPr>
      </w:pPr>
    </w:p>
    <w:p w14:paraId="507BCC13">
      <w:pPr>
        <w:rPr>
          <w:rFonts w:hint="eastAsia"/>
          <w:color w:val="auto"/>
          <w:lang w:val="en-US" w:eastAsia="zh-CN"/>
        </w:rPr>
      </w:pPr>
    </w:p>
    <w:p w14:paraId="79E24781">
      <w:pPr>
        <w:pStyle w:val="2"/>
        <w:numPr>
          <w:ilvl w:val="0"/>
          <w:numId w:val="1"/>
        </w:numPr>
        <w:adjustRightInd w:val="0"/>
        <w:snapToGrid w:val="0"/>
        <w:spacing w:line="240" w:lineRule="auto"/>
        <w:rPr>
          <w:rFonts w:hint="eastAsia" w:ascii="宋体" w:hAnsi="宋体" w:eastAsia="宋体" w:cs="宋体"/>
          <w:color w:val="auto"/>
          <w:sz w:val="36"/>
          <w:szCs w:val="36"/>
          <w:lang w:eastAsia="zh-CN"/>
        </w:rPr>
      </w:pPr>
      <w:bookmarkStart w:id="165" w:name="_Toc518560875"/>
      <w:bookmarkStart w:id="166" w:name="_Toc24820"/>
      <w:bookmarkStart w:id="167" w:name="_Toc977"/>
      <w:bookmarkStart w:id="168" w:name="_Toc7622"/>
      <w:bookmarkStart w:id="169" w:name="_Toc520578602"/>
      <w:bookmarkStart w:id="170" w:name="_Toc23018_WPSOffice_Level1"/>
      <w:bookmarkStart w:id="171" w:name="_Toc29793"/>
      <w:bookmarkStart w:id="172" w:name="_Toc29978"/>
      <w:bookmarkStart w:id="173" w:name="_Toc27165"/>
      <w:r>
        <w:rPr>
          <w:rFonts w:hint="eastAsia" w:ascii="宋体" w:hAnsi="宋体" w:eastAsia="宋体" w:cs="宋体"/>
          <w:color w:val="auto"/>
          <w:sz w:val="36"/>
          <w:szCs w:val="36"/>
          <w:lang w:eastAsia="zh-CN"/>
        </w:rPr>
        <w:t>供应商须知</w:t>
      </w:r>
      <w:bookmarkEnd w:id="165"/>
      <w:bookmarkEnd w:id="166"/>
      <w:bookmarkEnd w:id="167"/>
      <w:bookmarkEnd w:id="168"/>
      <w:bookmarkEnd w:id="169"/>
      <w:bookmarkEnd w:id="170"/>
      <w:bookmarkEnd w:id="171"/>
      <w:bookmarkEnd w:id="172"/>
      <w:bookmarkEnd w:id="173"/>
    </w:p>
    <w:p w14:paraId="76073069">
      <w:pPr>
        <w:keepNext/>
        <w:keepLines/>
        <w:autoSpaceDE/>
        <w:autoSpaceDN/>
        <w:spacing w:line="400" w:lineRule="exact"/>
        <w:jc w:val="center"/>
        <w:outlineLvl w:val="1"/>
        <w:rPr>
          <w:rFonts w:hint="eastAsia" w:ascii="宋体" w:hAnsi="宋体" w:eastAsia="宋体" w:cs="宋体"/>
          <w:color w:val="auto"/>
          <w:kern w:val="2"/>
          <w:sz w:val="24"/>
          <w:szCs w:val="24"/>
          <w:lang w:eastAsia="zh-CN"/>
        </w:rPr>
      </w:pPr>
      <w:bookmarkStart w:id="174" w:name="_Toc17186"/>
      <w:bookmarkStart w:id="175" w:name="_Toc27792"/>
      <w:bookmarkStart w:id="176" w:name="_Toc2826"/>
      <w:bookmarkStart w:id="177" w:name="_Toc2157"/>
      <w:bookmarkStart w:id="178" w:name="_Toc86124039"/>
      <w:bookmarkStart w:id="179" w:name="_Toc4948"/>
      <w:bookmarkStart w:id="180" w:name="_Toc6283"/>
      <w:bookmarkStart w:id="181" w:name="_Toc31534"/>
      <w:bookmarkStart w:id="182" w:name="_Toc2534"/>
      <w:bookmarkStart w:id="183" w:name="_Toc23551"/>
      <w:bookmarkStart w:id="184" w:name="_Toc30163"/>
      <w:bookmarkStart w:id="185" w:name="_Toc12705"/>
      <w:r>
        <w:rPr>
          <w:rFonts w:hint="eastAsia" w:ascii="宋体" w:hAnsi="宋体" w:eastAsia="宋体" w:cs="宋体"/>
          <w:b/>
          <w:color w:val="auto"/>
          <w:sz w:val="24"/>
          <w:szCs w:val="24"/>
          <w:lang w:eastAsia="zh-CN"/>
        </w:rPr>
        <w:t>供应商须知前附表</w:t>
      </w:r>
      <w:bookmarkEnd w:id="174"/>
      <w:bookmarkEnd w:id="175"/>
      <w:bookmarkEnd w:id="176"/>
      <w:bookmarkEnd w:id="177"/>
      <w:bookmarkEnd w:id="178"/>
      <w:bookmarkEnd w:id="179"/>
      <w:bookmarkEnd w:id="180"/>
      <w:bookmarkEnd w:id="181"/>
      <w:bookmarkEnd w:id="182"/>
      <w:bookmarkEnd w:id="183"/>
      <w:bookmarkEnd w:id="184"/>
      <w:bookmarkEnd w:id="185"/>
    </w:p>
    <w:tbl>
      <w:tblPr>
        <w:tblStyle w:val="33"/>
        <w:tblW w:w="102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3"/>
        <w:gridCol w:w="1499"/>
        <w:gridCol w:w="7451"/>
      </w:tblGrid>
      <w:tr w14:paraId="2F0CF4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tblHeader/>
          <w:jc w:val="center"/>
        </w:trPr>
        <w:tc>
          <w:tcPr>
            <w:tcW w:w="1273" w:type="dxa"/>
            <w:tcBorders>
              <w:top w:val="single" w:color="auto" w:sz="4" w:space="0"/>
              <w:left w:val="single" w:color="auto" w:sz="4" w:space="0"/>
              <w:bottom w:val="single" w:color="auto" w:sz="4" w:space="0"/>
              <w:right w:val="single" w:color="auto" w:sz="4" w:space="0"/>
            </w:tcBorders>
            <w:vAlign w:val="center"/>
          </w:tcPr>
          <w:p w14:paraId="303C3266">
            <w:pPr>
              <w:autoSpaceDE/>
              <w:autoSpaceDN/>
              <w:spacing w:line="600" w:lineRule="exact"/>
              <w:jc w:val="center"/>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序号</w:t>
            </w:r>
          </w:p>
        </w:tc>
        <w:tc>
          <w:tcPr>
            <w:tcW w:w="1499" w:type="dxa"/>
            <w:tcBorders>
              <w:top w:val="single" w:color="auto" w:sz="4" w:space="0"/>
              <w:left w:val="single" w:color="auto" w:sz="4" w:space="0"/>
              <w:bottom w:val="single" w:color="auto" w:sz="4" w:space="0"/>
              <w:right w:val="single" w:color="auto" w:sz="4" w:space="0"/>
            </w:tcBorders>
            <w:vAlign w:val="center"/>
          </w:tcPr>
          <w:p w14:paraId="0FBD1420">
            <w:pPr>
              <w:autoSpaceDE/>
              <w:autoSpaceDN/>
              <w:spacing w:line="600" w:lineRule="exact"/>
              <w:jc w:val="center"/>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条 款 名 称</w:t>
            </w:r>
          </w:p>
        </w:tc>
        <w:tc>
          <w:tcPr>
            <w:tcW w:w="7451" w:type="dxa"/>
            <w:tcBorders>
              <w:top w:val="single" w:color="auto" w:sz="4" w:space="0"/>
              <w:left w:val="single" w:color="auto" w:sz="4" w:space="0"/>
              <w:bottom w:val="single" w:color="auto" w:sz="4" w:space="0"/>
              <w:right w:val="single" w:color="auto" w:sz="4" w:space="0"/>
            </w:tcBorders>
            <w:vAlign w:val="center"/>
          </w:tcPr>
          <w:p w14:paraId="2E102BE5">
            <w:pPr>
              <w:autoSpaceDE/>
              <w:autoSpaceDN/>
              <w:spacing w:line="600" w:lineRule="exact"/>
              <w:jc w:val="center"/>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编 列 内 容</w:t>
            </w:r>
          </w:p>
        </w:tc>
      </w:tr>
      <w:tr w14:paraId="7FAAF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93" w:hRule="atLeast"/>
          <w:jc w:val="center"/>
        </w:trPr>
        <w:tc>
          <w:tcPr>
            <w:tcW w:w="1273" w:type="dxa"/>
            <w:vMerge w:val="restart"/>
            <w:tcBorders>
              <w:top w:val="single" w:color="auto" w:sz="4" w:space="0"/>
              <w:left w:val="single" w:color="auto" w:sz="4" w:space="0"/>
              <w:bottom w:val="single" w:color="auto" w:sz="4" w:space="0"/>
              <w:right w:val="single" w:color="auto" w:sz="4" w:space="0"/>
            </w:tcBorders>
            <w:vAlign w:val="center"/>
          </w:tcPr>
          <w:p w14:paraId="55ED322D">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w:t>
            </w:r>
            <w:r>
              <w:rPr>
                <w:rFonts w:hint="eastAsia" w:ascii="宋体" w:hAnsi="宋体" w:eastAsia="宋体" w:cs="宋体"/>
                <w:color w:val="auto"/>
                <w:kern w:val="2"/>
                <w:sz w:val="21"/>
                <w:szCs w:val="21"/>
                <w:lang w:val="en-US" w:eastAsia="zh-CN"/>
              </w:rPr>
              <w:t>1</w:t>
            </w:r>
          </w:p>
        </w:tc>
        <w:tc>
          <w:tcPr>
            <w:tcW w:w="1499" w:type="dxa"/>
            <w:tcBorders>
              <w:top w:val="single" w:color="auto" w:sz="4" w:space="0"/>
              <w:left w:val="single" w:color="auto" w:sz="4" w:space="0"/>
              <w:bottom w:val="single" w:color="auto" w:sz="4" w:space="0"/>
              <w:right w:val="single" w:color="auto" w:sz="4" w:space="0"/>
            </w:tcBorders>
            <w:vAlign w:val="center"/>
          </w:tcPr>
          <w:p w14:paraId="1BEE3B42">
            <w:pPr>
              <w:autoSpaceDE/>
              <w:autoSpaceDN/>
              <w:spacing w:line="600" w:lineRule="exact"/>
              <w:jc w:val="center"/>
              <w:rPr>
                <w:rFonts w:hint="eastAsia" w:ascii="宋体" w:hAnsi="宋体" w:eastAsia="宋体" w:cs="宋体"/>
                <w:color w:val="auto"/>
                <w:kern w:val="2"/>
                <w:sz w:val="21"/>
                <w:szCs w:val="21"/>
                <w:u w:val="single"/>
                <w:lang w:eastAsia="zh-CN"/>
              </w:rPr>
            </w:pPr>
            <w:r>
              <w:rPr>
                <w:rFonts w:hint="eastAsia" w:ascii="宋体" w:hAnsi="宋体" w:eastAsia="宋体" w:cs="宋体"/>
                <w:bCs/>
                <w:color w:val="auto"/>
                <w:kern w:val="2"/>
                <w:sz w:val="21"/>
                <w:szCs w:val="21"/>
                <w:lang w:eastAsia="zh-CN"/>
              </w:rPr>
              <w:t>采购人</w:t>
            </w:r>
          </w:p>
        </w:tc>
        <w:tc>
          <w:tcPr>
            <w:tcW w:w="7451" w:type="dxa"/>
            <w:tcBorders>
              <w:top w:val="single" w:color="auto" w:sz="4" w:space="0"/>
              <w:left w:val="single" w:color="auto" w:sz="4" w:space="0"/>
              <w:bottom w:val="single" w:color="auto" w:sz="4" w:space="0"/>
              <w:right w:val="single" w:color="auto" w:sz="4" w:space="0"/>
            </w:tcBorders>
            <w:vAlign w:val="center"/>
          </w:tcPr>
          <w:p w14:paraId="624ECA4D">
            <w:pPr>
              <w:autoSpaceDE/>
              <w:autoSpaceDN/>
              <w:spacing w:line="360" w:lineRule="auto"/>
              <w:jc w:val="both"/>
              <w:rPr>
                <w:rFonts w:hint="eastAsia" w:ascii="宋体" w:hAnsi="宋体" w:eastAsia="宋体" w:cs="宋体"/>
                <w:bCs/>
                <w:color w:val="auto"/>
                <w:spacing w:val="-6"/>
                <w:kern w:val="2"/>
                <w:sz w:val="21"/>
                <w:szCs w:val="21"/>
                <w:lang w:eastAsia="zh-CN"/>
              </w:rPr>
            </w:pPr>
            <w:r>
              <w:rPr>
                <w:rFonts w:hint="eastAsia" w:ascii="宋体" w:hAnsi="宋体" w:eastAsia="宋体" w:cs="宋体"/>
                <w:bCs/>
                <w:color w:val="auto"/>
                <w:spacing w:val="-6"/>
                <w:kern w:val="2"/>
                <w:sz w:val="21"/>
                <w:szCs w:val="21"/>
                <w:lang w:val="en-US" w:eastAsia="zh-CN"/>
              </w:rPr>
              <w:t>单位</w:t>
            </w:r>
            <w:r>
              <w:rPr>
                <w:rFonts w:hint="eastAsia" w:ascii="宋体" w:hAnsi="宋体" w:eastAsia="宋体" w:cs="宋体"/>
                <w:bCs/>
                <w:color w:val="auto"/>
                <w:spacing w:val="-6"/>
                <w:kern w:val="2"/>
                <w:sz w:val="21"/>
                <w:szCs w:val="21"/>
                <w:lang w:eastAsia="zh-CN"/>
              </w:rPr>
              <w:t>名称：</w:t>
            </w:r>
            <w:r>
              <w:rPr>
                <w:rFonts w:hint="eastAsia" w:cs="宋体"/>
                <w:bCs/>
                <w:color w:val="auto"/>
                <w:spacing w:val="-6"/>
                <w:kern w:val="2"/>
                <w:sz w:val="21"/>
                <w:szCs w:val="21"/>
                <w:lang w:eastAsia="zh-CN"/>
              </w:rPr>
              <w:t>镇沅彝族哈尼族拉祜族自治县古城镇人民政府</w:t>
            </w:r>
          </w:p>
          <w:p w14:paraId="623F3437">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color w:val="auto"/>
                <w:spacing w:val="-6"/>
                <w:kern w:val="2"/>
                <w:sz w:val="21"/>
                <w:szCs w:val="21"/>
                <w:lang w:eastAsia="zh-CN"/>
              </w:rPr>
            </w:pPr>
            <w:r>
              <w:rPr>
                <w:rFonts w:hint="eastAsia" w:ascii="宋体" w:hAnsi="宋体" w:eastAsia="宋体" w:cs="宋体"/>
                <w:bCs/>
                <w:color w:val="auto"/>
                <w:spacing w:val="-6"/>
                <w:kern w:val="2"/>
                <w:sz w:val="21"/>
                <w:szCs w:val="21"/>
                <w:lang w:eastAsia="zh-CN"/>
              </w:rPr>
              <w:t>地址：</w:t>
            </w:r>
            <w:r>
              <w:rPr>
                <w:rFonts w:hint="eastAsia" w:cs="宋体"/>
                <w:color w:val="auto"/>
                <w:sz w:val="21"/>
                <w:szCs w:val="21"/>
                <w:lang w:val="en-US" w:eastAsia="zh-CN"/>
              </w:rPr>
              <w:t>镇沅县古城镇人民政府</w:t>
            </w:r>
            <w:r>
              <w:rPr>
                <w:rFonts w:hint="eastAsia" w:ascii="宋体" w:hAnsi="宋体" w:eastAsia="宋体" w:cs="宋体"/>
                <w:bCs/>
                <w:color w:val="auto"/>
                <w:spacing w:val="-6"/>
                <w:kern w:val="2"/>
                <w:sz w:val="21"/>
                <w:szCs w:val="21"/>
                <w:lang w:eastAsia="zh-CN"/>
              </w:rPr>
              <w:t xml:space="preserve"> </w:t>
            </w:r>
          </w:p>
          <w:p w14:paraId="5181C944">
            <w:pPr>
              <w:autoSpaceDE/>
              <w:autoSpaceDN/>
              <w:spacing w:line="360" w:lineRule="auto"/>
              <w:jc w:val="both"/>
              <w:rPr>
                <w:rFonts w:hint="default" w:ascii="宋体" w:hAnsi="宋体" w:eastAsia="宋体" w:cs="宋体"/>
                <w:bCs/>
                <w:color w:val="auto"/>
                <w:spacing w:val="-6"/>
                <w:kern w:val="2"/>
                <w:sz w:val="21"/>
                <w:szCs w:val="21"/>
                <w:lang w:val="en-US" w:eastAsia="zh-CN"/>
              </w:rPr>
            </w:pPr>
            <w:r>
              <w:rPr>
                <w:rFonts w:hint="eastAsia" w:ascii="宋体" w:hAnsi="宋体" w:eastAsia="宋体" w:cs="宋体"/>
                <w:bCs/>
                <w:color w:val="auto"/>
                <w:spacing w:val="-6"/>
                <w:kern w:val="2"/>
                <w:sz w:val="21"/>
                <w:szCs w:val="21"/>
                <w:lang w:eastAsia="zh-CN"/>
              </w:rPr>
              <w:t>联系人：陶一博</w:t>
            </w:r>
          </w:p>
          <w:p w14:paraId="4ACA8280">
            <w:pPr>
              <w:widowControl/>
              <w:adjustRightInd w:val="0"/>
              <w:snapToGrid w:val="0"/>
              <w:spacing w:line="360" w:lineRule="auto"/>
              <w:rPr>
                <w:rFonts w:hint="default" w:ascii="宋体" w:hAnsi="宋体" w:eastAsia="宋体" w:cs="宋体"/>
                <w:bCs/>
                <w:color w:val="auto"/>
                <w:kern w:val="2"/>
                <w:sz w:val="21"/>
                <w:szCs w:val="21"/>
                <w:lang w:val="en-US" w:eastAsia="zh-CN"/>
              </w:rPr>
            </w:pPr>
            <w:r>
              <w:rPr>
                <w:rFonts w:hint="eastAsia" w:ascii="宋体" w:hAnsi="宋体" w:eastAsia="宋体" w:cs="宋体"/>
                <w:bCs/>
                <w:color w:val="auto"/>
                <w:spacing w:val="-6"/>
                <w:kern w:val="2"/>
                <w:sz w:val="21"/>
                <w:szCs w:val="21"/>
                <w:lang w:eastAsia="zh-CN"/>
              </w:rPr>
              <w:t>电 话：15008702323</w:t>
            </w:r>
          </w:p>
        </w:tc>
      </w:tr>
      <w:tr w14:paraId="148E4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27" w:hRule="atLeast"/>
          <w:jc w:val="center"/>
        </w:trPr>
        <w:tc>
          <w:tcPr>
            <w:tcW w:w="1273" w:type="dxa"/>
            <w:vMerge w:val="continue"/>
            <w:tcBorders>
              <w:top w:val="single" w:color="auto" w:sz="4" w:space="0"/>
              <w:left w:val="single" w:color="auto" w:sz="4" w:space="0"/>
              <w:bottom w:val="single" w:color="auto" w:sz="4" w:space="0"/>
              <w:right w:val="single" w:color="auto" w:sz="4" w:space="0"/>
            </w:tcBorders>
            <w:vAlign w:val="center"/>
          </w:tcPr>
          <w:p w14:paraId="41471520">
            <w:pPr>
              <w:widowControl/>
              <w:autoSpaceDE/>
              <w:autoSpaceDN/>
              <w:spacing w:line="600" w:lineRule="exact"/>
              <w:jc w:val="center"/>
              <w:rPr>
                <w:rFonts w:hint="eastAsia" w:ascii="宋体" w:hAnsi="宋体" w:eastAsia="宋体" w:cs="宋体"/>
                <w:color w:val="auto"/>
                <w:kern w:val="2"/>
                <w:sz w:val="21"/>
                <w:szCs w:val="21"/>
                <w:lang w:eastAsia="zh-CN"/>
              </w:rPr>
            </w:pPr>
          </w:p>
        </w:tc>
        <w:tc>
          <w:tcPr>
            <w:tcW w:w="1499" w:type="dxa"/>
            <w:tcBorders>
              <w:top w:val="single" w:color="auto" w:sz="4" w:space="0"/>
              <w:left w:val="single" w:color="auto" w:sz="4" w:space="0"/>
              <w:bottom w:val="single" w:color="auto" w:sz="4" w:space="0"/>
              <w:right w:val="single" w:color="auto" w:sz="4" w:space="0"/>
            </w:tcBorders>
            <w:vAlign w:val="center"/>
          </w:tcPr>
          <w:p w14:paraId="5FC30EB1">
            <w:pPr>
              <w:autoSpaceDE/>
              <w:autoSpaceDN/>
              <w:spacing w:line="600" w:lineRule="exact"/>
              <w:jc w:val="center"/>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招标代理机构</w:t>
            </w:r>
          </w:p>
        </w:tc>
        <w:tc>
          <w:tcPr>
            <w:tcW w:w="7451" w:type="dxa"/>
            <w:tcBorders>
              <w:top w:val="single" w:color="auto" w:sz="4" w:space="0"/>
              <w:left w:val="single" w:color="auto" w:sz="4" w:space="0"/>
              <w:bottom w:val="single" w:color="auto" w:sz="4" w:space="0"/>
              <w:right w:val="single" w:color="auto" w:sz="4" w:space="0"/>
            </w:tcBorders>
            <w:vAlign w:val="center"/>
          </w:tcPr>
          <w:p w14:paraId="16DBD413">
            <w:pPr>
              <w:autoSpaceDE/>
              <w:autoSpaceDN/>
              <w:adjustRightInd w:val="0"/>
              <w:snapToGrid w:val="0"/>
              <w:spacing w:line="360" w:lineRule="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招标代理机构：普洱市普平工程招标有限责任公司</w:t>
            </w:r>
          </w:p>
          <w:p w14:paraId="5A0DFBB1">
            <w:pPr>
              <w:autoSpaceDE/>
              <w:autoSpaceDN/>
              <w:adjustRightInd w:val="0"/>
              <w:snapToGrid w:val="0"/>
              <w:spacing w:line="360" w:lineRule="auto"/>
              <w:rPr>
                <w:rFonts w:hint="eastAsia" w:ascii="宋体" w:hAnsi="宋体" w:eastAsia="宋体" w:cs="宋体"/>
                <w:bCs/>
                <w:color w:val="auto"/>
                <w:spacing w:val="-6"/>
                <w:kern w:val="2"/>
                <w:sz w:val="21"/>
                <w:szCs w:val="21"/>
                <w:lang w:eastAsia="zh-CN"/>
              </w:rPr>
            </w:pPr>
            <w:r>
              <w:rPr>
                <w:rFonts w:hint="eastAsia" w:ascii="宋体" w:hAnsi="宋体" w:eastAsia="宋体" w:cs="宋体"/>
                <w:color w:val="auto"/>
                <w:kern w:val="2"/>
                <w:sz w:val="21"/>
                <w:szCs w:val="21"/>
                <w:lang w:eastAsia="zh-CN"/>
              </w:rPr>
              <w:t>地 址：</w:t>
            </w:r>
            <w:r>
              <w:rPr>
                <w:rFonts w:hint="eastAsia" w:ascii="宋体" w:hAnsi="宋体" w:eastAsia="宋体" w:cs="宋体"/>
                <w:b w:val="0"/>
                <w:bCs/>
                <w:color w:val="auto"/>
                <w:sz w:val="21"/>
                <w:szCs w:val="21"/>
                <w:highlight w:val="none"/>
                <w:u w:val="none"/>
                <w:lang w:val="en-US" w:eastAsia="zh-CN"/>
              </w:rPr>
              <w:t>普洱市思茅区龙生路83号</w:t>
            </w:r>
          </w:p>
          <w:p w14:paraId="78D2261A">
            <w:pPr>
              <w:autoSpaceDE/>
              <w:autoSpaceDN/>
              <w:adjustRightInd w:val="0"/>
              <w:snapToGrid w:val="0"/>
              <w:spacing w:line="360" w:lineRule="auto"/>
              <w:rPr>
                <w:rFonts w:hint="eastAsia" w:ascii="宋体" w:hAnsi="宋体" w:eastAsia="宋体" w:cs="宋体"/>
                <w:bCs/>
                <w:color w:val="auto"/>
                <w:spacing w:val="-6"/>
                <w:kern w:val="2"/>
                <w:sz w:val="21"/>
                <w:szCs w:val="21"/>
                <w:lang w:val="en-US" w:eastAsia="zh-CN"/>
              </w:rPr>
            </w:pPr>
            <w:r>
              <w:rPr>
                <w:rFonts w:hint="eastAsia" w:ascii="宋体" w:hAnsi="宋体" w:eastAsia="宋体" w:cs="宋体"/>
                <w:bCs/>
                <w:color w:val="auto"/>
                <w:spacing w:val="-6"/>
                <w:kern w:val="2"/>
                <w:sz w:val="21"/>
                <w:szCs w:val="21"/>
                <w:lang w:eastAsia="zh-CN"/>
              </w:rPr>
              <w:t>联 系 人：</w:t>
            </w:r>
            <w:r>
              <w:rPr>
                <w:rFonts w:hint="eastAsia" w:ascii="宋体" w:hAnsi="宋体" w:eastAsia="宋体" w:cs="宋体"/>
                <w:color w:val="auto"/>
                <w:sz w:val="21"/>
                <w:szCs w:val="21"/>
                <w:lang w:eastAsia="zh-CN"/>
              </w:rPr>
              <w:t>张月娥</w:t>
            </w:r>
          </w:p>
          <w:p w14:paraId="6D439ACD">
            <w:pPr>
              <w:widowControl/>
              <w:adjustRightInd w:val="0"/>
              <w:snapToGrid w:val="0"/>
              <w:spacing w:line="360" w:lineRule="auto"/>
              <w:rPr>
                <w:rFonts w:hint="eastAsia" w:ascii="宋体" w:hAnsi="宋体" w:eastAsia="宋体" w:cs="宋体"/>
                <w:bCs/>
                <w:color w:val="auto"/>
                <w:kern w:val="2"/>
                <w:sz w:val="21"/>
                <w:szCs w:val="21"/>
                <w:lang w:val="en-US" w:eastAsia="zh-CN"/>
              </w:rPr>
            </w:pPr>
            <w:r>
              <w:rPr>
                <w:rFonts w:hint="eastAsia" w:ascii="宋体" w:hAnsi="宋体" w:eastAsia="宋体" w:cs="宋体"/>
                <w:bCs/>
                <w:color w:val="auto"/>
                <w:spacing w:val="-6"/>
                <w:kern w:val="2"/>
                <w:sz w:val="21"/>
                <w:szCs w:val="21"/>
                <w:lang w:eastAsia="zh-CN"/>
              </w:rPr>
              <w:t>联系电话：</w:t>
            </w:r>
            <w:r>
              <w:rPr>
                <w:rFonts w:hint="eastAsia" w:ascii="宋体" w:hAnsi="宋体" w:eastAsia="宋体" w:cs="宋体"/>
                <w:color w:val="auto"/>
                <w:sz w:val="21"/>
                <w:szCs w:val="21"/>
                <w:lang w:val="en-US" w:eastAsia="zh-CN"/>
              </w:rPr>
              <w:t xml:space="preserve">13312771370 </w:t>
            </w:r>
          </w:p>
        </w:tc>
      </w:tr>
      <w:tr w14:paraId="7CEAC8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72FA8F4B">
            <w:pPr>
              <w:pStyle w:val="51"/>
              <w:spacing w:before="1" w:line="360" w:lineRule="exact"/>
              <w:ind w:left="88" w:leftChars="0" w:right="79" w:right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w:t>
            </w:r>
          </w:p>
        </w:tc>
        <w:tc>
          <w:tcPr>
            <w:tcW w:w="1499" w:type="dxa"/>
            <w:tcBorders>
              <w:top w:val="single" w:color="auto" w:sz="4" w:space="0"/>
              <w:left w:val="single" w:color="auto" w:sz="4" w:space="0"/>
              <w:bottom w:val="single" w:color="auto" w:sz="4" w:space="0"/>
              <w:right w:val="single" w:color="auto" w:sz="4" w:space="0"/>
            </w:tcBorders>
            <w:vAlign w:val="center"/>
          </w:tcPr>
          <w:p w14:paraId="653AF1C6">
            <w:pPr>
              <w:pStyle w:val="51"/>
              <w:spacing w:before="161" w:line="360" w:lineRule="exact"/>
              <w:ind w:left="109" w:leftChars="0" w:right="102" w:rightChars="0"/>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eastAsia="zh-CN"/>
              </w:rPr>
              <w:t>资金来源</w:t>
            </w:r>
          </w:p>
        </w:tc>
        <w:tc>
          <w:tcPr>
            <w:tcW w:w="7451" w:type="dxa"/>
            <w:tcBorders>
              <w:top w:val="single" w:color="auto" w:sz="4" w:space="0"/>
              <w:left w:val="single" w:color="auto" w:sz="4" w:space="0"/>
              <w:bottom w:val="single" w:color="auto" w:sz="4" w:space="0"/>
              <w:right w:val="single" w:color="auto" w:sz="4" w:space="0"/>
            </w:tcBorders>
            <w:vAlign w:val="center"/>
          </w:tcPr>
          <w:p w14:paraId="76F6FAA5">
            <w:pPr>
              <w:pStyle w:val="51"/>
              <w:spacing w:before="5" w:line="360" w:lineRule="exact"/>
              <w:jc w:val="both"/>
              <w:rPr>
                <w:rFonts w:hint="eastAsia" w:ascii="宋体" w:hAnsi="宋体" w:eastAsia="宋体" w:cs="宋体"/>
                <w:color w:val="auto"/>
                <w:w w:val="110"/>
                <w:sz w:val="21"/>
                <w:szCs w:val="21"/>
                <w:lang w:val="en-US" w:eastAsia="zh-CN"/>
              </w:rPr>
            </w:pPr>
            <w:r>
              <w:rPr>
                <w:rFonts w:hint="eastAsia" w:ascii="宋体" w:hAnsi="宋体" w:eastAsia="宋体" w:cs="宋体"/>
                <w:color w:val="auto"/>
                <w:sz w:val="21"/>
                <w:szCs w:val="21"/>
                <w:lang w:eastAsia="zh-CN"/>
              </w:rPr>
              <w:t>中央财政衔接推进乡村振兴补助资金</w:t>
            </w:r>
          </w:p>
        </w:tc>
      </w:tr>
      <w:tr w14:paraId="1AFD09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8AA76ED">
            <w:pPr>
              <w:pStyle w:val="51"/>
              <w:spacing w:before="1" w:line="360" w:lineRule="exact"/>
              <w:ind w:left="88" w:leftChars="0" w:right="79" w:rightChars="0"/>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bidi="ar-SA"/>
              </w:rPr>
              <w:t>2.2</w:t>
            </w:r>
          </w:p>
        </w:tc>
        <w:tc>
          <w:tcPr>
            <w:tcW w:w="1499" w:type="dxa"/>
            <w:tcBorders>
              <w:top w:val="single" w:color="auto" w:sz="4" w:space="0"/>
              <w:left w:val="single" w:color="auto" w:sz="4" w:space="0"/>
              <w:bottom w:val="single" w:color="auto" w:sz="4" w:space="0"/>
              <w:right w:val="single" w:color="auto" w:sz="4" w:space="0"/>
            </w:tcBorders>
            <w:vAlign w:val="center"/>
          </w:tcPr>
          <w:p w14:paraId="4A6490EB">
            <w:pPr>
              <w:pStyle w:val="51"/>
              <w:spacing w:before="161" w:line="360" w:lineRule="exact"/>
              <w:ind w:left="109" w:leftChars="0" w:right="102" w:rightChars="0"/>
              <w:jc w:val="center"/>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项目属性</w:t>
            </w:r>
          </w:p>
        </w:tc>
        <w:tc>
          <w:tcPr>
            <w:tcW w:w="7451" w:type="dxa"/>
            <w:tcBorders>
              <w:top w:val="single" w:color="auto" w:sz="4" w:space="0"/>
              <w:left w:val="single" w:color="auto" w:sz="4" w:space="0"/>
              <w:bottom w:val="single" w:color="auto" w:sz="4" w:space="0"/>
              <w:right w:val="single" w:color="auto" w:sz="4" w:space="0"/>
            </w:tcBorders>
            <w:vAlign w:val="center"/>
          </w:tcPr>
          <w:p w14:paraId="3F3FAD01">
            <w:pPr>
              <w:pStyle w:val="51"/>
              <w:spacing w:line="360" w:lineRule="exact"/>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项目属性：</w:t>
            </w:r>
          </w:p>
          <w:p w14:paraId="08DCC99F">
            <w:pPr>
              <w:pStyle w:val="51"/>
              <w:spacing w:before="5" w:line="360" w:lineRule="exact"/>
              <w:jc w:val="both"/>
              <w:rPr>
                <w:rFonts w:hint="eastAsia" w:ascii="宋体" w:hAnsi="宋体" w:eastAsia="宋体" w:cs="宋体"/>
                <w:color w:val="auto"/>
                <w:sz w:val="21"/>
                <w:szCs w:val="21"/>
                <w:lang w:eastAsia="zh-CN"/>
              </w:rPr>
            </w:pPr>
            <w:r>
              <w:rPr>
                <w:rFonts w:hint="eastAsia" w:ascii="宋体" w:hAnsi="宋体" w:eastAsia="宋体" w:cs="宋体"/>
                <w:color w:val="auto"/>
                <w:spacing w:val="-1"/>
                <w:w w:val="120"/>
                <w:sz w:val="21"/>
                <w:szCs w:val="21"/>
                <w:lang w:eastAsia="zh-CN"/>
              </w:rPr>
              <w:t>□</w:t>
            </w:r>
            <w:r>
              <w:rPr>
                <w:rFonts w:hint="eastAsia" w:ascii="宋体" w:hAnsi="宋体" w:eastAsia="宋体" w:cs="宋体"/>
                <w:color w:val="auto"/>
                <w:w w:val="110"/>
                <w:sz w:val="21"/>
                <w:szCs w:val="21"/>
                <w:lang w:eastAsia="zh-CN"/>
              </w:rPr>
              <w:t>服务</w:t>
            </w:r>
          </w:p>
          <w:p w14:paraId="192F8C77">
            <w:pPr>
              <w:pStyle w:val="51"/>
              <w:spacing w:before="4" w:line="360" w:lineRule="exact"/>
              <w:jc w:val="both"/>
              <w:rPr>
                <w:rFonts w:hint="eastAsia" w:ascii="宋体" w:hAnsi="宋体" w:eastAsia="宋体" w:cs="宋体"/>
                <w:color w:val="auto"/>
                <w:sz w:val="21"/>
                <w:szCs w:val="21"/>
                <w:lang w:eastAsia="zh-CN"/>
              </w:rPr>
            </w:pPr>
            <w:r>
              <w:rPr>
                <w:rFonts w:hint="eastAsia" w:ascii="宋体" w:hAnsi="宋体" w:eastAsia="宋体" w:cs="宋体"/>
                <w:color w:val="auto"/>
                <w:spacing w:val="-1"/>
                <w:w w:val="120"/>
                <w:sz w:val="21"/>
                <w:szCs w:val="21"/>
                <w:lang w:eastAsia="zh-CN"/>
              </w:rPr>
              <w:t>□</w:t>
            </w:r>
            <w:r>
              <w:rPr>
                <w:rFonts w:hint="eastAsia" w:ascii="宋体" w:hAnsi="宋体" w:eastAsia="宋体" w:cs="宋体"/>
                <w:color w:val="auto"/>
                <w:w w:val="110"/>
                <w:sz w:val="21"/>
                <w:szCs w:val="21"/>
                <w:lang w:eastAsia="zh-CN"/>
              </w:rPr>
              <w:t>货物：</w:t>
            </w:r>
            <w:r>
              <w:rPr>
                <w:rFonts w:hint="eastAsia" w:ascii="宋体" w:hAnsi="宋体" w:eastAsia="宋体" w:cs="宋体"/>
                <w:color w:val="auto"/>
                <w:sz w:val="21"/>
                <w:szCs w:val="21"/>
                <w:lang w:eastAsia="zh-CN"/>
              </w:rPr>
              <w:t>单一产品或核心产品为：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，核心产品相关内容参照财政部87号令有关规定执行。</w:t>
            </w:r>
          </w:p>
          <w:p w14:paraId="5E4D4295">
            <w:pPr>
              <w:pStyle w:val="51"/>
              <w:spacing w:before="5" w:line="36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pacing w:val="-1"/>
                <w:w w:val="120"/>
                <w:sz w:val="21"/>
                <w:szCs w:val="21"/>
                <w:lang w:eastAsia="zh-CN"/>
              </w:rPr>
              <w:t>☑</w:t>
            </w:r>
            <w:r>
              <w:rPr>
                <w:rFonts w:hint="eastAsia" w:ascii="宋体" w:hAnsi="宋体" w:eastAsia="宋体" w:cs="宋体"/>
                <w:color w:val="auto"/>
                <w:spacing w:val="-1"/>
                <w:w w:val="110"/>
                <w:sz w:val="21"/>
                <w:szCs w:val="21"/>
              </w:rPr>
              <w:t>工程</w:t>
            </w:r>
          </w:p>
        </w:tc>
      </w:tr>
      <w:tr w14:paraId="76865E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273" w:type="dxa"/>
            <w:vMerge w:val="restart"/>
            <w:tcBorders>
              <w:left w:val="single" w:color="auto" w:sz="4" w:space="0"/>
              <w:right w:val="single" w:color="auto" w:sz="4" w:space="0"/>
            </w:tcBorders>
            <w:vAlign w:val="center"/>
          </w:tcPr>
          <w:p w14:paraId="7ADAA84A">
            <w:pPr>
              <w:autoSpaceDE/>
              <w:autoSpaceDN/>
              <w:spacing w:line="600" w:lineRule="exact"/>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3.1</w:t>
            </w:r>
          </w:p>
        </w:tc>
        <w:tc>
          <w:tcPr>
            <w:tcW w:w="1499" w:type="dxa"/>
            <w:tcBorders>
              <w:left w:val="single" w:color="auto" w:sz="4" w:space="0"/>
              <w:bottom w:val="single" w:color="auto" w:sz="4" w:space="0"/>
              <w:right w:val="single" w:color="auto" w:sz="4" w:space="0"/>
            </w:tcBorders>
            <w:vAlign w:val="center"/>
          </w:tcPr>
          <w:p w14:paraId="1DBD3027">
            <w:pPr>
              <w:pStyle w:val="51"/>
              <w:spacing w:before="1" w:line="360" w:lineRule="exact"/>
              <w:ind w:left="109" w:leftChars="0" w:right="102" w:right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现场考察</w:t>
            </w:r>
          </w:p>
        </w:tc>
        <w:tc>
          <w:tcPr>
            <w:tcW w:w="7451" w:type="dxa"/>
            <w:tcBorders>
              <w:top w:val="single" w:color="auto" w:sz="4" w:space="0"/>
              <w:left w:val="single" w:color="auto" w:sz="4" w:space="0"/>
              <w:bottom w:val="single" w:color="auto" w:sz="4" w:space="0"/>
              <w:right w:val="single" w:color="auto" w:sz="4" w:space="0"/>
            </w:tcBorders>
            <w:vAlign w:val="center"/>
          </w:tcPr>
          <w:p w14:paraId="44CDE015">
            <w:pPr>
              <w:pStyle w:val="51"/>
              <w:spacing w:before="3" w:line="360" w:lineRule="exact"/>
              <w:ind w:left="108"/>
              <w:jc w:val="both"/>
              <w:rPr>
                <w:rFonts w:hint="eastAsia" w:ascii="宋体" w:hAnsi="宋体" w:eastAsia="宋体" w:cs="宋体"/>
                <w:color w:val="auto"/>
                <w:sz w:val="21"/>
                <w:szCs w:val="21"/>
                <w:lang w:eastAsia="zh-CN"/>
              </w:rPr>
            </w:pPr>
            <w:r>
              <w:rPr>
                <w:rFonts w:hint="eastAsia" w:ascii="宋体" w:hAnsi="宋体" w:eastAsia="宋体" w:cs="宋体"/>
                <w:color w:val="auto"/>
                <w:w w:val="135"/>
                <w:sz w:val="21"/>
                <w:szCs w:val="21"/>
                <w:lang w:eastAsia="zh-CN"/>
              </w:rPr>
              <w:t>☑</w:t>
            </w:r>
            <w:r>
              <w:rPr>
                <w:rFonts w:hint="eastAsia" w:ascii="宋体" w:hAnsi="宋体" w:eastAsia="宋体" w:cs="宋体"/>
                <w:color w:val="auto"/>
                <w:w w:val="110"/>
                <w:sz w:val="21"/>
                <w:szCs w:val="21"/>
                <w:lang w:eastAsia="zh-CN"/>
              </w:rPr>
              <w:t>不组织</w:t>
            </w:r>
          </w:p>
          <w:p w14:paraId="4A632721">
            <w:pPr>
              <w:pStyle w:val="51"/>
              <w:tabs>
                <w:tab w:val="left" w:pos="2584"/>
                <w:tab w:val="left" w:pos="3184"/>
                <w:tab w:val="left" w:pos="3784"/>
                <w:tab w:val="left" w:pos="4385"/>
                <w:tab w:val="left" w:pos="4985"/>
              </w:tabs>
              <w:spacing w:before="2" w:line="360" w:lineRule="exact"/>
              <w:ind w:left="108"/>
              <w:jc w:val="both"/>
              <w:rPr>
                <w:rFonts w:hint="eastAsia" w:ascii="宋体" w:hAnsi="宋体" w:eastAsia="宋体" w:cs="宋体"/>
                <w:color w:val="auto"/>
                <w:sz w:val="21"/>
                <w:szCs w:val="21"/>
                <w:lang w:eastAsia="zh-CN"/>
              </w:rPr>
            </w:pPr>
            <w:r>
              <w:rPr>
                <w:rFonts w:hint="eastAsia" w:ascii="宋体" w:hAnsi="宋体" w:eastAsia="宋体" w:cs="宋体"/>
                <w:color w:val="auto"/>
                <w:w w:val="135"/>
                <w:sz w:val="21"/>
                <w:szCs w:val="21"/>
                <w:lang w:eastAsia="zh-CN"/>
              </w:rPr>
              <w:t>□</w:t>
            </w:r>
            <w:r>
              <w:rPr>
                <w:rFonts w:hint="eastAsia" w:ascii="宋体" w:hAnsi="宋体" w:eastAsia="宋体" w:cs="宋体"/>
                <w:color w:val="auto"/>
                <w:w w:val="105"/>
                <w:sz w:val="21"/>
                <w:szCs w:val="21"/>
                <w:lang w:eastAsia="zh-CN"/>
              </w:rPr>
              <w:t>组织，考察时间：</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年</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月</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日</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点</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分</w:t>
            </w:r>
          </w:p>
          <w:p w14:paraId="496DC9D2">
            <w:pPr>
              <w:pStyle w:val="51"/>
              <w:spacing w:before="2" w:line="360" w:lineRule="exact"/>
              <w:jc w:val="both"/>
              <w:rPr>
                <w:rFonts w:hint="eastAsia" w:ascii="宋体" w:hAnsi="宋体" w:eastAsia="宋体" w:cs="宋体"/>
                <w:color w:val="auto"/>
                <w:w w:val="110"/>
                <w:sz w:val="21"/>
                <w:szCs w:val="21"/>
                <w:lang w:eastAsia="zh-CN"/>
              </w:rPr>
            </w:pPr>
            <w:r>
              <w:rPr>
                <w:rFonts w:hint="eastAsia" w:ascii="宋体" w:hAnsi="宋体" w:eastAsia="宋体" w:cs="宋体"/>
                <w:color w:val="auto"/>
                <w:sz w:val="21"/>
                <w:szCs w:val="21"/>
              </w:rPr>
              <w:t>考察地点：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rPr>
              <w:t>。</w:t>
            </w:r>
          </w:p>
        </w:tc>
      </w:tr>
      <w:tr w14:paraId="39CFB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273" w:type="dxa"/>
            <w:vMerge w:val="continue"/>
            <w:tcBorders>
              <w:left w:val="single" w:color="auto" w:sz="4" w:space="0"/>
              <w:bottom w:val="single" w:color="auto" w:sz="4" w:space="0"/>
              <w:right w:val="single" w:color="auto" w:sz="4" w:space="0"/>
            </w:tcBorders>
            <w:vAlign w:val="center"/>
          </w:tcPr>
          <w:p w14:paraId="15E4739F">
            <w:pPr>
              <w:autoSpaceDE/>
              <w:autoSpaceDN/>
              <w:spacing w:line="600" w:lineRule="exact"/>
              <w:jc w:val="center"/>
              <w:rPr>
                <w:rFonts w:hint="eastAsia" w:ascii="宋体" w:hAnsi="宋体" w:eastAsia="宋体" w:cs="宋体"/>
                <w:color w:val="auto"/>
                <w:kern w:val="2"/>
                <w:sz w:val="21"/>
                <w:szCs w:val="21"/>
                <w:lang w:eastAsia="zh-CN"/>
              </w:rPr>
            </w:pPr>
          </w:p>
        </w:tc>
        <w:tc>
          <w:tcPr>
            <w:tcW w:w="1499" w:type="dxa"/>
            <w:tcBorders>
              <w:left w:val="single" w:color="auto" w:sz="4" w:space="0"/>
              <w:bottom w:val="single" w:color="auto" w:sz="4" w:space="0"/>
              <w:right w:val="single" w:color="auto" w:sz="4" w:space="0"/>
            </w:tcBorders>
            <w:vAlign w:val="center"/>
          </w:tcPr>
          <w:p w14:paraId="02E64388">
            <w:pPr>
              <w:pStyle w:val="51"/>
              <w:spacing w:before="1" w:line="360" w:lineRule="exact"/>
              <w:ind w:left="109" w:leftChars="0" w:right="102" w:right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磋商前答疑会</w:t>
            </w:r>
          </w:p>
        </w:tc>
        <w:tc>
          <w:tcPr>
            <w:tcW w:w="7451" w:type="dxa"/>
            <w:tcBorders>
              <w:top w:val="single" w:color="auto" w:sz="4" w:space="0"/>
              <w:left w:val="single" w:color="auto" w:sz="4" w:space="0"/>
              <w:bottom w:val="single" w:color="auto" w:sz="4" w:space="0"/>
              <w:right w:val="single" w:color="auto" w:sz="4" w:space="0"/>
            </w:tcBorders>
            <w:vAlign w:val="center"/>
          </w:tcPr>
          <w:p w14:paraId="1DBD70E3">
            <w:pPr>
              <w:pStyle w:val="51"/>
              <w:spacing w:before="2" w:line="360" w:lineRule="exact"/>
              <w:ind w:left="108"/>
              <w:jc w:val="both"/>
              <w:rPr>
                <w:rFonts w:hint="eastAsia" w:ascii="宋体" w:hAnsi="宋体" w:eastAsia="宋体" w:cs="宋体"/>
                <w:color w:val="auto"/>
                <w:sz w:val="21"/>
                <w:szCs w:val="21"/>
                <w:lang w:eastAsia="zh-CN"/>
              </w:rPr>
            </w:pPr>
            <w:r>
              <w:rPr>
                <w:rFonts w:hint="eastAsia" w:ascii="宋体" w:hAnsi="宋体" w:eastAsia="宋体" w:cs="宋体"/>
                <w:color w:val="auto"/>
                <w:w w:val="135"/>
                <w:sz w:val="21"/>
                <w:szCs w:val="21"/>
                <w:lang w:eastAsia="zh-CN"/>
              </w:rPr>
              <w:t>☑</w:t>
            </w:r>
            <w:r>
              <w:rPr>
                <w:rFonts w:hint="eastAsia" w:ascii="宋体" w:hAnsi="宋体" w:eastAsia="宋体" w:cs="宋体"/>
                <w:color w:val="auto"/>
                <w:w w:val="110"/>
                <w:sz w:val="21"/>
                <w:szCs w:val="21"/>
                <w:lang w:eastAsia="zh-CN"/>
              </w:rPr>
              <w:t>不召开</w:t>
            </w:r>
          </w:p>
          <w:p w14:paraId="583A458B">
            <w:pPr>
              <w:pStyle w:val="51"/>
              <w:tabs>
                <w:tab w:val="left" w:pos="2058"/>
                <w:tab w:val="left" w:pos="2613"/>
                <w:tab w:val="left" w:pos="3213"/>
                <w:tab w:val="left" w:pos="3813"/>
                <w:tab w:val="left" w:pos="4413"/>
              </w:tabs>
              <w:spacing w:before="2" w:line="360" w:lineRule="exact"/>
              <w:ind w:left="108" w:right="108"/>
              <w:jc w:val="both"/>
              <w:rPr>
                <w:rFonts w:hint="eastAsia" w:ascii="宋体" w:hAnsi="宋体" w:eastAsia="宋体" w:cs="宋体"/>
                <w:color w:val="auto"/>
                <w:w w:val="105"/>
                <w:sz w:val="21"/>
                <w:szCs w:val="21"/>
                <w:lang w:eastAsia="zh-CN"/>
              </w:rPr>
            </w:pPr>
            <w:r>
              <w:rPr>
                <w:rFonts w:hint="eastAsia" w:ascii="宋体" w:hAnsi="宋体" w:eastAsia="宋体" w:cs="宋体"/>
                <w:color w:val="auto"/>
                <w:w w:val="135"/>
                <w:sz w:val="21"/>
                <w:szCs w:val="21"/>
                <w:lang w:eastAsia="zh-CN"/>
              </w:rPr>
              <w:t>□</w:t>
            </w:r>
            <w:r>
              <w:rPr>
                <w:rFonts w:hint="eastAsia" w:ascii="宋体" w:hAnsi="宋体" w:eastAsia="宋体" w:cs="宋体"/>
                <w:color w:val="auto"/>
                <w:w w:val="105"/>
                <w:sz w:val="21"/>
                <w:szCs w:val="21"/>
                <w:lang w:eastAsia="zh-CN"/>
              </w:rPr>
              <w:t>召开，召开时间：</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年</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月</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日</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点</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分</w:t>
            </w:r>
          </w:p>
          <w:p w14:paraId="6B88311F">
            <w:pPr>
              <w:pStyle w:val="51"/>
              <w:tabs>
                <w:tab w:val="left" w:pos="2628"/>
                <w:tab w:val="left" w:pos="2898"/>
                <w:tab w:val="left" w:pos="3213"/>
                <w:tab w:val="left" w:pos="4385"/>
                <w:tab w:val="left" w:pos="4985"/>
              </w:tabs>
              <w:spacing w:before="2" w:line="360" w:lineRule="exact"/>
              <w:ind w:left="108" w:leftChars="0" w:right="2015" w:rightChars="0"/>
              <w:jc w:val="both"/>
              <w:rPr>
                <w:rFonts w:hint="eastAsia" w:ascii="宋体" w:hAnsi="宋体" w:eastAsia="宋体" w:cs="宋体"/>
                <w:color w:val="auto"/>
                <w:w w:val="110"/>
                <w:sz w:val="21"/>
                <w:szCs w:val="21"/>
                <w:lang w:eastAsia="zh-CN"/>
              </w:rPr>
            </w:pPr>
            <w:r>
              <w:rPr>
                <w:rFonts w:hint="eastAsia" w:ascii="宋体" w:hAnsi="宋体" w:eastAsia="宋体" w:cs="宋体"/>
                <w:color w:val="auto"/>
                <w:w w:val="105"/>
                <w:sz w:val="21"/>
                <w:szCs w:val="21"/>
                <w:lang w:eastAsia="zh-CN"/>
              </w:rPr>
              <w:t>召开地点：</w:t>
            </w:r>
            <w:r>
              <w:rPr>
                <w:rFonts w:hint="eastAsia" w:ascii="宋体" w:hAnsi="宋体" w:eastAsia="宋体" w:cs="宋体"/>
                <w:color w:val="auto"/>
                <w:w w:val="105"/>
                <w:sz w:val="21"/>
                <w:szCs w:val="21"/>
                <w:u w:val="single"/>
                <w:lang w:eastAsia="zh-CN"/>
              </w:rPr>
              <w:t xml:space="preserve"> </w:t>
            </w:r>
            <w:r>
              <w:rPr>
                <w:rFonts w:hint="eastAsia" w:ascii="宋体" w:hAnsi="宋体" w:eastAsia="宋体" w:cs="宋体"/>
                <w:color w:val="auto"/>
                <w:w w:val="105"/>
                <w:sz w:val="21"/>
                <w:szCs w:val="21"/>
                <w:u w:val="single"/>
                <w:lang w:eastAsia="zh-CN"/>
              </w:rPr>
              <w:tab/>
            </w:r>
            <w:r>
              <w:rPr>
                <w:rFonts w:hint="eastAsia" w:ascii="宋体" w:hAnsi="宋体" w:eastAsia="宋体" w:cs="宋体"/>
                <w:color w:val="auto"/>
                <w:w w:val="105"/>
                <w:sz w:val="21"/>
                <w:szCs w:val="21"/>
                <w:lang w:eastAsia="zh-CN"/>
              </w:rPr>
              <w:t>。</w:t>
            </w:r>
          </w:p>
        </w:tc>
      </w:tr>
      <w:tr w14:paraId="43376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2"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0462E0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4.2.5</w:t>
            </w:r>
          </w:p>
        </w:tc>
        <w:tc>
          <w:tcPr>
            <w:tcW w:w="1499" w:type="dxa"/>
            <w:tcBorders>
              <w:top w:val="single" w:color="auto" w:sz="4" w:space="0"/>
              <w:left w:val="single" w:color="auto" w:sz="4" w:space="0"/>
              <w:bottom w:val="single" w:color="auto" w:sz="4" w:space="0"/>
              <w:right w:val="single" w:color="auto" w:sz="4" w:space="0"/>
            </w:tcBorders>
            <w:vAlign w:val="center"/>
          </w:tcPr>
          <w:p w14:paraId="64BEFFD8">
            <w:pPr>
              <w:pStyle w:val="51"/>
              <w:spacing w:line="360" w:lineRule="exact"/>
              <w:ind w:left="109" w:leftChars="0" w:right="102" w:rightChars="0"/>
              <w:jc w:val="center"/>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标的所属行业</w:t>
            </w:r>
          </w:p>
        </w:tc>
        <w:tc>
          <w:tcPr>
            <w:tcW w:w="7451" w:type="dxa"/>
            <w:tcBorders>
              <w:top w:val="single" w:color="auto" w:sz="4" w:space="0"/>
              <w:left w:val="single" w:color="auto" w:sz="4" w:space="0"/>
              <w:bottom w:val="single" w:color="auto" w:sz="4" w:space="0"/>
              <w:right w:val="single" w:color="auto" w:sz="4" w:space="0"/>
            </w:tcBorders>
            <w:vAlign w:val="center"/>
          </w:tcPr>
          <w:p w14:paraId="2CAE43EC">
            <w:pPr>
              <w:pStyle w:val="51"/>
              <w:spacing w:before="4" w:line="360" w:lineRule="exact"/>
              <w:ind w:left="108" w:left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本项目采购标的对应的中小企业划分标准所属行业：</w:t>
            </w:r>
          </w:p>
          <w:tbl>
            <w:tblPr>
              <w:tblStyle w:val="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3"/>
              <w:gridCol w:w="3690"/>
              <w:gridCol w:w="2070"/>
            </w:tblGrid>
            <w:tr w14:paraId="6D53E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33" w:type="dxa"/>
                  <w:vAlign w:val="top"/>
                </w:tcPr>
                <w:p w14:paraId="70D19C81">
                  <w:pPr>
                    <w:pStyle w:val="51"/>
                    <w:spacing w:before="72"/>
                    <w:ind w:left="124"/>
                    <w:rPr>
                      <w:rFonts w:hint="eastAsia" w:ascii="宋体" w:hAnsi="宋体" w:eastAsia="宋体" w:cs="宋体"/>
                      <w:color w:val="auto"/>
                      <w:sz w:val="21"/>
                      <w:szCs w:val="21"/>
                    </w:rPr>
                  </w:pPr>
                  <w:r>
                    <w:rPr>
                      <w:rFonts w:hint="eastAsia" w:ascii="宋体" w:hAnsi="宋体" w:eastAsia="宋体" w:cs="宋体"/>
                      <w:color w:val="auto"/>
                      <w:sz w:val="21"/>
                      <w:szCs w:val="21"/>
                    </w:rPr>
                    <w:t>包号</w:t>
                  </w:r>
                </w:p>
              </w:tc>
              <w:tc>
                <w:tcPr>
                  <w:tcW w:w="3690" w:type="dxa"/>
                  <w:vAlign w:val="top"/>
                </w:tcPr>
                <w:p w14:paraId="42625CD7">
                  <w:pPr>
                    <w:pStyle w:val="51"/>
                    <w:spacing w:before="72"/>
                    <w:ind w:left="865"/>
                    <w:rPr>
                      <w:rFonts w:hint="eastAsia" w:ascii="宋体" w:hAnsi="宋体" w:eastAsia="宋体" w:cs="宋体"/>
                      <w:color w:val="auto"/>
                      <w:sz w:val="21"/>
                      <w:szCs w:val="21"/>
                    </w:rPr>
                  </w:pPr>
                  <w:r>
                    <w:rPr>
                      <w:rFonts w:hint="eastAsia" w:ascii="宋体" w:hAnsi="宋体" w:eastAsia="宋体" w:cs="宋体"/>
                      <w:color w:val="auto"/>
                      <w:sz w:val="21"/>
                      <w:szCs w:val="21"/>
                    </w:rPr>
                    <w:t>标的名称</w:t>
                  </w:r>
                </w:p>
              </w:tc>
              <w:tc>
                <w:tcPr>
                  <w:tcW w:w="2070" w:type="dxa"/>
                  <w:vAlign w:val="top"/>
                </w:tcPr>
                <w:p w14:paraId="72B176D8">
                  <w:pPr>
                    <w:pStyle w:val="51"/>
                    <w:spacing w:before="72"/>
                    <w:ind w:left="117"/>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中小企业划分标准所属行业</w:t>
                  </w:r>
                </w:p>
              </w:tc>
            </w:tr>
            <w:tr w14:paraId="0853C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3" w:type="dxa"/>
                  <w:vAlign w:val="top"/>
                </w:tcPr>
                <w:p w14:paraId="5003BF10">
                  <w:pPr>
                    <w:pStyle w:val="51"/>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w:t>
                  </w:r>
                </w:p>
              </w:tc>
              <w:tc>
                <w:tcPr>
                  <w:tcW w:w="3690" w:type="dxa"/>
                  <w:vAlign w:val="top"/>
                </w:tcPr>
                <w:p w14:paraId="5CF8CAD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bidi="ar-SA"/>
                    </w:rPr>
                  </w:pPr>
                  <w:r>
                    <w:rPr>
                      <w:rFonts w:hint="eastAsia" w:cs="宋体"/>
                      <w:color w:val="auto"/>
                      <w:sz w:val="21"/>
                      <w:szCs w:val="21"/>
                      <w:lang w:eastAsia="zh-CN"/>
                    </w:rPr>
                    <w:t>镇沅县古城镇建民村产业道路硬化建设项目</w:t>
                  </w:r>
                </w:p>
              </w:tc>
              <w:tc>
                <w:tcPr>
                  <w:tcW w:w="2070" w:type="dxa"/>
                  <w:vAlign w:val="center"/>
                </w:tcPr>
                <w:p w14:paraId="5F6F6A9E">
                  <w:pPr>
                    <w:pStyle w:val="51"/>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建筑业</w:t>
                  </w:r>
                </w:p>
              </w:tc>
            </w:tr>
          </w:tbl>
          <w:p w14:paraId="127C375E">
            <w:pPr>
              <w:pStyle w:val="51"/>
              <w:spacing w:before="4" w:line="360" w:lineRule="exact"/>
              <w:jc w:val="both"/>
              <w:rPr>
                <w:rFonts w:hint="eastAsia" w:ascii="宋体" w:hAnsi="宋体" w:eastAsia="宋体" w:cs="宋体"/>
                <w:color w:val="auto"/>
                <w:sz w:val="21"/>
                <w:szCs w:val="21"/>
                <w:lang w:val="en-US" w:eastAsia="zh-CN"/>
              </w:rPr>
            </w:pPr>
          </w:p>
        </w:tc>
      </w:tr>
      <w:tr w14:paraId="7A53C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1273" w:type="dxa"/>
            <w:tcBorders>
              <w:top w:val="single" w:color="auto" w:sz="4" w:space="0"/>
              <w:left w:val="single" w:color="auto" w:sz="4" w:space="0"/>
              <w:bottom w:val="single" w:color="auto" w:sz="4" w:space="0"/>
              <w:right w:val="single" w:color="auto" w:sz="4" w:space="0"/>
            </w:tcBorders>
          </w:tcPr>
          <w:p w14:paraId="2C11096A">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7</w:t>
            </w:r>
          </w:p>
        </w:tc>
        <w:tc>
          <w:tcPr>
            <w:tcW w:w="1499" w:type="dxa"/>
            <w:tcBorders>
              <w:top w:val="single" w:color="auto" w:sz="4" w:space="0"/>
              <w:left w:val="single" w:color="auto" w:sz="4" w:space="0"/>
              <w:bottom w:val="single" w:color="auto" w:sz="4" w:space="0"/>
              <w:right w:val="single" w:color="auto" w:sz="4" w:space="0"/>
            </w:tcBorders>
            <w:vAlign w:val="center"/>
          </w:tcPr>
          <w:p w14:paraId="05BC1F13">
            <w:pPr>
              <w:autoSpaceDE/>
              <w:autoSpaceDN/>
              <w:snapToGrid w:val="0"/>
              <w:jc w:val="center"/>
              <w:textAlignment w:val="bottom"/>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磋商文件澄清</w:t>
            </w:r>
            <w:r>
              <w:rPr>
                <w:rFonts w:hint="eastAsia" w:ascii="宋体" w:hAnsi="宋体" w:eastAsia="宋体" w:cs="宋体"/>
                <w:color w:val="auto"/>
                <w:kern w:val="2"/>
                <w:sz w:val="21"/>
                <w:szCs w:val="21"/>
                <w:lang w:eastAsia="zh-CN"/>
              </w:rPr>
              <w:t>截止时间</w:t>
            </w:r>
            <w:r>
              <w:rPr>
                <w:rFonts w:hint="eastAsia" w:ascii="宋体" w:hAnsi="宋体" w:eastAsia="宋体" w:cs="宋体"/>
                <w:color w:val="auto"/>
                <w:sz w:val="21"/>
                <w:szCs w:val="21"/>
                <w:lang w:eastAsia="zh-CN"/>
              </w:rPr>
              <w:t>及方法</w:t>
            </w:r>
          </w:p>
        </w:tc>
        <w:tc>
          <w:tcPr>
            <w:tcW w:w="7451" w:type="dxa"/>
            <w:tcBorders>
              <w:top w:val="single" w:color="auto" w:sz="4" w:space="0"/>
              <w:left w:val="single" w:color="auto" w:sz="4" w:space="0"/>
              <w:bottom w:val="single" w:color="auto" w:sz="4" w:space="0"/>
              <w:right w:val="single" w:color="auto" w:sz="4" w:space="0"/>
            </w:tcBorders>
            <w:vAlign w:val="center"/>
          </w:tcPr>
          <w:p w14:paraId="56BFBC76">
            <w:pPr>
              <w:keepNext w:val="0"/>
              <w:keepLines w:val="0"/>
              <w:pageBreakBefore w:val="0"/>
              <w:widowControl w:val="0"/>
              <w:kinsoku/>
              <w:wordWrap/>
              <w:overflowPunct/>
              <w:topLinePunct w:val="0"/>
              <w:autoSpaceDE/>
              <w:autoSpaceDN/>
              <w:bidi w:val="0"/>
              <w:adjustRightInd/>
              <w:snapToGrid w:val="0"/>
              <w:spacing w:line="240" w:lineRule="auto"/>
              <w:jc w:val="both"/>
              <w:textAlignment w:val="bottom"/>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（1）时间：在磋商截止时间</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日前；</w:t>
            </w:r>
          </w:p>
          <w:p w14:paraId="02566E26">
            <w:pPr>
              <w:keepNext w:val="0"/>
              <w:keepLines w:val="0"/>
              <w:pageBreakBefore w:val="0"/>
              <w:widowControl w:val="0"/>
              <w:kinsoku/>
              <w:wordWrap/>
              <w:overflowPunct/>
              <w:topLinePunct w:val="0"/>
              <w:autoSpaceDE/>
              <w:autoSpaceDN/>
              <w:bidi w:val="0"/>
              <w:adjustRightInd/>
              <w:snapToGrid w:val="0"/>
              <w:spacing w:line="240" w:lineRule="auto"/>
              <w:jc w:val="both"/>
              <w:textAlignment w:val="bottom"/>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（2）方法：供应商凭企业数字证书（CA）登录“政采云”平台（网址：https://www.zcygov.cn/)中提出。</w:t>
            </w:r>
          </w:p>
        </w:tc>
      </w:tr>
      <w:tr w14:paraId="0F1C06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069F9F2E">
            <w:pPr>
              <w:autoSpaceDE/>
              <w:autoSpaceDN/>
              <w:spacing w:line="600" w:lineRule="exact"/>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10</w:t>
            </w:r>
          </w:p>
        </w:tc>
        <w:tc>
          <w:tcPr>
            <w:tcW w:w="1499" w:type="dxa"/>
            <w:tcBorders>
              <w:top w:val="single" w:color="auto" w:sz="4" w:space="0"/>
              <w:left w:val="single" w:color="auto" w:sz="4" w:space="0"/>
              <w:bottom w:val="single" w:color="auto" w:sz="4" w:space="0"/>
              <w:right w:val="single" w:color="auto" w:sz="4" w:space="0"/>
            </w:tcBorders>
            <w:vAlign w:val="center"/>
          </w:tcPr>
          <w:p w14:paraId="18B865CC">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报价</w:t>
            </w:r>
          </w:p>
        </w:tc>
        <w:tc>
          <w:tcPr>
            <w:tcW w:w="7451" w:type="dxa"/>
            <w:tcBorders>
              <w:top w:val="single" w:color="auto" w:sz="4" w:space="0"/>
              <w:left w:val="single" w:color="auto" w:sz="4" w:space="0"/>
              <w:bottom w:val="single" w:color="auto" w:sz="4" w:space="0"/>
              <w:right w:val="single" w:color="auto" w:sz="4" w:space="0"/>
            </w:tcBorders>
            <w:vAlign w:val="center"/>
          </w:tcPr>
          <w:p w14:paraId="25E67E93">
            <w:pPr>
              <w:autoSpaceDE/>
              <w:autoSpaceDN/>
              <w:snapToGrid w:val="0"/>
              <w:jc w:val="both"/>
              <w:textAlignment w:val="bottom"/>
              <w:rPr>
                <w:rFonts w:hint="eastAsia" w:ascii="宋体" w:hAnsi="宋体" w:eastAsia="宋体" w:cs="宋体"/>
                <w:sz w:val="21"/>
                <w:szCs w:val="21"/>
                <w:lang w:eastAsia="zh-CN"/>
              </w:rPr>
            </w:pPr>
            <w:r>
              <w:rPr>
                <w:rFonts w:hint="eastAsia" w:ascii="宋体" w:hAnsi="宋体" w:eastAsia="宋体" w:cs="宋体"/>
                <w:sz w:val="21"/>
                <w:szCs w:val="21"/>
                <w:lang w:eastAsia="zh-CN"/>
              </w:rPr>
              <w:t>工程量清单报价</w:t>
            </w:r>
          </w:p>
          <w:p w14:paraId="5716A51C">
            <w:pPr>
              <w:autoSpaceDE/>
              <w:autoSpaceDN/>
              <w:snapToGrid w:val="0"/>
              <w:jc w:val="both"/>
              <w:textAlignment w:val="bottom"/>
              <w:rPr>
                <w:rFonts w:hint="eastAsia" w:ascii="宋体" w:hAnsi="宋体" w:eastAsia="宋体" w:cs="宋体"/>
                <w:sz w:val="21"/>
                <w:szCs w:val="21"/>
                <w:lang w:eastAsia="zh-CN"/>
              </w:rPr>
            </w:pPr>
            <w:r>
              <w:rPr>
                <w:rFonts w:hint="eastAsia" w:ascii="宋体" w:hAnsi="宋体" w:eastAsia="宋体" w:cs="宋体"/>
                <w:sz w:val="21"/>
                <w:szCs w:val="21"/>
                <w:lang w:eastAsia="zh-CN"/>
              </w:rPr>
              <w:t>报价的特殊规定：</w:t>
            </w:r>
          </w:p>
          <w:p w14:paraId="7754CC1C">
            <w:pPr>
              <w:autoSpaceDE/>
              <w:autoSpaceDN/>
              <w:snapToGrid w:val="0"/>
              <w:jc w:val="both"/>
              <w:textAlignment w:val="bottom"/>
              <w:rPr>
                <w:rFonts w:hint="eastAsia" w:ascii="宋体" w:hAnsi="宋体" w:eastAsia="宋体" w:cs="宋体"/>
                <w:sz w:val="21"/>
                <w:szCs w:val="21"/>
                <w:lang w:eastAsia="zh-CN"/>
              </w:rPr>
            </w:pPr>
            <w:r>
              <w:rPr>
                <w:rFonts w:hint="eastAsia" w:ascii="宋体" w:hAnsi="宋体" w:eastAsia="宋体" w:cs="宋体"/>
                <w:sz w:val="21"/>
                <w:szCs w:val="21"/>
                <w:lang w:eastAsia="zh-CN"/>
              </w:rPr>
              <w:t>☑无</w:t>
            </w:r>
          </w:p>
          <w:p w14:paraId="6403297D">
            <w:pPr>
              <w:autoSpaceDE/>
              <w:autoSpaceDN/>
              <w:snapToGrid w:val="0"/>
              <w:jc w:val="both"/>
              <w:textAlignment w:val="bottom"/>
              <w:rPr>
                <w:rFonts w:hint="eastAsia" w:ascii="宋体" w:hAnsi="宋体" w:eastAsia="宋体" w:cs="宋体"/>
                <w:color w:val="auto"/>
                <w:kern w:val="2"/>
                <w:sz w:val="21"/>
                <w:szCs w:val="21"/>
                <w:lang w:val="en-US" w:eastAsia="zh-CN"/>
              </w:rPr>
            </w:pPr>
            <w:r>
              <w:rPr>
                <w:rFonts w:hint="eastAsia" w:ascii="宋体" w:hAnsi="宋体" w:eastAsia="宋体" w:cs="宋体"/>
                <w:sz w:val="21"/>
                <w:szCs w:val="21"/>
                <w:lang w:eastAsia="zh-CN"/>
              </w:rPr>
              <w:t>□有，具体情形：</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tc>
      </w:tr>
      <w:tr w14:paraId="187D4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1"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22B06AA6">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w:t>
            </w:r>
            <w:r>
              <w:rPr>
                <w:rFonts w:hint="eastAsia" w:ascii="宋体" w:hAnsi="宋体" w:eastAsia="宋体" w:cs="宋体"/>
                <w:color w:val="auto"/>
                <w:kern w:val="2"/>
                <w:sz w:val="21"/>
                <w:szCs w:val="21"/>
                <w:lang w:val="en-US" w:eastAsia="zh-CN"/>
              </w:rPr>
              <w:t>1</w:t>
            </w:r>
          </w:p>
        </w:tc>
        <w:tc>
          <w:tcPr>
            <w:tcW w:w="1499" w:type="dxa"/>
            <w:tcBorders>
              <w:top w:val="single" w:color="auto" w:sz="4" w:space="0"/>
              <w:left w:val="single" w:color="auto" w:sz="4" w:space="0"/>
              <w:bottom w:val="single" w:color="auto" w:sz="4" w:space="0"/>
              <w:right w:val="single" w:color="auto" w:sz="4" w:space="0"/>
            </w:tcBorders>
            <w:vAlign w:val="center"/>
          </w:tcPr>
          <w:p w14:paraId="4FC6BEF5">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磋商保证金</w:t>
            </w:r>
          </w:p>
        </w:tc>
        <w:tc>
          <w:tcPr>
            <w:tcW w:w="7451" w:type="dxa"/>
            <w:tcBorders>
              <w:top w:val="single" w:color="auto" w:sz="4" w:space="0"/>
              <w:left w:val="single" w:color="auto" w:sz="4" w:space="0"/>
              <w:bottom w:val="single" w:color="auto" w:sz="4" w:space="0"/>
              <w:right w:val="single" w:color="auto" w:sz="4" w:space="0"/>
            </w:tcBorders>
            <w:vAlign w:val="center"/>
          </w:tcPr>
          <w:p w14:paraId="1BF6C99B">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磋商保证金形式为：银行转账、网银、电汇、支票、汇票、本票或者金融机构、担保机构出具的保函等非现金形式提交。</w:t>
            </w:r>
          </w:p>
          <w:p w14:paraId="1D790540">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磋商保证金金额为：</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000.00元；</w:t>
            </w:r>
          </w:p>
          <w:p w14:paraId="56BA47F8">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1.采用银行转账（或电汇）方式：</w:t>
            </w:r>
          </w:p>
          <w:p w14:paraId="26906D33">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供应商在投标截止时间前从其基本账户中转出，并在备注栏注明项目名称或</w:t>
            </w:r>
            <w:r>
              <w:rPr>
                <w:rFonts w:hint="eastAsia" w:cs="宋体"/>
                <w:color w:val="auto"/>
                <w:sz w:val="21"/>
                <w:szCs w:val="21"/>
                <w:highlight w:val="none"/>
                <w:lang w:eastAsia="zh-CN"/>
              </w:rPr>
              <w:t>招标</w:t>
            </w:r>
            <w:r>
              <w:rPr>
                <w:rFonts w:hint="eastAsia" w:ascii="宋体" w:hAnsi="宋体" w:eastAsia="宋体" w:cs="宋体"/>
                <w:color w:val="auto"/>
                <w:sz w:val="21"/>
                <w:szCs w:val="21"/>
                <w:highlight w:val="none"/>
                <w:lang w:eastAsia="zh-CN"/>
              </w:rPr>
              <w:t>编号。</w:t>
            </w:r>
          </w:p>
          <w:p w14:paraId="2D89B8E2">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账户名称：普洱市普平工程招标有限责任公司镇沅分公司</w:t>
            </w:r>
          </w:p>
          <w:p w14:paraId="10CD4E65">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 户 行：中国农业银行镇沅县支行</w:t>
            </w:r>
          </w:p>
          <w:p w14:paraId="7898F070">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帐    号：24289801040003793</w:t>
            </w:r>
          </w:p>
          <w:p w14:paraId="3517059B">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联系人：周立云</w:t>
            </w:r>
          </w:p>
          <w:p w14:paraId="2BB1F57E">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联系电话：0879-5811353</w:t>
            </w:r>
          </w:p>
          <w:p w14:paraId="2B995EBD">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必须在响应文件递交截止时间之前按照采购文件中关于磋商保证金的各项要求提交磋商保证金。请供应商合理安排磋商保证金的递交时间（磋商保证金的递交时间以保证金账户实际到账时间为准），并在汇款时务必注明所投项目的</w:t>
            </w:r>
            <w:r>
              <w:rPr>
                <w:rFonts w:hint="eastAsia" w:cs="宋体"/>
                <w:color w:val="auto"/>
                <w:sz w:val="21"/>
                <w:szCs w:val="21"/>
                <w:highlight w:val="none"/>
                <w:lang w:eastAsia="zh-CN"/>
              </w:rPr>
              <w:t>招标</w:t>
            </w:r>
            <w:r>
              <w:rPr>
                <w:rFonts w:hint="eastAsia" w:ascii="宋体" w:hAnsi="宋体" w:eastAsia="宋体" w:cs="宋体"/>
                <w:color w:val="auto"/>
                <w:sz w:val="21"/>
                <w:szCs w:val="21"/>
                <w:highlight w:val="none"/>
                <w:lang w:eastAsia="zh-CN"/>
              </w:rPr>
              <w:t>编号或项目名称等，否则，因磋商保证金未在响应文件递交截止时间之前到账或款项用途不明等原因导致投标无效等后果由供应商自行承担。</w:t>
            </w:r>
          </w:p>
          <w:p w14:paraId="1D14A377">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2.采用银行保函方式：</w:t>
            </w:r>
          </w:p>
          <w:p w14:paraId="0AB2D693">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函申请人必须是供应商，受益人必须是采购人，保证人必须是供应商基本账号的开户银行；银行保函必须正确填写受益人和供应商的全称，并与采购文件规定的名称相一致，以免造成投标无效，采用银行保函形式的必须在响应文件中提交银行保函（银行保函须清晰反映受益人和申请人的全称，否则按未实质响应采购文件作否决处理）。</w:t>
            </w:r>
          </w:p>
          <w:p w14:paraId="1704B0AD">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3.采用保证金保险方式：</w:t>
            </w:r>
          </w:p>
          <w:p w14:paraId="0A43AC82">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保险保函方式提交磋商保证金的，供应商为投保人，采购人为被保险人，当供应商未能按照采购文件、响应文件要求履行投标义务而导致采购人受到损失时，由保险公司对采购人的损失承担代偿责任。采用保险保函形式的必须在响应文件中提交保险保函（保险保函或保证金保险须清晰反映投保人、被保险人（采购人）和项目名称的全称，否则按未实质响应采购文件作否决处理）。</w:t>
            </w:r>
          </w:p>
          <w:p w14:paraId="4D26D63E">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磋商保证金不予退还的情形：</w:t>
            </w:r>
          </w:p>
          <w:p w14:paraId="653A232B">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（1）供应商在投标有效期内撤销或修改其响应文件。</w:t>
            </w:r>
          </w:p>
          <w:p w14:paraId="632B3DC1">
            <w:pPr>
              <w:pStyle w:val="51"/>
              <w:spacing w:before="2" w:line="360" w:lineRule="exact"/>
              <w:ind w:right="10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（2）成交人无正当理由不与采购人订立合同，或在签订合同时向采购人提出附加条件，或未按采购文件要求提交履约保证金的。</w:t>
            </w:r>
          </w:p>
          <w:p w14:paraId="772D45E7">
            <w:pPr>
              <w:autoSpaceDE/>
              <w:autoSpaceDN/>
              <w:adjustRightInd w:val="0"/>
              <w:snapToGrid w:val="0"/>
              <w:spacing w:line="320" w:lineRule="exact"/>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经查实，供应商在投标过程中串通投标或弄虚作假的。</w:t>
            </w:r>
          </w:p>
        </w:tc>
      </w:tr>
      <w:tr w14:paraId="78B1EB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4F533A5">
            <w:pPr>
              <w:autoSpaceDE/>
              <w:autoSpaceDN/>
              <w:spacing w:line="600" w:lineRule="exact"/>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12</w:t>
            </w:r>
          </w:p>
        </w:tc>
        <w:tc>
          <w:tcPr>
            <w:tcW w:w="1499" w:type="dxa"/>
            <w:tcBorders>
              <w:top w:val="single" w:color="auto" w:sz="4" w:space="0"/>
              <w:left w:val="single" w:color="auto" w:sz="4" w:space="0"/>
              <w:bottom w:val="single" w:color="auto" w:sz="4" w:space="0"/>
              <w:right w:val="single" w:color="auto" w:sz="4" w:space="0"/>
            </w:tcBorders>
            <w:vAlign w:val="center"/>
          </w:tcPr>
          <w:p w14:paraId="0EE92D95">
            <w:pPr>
              <w:pStyle w:val="51"/>
              <w:spacing w:before="2" w:line="360" w:lineRule="exact"/>
              <w:ind w:left="109" w:leftChars="0" w:right="102" w:rightChars="0"/>
              <w:jc w:val="center"/>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响应有效期</w:t>
            </w:r>
          </w:p>
        </w:tc>
        <w:tc>
          <w:tcPr>
            <w:tcW w:w="7451" w:type="dxa"/>
            <w:tcBorders>
              <w:top w:val="single" w:color="auto" w:sz="4" w:space="0"/>
              <w:left w:val="single" w:color="auto" w:sz="4" w:space="0"/>
              <w:bottom w:val="single" w:color="auto" w:sz="4" w:space="0"/>
              <w:right w:val="single" w:color="auto" w:sz="4" w:space="0"/>
            </w:tcBorders>
            <w:vAlign w:val="center"/>
          </w:tcPr>
          <w:p w14:paraId="200EDD49">
            <w:pPr>
              <w:pStyle w:val="51"/>
              <w:tabs>
                <w:tab w:val="left" w:pos="4068"/>
              </w:tabs>
              <w:spacing w:before="2" w:line="360" w:lineRule="exact"/>
              <w:ind w:left="108" w:leftChars="0"/>
              <w:jc w:val="both"/>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lang w:eastAsia="zh-CN"/>
              </w:rPr>
              <w:t>响应文件提交截止之日起</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u w:val="single"/>
                <w:lang w:val="en-US" w:eastAsia="zh-CN"/>
              </w:rPr>
              <w:t>90</w:t>
            </w:r>
            <w:r>
              <w:rPr>
                <w:rFonts w:hint="eastAsia" w:ascii="宋体" w:hAnsi="宋体" w:eastAsia="宋体" w:cs="宋体"/>
                <w:color w:val="auto"/>
                <w:sz w:val="21"/>
                <w:szCs w:val="21"/>
                <w:lang w:eastAsia="zh-CN"/>
              </w:rPr>
              <w:t>日历天。</w:t>
            </w:r>
          </w:p>
        </w:tc>
      </w:tr>
      <w:tr w14:paraId="6F2DFE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5E40B8EB">
            <w:pPr>
              <w:autoSpaceDE/>
              <w:autoSpaceDN/>
              <w:spacing w:line="600" w:lineRule="exact"/>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13</w:t>
            </w:r>
          </w:p>
        </w:tc>
        <w:tc>
          <w:tcPr>
            <w:tcW w:w="1499" w:type="dxa"/>
            <w:tcBorders>
              <w:top w:val="single" w:color="auto" w:sz="4" w:space="0"/>
              <w:left w:val="single" w:color="auto" w:sz="4" w:space="0"/>
              <w:bottom w:val="single" w:color="auto" w:sz="4" w:space="0"/>
              <w:right w:val="single" w:color="auto" w:sz="4" w:space="0"/>
            </w:tcBorders>
            <w:vAlign w:val="center"/>
          </w:tcPr>
          <w:p w14:paraId="22AB509D">
            <w:pPr>
              <w:pStyle w:val="51"/>
              <w:spacing w:before="2" w:line="360" w:lineRule="exact"/>
              <w:ind w:left="109" w:leftChars="0" w:right="102" w:rightChars="0"/>
              <w:jc w:val="center"/>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lang w:eastAsia="zh-CN"/>
              </w:rPr>
              <w:t>响应文件的签署、盖章</w:t>
            </w:r>
          </w:p>
        </w:tc>
        <w:tc>
          <w:tcPr>
            <w:tcW w:w="7451" w:type="dxa"/>
            <w:tcBorders>
              <w:top w:val="single" w:color="auto" w:sz="4" w:space="0"/>
              <w:left w:val="single" w:color="auto" w:sz="4" w:space="0"/>
              <w:bottom w:val="single" w:color="auto" w:sz="4" w:space="0"/>
              <w:right w:val="single" w:color="auto" w:sz="4" w:space="0"/>
            </w:tcBorders>
            <w:vAlign w:val="center"/>
          </w:tcPr>
          <w:p w14:paraId="65FA0514">
            <w:pPr>
              <w:pStyle w:val="51"/>
              <w:spacing w:before="2" w:line="360" w:lineRule="exact"/>
              <w:ind w:left="109" w:right="102"/>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按照</w:t>
            </w:r>
            <w:r>
              <w:rPr>
                <w:rFonts w:hint="eastAsia" w:ascii="宋体" w:hAnsi="宋体" w:eastAsia="宋体" w:cs="宋体"/>
                <w:b w:val="0"/>
                <w:bCs w:val="0"/>
                <w:color w:val="auto"/>
                <w:sz w:val="21"/>
                <w:szCs w:val="21"/>
                <w:lang w:eastAsia="zh-CN"/>
              </w:rPr>
              <w:t>竞争性磋商文件</w:t>
            </w:r>
            <w:r>
              <w:rPr>
                <w:rFonts w:hint="eastAsia" w:ascii="宋体" w:hAnsi="宋体" w:eastAsia="宋体" w:cs="宋体"/>
                <w:color w:val="auto"/>
                <w:sz w:val="21"/>
                <w:szCs w:val="21"/>
              </w:rPr>
              <w:t>格式，</w:t>
            </w:r>
            <w:r>
              <w:rPr>
                <w:rFonts w:hint="eastAsia" w:ascii="宋体" w:hAnsi="宋体" w:eastAsia="宋体" w:cs="宋体"/>
                <w:b w:val="0"/>
                <w:bCs w:val="0"/>
                <w:color w:val="auto"/>
                <w:sz w:val="21"/>
                <w:szCs w:val="21"/>
                <w:lang w:eastAsia="zh-CN"/>
              </w:rPr>
              <w:t>使用电子签章或使用原件的电子扫描件等</w:t>
            </w:r>
            <w:r>
              <w:rPr>
                <w:rFonts w:hint="eastAsia" w:ascii="宋体" w:hAnsi="宋体" w:eastAsia="宋体" w:cs="宋体"/>
                <w:b w:val="0"/>
                <w:bCs w:val="0"/>
                <w:color w:val="auto"/>
                <w:sz w:val="21"/>
                <w:szCs w:val="21"/>
                <w:lang w:val="en-US" w:eastAsia="zh-CN"/>
              </w:rPr>
              <w:t>。</w:t>
            </w:r>
          </w:p>
        </w:tc>
      </w:tr>
      <w:tr w14:paraId="18598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2"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76D9B315">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w:t>
            </w:r>
            <w:r>
              <w:rPr>
                <w:rFonts w:hint="eastAsia" w:cs="宋体"/>
                <w:color w:val="auto"/>
                <w:kern w:val="2"/>
                <w:sz w:val="21"/>
                <w:szCs w:val="21"/>
                <w:lang w:val="en-US" w:eastAsia="zh-CN"/>
              </w:rPr>
              <w:t>4</w:t>
            </w:r>
            <w:r>
              <w:rPr>
                <w:rFonts w:hint="eastAsia" w:ascii="宋体" w:hAnsi="宋体" w:eastAsia="宋体" w:cs="宋体"/>
                <w:color w:val="auto"/>
                <w:kern w:val="2"/>
                <w:sz w:val="21"/>
                <w:szCs w:val="21"/>
                <w:lang w:eastAsia="zh-CN"/>
              </w:rPr>
              <w:t>.1</w:t>
            </w:r>
          </w:p>
        </w:tc>
        <w:tc>
          <w:tcPr>
            <w:tcW w:w="1499" w:type="dxa"/>
            <w:tcBorders>
              <w:top w:val="single" w:color="auto" w:sz="4" w:space="0"/>
              <w:left w:val="single" w:color="auto" w:sz="4" w:space="0"/>
              <w:bottom w:val="single" w:color="auto" w:sz="4" w:space="0"/>
              <w:right w:val="single" w:color="auto" w:sz="4" w:space="0"/>
            </w:tcBorders>
            <w:vAlign w:val="center"/>
          </w:tcPr>
          <w:p w14:paraId="29700E69">
            <w:pPr>
              <w:autoSpaceDE/>
              <w:autoSpaceDN/>
              <w:adjustRightInd w:val="0"/>
              <w:snapToGrid w:val="0"/>
              <w:spacing w:line="360" w:lineRule="exact"/>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递交响应文件时间及地点</w:t>
            </w:r>
          </w:p>
        </w:tc>
        <w:tc>
          <w:tcPr>
            <w:tcW w:w="7451" w:type="dxa"/>
            <w:tcBorders>
              <w:top w:val="single" w:color="auto" w:sz="4" w:space="0"/>
              <w:left w:val="single" w:color="auto" w:sz="4" w:space="0"/>
              <w:bottom w:val="single" w:color="auto" w:sz="4" w:space="0"/>
              <w:right w:val="single" w:color="auto" w:sz="4" w:space="0"/>
            </w:tcBorders>
            <w:vAlign w:val="center"/>
          </w:tcPr>
          <w:p w14:paraId="7AB1DCF5">
            <w:pPr>
              <w:pStyle w:val="65"/>
              <w:keepNext w:val="0"/>
              <w:keepLines w:val="0"/>
              <w:pageBreakBefore w:val="0"/>
              <w:widowControl w:val="0"/>
              <w:numPr>
                <w:ilvl w:val="0"/>
                <w:numId w:val="0"/>
              </w:numPr>
              <w:tabs>
                <w:tab w:val="left" w:pos="1617"/>
              </w:tabs>
              <w:kinsoku/>
              <w:wordWrap/>
              <w:overflowPunct/>
              <w:topLinePunct w:val="0"/>
              <w:autoSpaceDE w:val="0"/>
              <w:autoSpaceDN w:val="0"/>
              <w:bidi w:val="0"/>
              <w:adjustRightInd w:val="0"/>
              <w:snapToGrid w:val="0"/>
              <w:spacing w:line="360" w:lineRule="auto"/>
              <w:ind w:right="0" w:rightChars="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val="0"/>
                <w:bCs w:val="0"/>
                <w:color w:val="auto"/>
                <w:sz w:val="21"/>
                <w:szCs w:val="21"/>
                <w:lang w:eastAsia="zh-CN"/>
              </w:rPr>
              <w:t>供应商应在竞争性磋商文件要求响应文件提交截止时间前，将电子响应文件提交至</w:t>
            </w:r>
            <w:r>
              <w:rPr>
                <w:rFonts w:hint="eastAsia" w:ascii="宋体" w:hAnsi="宋体" w:eastAsia="宋体" w:cs="宋体"/>
                <w:b w:val="0"/>
                <w:bCs w:val="0"/>
                <w:color w:val="auto"/>
                <w:sz w:val="21"/>
                <w:szCs w:val="21"/>
                <w:lang w:val="en-US" w:eastAsia="zh-CN"/>
              </w:rPr>
              <w:t>政府采购云</w:t>
            </w:r>
            <w:r>
              <w:rPr>
                <w:rFonts w:hint="eastAsia" w:ascii="宋体" w:hAnsi="宋体" w:eastAsia="宋体" w:cs="宋体"/>
                <w:b w:val="0"/>
                <w:bCs w:val="0"/>
                <w:color w:val="auto"/>
                <w:sz w:val="21"/>
                <w:szCs w:val="21"/>
                <w:lang w:eastAsia="zh-CN"/>
              </w:rPr>
              <w:t>平台。</w:t>
            </w:r>
          </w:p>
        </w:tc>
      </w:tr>
      <w:tr w14:paraId="3F357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7E778E43">
            <w:pPr>
              <w:autoSpaceDE/>
              <w:autoSpaceDN/>
              <w:spacing w:line="600" w:lineRule="exact"/>
              <w:jc w:val="center"/>
              <w:rPr>
                <w:rFonts w:hint="eastAsia" w:ascii="宋体" w:hAnsi="宋体" w:eastAsia="宋体" w:cs="宋体"/>
                <w:color w:val="auto"/>
                <w:kern w:val="2"/>
                <w:sz w:val="21"/>
                <w:szCs w:val="21"/>
                <w:lang w:val="en-US" w:eastAsia="zh-CN"/>
              </w:rPr>
            </w:pPr>
            <w:r>
              <w:rPr>
                <w:rFonts w:hint="eastAsia"/>
                <w:kern w:val="2"/>
                <w:sz w:val="21"/>
                <w:szCs w:val="21"/>
                <w:lang w:eastAsia="zh-CN"/>
              </w:rPr>
              <w:t>15.1</w:t>
            </w:r>
          </w:p>
        </w:tc>
        <w:tc>
          <w:tcPr>
            <w:tcW w:w="1499" w:type="dxa"/>
            <w:tcBorders>
              <w:top w:val="single" w:color="auto" w:sz="4" w:space="0"/>
              <w:left w:val="single" w:color="auto" w:sz="4" w:space="0"/>
              <w:bottom w:val="single" w:color="auto" w:sz="4" w:space="0"/>
              <w:right w:val="single" w:color="auto" w:sz="4" w:space="0"/>
            </w:tcBorders>
            <w:vAlign w:val="center"/>
          </w:tcPr>
          <w:p w14:paraId="2AAD745A">
            <w:pPr>
              <w:autoSpaceDE/>
              <w:autoSpaceDN/>
              <w:adjustRightInd w:val="0"/>
              <w:snapToGrid w:val="0"/>
              <w:spacing w:line="360" w:lineRule="exact"/>
              <w:jc w:val="both"/>
              <w:rPr>
                <w:rFonts w:hint="eastAsia" w:ascii="宋体" w:hAnsi="宋体" w:eastAsia="宋体" w:cs="宋体"/>
                <w:color w:val="auto"/>
                <w:kern w:val="2"/>
                <w:sz w:val="21"/>
                <w:szCs w:val="21"/>
                <w:lang w:eastAsia="zh-CN"/>
              </w:rPr>
            </w:pPr>
            <w:r>
              <w:rPr>
                <w:rFonts w:hint="eastAsia"/>
                <w:sz w:val="21"/>
                <w:szCs w:val="21"/>
                <w:lang w:eastAsia="zh-CN"/>
              </w:rPr>
              <w:t>响应文件提交截止时间</w:t>
            </w:r>
          </w:p>
        </w:tc>
        <w:tc>
          <w:tcPr>
            <w:tcW w:w="7451" w:type="dxa"/>
            <w:tcBorders>
              <w:top w:val="single" w:color="auto" w:sz="4" w:space="0"/>
              <w:left w:val="single" w:color="auto" w:sz="4" w:space="0"/>
              <w:bottom w:val="single" w:color="auto" w:sz="4" w:space="0"/>
              <w:right w:val="single" w:color="auto" w:sz="4" w:space="0"/>
            </w:tcBorders>
            <w:vAlign w:val="center"/>
          </w:tcPr>
          <w:p w14:paraId="0BAF3A9D">
            <w:pPr>
              <w:spacing w:line="400" w:lineRule="exact"/>
              <w:rPr>
                <w:rFonts w:hint="eastAsia" w:ascii="宋体" w:hAnsi="宋体" w:eastAsia="宋体" w:cs="宋体"/>
                <w:color w:val="auto"/>
                <w:sz w:val="21"/>
                <w:szCs w:val="21"/>
                <w:lang w:val="zh-CN"/>
              </w:rPr>
            </w:pPr>
            <w:r>
              <w:rPr>
                <w:rFonts w:hint="eastAsia"/>
                <w:snapToGrid w:val="0"/>
                <w:lang w:eastAsia="zh-CN"/>
              </w:rPr>
              <w:t>2025年10月24日8时30分</w:t>
            </w:r>
          </w:p>
        </w:tc>
      </w:tr>
      <w:tr w14:paraId="039B59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CA07217">
            <w:pPr>
              <w:autoSpaceDE/>
              <w:autoSpaceDN/>
              <w:adjustRightInd w:val="0"/>
              <w:snapToGrid w:val="0"/>
              <w:spacing w:line="360" w:lineRule="exact"/>
              <w:jc w:val="center"/>
              <w:rPr>
                <w:rFonts w:hint="eastAsia" w:cs="宋体"/>
                <w:color w:val="auto"/>
                <w:kern w:val="2"/>
                <w:sz w:val="21"/>
                <w:szCs w:val="21"/>
                <w:lang w:val="en-US" w:eastAsia="zh-CN"/>
              </w:rPr>
            </w:pPr>
            <w:r>
              <w:rPr>
                <w:rFonts w:hint="eastAsia"/>
                <w:kern w:val="2"/>
                <w:sz w:val="21"/>
                <w:szCs w:val="21"/>
                <w:lang w:eastAsia="zh-CN"/>
              </w:rPr>
              <w:t>17</w:t>
            </w:r>
          </w:p>
        </w:tc>
        <w:tc>
          <w:tcPr>
            <w:tcW w:w="1499" w:type="dxa"/>
            <w:tcBorders>
              <w:top w:val="single" w:color="auto" w:sz="4" w:space="0"/>
              <w:left w:val="single" w:color="auto" w:sz="4" w:space="0"/>
              <w:bottom w:val="single" w:color="auto" w:sz="4" w:space="0"/>
              <w:right w:val="single" w:color="auto" w:sz="4" w:space="0"/>
            </w:tcBorders>
            <w:vAlign w:val="center"/>
          </w:tcPr>
          <w:p w14:paraId="24FDEF3F">
            <w:pPr>
              <w:autoSpaceDE/>
              <w:autoSpaceDN/>
              <w:adjustRightInd w:val="0"/>
              <w:snapToGrid w:val="0"/>
              <w:spacing w:line="360" w:lineRule="exact"/>
              <w:jc w:val="center"/>
              <w:rPr>
                <w:rFonts w:hint="eastAsia" w:ascii="宋体" w:hAnsi="宋体" w:eastAsia="宋体" w:cs="宋体"/>
                <w:color w:val="auto"/>
                <w:kern w:val="2"/>
                <w:sz w:val="21"/>
                <w:szCs w:val="21"/>
                <w:lang w:eastAsia="zh-CN"/>
              </w:rPr>
            </w:pPr>
            <w:r>
              <w:rPr>
                <w:rFonts w:hint="eastAsia"/>
                <w:kern w:val="2"/>
                <w:sz w:val="21"/>
                <w:szCs w:val="21"/>
                <w:lang w:eastAsia="zh-CN"/>
              </w:rPr>
              <w:t>响应文件的解密与开启</w:t>
            </w:r>
          </w:p>
        </w:tc>
        <w:tc>
          <w:tcPr>
            <w:tcW w:w="7451" w:type="dxa"/>
            <w:tcBorders>
              <w:top w:val="single" w:color="auto" w:sz="4" w:space="0"/>
              <w:left w:val="single" w:color="auto" w:sz="4" w:space="0"/>
              <w:bottom w:val="single" w:color="auto" w:sz="4" w:space="0"/>
              <w:right w:val="single" w:color="auto" w:sz="4" w:space="0"/>
            </w:tcBorders>
            <w:vAlign w:val="center"/>
          </w:tcPr>
          <w:p w14:paraId="233EDF10">
            <w:pPr>
              <w:autoSpaceDE/>
              <w:autoSpaceDN/>
              <w:adjustRightInd w:val="0"/>
              <w:snapToGrid w:val="0"/>
              <w:spacing w:line="360" w:lineRule="auto"/>
              <w:rPr>
                <w:rFonts w:hint="eastAsia" w:ascii="宋体" w:hAnsi="宋体" w:eastAsia="宋体" w:cs="宋体"/>
                <w:color w:val="auto"/>
                <w:sz w:val="21"/>
                <w:szCs w:val="21"/>
                <w:lang w:val="zh-CN"/>
              </w:rPr>
            </w:pPr>
            <w:r>
              <w:rPr>
                <w:rFonts w:hint="eastAsia"/>
                <w:snapToGrid w:val="0"/>
              </w:rPr>
              <w:t>开标地点：</w:t>
            </w:r>
            <w:r>
              <w:rPr>
                <w:rFonts w:hint="eastAsia"/>
                <w:sz w:val="21"/>
                <w:szCs w:val="21"/>
                <w:lang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78B6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7A2800B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18</w:t>
            </w:r>
          </w:p>
        </w:tc>
        <w:tc>
          <w:tcPr>
            <w:tcW w:w="1499" w:type="dxa"/>
            <w:tcBorders>
              <w:top w:val="single" w:color="auto" w:sz="4" w:space="0"/>
              <w:left w:val="single" w:color="auto" w:sz="4" w:space="0"/>
              <w:bottom w:val="single" w:color="auto" w:sz="4" w:space="0"/>
              <w:right w:val="single" w:color="auto" w:sz="4" w:space="0"/>
            </w:tcBorders>
            <w:vAlign w:val="center"/>
          </w:tcPr>
          <w:p w14:paraId="7AA0CA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磋商小组的组建</w:t>
            </w:r>
          </w:p>
        </w:tc>
        <w:tc>
          <w:tcPr>
            <w:tcW w:w="7451" w:type="dxa"/>
            <w:tcBorders>
              <w:top w:val="single" w:color="auto" w:sz="4" w:space="0"/>
              <w:left w:val="single" w:color="auto" w:sz="4" w:space="0"/>
              <w:bottom w:val="single" w:color="auto" w:sz="4" w:space="0"/>
              <w:right w:val="single" w:color="auto" w:sz="4" w:space="0"/>
            </w:tcBorders>
            <w:vAlign w:val="center"/>
          </w:tcPr>
          <w:p w14:paraId="5A49B5C3">
            <w:pPr>
              <w:autoSpaceDE w:val="0"/>
              <w:autoSpaceDN w:val="0"/>
              <w:spacing w:line="360" w:lineRule="auto"/>
              <w:rPr>
                <w:rFonts w:hint="eastAsia" w:ascii="宋体" w:hAnsi="宋体" w:eastAsia="宋体" w:cs="宋体"/>
                <w:color w:val="auto"/>
                <w:sz w:val="21"/>
                <w:szCs w:val="21"/>
                <w:lang w:val="zh-CN"/>
              </w:rPr>
            </w:pPr>
            <w:r>
              <w:rPr>
                <w:rFonts w:hint="eastAsia" w:ascii="宋体" w:hAnsi="宋体" w:eastAsia="宋体" w:cs="宋体"/>
                <w:color w:val="auto"/>
                <w:kern w:val="2"/>
                <w:sz w:val="21"/>
                <w:szCs w:val="21"/>
                <w:lang w:eastAsia="zh-CN"/>
              </w:rPr>
              <w:t>磋商小组构成：三人及其以上单数。</w:t>
            </w:r>
            <w:r>
              <w:rPr>
                <w:rFonts w:hint="eastAsia" w:ascii="宋体" w:hAnsi="宋体" w:eastAsia="宋体" w:cs="宋体"/>
                <w:color w:val="auto"/>
                <w:sz w:val="21"/>
                <w:szCs w:val="21"/>
                <w:lang w:val="zh-CN"/>
              </w:rPr>
              <w:t>小组构成由采购人代表和评审专家组成，成员人数应当为3人以上单数，其中评审专家不得少于成员总数的2/3。</w:t>
            </w:r>
          </w:p>
          <w:p w14:paraId="67DCE38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lang w:val="zh-CN"/>
              </w:rPr>
              <w:t>评标专家确定方式：从云南省政府采购评标专家库中随机抽取。</w:t>
            </w:r>
          </w:p>
        </w:tc>
      </w:tr>
      <w:tr w14:paraId="78D28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CCF9561">
            <w:pPr>
              <w:autoSpaceDE/>
              <w:autoSpaceDN/>
              <w:spacing w:line="600" w:lineRule="exact"/>
              <w:jc w:val="center"/>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19.1</w:t>
            </w:r>
          </w:p>
        </w:tc>
        <w:tc>
          <w:tcPr>
            <w:tcW w:w="1499" w:type="dxa"/>
            <w:tcBorders>
              <w:top w:val="single" w:color="auto" w:sz="4" w:space="0"/>
              <w:left w:val="single" w:color="auto" w:sz="4" w:space="0"/>
              <w:bottom w:val="single" w:color="auto" w:sz="4" w:space="0"/>
              <w:right w:val="single" w:color="auto" w:sz="4" w:space="0"/>
            </w:tcBorders>
            <w:vAlign w:val="center"/>
          </w:tcPr>
          <w:p w14:paraId="128C6AC4">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评审办法</w:t>
            </w:r>
          </w:p>
        </w:tc>
        <w:tc>
          <w:tcPr>
            <w:tcW w:w="7451" w:type="dxa"/>
            <w:tcBorders>
              <w:top w:val="single" w:color="auto" w:sz="4" w:space="0"/>
              <w:left w:val="single" w:color="auto" w:sz="4" w:space="0"/>
              <w:bottom w:val="single" w:color="auto" w:sz="4" w:space="0"/>
              <w:right w:val="single" w:color="auto" w:sz="4" w:space="0"/>
            </w:tcBorders>
            <w:vAlign w:val="center"/>
          </w:tcPr>
          <w:p w14:paraId="7CE6A467">
            <w:pPr>
              <w:autoSpaceDE/>
              <w:autoSpaceDN/>
              <w:spacing w:line="600" w:lineRule="exact"/>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综合评分法</w:t>
            </w:r>
          </w:p>
        </w:tc>
      </w:tr>
      <w:tr w14:paraId="104BF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exac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712D187">
            <w:pPr>
              <w:autoSpaceDE/>
              <w:autoSpaceDN/>
              <w:spacing w:line="600" w:lineRule="exact"/>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20.1</w:t>
            </w:r>
          </w:p>
        </w:tc>
        <w:tc>
          <w:tcPr>
            <w:tcW w:w="1499" w:type="dxa"/>
            <w:tcBorders>
              <w:top w:val="single" w:color="auto" w:sz="4" w:space="0"/>
              <w:left w:val="single" w:color="auto" w:sz="4" w:space="0"/>
              <w:bottom w:val="single" w:color="auto" w:sz="4" w:space="0"/>
              <w:right w:val="single" w:color="auto" w:sz="4" w:space="0"/>
            </w:tcBorders>
            <w:vAlign w:val="center"/>
          </w:tcPr>
          <w:p w14:paraId="41F2EEB0">
            <w:pPr>
              <w:pStyle w:val="51"/>
              <w:spacing w:before="2" w:line="360" w:lineRule="exact"/>
              <w:ind w:left="109" w:leftChars="0" w:right="102" w:right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确定成交供应商</w:t>
            </w:r>
          </w:p>
        </w:tc>
        <w:tc>
          <w:tcPr>
            <w:tcW w:w="7451" w:type="dxa"/>
            <w:tcBorders>
              <w:top w:val="single" w:color="auto" w:sz="4" w:space="0"/>
              <w:left w:val="single" w:color="auto" w:sz="4" w:space="0"/>
              <w:bottom w:val="single" w:color="auto" w:sz="4" w:space="0"/>
              <w:right w:val="single" w:color="auto" w:sz="4" w:space="0"/>
            </w:tcBorders>
            <w:vAlign w:val="center"/>
          </w:tcPr>
          <w:p w14:paraId="34A54ADC">
            <w:pPr>
              <w:pStyle w:val="51"/>
              <w:spacing w:before="2" w:line="360" w:lineRule="exact"/>
              <w:ind w:left="109" w:leftChars="0" w:right="102" w:rightChars="0"/>
              <w:jc w:val="left"/>
              <w:rPr>
                <w:rFonts w:hint="eastAsia" w:ascii="宋体" w:hAnsi="宋体" w:eastAsia="宋体" w:cs="宋体"/>
                <w:color w:val="auto"/>
                <w:sz w:val="21"/>
                <w:szCs w:val="21"/>
                <w:lang w:val="en-US" w:eastAsia="zh-CN"/>
              </w:rPr>
            </w:pPr>
            <w:r>
              <w:rPr>
                <w:rFonts w:hint="eastAsia"/>
                <w:sz w:val="21"/>
                <w:szCs w:val="21"/>
                <w:lang w:val="en-US" w:eastAsia="zh-CN"/>
              </w:rPr>
              <w:t>采购人是否授权磋商小组直接确定成交供应商：☑否□是</w:t>
            </w:r>
          </w:p>
        </w:tc>
      </w:tr>
      <w:tr w14:paraId="3E5953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1" w:hRule="exact"/>
          <w:jc w:val="center"/>
        </w:trPr>
        <w:tc>
          <w:tcPr>
            <w:tcW w:w="1273" w:type="dxa"/>
            <w:tcBorders>
              <w:top w:val="single" w:color="auto" w:sz="4" w:space="0"/>
              <w:left w:val="single" w:color="auto" w:sz="4" w:space="0"/>
              <w:bottom w:val="single" w:color="auto" w:sz="4" w:space="0"/>
              <w:right w:val="single" w:color="auto" w:sz="4" w:space="0"/>
            </w:tcBorders>
            <w:vAlign w:val="center"/>
          </w:tcPr>
          <w:p w14:paraId="53CB2406">
            <w:pPr>
              <w:autoSpaceDE/>
              <w:autoSpaceDN/>
              <w:spacing w:line="600" w:lineRule="exact"/>
              <w:jc w:val="center"/>
              <w:rPr>
                <w:rFonts w:hint="eastAsia" w:cs="宋体"/>
                <w:color w:val="auto"/>
                <w:kern w:val="2"/>
                <w:sz w:val="21"/>
                <w:szCs w:val="21"/>
                <w:lang w:val="en-US" w:eastAsia="zh-CN"/>
              </w:rPr>
            </w:pPr>
            <w:r>
              <w:rPr>
                <w:rFonts w:hint="eastAsia"/>
                <w:kern w:val="2"/>
                <w:sz w:val="21"/>
                <w:szCs w:val="21"/>
                <w:lang w:eastAsia="zh-CN"/>
              </w:rPr>
              <w:t>21.2</w:t>
            </w:r>
          </w:p>
        </w:tc>
        <w:tc>
          <w:tcPr>
            <w:tcW w:w="1499" w:type="dxa"/>
            <w:tcBorders>
              <w:top w:val="single" w:color="auto" w:sz="4" w:space="0"/>
              <w:left w:val="single" w:color="auto" w:sz="4" w:space="0"/>
              <w:bottom w:val="single" w:color="auto" w:sz="4" w:space="0"/>
              <w:right w:val="single" w:color="auto" w:sz="4" w:space="0"/>
            </w:tcBorders>
            <w:vAlign w:val="center"/>
          </w:tcPr>
          <w:p w14:paraId="4D8EB65F">
            <w:pPr>
              <w:pStyle w:val="51"/>
              <w:spacing w:before="2" w:line="360" w:lineRule="exact"/>
              <w:ind w:left="109" w:leftChars="0" w:right="102" w:rightChars="0"/>
              <w:jc w:val="center"/>
              <w:rPr>
                <w:rFonts w:hint="eastAsia" w:ascii="宋体" w:hAnsi="宋体" w:eastAsia="宋体" w:cs="宋体"/>
                <w:color w:val="auto"/>
                <w:kern w:val="2"/>
                <w:sz w:val="21"/>
                <w:szCs w:val="21"/>
                <w:lang w:val="en-US" w:eastAsia="zh-CN"/>
              </w:rPr>
            </w:pPr>
            <w:r>
              <w:rPr>
                <w:rFonts w:hint="eastAsia"/>
                <w:sz w:val="21"/>
                <w:szCs w:val="21"/>
                <w:lang w:eastAsia="zh-CN"/>
              </w:rPr>
              <w:t>成交公告与成交通知书</w:t>
            </w:r>
          </w:p>
        </w:tc>
        <w:tc>
          <w:tcPr>
            <w:tcW w:w="7451" w:type="dxa"/>
            <w:tcBorders>
              <w:top w:val="single" w:color="auto" w:sz="4" w:space="0"/>
              <w:left w:val="single" w:color="auto" w:sz="4" w:space="0"/>
              <w:bottom w:val="single" w:color="auto" w:sz="4" w:space="0"/>
              <w:right w:val="single" w:color="auto" w:sz="4" w:space="0"/>
            </w:tcBorders>
            <w:vAlign w:val="center"/>
          </w:tcPr>
          <w:p w14:paraId="5BA97E31">
            <w:pPr>
              <w:pStyle w:val="51"/>
              <w:spacing w:before="2" w:line="360" w:lineRule="exact"/>
              <w:ind w:right="102" w:rightChars="0"/>
              <w:rPr>
                <w:rFonts w:hint="eastAsia" w:ascii="宋体" w:hAnsi="宋体" w:eastAsia="宋体" w:cs="宋体"/>
                <w:color w:val="auto"/>
                <w:kern w:val="2"/>
                <w:sz w:val="21"/>
                <w:szCs w:val="21"/>
                <w:lang w:val="en-US" w:eastAsia="zh-CN"/>
              </w:rPr>
            </w:pPr>
            <w:r>
              <w:rPr>
                <w:rFonts w:hint="eastAsia"/>
                <w:sz w:val="21"/>
                <w:szCs w:val="21"/>
                <w:lang w:eastAsia="zh-CN"/>
              </w:rPr>
              <w:t>成交供应商确定后 2 个工作日内，在云南省政府采购网公告成交结果，同时向成交供应商发出成交通知书，成交公告期限为 1 个工作日。</w:t>
            </w:r>
          </w:p>
        </w:tc>
      </w:tr>
      <w:tr w14:paraId="2F8EE0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1" w:hRule="exact"/>
          <w:jc w:val="center"/>
        </w:trPr>
        <w:tc>
          <w:tcPr>
            <w:tcW w:w="1273" w:type="dxa"/>
            <w:tcBorders>
              <w:top w:val="single" w:color="auto" w:sz="4" w:space="0"/>
              <w:left w:val="single" w:color="auto" w:sz="4" w:space="0"/>
              <w:bottom w:val="single" w:color="auto" w:sz="4" w:space="0"/>
              <w:right w:val="single" w:color="auto" w:sz="4" w:space="0"/>
            </w:tcBorders>
            <w:vAlign w:val="center"/>
          </w:tcPr>
          <w:p w14:paraId="682DE757">
            <w:pPr>
              <w:autoSpaceDE/>
              <w:autoSpaceDN/>
              <w:adjustRightInd w:val="0"/>
              <w:snapToGrid w:val="0"/>
              <w:jc w:val="center"/>
              <w:rPr>
                <w:rFonts w:hint="eastAsia" w:cs="宋体"/>
                <w:color w:val="auto"/>
                <w:kern w:val="2"/>
                <w:sz w:val="21"/>
                <w:szCs w:val="21"/>
                <w:lang w:val="en-US" w:eastAsia="zh-CN"/>
              </w:rPr>
            </w:pPr>
            <w:r>
              <w:rPr>
                <w:rFonts w:hint="eastAsia"/>
                <w:kern w:val="2"/>
                <w:sz w:val="21"/>
                <w:szCs w:val="21"/>
                <w:lang w:eastAsia="zh-CN"/>
              </w:rPr>
              <w:t>23.1</w:t>
            </w:r>
          </w:p>
        </w:tc>
        <w:tc>
          <w:tcPr>
            <w:tcW w:w="1499" w:type="dxa"/>
            <w:tcBorders>
              <w:top w:val="single" w:color="auto" w:sz="4" w:space="0"/>
              <w:left w:val="single" w:color="auto" w:sz="4" w:space="0"/>
              <w:bottom w:val="single" w:color="auto" w:sz="4" w:space="0"/>
              <w:right w:val="single" w:color="auto" w:sz="4" w:space="0"/>
            </w:tcBorders>
            <w:vAlign w:val="center"/>
          </w:tcPr>
          <w:p w14:paraId="365D6E83">
            <w:pPr>
              <w:pStyle w:val="51"/>
              <w:spacing w:before="2" w:line="360" w:lineRule="exact"/>
              <w:ind w:left="109" w:leftChars="0" w:right="102" w:rightChars="0"/>
              <w:jc w:val="center"/>
              <w:rPr>
                <w:rFonts w:hint="eastAsia" w:ascii="宋体" w:hAnsi="宋体" w:eastAsia="宋体" w:cs="宋体"/>
                <w:color w:val="auto"/>
                <w:kern w:val="2"/>
                <w:sz w:val="21"/>
                <w:szCs w:val="21"/>
                <w:lang w:val="en-US" w:eastAsia="zh-CN"/>
              </w:rPr>
            </w:pPr>
            <w:r>
              <w:rPr>
                <w:rFonts w:hint="eastAsia"/>
                <w:sz w:val="21"/>
                <w:szCs w:val="21"/>
                <w:lang w:eastAsia="zh-CN"/>
              </w:rPr>
              <w:t>签订合同</w:t>
            </w:r>
          </w:p>
        </w:tc>
        <w:tc>
          <w:tcPr>
            <w:tcW w:w="7451" w:type="dxa"/>
            <w:tcBorders>
              <w:top w:val="single" w:color="auto" w:sz="4" w:space="0"/>
              <w:left w:val="single" w:color="auto" w:sz="4" w:space="0"/>
              <w:bottom w:val="single" w:color="auto" w:sz="4" w:space="0"/>
              <w:right w:val="single" w:color="auto" w:sz="4" w:space="0"/>
            </w:tcBorders>
            <w:vAlign w:val="center"/>
          </w:tcPr>
          <w:p w14:paraId="31D26668">
            <w:pPr>
              <w:pStyle w:val="51"/>
              <w:spacing w:before="2" w:line="360" w:lineRule="exact"/>
              <w:ind w:right="102" w:rightChars="0"/>
              <w:rPr>
                <w:rFonts w:hint="eastAsia" w:ascii="宋体" w:hAnsi="宋体" w:eastAsia="宋体" w:cs="宋体"/>
                <w:color w:val="auto"/>
                <w:kern w:val="2"/>
                <w:sz w:val="21"/>
                <w:szCs w:val="21"/>
                <w:lang w:val="en-US" w:eastAsia="zh-CN"/>
              </w:rPr>
            </w:pPr>
            <w:r>
              <w:rPr>
                <w:rFonts w:hint="eastAsia"/>
                <w:sz w:val="21"/>
                <w:szCs w:val="21"/>
                <w:lang w:eastAsia="zh-CN"/>
              </w:rPr>
              <w:t>采购人与成交供应商应当在成交通知书发出之日起30日内签订政府采购合同。</w:t>
            </w:r>
          </w:p>
        </w:tc>
      </w:tr>
      <w:tr w14:paraId="1C2D5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1" w:hRule="exact"/>
          <w:jc w:val="center"/>
        </w:trPr>
        <w:tc>
          <w:tcPr>
            <w:tcW w:w="1273" w:type="dxa"/>
            <w:tcBorders>
              <w:top w:val="single" w:color="auto" w:sz="4" w:space="0"/>
              <w:left w:val="single" w:color="auto" w:sz="4" w:space="0"/>
              <w:bottom w:val="single" w:color="auto" w:sz="4" w:space="0"/>
              <w:right w:val="single" w:color="auto" w:sz="4" w:space="0"/>
            </w:tcBorders>
            <w:vAlign w:val="center"/>
          </w:tcPr>
          <w:p w14:paraId="16C369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23.5</w:t>
            </w:r>
          </w:p>
        </w:tc>
        <w:tc>
          <w:tcPr>
            <w:tcW w:w="1499" w:type="dxa"/>
            <w:tcBorders>
              <w:top w:val="single" w:color="auto" w:sz="4" w:space="0"/>
              <w:left w:val="single" w:color="auto" w:sz="4" w:space="0"/>
              <w:bottom w:val="single" w:color="auto" w:sz="4" w:space="0"/>
              <w:right w:val="single" w:color="auto" w:sz="4" w:space="0"/>
            </w:tcBorders>
            <w:vAlign w:val="center"/>
          </w:tcPr>
          <w:p w14:paraId="4DEC598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分包</w:t>
            </w:r>
          </w:p>
        </w:tc>
        <w:tc>
          <w:tcPr>
            <w:tcW w:w="7451" w:type="dxa"/>
            <w:tcBorders>
              <w:top w:val="single" w:color="auto" w:sz="4" w:space="0"/>
              <w:left w:val="single" w:color="auto" w:sz="4" w:space="0"/>
              <w:bottom w:val="single" w:color="auto" w:sz="4" w:space="0"/>
              <w:right w:val="single" w:color="auto" w:sz="4" w:space="0"/>
            </w:tcBorders>
            <w:vAlign w:val="center"/>
          </w:tcPr>
          <w:p w14:paraId="5B8B589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本项目是否允许分包：</w:t>
            </w:r>
          </w:p>
          <w:p w14:paraId="789848B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☑不允许</w:t>
            </w:r>
          </w:p>
          <w:p w14:paraId="2153E62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 xml:space="preserve">□允许，具体要求： </w:t>
            </w:r>
            <w:r>
              <w:rPr>
                <w:rFonts w:hint="eastAsia" w:ascii="宋体" w:hAnsi="宋体" w:eastAsia="宋体" w:cs="宋体"/>
                <w:color w:val="auto"/>
                <w:kern w:val="2"/>
                <w:sz w:val="21"/>
                <w:szCs w:val="21"/>
                <w:lang w:val="en-US" w:eastAsia="zh-CN"/>
              </w:rPr>
              <w:tab/>
            </w:r>
            <w:r>
              <w:rPr>
                <w:rFonts w:hint="eastAsia" w:ascii="宋体" w:hAnsi="宋体" w:eastAsia="宋体" w:cs="宋体"/>
                <w:color w:val="auto"/>
                <w:kern w:val="2"/>
                <w:sz w:val="21"/>
                <w:szCs w:val="21"/>
                <w:lang w:val="en-US" w:eastAsia="zh-CN"/>
              </w:rPr>
              <w:t>。</w:t>
            </w:r>
          </w:p>
          <w:p w14:paraId="1E54100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 xml:space="preserve">（1）可以分包履行的具体内容： </w:t>
            </w:r>
            <w:r>
              <w:rPr>
                <w:rFonts w:hint="eastAsia" w:ascii="宋体" w:hAnsi="宋体" w:eastAsia="宋体" w:cs="宋体"/>
                <w:color w:val="auto"/>
                <w:kern w:val="2"/>
                <w:sz w:val="21"/>
                <w:szCs w:val="21"/>
                <w:lang w:val="en-US" w:eastAsia="zh-CN"/>
              </w:rPr>
              <w:tab/>
            </w:r>
            <w:r>
              <w:rPr>
                <w:rFonts w:hint="eastAsia" w:ascii="宋体" w:hAnsi="宋体" w:eastAsia="宋体" w:cs="宋体"/>
                <w:color w:val="auto"/>
                <w:kern w:val="2"/>
                <w:sz w:val="21"/>
                <w:szCs w:val="21"/>
                <w:lang w:val="en-US" w:eastAsia="zh-CN"/>
              </w:rPr>
              <w:t>；</w:t>
            </w:r>
          </w:p>
          <w:p w14:paraId="330B1CF4">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 xml:space="preserve">（2）允许分包的金额或者比例： </w:t>
            </w:r>
            <w:r>
              <w:rPr>
                <w:rFonts w:hint="eastAsia" w:ascii="宋体" w:hAnsi="宋体" w:eastAsia="宋体" w:cs="宋体"/>
                <w:color w:val="auto"/>
                <w:kern w:val="2"/>
                <w:sz w:val="21"/>
                <w:szCs w:val="21"/>
                <w:lang w:val="en-US" w:eastAsia="zh-CN"/>
              </w:rPr>
              <w:tab/>
            </w:r>
            <w:r>
              <w:rPr>
                <w:rFonts w:hint="eastAsia" w:ascii="宋体" w:hAnsi="宋体" w:eastAsia="宋体" w:cs="宋体"/>
                <w:color w:val="auto"/>
                <w:kern w:val="2"/>
                <w:sz w:val="21"/>
                <w:szCs w:val="21"/>
                <w:lang w:val="en-US" w:eastAsia="zh-CN"/>
              </w:rPr>
              <w:t>；</w:t>
            </w:r>
          </w:p>
          <w:p w14:paraId="5D7D78BE">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 xml:space="preserve">（3）其他要求：           </w:t>
            </w:r>
            <w:r>
              <w:rPr>
                <w:rFonts w:hint="eastAsia" w:ascii="宋体" w:hAnsi="宋体" w:eastAsia="宋体" w:cs="宋体"/>
                <w:color w:val="auto"/>
                <w:kern w:val="2"/>
                <w:sz w:val="21"/>
                <w:szCs w:val="21"/>
                <w:lang w:val="en-US" w:eastAsia="zh-CN"/>
              </w:rPr>
              <w:tab/>
            </w:r>
            <w:r>
              <w:rPr>
                <w:rFonts w:hint="eastAsia" w:ascii="宋体" w:hAnsi="宋体" w:eastAsia="宋体" w:cs="宋体"/>
                <w:color w:val="auto"/>
                <w:kern w:val="2"/>
                <w:sz w:val="21"/>
                <w:szCs w:val="21"/>
                <w:lang w:val="en-US" w:eastAsia="zh-CN"/>
              </w:rPr>
              <w:t>。</w:t>
            </w:r>
          </w:p>
        </w:tc>
      </w:tr>
      <w:tr w14:paraId="0808FB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1" w:hRule="exact"/>
          <w:jc w:val="center"/>
        </w:trPr>
        <w:tc>
          <w:tcPr>
            <w:tcW w:w="1273" w:type="dxa"/>
            <w:tcBorders>
              <w:top w:val="single" w:color="auto" w:sz="4" w:space="0"/>
              <w:left w:val="single" w:color="auto" w:sz="4" w:space="0"/>
              <w:bottom w:val="single" w:color="auto" w:sz="4" w:space="0"/>
              <w:right w:val="single" w:color="auto" w:sz="4" w:space="0"/>
            </w:tcBorders>
            <w:vAlign w:val="top"/>
          </w:tcPr>
          <w:p w14:paraId="746BDAD6">
            <w:pPr>
              <w:pStyle w:val="51"/>
              <w:spacing w:before="2" w:line="360" w:lineRule="exact"/>
              <w:ind w:left="109" w:leftChars="0" w:right="102" w:rightChars="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24.1.1</w:t>
            </w:r>
          </w:p>
        </w:tc>
        <w:tc>
          <w:tcPr>
            <w:tcW w:w="1499" w:type="dxa"/>
            <w:tcBorders>
              <w:top w:val="single" w:color="auto" w:sz="4" w:space="0"/>
              <w:left w:val="single" w:color="auto" w:sz="4" w:space="0"/>
              <w:bottom w:val="single" w:color="auto" w:sz="4" w:space="0"/>
              <w:right w:val="single" w:color="auto" w:sz="4" w:space="0"/>
            </w:tcBorders>
            <w:vAlign w:val="center"/>
          </w:tcPr>
          <w:p w14:paraId="1C448A3E">
            <w:pPr>
              <w:pStyle w:val="51"/>
              <w:spacing w:before="2" w:line="360" w:lineRule="exact"/>
              <w:ind w:left="109" w:leftChars="0" w:right="102" w:right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询问</w:t>
            </w:r>
          </w:p>
        </w:tc>
        <w:tc>
          <w:tcPr>
            <w:tcW w:w="7451" w:type="dxa"/>
            <w:tcBorders>
              <w:top w:val="single" w:color="auto" w:sz="4" w:space="0"/>
              <w:left w:val="single" w:color="auto" w:sz="4" w:space="0"/>
              <w:bottom w:val="single" w:color="auto" w:sz="4" w:space="0"/>
              <w:right w:val="single" w:color="auto" w:sz="4" w:space="0"/>
            </w:tcBorders>
            <w:vAlign w:val="top"/>
          </w:tcPr>
          <w:p w14:paraId="2DBE1C14">
            <w:pPr>
              <w:pStyle w:val="51"/>
              <w:spacing w:before="2" w:line="360" w:lineRule="exact"/>
              <w:ind w:right="102" w:rightChars="0"/>
              <w:jc w:val="left"/>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询问送达形式：书面形式且由法定代表人、主要负责人，或者其授权代表签字或者盖名章，并加盖公章。</w:t>
            </w:r>
          </w:p>
        </w:tc>
      </w:tr>
      <w:tr w14:paraId="464817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41" w:hRule="exact"/>
          <w:jc w:val="center"/>
        </w:trPr>
        <w:tc>
          <w:tcPr>
            <w:tcW w:w="1273" w:type="dxa"/>
            <w:tcBorders>
              <w:top w:val="single" w:color="auto" w:sz="4" w:space="0"/>
              <w:left w:val="single" w:color="auto" w:sz="4" w:space="0"/>
              <w:bottom w:val="single" w:color="auto" w:sz="4" w:space="0"/>
              <w:right w:val="single" w:color="auto" w:sz="4" w:space="0"/>
            </w:tcBorders>
            <w:vAlign w:val="center"/>
          </w:tcPr>
          <w:p w14:paraId="45F0F1BF">
            <w:pPr>
              <w:autoSpaceDE/>
              <w:autoSpaceDN/>
              <w:spacing w:line="600" w:lineRule="exact"/>
              <w:jc w:val="center"/>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24.3</w:t>
            </w:r>
          </w:p>
        </w:tc>
        <w:tc>
          <w:tcPr>
            <w:tcW w:w="1499" w:type="dxa"/>
            <w:tcBorders>
              <w:top w:val="single" w:color="auto" w:sz="4" w:space="0"/>
              <w:left w:val="single" w:color="auto" w:sz="4" w:space="0"/>
              <w:bottom w:val="single" w:color="auto" w:sz="4" w:space="0"/>
              <w:right w:val="single" w:color="auto" w:sz="4" w:space="0"/>
            </w:tcBorders>
            <w:vAlign w:val="center"/>
          </w:tcPr>
          <w:p w14:paraId="3720DB10">
            <w:pPr>
              <w:pStyle w:val="51"/>
              <w:spacing w:before="2" w:line="360" w:lineRule="exact"/>
              <w:ind w:left="109" w:leftChars="0" w:right="102" w:right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联系方式</w:t>
            </w:r>
          </w:p>
        </w:tc>
        <w:tc>
          <w:tcPr>
            <w:tcW w:w="7451" w:type="dxa"/>
            <w:tcBorders>
              <w:top w:val="single" w:color="auto" w:sz="4" w:space="0"/>
              <w:left w:val="single" w:color="auto" w:sz="4" w:space="0"/>
              <w:bottom w:val="single" w:color="auto" w:sz="4" w:space="0"/>
              <w:right w:val="single" w:color="auto" w:sz="4" w:space="0"/>
            </w:tcBorders>
            <w:vAlign w:val="top"/>
          </w:tcPr>
          <w:p w14:paraId="02425289">
            <w:pPr>
              <w:pStyle w:val="51"/>
              <w:spacing w:before="2" w:line="360" w:lineRule="exact"/>
              <w:ind w:left="109" w:right="102"/>
              <w:jc w:val="left"/>
              <w:rPr>
                <w:rFonts w:hint="eastAsia" w:ascii="宋体" w:hAnsi="宋体" w:eastAsia="宋体" w:cs="宋体"/>
                <w:color w:val="auto"/>
                <w:sz w:val="21"/>
                <w:szCs w:val="21"/>
                <w:u w:val="none"/>
                <w:lang w:eastAsia="zh-CN"/>
              </w:rPr>
            </w:pPr>
            <w:r>
              <w:rPr>
                <w:rFonts w:hint="eastAsia" w:ascii="宋体" w:hAnsi="宋体" w:eastAsia="宋体" w:cs="宋体"/>
                <w:color w:val="auto"/>
                <w:sz w:val="21"/>
                <w:szCs w:val="21"/>
                <w:u w:val="none"/>
                <w:lang w:eastAsia="zh-CN"/>
              </w:rPr>
              <w:t>接收询问和质疑的联系方式</w:t>
            </w:r>
          </w:p>
          <w:p w14:paraId="64C7FA30">
            <w:pPr>
              <w:pStyle w:val="51"/>
              <w:spacing w:before="2" w:line="360" w:lineRule="exact"/>
              <w:ind w:left="109" w:right="102"/>
              <w:jc w:val="left"/>
              <w:rPr>
                <w:rFonts w:hint="eastAsia" w:ascii="宋体" w:hAnsi="宋体" w:eastAsia="宋体" w:cs="宋体"/>
                <w:color w:val="auto"/>
                <w:sz w:val="21"/>
                <w:szCs w:val="21"/>
                <w:u w:val="none"/>
                <w:lang w:eastAsia="zh-CN"/>
              </w:rPr>
            </w:pPr>
            <w:r>
              <w:rPr>
                <w:rFonts w:hint="eastAsia" w:ascii="宋体" w:hAnsi="宋体" w:eastAsia="宋体" w:cs="宋体"/>
                <w:color w:val="auto"/>
                <w:sz w:val="21"/>
                <w:szCs w:val="21"/>
                <w:u w:val="none"/>
                <w:lang w:eastAsia="zh-CN"/>
              </w:rPr>
              <w:t>联系部门：</w:t>
            </w:r>
            <w:r>
              <w:rPr>
                <w:rFonts w:hint="eastAsia" w:cs="宋体"/>
                <w:color w:val="auto"/>
                <w:sz w:val="21"/>
                <w:szCs w:val="21"/>
                <w:u w:val="none"/>
                <w:lang w:eastAsia="zh-CN"/>
              </w:rPr>
              <w:t>镇沅彝族哈尼族拉祜族自治县古城镇人民政府</w:t>
            </w:r>
            <w:r>
              <w:rPr>
                <w:rFonts w:hint="eastAsia" w:ascii="宋体" w:hAnsi="宋体" w:eastAsia="宋体" w:cs="宋体"/>
                <w:color w:val="auto"/>
                <w:sz w:val="21"/>
                <w:szCs w:val="21"/>
                <w:u w:val="none"/>
                <w:lang w:eastAsia="zh-CN"/>
              </w:rPr>
              <w:t>或普洱市普平工程招标有限责任公司</w:t>
            </w:r>
            <w:r>
              <w:rPr>
                <w:rFonts w:hint="eastAsia" w:cs="宋体"/>
                <w:color w:val="auto"/>
                <w:sz w:val="21"/>
                <w:szCs w:val="21"/>
                <w:u w:val="none"/>
                <w:lang w:eastAsia="zh-CN"/>
              </w:rPr>
              <w:t>镇沅分公司</w:t>
            </w:r>
          </w:p>
          <w:p w14:paraId="39E69E00">
            <w:pPr>
              <w:pStyle w:val="51"/>
              <w:spacing w:before="2" w:line="360" w:lineRule="exact"/>
              <w:ind w:left="109" w:right="102"/>
              <w:jc w:val="left"/>
              <w:rPr>
                <w:rFonts w:hint="eastAsia" w:ascii="宋体" w:hAnsi="宋体" w:eastAsia="宋体" w:cs="宋体"/>
                <w:color w:val="auto"/>
                <w:sz w:val="21"/>
                <w:szCs w:val="21"/>
                <w:u w:val="none"/>
                <w:lang w:eastAsia="zh-CN"/>
              </w:rPr>
            </w:pPr>
            <w:r>
              <w:rPr>
                <w:rFonts w:hint="eastAsia" w:ascii="宋体" w:hAnsi="宋体" w:eastAsia="宋体" w:cs="宋体"/>
                <w:color w:val="auto"/>
                <w:sz w:val="21"/>
                <w:szCs w:val="21"/>
                <w:u w:val="none"/>
                <w:lang w:eastAsia="zh-CN"/>
              </w:rPr>
              <w:t>联系电话：</w:t>
            </w:r>
            <w:r>
              <w:rPr>
                <w:rFonts w:hint="eastAsia" w:cs="宋体"/>
                <w:color w:val="auto"/>
                <w:sz w:val="21"/>
                <w:szCs w:val="21"/>
                <w:u w:val="none"/>
                <w:lang w:eastAsia="zh-CN"/>
              </w:rPr>
              <w:t>0879-5836013</w:t>
            </w:r>
            <w:r>
              <w:rPr>
                <w:rFonts w:hint="eastAsia" w:ascii="宋体" w:hAnsi="宋体" w:eastAsia="宋体" w:cs="宋体"/>
                <w:color w:val="auto"/>
                <w:sz w:val="21"/>
                <w:szCs w:val="21"/>
                <w:u w:val="none"/>
                <w:lang w:eastAsia="zh-CN"/>
              </w:rPr>
              <w:t>或0871-5811353</w:t>
            </w:r>
          </w:p>
          <w:p w14:paraId="64A14CEA">
            <w:pPr>
              <w:pStyle w:val="51"/>
              <w:spacing w:before="2" w:line="360" w:lineRule="exact"/>
              <w:ind w:left="109" w:leftChars="0" w:right="102" w:rightChars="0"/>
              <w:jc w:val="left"/>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eastAsia="zh-CN"/>
              </w:rPr>
              <w:t>通讯地址：</w:t>
            </w:r>
            <w:r>
              <w:rPr>
                <w:rFonts w:hint="eastAsia" w:cs="宋体"/>
                <w:color w:val="auto"/>
                <w:sz w:val="21"/>
                <w:szCs w:val="21"/>
                <w:u w:val="none"/>
                <w:lang w:eastAsia="zh-CN"/>
              </w:rPr>
              <w:t>镇沅彝族哈尼族拉祜族自治县古城镇人民政府</w:t>
            </w:r>
            <w:r>
              <w:rPr>
                <w:rFonts w:hint="eastAsia" w:ascii="宋体" w:hAnsi="宋体" w:eastAsia="宋体" w:cs="宋体"/>
                <w:color w:val="auto"/>
                <w:sz w:val="21"/>
                <w:szCs w:val="21"/>
                <w:u w:val="none"/>
                <w:lang w:eastAsia="zh-CN"/>
              </w:rPr>
              <w:t>或</w:t>
            </w:r>
            <w:r>
              <w:rPr>
                <w:rFonts w:hint="eastAsia" w:ascii="宋体" w:hAnsi="宋体" w:eastAsia="宋体" w:cs="宋体"/>
                <w:color w:val="auto"/>
                <w:sz w:val="21"/>
                <w:szCs w:val="21"/>
                <w:highlight w:val="none"/>
                <w:u w:val="none"/>
                <w:lang w:val="zh-CN"/>
              </w:rPr>
              <w:t>普洱市普平工程招标有限责任公司镇沅分公司（镇沅县建设路3号镇沅县住房和城乡建设局办公楼四楼）</w:t>
            </w:r>
          </w:p>
        </w:tc>
      </w:tr>
      <w:tr w14:paraId="39903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59" w:hRule="exact"/>
          <w:jc w:val="center"/>
        </w:trPr>
        <w:tc>
          <w:tcPr>
            <w:tcW w:w="1273" w:type="dxa"/>
            <w:tcBorders>
              <w:top w:val="single" w:color="auto" w:sz="4" w:space="0"/>
              <w:left w:val="single" w:color="auto" w:sz="4" w:space="0"/>
              <w:bottom w:val="single" w:color="auto" w:sz="4" w:space="0"/>
              <w:right w:val="single" w:color="auto" w:sz="4" w:space="0"/>
            </w:tcBorders>
            <w:vAlign w:val="center"/>
          </w:tcPr>
          <w:p w14:paraId="677F362E">
            <w:pPr>
              <w:autoSpaceDE/>
              <w:autoSpaceDN/>
              <w:spacing w:line="600" w:lineRule="exact"/>
              <w:jc w:val="center"/>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25</w:t>
            </w:r>
          </w:p>
        </w:tc>
        <w:tc>
          <w:tcPr>
            <w:tcW w:w="1499" w:type="dxa"/>
            <w:tcBorders>
              <w:top w:val="single" w:color="auto" w:sz="4" w:space="0"/>
              <w:left w:val="single" w:color="auto" w:sz="4" w:space="0"/>
              <w:bottom w:val="single" w:color="auto" w:sz="4" w:space="0"/>
              <w:right w:val="single" w:color="auto" w:sz="4" w:space="0"/>
            </w:tcBorders>
            <w:vAlign w:val="center"/>
          </w:tcPr>
          <w:p w14:paraId="6E775222">
            <w:pPr>
              <w:spacing w:after="0" w:line="400" w:lineRule="exact"/>
              <w:jc w:val="center"/>
              <w:rPr>
                <w:rFonts w:hint="eastAsia" w:ascii="宋体" w:hAnsi="宋体" w:eastAsia="宋体" w:cs="宋体"/>
                <w:color w:val="auto"/>
                <w:sz w:val="21"/>
                <w:szCs w:val="21"/>
                <w:lang w:eastAsia="zh-CN"/>
              </w:rPr>
            </w:pPr>
            <w:r>
              <w:rPr>
                <w:rFonts w:hint="eastAsia" w:ascii="宋体" w:hAnsi="宋体" w:eastAsia="宋体" w:cs="宋体"/>
                <w:snapToGrid w:val="0"/>
                <w:color w:val="auto"/>
                <w:kern w:val="0"/>
                <w:sz w:val="21"/>
                <w:szCs w:val="21"/>
                <w:highlight w:val="none"/>
                <w:lang w:val="en-US" w:eastAsia="zh-CN"/>
              </w:rPr>
              <w:t>代理费</w:t>
            </w:r>
          </w:p>
        </w:tc>
        <w:tc>
          <w:tcPr>
            <w:tcW w:w="7451" w:type="dxa"/>
            <w:tcBorders>
              <w:top w:val="single" w:color="auto" w:sz="4" w:space="0"/>
              <w:left w:val="single" w:color="auto" w:sz="4" w:space="0"/>
              <w:bottom w:val="single" w:color="auto" w:sz="4" w:space="0"/>
              <w:right w:val="single" w:color="auto" w:sz="4" w:space="0"/>
            </w:tcBorders>
            <w:vAlign w:val="center"/>
          </w:tcPr>
          <w:p w14:paraId="6E36D29A">
            <w:pPr>
              <w:spacing w:after="0" w:line="400" w:lineRule="exact"/>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收费对象：</w:t>
            </w:r>
          </w:p>
          <w:p w14:paraId="7039305E">
            <w:pPr>
              <w:spacing w:after="0" w:line="400" w:lineRule="exact"/>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□采购人</w:t>
            </w:r>
          </w:p>
          <w:p w14:paraId="65035ECA">
            <w:pPr>
              <w:spacing w:after="0" w:line="400" w:lineRule="exact"/>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☑中标人</w:t>
            </w:r>
          </w:p>
          <w:p w14:paraId="6AA35817">
            <w:pPr>
              <w:spacing w:after="0" w:line="400" w:lineRule="exact"/>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收费标准：按照《云南省建设工程招标代理服务收费指导意见(试行)》的通知(云建招协(2023)51号)、《云南省建设工程招标代理服务收费参考意见》的通知(云建招协(2024)58号)文规定的指导标准及参考费率计算收取，由中标人支付。</w:t>
            </w:r>
          </w:p>
          <w:p w14:paraId="51E38B77">
            <w:pPr>
              <w:spacing w:after="0" w:line="400" w:lineRule="exact"/>
              <w:jc w:val="left"/>
              <w:rPr>
                <w:rFonts w:hint="eastAsia" w:ascii="宋体" w:hAnsi="宋体" w:eastAsia="宋体" w:cs="宋体"/>
                <w:color w:val="auto"/>
                <w:sz w:val="21"/>
                <w:szCs w:val="21"/>
                <w:lang w:eastAsia="zh-CN"/>
              </w:rPr>
            </w:pPr>
            <w:r>
              <w:rPr>
                <w:rFonts w:hint="eastAsia" w:ascii="宋体" w:hAnsi="宋体" w:eastAsia="宋体" w:cs="宋体"/>
                <w:snapToGrid w:val="0"/>
                <w:color w:val="auto"/>
                <w:kern w:val="0"/>
                <w:sz w:val="21"/>
                <w:szCs w:val="21"/>
                <w:highlight w:val="none"/>
                <w:lang w:val="en-US" w:eastAsia="zh-CN"/>
              </w:rPr>
              <w:t>中标人领取中标通知书时一次性支付代理费,采购人将不另行给予补偿,投标人在投标报价时进行综合考虑,进入投标报价中。</w:t>
            </w:r>
          </w:p>
        </w:tc>
      </w:tr>
      <w:tr w14:paraId="340CF7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2EBE6F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kern w:val="2"/>
                <w:sz w:val="21"/>
                <w:szCs w:val="21"/>
                <w:lang w:val="en-US" w:eastAsia="zh-CN"/>
              </w:rPr>
            </w:pPr>
            <w:r>
              <w:rPr>
                <w:rFonts w:hint="eastAsia" w:cs="宋体"/>
                <w:b/>
                <w:bCs/>
                <w:color w:val="auto"/>
                <w:kern w:val="2"/>
                <w:sz w:val="21"/>
                <w:szCs w:val="21"/>
                <w:lang w:val="en-US" w:eastAsia="zh-CN"/>
              </w:rPr>
              <w:t>26</w:t>
            </w:r>
          </w:p>
        </w:tc>
        <w:tc>
          <w:tcPr>
            <w:tcW w:w="1499" w:type="dxa"/>
            <w:tcBorders>
              <w:top w:val="single" w:color="auto" w:sz="4" w:space="0"/>
              <w:left w:val="single" w:color="auto" w:sz="4" w:space="0"/>
              <w:bottom w:val="single" w:color="auto" w:sz="4" w:space="0"/>
              <w:right w:val="single" w:color="auto" w:sz="4" w:space="0"/>
            </w:tcBorders>
            <w:vAlign w:val="center"/>
          </w:tcPr>
          <w:p w14:paraId="429ED3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需要补充的其他内容</w:t>
            </w:r>
          </w:p>
        </w:tc>
        <w:tc>
          <w:tcPr>
            <w:tcW w:w="7451" w:type="dxa"/>
            <w:tcBorders>
              <w:top w:val="single" w:color="auto" w:sz="4" w:space="0"/>
              <w:left w:val="single" w:color="auto" w:sz="4" w:space="0"/>
              <w:bottom w:val="single" w:color="auto" w:sz="4" w:space="0"/>
              <w:right w:val="single" w:color="auto" w:sz="4" w:space="0"/>
            </w:tcBorders>
            <w:vAlign w:val="center"/>
          </w:tcPr>
          <w:p w14:paraId="2B9E51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kern w:val="2"/>
                <w:sz w:val="21"/>
                <w:szCs w:val="21"/>
                <w:lang w:eastAsia="zh-CN"/>
              </w:rPr>
            </w:pPr>
          </w:p>
        </w:tc>
      </w:tr>
      <w:tr w14:paraId="2EC75F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3"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1D1D83E4">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w:t>
            </w:r>
          </w:p>
        </w:tc>
        <w:tc>
          <w:tcPr>
            <w:tcW w:w="1499" w:type="dxa"/>
            <w:tcBorders>
              <w:top w:val="single" w:color="auto" w:sz="4" w:space="0"/>
              <w:left w:val="single" w:color="auto" w:sz="4" w:space="0"/>
              <w:bottom w:val="single" w:color="auto" w:sz="4" w:space="0"/>
              <w:right w:val="single" w:color="auto" w:sz="4" w:space="0"/>
            </w:tcBorders>
            <w:vAlign w:val="center"/>
          </w:tcPr>
          <w:p w14:paraId="3F0CA5AA">
            <w:pPr>
              <w:pStyle w:val="5"/>
              <w:bidi w:val="0"/>
              <w:rPr>
                <w:rFonts w:hint="eastAsia" w:ascii="宋体" w:hAnsi="宋体" w:eastAsia="宋体" w:cs="宋体"/>
                <w:color w:val="auto"/>
                <w:kern w:val="2"/>
                <w:sz w:val="21"/>
                <w:szCs w:val="21"/>
                <w:lang w:eastAsia="zh-CN"/>
              </w:rPr>
            </w:pPr>
            <w:r>
              <w:rPr>
                <w:rFonts w:hint="eastAsia"/>
                <w:b w:val="0"/>
                <w:bCs w:val="0"/>
                <w:lang w:eastAsia="zh-CN"/>
              </w:rPr>
              <w:t>信用查询具体要求</w:t>
            </w:r>
          </w:p>
        </w:tc>
        <w:tc>
          <w:tcPr>
            <w:tcW w:w="7451" w:type="dxa"/>
            <w:tcBorders>
              <w:top w:val="single" w:color="auto" w:sz="4" w:space="0"/>
              <w:left w:val="single" w:color="auto" w:sz="4" w:space="0"/>
              <w:bottom w:val="single" w:color="auto" w:sz="4" w:space="0"/>
              <w:right w:val="single" w:color="auto" w:sz="4" w:space="0"/>
            </w:tcBorders>
            <w:vAlign w:val="top"/>
          </w:tcPr>
          <w:p w14:paraId="59A5830A">
            <w:pPr>
              <w:pStyle w:val="5"/>
              <w:bidi w:val="0"/>
              <w:rPr>
                <w:rFonts w:hint="eastAsia" w:ascii="宋体" w:hAnsi="宋体" w:eastAsia="宋体" w:cs="宋体"/>
                <w:b w:val="0"/>
                <w:bCs w:val="0"/>
                <w:lang w:eastAsia="zh-CN"/>
              </w:rPr>
            </w:pPr>
            <w:r>
              <w:rPr>
                <w:rFonts w:hint="eastAsia" w:ascii="宋体" w:hAnsi="宋体" w:eastAsia="宋体" w:cs="宋体"/>
                <w:b w:val="0"/>
                <w:bCs w:val="0"/>
                <w:lang w:eastAsia="zh-CN"/>
              </w:rPr>
              <w:t>本项目将执行在政府采购活动中查询及使用信用记录的规定，具体要求为：</w:t>
            </w:r>
          </w:p>
          <w:p w14:paraId="2F6714EC">
            <w:pPr>
              <w:pStyle w:val="5"/>
              <w:bidi w:val="0"/>
              <w:rPr>
                <w:rFonts w:hint="eastAsia" w:ascii="宋体" w:hAnsi="宋体" w:eastAsia="宋体" w:cs="宋体"/>
                <w:b w:val="0"/>
                <w:bCs w:val="0"/>
                <w:lang w:eastAsia="zh-CN"/>
              </w:rPr>
            </w:pPr>
            <w:r>
              <w:rPr>
                <w:rFonts w:hint="eastAsia" w:ascii="宋体" w:hAnsi="宋体" w:eastAsia="宋体" w:cs="宋体"/>
                <w:b w:val="0"/>
                <w:bCs w:val="0"/>
                <w:lang w:eastAsia="zh-CN"/>
              </w:rPr>
              <w:t>（1）投标人应在“信用中国”网站(www.creditchina.gov.cn)未被列入失信被执行人记录（按网站要求链接到中国执行信息网（http://zxgk.court.gov.cn/shixin/）查询）、重大税收违法失信主体且在中国政府采购网(www.ccgp.gov.cn)没有政府采购严重违法失信行为记录(被禁止在一定期限内参加政府采购活动但期限届满的除外)；</w:t>
            </w:r>
          </w:p>
          <w:p w14:paraId="284FAEE4">
            <w:pPr>
              <w:pStyle w:val="5"/>
              <w:bidi w:val="0"/>
              <w:rPr>
                <w:rFonts w:hint="eastAsia" w:ascii="宋体" w:hAnsi="宋体" w:eastAsia="宋体" w:cs="宋体"/>
                <w:b w:val="0"/>
                <w:bCs w:val="0"/>
                <w:lang w:eastAsia="zh-CN"/>
              </w:rPr>
            </w:pPr>
            <w:r>
              <w:rPr>
                <w:rFonts w:hint="eastAsia" w:ascii="宋体" w:hAnsi="宋体" w:eastAsia="宋体" w:cs="宋体"/>
                <w:b w:val="0"/>
                <w:bCs w:val="0"/>
                <w:lang w:eastAsia="zh-CN"/>
              </w:rPr>
              <w:t>（2）信用信息查询的截止时点：投标截止时间当天评标前；</w:t>
            </w:r>
          </w:p>
          <w:p w14:paraId="4968ECC5">
            <w:pPr>
              <w:pStyle w:val="5"/>
              <w:bidi w:val="0"/>
              <w:rPr>
                <w:rFonts w:hint="eastAsia" w:ascii="宋体" w:hAnsi="宋体" w:eastAsia="宋体" w:cs="宋体"/>
                <w:b w:val="0"/>
                <w:bCs w:val="0"/>
                <w:lang w:eastAsia="zh-CN"/>
              </w:rPr>
            </w:pPr>
            <w:r>
              <w:rPr>
                <w:rFonts w:hint="eastAsia" w:ascii="宋体" w:hAnsi="宋体" w:eastAsia="宋体" w:cs="宋体"/>
                <w:b w:val="0"/>
                <w:bCs w:val="0"/>
                <w:lang w:eastAsia="zh-CN"/>
              </w:rPr>
              <w:t>（3）信用信息查询渠道：“信用中国网”、“中国政府采购网”；</w:t>
            </w:r>
          </w:p>
          <w:p w14:paraId="0F0F4B86">
            <w:pPr>
              <w:pStyle w:val="5"/>
              <w:bidi w:val="0"/>
              <w:rPr>
                <w:rFonts w:hint="eastAsia" w:ascii="宋体" w:hAnsi="宋体" w:eastAsia="宋体" w:cs="宋体"/>
                <w:b w:val="0"/>
                <w:bCs w:val="0"/>
                <w:lang w:eastAsia="zh-CN"/>
              </w:rPr>
            </w:pPr>
            <w:r>
              <w:rPr>
                <w:rFonts w:hint="eastAsia" w:ascii="宋体" w:hAnsi="宋体" w:eastAsia="宋体" w:cs="宋体"/>
                <w:b w:val="0"/>
                <w:bCs w:val="0"/>
                <w:lang w:eastAsia="zh-CN"/>
              </w:rPr>
              <w:t>（4）信用信息查询记录和证据留存具体方式：采购人、采购代理机构将经查询存在不良信用记录的潜在投标人查询结果证明材料作为查询记录和证据，与其他采购文件一并保存；</w:t>
            </w:r>
          </w:p>
          <w:p w14:paraId="57F18BC4">
            <w:pPr>
              <w:pStyle w:val="5"/>
              <w:bidi w:val="0"/>
              <w:rPr>
                <w:rFonts w:hint="eastAsia" w:ascii="宋体" w:hAnsi="宋体" w:eastAsia="宋体" w:cs="宋体"/>
                <w:b w:val="0"/>
                <w:bCs w:val="0"/>
                <w:lang w:eastAsia="zh-CN"/>
              </w:rPr>
            </w:pPr>
            <w:r>
              <w:rPr>
                <w:rFonts w:hint="eastAsia" w:ascii="宋体" w:hAnsi="宋体" w:eastAsia="宋体" w:cs="宋体"/>
                <w:b w:val="0"/>
                <w:bCs w:val="0"/>
                <w:lang w:eastAsia="zh-CN"/>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3EB844EA">
            <w:pPr>
              <w:pStyle w:val="5"/>
              <w:bidi w:val="0"/>
              <w:rPr>
                <w:rFonts w:hint="eastAsia" w:ascii="宋体" w:hAnsi="宋体" w:eastAsia="宋体" w:cs="宋体"/>
                <w:color w:val="auto"/>
                <w:kern w:val="2"/>
                <w:sz w:val="21"/>
                <w:szCs w:val="21"/>
                <w:lang w:eastAsia="zh-CN"/>
              </w:rPr>
            </w:pPr>
            <w:r>
              <w:rPr>
                <w:rFonts w:hint="eastAsia" w:ascii="宋体" w:hAnsi="宋体" w:eastAsia="宋体" w:cs="宋体"/>
                <w:b w:val="0"/>
                <w:bCs w:val="0"/>
                <w:lang w:eastAsia="zh-CN"/>
              </w:rPr>
              <w:t>（6）采购人、采购代理机构通过“信用中国网”、“中国政府采购网”等渠道查询相关主体信用记录，若投标人存在被列入失信被执行人、重大税收违法失信主体、政府采购严重违法失信行为记录名单，则投标无效。</w:t>
            </w:r>
          </w:p>
        </w:tc>
      </w:tr>
      <w:tr w14:paraId="188B9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7"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26FBADE0">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eastAsia="zh-CN"/>
              </w:rPr>
              <w:t>）</w:t>
            </w:r>
          </w:p>
        </w:tc>
        <w:tc>
          <w:tcPr>
            <w:tcW w:w="1499" w:type="dxa"/>
            <w:tcBorders>
              <w:top w:val="single" w:color="auto" w:sz="4" w:space="0"/>
              <w:left w:val="single" w:color="auto" w:sz="4" w:space="0"/>
              <w:bottom w:val="single" w:color="auto" w:sz="4" w:space="0"/>
              <w:right w:val="single" w:color="auto" w:sz="4" w:space="0"/>
            </w:tcBorders>
            <w:vAlign w:val="center"/>
          </w:tcPr>
          <w:p w14:paraId="7F778720">
            <w:pPr>
              <w:spacing w:line="360" w:lineRule="auto"/>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最高限价</w:t>
            </w:r>
          </w:p>
        </w:tc>
        <w:tc>
          <w:tcPr>
            <w:tcW w:w="7451" w:type="dxa"/>
            <w:tcBorders>
              <w:top w:val="single" w:color="auto" w:sz="4" w:space="0"/>
              <w:left w:val="single" w:color="auto" w:sz="4" w:space="0"/>
              <w:bottom w:val="single" w:color="auto" w:sz="4" w:space="0"/>
              <w:right w:val="single" w:color="auto" w:sz="4" w:space="0"/>
            </w:tcBorders>
            <w:vAlign w:val="center"/>
          </w:tcPr>
          <w:p w14:paraId="7BAA32E3">
            <w:pPr>
              <w:spacing w:line="360" w:lineRule="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最高限价（拦标控制价）：</w:t>
            </w:r>
            <w:r>
              <w:rPr>
                <w:rFonts w:hint="eastAsia" w:cs="宋体"/>
                <w:color w:val="auto"/>
                <w:sz w:val="21"/>
                <w:szCs w:val="21"/>
                <w:lang w:val="en-US" w:eastAsia="zh-CN"/>
              </w:rPr>
              <w:t>1192337.94</w:t>
            </w:r>
            <w:r>
              <w:rPr>
                <w:rFonts w:hint="eastAsia" w:ascii="宋体" w:hAnsi="宋体" w:eastAsia="宋体" w:cs="宋体"/>
                <w:b w:val="0"/>
                <w:bCs/>
                <w:color w:val="auto"/>
                <w:sz w:val="21"/>
                <w:szCs w:val="21"/>
                <w:highlight w:val="none"/>
                <w:u w:val="none"/>
                <w:lang w:val="en-US" w:eastAsia="zh-CN"/>
              </w:rPr>
              <w:t>元</w:t>
            </w:r>
          </w:p>
          <w:p w14:paraId="6208D8E3">
            <w:pPr>
              <w:spacing w:line="360" w:lineRule="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供应商报价超出</w:t>
            </w:r>
            <w:r>
              <w:rPr>
                <w:rFonts w:hint="eastAsia" w:ascii="宋体" w:hAnsi="宋体" w:eastAsia="宋体" w:cs="宋体"/>
                <w:color w:val="auto"/>
                <w:kern w:val="2"/>
                <w:sz w:val="21"/>
                <w:szCs w:val="21"/>
                <w:lang w:val="en-US" w:eastAsia="zh-CN"/>
              </w:rPr>
              <w:t>最高限价（拦标控制价）</w:t>
            </w:r>
            <w:r>
              <w:rPr>
                <w:rFonts w:hint="eastAsia" w:ascii="宋体" w:hAnsi="宋体" w:eastAsia="宋体" w:cs="宋体"/>
                <w:color w:val="auto"/>
                <w:kern w:val="2"/>
                <w:sz w:val="21"/>
                <w:szCs w:val="21"/>
                <w:lang w:eastAsia="zh-CN"/>
              </w:rPr>
              <w:t>，视为废标处理。</w:t>
            </w:r>
          </w:p>
        </w:tc>
      </w:tr>
      <w:tr w14:paraId="44905B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41370F2">
            <w:pPr>
              <w:autoSpaceDE/>
              <w:autoSpaceDN/>
              <w:spacing w:line="60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w:t>
            </w:r>
            <w:r>
              <w:rPr>
                <w:rFonts w:hint="eastAsia" w:cs="宋体"/>
                <w:color w:val="auto"/>
                <w:kern w:val="2"/>
                <w:sz w:val="21"/>
                <w:szCs w:val="21"/>
                <w:lang w:val="en-US" w:eastAsia="zh-CN"/>
              </w:rPr>
              <w:t>3</w:t>
            </w:r>
            <w:r>
              <w:rPr>
                <w:rFonts w:hint="eastAsia" w:ascii="宋体" w:hAnsi="宋体" w:eastAsia="宋体" w:cs="宋体"/>
                <w:color w:val="auto"/>
                <w:kern w:val="2"/>
                <w:sz w:val="21"/>
                <w:szCs w:val="21"/>
                <w:lang w:eastAsia="zh-CN"/>
              </w:rPr>
              <w:t>）</w:t>
            </w:r>
          </w:p>
        </w:tc>
        <w:tc>
          <w:tcPr>
            <w:tcW w:w="1499" w:type="dxa"/>
            <w:tcBorders>
              <w:top w:val="single" w:color="auto" w:sz="4" w:space="0"/>
              <w:left w:val="single" w:color="auto" w:sz="4" w:space="0"/>
              <w:bottom w:val="single" w:color="auto" w:sz="4" w:space="0"/>
              <w:right w:val="single" w:color="auto" w:sz="4" w:space="0"/>
            </w:tcBorders>
            <w:vAlign w:val="center"/>
          </w:tcPr>
          <w:p w14:paraId="3B85F87D">
            <w:pPr>
              <w:spacing w:before="60" w:after="60"/>
              <w:ind w:left="1" w:leftChars="-7" w:hanging="16" w:hangingChars="8"/>
              <w:jc w:val="center"/>
              <w:rPr>
                <w:rFonts w:hint="eastAsia" w:ascii="宋体" w:hAnsi="宋体" w:eastAsia="宋体" w:cs="宋体"/>
                <w:color w:val="auto"/>
                <w:kern w:val="2"/>
                <w:sz w:val="21"/>
                <w:szCs w:val="21"/>
                <w:lang w:val="en-US" w:eastAsia="zh-CN"/>
              </w:rPr>
            </w:pPr>
            <w:r>
              <w:rPr>
                <w:rFonts w:hint="eastAsia"/>
                <w:snapToGrid w:val="0"/>
                <w:sz w:val="21"/>
                <w:szCs w:val="21"/>
                <w:lang w:eastAsia="zh-CN"/>
              </w:rPr>
              <w:t>纸质版响应文件</w:t>
            </w:r>
          </w:p>
        </w:tc>
        <w:tc>
          <w:tcPr>
            <w:tcW w:w="7451" w:type="dxa"/>
            <w:tcBorders>
              <w:top w:val="single" w:color="auto" w:sz="4" w:space="0"/>
              <w:left w:val="single" w:color="auto" w:sz="4" w:space="0"/>
              <w:bottom w:val="single" w:color="auto" w:sz="4" w:space="0"/>
              <w:right w:val="single" w:color="auto" w:sz="4" w:space="0"/>
            </w:tcBorders>
            <w:shd w:val="clear" w:color="auto" w:fill="auto"/>
            <w:vAlign w:val="center"/>
          </w:tcPr>
          <w:p w14:paraId="0AEC408C">
            <w:pPr>
              <w:spacing w:before="60" w:after="60"/>
              <w:ind w:left="1" w:leftChars="-7" w:hanging="16" w:hangingChars="8"/>
              <w:jc w:val="both"/>
              <w:rPr>
                <w:rFonts w:hint="eastAsia" w:ascii="宋体" w:hAnsi="宋体" w:eastAsia="宋体" w:cs="宋体"/>
                <w:color w:val="auto"/>
                <w:kern w:val="2"/>
                <w:sz w:val="21"/>
                <w:szCs w:val="21"/>
                <w:lang w:val="en-US" w:eastAsia="zh-CN" w:bidi="ar-SA"/>
              </w:rPr>
            </w:pPr>
            <w:r>
              <w:rPr>
                <w:rFonts w:hint="eastAsia"/>
                <w:kern w:val="2"/>
                <w:sz w:val="21"/>
                <w:szCs w:val="21"/>
                <w:lang w:eastAsia="zh-CN"/>
              </w:rPr>
              <w:t>成交单位待项目成交后补交纸质版响应文件（一正一副）装订应采用订本式或胶装式格式进行装订，不得采用活页式装订格式进行装订，在响应文件封面上清楚地标明“正本、副本”字样。</w:t>
            </w:r>
          </w:p>
        </w:tc>
      </w:tr>
      <w:tr w14:paraId="4C936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7"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139602A1">
            <w:pPr>
              <w:autoSpaceDE/>
              <w:autoSpaceDN/>
              <w:spacing w:line="600" w:lineRule="exact"/>
              <w:jc w:val="center"/>
              <w:rPr>
                <w:rFonts w:hint="eastAsia" w:ascii="宋体" w:hAnsi="宋体" w:eastAsia="宋体" w:cs="宋体"/>
                <w:color w:val="auto"/>
                <w:kern w:val="2"/>
                <w:sz w:val="21"/>
                <w:szCs w:val="21"/>
                <w:lang w:eastAsia="zh-CN"/>
              </w:rPr>
            </w:pPr>
            <w:r>
              <w:rPr>
                <w:rFonts w:hint="eastAsia" w:cs="宋体"/>
                <w:color w:val="auto"/>
                <w:kern w:val="2"/>
                <w:sz w:val="21"/>
                <w:szCs w:val="21"/>
                <w:lang w:eastAsia="zh-CN"/>
              </w:rPr>
              <w:t>（</w:t>
            </w:r>
            <w:r>
              <w:rPr>
                <w:rFonts w:hint="eastAsia" w:cs="宋体"/>
                <w:color w:val="auto"/>
                <w:kern w:val="2"/>
                <w:sz w:val="21"/>
                <w:szCs w:val="21"/>
                <w:lang w:val="en-US" w:eastAsia="zh-CN"/>
              </w:rPr>
              <w:t>4</w:t>
            </w:r>
            <w:r>
              <w:rPr>
                <w:rFonts w:hint="eastAsia" w:cs="宋体"/>
                <w:color w:val="auto"/>
                <w:kern w:val="2"/>
                <w:sz w:val="21"/>
                <w:szCs w:val="21"/>
                <w:lang w:eastAsia="zh-CN"/>
              </w:rPr>
              <w:t>）</w:t>
            </w:r>
          </w:p>
        </w:tc>
        <w:tc>
          <w:tcPr>
            <w:tcW w:w="1499" w:type="dxa"/>
            <w:tcBorders>
              <w:top w:val="single" w:color="auto" w:sz="4" w:space="0"/>
              <w:left w:val="single" w:color="auto" w:sz="4" w:space="0"/>
              <w:bottom w:val="single" w:color="auto" w:sz="4" w:space="0"/>
              <w:right w:val="single" w:color="auto" w:sz="4" w:space="0"/>
            </w:tcBorders>
            <w:vAlign w:val="center"/>
          </w:tcPr>
          <w:p w14:paraId="0ED8CF9F">
            <w:pPr>
              <w:spacing w:before="60" w:after="60"/>
              <w:ind w:left="1" w:leftChars="-7" w:hanging="16" w:hangingChars="8"/>
              <w:jc w:val="center"/>
              <w:rPr>
                <w:rFonts w:hint="eastAsia" w:ascii="宋体" w:hAnsi="宋体" w:eastAsia="宋体" w:cs="宋体"/>
                <w:b w:val="0"/>
                <w:bCs w:val="0"/>
                <w:color w:val="auto"/>
                <w:sz w:val="21"/>
                <w:szCs w:val="21"/>
                <w:highlight w:val="none"/>
              </w:rPr>
            </w:pPr>
            <w:r>
              <w:rPr>
                <w:rFonts w:hint="eastAsia"/>
                <w:sz w:val="21"/>
                <w:szCs w:val="21"/>
                <w:lang w:eastAsia="zh-CN"/>
              </w:rPr>
              <w:t>电子响应文件的</w:t>
            </w:r>
            <w:r>
              <w:rPr>
                <w:rFonts w:hint="eastAsia"/>
                <w:sz w:val="21"/>
                <w:szCs w:val="21"/>
              </w:rPr>
              <w:t>制作</w:t>
            </w:r>
          </w:p>
        </w:tc>
        <w:tc>
          <w:tcPr>
            <w:tcW w:w="7451" w:type="dxa"/>
            <w:tcBorders>
              <w:top w:val="single" w:color="auto" w:sz="4" w:space="0"/>
              <w:left w:val="single" w:color="auto" w:sz="4" w:space="0"/>
              <w:bottom w:val="single" w:color="auto" w:sz="4" w:space="0"/>
              <w:right w:val="single" w:color="auto" w:sz="4" w:space="0"/>
            </w:tcBorders>
            <w:vAlign w:val="center"/>
          </w:tcPr>
          <w:p w14:paraId="56981CB4">
            <w:pPr>
              <w:spacing w:before="60" w:after="60"/>
              <w:ind w:left="1" w:leftChars="-7" w:hanging="16" w:hangingChars="8"/>
              <w:rPr>
                <w:rFonts w:hint="eastAsia" w:ascii="宋体" w:hAnsi="宋体" w:eastAsia="宋体" w:cs="宋体"/>
                <w:b w:val="0"/>
                <w:bCs w:val="0"/>
                <w:color w:val="auto"/>
                <w:sz w:val="21"/>
                <w:szCs w:val="21"/>
                <w:highlight w:val="none"/>
              </w:rPr>
            </w:pPr>
            <w:r>
              <w:rPr>
                <w:rFonts w:hint="eastAsia"/>
                <w:sz w:val="21"/>
                <w:szCs w:val="21"/>
              </w:rPr>
              <w:t>磋商</w:t>
            </w:r>
            <w:r>
              <w:rPr>
                <w:rFonts w:hint="eastAsia"/>
                <w:sz w:val="21"/>
                <w:szCs w:val="21"/>
                <w:lang w:eastAsia="zh-CN"/>
              </w:rPr>
              <w:t>供应商</w:t>
            </w:r>
            <w:r>
              <w:rPr>
                <w:rFonts w:hint="eastAsia"/>
                <w:sz w:val="21"/>
                <w:szCs w:val="21"/>
              </w:rPr>
              <w:t>在制作响应文件前，需先下载政采云电子投标客户端并进行安装，下载安装完成之后，可通过账号密码或CA登录客户端制作响应文件。（政采云电子投标客户端下载网址： https://customer.zcygov.cn/CA-driver-download ）。</w:t>
            </w:r>
          </w:p>
        </w:tc>
      </w:tr>
      <w:tr w14:paraId="783B50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7" w:hRule="atLeast"/>
          <w:jc w:val="center"/>
        </w:trPr>
        <w:tc>
          <w:tcPr>
            <w:tcW w:w="1273" w:type="dxa"/>
            <w:vMerge w:val="restart"/>
            <w:tcBorders>
              <w:top w:val="single" w:color="auto" w:sz="4" w:space="0"/>
              <w:left w:val="single" w:color="auto" w:sz="4" w:space="0"/>
              <w:right w:val="single" w:color="auto" w:sz="4" w:space="0"/>
            </w:tcBorders>
            <w:vAlign w:val="center"/>
          </w:tcPr>
          <w:p w14:paraId="1CBC1F2E">
            <w:pPr>
              <w:autoSpaceDE/>
              <w:autoSpaceDN/>
              <w:spacing w:line="600" w:lineRule="exact"/>
              <w:jc w:val="center"/>
              <w:rPr>
                <w:rFonts w:hint="eastAsia" w:ascii="宋体" w:hAnsi="宋体" w:eastAsia="宋体" w:cs="宋体"/>
                <w:color w:val="auto"/>
                <w:kern w:val="2"/>
                <w:sz w:val="21"/>
                <w:szCs w:val="21"/>
                <w:lang w:eastAsia="zh-CN"/>
              </w:rPr>
            </w:pPr>
            <w:r>
              <w:rPr>
                <w:rFonts w:hint="eastAsia" w:cs="宋体"/>
                <w:color w:val="auto"/>
                <w:kern w:val="2"/>
                <w:sz w:val="21"/>
                <w:szCs w:val="21"/>
                <w:lang w:eastAsia="zh-CN"/>
              </w:rPr>
              <w:t>（</w:t>
            </w:r>
            <w:r>
              <w:rPr>
                <w:rFonts w:hint="eastAsia" w:cs="宋体"/>
                <w:color w:val="auto"/>
                <w:kern w:val="2"/>
                <w:sz w:val="21"/>
                <w:szCs w:val="21"/>
                <w:lang w:val="en-US" w:eastAsia="zh-CN"/>
              </w:rPr>
              <w:t>5</w:t>
            </w:r>
            <w:r>
              <w:rPr>
                <w:rFonts w:hint="eastAsia" w:cs="宋体"/>
                <w:color w:val="auto"/>
                <w:kern w:val="2"/>
                <w:sz w:val="21"/>
                <w:szCs w:val="21"/>
                <w:lang w:eastAsia="zh-CN"/>
              </w:rPr>
              <w:t>）</w:t>
            </w:r>
          </w:p>
        </w:tc>
        <w:tc>
          <w:tcPr>
            <w:tcW w:w="1499" w:type="dxa"/>
            <w:vMerge w:val="restart"/>
            <w:tcBorders>
              <w:top w:val="single" w:color="auto" w:sz="4" w:space="0"/>
              <w:left w:val="single" w:color="auto" w:sz="4" w:space="0"/>
              <w:right w:val="single" w:color="auto" w:sz="4" w:space="0"/>
            </w:tcBorders>
            <w:vAlign w:val="center"/>
          </w:tcPr>
          <w:p w14:paraId="1E1C5D99">
            <w:pPr>
              <w:spacing w:line="400" w:lineRule="exact"/>
              <w:jc w:val="center"/>
              <w:rPr>
                <w:kern w:val="2"/>
                <w:sz w:val="21"/>
                <w:szCs w:val="21"/>
                <w:lang w:eastAsia="zh-CN"/>
              </w:rPr>
            </w:pPr>
            <w:r>
              <w:rPr>
                <w:rFonts w:hint="eastAsia"/>
                <w:kern w:val="2"/>
                <w:sz w:val="21"/>
                <w:szCs w:val="21"/>
                <w:lang w:eastAsia="zh-CN"/>
              </w:rPr>
              <w:t>补充说明</w:t>
            </w:r>
          </w:p>
          <w:p w14:paraId="45447C53">
            <w:pPr>
              <w:spacing w:line="400" w:lineRule="exact"/>
              <w:jc w:val="center"/>
              <w:rPr>
                <w:rFonts w:hint="eastAsia" w:ascii="宋体" w:hAnsi="宋体" w:eastAsia="宋体" w:cs="宋体"/>
                <w:b w:val="0"/>
                <w:bCs w:val="0"/>
                <w:color w:val="auto"/>
                <w:sz w:val="21"/>
                <w:szCs w:val="21"/>
                <w:highlight w:val="none"/>
              </w:rPr>
            </w:pPr>
          </w:p>
        </w:tc>
        <w:tc>
          <w:tcPr>
            <w:tcW w:w="7451" w:type="dxa"/>
            <w:tcBorders>
              <w:top w:val="single" w:color="auto" w:sz="4" w:space="0"/>
              <w:left w:val="single" w:color="auto" w:sz="4" w:space="0"/>
              <w:bottom w:val="single" w:color="auto" w:sz="4" w:space="0"/>
              <w:right w:val="single" w:color="auto" w:sz="4" w:space="0"/>
            </w:tcBorders>
            <w:vAlign w:val="center"/>
          </w:tcPr>
          <w:p w14:paraId="4FA50FE9">
            <w:pPr>
              <w:spacing w:line="400" w:lineRule="exact"/>
              <w:rPr>
                <w:rFonts w:hint="eastAsia" w:ascii="宋体" w:hAnsi="宋体" w:eastAsia="宋体" w:cs="宋体"/>
                <w:b w:val="0"/>
                <w:bCs w:val="0"/>
                <w:color w:val="auto"/>
                <w:sz w:val="21"/>
                <w:szCs w:val="21"/>
                <w:highlight w:val="none"/>
              </w:rPr>
            </w:pPr>
            <w:r>
              <w:rPr>
                <w:rFonts w:hint="eastAsia"/>
                <w:snapToGrid w:val="0"/>
                <w:sz w:val="21"/>
                <w:szCs w:val="21"/>
                <w:lang w:eastAsia="zh-CN"/>
              </w:rPr>
              <w:t>由于云南省电子交易信息服务系统平台局限性，文中所提及“招标人”、“投标人”、“招标文件”“投标文件”等字眼在非招标方式中均对应“采购人”、“供应商 ”、“采购文件”“响应文件”等。</w:t>
            </w:r>
          </w:p>
        </w:tc>
      </w:tr>
      <w:tr w14:paraId="7FF83B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273" w:type="dxa"/>
            <w:vMerge w:val="continue"/>
            <w:tcBorders>
              <w:left w:val="single" w:color="auto" w:sz="4" w:space="0"/>
              <w:bottom w:val="single" w:color="auto" w:sz="4" w:space="0"/>
              <w:right w:val="single" w:color="auto" w:sz="4" w:space="0"/>
            </w:tcBorders>
            <w:vAlign w:val="center"/>
          </w:tcPr>
          <w:p w14:paraId="30B2882A">
            <w:pPr>
              <w:autoSpaceDE/>
              <w:autoSpaceDN/>
              <w:spacing w:line="600" w:lineRule="exact"/>
              <w:jc w:val="center"/>
              <w:rPr>
                <w:rFonts w:hint="eastAsia" w:cs="宋体"/>
                <w:color w:val="auto"/>
                <w:kern w:val="2"/>
                <w:sz w:val="21"/>
                <w:szCs w:val="21"/>
                <w:lang w:eastAsia="zh-CN"/>
              </w:rPr>
            </w:pPr>
          </w:p>
        </w:tc>
        <w:tc>
          <w:tcPr>
            <w:tcW w:w="1499" w:type="dxa"/>
            <w:vMerge w:val="continue"/>
            <w:tcBorders>
              <w:left w:val="single" w:color="auto" w:sz="4" w:space="0"/>
              <w:bottom w:val="single" w:color="auto" w:sz="4" w:space="0"/>
              <w:right w:val="single" w:color="auto" w:sz="4" w:space="0"/>
            </w:tcBorders>
            <w:vAlign w:val="center"/>
          </w:tcPr>
          <w:p w14:paraId="36CCC1EC">
            <w:pPr>
              <w:spacing w:line="400" w:lineRule="exact"/>
              <w:jc w:val="center"/>
              <w:rPr>
                <w:rFonts w:hint="eastAsia" w:ascii="宋体" w:hAnsi="宋体" w:eastAsia="宋体" w:cs="宋体"/>
                <w:b w:val="0"/>
                <w:bCs w:val="0"/>
                <w:color w:val="auto"/>
                <w:sz w:val="21"/>
                <w:szCs w:val="21"/>
                <w:highlight w:val="none"/>
              </w:rPr>
            </w:pPr>
          </w:p>
        </w:tc>
        <w:tc>
          <w:tcPr>
            <w:tcW w:w="7451" w:type="dxa"/>
            <w:tcBorders>
              <w:top w:val="single" w:color="auto" w:sz="4" w:space="0"/>
              <w:left w:val="single" w:color="auto" w:sz="4" w:space="0"/>
              <w:bottom w:val="single" w:color="auto" w:sz="4" w:space="0"/>
              <w:right w:val="single" w:color="auto" w:sz="4" w:space="0"/>
            </w:tcBorders>
            <w:vAlign w:val="center"/>
          </w:tcPr>
          <w:p w14:paraId="11B28F06">
            <w:pPr>
              <w:spacing w:line="400" w:lineRule="exact"/>
              <w:rPr>
                <w:rFonts w:hint="eastAsia" w:ascii="宋体" w:hAnsi="宋体" w:eastAsia="宋体" w:cs="宋体"/>
                <w:b w:val="0"/>
                <w:bCs w:val="0"/>
                <w:color w:val="auto"/>
                <w:sz w:val="21"/>
                <w:szCs w:val="21"/>
                <w:highlight w:val="none"/>
              </w:rPr>
            </w:pPr>
            <w:r>
              <w:rPr>
                <w:rFonts w:hint="eastAsia"/>
                <w:snapToGrid w:val="0"/>
                <w:sz w:val="21"/>
                <w:szCs w:val="21"/>
                <w:lang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磋商须知、磋商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0218C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1273" w:type="dxa"/>
            <w:vMerge w:val="continue"/>
            <w:tcBorders>
              <w:left w:val="single" w:color="auto" w:sz="4" w:space="0"/>
              <w:bottom w:val="single" w:color="auto" w:sz="4" w:space="0"/>
              <w:right w:val="single" w:color="auto" w:sz="4" w:space="0"/>
            </w:tcBorders>
            <w:vAlign w:val="center"/>
          </w:tcPr>
          <w:p w14:paraId="2002BDB7">
            <w:pPr>
              <w:autoSpaceDE/>
              <w:autoSpaceDN/>
              <w:spacing w:line="600" w:lineRule="exact"/>
              <w:jc w:val="center"/>
              <w:rPr>
                <w:rFonts w:hint="eastAsia" w:cs="宋体"/>
                <w:color w:val="auto"/>
                <w:kern w:val="2"/>
                <w:sz w:val="21"/>
                <w:szCs w:val="21"/>
                <w:lang w:eastAsia="zh-CN"/>
              </w:rPr>
            </w:pPr>
          </w:p>
        </w:tc>
        <w:tc>
          <w:tcPr>
            <w:tcW w:w="1499" w:type="dxa"/>
            <w:vMerge w:val="continue"/>
            <w:tcBorders>
              <w:left w:val="single" w:color="auto" w:sz="4" w:space="0"/>
              <w:bottom w:val="single" w:color="auto" w:sz="4" w:space="0"/>
              <w:right w:val="single" w:color="auto" w:sz="4" w:space="0"/>
            </w:tcBorders>
            <w:vAlign w:val="center"/>
          </w:tcPr>
          <w:p w14:paraId="4B0D06BE">
            <w:pPr>
              <w:spacing w:line="400" w:lineRule="exact"/>
              <w:jc w:val="center"/>
              <w:rPr>
                <w:rFonts w:hint="eastAsia" w:ascii="宋体" w:hAnsi="宋体" w:eastAsia="宋体" w:cs="宋体"/>
                <w:b w:val="0"/>
                <w:bCs w:val="0"/>
                <w:color w:val="auto"/>
                <w:sz w:val="21"/>
                <w:szCs w:val="21"/>
                <w:highlight w:val="none"/>
              </w:rPr>
            </w:pPr>
          </w:p>
        </w:tc>
        <w:tc>
          <w:tcPr>
            <w:tcW w:w="7451" w:type="dxa"/>
            <w:tcBorders>
              <w:top w:val="single" w:color="auto" w:sz="4" w:space="0"/>
              <w:left w:val="single" w:color="auto" w:sz="4" w:space="0"/>
              <w:bottom w:val="single" w:color="auto" w:sz="4" w:space="0"/>
              <w:right w:val="single" w:color="auto" w:sz="4" w:space="0"/>
            </w:tcBorders>
            <w:vAlign w:val="center"/>
          </w:tcPr>
          <w:p w14:paraId="0F7714D9">
            <w:pPr>
              <w:spacing w:line="400" w:lineRule="exact"/>
              <w:rPr>
                <w:rFonts w:hint="eastAsia" w:ascii="宋体" w:hAnsi="宋体" w:eastAsia="宋体" w:cs="宋体"/>
                <w:b w:val="0"/>
                <w:bCs w:val="0"/>
                <w:color w:val="auto"/>
                <w:sz w:val="21"/>
                <w:szCs w:val="21"/>
                <w:highlight w:val="none"/>
              </w:rPr>
            </w:pPr>
            <w:r>
              <w:rPr>
                <w:rFonts w:hint="eastAsia"/>
                <w:kern w:val="2"/>
                <w:sz w:val="21"/>
                <w:szCs w:val="21"/>
                <w:lang w:eastAsia="zh-CN"/>
              </w:rPr>
              <w:t>构成磋商文件组成部分的“通用合同条款”、“专用合同条款”、“技术标准和要求”和“采购清单”等章节中出现的措辞“发包人”和“承包人”，在招标投标阶段应当分别按“采购单位”和“磋商供应商”进行理解。</w:t>
            </w:r>
          </w:p>
        </w:tc>
      </w:tr>
      <w:tr w14:paraId="4E7A7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7"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2F07072E">
            <w:pPr>
              <w:autoSpaceDE/>
              <w:autoSpaceDN/>
              <w:spacing w:line="600" w:lineRule="exact"/>
              <w:jc w:val="center"/>
              <w:rPr>
                <w:rFonts w:hint="eastAsia" w:ascii="宋体" w:hAnsi="宋体" w:eastAsia="宋体" w:cs="宋体"/>
                <w:color w:val="auto"/>
                <w:kern w:val="2"/>
                <w:sz w:val="21"/>
                <w:szCs w:val="21"/>
                <w:lang w:eastAsia="zh-CN"/>
              </w:rPr>
            </w:pPr>
            <w:r>
              <w:rPr>
                <w:rFonts w:hint="eastAsia" w:cs="宋体"/>
                <w:color w:val="auto"/>
                <w:kern w:val="2"/>
                <w:sz w:val="21"/>
                <w:szCs w:val="21"/>
                <w:lang w:eastAsia="zh-CN"/>
              </w:rPr>
              <w:t>（</w:t>
            </w:r>
            <w:r>
              <w:rPr>
                <w:rFonts w:hint="eastAsia" w:cs="宋体"/>
                <w:color w:val="auto"/>
                <w:kern w:val="2"/>
                <w:sz w:val="21"/>
                <w:szCs w:val="21"/>
                <w:lang w:val="en-US" w:eastAsia="zh-CN"/>
              </w:rPr>
              <w:t>6</w:t>
            </w:r>
            <w:r>
              <w:rPr>
                <w:rFonts w:hint="eastAsia" w:cs="宋体"/>
                <w:color w:val="auto"/>
                <w:kern w:val="2"/>
                <w:sz w:val="21"/>
                <w:szCs w:val="21"/>
                <w:lang w:eastAsia="zh-CN"/>
              </w:rPr>
              <w:t>）</w:t>
            </w:r>
          </w:p>
        </w:tc>
        <w:tc>
          <w:tcPr>
            <w:tcW w:w="1499" w:type="dxa"/>
            <w:tcBorders>
              <w:top w:val="single" w:color="auto" w:sz="4" w:space="0"/>
              <w:left w:val="single" w:color="auto" w:sz="4" w:space="0"/>
              <w:bottom w:val="single" w:color="auto" w:sz="4" w:space="0"/>
              <w:right w:val="single" w:color="auto" w:sz="4" w:space="0"/>
            </w:tcBorders>
            <w:vAlign w:val="center"/>
          </w:tcPr>
          <w:p w14:paraId="0E4050FD">
            <w:pPr>
              <w:spacing w:after="0"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snapToGrid w:val="0"/>
                <w:color w:val="auto"/>
                <w:kern w:val="0"/>
                <w:sz w:val="21"/>
                <w:szCs w:val="21"/>
                <w:highlight w:val="none"/>
                <w:lang w:val="en-US" w:eastAsia="zh-CN"/>
              </w:rPr>
              <w:t>解释</w:t>
            </w:r>
          </w:p>
        </w:tc>
        <w:tc>
          <w:tcPr>
            <w:tcW w:w="7451" w:type="dxa"/>
            <w:tcBorders>
              <w:top w:val="single" w:color="auto" w:sz="4" w:space="0"/>
              <w:left w:val="single" w:color="auto" w:sz="4" w:space="0"/>
              <w:bottom w:val="single" w:color="auto" w:sz="4" w:space="0"/>
              <w:right w:val="single" w:color="auto" w:sz="4" w:space="0"/>
            </w:tcBorders>
            <w:vAlign w:val="center"/>
          </w:tcPr>
          <w:p w14:paraId="6E8A76B0">
            <w:pPr>
              <w:spacing w:after="0" w:line="400" w:lineRule="exact"/>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供应商是企业（包括合伙企业），要提供在工商部门注册的有效“企业法人营业执照”或“营业执照”；如供应商是事业单位，要提供有效的“事业单位法人证书”；供应商是非企业专业服务机构的，如律师事务所，会计师事务所要提供执业许可证等证明文件；如供应商是个体工商户，要提供有效的“个体工商户营业执照”；如供应商是自然人，要提供有效的自然人身份证明。</w:t>
            </w:r>
          </w:p>
          <w:p w14:paraId="37924F83">
            <w:pPr>
              <w:spacing w:after="0"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snapToGrid w:val="0"/>
                <w:color w:val="auto"/>
                <w:kern w:val="0"/>
                <w:sz w:val="21"/>
                <w:szCs w:val="21"/>
                <w:highlight w:val="none"/>
                <w:lang w:val="en-US" w:eastAsia="zh-CN"/>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tc>
      </w:tr>
    </w:tbl>
    <w:p w14:paraId="34CF9F54">
      <w:pPr>
        <w:rPr>
          <w:rFonts w:hint="eastAsia" w:ascii="宋体" w:hAnsi="宋体" w:eastAsia="宋体" w:cs="宋体"/>
          <w:color w:val="auto"/>
          <w:shd w:val="clear" w:color="auto" w:fill="FFFFFF"/>
          <w:lang w:eastAsia="zh-CN"/>
        </w:rPr>
        <w:sectPr>
          <w:footerReference r:id="rId5" w:type="default"/>
          <w:pgSz w:w="11850" w:h="16783"/>
          <w:pgMar w:top="1134" w:right="1304" w:bottom="1134" w:left="1304" w:header="851" w:footer="861" w:gutter="0"/>
          <w:pgNumType w:fmt="decimal" w:start="1"/>
          <w:cols w:space="720" w:num="1"/>
          <w:docGrid w:linePitch="299" w:charSpace="0"/>
        </w:sectPr>
      </w:pPr>
    </w:p>
    <w:p w14:paraId="241D4B8C">
      <w:pPr>
        <w:pStyle w:val="3"/>
        <w:pageBreakBefore w:val="0"/>
        <w:widowControl w:val="0"/>
        <w:tabs>
          <w:tab w:val="left" w:pos="5063"/>
          <w:tab w:val="left" w:pos="5625"/>
        </w:tabs>
        <w:kinsoku/>
        <w:wordWrap/>
        <w:overflowPunct/>
        <w:topLinePunct w:val="0"/>
        <w:autoSpaceDE w:val="0"/>
        <w:autoSpaceDN w:val="0"/>
        <w:bidi w:val="0"/>
        <w:adjustRightInd w:val="0"/>
        <w:snapToGrid w:val="0"/>
        <w:spacing w:line="360" w:lineRule="auto"/>
        <w:ind w:left="4362" w:right="4278" w:hanging="115"/>
        <w:textAlignment w:val="auto"/>
        <w:rPr>
          <w:rFonts w:hint="eastAsia" w:ascii="宋体" w:hAnsi="宋体" w:eastAsia="宋体" w:cs="宋体"/>
          <w:b w:val="0"/>
          <w:bCs w:val="0"/>
          <w:color w:val="auto"/>
          <w:sz w:val="28"/>
          <w:szCs w:val="28"/>
        </w:rPr>
      </w:pPr>
      <w:bookmarkStart w:id="186" w:name="_bookmark20"/>
      <w:bookmarkEnd w:id="186"/>
      <w:bookmarkStart w:id="187" w:name="_Toc2252"/>
      <w:bookmarkStart w:id="188" w:name="_Toc25028"/>
      <w:bookmarkStart w:id="189" w:name="_Toc23177"/>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说</w:t>
      </w:r>
      <w:r>
        <w:rPr>
          <w:rFonts w:hint="eastAsia" w:ascii="宋体" w:hAnsi="宋体" w:eastAsia="宋体" w:cs="宋体"/>
          <w:b/>
          <w:bCs/>
          <w:color w:val="auto"/>
          <w:spacing w:val="-18"/>
          <w:sz w:val="28"/>
          <w:szCs w:val="28"/>
        </w:rPr>
        <w:t>明</w:t>
      </w:r>
      <w:bookmarkEnd w:id="187"/>
      <w:bookmarkEnd w:id="188"/>
      <w:bookmarkEnd w:id="189"/>
    </w:p>
    <w:p w14:paraId="0E080845">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采购人、采购代理机构、供应商、负责人、联合体、电子签名、电子交易平台</w:t>
      </w:r>
    </w:p>
    <w:p w14:paraId="5BFA959E">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采购人、采购代理机构：指依法进行政府采购的国家机关、事业单位、团体组织，及其委托的采购代理机构。本项目采购人、采购代理机构见第一章《竞争性磋商公告》。</w:t>
      </w:r>
    </w:p>
    <w:p w14:paraId="522F3DDF">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供应商（也称“</w:t>
      </w:r>
      <w:r>
        <w:rPr>
          <w:rFonts w:hint="eastAsia" w:ascii="宋体" w:hAnsi="宋体" w:eastAsia="宋体" w:cs="宋体"/>
          <w:b w:val="0"/>
          <w:bCs w:val="0"/>
          <w:snapToGrid w:val="0"/>
          <w:color w:val="auto"/>
          <w:spacing w:val="0"/>
          <w:w w:val="100"/>
          <w:sz w:val="21"/>
          <w:szCs w:val="21"/>
          <w:lang w:val="en-US" w:eastAsia="zh-CN"/>
        </w:rPr>
        <w:t>投标</w:t>
      </w:r>
      <w:r>
        <w:rPr>
          <w:rFonts w:hint="eastAsia" w:ascii="宋体" w:hAnsi="宋体" w:eastAsia="宋体" w:cs="宋体"/>
          <w:b w:val="0"/>
          <w:bCs w:val="0"/>
          <w:snapToGrid w:val="0"/>
          <w:color w:val="auto"/>
          <w:spacing w:val="0"/>
          <w:w w:val="100"/>
          <w:sz w:val="21"/>
          <w:szCs w:val="21"/>
          <w:lang w:eastAsia="zh-CN"/>
        </w:rPr>
        <w:t>人”）：指向采购人提供货物、工程或者服务的法人、其他组织或者自然人。</w:t>
      </w:r>
    </w:p>
    <w:p w14:paraId="556FA1F5">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负责人：指法人企业的法定负责人，或其他组织为法律、行政法规规定代表单位行使职权的主要负责人，或自然人本人。</w:t>
      </w:r>
    </w:p>
    <w:p w14:paraId="2E3E2B99">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联合体：指两个以上的自然人、法人或者其他组织组成一个联合体，以一个供应商的身份共同参加政府采购。</w:t>
      </w:r>
    </w:p>
    <w:p w14:paraId="4BCE641F">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电子签章：指数据电文中以电子形式所含、所附用于识别签名人身份并表明签名人认可其中内容的数据；“公章”系指单位法定名称章。</w:t>
      </w:r>
    </w:p>
    <w:p w14:paraId="5A76A925">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电子交易平台：指本项目政府采购活动所依托的政府采购云平台（https://www.zcygov.cn/）（简称“政采云平台”）。</w:t>
      </w:r>
    </w:p>
    <w:p w14:paraId="24E3300C">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资金来源、项目属性</w:t>
      </w:r>
    </w:p>
    <w:p w14:paraId="000AEEA0">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资金来源见《供应商须知前附表》。</w:t>
      </w:r>
    </w:p>
    <w:p w14:paraId="331B61D9">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项目属性见《供应商须知前附表》。</w:t>
      </w:r>
    </w:p>
    <w:p w14:paraId="5F2677B3">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现场考察、磋商前答疑会</w:t>
      </w:r>
    </w:p>
    <w:p w14:paraId="37ADE3F8">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若《供应商须知前附表》中规定了组织现场考察、召开磋商前答疑会，则供应商应按要求在规定的时间和地点参加。</w:t>
      </w:r>
    </w:p>
    <w:p w14:paraId="2918FFDC">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由于未参加现场考察或磋商前答疑会而导致对项目实际情况不了解，影响响应文件编制、报价准确性、综合因素响应不全面等问题的，由供应商自行承担不利评审后果。</w:t>
      </w:r>
    </w:p>
    <w:p w14:paraId="6813E1B0">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left"/>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政府采购政策（包括但不限于下列具体政策要求）</w:t>
      </w:r>
    </w:p>
    <w:p w14:paraId="1480C557">
      <w:pPr>
        <w:pStyle w:val="65"/>
        <w:keepNext w:val="0"/>
        <w:keepLines w:val="0"/>
        <w:pageBreakBefore w:val="0"/>
        <w:widowControl w:val="0"/>
        <w:numPr>
          <w:ilvl w:val="1"/>
          <w:numId w:val="2"/>
        </w:numPr>
        <w:tabs>
          <w:tab w:val="left" w:pos="1621"/>
          <w:tab w:val="left" w:pos="16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采购本国货物、工程和服务</w:t>
      </w:r>
    </w:p>
    <w:p w14:paraId="0F34A3FF">
      <w:pPr>
        <w:pStyle w:val="65"/>
        <w:keepNext w:val="0"/>
        <w:keepLines w:val="0"/>
        <w:pageBreakBefore w:val="0"/>
        <w:widowControl w:val="0"/>
        <w:numPr>
          <w:ilvl w:val="2"/>
          <w:numId w:val="2"/>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政府采购应当采购本国货物、工程和服务。但有《中华人民共和国政府采购法》第十条规定情形的除外。</w:t>
      </w:r>
    </w:p>
    <w:p w14:paraId="1A5A5975">
      <w:pPr>
        <w:pStyle w:val="65"/>
        <w:keepNext w:val="0"/>
        <w:keepLines w:val="0"/>
        <w:pageBreakBefore w:val="0"/>
        <w:widowControl w:val="0"/>
        <w:numPr>
          <w:ilvl w:val="2"/>
          <w:numId w:val="2"/>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本项目如接受非本国货物、工程、服务参与磋商，则具体要求见第四章《采购需求》。</w:t>
      </w:r>
    </w:p>
    <w:p w14:paraId="61F06737">
      <w:pPr>
        <w:pStyle w:val="65"/>
        <w:keepNext w:val="0"/>
        <w:keepLines w:val="0"/>
        <w:pageBreakBefore w:val="0"/>
        <w:widowControl w:val="0"/>
        <w:numPr>
          <w:ilvl w:val="2"/>
          <w:numId w:val="2"/>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95B7010">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w:t>
      </w:r>
      <w:r>
        <w:rPr>
          <w:rFonts w:hint="eastAsia" w:ascii="宋体" w:hAnsi="宋体" w:eastAsia="宋体" w:cs="宋体"/>
          <w:b w:val="0"/>
          <w:bCs w:val="0"/>
          <w:snapToGrid w:val="0"/>
          <w:color w:val="auto"/>
          <w:spacing w:val="0"/>
          <w:w w:val="100"/>
          <w:sz w:val="21"/>
          <w:szCs w:val="21"/>
          <w:lang w:eastAsia="zh-CN"/>
        </w:rPr>
        <w:t>中小企业、监狱企业及残疾人福利性单位</w:t>
      </w:r>
    </w:p>
    <w:p w14:paraId="3183B29F">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rPr>
      </w:pPr>
      <w:r>
        <w:rPr>
          <w:rFonts w:hint="eastAsia" w:cs="宋体"/>
          <w:b w:val="0"/>
          <w:bCs w:val="0"/>
          <w:snapToGrid w:val="0"/>
          <w:color w:val="auto"/>
          <w:spacing w:val="0"/>
          <w:w w:val="100"/>
          <w:sz w:val="21"/>
          <w:szCs w:val="21"/>
          <w:lang w:val="en-US" w:eastAsia="zh-CN"/>
        </w:rPr>
        <w:t>4.2.1</w:t>
      </w:r>
      <w:r>
        <w:rPr>
          <w:rFonts w:hint="eastAsia" w:ascii="宋体" w:hAnsi="宋体" w:eastAsia="宋体" w:cs="宋体"/>
          <w:b w:val="0"/>
          <w:bCs w:val="0"/>
          <w:snapToGrid w:val="0"/>
          <w:color w:val="auto"/>
          <w:spacing w:val="0"/>
          <w:w w:val="100"/>
          <w:sz w:val="21"/>
          <w:szCs w:val="21"/>
        </w:rPr>
        <w:t>中小企业定义：</w:t>
      </w:r>
    </w:p>
    <w:p w14:paraId="44FE0634">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4.2.1.1</w:t>
      </w:r>
      <w:r>
        <w:rPr>
          <w:rFonts w:hint="eastAsia" w:ascii="宋体" w:hAnsi="宋体" w:eastAsia="宋体" w:cs="宋体"/>
          <w:b w:val="0"/>
          <w:bCs w:val="0"/>
          <w:snapToGrid w:val="0"/>
          <w:color w:val="auto"/>
          <w:spacing w:val="0"/>
          <w:w w:val="100"/>
          <w:sz w:val="21"/>
          <w:szCs w:val="21"/>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5C7EF0F6">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4.2.1.2</w:t>
      </w:r>
      <w:r>
        <w:rPr>
          <w:rFonts w:hint="eastAsia" w:ascii="宋体" w:hAnsi="宋体" w:eastAsia="宋体" w:cs="宋体"/>
          <w:b w:val="0"/>
          <w:bCs w:val="0"/>
          <w:snapToGrid w:val="0"/>
          <w:color w:val="auto"/>
          <w:spacing w:val="0"/>
          <w:w w:val="100"/>
          <w:sz w:val="21"/>
          <w:szCs w:val="21"/>
          <w:lang w:eastAsia="zh-CN"/>
        </w:rPr>
        <w:t>供应商提供的货物、工程或者服务符合下列情形的，享受中小企业扶持政策：</w:t>
      </w:r>
    </w:p>
    <w:p w14:paraId="269255A9">
      <w:pPr>
        <w:pStyle w:val="65"/>
        <w:keepNext w:val="0"/>
        <w:keepLines w:val="0"/>
        <w:pageBreakBefore w:val="0"/>
        <w:widowControl w:val="0"/>
        <w:numPr>
          <w:ilvl w:val="4"/>
          <w:numId w:val="2"/>
        </w:numPr>
        <w:tabs>
          <w:tab w:val="left" w:pos="401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在货物采购项目中，货物由中小企业制造，即货物由中小企业生产且使用该中小企业商号或者注册商标；</w:t>
      </w:r>
    </w:p>
    <w:p w14:paraId="0B41473C">
      <w:pPr>
        <w:pStyle w:val="65"/>
        <w:keepNext w:val="0"/>
        <w:keepLines w:val="0"/>
        <w:pageBreakBefore w:val="0"/>
        <w:widowControl w:val="0"/>
        <w:numPr>
          <w:ilvl w:val="4"/>
          <w:numId w:val="2"/>
        </w:numPr>
        <w:tabs>
          <w:tab w:val="left" w:pos="401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在工程采购项目中，工程由中小企业承建，即工程施工单位为中小企业；</w:t>
      </w:r>
    </w:p>
    <w:p w14:paraId="357ED961">
      <w:pPr>
        <w:pStyle w:val="65"/>
        <w:keepNext w:val="0"/>
        <w:keepLines w:val="0"/>
        <w:pageBreakBefore w:val="0"/>
        <w:widowControl w:val="0"/>
        <w:numPr>
          <w:ilvl w:val="4"/>
          <w:numId w:val="2"/>
        </w:numPr>
        <w:tabs>
          <w:tab w:val="left" w:pos="40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在服务采购项目中，服务由中小企业承接，即提供服务的人员为中小企业依照《中华人民共和国劳动合同法》订立劳动合同的从业人员。</w:t>
      </w:r>
    </w:p>
    <w:p w14:paraId="45A7A53E">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4.2.1.3</w:t>
      </w:r>
      <w:r>
        <w:rPr>
          <w:rFonts w:hint="eastAsia" w:ascii="宋体" w:hAnsi="宋体" w:eastAsia="宋体" w:cs="宋体"/>
          <w:b w:val="0"/>
          <w:bCs w:val="0"/>
          <w:snapToGrid w:val="0"/>
          <w:color w:val="auto"/>
          <w:spacing w:val="0"/>
          <w:w w:val="100"/>
          <w:sz w:val="21"/>
          <w:szCs w:val="21"/>
          <w:lang w:eastAsia="zh-CN"/>
        </w:rPr>
        <w:t>在货物采购项目中，供应商提供的货物既有中小企业制造货物，也有大型企业制造货物的，不享受中小企业扶持政策。</w:t>
      </w:r>
    </w:p>
    <w:p w14:paraId="6243EED8">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4.2.1.4</w:t>
      </w:r>
      <w:r>
        <w:rPr>
          <w:rFonts w:hint="eastAsia" w:ascii="宋体" w:hAnsi="宋体" w:eastAsia="宋体" w:cs="宋体"/>
          <w:b w:val="0"/>
          <w:bCs w:val="0"/>
          <w:snapToGrid w:val="0"/>
          <w:color w:val="auto"/>
          <w:spacing w:val="0"/>
          <w:w w:val="100"/>
          <w:sz w:val="21"/>
          <w:szCs w:val="21"/>
          <w:lang w:eastAsia="zh-CN"/>
        </w:rPr>
        <w:t>以联合体形式参加政府采购活动，联合体各方均为中小企业的，联合体视同中小企业。其中，联合体各方均为小微企业的，联合体视同小微企业。</w:t>
      </w:r>
    </w:p>
    <w:p w14:paraId="61B7F109">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4.2.2</w:t>
      </w:r>
      <w:r>
        <w:rPr>
          <w:rFonts w:hint="eastAsia" w:ascii="宋体" w:hAnsi="宋体" w:eastAsia="宋体" w:cs="宋体"/>
          <w:b w:val="0"/>
          <w:bCs w:val="0"/>
          <w:snapToGrid w:val="0"/>
          <w:color w:val="auto"/>
          <w:spacing w:val="0"/>
          <w:w w:val="100"/>
          <w:sz w:val="21"/>
          <w:szCs w:val="21"/>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6376B2">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w:t>
      </w:r>
      <w:r>
        <w:rPr>
          <w:rFonts w:hint="eastAsia" w:ascii="宋体" w:hAnsi="宋体" w:eastAsia="宋体" w:cs="宋体"/>
          <w:b w:val="0"/>
          <w:bCs w:val="0"/>
          <w:snapToGrid w:val="0"/>
          <w:color w:val="auto"/>
          <w:spacing w:val="0"/>
          <w:w w:val="100"/>
          <w:sz w:val="21"/>
          <w:szCs w:val="21"/>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1DEF4BE">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4.2.3.1</w:t>
      </w:r>
      <w:r>
        <w:rPr>
          <w:rFonts w:hint="eastAsia" w:ascii="宋体" w:hAnsi="宋体" w:eastAsia="宋体" w:cs="宋体"/>
          <w:b w:val="0"/>
          <w:bCs w:val="0"/>
          <w:snapToGrid w:val="0"/>
          <w:color w:val="auto"/>
          <w:spacing w:val="0"/>
          <w:w w:val="100"/>
          <w:sz w:val="21"/>
          <w:szCs w:val="21"/>
          <w:lang w:eastAsia="zh-CN"/>
        </w:rPr>
        <w:t>安置的残疾人占本单位在职职工人数的比例不低于 25%（含 25%），并且安置的残疾人人数不少于10人（含10</w:t>
      </w:r>
      <w:r>
        <w:rPr>
          <w:rFonts w:hint="eastAsia" w:ascii="宋体" w:hAnsi="宋体" w:eastAsia="宋体" w:cs="宋体"/>
          <w:b w:val="0"/>
          <w:bCs w:val="0"/>
          <w:snapToGrid w:val="0"/>
          <w:color w:val="auto"/>
          <w:spacing w:val="0"/>
          <w:w w:val="100"/>
          <w:sz w:val="21"/>
          <w:szCs w:val="21"/>
        </w:rPr>
        <w:t>人</w:t>
      </w:r>
      <w:r>
        <w:rPr>
          <w:rFonts w:hint="eastAsia" w:ascii="宋体" w:hAnsi="宋体" w:eastAsia="宋体" w:cs="宋体"/>
          <w:b w:val="0"/>
          <w:bCs w:val="0"/>
          <w:snapToGrid w:val="0"/>
          <w:color w:val="auto"/>
          <w:spacing w:val="0"/>
          <w:w w:val="100"/>
          <w:sz w:val="21"/>
          <w:szCs w:val="21"/>
          <w:lang w:eastAsia="zh-CN"/>
        </w:rPr>
        <w:t>）；</w:t>
      </w:r>
    </w:p>
    <w:p w14:paraId="7FBAA0BD">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4.2.3.2</w:t>
      </w:r>
      <w:r>
        <w:rPr>
          <w:rFonts w:hint="eastAsia" w:ascii="宋体" w:hAnsi="宋体" w:eastAsia="宋体" w:cs="宋体"/>
          <w:b w:val="0"/>
          <w:bCs w:val="0"/>
          <w:snapToGrid w:val="0"/>
          <w:color w:val="auto"/>
          <w:spacing w:val="0"/>
          <w:w w:val="100"/>
          <w:sz w:val="21"/>
          <w:szCs w:val="21"/>
          <w:lang w:eastAsia="zh-CN"/>
        </w:rPr>
        <w:t>依法与安置的每位残疾人签订了一年以上（含一年）的劳动合同或服务协议；</w:t>
      </w:r>
    </w:p>
    <w:p w14:paraId="69EC6D85">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4.2.3.3</w:t>
      </w:r>
      <w:r>
        <w:rPr>
          <w:rFonts w:hint="eastAsia" w:ascii="宋体" w:hAnsi="宋体" w:eastAsia="宋体" w:cs="宋体"/>
          <w:b w:val="0"/>
          <w:bCs w:val="0"/>
          <w:snapToGrid w:val="0"/>
          <w:color w:val="auto"/>
          <w:spacing w:val="0"/>
          <w:w w:val="100"/>
          <w:sz w:val="21"/>
          <w:szCs w:val="21"/>
          <w:lang w:eastAsia="zh-CN"/>
        </w:rPr>
        <w:t>为安置的每位残疾人按月足额缴纳了基本养老保险、基本医疗保险、失业保险、工伤保险和生育保险等社会保险费；</w:t>
      </w:r>
    </w:p>
    <w:p w14:paraId="418A39F2">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4.2.3.4</w:t>
      </w:r>
      <w:r>
        <w:rPr>
          <w:rFonts w:hint="eastAsia" w:ascii="宋体" w:hAnsi="宋体" w:eastAsia="宋体" w:cs="宋体"/>
          <w:b w:val="0"/>
          <w:bCs w:val="0"/>
          <w:snapToGrid w:val="0"/>
          <w:color w:val="auto"/>
          <w:spacing w:val="0"/>
          <w:w w:val="100"/>
          <w:sz w:val="21"/>
          <w:szCs w:val="21"/>
          <w:lang w:eastAsia="zh-CN"/>
        </w:rPr>
        <w:t>通过银行等金融机构向安置的每位残疾人，按月支付了不低于单位所在区县适用的经省级人民政府批准的月最低工资标准的工资；</w:t>
      </w:r>
    </w:p>
    <w:p w14:paraId="12EA739E">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4.2.3.5</w:t>
      </w:r>
      <w:r>
        <w:rPr>
          <w:rFonts w:hint="eastAsia" w:ascii="宋体" w:hAnsi="宋体" w:eastAsia="宋体" w:cs="宋体"/>
          <w:b w:val="0"/>
          <w:bCs w:val="0"/>
          <w:snapToGrid w:val="0"/>
          <w:color w:val="auto"/>
          <w:spacing w:val="0"/>
          <w:w w:val="100"/>
          <w:sz w:val="21"/>
          <w:szCs w:val="21"/>
          <w:lang w:eastAsia="zh-CN"/>
        </w:rPr>
        <w:t>提供本单位制造的货物、承担的工程或者服务（以下简称产品），或者提供其他残疾人福利性单位制造的货物（不包括使用非残疾人福利性单位注册商标的货物）；</w:t>
      </w:r>
    </w:p>
    <w:p w14:paraId="2358BBBC">
      <w:pPr>
        <w:pStyle w:val="65"/>
        <w:keepNext w:val="0"/>
        <w:keepLines w:val="0"/>
        <w:pageBreakBefore w:val="0"/>
        <w:widowControl w:val="0"/>
        <w:numPr>
          <w:ilvl w:val="0"/>
          <w:numId w:val="0"/>
        </w:numPr>
        <w:tabs>
          <w:tab w:val="left" w:pos="342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4.2.3.6</w:t>
      </w:r>
      <w:r>
        <w:rPr>
          <w:rFonts w:hint="eastAsia" w:ascii="宋体" w:hAnsi="宋体" w:eastAsia="宋体" w:cs="宋体"/>
          <w:b w:val="0"/>
          <w:bCs w:val="0"/>
          <w:snapToGrid w:val="0"/>
          <w:color w:val="auto"/>
          <w:spacing w:val="0"/>
          <w:w w:val="100"/>
          <w:sz w:val="21"/>
          <w:szCs w:val="21"/>
          <w:lang w:eastAsia="zh-CN"/>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36456F32">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4.2.4</w:t>
      </w:r>
      <w:r>
        <w:rPr>
          <w:rFonts w:hint="eastAsia" w:ascii="宋体" w:hAnsi="宋体" w:eastAsia="宋体" w:cs="宋体"/>
          <w:b w:val="0"/>
          <w:bCs w:val="0"/>
          <w:snapToGrid w:val="0"/>
          <w:color w:val="auto"/>
          <w:spacing w:val="0"/>
          <w:w w:val="100"/>
          <w:sz w:val="21"/>
          <w:szCs w:val="21"/>
          <w:lang w:eastAsia="zh-CN"/>
        </w:rPr>
        <w:t>本项目是否专门面向中小企业预留采购份额见第一章《竞争性磋商公告》。</w:t>
      </w:r>
    </w:p>
    <w:p w14:paraId="7D3495F4">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4.2.5</w:t>
      </w:r>
      <w:r>
        <w:rPr>
          <w:rFonts w:hint="eastAsia" w:ascii="宋体" w:hAnsi="宋体" w:eastAsia="宋体" w:cs="宋体"/>
          <w:b w:val="0"/>
          <w:bCs w:val="0"/>
          <w:snapToGrid w:val="0"/>
          <w:color w:val="auto"/>
          <w:spacing w:val="0"/>
          <w:w w:val="100"/>
          <w:sz w:val="21"/>
          <w:szCs w:val="21"/>
          <w:lang w:eastAsia="zh-CN"/>
        </w:rPr>
        <w:t>采购标的对应的中小企业划分标准所属行业见《供应商须知前附表》。</w:t>
      </w:r>
    </w:p>
    <w:p w14:paraId="6D7FCB6F">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4.2.6</w:t>
      </w:r>
      <w:r>
        <w:rPr>
          <w:rFonts w:hint="eastAsia" w:ascii="宋体" w:hAnsi="宋体" w:eastAsia="宋体" w:cs="宋体"/>
          <w:b w:val="0"/>
          <w:bCs w:val="0"/>
          <w:snapToGrid w:val="0"/>
          <w:color w:val="auto"/>
          <w:spacing w:val="0"/>
          <w:w w:val="100"/>
          <w:sz w:val="21"/>
          <w:szCs w:val="21"/>
          <w:lang w:eastAsia="zh-CN"/>
        </w:rPr>
        <w:t>小微企业价格评审优惠的政策调整：见第</w:t>
      </w:r>
      <w:r>
        <w:rPr>
          <w:rFonts w:hint="eastAsia" w:ascii="宋体" w:hAnsi="宋体" w:eastAsia="宋体" w:cs="宋体"/>
          <w:b w:val="0"/>
          <w:bCs w:val="0"/>
          <w:snapToGrid w:val="0"/>
          <w:color w:val="auto"/>
          <w:spacing w:val="0"/>
          <w:w w:val="100"/>
          <w:sz w:val="21"/>
          <w:szCs w:val="21"/>
          <w:lang w:val="en-US" w:eastAsia="zh-CN"/>
        </w:rPr>
        <w:t>三</w:t>
      </w:r>
      <w:r>
        <w:rPr>
          <w:rFonts w:hint="eastAsia" w:ascii="宋体" w:hAnsi="宋体" w:eastAsia="宋体" w:cs="宋体"/>
          <w:b w:val="0"/>
          <w:bCs w:val="0"/>
          <w:snapToGrid w:val="0"/>
          <w:color w:val="auto"/>
          <w:spacing w:val="0"/>
          <w:w w:val="100"/>
          <w:sz w:val="21"/>
          <w:szCs w:val="21"/>
          <w:lang w:eastAsia="zh-CN"/>
        </w:rPr>
        <w:t>章《评审方法和评审标准》。</w:t>
      </w:r>
    </w:p>
    <w:p w14:paraId="37379EF6">
      <w:pPr>
        <w:pStyle w:val="65"/>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4.3</w:t>
      </w:r>
      <w:r>
        <w:rPr>
          <w:rFonts w:hint="eastAsia" w:ascii="宋体" w:hAnsi="宋体" w:eastAsia="宋体" w:cs="宋体"/>
          <w:b w:val="0"/>
          <w:bCs w:val="0"/>
          <w:snapToGrid w:val="0"/>
          <w:color w:val="auto"/>
          <w:spacing w:val="0"/>
          <w:w w:val="100"/>
          <w:sz w:val="21"/>
          <w:szCs w:val="21"/>
          <w:lang w:eastAsia="zh-CN"/>
        </w:rPr>
        <w:t>政府采购节能产品、环境标志产品</w:t>
      </w:r>
    </w:p>
    <w:p w14:paraId="2B6FEEC1">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4.3.1</w:t>
      </w:r>
      <w:r>
        <w:rPr>
          <w:rFonts w:hint="eastAsia" w:ascii="宋体" w:hAnsi="宋体" w:eastAsia="宋体" w:cs="宋体"/>
          <w:b w:val="0"/>
          <w:bCs w:val="0"/>
          <w:snapToGrid w:val="0"/>
          <w:color w:val="auto"/>
          <w:spacing w:val="0"/>
          <w:w w:val="100"/>
          <w:sz w:val="21"/>
          <w:szCs w:val="21"/>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3C089D8">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4.3.2</w:t>
      </w:r>
      <w:r>
        <w:rPr>
          <w:rFonts w:hint="eastAsia" w:ascii="宋体" w:hAnsi="宋体" w:eastAsia="宋体" w:cs="宋体"/>
          <w:b w:val="0"/>
          <w:bCs w:val="0"/>
          <w:snapToGrid w:val="0"/>
          <w:color w:val="auto"/>
          <w:spacing w:val="0"/>
          <w:w w:val="100"/>
          <w:sz w:val="21"/>
          <w:szCs w:val="21"/>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14:paraId="618C676B">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4.3.3</w:t>
      </w:r>
      <w:r>
        <w:rPr>
          <w:rFonts w:hint="eastAsia" w:ascii="宋体" w:hAnsi="宋体" w:eastAsia="宋体" w:cs="宋体"/>
          <w:b w:val="0"/>
          <w:bCs w:val="0"/>
          <w:snapToGrid w:val="0"/>
          <w:color w:val="auto"/>
          <w:spacing w:val="0"/>
          <w:w w:val="100"/>
          <w:sz w:val="21"/>
          <w:szCs w:val="21"/>
          <w:lang w:eastAsia="zh-CN"/>
        </w:rPr>
        <w:t>如本项目采购产品属于实施政府强制采购品目清单范围的节能产品， 则供应商所报产品必须获得国家确定的认证机构出具的、处于有效期之内的节能产品认证证书，否则响应无效；</w:t>
      </w:r>
    </w:p>
    <w:p w14:paraId="19D985F2">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4.3.4</w:t>
      </w:r>
      <w:r>
        <w:rPr>
          <w:rFonts w:hint="eastAsia" w:ascii="宋体" w:hAnsi="宋体" w:eastAsia="宋体" w:cs="宋体"/>
          <w:b w:val="0"/>
          <w:bCs w:val="0"/>
          <w:snapToGrid w:val="0"/>
          <w:color w:val="auto"/>
          <w:spacing w:val="0"/>
          <w:w w:val="100"/>
          <w:sz w:val="21"/>
          <w:szCs w:val="21"/>
          <w:lang w:eastAsia="zh-CN"/>
        </w:rPr>
        <w:t>非政府强制采购的节能产品或环境标志产品，依据品目清单和认证证书实施政府优先采购。优先采购的具体规定见第</w:t>
      </w:r>
      <w:r>
        <w:rPr>
          <w:rFonts w:hint="eastAsia" w:ascii="宋体" w:hAnsi="宋体" w:eastAsia="宋体" w:cs="宋体"/>
          <w:b w:val="0"/>
          <w:bCs w:val="0"/>
          <w:snapToGrid w:val="0"/>
          <w:color w:val="auto"/>
          <w:spacing w:val="0"/>
          <w:w w:val="100"/>
          <w:sz w:val="21"/>
          <w:szCs w:val="21"/>
          <w:lang w:val="en-US" w:eastAsia="zh-CN"/>
        </w:rPr>
        <w:t>三</w:t>
      </w:r>
      <w:r>
        <w:rPr>
          <w:rFonts w:hint="eastAsia" w:ascii="宋体" w:hAnsi="宋体" w:eastAsia="宋体" w:cs="宋体"/>
          <w:b w:val="0"/>
          <w:bCs w:val="0"/>
          <w:snapToGrid w:val="0"/>
          <w:color w:val="auto"/>
          <w:spacing w:val="0"/>
          <w:w w:val="100"/>
          <w:sz w:val="21"/>
          <w:szCs w:val="21"/>
          <w:lang w:eastAsia="zh-CN"/>
        </w:rPr>
        <w:t>章《评审方法和评审标准》（如涉及）。</w:t>
      </w:r>
    </w:p>
    <w:p w14:paraId="67A912E1">
      <w:pPr>
        <w:pStyle w:val="65"/>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rPr>
      </w:pPr>
      <w:r>
        <w:rPr>
          <w:rFonts w:hint="eastAsia" w:cs="宋体"/>
          <w:b w:val="0"/>
          <w:bCs w:val="0"/>
          <w:snapToGrid w:val="0"/>
          <w:color w:val="auto"/>
          <w:spacing w:val="0"/>
          <w:w w:val="100"/>
          <w:sz w:val="21"/>
          <w:szCs w:val="21"/>
          <w:lang w:val="en-US" w:eastAsia="zh-CN"/>
        </w:rPr>
        <w:t>4.4</w:t>
      </w:r>
      <w:r>
        <w:rPr>
          <w:rFonts w:hint="eastAsia" w:ascii="宋体" w:hAnsi="宋体" w:eastAsia="宋体" w:cs="宋体"/>
          <w:b w:val="0"/>
          <w:bCs w:val="0"/>
          <w:snapToGrid w:val="0"/>
          <w:color w:val="auto"/>
          <w:spacing w:val="0"/>
          <w:w w:val="100"/>
          <w:sz w:val="21"/>
          <w:szCs w:val="21"/>
        </w:rPr>
        <w:t>正版软件</w:t>
      </w:r>
    </w:p>
    <w:p w14:paraId="1691AEE2">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4.4.1</w:t>
      </w:r>
      <w:r>
        <w:rPr>
          <w:rFonts w:hint="eastAsia" w:ascii="宋体" w:hAnsi="宋体" w:eastAsia="宋体" w:cs="宋体"/>
          <w:b w:val="0"/>
          <w:bCs w:val="0"/>
          <w:snapToGrid w:val="0"/>
          <w:color w:val="auto"/>
          <w:spacing w:val="0"/>
          <w:w w:val="100"/>
          <w:sz w:val="21"/>
          <w:szCs w:val="21"/>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0AD2466">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4.4.2</w:t>
      </w:r>
      <w:r>
        <w:rPr>
          <w:rFonts w:hint="eastAsia" w:ascii="宋体" w:hAnsi="宋体" w:eastAsia="宋体" w:cs="宋体"/>
          <w:b w:val="0"/>
          <w:bCs w:val="0"/>
          <w:snapToGrid w:val="0"/>
          <w:color w:val="auto"/>
          <w:spacing w:val="0"/>
          <w:w w:val="100"/>
          <w:sz w:val="21"/>
          <w:szCs w:val="21"/>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4491A72">
      <w:pPr>
        <w:pStyle w:val="65"/>
        <w:keepNext w:val="0"/>
        <w:keepLines w:val="0"/>
        <w:pageBreakBefore w:val="0"/>
        <w:widowControl w:val="0"/>
        <w:numPr>
          <w:ilvl w:val="0"/>
          <w:numId w:val="0"/>
        </w:numPr>
        <w:tabs>
          <w:tab w:val="left" w:pos="1621"/>
          <w:tab w:val="left" w:pos="16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rPr>
      </w:pPr>
      <w:r>
        <w:rPr>
          <w:rFonts w:hint="eastAsia" w:cs="宋体"/>
          <w:b w:val="0"/>
          <w:bCs w:val="0"/>
          <w:snapToGrid w:val="0"/>
          <w:color w:val="auto"/>
          <w:spacing w:val="0"/>
          <w:w w:val="100"/>
          <w:sz w:val="21"/>
          <w:szCs w:val="21"/>
          <w:lang w:val="en-US" w:eastAsia="zh-CN"/>
        </w:rPr>
        <w:t>4.5</w:t>
      </w:r>
      <w:r>
        <w:rPr>
          <w:rFonts w:hint="eastAsia" w:ascii="宋体" w:hAnsi="宋体" w:eastAsia="宋体" w:cs="宋体"/>
          <w:b w:val="0"/>
          <w:bCs w:val="0"/>
          <w:snapToGrid w:val="0"/>
          <w:color w:val="auto"/>
          <w:spacing w:val="0"/>
          <w:w w:val="100"/>
          <w:sz w:val="21"/>
          <w:szCs w:val="21"/>
        </w:rPr>
        <w:t>网络安全专用产品</w:t>
      </w:r>
    </w:p>
    <w:p w14:paraId="1F6E9BD9">
      <w:pPr>
        <w:pStyle w:val="65"/>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4.5.1</w:t>
      </w:r>
      <w:r>
        <w:rPr>
          <w:rFonts w:hint="eastAsia" w:ascii="宋体" w:hAnsi="宋体" w:eastAsia="宋体" w:cs="宋体"/>
          <w:b w:val="0"/>
          <w:bCs w:val="0"/>
          <w:snapToGrid w:val="0"/>
          <w:color w:val="auto"/>
          <w:spacing w:val="0"/>
          <w:w w:val="100"/>
          <w:sz w:val="21"/>
          <w:szCs w:val="21"/>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ADA0E72">
      <w:pPr>
        <w:pStyle w:val="65"/>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rPr>
      </w:pPr>
      <w:r>
        <w:rPr>
          <w:rFonts w:hint="eastAsia" w:cs="宋体"/>
          <w:b w:val="0"/>
          <w:bCs w:val="0"/>
          <w:snapToGrid w:val="0"/>
          <w:color w:val="auto"/>
          <w:spacing w:val="0"/>
          <w:w w:val="100"/>
          <w:sz w:val="21"/>
          <w:szCs w:val="21"/>
          <w:lang w:val="en-US" w:eastAsia="zh-CN"/>
        </w:rPr>
        <w:t>4.6</w:t>
      </w:r>
      <w:r>
        <w:rPr>
          <w:rFonts w:hint="eastAsia" w:ascii="宋体" w:hAnsi="宋体" w:eastAsia="宋体" w:cs="宋体"/>
          <w:b w:val="0"/>
          <w:bCs w:val="0"/>
          <w:snapToGrid w:val="0"/>
          <w:color w:val="auto"/>
          <w:spacing w:val="0"/>
          <w:w w:val="100"/>
          <w:sz w:val="21"/>
          <w:szCs w:val="21"/>
        </w:rPr>
        <w:t>采购需求标准</w:t>
      </w:r>
    </w:p>
    <w:p w14:paraId="0EC821F3">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4.6.1</w:t>
      </w:r>
      <w:r>
        <w:rPr>
          <w:rFonts w:hint="eastAsia" w:ascii="宋体" w:hAnsi="宋体" w:eastAsia="宋体" w:cs="宋体"/>
          <w:b w:val="0"/>
          <w:bCs w:val="0"/>
          <w:snapToGrid w:val="0"/>
          <w:color w:val="auto"/>
          <w:spacing w:val="0"/>
          <w:w w:val="100"/>
          <w:sz w:val="21"/>
          <w:szCs w:val="21"/>
          <w:lang w:eastAsia="zh-CN"/>
        </w:rPr>
        <w:t>商品包装、快递包装政府采购需求标准（试行）</w:t>
      </w:r>
    </w:p>
    <w:p w14:paraId="1C27A6E7">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snapToGrid w:val="0"/>
          <w:color w:val="auto"/>
          <w:spacing w:val="0"/>
          <w:w w:val="100"/>
          <w:sz w:val="21"/>
          <w:szCs w:val="21"/>
          <w:lang w:eastAsia="zh-CN"/>
        </w:rPr>
        <w:t>章《采购需求》。</w:t>
      </w:r>
    </w:p>
    <w:p w14:paraId="7EED4B07">
      <w:pPr>
        <w:pStyle w:val="65"/>
        <w:keepNext w:val="0"/>
        <w:keepLines w:val="0"/>
        <w:pageBreakBefore w:val="0"/>
        <w:widowControl w:val="0"/>
        <w:numPr>
          <w:ilvl w:val="0"/>
          <w:numId w:val="0"/>
        </w:numPr>
        <w:tabs>
          <w:tab w:val="left" w:pos="2522"/>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4.6.2</w:t>
      </w:r>
      <w:r>
        <w:rPr>
          <w:rFonts w:hint="eastAsia" w:ascii="宋体" w:hAnsi="宋体" w:eastAsia="宋体" w:cs="宋体"/>
          <w:b w:val="0"/>
          <w:bCs w:val="0"/>
          <w:snapToGrid w:val="0"/>
          <w:color w:val="auto"/>
          <w:spacing w:val="0"/>
          <w:w w:val="100"/>
          <w:sz w:val="21"/>
          <w:szCs w:val="21"/>
          <w:lang w:eastAsia="zh-CN"/>
        </w:rPr>
        <w:t>绿色数据中心政府采购需求标准（试行）</w:t>
      </w:r>
    </w:p>
    <w:p w14:paraId="42E24D9A">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为加快数据中心绿色转型，根据财政部、生态环境部 工业和信息化部关于印发《绿色数据中心政府采购需求标准（试行）》的通知（财库〔2023〕7 号），本项目如涉及绿色数据中心，则具体要求见第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snapToGrid w:val="0"/>
          <w:color w:val="auto"/>
          <w:spacing w:val="0"/>
          <w:w w:val="100"/>
          <w:sz w:val="21"/>
          <w:szCs w:val="21"/>
          <w:lang w:eastAsia="zh-CN"/>
        </w:rPr>
        <w:t>章《采购需求》。</w:t>
      </w:r>
    </w:p>
    <w:p w14:paraId="2A49452C">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4.6.3 工作站政府采购需求标准（2023版）</w:t>
      </w:r>
    </w:p>
    <w:p w14:paraId="6B92D8AD">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为提高工作站政府采购需求管理的科学化、规范化水平，财政部、工业和信息化部关于印发《工作站政府采购需求标准（2023年版）》的通知（财库〔2023〕32号），本项目如涉及工作站，则具体要求见第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snapToGrid w:val="0"/>
          <w:color w:val="auto"/>
          <w:spacing w:val="0"/>
          <w:w w:val="100"/>
          <w:sz w:val="21"/>
          <w:szCs w:val="21"/>
          <w:lang w:eastAsia="zh-CN"/>
        </w:rPr>
        <w:t>章《采购需求》。</w:t>
      </w:r>
    </w:p>
    <w:p w14:paraId="3D6A26D9">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4.6.4通用服务器政府采购需求标准（2023版）</w:t>
      </w:r>
    </w:p>
    <w:p w14:paraId="26DBBD3F">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为提高通用服务器政府采购需求管理的科学化、规范化水平，财政部、工业和信息化部关于印发《通用服务器政府采购需求标准（2023年版）》的通知（财库〔2023〕33号），本项目如涉及通用服务器，则具体要求见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snapToGrid w:val="0"/>
          <w:color w:val="auto"/>
          <w:spacing w:val="0"/>
          <w:w w:val="100"/>
          <w:sz w:val="21"/>
          <w:szCs w:val="21"/>
          <w:lang w:eastAsia="zh-CN"/>
        </w:rPr>
        <w:t>章《采购需求》。</w:t>
      </w:r>
    </w:p>
    <w:p w14:paraId="2BACD25C">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4.6.5操作系统政府采购需求标准（2023版）</w:t>
      </w:r>
    </w:p>
    <w:p w14:paraId="726B1DDC">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val="en-US" w:eastAsia="zh-CN" w:bidi="ar-SA"/>
        </w:rPr>
      </w:pPr>
      <w:r>
        <w:rPr>
          <w:rFonts w:hint="eastAsia" w:ascii="宋体" w:hAnsi="宋体" w:eastAsia="宋体" w:cs="宋体"/>
          <w:b w:val="0"/>
          <w:bCs w:val="0"/>
          <w:snapToGrid w:val="0"/>
          <w:color w:val="auto"/>
          <w:spacing w:val="0"/>
          <w:w w:val="100"/>
          <w:sz w:val="21"/>
          <w:szCs w:val="21"/>
          <w:lang w:val="en-US" w:eastAsia="zh-CN" w:bidi="ar-SA"/>
        </w:rPr>
        <w:t>为提高操作系统的科学化、规范化水平，财政部、工业和信息化部关于印发《操作系统政府采购需求标准（2023年版）》的通知（财库〔2023〕34号），本项目如涉及操作系统，则具体要求见第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snapToGrid w:val="0"/>
          <w:color w:val="auto"/>
          <w:spacing w:val="0"/>
          <w:w w:val="100"/>
          <w:sz w:val="21"/>
          <w:szCs w:val="21"/>
          <w:lang w:val="en-US" w:eastAsia="zh-CN" w:bidi="ar-SA"/>
        </w:rPr>
        <w:t>章《采购需求》。</w:t>
      </w:r>
    </w:p>
    <w:p w14:paraId="5B68C581">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val="en-US" w:eastAsia="zh-CN" w:bidi="ar-SA"/>
        </w:rPr>
      </w:pPr>
      <w:r>
        <w:rPr>
          <w:rFonts w:hint="eastAsia" w:ascii="宋体" w:hAnsi="宋体" w:eastAsia="宋体" w:cs="宋体"/>
          <w:b w:val="0"/>
          <w:bCs w:val="0"/>
          <w:snapToGrid w:val="0"/>
          <w:color w:val="auto"/>
          <w:spacing w:val="0"/>
          <w:w w:val="100"/>
          <w:sz w:val="21"/>
          <w:szCs w:val="21"/>
          <w:lang w:val="en-US" w:eastAsia="zh-CN" w:bidi="ar-SA"/>
        </w:rPr>
        <w:t>4.6.6数据库政府采购需求标准（2023版）</w:t>
      </w:r>
    </w:p>
    <w:p w14:paraId="38FD6561">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val="en-US" w:eastAsia="zh-CN" w:bidi="ar-SA"/>
        </w:rPr>
      </w:pPr>
      <w:r>
        <w:rPr>
          <w:rFonts w:hint="eastAsia" w:ascii="宋体" w:hAnsi="宋体" w:eastAsia="宋体" w:cs="宋体"/>
          <w:b w:val="0"/>
          <w:bCs w:val="0"/>
          <w:snapToGrid w:val="0"/>
          <w:color w:val="auto"/>
          <w:spacing w:val="0"/>
          <w:w w:val="100"/>
          <w:sz w:val="21"/>
          <w:szCs w:val="21"/>
          <w:lang w:val="en-US" w:eastAsia="zh-CN" w:bidi="ar-SA"/>
        </w:rPr>
        <w:t>为提高数据库政府采购需求管理的科学化、规范化水平，财政部、工业和信息化部关于印发《数据库政府采购需求标准（2023年版）》的通知（财库〔2023〕35号），本项目如涉及数据库，则具体要求见第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snapToGrid w:val="0"/>
          <w:color w:val="auto"/>
          <w:spacing w:val="0"/>
          <w:w w:val="100"/>
          <w:sz w:val="21"/>
          <w:szCs w:val="21"/>
          <w:lang w:val="en-US" w:eastAsia="zh-CN" w:bidi="ar-SA"/>
        </w:rPr>
        <w:t>章《采购需求》。</w:t>
      </w:r>
    </w:p>
    <w:p w14:paraId="54C972D1">
      <w:pPr>
        <w:pStyle w:val="65"/>
        <w:keepNext w:val="0"/>
        <w:keepLines w:val="0"/>
        <w:pageBreakBefore w:val="0"/>
        <w:widowControl w:val="0"/>
        <w:numPr>
          <w:ilvl w:val="0"/>
          <w:numId w:val="2"/>
        </w:numPr>
        <w:tabs>
          <w:tab w:val="left" w:pos="896"/>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rPr>
      </w:pPr>
      <w:r>
        <w:rPr>
          <w:rFonts w:hint="eastAsia"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响应费用</w:t>
      </w:r>
    </w:p>
    <w:p w14:paraId="210A0FDE">
      <w:pPr>
        <w:pStyle w:val="65"/>
        <w:keepNext w:val="0"/>
        <w:keepLines w:val="0"/>
        <w:pageBreakBefore w:val="0"/>
        <w:widowControl w:val="0"/>
        <w:numPr>
          <w:ilvl w:val="1"/>
          <w:numId w:val="2"/>
        </w:numPr>
        <w:tabs>
          <w:tab w:val="left" w:pos="1621"/>
          <w:tab w:val="left" w:pos="16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pacing w:val="0"/>
          <w:sz w:val="21"/>
          <w:szCs w:val="21"/>
          <w:lang w:eastAsia="zh-CN"/>
        </w:rPr>
      </w:pPr>
      <w:r>
        <w:rPr>
          <w:rFonts w:hint="eastAsia" w:ascii="宋体" w:hAnsi="宋体" w:eastAsia="宋体" w:cs="宋体"/>
          <w:b w:val="0"/>
          <w:bCs w:val="0"/>
          <w:snapToGrid w:val="0"/>
          <w:color w:val="auto"/>
          <w:spacing w:val="0"/>
          <w:w w:val="100"/>
          <w:sz w:val="21"/>
          <w:szCs w:val="21"/>
          <w:lang w:eastAsia="zh-CN"/>
        </w:rPr>
        <w:t>供应商应自行承担所有与准备和参加磋商有关的费用，无论磋商的结果如何， 采购人或采购代理机构在任何情况下均无承担这些费用的义务和责任。</w:t>
      </w:r>
    </w:p>
    <w:p w14:paraId="736A77C7">
      <w:pPr>
        <w:pStyle w:val="3"/>
        <w:keepNext w:val="0"/>
        <w:keepLines w:val="0"/>
        <w:pageBreakBefore w:val="0"/>
        <w:widowControl w:val="0"/>
        <w:tabs>
          <w:tab w:val="left" w:pos="700"/>
        </w:tabs>
        <w:kinsoku/>
        <w:wordWrap/>
        <w:overflowPunct/>
        <w:topLinePunct w:val="0"/>
        <w:autoSpaceDE w:val="0"/>
        <w:autoSpaceDN w:val="0"/>
        <w:bidi w:val="0"/>
        <w:adjustRightInd w:val="0"/>
        <w:snapToGrid w:val="0"/>
        <w:spacing w:before="0" w:line="360" w:lineRule="auto"/>
        <w:ind w:right="0"/>
        <w:jc w:val="center"/>
        <w:textAlignment w:val="auto"/>
        <w:rPr>
          <w:rFonts w:hint="eastAsia" w:ascii="宋体" w:hAnsi="宋体" w:eastAsia="宋体" w:cs="宋体"/>
          <w:b/>
          <w:bCs/>
          <w:color w:val="auto"/>
          <w:sz w:val="28"/>
          <w:szCs w:val="28"/>
        </w:rPr>
      </w:pPr>
      <w:bookmarkStart w:id="190" w:name="_Toc21267"/>
      <w:bookmarkStart w:id="191" w:name="_Toc10653"/>
      <w:bookmarkStart w:id="192" w:name="_Toc17787"/>
      <w:r>
        <w:rPr>
          <w:rFonts w:hint="eastAsia" w:ascii="宋体" w:hAnsi="宋体" w:eastAsia="宋体" w:cs="宋体"/>
          <w:b/>
          <w:bCs/>
          <w:color w:val="auto"/>
          <w:sz w:val="28"/>
          <w:szCs w:val="28"/>
        </w:rPr>
        <w:t>二</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竞争性磋商文件</w:t>
      </w:r>
      <w:bookmarkEnd w:id="190"/>
      <w:bookmarkEnd w:id="191"/>
      <w:bookmarkEnd w:id="192"/>
    </w:p>
    <w:p w14:paraId="75CD304D">
      <w:pPr>
        <w:pStyle w:val="65"/>
        <w:keepNext w:val="0"/>
        <w:keepLines w:val="0"/>
        <w:pageBreakBefore w:val="0"/>
        <w:widowControl w:val="0"/>
        <w:numPr>
          <w:ilvl w:val="0"/>
          <w:numId w:val="2"/>
        </w:numPr>
        <w:tabs>
          <w:tab w:val="left" w:pos="896"/>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竞争性磋商文件构成</w:t>
      </w:r>
    </w:p>
    <w:p w14:paraId="74074994">
      <w:pPr>
        <w:pStyle w:val="65"/>
        <w:keepNext w:val="0"/>
        <w:keepLines w:val="0"/>
        <w:pageBreakBefore w:val="0"/>
        <w:widowControl w:val="0"/>
        <w:numPr>
          <w:ilvl w:val="1"/>
          <w:numId w:val="2"/>
        </w:numPr>
        <w:tabs>
          <w:tab w:val="left" w:pos="1621"/>
          <w:tab w:val="left" w:pos="1622"/>
          <w:tab w:val="left" w:pos="3061"/>
        </w:tabs>
        <w:kinsoku/>
        <w:wordWrap/>
        <w:overflowPunct/>
        <w:topLinePunct w:val="0"/>
        <w:autoSpaceDE w:val="0"/>
        <w:autoSpaceDN w:val="0"/>
        <w:bidi w:val="0"/>
        <w:adjustRightInd w:val="0"/>
        <w:snapToGrid w:val="0"/>
        <w:spacing w:line="360" w:lineRule="auto"/>
        <w:ind w:left="18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竞争性磋商文件包括以下部分</w:t>
      </w:r>
      <w:r>
        <w:rPr>
          <w:rFonts w:hint="eastAsia" w:ascii="宋体" w:hAnsi="宋体" w:eastAsia="宋体" w:cs="宋体"/>
          <w:b w:val="0"/>
          <w:bCs w:val="0"/>
          <w:color w:val="auto"/>
          <w:spacing w:val="-16"/>
          <w:sz w:val="21"/>
          <w:szCs w:val="21"/>
          <w:lang w:eastAsia="zh-CN"/>
        </w:rPr>
        <w:t>：</w:t>
      </w:r>
    </w:p>
    <w:p w14:paraId="71D6EC3F">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eastAsia="zh-CN"/>
        </w:rPr>
        <w:t>第一章 竞争性磋商公告</w:t>
      </w:r>
    </w:p>
    <w:p w14:paraId="1A585A6E">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eastAsia="zh-CN"/>
        </w:rPr>
        <w:t>第二章 供应商须知</w:t>
      </w:r>
    </w:p>
    <w:p w14:paraId="7CADEDC3">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u w:val="none"/>
          <w:shd w:val="clear" w:color="auto" w:fill="FFFFFF"/>
          <w:lang w:eastAsia="zh-CN"/>
        </w:rPr>
      </w:pPr>
      <w:r>
        <w:rPr>
          <w:rFonts w:hint="eastAsia" w:ascii="宋体" w:hAnsi="宋体" w:eastAsia="宋体" w:cs="宋体"/>
          <w:color w:val="auto"/>
          <w:sz w:val="21"/>
          <w:szCs w:val="21"/>
          <w:u w:val="none"/>
          <w:shd w:val="clear" w:color="auto" w:fill="FFFFFF"/>
          <w:lang w:eastAsia="zh-CN"/>
        </w:rPr>
        <w:t xml:space="preserve">第三章 </w:t>
      </w:r>
      <w:r>
        <w:rPr>
          <w:rStyle w:val="41"/>
          <w:rFonts w:hint="eastAsia" w:ascii="宋体" w:hAnsi="宋体" w:eastAsia="宋体" w:cs="宋体"/>
          <w:color w:val="auto"/>
          <w:sz w:val="21"/>
          <w:szCs w:val="21"/>
          <w:u w:val="none"/>
          <w:lang w:eastAsia="zh-CN"/>
        </w:rPr>
        <w:t>评审方法和评审标准</w:t>
      </w:r>
    </w:p>
    <w:p w14:paraId="3D56EB4A">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u w:val="none"/>
          <w:shd w:val="clear" w:color="auto" w:fill="FFFFFF"/>
          <w:lang w:eastAsia="zh-CN"/>
        </w:rPr>
      </w:pPr>
      <w:r>
        <w:rPr>
          <w:rFonts w:hint="eastAsia" w:ascii="宋体" w:hAnsi="宋体" w:eastAsia="宋体" w:cs="宋体"/>
          <w:color w:val="auto"/>
          <w:sz w:val="21"/>
          <w:szCs w:val="21"/>
          <w:u w:val="none"/>
          <w:shd w:val="clear" w:color="auto" w:fill="FFFFFF"/>
          <w:lang w:eastAsia="zh-CN"/>
        </w:rPr>
        <w:t xml:space="preserve">第四章 </w:t>
      </w:r>
      <w:r>
        <w:rPr>
          <w:rStyle w:val="41"/>
          <w:rFonts w:hint="eastAsia" w:ascii="宋体" w:hAnsi="宋体" w:eastAsia="宋体" w:cs="宋体"/>
          <w:color w:val="auto"/>
          <w:sz w:val="21"/>
          <w:szCs w:val="21"/>
          <w:u w:val="none"/>
          <w:lang w:eastAsia="zh-CN"/>
        </w:rPr>
        <w:t>采购需求</w:t>
      </w:r>
    </w:p>
    <w:p w14:paraId="4F25E2DD">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u w:val="none"/>
          <w:shd w:val="clear" w:color="auto" w:fill="FFFFFF"/>
          <w:lang w:eastAsia="zh-CN"/>
        </w:rPr>
      </w:pPr>
      <w:r>
        <w:rPr>
          <w:rFonts w:hint="eastAsia" w:ascii="宋体" w:hAnsi="宋体" w:eastAsia="宋体" w:cs="宋体"/>
          <w:color w:val="auto"/>
          <w:sz w:val="21"/>
          <w:szCs w:val="21"/>
          <w:u w:val="none"/>
          <w:shd w:val="clear" w:color="auto" w:fill="FFFFFF"/>
          <w:lang w:eastAsia="zh-CN"/>
        </w:rPr>
        <w:t xml:space="preserve">第五章 </w:t>
      </w:r>
      <w:r>
        <w:rPr>
          <w:rFonts w:hint="eastAsia" w:ascii="宋体" w:hAnsi="宋体" w:eastAsia="宋体" w:cs="宋体"/>
          <w:color w:val="auto"/>
          <w:kern w:val="44"/>
          <w:szCs w:val="36"/>
          <w:lang w:val="en-US" w:eastAsia="zh-CN" w:bidi="ar-SA"/>
        </w:rPr>
        <w:t>合同样式及主要条款</w:t>
      </w:r>
    </w:p>
    <w:p w14:paraId="23CB494C">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 w:val="0"/>
          <w:bCs w:val="0"/>
          <w:color w:val="auto"/>
          <w:sz w:val="21"/>
          <w:szCs w:val="21"/>
          <w:u w:val="none"/>
          <w:lang w:eastAsia="zh-CN"/>
        </w:rPr>
      </w:pPr>
      <w:r>
        <w:rPr>
          <w:rFonts w:hint="eastAsia" w:ascii="宋体" w:hAnsi="宋体" w:eastAsia="宋体" w:cs="宋体"/>
          <w:color w:val="auto"/>
          <w:sz w:val="21"/>
          <w:szCs w:val="21"/>
          <w:u w:val="none"/>
          <w:shd w:val="clear" w:color="auto" w:fill="FFFFFF"/>
          <w:lang w:eastAsia="zh-CN"/>
        </w:rPr>
        <w:t xml:space="preserve">第六章 </w:t>
      </w:r>
      <w:r>
        <w:rPr>
          <w:rStyle w:val="41"/>
          <w:rFonts w:hint="eastAsia" w:ascii="宋体" w:hAnsi="宋体" w:eastAsia="宋体" w:cs="宋体"/>
          <w:color w:val="auto"/>
          <w:sz w:val="21"/>
          <w:szCs w:val="21"/>
          <w:u w:val="none"/>
          <w:lang w:eastAsia="zh-CN"/>
        </w:rPr>
        <w:t>响应文件格式</w:t>
      </w:r>
    </w:p>
    <w:p w14:paraId="3A3CDBAB">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与本项目有关的澄清或者修改的内容为磋商文件的组成部分</w:t>
      </w:r>
    </w:p>
    <w:p w14:paraId="0E64F3F1">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供应商应认真阅读竞争性磋商文件的全部内容。供应商应按照竞争性磋商文件要求提交响应文件并保证所提供的全部资料的真实性，并对竞争性磋商文件做出实质性响应，否则响应无效。</w:t>
      </w:r>
    </w:p>
    <w:p w14:paraId="3E004944">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cs="宋体"/>
          <w:b w:val="0"/>
          <w:bCs w:val="0"/>
          <w:color w:val="auto"/>
          <w:sz w:val="21"/>
          <w:szCs w:val="21"/>
          <w:lang w:val="en-US" w:eastAsia="zh-CN"/>
        </w:rPr>
        <w:t>.</w:t>
      </w:r>
      <w:r>
        <w:rPr>
          <w:rFonts w:hint="eastAsia" w:ascii="宋体" w:hAnsi="宋体" w:eastAsia="宋体" w:cs="宋体"/>
          <w:b w:val="0"/>
          <w:bCs w:val="0"/>
          <w:color w:val="auto"/>
          <w:sz w:val="21"/>
          <w:szCs w:val="21"/>
          <w:lang w:eastAsia="zh-CN"/>
        </w:rPr>
        <w:t>对竞争性磋商文件的澄清或修改</w:t>
      </w:r>
    </w:p>
    <w:p w14:paraId="57168485">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34844168">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澄清或者修改的内容为竞争性磋商文件的组成部分，并对所有获取竞争性磋商文件的潜在供应商具有约束力。澄清或者修改的内容可能影响响应文件编</w:t>
      </w:r>
      <w:r>
        <w:rPr>
          <w:rFonts w:hint="eastAsia" w:ascii="宋体" w:hAnsi="宋体" w:eastAsia="宋体" w:cs="宋体"/>
          <w:b w:val="0"/>
          <w:bCs w:val="0"/>
          <w:color w:val="auto"/>
          <w:spacing w:val="-3"/>
          <w:sz w:val="21"/>
          <w:szCs w:val="21"/>
          <w:lang w:eastAsia="zh-CN"/>
        </w:rPr>
        <w:t>制的，将在提交首次响应文件截止之</w:t>
      </w:r>
      <w:r>
        <w:rPr>
          <w:rFonts w:hint="eastAsia" w:ascii="宋体" w:hAnsi="宋体" w:eastAsia="宋体" w:cs="宋体"/>
          <w:b w:val="0"/>
          <w:bCs w:val="0"/>
          <w:color w:val="auto"/>
          <w:sz w:val="21"/>
          <w:szCs w:val="21"/>
          <w:lang w:eastAsia="zh-CN"/>
        </w:rPr>
        <w:t>日5日前，通过电子交易平台通知所有获取磋商文件的供应商；不足上述时间的，将顺延提交响应文件截止时间。</w:t>
      </w:r>
    </w:p>
    <w:p w14:paraId="78EAD4F2">
      <w:pPr>
        <w:pStyle w:val="3"/>
        <w:keepNext w:val="0"/>
        <w:keepLines w:val="0"/>
        <w:pageBreakBefore w:val="0"/>
        <w:widowControl w:val="0"/>
        <w:tabs>
          <w:tab w:val="left" w:pos="700"/>
        </w:tabs>
        <w:kinsoku/>
        <w:wordWrap/>
        <w:overflowPunct/>
        <w:topLinePunct w:val="0"/>
        <w:autoSpaceDE w:val="0"/>
        <w:autoSpaceDN w:val="0"/>
        <w:bidi w:val="0"/>
        <w:adjustRightInd w:val="0"/>
        <w:snapToGrid w:val="0"/>
        <w:spacing w:before="0" w:line="360" w:lineRule="auto"/>
        <w:ind w:right="0"/>
        <w:jc w:val="center"/>
        <w:textAlignment w:val="auto"/>
        <w:rPr>
          <w:rFonts w:hint="eastAsia" w:ascii="宋体" w:hAnsi="宋体" w:eastAsia="宋体" w:cs="宋体"/>
          <w:b/>
          <w:bCs/>
          <w:color w:val="auto"/>
          <w:sz w:val="28"/>
          <w:szCs w:val="28"/>
        </w:rPr>
      </w:pPr>
      <w:bookmarkStart w:id="193" w:name="_Toc14682"/>
      <w:bookmarkStart w:id="194" w:name="_Toc7028"/>
      <w:bookmarkStart w:id="195" w:name="_Toc20294"/>
      <w:r>
        <w:rPr>
          <w:rFonts w:hint="eastAsia" w:ascii="宋体" w:hAnsi="宋体" w:eastAsia="宋体" w:cs="宋体"/>
          <w:b/>
          <w:bCs/>
          <w:color w:val="auto"/>
          <w:sz w:val="28"/>
          <w:szCs w:val="28"/>
        </w:rPr>
        <w:t>三</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响应文件的编制</w:t>
      </w:r>
      <w:bookmarkEnd w:id="193"/>
      <w:bookmarkEnd w:id="194"/>
      <w:bookmarkEnd w:id="195"/>
    </w:p>
    <w:p w14:paraId="6D0A10C3">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lang w:eastAsia="zh-CN"/>
        </w:rPr>
        <w:t>响应范围、竞争性磋商文件中计量单位的使用及磋商语言。</w:t>
      </w:r>
    </w:p>
    <w:p w14:paraId="35A37058">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本项目如划分采购包，供应商可以对本项目的其中一个采购包进行响应，也可同时对多个采购包进行响应。供应商应当对所参与采购包对应第</w:t>
      </w:r>
      <w:r>
        <w:rPr>
          <w:rFonts w:hint="eastAsia" w:ascii="宋体" w:hAnsi="宋体" w:eastAsia="宋体" w:cs="宋体"/>
          <w:b w:val="0"/>
          <w:bCs w:val="0"/>
          <w:snapToGrid w:val="0"/>
          <w:color w:val="auto"/>
          <w:spacing w:val="0"/>
          <w:w w:val="100"/>
          <w:sz w:val="21"/>
          <w:szCs w:val="21"/>
          <w:lang w:val="en-US" w:eastAsia="zh-CN"/>
        </w:rPr>
        <w:t>四</w:t>
      </w:r>
      <w:r>
        <w:rPr>
          <w:rFonts w:hint="eastAsia" w:ascii="宋体" w:hAnsi="宋体" w:eastAsia="宋体" w:cs="宋体"/>
          <w:b w:val="0"/>
          <w:bCs w:val="0"/>
          <w:color w:val="auto"/>
          <w:sz w:val="21"/>
          <w:szCs w:val="21"/>
          <w:lang w:eastAsia="zh-CN"/>
        </w:rPr>
        <w:t>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p>
    <w:p w14:paraId="78F7F3EC">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除竞争性磋商文件有特殊要求外，本项目磋商所使用的计量单位，应采用中华人民共和国法定计量单位。</w:t>
      </w:r>
    </w:p>
    <w:p w14:paraId="62F9DFF8">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FEEE2CF">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响应文件构成</w:t>
      </w:r>
    </w:p>
    <w:p w14:paraId="71A9788C">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供应商应当按照竞争性磋商文件的要求编制响应文件，并对其提交的响应文件的真实性、合法性承担法律责任。响应文件的部分格式要求，</w:t>
      </w:r>
      <w:r>
        <w:rPr>
          <w:rFonts w:hint="eastAsia" w:ascii="宋体" w:hAnsi="宋体" w:eastAsia="宋体" w:cs="宋体"/>
          <w:b w:val="0"/>
          <w:bCs w:val="0"/>
          <w:color w:val="auto"/>
          <w:spacing w:val="-13"/>
          <w:sz w:val="21"/>
          <w:szCs w:val="21"/>
          <w:lang w:eastAsia="zh-CN"/>
        </w:rPr>
        <w:t>见第</w:t>
      </w:r>
      <w:r>
        <w:rPr>
          <w:rFonts w:hint="eastAsia" w:ascii="宋体" w:hAnsi="宋体" w:eastAsia="宋体" w:cs="宋体"/>
          <w:b w:val="0"/>
          <w:bCs w:val="0"/>
          <w:color w:val="auto"/>
          <w:spacing w:val="-13"/>
          <w:sz w:val="21"/>
          <w:szCs w:val="21"/>
          <w:lang w:val="en-US" w:eastAsia="zh-CN"/>
        </w:rPr>
        <w:t>六</w:t>
      </w:r>
      <w:r>
        <w:rPr>
          <w:rFonts w:hint="eastAsia" w:ascii="宋体" w:hAnsi="宋体" w:eastAsia="宋体" w:cs="宋体"/>
          <w:b w:val="0"/>
          <w:bCs w:val="0"/>
          <w:color w:val="auto"/>
          <w:spacing w:val="-13"/>
          <w:sz w:val="21"/>
          <w:szCs w:val="21"/>
          <w:lang w:eastAsia="zh-CN"/>
        </w:rPr>
        <w:t>章</w:t>
      </w:r>
      <w:r>
        <w:rPr>
          <w:rFonts w:hint="eastAsia" w:ascii="宋体" w:hAnsi="宋体" w:eastAsia="宋体" w:cs="宋体"/>
          <w:b w:val="0"/>
          <w:bCs w:val="0"/>
          <w:color w:val="auto"/>
          <w:sz w:val="21"/>
          <w:szCs w:val="21"/>
          <w:lang w:eastAsia="zh-CN"/>
        </w:rPr>
        <w:t>《响应文件格式》</w:t>
      </w:r>
      <w:r>
        <w:rPr>
          <w:rFonts w:hint="eastAsia" w:ascii="宋体" w:hAnsi="宋体" w:eastAsia="宋体" w:cs="宋体"/>
          <w:b w:val="0"/>
          <w:bCs w:val="0"/>
          <w:color w:val="auto"/>
          <w:spacing w:val="-18"/>
          <w:sz w:val="21"/>
          <w:szCs w:val="21"/>
          <w:lang w:eastAsia="zh-CN"/>
        </w:rPr>
        <w:t>。</w:t>
      </w:r>
    </w:p>
    <w:p w14:paraId="3ABA3679">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7F6F4B84">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第</w:t>
      </w:r>
      <w:r>
        <w:rPr>
          <w:rFonts w:hint="eastAsia" w:ascii="宋体" w:hAnsi="宋体" w:eastAsia="宋体" w:cs="宋体"/>
          <w:b w:val="0"/>
          <w:bCs w:val="0"/>
          <w:color w:val="auto"/>
          <w:sz w:val="21"/>
          <w:szCs w:val="21"/>
          <w:lang w:val="en-US" w:eastAsia="zh-CN"/>
        </w:rPr>
        <w:t>三</w:t>
      </w:r>
      <w:r>
        <w:rPr>
          <w:rFonts w:hint="eastAsia" w:ascii="宋体" w:hAnsi="宋体" w:eastAsia="宋体" w:cs="宋体"/>
          <w:b w:val="0"/>
          <w:bCs w:val="0"/>
          <w:color w:val="auto"/>
          <w:sz w:val="21"/>
          <w:szCs w:val="21"/>
          <w:lang w:eastAsia="zh-CN"/>
        </w:rPr>
        <w:t>章《评审方法和评审标准》中涉及的证明文件。</w:t>
      </w:r>
    </w:p>
    <w:p w14:paraId="2A0E70B3">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对照第</w:t>
      </w:r>
      <w:r>
        <w:rPr>
          <w:rFonts w:hint="eastAsia" w:ascii="宋体" w:hAnsi="宋体" w:eastAsia="宋体" w:cs="宋体"/>
          <w:b w:val="0"/>
          <w:bCs w:val="0"/>
          <w:color w:val="auto"/>
          <w:sz w:val="21"/>
          <w:szCs w:val="21"/>
          <w:lang w:val="en-US" w:eastAsia="zh-CN"/>
        </w:rPr>
        <w:t>四</w:t>
      </w:r>
      <w:r>
        <w:rPr>
          <w:rFonts w:hint="eastAsia" w:ascii="宋体" w:hAnsi="宋体" w:eastAsia="宋体" w:cs="宋体"/>
          <w:b w:val="0"/>
          <w:bCs w:val="0"/>
          <w:color w:val="auto"/>
          <w:sz w:val="21"/>
          <w:szCs w:val="21"/>
          <w:lang w:eastAsia="zh-CN"/>
        </w:rPr>
        <w:t>章《采购需求》，说明所提供货物和服务已对第</w:t>
      </w:r>
      <w:r>
        <w:rPr>
          <w:rFonts w:hint="eastAsia" w:ascii="宋体" w:hAnsi="宋体" w:eastAsia="宋体" w:cs="宋体"/>
          <w:b w:val="0"/>
          <w:bCs w:val="0"/>
          <w:color w:val="auto"/>
          <w:sz w:val="21"/>
          <w:szCs w:val="21"/>
          <w:lang w:val="en-US" w:eastAsia="zh-CN"/>
        </w:rPr>
        <w:t>四</w:t>
      </w:r>
      <w:r>
        <w:rPr>
          <w:rFonts w:hint="eastAsia" w:ascii="宋体" w:hAnsi="宋体" w:eastAsia="宋体" w:cs="宋体"/>
          <w:b w:val="0"/>
          <w:bCs w:val="0"/>
          <w:color w:val="auto"/>
          <w:sz w:val="21"/>
          <w:szCs w:val="21"/>
          <w:lang w:eastAsia="zh-CN"/>
        </w:rPr>
        <w:t>章《采购需求》做出了响应，或申明与第</w:t>
      </w:r>
      <w:r>
        <w:rPr>
          <w:rFonts w:hint="eastAsia" w:ascii="宋体" w:hAnsi="宋体" w:eastAsia="宋体" w:cs="宋体"/>
          <w:b w:val="0"/>
          <w:bCs w:val="0"/>
          <w:color w:val="auto"/>
          <w:sz w:val="21"/>
          <w:szCs w:val="21"/>
          <w:lang w:val="en-US" w:eastAsia="zh-CN"/>
        </w:rPr>
        <w:t>四</w:t>
      </w:r>
      <w:r>
        <w:rPr>
          <w:rFonts w:hint="eastAsia" w:ascii="宋体" w:hAnsi="宋体" w:eastAsia="宋体" w:cs="宋体"/>
          <w:b w:val="0"/>
          <w:bCs w:val="0"/>
          <w:color w:val="auto"/>
          <w:sz w:val="21"/>
          <w:szCs w:val="21"/>
          <w:lang w:eastAsia="zh-CN"/>
        </w:rPr>
        <w:t>章《采购需求》的偏差和例外。如第</w:t>
      </w:r>
      <w:r>
        <w:rPr>
          <w:rFonts w:hint="eastAsia" w:ascii="宋体" w:hAnsi="宋体" w:eastAsia="宋体" w:cs="宋体"/>
          <w:b w:val="0"/>
          <w:bCs w:val="0"/>
          <w:color w:val="auto"/>
          <w:sz w:val="21"/>
          <w:szCs w:val="21"/>
          <w:lang w:val="en-US" w:eastAsia="zh-CN"/>
        </w:rPr>
        <w:t>四</w:t>
      </w:r>
      <w:r>
        <w:rPr>
          <w:rFonts w:hint="eastAsia" w:ascii="宋体" w:hAnsi="宋体" w:eastAsia="宋体" w:cs="宋体"/>
          <w:b w:val="0"/>
          <w:bCs w:val="0"/>
          <w:color w:val="auto"/>
          <w:sz w:val="21"/>
          <w:szCs w:val="21"/>
          <w:lang w:eastAsia="zh-CN"/>
        </w:rPr>
        <w:t>章《采购需求》中要求提供证明文件的，供应商应当按具体要求提供证明文件。</w:t>
      </w:r>
    </w:p>
    <w:p w14:paraId="4C952529">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供应商认为应附的其他材料。</w:t>
      </w:r>
    </w:p>
    <w:p w14:paraId="754B6636">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报价</w:t>
      </w:r>
    </w:p>
    <w:p w14:paraId="2640AFD3">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所有响应均以人民币报价。</w:t>
      </w:r>
    </w:p>
    <w:p w14:paraId="493D924F">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的报价为竞争性磋商文件要求完成本项目的全部相关费用，应包括为完成本项目所发生的一切费用和税费，采购人将不再支付报价以外的任何费用。供应商的报价应包括但不限于下列内容，《供应商须知前附表》中有特殊规定的，从其规定。</w:t>
      </w:r>
    </w:p>
    <w:p w14:paraId="1EAA98B4">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采购人不得向供应商索要或者接受其给予的赠品、回扣或者与采购无关的其他商品、服务。</w:t>
      </w:r>
    </w:p>
    <w:p w14:paraId="371D697D">
      <w:pPr>
        <w:pStyle w:val="65"/>
        <w:keepNext w:val="0"/>
        <w:keepLines w:val="0"/>
        <w:pageBreakBefore w:val="0"/>
        <w:widowControl w:val="0"/>
        <w:numPr>
          <w:ilvl w:val="1"/>
          <w:numId w:val="2"/>
        </w:numPr>
        <w:tabs>
          <w:tab w:val="left" w:pos="1622"/>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供应商不能提供任何有选择性或可调整的最后报价（竞争性磋商文件另有规定的除外</w:t>
      </w:r>
      <w:r>
        <w:rPr>
          <w:rFonts w:hint="eastAsia" w:ascii="宋体" w:hAnsi="宋体" w:eastAsia="宋体" w:cs="宋体"/>
          <w:b w:val="0"/>
          <w:bCs w:val="0"/>
          <w:color w:val="auto"/>
          <w:spacing w:val="-121"/>
          <w:sz w:val="21"/>
          <w:szCs w:val="21"/>
          <w:lang w:eastAsia="zh-CN"/>
        </w:rPr>
        <w:t>）</w:t>
      </w:r>
      <w:r>
        <w:rPr>
          <w:rFonts w:hint="eastAsia" w:ascii="宋体" w:hAnsi="宋体" w:eastAsia="宋体" w:cs="宋体"/>
          <w:b w:val="0"/>
          <w:bCs w:val="0"/>
          <w:color w:val="auto"/>
          <w:spacing w:val="-1"/>
          <w:sz w:val="21"/>
          <w:szCs w:val="21"/>
          <w:lang w:eastAsia="zh-CN"/>
        </w:rPr>
        <w:t>，否则其响应无效。</w:t>
      </w:r>
    </w:p>
    <w:p w14:paraId="023138BA">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磋商保证金</w:t>
      </w:r>
    </w:p>
    <w:p w14:paraId="09EF1AD5">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供应商应按《供应商须知前附表》中规定的金额及要求交纳磋商保证金。</w:t>
      </w:r>
    </w:p>
    <w:p w14:paraId="7EB8F501">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6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pacing w:val="-5"/>
          <w:sz w:val="21"/>
          <w:szCs w:val="21"/>
          <w:lang w:eastAsia="zh-CN"/>
        </w:rPr>
        <w:t>交纳磋商保证金可采用的形式：政府采购法律法规接受的</w:t>
      </w:r>
      <w:r>
        <w:rPr>
          <w:rFonts w:hint="eastAsia" w:ascii="宋体" w:hAnsi="宋体" w:eastAsia="宋体" w:cs="宋体"/>
          <w:color w:val="auto"/>
          <w:sz w:val="21"/>
          <w:szCs w:val="21"/>
          <w:lang w:eastAsia="zh-CN"/>
        </w:rPr>
        <w:t>支票、汇票、本票、保函或者保证保险、其他非现金形式</w:t>
      </w:r>
      <w:r>
        <w:rPr>
          <w:rFonts w:hint="eastAsia" w:ascii="宋体" w:hAnsi="宋体" w:eastAsia="宋体" w:cs="宋体"/>
          <w:b w:val="0"/>
          <w:bCs w:val="0"/>
          <w:color w:val="auto"/>
          <w:sz w:val="21"/>
          <w:szCs w:val="21"/>
          <w:lang w:eastAsia="zh-CN"/>
        </w:rPr>
        <w:t>。</w:t>
      </w:r>
    </w:p>
    <w:p w14:paraId="48D61729">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磋商保证金到账（保函提交）截止时间同首次响应文件提交截止时间。以</w:t>
      </w:r>
      <w:r>
        <w:rPr>
          <w:rFonts w:hint="eastAsia" w:ascii="宋体" w:hAnsi="宋体" w:eastAsia="宋体" w:cs="宋体"/>
          <w:color w:val="auto"/>
          <w:sz w:val="21"/>
          <w:szCs w:val="21"/>
          <w:lang w:eastAsia="zh-CN"/>
        </w:rPr>
        <w:t>支票、汇票、本票、保函或者保证保险、其他非现金形式</w:t>
      </w:r>
      <w:r>
        <w:rPr>
          <w:rFonts w:hint="eastAsia" w:ascii="宋体" w:hAnsi="宋体" w:eastAsia="宋体" w:cs="宋体"/>
          <w:b w:val="0"/>
          <w:bCs w:val="0"/>
          <w:color w:val="auto"/>
          <w:sz w:val="21"/>
          <w:szCs w:val="21"/>
          <w:lang w:eastAsia="zh-CN"/>
        </w:rPr>
        <w:t>等形式提交保证金的，应在首次响应文件提交截止时间前到账；以金融机构、担保机构出具的保函、保证保险等形式提交保证金的，应在首次响应文件提交截止时间前将原件提交至采购代理机构； 由于到账时间晚于首次响应文件提交截止时间的，或者票据错误、印鉴不清等原因导致不能到账的，其响应无效。</w:t>
      </w:r>
    </w:p>
    <w:p w14:paraId="2FAD4FA9">
      <w:pPr>
        <w:pStyle w:val="65"/>
        <w:keepNext w:val="0"/>
        <w:keepLines w:val="0"/>
        <w:pageBreakBefore w:val="0"/>
        <w:widowControl w:val="0"/>
        <w:numPr>
          <w:ilvl w:val="1"/>
          <w:numId w:val="2"/>
        </w:numPr>
        <w:tabs>
          <w:tab w:val="left" w:pos="1618"/>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磋商保证金有效期同响应有效期。</w:t>
      </w:r>
    </w:p>
    <w:p w14:paraId="64D2AE74">
      <w:pPr>
        <w:pStyle w:val="65"/>
        <w:keepNext w:val="0"/>
        <w:keepLines w:val="0"/>
        <w:pageBreakBefore w:val="0"/>
        <w:widowControl w:val="0"/>
        <w:numPr>
          <w:ilvl w:val="1"/>
          <w:numId w:val="2"/>
        </w:numPr>
        <w:tabs>
          <w:tab w:val="left" w:pos="1618"/>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供应商为联合体的，可以由联合体中的一方或者多方共同交纳磋商保证金， 其交纳的保证金对联合体各方均具有约束力。</w:t>
      </w:r>
    </w:p>
    <w:p w14:paraId="277B72FE">
      <w:pPr>
        <w:pStyle w:val="65"/>
        <w:keepNext w:val="0"/>
        <w:keepLines w:val="0"/>
        <w:pageBreakBefore w:val="0"/>
        <w:widowControl w:val="0"/>
        <w:numPr>
          <w:ilvl w:val="1"/>
          <w:numId w:val="2"/>
        </w:numPr>
        <w:tabs>
          <w:tab w:val="left" w:pos="1618"/>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采购人、采购代理机构将及时退还供应商的保证金，采用</w:t>
      </w:r>
      <w:r>
        <w:rPr>
          <w:rFonts w:hint="eastAsia" w:ascii="宋体" w:hAnsi="宋体" w:eastAsia="宋体" w:cs="宋体"/>
          <w:color w:val="auto"/>
          <w:sz w:val="21"/>
          <w:szCs w:val="21"/>
          <w:lang w:eastAsia="zh-CN"/>
        </w:rPr>
        <w:t>支票、汇票、本票、保函或者保证保险、其他非现金形式</w:t>
      </w:r>
      <w:r>
        <w:rPr>
          <w:rFonts w:hint="eastAsia" w:ascii="宋体" w:hAnsi="宋体" w:eastAsia="宋体" w:cs="宋体"/>
          <w:b w:val="0"/>
          <w:bCs w:val="0"/>
          <w:color w:val="auto"/>
          <w:sz w:val="21"/>
          <w:szCs w:val="21"/>
          <w:lang w:eastAsia="zh-CN"/>
        </w:rPr>
        <w:t>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14:paraId="5DEB7BC6">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388" w:firstLineChars="200"/>
        <w:jc w:val="both"/>
        <w:textAlignment w:val="auto"/>
        <w:rPr>
          <w:rFonts w:hint="eastAsia" w:ascii="宋体" w:hAnsi="宋体" w:eastAsia="宋体" w:cs="宋体"/>
          <w:b w:val="0"/>
          <w:bCs w:val="0"/>
          <w:color w:val="auto"/>
          <w:spacing w:val="-8"/>
          <w:sz w:val="21"/>
          <w:szCs w:val="21"/>
          <w:lang w:eastAsia="zh-CN"/>
        </w:rPr>
      </w:pPr>
      <w:r>
        <w:rPr>
          <w:rFonts w:hint="eastAsia" w:ascii="宋体" w:hAnsi="宋体" w:eastAsia="宋体" w:cs="宋体"/>
          <w:b w:val="0"/>
          <w:bCs w:val="0"/>
          <w:color w:val="auto"/>
          <w:spacing w:val="-8"/>
          <w:sz w:val="21"/>
          <w:szCs w:val="21"/>
          <w:lang w:eastAsia="zh-CN"/>
        </w:rPr>
        <w:t>已提交响应文件的供应商，在提交最后报价之前，可以根据磋商情况退出磋商。采购人、采购代理机构将退还退出磋商的供应商的磋商保证金；</w:t>
      </w:r>
    </w:p>
    <w:p w14:paraId="42CC7189">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12"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pacing w:val="-2"/>
          <w:sz w:val="21"/>
          <w:szCs w:val="21"/>
          <w:lang w:eastAsia="zh-CN"/>
        </w:rPr>
        <w:t>成交供应商的磋商保证金，在采购合同签订后 5 个工</w:t>
      </w:r>
      <w:r>
        <w:rPr>
          <w:rFonts w:hint="eastAsia" w:ascii="宋体" w:hAnsi="宋体" w:eastAsia="宋体" w:cs="宋体"/>
          <w:b w:val="0"/>
          <w:bCs w:val="0"/>
          <w:color w:val="auto"/>
          <w:sz w:val="21"/>
          <w:szCs w:val="21"/>
          <w:lang w:eastAsia="zh-CN"/>
        </w:rPr>
        <w:t>作日内退还成交供应商；</w:t>
      </w:r>
    </w:p>
    <w:p w14:paraId="15A81ED0">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12"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pacing w:val="-2"/>
          <w:sz w:val="21"/>
          <w:szCs w:val="21"/>
          <w:lang w:eastAsia="zh-CN"/>
        </w:rPr>
        <w:t>未成交供应商的磋商保证金，在成交通知书发出后 5 个工</w:t>
      </w:r>
      <w:r>
        <w:rPr>
          <w:rFonts w:hint="eastAsia" w:ascii="宋体" w:hAnsi="宋体" w:eastAsia="宋体" w:cs="宋体"/>
          <w:b w:val="0"/>
          <w:bCs w:val="0"/>
          <w:color w:val="auto"/>
          <w:sz w:val="21"/>
          <w:szCs w:val="21"/>
          <w:lang w:eastAsia="zh-CN"/>
        </w:rPr>
        <w:t>作日内退还。</w:t>
      </w:r>
    </w:p>
    <w:p w14:paraId="45DBF654">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有下列情形之一的，采购人或采购代理机构不予退还磋商保证金：</w:t>
      </w:r>
    </w:p>
    <w:p w14:paraId="4FD06294">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供应商在提交响应文件截止时间后撤回响应文件的；</w:t>
      </w:r>
    </w:p>
    <w:p w14:paraId="59503734">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供应商在响应文件中提供虚假材料的；</w:t>
      </w:r>
    </w:p>
    <w:p w14:paraId="410E66FA">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392"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pacing w:val="-7"/>
          <w:sz w:val="21"/>
          <w:szCs w:val="21"/>
          <w:lang w:eastAsia="zh-CN"/>
        </w:rPr>
        <w:t>除因不可抗力或磋商文件认可的情形以外，成交供应商不与采购人签</w:t>
      </w:r>
      <w:r>
        <w:rPr>
          <w:rFonts w:hint="eastAsia" w:ascii="宋体" w:hAnsi="宋体" w:eastAsia="宋体" w:cs="宋体"/>
          <w:b w:val="0"/>
          <w:bCs w:val="0"/>
          <w:color w:val="auto"/>
          <w:sz w:val="21"/>
          <w:szCs w:val="21"/>
          <w:lang w:eastAsia="zh-CN"/>
        </w:rPr>
        <w:t>订合同的；</w:t>
      </w:r>
    </w:p>
    <w:p w14:paraId="4023D913">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供应商与采购人、其他供应商或者采购代理机构恶意串通的；</w:t>
      </w:r>
    </w:p>
    <w:p w14:paraId="139538AA">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《供应商须知前附表》规定的其他情形。</w:t>
      </w:r>
    </w:p>
    <w:p w14:paraId="61804D3F">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响应有效期</w:t>
      </w:r>
    </w:p>
    <w:p w14:paraId="0964B237">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响应文件应在本竞争性磋商文件《供应商须知前附表》中规定的响应有效期内保持有效，响应有效期少于竞争性磋商文件规定期限的，其响应无效。</w:t>
      </w:r>
    </w:p>
    <w:p w14:paraId="32999BF7">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响应文件的签署、盖章</w:t>
      </w:r>
    </w:p>
    <w:p w14:paraId="2CAFB492">
      <w:pPr>
        <w:pStyle w:val="65"/>
        <w:keepNext w:val="0"/>
        <w:keepLines w:val="0"/>
        <w:pageBreakBefore w:val="0"/>
        <w:widowControl w:val="0"/>
        <w:numPr>
          <w:ilvl w:val="0"/>
          <w:numId w:val="0"/>
        </w:numPr>
        <w:tabs>
          <w:tab w:val="left" w:pos="897"/>
        </w:tabs>
        <w:kinsoku/>
        <w:wordWrap/>
        <w:overflowPunct/>
        <w:topLinePunct w:val="0"/>
        <w:autoSpaceDE w:val="0"/>
        <w:autoSpaceDN w:val="0"/>
        <w:bidi w:val="0"/>
        <w:adjustRightInd w:val="0"/>
        <w:snapToGrid w:val="0"/>
        <w:spacing w:line="360" w:lineRule="auto"/>
        <w:ind w:leftChars="200" w:right="0" w:rightChars="0"/>
        <w:jc w:val="both"/>
        <w:textAlignment w:val="auto"/>
        <w:rPr>
          <w:rFonts w:hint="eastAsia" w:ascii="宋体" w:hAnsi="宋体" w:eastAsia="宋体" w:cs="宋体"/>
          <w:b w:val="0"/>
          <w:bCs w:val="0"/>
          <w:color w:val="auto"/>
          <w:sz w:val="21"/>
          <w:szCs w:val="21"/>
          <w:lang w:eastAsia="zh-CN"/>
        </w:rPr>
      </w:pPr>
      <w:r>
        <w:rPr>
          <w:rFonts w:hint="eastAsia" w:cs="宋体"/>
          <w:b w:val="0"/>
          <w:bCs w:val="0"/>
          <w:color w:val="auto"/>
          <w:sz w:val="21"/>
          <w:szCs w:val="21"/>
          <w:lang w:val="en-US" w:eastAsia="zh-CN"/>
        </w:rPr>
        <w:t>13.1.</w:t>
      </w:r>
      <w:r>
        <w:rPr>
          <w:rFonts w:hint="eastAsia" w:ascii="宋体" w:hAnsi="宋体" w:eastAsia="宋体" w:cs="宋体"/>
          <w:b w:val="0"/>
          <w:bCs w:val="0"/>
          <w:color w:val="auto"/>
          <w:sz w:val="21"/>
          <w:szCs w:val="21"/>
          <w:lang w:eastAsia="zh-CN"/>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2A7CFAC">
      <w:pPr>
        <w:pStyle w:val="65"/>
        <w:keepNext w:val="0"/>
        <w:keepLines w:val="0"/>
        <w:pageBreakBefore w:val="0"/>
        <w:widowControl w:val="0"/>
        <w:numPr>
          <w:ilvl w:val="0"/>
          <w:numId w:val="0"/>
        </w:numPr>
        <w:tabs>
          <w:tab w:val="left" w:pos="1617"/>
        </w:tabs>
        <w:kinsoku/>
        <w:wordWrap/>
        <w:overflowPunct/>
        <w:topLinePunct w:val="0"/>
        <w:autoSpaceDE w:val="0"/>
        <w:autoSpaceDN w:val="0"/>
        <w:bidi w:val="0"/>
        <w:adjustRightInd w:val="0"/>
        <w:snapToGrid w:val="0"/>
        <w:spacing w:line="360" w:lineRule="auto"/>
        <w:ind w:left="648" w:leftChars="0" w:right="0" w:rightChars="0"/>
        <w:jc w:val="both"/>
        <w:textAlignment w:val="auto"/>
        <w:rPr>
          <w:rFonts w:hint="eastAsia" w:ascii="宋体" w:hAnsi="宋体" w:eastAsia="宋体" w:cs="宋体"/>
          <w:b w:val="0"/>
          <w:bCs w:val="0"/>
          <w:color w:val="auto"/>
          <w:sz w:val="21"/>
          <w:szCs w:val="21"/>
          <w:lang w:eastAsia="zh-CN"/>
        </w:rPr>
      </w:pPr>
      <w:r>
        <w:rPr>
          <w:rFonts w:hint="eastAsia" w:cs="宋体"/>
          <w:b w:val="0"/>
          <w:bCs w:val="0"/>
          <w:color w:val="auto"/>
          <w:spacing w:val="-3"/>
          <w:sz w:val="21"/>
          <w:szCs w:val="21"/>
          <w:lang w:val="en-US" w:eastAsia="zh-CN"/>
        </w:rPr>
        <w:t>13.2</w:t>
      </w:r>
      <w:r>
        <w:rPr>
          <w:rFonts w:hint="eastAsia" w:ascii="宋体" w:hAnsi="宋体" w:eastAsia="宋体" w:cs="宋体"/>
          <w:b w:val="0"/>
          <w:bCs w:val="0"/>
          <w:color w:val="auto"/>
          <w:spacing w:val="-3"/>
          <w:sz w:val="21"/>
          <w:szCs w:val="21"/>
          <w:lang w:eastAsia="zh-CN"/>
        </w:rPr>
        <w:t>竞争性磋商文件要求盖章的内容，可以通过文件编制工具加盖电子签章。</w:t>
      </w:r>
    </w:p>
    <w:p w14:paraId="35E1F54D">
      <w:pPr>
        <w:pStyle w:val="65"/>
        <w:keepNext w:val="0"/>
        <w:keepLines w:val="0"/>
        <w:pageBreakBefore w:val="0"/>
        <w:widowControl w:val="0"/>
        <w:numPr>
          <w:ilvl w:val="0"/>
          <w:numId w:val="0"/>
        </w:numPr>
        <w:tabs>
          <w:tab w:val="left" w:pos="1617"/>
        </w:tabs>
        <w:kinsoku/>
        <w:wordWrap/>
        <w:overflowPunct/>
        <w:topLinePunct w:val="0"/>
        <w:autoSpaceDE w:val="0"/>
        <w:autoSpaceDN w:val="0"/>
        <w:bidi w:val="0"/>
        <w:adjustRightInd w:val="0"/>
        <w:snapToGrid w:val="0"/>
        <w:spacing w:line="360" w:lineRule="auto"/>
        <w:ind w:left="660" w:leftChars="0" w:right="0" w:rightChars="0"/>
        <w:jc w:val="both"/>
        <w:textAlignment w:val="auto"/>
        <w:rPr>
          <w:rFonts w:hint="eastAsia" w:ascii="宋体" w:hAnsi="宋体" w:eastAsia="宋体" w:cs="宋体"/>
          <w:b w:val="0"/>
          <w:bCs w:val="0"/>
          <w:color w:val="auto"/>
          <w:sz w:val="21"/>
          <w:szCs w:val="21"/>
          <w:lang w:eastAsia="zh-CN"/>
        </w:rPr>
      </w:pPr>
      <w:r>
        <w:rPr>
          <w:rFonts w:hint="eastAsia" w:cs="宋体"/>
          <w:b w:val="0"/>
          <w:bCs w:val="0"/>
          <w:color w:val="auto"/>
          <w:sz w:val="21"/>
          <w:szCs w:val="21"/>
          <w:lang w:val="en-US" w:eastAsia="zh-CN"/>
        </w:rPr>
        <w:t>13.2</w:t>
      </w:r>
      <w:r>
        <w:rPr>
          <w:rFonts w:hint="eastAsia" w:ascii="宋体" w:hAnsi="宋体" w:eastAsia="宋体" w:cs="宋体"/>
          <w:b w:val="0"/>
          <w:bCs w:val="0"/>
          <w:color w:val="auto"/>
          <w:sz w:val="21"/>
          <w:szCs w:val="21"/>
          <w:lang w:eastAsia="zh-CN"/>
        </w:rPr>
        <w:t>《供应商须知前附表》规定的其他情形。</w:t>
      </w:r>
    </w:p>
    <w:p w14:paraId="153B5EBD">
      <w:pPr>
        <w:pStyle w:val="3"/>
        <w:keepNext w:val="0"/>
        <w:keepLines w:val="0"/>
        <w:pageBreakBefore w:val="0"/>
        <w:widowControl w:val="0"/>
        <w:tabs>
          <w:tab w:val="left" w:pos="700"/>
        </w:tabs>
        <w:kinsoku/>
        <w:wordWrap/>
        <w:overflowPunct/>
        <w:topLinePunct w:val="0"/>
        <w:autoSpaceDE w:val="0"/>
        <w:autoSpaceDN w:val="0"/>
        <w:bidi w:val="0"/>
        <w:adjustRightInd w:val="0"/>
        <w:snapToGrid w:val="0"/>
        <w:spacing w:before="0" w:line="360" w:lineRule="auto"/>
        <w:ind w:left="0" w:leftChars="0" w:right="0" w:firstLine="562" w:firstLineChars="200"/>
        <w:jc w:val="center"/>
        <w:textAlignment w:val="auto"/>
        <w:rPr>
          <w:rFonts w:hint="eastAsia" w:ascii="宋体" w:hAnsi="宋体" w:eastAsia="宋体" w:cs="宋体"/>
          <w:b/>
          <w:bCs/>
          <w:color w:val="auto"/>
          <w:sz w:val="28"/>
          <w:szCs w:val="28"/>
        </w:rPr>
      </w:pPr>
      <w:bookmarkStart w:id="196" w:name="_Toc27716"/>
      <w:bookmarkStart w:id="197" w:name="_Toc2973"/>
      <w:bookmarkStart w:id="198" w:name="_Toc12834"/>
      <w:r>
        <w:rPr>
          <w:rFonts w:hint="eastAsia" w:ascii="宋体" w:hAnsi="宋体" w:eastAsia="宋体" w:cs="宋体"/>
          <w:b/>
          <w:bCs/>
          <w:color w:val="auto"/>
          <w:sz w:val="28"/>
          <w:szCs w:val="28"/>
        </w:rPr>
        <w:t>四</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响应文件的提交</w:t>
      </w:r>
      <w:bookmarkEnd w:id="196"/>
      <w:bookmarkEnd w:id="197"/>
      <w:bookmarkEnd w:id="198"/>
    </w:p>
    <w:p w14:paraId="3964A709">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响应文件的提交</w:t>
      </w:r>
    </w:p>
    <w:p w14:paraId="5D1305E7">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14:paraId="3A21240F">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为确保网上操作合法、有效和安全，供应商应当在响应文件提交截止时间前完成在“政采云平台”的身份认证，确保在电子交易过程中能够对相关数据电文进行加密和使用电子签名。</w:t>
      </w:r>
    </w:p>
    <w:p w14:paraId="7E956AD9">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采购人及采购代理机构拒绝接受通过电子交易平台以外任何形式提交的响应文件，磋商保证金除外。</w:t>
      </w:r>
    </w:p>
    <w:p w14:paraId="3DDCD3FE">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响应文件提交截止时间</w:t>
      </w:r>
    </w:p>
    <w:p w14:paraId="044B4404">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供应商应在竞争性磋商文件要求响应文件提交截止时间前，将电子响应文件提交至电子交易平台。</w:t>
      </w:r>
    </w:p>
    <w:p w14:paraId="7483A33A">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响应文件的修改与撤回</w:t>
      </w:r>
    </w:p>
    <w:p w14:paraId="6B1A29CB">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05879BF5">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供应商对响应文件的补充、修改的内容应当按照竞争性磋商文件要求签署、盖章，作为响应文件的组成部分。补充、修改的内容与响应文件不一致的， 以补充、修改的内容为准。</w:t>
      </w:r>
    </w:p>
    <w:p w14:paraId="381D8E4E">
      <w:pPr>
        <w:pStyle w:val="3"/>
        <w:keepNext w:val="0"/>
        <w:keepLines w:val="0"/>
        <w:pageBreakBefore w:val="0"/>
        <w:widowControl w:val="0"/>
        <w:tabs>
          <w:tab w:val="left" w:pos="700"/>
        </w:tabs>
        <w:kinsoku/>
        <w:wordWrap/>
        <w:overflowPunct/>
        <w:topLinePunct w:val="0"/>
        <w:autoSpaceDE w:val="0"/>
        <w:autoSpaceDN w:val="0"/>
        <w:bidi w:val="0"/>
        <w:adjustRightInd w:val="0"/>
        <w:snapToGrid w:val="0"/>
        <w:spacing w:before="0" w:line="360" w:lineRule="auto"/>
        <w:ind w:left="0" w:leftChars="0" w:right="0" w:firstLine="562" w:firstLineChars="200"/>
        <w:jc w:val="center"/>
        <w:textAlignment w:val="auto"/>
        <w:rPr>
          <w:rFonts w:hint="eastAsia" w:ascii="宋体" w:hAnsi="宋体" w:eastAsia="宋体" w:cs="宋体"/>
          <w:b/>
          <w:bCs/>
          <w:color w:val="auto"/>
          <w:sz w:val="28"/>
          <w:szCs w:val="28"/>
        </w:rPr>
      </w:pPr>
      <w:bookmarkStart w:id="199" w:name="_Toc14459"/>
      <w:bookmarkStart w:id="200" w:name="_Toc17559"/>
      <w:bookmarkStart w:id="201" w:name="_Toc13053"/>
      <w:r>
        <w:rPr>
          <w:rFonts w:hint="eastAsia" w:ascii="宋体" w:hAnsi="宋体" w:eastAsia="宋体" w:cs="宋体"/>
          <w:b/>
          <w:bCs/>
          <w:color w:val="auto"/>
          <w:sz w:val="28"/>
          <w:szCs w:val="28"/>
        </w:rPr>
        <w:t>五</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评审</w:t>
      </w:r>
      <w:bookmarkEnd w:id="199"/>
      <w:bookmarkEnd w:id="200"/>
      <w:bookmarkEnd w:id="201"/>
    </w:p>
    <w:p w14:paraId="2E528147">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响应文件的解密与开启</w:t>
      </w:r>
    </w:p>
    <w:p w14:paraId="735BB96F">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采购人或采购代理机构将按竞争性磋商文件的规定，在响应文件提交截止时间的同一时间和竞争性磋商文件预先确定的地点开启响应文件。</w:t>
      </w:r>
    </w:p>
    <w:p w14:paraId="77BE8CF1">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本项目解密使用政采云平台。采购代理机构依托该电子交易平台发起开始解密指令，供应商须使用加密时所用的CA锁按平台提示和采购文件的规定登录到政采云平台电子开标大厅签到，并在发起解密指令之时起60分钟内完成对电子响应文件在线解密。</w:t>
      </w:r>
    </w:p>
    <w:p w14:paraId="677669A4">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发起解密指令之时起5分钟内供应商还未进行解密的，代理机构可通知供应商，供应商未预留联系方式或预留联系方式无效，导致代理机构无法联系到供应商进行解密的，视为撤回响应文件。</w:t>
      </w:r>
    </w:p>
    <w:p w14:paraId="4B885A22">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供应商应在规定的时间内对响应文件进行解密，因非系统原因导致的解密失败，视为无效响应。</w:t>
      </w:r>
    </w:p>
    <w:p w14:paraId="319FA8F0">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电子交易活动的中止</w:t>
      </w:r>
    </w:p>
    <w:p w14:paraId="4B2AC9ED">
      <w:pPr>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采购过程中出现以下情形，导致电子交易平台无法正常运行，或者无法保证电子交易的公平、公正和安全时，采购代理机构可中止电子交易活动：</w:t>
      </w:r>
    </w:p>
    <w:p w14:paraId="43EE90DA">
      <w:pPr>
        <w:pStyle w:val="65"/>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（1）电子交易平台发生故障而无法登录访问的；</w:t>
      </w:r>
    </w:p>
    <w:p w14:paraId="18BB9F2D">
      <w:pPr>
        <w:pStyle w:val="65"/>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（2）电子交易平台应用或数据库出现错误，不能进行正常操作的；</w:t>
      </w:r>
    </w:p>
    <w:p w14:paraId="36D3BB64">
      <w:pPr>
        <w:pStyle w:val="65"/>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（3）电子交易平台发现严重安全漏洞，有潜在泄密危险的；</w:t>
      </w:r>
    </w:p>
    <w:p w14:paraId="36DE485D">
      <w:pPr>
        <w:pStyle w:val="65"/>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（4）病毒导致不能进行正常操作的；</w:t>
      </w:r>
    </w:p>
    <w:p w14:paraId="12F958C9">
      <w:pPr>
        <w:pStyle w:val="65"/>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（5）其他无法保证电子交易的公平、公正和安全的情况。</w:t>
      </w:r>
    </w:p>
    <w:p w14:paraId="40040699">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D0298D3">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EFD8C5F">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56" w:firstLineChars="0"/>
        <w:jc w:val="both"/>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pacing w:val="-12"/>
          <w:w w:val="105"/>
          <w:sz w:val="21"/>
          <w:szCs w:val="21"/>
          <w:lang w:eastAsia="zh-CN"/>
        </w:rPr>
        <w:t xml:space="preserve">供应商不足 </w:t>
      </w:r>
      <w:r>
        <w:rPr>
          <w:rFonts w:hint="eastAsia" w:ascii="宋体" w:hAnsi="宋体" w:eastAsia="宋体" w:cs="宋体"/>
          <w:b w:val="0"/>
          <w:bCs w:val="0"/>
          <w:color w:val="auto"/>
          <w:sz w:val="21"/>
          <w:szCs w:val="21"/>
          <w:lang w:eastAsia="zh-CN"/>
        </w:rPr>
        <w:t>3 家的</w:t>
      </w:r>
      <w:r>
        <w:rPr>
          <w:rFonts w:hint="eastAsia" w:ascii="宋体" w:hAnsi="宋体" w:eastAsia="宋体" w:cs="宋体"/>
          <w:b w:val="0"/>
          <w:bCs w:val="0"/>
          <w:color w:val="auto"/>
          <w:w w:val="105"/>
          <w:sz w:val="21"/>
          <w:szCs w:val="21"/>
          <w:lang w:eastAsia="zh-CN"/>
        </w:rPr>
        <w:t>，不予解密。</w:t>
      </w:r>
    </w:p>
    <w:p w14:paraId="012AC118">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本项目不公开报价。</w:t>
      </w:r>
    </w:p>
    <w:p w14:paraId="02A111DC">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磋商小组</w:t>
      </w:r>
    </w:p>
    <w:p w14:paraId="40F36850">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磋商小组根据政府采购有关规定和本次采购项目的特点进行组建，并负责具体评审与磋商事务，独立履行职责。</w:t>
      </w:r>
    </w:p>
    <w:p w14:paraId="112C6584">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84E107A">
      <w:pPr>
        <w:pStyle w:val="65"/>
        <w:keepNext w:val="0"/>
        <w:keepLines w:val="0"/>
        <w:pageBreakBefore w:val="0"/>
        <w:widowControl w:val="0"/>
        <w:numPr>
          <w:ilvl w:val="0"/>
          <w:numId w:val="2"/>
        </w:numPr>
        <w:tabs>
          <w:tab w:val="left" w:pos="90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评审方法和评审标准</w:t>
      </w:r>
    </w:p>
    <w:p w14:paraId="423771E3">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见第</w:t>
      </w:r>
      <w:r>
        <w:rPr>
          <w:rFonts w:hint="eastAsia" w:ascii="宋体" w:hAnsi="宋体" w:eastAsia="宋体" w:cs="宋体"/>
          <w:b w:val="0"/>
          <w:bCs w:val="0"/>
          <w:snapToGrid w:val="0"/>
          <w:color w:val="auto"/>
          <w:spacing w:val="0"/>
          <w:w w:val="100"/>
          <w:sz w:val="21"/>
          <w:szCs w:val="21"/>
          <w:lang w:val="en-US" w:eastAsia="zh-CN"/>
        </w:rPr>
        <w:t>三</w:t>
      </w:r>
      <w:r>
        <w:rPr>
          <w:rFonts w:hint="eastAsia" w:ascii="宋体" w:hAnsi="宋体" w:eastAsia="宋体" w:cs="宋体"/>
          <w:b w:val="0"/>
          <w:bCs w:val="0"/>
          <w:snapToGrid w:val="0"/>
          <w:color w:val="auto"/>
          <w:spacing w:val="0"/>
          <w:w w:val="100"/>
          <w:sz w:val="21"/>
          <w:szCs w:val="21"/>
          <w:lang w:eastAsia="zh-CN"/>
        </w:rPr>
        <w:t>章《评审方法和评审标准》。</w:t>
      </w:r>
    </w:p>
    <w:p w14:paraId="4C38A735">
      <w:pPr>
        <w:pStyle w:val="3"/>
        <w:keepNext w:val="0"/>
        <w:keepLines w:val="0"/>
        <w:pageBreakBefore w:val="0"/>
        <w:widowControl w:val="0"/>
        <w:tabs>
          <w:tab w:val="left" w:pos="700"/>
        </w:tabs>
        <w:kinsoku/>
        <w:wordWrap/>
        <w:overflowPunct/>
        <w:topLinePunct w:val="0"/>
        <w:autoSpaceDE w:val="0"/>
        <w:autoSpaceDN w:val="0"/>
        <w:bidi w:val="0"/>
        <w:adjustRightInd w:val="0"/>
        <w:snapToGrid w:val="0"/>
        <w:spacing w:before="0" w:line="360" w:lineRule="auto"/>
        <w:ind w:left="0" w:leftChars="0" w:right="0" w:firstLine="562" w:firstLineChars="200"/>
        <w:jc w:val="center"/>
        <w:textAlignment w:val="auto"/>
        <w:rPr>
          <w:rFonts w:hint="eastAsia" w:ascii="宋体" w:hAnsi="宋体" w:eastAsia="宋体" w:cs="宋体"/>
          <w:b/>
          <w:bCs/>
          <w:color w:val="auto"/>
          <w:sz w:val="28"/>
          <w:szCs w:val="28"/>
        </w:rPr>
      </w:pPr>
      <w:bookmarkStart w:id="202" w:name="_Toc8820"/>
      <w:bookmarkStart w:id="203" w:name="_Toc7742"/>
      <w:bookmarkStart w:id="204" w:name="_Toc1349"/>
      <w:r>
        <w:rPr>
          <w:rFonts w:hint="eastAsia" w:ascii="宋体" w:hAnsi="宋体" w:eastAsia="宋体" w:cs="宋体"/>
          <w:b/>
          <w:bCs/>
          <w:color w:val="auto"/>
          <w:sz w:val="28"/>
          <w:szCs w:val="28"/>
        </w:rPr>
        <w:t>六</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确定成交</w:t>
      </w:r>
      <w:bookmarkEnd w:id="202"/>
      <w:bookmarkEnd w:id="203"/>
      <w:bookmarkEnd w:id="204"/>
    </w:p>
    <w:p w14:paraId="64360C5B">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确定成交供应商</w:t>
      </w:r>
    </w:p>
    <w:p w14:paraId="38742A38">
      <w:pPr>
        <w:pStyle w:val="65"/>
        <w:keepNext w:val="0"/>
        <w:keepLines w:val="0"/>
        <w:pageBreakBefore w:val="0"/>
        <w:widowControl w:val="0"/>
        <w:numPr>
          <w:ilvl w:val="0"/>
          <w:numId w:val="0"/>
        </w:numPr>
        <w:tabs>
          <w:tab w:val="left" w:pos="897"/>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20.1</w:t>
      </w: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p>
    <w:p w14:paraId="647D7F1C">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成交公告与成交通知书</w:t>
      </w:r>
    </w:p>
    <w:p w14:paraId="4287E87D">
      <w:pPr>
        <w:pStyle w:val="65"/>
        <w:keepNext w:val="0"/>
        <w:keepLines w:val="0"/>
        <w:pageBreakBefore w:val="0"/>
        <w:widowControl w:val="0"/>
        <w:numPr>
          <w:ilvl w:val="0"/>
          <w:numId w:val="0"/>
        </w:numPr>
        <w:tabs>
          <w:tab w:val="left" w:pos="897"/>
        </w:tabs>
        <w:kinsoku/>
        <w:wordWrap/>
        <w:overflowPunct/>
        <w:topLinePunct w:val="0"/>
        <w:autoSpaceDE w:val="0"/>
        <w:autoSpaceDN w:val="0"/>
        <w:bidi w:val="0"/>
        <w:adjustRightInd w:val="0"/>
        <w:snapToGrid w:val="0"/>
        <w:spacing w:line="360" w:lineRule="auto"/>
        <w:ind w:leftChars="200" w:right="0" w:rightChars="0"/>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21.1</w:t>
      </w: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采购人或采购代理机构将在成交供应商确定后 2 个工作日内，在云南省政府采购网公告成交结果，同时向成交供应商发出成交通知书，成交公告期限为 1 个工作日。</w:t>
      </w:r>
    </w:p>
    <w:p w14:paraId="46AD6F31">
      <w:pPr>
        <w:pStyle w:val="65"/>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line="360" w:lineRule="auto"/>
        <w:ind w:right="0" w:rightChars="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cs="宋体"/>
          <w:b w:val="0"/>
          <w:bCs w:val="0"/>
          <w:snapToGrid w:val="0"/>
          <w:color w:val="auto"/>
          <w:spacing w:val="0"/>
          <w:w w:val="100"/>
          <w:sz w:val="21"/>
          <w:szCs w:val="21"/>
          <w:lang w:val="en-US" w:eastAsia="zh-CN"/>
        </w:rPr>
        <w:t>21.2</w:t>
      </w:r>
      <w:r>
        <w:rPr>
          <w:rFonts w:hint="eastAsia" w:ascii="宋体" w:hAnsi="宋体" w:eastAsia="宋体" w:cs="宋体"/>
          <w:b w:val="0"/>
          <w:bCs w:val="0"/>
          <w:snapToGrid w:val="0"/>
          <w:color w:val="auto"/>
          <w:spacing w:val="0"/>
          <w:w w:val="100"/>
          <w:sz w:val="21"/>
          <w:szCs w:val="21"/>
          <w:lang w:eastAsia="zh-CN"/>
        </w:rPr>
        <w:t>成交通知书对采购人和成交供应商均具有法律效力。成交通知书发出后，采购人改变成交结果的，或者成交供应商放弃成交项目的，应当依法承担法律责任。</w:t>
      </w:r>
    </w:p>
    <w:p w14:paraId="36E419C0">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终止</w:t>
      </w:r>
    </w:p>
    <w:p w14:paraId="27AA1465">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出现下列情形之一的，采购人或采购代理机构将终止竞争性磋商采购活动，发布项目终止公告并说明原因，重新开展采购活动：</w:t>
      </w:r>
    </w:p>
    <w:p w14:paraId="4AB6C52A">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因情况变化，不再符合规定的竞争性磋商采购方式适用情形的；</w:t>
      </w:r>
    </w:p>
    <w:p w14:paraId="404DBA22">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出现影响采购公正的违法、违规行为的；</w:t>
      </w:r>
    </w:p>
    <w:p w14:paraId="5E5D1E7B">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28C24083">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签订合同</w:t>
      </w:r>
    </w:p>
    <w:p w14:paraId="56264056">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采购人与成交供应商应当在成交通知书发出之日起 30 日内，按照磋商文件确定的合同文本以及采购标的、规格型号、采购金额、采购数量、技术和服务要求（或工程项目的工程范围、工期、质量标准、技术标准和要求）等事项签订政府采购合同。</w:t>
      </w:r>
    </w:p>
    <w:p w14:paraId="09B6D2F0">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DF31133">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联合体成交的，联合体各方应当共同与采购人签订合同，就采购合同约定的事项向采购人承担连带责任。</w:t>
      </w:r>
    </w:p>
    <w:p w14:paraId="65C476CC">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政府采购合同不能转包。</w:t>
      </w:r>
    </w:p>
    <w:p w14:paraId="63774725">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1EEFE281">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询问与质疑</w:t>
      </w:r>
    </w:p>
    <w:p w14:paraId="1F7FDD13">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rPr>
        <w:t>询问</w:t>
      </w:r>
    </w:p>
    <w:p w14:paraId="742227DB">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供应商对政府采购活动事项有疑问的，可依法提出询问，并按《供应商须知前附表》载明的形式送达采购人或采购代理机构。</w:t>
      </w:r>
    </w:p>
    <w:p w14:paraId="6932B46D">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采购人或采购代理机构对供应商依法提出的询问，在 3 个工作日内作出答复，但答复的内容不得涉及商业秘密。</w:t>
      </w:r>
    </w:p>
    <w:p w14:paraId="0DFB94C6">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rPr>
        <w:t>质疑</w:t>
      </w:r>
    </w:p>
    <w:p w14:paraId="40E15479">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供应商认为竞争性磋商文件、采购过程、成交结果使自己的权益受到损害的，可以在知道或者应知其权益受到损害之日起 7 个工作日内，以书面形式向采购人、采购代理机构提出质疑。质疑内容不得含有虚假、恶意成分。当事人对自己提出的主张，有责任提供证据，提出质疑时应同时提交相关证据材料和注明事实的确切来源。采购人、采购代理机构在收到质疑函后 7 个工作日内作出答复。</w:t>
      </w:r>
    </w:p>
    <w:p w14:paraId="35CA7CF8">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供应商应知其权益受到损害之日，是指：</w:t>
      </w:r>
    </w:p>
    <w:p w14:paraId="336EB74A">
      <w:pPr>
        <w:pStyle w:val="65"/>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（1）对可以质疑的采购文件提出质疑的，质疑时效期间的起算日期为公告期限届满之日；</w:t>
      </w:r>
    </w:p>
    <w:p w14:paraId="3E092F4F">
      <w:pPr>
        <w:pStyle w:val="65"/>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（2）对采购过程提出质疑的，为各采购程序环节结束之日；</w:t>
      </w:r>
    </w:p>
    <w:p w14:paraId="665E9F82">
      <w:pPr>
        <w:pStyle w:val="65"/>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（3）对成交结果提出质疑的，为成交结果公告期限届满之日。</w:t>
      </w:r>
    </w:p>
    <w:p w14:paraId="535CD4DF">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jc w:val="both"/>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5C0C67EB">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供应商委托代理人进行质疑的，应当随质疑函同时提交供应商签署的授权委托书。授权委托书应当载明代理人的姓名或者名称、代理事项、具体权限、期限和相关事项。供应商为自然人的，应当由本人签字；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490F0E90">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供应商应在法定质疑期内一次性提出针对同一采购程序环节的质疑，法定质疑期内针对同一采购程序环节再次提出的质疑，采购人、采购代理机构有权不予答复。</w:t>
      </w:r>
    </w:p>
    <w:p w14:paraId="6A095ED0">
      <w:pPr>
        <w:pStyle w:val="65"/>
        <w:keepNext w:val="0"/>
        <w:keepLines w:val="0"/>
        <w:pageBreakBefore w:val="0"/>
        <w:widowControl w:val="0"/>
        <w:numPr>
          <w:ilvl w:val="2"/>
          <w:numId w:val="2"/>
        </w:numPr>
        <w:tabs>
          <w:tab w:val="left" w:pos="2522"/>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接收询问和质疑的联系部门、联系电话和通讯地址见《供应商须知前附表》。</w:t>
      </w:r>
    </w:p>
    <w:p w14:paraId="4F6C4972">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r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rPr>
        <w:t>代理费</w:t>
      </w:r>
    </w:p>
    <w:p w14:paraId="5D03EBD1">
      <w:pPr>
        <w:pStyle w:val="65"/>
        <w:keepNext w:val="0"/>
        <w:keepLines w:val="0"/>
        <w:pageBreakBefore w:val="0"/>
        <w:widowControl w:val="0"/>
        <w:numPr>
          <w:ilvl w:val="1"/>
          <w:numId w:val="2"/>
        </w:numPr>
        <w:tabs>
          <w:tab w:val="left" w:pos="1617"/>
        </w:tabs>
        <w:kinsoku/>
        <w:wordWrap/>
        <w:overflowPunct/>
        <w:topLinePunct w:val="0"/>
        <w:autoSpaceDE w:val="0"/>
        <w:autoSpaceDN w:val="0"/>
        <w:bidi w:val="0"/>
        <w:adjustRightInd w:val="0"/>
        <w:snapToGrid w:val="0"/>
        <w:spacing w:line="360" w:lineRule="auto"/>
        <w:ind w:left="180" w:leftChars="0" w:right="0" w:firstLine="480" w:firstLineChars="0"/>
        <w:textAlignment w:val="auto"/>
        <w:rPr>
          <w:rFonts w:hint="eastAsia" w:ascii="宋体" w:hAnsi="宋体" w:eastAsia="宋体" w:cs="宋体"/>
          <w:b w:val="0"/>
          <w:bCs w:val="0"/>
          <w:snapToGrid w:val="0"/>
          <w:color w:val="auto"/>
          <w:spacing w:val="0"/>
          <w:w w:val="100"/>
          <w:sz w:val="21"/>
          <w:szCs w:val="21"/>
          <w:lang w:eastAsia="zh-CN"/>
        </w:rPr>
      </w:pPr>
      <w:r>
        <w:rPr>
          <w:rFonts w:hint="eastAsia" w:ascii="宋体" w:hAnsi="宋体" w:eastAsia="宋体" w:cs="宋体"/>
          <w:b w:val="0"/>
          <w:bCs w:val="0"/>
          <w:snapToGrid w:val="0"/>
          <w:color w:val="auto"/>
          <w:spacing w:val="0"/>
          <w:w w:val="100"/>
          <w:sz w:val="21"/>
          <w:szCs w:val="21"/>
          <w:lang w:eastAsia="zh-CN"/>
        </w:rPr>
        <w:t>收费对象、收费标准及缴纳时间见《供应商须知前附表》。由成交供应商支付的，成交供应商须一次性向采购代理机构缴纳代理费，报价应包含代理费用。</w:t>
      </w:r>
    </w:p>
    <w:p w14:paraId="37E3CBDE">
      <w:pPr>
        <w:pStyle w:val="65"/>
        <w:keepNext w:val="0"/>
        <w:keepLines w:val="0"/>
        <w:pageBreakBefore w:val="0"/>
        <w:widowControl w:val="0"/>
        <w:numPr>
          <w:ilvl w:val="0"/>
          <w:numId w:val="2"/>
        </w:numPr>
        <w:tabs>
          <w:tab w:val="left" w:pos="897"/>
        </w:tabs>
        <w:kinsoku/>
        <w:wordWrap/>
        <w:overflowPunct/>
        <w:topLinePunct w:val="0"/>
        <w:autoSpaceDE w:val="0"/>
        <w:autoSpaceDN w:val="0"/>
        <w:bidi w:val="0"/>
        <w:adjustRightInd w:val="0"/>
        <w:snapToGrid w:val="0"/>
        <w:spacing w:line="360" w:lineRule="auto"/>
        <w:ind w:left="0" w:leftChars="0" w:right="0" w:firstLine="420" w:firstLineChars="200"/>
        <w:textAlignment w:val="auto"/>
        <w:rPr>
          <w:rFonts w:hint="eastAsia" w:ascii="宋体" w:hAnsi="宋体" w:eastAsia="宋体" w:cs="宋体"/>
          <w:b w:val="0"/>
          <w:bCs w:val="0"/>
          <w:snapToGrid w:val="0"/>
          <w:color w:val="auto"/>
          <w:spacing w:val="0"/>
          <w:w w:val="100"/>
          <w:sz w:val="21"/>
          <w:szCs w:val="21"/>
          <w:lang w:eastAsia="zh-CN"/>
        </w:rPr>
        <w:sectPr>
          <w:pgSz w:w="11910" w:h="16840"/>
          <w:pgMar w:top="1340" w:right="1134" w:bottom="1080" w:left="1160" w:header="879" w:footer="892"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b w:val="0"/>
          <w:bCs w:val="0"/>
          <w:snapToGrid w:val="0"/>
          <w:color w:val="auto"/>
          <w:spacing w:val="0"/>
          <w:w w:val="100"/>
          <w:sz w:val="21"/>
          <w:szCs w:val="21"/>
          <w:lang w:val="en-US" w:eastAsia="zh-CN"/>
        </w:rPr>
        <w:t>.</w:t>
      </w:r>
      <w:r>
        <w:rPr>
          <w:rFonts w:hint="eastAsia" w:ascii="宋体" w:hAnsi="宋体" w:eastAsia="宋体" w:cs="宋体"/>
          <w:b w:val="0"/>
          <w:bCs w:val="0"/>
          <w:snapToGrid w:val="0"/>
          <w:color w:val="auto"/>
          <w:spacing w:val="0"/>
          <w:w w:val="100"/>
          <w:sz w:val="21"/>
          <w:szCs w:val="21"/>
          <w:lang w:eastAsia="zh-CN"/>
        </w:rPr>
        <w:t>其他：见《供应商须知前附表》</w:t>
      </w:r>
    </w:p>
    <w:p w14:paraId="2DFBD13F">
      <w:pPr>
        <w:pStyle w:val="2"/>
        <w:keepNext w:val="0"/>
        <w:keepLines w:val="0"/>
        <w:pageBreakBefore w:val="0"/>
        <w:widowControl w:val="0"/>
        <w:tabs>
          <w:tab w:val="left" w:pos="1622"/>
        </w:tabs>
        <w:kinsoku/>
        <w:wordWrap/>
        <w:overflowPunct/>
        <w:topLinePunct w:val="0"/>
        <w:autoSpaceDE w:val="0"/>
        <w:autoSpaceDN w:val="0"/>
        <w:bidi w:val="0"/>
        <w:adjustRightInd/>
        <w:snapToGrid/>
        <w:spacing w:before="0" w:line="360" w:lineRule="auto"/>
        <w:ind w:right="0" w:firstLine="723" w:firstLineChars="200"/>
        <w:textAlignment w:val="auto"/>
        <w:rPr>
          <w:rFonts w:hint="eastAsia" w:ascii="宋体" w:hAnsi="宋体" w:eastAsia="宋体" w:cs="宋体"/>
          <w:b/>
          <w:bCs/>
          <w:sz w:val="36"/>
          <w:szCs w:val="36"/>
          <w:lang w:eastAsia="zh-CN"/>
        </w:rPr>
      </w:pPr>
      <w:bookmarkStart w:id="205" w:name="_Toc3223"/>
      <w:bookmarkStart w:id="206" w:name="_Toc11674_WPSOffice_Level1"/>
      <w:bookmarkStart w:id="207" w:name="_Toc13033"/>
      <w:bookmarkStart w:id="208" w:name="_Toc4085"/>
      <w:r>
        <w:rPr>
          <w:rFonts w:hint="eastAsia" w:ascii="宋体" w:hAnsi="宋体" w:eastAsia="宋体" w:cs="宋体"/>
          <w:b/>
          <w:bCs/>
          <w:sz w:val="36"/>
          <w:szCs w:val="36"/>
          <w:lang w:eastAsia="zh-CN"/>
        </w:rPr>
        <w:t>第三章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lang w:eastAsia="zh-CN"/>
        </w:rPr>
        <w:t>评审方法和评审标准</w:t>
      </w:r>
      <w:bookmarkEnd w:id="205"/>
    </w:p>
    <w:p w14:paraId="16625D21">
      <w:pPr>
        <w:pStyle w:val="12"/>
        <w:keepNext w:val="0"/>
        <w:keepLines w:val="0"/>
        <w:pageBreakBefore w:val="0"/>
        <w:widowControl w:val="0"/>
        <w:kinsoku/>
        <w:wordWrap/>
        <w:overflowPunct/>
        <w:topLinePunct w:val="0"/>
        <w:autoSpaceDE w:val="0"/>
        <w:autoSpaceDN w:val="0"/>
        <w:bidi w:val="0"/>
        <w:adjustRightInd/>
        <w:snapToGrid/>
        <w:spacing w:line="360" w:lineRule="auto"/>
        <w:ind w:right="0" w:firstLine="482" w:firstLineChars="200"/>
        <w:jc w:val="center"/>
        <w:textAlignment w:val="auto"/>
        <w:rPr>
          <w:rFonts w:hint="eastAsia" w:ascii="宋体" w:hAnsi="宋体" w:eastAsia="宋体" w:cs="宋体"/>
          <w:sz w:val="21"/>
          <w:szCs w:val="21"/>
          <w:lang w:eastAsia="zh-CN"/>
        </w:rPr>
      </w:pPr>
      <w:r>
        <w:rPr>
          <w:rFonts w:hint="eastAsia" w:ascii="宋体" w:hAnsi="宋体" w:eastAsia="宋体" w:cs="宋体"/>
          <w:b/>
          <w:sz w:val="24"/>
          <w:szCs w:val="24"/>
          <w:lang w:eastAsia="zh-CN"/>
        </w:rPr>
        <w:t>评审方法前附表</w:t>
      </w:r>
    </w:p>
    <w:tbl>
      <w:tblPr>
        <w:tblStyle w:val="33"/>
        <w:tblpPr w:leftFromText="180" w:rightFromText="180" w:vertAnchor="text" w:tblpX="-451" w:tblpY="1"/>
        <w:tblOverlap w:val="never"/>
        <w:tblW w:w="105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720"/>
        <w:gridCol w:w="1820"/>
        <w:gridCol w:w="955"/>
        <w:gridCol w:w="5245"/>
        <w:gridCol w:w="1089"/>
      </w:tblGrid>
      <w:tr w14:paraId="736A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blHeader/>
        </w:trPr>
        <w:tc>
          <w:tcPr>
            <w:tcW w:w="680" w:type="dxa"/>
            <w:noWrap w:val="0"/>
            <w:vAlign w:val="center"/>
          </w:tcPr>
          <w:p w14:paraId="680E9A4F">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b/>
                <w:sz w:val="21"/>
                <w:szCs w:val="21"/>
              </w:rPr>
            </w:pPr>
            <w:r>
              <w:rPr>
                <w:rFonts w:hint="eastAsia" w:ascii="宋体" w:hAnsi="宋体" w:eastAsia="宋体" w:cs="宋体"/>
                <w:b/>
                <w:sz w:val="21"/>
                <w:szCs w:val="21"/>
              </w:rPr>
              <w:t>条款号</w:t>
            </w:r>
          </w:p>
        </w:tc>
        <w:tc>
          <w:tcPr>
            <w:tcW w:w="720" w:type="dxa"/>
            <w:noWrap w:val="0"/>
            <w:vAlign w:val="center"/>
          </w:tcPr>
          <w:p w14:paraId="47B921BD">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b/>
                <w:sz w:val="21"/>
                <w:szCs w:val="21"/>
              </w:rPr>
            </w:pPr>
            <w:r>
              <w:rPr>
                <w:rFonts w:hint="eastAsia" w:ascii="宋体" w:hAnsi="宋体" w:eastAsia="宋体" w:cs="宋体"/>
                <w:b/>
                <w:sz w:val="21"/>
                <w:szCs w:val="21"/>
              </w:rPr>
              <w:t>评审程序</w:t>
            </w:r>
          </w:p>
        </w:tc>
        <w:tc>
          <w:tcPr>
            <w:tcW w:w="8020" w:type="dxa"/>
            <w:gridSpan w:val="3"/>
            <w:noWrap w:val="0"/>
            <w:vAlign w:val="center"/>
          </w:tcPr>
          <w:p w14:paraId="0ED7F844">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rPr>
            </w:pPr>
            <w:r>
              <w:rPr>
                <w:rFonts w:hint="eastAsia" w:ascii="宋体" w:hAnsi="宋体" w:eastAsia="宋体" w:cs="宋体"/>
                <w:b/>
                <w:sz w:val="21"/>
                <w:szCs w:val="21"/>
              </w:rPr>
              <w:t>评 审 内 容 及 标 准</w:t>
            </w:r>
          </w:p>
        </w:tc>
        <w:tc>
          <w:tcPr>
            <w:tcW w:w="1089" w:type="dxa"/>
            <w:noWrap w:val="0"/>
            <w:vAlign w:val="center"/>
          </w:tcPr>
          <w:p w14:paraId="526A5B61">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b/>
                <w:sz w:val="21"/>
                <w:szCs w:val="21"/>
                <w:lang w:eastAsia="zh-CN"/>
              </w:rPr>
            </w:pPr>
            <w:r>
              <w:rPr>
                <w:rFonts w:hint="eastAsia" w:ascii="宋体" w:hAnsi="宋体" w:eastAsia="宋体" w:cs="宋体"/>
                <w:b/>
                <w:sz w:val="21"/>
                <w:szCs w:val="21"/>
              </w:rPr>
              <w:t>格式要求</w:t>
            </w:r>
          </w:p>
        </w:tc>
      </w:tr>
      <w:tr w14:paraId="534C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80" w:type="dxa"/>
            <w:vMerge w:val="restart"/>
            <w:noWrap w:val="0"/>
            <w:vAlign w:val="center"/>
          </w:tcPr>
          <w:p w14:paraId="394C47CA">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1.1</w:t>
            </w:r>
          </w:p>
        </w:tc>
        <w:tc>
          <w:tcPr>
            <w:tcW w:w="720" w:type="dxa"/>
            <w:vMerge w:val="restart"/>
            <w:noWrap w:val="0"/>
            <w:vAlign w:val="center"/>
          </w:tcPr>
          <w:p w14:paraId="05CCC880">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资格审查要求</w:t>
            </w:r>
          </w:p>
        </w:tc>
        <w:tc>
          <w:tcPr>
            <w:tcW w:w="1820" w:type="dxa"/>
            <w:noWrap w:val="0"/>
            <w:vAlign w:val="center"/>
          </w:tcPr>
          <w:p w14:paraId="3821F4D1">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满足《中华人民共和国政府采购法》第二十二条规定</w:t>
            </w:r>
          </w:p>
        </w:tc>
        <w:tc>
          <w:tcPr>
            <w:tcW w:w="6200" w:type="dxa"/>
            <w:gridSpan w:val="2"/>
            <w:noWrap w:val="0"/>
            <w:vAlign w:val="center"/>
          </w:tcPr>
          <w:p w14:paraId="0AA149F8">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cs="宋体"/>
                <w:sz w:val="21"/>
                <w:szCs w:val="21"/>
                <w:lang w:eastAsia="zh-CN"/>
              </w:rPr>
              <w:t>符合第一章《</w:t>
            </w:r>
            <w:r>
              <w:rPr>
                <w:rFonts w:hint="eastAsia" w:ascii="宋体" w:hAnsi="宋体" w:eastAsia="宋体" w:cs="宋体"/>
                <w:color w:val="auto"/>
                <w:szCs w:val="36"/>
                <w:lang w:eastAsia="zh-CN"/>
              </w:rPr>
              <w:t>竞争性磋商公告</w:t>
            </w:r>
            <w:r>
              <w:rPr>
                <w:rFonts w:hint="eastAsia" w:cs="宋体"/>
                <w:sz w:val="21"/>
                <w:szCs w:val="21"/>
                <w:lang w:eastAsia="zh-CN"/>
              </w:rPr>
              <w:t>》的规定</w:t>
            </w:r>
          </w:p>
        </w:tc>
        <w:tc>
          <w:tcPr>
            <w:tcW w:w="1089" w:type="dxa"/>
            <w:noWrap w:val="0"/>
            <w:vAlign w:val="center"/>
          </w:tcPr>
          <w:p w14:paraId="575F060A">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55E2A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39DC48E8">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0D49EED9">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26E19084">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具有承担民事责任的能力</w:t>
            </w:r>
          </w:p>
        </w:tc>
        <w:tc>
          <w:tcPr>
            <w:tcW w:w="6200" w:type="dxa"/>
            <w:gridSpan w:val="2"/>
            <w:noWrap w:val="0"/>
            <w:vAlign w:val="center"/>
          </w:tcPr>
          <w:p w14:paraId="6AF2A646">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营业执照等证明文件</w:t>
            </w:r>
          </w:p>
          <w:p w14:paraId="44171425">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供应商为企业（包括合伙企业）的，应提供有效的“营业执照”；</w:t>
            </w:r>
          </w:p>
          <w:p w14:paraId="054C556F">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供应商为事业单位的，应提供有效的“事业单位法人证书”；</w:t>
            </w:r>
          </w:p>
          <w:p w14:paraId="45E443C6">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供应商是非企业机构的，应提供有效的“执业许可证”、“登记证书”等证明文件；</w:t>
            </w:r>
          </w:p>
          <w:p w14:paraId="443DF6E4">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供应商是个体工商户的，应提供有效的“个体工商户营业执照”；</w:t>
            </w:r>
          </w:p>
          <w:p w14:paraId="65A4A43D">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供应商是自然人的，应提供有效的自然人身份证明。</w:t>
            </w:r>
          </w:p>
          <w:p w14:paraId="6952741F">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89" w:type="dxa"/>
            <w:noWrap w:val="0"/>
            <w:vAlign w:val="center"/>
          </w:tcPr>
          <w:p w14:paraId="77F1D9B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提供证明文件的电子件</w:t>
            </w:r>
          </w:p>
        </w:tc>
      </w:tr>
      <w:tr w14:paraId="3F2C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73D61A9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35C7E82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0C907393">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具有良好的商业信誉和健全的财务会计制度</w:t>
            </w:r>
          </w:p>
        </w:tc>
        <w:tc>
          <w:tcPr>
            <w:tcW w:w="6200" w:type="dxa"/>
            <w:gridSpan w:val="2"/>
            <w:noWrap w:val="0"/>
            <w:vAlign w:val="center"/>
          </w:tcPr>
          <w:p w14:paraId="20033A79">
            <w:pPr>
              <w:autoSpaceDE/>
              <w:autoSpaceDN/>
              <w:snapToGrid w:val="0"/>
              <w:jc w:val="left"/>
              <w:rPr>
                <w:rFonts w:hint="eastAsia" w:ascii="宋体" w:hAnsi="宋体" w:eastAsia="宋体" w:cs="宋体"/>
                <w:sz w:val="21"/>
                <w:szCs w:val="21"/>
              </w:rPr>
            </w:pPr>
            <w:r>
              <w:rPr>
                <w:rFonts w:hint="eastAsia" w:ascii="宋体" w:hAnsi="宋体" w:eastAsia="宋体" w:cs="宋体"/>
                <w:sz w:val="21"/>
                <w:szCs w:val="21"/>
              </w:rPr>
              <w:t>1.商业信誉：提供商业信誉承诺书；</w:t>
            </w:r>
          </w:p>
          <w:p w14:paraId="2FA598C0">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2.</w:t>
            </w:r>
            <w:r>
              <w:rPr>
                <w:rFonts w:hint="eastAsia" w:ascii="宋体" w:hAnsi="宋体" w:eastAsia="宋体" w:cs="宋体"/>
                <w:sz w:val="21"/>
                <w:szCs w:val="21"/>
                <w:lang w:eastAsia="zh-CN"/>
              </w:rPr>
              <w:t>提供财务报表（包括资产负债表、利润表、现金流量表），成立不足一年或新成立的公司提供响应文件递交截止时间前两个月内基本开户银行出具的银行资信证明或资金存款证明或财务报表。</w:t>
            </w:r>
          </w:p>
        </w:tc>
        <w:tc>
          <w:tcPr>
            <w:tcW w:w="1089" w:type="dxa"/>
            <w:noWrap w:val="0"/>
            <w:vAlign w:val="center"/>
          </w:tcPr>
          <w:p w14:paraId="5A7F921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w:t>
            </w:r>
            <w:r>
              <w:rPr>
                <w:rFonts w:hint="eastAsia"/>
                <w:sz w:val="21"/>
                <w:szCs w:val="21"/>
                <w:lang w:eastAsia="zh-CN"/>
              </w:rPr>
              <w:t>相关证明材料或承诺书</w:t>
            </w:r>
          </w:p>
        </w:tc>
      </w:tr>
      <w:tr w14:paraId="18BE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48CC7334">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2BE53864">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10272174">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具有履行合同所必需的设备和专业技术能力</w:t>
            </w:r>
          </w:p>
        </w:tc>
        <w:tc>
          <w:tcPr>
            <w:tcW w:w="6200" w:type="dxa"/>
            <w:gridSpan w:val="2"/>
            <w:noWrap w:val="0"/>
            <w:vAlign w:val="center"/>
          </w:tcPr>
          <w:p w14:paraId="5B095BBE">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具有履行合同所必需的设备和专业技术能力，提供相关承诺书。</w:t>
            </w:r>
          </w:p>
        </w:tc>
        <w:tc>
          <w:tcPr>
            <w:tcW w:w="1089" w:type="dxa"/>
            <w:noWrap w:val="0"/>
            <w:vAlign w:val="center"/>
          </w:tcPr>
          <w:p w14:paraId="6DCCDD5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w:t>
            </w:r>
            <w:r>
              <w:rPr>
                <w:rFonts w:hint="eastAsia"/>
                <w:sz w:val="21"/>
                <w:szCs w:val="21"/>
                <w:lang w:eastAsia="zh-CN"/>
              </w:rPr>
              <w:t>相关证明材料或承诺书</w:t>
            </w:r>
          </w:p>
        </w:tc>
      </w:tr>
      <w:tr w14:paraId="2C0D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466675F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1649B1E3">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6763A065">
            <w:pPr>
              <w:autoSpaceDE/>
              <w:autoSpaceDN/>
              <w:snapToGrid w:val="0"/>
              <w:jc w:val="center"/>
              <w:rPr>
                <w:rFonts w:hint="eastAsia" w:ascii="宋体" w:hAnsi="宋体" w:eastAsia="宋体" w:cs="宋体"/>
                <w:sz w:val="21"/>
                <w:szCs w:val="21"/>
                <w:lang w:eastAsia="zh-CN"/>
              </w:rPr>
            </w:pPr>
            <w:r>
              <w:rPr>
                <w:rFonts w:hint="eastAsia"/>
                <w:sz w:val="21"/>
                <w:szCs w:val="21"/>
              </w:rPr>
              <w:t>有依法缴纳税收和社会保障资金的良好记录</w:t>
            </w:r>
          </w:p>
        </w:tc>
        <w:tc>
          <w:tcPr>
            <w:tcW w:w="6200" w:type="dxa"/>
            <w:gridSpan w:val="2"/>
            <w:noWrap w:val="0"/>
            <w:vAlign w:val="center"/>
          </w:tcPr>
          <w:p w14:paraId="2DD1E0F5">
            <w:pPr>
              <w:rPr>
                <w:sz w:val="21"/>
                <w:szCs w:val="21"/>
                <w:lang w:eastAsia="zh-CN"/>
              </w:rPr>
            </w:pPr>
            <w:r>
              <w:rPr>
                <w:rFonts w:hint="eastAsia"/>
                <w:sz w:val="21"/>
                <w:szCs w:val="21"/>
                <w:lang w:eastAsia="zh-CN"/>
              </w:rPr>
              <w:t>1.纳税证明材料：提供任意三个月的纳税申报的税务局税收通用缴款书扫描件或银行电子缴税（费）凭证扫描件或税务局出具纳税情况的相关证明扫描件；</w:t>
            </w:r>
          </w:p>
          <w:p w14:paraId="13051F6B">
            <w:pPr>
              <w:rPr>
                <w:rFonts w:hint="eastAsia" w:ascii="宋体" w:hAnsi="宋体" w:eastAsia="宋体" w:cs="宋体"/>
                <w:sz w:val="21"/>
                <w:szCs w:val="21"/>
                <w:lang w:eastAsia="zh-CN"/>
              </w:rPr>
            </w:pPr>
            <w:r>
              <w:rPr>
                <w:rFonts w:hint="eastAsia"/>
                <w:sz w:val="21"/>
                <w:szCs w:val="21"/>
                <w:lang w:eastAsia="zh-CN"/>
              </w:rPr>
              <w:t>2.缴纳社会保险证明材料：提供任意三个月的社会保险费缴款书扫描件或银行电子缴税（费）凭证扫描件或社保管理部门出具的有效的缴款证明扫描件。</w:t>
            </w:r>
          </w:p>
        </w:tc>
        <w:tc>
          <w:tcPr>
            <w:tcW w:w="1089" w:type="dxa"/>
            <w:noWrap w:val="0"/>
            <w:vAlign w:val="center"/>
          </w:tcPr>
          <w:p w14:paraId="2F1B1D13">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w:t>
            </w:r>
            <w:r>
              <w:rPr>
                <w:rFonts w:hint="eastAsia"/>
                <w:sz w:val="21"/>
                <w:szCs w:val="21"/>
                <w:lang w:eastAsia="zh-CN"/>
              </w:rPr>
              <w:t>相关证明材料或承诺书</w:t>
            </w:r>
          </w:p>
        </w:tc>
      </w:tr>
      <w:tr w14:paraId="4824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7708C96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13E73852">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0E5B74E1">
            <w:pPr>
              <w:autoSpaceDE/>
              <w:autoSpaceDN/>
              <w:snapToGrid w:val="0"/>
              <w:jc w:val="center"/>
              <w:rPr>
                <w:rFonts w:hint="eastAsia" w:ascii="宋体" w:hAnsi="宋体" w:eastAsia="宋体" w:cs="宋体"/>
                <w:sz w:val="21"/>
                <w:szCs w:val="21"/>
                <w:lang w:eastAsia="zh-CN"/>
              </w:rPr>
            </w:pPr>
            <w:r>
              <w:rPr>
                <w:rFonts w:hint="eastAsia"/>
                <w:sz w:val="21"/>
                <w:szCs w:val="21"/>
              </w:rPr>
              <w:t>参加政府采购活动前三年内，在经营活动中没有重大违法记录</w:t>
            </w:r>
          </w:p>
        </w:tc>
        <w:tc>
          <w:tcPr>
            <w:tcW w:w="6200" w:type="dxa"/>
            <w:gridSpan w:val="2"/>
            <w:noWrap w:val="0"/>
            <w:vAlign w:val="center"/>
          </w:tcPr>
          <w:p w14:paraId="79FF8052">
            <w:pPr>
              <w:rPr>
                <w:rFonts w:hint="eastAsia" w:ascii="宋体" w:hAnsi="宋体" w:eastAsia="宋体" w:cs="宋体"/>
                <w:sz w:val="21"/>
                <w:szCs w:val="21"/>
                <w:lang w:eastAsia="zh-CN"/>
              </w:rPr>
            </w:pPr>
            <w:r>
              <w:rPr>
                <w:rFonts w:hint="eastAsia"/>
                <w:sz w:val="21"/>
                <w:szCs w:val="21"/>
                <w:lang w:eastAsia="zh-CN"/>
              </w:rPr>
              <w:t>参加政府采购活动前三年内，在经营活动中没有重大违法记录。</w:t>
            </w:r>
          </w:p>
        </w:tc>
        <w:tc>
          <w:tcPr>
            <w:tcW w:w="1089" w:type="dxa"/>
            <w:noWrap w:val="0"/>
            <w:vAlign w:val="center"/>
          </w:tcPr>
          <w:p w14:paraId="73FDDE12">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w:t>
            </w:r>
            <w:r>
              <w:rPr>
                <w:rFonts w:hint="eastAsia"/>
                <w:sz w:val="21"/>
                <w:szCs w:val="21"/>
                <w:lang w:eastAsia="zh-CN"/>
              </w:rPr>
              <w:t>相关证明材料或承诺书</w:t>
            </w:r>
          </w:p>
        </w:tc>
      </w:tr>
      <w:tr w14:paraId="6337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42E6BD9F">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42B1495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7D541AA3">
            <w:pPr>
              <w:autoSpaceDE/>
              <w:autoSpaceDN/>
              <w:snapToGrid w:val="0"/>
              <w:jc w:val="center"/>
              <w:rPr>
                <w:rFonts w:hint="eastAsia" w:ascii="宋体" w:hAnsi="宋体" w:eastAsia="宋体" w:cs="宋体"/>
                <w:sz w:val="21"/>
                <w:szCs w:val="21"/>
                <w:lang w:eastAsia="zh-CN"/>
              </w:rPr>
            </w:pPr>
            <w:r>
              <w:rPr>
                <w:rFonts w:hint="eastAsia"/>
                <w:sz w:val="21"/>
                <w:szCs w:val="21"/>
              </w:rPr>
              <w:t xml:space="preserve">法律、行政法规规定的其他条件 </w:t>
            </w:r>
          </w:p>
        </w:tc>
        <w:tc>
          <w:tcPr>
            <w:tcW w:w="6200" w:type="dxa"/>
            <w:gridSpan w:val="2"/>
            <w:noWrap w:val="0"/>
            <w:vAlign w:val="center"/>
          </w:tcPr>
          <w:p w14:paraId="7D6CA6E5">
            <w:pPr>
              <w:rPr>
                <w:rFonts w:hint="eastAsia" w:ascii="宋体" w:hAnsi="宋体" w:eastAsia="宋体" w:cs="宋体"/>
                <w:sz w:val="21"/>
                <w:szCs w:val="21"/>
                <w:lang w:eastAsia="zh-CN"/>
              </w:rPr>
            </w:pPr>
            <w:r>
              <w:rPr>
                <w:rFonts w:hint="eastAsia"/>
                <w:sz w:val="21"/>
                <w:szCs w:val="21"/>
                <w:lang w:eastAsia="zh-CN"/>
              </w:rPr>
              <w:t>供应商不得存在以下情形：单位负责人为同一人或者存在直接控股、管理关系的不同投标人，不得参加同一合同项下的政府采购活动，提供相关承诺书</w:t>
            </w:r>
            <w:r>
              <w:rPr>
                <w:rFonts w:hint="eastAsia"/>
                <w:sz w:val="21"/>
                <w:szCs w:val="21"/>
                <w:lang w:val="en-US" w:eastAsia="zh-CN"/>
              </w:rPr>
              <w:t>。</w:t>
            </w:r>
          </w:p>
        </w:tc>
        <w:tc>
          <w:tcPr>
            <w:tcW w:w="1089" w:type="dxa"/>
            <w:noWrap w:val="0"/>
            <w:vAlign w:val="center"/>
          </w:tcPr>
          <w:p w14:paraId="448F836B">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w:t>
            </w:r>
            <w:r>
              <w:rPr>
                <w:rFonts w:hint="eastAsia"/>
                <w:sz w:val="21"/>
                <w:szCs w:val="21"/>
                <w:lang w:eastAsia="zh-CN"/>
              </w:rPr>
              <w:t>相关证明材料或承诺书</w:t>
            </w:r>
          </w:p>
        </w:tc>
      </w:tr>
      <w:tr w14:paraId="5A4D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0" w:type="dxa"/>
            <w:vMerge w:val="continue"/>
            <w:noWrap w:val="0"/>
            <w:vAlign w:val="center"/>
          </w:tcPr>
          <w:p w14:paraId="30C4AB50">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1BC19F40">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52D8622C">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本项目的特定资格要求</w:t>
            </w:r>
          </w:p>
        </w:tc>
        <w:tc>
          <w:tcPr>
            <w:tcW w:w="6200" w:type="dxa"/>
            <w:gridSpan w:val="2"/>
            <w:noWrap w:val="0"/>
            <w:vAlign w:val="center"/>
          </w:tcPr>
          <w:p w14:paraId="1C276BA0">
            <w:pPr>
              <w:widowControl/>
              <w:spacing w:line="360" w:lineRule="auto"/>
              <w:jc w:val="left"/>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1.</w:t>
            </w:r>
            <w:r>
              <w:rPr>
                <w:rFonts w:hint="eastAsia" w:ascii="宋体" w:hAnsi="宋体" w:eastAsia="宋体" w:cs="宋体"/>
                <w:b w:val="0"/>
                <w:bCs/>
                <w:color w:val="auto"/>
                <w:sz w:val="21"/>
                <w:szCs w:val="21"/>
              </w:rPr>
              <w:t>供应商应</w:t>
            </w:r>
            <w:r>
              <w:rPr>
                <w:rFonts w:hint="eastAsia" w:ascii="宋体" w:hAnsi="宋体" w:eastAsia="宋体" w:cs="宋体"/>
                <w:color w:val="auto"/>
                <w:sz w:val="21"/>
                <w:szCs w:val="21"/>
              </w:rPr>
              <w:t>具备行政主管部门核发的公路工程施工总承包叁级以上（含叁级）资质和有效的安全生产许可证（公路工程施工总承包（叁级、贰级）企业必须达到三级及以上企业安全生产标准化达标考评，公路工程施工总承包（壹级及以上资质）的企业必须达到二级及以上企业安全生产标准化达标考评），并在人员、设备、资金等方面具有相应的施工能力。</w:t>
            </w:r>
          </w:p>
          <w:p w14:paraId="056764C3">
            <w:pPr>
              <w:widowControl/>
              <w:spacing w:line="360" w:lineRule="auto"/>
              <w:jc w:val="left"/>
              <w:rPr>
                <w:rFonts w:hint="eastAsia" w:ascii="宋体" w:hAnsi="宋体" w:eastAsia="宋体" w:cs="宋体"/>
                <w:color w:val="auto"/>
                <w:sz w:val="21"/>
                <w:szCs w:val="21"/>
              </w:rPr>
            </w:pPr>
            <w:r>
              <w:rPr>
                <w:rFonts w:hint="eastAsia" w:ascii="宋体" w:hAnsi="宋体" w:eastAsia="宋体" w:cs="宋体"/>
                <w:b w:val="0"/>
                <w:bCs/>
                <w:color w:val="auto"/>
                <w:sz w:val="21"/>
                <w:szCs w:val="21"/>
              </w:rPr>
              <w:t>供应商</w:t>
            </w:r>
            <w:r>
              <w:rPr>
                <w:rFonts w:hint="eastAsia" w:ascii="宋体" w:hAnsi="宋体" w:eastAsia="宋体" w:cs="宋体"/>
                <w:color w:val="auto"/>
                <w:sz w:val="21"/>
                <w:szCs w:val="21"/>
              </w:rPr>
              <w:t>应进入交通运输部“全国公路建设市场信用信息管理系统(https://glxy.mot.gov.cn)”或“省级公路水运建设市场信用信息管理系统”中的公路工程施工资质企业名录,且投标人名称和资质与该名录中的相应企业名称和资质完全一致。</w:t>
            </w:r>
          </w:p>
          <w:p w14:paraId="0D281D0D">
            <w:pPr>
              <w:autoSpaceDE/>
              <w:autoSpaceDN/>
              <w:snapToGrid w:val="0"/>
              <w:jc w:val="left"/>
              <w:rPr>
                <w:rFonts w:hint="eastAsia" w:ascii="宋体" w:hAnsi="宋体" w:eastAsia="宋体" w:cs="宋体"/>
                <w:sz w:val="21"/>
                <w:szCs w:val="21"/>
                <w:lang w:eastAsia="zh-CN"/>
              </w:rPr>
            </w:pPr>
            <w:r>
              <w:rPr>
                <w:rFonts w:hint="eastAsia" w:cs="宋体"/>
                <w:color w:val="auto"/>
                <w:sz w:val="21"/>
                <w:szCs w:val="21"/>
                <w:lang w:val="en-US" w:eastAsia="zh-CN"/>
              </w:rPr>
              <w:t>2.</w:t>
            </w:r>
            <w:r>
              <w:rPr>
                <w:rFonts w:hint="eastAsia" w:ascii="宋体" w:hAnsi="宋体" w:eastAsia="宋体" w:cs="宋体"/>
                <w:color w:val="auto"/>
                <w:sz w:val="21"/>
                <w:szCs w:val="21"/>
                <w:lang w:eastAsia="zh-CN"/>
              </w:rPr>
              <w:t>项目负责人资格：具有公路工程专业二级及以上注册建造师执业资格证书，同时持有省级及以上交通主管部门颁发的安全生产考核B类合格证；拟派项目经理注册单位需与供应商申请单位名称一致</w:t>
            </w:r>
            <w:r>
              <w:rPr>
                <w:rFonts w:hint="eastAsia" w:cs="宋体"/>
                <w:color w:val="auto"/>
                <w:sz w:val="21"/>
                <w:szCs w:val="21"/>
                <w:lang w:eastAsia="zh-CN"/>
              </w:rPr>
              <w:t>，且</w:t>
            </w:r>
            <w:r>
              <w:rPr>
                <w:rFonts w:hint="eastAsia" w:ascii="宋体" w:hAnsi="宋体" w:eastAsia="宋体" w:cs="宋体"/>
                <w:sz w:val="21"/>
                <w:szCs w:val="21"/>
                <w:lang w:eastAsia="zh-CN"/>
              </w:rPr>
              <w:t>未担任其他在</w:t>
            </w:r>
            <w:r>
              <w:rPr>
                <w:rFonts w:hint="eastAsia" w:cs="宋体"/>
                <w:sz w:val="21"/>
                <w:szCs w:val="21"/>
                <w:lang w:eastAsia="zh-CN"/>
              </w:rPr>
              <w:t>建</w:t>
            </w:r>
            <w:r>
              <w:rPr>
                <w:rFonts w:hint="eastAsia" w:ascii="宋体" w:hAnsi="宋体" w:eastAsia="宋体" w:cs="宋体"/>
                <w:sz w:val="21"/>
                <w:szCs w:val="21"/>
                <w:lang w:eastAsia="zh-CN"/>
              </w:rPr>
              <w:t>建设工程项目的项目</w:t>
            </w:r>
            <w:r>
              <w:rPr>
                <w:rFonts w:hint="eastAsia" w:cs="宋体"/>
                <w:sz w:val="21"/>
                <w:szCs w:val="21"/>
                <w:lang w:eastAsia="zh-CN"/>
              </w:rPr>
              <w:t>负责人</w:t>
            </w:r>
            <w:r>
              <w:rPr>
                <w:rFonts w:hint="eastAsia" w:ascii="宋体" w:hAnsi="宋体" w:eastAsia="宋体" w:cs="宋体"/>
                <w:sz w:val="21"/>
                <w:szCs w:val="21"/>
                <w:lang w:eastAsia="zh-CN"/>
              </w:rPr>
              <w:t>。</w:t>
            </w:r>
          </w:p>
        </w:tc>
        <w:tc>
          <w:tcPr>
            <w:tcW w:w="1089" w:type="dxa"/>
            <w:noWrap w:val="0"/>
            <w:vAlign w:val="center"/>
          </w:tcPr>
          <w:p w14:paraId="41B99CF0">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提供证明文件的电子件</w:t>
            </w:r>
          </w:p>
        </w:tc>
      </w:tr>
      <w:tr w14:paraId="6D0B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80" w:type="dxa"/>
            <w:noWrap w:val="0"/>
            <w:vAlign w:val="center"/>
          </w:tcPr>
          <w:p w14:paraId="2BE5E350">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rPr>
            </w:pPr>
            <w:r>
              <w:rPr>
                <w:rFonts w:hint="eastAsia" w:ascii="宋体" w:hAnsi="宋体" w:eastAsia="宋体" w:cs="宋体"/>
                <w:b/>
                <w:sz w:val="21"/>
                <w:szCs w:val="21"/>
              </w:rPr>
              <w:t>条款号</w:t>
            </w:r>
          </w:p>
        </w:tc>
        <w:tc>
          <w:tcPr>
            <w:tcW w:w="720" w:type="dxa"/>
            <w:noWrap w:val="0"/>
            <w:vAlign w:val="center"/>
          </w:tcPr>
          <w:p w14:paraId="22DC9916">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rPr>
            </w:pPr>
            <w:r>
              <w:rPr>
                <w:rFonts w:hint="eastAsia" w:ascii="宋体" w:hAnsi="宋体" w:eastAsia="宋体" w:cs="宋体"/>
                <w:b/>
                <w:sz w:val="21"/>
                <w:szCs w:val="21"/>
              </w:rPr>
              <w:t>评审程序</w:t>
            </w:r>
          </w:p>
        </w:tc>
        <w:tc>
          <w:tcPr>
            <w:tcW w:w="8020" w:type="dxa"/>
            <w:gridSpan w:val="3"/>
            <w:noWrap w:val="0"/>
            <w:vAlign w:val="center"/>
          </w:tcPr>
          <w:p w14:paraId="1D709AA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sz w:val="21"/>
                <w:szCs w:val="21"/>
                <w:lang w:eastAsia="zh-CN"/>
              </w:rPr>
            </w:pPr>
            <w:r>
              <w:rPr>
                <w:rFonts w:hint="eastAsia" w:ascii="宋体" w:hAnsi="宋体" w:eastAsia="宋体" w:cs="宋体"/>
                <w:b/>
                <w:sz w:val="21"/>
                <w:szCs w:val="21"/>
              </w:rPr>
              <w:t>评 审 内 容 及 标 准</w:t>
            </w:r>
          </w:p>
        </w:tc>
        <w:tc>
          <w:tcPr>
            <w:tcW w:w="1089" w:type="dxa"/>
            <w:noWrap w:val="0"/>
            <w:vAlign w:val="center"/>
          </w:tcPr>
          <w:p w14:paraId="45E986A6">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b/>
                <w:sz w:val="21"/>
                <w:szCs w:val="21"/>
                <w:lang w:eastAsia="zh-CN"/>
              </w:rPr>
              <w:t>格式要求</w:t>
            </w:r>
          </w:p>
        </w:tc>
      </w:tr>
      <w:tr w14:paraId="5A75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80" w:type="dxa"/>
            <w:vMerge w:val="restart"/>
            <w:noWrap w:val="0"/>
            <w:vAlign w:val="center"/>
          </w:tcPr>
          <w:p w14:paraId="5E695973">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b/>
                <w:sz w:val="21"/>
                <w:szCs w:val="21"/>
                <w:lang w:eastAsia="zh-CN"/>
              </w:rPr>
            </w:pPr>
            <w:r>
              <w:rPr>
                <w:rFonts w:hint="eastAsia" w:ascii="宋体" w:hAnsi="宋体" w:eastAsia="宋体" w:cs="宋体"/>
                <w:sz w:val="21"/>
                <w:szCs w:val="21"/>
                <w:lang w:eastAsia="zh-CN"/>
              </w:rPr>
              <w:t>1.2</w:t>
            </w:r>
          </w:p>
        </w:tc>
        <w:tc>
          <w:tcPr>
            <w:tcW w:w="720" w:type="dxa"/>
            <w:vMerge w:val="restart"/>
            <w:noWrap w:val="0"/>
            <w:vAlign w:val="center"/>
          </w:tcPr>
          <w:p w14:paraId="1938F9AE">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b/>
                <w:sz w:val="21"/>
                <w:szCs w:val="21"/>
              </w:rPr>
            </w:pPr>
            <w:r>
              <w:rPr>
                <w:rFonts w:hint="eastAsia" w:ascii="宋体" w:hAnsi="宋体" w:eastAsia="宋体" w:cs="宋体"/>
                <w:sz w:val="21"/>
                <w:szCs w:val="21"/>
              </w:rPr>
              <w:t>符合性</w:t>
            </w:r>
            <w:r>
              <w:rPr>
                <w:rFonts w:hint="eastAsia" w:ascii="宋体" w:hAnsi="宋体" w:eastAsia="宋体" w:cs="宋体"/>
                <w:sz w:val="21"/>
                <w:szCs w:val="21"/>
                <w:lang w:eastAsia="zh-CN"/>
              </w:rPr>
              <w:t>审查</w:t>
            </w:r>
            <w:r>
              <w:rPr>
                <w:rFonts w:hint="eastAsia" w:ascii="宋体" w:hAnsi="宋体" w:eastAsia="宋体" w:cs="宋体"/>
                <w:sz w:val="21"/>
                <w:szCs w:val="21"/>
              </w:rPr>
              <w:t>要求</w:t>
            </w:r>
          </w:p>
        </w:tc>
        <w:tc>
          <w:tcPr>
            <w:tcW w:w="1820" w:type="dxa"/>
            <w:noWrap w:val="0"/>
            <w:vAlign w:val="center"/>
          </w:tcPr>
          <w:p w14:paraId="2859ADF8">
            <w:pPr>
              <w:autoSpaceDE/>
              <w:autoSpaceDN/>
              <w:snapToGrid w:val="0"/>
              <w:jc w:val="center"/>
              <w:rPr>
                <w:rFonts w:hint="eastAsia" w:ascii="宋体" w:hAnsi="宋体" w:eastAsia="宋体" w:cs="宋体"/>
                <w:sz w:val="21"/>
                <w:szCs w:val="21"/>
              </w:rPr>
            </w:pPr>
            <w:r>
              <w:rPr>
                <w:rFonts w:hint="eastAsia" w:ascii="宋体" w:hAnsi="宋体" w:eastAsia="宋体" w:cs="宋体"/>
                <w:sz w:val="21"/>
                <w:szCs w:val="21"/>
                <w:lang w:eastAsia="zh-CN"/>
              </w:rPr>
              <w:t>磋商函签字或盖章要求</w:t>
            </w:r>
          </w:p>
        </w:tc>
        <w:tc>
          <w:tcPr>
            <w:tcW w:w="6200" w:type="dxa"/>
            <w:gridSpan w:val="2"/>
            <w:noWrap w:val="0"/>
            <w:vAlign w:val="center"/>
          </w:tcPr>
          <w:p w14:paraId="34AB3AE9">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有供应商企业及法定代表人签字或盖章，须加盖供应商企业及法定代表人签字或盖章；符合磋商文件给定格式及内容。 </w:t>
            </w:r>
          </w:p>
        </w:tc>
        <w:tc>
          <w:tcPr>
            <w:tcW w:w="1089" w:type="dxa"/>
            <w:noWrap w:val="0"/>
            <w:vAlign w:val="center"/>
          </w:tcPr>
          <w:p w14:paraId="036F585B">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3D689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80" w:type="dxa"/>
            <w:vMerge w:val="continue"/>
            <w:noWrap w:val="0"/>
            <w:vAlign w:val="center"/>
          </w:tcPr>
          <w:p w14:paraId="56FE4B81">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720" w:type="dxa"/>
            <w:vMerge w:val="continue"/>
            <w:noWrap w:val="0"/>
            <w:vAlign w:val="center"/>
          </w:tcPr>
          <w:p w14:paraId="74C8FB4E">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371C09A6">
            <w:pPr>
              <w:autoSpaceDE/>
              <w:autoSpaceDN/>
              <w:snapToGrid w:val="0"/>
              <w:jc w:val="center"/>
              <w:rPr>
                <w:rFonts w:hint="eastAsia" w:ascii="宋体" w:hAnsi="宋体" w:eastAsia="宋体" w:cs="宋体"/>
                <w:sz w:val="21"/>
                <w:szCs w:val="21"/>
              </w:rPr>
            </w:pPr>
            <w:r>
              <w:rPr>
                <w:rFonts w:hint="eastAsia" w:ascii="宋体" w:hAnsi="宋体" w:eastAsia="宋体" w:cs="宋体"/>
                <w:sz w:val="21"/>
                <w:szCs w:val="21"/>
                <w:lang w:eastAsia="zh-CN"/>
              </w:rPr>
              <w:t>法定代表人资格证明书</w:t>
            </w:r>
          </w:p>
        </w:tc>
        <w:tc>
          <w:tcPr>
            <w:tcW w:w="6200" w:type="dxa"/>
            <w:gridSpan w:val="2"/>
            <w:noWrap w:val="0"/>
            <w:vAlign w:val="center"/>
          </w:tcPr>
          <w:p w14:paraId="21143B94">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符合磋商文件给定格式及内容,并加盖单位签字或盖章。</w:t>
            </w:r>
          </w:p>
        </w:tc>
        <w:tc>
          <w:tcPr>
            <w:tcW w:w="1089" w:type="dxa"/>
            <w:noWrap w:val="0"/>
            <w:vAlign w:val="center"/>
          </w:tcPr>
          <w:p w14:paraId="0ECEF45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0AB9A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80" w:type="dxa"/>
            <w:vMerge w:val="continue"/>
            <w:noWrap w:val="0"/>
            <w:vAlign w:val="center"/>
          </w:tcPr>
          <w:p w14:paraId="12FE68E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720" w:type="dxa"/>
            <w:vMerge w:val="continue"/>
            <w:noWrap w:val="0"/>
            <w:vAlign w:val="center"/>
          </w:tcPr>
          <w:p w14:paraId="03D14FF6">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563B9955">
            <w:pPr>
              <w:autoSpaceDE/>
              <w:autoSpaceDN/>
              <w:snapToGrid w:val="0"/>
              <w:jc w:val="center"/>
              <w:rPr>
                <w:rFonts w:hint="eastAsia" w:ascii="宋体" w:hAnsi="宋体" w:eastAsia="宋体" w:cs="宋体"/>
                <w:sz w:val="21"/>
                <w:szCs w:val="21"/>
              </w:rPr>
            </w:pPr>
            <w:r>
              <w:rPr>
                <w:rFonts w:hint="eastAsia" w:ascii="宋体" w:hAnsi="宋体" w:eastAsia="宋体" w:cs="宋体"/>
                <w:sz w:val="21"/>
                <w:szCs w:val="21"/>
                <w:lang w:eastAsia="zh-CN"/>
              </w:rPr>
              <w:t>法定代表人授权委托书</w:t>
            </w:r>
          </w:p>
        </w:tc>
        <w:tc>
          <w:tcPr>
            <w:tcW w:w="6200" w:type="dxa"/>
            <w:gridSpan w:val="2"/>
            <w:noWrap w:val="0"/>
            <w:vAlign w:val="center"/>
          </w:tcPr>
          <w:p w14:paraId="72B19EFE">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有法定代表人签字或盖章，并加盖单位签字或盖章；符合磋商文件给定格式及内容。</w:t>
            </w:r>
          </w:p>
        </w:tc>
        <w:tc>
          <w:tcPr>
            <w:tcW w:w="1089" w:type="dxa"/>
            <w:noWrap w:val="0"/>
            <w:vAlign w:val="center"/>
          </w:tcPr>
          <w:p w14:paraId="4742F38C">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45A9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80" w:type="dxa"/>
            <w:vMerge w:val="continue"/>
            <w:noWrap w:val="0"/>
            <w:vAlign w:val="center"/>
          </w:tcPr>
          <w:p w14:paraId="74F8F1BE">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720" w:type="dxa"/>
            <w:vMerge w:val="continue"/>
            <w:noWrap w:val="0"/>
            <w:vAlign w:val="center"/>
          </w:tcPr>
          <w:p w14:paraId="1FE55462">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4AB70C54">
            <w:pPr>
              <w:autoSpaceDE/>
              <w:autoSpaceDN/>
              <w:snapToGrid w:val="0"/>
              <w:jc w:val="center"/>
              <w:rPr>
                <w:rFonts w:hint="eastAsia" w:ascii="宋体" w:hAnsi="宋体" w:eastAsia="宋体" w:cs="宋体"/>
                <w:sz w:val="21"/>
                <w:szCs w:val="21"/>
              </w:rPr>
            </w:pPr>
            <w:r>
              <w:rPr>
                <w:rFonts w:hint="eastAsia" w:ascii="宋体" w:hAnsi="宋体" w:eastAsia="宋体" w:cs="宋体"/>
                <w:sz w:val="21"/>
                <w:szCs w:val="21"/>
              </w:rPr>
              <w:t>工期</w:t>
            </w:r>
          </w:p>
        </w:tc>
        <w:tc>
          <w:tcPr>
            <w:tcW w:w="6200" w:type="dxa"/>
            <w:gridSpan w:val="2"/>
            <w:noWrap w:val="0"/>
            <w:vAlign w:val="center"/>
          </w:tcPr>
          <w:p w14:paraId="7F41CEC1">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符合竞争性磋商文件要求</w:t>
            </w:r>
            <w:r>
              <w:rPr>
                <w:rFonts w:hint="eastAsia" w:ascii="宋体" w:hAnsi="宋体" w:eastAsia="宋体" w:cs="宋体"/>
                <w:sz w:val="21"/>
                <w:szCs w:val="21"/>
                <w:lang w:eastAsia="zh-CN"/>
              </w:rPr>
              <w:t>。</w:t>
            </w:r>
          </w:p>
        </w:tc>
        <w:tc>
          <w:tcPr>
            <w:tcW w:w="1089" w:type="dxa"/>
            <w:noWrap w:val="0"/>
            <w:vAlign w:val="center"/>
          </w:tcPr>
          <w:p w14:paraId="261DD0F8">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41E0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0" w:type="dxa"/>
            <w:vMerge w:val="continue"/>
            <w:noWrap w:val="0"/>
            <w:vAlign w:val="center"/>
          </w:tcPr>
          <w:p w14:paraId="3BE15F54">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720" w:type="dxa"/>
            <w:vMerge w:val="continue"/>
            <w:noWrap w:val="0"/>
            <w:vAlign w:val="center"/>
          </w:tcPr>
          <w:p w14:paraId="0545B8D8">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6C20C304">
            <w:pPr>
              <w:autoSpaceDE/>
              <w:autoSpaceDN/>
              <w:snapToGrid w:val="0"/>
              <w:jc w:val="center"/>
              <w:rPr>
                <w:rFonts w:hint="eastAsia" w:ascii="宋体" w:hAnsi="宋体" w:eastAsia="宋体" w:cs="宋体"/>
                <w:sz w:val="21"/>
                <w:szCs w:val="21"/>
              </w:rPr>
            </w:pPr>
            <w:r>
              <w:rPr>
                <w:rFonts w:hint="eastAsia" w:ascii="宋体" w:hAnsi="宋体" w:eastAsia="宋体" w:cs="宋体"/>
                <w:sz w:val="21"/>
                <w:szCs w:val="21"/>
              </w:rPr>
              <w:t>质量要求</w:t>
            </w:r>
          </w:p>
        </w:tc>
        <w:tc>
          <w:tcPr>
            <w:tcW w:w="6200" w:type="dxa"/>
            <w:gridSpan w:val="2"/>
            <w:noWrap w:val="0"/>
            <w:vAlign w:val="center"/>
          </w:tcPr>
          <w:p w14:paraId="303B404C">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符合竞争性磋商文件要求</w:t>
            </w:r>
            <w:r>
              <w:rPr>
                <w:rFonts w:hint="eastAsia" w:ascii="宋体" w:hAnsi="宋体" w:eastAsia="宋体" w:cs="宋体"/>
                <w:sz w:val="21"/>
                <w:szCs w:val="21"/>
                <w:lang w:eastAsia="zh-CN"/>
              </w:rPr>
              <w:t>。</w:t>
            </w:r>
          </w:p>
        </w:tc>
        <w:tc>
          <w:tcPr>
            <w:tcW w:w="1089" w:type="dxa"/>
            <w:noWrap w:val="0"/>
            <w:vAlign w:val="center"/>
          </w:tcPr>
          <w:p w14:paraId="10ACF951">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2CF8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680" w:type="dxa"/>
            <w:vMerge w:val="continue"/>
            <w:noWrap w:val="0"/>
            <w:vAlign w:val="center"/>
          </w:tcPr>
          <w:p w14:paraId="435CD896">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720" w:type="dxa"/>
            <w:vMerge w:val="continue"/>
            <w:noWrap w:val="0"/>
            <w:vAlign w:val="center"/>
          </w:tcPr>
          <w:p w14:paraId="1694D413">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10A0319C">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安全文明施工费、规费和税金的投标报价</w:t>
            </w:r>
          </w:p>
        </w:tc>
        <w:tc>
          <w:tcPr>
            <w:tcW w:w="6200" w:type="dxa"/>
            <w:gridSpan w:val="2"/>
            <w:noWrap w:val="0"/>
            <w:vAlign w:val="center"/>
          </w:tcPr>
          <w:p w14:paraId="3B81A276">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安全文明施工费、规费和税金应按照国家或省级、行业建设主管部门的规定计价和计算，其计价和计算费率、税率在投标时不得调整。</w:t>
            </w:r>
          </w:p>
        </w:tc>
        <w:tc>
          <w:tcPr>
            <w:tcW w:w="1089" w:type="dxa"/>
            <w:noWrap w:val="0"/>
            <w:vAlign w:val="center"/>
          </w:tcPr>
          <w:p w14:paraId="4837D64A">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1263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680" w:type="dxa"/>
            <w:vMerge w:val="continue"/>
            <w:noWrap w:val="0"/>
            <w:vAlign w:val="center"/>
          </w:tcPr>
          <w:p w14:paraId="56ABD21E">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720" w:type="dxa"/>
            <w:vMerge w:val="continue"/>
            <w:noWrap w:val="0"/>
            <w:vAlign w:val="center"/>
          </w:tcPr>
          <w:p w14:paraId="653D83E0">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b/>
                <w:sz w:val="21"/>
                <w:szCs w:val="21"/>
                <w:lang w:eastAsia="zh-CN"/>
              </w:rPr>
            </w:pPr>
          </w:p>
        </w:tc>
        <w:tc>
          <w:tcPr>
            <w:tcW w:w="1820" w:type="dxa"/>
            <w:noWrap w:val="0"/>
            <w:vAlign w:val="center"/>
          </w:tcPr>
          <w:p w14:paraId="0A68DF20">
            <w:pPr>
              <w:autoSpaceDE/>
              <w:autoSpaceDN/>
              <w:snapToGrid w:val="0"/>
              <w:jc w:val="center"/>
              <w:rPr>
                <w:rFonts w:hint="eastAsia" w:ascii="宋体" w:hAnsi="宋体" w:eastAsia="宋体" w:cs="宋体"/>
                <w:sz w:val="21"/>
                <w:szCs w:val="21"/>
              </w:rPr>
            </w:pPr>
            <w:r>
              <w:rPr>
                <w:rFonts w:hint="eastAsia" w:ascii="宋体" w:hAnsi="宋体" w:eastAsia="宋体" w:cs="宋体"/>
                <w:sz w:val="21"/>
                <w:szCs w:val="21"/>
              </w:rPr>
              <w:t>工程量清单一致</w:t>
            </w:r>
          </w:p>
        </w:tc>
        <w:tc>
          <w:tcPr>
            <w:tcW w:w="6200" w:type="dxa"/>
            <w:gridSpan w:val="2"/>
            <w:noWrap w:val="0"/>
            <w:vAlign w:val="center"/>
          </w:tcPr>
          <w:p w14:paraId="595BE3DE">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与招标人提供的工程量清单中项目编码、项目名称、项目特征、计量单位和工程量完全一致</w:t>
            </w:r>
            <w:r>
              <w:rPr>
                <w:rFonts w:hint="eastAsia" w:ascii="宋体" w:hAnsi="宋体" w:eastAsia="宋体" w:cs="宋体"/>
                <w:sz w:val="21"/>
                <w:szCs w:val="21"/>
                <w:lang w:eastAsia="zh-CN"/>
              </w:rPr>
              <w:t>。</w:t>
            </w:r>
          </w:p>
        </w:tc>
        <w:tc>
          <w:tcPr>
            <w:tcW w:w="1089" w:type="dxa"/>
            <w:noWrap w:val="0"/>
            <w:vAlign w:val="center"/>
          </w:tcPr>
          <w:p w14:paraId="14DC5D83">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r>
      <w:tr w14:paraId="65D0B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680" w:type="dxa"/>
            <w:vMerge w:val="continue"/>
            <w:noWrap w:val="0"/>
            <w:vAlign w:val="center"/>
          </w:tcPr>
          <w:p w14:paraId="5DDC69F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7B1B84D1">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7BAB9CF6">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磋商报价（首次报价）</w:t>
            </w:r>
          </w:p>
        </w:tc>
        <w:tc>
          <w:tcPr>
            <w:tcW w:w="6200" w:type="dxa"/>
            <w:gridSpan w:val="2"/>
            <w:noWrap w:val="0"/>
            <w:vAlign w:val="center"/>
          </w:tcPr>
          <w:p w14:paraId="092603FF">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报价未超过竞争性磋商文件规定的控制价且不得高于公布的招标控制价中的任何一项。</w:t>
            </w:r>
          </w:p>
        </w:tc>
        <w:tc>
          <w:tcPr>
            <w:tcW w:w="1089" w:type="dxa"/>
            <w:noWrap w:val="0"/>
            <w:vAlign w:val="center"/>
          </w:tcPr>
          <w:p w14:paraId="519EC2B4">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center"/>
              <w:textAlignment w:val="auto"/>
              <w:rPr>
                <w:rFonts w:hint="eastAsia" w:ascii="宋体" w:hAnsi="宋体" w:eastAsia="宋体" w:cs="宋体"/>
                <w:sz w:val="21"/>
                <w:szCs w:val="21"/>
                <w:lang w:eastAsia="zh-CN"/>
              </w:rPr>
            </w:pPr>
          </w:p>
        </w:tc>
      </w:tr>
      <w:tr w14:paraId="2271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680" w:type="dxa"/>
            <w:vMerge w:val="continue"/>
            <w:noWrap w:val="0"/>
            <w:vAlign w:val="center"/>
          </w:tcPr>
          <w:p w14:paraId="4C53EE9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74495A6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1F63527A">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技术措施费</w:t>
            </w:r>
          </w:p>
        </w:tc>
        <w:tc>
          <w:tcPr>
            <w:tcW w:w="6200" w:type="dxa"/>
            <w:gridSpan w:val="2"/>
            <w:noWrap w:val="0"/>
            <w:vAlign w:val="center"/>
          </w:tcPr>
          <w:p w14:paraId="0607BBBF">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技术措施项目费低于招标控制价中相应费用80%的，作否决投标处理</w:t>
            </w:r>
            <w:r>
              <w:rPr>
                <w:rFonts w:hint="eastAsia" w:ascii="宋体" w:hAnsi="宋体" w:eastAsia="宋体" w:cs="宋体"/>
                <w:sz w:val="21"/>
                <w:szCs w:val="21"/>
                <w:lang w:eastAsia="zh-CN"/>
              </w:rPr>
              <w:t>。</w:t>
            </w:r>
          </w:p>
        </w:tc>
        <w:tc>
          <w:tcPr>
            <w:tcW w:w="1089" w:type="dxa"/>
            <w:noWrap w:val="0"/>
            <w:vAlign w:val="center"/>
          </w:tcPr>
          <w:p w14:paraId="658C29B1">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center"/>
              <w:textAlignment w:val="auto"/>
              <w:rPr>
                <w:rFonts w:hint="eastAsia" w:ascii="宋体" w:hAnsi="宋体" w:eastAsia="宋体" w:cs="宋体"/>
                <w:sz w:val="21"/>
                <w:szCs w:val="21"/>
                <w:lang w:eastAsia="zh-CN"/>
              </w:rPr>
            </w:pPr>
          </w:p>
        </w:tc>
      </w:tr>
      <w:tr w14:paraId="4555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0" w:type="dxa"/>
            <w:vMerge w:val="continue"/>
            <w:noWrap w:val="0"/>
            <w:vAlign w:val="center"/>
          </w:tcPr>
          <w:p w14:paraId="31517077">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064801F3">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0AA28758">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暂估价、暂列金</w:t>
            </w:r>
          </w:p>
        </w:tc>
        <w:tc>
          <w:tcPr>
            <w:tcW w:w="6200" w:type="dxa"/>
            <w:gridSpan w:val="2"/>
            <w:noWrap w:val="0"/>
            <w:vAlign w:val="center"/>
          </w:tcPr>
          <w:p w14:paraId="5F30660F">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工程量清单中设有暂估价、暂列金的，投标人投标报价未按招标人规定的金额计入投标报价或更改的，作否决投标处理</w:t>
            </w:r>
            <w:r>
              <w:rPr>
                <w:rFonts w:hint="eastAsia" w:ascii="宋体" w:hAnsi="宋体" w:eastAsia="宋体" w:cs="宋体"/>
                <w:sz w:val="21"/>
                <w:szCs w:val="21"/>
                <w:lang w:eastAsia="zh-CN"/>
              </w:rPr>
              <w:t>。</w:t>
            </w:r>
          </w:p>
        </w:tc>
        <w:tc>
          <w:tcPr>
            <w:tcW w:w="1089" w:type="dxa"/>
            <w:noWrap w:val="0"/>
            <w:vAlign w:val="center"/>
          </w:tcPr>
          <w:p w14:paraId="61A19276">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center"/>
              <w:textAlignment w:val="auto"/>
              <w:rPr>
                <w:rFonts w:hint="eastAsia" w:ascii="宋体" w:hAnsi="宋体" w:eastAsia="宋体" w:cs="宋体"/>
                <w:sz w:val="21"/>
                <w:szCs w:val="21"/>
                <w:lang w:eastAsia="zh-CN"/>
              </w:rPr>
            </w:pPr>
          </w:p>
        </w:tc>
      </w:tr>
      <w:tr w14:paraId="1517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80" w:type="dxa"/>
            <w:vMerge w:val="continue"/>
            <w:noWrap w:val="0"/>
            <w:vAlign w:val="center"/>
          </w:tcPr>
          <w:p w14:paraId="7E152ECD">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3B24A168">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2176F69C">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实质性条件</w:t>
            </w:r>
          </w:p>
        </w:tc>
        <w:tc>
          <w:tcPr>
            <w:tcW w:w="6200" w:type="dxa"/>
            <w:gridSpan w:val="2"/>
            <w:noWrap w:val="0"/>
            <w:vAlign w:val="center"/>
          </w:tcPr>
          <w:p w14:paraId="3684A2EA">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实质性响应</w:t>
            </w:r>
            <w:r>
              <w:rPr>
                <w:rFonts w:hint="eastAsia" w:ascii="宋体" w:hAnsi="宋体" w:eastAsia="宋体" w:cs="宋体"/>
                <w:sz w:val="21"/>
                <w:szCs w:val="21"/>
                <w:lang w:eastAsia="zh-CN"/>
              </w:rPr>
              <w:t>磋商文件</w:t>
            </w:r>
            <w:r>
              <w:rPr>
                <w:rFonts w:hint="eastAsia" w:ascii="宋体" w:hAnsi="宋体" w:eastAsia="宋体" w:cs="宋体"/>
                <w:sz w:val="21"/>
                <w:szCs w:val="21"/>
              </w:rPr>
              <w:t>内容规定</w:t>
            </w:r>
            <w:r>
              <w:rPr>
                <w:rFonts w:hint="eastAsia" w:ascii="宋体" w:hAnsi="宋体" w:eastAsia="宋体" w:cs="宋体"/>
                <w:sz w:val="21"/>
                <w:szCs w:val="21"/>
                <w:lang w:eastAsia="zh-CN"/>
              </w:rPr>
              <w:t>。</w:t>
            </w:r>
          </w:p>
        </w:tc>
        <w:tc>
          <w:tcPr>
            <w:tcW w:w="1089" w:type="dxa"/>
            <w:noWrap w:val="0"/>
            <w:vAlign w:val="center"/>
          </w:tcPr>
          <w:p w14:paraId="43EA5D3D">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center"/>
              <w:textAlignment w:val="auto"/>
              <w:rPr>
                <w:rFonts w:hint="eastAsia" w:ascii="宋体" w:hAnsi="宋体" w:eastAsia="宋体" w:cs="宋体"/>
                <w:sz w:val="21"/>
                <w:szCs w:val="21"/>
                <w:lang w:eastAsia="zh-CN"/>
              </w:rPr>
            </w:pPr>
          </w:p>
        </w:tc>
      </w:tr>
      <w:tr w14:paraId="1FB75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680" w:type="dxa"/>
            <w:vMerge w:val="continue"/>
            <w:noWrap w:val="0"/>
            <w:vAlign w:val="center"/>
          </w:tcPr>
          <w:p w14:paraId="07A5FB75">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720" w:type="dxa"/>
            <w:vMerge w:val="continue"/>
            <w:noWrap w:val="0"/>
            <w:vAlign w:val="center"/>
          </w:tcPr>
          <w:p w14:paraId="2CEB4E9B">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0" w:firstLineChars="200"/>
              <w:jc w:val="center"/>
              <w:textAlignment w:val="auto"/>
              <w:rPr>
                <w:rFonts w:hint="eastAsia" w:ascii="宋体" w:hAnsi="宋体" w:eastAsia="宋体" w:cs="宋体"/>
                <w:sz w:val="21"/>
                <w:szCs w:val="21"/>
                <w:lang w:eastAsia="zh-CN"/>
              </w:rPr>
            </w:pPr>
          </w:p>
        </w:tc>
        <w:tc>
          <w:tcPr>
            <w:tcW w:w="1820" w:type="dxa"/>
            <w:noWrap w:val="0"/>
            <w:vAlign w:val="center"/>
          </w:tcPr>
          <w:p w14:paraId="51B70DA8">
            <w:pPr>
              <w:autoSpaceDE/>
              <w:autoSpaceDN/>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其他要求</w:t>
            </w:r>
          </w:p>
        </w:tc>
        <w:tc>
          <w:tcPr>
            <w:tcW w:w="6200" w:type="dxa"/>
            <w:gridSpan w:val="2"/>
            <w:noWrap w:val="0"/>
            <w:vAlign w:val="center"/>
          </w:tcPr>
          <w:p w14:paraId="40288092">
            <w:pPr>
              <w:autoSpaceDE/>
              <w:autoSpaceDN/>
              <w:snapToGrid w:val="0"/>
              <w:jc w:val="left"/>
              <w:rPr>
                <w:rFonts w:hint="eastAsia" w:ascii="宋体" w:hAnsi="宋体" w:eastAsia="宋体" w:cs="宋体"/>
                <w:sz w:val="21"/>
                <w:szCs w:val="21"/>
                <w:lang w:eastAsia="zh-CN"/>
              </w:rPr>
            </w:pPr>
            <w:r>
              <w:rPr>
                <w:rFonts w:hint="eastAsia" w:ascii="宋体" w:hAnsi="宋体" w:eastAsia="宋体" w:cs="宋体"/>
                <w:sz w:val="21"/>
                <w:szCs w:val="21"/>
              </w:rPr>
              <w:t>竞争性磋商文件未含有采购人不能接受的附加条件，以及法律、法规和竞争性磋商文件规定的其他无效情形。</w:t>
            </w:r>
          </w:p>
        </w:tc>
        <w:tc>
          <w:tcPr>
            <w:tcW w:w="1089" w:type="dxa"/>
            <w:noWrap w:val="0"/>
            <w:vAlign w:val="center"/>
          </w:tcPr>
          <w:p w14:paraId="541FB189">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center"/>
              <w:textAlignment w:val="auto"/>
              <w:rPr>
                <w:rFonts w:hint="eastAsia" w:ascii="宋体" w:hAnsi="宋体" w:eastAsia="宋体" w:cs="宋体"/>
                <w:sz w:val="21"/>
                <w:szCs w:val="21"/>
                <w:lang w:eastAsia="zh-CN"/>
              </w:rPr>
            </w:pPr>
          </w:p>
        </w:tc>
      </w:tr>
      <w:tr w14:paraId="47456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80" w:type="dxa"/>
            <w:noWrap w:val="0"/>
            <w:vAlign w:val="center"/>
          </w:tcPr>
          <w:p w14:paraId="255683C9">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b/>
                <w:sz w:val="21"/>
                <w:szCs w:val="21"/>
              </w:rPr>
              <w:t>条款号</w:t>
            </w:r>
          </w:p>
        </w:tc>
        <w:tc>
          <w:tcPr>
            <w:tcW w:w="720" w:type="dxa"/>
            <w:noWrap w:val="0"/>
            <w:vAlign w:val="center"/>
          </w:tcPr>
          <w:p w14:paraId="500E0042">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jc w:val="both"/>
              <w:textAlignment w:val="auto"/>
              <w:rPr>
                <w:rFonts w:hint="eastAsia" w:ascii="宋体" w:hAnsi="宋体" w:eastAsia="宋体" w:cs="宋体"/>
                <w:sz w:val="21"/>
                <w:szCs w:val="21"/>
                <w:lang w:eastAsia="zh-CN"/>
              </w:rPr>
            </w:pPr>
            <w:r>
              <w:rPr>
                <w:rFonts w:hint="eastAsia" w:ascii="宋体" w:hAnsi="宋体" w:eastAsia="宋体" w:cs="宋体"/>
                <w:b/>
                <w:sz w:val="21"/>
                <w:szCs w:val="21"/>
              </w:rPr>
              <w:t>评审</w:t>
            </w:r>
            <w:r>
              <w:rPr>
                <w:rFonts w:hint="eastAsia" w:ascii="宋体" w:hAnsi="宋体" w:eastAsia="宋体" w:cs="宋体"/>
                <w:b/>
                <w:sz w:val="21"/>
                <w:szCs w:val="21"/>
                <w:lang w:eastAsia="zh-CN"/>
              </w:rPr>
              <w:t>因素</w:t>
            </w:r>
          </w:p>
        </w:tc>
        <w:tc>
          <w:tcPr>
            <w:tcW w:w="8020" w:type="dxa"/>
            <w:gridSpan w:val="3"/>
            <w:noWrap w:val="0"/>
            <w:vAlign w:val="center"/>
          </w:tcPr>
          <w:p w14:paraId="05756B11">
            <w:pPr>
              <w:keepNext w:val="0"/>
              <w:keepLines w:val="0"/>
              <w:pageBreakBefore w:val="0"/>
              <w:widowControl w:val="0"/>
              <w:kinsoku/>
              <w:wordWrap/>
              <w:overflowPunct/>
              <w:topLinePunct w:val="0"/>
              <w:autoSpaceDE w:val="0"/>
              <w:autoSpaceDN w:val="0"/>
              <w:bidi w:val="0"/>
              <w:adjustRightInd w:val="0"/>
              <w:snapToGrid w:val="0"/>
              <w:spacing w:before="100" w:beforeAutospacing="1" w:after="100" w:afterAutospacing="1" w:line="360" w:lineRule="auto"/>
              <w:ind w:firstLine="422" w:firstLineChars="200"/>
              <w:jc w:val="center"/>
              <w:textAlignment w:val="auto"/>
              <w:rPr>
                <w:rFonts w:hint="eastAsia" w:ascii="宋体" w:hAnsi="宋体" w:eastAsia="宋体" w:cs="宋体"/>
                <w:sz w:val="21"/>
                <w:szCs w:val="21"/>
                <w:lang w:eastAsia="zh-CN"/>
              </w:rPr>
            </w:pPr>
            <w:r>
              <w:rPr>
                <w:rFonts w:hint="eastAsia" w:ascii="宋体" w:hAnsi="宋体" w:eastAsia="宋体" w:cs="宋体"/>
                <w:b/>
                <w:sz w:val="21"/>
                <w:szCs w:val="21"/>
              </w:rPr>
              <w:t>评 审 内 容 及 标 准</w:t>
            </w:r>
          </w:p>
        </w:tc>
        <w:tc>
          <w:tcPr>
            <w:tcW w:w="1089" w:type="dxa"/>
            <w:noWrap w:val="0"/>
            <w:vAlign w:val="center"/>
          </w:tcPr>
          <w:p w14:paraId="4D2F354F">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sz w:val="21"/>
                <w:szCs w:val="21"/>
                <w:lang w:eastAsia="zh-CN"/>
              </w:rPr>
            </w:pPr>
            <w:r>
              <w:rPr>
                <w:rFonts w:hint="eastAsia" w:ascii="宋体" w:hAnsi="宋体" w:eastAsia="宋体" w:cs="宋体"/>
                <w:b/>
                <w:sz w:val="21"/>
                <w:szCs w:val="21"/>
                <w:lang w:eastAsia="zh-CN"/>
              </w:rPr>
              <w:t>说明</w:t>
            </w:r>
          </w:p>
        </w:tc>
      </w:tr>
      <w:tr w14:paraId="042D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680" w:type="dxa"/>
            <w:vMerge w:val="restart"/>
            <w:noWrap w:val="0"/>
            <w:vAlign w:val="center"/>
          </w:tcPr>
          <w:p w14:paraId="514B1B2F">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5.1</w:t>
            </w:r>
          </w:p>
        </w:tc>
        <w:tc>
          <w:tcPr>
            <w:tcW w:w="720" w:type="dxa"/>
            <w:vMerge w:val="restart"/>
            <w:noWrap w:val="0"/>
            <w:vAlign w:val="center"/>
          </w:tcPr>
          <w:p w14:paraId="1976DFD5">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详细评审标准</w:t>
            </w:r>
          </w:p>
        </w:tc>
        <w:tc>
          <w:tcPr>
            <w:tcW w:w="1820" w:type="dxa"/>
            <w:noWrap w:val="0"/>
            <w:vAlign w:val="center"/>
          </w:tcPr>
          <w:p w14:paraId="27D3121E">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1、磋商总得分计算公式</w:t>
            </w:r>
          </w:p>
        </w:tc>
        <w:tc>
          <w:tcPr>
            <w:tcW w:w="6200" w:type="dxa"/>
            <w:gridSpan w:val="2"/>
            <w:noWrap w:val="0"/>
            <w:vAlign w:val="center"/>
          </w:tcPr>
          <w:p w14:paraId="36E0BE86">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供应商的磋商总得分＝F1＋F2其中：</w:t>
            </w:r>
          </w:p>
          <w:p w14:paraId="72B662F3">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①F1、F2分别为磋商报价、技术部分</w:t>
            </w:r>
            <w:r>
              <w:rPr>
                <w:rFonts w:hint="eastAsia" w:cs="宋体"/>
                <w:sz w:val="21"/>
                <w:szCs w:val="21"/>
                <w:lang w:val="en-US" w:eastAsia="zh-CN"/>
              </w:rPr>
              <w:t>2</w:t>
            </w:r>
            <w:r>
              <w:rPr>
                <w:rFonts w:hint="eastAsia" w:ascii="宋体" w:hAnsi="宋体" w:eastAsia="宋体" w:cs="宋体"/>
                <w:sz w:val="21"/>
                <w:szCs w:val="21"/>
                <w:lang w:eastAsia="zh-CN"/>
              </w:rPr>
              <w:t>项评分因素的汇总得分</w:t>
            </w:r>
          </w:p>
        </w:tc>
        <w:tc>
          <w:tcPr>
            <w:tcW w:w="1089" w:type="dxa"/>
            <w:noWrap w:val="0"/>
            <w:vAlign w:val="center"/>
          </w:tcPr>
          <w:p w14:paraId="5EF94574">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781C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80" w:type="dxa"/>
            <w:vMerge w:val="continue"/>
            <w:noWrap w:val="0"/>
            <w:vAlign w:val="center"/>
          </w:tcPr>
          <w:p w14:paraId="3E4F515E">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c>
          <w:tcPr>
            <w:tcW w:w="720" w:type="dxa"/>
            <w:vMerge w:val="continue"/>
            <w:noWrap w:val="0"/>
            <w:vAlign w:val="center"/>
          </w:tcPr>
          <w:p w14:paraId="25CC09FD">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c>
          <w:tcPr>
            <w:tcW w:w="1820" w:type="dxa"/>
            <w:noWrap w:val="0"/>
            <w:vAlign w:val="center"/>
          </w:tcPr>
          <w:p w14:paraId="72CFDEDF">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2、评分因素分值及权重</w:t>
            </w:r>
          </w:p>
        </w:tc>
        <w:tc>
          <w:tcPr>
            <w:tcW w:w="6200" w:type="dxa"/>
            <w:gridSpan w:val="2"/>
            <w:noWrap w:val="0"/>
            <w:vAlign w:val="center"/>
          </w:tcPr>
          <w:p w14:paraId="5DA46A26">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磋商报价评审F1：满分</w:t>
            </w:r>
            <w:r>
              <w:rPr>
                <w:rFonts w:hint="eastAsia" w:ascii="宋体" w:hAnsi="宋体" w:eastAsia="宋体" w:cs="宋体"/>
                <w:sz w:val="21"/>
                <w:szCs w:val="21"/>
                <w:u w:val="single"/>
                <w:lang w:eastAsia="zh-CN"/>
              </w:rPr>
              <w:t xml:space="preserve"> </w:t>
            </w:r>
            <w:r>
              <w:rPr>
                <w:rFonts w:hint="eastAsia" w:cs="宋体"/>
                <w:sz w:val="21"/>
                <w:szCs w:val="21"/>
                <w:u w:val="single"/>
                <w:lang w:val="en-US" w:eastAsia="zh-CN"/>
              </w:rPr>
              <w:t>30</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分。</w:t>
            </w:r>
          </w:p>
          <w:p w14:paraId="07AA9B07">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技术部分评审F2：满分</w:t>
            </w:r>
            <w:r>
              <w:rPr>
                <w:rFonts w:hint="eastAsia" w:ascii="宋体" w:hAnsi="宋体" w:eastAsia="宋体" w:cs="宋体"/>
                <w:sz w:val="21"/>
                <w:szCs w:val="21"/>
                <w:u w:val="single"/>
                <w:lang w:eastAsia="zh-CN"/>
              </w:rPr>
              <w:t xml:space="preserve"> </w:t>
            </w:r>
            <w:r>
              <w:rPr>
                <w:rFonts w:hint="eastAsia" w:cs="宋体"/>
                <w:sz w:val="21"/>
                <w:szCs w:val="21"/>
                <w:u w:val="single"/>
                <w:lang w:val="en-US" w:eastAsia="zh-CN"/>
              </w:rPr>
              <w:t>70</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分。</w:t>
            </w:r>
          </w:p>
        </w:tc>
        <w:tc>
          <w:tcPr>
            <w:tcW w:w="1089" w:type="dxa"/>
            <w:noWrap w:val="0"/>
            <w:vAlign w:val="center"/>
          </w:tcPr>
          <w:p w14:paraId="5F0C1AAB">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p w14:paraId="563F2CA5">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p>
        </w:tc>
      </w:tr>
      <w:tr w14:paraId="13F02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noWrap w:val="0"/>
            <w:vAlign w:val="center"/>
          </w:tcPr>
          <w:p w14:paraId="2C34FC33">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c>
          <w:tcPr>
            <w:tcW w:w="720" w:type="dxa"/>
            <w:vMerge w:val="continue"/>
            <w:noWrap w:val="0"/>
            <w:vAlign w:val="center"/>
          </w:tcPr>
          <w:p w14:paraId="7D75A1E9">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c>
          <w:tcPr>
            <w:tcW w:w="1820" w:type="dxa"/>
            <w:tcBorders>
              <w:bottom w:val="single" w:color="auto" w:sz="4" w:space="0"/>
            </w:tcBorders>
            <w:noWrap w:val="0"/>
            <w:vAlign w:val="center"/>
          </w:tcPr>
          <w:p w14:paraId="2A0F88EA">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3、磋商报价评审F1（满分</w:t>
            </w:r>
            <w:r>
              <w:rPr>
                <w:rFonts w:hint="eastAsia" w:cs="宋体"/>
                <w:sz w:val="21"/>
                <w:szCs w:val="21"/>
                <w:u w:val="single"/>
                <w:lang w:val="en-US" w:eastAsia="zh-CN"/>
              </w:rPr>
              <w:t>30</w:t>
            </w:r>
            <w:r>
              <w:rPr>
                <w:rFonts w:hint="eastAsia" w:ascii="宋体" w:hAnsi="宋体" w:eastAsia="宋体" w:cs="宋体"/>
                <w:sz w:val="21"/>
                <w:szCs w:val="21"/>
                <w:lang w:eastAsia="zh-CN"/>
              </w:rPr>
              <w:t>分）</w:t>
            </w:r>
          </w:p>
        </w:tc>
        <w:tc>
          <w:tcPr>
            <w:tcW w:w="6200" w:type="dxa"/>
            <w:gridSpan w:val="2"/>
            <w:tcBorders>
              <w:bottom w:val="single" w:color="auto" w:sz="4" w:space="0"/>
            </w:tcBorders>
            <w:noWrap w:val="0"/>
            <w:vAlign w:val="center"/>
          </w:tcPr>
          <w:p w14:paraId="76B7B4A6">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报价评分采用低价优先法计算，即满足磋商文件要求且最后报价最低的供应商的价格为磋商基准价，其报价分为满分。其他供应商的报价分统一按照下列公式计算：</w:t>
            </w:r>
          </w:p>
          <w:p w14:paraId="6EB9F707">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磋商报价得分=（磋商基准价/最后磋商报价）×分值</w:t>
            </w:r>
          </w:p>
          <w:p w14:paraId="546D67CF">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注：</w:t>
            </w:r>
          </w:p>
          <w:p w14:paraId="68698F83">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1）此处最后报价指经过报价修正，及落实政府采购政策进行价格调整后的报价，详见第三章《评审方法和评审标准》；</w:t>
            </w:r>
          </w:p>
          <w:p w14:paraId="01394D21">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2）残疾人福利性单位、监狱企业视同小型、微型企业。</w:t>
            </w:r>
          </w:p>
          <w:p w14:paraId="73C872CA">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3）监狱企业或残疾人福利性单位属于小型、微型企业的，不重复计算，只进行一次价格扣除。</w:t>
            </w:r>
          </w:p>
        </w:tc>
        <w:tc>
          <w:tcPr>
            <w:tcW w:w="1089" w:type="dxa"/>
            <w:tcBorders>
              <w:bottom w:val="single" w:color="auto" w:sz="4" w:space="0"/>
            </w:tcBorders>
            <w:noWrap w:val="0"/>
            <w:vAlign w:val="center"/>
          </w:tcPr>
          <w:p w14:paraId="55371BB6">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153A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680" w:type="dxa"/>
            <w:vMerge w:val="restart"/>
            <w:noWrap w:val="0"/>
            <w:vAlign w:val="center"/>
          </w:tcPr>
          <w:p w14:paraId="37FE644D">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5.1</w:t>
            </w:r>
          </w:p>
        </w:tc>
        <w:tc>
          <w:tcPr>
            <w:tcW w:w="720" w:type="dxa"/>
            <w:vMerge w:val="restart"/>
            <w:noWrap w:val="0"/>
            <w:vAlign w:val="center"/>
          </w:tcPr>
          <w:p w14:paraId="15ABDF7D">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评审标准</w:t>
            </w:r>
          </w:p>
        </w:tc>
        <w:tc>
          <w:tcPr>
            <w:tcW w:w="1820" w:type="dxa"/>
            <w:vMerge w:val="restart"/>
            <w:noWrap w:val="0"/>
            <w:vAlign w:val="center"/>
          </w:tcPr>
          <w:p w14:paraId="4A42D37A">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4、技术部分评审F2（满分</w:t>
            </w:r>
            <w:r>
              <w:rPr>
                <w:rFonts w:hint="eastAsia" w:cs="宋体"/>
                <w:sz w:val="21"/>
                <w:szCs w:val="21"/>
                <w:u w:val="single"/>
                <w:lang w:val="en-US" w:eastAsia="zh-CN"/>
              </w:rPr>
              <w:t>70</w:t>
            </w:r>
            <w:r>
              <w:rPr>
                <w:rFonts w:hint="eastAsia" w:ascii="宋体" w:hAnsi="宋体" w:eastAsia="宋体" w:cs="宋体"/>
                <w:sz w:val="21"/>
                <w:szCs w:val="21"/>
                <w:lang w:eastAsia="zh-CN"/>
              </w:rPr>
              <w:t>分）</w:t>
            </w:r>
          </w:p>
        </w:tc>
        <w:tc>
          <w:tcPr>
            <w:tcW w:w="955" w:type="dxa"/>
            <w:noWrap w:val="0"/>
            <w:vAlign w:val="center"/>
          </w:tcPr>
          <w:p w14:paraId="7DF1F3A2">
            <w:pPr>
              <w:widowControl/>
              <w:ind w:left="-2" w:leftChars="-1" w:firstLine="73" w:firstLineChars="35"/>
              <w:jc w:val="center"/>
              <w:textAlignment w:val="center"/>
              <w:rPr>
                <w:rFonts w:hint="eastAsia" w:ascii="宋体" w:hAnsi="宋体" w:eastAsia="宋体" w:cs="宋体"/>
                <w:sz w:val="21"/>
                <w:szCs w:val="21"/>
                <w:lang w:eastAsia="zh-CN"/>
              </w:rPr>
            </w:pPr>
            <w:r>
              <w:rPr>
                <w:rFonts w:hint="eastAsia"/>
                <w:sz w:val="21"/>
                <w:szCs w:val="21"/>
              </w:rPr>
              <w:t>内容完整和编制水平（满分</w:t>
            </w:r>
            <w:r>
              <w:rPr>
                <w:rFonts w:hint="eastAsia"/>
                <w:sz w:val="21"/>
                <w:szCs w:val="21"/>
                <w:lang w:eastAsia="zh-CN"/>
              </w:rPr>
              <w:t>5</w:t>
            </w:r>
            <w:r>
              <w:rPr>
                <w:rFonts w:hint="eastAsia"/>
                <w:sz w:val="21"/>
                <w:szCs w:val="21"/>
              </w:rPr>
              <w:t>分）</w:t>
            </w:r>
          </w:p>
        </w:tc>
        <w:tc>
          <w:tcPr>
            <w:tcW w:w="5245" w:type="dxa"/>
            <w:noWrap w:val="0"/>
            <w:vAlign w:val="center"/>
          </w:tcPr>
          <w:p w14:paraId="222D8702">
            <w:pPr>
              <w:widowControl/>
              <w:spacing w:line="276" w:lineRule="auto"/>
              <w:textAlignment w:val="center"/>
              <w:rPr>
                <w:sz w:val="21"/>
                <w:szCs w:val="21"/>
              </w:rPr>
            </w:pPr>
            <w:r>
              <w:rPr>
                <w:rFonts w:hint="eastAsia"/>
                <w:sz w:val="21"/>
                <w:szCs w:val="21"/>
              </w:rPr>
              <w:t>第一档（</w:t>
            </w:r>
            <w:r>
              <w:rPr>
                <w:rFonts w:hint="eastAsia"/>
                <w:sz w:val="21"/>
                <w:szCs w:val="21"/>
                <w:lang w:eastAsia="zh-CN"/>
              </w:rPr>
              <w:t>5</w:t>
            </w:r>
            <w:r>
              <w:rPr>
                <w:rFonts w:hint="eastAsia"/>
                <w:sz w:val="21"/>
                <w:szCs w:val="21"/>
              </w:rPr>
              <w:t>分）：</w:t>
            </w:r>
            <w:r>
              <w:rPr>
                <w:rFonts w:hint="eastAsia"/>
                <w:kern w:val="2"/>
                <w:sz w:val="21"/>
                <w:szCs w:val="21"/>
                <w:lang w:eastAsia="zh-CN"/>
              </w:rPr>
              <w:t>版面整齐，表述清晰，内容全面、准确，图文并茂，未出现格式等错误。</w:t>
            </w:r>
          </w:p>
          <w:p w14:paraId="1AE23254">
            <w:pPr>
              <w:spacing w:line="276" w:lineRule="auto"/>
              <w:rPr>
                <w:rFonts w:hint="eastAsia" w:ascii="宋体" w:hAnsi="宋体" w:eastAsia="宋体" w:cs="宋体"/>
                <w:sz w:val="21"/>
                <w:szCs w:val="21"/>
                <w:lang w:eastAsia="zh-CN"/>
              </w:rPr>
            </w:pPr>
            <w:r>
              <w:rPr>
                <w:rFonts w:hint="eastAsia"/>
                <w:sz w:val="21"/>
                <w:szCs w:val="21"/>
              </w:rPr>
              <w:t>第二档（</w:t>
            </w:r>
            <w:r>
              <w:rPr>
                <w:rFonts w:hint="eastAsia"/>
                <w:sz w:val="21"/>
                <w:szCs w:val="21"/>
                <w:lang w:eastAsia="zh-CN"/>
              </w:rPr>
              <w:t>3</w:t>
            </w:r>
            <w:r>
              <w:rPr>
                <w:rFonts w:hint="eastAsia"/>
                <w:sz w:val="21"/>
                <w:szCs w:val="21"/>
              </w:rPr>
              <w:t>分）：</w:t>
            </w:r>
            <w:r>
              <w:rPr>
                <w:rFonts w:hint="eastAsia"/>
                <w:kern w:val="2"/>
                <w:sz w:val="21"/>
                <w:szCs w:val="21"/>
                <w:lang w:eastAsia="zh-CN"/>
              </w:rPr>
              <w:t>版面不够整齐，表述不够清晰，内容不够完整、准确，(少)图。</w:t>
            </w:r>
          </w:p>
        </w:tc>
        <w:tc>
          <w:tcPr>
            <w:tcW w:w="1089" w:type="dxa"/>
            <w:vMerge w:val="restart"/>
            <w:noWrap w:val="0"/>
            <w:vAlign w:val="center"/>
          </w:tcPr>
          <w:p w14:paraId="7CC31EC9">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0E78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80" w:type="dxa"/>
            <w:vMerge w:val="continue"/>
            <w:noWrap w:val="0"/>
            <w:vAlign w:val="center"/>
          </w:tcPr>
          <w:p w14:paraId="4050822B">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720" w:type="dxa"/>
            <w:vMerge w:val="continue"/>
            <w:noWrap w:val="0"/>
            <w:vAlign w:val="center"/>
          </w:tcPr>
          <w:p w14:paraId="06A09BF8">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rPr>
            </w:pPr>
          </w:p>
        </w:tc>
        <w:tc>
          <w:tcPr>
            <w:tcW w:w="1820" w:type="dxa"/>
            <w:vMerge w:val="continue"/>
            <w:noWrap w:val="0"/>
            <w:vAlign w:val="center"/>
          </w:tcPr>
          <w:p w14:paraId="478D5294">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955" w:type="dxa"/>
            <w:noWrap w:val="0"/>
            <w:vAlign w:val="center"/>
          </w:tcPr>
          <w:p w14:paraId="09D78342">
            <w:pPr>
              <w:spacing w:line="360" w:lineRule="auto"/>
              <w:jc w:val="center"/>
              <w:rPr>
                <w:rFonts w:hint="eastAsia" w:ascii="宋体" w:hAnsi="宋体" w:eastAsia="宋体" w:cs="宋体"/>
                <w:sz w:val="21"/>
                <w:szCs w:val="21"/>
                <w:lang w:eastAsia="zh-CN"/>
              </w:rPr>
            </w:pPr>
            <w:r>
              <w:rPr>
                <w:rFonts w:hint="eastAsia"/>
                <w:sz w:val="21"/>
                <w:szCs w:val="21"/>
              </w:rPr>
              <w:t>施工方案与技术措施（满分</w:t>
            </w:r>
            <w:r>
              <w:rPr>
                <w:rFonts w:hint="eastAsia"/>
                <w:sz w:val="21"/>
                <w:szCs w:val="21"/>
                <w:lang w:eastAsia="zh-CN"/>
              </w:rPr>
              <w:t>2</w:t>
            </w:r>
            <w:r>
              <w:rPr>
                <w:rFonts w:hint="eastAsia"/>
                <w:sz w:val="21"/>
                <w:szCs w:val="21"/>
              </w:rPr>
              <w:t>0分）</w:t>
            </w:r>
          </w:p>
        </w:tc>
        <w:tc>
          <w:tcPr>
            <w:tcW w:w="5245" w:type="dxa"/>
            <w:noWrap w:val="0"/>
            <w:vAlign w:val="center"/>
          </w:tcPr>
          <w:p w14:paraId="023F69EA">
            <w:pPr>
              <w:spacing w:line="276" w:lineRule="auto"/>
              <w:ind w:left="110" w:leftChars="50" w:right="110" w:rightChars="50"/>
              <w:rPr>
                <w:sz w:val="21"/>
                <w:szCs w:val="21"/>
              </w:rPr>
            </w:pPr>
            <w:r>
              <w:rPr>
                <w:rFonts w:hint="eastAsia"/>
                <w:sz w:val="21"/>
                <w:szCs w:val="21"/>
              </w:rPr>
              <w:t>第一档（</w:t>
            </w:r>
            <w:r>
              <w:rPr>
                <w:rFonts w:hint="eastAsia"/>
                <w:sz w:val="21"/>
                <w:szCs w:val="21"/>
                <w:lang w:eastAsia="zh-CN"/>
              </w:rPr>
              <w:t>2</w:t>
            </w:r>
            <w:r>
              <w:rPr>
                <w:rFonts w:hint="eastAsia"/>
                <w:sz w:val="21"/>
                <w:szCs w:val="21"/>
              </w:rPr>
              <w:t>0分）：对项目总体概况表述清晰、完整；部署及措施先进、可靠；对项目主要及关键方案有深入的表述，对重点、难点分析透彻，解决方案切实可行；符合环保、安全、文明生产要求。总工期及节点工期满足</w:t>
            </w:r>
            <w:r>
              <w:rPr>
                <w:rFonts w:hint="eastAsia"/>
                <w:sz w:val="21"/>
                <w:szCs w:val="21"/>
                <w:lang w:eastAsia="zh-CN"/>
              </w:rPr>
              <w:t>竞争性磋商文件</w:t>
            </w:r>
            <w:r>
              <w:rPr>
                <w:rFonts w:hint="eastAsia"/>
                <w:sz w:val="21"/>
                <w:szCs w:val="21"/>
              </w:rPr>
              <w:t>要求；施工进度计划内容全面，线路清晰、准确、完整。</w:t>
            </w:r>
          </w:p>
          <w:p w14:paraId="221ED85E">
            <w:pPr>
              <w:spacing w:line="276" w:lineRule="auto"/>
              <w:ind w:left="110" w:leftChars="50" w:right="110" w:rightChars="50"/>
              <w:rPr>
                <w:sz w:val="21"/>
                <w:szCs w:val="21"/>
              </w:rPr>
            </w:pPr>
            <w:r>
              <w:rPr>
                <w:rFonts w:hint="eastAsia"/>
                <w:sz w:val="21"/>
                <w:szCs w:val="21"/>
              </w:rPr>
              <w:t>第二档（1</w:t>
            </w:r>
            <w:r>
              <w:rPr>
                <w:rFonts w:hint="eastAsia"/>
                <w:sz w:val="21"/>
                <w:szCs w:val="21"/>
                <w:lang w:val="en-US" w:eastAsia="zh-CN"/>
              </w:rPr>
              <w:t>6</w:t>
            </w:r>
            <w:r>
              <w:rPr>
                <w:rFonts w:hint="eastAsia"/>
                <w:sz w:val="21"/>
                <w:szCs w:val="21"/>
              </w:rPr>
              <w:t>分）：对项目总体概况表述较清晰、完整；部署及措施具体较可靠；对项目主要及关键方案有表述，对项目重点、难点的解决方案基本可行</w:t>
            </w:r>
            <w:r>
              <w:rPr>
                <w:rFonts w:hint="eastAsia"/>
                <w:sz w:val="21"/>
                <w:szCs w:val="21"/>
                <w:lang w:eastAsia="zh-CN"/>
              </w:rPr>
              <w:t>；</w:t>
            </w:r>
            <w:r>
              <w:rPr>
                <w:rFonts w:hint="eastAsia"/>
                <w:sz w:val="21"/>
                <w:szCs w:val="21"/>
              </w:rPr>
              <w:t>基本符合环保、安全、文明生产要求。总工期及节点工期满足</w:t>
            </w:r>
            <w:r>
              <w:rPr>
                <w:rFonts w:hint="eastAsia"/>
                <w:sz w:val="21"/>
                <w:szCs w:val="21"/>
                <w:lang w:eastAsia="zh-CN"/>
              </w:rPr>
              <w:t>竞争性磋商文件</w:t>
            </w:r>
            <w:r>
              <w:rPr>
                <w:rFonts w:hint="eastAsia"/>
                <w:sz w:val="21"/>
                <w:szCs w:val="21"/>
              </w:rPr>
              <w:t>要求。</w:t>
            </w:r>
          </w:p>
          <w:p w14:paraId="79AE0A72">
            <w:pPr>
              <w:spacing w:line="276" w:lineRule="auto"/>
              <w:ind w:left="110" w:leftChars="50" w:right="110" w:rightChars="50"/>
              <w:rPr>
                <w:rFonts w:hint="eastAsia" w:ascii="宋体" w:hAnsi="宋体" w:eastAsia="宋体" w:cs="宋体"/>
                <w:sz w:val="21"/>
                <w:szCs w:val="21"/>
                <w:lang w:eastAsia="zh-CN"/>
              </w:rPr>
            </w:pPr>
            <w:r>
              <w:rPr>
                <w:rFonts w:hint="eastAsia"/>
                <w:sz w:val="21"/>
                <w:szCs w:val="21"/>
              </w:rPr>
              <w:t>第三档（</w:t>
            </w:r>
            <w:r>
              <w:rPr>
                <w:rFonts w:hint="eastAsia"/>
                <w:sz w:val="21"/>
                <w:szCs w:val="21"/>
                <w:lang w:eastAsia="zh-CN"/>
              </w:rPr>
              <w:t>12</w:t>
            </w:r>
            <w:r>
              <w:rPr>
                <w:rFonts w:hint="eastAsia"/>
                <w:sz w:val="21"/>
                <w:szCs w:val="21"/>
              </w:rPr>
              <w:t>分）：对项目总体概况表述欠清晰；部署及措施不具体；对项目主要及关键方案表述欠清晰。</w:t>
            </w:r>
          </w:p>
        </w:tc>
        <w:tc>
          <w:tcPr>
            <w:tcW w:w="1089" w:type="dxa"/>
            <w:vMerge w:val="continue"/>
            <w:noWrap w:val="0"/>
            <w:vAlign w:val="center"/>
          </w:tcPr>
          <w:p w14:paraId="0ED66BB5">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5475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680" w:type="dxa"/>
            <w:vMerge w:val="continue"/>
            <w:noWrap w:val="0"/>
            <w:vAlign w:val="center"/>
          </w:tcPr>
          <w:p w14:paraId="643D0F4B">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720" w:type="dxa"/>
            <w:vMerge w:val="continue"/>
            <w:noWrap w:val="0"/>
            <w:vAlign w:val="center"/>
          </w:tcPr>
          <w:p w14:paraId="1E76D605">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rPr>
            </w:pPr>
          </w:p>
        </w:tc>
        <w:tc>
          <w:tcPr>
            <w:tcW w:w="1820" w:type="dxa"/>
            <w:vMerge w:val="continue"/>
            <w:noWrap w:val="0"/>
            <w:vAlign w:val="center"/>
          </w:tcPr>
          <w:p w14:paraId="760FC697">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955" w:type="dxa"/>
            <w:noWrap w:val="0"/>
            <w:vAlign w:val="center"/>
          </w:tcPr>
          <w:p w14:paraId="4A24B229">
            <w:pPr>
              <w:spacing w:line="360" w:lineRule="auto"/>
              <w:jc w:val="center"/>
              <w:rPr>
                <w:rFonts w:hint="eastAsia" w:ascii="宋体" w:hAnsi="宋体" w:eastAsia="宋体" w:cs="宋体"/>
                <w:sz w:val="21"/>
                <w:szCs w:val="21"/>
                <w:lang w:eastAsia="zh-CN"/>
              </w:rPr>
            </w:pPr>
            <w:r>
              <w:rPr>
                <w:rFonts w:hint="eastAsia"/>
                <w:sz w:val="21"/>
                <w:szCs w:val="21"/>
              </w:rPr>
              <w:t>质量管理体系与措施（满分</w:t>
            </w:r>
            <w:r>
              <w:rPr>
                <w:rFonts w:hint="eastAsia"/>
                <w:sz w:val="21"/>
                <w:szCs w:val="21"/>
                <w:lang w:eastAsia="zh-CN"/>
              </w:rPr>
              <w:t>15</w:t>
            </w:r>
            <w:r>
              <w:rPr>
                <w:rFonts w:hint="eastAsia"/>
                <w:sz w:val="21"/>
                <w:szCs w:val="21"/>
              </w:rPr>
              <w:t>分）</w:t>
            </w:r>
          </w:p>
        </w:tc>
        <w:tc>
          <w:tcPr>
            <w:tcW w:w="5245" w:type="dxa"/>
            <w:noWrap w:val="0"/>
            <w:vAlign w:val="center"/>
          </w:tcPr>
          <w:p w14:paraId="38591489">
            <w:pPr>
              <w:spacing w:line="276" w:lineRule="auto"/>
              <w:rPr>
                <w:sz w:val="21"/>
                <w:szCs w:val="21"/>
              </w:rPr>
            </w:pPr>
            <w:r>
              <w:rPr>
                <w:rFonts w:hint="eastAsia"/>
                <w:sz w:val="21"/>
                <w:szCs w:val="21"/>
              </w:rPr>
              <w:t>第一档（</w:t>
            </w:r>
            <w:r>
              <w:rPr>
                <w:rFonts w:hint="eastAsia"/>
                <w:sz w:val="21"/>
                <w:szCs w:val="21"/>
                <w:lang w:eastAsia="zh-CN"/>
              </w:rPr>
              <w:t>15</w:t>
            </w:r>
            <w:r>
              <w:rPr>
                <w:rFonts w:hint="eastAsia"/>
                <w:sz w:val="21"/>
                <w:szCs w:val="21"/>
              </w:rPr>
              <w:t>分）：质量符合或优于</w:t>
            </w:r>
            <w:r>
              <w:rPr>
                <w:rFonts w:hint="eastAsia"/>
                <w:sz w:val="21"/>
                <w:szCs w:val="21"/>
                <w:lang w:eastAsia="zh-CN"/>
              </w:rPr>
              <w:t>竞争性磋商文件</w:t>
            </w:r>
            <w:r>
              <w:rPr>
                <w:rFonts w:hint="eastAsia"/>
                <w:sz w:val="21"/>
                <w:szCs w:val="21"/>
              </w:rPr>
              <w:t>要求且目标明确；质量管理机构健全，职责分工明确；管理制度齐全；实施与监控措施全面、有效。</w:t>
            </w:r>
          </w:p>
          <w:p w14:paraId="4D7654E2">
            <w:pPr>
              <w:spacing w:line="276" w:lineRule="auto"/>
              <w:rPr>
                <w:sz w:val="21"/>
                <w:szCs w:val="21"/>
              </w:rPr>
            </w:pPr>
            <w:r>
              <w:rPr>
                <w:rFonts w:hint="eastAsia"/>
                <w:sz w:val="21"/>
                <w:szCs w:val="21"/>
              </w:rPr>
              <w:t>第二档（1</w:t>
            </w:r>
            <w:r>
              <w:rPr>
                <w:rFonts w:hint="eastAsia"/>
                <w:sz w:val="21"/>
                <w:szCs w:val="21"/>
                <w:lang w:val="en-US" w:eastAsia="zh-CN"/>
              </w:rPr>
              <w:t>1</w:t>
            </w:r>
            <w:r>
              <w:rPr>
                <w:rFonts w:hint="eastAsia"/>
                <w:sz w:val="21"/>
                <w:szCs w:val="21"/>
              </w:rPr>
              <w:t>分）：质量目标符合或优于</w:t>
            </w:r>
            <w:r>
              <w:rPr>
                <w:rFonts w:hint="eastAsia"/>
                <w:sz w:val="21"/>
                <w:szCs w:val="21"/>
                <w:lang w:eastAsia="zh-CN"/>
              </w:rPr>
              <w:t>竞争性磋商文件</w:t>
            </w:r>
            <w:r>
              <w:rPr>
                <w:rFonts w:hint="eastAsia"/>
                <w:sz w:val="21"/>
                <w:szCs w:val="21"/>
              </w:rPr>
              <w:t>要求且目标明确；管理机构欠健全，职责分工基本明确，管理制度基本齐全，实施与监控措施欠完整。</w:t>
            </w:r>
          </w:p>
          <w:p w14:paraId="2AF092AB">
            <w:pPr>
              <w:spacing w:line="276" w:lineRule="auto"/>
              <w:rPr>
                <w:rFonts w:hint="eastAsia" w:ascii="宋体" w:hAnsi="宋体" w:eastAsia="宋体" w:cs="宋体"/>
                <w:sz w:val="21"/>
                <w:szCs w:val="21"/>
                <w:lang w:eastAsia="zh-CN"/>
              </w:rPr>
            </w:pPr>
            <w:r>
              <w:rPr>
                <w:rFonts w:hint="eastAsia"/>
                <w:sz w:val="21"/>
                <w:szCs w:val="21"/>
              </w:rPr>
              <w:t>第三档（</w:t>
            </w:r>
            <w:r>
              <w:rPr>
                <w:rFonts w:hint="eastAsia"/>
                <w:sz w:val="21"/>
                <w:szCs w:val="21"/>
                <w:lang w:eastAsia="zh-CN"/>
              </w:rPr>
              <w:t>7</w:t>
            </w:r>
            <w:r>
              <w:rPr>
                <w:rFonts w:hint="eastAsia"/>
                <w:sz w:val="21"/>
                <w:szCs w:val="21"/>
              </w:rPr>
              <w:t>分）：质量目标符合或优于</w:t>
            </w:r>
            <w:r>
              <w:rPr>
                <w:rFonts w:hint="eastAsia"/>
                <w:sz w:val="21"/>
                <w:szCs w:val="21"/>
                <w:lang w:eastAsia="zh-CN"/>
              </w:rPr>
              <w:t>竞争性磋商文件</w:t>
            </w:r>
            <w:r>
              <w:rPr>
                <w:rFonts w:hint="eastAsia"/>
                <w:sz w:val="21"/>
                <w:szCs w:val="21"/>
              </w:rPr>
              <w:t>要求且目标明确；管理机构欠健全，职责分工不明确，管理制度不齐全，实施与监控措施不完整。</w:t>
            </w:r>
          </w:p>
        </w:tc>
        <w:tc>
          <w:tcPr>
            <w:tcW w:w="1089" w:type="dxa"/>
            <w:vMerge w:val="continue"/>
            <w:noWrap w:val="0"/>
            <w:vAlign w:val="center"/>
          </w:tcPr>
          <w:p w14:paraId="01357053">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449B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80" w:type="dxa"/>
            <w:vMerge w:val="continue"/>
            <w:noWrap w:val="0"/>
            <w:vAlign w:val="center"/>
          </w:tcPr>
          <w:p w14:paraId="1A5074A2">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720" w:type="dxa"/>
            <w:vMerge w:val="continue"/>
            <w:noWrap w:val="0"/>
            <w:vAlign w:val="center"/>
          </w:tcPr>
          <w:p w14:paraId="6F615786">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rPr>
            </w:pPr>
          </w:p>
        </w:tc>
        <w:tc>
          <w:tcPr>
            <w:tcW w:w="1820" w:type="dxa"/>
            <w:vMerge w:val="continue"/>
            <w:noWrap w:val="0"/>
            <w:vAlign w:val="center"/>
          </w:tcPr>
          <w:p w14:paraId="3AC99C0D">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955" w:type="dxa"/>
            <w:noWrap w:val="0"/>
            <w:vAlign w:val="center"/>
          </w:tcPr>
          <w:p w14:paraId="644B9A56">
            <w:pPr>
              <w:spacing w:line="276" w:lineRule="auto"/>
              <w:jc w:val="center"/>
              <w:rPr>
                <w:rFonts w:hint="eastAsia" w:ascii="宋体" w:hAnsi="宋体" w:eastAsia="宋体" w:cs="宋体"/>
                <w:sz w:val="21"/>
                <w:szCs w:val="21"/>
                <w:lang w:eastAsia="zh-CN"/>
              </w:rPr>
            </w:pPr>
            <w:r>
              <w:rPr>
                <w:rFonts w:hint="eastAsia"/>
                <w:sz w:val="21"/>
                <w:szCs w:val="21"/>
              </w:rPr>
              <w:t>环境保护安全管理体系与措施（满分</w:t>
            </w:r>
            <w:r>
              <w:rPr>
                <w:rFonts w:hint="eastAsia"/>
                <w:sz w:val="21"/>
                <w:szCs w:val="21"/>
                <w:lang w:eastAsia="zh-CN"/>
              </w:rPr>
              <w:t>15分</w:t>
            </w:r>
            <w:r>
              <w:rPr>
                <w:rFonts w:hint="eastAsia"/>
                <w:sz w:val="21"/>
                <w:szCs w:val="21"/>
              </w:rPr>
              <w:t>）</w:t>
            </w:r>
          </w:p>
        </w:tc>
        <w:tc>
          <w:tcPr>
            <w:tcW w:w="5245" w:type="dxa"/>
            <w:noWrap w:val="0"/>
            <w:vAlign w:val="center"/>
          </w:tcPr>
          <w:p w14:paraId="7D0A1BFB">
            <w:pPr>
              <w:spacing w:line="276" w:lineRule="auto"/>
              <w:rPr>
                <w:sz w:val="21"/>
                <w:szCs w:val="21"/>
              </w:rPr>
            </w:pPr>
            <w:r>
              <w:rPr>
                <w:rFonts w:hint="eastAsia"/>
                <w:sz w:val="21"/>
                <w:szCs w:val="21"/>
              </w:rPr>
              <w:t>第一档（</w:t>
            </w:r>
            <w:r>
              <w:rPr>
                <w:rFonts w:hint="eastAsia"/>
                <w:sz w:val="21"/>
                <w:szCs w:val="21"/>
                <w:lang w:eastAsia="zh-CN"/>
              </w:rPr>
              <w:t>15</w:t>
            </w:r>
            <w:r>
              <w:rPr>
                <w:rFonts w:hint="eastAsia"/>
                <w:sz w:val="21"/>
                <w:szCs w:val="21"/>
              </w:rPr>
              <w:t>分）：环境保护安全目标符合或优于</w:t>
            </w:r>
            <w:r>
              <w:rPr>
                <w:rFonts w:hint="eastAsia"/>
                <w:sz w:val="21"/>
                <w:szCs w:val="21"/>
                <w:lang w:eastAsia="zh-CN"/>
              </w:rPr>
              <w:t>竞争性磋商文件</w:t>
            </w:r>
            <w:r>
              <w:rPr>
                <w:rFonts w:hint="eastAsia"/>
                <w:sz w:val="21"/>
                <w:szCs w:val="21"/>
              </w:rPr>
              <w:t>的要求；安全管理机构健全，职责分工明确；管理制度齐全；实施与监控措施全面、有效。</w:t>
            </w:r>
          </w:p>
          <w:p w14:paraId="28555CD7">
            <w:pPr>
              <w:spacing w:line="276" w:lineRule="auto"/>
              <w:rPr>
                <w:sz w:val="21"/>
                <w:szCs w:val="21"/>
              </w:rPr>
            </w:pPr>
            <w:r>
              <w:rPr>
                <w:rFonts w:hint="eastAsia"/>
                <w:sz w:val="21"/>
                <w:szCs w:val="21"/>
              </w:rPr>
              <w:t>第二档（1</w:t>
            </w:r>
            <w:r>
              <w:rPr>
                <w:rFonts w:hint="eastAsia"/>
                <w:sz w:val="21"/>
                <w:szCs w:val="21"/>
                <w:lang w:val="en-US" w:eastAsia="zh-CN"/>
              </w:rPr>
              <w:t>1</w:t>
            </w:r>
            <w:r>
              <w:rPr>
                <w:rFonts w:hint="eastAsia"/>
                <w:sz w:val="21"/>
                <w:szCs w:val="21"/>
              </w:rPr>
              <w:t>分）：环境保护安全目标符合或优于</w:t>
            </w:r>
            <w:r>
              <w:rPr>
                <w:rFonts w:hint="eastAsia"/>
                <w:sz w:val="21"/>
                <w:szCs w:val="21"/>
                <w:lang w:eastAsia="zh-CN"/>
              </w:rPr>
              <w:t>竞争性磋商文件</w:t>
            </w:r>
            <w:r>
              <w:rPr>
                <w:rFonts w:hint="eastAsia"/>
                <w:sz w:val="21"/>
                <w:szCs w:val="21"/>
              </w:rPr>
              <w:t>要求；管理机构欠健全，职责分工基本明确；管理制度基本齐全；实施与监控措施欠完整。</w:t>
            </w:r>
          </w:p>
          <w:p w14:paraId="2AAA2CC8">
            <w:pPr>
              <w:spacing w:line="276" w:lineRule="auto"/>
              <w:rPr>
                <w:rFonts w:hint="eastAsia" w:ascii="宋体" w:hAnsi="宋体" w:eastAsia="宋体" w:cs="宋体"/>
                <w:sz w:val="21"/>
                <w:szCs w:val="21"/>
                <w:lang w:eastAsia="zh-CN"/>
              </w:rPr>
            </w:pPr>
            <w:r>
              <w:rPr>
                <w:rFonts w:hint="eastAsia"/>
                <w:sz w:val="21"/>
                <w:szCs w:val="21"/>
              </w:rPr>
              <w:t>第三档（</w:t>
            </w:r>
            <w:r>
              <w:rPr>
                <w:rFonts w:hint="eastAsia"/>
                <w:sz w:val="21"/>
                <w:szCs w:val="21"/>
                <w:lang w:eastAsia="zh-CN"/>
              </w:rPr>
              <w:t>7</w:t>
            </w:r>
            <w:r>
              <w:rPr>
                <w:rFonts w:hint="eastAsia"/>
                <w:sz w:val="21"/>
                <w:szCs w:val="21"/>
              </w:rPr>
              <w:t>分）：安全目标符合或优于</w:t>
            </w:r>
            <w:r>
              <w:rPr>
                <w:rFonts w:hint="eastAsia"/>
                <w:sz w:val="21"/>
                <w:szCs w:val="21"/>
                <w:lang w:eastAsia="zh-CN"/>
              </w:rPr>
              <w:t>竞争性磋商文件</w:t>
            </w:r>
            <w:r>
              <w:rPr>
                <w:rFonts w:hint="eastAsia"/>
                <w:sz w:val="21"/>
                <w:szCs w:val="21"/>
              </w:rPr>
              <w:t>要求；管理机构欠健全，职责分工不明确；管理制度不齐全；实施与监控措施不完整。</w:t>
            </w:r>
          </w:p>
        </w:tc>
        <w:tc>
          <w:tcPr>
            <w:tcW w:w="1089" w:type="dxa"/>
            <w:vMerge w:val="continue"/>
            <w:noWrap w:val="0"/>
            <w:vAlign w:val="center"/>
          </w:tcPr>
          <w:p w14:paraId="2F3F68E9">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2ACD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80" w:type="dxa"/>
            <w:vMerge w:val="continue"/>
            <w:noWrap w:val="0"/>
            <w:vAlign w:val="center"/>
          </w:tcPr>
          <w:p w14:paraId="609C7A36">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720" w:type="dxa"/>
            <w:vMerge w:val="continue"/>
            <w:noWrap w:val="0"/>
            <w:vAlign w:val="center"/>
          </w:tcPr>
          <w:p w14:paraId="218C2F31">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rPr>
            </w:pPr>
          </w:p>
        </w:tc>
        <w:tc>
          <w:tcPr>
            <w:tcW w:w="1820" w:type="dxa"/>
            <w:vMerge w:val="continue"/>
            <w:noWrap w:val="0"/>
            <w:vAlign w:val="center"/>
          </w:tcPr>
          <w:p w14:paraId="5CB53D94">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z w:val="21"/>
                <w:szCs w:val="21"/>
                <w:lang w:eastAsia="zh-CN"/>
              </w:rPr>
            </w:pPr>
          </w:p>
        </w:tc>
        <w:tc>
          <w:tcPr>
            <w:tcW w:w="955" w:type="dxa"/>
            <w:noWrap w:val="0"/>
            <w:vAlign w:val="center"/>
          </w:tcPr>
          <w:p w14:paraId="5D8C474F">
            <w:pPr>
              <w:spacing w:line="360" w:lineRule="auto"/>
              <w:jc w:val="center"/>
              <w:rPr>
                <w:rFonts w:hint="eastAsia" w:ascii="宋体" w:hAnsi="宋体" w:eastAsia="宋体" w:cs="宋体"/>
                <w:sz w:val="21"/>
                <w:szCs w:val="21"/>
                <w:lang w:eastAsia="zh-CN"/>
              </w:rPr>
            </w:pPr>
            <w:r>
              <w:rPr>
                <w:rFonts w:hint="eastAsia"/>
                <w:sz w:val="21"/>
                <w:szCs w:val="21"/>
              </w:rPr>
              <w:t>项目管理机构配置评审（满分</w:t>
            </w:r>
            <w:r>
              <w:rPr>
                <w:rFonts w:hint="eastAsia"/>
                <w:sz w:val="21"/>
                <w:szCs w:val="21"/>
                <w:lang w:eastAsia="zh-CN"/>
              </w:rPr>
              <w:t>15</w:t>
            </w:r>
            <w:r>
              <w:rPr>
                <w:rFonts w:hint="eastAsia"/>
                <w:sz w:val="21"/>
                <w:szCs w:val="21"/>
              </w:rPr>
              <w:t>分）</w:t>
            </w:r>
          </w:p>
        </w:tc>
        <w:tc>
          <w:tcPr>
            <w:tcW w:w="5245" w:type="dxa"/>
            <w:noWrap w:val="0"/>
            <w:vAlign w:val="center"/>
          </w:tcPr>
          <w:p w14:paraId="15829362">
            <w:pPr>
              <w:spacing w:line="276" w:lineRule="auto"/>
              <w:rPr>
                <w:sz w:val="21"/>
                <w:szCs w:val="21"/>
              </w:rPr>
            </w:pPr>
            <w:r>
              <w:rPr>
                <w:rFonts w:hint="eastAsia"/>
                <w:sz w:val="21"/>
                <w:szCs w:val="21"/>
              </w:rPr>
              <w:t>第一档（</w:t>
            </w:r>
            <w:r>
              <w:rPr>
                <w:rFonts w:hint="eastAsia"/>
                <w:sz w:val="21"/>
                <w:szCs w:val="21"/>
                <w:lang w:eastAsia="zh-CN"/>
              </w:rPr>
              <w:t>15</w:t>
            </w:r>
            <w:r>
              <w:rPr>
                <w:rFonts w:hint="eastAsia"/>
                <w:sz w:val="21"/>
                <w:szCs w:val="21"/>
              </w:rPr>
              <w:t>分）：投标供应商拟定的项目经理符合</w:t>
            </w:r>
            <w:r>
              <w:rPr>
                <w:rFonts w:hint="eastAsia"/>
                <w:sz w:val="21"/>
                <w:szCs w:val="21"/>
                <w:lang w:eastAsia="zh-CN"/>
              </w:rPr>
              <w:t>竞争性磋商文件</w:t>
            </w:r>
            <w:r>
              <w:rPr>
                <w:rFonts w:hint="eastAsia"/>
                <w:sz w:val="21"/>
                <w:szCs w:val="21"/>
              </w:rPr>
              <w:t>规定的资格条件；项目经理资质证书和B证年检合格。项目管理人员针对工程实际配置且合理，能满足工程管理需要且有针对性，项目管理人员持证上岗。</w:t>
            </w:r>
          </w:p>
          <w:p w14:paraId="2A807F7B">
            <w:pPr>
              <w:spacing w:line="276" w:lineRule="auto"/>
              <w:rPr>
                <w:sz w:val="21"/>
                <w:szCs w:val="21"/>
              </w:rPr>
            </w:pPr>
            <w:r>
              <w:rPr>
                <w:rFonts w:hint="eastAsia"/>
                <w:sz w:val="21"/>
                <w:szCs w:val="21"/>
              </w:rPr>
              <w:t>第二档（1</w:t>
            </w:r>
            <w:r>
              <w:rPr>
                <w:rFonts w:hint="eastAsia"/>
                <w:sz w:val="21"/>
                <w:szCs w:val="21"/>
                <w:lang w:val="en-US" w:eastAsia="zh-CN"/>
              </w:rPr>
              <w:t>1</w:t>
            </w:r>
            <w:r>
              <w:rPr>
                <w:rFonts w:hint="eastAsia"/>
                <w:sz w:val="21"/>
                <w:szCs w:val="21"/>
              </w:rPr>
              <w:t>分）：投标供应商拟定的项目经理符合</w:t>
            </w:r>
            <w:r>
              <w:rPr>
                <w:rFonts w:hint="eastAsia"/>
                <w:sz w:val="21"/>
                <w:szCs w:val="21"/>
                <w:lang w:eastAsia="zh-CN"/>
              </w:rPr>
              <w:t>竞争性磋商文件</w:t>
            </w:r>
            <w:r>
              <w:rPr>
                <w:rFonts w:hint="eastAsia"/>
                <w:sz w:val="21"/>
                <w:szCs w:val="21"/>
              </w:rPr>
              <w:t>规定的资格条件；项目经理资质证书和B证年检合格。项目管理人员配置合理，能满足工程管理需要，但专业配置针对性一般，项目主要管理人员持证上岗。</w:t>
            </w:r>
          </w:p>
          <w:p w14:paraId="24F338F4">
            <w:pPr>
              <w:spacing w:line="276" w:lineRule="auto"/>
              <w:rPr>
                <w:rFonts w:hint="eastAsia" w:ascii="宋体" w:hAnsi="宋体" w:eastAsia="宋体" w:cs="宋体"/>
                <w:sz w:val="21"/>
                <w:szCs w:val="21"/>
                <w:lang w:eastAsia="zh-CN"/>
              </w:rPr>
            </w:pPr>
            <w:r>
              <w:rPr>
                <w:rFonts w:hint="eastAsia"/>
                <w:sz w:val="21"/>
                <w:szCs w:val="21"/>
              </w:rPr>
              <w:t>第三档（</w:t>
            </w:r>
            <w:r>
              <w:rPr>
                <w:rFonts w:hint="eastAsia"/>
                <w:sz w:val="21"/>
                <w:szCs w:val="21"/>
                <w:lang w:eastAsia="zh-CN"/>
              </w:rPr>
              <w:t>7</w:t>
            </w:r>
            <w:r>
              <w:rPr>
                <w:rFonts w:hint="eastAsia"/>
                <w:sz w:val="21"/>
                <w:szCs w:val="21"/>
              </w:rPr>
              <w:t>分）：投标供应商拟定的项目经理符合</w:t>
            </w:r>
            <w:r>
              <w:rPr>
                <w:rFonts w:hint="eastAsia"/>
                <w:sz w:val="21"/>
                <w:szCs w:val="21"/>
                <w:lang w:eastAsia="zh-CN"/>
              </w:rPr>
              <w:t>竞争性磋商文件</w:t>
            </w:r>
            <w:r>
              <w:rPr>
                <w:rFonts w:hint="eastAsia"/>
                <w:sz w:val="21"/>
                <w:szCs w:val="21"/>
              </w:rPr>
              <w:t>规定的资格条件；项目经理资质证书和B证年检合格。项目管理人员配置基本合理，不能满足工程管理需要，专业配置缺乏针对性，项目主要管理人员持证上岗。</w:t>
            </w:r>
          </w:p>
        </w:tc>
        <w:tc>
          <w:tcPr>
            <w:tcW w:w="1089" w:type="dxa"/>
            <w:vMerge w:val="continue"/>
            <w:noWrap w:val="0"/>
            <w:vAlign w:val="center"/>
          </w:tcPr>
          <w:p w14:paraId="725C6667">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lang w:eastAsia="zh-CN"/>
              </w:rPr>
            </w:pPr>
          </w:p>
        </w:tc>
      </w:tr>
      <w:tr w14:paraId="0753F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400" w:type="dxa"/>
            <w:gridSpan w:val="2"/>
            <w:noWrap w:val="0"/>
            <w:vAlign w:val="center"/>
          </w:tcPr>
          <w:p w14:paraId="09A1BCB0">
            <w:pPr>
              <w:keepNext w:val="0"/>
              <w:keepLines w:val="0"/>
              <w:pageBreakBefore w:val="0"/>
              <w:widowControl w:val="0"/>
              <w:kinsoku/>
              <w:wordWrap/>
              <w:overflowPunct/>
              <w:topLinePunct w:val="0"/>
              <w:autoSpaceDE w:val="0"/>
              <w:autoSpaceDN w:val="0"/>
              <w:bidi w:val="0"/>
              <w:adjustRightInd w:val="0"/>
              <w:snapToGrid w:val="0"/>
              <w:spacing w:line="360" w:lineRule="auto"/>
              <w:ind w:firstLine="422" w:firstLineChars="200"/>
              <w:jc w:val="center"/>
              <w:textAlignment w:val="auto"/>
              <w:rPr>
                <w:rFonts w:hint="eastAsia" w:ascii="宋体" w:hAnsi="宋体" w:eastAsia="宋体" w:cs="宋体"/>
                <w:b/>
                <w:sz w:val="21"/>
                <w:szCs w:val="21"/>
                <w:lang w:eastAsia="zh-CN"/>
              </w:rPr>
            </w:pPr>
            <w:r>
              <w:rPr>
                <w:rFonts w:hint="eastAsia" w:ascii="宋体" w:hAnsi="宋体" w:eastAsia="宋体" w:cs="宋体"/>
                <w:b/>
                <w:sz w:val="21"/>
                <w:szCs w:val="21"/>
                <w:lang w:eastAsia="zh-CN"/>
              </w:rPr>
              <w:t>合计</w:t>
            </w:r>
          </w:p>
        </w:tc>
        <w:tc>
          <w:tcPr>
            <w:tcW w:w="1820" w:type="dxa"/>
            <w:noWrap w:val="0"/>
            <w:vAlign w:val="center"/>
          </w:tcPr>
          <w:p w14:paraId="570135B1">
            <w:pPr>
              <w:keepNext w:val="0"/>
              <w:keepLines w:val="0"/>
              <w:pageBreakBefore w:val="0"/>
              <w:widowControl w:val="0"/>
              <w:kinsoku/>
              <w:wordWrap/>
              <w:overflowPunct/>
              <w:topLinePunct w:val="0"/>
              <w:autoSpaceDE w:val="0"/>
              <w:autoSpaceDN w:val="0"/>
              <w:bidi w:val="0"/>
              <w:adjustRightInd w:val="0"/>
              <w:snapToGrid w:val="0"/>
              <w:spacing w:line="360" w:lineRule="auto"/>
              <w:ind w:firstLine="422" w:firstLineChars="200"/>
              <w:jc w:val="center"/>
              <w:textAlignment w:val="auto"/>
              <w:rPr>
                <w:rFonts w:hint="eastAsia" w:ascii="宋体" w:hAnsi="宋体" w:eastAsia="宋体" w:cs="宋体"/>
                <w:b/>
                <w:sz w:val="21"/>
                <w:szCs w:val="21"/>
                <w:lang w:eastAsia="zh-CN"/>
              </w:rPr>
            </w:pPr>
            <w:r>
              <w:rPr>
                <w:rFonts w:hint="eastAsia" w:ascii="宋体" w:hAnsi="宋体" w:eastAsia="宋体" w:cs="宋体"/>
                <w:b/>
                <w:sz w:val="21"/>
                <w:szCs w:val="21"/>
                <w:lang w:eastAsia="zh-CN"/>
              </w:rPr>
              <w:t>100分</w:t>
            </w:r>
          </w:p>
        </w:tc>
        <w:tc>
          <w:tcPr>
            <w:tcW w:w="6200" w:type="dxa"/>
            <w:gridSpan w:val="2"/>
            <w:noWrap w:val="0"/>
            <w:vAlign w:val="center"/>
          </w:tcPr>
          <w:p w14:paraId="64BFB44E">
            <w:pPr>
              <w:keepNext w:val="0"/>
              <w:keepLines w:val="0"/>
              <w:pageBreakBefore w:val="0"/>
              <w:widowControl w:val="0"/>
              <w:kinsoku/>
              <w:wordWrap/>
              <w:overflowPunct/>
              <w:topLinePunct w:val="0"/>
              <w:autoSpaceDE w:val="0"/>
              <w:autoSpaceDN w:val="0"/>
              <w:bidi w:val="0"/>
              <w:adjustRightInd w:val="0"/>
              <w:snapToGrid w:val="0"/>
              <w:spacing w:line="360" w:lineRule="auto"/>
              <w:ind w:firstLine="422" w:firstLineChars="200"/>
              <w:textAlignment w:val="auto"/>
              <w:rPr>
                <w:rFonts w:hint="eastAsia" w:ascii="宋体" w:hAnsi="宋体" w:eastAsia="宋体" w:cs="宋体"/>
                <w:b/>
                <w:sz w:val="21"/>
                <w:szCs w:val="21"/>
                <w:lang w:eastAsia="zh-CN"/>
              </w:rPr>
            </w:pPr>
          </w:p>
        </w:tc>
        <w:tc>
          <w:tcPr>
            <w:tcW w:w="1089" w:type="dxa"/>
            <w:noWrap w:val="0"/>
            <w:vAlign w:val="center"/>
          </w:tcPr>
          <w:p w14:paraId="07BD277F">
            <w:pPr>
              <w:keepNext w:val="0"/>
              <w:keepLines w:val="0"/>
              <w:pageBreakBefore w:val="0"/>
              <w:widowControl w:val="0"/>
              <w:kinsoku/>
              <w:wordWrap/>
              <w:overflowPunct/>
              <w:topLinePunct w:val="0"/>
              <w:autoSpaceDE w:val="0"/>
              <w:autoSpaceDN w:val="0"/>
              <w:bidi w:val="0"/>
              <w:adjustRightInd w:val="0"/>
              <w:snapToGrid w:val="0"/>
              <w:spacing w:line="360" w:lineRule="auto"/>
              <w:ind w:firstLine="422" w:firstLineChars="200"/>
              <w:textAlignment w:val="auto"/>
              <w:rPr>
                <w:rFonts w:hint="eastAsia" w:ascii="宋体" w:hAnsi="宋体" w:eastAsia="宋体" w:cs="宋体"/>
                <w:b/>
                <w:sz w:val="21"/>
                <w:szCs w:val="21"/>
                <w:lang w:eastAsia="zh-CN"/>
              </w:rPr>
            </w:pPr>
          </w:p>
        </w:tc>
      </w:tr>
    </w:tbl>
    <w:p w14:paraId="65692E0D">
      <w:pPr>
        <w:pStyle w:val="12"/>
        <w:keepNext w:val="0"/>
        <w:keepLines w:val="0"/>
        <w:pageBreakBefore w:val="0"/>
        <w:widowControl w:val="0"/>
        <w:kinsoku/>
        <w:wordWrap/>
        <w:overflowPunct/>
        <w:topLinePunct w:val="0"/>
        <w:autoSpaceDE w:val="0"/>
        <w:autoSpaceDN w:val="0"/>
        <w:bidi w:val="0"/>
        <w:adjustRightInd/>
        <w:snapToGrid/>
        <w:spacing w:line="360" w:lineRule="auto"/>
        <w:ind w:right="0" w:firstLine="482" w:firstLineChars="200"/>
        <w:jc w:val="center"/>
        <w:textAlignment w:val="auto"/>
        <w:rPr>
          <w:rFonts w:hint="eastAsia" w:ascii="宋体" w:hAnsi="宋体" w:eastAsia="宋体" w:cs="宋体"/>
          <w:b/>
          <w:sz w:val="24"/>
          <w:szCs w:val="24"/>
          <w:lang w:eastAsia="zh-CN"/>
        </w:rPr>
      </w:pPr>
      <w:bookmarkStart w:id="209" w:name="_Toc3188"/>
      <w:bookmarkStart w:id="210" w:name="_Toc13222"/>
      <w:r>
        <w:rPr>
          <w:rFonts w:hint="eastAsia" w:ascii="宋体" w:hAnsi="宋体" w:eastAsia="宋体" w:cs="宋体"/>
          <w:b/>
          <w:sz w:val="24"/>
          <w:szCs w:val="24"/>
          <w:lang w:eastAsia="zh-CN"/>
        </w:rPr>
        <w:t>评审方法正文</w:t>
      </w:r>
    </w:p>
    <w:p w14:paraId="347A6DA6">
      <w:pPr>
        <w:pStyle w:val="65"/>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响应文件的资格审查和符合性审查（实质性要求）</w:t>
      </w:r>
    </w:p>
    <w:p w14:paraId="692FB13F">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小组将根据《评审方法前附表》中的资格审查要求规定的内容，对供应商进行检查，并形成检查结果。供应商《响应文件》有任何一项不符合对应要求的，视为未实质性响应磋商文件。未实质性响应磋商文件的响应文件按无效响应处理。未实质性响应磋商文件的响应文件按无效响应处理，磋商小组应当告知提交响应文件的供应商。</w:t>
      </w:r>
    </w:p>
    <w:p w14:paraId="047570F3">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color w:val="FF0000"/>
          <w:sz w:val="21"/>
          <w:szCs w:val="21"/>
          <w:lang w:eastAsia="zh-CN"/>
        </w:rPr>
      </w:pPr>
      <w:r>
        <w:rPr>
          <w:rFonts w:hint="eastAsia" w:ascii="宋体" w:hAnsi="宋体" w:eastAsia="宋体" w:cs="宋体"/>
          <w:sz w:val="21"/>
          <w:szCs w:val="21"/>
          <w:lang w:eastAsia="zh-CN"/>
        </w:rPr>
        <w:t>磋商小组将根据《评审方法前附表》中的符合性审查要求中规定的内容，对供应商进行检查，并形成检查结果。供应商《响应文件》有任何一项不符合对应要求的，视为未实质性响应磋商文件。未实质性响应磋商文件的响应文件按无效响应处理。未实质性响应磋商文件的响应文件按无效响应处理，磋商小组应当告知提交响应文件的供应商。</w:t>
      </w:r>
    </w:p>
    <w:p w14:paraId="31783B6C">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磋商小组将根据《评</w:t>
      </w:r>
      <w:r>
        <w:rPr>
          <w:rFonts w:hint="eastAsia" w:ascii="宋体" w:hAnsi="宋体" w:eastAsia="宋体" w:cs="宋体"/>
          <w:sz w:val="21"/>
          <w:szCs w:val="21"/>
          <w:lang w:eastAsia="zh-CN"/>
        </w:rPr>
        <w:t>审方法</w:t>
      </w:r>
      <w:r>
        <w:rPr>
          <w:rFonts w:hint="eastAsia" w:ascii="宋体" w:hAnsi="宋体" w:eastAsia="宋体" w:cs="宋体"/>
          <w:color w:val="000000"/>
          <w:sz w:val="21"/>
          <w:szCs w:val="21"/>
          <w:lang w:eastAsia="zh-CN"/>
        </w:rPr>
        <w:t>前附表》中的要求对供应商进行资格审查和符合性审查，只有通过资格审查的供应商才能进入下一步符合性审查；只有通过符合性审查的供应商才能进行磋商。</w:t>
      </w:r>
    </w:p>
    <w:p w14:paraId="4FDDFECB">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资格审查要求和符合性审查要求中的评审内容及标准要求不能进行任何形式的澄清、说明或者更正。</w:t>
      </w:r>
    </w:p>
    <w:p w14:paraId="70A31B6E">
      <w:pPr>
        <w:pStyle w:val="65"/>
        <w:keepNext w:val="0"/>
        <w:keepLines w:val="0"/>
        <w:pageBreakBefore w:val="0"/>
        <w:widowControl w:val="0"/>
        <w:numPr>
          <w:ilvl w:val="0"/>
          <w:numId w:val="3"/>
        </w:numPr>
        <w:tabs>
          <w:tab w:val="left" w:pos="901"/>
          <w:tab w:val="left" w:pos="902"/>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磋商、响应文件有关事项的澄清、说明或者更正和最后报价</w:t>
      </w:r>
    </w:p>
    <w:p w14:paraId="46DE6106">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本次磋商轮为二次磋商，最后一轮磋商最终报价表</w:t>
      </w:r>
      <w:r>
        <w:rPr>
          <w:rFonts w:hint="eastAsia" w:ascii="宋体" w:hAnsi="宋体" w:eastAsia="宋体" w:cs="宋体"/>
          <w:sz w:val="21"/>
          <w:szCs w:val="21"/>
          <w:lang w:val="en-US" w:eastAsia="zh-CN"/>
        </w:rPr>
        <w:t>签字、盖章上传到“政采云”平台。</w:t>
      </w:r>
    </w:p>
    <w:p w14:paraId="472C363C">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在磋商过程中，磋商小组可以根据磋商文件和磋商情况实质性变动采购需求</w:t>
      </w:r>
      <w:r>
        <w:rPr>
          <w:rFonts w:hint="eastAsia" w:ascii="宋体" w:hAnsi="宋体" w:eastAsia="宋体" w:cs="宋体"/>
          <w:spacing w:val="-7"/>
          <w:sz w:val="21"/>
          <w:szCs w:val="21"/>
          <w:lang w:eastAsia="zh-CN"/>
        </w:rPr>
        <w:t>中的技术、服务要求以及合同草案条款，但不得变动磋商文件中的其他内容。</w:t>
      </w:r>
      <w:r>
        <w:rPr>
          <w:rFonts w:hint="eastAsia" w:ascii="宋体" w:hAnsi="宋体" w:eastAsia="宋体" w:cs="宋体"/>
          <w:sz w:val="21"/>
          <w:szCs w:val="21"/>
          <w:lang w:eastAsia="zh-CN"/>
        </w:rPr>
        <w:t>实质性变动的内容，须经采购人代表确认。</w:t>
      </w:r>
    </w:p>
    <w:p w14:paraId="185B2F18">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对磋商文件作出本章2.2条的实质性变动是磋商文件的有效组成部分，磋商小组应当及时</w:t>
      </w:r>
      <w:r>
        <w:rPr>
          <w:rFonts w:hint="eastAsia" w:cs="宋体"/>
          <w:sz w:val="21"/>
          <w:szCs w:val="21"/>
          <w:lang w:eastAsia="zh-CN"/>
        </w:rPr>
        <w:t>在线</w:t>
      </w:r>
      <w:r>
        <w:rPr>
          <w:rFonts w:hint="eastAsia" w:ascii="宋体" w:hAnsi="宋体" w:eastAsia="宋体" w:cs="宋体"/>
          <w:sz w:val="21"/>
          <w:szCs w:val="21"/>
          <w:lang w:eastAsia="zh-CN"/>
        </w:rPr>
        <w:t>通知所有参加磋商的供应商。</w:t>
      </w:r>
    </w:p>
    <w:p w14:paraId="479BFE68">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供应商应当按照磋商文件的变动情况和磋商小组的要求重新提交响应文件</w:t>
      </w:r>
      <w:r>
        <w:rPr>
          <w:rFonts w:hint="eastAsia" w:ascii="宋体" w:hAnsi="宋体" w:eastAsia="宋体" w:cs="宋体"/>
          <w:sz w:val="21"/>
          <w:szCs w:val="21"/>
          <w:lang w:val="en-US" w:eastAsia="zh-CN" w:bidi="ar-SA"/>
        </w:rPr>
        <w:t>传到“政采云”平台。</w:t>
      </w:r>
    </w:p>
    <w:p w14:paraId="762E3A5A">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响应文件的澄清、说明或者更正：</w:t>
      </w:r>
    </w:p>
    <w:p w14:paraId="0BD12CF4">
      <w:pPr>
        <w:pStyle w:val="65"/>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pacing w:val="-7"/>
          <w:sz w:val="21"/>
          <w:szCs w:val="21"/>
          <w:lang w:eastAsia="zh-CN"/>
        </w:rPr>
        <w:t>磋商小组在对响应文件的有效性、完整性和响应程度进行审查时，可</w:t>
      </w:r>
      <w:r>
        <w:rPr>
          <w:rFonts w:hint="eastAsia" w:ascii="宋体" w:hAnsi="宋体" w:eastAsia="宋体" w:cs="宋体"/>
          <w:spacing w:val="-8"/>
          <w:sz w:val="21"/>
          <w:szCs w:val="21"/>
          <w:lang w:eastAsia="zh-CN"/>
        </w:rPr>
        <w:t>以要求供应商对响应文件中含义不明确、同类问题表述不一致或者有</w:t>
      </w:r>
      <w:r>
        <w:rPr>
          <w:rFonts w:hint="eastAsia" w:ascii="宋体" w:hAnsi="宋体" w:eastAsia="宋体" w:cs="宋体"/>
          <w:sz w:val="21"/>
          <w:szCs w:val="21"/>
          <w:lang w:eastAsia="zh-CN"/>
        </w:rPr>
        <w:t>明显文字和计算错误的内容等作出必要的澄清、说明或者更正。</w:t>
      </w:r>
    </w:p>
    <w:p w14:paraId="32778079">
      <w:pPr>
        <w:pStyle w:val="65"/>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pacing w:val="-8"/>
          <w:sz w:val="21"/>
          <w:szCs w:val="21"/>
          <w:lang w:eastAsia="zh-CN"/>
        </w:rPr>
        <w:t>磋商小组对响应文件进行审查时，可</w:t>
      </w:r>
      <w:r>
        <w:rPr>
          <w:rFonts w:hint="eastAsia" w:ascii="宋体" w:hAnsi="宋体" w:eastAsia="宋体" w:cs="宋体"/>
          <w:spacing w:val="-12"/>
          <w:sz w:val="21"/>
          <w:szCs w:val="21"/>
          <w:lang w:eastAsia="zh-CN"/>
        </w:rPr>
        <w:t>要求供应商在规定的时间内对</w:t>
      </w:r>
      <w:r>
        <w:rPr>
          <w:rFonts w:hint="eastAsia" w:ascii="宋体" w:hAnsi="宋体" w:eastAsia="宋体" w:cs="宋体"/>
          <w:spacing w:val="-11"/>
          <w:sz w:val="21"/>
          <w:szCs w:val="21"/>
          <w:lang w:eastAsia="zh-CN"/>
        </w:rPr>
        <w:t>响应文件进行澄清、说明或者更正。如供应商在磋商小组规定的时间</w:t>
      </w:r>
      <w:r>
        <w:rPr>
          <w:rFonts w:hint="eastAsia" w:ascii="宋体" w:hAnsi="宋体" w:eastAsia="宋体" w:cs="宋体"/>
          <w:spacing w:val="-9"/>
          <w:sz w:val="21"/>
          <w:szCs w:val="21"/>
          <w:lang w:eastAsia="zh-CN"/>
        </w:rPr>
        <w:t>内未作出必要的澄清、说明或者更正，或澄清、说明或者更正后仍不</w:t>
      </w:r>
      <w:r>
        <w:rPr>
          <w:rFonts w:hint="eastAsia" w:ascii="宋体" w:hAnsi="宋体" w:eastAsia="宋体" w:cs="宋体"/>
          <w:sz w:val="21"/>
          <w:szCs w:val="21"/>
          <w:lang w:eastAsia="zh-CN"/>
        </w:rPr>
        <w:t>能满足采购文件要求的，则供应商的响应文件按无效处理。</w:t>
      </w:r>
    </w:p>
    <w:p w14:paraId="470BAB50">
      <w:pPr>
        <w:pStyle w:val="65"/>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pacing w:val="-11"/>
          <w:sz w:val="21"/>
          <w:szCs w:val="21"/>
          <w:lang w:eastAsia="zh-CN"/>
        </w:rPr>
        <w:t>供应商的澄清、说明或者更正不得超出响应文件的范围或者改变响应</w:t>
      </w:r>
      <w:r>
        <w:rPr>
          <w:rFonts w:hint="eastAsia" w:ascii="宋体" w:hAnsi="宋体" w:eastAsia="宋体" w:cs="宋体"/>
          <w:spacing w:val="-14"/>
          <w:sz w:val="21"/>
          <w:szCs w:val="21"/>
          <w:lang w:eastAsia="zh-CN"/>
        </w:rPr>
        <w:t>文件的实质性内容。磋商小组要求供应商澄清、说明或者更正响应文</w:t>
      </w:r>
      <w:r>
        <w:rPr>
          <w:rFonts w:hint="eastAsia" w:ascii="宋体" w:hAnsi="宋体" w:eastAsia="宋体" w:cs="宋体"/>
          <w:spacing w:val="-17"/>
          <w:sz w:val="21"/>
          <w:szCs w:val="21"/>
          <w:lang w:eastAsia="zh-CN"/>
        </w:rPr>
        <w:t>件应当以</w:t>
      </w:r>
      <w:r>
        <w:rPr>
          <w:rFonts w:hint="eastAsia" w:cs="宋体"/>
          <w:spacing w:val="-17"/>
          <w:sz w:val="21"/>
          <w:szCs w:val="21"/>
          <w:lang w:eastAsia="zh-CN"/>
        </w:rPr>
        <w:t>在线</w:t>
      </w:r>
      <w:r>
        <w:rPr>
          <w:rFonts w:hint="eastAsia" w:ascii="宋体" w:hAnsi="宋体" w:eastAsia="宋体" w:cs="宋体"/>
          <w:spacing w:val="-17"/>
          <w:sz w:val="21"/>
          <w:szCs w:val="21"/>
          <w:lang w:eastAsia="zh-CN"/>
        </w:rPr>
        <w:t>作出。供应商的澄清、说明</w:t>
      </w:r>
      <w:r>
        <w:rPr>
          <w:rFonts w:hint="eastAsia" w:ascii="宋体" w:hAnsi="宋体" w:eastAsia="宋体" w:cs="宋体"/>
          <w:sz w:val="21"/>
          <w:szCs w:val="21"/>
          <w:lang w:val="en-US" w:eastAsia="zh-CN" w:bidi="ar-SA"/>
        </w:rPr>
        <w:t>传到“政采云”平台。</w:t>
      </w:r>
      <w:r>
        <w:rPr>
          <w:rFonts w:hint="eastAsia" w:ascii="宋体" w:hAnsi="宋体" w:eastAsia="宋体" w:cs="宋体"/>
          <w:spacing w:val="-11"/>
          <w:sz w:val="21"/>
          <w:szCs w:val="21"/>
          <w:lang w:eastAsia="zh-CN"/>
        </w:rPr>
        <w:t>澄清、说明或者更正文件将作为响应文件内容的一部分。</w:t>
      </w:r>
    </w:p>
    <w:p w14:paraId="0CBECB73">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磋商结束后，磋商小组将要求所有实质性响应的供应商在规定时间内提交最后报价。最后报价时间为磋商小组指定的时间，具体时间根据磋商进度另行通知。</w:t>
      </w:r>
    </w:p>
    <w:p w14:paraId="322F220B">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磋商文件能够详细列明采购标的的技术、服务要求的，磋商结束后，磋商小组应当要求所有实质性响应的供应商在规定时间内提交最后报价，提交最后</w:t>
      </w:r>
      <w:r>
        <w:rPr>
          <w:rFonts w:hint="eastAsia" w:ascii="宋体" w:hAnsi="宋体" w:eastAsia="宋体" w:cs="宋体"/>
          <w:spacing w:val="-4"/>
          <w:sz w:val="21"/>
          <w:szCs w:val="21"/>
          <w:lang w:eastAsia="zh-CN"/>
        </w:rPr>
        <w:t xml:space="preserve">报价的供应商不得少于 </w:t>
      </w:r>
      <w:r>
        <w:rPr>
          <w:rFonts w:hint="eastAsia" w:ascii="宋体" w:hAnsi="宋体" w:eastAsia="宋体" w:cs="宋体"/>
          <w:w w:val="120"/>
          <w:sz w:val="21"/>
          <w:szCs w:val="21"/>
          <w:lang w:eastAsia="zh-CN"/>
        </w:rPr>
        <w:t>3</w:t>
      </w:r>
      <w:r>
        <w:rPr>
          <w:rFonts w:hint="eastAsia" w:ascii="宋体" w:hAnsi="宋体" w:eastAsia="宋体" w:cs="宋体"/>
          <w:spacing w:val="19"/>
          <w:w w:val="120"/>
          <w:sz w:val="21"/>
          <w:szCs w:val="21"/>
          <w:lang w:eastAsia="zh-CN"/>
        </w:rPr>
        <w:t xml:space="preserve"> </w:t>
      </w:r>
      <w:r>
        <w:rPr>
          <w:rFonts w:hint="eastAsia" w:ascii="宋体" w:hAnsi="宋体" w:eastAsia="宋体" w:cs="宋体"/>
          <w:sz w:val="21"/>
          <w:szCs w:val="21"/>
          <w:lang w:eastAsia="zh-CN"/>
        </w:rPr>
        <w:t>家。磋商文件不能详细列明采购标的的技术、服务要求，需经磋商由供应商提供最终设计方案或解决方案的，磋商结束后，磋</w:t>
      </w:r>
      <w:r>
        <w:rPr>
          <w:rFonts w:hint="eastAsia" w:ascii="宋体" w:hAnsi="宋体" w:eastAsia="宋体" w:cs="宋体"/>
          <w:spacing w:val="-2"/>
          <w:sz w:val="21"/>
          <w:szCs w:val="21"/>
          <w:lang w:eastAsia="zh-CN"/>
        </w:rPr>
        <w:t xml:space="preserve">商小组应当按照少数服从多数的原则投票推荐 </w:t>
      </w:r>
      <w:r>
        <w:rPr>
          <w:rFonts w:hint="eastAsia" w:ascii="宋体" w:hAnsi="宋体" w:eastAsia="宋体" w:cs="宋体"/>
          <w:w w:val="120"/>
          <w:sz w:val="21"/>
          <w:szCs w:val="21"/>
          <w:lang w:eastAsia="zh-CN"/>
        </w:rPr>
        <w:t>3</w:t>
      </w:r>
      <w:r>
        <w:rPr>
          <w:rFonts w:hint="eastAsia" w:ascii="宋体" w:hAnsi="宋体" w:eastAsia="宋体" w:cs="宋体"/>
          <w:spacing w:val="20"/>
          <w:w w:val="120"/>
          <w:sz w:val="21"/>
          <w:szCs w:val="21"/>
          <w:lang w:eastAsia="zh-CN"/>
        </w:rPr>
        <w:t xml:space="preserve"> </w:t>
      </w:r>
      <w:r>
        <w:rPr>
          <w:rFonts w:hint="eastAsia" w:ascii="宋体" w:hAnsi="宋体" w:eastAsia="宋体" w:cs="宋体"/>
          <w:sz w:val="21"/>
          <w:szCs w:val="21"/>
          <w:lang w:eastAsia="zh-CN"/>
        </w:rPr>
        <w:t>家以上供应商的设计方案或者解决方案，并要求其在规定时间内提交最后报价。市场竞争不充分的科研</w:t>
      </w:r>
      <w:r>
        <w:rPr>
          <w:rFonts w:hint="eastAsia" w:ascii="宋体" w:hAnsi="宋体" w:eastAsia="宋体" w:cs="宋体"/>
          <w:spacing w:val="-1"/>
          <w:sz w:val="21"/>
          <w:szCs w:val="21"/>
          <w:lang w:eastAsia="zh-CN"/>
        </w:rPr>
        <w:t xml:space="preserve">项目，以及需要扶持的科技成果转化项目，提交最后报价的供应商可以为 </w:t>
      </w:r>
      <w:r>
        <w:rPr>
          <w:rFonts w:hint="eastAsia" w:ascii="宋体" w:hAnsi="宋体" w:eastAsia="宋体" w:cs="宋体"/>
          <w:w w:val="120"/>
          <w:sz w:val="21"/>
          <w:szCs w:val="21"/>
          <w:lang w:eastAsia="zh-CN"/>
        </w:rPr>
        <w:t xml:space="preserve">2 </w:t>
      </w:r>
      <w:r>
        <w:rPr>
          <w:rFonts w:hint="eastAsia" w:ascii="宋体" w:hAnsi="宋体" w:eastAsia="宋体" w:cs="宋体"/>
          <w:spacing w:val="-6"/>
          <w:sz w:val="21"/>
          <w:szCs w:val="21"/>
          <w:lang w:eastAsia="zh-CN"/>
        </w:rPr>
        <w:t>家；政府购买服务项目</w:t>
      </w:r>
      <w:r>
        <w:rPr>
          <w:rFonts w:hint="eastAsia" w:ascii="宋体" w:hAnsi="宋体" w:eastAsia="宋体" w:cs="宋体"/>
          <w:sz w:val="21"/>
          <w:szCs w:val="21"/>
          <w:lang w:eastAsia="zh-CN"/>
        </w:rPr>
        <w:t>（含政府和社会资本合作项目</w:t>
      </w:r>
      <w:r>
        <w:rPr>
          <w:rFonts w:hint="eastAsia" w:ascii="宋体" w:hAnsi="宋体" w:eastAsia="宋体" w:cs="宋体"/>
          <w:spacing w:val="-121"/>
          <w:sz w:val="21"/>
          <w:szCs w:val="21"/>
          <w:lang w:eastAsia="zh-CN"/>
        </w:rPr>
        <w:t>）</w:t>
      </w:r>
      <w:r>
        <w:rPr>
          <w:rFonts w:hint="eastAsia" w:ascii="宋体" w:hAnsi="宋体" w:eastAsia="宋体" w:cs="宋体"/>
          <w:spacing w:val="-5"/>
          <w:sz w:val="21"/>
          <w:szCs w:val="21"/>
          <w:lang w:eastAsia="zh-CN"/>
        </w:rPr>
        <w:t>，在采购过程中符合要</w:t>
      </w:r>
      <w:r>
        <w:rPr>
          <w:rFonts w:hint="eastAsia" w:ascii="宋体" w:hAnsi="宋体" w:eastAsia="宋体" w:cs="宋体"/>
          <w:sz w:val="21"/>
          <w:szCs w:val="21"/>
          <w:lang w:eastAsia="zh-CN"/>
        </w:rPr>
        <w:t>求的供应商（社会资本）</w:t>
      </w:r>
      <w:r>
        <w:rPr>
          <w:rFonts w:hint="eastAsia" w:ascii="宋体" w:hAnsi="宋体" w:eastAsia="宋体" w:cs="宋体"/>
          <w:spacing w:val="-18"/>
          <w:sz w:val="21"/>
          <w:szCs w:val="21"/>
          <w:lang w:eastAsia="zh-CN"/>
        </w:rPr>
        <w:t xml:space="preserve">只有 </w:t>
      </w:r>
      <w:r>
        <w:rPr>
          <w:rFonts w:hint="eastAsia" w:ascii="宋体" w:hAnsi="宋体" w:eastAsia="宋体" w:cs="宋体"/>
          <w:w w:val="120"/>
          <w:sz w:val="21"/>
          <w:szCs w:val="21"/>
          <w:lang w:eastAsia="zh-CN"/>
        </w:rPr>
        <w:t>2</w:t>
      </w:r>
      <w:r>
        <w:rPr>
          <w:rFonts w:hint="eastAsia" w:ascii="宋体" w:hAnsi="宋体" w:eastAsia="宋体" w:cs="宋体"/>
          <w:spacing w:val="2"/>
          <w:w w:val="120"/>
          <w:sz w:val="21"/>
          <w:szCs w:val="21"/>
          <w:lang w:eastAsia="zh-CN"/>
        </w:rPr>
        <w:t xml:space="preserve"> </w:t>
      </w:r>
      <w:r>
        <w:rPr>
          <w:rFonts w:hint="eastAsia" w:ascii="宋体" w:hAnsi="宋体" w:eastAsia="宋体" w:cs="宋体"/>
          <w:sz w:val="21"/>
          <w:szCs w:val="21"/>
          <w:lang w:eastAsia="zh-CN"/>
        </w:rPr>
        <w:t>家的，竞争性磋商采购活动可以继续进行。</w:t>
      </w:r>
    </w:p>
    <w:p w14:paraId="1FEA2CE6">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最后报价是供应商响应文件的有效组成部分。</w:t>
      </w:r>
    </w:p>
    <w:p w14:paraId="2CC917FD">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已提交响应文件的供应商，在提交最后报价之前，可以根据磋商情况退出磋商。</w:t>
      </w:r>
    </w:p>
    <w:p w14:paraId="2C516827">
      <w:pPr>
        <w:pStyle w:val="65"/>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最后报价的算术修正及政策调整</w:t>
      </w:r>
    </w:p>
    <w:p w14:paraId="6851AEA2">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245674BA">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最后报价出现前后不一致的，按照下列规定修正：</w:t>
      </w:r>
    </w:p>
    <w:p w14:paraId="32ABB409">
      <w:pPr>
        <w:pStyle w:val="65"/>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竞争性磋商文件对于报价修正是否另有规定：</w:t>
      </w:r>
    </w:p>
    <w:p w14:paraId="1A263D36">
      <w:pPr>
        <w:pStyle w:val="12"/>
        <w:keepNext w:val="0"/>
        <w:keepLines w:val="0"/>
        <w:pageBreakBefore w:val="0"/>
        <w:widowControl w:val="0"/>
        <w:tabs>
          <w:tab w:val="left" w:pos="6095"/>
        </w:tabs>
        <w:kinsoku/>
        <w:wordWrap/>
        <w:overflowPunct/>
        <w:topLinePunct w:val="0"/>
        <w:autoSpaceDE w:val="0"/>
        <w:autoSpaceDN w:val="0"/>
        <w:bidi w:val="0"/>
        <w:adjustRightInd w:val="0"/>
        <w:snapToGrid w:val="0"/>
        <w:spacing w:line="360" w:lineRule="auto"/>
        <w:ind w:left="0" w:right="0" w:firstLine="416" w:firstLineChars="200"/>
        <w:textAlignment w:val="auto"/>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□有，</w:t>
      </w:r>
      <w:r>
        <w:rPr>
          <w:rFonts w:hint="eastAsia" w:ascii="宋体" w:hAnsi="宋体" w:eastAsia="宋体" w:cs="宋体"/>
          <w:sz w:val="21"/>
          <w:szCs w:val="21"/>
          <w:lang w:eastAsia="zh-CN"/>
        </w:rPr>
        <w:t>具体规定为：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eastAsia="zh-CN"/>
        </w:rPr>
        <w:tab/>
      </w:r>
    </w:p>
    <w:p w14:paraId="3C749DED">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24" w:firstLineChars="200"/>
        <w:textAlignment w:val="auto"/>
        <w:rPr>
          <w:rFonts w:hint="eastAsia" w:ascii="宋体" w:hAnsi="宋体" w:eastAsia="宋体" w:cs="宋体"/>
          <w:sz w:val="21"/>
          <w:szCs w:val="21"/>
          <w:lang w:eastAsia="zh-CN"/>
        </w:rPr>
      </w:pPr>
      <w:r>
        <w:rPr>
          <w:rFonts w:hint="eastAsia" w:cs="宋体"/>
          <w:w w:val="125"/>
          <w:sz w:val="21"/>
          <w:szCs w:val="21"/>
          <w:lang w:eastAsia="zh-CN"/>
        </w:rPr>
        <w:t>☑</w:t>
      </w:r>
      <w:r>
        <w:rPr>
          <w:rFonts w:hint="eastAsia" w:ascii="宋体" w:hAnsi="宋体" w:eastAsia="宋体" w:cs="宋体"/>
          <w:w w:val="110"/>
          <w:sz w:val="21"/>
          <w:szCs w:val="21"/>
          <w:lang w:eastAsia="zh-CN"/>
        </w:rPr>
        <w:t xml:space="preserve">无，按下述 </w:t>
      </w:r>
      <w:r>
        <w:rPr>
          <w:rFonts w:hint="eastAsia" w:ascii="宋体" w:hAnsi="宋体" w:eastAsia="宋体" w:cs="宋体"/>
          <w:w w:val="125"/>
          <w:sz w:val="21"/>
          <w:szCs w:val="21"/>
          <w:lang w:eastAsia="zh-CN"/>
        </w:rPr>
        <w:t xml:space="preserve">3.2.2-3.2.5 </w:t>
      </w:r>
      <w:r>
        <w:rPr>
          <w:rFonts w:hint="eastAsia" w:ascii="宋体" w:hAnsi="宋体" w:eastAsia="宋体" w:cs="宋体"/>
          <w:w w:val="110"/>
          <w:sz w:val="21"/>
          <w:szCs w:val="21"/>
          <w:lang w:eastAsia="zh-CN"/>
        </w:rPr>
        <w:t>项规定修正。</w:t>
      </w:r>
    </w:p>
    <w:p w14:paraId="26EC44C9">
      <w:pPr>
        <w:pStyle w:val="65"/>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大写金额和小写金额不一致的，以大写金额为准；</w:t>
      </w:r>
    </w:p>
    <w:p w14:paraId="5EDF10A7">
      <w:pPr>
        <w:pStyle w:val="65"/>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pacing w:val="-12"/>
          <w:sz w:val="21"/>
          <w:szCs w:val="21"/>
          <w:lang w:eastAsia="zh-CN"/>
        </w:rPr>
        <w:t>单价金额小数点或者百分比有明显错位的，以总价为准，并修改单价；</w:t>
      </w:r>
    </w:p>
    <w:p w14:paraId="35966ECC">
      <w:pPr>
        <w:pStyle w:val="65"/>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总价金额与按单价汇总金额不一致的，以单价金额计算结果为准。</w:t>
      </w:r>
    </w:p>
    <w:p w14:paraId="46397E07">
      <w:pPr>
        <w:pStyle w:val="65"/>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pacing w:val="-7"/>
          <w:sz w:val="21"/>
          <w:szCs w:val="21"/>
          <w:lang w:eastAsia="zh-CN"/>
        </w:rPr>
        <w:t>同时出现两种以上不一致的，按照前款规定的顺序修正。修正后的报</w:t>
      </w:r>
      <w:r>
        <w:rPr>
          <w:rFonts w:hint="eastAsia" w:ascii="宋体" w:hAnsi="宋体" w:eastAsia="宋体" w:cs="宋体"/>
          <w:spacing w:val="-11"/>
          <w:sz w:val="21"/>
          <w:szCs w:val="21"/>
          <w:lang w:eastAsia="zh-CN"/>
        </w:rPr>
        <w:t>价经供应商书面确认后产生约束力，供应商不确认的，其响应无效。</w:t>
      </w:r>
    </w:p>
    <w:p w14:paraId="62513F0C">
      <w:pPr>
        <w:pStyle w:val="65"/>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磋商环节及提交最后报价后如出现以下情况的，供应商的响应文件无效：</w:t>
      </w:r>
    </w:p>
    <w:p w14:paraId="7028B927">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供应商未对采购需求实质性变动的技术、服务要求以及合同草案条款内容进行响应的；</w:t>
      </w:r>
    </w:p>
    <w:p w14:paraId="77ACEDA3">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未按照磋商小组规定的时间、逾期提交最后报价的；</w:t>
      </w:r>
    </w:p>
    <w:p w14:paraId="180E2504">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pacing w:val="7"/>
          <w:sz w:val="21"/>
          <w:szCs w:val="21"/>
          <w:lang w:eastAsia="zh-CN"/>
        </w:rPr>
        <w:t>如供应商的最后报价超过竞争性磋商文件中规定的项目</w:t>
      </w:r>
      <w:r>
        <w:rPr>
          <w:rFonts w:hint="eastAsia" w:ascii="宋体" w:hAnsi="宋体" w:eastAsia="宋体" w:cs="宋体"/>
          <w:spacing w:val="5"/>
          <w:w w:val="125"/>
          <w:sz w:val="21"/>
          <w:szCs w:val="21"/>
          <w:lang w:eastAsia="zh-CN"/>
        </w:rPr>
        <w:t>/</w:t>
      </w:r>
      <w:r>
        <w:rPr>
          <w:rFonts w:hint="eastAsia" w:ascii="宋体" w:hAnsi="宋体" w:eastAsia="宋体" w:cs="宋体"/>
          <w:spacing w:val="6"/>
          <w:sz w:val="21"/>
          <w:szCs w:val="21"/>
          <w:lang w:eastAsia="zh-CN"/>
        </w:rPr>
        <w:t>采购包预算金额或者项目</w:t>
      </w:r>
      <w:r>
        <w:rPr>
          <w:rFonts w:hint="eastAsia" w:ascii="宋体" w:hAnsi="宋体" w:eastAsia="宋体" w:cs="宋体"/>
          <w:spacing w:val="6"/>
          <w:w w:val="125"/>
          <w:sz w:val="21"/>
          <w:szCs w:val="21"/>
          <w:lang w:eastAsia="zh-CN"/>
        </w:rPr>
        <w:t>/</w:t>
      </w:r>
      <w:r>
        <w:rPr>
          <w:rFonts w:hint="eastAsia" w:ascii="宋体" w:hAnsi="宋体" w:eastAsia="宋体" w:cs="宋体"/>
          <w:spacing w:val="6"/>
          <w:sz w:val="21"/>
          <w:szCs w:val="21"/>
          <w:lang w:eastAsia="zh-CN"/>
        </w:rPr>
        <w:t>采购包最高限价的；</w:t>
      </w:r>
    </w:p>
    <w:p w14:paraId="369102C6">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响应文件中出现可选择性或可调整的报价的（竞争性磋商文件另有规定的除外</w:t>
      </w:r>
      <w:r>
        <w:rPr>
          <w:rFonts w:hint="eastAsia" w:ascii="宋体" w:hAnsi="宋体" w:eastAsia="宋体" w:cs="宋体"/>
          <w:spacing w:val="-121"/>
          <w:sz w:val="21"/>
          <w:szCs w:val="21"/>
          <w:lang w:eastAsia="zh-CN"/>
        </w:rPr>
        <w:t>）</w:t>
      </w:r>
      <w:r>
        <w:rPr>
          <w:rFonts w:hint="eastAsia" w:ascii="宋体" w:hAnsi="宋体" w:eastAsia="宋体" w:cs="宋体"/>
          <w:sz w:val="21"/>
          <w:szCs w:val="21"/>
          <w:lang w:eastAsia="zh-CN"/>
        </w:rPr>
        <w:t>；</w:t>
      </w:r>
    </w:p>
    <w:p w14:paraId="2F3CD5AD">
      <w:pPr>
        <w:pStyle w:val="65"/>
        <w:keepNext w:val="0"/>
        <w:keepLines w:val="0"/>
        <w:pageBreakBefore w:val="0"/>
        <w:widowControl w:val="0"/>
        <w:numPr>
          <w:ilvl w:val="1"/>
          <w:numId w:val="3"/>
        </w:numPr>
        <w:tabs>
          <w:tab w:val="left" w:pos="1616"/>
          <w:tab w:val="left" w:pos="1617"/>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最后报价出现前后不一致，供应商对修正后的报价不予确认的；</w:t>
      </w:r>
    </w:p>
    <w:p w14:paraId="162F6F0F">
      <w:pPr>
        <w:pStyle w:val="65"/>
        <w:keepNext w:val="0"/>
        <w:keepLines w:val="0"/>
        <w:pageBreakBefore w:val="0"/>
        <w:widowControl w:val="0"/>
        <w:numPr>
          <w:ilvl w:val="1"/>
          <w:numId w:val="3"/>
        </w:numPr>
        <w:tabs>
          <w:tab w:val="left" w:pos="1616"/>
          <w:tab w:val="left" w:pos="1617"/>
          <w:tab w:val="left" w:pos="3056"/>
        </w:tabs>
        <w:kinsoku/>
        <w:wordWrap/>
        <w:overflowPunct/>
        <w:topLinePunct w:val="0"/>
        <w:autoSpaceDE w:val="0"/>
        <w:autoSpaceDN w:val="0"/>
        <w:bidi w:val="0"/>
        <w:adjustRightInd w:val="0"/>
        <w:snapToGrid w:val="0"/>
        <w:spacing w:line="360" w:lineRule="auto"/>
        <w:ind w:left="20" w:leftChars="0" w:right="0" w:firstLine="420" w:firstLineChars="0"/>
        <w:textAlignment w:val="auto"/>
        <w:rPr>
          <w:rFonts w:hint="eastAsia" w:ascii="宋体" w:hAnsi="宋体" w:eastAsia="宋体" w:cs="宋体"/>
          <w:sz w:val="21"/>
          <w:szCs w:val="21"/>
        </w:rPr>
      </w:pPr>
      <w:r>
        <w:rPr>
          <w:rFonts w:hint="eastAsia" w:ascii="宋体" w:hAnsi="宋体" w:eastAsia="宋体" w:cs="宋体"/>
          <w:sz w:val="21"/>
          <w:szCs w:val="21"/>
        </w:rPr>
        <w:t>其他：</w:t>
      </w:r>
      <w:r>
        <w:rPr>
          <w:rFonts w:hint="eastAsia"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cs="宋体"/>
          <w:sz w:val="21"/>
          <w:szCs w:val="21"/>
          <w:u w:val="single"/>
          <w:lang w:val="en-US" w:eastAsia="zh-CN"/>
        </w:rPr>
        <w:t xml:space="preserve"> </w:t>
      </w:r>
      <w:r>
        <w:rPr>
          <w:rFonts w:hint="eastAsia" w:ascii="宋体" w:hAnsi="宋体" w:eastAsia="宋体" w:cs="宋体"/>
          <w:sz w:val="21"/>
          <w:szCs w:val="21"/>
        </w:rPr>
        <w:t>。</w:t>
      </w:r>
    </w:p>
    <w:p w14:paraId="0494D2AA">
      <w:pPr>
        <w:pStyle w:val="65"/>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评审方法和评审标准</w:t>
      </w:r>
    </w:p>
    <w:p w14:paraId="64CA46B2">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0DFB6B2F">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竞争性磋商文件中没有规定的评审标准不得作为评审依据。</w:t>
      </w:r>
    </w:p>
    <w:p w14:paraId="52CC49EB">
      <w:pPr>
        <w:pStyle w:val="65"/>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确定成交候选人名单</w:t>
      </w:r>
    </w:p>
    <w:p w14:paraId="55B08D25">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评审因素的量化指标</w:t>
      </w:r>
      <w:r>
        <w:rPr>
          <w:rFonts w:hint="eastAsia" w:cs="宋体"/>
          <w:sz w:val="21"/>
          <w:szCs w:val="21"/>
          <w:u w:val="single"/>
          <w:lang w:val="en-US" w:eastAsia="zh-CN"/>
        </w:rPr>
        <w:t xml:space="preserve"> </w:t>
      </w:r>
      <w:r>
        <w:rPr>
          <w:rFonts w:hint="eastAsia" w:cs="宋体"/>
          <w:sz w:val="21"/>
          <w:szCs w:val="21"/>
          <w:u w:val="single"/>
          <w:lang w:eastAsia="zh-CN"/>
        </w:rPr>
        <w:t>技术部分</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评审得分最高的供应商为排名第一的成交候选人。评分分值计算保留小数点后两位，第三位四舍五入。</w:t>
      </w:r>
    </w:p>
    <w:p w14:paraId="61661DAB">
      <w:pPr>
        <w:pStyle w:val="65"/>
        <w:keepNext w:val="0"/>
        <w:keepLines w:val="0"/>
        <w:pageBreakBefore w:val="0"/>
        <w:widowControl w:val="0"/>
        <w:numPr>
          <w:ilvl w:val="1"/>
          <w:numId w:val="3"/>
        </w:numPr>
        <w:tabs>
          <w:tab w:val="left" w:pos="1617"/>
          <w:tab w:val="left" w:pos="743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磋商小组根据上述供应商排</w:t>
      </w:r>
      <w:r>
        <w:rPr>
          <w:rFonts w:hint="eastAsia" w:ascii="宋体" w:hAnsi="宋体" w:eastAsia="宋体" w:cs="宋体"/>
          <w:spacing w:val="4"/>
          <w:sz w:val="21"/>
          <w:szCs w:val="21"/>
          <w:lang w:eastAsia="zh-CN"/>
        </w:rPr>
        <w:t>序</w:t>
      </w:r>
      <w:r>
        <w:rPr>
          <w:rFonts w:hint="eastAsia" w:ascii="宋体" w:hAnsi="宋体" w:eastAsia="宋体" w:cs="宋体"/>
          <w:sz w:val="21"/>
          <w:szCs w:val="21"/>
          <w:lang w:eastAsia="zh-CN"/>
        </w:rPr>
        <w:t>，依次推荐排序前</w:t>
      </w:r>
      <w:r>
        <w:rPr>
          <w:rFonts w:hint="eastAsia" w:ascii="宋体" w:hAnsi="宋体" w:eastAsia="宋体" w:cs="宋体"/>
          <w:sz w:val="21"/>
          <w:szCs w:val="21"/>
          <w:u w:val="single"/>
          <w:lang w:eastAsia="zh-CN"/>
        </w:rPr>
        <w:t xml:space="preserve"> </w:t>
      </w:r>
      <w:r>
        <w:rPr>
          <w:rFonts w:hint="eastAsia" w:cs="宋体"/>
          <w:sz w:val="21"/>
          <w:szCs w:val="21"/>
          <w:u w:val="single"/>
          <w:lang w:eastAsia="zh-CN"/>
        </w:rPr>
        <w:t>三</w:t>
      </w:r>
      <w:r>
        <w:rPr>
          <w:rFonts w:hint="eastAsia" w:cs="宋体"/>
          <w:sz w:val="21"/>
          <w:szCs w:val="21"/>
          <w:u w:val="single"/>
          <w:lang w:val="en-US" w:eastAsia="zh-CN"/>
        </w:rPr>
        <w:t xml:space="preserve"> </w:t>
      </w:r>
      <w:r>
        <w:rPr>
          <w:rFonts w:hint="eastAsia" w:ascii="宋体" w:hAnsi="宋体" w:eastAsia="宋体" w:cs="宋体"/>
          <w:sz w:val="21"/>
          <w:szCs w:val="21"/>
          <w:lang w:eastAsia="zh-CN"/>
        </w:rPr>
        <w:t>名的供应商</w:t>
      </w:r>
      <w:r>
        <w:rPr>
          <w:rFonts w:hint="eastAsia" w:ascii="宋体" w:hAnsi="宋体" w:eastAsia="宋体" w:cs="宋体"/>
          <w:spacing w:val="5"/>
          <w:sz w:val="21"/>
          <w:szCs w:val="21"/>
          <w:lang w:eastAsia="zh-CN"/>
        </w:rPr>
        <w:t>为</w:t>
      </w:r>
      <w:r>
        <w:rPr>
          <w:rFonts w:hint="eastAsia" w:ascii="宋体" w:hAnsi="宋体" w:eastAsia="宋体" w:cs="宋体"/>
          <w:sz w:val="21"/>
          <w:szCs w:val="21"/>
          <w:lang w:eastAsia="zh-CN"/>
        </w:rPr>
        <w:t>成交</w:t>
      </w:r>
      <w:r>
        <w:rPr>
          <w:rFonts w:hint="eastAsia" w:ascii="宋体" w:hAnsi="宋体" w:eastAsia="宋体" w:cs="宋体"/>
          <w:spacing w:val="-14"/>
          <w:sz w:val="21"/>
          <w:szCs w:val="21"/>
          <w:lang w:eastAsia="zh-CN"/>
        </w:rPr>
        <w:t>候</w:t>
      </w:r>
      <w:r>
        <w:rPr>
          <w:rFonts w:hint="eastAsia" w:ascii="宋体" w:hAnsi="宋体" w:eastAsia="宋体" w:cs="宋体"/>
          <w:sz w:val="21"/>
          <w:szCs w:val="21"/>
          <w:lang w:eastAsia="zh-CN"/>
        </w:rPr>
        <w:t>选供应商并编写评审报告。</w:t>
      </w:r>
    </w:p>
    <w:p w14:paraId="52085783">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磋商小组要对评分汇总情况进行复核，特别是对排名第一的、报价最低的、响应文件被认定为无效的情形进行重点复核。</w:t>
      </w:r>
    </w:p>
    <w:p w14:paraId="5766F8B6">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996A505">
      <w:pPr>
        <w:pStyle w:val="65"/>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报告违法行为</w:t>
      </w:r>
    </w:p>
    <w:p w14:paraId="5AC7430A">
      <w:pPr>
        <w:pStyle w:val="65"/>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20" w:leftChars="0" w:right="0" w:firstLine="420" w:firstLineChars="0"/>
        <w:jc w:val="both"/>
        <w:textAlignment w:val="auto"/>
        <w:rPr>
          <w:rFonts w:hint="eastAsia" w:ascii="宋体" w:hAnsi="宋体" w:eastAsia="宋体" w:cs="宋体"/>
          <w:sz w:val="21"/>
          <w:szCs w:val="21"/>
          <w:lang w:eastAsia="zh-CN"/>
        </w:rPr>
        <w:sectPr>
          <w:pgSz w:w="11910" w:h="16840"/>
          <w:pgMar w:top="1340" w:right="560" w:bottom="1080" w:left="1160" w:header="879" w:footer="892" w:gutter="0"/>
          <w:cols w:space="720" w:num="1"/>
        </w:sectPr>
      </w:pPr>
      <w:r>
        <w:rPr>
          <w:rFonts w:hint="eastAsia" w:ascii="宋体" w:hAnsi="宋体" w:eastAsia="宋体" w:cs="宋体"/>
          <w:spacing w:val="-1"/>
          <w:sz w:val="21"/>
          <w:szCs w:val="21"/>
          <w:lang w:eastAsia="zh-CN"/>
        </w:rPr>
        <w:t>磋商小组在评审过程中发现供应商有行贿、提供虚假材料或者串通等违法行</w:t>
      </w:r>
      <w:r>
        <w:rPr>
          <w:rFonts w:hint="eastAsia" w:ascii="宋体" w:hAnsi="宋体" w:eastAsia="宋体" w:cs="宋体"/>
          <w:sz w:val="21"/>
          <w:szCs w:val="21"/>
          <w:lang w:eastAsia="zh-CN"/>
        </w:rPr>
        <w:t>为时，有向采购人、采购代理机构或者有关部门报告的职责。</w:t>
      </w:r>
    </w:p>
    <w:p w14:paraId="29F9830A">
      <w:pPr>
        <w:pStyle w:val="2"/>
        <w:keepNext/>
        <w:keepLines/>
        <w:pageBreakBefore w:val="0"/>
        <w:widowControl w:val="0"/>
        <w:numPr>
          <w:ilvl w:val="0"/>
          <w:numId w:val="0"/>
        </w:numPr>
        <w:shd w:val="clear"/>
        <w:kinsoku/>
        <w:wordWrap/>
        <w:overflowPunct/>
        <w:topLinePunct w:val="0"/>
        <w:autoSpaceDE w:val="0"/>
        <w:autoSpaceDN w:val="0"/>
        <w:bidi w:val="0"/>
        <w:adjustRightInd/>
        <w:snapToGrid/>
        <w:spacing w:after="313" w:afterLines="100" w:line="360" w:lineRule="auto"/>
        <w:jc w:val="center"/>
        <w:textAlignment w:val="auto"/>
        <w:rPr>
          <w:rFonts w:hint="default" w:ascii="宋体" w:hAnsi="宋体" w:eastAsia="宋体" w:cs="宋体"/>
          <w:b/>
          <w:color w:val="auto"/>
          <w:kern w:val="44"/>
          <w:sz w:val="36"/>
          <w:szCs w:val="36"/>
          <w:lang w:val="en-US" w:eastAsia="zh-CN" w:bidi="ar-SA"/>
        </w:rPr>
      </w:pPr>
      <w:bookmarkStart w:id="211" w:name="_Toc17938"/>
      <w:r>
        <w:rPr>
          <w:rFonts w:hint="eastAsia" w:ascii="宋体" w:hAnsi="宋体" w:eastAsia="宋体" w:cs="宋体"/>
          <w:b/>
          <w:color w:val="auto"/>
          <w:kern w:val="44"/>
          <w:sz w:val="36"/>
          <w:szCs w:val="36"/>
          <w:lang w:val="en-US" w:eastAsia="zh-CN" w:bidi="ar-SA"/>
        </w:rPr>
        <w:t xml:space="preserve">第四章 </w:t>
      </w:r>
      <w:bookmarkEnd w:id="206"/>
      <w:bookmarkEnd w:id="207"/>
      <w:bookmarkEnd w:id="208"/>
      <w:r>
        <w:rPr>
          <w:rFonts w:hint="eastAsia" w:ascii="宋体" w:hAnsi="宋体" w:eastAsia="宋体" w:cs="宋体"/>
          <w:b/>
          <w:color w:val="auto"/>
          <w:kern w:val="44"/>
          <w:sz w:val="36"/>
          <w:szCs w:val="36"/>
          <w:lang w:val="en-US" w:eastAsia="zh-CN" w:bidi="ar-SA"/>
        </w:rPr>
        <w:t>采购需求</w:t>
      </w:r>
      <w:bookmarkEnd w:id="209"/>
      <w:bookmarkEnd w:id="210"/>
      <w:bookmarkEnd w:id="211"/>
    </w:p>
    <w:p w14:paraId="4DD9298A">
      <w:pPr>
        <w:pStyle w:val="3"/>
        <w:pageBreakBefore w:val="0"/>
        <w:numPr>
          <w:ilvl w:val="1"/>
          <w:numId w:val="0"/>
        </w:numPr>
        <w:kinsoku/>
        <w:wordWrap/>
        <w:overflowPunct/>
        <w:topLinePunct w:val="0"/>
        <w:bidi w:val="0"/>
        <w:spacing w:before="0" w:after="0" w:line="360" w:lineRule="auto"/>
        <w:ind w:left="0"/>
        <w:textAlignment w:val="auto"/>
        <w:rPr>
          <w:rFonts w:hint="default" w:ascii="宋体" w:hAnsi="宋体" w:eastAsia="宋体" w:cs="宋体"/>
          <w:b/>
          <w:bCs/>
          <w:sz w:val="24"/>
          <w:szCs w:val="24"/>
          <w:lang w:val="en-US" w:eastAsia="zh-CN"/>
        </w:rPr>
      </w:pPr>
      <w:bookmarkStart w:id="212" w:name="_Toc3450"/>
      <w:bookmarkStart w:id="213" w:name="_Toc484874629"/>
      <w:r>
        <w:rPr>
          <w:rFonts w:hint="eastAsia" w:ascii="宋体" w:hAnsi="宋体" w:cs="宋体"/>
          <w:b/>
          <w:bCs/>
          <w:sz w:val="24"/>
          <w:szCs w:val="24"/>
          <w:lang w:val="en-US" w:eastAsia="zh-CN"/>
        </w:rPr>
        <w:t>一</w:t>
      </w:r>
      <w:r>
        <w:rPr>
          <w:rFonts w:hint="default" w:ascii="宋体" w:hAnsi="宋体" w:eastAsia="宋体" w:cs="宋体"/>
          <w:b/>
          <w:bCs/>
          <w:sz w:val="24"/>
          <w:szCs w:val="24"/>
          <w:lang w:val="en-US" w:eastAsia="zh-CN"/>
        </w:rPr>
        <w:t>、项目概况</w:t>
      </w:r>
      <w:bookmarkEnd w:id="212"/>
    </w:p>
    <w:p w14:paraId="31A7EAB6">
      <w:pPr>
        <w:spacing w:line="360" w:lineRule="auto"/>
        <w:ind w:firstLine="210" w:firstLineChars="100"/>
        <w:rPr>
          <w:rFonts w:hint="default" w:ascii="宋体" w:hAnsi="宋体" w:eastAsia="宋体" w:cs="宋体"/>
          <w:kern w:val="2"/>
          <w:sz w:val="21"/>
          <w:szCs w:val="21"/>
          <w:lang w:val="en-US" w:eastAsia="zh-CN"/>
        </w:rPr>
      </w:pPr>
      <w:bookmarkStart w:id="214" w:name="_Toc23913"/>
      <w:r>
        <w:rPr>
          <w:rFonts w:hint="eastAsia" w:ascii="宋体" w:hAnsi="宋体" w:eastAsia="宋体" w:cs="宋体"/>
          <w:kern w:val="2"/>
          <w:sz w:val="21"/>
          <w:szCs w:val="21"/>
          <w:lang w:val="en-US" w:eastAsia="zh-CN"/>
        </w:rPr>
        <w:t>项目名称：</w:t>
      </w:r>
      <w:r>
        <w:rPr>
          <w:rFonts w:hint="default" w:ascii="宋体" w:hAnsi="宋体" w:eastAsia="宋体" w:cs="宋体"/>
          <w:kern w:val="2"/>
          <w:sz w:val="21"/>
          <w:szCs w:val="21"/>
          <w:lang w:val="en-US" w:eastAsia="zh-CN"/>
        </w:rPr>
        <w:t>镇沅县古城镇建民村产业道路硬化建设项目</w:t>
      </w:r>
    </w:p>
    <w:p w14:paraId="456CDEEC">
      <w:pPr>
        <w:spacing w:line="360" w:lineRule="auto"/>
        <w:ind w:firstLine="210" w:firstLineChars="100"/>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资金规模：2025年中央</w:t>
      </w:r>
      <w:r>
        <w:rPr>
          <w:rFonts w:hint="default" w:ascii="宋体" w:hAnsi="宋体" w:eastAsia="宋体" w:cs="宋体"/>
          <w:kern w:val="2"/>
          <w:sz w:val="21"/>
          <w:szCs w:val="21"/>
          <w:lang w:val="en-US" w:eastAsia="zh-CN"/>
        </w:rPr>
        <w:t>财政衔接推进乡村振兴补助资金</w:t>
      </w:r>
    </w:p>
    <w:p w14:paraId="3EA4DB27">
      <w:pPr>
        <w:spacing w:line="360" w:lineRule="auto"/>
        <w:ind w:firstLine="210" w:firstLineChars="100"/>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项目主管单位：镇沅县</w:t>
      </w:r>
      <w:r>
        <w:rPr>
          <w:rFonts w:hint="default" w:ascii="宋体" w:hAnsi="宋体" w:eastAsia="宋体" w:cs="宋体"/>
          <w:kern w:val="2"/>
          <w:sz w:val="21"/>
          <w:szCs w:val="21"/>
          <w:lang w:val="en-US" w:eastAsia="zh-CN"/>
        </w:rPr>
        <w:t>农业农村和科学技术局</w:t>
      </w:r>
    </w:p>
    <w:p w14:paraId="3705B349">
      <w:pPr>
        <w:spacing w:line="360" w:lineRule="auto"/>
        <w:ind w:firstLine="210" w:firstLineChars="100"/>
        <w:rPr>
          <w:rFonts w:hint="eastAsia" w:ascii="宋体" w:hAnsi="宋体" w:eastAsia="宋体" w:cs="宋体"/>
          <w:kern w:val="2"/>
          <w:sz w:val="21"/>
          <w:szCs w:val="21"/>
          <w:lang w:val="en-US" w:eastAsia="zh-CN"/>
        </w:rPr>
      </w:pPr>
      <w:r>
        <w:rPr>
          <w:rFonts w:hint="default" w:ascii="宋体" w:hAnsi="宋体" w:eastAsia="宋体" w:cs="宋体"/>
          <w:kern w:val="2"/>
          <w:sz w:val="21"/>
          <w:szCs w:val="21"/>
          <w:lang w:val="en-US" w:eastAsia="zh-CN"/>
        </w:rPr>
        <w:t>项目实施单位：古城镇</w:t>
      </w:r>
      <w:r>
        <w:rPr>
          <w:rFonts w:hint="default" w:ascii="宋体" w:hAnsi="宋体" w:eastAsia="宋体" w:cs="宋体"/>
          <w:kern w:val="2"/>
          <w:sz w:val="21"/>
          <w:szCs w:val="21"/>
          <w:lang w:eastAsia="zh-CN"/>
        </w:rPr>
        <w:t>人民政府</w:t>
      </w:r>
    </w:p>
    <w:p w14:paraId="6D43CEA7">
      <w:pPr>
        <w:spacing w:line="360" w:lineRule="auto"/>
        <w:ind w:firstLine="210" w:firstLineChars="100"/>
        <w:rPr>
          <w:rFonts w:hint="default" w:ascii="宋体" w:hAnsi="宋体" w:eastAsia="宋体" w:cs="宋体"/>
          <w:kern w:val="2"/>
          <w:sz w:val="21"/>
          <w:szCs w:val="21"/>
          <w:lang w:val="en-US" w:eastAsia="zh-CN"/>
        </w:rPr>
      </w:pPr>
      <w:r>
        <w:rPr>
          <w:rFonts w:hint="default" w:ascii="宋体" w:hAnsi="宋体" w:eastAsia="宋体" w:cs="宋体"/>
          <w:kern w:val="2"/>
          <w:sz w:val="21"/>
          <w:szCs w:val="21"/>
          <w:lang w:eastAsia="zh-CN"/>
        </w:rPr>
        <w:t>项目建设内容：</w:t>
      </w:r>
      <w:r>
        <w:rPr>
          <w:rFonts w:hint="default" w:ascii="宋体" w:hAnsi="宋体" w:eastAsia="宋体" w:cs="宋体"/>
          <w:kern w:val="2"/>
          <w:sz w:val="21"/>
          <w:szCs w:val="21"/>
          <w:lang w:val="en-US" w:eastAsia="zh-CN"/>
        </w:rPr>
        <w:t>拟建</w:t>
      </w:r>
      <w:r>
        <w:rPr>
          <w:rFonts w:hint="eastAsia" w:ascii="宋体" w:hAnsi="宋体" w:eastAsia="宋体" w:cs="宋体"/>
          <w:kern w:val="2"/>
          <w:sz w:val="21"/>
          <w:szCs w:val="21"/>
          <w:lang w:val="en-US" w:eastAsia="zh-CN"/>
        </w:rPr>
        <w:t>产业道路硬化</w:t>
      </w:r>
      <w:r>
        <w:rPr>
          <w:rFonts w:hint="default" w:ascii="宋体" w:hAnsi="宋体" w:eastAsia="宋体" w:cs="宋体"/>
          <w:kern w:val="2"/>
          <w:sz w:val="21"/>
          <w:szCs w:val="21"/>
          <w:lang w:val="en-US" w:eastAsia="zh-CN"/>
        </w:rPr>
        <w:t>里程3.72</w:t>
      </w:r>
      <w:r>
        <w:rPr>
          <w:rFonts w:hint="eastAsia" w:ascii="宋体" w:hAnsi="宋体" w:eastAsia="宋体" w:cs="宋体"/>
          <w:kern w:val="2"/>
          <w:sz w:val="21"/>
          <w:szCs w:val="21"/>
          <w:lang w:val="en-US" w:eastAsia="zh-CN"/>
        </w:rPr>
        <w:t>km</w:t>
      </w:r>
      <w:r>
        <w:rPr>
          <w:rFonts w:hint="default" w:ascii="宋体" w:hAnsi="宋体" w:eastAsia="宋体" w:cs="宋体"/>
          <w:kern w:val="2"/>
          <w:sz w:val="21"/>
          <w:szCs w:val="21"/>
          <w:lang w:val="en-US" w:eastAsia="zh-CN"/>
        </w:rPr>
        <w:t>，其中主线长2.163</w:t>
      </w:r>
      <w:r>
        <w:rPr>
          <w:rFonts w:hint="eastAsia" w:ascii="宋体" w:hAnsi="宋体" w:eastAsia="宋体" w:cs="宋体"/>
          <w:kern w:val="2"/>
          <w:sz w:val="21"/>
          <w:szCs w:val="21"/>
          <w:lang w:val="en-US" w:eastAsia="zh-CN"/>
        </w:rPr>
        <w:t>km</w:t>
      </w:r>
      <w:r>
        <w:rPr>
          <w:rFonts w:hint="default" w:ascii="宋体" w:hAnsi="宋体" w:eastAsia="宋体" w:cs="宋体"/>
          <w:kern w:val="2"/>
          <w:sz w:val="21"/>
          <w:szCs w:val="21"/>
          <w:lang w:val="en-US" w:eastAsia="zh-CN"/>
        </w:rPr>
        <w:t>，支线长1.553</w:t>
      </w:r>
      <w:r>
        <w:rPr>
          <w:rFonts w:hint="eastAsia" w:ascii="宋体" w:hAnsi="宋体" w:eastAsia="宋体" w:cs="宋体"/>
          <w:kern w:val="2"/>
          <w:sz w:val="21"/>
          <w:szCs w:val="21"/>
          <w:lang w:val="en-US" w:eastAsia="zh-CN"/>
        </w:rPr>
        <w:t>km</w:t>
      </w:r>
      <w:r>
        <w:rPr>
          <w:rFonts w:hint="default" w:ascii="宋体" w:hAnsi="宋体" w:eastAsia="宋体" w:cs="宋体"/>
          <w:kern w:val="2"/>
          <w:sz w:val="21"/>
          <w:szCs w:val="21"/>
          <w:lang w:val="en-US" w:eastAsia="zh-CN"/>
        </w:rPr>
        <w:t>。</w:t>
      </w:r>
    </w:p>
    <w:p w14:paraId="411E42BC">
      <w:pPr>
        <w:spacing w:line="360" w:lineRule="auto"/>
        <w:ind w:firstLine="210" w:firstLineChars="100"/>
        <w:rPr>
          <w:rFonts w:hint="default" w:ascii="宋体" w:hAnsi="宋体" w:eastAsia="宋体" w:cs="宋体"/>
          <w:kern w:val="2"/>
          <w:sz w:val="21"/>
          <w:szCs w:val="21"/>
          <w:lang w:val="en-US" w:eastAsia="zh-CN"/>
        </w:rPr>
      </w:pPr>
      <w:r>
        <w:rPr>
          <w:rFonts w:hint="default" w:ascii="宋体" w:hAnsi="宋体" w:eastAsia="宋体" w:cs="宋体"/>
          <w:kern w:val="2"/>
          <w:sz w:val="21"/>
          <w:szCs w:val="21"/>
          <w:lang w:eastAsia="zh-CN"/>
        </w:rPr>
        <w:t>项目投资计划：</w:t>
      </w:r>
      <w:r>
        <w:rPr>
          <w:rFonts w:hint="eastAsia" w:ascii="宋体" w:hAnsi="宋体" w:eastAsia="宋体" w:cs="宋体"/>
          <w:kern w:val="2"/>
          <w:sz w:val="21"/>
          <w:szCs w:val="21"/>
          <w:lang w:val="en-US" w:eastAsia="zh-CN"/>
        </w:rPr>
        <w:t>120</w:t>
      </w:r>
      <w:r>
        <w:rPr>
          <w:rFonts w:hint="default" w:ascii="宋体" w:hAnsi="宋体" w:eastAsia="宋体" w:cs="宋体"/>
          <w:kern w:val="2"/>
          <w:sz w:val="21"/>
          <w:szCs w:val="21"/>
          <w:lang w:eastAsia="zh-CN"/>
        </w:rPr>
        <w:t>万元</w:t>
      </w:r>
    </w:p>
    <w:p w14:paraId="567C9AC1">
      <w:pPr>
        <w:spacing w:line="360" w:lineRule="auto"/>
        <w:ind w:firstLine="210" w:firstLineChars="100"/>
        <w:rPr>
          <w:rFonts w:hint="default" w:ascii="宋体" w:hAnsi="宋体" w:eastAsia="宋体" w:cs="宋体"/>
          <w:kern w:val="2"/>
          <w:sz w:val="21"/>
          <w:szCs w:val="21"/>
          <w:lang w:val="en-US" w:eastAsia="zh-CN"/>
        </w:rPr>
      </w:pPr>
      <w:r>
        <w:rPr>
          <w:rFonts w:hint="default" w:ascii="宋体" w:hAnsi="宋体" w:eastAsia="宋体" w:cs="宋体"/>
          <w:kern w:val="2"/>
          <w:sz w:val="21"/>
          <w:szCs w:val="21"/>
          <w:lang w:val="en-US" w:eastAsia="zh-CN"/>
        </w:rPr>
        <w:t>项目建设性质：新建</w:t>
      </w:r>
    </w:p>
    <w:p w14:paraId="4DA2116D">
      <w:pPr>
        <w:pStyle w:val="3"/>
        <w:pageBreakBefore w:val="0"/>
        <w:numPr>
          <w:ilvl w:val="1"/>
          <w:numId w:val="0"/>
        </w:numPr>
        <w:kinsoku/>
        <w:wordWrap/>
        <w:overflowPunct/>
        <w:topLinePunct w:val="0"/>
        <w:bidi w:val="0"/>
        <w:spacing w:before="0" w:after="0" w:line="360" w:lineRule="auto"/>
        <w:ind w:left="0"/>
        <w:textAlignment w:val="auto"/>
        <w:rPr>
          <w:rFonts w:hint="eastAsia" w:ascii="宋体" w:hAnsi="宋体" w:eastAsia="宋体" w:cs="宋体"/>
          <w:b/>
          <w:bCs/>
          <w:sz w:val="24"/>
          <w:szCs w:val="24"/>
          <w:lang w:val="en-US" w:eastAsia="zh-CN"/>
        </w:rPr>
      </w:pPr>
      <w:bookmarkStart w:id="215" w:name="_Toc29995"/>
      <w:r>
        <w:rPr>
          <w:rFonts w:hint="eastAsia" w:ascii="宋体" w:hAnsi="宋体" w:cs="宋体"/>
          <w:b/>
          <w:bCs/>
          <w:sz w:val="24"/>
          <w:szCs w:val="24"/>
          <w:lang w:val="en-US" w:eastAsia="zh-CN"/>
        </w:rPr>
        <w:t>二</w:t>
      </w:r>
      <w:r>
        <w:rPr>
          <w:rFonts w:hint="eastAsia" w:ascii="宋体" w:hAnsi="宋体" w:eastAsia="宋体" w:cs="宋体"/>
          <w:b/>
          <w:bCs/>
          <w:sz w:val="24"/>
          <w:szCs w:val="24"/>
          <w:lang w:val="en-US" w:eastAsia="zh-CN"/>
        </w:rPr>
        <w:t>、</w:t>
      </w:r>
      <w:r>
        <w:rPr>
          <w:rFonts w:ascii="Times New Roman" w:hAnsi="Times New Roman" w:cs="Times New Roman"/>
          <w:b/>
          <w:bCs/>
          <w:sz w:val="24"/>
          <w:lang w:eastAsia="zh-CN"/>
        </w:rPr>
        <w:t>工程内容</w:t>
      </w:r>
      <w:bookmarkEnd w:id="215"/>
    </w:p>
    <w:p w14:paraId="6D69D2CF">
      <w:pPr>
        <w:spacing w:line="360" w:lineRule="auto"/>
        <w:ind w:firstLine="210" w:firstLineChars="100"/>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工程名称：</w:t>
      </w:r>
      <w:r>
        <w:rPr>
          <w:rFonts w:hint="default" w:ascii="宋体" w:hAnsi="宋体" w:eastAsia="宋体" w:cs="宋体"/>
          <w:kern w:val="2"/>
          <w:sz w:val="21"/>
          <w:szCs w:val="21"/>
          <w:lang w:val="en-US" w:eastAsia="zh-CN"/>
        </w:rPr>
        <w:t>镇沅县古城镇建民村产业道路硬化建设项目</w:t>
      </w:r>
    </w:p>
    <w:p w14:paraId="4771384A">
      <w:pPr>
        <w:pageBreakBefore w:val="0"/>
        <w:widowControl/>
        <w:kinsoku/>
        <w:wordWrap/>
        <w:overflowPunct/>
        <w:topLinePunct w:val="0"/>
        <w:autoSpaceDE/>
        <w:autoSpaceDN/>
        <w:bidi w:val="0"/>
        <w:adjustRightInd w:val="0"/>
        <w:snapToGrid w:val="0"/>
        <w:spacing w:line="360" w:lineRule="auto"/>
        <w:ind w:firstLine="210" w:firstLineChars="100"/>
        <w:jc w:val="left"/>
        <w:textAlignment w:val="auto"/>
        <w:rPr>
          <w:rFonts w:hint="eastAsia" w:ascii="宋体" w:hAnsi="宋体" w:eastAsia="宋体" w:cs="宋体"/>
          <w:b w:val="0"/>
          <w:bCs w:val="0"/>
          <w:sz w:val="21"/>
          <w:szCs w:val="21"/>
          <w:lang w:val="en-US" w:eastAsia="zh-CN"/>
        </w:rPr>
      </w:pPr>
      <w:r>
        <w:rPr>
          <w:rFonts w:hint="eastAsia" w:ascii="宋体" w:hAnsi="宋体" w:eastAsia="宋体" w:cs="宋体"/>
          <w:kern w:val="2"/>
          <w:sz w:val="21"/>
          <w:szCs w:val="21"/>
          <w:lang w:val="en-US" w:eastAsia="zh-CN"/>
        </w:rPr>
        <w:t>工程承包范围：</w:t>
      </w:r>
      <w:r>
        <w:rPr>
          <w:rFonts w:hint="eastAsia" w:ascii="宋体" w:hAnsi="宋体" w:eastAsia="宋体" w:cs="宋体"/>
          <w:color w:val="auto"/>
          <w:sz w:val="21"/>
          <w:szCs w:val="21"/>
          <w:lang w:eastAsia="zh-CN"/>
        </w:rPr>
        <w:t>拟建里程3.72公里，其中主线长2.163km，起点位于正在实施的建民大桥（桥梁编码Y030530825L0030）引道延长线，止点为那闷组老李烧烤与建民路（路线编码Y030530825）岔口，支线长1.553km，起点建民小学下方砂石路岔口，止点位于沿过得河砂石路与建民路岔口。</w:t>
      </w:r>
      <w:r>
        <w:rPr>
          <w:rFonts w:hint="eastAsia" w:ascii="宋体" w:hAnsi="宋体" w:eastAsia="宋体" w:cs="宋体"/>
          <w:color w:val="auto"/>
          <w:sz w:val="21"/>
          <w:szCs w:val="21"/>
          <w:lang w:val="en-US" w:eastAsia="zh-CN"/>
        </w:rPr>
        <w:t>（详细内容详见工程量清单及施工图纸）。</w:t>
      </w:r>
      <w:r>
        <w:rPr>
          <w:rFonts w:hint="default" w:ascii="宋体" w:hAnsi="宋体" w:eastAsia="宋体" w:cs="宋体"/>
          <w:color w:val="auto"/>
          <w:sz w:val="21"/>
          <w:szCs w:val="21"/>
          <w:lang w:eastAsia="zh-CN"/>
        </w:rPr>
        <w:t>技术标准</w:t>
      </w:r>
      <w:r>
        <w:rPr>
          <w:rFonts w:hint="eastAsia" w:ascii="宋体" w:hAnsi="宋体" w:eastAsia="宋体" w:cs="宋体"/>
          <w:color w:val="auto"/>
          <w:sz w:val="21"/>
          <w:szCs w:val="21"/>
          <w:lang w:eastAsia="zh-CN"/>
        </w:rPr>
        <w:t>为</w:t>
      </w:r>
      <w:r>
        <w:rPr>
          <w:rFonts w:hint="default" w:ascii="宋体" w:hAnsi="宋体" w:eastAsia="宋体" w:cs="宋体"/>
          <w:color w:val="auto"/>
          <w:sz w:val="21"/>
          <w:szCs w:val="21"/>
          <w:lang w:eastAsia="zh-CN"/>
        </w:rPr>
        <w:t>公路等级</w:t>
      </w:r>
      <w:r>
        <w:rPr>
          <w:rFonts w:hint="default" w:ascii="宋体" w:hAnsi="宋体" w:eastAsia="宋体" w:cs="宋体"/>
          <w:color w:val="auto"/>
          <w:sz w:val="21"/>
          <w:szCs w:val="21"/>
          <w:lang w:val="en-US" w:eastAsia="zh-CN"/>
        </w:rPr>
        <w:t>为</w:t>
      </w:r>
      <w:r>
        <w:rPr>
          <w:rFonts w:hint="default" w:ascii="宋体" w:hAnsi="宋体" w:eastAsia="宋体" w:cs="宋体"/>
          <w:color w:val="auto"/>
          <w:sz w:val="21"/>
          <w:szCs w:val="21"/>
          <w:lang w:eastAsia="zh-CN"/>
        </w:rPr>
        <w:t>基本级，设计时速</w:t>
      </w:r>
      <w:r>
        <w:rPr>
          <w:rFonts w:hint="default" w:ascii="宋体" w:hAnsi="宋体" w:eastAsia="宋体" w:cs="宋体"/>
          <w:color w:val="auto"/>
          <w:sz w:val="21"/>
          <w:szCs w:val="21"/>
          <w:lang w:val="en-US" w:eastAsia="zh-CN"/>
        </w:rPr>
        <w:t>15</w:t>
      </w:r>
      <w:r>
        <w:rPr>
          <w:rFonts w:hint="default" w:ascii="宋体" w:hAnsi="宋体" w:eastAsia="宋体" w:cs="宋体"/>
          <w:color w:val="auto"/>
          <w:sz w:val="21"/>
          <w:szCs w:val="21"/>
          <w:lang w:eastAsia="zh-CN"/>
        </w:rPr>
        <w:t>公里/小时，路基宽度</w:t>
      </w:r>
      <w:r>
        <w:rPr>
          <w:rFonts w:hint="default" w:ascii="宋体" w:hAnsi="宋体" w:eastAsia="宋体" w:cs="宋体"/>
          <w:color w:val="auto"/>
          <w:sz w:val="21"/>
          <w:szCs w:val="21"/>
          <w:lang w:val="en-US" w:eastAsia="zh-CN"/>
        </w:rPr>
        <w:t>4.5</w:t>
      </w:r>
      <w:r>
        <w:rPr>
          <w:rFonts w:hint="default" w:ascii="宋体" w:hAnsi="宋体" w:eastAsia="宋体" w:cs="宋体"/>
          <w:color w:val="auto"/>
          <w:sz w:val="21"/>
          <w:szCs w:val="21"/>
          <w:lang w:eastAsia="zh-CN"/>
        </w:rPr>
        <w:t>米，路面宽度</w:t>
      </w:r>
      <w:r>
        <w:rPr>
          <w:rFonts w:hint="default" w:ascii="宋体" w:hAnsi="宋体" w:eastAsia="宋体" w:cs="宋体"/>
          <w:color w:val="auto"/>
          <w:sz w:val="21"/>
          <w:szCs w:val="21"/>
          <w:lang w:val="en-US" w:eastAsia="zh-CN"/>
        </w:rPr>
        <w:t>3.5</w:t>
      </w:r>
      <w:r>
        <w:rPr>
          <w:rFonts w:hint="default" w:ascii="宋体" w:hAnsi="宋体" w:eastAsia="宋体" w:cs="宋体"/>
          <w:color w:val="auto"/>
          <w:sz w:val="21"/>
          <w:szCs w:val="21"/>
          <w:lang w:eastAsia="zh-CN"/>
        </w:rPr>
        <w:t>米，路面结构类型为水泥混凝土路面，设计荷载为公路-Ⅱ级，公路自然区划为V5区，抗震设防为地震动峰值加速度系数0.15g，地震基本烈度Ⅶ度。</w:t>
      </w:r>
      <w:r>
        <w:rPr>
          <w:rFonts w:hint="default" w:ascii="宋体" w:hAnsi="宋体" w:eastAsia="宋体" w:cs="宋体"/>
          <w:color w:val="auto"/>
          <w:sz w:val="21"/>
          <w:szCs w:val="21"/>
          <w:lang w:val="en-US" w:eastAsia="zh-CN"/>
        </w:rPr>
        <w:t>建设内容</w:t>
      </w:r>
      <w:r>
        <w:rPr>
          <w:rFonts w:hint="eastAsia" w:ascii="宋体" w:hAnsi="宋体" w:eastAsia="宋体" w:cs="宋体"/>
          <w:color w:val="auto"/>
          <w:sz w:val="21"/>
          <w:szCs w:val="21"/>
          <w:lang w:val="en-US" w:eastAsia="zh-CN"/>
        </w:rPr>
        <w:t>为</w:t>
      </w:r>
      <w:r>
        <w:rPr>
          <w:rFonts w:hint="default" w:ascii="宋体" w:hAnsi="宋体" w:eastAsia="宋体" w:cs="宋体"/>
          <w:color w:val="auto"/>
          <w:sz w:val="21"/>
          <w:szCs w:val="21"/>
          <w:lang w:val="en-US" w:eastAsia="zh-CN"/>
        </w:rPr>
        <w:t>路面硬化、挡墙、涵洞、挖土石方、混凝土边沟、培土路肩、安全生命防护工程等。</w:t>
      </w:r>
      <w:r>
        <w:rPr>
          <w:rFonts w:hint="default" w:ascii="宋体" w:hAnsi="宋体" w:eastAsia="宋体" w:cs="宋体"/>
          <w:color w:val="auto"/>
          <w:sz w:val="21"/>
          <w:szCs w:val="21"/>
          <w:lang w:eastAsia="zh-CN"/>
        </w:rPr>
        <w:t>路面结构为</w:t>
      </w:r>
      <w:r>
        <w:rPr>
          <w:rFonts w:hint="default" w:ascii="宋体" w:hAnsi="宋体" w:eastAsia="宋体" w:cs="宋体"/>
          <w:color w:val="auto"/>
          <w:sz w:val="21"/>
          <w:szCs w:val="21"/>
          <w:lang w:val="en-US" w:eastAsia="zh-CN"/>
        </w:rPr>
        <w:t>15</w:t>
      </w:r>
      <w:r>
        <w:rPr>
          <w:rFonts w:hint="default" w:ascii="宋体" w:hAnsi="宋体" w:eastAsia="宋体" w:cs="宋体"/>
          <w:color w:val="auto"/>
          <w:sz w:val="21"/>
          <w:szCs w:val="21"/>
          <w:lang w:eastAsia="zh-CN"/>
        </w:rPr>
        <w:t>cm未筛分碎石调型层</w:t>
      </w:r>
      <w:r>
        <w:rPr>
          <w:rFonts w:hint="default" w:ascii="宋体" w:hAnsi="宋体" w:eastAsia="宋体" w:cs="宋体"/>
          <w:color w:val="auto"/>
          <w:sz w:val="21"/>
          <w:szCs w:val="21"/>
          <w:lang w:val="en-US" w:eastAsia="zh-CN"/>
        </w:rPr>
        <w:t>+20</w:t>
      </w:r>
      <w:r>
        <w:rPr>
          <w:rFonts w:hint="default" w:ascii="宋体" w:hAnsi="宋体" w:eastAsia="宋体" w:cs="宋体"/>
          <w:color w:val="auto"/>
          <w:sz w:val="21"/>
          <w:szCs w:val="21"/>
          <w:lang w:eastAsia="zh-CN"/>
        </w:rPr>
        <w:t>cm水泥混凝土路面（</w:t>
      </w:r>
      <w:r>
        <w:rPr>
          <w:rFonts w:hint="default" w:ascii="宋体" w:hAnsi="宋体" w:eastAsia="宋体" w:cs="宋体"/>
          <w:color w:val="auto"/>
          <w:sz w:val="21"/>
          <w:szCs w:val="21"/>
          <w:lang w:val="en-US" w:eastAsia="zh-CN"/>
        </w:rPr>
        <w:t>抗</w:t>
      </w:r>
      <w:r>
        <w:rPr>
          <w:rFonts w:hint="default" w:ascii="宋体" w:hAnsi="宋体" w:eastAsia="宋体" w:cs="宋体"/>
          <w:color w:val="auto"/>
          <w:sz w:val="21"/>
          <w:szCs w:val="21"/>
          <w:lang w:eastAsia="zh-CN"/>
        </w:rPr>
        <w:t>弯拉强度≥</w:t>
      </w:r>
      <w:r>
        <w:rPr>
          <w:rFonts w:hint="default" w:ascii="宋体" w:hAnsi="宋体" w:eastAsia="宋体" w:cs="宋体"/>
          <w:color w:val="auto"/>
          <w:sz w:val="21"/>
          <w:szCs w:val="21"/>
          <w:lang w:val="en-US" w:eastAsia="zh-CN"/>
        </w:rPr>
        <w:t>4.0MPa</w:t>
      </w:r>
      <w:r>
        <w:rPr>
          <w:rFonts w:hint="default" w:ascii="宋体" w:hAnsi="宋体" w:eastAsia="宋体" w:cs="宋体"/>
          <w:color w:val="auto"/>
          <w:sz w:val="21"/>
          <w:szCs w:val="21"/>
          <w:lang w:eastAsia="zh-CN"/>
        </w:rPr>
        <w:t>）。</w:t>
      </w:r>
      <w:r>
        <w:rPr>
          <w:rFonts w:hint="eastAsia" w:ascii="宋体" w:hAnsi="宋体" w:eastAsia="宋体" w:cs="宋体"/>
          <w:b w:val="0"/>
          <w:bCs w:val="0"/>
          <w:sz w:val="21"/>
          <w:szCs w:val="21"/>
          <w:lang w:val="en-US" w:eastAsia="zh-CN"/>
        </w:rPr>
        <w:t>（详细内容详见工程量清单及施工图纸）</w:t>
      </w:r>
    </w:p>
    <w:p w14:paraId="2E40F073">
      <w:pPr>
        <w:widowControl/>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质量要求：</w:t>
      </w:r>
      <w:r>
        <w:rPr>
          <w:rFonts w:hint="eastAsia" w:ascii="宋体" w:hAnsi="宋体" w:eastAsia="宋体" w:cs="宋体"/>
          <w:color w:val="auto"/>
          <w:sz w:val="21"/>
          <w:szCs w:val="21"/>
        </w:rPr>
        <w:t>标段工程交工验收的质量评定：满足交通运输部现行《公路工程质量检验评定标准》（JTGF80/1-2017）验收合格</w:t>
      </w:r>
      <w:r>
        <w:rPr>
          <w:rFonts w:hint="eastAsia" w:ascii="宋体" w:hAnsi="宋体" w:eastAsia="宋体" w:cs="宋体"/>
          <w:color w:val="auto"/>
          <w:sz w:val="21"/>
          <w:szCs w:val="21"/>
          <w:lang w:eastAsia="zh-CN"/>
        </w:rPr>
        <w:t>。</w:t>
      </w:r>
    </w:p>
    <w:p w14:paraId="3FA16771">
      <w:pPr>
        <w:pStyle w:val="3"/>
        <w:pageBreakBefore w:val="0"/>
        <w:numPr>
          <w:ilvl w:val="1"/>
          <w:numId w:val="0"/>
        </w:numPr>
        <w:kinsoku/>
        <w:wordWrap/>
        <w:overflowPunct/>
        <w:topLinePunct w:val="0"/>
        <w:bidi w:val="0"/>
        <w:spacing w:before="0" w:after="0" w:line="360" w:lineRule="auto"/>
        <w:ind w:left="0"/>
        <w:textAlignment w:val="auto"/>
        <w:rPr>
          <w:rFonts w:hint="eastAsia" w:ascii="宋体" w:hAnsi="宋体" w:eastAsia="宋体" w:cs="宋体"/>
          <w:b/>
          <w:bCs/>
          <w:sz w:val="24"/>
          <w:szCs w:val="24"/>
          <w:lang w:val="en-US" w:eastAsia="zh-CN"/>
        </w:rPr>
      </w:pPr>
      <w:bookmarkStart w:id="216" w:name="_Toc30733"/>
      <w:r>
        <w:rPr>
          <w:rFonts w:hint="eastAsia" w:ascii="宋体" w:hAnsi="宋体" w:cs="宋体"/>
          <w:b/>
          <w:bCs/>
          <w:sz w:val="24"/>
          <w:szCs w:val="24"/>
          <w:lang w:val="en-US" w:eastAsia="zh-CN"/>
        </w:rPr>
        <w:t>三</w:t>
      </w:r>
      <w:r>
        <w:rPr>
          <w:rFonts w:hint="eastAsia" w:ascii="宋体" w:hAnsi="宋体" w:eastAsia="宋体" w:cs="宋体"/>
          <w:b/>
          <w:bCs/>
          <w:sz w:val="24"/>
          <w:szCs w:val="24"/>
          <w:lang w:val="en-US" w:eastAsia="zh-CN"/>
        </w:rPr>
        <w:t>、</w:t>
      </w:r>
      <w:bookmarkEnd w:id="214"/>
      <w:r>
        <w:rPr>
          <w:rFonts w:hint="eastAsia" w:ascii="宋体" w:hAnsi="宋体" w:eastAsia="宋体" w:cs="宋体"/>
          <w:b/>
          <w:bCs/>
          <w:sz w:val="24"/>
          <w:szCs w:val="24"/>
          <w:lang w:val="en-US" w:eastAsia="zh-CN"/>
        </w:rPr>
        <w:t>商务要求</w:t>
      </w:r>
      <w:bookmarkEnd w:id="216"/>
    </w:p>
    <w:p w14:paraId="0245FEDF">
      <w:pPr>
        <w:spacing w:line="360" w:lineRule="auto"/>
        <w:ind w:firstLine="210" w:firstLineChars="100"/>
        <w:rPr>
          <w:rFonts w:hint="eastAsia" w:ascii="宋体" w:hAnsi="宋体" w:eastAsia="宋体" w:cs="宋体"/>
          <w:color w:val="auto"/>
          <w:sz w:val="21"/>
          <w:szCs w:val="21"/>
          <w:lang w:eastAsia="zh-CN"/>
        </w:rPr>
      </w:pPr>
      <w:r>
        <w:rPr>
          <w:rFonts w:hint="eastAsia"/>
          <w:kern w:val="2"/>
          <w:sz w:val="21"/>
          <w:szCs w:val="21"/>
          <w:lang w:val="en-US" w:eastAsia="zh-CN"/>
        </w:rPr>
        <w:t>1.</w:t>
      </w:r>
      <w:r>
        <w:rPr>
          <w:rFonts w:hint="eastAsia"/>
          <w:kern w:val="2"/>
          <w:sz w:val="21"/>
          <w:szCs w:val="21"/>
          <w:lang w:eastAsia="zh-CN"/>
        </w:rPr>
        <w:t>计划工期</w:t>
      </w:r>
      <w:r>
        <w:rPr>
          <w:rFonts w:hint="eastAsia"/>
          <w:sz w:val="21"/>
          <w:szCs w:val="21"/>
          <w:lang w:eastAsia="zh-CN"/>
        </w:rPr>
        <w:t>：120日历天</w:t>
      </w:r>
      <w:r>
        <w:rPr>
          <w:rFonts w:hint="eastAsia" w:ascii="宋体" w:hAnsi="宋体" w:eastAsia="宋体" w:cs="宋体"/>
          <w:color w:val="auto"/>
          <w:sz w:val="21"/>
          <w:szCs w:val="21"/>
        </w:rPr>
        <w:t>（具体开工日期以招标人或监理人实际下达的开工令为准）</w:t>
      </w:r>
    </w:p>
    <w:p w14:paraId="4A8F6286">
      <w:pPr>
        <w:spacing w:line="360" w:lineRule="auto"/>
        <w:ind w:firstLine="210" w:firstLineChars="100"/>
        <w:rPr>
          <w:rFonts w:hint="eastAsia" w:ascii="宋体" w:hAnsi="宋体" w:eastAsia="宋体" w:cs="宋体"/>
          <w:kern w:val="2"/>
          <w:sz w:val="21"/>
          <w:szCs w:val="21"/>
          <w:lang w:val="en-US" w:eastAsia="zh-CN"/>
        </w:rPr>
      </w:pPr>
      <w:r>
        <w:rPr>
          <w:rFonts w:hint="eastAsia" w:ascii="宋体" w:hAnsi="宋体" w:eastAsia="宋体" w:cs="宋体"/>
          <w:b w:val="0"/>
          <w:bCs w:val="0"/>
          <w:sz w:val="21"/>
          <w:szCs w:val="21"/>
          <w:lang w:val="en-US" w:eastAsia="zh-CN"/>
        </w:rPr>
        <w:t>2.</w:t>
      </w:r>
      <w:r>
        <w:rPr>
          <w:rFonts w:hint="eastAsia" w:ascii="宋体" w:hAnsi="宋体" w:eastAsia="宋体" w:cs="宋体"/>
          <w:kern w:val="2"/>
          <w:sz w:val="21"/>
          <w:szCs w:val="21"/>
          <w:lang w:val="en-US" w:eastAsia="zh-CN"/>
        </w:rPr>
        <w:t>项目建设地点：古城镇建民村那闷、那落、黄庄、盐井组</w:t>
      </w:r>
    </w:p>
    <w:p w14:paraId="5FD3A1A3">
      <w:pPr>
        <w:spacing w:line="360" w:lineRule="auto"/>
        <w:ind w:firstLine="210" w:firstLineChars="1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3.付款条件（进度方式）：</w:t>
      </w:r>
      <w:r>
        <w:rPr>
          <w:rFonts w:hint="eastAsia" w:ascii="宋体" w:hAnsi="宋体" w:eastAsia="宋体" w:cs="仿宋"/>
          <w:color w:val="auto"/>
          <w:sz w:val="21"/>
          <w:szCs w:val="21"/>
          <w:lang w:eastAsia="zh-CN"/>
        </w:rPr>
        <w:t>根据项目资金情况而定。</w:t>
      </w:r>
    </w:p>
    <w:p w14:paraId="0890D8DE">
      <w:pPr>
        <w:spacing w:line="360" w:lineRule="auto"/>
        <w:ind w:firstLine="210" w:firstLineChars="100"/>
        <w:rPr>
          <w:rFonts w:hint="eastAsia" w:ascii="宋体" w:hAnsi="宋体" w:eastAsia="宋体" w:cs="宋体"/>
          <w:kern w:val="2"/>
          <w:sz w:val="21"/>
          <w:szCs w:val="21"/>
          <w:lang w:val="en-US" w:eastAsia="zh-CN"/>
        </w:rPr>
      </w:pPr>
      <w:r>
        <w:rPr>
          <w:rFonts w:hint="eastAsia" w:ascii="宋体" w:hAnsi="宋体" w:eastAsia="宋体" w:cs="仿宋"/>
          <w:color w:val="auto"/>
          <w:sz w:val="21"/>
          <w:szCs w:val="21"/>
          <w:lang w:val="en-US" w:eastAsia="zh-CN"/>
        </w:rPr>
        <w:t>4.</w:t>
      </w:r>
      <w:r>
        <w:rPr>
          <w:rFonts w:hint="eastAsia" w:ascii="宋体" w:hAnsi="宋体" w:eastAsia="宋体" w:cs="宋体"/>
          <w:kern w:val="2"/>
          <w:sz w:val="21"/>
          <w:szCs w:val="21"/>
          <w:lang w:val="en-US" w:eastAsia="zh-CN"/>
        </w:rPr>
        <w:t>质量要求：标段工程交工验收的质量评定：满足交通运输部现行《公路工程质量检验评定标准》（JTGF80/1-2017）验收合格。</w:t>
      </w:r>
    </w:p>
    <w:p w14:paraId="4A2A7354">
      <w:pPr>
        <w:pStyle w:val="3"/>
        <w:pageBreakBefore w:val="0"/>
        <w:numPr>
          <w:ilvl w:val="1"/>
          <w:numId w:val="0"/>
        </w:numPr>
        <w:kinsoku/>
        <w:wordWrap/>
        <w:overflowPunct/>
        <w:topLinePunct w:val="0"/>
        <w:bidi w:val="0"/>
        <w:spacing w:before="0" w:after="0" w:line="360" w:lineRule="auto"/>
        <w:ind w:left="0"/>
        <w:textAlignment w:val="auto"/>
        <w:rPr>
          <w:rFonts w:hint="eastAsia" w:ascii="宋体" w:hAnsi="宋体" w:eastAsia="宋体" w:cs="宋体"/>
          <w:b/>
          <w:bCs/>
          <w:sz w:val="24"/>
          <w:szCs w:val="24"/>
          <w:lang w:val="en-US" w:eastAsia="zh-CN"/>
        </w:rPr>
      </w:pPr>
      <w:bookmarkStart w:id="217" w:name="_Toc9848"/>
      <w:r>
        <w:rPr>
          <w:rFonts w:hint="eastAsia" w:ascii="宋体" w:hAnsi="宋体" w:eastAsia="宋体" w:cs="宋体"/>
          <w:b/>
          <w:bCs/>
          <w:sz w:val="24"/>
          <w:szCs w:val="24"/>
          <w:lang w:val="en-US" w:eastAsia="zh-CN"/>
        </w:rPr>
        <w:t>三、技术要求</w:t>
      </w:r>
      <w:bookmarkEnd w:id="217"/>
    </w:p>
    <w:p w14:paraId="23B1E86A">
      <w:pPr>
        <w:spacing w:line="360" w:lineRule="auto"/>
        <w:ind w:firstLine="210" w:firstLineChars="100"/>
        <w:rPr>
          <w:rFonts w:hint="eastAsia"/>
          <w:kern w:val="2"/>
          <w:sz w:val="21"/>
          <w:szCs w:val="21"/>
          <w:lang w:val="en-US" w:eastAsia="zh-CN"/>
        </w:rPr>
      </w:pPr>
      <w:r>
        <w:rPr>
          <w:rFonts w:hint="eastAsia"/>
          <w:kern w:val="2"/>
          <w:sz w:val="21"/>
          <w:szCs w:val="21"/>
          <w:lang w:val="en-US" w:eastAsia="zh-CN"/>
        </w:rPr>
        <w:t>1.本采购工程项目的材料、设备、施工须达到现行中华人民共和国以及省、自治区、直辖市或行业的工程建设标准、规范的要求；严格遵照设计施工图及国家或行业有关标准、规范执行。</w:t>
      </w:r>
    </w:p>
    <w:p w14:paraId="42FB3E99">
      <w:pPr>
        <w:spacing w:line="360" w:lineRule="auto"/>
        <w:ind w:firstLine="210" w:firstLineChars="100"/>
        <w:rPr>
          <w:rFonts w:hint="eastAsia"/>
          <w:kern w:val="2"/>
          <w:sz w:val="21"/>
          <w:szCs w:val="21"/>
          <w:lang w:val="en-US" w:eastAsia="zh-CN"/>
        </w:rPr>
      </w:pPr>
      <w:r>
        <w:rPr>
          <w:rFonts w:hint="eastAsia"/>
          <w:kern w:val="2"/>
          <w:sz w:val="21"/>
          <w:szCs w:val="21"/>
          <w:lang w:val="en-US" w:eastAsia="zh-CN"/>
        </w:rPr>
        <w:t>2.本采购工程项目的安全生产、文明施工、环境保护措施应符合中华人民共和国以及省、市、自治区、直辖市或行业以及当地政府的有关法律、法规的要求。</w:t>
      </w:r>
    </w:p>
    <w:p w14:paraId="724F09F1">
      <w:pPr>
        <w:spacing w:line="360" w:lineRule="auto"/>
        <w:ind w:firstLine="210" w:firstLineChars="100"/>
        <w:rPr>
          <w:rFonts w:hint="eastAsia"/>
          <w:kern w:val="2"/>
          <w:sz w:val="21"/>
          <w:szCs w:val="21"/>
          <w:lang w:val="en-US" w:eastAsia="zh-CN"/>
        </w:rPr>
      </w:pPr>
      <w:r>
        <w:rPr>
          <w:rFonts w:hint="eastAsia"/>
          <w:kern w:val="2"/>
          <w:sz w:val="21"/>
          <w:szCs w:val="21"/>
          <w:lang w:val="en-US" w:eastAsia="zh-CN"/>
        </w:rPr>
        <w:t>3.根据工程设计要求及所处地域当地政府的相关规定，适用时本采购工程项目的材料、设备、施工必须达到但不限于以下现行标准或规范及其最新版本的要求。</w:t>
      </w:r>
    </w:p>
    <w:p w14:paraId="27734A2F">
      <w:pPr>
        <w:pStyle w:val="3"/>
        <w:pageBreakBefore w:val="0"/>
        <w:numPr>
          <w:ilvl w:val="1"/>
          <w:numId w:val="0"/>
        </w:numPr>
        <w:kinsoku/>
        <w:wordWrap/>
        <w:overflowPunct/>
        <w:topLinePunct w:val="0"/>
        <w:bidi w:val="0"/>
        <w:spacing w:before="0" w:after="0" w:line="360" w:lineRule="auto"/>
        <w:ind w:left="0"/>
        <w:textAlignment w:val="auto"/>
        <w:rPr>
          <w:rFonts w:hint="eastAsia" w:ascii="宋体" w:hAnsi="宋体" w:eastAsia="宋体" w:cs="宋体"/>
          <w:b/>
          <w:bCs/>
          <w:sz w:val="24"/>
          <w:szCs w:val="24"/>
          <w:lang w:val="en-US" w:eastAsia="zh-CN"/>
        </w:rPr>
      </w:pPr>
      <w:bookmarkStart w:id="218" w:name="_Toc1841"/>
      <w:r>
        <w:rPr>
          <w:rFonts w:hint="eastAsia" w:ascii="宋体" w:hAnsi="宋体" w:eastAsia="宋体" w:cs="宋体"/>
          <w:b/>
          <w:bCs/>
          <w:sz w:val="24"/>
          <w:szCs w:val="24"/>
          <w:lang w:val="en-US" w:eastAsia="zh-CN"/>
        </w:rPr>
        <w:t>四、工程量清单</w:t>
      </w:r>
      <w:bookmarkEnd w:id="218"/>
    </w:p>
    <w:p w14:paraId="39ED8DAD">
      <w:pPr>
        <w:adjustRightInd w:val="0"/>
        <w:snapToGrid w:val="0"/>
        <w:spacing w:line="360" w:lineRule="auto"/>
        <w:ind w:firstLine="442" w:firstLineChars="200"/>
        <w:jc w:val="left"/>
        <w:rPr>
          <w:rFonts w:hint="eastAsia" w:ascii="宋体" w:hAnsi="宋体" w:eastAsia="宋体" w:cs="宋体"/>
          <w:b/>
          <w:bCs/>
          <w:sz w:val="24"/>
          <w:szCs w:val="24"/>
          <w:lang w:val="en-US" w:eastAsia="zh-CN"/>
        </w:rPr>
      </w:pPr>
      <w:r>
        <w:rPr>
          <w:rFonts w:hint="eastAsia" w:ascii="宋体" w:hAnsi="宋体"/>
          <w:b/>
          <w:kern w:val="0"/>
          <w:szCs w:val="21"/>
        </w:rPr>
        <w:t>另附，</w:t>
      </w:r>
      <w:r>
        <w:rPr>
          <w:rFonts w:hint="eastAsia" w:ascii="宋体" w:hAnsi="宋体"/>
          <w:b/>
          <w:kern w:val="0"/>
          <w:szCs w:val="21"/>
          <w:lang w:eastAsia="zh-CN"/>
        </w:rPr>
        <w:t>供应商</w:t>
      </w:r>
      <w:r>
        <w:rPr>
          <w:rFonts w:hint="eastAsia" w:ascii="宋体" w:hAnsi="宋体"/>
          <w:b/>
          <w:kern w:val="0"/>
          <w:szCs w:val="21"/>
        </w:rPr>
        <w:t>从</w:t>
      </w:r>
      <w:r>
        <w:rPr>
          <w:rFonts w:hint="eastAsia"/>
          <w:bCs/>
          <w:sz w:val="21"/>
          <w:szCs w:val="21"/>
          <w:u w:val="single"/>
          <w:shd w:val="clear" w:color="auto" w:fill="FFFFFF"/>
          <w:lang w:eastAsia="zh-CN"/>
        </w:rPr>
        <w:t>“政采云”平台</w:t>
      </w:r>
      <w:r>
        <w:rPr>
          <w:rFonts w:hint="eastAsia"/>
          <w:bCs/>
          <w:sz w:val="21"/>
          <w:szCs w:val="21"/>
          <w:u w:val="single"/>
          <w:lang w:eastAsia="zh-CN"/>
        </w:rPr>
        <w:t>（https://www.zcygov.cn/）</w:t>
      </w:r>
      <w:r>
        <w:rPr>
          <w:rFonts w:hint="eastAsia" w:ascii="宋体" w:hAnsi="宋体"/>
          <w:b/>
          <w:kern w:val="0"/>
          <w:szCs w:val="21"/>
        </w:rPr>
        <w:t>上下载。</w:t>
      </w:r>
    </w:p>
    <w:p w14:paraId="411991F5">
      <w:pPr>
        <w:pStyle w:val="3"/>
        <w:pageBreakBefore w:val="0"/>
        <w:numPr>
          <w:ilvl w:val="1"/>
          <w:numId w:val="0"/>
        </w:numPr>
        <w:kinsoku/>
        <w:wordWrap/>
        <w:overflowPunct/>
        <w:topLinePunct w:val="0"/>
        <w:bidi w:val="0"/>
        <w:spacing w:before="0" w:after="0" w:line="360" w:lineRule="auto"/>
        <w:ind w:left="0"/>
        <w:textAlignment w:val="auto"/>
        <w:rPr>
          <w:rFonts w:hint="eastAsia" w:ascii="宋体" w:hAnsi="宋体" w:eastAsia="宋体" w:cs="宋体"/>
          <w:b/>
          <w:bCs/>
          <w:sz w:val="24"/>
          <w:szCs w:val="24"/>
          <w:lang w:val="en-US" w:eastAsia="zh-CN"/>
        </w:rPr>
      </w:pPr>
      <w:bookmarkStart w:id="219" w:name="_Toc11661"/>
      <w:r>
        <w:rPr>
          <w:rFonts w:hint="eastAsia" w:ascii="宋体" w:hAnsi="宋体" w:eastAsia="宋体" w:cs="宋体"/>
          <w:b/>
          <w:bCs/>
          <w:sz w:val="24"/>
          <w:szCs w:val="24"/>
          <w:lang w:val="en-US" w:eastAsia="zh-CN"/>
        </w:rPr>
        <w:t>五、图纸</w:t>
      </w:r>
      <w:bookmarkEnd w:id="219"/>
    </w:p>
    <w:p w14:paraId="0CA630FC">
      <w:pPr>
        <w:adjustRightInd w:val="0"/>
        <w:snapToGrid w:val="0"/>
        <w:spacing w:line="360" w:lineRule="auto"/>
        <w:ind w:firstLine="442" w:firstLineChars="200"/>
        <w:jc w:val="left"/>
        <w:rPr>
          <w:rFonts w:ascii="宋体" w:hAnsi="宋体"/>
          <w:b/>
          <w:kern w:val="0"/>
          <w:szCs w:val="21"/>
        </w:rPr>
      </w:pPr>
      <w:r>
        <w:rPr>
          <w:rFonts w:hint="eastAsia" w:ascii="宋体" w:hAnsi="宋体"/>
          <w:b/>
          <w:kern w:val="0"/>
          <w:szCs w:val="21"/>
        </w:rPr>
        <w:t>另附，</w:t>
      </w:r>
      <w:r>
        <w:rPr>
          <w:rFonts w:hint="eastAsia" w:ascii="宋体" w:hAnsi="宋体"/>
          <w:b/>
          <w:kern w:val="0"/>
          <w:szCs w:val="21"/>
          <w:lang w:eastAsia="zh-CN"/>
        </w:rPr>
        <w:t>供应商</w:t>
      </w:r>
      <w:r>
        <w:rPr>
          <w:rFonts w:hint="eastAsia" w:ascii="宋体" w:hAnsi="宋体"/>
          <w:b/>
          <w:kern w:val="0"/>
          <w:szCs w:val="21"/>
        </w:rPr>
        <w:t>从</w:t>
      </w:r>
      <w:r>
        <w:rPr>
          <w:rFonts w:hint="eastAsia"/>
          <w:bCs/>
          <w:sz w:val="21"/>
          <w:szCs w:val="21"/>
          <w:u w:val="single"/>
          <w:shd w:val="clear" w:color="auto" w:fill="FFFFFF"/>
          <w:lang w:eastAsia="zh-CN"/>
        </w:rPr>
        <w:t>“政采云”平台</w:t>
      </w:r>
      <w:r>
        <w:rPr>
          <w:rFonts w:hint="eastAsia"/>
          <w:bCs/>
          <w:sz w:val="21"/>
          <w:szCs w:val="21"/>
          <w:u w:val="single"/>
          <w:lang w:eastAsia="zh-CN"/>
        </w:rPr>
        <w:t>（https://www.zcygov.cn/）</w:t>
      </w:r>
      <w:r>
        <w:rPr>
          <w:rFonts w:hint="eastAsia" w:ascii="宋体" w:hAnsi="宋体"/>
          <w:b/>
          <w:kern w:val="0"/>
          <w:szCs w:val="21"/>
        </w:rPr>
        <w:t>上下载电子版图纸。</w:t>
      </w:r>
    </w:p>
    <w:p w14:paraId="59A0E6AB">
      <w:pPr>
        <w:pStyle w:val="2"/>
        <w:keepNext w:val="0"/>
        <w:keepLines w:val="0"/>
        <w:rPr>
          <w:rFonts w:hint="eastAsia" w:ascii="宋体" w:hAnsi="宋体" w:eastAsia="宋体" w:cs="宋体"/>
          <w:color w:val="auto"/>
          <w:lang w:val="zh-CN"/>
        </w:rPr>
      </w:pPr>
    </w:p>
    <w:p w14:paraId="32BAB057">
      <w:pPr>
        <w:rPr>
          <w:rFonts w:hint="eastAsia" w:ascii="宋体" w:hAnsi="宋体" w:eastAsia="宋体" w:cs="宋体"/>
          <w:b w:val="0"/>
          <w:color w:val="auto"/>
          <w:sz w:val="24"/>
          <w:szCs w:val="24"/>
        </w:rPr>
      </w:pPr>
    </w:p>
    <w:p w14:paraId="52ACF0DB">
      <w:pPr>
        <w:pStyle w:val="30"/>
        <w:rPr>
          <w:rFonts w:hint="eastAsia" w:ascii="宋体" w:hAnsi="宋体" w:eastAsia="宋体" w:cs="宋体"/>
          <w:b w:val="0"/>
          <w:color w:val="auto"/>
          <w:sz w:val="24"/>
          <w:szCs w:val="24"/>
        </w:rPr>
      </w:pPr>
    </w:p>
    <w:p w14:paraId="41B4EC53">
      <w:pPr>
        <w:rPr>
          <w:rFonts w:hint="eastAsia" w:ascii="宋体" w:hAnsi="宋体" w:eastAsia="宋体" w:cs="宋体"/>
          <w:b w:val="0"/>
          <w:color w:val="auto"/>
          <w:sz w:val="24"/>
          <w:szCs w:val="24"/>
        </w:rPr>
      </w:pPr>
    </w:p>
    <w:p w14:paraId="344019E3">
      <w:pPr>
        <w:pStyle w:val="30"/>
        <w:rPr>
          <w:rFonts w:hint="eastAsia" w:ascii="宋体" w:hAnsi="宋体" w:eastAsia="宋体" w:cs="宋体"/>
          <w:b w:val="0"/>
          <w:color w:val="auto"/>
          <w:sz w:val="24"/>
          <w:szCs w:val="24"/>
        </w:rPr>
      </w:pPr>
    </w:p>
    <w:p w14:paraId="757199C5">
      <w:pPr>
        <w:rPr>
          <w:rFonts w:hint="eastAsia" w:ascii="宋体" w:hAnsi="宋体" w:eastAsia="宋体" w:cs="宋体"/>
          <w:b w:val="0"/>
          <w:color w:val="auto"/>
          <w:sz w:val="24"/>
          <w:szCs w:val="24"/>
        </w:rPr>
      </w:pPr>
    </w:p>
    <w:p w14:paraId="2C661592">
      <w:pPr>
        <w:rPr>
          <w:rFonts w:hint="eastAsia" w:ascii="宋体" w:hAnsi="宋体" w:eastAsia="宋体" w:cs="宋体"/>
          <w:b w:val="0"/>
          <w:color w:val="auto"/>
          <w:sz w:val="24"/>
          <w:szCs w:val="24"/>
        </w:rPr>
      </w:pPr>
    </w:p>
    <w:p w14:paraId="21427AE4">
      <w:pPr>
        <w:rPr>
          <w:rFonts w:hint="eastAsia" w:ascii="宋体" w:hAnsi="宋体" w:eastAsia="宋体" w:cs="宋体"/>
          <w:b w:val="0"/>
          <w:color w:val="auto"/>
          <w:sz w:val="24"/>
          <w:szCs w:val="24"/>
        </w:rPr>
      </w:pPr>
    </w:p>
    <w:p w14:paraId="4E000C24">
      <w:pPr>
        <w:rPr>
          <w:rFonts w:hint="eastAsia" w:ascii="宋体" w:hAnsi="宋体" w:eastAsia="宋体" w:cs="宋体"/>
          <w:b w:val="0"/>
          <w:color w:val="auto"/>
          <w:sz w:val="24"/>
          <w:szCs w:val="24"/>
        </w:rPr>
      </w:pPr>
    </w:p>
    <w:p w14:paraId="40B893D3">
      <w:pPr>
        <w:rPr>
          <w:rFonts w:hint="eastAsia" w:ascii="宋体" w:hAnsi="宋体" w:eastAsia="宋体" w:cs="宋体"/>
          <w:b w:val="0"/>
          <w:color w:val="auto"/>
          <w:sz w:val="24"/>
          <w:szCs w:val="24"/>
        </w:rPr>
      </w:pPr>
    </w:p>
    <w:p w14:paraId="71EA8349">
      <w:pPr>
        <w:rPr>
          <w:rFonts w:hint="eastAsia" w:ascii="宋体" w:hAnsi="宋体" w:eastAsia="宋体" w:cs="宋体"/>
          <w:b w:val="0"/>
          <w:color w:val="auto"/>
          <w:sz w:val="24"/>
          <w:szCs w:val="24"/>
        </w:rPr>
      </w:pPr>
    </w:p>
    <w:p w14:paraId="08564C0A">
      <w:pPr>
        <w:rPr>
          <w:rFonts w:hint="eastAsia" w:ascii="宋体" w:hAnsi="宋体" w:eastAsia="宋体" w:cs="宋体"/>
          <w:b w:val="0"/>
          <w:color w:val="auto"/>
          <w:sz w:val="24"/>
          <w:szCs w:val="24"/>
        </w:rPr>
      </w:pPr>
    </w:p>
    <w:p w14:paraId="2AADAAFB">
      <w:pPr>
        <w:rPr>
          <w:rFonts w:hint="eastAsia" w:ascii="宋体" w:hAnsi="宋体" w:eastAsia="宋体" w:cs="宋体"/>
          <w:b w:val="0"/>
          <w:color w:val="auto"/>
          <w:sz w:val="24"/>
          <w:szCs w:val="24"/>
        </w:rPr>
      </w:pPr>
    </w:p>
    <w:p w14:paraId="2411B55C">
      <w:pPr>
        <w:rPr>
          <w:rFonts w:hint="eastAsia" w:ascii="宋体" w:hAnsi="宋体" w:eastAsia="宋体" w:cs="宋体"/>
          <w:b w:val="0"/>
          <w:color w:val="auto"/>
          <w:sz w:val="24"/>
          <w:szCs w:val="24"/>
        </w:rPr>
      </w:pPr>
    </w:p>
    <w:p w14:paraId="07AB318A">
      <w:pPr>
        <w:rPr>
          <w:rFonts w:hint="eastAsia" w:ascii="宋体" w:hAnsi="宋体" w:eastAsia="宋体" w:cs="宋体"/>
          <w:b w:val="0"/>
          <w:color w:val="auto"/>
          <w:sz w:val="24"/>
          <w:szCs w:val="24"/>
        </w:rPr>
      </w:pPr>
    </w:p>
    <w:p w14:paraId="08903959">
      <w:pPr>
        <w:rPr>
          <w:rFonts w:hint="eastAsia" w:ascii="宋体" w:hAnsi="宋体" w:eastAsia="宋体" w:cs="宋体"/>
          <w:b w:val="0"/>
          <w:color w:val="auto"/>
          <w:sz w:val="24"/>
          <w:szCs w:val="24"/>
        </w:rPr>
      </w:pPr>
    </w:p>
    <w:p w14:paraId="2339F0B1">
      <w:pPr>
        <w:rPr>
          <w:rFonts w:hint="eastAsia" w:ascii="宋体" w:hAnsi="宋体" w:eastAsia="宋体" w:cs="宋体"/>
          <w:b w:val="0"/>
          <w:color w:val="auto"/>
          <w:sz w:val="24"/>
          <w:szCs w:val="24"/>
        </w:rPr>
      </w:pPr>
    </w:p>
    <w:p w14:paraId="3333748D">
      <w:pPr>
        <w:rPr>
          <w:rFonts w:hint="eastAsia" w:ascii="宋体" w:hAnsi="宋体" w:eastAsia="宋体" w:cs="宋体"/>
          <w:b w:val="0"/>
          <w:color w:val="auto"/>
          <w:sz w:val="24"/>
          <w:szCs w:val="24"/>
        </w:rPr>
      </w:pPr>
    </w:p>
    <w:p w14:paraId="6E53A539">
      <w:pPr>
        <w:rPr>
          <w:rFonts w:hint="eastAsia" w:ascii="宋体" w:hAnsi="宋体" w:eastAsia="宋体" w:cs="宋体"/>
          <w:b w:val="0"/>
          <w:color w:val="auto"/>
          <w:sz w:val="24"/>
          <w:szCs w:val="24"/>
        </w:rPr>
      </w:pPr>
    </w:p>
    <w:p w14:paraId="44BC663B">
      <w:pPr>
        <w:rPr>
          <w:rFonts w:hint="eastAsia" w:ascii="宋体" w:hAnsi="宋体" w:eastAsia="宋体" w:cs="宋体"/>
          <w:b w:val="0"/>
          <w:color w:val="auto"/>
          <w:sz w:val="24"/>
          <w:szCs w:val="24"/>
        </w:rPr>
      </w:pPr>
    </w:p>
    <w:p w14:paraId="12212D7D">
      <w:pPr>
        <w:rPr>
          <w:rFonts w:hint="eastAsia" w:ascii="宋体" w:hAnsi="宋体" w:eastAsia="宋体" w:cs="宋体"/>
          <w:b w:val="0"/>
          <w:color w:val="auto"/>
          <w:sz w:val="24"/>
          <w:szCs w:val="24"/>
        </w:rPr>
      </w:pPr>
    </w:p>
    <w:p w14:paraId="4AC4660F">
      <w:pPr>
        <w:rPr>
          <w:rFonts w:hint="eastAsia" w:ascii="宋体" w:hAnsi="宋体" w:eastAsia="宋体" w:cs="宋体"/>
          <w:b w:val="0"/>
          <w:color w:val="auto"/>
          <w:sz w:val="24"/>
          <w:szCs w:val="24"/>
        </w:rPr>
      </w:pPr>
    </w:p>
    <w:p w14:paraId="388CAB49">
      <w:pPr>
        <w:rPr>
          <w:rFonts w:hint="eastAsia" w:ascii="宋体" w:hAnsi="宋体" w:eastAsia="宋体" w:cs="宋体"/>
          <w:b w:val="0"/>
          <w:color w:val="auto"/>
          <w:sz w:val="24"/>
          <w:szCs w:val="24"/>
        </w:rPr>
      </w:pPr>
    </w:p>
    <w:p w14:paraId="0465BDF7">
      <w:pPr>
        <w:rPr>
          <w:rFonts w:hint="eastAsia" w:ascii="宋体" w:hAnsi="宋体" w:eastAsia="宋体" w:cs="宋体"/>
          <w:b w:val="0"/>
          <w:color w:val="auto"/>
          <w:sz w:val="24"/>
          <w:szCs w:val="24"/>
        </w:rPr>
      </w:pPr>
    </w:p>
    <w:p w14:paraId="21B6D254">
      <w:pPr>
        <w:rPr>
          <w:rFonts w:hint="eastAsia" w:ascii="宋体" w:hAnsi="宋体" w:eastAsia="宋体" w:cs="宋体"/>
          <w:b w:val="0"/>
          <w:color w:val="auto"/>
          <w:sz w:val="24"/>
          <w:szCs w:val="24"/>
        </w:rPr>
      </w:pPr>
    </w:p>
    <w:p w14:paraId="2676BA76">
      <w:pPr>
        <w:rPr>
          <w:rFonts w:hint="eastAsia" w:ascii="宋体" w:hAnsi="宋体" w:eastAsia="宋体" w:cs="宋体"/>
          <w:b w:val="0"/>
          <w:color w:val="auto"/>
          <w:sz w:val="24"/>
          <w:szCs w:val="24"/>
        </w:rPr>
      </w:pPr>
    </w:p>
    <w:p w14:paraId="53F98211">
      <w:pPr>
        <w:rPr>
          <w:rFonts w:hint="eastAsia" w:ascii="宋体" w:hAnsi="宋体" w:eastAsia="宋体" w:cs="宋体"/>
          <w:b w:val="0"/>
          <w:color w:val="auto"/>
          <w:sz w:val="24"/>
          <w:szCs w:val="24"/>
        </w:rPr>
      </w:pPr>
    </w:p>
    <w:p w14:paraId="5F889747">
      <w:pPr>
        <w:rPr>
          <w:rFonts w:hint="eastAsia" w:ascii="宋体" w:hAnsi="宋体" w:eastAsia="宋体" w:cs="宋体"/>
          <w:b w:val="0"/>
          <w:color w:val="auto"/>
          <w:sz w:val="24"/>
          <w:szCs w:val="24"/>
        </w:rPr>
      </w:pPr>
    </w:p>
    <w:p w14:paraId="102C1AE8">
      <w:pPr>
        <w:rPr>
          <w:rFonts w:hint="eastAsia" w:ascii="宋体" w:hAnsi="宋体" w:eastAsia="宋体" w:cs="宋体"/>
          <w:b w:val="0"/>
          <w:color w:val="auto"/>
          <w:sz w:val="24"/>
          <w:szCs w:val="24"/>
        </w:rPr>
      </w:pPr>
    </w:p>
    <w:p w14:paraId="5577E892">
      <w:pPr>
        <w:rPr>
          <w:rFonts w:hint="eastAsia" w:ascii="宋体" w:hAnsi="宋体" w:eastAsia="宋体" w:cs="宋体"/>
          <w:b w:val="0"/>
          <w:color w:val="auto"/>
          <w:sz w:val="24"/>
          <w:szCs w:val="24"/>
        </w:rPr>
      </w:pPr>
    </w:p>
    <w:p w14:paraId="2FB9EBA2">
      <w:pPr>
        <w:rPr>
          <w:rFonts w:hint="eastAsia" w:ascii="宋体" w:hAnsi="宋体" w:eastAsia="宋体" w:cs="宋体"/>
          <w:b w:val="0"/>
          <w:color w:val="auto"/>
          <w:sz w:val="24"/>
          <w:szCs w:val="24"/>
        </w:rPr>
      </w:pPr>
    </w:p>
    <w:p w14:paraId="2366A693">
      <w:pPr>
        <w:rPr>
          <w:rFonts w:hint="eastAsia" w:ascii="宋体" w:hAnsi="宋体" w:eastAsia="宋体" w:cs="宋体"/>
          <w:b w:val="0"/>
          <w:color w:val="auto"/>
          <w:sz w:val="24"/>
          <w:szCs w:val="24"/>
        </w:rPr>
      </w:pPr>
    </w:p>
    <w:p w14:paraId="45AB10E3">
      <w:pPr>
        <w:rPr>
          <w:rFonts w:hint="eastAsia" w:ascii="宋体" w:hAnsi="宋体" w:eastAsia="宋体" w:cs="宋体"/>
          <w:b w:val="0"/>
          <w:color w:val="auto"/>
          <w:sz w:val="24"/>
          <w:szCs w:val="24"/>
        </w:rPr>
      </w:pPr>
    </w:p>
    <w:p w14:paraId="5C4CDB41">
      <w:pPr>
        <w:pStyle w:val="32"/>
        <w:rPr>
          <w:rFonts w:hint="eastAsia" w:ascii="宋体" w:hAnsi="宋体" w:eastAsia="宋体" w:cs="宋体"/>
          <w:b w:val="0"/>
          <w:color w:val="auto"/>
          <w:sz w:val="24"/>
          <w:szCs w:val="24"/>
        </w:rPr>
      </w:pPr>
    </w:p>
    <w:p w14:paraId="2331741C">
      <w:pPr>
        <w:pStyle w:val="2"/>
        <w:spacing w:beforeLines="50" w:afterLines="50" w:line="360" w:lineRule="auto"/>
        <w:jc w:val="center"/>
        <w:rPr>
          <w:rFonts w:hint="eastAsia" w:ascii="宋体" w:hAnsi="宋体" w:eastAsia="宋体" w:cs="宋体"/>
          <w:b/>
          <w:color w:val="auto"/>
          <w:kern w:val="44"/>
          <w:sz w:val="36"/>
          <w:szCs w:val="36"/>
          <w:lang w:val="en-US" w:eastAsia="zh-CN" w:bidi="ar-SA"/>
        </w:rPr>
      </w:pPr>
      <w:bookmarkStart w:id="220" w:name="_Toc6910_WPSOffice_Level1"/>
      <w:bookmarkStart w:id="221" w:name="_Toc20834"/>
      <w:bookmarkStart w:id="222" w:name="_Toc7696"/>
      <w:bookmarkStart w:id="223" w:name="_Toc2057"/>
      <w:bookmarkStart w:id="224" w:name="_Toc31634"/>
      <w:bookmarkStart w:id="225" w:name="_Toc10307"/>
      <w:r>
        <w:rPr>
          <w:rFonts w:hint="eastAsia" w:ascii="宋体" w:hAnsi="宋体" w:eastAsia="宋体" w:cs="宋体"/>
          <w:b/>
          <w:color w:val="auto"/>
          <w:kern w:val="44"/>
          <w:sz w:val="36"/>
          <w:szCs w:val="36"/>
          <w:lang w:val="en-US" w:eastAsia="zh-CN" w:bidi="ar-SA"/>
        </w:rPr>
        <w:t xml:space="preserve">第五章 </w:t>
      </w:r>
      <w:bookmarkEnd w:id="213"/>
      <w:bookmarkEnd w:id="220"/>
      <w:bookmarkEnd w:id="221"/>
      <w:bookmarkEnd w:id="222"/>
      <w:bookmarkEnd w:id="223"/>
      <w:bookmarkStart w:id="226" w:name="_bookmark82"/>
      <w:bookmarkEnd w:id="226"/>
      <w:bookmarkStart w:id="227" w:name="_Toc28100129"/>
      <w:bookmarkStart w:id="228" w:name="_Toc28348"/>
      <w:bookmarkStart w:id="229" w:name="_Toc29581"/>
      <w:bookmarkStart w:id="230" w:name="_Toc3447"/>
      <w:bookmarkStart w:id="231" w:name="_Toc29818"/>
      <w:bookmarkStart w:id="232" w:name="_Toc22659"/>
      <w:r>
        <w:rPr>
          <w:rFonts w:hint="eastAsia" w:ascii="宋体" w:hAnsi="宋体" w:eastAsia="宋体" w:cs="宋体"/>
          <w:b/>
          <w:color w:val="auto"/>
          <w:kern w:val="44"/>
          <w:sz w:val="36"/>
          <w:szCs w:val="36"/>
          <w:lang w:val="en-US" w:eastAsia="zh-CN" w:bidi="ar-SA"/>
        </w:rPr>
        <w:t>合同样式及主要条款</w:t>
      </w:r>
      <w:bookmarkEnd w:id="224"/>
      <w:bookmarkEnd w:id="225"/>
      <w:bookmarkEnd w:id="227"/>
      <w:bookmarkEnd w:id="228"/>
      <w:bookmarkEnd w:id="229"/>
      <w:bookmarkEnd w:id="230"/>
      <w:bookmarkEnd w:id="231"/>
    </w:p>
    <w:p w14:paraId="0E521359">
      <w:pPr>
        <w:spacing w:line="360" w:lineRule="auto"/>
        <w:ind w:firstLine="614" w:firstLineChars="255"/>
        <w:jc w:val="center"/>
        <w:outlineLvl w:val="1"/>
        <w:rPr>
          <w:rFonts w:ascii="宋体"/>
          <w:b/>
          <w:color w:val="auto"/>
          <w:sz w:val="21"/>
          <w:szCs w:val="21"/>
          <w:highlight w:val="none"/>
        </w:rPr>
      </w:pPr>
      <w:bookmarkStart w:id="233" w:name="_Toc15905"/>
      <w:bookmarkStart w:id="234" w:name="_Toc15686"/>
      <w:bookmarkStart w:id="235" w:name="_Toc32328"/>
      <w:bookmarkStart w:id="236" w:name="_Toc12177"/>
      <w:bookmarkStart w:id="237" w:name="_Toc27138"/>
      <w:bookmarkStart w:id="238" w:name="_Toc34163779"/>
      <w:bookmarkStart w:id="239" w:name="_Toc9740"/>
      <w:bookmarkStart w:id="240" w:name="_Toc28170"/>
      <w:bookmarkStart w:id="241" w:name="_Toc213141091"/>
      <w:bookmarkStart w:id="242" w:name="_Toc512505845"/>
      <w:r>
        <w:rPr>
          <w:rFonts w:hint="eastAsia" w:ascii="宋体"/>
          <w:b/>
          <w:color w:val="auto"/>
          <w:sz w:val="24"/>
          <w:highlight w:val="none"/>
        </w:rPr>
        <w:t>(</w:t>
      </w:r>
      <w:r>
        <w:rPr>
          <w:rFonts w:hint="eastAsia" w:ascii="宋体"/>
          <w:b/>
          <w:color w:val="auto"/>
          <w:sz w:val="21"/>
          <w:szCs w:val="21"/>
          <w:highlight w:val="none"/>
        </w:rPr>
        <w:t>以下合同内容仅供参考，具体合同内容以签订合同时甲乙双方商定为准)</w:t>
      </w:r>
      <w:bookmarkEnd w:id="233"/>
      <w:bookmarkEnd w:id="234"/>
      <w:bookmarkEnd w:id="235"/>
      <w:bookmarkEnd w:id="236"/>
      <w:bookmarkEnd w:id="237"/>
    </w:p>
    <w:bookmarkEnd w:id="238"/>
    <w:bookmarkEnd w:id="239"/>
    <w:bookmarkEnd w:id="240"/>
    <w:bookmarkEnd w:id="241"/>
    <w:bookmarkEnd w:id="242"/>
    <w:p w14:paraId="305C7C0C">
      <w:pPr>
        <w:keepNext/>
        <w:keepLines/>
        <w:pageBreakBefore w:val="0"/>
        <w:widowControl w:val="0"/>
        <w:kinsoku/>
        <w:wordWrap/>
        <w:overflowPunct/>
        <w:topLinePunct w:val="0"/>
        <w:autoSpaceDE/>
        <w:autoSpaceDN/>
        <w:bidi w:val="0"/>
        <w:adjustRightInd w:val="0"/>
        <w:snapToGrid w:val="0"/>
        <w:spacing w:line="360" w:lineRule="auto"/>
        <w:jc w:val="center"/>
        <w:outlineLvl w:val="1"/>
        <w:rPr>
          <w:rFonts w:ascii="Cambria" w:hAnsi="Cambria" w:cs="宋体"/>
          <w:b/>
          <w:bCs/>
          <w:color w:val="auto"/>
          <w:kern w:val="0"/>
          <w:sz w:val="32"/>
          <w:szCs w:val="32"/>
        </w:rPr>
      </w:pPr>
      <w:bookmarkStart w:id="243" w:name="_Toc15783"/>
      <w:bookmarkStart w:id="244" w:name="_Toc24778"/>
      <w:r>
        <w:rPr>
          <w:rFonts w:ascii="Cambria" w:hAnsi="Cambria"/>
          <w:b/>
          <w:bCs/>
          <w:color w:val="auto"/>
          <w:kern w:val="0"/>
          <w:sz w:val="32"/>
          <w:szCs w:val="32"/>
        </w:rPr>
        <w:fldChar w:fldCharType="begin"/>
      </w:r>
      <w:r>
        <w:rPr>
          <w:rFonts w:ascii="Cambria" w:hAnsi="Cambria"/>
          <w:b/>
          <w:bCs/>
          <w:color w:val="auto"/>
          <w:kern w:val="0"/>
          <w:sz w:val="32"/>
          <w:szCs w:val="32"/>
        </w:rPr>
        <w:instrText xml:space="preserve"> AUTOTEXT  </w:instrText>
      </w:r>
      <w:r>
        <w:rPr>
          <w:rFonts w:hint="eastAsia" w:ascii="Cambria" w:hAnsi="Cambria"/>
          <w:b/>
          <w:bCs/>
          <w:color w:val="auto"/>
          <w:kern w:val="0"/>
          <w:sz w:val="32"/>
          <w:szCs w:val="32"/>
        </w:rPr>
        <w:instrText xml:space="preserve">合同条款及格式</w:instrText>
      </w:r>
      <w:r>
        <w:rPr>
          <w:rFonts w:ascii="Cambria" w:hAnsi="Cambria"/>
          <w:b/>
          <w:bCs/>
          <w:color w:val="auto"/>
          <w:kern w:val="0"/>
          <w:sz w:val="32"/>
          <w:szCs w:val="32"/>
        </w:rPr>
        <w:instrText xml:space="preserve"> \* MERGEFORMAT </w:instrText>
      </w:r>
      <w:r>
        <w:rPr>
          <w:rFonts w:ascii="Cambria" w:hAnsi="Cambria"/>
          <w:b/>
          <w:bCs/>
          <w:color w:val="auto"/>
          <w:kern w:val="0"/>
          <w:sz w:val="32"/>
          <w:szCs w:val="32"/>
        </w:rPr>
        <w:fldChar w:fldCharType="end"/>
      </w:r>
      <w:bookmarkStart w:id="245" w:name="_Toc179632628"/>
      <w:bookmarkStart w:id="246" w:name="_Toc144974578"/>
      <w:bookmarkStart w:id="247" w:name="_Toc152045610"/>
      <w:bookmarkStart w:id="248" w:name="_Toc369180964"/>
      <w:bookmarkStart w:id="249" w:name="_Toc246996996"/>
      <w:bookmarkStart w:id="250" w:name="_Toc98586611"/>
      <w:bookmarkStart w:id="251" w:name="_Toc152042388"/>
      <w:bookmarkStart w:id="252" w:name="_Toc247085768"/>
      <w:bookmarkStart w:id="253" w:name="_Toc246996253"/>
      <w:r>
        <w:rPr>
          <w:rFonts w:hint="eastAsia" w:ascii="Cambria" w:hAnsi="Cambria" w:cs="宋体"/>
          <w:b/>
          <w:bCs/>
          <w:color w:val="auto"/>
          <w:kern w:val="0"/>
          <w:sz w:val="32"/>
          <w:szCs w:val="32"/>
        </w:rPr>
        <w:t>第一节</w:t>
      </w:r>
      <w:r>
        <w:rPr>
          <w:rFonts w:ascii="Cambria" w:hAnsi="Cambria" w:cs="宋体"/>
          <w:b/>
          <w:bCs/>
          <w:color w:val="auto"/>
          <w:kern w:val="0"/>
          <w:sz w:val="32"/>
          <w:szCs w:val="32"/>
        </w:rPr>
        <w:t xml:space="preserve"> </w:t>
      </w:r>
      <w:r>
        <w:rPr>
          <w:rFonts w:hint="eastAsia" w:ascii="Cambria" w:hAnsi="Cambria" w:cs="宋体"/>
          <w:b/>
          <w:bCs/>
          <w:color w:val="auto"/>
          <w:kern w:val="0"/>
          <w:sz w:val="32"/>
          <w:szCs w:val="32"/>
        </w:rPr>
        <w:t>通用合同条款</w:t>
      </w:r>
      <w:bookmarkEnd w:id="243"/>
      <w:bookmarkEnd w:id="244"/>
      <w:bookmarkEnd w:id="245"/>
      <w:bookmarkEnd w:id="246"/>
      <w:bookmarkEnd w:id="247"/>
      <w:bookmarkEnd w:id="248"/>
      <w:bookmarkEnd w:id="249"/>
      <w:bookmarkEnd w:id="250"/>
      <w:bookmarkEnd w:id="251"/>
      <w:bookmarkEnd w:id="252"/>
      <w:bookmarkEnd w:id="253"/>
    </w:p>
    <w:p w14:paraId="76FDE991">
      <w:pPr>
        <w:pStyle w:val="75"/>
        <w:numPr>
          <w:ilvl w:val="0"/>
          <w:numId w:val="4"/>
        </w:numPr>
        <w:spacing w:before="0"/>
        <w:ind w:left="0" w:firstLine="0"/>
        <w:outlineLvl w:val="9"/>
        <w:rPr>
          <w:rFonts w:hint="eastAsia" w:ascii="宋体" w:hAnsi="宋体" w:eastAsia="宋体"/>
          <w:b/>
          <w:bCs/>
          <w:color w:val="auto"/>
          <w:sz w:val="24"/>
          <w:szCs w:val="24"/>
        </w:rPr>
      </w:pPr>
      <w:bookmarkStart w:id="254" w:name="_Toc152045611"/>
      <w:bookmarkStart w:id="255" w:name="_Toc58398557"/>
      <w:bookmarkStart w:id="256" w:name="_Toc144974579"/>
      <w:bookmarkStart w:id="257" w:name="_Toc25175"/>
      <w:bookmarkStart w:id="258" w:name="_Toc179632629"/>
      <w:bookmarkStart w:id="259" w:name="_Toc152042389"/>
      <w:bookmarkStart w:id="260" w:name="_Toc4523"/>
      <w:r>
        <w:rPr>
          <w:rFonts w:hint="eastAsia" w:ascii="宋体" w:hAnsi="宋体" w:eastAsia="宋体"/>
          <w:b/>
          <w:bCs/>
          <w:color w:val="auto"/>
          <w:sz w:val="24"/>
          <w:szCs w:val="24"/>
        </w:rPr>
        <w:t>一般约定</w:t>
      </w:r>
      <w:bookmarkEnd w:id="254"/>
      <w:bookmarkEnd w:id="255"/>
      <w:bookmarkEnd w:id="256"/>
      <w:bookmarkEnd w:id="257"/>
      <w:bookmarkEnd w:id="258"/>
      <w:bookmarkEnd w:id="259"/>
      <w:bookmarkEnd w:id="260"/>
    </w:p>
    <w:p w14:paraId="6609F350">
      <w:pPr>
        <w:numPr>
          <w:ilvl w:val="1"/>
          <w:numId w:val="4"/>
        </w:numPr>
        <w:spacing w:line="400" w:lineRule="exact"/>
        <w:ind w:left="0" w:firstLine="241" w:firstLineChars="100"/>
        <w:rPr>
          <w:rFonts w:hint="eastAsia" w:ascii="宋体" w:hAnsi="宋体" w:cs="宋体"/>
          <w:b/>
          <w:color w:val="auto"/>
          <w:sz w:val="24"/>
        </w:rPr>
      </w:pPr>
      <w:bookmarkStart w:id="261" w:name="_Toc179632630"/>
      <w:bookmarkStart w:id="262" w:name="_Toc508732949"/>
      <w:bookmarkStart w:id="263" w:name="_Toc144974580"/>
      <w:bookmarkStart w:id="264" w:name="_Toc152045612"/>
      <w:bookmarkStart w:id="265" w:name="_Toc152042390"/>
      <w:r>
        <w:rPr>
          <w:rFonts w:hint="eastAsia" w:ascii="宋体" w:hAnsi="宋体" w:cs="宋体"/>
          <w:b/>
          <w:color w:val="auto"/>
          <w:sz w:val="24"/>
        </w:rPr>
        <w:t>词语定义</w:t>
      </w:r>
      <w:bookmarkEnd w:id="261"/>
      <w:bookmarkEnd w:id="262"/>
      <w:bookmarkEnd w:id="263"/>
      <w:bookmarkEnd w:id="264"/>
      <w:bookmarkEnd w:id="265"/>
    </w:p>
    <w:p w14:paraId="58126FAB">
      <w:pPr>
        <w:spacing w:line="400" w:lineRule="exact"/>
        <w:ind w:firstLine="440" w:firstLineChars="200"/>
        <w:rPr>
          <w:rFonts w:hint="eastAsia" w:ascii="宋体" w:hAnsi="宋体" w:cs="宋体"/>
          <w:color w:val="auto"/>
        </w:rPr>
      </w:pPr>
      <w:r>
        <w:rPr>
          <w:rFonts w:hint="eastAsia" w:ascii="宋体" w:hAnsi="宋体" w:cs="宋体"/>
          <w:color w:val="auto"/>
        </w:rPr>
        <w:t>通用合同条款、专用合同条款中的下列词语应具有本款所赋予的含义。</w:t>
      </w:r>
    </w:p>
    <w:p w14:paraId="76A8D5F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w:t>
      </w:r>
    </w:p>
    <w:p w14:paraId="2D62C891">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合同文件（或称合同）：指合同协议书、中标通知书、投标函及投标函附录、专用合同条款、通用合同条款、技术标准和要求、图纸、已标价工程量清单，以及其他合同文件。</w:t>
      </w:r>
    </w:p>
    <w:p w14:paraId="11452B57">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合同协议书：指第1.5款所指的合同协议书。</w:t>
      </w:r>
    </w:p>
    <w:p w14:paraId="6B744AD6">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中标通知书：指发包人通知承包人中标的函件。</w:t>
      </w:r>
    </w:p>
    <w:p w14:paraId="1FF0C116">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投标函：指构成合同文件组成部分的由承包人填写并签署的投标函。</w:t>
      </w:r>
    </w:p>
    <w:p w14:paraId="7187ECA8">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投标函附录：指附在投标函后构成合同文件的投标函附录。</w:t>
      </w:r>
    </w:p>
    <w:p w14:paraId="12F72555">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技术标准和要求：指构成合同文件组成部分的名为技术标准和要求的文件，包括合同双方当事人约定对其所作的修改或补充。</w:t>
      </w:r>
    </w:p>
    <w:p w14:paraId="68D36730">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图纸：指包含在合同中的工程图纸，以及由发包人按合同约定提供的任何补充和修改的图纸，包括配套的说明。</w:t>
      </w:r>
    </w:p>
    <w:p w14:paraId="5AC2BE7C">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已标价工程量清单：指构成合同文件组成部分的由承包人按照规定的格式和要求填写并标明价格的工程量清单。</w:t>
      </w:r>
    </w:p>
    <w:p w14:paraId="4C7BC24B">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其他合同文件：指经合同双方当事人确认构成合同文件的其他文件。</w:t>
      </w:r>
    </w:p>
    <w:p w14:paraId="339C3DA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合同当事人和人员</w:t>
      </w:r>
    </w:p>
    <w:p w14:paraId="7C3A5011">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合同当事人：指发包人和（或）承包人。</w:t>
      </w:r>
    </w:p>
    <w:p w14:paraId="0A797590">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发包人：指专用合同条款中指明并与承包人在合同协议书中签字的当事人。</w:t>
      </w:r>
    </w:p>
    <w:p w14:paraId="39891CCC">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承包人：指与发包人签订合同协议书的当事人。</w:t>
      </w:r>
    </w:p>
    <w:p w14:paraId="569C925E">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承包人项目经理：指承包人派驻施工场地的全权负责人。</w:t>
      </w:r>
    </w:p>
    <w:p w14:paraId="6943F64B">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分包人：指从承包人处分包合同中某一部分工程，并与其签订分包合同的分包人。</w:t>
      </w:r>
    </w:p>
    <w:p w14:paraId="27525642">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监理人：指在专用合同条款中指明的，受发包人委托对合同履行实施管理的法人或其他组织。</w:t>
      </w:r>
    </w:p>
    <w:p w14:paraId="4D0604CD">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总监理工程师（总监）：指由监理人委派常驻施工场地对合同履行实施管理的全权负责人。</w:t>
      </w:r>
    </w:p>
    <w:p w14:paraId="0CD1E29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工程和设备</w:t>
      </w:r>
    </w:p>
    <w:p w14:paraId="66C2AD8F">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工程：指永久工程和（或）临时工程。</w:t>
      </w:r>
    </w:p>
    <w:p w14:paraId="5647D841">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永久工程：指按合同约定建造并移交给发包人的工程，包括工程设备。</w:t>
      </w:r>
    </w:p>
    <w:p w14:paraId="75B634F5">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临时工程：指为完成合同约定的永久工程所修建的各类临时性工程，不包括施工设备。</w:t>
      </w:r>
    </w:p>
    <w:p w14:paraId="0F1DEE41">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单位工程：指专用合同条款中指明特定范围的永久工程。</w:t>
      </w:r>
    </w:p>
    <w:p w14:paraId="7853E8D6">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工程设备：指构成或计划构成永久工程一部分的机电设备、金属结构设备、仪器装置及其他类似的设备和装置。</w:t>
      </w:r>
    </w:p>
    <w:p w14:paraId="249B5DED">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施工设备：指为完成合同约定的各项工作所需的设备、器具和其他物品，不包括临时工程和材料。</w:t>
      </w:r>
    </w:p>
    <w:p w14:paraId="11E2F101">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临时设施：指为完成合同约定的各项工作所服务的临时性生产和生活设施。</w:t>
      </w:r>
    </w:p>
    <w:p w14:paraId="14F967FA">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承包人设备：指承包人自带的施工设备。</w:t>
      </w:r>
    </w:p>
    <w:p w14:paraId="17857587">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施工场地（或称工地、现场）：指用于合同工程施工的场所，以及在合同中指定作为施工场地组成部分的其他场所，包括永久占地和临时占地。</w:t>
      </w:r>
    </w:p>
    <w:p w14:paraId="5A32E6EF">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永久占地：指专用合同条款中指明为实施合同工程需永久占用的土地。</w:t>
      </w:r>
    </w:p>
    <w:p w14:paraId="0944E07B">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临时占地：指专用合同条款中指明为实施合同工程需临时占用的土地。</w:t>
      </w:r>
    </w:p>
    <w:p w14:paraId="3E762C3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日期</w:t>
      </w:r>
    </w:p>
    <w:p w14:paraId="5B73E08C">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开工通知：指监理人按第11.1款通知承包人开工的函件。</w:t>
      </w:r>
    </w:p>
    <w:p w14:paraId="3AEAF41F">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开工日期：指监理人按第11.1款发出的开工通知中写明的开工日期。</w:t>
      </w:r>
    </w:p>
    <w:p w14:paraId="772E1325">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工期：指承包人在投标函中承诺的完成合同工程所需的期限，包括按第11.3款、第11.4款和第11.6款约定所作的变更。</w:t>
      </w:r>
    </w:p>
    <w:p w14:paraId="6340B446">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竣工日期：指第1.1.4.3目约定工期届满时的日期。实际竣工日期以工程接收证书中写明的日期为准。</w:t>
      </w:r>
    </w:p>
    <w:p w14:paraId="03D0B35B">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缺陷责任期：指履行第19.2款约定的缺陷责任的期限，具体期限由专用合同条款约定，包括根据第19.3款约定所作的延长。</w:t>
      </w:r>
    </w:p>
    <w:p w14:paraId="5385DE27">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基准日期：指投标截止时间前28天的日期。</w:t>
      </w:r>
    </w:p>
    <w:p w14:paraId="524AFD0C">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天：除特别指明外，指日历天。合同中按天计算时间的，开始当天不计入，从次日开始计算。期限最后一天的截止时间为当天24:00。</w:t>
      </w:r>
    </w:p>
    <w:p w14:paraId="2C12416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合同价格和费用</w:t>
      </w:r>
    </w:p>
    <w:p w14:paraId="7B239E54">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签约合同价：指</w:t>
      </w:r>
      <w:r>
        <w:rPr>
          <w:rFonts w:hint="eastAsia" w:ascii="宋体" w:hAnsi="宋体" w:cs="宋体"/>
          <w:color w:val="auto"/>
          <w:lang w:val="en-US" w:eastAsia="zh-CN"/>
        </w:rPr>
        <w:t>签订</w:t>
      </w:r>
      <w:r>
        <w:rPr>
          <w:rFonts w:hint="eastAsia" w:ascii="宋体" w:hAnsi="宋体" w:cs="宋体"/>
          <w:color w:val="auto"/>
        </w:rPr>
        <w:t>合同时合同协议书中写明的，包括了暂列金额、暂估价的合同总金额。</w:t>
      </w:r>
    </w:p>
    <w:p w14:paraId="409FEFDC">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合同价格：指承包人按合同约定完成了包括缺陷责任期内的全部承包工作后，发包人应付给承包人的金额，包括在履行合同过程中按合同约定进行的变更和调整。</w:t>
      </w:r>
    </w:p>
    <w:p w14:paraId="34794982">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费用：指为履行合同所发生的或将要发生的所有合理开支，包括管理费和应分摊的其他费用，但不包括利润。</w:t>
      </w:r>
    </w:p>
    <w:p w14:paraId="5F58FDCD">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暂列金额：指已标价工程量清单中所列的暂列金额，用于在签订协议书时尚未确定或不可预见变更的施工及其所需材料、工程设备、服务等的金额，包括以计日工方式支付的金额。</w:t>
      </w:r>
    </w:p>
    <w:p w14:paraId="2E15ED11">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暂估价：指发包人在工程量清单中给定的用于支付必然发生但暂时不能确定价格的材料、设备以及专业工程的金额。</w:t>
      </w:r>
    </w:p>
    <w:p w14:paraId="1CE66B56">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计日工：指对零星工作采取的一种计价方式，按合同中的计日工子目及其单价计价付款。</w:t>
      </w:r>
    </w:p>
    <w:p w14:paraId="0C691C34">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质量保证金（或称保留金）：指按第17.4.1项约定用于保证在缺陷责任期内履行缺陷修复义务的金额。</w:t>
      </w:r>
    </w:p>
    <w:p w14:paraId="18AFA73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其他</w:t>
      </w:r>
    </w:p>
    <w:p w14:paraId="4178B2C7">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书面形式：指合同文件、信函、电报、传真等可以有形地表现所载内容的形式。</w:t>
      </w:r>
    </w:p>
    <w:p w14:paraId="72F3FEED">
      <w:pPr>
        <w:numPr>
          <w:ilvl w:val="1"/>
          <w:numId w:val="4"/>
        </w:numPr>
        <w:spacing w:line="400" w:lineRule="exact"/>
        <w:ind w:left="0" w:firstLine="241" w:firstLineChars="100"/>
        <w:rPr>
          <w:rFonts w:hint="eastAsia" w:ascii="宋体" w:hAnsi="宋体" w:cs="宋体"/>
          <w:b/>
          <w:color w:val="auto"/>
          <w:sz w:val="24"/>
        </w:rPr>
      </w:pPr>
      <w:bookmarkStart w:id="266" w:name="_Toc152042391"/>
      <w:bookmarkStart w:id="267" w:name="_Toc144974581"/>
      <w:bookmarkStart w:id="268" w:name="_Toc508732950"/>
      <w:bookmarkStart w:id="269" w:name="_Toc179632631"/>
      <w:bookmarkStart w:id="270" w:name="_Toc152045613"/>
      <w:r>
        <w:rPr>
          <w:rFonts w:hint="eastAsia" w:ascii="宋体" w:hAnsi="宋体" w:cs="宋体"/>
          <w:b/>
          <w:color w:val="auto"/>
          <w:sz w:val="24"/>
        </w:rPr>
        <w:t>语言文字</w:t>
      </w:r>
      <w:bookmarkEnd w:id="266"/>
      <w:bookmarkEnd w:id="267"/>
      <w:bookmarkEnd w:id="268"/>
      <w:bookmarkEnd w:id="269"/>
      <w:bookmarkEnd w:id="270"/>
    </w:p>
    <w:p w14:paraId="724B32AB">
      <w:pPr>
        <w:spacing w:line="400" w:lineRule="exact"/>
        <w:ind w:firstLine="440" w:firstLineChars="200"/>
        <w:rPr>
          <w:rFonts w:hint="eastAsia" w:ascii="宋体" w:hAnsi="宋体" w:cs="宋体"/>
          <w:color w:val="auto"/>
        </w:rPr>
      </w:pPr>
      <w:r>
        <w:rPr>
          <w:rFonts w:hint="eastAsia" w:ascii="宋体" w:hAnsi="宋体" w:cs="宋体"/>
          <w:color w:val="auto"/>
        </w:rPr>
        <w:t>除专用术语外，合同使用的语言文字为中文。必要时专用术语应附有中文注释。</w:t>
      </w:r>
    </w:p>
    <w:p w14:paraId="1FE4F633">
      <w:pPr>
        <w:numPr>
          <w:ilvl w:val="1"/>
          <w:numId w:val="4"/>
        </w:numPr>
        <w:spacing w:line="400" w:lineRule="exact"/>
        <w:ind w:left="0" w:firstLine="241" w:firstLineChars="100"/>
        <w:rPr>
          <w:rFonts w:hint="eastAsia" w:ascii="宋体" w:hAnsi="宋体" w:cs="宋体"/>
          <w:b/>
          <w:color w:val="auto"/>
          <w:sz w:val="24"/>
        </w:rPr>
      </w:pPr>
      <w:bookmarkStart w:id="271" w:name="_Toc152045614"/>
      <w:bookmarkStart w:id="272" w:name="_Toc144974582"/>
      <w:bookmarkStart w:id="273" w:name="_Toc179632632"/>
      <w:bookmarkStart w:id="274" w:name="_Toc152042392"/>
      <w:bookmarkStart w:id="275" w:name="_Toc508732951"/>
      <w:r>
        <w:rPr>
          <w:rFonts w:hint="eastAsia" w:ascii="宋体" w:hAnsi="宋体" w:cs="宋体"/>
          <w:b/>
          <w:color w:val="auto"/>
          <w:sz w:val="24"/>
        </w:rPr>
        <w:t>法律</w:t>
      </w:r>
      <w:bookmarkEnd w:id="271"/>
      <w:bookmarkEnd w:id="272"/>
      <w:bookmarkEnd w:id="273"/>
      <w:bookmarkEnd w:id="274"/>
      <w:bookmarkEnd w:id="275"/>
    </w:p>
    <w:p w14:paraId="60A396FB">
      <w:pPr>
        <w:spacing w:line="400" w:lineRule="exact"/>
        <w:ind w:firstLine="440" w:firstLineChars="200"/>
        <w:rPr>
          <w:rFonts w:hint="eastAsia" w:ascii="宋体" w:hAnsi="宋体" w:cs="宋体"/>
          <w:color w:val="auto"/>
        </w:rPr>
      </w:pPr>
      <w:r>
        <w:rPr>
          <w:rFonts w:hint="eastAsia" w:ascii="宋体" w:hAnsi="宋体" w:cs="宋体"/>
          <w:color w:val="auto"/>
        </w:rPr>
        <w:t>适用于合同的法律包括中华人民共和国法律、行政法规、部门规章，以及工程所在地的地方性法规、自治条例、单行条例和地方政府规章。</w:t>
      </w:r>
    </w:p>
    <w:p w14:paraId="071950B0">
      <w:pPr>
        <w:numPr>
          <w:ilvl w:val="1"/>
          <w:numId w:val="4"/>
        </w:numPr>
        <w:spacing w:line="400" w:lineRule="exact"/>
        <w:ind w:left="0" w:firstLine="241" w:firstLineChars="100"/>
        <w:rPr>
          <w:rFonts w:hint="eastAsia" w:ascii="宋体" w:hAnsi="宋体" w:cs="宋体"/>
          <w:b/>
          <w:color w:val="auto"/>
          <w:sz w:val="24"/>
        </w:rPr>
      </w:pPr>
      <w:bookmarkStart w:id="276" w:name="_Toc152042393"/>
      <w:bookmarkStart w:id="277" w:name="_Toc179632633"/>
      <w:bookmarkStart w:id="278" w:name="_Toc144974583"/>
      <w:bookmarkStart w:id="279" w:name="_Toc508732952"/>
      <w:bookmarkStart w:id="280" w:name="_Toc152045615"/>
      <w:r>
        <w:rPr>
          <w:rFonts w:hint="eastAsia" w:ascii="宋体" w:hAnsi="宋体" w:cs="宋体"/>
          <w:b/>
          <w:color w:val="auto"/>
          <w:sz w:val="24"/>
        </w:rPr>
        <w:t>合同文件的优先顺序</w:t>
      </w:r>
      <w:bookmarkEnd w:id="276"/>
      <w:bookmarkEnd w:id="277"/>
      <w:bookmarkEnd w:id="278"/>
      <w:bookmarkEnd w:id="279"/>
      <w:bookmarkEnd w:id="280"/>
    </w:p>
    <w:p w14:paraId="2FDAF407">
      <w:pPr>
        <w:spacing w:line="400" w:lineRule="exact"/>
        <w:ind w:firstLine="440" w:firstLineChars="200"/>
        <w:rPr>
          <w:rFonts w:hint="eastAsia" w:ascii="宋体" w:hAnsi="宋体" w:cs="宋体"/>
          <w:color w:val="auto"/>
        </w:rPr>
      </w:pPr>
      <w:r>
        <w:rPr>
          <w:rFonts w:hint="eastAsia" w:ascii="宋体" w:hAnsi="宋体" w:cs="宋体"/>
          <w:color w:val="auto"/>
        </w:rPr>
        <w:t>组成合同的各项文件应互相解释，互为说明。除专用合同条款另有约定外，解释合同文件的优先顺序如下：</w:t>
      </w:r>
    </w:p>
    <w:p w14:paraId="5FDE402A">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合同协议书；</w:t>
      </w:r>
    </w:p>
    <w:p w14:paraId="00CDEACC">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中标通知书；</w:t>
      </w:r>
    </w:p>
    <w:p w14:paraId="18E5F55A">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投标函及投标函附录；</w:t>
      </w:r>
    </w:p>
    <w:p w14:paraId="22A79F81">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专用合同条款；</w:t>
      </w:r>
    </w:p>
    <w:p w14:paraId="46E4DD07">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通用合同条款；</w:t>
      </w:r>
    </w:p>
    <w:p w14:paraId="257F508E">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技术标准和要求；</w:t>
      </w:r>
    </w:p>
    <w:p w14:paraId="60EB132A">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图纸；</w:t>
      </w:r>
    </w:p>
    <w:p w14:paraId="2A72524E">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已标价工程量清单；</w:t>
      </w:r>
    </w:p>
    <w:p w14:paraId="5115886C">
      <w:pPr>
        <w:numPr>
          <w:ilvl w:val="0"/>
          <w:numId w:val="5"/>
        </w:numPr>
        <w:spacing w:line="400" w:lineRule="exact"/>
        <w:ind w:left="0" w:firstLine="440" w:firstLineChars="200"/>
        <w:rPr>
          <w:rFonts w:hint="eastAsia" w:ascii="宋体" w:hAnsi="宋体" w:cs="宋体"/>
          <w:color w:val="auto"/>
        </w:rPr>
      </w:pPr>
      <w:r>
        <w:rPr>
          <w:rFonts w:hint="eastAsia" w:ascii="宋体" w:hAnsi="宋体" w:cs="宋体"/>
          <w:color w:val="auto"/>
        </w:rPr>
        <w:t>其他合同文件。</w:t>
      </w:r>
    </w:p>
    <w:p w14:paraId="4D8C060F">
      <w:pPr>
        <w:numPr>
          <w:ilvl w:val="1"/>
          <w:numId w:val="4"/>
        </w:numPr>
        <w:spacing w:line="400" w:lineRule="exact"/>
        <w:ind w:left="0" w:firstLine="241" w:firstLineChars="100"/>
        <w:rPr>
          <w:rFonts w:hint="eastAsia" w:ascii="宋体" w:hAnsi="宋体" w:cs="宋体"/>
          <w:b/>
          <w:color w:val="auto"/>
          <w:sz w:val="24"/>
        </w:rPr>
      </w:pPr>
      <w:bookmarkStart w:id="281" w:name="_Toc152042394"/>
      <w:bookmarkStart w:id="282" w:name="_Toc144974584"/>
      <w:bookmarkStart w:id="283" w:name="_Toc508732953"/>
      <w:bookmarkStart w:id="284" w:name="_Toc152045616"/>
      <w:bookmarkStart w:id="285" w:name="_Toc179632634"/>
      <w:r>
        <w:rPr>
          <w:rFonts w:hint="eastAsia" w:ascii="宋体" w:hAnsi="宋体" w:cs="宋体"/>
          <w:b/>
          <w:color w:val="auto"/>
          <w:sz w:val="24"/>
        </w:rPr>
        <w:t>合同协议书</w:t>
      </w:r>
      <w:bookmarkEnd w:id="281"/>
      <w:bookmarkEnd w:id="282"/>
      <w:bookmarkEnd w:id="283"/>
      <w:bookmarkEnd w:id="284"/>
      <w:bookmarkEnd w:id="285"/>
    </w:p>
    <w:p w14:paraId="5419B8DE">
      <w:pPr>
        <w:spacing w:line="400" w:lineRule="exact"/>
        <w:ind w:firstLine="440" w:firstLineChars="200"/>
        <w:rPr>
          <w:rFonts w:hint="eastAsia" w:ascii="宋体" w:hAnsi="宋体" w:cs="宋体"/>
          <w:color w:val="auto"/>
        </w:rPr>
      </w:pPr>
      <w:r>
        <w:rPr>
          <w:rFonts w:hint="eastAsia" w:ascii="宋体" w:hAnsi="宋体" w:cs="宋体"/>
          <w:color w:val="auto"/>
        </w:rPr>
        <w:t>承包人按中标通知书规定的时间与发包人签订合同协议书。除法律另有规定或合同另有约定外，发包人和承包人的法定代表人或其委托代理人在合同协议书上签字并盖单位章后，合同生效。</w:t>
      </w:r>
    </w:p>
    <w:p w14:paraId="64FDFA7A">
      <w:pPr>
        <w:numPr>
          <w:ilvl w:val="1"/>
          <w:numId w:val="4"/>
        </w:numPr>
        <w:spacing w:line="400" w:lineRule="exact"/>
        <w:ind w:left="0" w:firstLine="241" w:firstLineChars="100"/>
        <w:rPr>
          <w:rFonts w:hint="eastAsia" w:ascii="宋体" w:hAnsi="宋体" w:cs="宋体"/>
          <w:b/>
          <w:color w:val="auto"/>
          <w:sz w:val="24"/>
        </w:rPr>
      </w:pPr>
      <w:bookmarkStart w:id="286" w:name="_Toc179632635"/>
      <w:bookmarkStart w:id="287" w:name="_Toc144974585"/>
      <w:bookmarkStart w:id="288" w:name="_Toc152045617"/>
      <w:bookmarkStart w:id="289" w:name="_Toc152042395"/>
      <w:bookmarkStart w:id="290" w:name="_Toc508732954"/>
      <w:r>
        <w:rPr>
          <w:rFonts w:hint="eastAsia" w:ascii="宋体" w:hAnsi="宋体" w:cs="宋体"/>
          <w:b/>
          <w:color w:val="auto"/>
          <w:sz w:val="24"/>
        </w:rPr>
        <w:t>图纸和承包人文件</w:t>
      </w:r>
      <w:bookmarkEnd w:id="286"/>
      <w:bookmarkEnd w:id="287"/>
      <w:bookmarkEnd w:id="288"/>
      <w:bookmarkEnd w:id="289"/>
      <w:bookmarkEnd w:id="290"/>
    </w:p>
    <w:p w14:paraId="72C988E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图纸的提供</w:t>
      </w:r>
    </w:p>
    <w:p w14:paraId="7D3EDD29">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除专用合同条款另有约定外，图纸应在合理的期限内按照合同约定的数量提供给承包人。由于发包人未按时提供图纸造成工期延误的，按第11.3款的约定办理。</w:t>
      </w:r>
    </w:p>
    <w:p w14:paraId="5FA64C9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承包人提供的文件</w:t>
      </w:r>
    </w:p>
    <w:p w14:paraId="58C301B2">
      <w:pPr>
        <w:spacing w:line="400" w:lineRule="exact"/>
        <w:ind w:firstLine="440" w:firstLineChars="200"/>
        <w:rPr>
          <w:rFonts w:hint="eastAsia" w:ascii="宋体" w:hAnsi="宋体" w:cs="宋体"/>
          <w:color w:val="auto"/>
        </w:rPr>
      </w:pPr>
      <w:r>
        <w:rPr>
          <w:rFonts w:hint="eastAsia" w:ascii="宋体" w:hAnsi="宋体" w:cs="宋体"/>
          <w:color w:val="auto"/>
        </w:rPr>
        <w:t>按专用合同条款约定由承包人提供的文件，包括部分工程的大样图、加工图等，承包人应按约定的数量和期限报送监理人。监理人应在专用合同条款约定的期限内批复。</w:t>
      </w:r>
    </w:p>
    <w:p w14:paraId="0E78926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图纸的修改</w:t>
      </w:r>
    </w:p>
    <w:p w14:paraId="262B633F">
      <w:pPr>
        <w:spacing w:line="400" w:lineRule="exact"/>
        <w:ind w:firstLine="440" w:firstLineChars="200"/>
        <w:rPr>
          <w:rFonts w:hint="eastAsia" w:ascii="宋体" w:hAnsi="宋体" w:cs="宋体"/>
          <w:color w:val="auto"/>
        </w:rPr>
      </w:pPr>
      <w:r>
        <w:rPr>
          <w:rFonts w:hint="eastAsia" w:ascii="宋体" w:hAnsi="宋体" w:cs="宋体"/>
          <w:color w:val="auto"/>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684ABB8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图纸的错误</w:t>
      </w:r>
    </w:p>
    <w:p w14:paraId="794ECFE5">
      <w:pPr>
        <w:spacing w:line="400" w:lineRule="exact"/>
        <w:ind w:firstLine="440" w:firstLineChars="200"/>
        <w:rPr>
          <w:rFonts w:hint="eastAsia" w:ascii="宋体" w:hAnsi="宋体" w:cs="宋体"/>
          <w:color w:val="auto"/>
        </w:rPr>
      </w:pPr>
      <w:r>
        <w:rPr>
          <w:rFonts w:hint="eastAsia" w:ascii="宋体" w:hAnsi="宋体" w:cs="宋体"/>
          <w:color w:val="auto"/>
        </w:rPr>
        <w:t>承包人发现发包人提供的图纸存在明显错误或疏忽，应及时通知监理人。</w:t>
      </w:r>
    </w:p>
    <w:p w14:paraId="63BF217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图纸和承包人文件的保管</w:t>
      </w:r>
    </w:p>
    <w:p w14:paraId="0A6CEBA3">
      <w:pPr>
        <w:spacing w:line="400" w:lineRule="exact"/>
        <w:ind w:firstLine="440" w:firstLineChars="200"/>
        <w:rPr>
          <w:rFonts w:hint="eastAsia" w:ascii="宋体" w:hAnsi="宋体" w:cs="宋体"/>
          <w:color w:val="auto"/>
        </w:rPr>
      </w:pPr>
      <w:r>
        <w:rPr>
          <w:rFonts w:hint="eastAsia" w:ascii="宋体" w:hAnsi="宋体" w:cs="宋体"/>
          <w:color w:val="auto"/>
        </w:rPr>
        <w:t>监理人和承包人均应在施工场地各保存一套完整的包含第1.6.1项、第1.6.2项、第1.6.3项约定内容的图纸和承包人文件。</w:t>
      </w:r>
    </w:p>
    <w:p w14:paraId="6EB95E9D">
      <w:pPr>
        <w:numPr>
          <w:ilvl w:val="1"/>
          <w:numId w:val="4"/>
        </w:numPr>
        <w:spacing w:line="400" w:lineRule="exact"/>
        <w:ind w:left="0" w:firstLine="241" w:firstLineChars="100"/>
        <w:rPr>
          <w:rFonts w:hint="eastAsia" w:ascii="宋体" w:hAnsi="宋体" w:cs="宋体"/>
          <w:b/>
          <w:color w:val="auto"/>
          <w:sz w:val="24"/>
        </w:rPr>
      </w:pPr>
      <w:bookmarkStart w:id="291" w:name="_Toc144974586"/>
      <w:bookmarkStart w:id="292" w:name="_Toc508732955"/>
      <w:bookmarkStart w:id="293" w:name="_Toc152045618"/>
      <w:bookmarkStart w:id="294" w:name="_Toc152042396"/>
      <w:bookmarkStart w:id="295" w:name="_Toc179632636"/>
      <w:r>
        <w:rPr>
          <w:rFonts w:hint="eastAsia" w:ascii="宋体" w:hAnsi="宋体" w:cs="宋体"/>
          <w:b/>
          <w:color w:val="auto"/>
          <w:sz w:val="24"/>
        </w:rPr>
        <w:t>联络</w:t>
      </w:r>
      <w:bookmarkEnd w:id="291"/>
      <w:bookmarkEnd w:id="292"/>
      <w:bookmarkEnd w:id="293"/>
      <w:bookmarkEnd w:id="294"/>
      <w:bookmarkEnd w:id="295"/>
    </w:p>
    <w:p w14:paraId="393F5F4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与合同有关的通知、批准、证明、证书、指示、要求、请求、同意、意见、确定和决定等，均应采用书面形式。</w:t>
      </w:r>
    </w:p>
    <w:p w14:paraId="285D004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第1.7.1项中的通知、批准、证明、证书、指示、要求、请求、同意、意见、确定和决定等来往函件，均应在合同约定的期限内送达指定地点和接收人，并办理签收手续。</w:t>
      </w:r>
    </w:p>
    <w:p w14:paraId="4B304042">
      <w:pPr>
        <w:numPr>
          <w:ilvl w:val="1"/>
          <w:numId w:val="4"/>
        </w:numPr>
        <w:spacing w:line="400" w:lineRule="exact"/>
        <w:ind w:left="0" w:firstLine="241" w:firstLineChars="100"/>
        <w:rPr>
          <w:rFonts w:hint="eastAsia" w:ascii="宋体" w:hAnsi="宋体" w:cs="宋体"/>
          <w:b/>
          <w:color w:val="auto"/>
          <w:sz w:val="24"/>
        </w:rPr>
      </w:pPr>
      <w:bookmarkStart w:id="296" w:name="_Toc152042397"/>
      <w:bookmarkStart w:id="297" w:name="_Toc179632637"/>
      <w:bookmarkStart w:id="298" w:name="_Toc152045619"/>
      <w:bookmarkStart w:id="299" w:name="_Toc144974587"/>
      <w:bookmarkStart w:id="300" w:name="_Toc508732956"/>
      <w:r>
        <w:rPr>
          <w:rFonts w:hint="eastAsia" w:ascii="宋体" w:hAnsi="宋体" w:cs="宋体"/>
          <w:b/>
          <w:color w:val="auto"/>
          <w:sz w:val="24"/>
        </w:rPr>
        <w:t>转让</w:t>
      </w:r>
      <w:bookmarkEnd w:id="296"/>
      <w:bookmarkEnd w:id="297"/>
      <w:bookmarkEnd w:id="298"/>
      <w:bookmarkEnd w:id="299"/>
      <w:bookmarkEnd w:id="300"/>
    </w:p>
    <w:p w14:paraId="3EFDBD26">
      <w:pPr>
        <w:spacing w:line="400" w:lineRule="exact"/>
        <w:ind w:firstLine="440" w:firstLineChars="200"/>
        <w:rPr>
          <w:rFonts w:hint="eastAsia" w:ascii="宋体" w:hAnsi="宋体" w:cs="宋体"/>
          <w:color w:val="auto"/>
        </w:rPr>
      </w:pPr>
      <w:r>
        <w:rPr>
          <w:rFonts w:hint="eastAsia" w:ascii="宋体" w:hAnsi="宋体" w:cs="宋体"/>
          <w:color w:val="auto"/>
        </w:rPr>
        <w:t>除合同另有约定外，未经对方当事人同意，一方当事人不得将合同权利全部或部分转让给第三人，也不得全部或部分转移合同义务。</w:t>
      </w:r>
    </w:p>
    <w:p w14:paraId="7268B2CC">
      <w:pPr>
        <w:numPr>
          <w:ilvl w:val="1"/>
          <w:numId w:val="4"/>
        </w:numPr>
        <w:spacing w:line="400" w:lineRule="exact"/>
        <w:ind w:left="0" w:firstLine="241" w:firstLineChars="100"/>
        <w:rPr>
          <w:rFonts w:hint="eastAsia" w:ascii="宋体" w:hAnsi="宋体" w:cs="宋体"/>
          <w:b/>
          <w:color w:val="auto"/>
          <w:sz w:val="24"/>
        </w:rPr>
      </w:pPr>
      <w:bookmarkStart w:id="301" w:name="_Toc152045620"/>
      <w:bookmarkStart w:id="302" w:name="_Toc144974588"/>
      <w:bookmarkStart w:id="303" w:name="_Toc152042398"/>
      <w:bookmarkStart w:id="304" w:name="_Toc508732957"/>
      <w:bookmarkStart w:id="305" w:name="_Toc179632638"/>
      <w:r>
        <w:rPr>
          <w:rFonts w:hint="eastAsia" w:ascii="宋体" w:hAnsi="宋体" w:cs="宋体"/>
          <w:b/>
          <w:color w:val="auto"/>
          <w:sz w:val="24"/>
        </w:rPr>
        <w:t>严禁贿赂</w:t>
      </w:r>
      <w:bookmarkEnd w:id="301"/>
      <w:bookmarkEnd w:id="302"/>
      <w:bookmarkEnd w:id="303"/>
      <w:bookmarkEnd w:id="304"/>
      <w:bookmarkEnd w:id="305"/>
    </w:p>
    <w:p w14:paraId="578BABCE">
      <w:pPr>
        <w:spacing w:line="400" w:lineRule="exact"/>
        <w:ind w:firstLine="440" w:firstLineChars="200"/>
        <w:rPr>
          <w:rFonts w:hint="eastAsia" w:ascii="宋体" w:hAnsi="宋体" w:cs="宋体"/>
          <w:color w:val="auto"/>
        </w:rPr>
      </w:pPr>
      <w:r>
        <w:rPr>
          <w:rFonts w:hint="eastAsia" w:ascii="宋体" w:hAnsi="宋体" w:cs="宋体"/>
          <w:color w:val="auto"/>
        </w:rPr>
        <w:t>合同双方当事人不得以贿赂或变相贿赂的方式，谋取不当利益或损害对方权益。因贿赂造成对方损失的，行为人应赔偿损失，并承担相应的法律责任。</w:t>
      </w:r>
    </w:p>
    <w:p w14:paraId="508668B8">
      <w:pPr>
        <w:numPr>
          <w:ilvl w:val="1"/>
          <w:numId w:val="4"/>
        </w:numPr>
        <w:spacing w:line="400" w:lineRule="exact"/>
        <w:ind w:left="0" w:firstLine="241" w:firstLineChars="100"/>
        <w:rPr>
          <w:rFonts w:hint="eastAsia" w:ascii="宋体" w:hAnsi="宋体" w:cs="宋体"/>
          <w:b/>
          <w:color w:val="auto"/>
          <w:sz w:val="24"/>
        </w:rPr>
      </w:pPr>
      <w:bookmarkStart w:id="306" w:name="_Toc508732958"/>
      <w:bookmarkStart w:id="307" w:name="_Toc144974589"/>
      <w:bookmarkStart w:id="308" w:name="_Toc152045621"/>
      <w:bookmarkStart w:id="309" w:name="_Toc152042399"/>
      <w:bookmarkStart w:id="310" w:name="_Toc179632639"/>
      <w:r>
        <w:rPr>
          <w:rFonts w:hint="eastAsia" w:ascii="宋体" w:hAnsi="宋体" w:cs="宋体"/>
          <w:b/>
          <w:color w:val="auto"/>
          <w:sz w:val="24"/>
        </w:rPr>
        <w:t>化石、文物</w:t>
      </w:r>
      <w:bookmarkEnd w:id="306"/>
      <w:bookmarkEnd w:id="307"/>
      <w:bookmarkEnd w:id="308"/>
      <w:bookmarkEnd w:id="309"/>
      <w:bookmarkEnd w:id="310"/>
    </w:p>
    <w:p w14:paraId="19C0B49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5444E16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承包人发现文物后不及时报告或隐瞒不报，致使文物丢失或损坏的，应赔偿损失，并承担相应的法律责任。</w:t>
      </w:r>
    </w:p>
    <w:p w14:paraId="61BD8F21">
      <w:pPr>
        <w:numPr>
          <w:ilvl w:val="1"/>
          <w:numId w:val="4"/>
        </w:numPr>
        <w:spacing w:line="400" w:lineRule="exact"/>
        <w:ind w:left="0" w:firstLine="241" w:firstLineChars="100"/>
        <w:rPr>
          <w:rFonts w:hint="eastAsia" w:ascii="宋体" w:hAnsi="宋体" w:cs="宋体"/>
          <w:b/>
          <w:color w:val="auto"/>
          <w:sz w:val="24"/>
        </w:rPr>
      </w:pPr>
      <w:bookmarkStart w:id="311" w:name="_Toc152045622"/>
      <w:bookmarkStart w:id="312" w:name="_Toc179632640"/>
      <w:bookmarkStart w:id="313" w:name="_Toc144974590"/>
      <w:bookmarkStart w:id="314" w:name="_Toc508732959"/>
      <w:bookmarkStart w:id="315" w:name="_Toc152042400"/>
      <w:r>
        <w:rPr>
          <w:rFonts w:hint="eastAsia" w:ascii="宋体" w:hAnsi="宋体" w:cs="宋体"/>
          <w:b/>
          <w:color w:val="auto"/>
          <w:sz w:val="24"/>
        </w:rPr>
        <w:t>专利技术</w:t>
      </w:r>
      <w:bookmarkEnd w:id="311"/>
      <w:bookmarkEnd w:id="312"/>
      <w:bookmarkEnd w:id="313"/>
      <w:bookmarkEnd w:id="314"/>
      <w:bookmarkEnd w:id="315"/>
    </w:p>
    <w:p w14:paraId="7DC362D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承包人在使用任何材料、承包人设备、工程设备或采用施工工艺时，因侵犯专利权或其他知识产权所引起的责任，由承包人承担，但由于遵照发包人提供的设计或技术标准和要求引起的除外。</w:t>
      </w:r>
    </w:p>
    <w:p w14:paraId="256A1FE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承包人在投标文件中采用专利技术的，专利技术的使用费包含在投标报价内。</w:t>
      </w:r>
    </w:p>
    <w:p w14:paraId="31967BC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承包人的技术秘密和声明需要保密的资料和信息，发包人和监理人不得为合同以外的目的泄露给他人。</w:t>
      </w:r>
    </w:p>
    <w:p w14:paraId="219BFB42">
      <w:pPr>
        <w:numPr>
          <w:ilvl w:val="1"/>
          <w:numId w:val="4"/>
        </w:numPr>
        <w:spacing w:line="400" w:lineRule="exact"/>
        <w:ind w:left="0" w:firstLine="241" w:firstLineChars="100"/>
        <w:rPr>
          <w:rFonts w:hint="eastAsia" w:ascii="宋体" w:hAnsi="宋体" w:cs="宋体"/>
          <w:b/>
          <w:color w:val="auto"/>
          <w:sz w:val="24"/>
        </w:rPr>
      </w:pPr>
      <w:bookmarkStart w:id="316" w:name="_Toc144974591"/>
      <w:bookmarkStart w:id="317" w:name="_Toc508732960"/>
      <w:bookmarkStart w:id="318" w:name="_Toc179632641"/>
      <w:bookmarkStart w:id="319" w:name="_Toc152042401"/>
      <w:bookmarkStart w:id="320" w:name="_Toc152045623"/>
      <w:r>
        <w:rPr>
          <w:rFonts w:hint="eastAsia" w:ascii="宋体" w:hAnsi="宋体" w:cs="宋体"/>
          <w:b/>
          <w:color w:val="auto"/>
          <w:sz w:val="24"/>
        </w:rPr>
        <w:t>图纸和文件的保密</w:t>
      </w:r>
      <w:bookmarkEnd w:id="316"/>
      <w:bookmarkEnd w:id="317"/>
      <w:bookmarkEnd w:id="318"/>
      <w:bookmarkEnd w:id="319"/>
      <w:bookmarkEnd w:id="320"/>
    </w:p>
    <w:p w14:paraId="166E325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发包人提供的图纸和文件，未经发包人同意，承包人不得为合同以外的目的泄露给他人或公开发表与引用。</w:t>
      </w:r>
    </w:p>
    <w:p w14:paraId="69FD4DB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承包人提供的文件，未经承包人同意，发包人和监理人不得为合同以外的目的泄露给他人或公开发表与引用。</w:t>
      </w:r>
    </w:p>
    <w:p w14:paraId="5FEC8AF7">
      <w:pPr>
        <w:pStyle w:val="75"/>
        <w:numPr>
          <w:ilvl w:val="0"/>
          <w:numId w:val="4"/>
        </w:numPr>
        <w:spacing w:before="0"/>
        <w:ind w:left="0" w:firstLine="0"/>
        <w:outlineLvl w:val="9"/>
        <w:rPr>
          <w:rFonts w:hint="eastAsia" w:ascii="宋体" w:hAnsi="宋体" w:eastAsia="宋体"/>
          <w:b/>
          <w:bCs/>
          <w:color w:val="auto"/>
          <w:sz w:val="24"/>
          <w:szCs w:val="24"/>
        </w:rPr>
      </w:pPr>
      <w:bookmarkStart w:id="321" w:name="_Toc58398558"/>
      <w:bookmarkStart w:id="322" w:name="_Toc179632642"/>
      <w:bookmarkStart w:id="323" w:name="_Toc144974592"/>
      <w:bookmarkStart w:id="324" w:name="_Toc10999"/>
      <w:bookmarkStart w:id="325" w:name="_Toc7228"/>
      <w:bookmarkStart w:id="326" w:name="_Toc152045624"/>
      <w:bookmarkStart w:id="327" w:name="_Toc152042402"/>
      <w:r>
        <w:rPr>
          <w:rFonts w:hint="eastAsia" w:ascii="宋体" w:hAnsi="宋体" w:eastAsia="宋体"/>
          <w:b/>
          <w:bCs/>
          <w:color w:val="auto"/>
          <w:sz w:val="24"/>
          <w:szCs w:val="24"/>
        </w:rPr>
        <w:t>发包人义务</w:t>
      </w:r>
      <w:bookmarkEnd w:id="321"/>
      <w:bookmarkEnd w:id="322"/>
      <w:bookmarkEnd w:id="323"/>
      <w:bookmarkEnd w:id="324"/>
      <w:bookmarkEnd w:id="325"/>
      <w:bookmarkEnd w:id="326"/>
      <w:bookmarkEnd w:id="327"/>
    </w:p>
    <w:p w14:paraId="3CCB5DA3">
      <w:pPr>
        <w:numPr>
          <w:ilvl w:val="1"/>
          <w:numId w:val="4"/>
        </w:numPr>
        <w:spacing w:line="400" w:lineRule="exact"/>
        <w:ind w:left="0" w:firstLine="241" w:firstLineChars="100"/>
        <w:rPr>
          <w:rFonts w:hint="eastAsia" w:ascii="宋体" w:hAnsi="宋体" w:cs="宋体"/>
          <w:b/>
          <w:color w:val="auto"/>
          <w:sz w:val="24"/>
        </w:rPr>
      </w:pPr>
      <w:bookmarkStart w:id="328" w:name="_Toc144974593"/>
      <w:bookmarkStart w:id="329" w:name="_Toc152042403"/>
      <w:bookmarkStart w:id="330" w:name="_Toc179632643"/>
      <w:bookmarkStart w:id="331" w:name="_Toc152045625"/>
      <w:bookmarkStart w:id="332" w:name="_Toc508732962"/>
      <w:r>
        <w:rPr>
          <w:rFonts w:hint="eastAsia" w:ascii="宋体" w:hAnsi="宋体" w:cs="宋体"/>
          <w:b/>
          <w:color w:val="auto"/>
          <w:sz w:val="24"/>
        </w:rPr>
        <w:t>遵守法律</w:t>
      </w:r>
      <w:bookmarkEnd w:id="328"/>
      <w:bookmarkEnd w:id="329"/>
      <w:bookmarkEnd w:id="330"/>
      <w:bookmarkEnd w:id="331"/>
      <w:bookmarkEnd w:id="332"/>
    </w:p>
    <w:p w14:paraId="6C2FC6F3">
      <w:pPr>
        <w:spacing w:line="400" w:lineRule="exact"/>
        <w:ind w:firstLine="440" w:firstLineChars="200"/>
        <w:rPr>
          <w:rFonts w:hint="eastAsia" w:ascii="宋体" w:hAnsi="宋体" w:cs="宋体"/>
          <w:color w:val="auto"/>
        </w:rPr>
      </w:pPr>
      <w:r>
        <w:rPr>
          <w:rFonts w:hint="eastAsia" w:ascii="宋体" w:hAnsi="宋体" w:cs="宋体"/>
          <w:color w:val="auto"/>
        </w:rPr>
        <w:t>发包人在履行合同过程中应遵守法律，并保证承包人免于承担因发包人违反法律而引起的任何责任。</w:t>
      </w:r>
    </w:p>
    <w:p w14:paraId="523A25E5">
      <w:pPr>
        <w:numPr>
          <w:ilvl w:val="1"/>
          <w:numId w:val="4"/>
        </w:numPr>
        <w:spacing w:line="400" w:lineRule="exact"/>
        <w:ind w:left="0" w:firstLine="241" w:firstLineChars="100"/>
        <w:rPr>
          <w:rFonts w:hint="eastAsia" w:ascii="宋体" w:hAnsi="宋体" w:cs="宋体"/>
          <w:b/>
          <w:color w:val="auto"/>
          <w:sz w:val="24"/>
        </w:rPr>
      </w:pPr>
      <w:bookmarkStart w:id="333" w:name="_Toc152045626"/>
      <w:bookmarkStart w:id="334" w:name="_Toc508732963"/>
      <w:bookmarkStart w:id="335" w:name="_Toc179632644"/>
      <w:bookmarkStart w:id="336" w:name="_Toc144974594"/>
      <w:bookmarkStart w:id="337" w:name="_Toc152042404"/>
      <w:r>
        <w:rPr>
          <w:rFonts w:hint="eastAsia" w:ascii="宋体" w:hAnsi="宋体" w:cs="宋体"/>
          <w:b/>
          <w:color w:val="auto"/>
          <w:sz w:val="24"/>
        </w:rPr>
        <w:t>发出开工通知</w:t>
      </w:r>
      <w:bookmarkEnd w:id="333"/>
      <w:bookmarkEnd w:id="334"/>
      <w:bookmarkEnd w:id="335"/>
      <w:bookmarkEnd w:id="336"/>
      <w:bookmarkEnd w:id="337"/>
    </w:p>
    <w:p w14:paraId="7B3A320E">
      <w:pPr>
        <w:spacing w:line="400" w:lineRule="exact"/>
        <w:ind w:firstLine="440" w:firstLineChars="200"/>
        <w:rPr>
          <w:rFonts w:hint="eastAsia" w:ascii="宋体" w:hAnsi="宋体" w:cs="宋体"/>
          <w:color w:val="auto"/>
        </w:rPr>
      </w:pPr>
      <w:r>
        <w:rPr>
          <w:rFonts w:hint="eastAsia" w:ascii="宋体" w:hAnsi="宋体" w:cs="宋体"/>
          <w:color w:val="auto"/>
        </w:rPr>
        <w:t>发包人应委托监理人按第11.1款的约定向承包人发出开工通知。</w:t>
      </w:r>
    </w:p>
    <w:p w14:paraId="58E93534">
      <w:pPr>
        <w:numPr>
          <w:ilvl w:val="1"/>
          <w:numId w:val="4"/>
        </w:numPr>
        <w:spacing w:line="400" w:lineRule="exact"/>
        <w:ind w:left="0" w:firstLine="241" w:firstLineChars="100"/>
        <w:rPr>
          <w:rFonts w:hint="eastAsia" w:ascii="宋体" w:hAnsi="宋体" w:cs="宋体"/>
          <w:b/>
          <w:color w:val="auto"/>
          <w:sz w:val="24"/>
        </w:rPr>
      </w:pPr>
      <w:bookmarkStart w:id="338" w:name="_Toc179632645"/>
      <w:bookmarkStart w:id="339" w:name="_Toc152045627"/>
      <w:bookmarkStart w:id="340" w:name="_Toc508732964"/>
      <w:bookmarkStart w:id="341" w:name="_Toc144974595"/>
      <w:bookmarkStart w:id="342" w:name="_Toc152042405"/>
      <w:r>
        <w:rPr>
          <w:rFonts w:hint="eastAsia" w:ascii="宋体" w:hAnsi="宋体" w:cs="宋体"/>
          <w:b/>
          <w:color w:val="auto"/>
          <w:sz w:val="24"/>
        </w:rPr>
        <w:t>提供施工场地</w:t>
      </w:r>
      <w:bookmarkEnd w:id="338"/>
      <w:bookmarkEnd w:id="339"/>
      <w:bookmarkEnd w:id="340"/>
      <w:bookmarkEnd w:id="341"/>
      <w:bookmarkEnd w:id="342"/>
    </w:p>
    <w:p w14:paraId="52D26DBA">
      <w:pPr>
        <w:spacing w:line="400" w:lineRule="exact"/>
        <w:ind w:firstLine="440" w:firstLineChars="200"/>
        <w:rPr>
          <w:rFonts w:hint="eastAsia" w:ascii="宋体" w:hAnsi="宋体" w:cs="宋体"/>
          <w:color w:val="auto"/>
        </w:rPr>
      </w:pPr>
      <w:r>
        <w:rPr>
          <w:rFonts w:hint="eastAsia" w:ascii="宋体" w:hAnsi="宋体" w:cs="宋体"/>
          <w:color w:val="auto"/>
        </w:rPr>
        <w:t>发包人应按专用合同条款约定向承包人提供施工场地，以及施工场地内地下管线和地下设施等有关资料，并保证资料的真实、准确、完整。</w:t>
      </w:r>
    </w:p>
    <w:p w14:paraId="415E7AFE">
      <w:pPr>
        <w:numPr>
          <w:ilvl w:val="1"/>
          <w:numId w:val="4"/>
        </w:numPr>
        <w:spacing w:line="400" w:lineRule="exact"/>
        <w:ind w:left="0" w:firstLine="241" w:firstLineChars="100"/>
        <w:rPr>
          <w:rFonts w:hint="eastAsia" w:ascii="宋体" w:hAnsi="宋体" w:cs="宋体"/>
          <w:b/>
          <w:color w:val="auto"/>
          <w:sz w:val="24"/>
        </w:rPr>
      </w:pPr>
      <w:bookmarkStart w:id="343" w:name="_Toc152042406"/>
      <w:bookmarkStart w:id="344" w:name="_Toc508732965"/>
      <w:bookmarkStart w:id="345" w:name="_Toc144974596"/>
      <w:bookmarkStart w:id="346" w:name="_Toc152045628"/>
      <w:bookmarkStart w:id="347" w:name="_Toc179632646"/>
      <w:r>
        <w:rPr>
          <w:rFonts w:hint="eastAsia" w:ascii="宋体" w:hAnsi="宋体" w:cs="宋体"/>
          <w:b/>
          <w:color w:val="auto"/>
          <w:sz w:val="24"/>
        </w:rPr>
        <w:t>协助承包人办理证件和批件</w:t>
      </w:r>
      <w:bookmarkEnd w:id="343"/>
      <w:bookmarkEnd w:id="344"/>
      <w:bookmarkEnd w:id="345"/>
      <w:bookmarkEnd w:id="346"/>
      <w:bookmarkEnd w:id="347"/>
    </w:p>
    <w:p w14:paraId="7F110920">
      <w:pPr>
        <w:spacing w:line="400" w:lineRule="exact"/>
        <w:ind w:firstLine="440" w:firstLineChars="200"/>
        <w:rPr>
          <w:rFonts w:hint="eastAsia" w:ascii="宋体" w:hAnsi="宋体" w:cs="宋体"/>
          <w:color w:val="auto"/>
        </w:rPr>
      </w:pPr>
      <w:r>
        <w:rPr>
          <w:rFonts w:hint="eastAsia" w:ascii="宋体" w:hAnsi="宋体" w:cs="宋体"/>
          <w:color w:val="auto"/>
        </w:rPr>
        <w:t>发包人应协助承包人办理法律规定的有关施工证件和批件。</w:t>
      </w:r>
    </w:p>
    <w:p w14:paraId="2AA64C15">
      <w:pPr>
        <w:numPr>
          <w:ilvl w:val="1"/>
          <w:numId w:val="4"/>
        </w:numPr>
        <w:spacing w:line="400" w:lineRule="exact"/>
        <w:ind w:left="0" w:firstLine="241" w:firstLineChars="100"/>
        <w:rPr>
          <w:rFonts w:hint="eastAsia" w:ascii="宋体" w:hAnsi="宋体" w:cs="宋体"/>
          <w:b/>
          <w:color w:val="auto"/>
          <w:sz w:val="24"/>
        </w:rPr>
      </w:pPr>
      <w:bookmarkStart w:id="348" w:name="_Toc179632647"/>
      <w:bookmarkStart w:id="349" w:name="_Toc152045629"/>
      <w:bookmarkStart w:id="350" w:name="_Toc508732966"/>
      <w:bookmarkStart w:id="351" w:name="_Toc152042407"/>
      <w:bookmarkStart w:id="352" w:name="_Toc144974597"/>
      <w:r>
        <w:rPr>
          <w:rFonts w:hint="eastAsia" w:ascii="宋体" w:hAnsi="宋体" w:cs="宋体"/>
          <w:b/>
          <w:color w:val="auto"/>
          <w:sz w:val="24"/>
        </w:rPr>
        <w:t>组织设计交底</w:t>
      </w:r>
      <w:bookmarkEnd w:id="348"/>
      <w:bookmarkEnd w:id="349"/>
      <w:bookmarkEnd w:id="350"/>
      <w:bookmarkEnd w:id="351"/>
      <w:bookmarkEnd w:id="352"/>
    </w:p>
    <w:p w14:paraId="45E2B637">
      <w:pPr>
        <w:spacing w:line="400" w:lineRule="exact"/>
        <w:ind w:firstLine="440" w:firstLineChars="200"/>
        <w:rPr>
          <w:rFonts w:hint="eastAsia" w:ascii="宋体" w:hAnsi="宋体" w:cs="宋体"/>
          <w:color w:val="auto"/>
        </w:rPr>
      </w:pPr>
      <w:r>
        <w:rPr>
          <w:rFonts w:hint="eastAsia" w:ascii="宋体" w:hAnsi="宋体" w:cs="宋体"/>
          <w:color w:val="auto"/>
        </w:rPr>
        <w:t>发包人应根据合同进度计划，组织设计单位向承包人进行设计交底。</w:t>
      </w:r>
    </w:p>
    <w:p w14:paraId="0F61DAD5">
      <w:pPr>
        <w:numPr>
          <w:ilvl w:val="1"/>
          <w:numId w:val="4"/>
        </w:numPr>
        <w:spacing w:line="400" w:lineRule="exact"/>
        <w:ind w:left="0" w:firstLine="241" w:firstLineChars="100"/>
        <w:rPr>
          <w:rFonts w:hint="eastAsia" w:ascii="宋体" w:hAnsi="宋体" w:cs="宋体"/>
          <w:b/>
          <w:color w:val="auto"/>
          <w:sz w:val="24"/>
        </w:rPr>
      </w:pPr>
      <w:bookmarkStart w:id="353" w:name="_Toc179632648"/>
      <w:bookmarkStart w:id="354" w:name="_Toc144974598"/>
      <w:bookmarkStart w:id="355" w:name="_Toc508732967"/>
      <w:bookmarkStart w:id="356" w:name="_Toc152042408"/>
      <w:bookmarkStart w:id="357" w:name="_Toc152045630"/>
      <w:r>
        <w:rPr>
          <w:rFonts w:hint="eastAsia" w:ascii="宋体" w:hAnsi="宋体" w:cs="宋体"/>
          <w:b/>
          <w:color w:val="auto"/>
          <w:sz w:val="24"/>
        </w:rPr>
        <w:t>支付合同价款</w:t>
      </w:r>
      <w:bookmarkEnd w:id="353"/>
      <w:bookmarkEnd w:id="354"/>
      <w:bookmarkEnd w:id="355"/>
      <w:bookmarkEnd w:id="356"/>
      <w:bookmarkEnd w:id="357"/>
    </w:p>
    <w:p w14:paraId="044B4F45">
      <w:pPr>
        <w:spacing w:line="400" w:lineRule="exact"/>
        <w:ind w:firstLine="440" w:firstLineChars="200"/>
        <w:rPr>
          <w:rFonts w:hint="eastAsia" w:ascii="宋体" w:hAnsi="宋体" w:cs="宋体"/>
          <w:color w:val="auto"/>
        </w:rPr>
      </w:pPr>
      <w:r>
        <w:rPr>
          <w:rFonts w:hint="eastAsia" w:ascii="宋体" w:hAnsi="宋体" w:cs="宋体"/>
          <w:color w:val="auto"/>
        </w:rPr>
        <w:t>发包人应按合同约定向承包人及时支付合同价款。</w:t>
      </w:r>
    </w:p>
    <w:p w14:paraId="53918D37">
      <w:pPr>
        <w:numPr>
          <w:ilvl w:val="1"/>
          <w:numId w:val="4"/>
        </w:numPr>
        <w:spacing w:line="400" w:lineRule="exact"/>
        <w:ind w:left="0" w:firstLine="241" w:firstLineChars="100"/>
        <w:rPr>
          <w:rFonts w:hint="eastAsia" w:ascii="宋体" w:hAnsi="宋体" w:cs="宋体"/>
          <w:b/>
          <w:color w:val="auto"/>
          <w:sz w:val="24"/>
        </w:rPr>
      </w:pPr>
      <w:bookmarkStart w:id="358" w:name="_Toc144974599"/>
      <w:bookmarkStart w:id="359" w:name="_Toc179632649"/>
      <w:bookmarkStart w:id="360" w:name="_Toc152045631"/>
      <w:bookmarkStart w:id="361" w:name="_Toc152042409"/>
      <w:bookmarkStart w:id="362" w:name="_Toc508732968"/>
      <w:r>
        <w:rPr>
          <w:rFonts w:hint="eastAsia" w:ascii="宋体" w:hAnsi="宋体" w:cs="宋体"/>
          <w:b/>
          <w:color w:val="auto"/>
          <w:sz w:val="24"/>
        </w:rPr>
        <w:t>组织竣工验收</w:t>
      </w:r>
      <w:bookmarkEnd w:id="358"/>
      <w:bookmarkEnd w:id="359"/>
      <w:bookmarkEnd w:id="360"/>
      <w:bookmarkEnd w:id="361"/>
      <w:bookmarkEnd w:id="362"/>
    </w:p>
    <w:p w14:paraId="3E540843">
      <w:pPr>
        <w:spacing w:line="400" w:lineRule="exact"/>
        <w:ind w:firstLine="440" w:firstLineChars="200"/>
        <w:rPr>
          <w:rFonts w:hint="eastAsia" w:ascii="宋体" w:hAnsi="宋体" w:cs="宋体"/>
          <w:color w:val="auto"/>
        </w:rPr>
      </w:pPr>
      <w:r>
        <w:rPr>
          <w:rFonts w:hint="eastAsia" w:ascii="宋体" w:hAnsi="宋体" w:cs="宋体"/>
          <w:color w:val="auto"/>
        </w:rPr>
        <w:t>发包人应按合同约定及时组织竣工验收。</w:t>
      </w:r>
    </w:p>
    <w:p w14:paraId="75E5616D">
      <w:pPr>
        <w:numPr>
          <w:ilvl w:val="1"/>
          <w:numId w:val="4"/>
        </w:numPr>
        <w:spacing w:line="400" w:lineRule="exact"/>
        <w:ind w:left="0" w:firstLine="241" w:firstLineChars="100"/>
        <w:rPr>
          <w:rFonts w:hint="eastAsia" w:ascii="宋体" w:hAnsi="宋体" w:cs="宋体"/>
          <w:b/>
          <w:color w:val="auto"/>
          <w:sz w:val="24"/>
        </w:rPr>
      </w:pPr>
      <w:bookmarkStart w:id="363" w:name="_Toc144974600"/>
      <w:bookmarkStart w:id="364" w:name="_Toc508732969"/>
      <w:bookmarkStart w:id="365" w:name="_Toc179632650"/>
      <w:bookmarkStart w:id="366" w:name="_Toc152045632"/>
      <w:bookmarkStart w:id="367" w:name="_Toc152042410"/>
      <w:r>
        <w:rPr>
          <w:rFonts w:hint="eastAsia" w:ascii="宋体" w:hAnsi="宋体" w:cs="宋体"/>
          <w:b/>
          <w:color w:val="auto"/>
          <w:sz w:val="24"/>
        </w:rPr>
        <w:t>其他义务</w:t>
      </w:r>
      <w:bookmarkEnd w:id="363"/>
      <w:bookmarkEnd w:id="364"/>
      <w:bookmarkEnd w:id="365"/>
      <w:bookmarkEnd w:id="366"/>
      <w:bookmarkEnd w:id="367"/>
    </w:p>
    <w:p w14:paraId="14367FDF">
      <w:pPr>
        <w:spacing w:line="400" w:lineRule="exact"/>
        <w:ind w:firstLine="440" w:firstLineChars="200"/>
        <w:rPr>
          <w:rFonts w:hint="eastAsia" w:ascii="宋体" w:hAnsi="宋体" w:cs="宋体"/>
          <w:color w:val="auto"/>
        </w:rPr>
      </w:pPr>
      <w:r>
        <w:rPr>
          <w:rFonts w:hint="eastAsia" w:ascii="宋体" w:hAnsi="宋体" w:cs="宋体"/>
          <w:color w:val="auto"/>
        </w:rPr>
        <w:t>发包人应履行合同约定的其他义务。</w:t>
      </w:r>
    </w:p>
    <w:p w14:paraId="240C9EC3">
      <w:pPr>
        <w:pStyle w:val="75"/>
        <w:numPr>
          <w:ilvl w:val="0"/>
          <w:numId w:val="4"/>
        </w:numPr>
        <w:spacing w:before="0"/>
        <w:ind w:left="0" w:firstLine="0"/>
        <w:outlineLvl w:val="9"/>
        <w:rPr>
          <w:rFonts w:hint="eastAsia" w:ascii="宋体" w:hAnsi="宋体" w:eastAsia="宋体"/>
          <w:b/>
          <w:bCs/>
          <w:color w:val="auto"/>
          <w:sz w:val="24"/>
          <w:szCs w:val="24"/>
        </w:rPr>
      </w:pPr>
      <w:bookmarkStart w:id="368" w:name="_Toc65"/>
      <w:bookmarkStart w:id="369" w:name="_Toc152042411"/>
      <w:bookmarkStart w:id="370" w:name="_Toc7952"/>
      <w:bookmarkStart w:id="371" w:name="_Toc179632651"/>
      <w:bookmarkStart w:id="372" w:name="_Toc152045633"/>
      <w:bookmarkStart w:id="373" w:name="_Toc58398559"/>
      <w:bookmarkStart w:id="374" w:name="_Toc144974601"/>
      <w:r>
        <w:rPr>
          <w:rFonts w:hint="eastAsia" w:ascii="宋体" w:hAnsi="宋体" w:eastAsia="宋体"/>
          <w:b/>
          <w:bCs/>
          <w:color w:val="auto"/>
          <w:sz w:val="24"/>
          <w:szCs w:val="24"/>
        </w:rPr>
        <w:t>监理人</w:t>
      </w:r>
      <w:bookmarkEnd w:id="368"/>
      <w:bookmarkEnd w:id="369"/>
      <w:bookmarkEnd w:id="370"/>
      <w:bookmarkEnd w:id="371"/>
      <w:bookmarkEnd w:id="372"/>
      <w:bookmarkEnd w:id="373"/>
      <w:bookmarkEnd w:id="374"/>
    </w:p>
    <w:p w14:paraId="1CA15289">
      <w:pPr>
        <w:numPr>
          <w:ilvl w:val="1"/>
          <w:numId w:val="4"/>
        </w:numPr>
        <w:spacing w:line="400" w:lineRule="exact"/>
        <w:ind w:left="0" w:firstLine="241" w:firstLineChars="100"/>
        <w:rPr>
          <w:rFonts w:hint="eastAsia" w:ascii="宋体" w:hAnsi="宋体" w:cs="宋体"/>
          <w:b/>
          <w:color w:val="auto"/>
          <w:sz w:val="24"/>
        </w:rPr>
      </w:pPr>
      <w:bookmarkStart w:id="375" w:name="_Toc179632652"/>
      <w:bookmarkStart w:id="376" w:name="_Toc152045634"/>
      <w:bookmarkStart w:id="377" w:name="_Toc508732971"/>
      <w:bookmarkStart w:id="378" w:name="_Toc144974602"/>
      <w:bookmarkStart w:id="379" w:name="_Toc152042412"/>
      <w:r>
        <w:rPr>
          <w:rFonts w:hint="eastAsia" w:ascii="宋体" w:hAnsi="宋体" w:cs="宋体"/>
          <w:b/>
          <w:color w:val="auto"/>
          <w:sz w:val="24"/>
        </w:rPr>
        <w:t>监理人的职责和权力</w:t>
      </w:r>
      <w:bookmarkEnd w:id="375"/>
      <w:bookmarkEnd w:id="376"/>
      <w:bookmarkEnd w:id="377"/>
      <w:bookmarkEnd w:id="378"/>
      <w:bookmarkEnd w:id="379"/>
    </w:p>
    <w:p w14:paraId="2767FAE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监理人受发包人委托，享有合同约定的权力。监理人在行使某项权力前需要经发包人事先批准而通用合同条款没有指明的，应在专用合同条款中指明。</w:t>
      </w:r>
    </w:p>
    <w:p w14:paraId="5E4D3C5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监理人发出的任何指示应视为已得到发包人的批准，但监理人无权免除或变更合同约定的发包人和承包人的权利、义务和责任。</w:t>
      </w:r>
    </w:p>
    <w:p w14:paraId="70A58DA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合同约定应由承包人承担的义务和责任，不因监理人对承包人提交文件的审查或批准，对工程、材料和设备的检查和检验，以及为实施监理作出的指示等职务行为而减轻或解除。</w:t>
      </w:r>
    </w:p>
    <w:p w14:paraId="7B27B693">
      <w:pPr>
        <w:numPr>
          <w:ilvl w:val="1"/>
          <w:numId w:val="4"/>
        </w:numPr>
        <w:spacing w:line="400" w:lineRule="exact"/>
        <w:ind w:left="0" w:firstLine="241" w:firstLineChars="100"/>
        <w:rPr>
          <w:rFonts w:hint="eastAsia" w:ascii="宋体" w:hAnsi="宋体" w:cs="宋体"/>
          <w:b/>
          <w:color w:val="auto"/>
          <w:sz w:val="24"/>
        </w:rPr>
      </w:pPr>
      <w:bookmarkStart w:id="380" w:name="_Toc144974603"/>
      <w:bookmarkStart w:id="381" w:name="_Toc508732972"/>
      <w:bookmarkStart w:id="382" w:name="_Toc152042413"/>
      <w:bookmarkStart w:id="383" w:name="_Toc179632653"/>
      <w:bookmarkStart w:id="384" w:name="_Toc152045635"/>
      <w:r>
        <w:rPr>
          <w:rFonts w:hint="eastAsia" w:ascii="宋体" w:hAnsi="宋体" w:cs="宋体"/>
          <w:b/>
          <w:color w:val="auto"/>
          <w:sz w:val="24"/>
        </w:rPr>
        <w:t>总监理工程师</w:t>
      </w:r>
      <w:bookmarkEnd w:id="380"/>
      <w:bookmarkEnd w:id="381"/>
      <w:bookmarkEnd w:id="382"/>
      <w:bookmarkEnd w:id="383"/>
      <w:bookmarkEnd w:id="384"/>
    </w:p>
    <w:p w14:paraId="0666430C">
      <w:pPr>
        <w:spacing w:line="400" w:lineRule="exact"/>
        <w:ind w:firstLine="440" w:firstLineChars="200"/>
        <w:rPr>
          <w:rFonts w:hint="eastAsia" w:ascii="宋体" w:hAnsi="宋体" w:cs="宋体"/>
          <w:color w:val="auto"/>
        </w:rPr>
      </w:pPr>
      <w:r>
        <w:rPr>
          <w:rFonts w:hint="eastAsia" w:ascii="宋体" w:hAnsi="宋体" w:cs="宋体"/>
          <w:color w:val="auto"/>
        </w:rPr>
        <w:t>发包人应在发出开工通知前将总监理工程师的任命通知承包人。总监理工程师更换时，应在调离14天前通知承包人。总监理工程师短期离开施工场地的，应委派代表代行其职责，并通知承包人。</w:t>
      </w:r>
    </w:p>
    <w:p w14:paraId="7211F997">
      <w:pPr>
        <w:numPr>
          <w:ilvl w:val="1"/>
          <w:numId w:val="4"/>
        </w:numPr>
        <w:spacing w:line="400" w:lineRule="exact"/>
        <w:ind w:left="0" w:firstLine="241" w:firstLineChars="100"/>
        <w:rPr>
          <w:rFonts w:hint="eastAsia" w:ascii="宋体" w:hAnsi="宋体" w:cs="宋体"/>
          <w:b/>
          <w:color w:val="auto"/>
          <w:sz w:val="24"/>
        </w:rPr>
      </w:pPr>
      <w:bookmarkStart w:id="385" w:name="_Toc152045636"/>
      <w:bookmarkStart w:id="386" w:name="_Toc179632654"/>
      <w:bookmarkStart w:id="387" w:name="_Toc152042414"/>
      <w:bookmarkStart w:id="388" w:name="_Toc144974604"/>
      <w:bookmarkStart w:id="389" w:name="_Toc508732973"/>
      <w:r>
        <w:rPr>
          <w:rFonts w:hint="eastAsia" w:ascii="宋体" w:hAnsi="宋体" w:cs="宋体"/>
          <w:b/>
          <w:color w:val="auto"/>
          <w:sz w:val="24"/>
        </w:rPr>
        <w:t>监理人员</w:t>
      </w:r>
      <w:bookmarkEnd w:id="385"/>
      <w:bookmarkEnd w:id="386"/>
      <w:bookmarkEnd w:id="387"/>
      <w:bookmarkEnd w:id="388"/>
      <w:bookmarkEnd w:id="389"/>
    </w:p>
    <w:p w14:paraId="0E407A8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82B6E2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监理人员对承包人的任何工作、工程或其采用的材料和工程设备未在约定的或合理的期限内提出否定意见的，视为已获批准，但不影响监理人在以后拒绝该项工作、工程、材料或工程设备的权利。</w:t>
      </w:r>
    </w:p>
    <w:p w14:paraId="02DAC7E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承包人对总监理工程师授权的监理人员发出的指示有疑问的，可向总监理工程师提出书面异议，总监理工程师应在48小时内对该指示予以确认、更改或撤销。</w:t>
      </w:r>
    </w:p>
    <w:p w14:paraId="1C03DB0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除专用合同条款另有约定外，总监理工程师不应将第3.5款约定应由总监理工程师作出确定的权力授权或委托给其他监理人员。</w:t>
      </w:r>
    </w:p>
    <w:p w14:paraId="342EB845">
      <w:pPr>
        <w:numPr>
          <w:ilvl w:val="1"/>
          <w:numId w:val="4"/>
        </w:numPr>
        <w:spacing w:line="400" w:lineRule="exact"/>
        <w:ind w:left="0" w:firstLine="241" w:firstLineChars="100"/>
        <w:rPr>
          <w:rFonts w:hint="eastAsia" w:ascii="宋体" w:hAnsi="宋体" w:cs="宋体"/>
          <w:b/>
          <w:color w:val="auto"/>
          <w:sz w:val="24"/>
        </w:rPr>
      </w:pPr>
      <w:bookmarkStart w:id="390" w:name="_Toc508732974"/>
      <w:bookmarkStart w:id="391" w:name="_Toc179632655"/>
      <w:bookmarkStart w:id="392" w:name="_Toc144974605"/>
      <w:bookmarkStart w:id="393" w:name="_Toc152042415"/>
      <w:bookmarkStart w:id="394" w:name="_Toc152045637"/>
      <w:r>
        <w:rPr>
          <w:rFonts w:hint="eastAsia" w:ascii="宋体" w:hAnsi="宋体" w:cs="宋体"/>
          <w:b/>
          <w:color w:val="auto"/>
          <w:sz w:val="24"/>
        </w:rPr>
        <w:t>监理人的指示</w:t>
      </w:r>
      <w:bookmarkEnd w:id="390"/>
      <w:bookmarkEnd w:id="391"/>
      <w:bookmarkEnd w:id="392"/>
      <w:bookmarkEnd w:id="393"/>
      <w:bookmarkEnd w:id="394"/>
    </w:p>
    <w:p w14:paraId="7A7BF69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监理人应按第3.1款的约定向承包人发出指示，监理人的指示应盖有监理人授权的施工场地机构章，并由总监理工程师或总监理工程师按第3.3.1项约定授权的监理人员签字。</w:t>
      </w:r>
    </w:p>
    <w:p w14:paraId="3954438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承包人收到监理人按第3.4.1项作出的指示后应遵照执行。指示构成变更的，应按第15条处理。</w:t>
      </w:r>
    </w:p>
    <w:p w14:paraId="38BAA52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2910F6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除合同另有约定外，承包人只从总监理工程师或按第3.3.1项被授权的监理人员处取得指示。</w:t>
      </w:r>
    </w:p>
    <w:p w14:paraId="50B8E95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由于监理人未能按合同约定发出指示、指示延误或指示错误而导致承包人费用增加和（或）工期延误的，由发包人承担赔偿责任。 </w:t>
      </w:r>
    </w:p>
    <w:p w14:paraId="42629B75">
      <w:pPr>
        <w:numPr>
          <w:ilvl w:val="1"/>
          <w:numId w:val="4"/>
        </w:numPr>
        <w:spacing w:line="400" w:lineRule="exact"/>
        <w:ind w:left="0" w:firstLine="241" w:firstLineChars="100"/>
        <w:rPr>
          <w:rFonts w:hint="eastAsia" w:ascii="宋体" w:hAnsi="宋体" w:cs="宋体"/>
          <w:b/>
          <w:color w:val="auto"/>
          <w:sz w:val="24"/>
        </w:rPr>
      </w:pPr>
      <w:bookmarkStart w:id="395" w:name="_Toc144974606"/>
      <w:bookmarkStart w:id="396" w:name="_Toc508732975"/>
      <w:bookmarkStart w:id="397" w:name="_Toc179632656"/>
      <w:bookmarkStart w:id="398" w:name="_Toc152045638"/>
      <w:bookmarkStart w:id="399" w:name="_Toc152042416"/>
      <w:r>
        <w:rPr>
          <w:rFonts w:hint="eastAsia" w:ascii="宋体" w:hAnsi="宋体" w:cs="宋体"/>
          <w:b/>
          <w:color w:val="auto"/>
          <w:sz w:val="24"/>
        </w:rPr>
        <w:t>商定或确定</w:t>
      </w:r>
      <w:bookmarkEnd w:id="395"/>
      <w:bookmarkEnd w:id="396"/>
      <w:bookmarkEnd w:id="397"/>
      <w:bookmarkEnd w:id="398"/>
      <w:bookmarkEnd w:id="399"/>
    </w:p>
    <w:p w14:paraId="3552A4B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合同约定总监理工程师应按照本款对任何事项进行商定或确定时，总监理工程师应与合同当事人协商，尽量达成一致。不能达成一致的，总监理工程师应认真研究后审慎确定。</w:t>
      </w:r>
    </w:p>
    <w:p w14:paraId="5839DAA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034B52E7">
      <w:pPr>
        <w:pStyle w:val="75"/>
        <w:numPr>
          <w:ilvl w:val="0"/>
          <w:numId w:val="4"/>
        </w:numPr>
        <w:spacing w:before="0"/>
        <w:ind w:left="0" w:firstLine="0"/>
        <w:outlineLvl w:val="9"/>
        <w:rPr>
          <w:rFonts w:hint="eastAsia" w:ascii="宋体" w:hAnsi="宋体" w:eastAsia="宋体"/>
          <w:b/>
          <w:bCs/>
          <w:color w:val="auto"/>
          <w:sz w:val="24"/>
          <w:szCs w:val="24"/>
        </w:rPr>
      </w:pPr>
      <w:bookmarkStart w:id="400" w:name="_Toc179632657"/>
      <w:bookmarkStart w:id="401" w:name="_Toc144974607"/>
      <w:bookmarkStart w:id="402" w:name="_Toc152042417"/>
      <w:bookmarkStart w:id="403" w:name="_Toc58398560"/>
      <w:bookmarkStart w:id="404" w:name="_Toc14188"/>
      <w:bookmarkStart w:id="405" w:name="_Toc15574"/>
      <w:bookmarkStart w:id="406" w:name="_Toc152045639"/>
      <w:r>
        <w:rPr>
          <w:rFonts w:hint="eastAsia" w:ascii="宋体" w:hAnsi="宋体" w:eastAsia="宋体"/>
          <w:b/>
          <w:bCs/>
          <w:color w:val="auto"/>
          <w:sz w:val="24"/>
          <w:szCs w:val="24"/>
        </w:rPr>
        <w:t>承包人</w:t>
      </w:r>
      <w:bookmarkEnd w:id="400"/>
      <w:bookmarkEnd w:id="401"/>
      <w:bookmarkEnd w:id="402"/>
      <w:bookmarkEnd w:id="403"/>
      <w:bookmarkEnd w:id="404"/>
      <w:bookmarkEnd w:id="405"/>
      <w:bookmarkEnd w:id="406"/>
    </w:p>
    <w:p w14:paraId="6ED27C8F">
      <w:pPr>
        <w:numPr>
          <w:ilvl w:val="1"/>
          <w:numId w:val="4"/>
        </w:numPr>
        <w:spacing w:line="400" w:lineRule="exact"/>
        <w:ind w:left="0" w:firstLine="241" w:firstLineChars="100"/>
        <w:rPr>
          <w:rFonts w:hint="eastAsia" w:ascii="宋体" w:hAnsi="宋体" w:cs="宋体"/>
          <w:b/>
          <w:color w:val="auto"/>
          <w:sz w:val="24"/>
        </w:rPr>
      </w:pPr>
      <w:bookmarkStart w:id="407" w:name="_Toc152045640"/>
      <w:bookmarkStart w:id="408" w:name="_Toc144974608"/>
      <w:bookmarkStart w:id="409" w:name="_Toc179632658"/>
      <w:bookmarkStart w:id="410" w:name="_Toc508732977"/>
      <w:bookmarkStart w:id="411" w:name="_Toc152042418"/>
      <w:r>
        <w:rPr>
          <w:rFonts w:hint="eastAsia" w:ascii="宋体" w:hAnsi="宋体" w:cs="宋体"/>
          <w:b/>
          <w:color w:val="auto"/>
          <w:sz w:val="24"/>
        </w:rPr>
        <w:t>承包人的一般义务</w:t>
      </w:r>
      <w:bookmarkEnd w:id="407"/>
      <w:bookmarkEnd w:id="408"/>
      <w:bookmarkEnd w:id="409"/>
      <w:bookmarkEnd w:id="410"/>
      <w:bookmarkEnd w:id="411"/>
    </w:p>
    <w:p w14:paraId="2C43263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遵守法律</w:t>
      </w:r>
    </w:p>
    <w:p w14:paraId="78E220D2">
      <w:pPr>
        <w:spacing w:line="400" w:lineRule="exact"/>
        <w:ind w:firstLine="440" w:firstLineChars="200"/>
        <w:rPr>
          <w:rFonts w:hint="eastAsia" w:ascii="宋体" w:hAnsi="宋体" w:cs="宋体"/>
          <w:color w:val="auto"/>
        </w:rPr>
      </w:pPr>
      <w:r>
        <w:rPr>
          <w:rFonts w:hint="eastAsia" w:ascii="宋体" w:hAnsi="宋体" w:cs="宋体"/>
          <w:color w:val="auto"/>
        </w:rPr>
        <w:t>承包人在履行合同过程中应遵守法律，并保证发包人免于承担因承包人违反法律而引起的任何责任。</w:t>
      </w:r>
    </w:p>
    <w:p w14:paraId="59AFDB7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依法纳税</w:t>
      </w:r>
    </w:p>
    <w:p w14:paraId="0AD97DEF">
      <w:pPr>
        <w:spacing w:line="400" w:lineRule="exact"/>
        <w:ind w:firstLine="440" w:firstLineChars="200"/>
        <w:rPr>
          <w:rFonts w:hint="eastAsia" w:ascii="宋体" w:hAnsi="宋体" w:cs="宋体"/>
          <w:color w:val="auto"/>
        </w:rPr>
      </w:pPr>
      <w:r>
        <w:rPr>
          <w:rFonts w:hint="eastAsia" w:ascii="宋体" w:hAnsi="宋体" w:cs="宋体"/>
          <w:color w:val="auto"/>
        </w:rPr>
        <w:t>承包人应按有关法律规定纳税，应缴纳的税金包括在合同价格内。</w:t>
      </w:r>
    </w:p>
    <w:p w14:paraId="45A9C20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完成各项承包工作</w:t>
      </w:r>
    </w:p>
    <w:p w14:paraId="5B9FD398">
      <w:pPr>
        <w:spacing w:line="400" w:lineRule="exact"/>
        <w:ind w:firstLine="440" w:firstLineChars="200"/>
        <w:rPr>
          <w:rFonts w:hint="eastAsia" w:ascii="宋体" w:hAnsi="宋体" w:cs="宋体"/>
          <w:color w:val="auto"/>
        </w:rPr>
      </w:pPr>
      <w:r>
        <w:rPr>
          <w:rFonts w:hint="eastAsia" w:ascii="宋体" w:hAnsi="宋体" w:cs="宋体"/>
          <w:color w:val="auto"/>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1F33C3F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对施工作业和施工方法的完备性负责</w:t>
      </w:r>
    </w:p>
    <w:p w14:paraId="67EF31BB">
      <w:pPr>
        <w:spacing w:line="400" w:lineRule="exact"/>
        <w:ind w:firstLine="440" w:firstLineChars="200"/>
        <w:rPr>
          <w:rFonts w:hint="eastAsia" w:ascii="宋体" w:hAnsi="宋体" w:cs="宋体"/>
          <w:color w:val="auto"/>
        </w:rPr>
      </w:pPr>
      <w:r>
        <w:rPr>
          <w:rFonts w:hint="eastAsia" w:ascii="宋体" w:hAnsi="宋体" w:cs="宋体"/>
          <w:color w:val="auto"/>
        </w:rPr>
        <w:t>承包人应按合同约定的工作内容和施工进度要求，编制施工组织设计和施工措施计划，并对所有施工作业和施工方法的完备性和安全可靠性负责。</w:t>
      </w:r>
    </w:p>
    <w:p w14:paraId="6F64928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保证工程施工和人员的安全</w:t>
      </w:r>
    </w:p>
    <w:p w14:paraId="668FACC7">
      <w:pPr>
        <w:spacing w:line="400" w:lineRule="exact"/>
        <w:ind w:firstLine="440" w:firstLineChars="200"/>
        <w:rPr>
          <w:rFonts w:hint="eastAsia" w:ascii="宋体" w:hAnsi="宋体" w:cs="宋体"/>
          <w:color w:val="auto"/>
        </w:rPr>
      </w:pPr>
      <w:r>
        <w:rPr>
          <w:rFonts w:hint="eastAsia" w:ascii="宋体" w:hAnsi="宋体" w:cs="宋体"/>
          <w:color w:val="auto"/>
        </w:rPr>
        <w:t>承包人应按第9.2款约定采取施工安全措施，确保工程及其人员、材料、设备和设施的安全，防止因工程施工造成的人身伤害和财产损失。</w:t>
      </w:r>
    </w:p>
    <w:p w14:paraId="5920735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负责施工场地及其周边环境与生态的保护工作</w:t>
      </w:r>
    </w:p>
    <w:p w14:paraId="28914893">
      <w:pPr>
        <w:spacing w:line="400" w:lineRule="exact"/>
        <w:ind w:firstLine="440" w:firstLineChars="200"/>
        <w:rPr>
          <w:rFonts w:hint="eastAsia" w:ascii="宋体" w:hAnsi="宋体" w:cs="宋体"/>
          <w:color w:val="auto"/>
        </w:rPr>
      </w:pPr>
      <w:r>
        <w:rPr>
          <w:rFonts w:hint="eastAsia" w:ascii="宋体" w:hAnsi="宋体" w:cs="宋体"/>
          <w:color w:val="auto"/>
        </w:rPr>
        <w:t>承包人应按照第9.4款约定负责施工场地及其周边环境与生态的保护工作。</w:t>
      </w:r>
    </w:p>
    <w:p w14:paraId="742288D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避免施工对公众与他人的利益造成损害</w:t>
      </w:r>
    </w:p>
    <w:p w14:paraId="79D224B4">
      <w:pPr>
        <w:spacing w:line="400" w:lineRule="exact"/>
        <w:ind w:firstLine="440" w:firstLineChars="200"/>
        <w:rPr>
          <w:rFonts w:hint="eastAsia" w:ascii="宋体" w:hAnsi="宋体" w:cs="宋体"/>
          <w:color w:val="auto"/>
        </w:rPr>
      </w:pPr>
      <w:r>
        <w:rPr>
          <w:rFonts w:hint="eastAsia" w:ascii="宋体" w:hAnsi="宋体" w:cs="宋体"/>
          <w:color w:val="auto"/>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B5EBF2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为他人提供方便</w:t>
      </w:r>
    </w:p>
    <w:p w14:paraId="69984F68">
      <w:pPr>
        <w:spacing w:line="400" w:lineRule="exact"/>
        <w:ind w:firstLine="440" w:firstLineChars="200"/>
        <w:rPr>
          <w:rFonts w:hint="eastAsia" w:ascii="宋体" w:hAnsi="宋体" w:cs="宋体"/>
          <w:color w:val="auto"/>
        </w:rPr>
      </w:pPr>
      <w:r>
        <w:rPr>
          <w:rFonts w:hint="eastAsia" w:ascii="宋体" w:hAnsi="宋体" w:cs="宋体"/>
          <w:color w:val="auto"/>
        </w:rPr>
        <w:t>承包人应按监理人的指示为他人在施工场地或附近实施与工程有关的其他各项工作提供可能的条件。除合同另有约定外，提供有关条件的内容和可能发生的费用，由监理人按第3.5款商定或确定。</w:t>
      </w:r>
    </w:p>
    <w:p w14:paraId="675A3DD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工程的维护和照管</w:t>
      </w:r>
    </w:p>
    <w:p w14:paraId="212C8AFA">
      <w:pPr>
        <w:spacing w:line="400" w:lineRule="exact"/>
        <w:ind w:firstLine="440" w:firstLineChars="200"/>
        <w:rPr>
          <w:rFonts w:hint="eastAsia" w:ascii="宋体" w:hAnsi="宋体" w:cs="宋体"/>
          <w:color w:val="auto"/>
        </w:rPr>
      </w:pPr>
      <w:r>
        <w:rPr>
          <w:rFonts w:hint="eastAsia" w:ascii="宋体" w:hAnsi="宋体" w:cs="宋体"/>
          <w:color w:val="auto"/>
        </w:rPr>
        <w:t>工程接收证书颁发前，承包人应负责照管和维护工程。工程接收证书颁发时尚有部分未竣工工程的，承包人还应负责该未竣工工程的照管和维护工作，直至竣工后移交给发包人为止。</w:t>
      </w:r>
    </w:p>
    <w:p w14:paraId="4736ABD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其他义务</w:t>
      </w:r>
    </w:p>
    <w:p w14:paraId="57B467A6">
      <w:pPr>
        <w:spacing w:line="400" w:lineRule="exact"/>
        <w:ind w:firstLine="440" w:firstLineChars="200"/>
        <w:rPr>
          <w:rFonts w:hint="eastAsia" w:ascii="宋体" w:hAnsi="宋体" w:cs="宋体"/>
          <w:color w:val="auto"/>
        </w:rPr>
      </w:pPr>
      <w:r>
        <w:rPr>
          <w:rFonts w:hint="eastAsia" w:ascii="宋体" w:hAnsi="宋体" w:cs="宋体"/>
          <w:color w:val="auto"/>
        </w:rPr>
        <w:t>承包人应履行合同约定的其他义务。</w:t>
      </w:r>
    </w:p>
    <w:p w14:paraId="25AE55BC">
      <w:pPr>
        <w:numPr>
          <w:ilvl w:val="1"/>
          <w:numId w:val="4"/>
        </w:numPr>
        <w:spacing w:line="400" w:lineRule="exact"/>
        <w:ind w:left="0" w:firstLine="241" w:firstLineChars="100"/>
        <w:rPr>
          <w:rFonts w:hint="eastAsia" w:ascii="宋体" w:hAnsi="宋体" w:cs="宋体"/>
          <w:b/>
          <w:color w:val="auto"/>
          <w:sz w:val="24"/>
        </w:rPr>
      </w:pPr>
      <w:bookmarkStart w:id="412" w:name="_Toc144974609"/>
      <w:bookmarkStart w:id="413" w:name="_Toc152042419"/>
      <w:bookmarkStart w:id="414" w:name="_Toc152045641"/>
      <w:bookmarkStart w:id="415" w:name="_Toc179632659"/>
      <w:bookmarkStart w:id="416" w:name="_Toc508732978"/>
      <w:r>
        <w:rPr>
          <w:rFonts w:hint="eastAsia" w:ascii="宋体" w:hAnsi="宋体" w:cs="宋体"/>
          <w:b/>
          <w:color w:val="auto"/>
          <w:sz w:val="24"/>
        </w:rPr>
        <w:t>履约担保</w:t>
      </w:r>
      <w:bookmarkEnd w:id="412"/>
      <w:bookmarkEnd w:id="413"/>
      <w:bookmarkEnd w:id="414"/>
      <w:bookmarkEnd w:id="415"/>
      <w:bookmarkEnd w:id="416"/>
    </w:p>
    <w:p w14:paraId="49EC169C">
      <w:pPr>
        <w:spacing w:line="400" w:lineRule="exact"/>
        <w:ind w:firstLine="440" w:firstLineChars="200"/>
        <w:rPr>
          <w:rFonts w:hint="eastAsia" w:ascii="宋体" w:hAnsi="宋体" w:cs="宋体"/>
          <w:color w:val="auto"/>
        </w:rPr>
      </w:pPr>
      <w:r>
        <w:rPr>
          <w:rFonts w:hint="eastAsia" w:ascii="宋体" w:hAnsi="宋体" w:cs="宋体"/>
          <w:color w:val="auto"/>
        </w:rPr>
        <w:t>承包人应保证其履约担保在发包人颁发工程接收证书前一直有效。发包人应在工程接收证书颁发后28天内把履约担保退还给承包人。</w:t>
      </w:r>
    </w:p>
    <w:p w14:paraId="696F7E1E">
      <w:pPr>
        <w:numPr>
          <w:ilvl w:val="1"/>
          <w:numId w:val="4"/>
        </w:numPr>
        <w:spacing w:line="400" w:lineRule="exact"/>
        <w:ind w:left="0" w:firstLine="241" w:firstLineChars="100"/>
        <w:rPr>
          <w:rFonts w:hint="eastAsia" w:ascii="宋体" w:hAnsi="宋体" w:cs="宋体"/>
          <w:b/>
          <w:color w:val="auto"/>
          <w:sz w:val="24"/>
        </w:rPr>
      </w:pPr>
      <w:bookmarkStart w:id="417" w:name="_Toc144974610"/>
      <w:bookmarkStart w:id="418" w:name="_Toc179632660"/>
      <w:bookmarkStart w:id="419" w:name="_Toc152045642"/>
      <w:bookmarkStart w:id="420" w:name="_Toc508732979"/>
      <w:bookmarkStart w:id="421" w:name="_Toc152042420"/>
      <w:r>
        <w:rPr>
          <w:rFonts w:hint="eastAsia" w:ascii="宋体" w:hAnsi="宋体" w:cs="宋体"/>
          <w:b/>
          <w:color w:val="auto"/>
          <w:sz w:val="24"/>
        </w:rPr>
        <w:t>分包</w:t>
      </w:r>
      <w:bookmarkEnd w:id="417"/>
      <w:bookmarkEnd w:id="418"/>
      <w:bookmarkEnd w:id="419"/>
      <w:bookmarkEnd w:id="420"/>
      <w:bookmarkEnd w:id="421"/>
    </w:p>
    <w:p w14:paraId="1740D78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承包人不得将其承包的全部工程转包给第三人，或将其承包的全部工程肢解后以分包的名义转包给第三人。</w:t>
      </w:r>
    </w:p>
    <w:p w14:paraId="6D2AB7E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承包人不得将工程主体、关键性工作分包给第三人。除专用合同条款另有约定外，未经发包人同意，承包人不得将工程的其他部分或工作分包给第三人。</w:t>
      </w:r>
    </w:p>
    <w:p w14:paraId="263C3EB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分包人的资格能力应与其分包工程的标准和规模相适应。</w:t>
      </w:r>
    </w:p>
    <w:p w14:paraId="025D884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按投标函附录约定分包工程的，承包人应向发包人和监理人提交分包合同副本。</w:t>
      </w:r>
    </w:p>
    <w:p w14:paraId="177D04E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承包人应与分包人就分包工程向发包人承担连带责任。</w:t>
      </w:r>
    </w:p>
    <w:p w14:paraId="6C9CC35E">
      <w:pPr>
        <w:numPr>
          <w:ilvl w:val="1"/>
          <w:numId w:val="4"/>
        </w:numPr>
        <w:spacing w:line="400" w:lineRule="exact"/>
        <w:ind w:left="0" w:firstLine="241" w:firstLineChars="100"/>
        <w:rPr>
          <w:rFonts w:hint="eastAsia" w:ascii="宋体" w:hAnsi="宋体" w:cs="宋体"/>
          <w:b/>
          <w:color w:val="auto"/>
          <w:sz w:val="24"/>
        </w:rPr>
      </w:pPr>
      <w:bookmarkStart w:id="422" w:name="_Toc144974611"/>
      <w:bookmarkStart w:id="423" w:name="_Toc179632661"/>
      <w:bookmarkStart w:id="424" w:name="_Toc508732980"/>
      <w:bookmarkStart w:id="425" w:name="_Toc152042421"/>
      <w:bookmarkStart w:id="426" w:name="_Toc152045643"/>
      <w:r>
        <w:rPr>
          <w:rFonts w:hint="eastAsia" w:ascii="宋体" w:hAnsi="宋体" w:cs="宋体"/>
          <w:b/>
          <w:color w:val="auto"/>
          <w:sz w:val="24"/>
        </w:rPr>
        <w:t>联合体</w:t>
      </w:r>
      <w:bookmarkEnd w:id="422"/>
      <w:bookmarkEnd w:id="423"/>
      <w:bookmarkEnd w:id="424"/>
      <w:bookmarkEnd w:id="425"/>
      <w:bookmarkEnd w:id="426"/>
    </w:p>
    <w:p w14:paraId="58BC5E6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联合体各方应共同与发包人签订合同协议书。联合体各方应为履行合同承担连带责任。</w:t>
      </w:r>
    </w:p>
    <w:p w14:paraId="426CC7B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联合体协议经发包人确认后作为合同附件。在履行合同过程中，未经发包人同意，不得修改联合体协议。</w:t>
      </w:r>
    </w:p>
    <w:p w14:paraId="73BD211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联合体牵头人负责与发包人和监理人联系，并接受指示，负责组织联合体各成员全面履行合同。</w:t>
      </w:r>
    </w:p>
    <w:p w14:paraId="79740C46">
      <w:pPr>
        <w:numPr>
          <w:ilvl w:val="1"/>
          <w:numId w:val="4"/>
        </w:numPr>
        <w:spacing w:line="400" w:lineRule="exact"/>
        <w:ind w:left="0" w:firstLine="241" w:firstLineChars="100"/>
        <w:rPr>
          <w:rFonts w:hint="eastAsia" w:ascii="宋体" w:hAnsi="宋体" w:cs="宋体"/>
          <w:b/>
          <w:color w:val="auto"/>
          <w:sz w:val="24"/>
        </w:rPr>
      </w:pPr>
      <w:bookmarkStart w:id="427" w:name="_Toc179632662"/>
      <w:bookmarkStart w:id="428" w:name="_Toc144974612"/>
      <w:bookmarkStart w:id="429" w:name="_Toc508732981"/>
      <w:bookmarkStart w:id="430" w:name="_Toc152042422"/>
      <w:bookmarkStart w:id="431" w:name="_Toc152045644"/>
      <w:r>
        <w:rPr>
          <w:rFonts w:hint="eastAsia" w:ascii="宋体" w:hAnsi="宋体" w:cs="宋体"/>
          <w:b/>
          <w:color w:val="auto"/>
          <w:sz w:val="24"/>
        </w:rPr>
        <w:t>承包人项目经理</w:t>
      </w:r>
      <w:bookmarkEnd w:id="427"/>
      <w:bookmarkEnd w:id="428"/>
      <w:bookmarkEnd w:id="429"/>
      <w:bookmarkEnd w:id="430"/>
      <w:bookmarkEnd w:id="431"/>
    </w:p>
    <w:p w14:paraId="1A35082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7EAE5C3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0F339F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承包人为履行合同发出的一切函件均应盖有承包人授权的施工场地管理机构章，并由承包人项目经理或其授权代表签字。</w:t>
      </w:r>
    </w:p>
    <w:p w14:paraId="34D944C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承包人项目经理可以授权其下属人员履行其某项职责，但事先应将这些人员的姓名和授权范围通知监理人。</w:t>
      </w:r>
    </w:p>
    <w:p w14:paraId="54D49804">
      <w:pPr>
        <w:numPr>
          <w:ilvl w:val="1"/>
          <w:numId w:val="4"/>
        </w:numPr>
        <w:spacing w:line="400" w:lineRule="exact"/>
        <w:ind w:left="0" w:firstLine="241" w:firstLineChars="100"/>
        <w:rPr>
          <w:rFonts w:hint="eastAsia" w:ascii="宋体" w:hAnsi="宋体" w:cs="宋体"/>
          <w:b/>
          <w:color w:val="auto"/>
          <w:sz w:val="24"/>
        </w:rPr>
      </w:pPr>
      <w:bookmarkStart w:id="432" w:name="_Toc144974613"/>
      <w:bookmarkStart w:id="433" w:name="_Toc508732982"/>
      <w:bookmarkStart w:id="434" w:name="_Toc152045645"/>
      <w:bookmarkStart w:id="435" w:name="_Toc152042423"/>
      <w:bookmarkStart w:id="436" w:name="_Toc179632663"/>
      <w:r>
        <w:rPr>
          <w:rFonts w:hint="eastAsia" w:ascii="宋体" w:hAnsi="宋体" w:cs="宋体"/>
          <w:b/>
          <w:color w:val="auto"/>
          <w:sz w:val="24"/>
        </w:rPr>
        <w:t>承包人人员的管理</w:t>
      </w:r>
      <w:bookmarkEnd w:id="432"/>
      <w:bookmarkEnd w:id="433"/>
      <w:bookmarkEnd w:id="434"/>
      <w:bookmarkEnd w:id="435"/>
      <w:bookmarkEnd w:id="436"/>
    </w:p>
    <w:p w14:paraId="421E7B1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59ACDC4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为完成合同约定的各项工作，承包人应向施工场地派遣或雇佣足够数量的下列人员：</w:t>
      </w:r>
    </w:p>
    <w:p w14:paraId="3403E65B">
      <w:pPr>
        <w:numPr>
          <w:ilvl w:val="0"/>
          <w:numId w:val="6"/>
        </w:numPr>
        <w:spacing w:line="400" w:lineRule="exact"/>
        <w:ind w:left="0" w:firstLine="440" w:firstLineChars="200"/>
        <w:rPr>
          <w:rFonts w:hint="eastAsia" w:ascii="宋体" w:hAnsi="宋体" w:cs="宋体"/>
          <w:color w:val="auto"/>
        </w:rPr>
      </w:pPr>
      <w:r>
        <w:rPr>
          <w:rFonts w:hint="eastAsia" w:ascii="宋体" w:hAnsi="宋体" w:cs="宋体"/>
          <w:color w:val="auto"/>
        </w:rPr>
        <w:t>具有相应资格的专业技工和合格的普工；</w:t>
      </w:r>
    </w:p>
    <w:p w14:paraId="3DAE3E38">
      <w:pPr>
        <w:numPr>
          <w:ilvl w:val="0"/>
          <w:numId w:val="6"/>
        </w:numPr>
        <w:spacing w:line="400" w:lineRule="exact"/>
        <w:ind w:left="0" w:firstLine="440" w:firstLineChars="200"/>
        <w:rPr>
          <w:rFonts w:hint="eastAsia" w:ascii="宋体" w:hAnsi="宋体" w:cs="宋体"/>
          <w:color w:val="auto"/>
        </w:rPr>
      </w:pPr>
      <w:r>
        <w:rPr>
          <w:rFonts w:hint="eastAsia" w:ascii="宋体" w:hAnsi="宋体" w:cs="宋体"/>
          <w:color w:val="auto"/>
        </w:rPr>
        <w:t>具有相应施工经验的技术人员；</w:t>
      </w:r>
    </w:p>
    <w:p w14:paraId="28784BD0">
      <w:pPr>
        <w:numPr>
          <w:ilvl w:val="0"/>
          <w:numId w:val="6"/>
        </w:numPr>
        <w:spacing w:line="400" w:lineRule="exact"/>
        <w:ind w:left="0" w:firstLine="440" w:firstLineChars="200"/>
        <w:rPr>
          <w:rFonts w:hint="eastAsia" w:ascii="宋体" w:hAnsi="宋体" w:cs="宋体"/>
          <w:color w:val="auto"/>
        </w:rPr>
      </w:pPr>
      <w:r>
        <w:rPr>
          <w:rFonts w:hint="eastAsia" w:ascii="宋体" w:hAnsi="宋体" w:cs="宋体"/>
          <w:color w:val="auto"/>
        </w:rPr>
        <w:t>具有相应岗位资格的各级管理人员。</w:t>
      </w:r>
    </w:p>
    <w:p w14:paraId="4AED2D9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承包人安排在施工场地的主要管理人员和技术骨干应相对稳定。承包人更换主要管理人员和技术骨干时，应取得监理人的同意。</w:t>
      </w:r>
    </w:p>
    <w:p w14:paraId="474B9E7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特殊岗位的工作人员均应持有相应的资格证明，监理人有权随时检查。监理人认为有必要时，可进行现场考核。</w:t>
      </w:r>
    </w:p>
    <w:p w14:paraId="05E9E4CC">
      <w:pPr>
        <w:numPr>
          <w:ilvl w:val="1"/>
          <w:numId w:val="4"/>
        </w:numPr>
        <w:spacing w:line="400" w:lineRule="exact"/>
        <w:ind w:left="0" w:firstLine="241" w:firstLineChars="100"/>
        <w:rPr>
          <w:rFonts w:hint="eastAsia" w:ascii="宋体" w:hAnsi="宋体" w:cs="宋体"/>
          <w:b/>
          <w:color w:val="auto"/>
          <w:sz w:val="24"/>
        </w:rPr>
      </w:pPr>
      <w:bookmarkStart w:id="437" w:name="_Toc179632664"/>
      <w:bookmarkStart w:id="438" w:name="_Toc144974614"/>
      <w:bookmarkStart w:id="439" w:name="_Toc152045646"/>
      <w:bookmarkStart w:id="440" w:name="_Toc508732983"/>
      <w:bookmarkStart w:id="441" w:name="_Toc152042424"/>
      <w:r>
        <w:rPr>
          <w:rFonts w:hint="eastAsia" w:ascii="宋体" w:hAnsi="宋体" w:cs="宋体"/>
          <w:b/>
          <w:color w:val="auto"/>
          <w:sz w:val="24"/>
        </w:rPr>
        <w:t>撤换承包人项目经理和其他人员</w:t>
      </w:r>
      <w:bookmarkEnd w:id="437"/>
      <w:bookmarkEnd w:id="438"/>
      <w:bookmarkEnd w:id="439"/>
      <w:bookmarkEnd w:id="440"/>
      <w:bookmarkEnd w:id="441"/>
    </w:p>
    <w:p w14:paraId="7A2B3F73">
      <w:pPr>
        <w:spacing w:line="400" w:lineRule="exact"/>
        <w:ind w:firstLine="440" w:firstLineChars="200"/>
        <w:rPr>
          <w:rFonts w:hint="eastAsia" w:ascii="宋体" w:hAnsi="宋体" w:cs="宋体"/>
          <w:color w:val="auto"/>
        </w:rPr>
      </w:pPr>
      <w:r>
        <w:rPr>
          <w:rFonts w:hint="eastAsia" w:ascii="宋体" w:hAnsi="宋体" w:cs="宋体"/>
          <w:color w:val="auto"/>
        </w:rPr>
        <w:t>承包人应对其项目经理和其他人员进行有效管理。监理人要求撤换不能胜任本职工作、行为不端或玩忽职守的承包人项目经理和其他人员的，承包人应予以撤换。</w:t>
      </w:r>
    </w:p>
    <w:p w14:paraId="0CEEB66C">
      <w:pPr>
        <w:numPr>
          <w:ilvl w:val="1"/>
          <w:numId w:val="4"/>
        </w:numPr>
        <w:spacing w:line="400" w:lineRule="exact"/>
        <w:ind w:left="0" w:firstLine="241" w:firstLineChars="100"/>
        <w:rPr>
          <w:rFonts w:hint="eastAsia" w:ascii="宋体" w:hAnsi="宋体" w:cs="宋体"/>
          <w:b/>
          <w:color w:val="auto"/>
          <w:sz w:val="24"/>
        </w:rPr>
      </w:pPr>
      <w:bookmarkStart w:id="442" w:name="_Toc179632665"/>
      <w:bookmarkStart w:id="443" w:name="_Toc508732984"/>
      <w:bookmarkStart w:id="444" w:name="_Toc152042425"/>
      <w:bookmarkStart w:id="445" w:name="_Toc152045647"/>
      <w:bookmarkStart w:id="446" w:name="_Toc144974615"/>
      <w:r>
        <w:rPr>
          <w:rFonts w:hint="eastAsia" w:ascii="宋体" w:hAnsi="宋体" w:cs="宋体"/>
          <w:b/>
          <w:color w:val="auto"/>
          <w:sz w:val="24"/>
        </w:rPr>
        <w:t>保障承包人人员的合法权益</w:t>
      </w:r>
      <w:bookmarkEnd w:id="442"/>
      <w:bookmarkEnd w:id="443"/>
      <w:bookmarkEnd w:id="444"/>
      <w:bookmarkEnd w:id="445"/>
      <w:bookmarkEnd w:id="446"/>
    </w:p>
    <w:p w14:paraId="248B5B6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承包人应与其雇佣的人员签订劳动合同，并按时发放工资。</w:t>
      </w:r>
    </w:p>
    <w:p w14:paraId="50DC895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承包人应按劳动法的规定安排工作时间，保证其雇佣人员享有休息和休假的权利。因工程施工的特殊需要占用休假日或延长工作时间的，应不超过法律规定的限度，并按法律规定给予补休或付酬。</w:t>
      </w:r>
    </w:p>
    <w:p w14:paraId="3E9B089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承包人应为其雇佣人员提供必要的食宿条件，以及符合环境保护和卫生要求的生活环境，在远离城镇的施工场地，还应配备必要的伤病防治和急救的医务人员与医疗设施。</w:t>
      </w:r>
    </w:p>
    <w:p w14:paraId="74D05B7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国家有关劳动保护的规定，采取有效地防止粉尘、降低噪声、控制有害气体和保障高温、高寒、高空作业安全等劳动保护措施。其雇佣人员在施工中受到伤害的，承包人应立即采取有效措施进行抢救和治疗。</w:t>
      </w:r>
    </w:p>
    <w:p w14:paraId="664E281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承包人应按有关法律规定和合同约定，为其雇佣人员办理保险。</w:t>
      </w:r>
    </w:p>
    <w:p w14:paraId="39860E9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包人应负责处理其雇佣人员</w:t>
      </w:r>
      <w:r>
        <w:rPr>
          <w:rFonts w:hint="eastAsia" w:ascii="宋体" w:hAnsi="宋体" w:cs="宋体"/>
          <w:color w:val="auto"/>
          <w:lang w:val="en-US" w:eastAsia="zh-CN"/>
        </w:rPr>
        <w:t>因公</w:t>
      </w:r>
      <w:r>
        <w:rPr>
          <w:rFonts w:hint="eastAsia" w:ascii="宋体" w:hAnsi="宋体" w:cs="宋体"/>
          <w:color w:val="auto"/>
        </w:rPr>
        <w:t>伤亡事故的善后事宜。</w:t>
      </w:r>
    </w:p>
    <w:p w14:paraId="6D1E3789">
      <w:pPr>
        <w:numPr>
          <w:ilvl w:val="1"/>
          <w:numId w:val="4"/>
        </w:numPr>
        <w:spacing w:line="400" w:lineRule="exact"/>
        <w:ind w:left="0" w:firstLine="241" w:firstLineChars="100"/>
        <w:rPr>
          <w:rFonts w:hint="eastAsia" w:ascii="宋体" w:hAnsi="宋体" w:cs="宋体"/>
          <w:b/>
          <w:color w:val="auto"/>
          <w:sz w:val="24"/>
        </w:rPr>
      </w:pPr>
      <w:bookmarkStart w:id="447" w:name="_Toc144974616"/>
      <w:bookmarkStart w:id="448" w:name="_Toc152045648"/>
      <w:bookmarkStart w:id="449" w:name="_Toc152042426"/>
      <w:bookmarkStart w:id="450" w:name="_Toc508732985"/>
      <w:bookmarkStart w:id="451" w:name="_Toc179632666"/>
      <w:r>
        <w:rPr>
          <w:rFonts w:hint="eastAsia" w:ascii="宋体" w:hAnsi="宋体" w:cs="宋体"/>
          <w:b/>
          <w:color w:val="auto"/>
          <w:sz w:val="24"/>
        </w:rPr>
        <w:t>工程价款应专款专用</w:t>
      </w:r>
      <w:bookmarkEnd w:id="447"/>
      <w:bookmarkEnd w:id="448"/>
      <w:bookmarkEnd w:id="449"/>
      <w:bookmarkEnd w:id="450"/>
      <w:bookmarkEnd w:id="451"/>
    </w:p>
    <w:p w14:paraId="318B01E0">
      <w:pPr>
        <w:spacing w:line="400" w:lineRule="exact"/>
        <w:ind w:firstLine="440" w:firstLineChars="200"/>
        <w:rPr>
          <w:rFonts w:hint="eastAsia" w:ascii="宋体" w:hAnsi="宋体" w:cs="宋体"/>
          <w:color w:val="auto"/>
        </w:rPr>
      </w:pPr>
      <w:r>
        <w:rPr>
          <w:rFonts w:hint="eastAsia" w:ascii="宋体" w:hAnsi="宋体" w:cs="宋体"/>
          <w:color w:val="auto"/>
        </w:rPr>
        <w:t>发包人按合同约定支付给承包人的各项价款应专用于合同工程。</w:t>
      </w:r>
    </w:p>
    <w:p w14:paraId="3934F5B7">
      <w:pPr>
        <w:numPr>
          <w:ilvl w:val="1"/>
          <w:numId w:val="4"/>
        </w:numPr>
        <w:spacing w:line="400" w:lineRule="exact"/>
        <w:ind w:left="0" w:firstLine="241" w:firstLineChars="100"/>
        <w:rPr>
          <w:rFonts w:hint="eastAsia" w:ascii="宋体" w:hAnsi="宋体" w:cs="宋体"/>
          <w:b/>
          <w:color w:val="auto"/>
          <w:sz w:val="24"/>
        </w:rPr>
      </w:pPr>
      <w:bookmarkStart w:id="452" w:name="_Toc508732986"/>
      <w:bookmarkStart w:id="453" w:name="_Toc152045649"/>
      <w:bookmarkStart w:id="454" w:name="_Toc144974617"/>
      <w:bookmarkStart w:id="455" w:name="_Toc179632667"/>
      <w:bookmarkStart w:id="456" w:name="_Toc152042427"/>
      <w:r>
        <w:rPr>
          <w:rFonts w:hint="eastAsia" w:ascii="宋体" w:hAnsi="宋体" w:cs="宋体"/>
          <w:b/>
          <w:color w:val="auto"/>
          <w:sz w:val="24"/>
        </w:rPr>
        <w:t>承包人现场查勘</w:t>
      </w:r>
      <w:bookmarkEnd w:id="452"/>
      <w:bookmarkEnd w:id="453"/>
      <w:bookmarkEnd w:id="454"/>
      <w:bookmarkEnd w:id="455"/>
      <w:bookmarkEnd w:id="456"/>
      <w:r>
        <w:rPr>
          <w:rFonts w:hint="eastAsia" w:ascii="宋体" w:hAnsi="宋体" w:cs="宋体"/>
          <w:b/>
          <w:color w:val="auto"/>
          <w:sz w:val="24"/>
        </w:rPr>
        <w:t xml:space="preserve">                                                                                                           </w:t>
      </w:r>
    </w:p>
    <w:p w14:paraId="1E114C7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发包人应将其持有的现场地质勘探资料、水文气象资料提供给承包人，并对其准确性负责。但承包人应对其阅读上述有关资料后所作出的解释和推断负责。</w:t>
      </w:r>
    </w:p>
    <w:p w14:paraId="57FBEBA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48A88B8">
      <w:pPr>
        <w:numPr>
          <w:ilvl w:val="1"/>
          <w:numId w:val="4"/>
        </w:numPr>
        <w:spacing w:line="400" w:lineRule="exact"/>
        <w:ind w:left="0" w:firstLine="241" w:firstLineChars="100"/>
        <w:rPr>
          <w:rFonts w:hint="eastAsia" w:ascii="宋体" w:hAnsi="宋体" w:cs="宋体"/>
          <w:b/>
          <w:color w:val="auto"/>
          <w:sz w:val="24"/>
        </w:rPr>
      </w:pPr>
      <w:bookmarkStart w:id="457" w:name="_Toc152045650"/>
      <w:bookmarkStart w:id="458" w:name="_Toc144974618"/>
      <w:bookmarkStart w:id="459" w:name="_Toc508732987"/>
      <w:bookmarkStart w:id="460" w:name="_Toc179632668"/>
      <w:bookmarkStart w:id="461" w:name="_Toc152042428"/>
      <w:r>
        <w:rPr>
          <w:rFonts w:hint="eastAsia" w:ascii="宋体" w:hAnsi="宋体" w:cs="宋体"/>
          <w:b/>
          <w:color w:val="auto"/>
          <w:sz w:val="24"/>
        </w:rPr>
        <w:t>不利物质条件</w:t>
      </w:r>
      <w:bookmarkEnd w:id="457"/>
      <w:bookmarkEnd w:id="458"/>
      <w:bookmarkEnd w:id="459"/>
      <w:bookmarkEnd w:id="460"/>
      <w:bookmarkEnd w:id="461"/>
    </w:p>
    <w:p w14:paraId="7BE7EE7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不利物质条件，除专用合同条款另有约定外，是指承包人在施工场地遇到的不可预见的自然物质条件、非自然的物质障碍和污染物，包括地下和水文条件，但不包括气候条件。</w:t>
      </w:r>
    </w:p>
    <w:p w14:paraId="55C9FD7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6E3E95C7">
      <w:pPr>
        <w:pStyle w:val="75"/>
        <w:numPr>
          <w:ilvl w:val="0"/>
          <w:numId w:val="4"/>
        </w:numPr>
        <w:spacing w:before="0"/>
        <w:ind w:left="0" w:firstLine="0"/>
        <w:outlineLvl w:val="9"/>
        <w:rPr>
          <w:rFonts w:hint="eastAsia" w:ascii="宋体" w:hAnsi="宋体" w:eastAsia="宋体"/>
          <w:b/>
          <w:bCs/>
          <w:color w:val="auto"/>
          <w:sz w:val="24"/>
          <w:szCs w:val="24"/>
        </w:rPr>
      </w:pPr>
      <w:bookmarkStart w:id="462" w:name="_Toc152045651"/>
      <w:bookmarkStart w:id="463" w:name="_Toc179632669"/>
      <w:bookmarkStart w:id="464" w:name="_Toc144974619"/>
      <w:bookmarkStart w:id="465" w:name="_Toc152042429"/>
      <w:bookmarkStart w:id="466" w:name="_Toc12923"/>
      <w:bookmarkStart w:id="467" w:name="_Toc13295"/>
      <w:bookmarkStart w:id="468" w:name="_Toc58398561"/>
      <w:r>
        <w:rPr>
          <w:rFonts w:hint="eastAsia" w:ascii="宋体" w:hAnsi="宋体" w:eastAsia="宋体"/>
          <w:b/>
          <w:bCs/>
          <w:color w:val="auto"/>
          <w:sz w:val="24"/>
          <w:szCs w:val="24"/>
        </w:rPr>
        <w:t>材料和工程设备</w:t>
      </w:r>
      <w:bookmarkEnd w:id="462"/>
      <w:bookmarkEnd w:id="463"/>
      <w:bookmarkEnd w:id="464"/>
      <w:bookmarkEnd w:id="465"/>
      <w:bookmarkEnd w:id="466"/>
      <w:bookmarkEnd w:id="467"/>
      <w:bookmarkEnd w:id="468"/>
    </w:p>
    <w:p w14:paraId="1FB46BE3">
      <w:pPr>
        <w:numPr>
          <w:ilvl w:val="1"/>
          <w:numId w:val="4"/>
        </w:numPr>
        <w:spacing w:line="400" w:lineRule="exact"/>
        <w:ind w:left="0" w:firstLine="241" w:firstLineChars="100"/>
        <w:rPr>
          <w:rFonts w:hint="eastAsia" w:ascii="宋体" w:hAnsi="宋体" w:cs="宋体"/>
          <w:b/>
          <w:color w:val="auto"/>
          <w:sz w:val="24"/>
        </w:rPr>
      </w:pPr>
      <w:bookmarkStart w:id="469" w:name="_Toc152045652"/>
      <w:bookmarkStart w:id="470" w:name="_Toc144974620"/>
      <w:bookmarkStart w:id="471" w:name="_Toc152042430"/>
      <w:bookmarkStart w:id="472" w:name="_Toc179632670"/>
      <w:bookmarkStart w:id="473" w:name="_Toc508732989"/>
      <w:r>
        <w:rPr>
          <w:rFonts w:hint="eastAsia" w:ascii="宋体" w:hAnsi="宋体" w:cs="宋体"/>
          <w:b/>
          <w:color w:val="auto"/>
          <w:sz w:val="24"/>
        </w:rPr>
        <w:t>承包人提供的材料和工程设备</w:t>
      </w:r>
      <w:bookmarkEnd w:id="469"/>
      <w:bookmarkEnd w:id="470"/>
      <w:bookmarkEnd w:id="471"/>
      <w:bookmarkEnd w:id="472"/>
      <w:bookmarkEnd w:id="473"/>
    </w:p>
    <w:p w14:paraId="5E2FB94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除专用合同条款另有约定外，承包人提供的材料和工程设备均由承包人负责采购、运输和保管。承包人应对其采购的材料和工程设备负责。</w:t>
      </w:r>
    </w:p>
    <w:p w14:paraId="4CBEBF0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2029A7B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5B5F4738">
      <w:pPr>
        <w:numPr>
          <w:ilvl w:val="1"/>
          <w:numId w:val="4"/>
        </w:numPr>
        <w:spacing w:line="400" w:lineRule="exact"/>
        <w:ind w:left="0" w:firstLine="241" w:firstLineChars="100"/>
        <w:rPr>
          <w:rFonts w:hint="eastAsia" w:ascii="宋体" w:hAnsi="宋体" w:cs="宋体"/>
          <w:b/>
          <w:color w:val="auto"/>
          <w:sz w:val="24"/>
        </w:rPr>
      </w:pPr>
      <w:bookmarkStart w:id="474" w:name="_Toc152045653"/>
      <w:bookmarkStart w:id="475" w:name="_Toc179632671"/>
      <w:bookmarkStart w:id="476" w:name="_Toc508732990"/>
      <w:bookmarkStart w:id="477" w:name="_Toc152042431"/>
      <w:bookmarkStart w:id="478" w:name="_Toc144974621"/>
      <w:r>
        <w:rPr>
          <w:rFonts w:hint="eastAsia" w:ascii="宋体" w:hAnsi="宋体" w:cs="宋体"/>
          <w:b/>
          <w:color w:val="auto"/>
          <w:sz w:val="24"/>
        </w:rPr>
        <w:t>发包人提供的材料和工程设备</w:t>
      </w:r>
      <w:bookmarkEnd w:id="474"/>
      <w:bookmarkEnd w:id="475"/>
      <w:bookmarkEnd w:id="476"/>
      <w:bookmarkEnd w:id="477"/>
      <w:bookmarkEnd w:id="478"/>
    </w:p>
    <w:p w14:paraId="0029690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发包人提供的材料和工程设备，应在专用合同条款中写明材料和工程设备的名称、规格、数量、价格、交货方式、交货地点和计划交货日期等。</w:t>
      </w:r>
    </w:p>
    <w:p w14:paraId="68F9EA2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承包人应根据合同进度计划的安排，向监理人报送要求发包人交货的日期计划。发包人应按照监理人与合同双方当事人商定的交货日期，向承包人提交材料和工程设备。</w:t>
      </w:r>
    </w:p>
    <w:p w14:paraId="4568433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12174C1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发包人要求向承包人提前交货的，承包人不得拒绝，但发包人应承担承包人由此增加的费用。 </w:t>
      </w:r>
    </w:p>
    <w:p w14:paraId="55575F3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承包人要求更改交货日期或地点的，应事先报请监理人批准。由于承包人要求更改交货时间或地点所增加的费用和（或）工期延误由承包人承担。 </w:t>
      </w:r>
    </w:p>
    <w:p w14:paraId="3250249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5D5DD891">
      <w:pPr>
        <w:numPr>
          <w:ilvl w:val="1"/>
          <w:numId w:val="4"/>
        </w:numPr>
        <w:spacing w:line="400" w:lineRule="exact"/>
        <w:ind w:left="0" w:firstLine="241" w:firstLineChars="100"/>
        <w:rPr>
          <w:rFonts w:hint="eastAsia" w:ascii="宋体" w:hAnsi="宋体" w:cs="宋体"/>
          <w:b/>
          <w:color w:val="auto"/>
          <w:sz w:val="24"/>
        </w:rPr>
      </w:pPr>
      <w:bookmarkStart w:id="479" w:name="_Toc508732991"/>
      <w:bookmarkStart w:id="480" w:name="_Toc179632672"/>
      <w:bookmarkStart w:id="481" w:name="_Toc152042432"/>
      <w:bookmarkStart w:id="482" w:name="_Toc144974622"/>
      <w:bookmarkStart w:id="483" w:name="_Toc152045654"/>
      <w:r>
        <w:rPr>
          <w:rFonts w:hint="eastAsia" w:ascii="宋体" w:hAnsi="宋体" w:cs="宋体"/>
          <w:b/>
          <w:color w:val="auto"/>
          <w:sz w:val="24"/>
        </w:rPr>
        <w:t>材料和工程设备专用于合同工程</w:t>
      </w:r>
      <w:bookmarkEnd w:id="479"/>
      <w:bookmarkEnd w:id="480"/>
      <w:bookmarkEnd w:id="481"/>
      <w:bookmarkEnd w:id="482"/>
      <w:bookmarkEnd w:id="483"/>
    </w:p>
    <w:p w14:paraId="7BE7747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运入施工场地的材料、工程设备，包括备品备件、安装专用工器具与随机资料，必须专用于合同工程，未经监理人同意，承包人不得运出施工场地或挪作他用。</w:t>
      </w:r>
    </w:p>
    <w:p w14:paraId="7A53B51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0BB41DC3">
      <w:pPr>
        <w:numPr>
          <w:ilvl w:val="1"/>
          <w:numId w:val="4"/>
        </w:numPr>
        <w:spacing w:line="400" w:lineRule="exact"/>
        <w:ind w:left="0" w:firstLine="241" w:firstLineChars="100"/>
        <w:rPr>
          <w:rFonts w:hint="eastAsia" w:ascii="宋体" w:hAnsi="宋体" w:cs="宋体"/>
          <w:b/>
          <w:color w:val="auto"/>
          <w:sz w:val="24"/>
        </w:rPr>
      </w:pPr>
      <w:bookmarkStart w:id="484" w:name="_Toc508732992"/>
      <w:bookmarkStart w:id="485" w:name="_Toc179632673"/>
      <w:bookmarkStart w:id="486" w:name="_Toc152045655"/>
      <w:bookmarkStart w:id="487" w:name="_Toc144974623"/>
      <w:bookmarkStart w:id="488" w:name="_Toc152042433"/>
      <w:r>
        <w:rPr>
          <w:rFonts w:hint="eastAsia" w:ascii="宋体" w:hAnsi="宋体" w:cs="宋体"/>
          <w:b/>
          <w:color w:val="auto"/>
          <w:sz w:val="24"/>
        </w:rPr>
        <w:t>禁止使用不合格的材料和工程设备</w:t>
      </w:r>
      <w:bookmarkEnd w:id="484"/>
      <w:bookmarkEnd w:id="485"/>
      <w:bookmarkEnd w:id="486"/>
      <w:bookmarkEnd w:id="487"/>
      <w:bookmarkEnd w:id="488"/>
    </w:p>
    <w:p w14:paraId="0E8D4E1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监理人有权拒绝承包人提供的不合格材料或工程设备，并要求承包人立即进行更换。监理人应在更换后再次进行检查和检验，由此增加的费用和（或）工期延误由承包人承担。</w:t>
      </w:r>
    </w:p>
    <w:p w14:paraId="0C0E2FF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监理人发现承包人使用了不合格的材料和工程设备，应</w:t>
      </w:r>
      <w:r>
        <w:rPr>
          <w:rFonts w:hint="eastAsia" w:ascii="宋体" w:hAnsi="宋体" w:cs="宋体"/>
          <w:color w:val="auto"/>
          <w:lang w:val="en-US" w:eastAsia="zh-CN"/>
        </w:rPr>
        <w:t>及时</w:t>
      </w:r>
      <w:r>
        <w:rPr>
          <w:rFonts w:hint="eastAsia" w:ascii="宋体" w:hAnsi="宋体" w:cs="宋体"/>
          <w:color w:val="auto"/>
        </w:rPr>
        <w:t>发出指示要求承包人立即改正，并禁止在工程中继续使用不合格的材料和工程设备。</w:t>
      </w:r>
    </w:p>
    <w:p w14:paraId="2D18A91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发包人提供的材料或工程设备不符合合同要求的，承包人有权拒绝，并可要求发包人更换，由此增加的费用和（或）工期延误由发包人承担。</w:t>
      </w:r>
    </w:p>
    <w:p w14:paraId="157EF3E3">
      <w:pPr>
        <w:pStyle w:val="75"/>
        <w:numPr>
          <w:ilvl w:val="0"/>
          <w:numId w:val="4"/>
        </w:numPr>
        <w:spacing w:before="0"/>
        <w:ind w:left="0" w:firstLine="0"/>
        <w:outlineLvl w:val="9"/>
        <w:rPr>
          <w:rFonts w:hint="eastAsia" w:ascii="宋体" w:hAnsi="宋体" w:eastAsia="宋体"/>
          <w:b/>
          <w:bCs/>
          <w:color w:val="auto"/>
          <w:sz w:val="24"/>
          <w:szCs w:val="24"/>
        </w:rPr>
      </w:pPr>
      <w:bookmarkStart w:id="489" w:name="_Toc144974624"/>
      <w:bookmarkStart w:id="490" w:name="_Toc152042434"/>
      <w:bookmarkStart w:id="491" w:name="_Toc179632674"/>
      <w:bookmarkStart w:id="492" w:name="_Toc152045656"/>
      <w:bookmarkStart w:id="493" w:name="_Toc16600"/>
      <w:bookmarkStart w:id="494" w:name="_Toc58398562"/>
      <w:bookmarkStart w:id="495" w:name="_Toc24972"/>
      <w:r>
        <w:rPr>
          <w:rFonts w:hint="eastAsia" w:ascii="宋体" w:hAnsi="宋体" w:eastAsia="宋体"/>
          <w:b/>
          <w:bCs/>
          <w:color w:val="auto"/>
          <w:sz w:val="24"/>
          <w:szCs w:val="24"/>
        </w:rPr>
        <w:t>施工设备和临时设施</w:t>
      </w:r>
      <w:bookmarkEnd w:id="489"/>
      <w:bookmarkEnd w:id="490"/>
      <w:bookmarkEnd w:id="491"/>
      <w:bookmarkEnd w:id="492"/>
      <w:bookmarkEnd w:id="493"/>
      <w:bookmarkEnd w:id="494"/>
      <w:bookmarkEnd w:id="495"/>
    </w:p>
    <w:p w14:paraId="65EDFC0C">
      <w:pPr>
        <w:numPr>
          <w:ilvl w:val="1"/>
          <w:numId w:val="4"/>
        </w:numPr>
        <w:spacing w:line="400" w:lineRule="exact"/>
        <w:ind w:left="0" w:firstLine="241" w:firstLineChars="100"/>
        <w:rPr>
          <w:rFonts w:hint="eastAsia" w:ascii="宋体" w:hAnsi="宋体" w:cs="宋体"/>
          <w:b/>
          <w:color w:val="auto"/>
          <w:sz w:val="24"/>
        </w:rPr>
      </w:pPr>
      <w:bookmarkStart w:id="496" w:name="_Toc152042435"/>
      <w:bookmarkStart w:id="497" w:name="_Toc144974625"/>
      <w:bookmarkStart w:id="498" w:name="_Toc179632675"/>
      <w:bookmarkStart w:id="499" w:name="_Toc152045657"/>
      <w:r>
        <w:rPr>
          <w:rFonts w:hint="eastAsia" w:ascii="宋体" w:hAnsi="宋体" w:cs="宋体"/>
          <w:b/>
          <w:color w:val="auto"/>
          <w:sz w:val="24"/>
        </w:rPr>
        <w:t>承包人提供的施工设备和临时设施</w:t>
      </w:r>
      <w:bookmarkEnd w:id="496"/>
      <w:bookmarkEnd w:id="497"/>
      <w:bookmarkEnd w:id="498"/>
      <w:bookmarkEnd w:id="499"/>
    </w:p>
    <w:p w14:paraId="12C7EDD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承包人应按合同进度计划的要求，及时配置施工设备和修建临时设施。进入施工场地的承包人设备需经监理人核查后才能投入使用。承包人更换合同约定的承包人设备的，应报监理人批准。</w:t>
      </w:r>
    </w:p>
    <w:p w14:paraId="2E2394A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除专用合同条款另有约定外，承包人应自行承担修建临时设施的费用，需要临时占地的，应由发包人办理申请手续并承担相应费用。</w:t>
      </w:r>
    </w:p>
    <w:p w14:paraId="074F59C2">
      <w:pPr>
        <w:numPr>
          <w:ilvl w:val="1"/>
          <w:numId w:val="4"/>
        </w:numPr>
        <w:spacing w:line="400" w:lineRule="exact"/>
        <w:ind w:left="0" w:firstLine="241" w:firstLineChars="100"/>
        <w:rPr>
          <w:rFonts w:hint="eastAsia" w:ascii="宋体" w:hAnsi="宋体" w:cs="宋体"/>
          <w:b/>
          <w:color w:val="auto"/>
          <w:sz w:val="24"/>
        </w:rPr>
      </w:pPr>
      <w:bookmarkStart w:id="500" w:name="_Toc179632676"/>
      <w:bookmarkStart w:id="501" w:name="_Toc152045658"/>
      <w:bookmarkStart w:id="502" w:name="_Toc144974626"/>
      <w:bookmarkStart w:id="503" w:name="_Toc152042436"/>
      <w:r>
        <w:rPr>
          <w:rFonts w:hint="eastAsia" w:ascii="宋体" w:hAnsi="宋体" w:cs="宋体"/>
          <w:b/>
          <w:color w:val="auto"/>
          <w:sz w:val="24"/>
        </w:rPr>
        <w:t>发包人提供的施工设备和临时设施</w:t>
      </w:r>
      <w:bookmarkEnd w:id="500"/>
      <w:bookmarkEnd w:id="501"/>
      <w:bookmarkEnd w:id="502"/>
      <w:bookmarkEnd w:id="503"/>
    </w:p>
    <w:p w14:paraId="2254F449">
      <w:pPr>
        <w:spacing w:line="400" w:lineRule="exact"/>
        <w:ind w:firstLine="440" w:firstLineChars="200"/>
        <w:rPr>
          <w:rFonts w:hint="eastAsia" w:ascii="宋体" w:hAnsi="宋体" w:cs="宋体"/>
          <w:color w:val="auto"/>
        </w:rPr>
      </w:pPr>
      <w:r>
        <w:rPr>
          <w:rFonts w:hint="eastAsia" w:ascii="宋体" w:hAnsi="宋体" w:cs="宋体"/>
          <w:color w:val="auto"/>
        </w:rPr>
        <w:t>发包人提供的施工设备或临时设施在专用合同条款中约定。</w:t>
      </w:r>
    </w:p>
    <w:p w14:paraId="7263E17E">
      <w:pPr>
        <w:numPr>
          <w:ilvl w:val="1"/>
          <w:numId w:val="4"/>
        </w:numPr>
        <w:spacing w:line="400" w:lineRule="exact"/>
        <w:ind w:left="0" w:firstLine="241" w:firstLineChars="100"/>
        <w:rPr>
          <w:rFonts w:hint="eastAsia" w:ascii="宋体" w:hAnsi="宋体" w:cs="宋体"/>
          <w:b/>
          <w:color w:val="auto"/>
          <w:sz w:val="24"/>
        </w:rPr>
      </w:pPr>
      <w:bookmarkStart w:id="504" w:name="_Toc152042437"/>
      <w:bookmarkStart w:id="505" w:name="_Toc179632677"/>
      <w:bookmarkStart w:id="506" w:name="_Toc144974627"/>
      <w:bookmarkStart w:id="507" w:name="_Toc152045659"/>
      <w:r>
        <w:rPr>
          <w:rFonts w:hint="eastAsia" w:ascii="宋体" w:hAnsi="宋体" w:cs="宋体"/>
          <w:b/>
          <w:color w:val="auto"/>
          <w:sz w:val="24"/>
        </w:rPr>
        <w:t>要求承包人增加或更换施工设备</w:t>
      </w:r>
      <w:bookmarkEnd w:id="504"/>
      <w:bookmarkEnd w:id="505"/>
      <w:bookmarkEnd w:id="506"/>
      <w:bookmarkEnd w:id="507"/>
    </w:p>
    <w:p w14:paraId="21CB3EF3">
      <w:pPr>
        <w:spacing w:line="400" w:lineRule="exact"/>
        <w:ind w:firstLine="440" w:firstLineChars="200"/>
        <w:rPr>
          <w:rFonts w:hint="eastAsia" w:ascii="宋体" w:hAnsi="宋体" w:cs="宋体"/>
          <w:color w:val="auto"/>
        </w:rPr>
      </w:pPr>
      <w:r>
        <w:rPr>
          <w:rFonts w:hint="eastAsia" w:ascii="宋体" w:hAnsi="宋体" w:cs="宋体"/>
          <w:color w:val="auto"/>
        </w:rPr>
        <w:t>承包人使用的施工设备不能满足合同进度计划和（或）质量要求时，监理人有权要求承包人增加或更换施工设备，承包人应及时增加或更换，由此增加的费用和（或）工期延误由承包人承担。</w:t>
      </w:r>
    </w:p>
    <w:p w14:paraId="6D4B183A">
      <w:pPr>
        <w:numPr>
          <w:ilvl w:val="1"/>
          <w:numId w:val="4"/>
        </w:numPr>
        <w:spacing w:line="400" w:lineRule="exact"/>
        <w:ind w:left="0" w:firstLine="241" w:firstLineChars="100"/>
        <w:rPr>
          <w:rFonts w:hint="eastAsia" w:ascii="宋体" w:hAnsi="宋体" w:cs="宋体"/>
          <w:b/>
          <w:color w:val="auto"/>
          <w:sz w:val="24"/>
        </w:rPr>
      </w:pPr>
      <w:bookmarkStart w:id="508" w:name="_Toc179632678"/>
      <w:bookmarkStart w:id="509" w:name="_Toc152042438"/>
      <w:bookmarkStart w:id="510" w:name="_Toc144974628"/>
      <w:bookmarkStart w:id="511" w:name="_Toc152045660"/>
      <w:r>
        <w:rPr>
          <w:rFonts w:hint="eastAsia" w:ascii="宋体" w:hAnsi="宋体" w:cs="宋体"/>
          <w:b/>
          <w:color w:val="auto"/>
          <w:sz w:val="24"/>
        </w:rPr>
        <w:t>施工设备和临时设施专用于合同工程</w:t>
      </w:r>
      <w:bookmarkEnd w:id="508"/>
      <w:bookmarkEnd w:id="509"/>
      <w:bookmarkEnd w:id="510"/>
      <w:bookmarkEnd w:id="511"/>
    </w:p>
    <w:p w14:paraId="269243F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除合同另有约定外，运入施工场地的所有施工设备以及在施工场地建设的临时设施应专用于合同工程。未经监理人同意，不得将上述施工设备和临时设施中的任何部分运出施工场地或挪作他用。</w:t>
      </w:r>
    </w:p>
    <w:p w14:paraId="5AA7C82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经监理人同意，承包人可根据合同进度计划撤走闲置的施工设备。</w:t>
      </w:r>
    </w:p>
    <w:p w14:paraId="40CD79D3">
      <w:pPr>
        <w:pStyle w:val="75"/>
        <w:numPr>
          <w:ilvl w:val="0"/>
          <w:numId w:val="4"/>
        </w:numPr>
        <w:spacing w:before="0"/>
        <w:ind w:left="0" w:firstLine="0"/>
        <w:outlineLvl w:val="9"/>
        <w:rPr>
          <w:rFonts w:hint="eastAsia" w:ascii="宋体" w:hAnsi="宋体" w:eastAsia="宋体"/>
          <w:b/>
          <w:bCs/>
          <w:color w:val="auto"/>
          <w:sz w:val="24"/>
          <w:szCs w:val="24"/>
        </w:rPr>
      </w:pPr>
      <w:bookmarkStart w:id="512" w:name="_Toc152042439"/>
      <w:bookmarkStart w:id="513" w:name="_Toc144974629"/>
      <w:bookmarkStart w:id="514" w:name="_Toc5034"/>
      <w:bookmarkStart w:id="515" w:name="_Toc152045661"/>
      <w:bookmarkStart w:id="516" w:name="_Toc29526"/>
      <w:bookmarkStart w:id="517" w:name="_Toc179632679"/>
      <w:bookmarkStart w:id="518" w:name="_Toc58398563"/>
      <w:r>
        <w:rPr>
          <w:rFonts w:hint="eastAsia" w:ascii="宋体" w:hAnsi="宋体" w:eastAsia="宋体"/>
          <w:b/>
          <w:bCs/>
          <w:color w:val="auto"/>
          <w:sz w:val="24"/>
          <w:szCs w:val="24"/>
        </w:rPr>
        <w:t>交通运输</w:t>
      </w:r>
      <w:bookmarkEnd w:id="512"/>
      <w:bookmarkEnd w:id="513"/>
      <w:bookmarkEnd w:id="514"/>
      <w:bookmarkEnd w:id="515"/>
      <w:bookmarkEnd w:id="516"/>
      <w:bookmarkEnd w:id="517"/>
      <w:bookmarkEnd w:id="518"/>
    </w:p>
    <w:p w14:paraId="169BB4E1">
      <w:pPr>
        <w:numPr>
          <w:ilvl w:val="1"/>
          <w:numId w:val="4"/>
        </w:numPr>
        <w:spacing w:line="400" w:lineRule="exact"/>
        <w:ind w:left="0" w:firstLine="241" w:firstLineChars="100"/>
        <w:rPr>
          <w:rFonts w:hint="eastAsia" w:ascii="宋体" w:hAnsi="宋体" w:cs="宋体"/>
          <w:b/>
          <w:color w:val="auto"/>
          <w:sz w:val="24"/>
        </w:rPr>
      </w:pPr>
      <w:bookmarkStart w:id="519" w:name="_Toc144974630"/>
      <w:bookmarkStart w:id="520" w:name="_Toc152045662"/>
      <w:bookmarkStart w:id="521" w:name="_Toc152042440"/>
      <w:bookmarkStart w:id="522" w:name="_Toc179632680"/>
      <w:r>
        <w:rPr>
          <w:rFonts w:hint="eastAsia" w:ascii="宋体" w:hAnsi="宋体" w:cs="宋体"/>
          <w:b/>
          <w:color w:val="auto"/>
          <w:sz w:val="24"/>
        </w:rPr>
        <w:t>道路通行权和场外设施</w:t>
      </w:r>
      <w:bookmarkEnd w:id="519"/>
      <w:bookmarkEnd w:id="520"/>
      <w:bookmarkEnd w:id="521"/>
      <w:bookmarkEnd w:id="522"/>
    </w:p>
    <w:p w14:paraId="29107905">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303BD022">
      <w:pPr>
        <w:numPr>
          <w:ilvl w:val="1"/>
          <w:numId w:val="4"/>
        </w:numPr>
        <w:spacing w:line="400" w:lineRule="exact"/>
        <w:ind w:left="0" w:firstLine="241" w:firstLineChars="100"/>
        <w:rPr>
          <w:rFonts w:hint="eastAsia" w:ascii="宋体" w:hAnsi="宋体" w:cs="宋体"/>
          <w:b/>
          <w:color w:val="auto"/>
          <w:sz w:val="24"/>
        </w:rPr>
      </w:pPr>
      <w:bookmarkStart w:id="523" w:name="_Toc179632681"/>
      <w:bookmarkStart w:id="524" w:name="_Toc144974631"/>
      <w:bookmarkStart w:id="525" w:name="_Toc152042441"/>
      <w:bookmarkStart w:id="526" w:name="_Toc152045663"/>
      <w:r>
        <w:rPr>
          <w:rFonts w:hint="eastAsia" w:ascii="宋体" w:hAnsi="宋体" w:cs="宋体"/>
          <w:b/>
          <w:color w:val="auto"/>
          <w:sz w:val="24"/>
        </w:rPr>
        <w:t>场内施工道路</w:t>
      </w:r>
      <w:bookmarkEnd w:id="523"/>
      <w:bookmarkEnd w:id="524"/>
      <w:bookmarkEnd w:id="525"/>
      <w:bookmarkEnd w:id="526"/>
    </w:p>
    <w:p w14:paraId="3210620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除专用合同条款另有约定外，承包人应负责修建、维修、养护和管理施工所需的临时道路和交通设施，包括维修、养护和管理发包人提供的道路和交通设施，并承担相应费用。</w:t>
      </w:r>
    </w:p>
    <w:p w14:paraId="59192C6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除专用合同条款另有约定外，承包人修建的临时道路和交通设施应免费提供发包人和监理人使用。</w:t>
      </w:r>
    </w:p>
    <w:p w14:paraId="6F7F74A2">
      <w:pPr>
        <w:numPr>
          <w:ilvl w:val="1"/>
          <w:numId w:val="4"/>
        </w:numPr>
        <w:spacing w:line="400" w:lineRule="exact"/>
        <w:ind w:left="0" w:firstLine="241" w:firstLineChars="100"/>
        <w:rPr>
          <w:rFonts w:hint="eastAsia" w:ascii="宋体" w:hAnsi="宋体" w:cs="宋体"/>
          <w:b/>
          <w:color w:val="auto"/>
          <w:sz w:val="24"/>
        </w:rPr>
      </w:pPr>
      <w:bookmarkStart w:id="527" w:name="_Toc152042442"/>
      <w:bookmarkStart w:id="528" w:name="_Toc179632682"/>
      <w:bookmarkStart w:id="529" w:name="_Toc152045664"/>
      <w:bookmarkStart w:id="530" w:name="_Toc144974632"/>
      <w:r>
        <w:rPr>
          <w:rFonts w:hint="eastAsia" w:ascii="宋体" w:hAnsi="宋体" w:cs="宋体"/>
          <w:b/>
          <w:color w:val="auto"/>
          <w:sz w:val="24"/>
        </w:rPr>
        <w:t>场外交通</w:t>
      </w:r>
      <w:bookmarkEnd w:id="527"/>
      <w:bookmarkEnd w:id="528"/>
      <w:bookmarkEnd w:id="529"/>
      <w:bookmarkEnd w:id="530"/>
    </w:p>
    <w:p w14:paraId="0F03D94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承包人车辆外出行驶所需的场外公共道路的通行费、养路费和税款等由承包人承担。</w:t>
      </w:r>
    </w:p>
    <w:p w14:paraId="5FA1562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承包人应遵守有关交通法规，严格按照道路和桥梁的限制荷重安全行驶，并服从交通管理部门的检查和监督。</w:t>
      </w:r>
    </w:p>
    <w:p w14:paraId="26B42527">
      <w:pPr>
        <w:numPr>
          <w:ilvl w:val="1"/>
          <w:numId w:val="4"/>
        </w:numPr>
        <w:spacing w:line="400" w:lineRule="exact"/>
        <w:ind w:left="0" w:firstLine="241" w:firstLineChars="100"/>
        <w:rPr>
          <w:rFonts w:hint="eastAsia" w:ascii="宋体" w:hAnsi="宋体" w:cs="宋体"/>
          <w:b/>
          <w:color w:val="auto"/>
          <w:sz w:val="24"/>
        </w:rPr>
      </w:pPr>
      <w:bookmarkStart w:id="531" w:name="_Toc152045665"/>
      <w:bookmarkStart w:id="532" w:name="_Toc179632683"/>
      <w:bookmarkStart w:id="533" w:name="_Toc144974633"/>
      <w:bookmarkStart w:id="534" w:name="_Toc152042443"/>
      <w:r>
        <w:rPr>
          <w:rFonts w:hint="eastAsia" w:ascii="宋体" w:hAnsi="宋体" w:cs="宋体"/>
          <w:b/>
          <w:color w:val="auto"/>
          <w:sz w:val="24"/>
        </w:rPr>
        <w:t>超大件和超重件的运输</w:t>
      </w:r>
      <w:bookmarkEnd w:id="531"/>
      <w:bookmarkEnd w:id="532"/>
      <w:bookmarkEnd w:id="533"/>
      <w:bookmarkEnd w:id="534"/>
    </w:p>
    <w:p w14:paraId="11EE66FC">
      <w:pPr>
        <w:spacing w:line="400" w:lineRule="exact"/>
        <w:ind w:firstLine="440" w:firstLineChars="200"/>
        <w:rPr>
          <w:rFonts w:hint="eastAsia" w:ascii="宋体" w:hAnsi="宋体" w:cs="宋体"/>
          <w:color w:val="auto"/>
        </w:rPr>
      </w:pPr>
      <w:r>
        <w:rPr>
          <w:rFonts w:hint="eastAsia" w:ascii="宋体" w:hAnsi="宋体" w:cs="宋体"/>
          <w:color w:val="auto"/>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BDB2207">
      <w:pPr>
        <w:numPr>
          <w:ilvl w:val="1"/>
          <w:numId w:val="4"/>
        </w:numPr>
        <w:spacing w:line="400" w:lineRule="exact"/>
        <w:ind w:left="0" w:firstLine="241" w:firstLineChars="100"/>
        <w:rPr>
          <w:rFonts w:hint="eastAsia" w:ascii="宋体" w:hAnsi="宋体" w:cs="宋体"/>
          <w:b/>
          <w:color w:val="auto"/>
          <w:sz w:val="24"/>
        </w:rPr>
      </w:pPr>
      <w:bookmarkStart w:id="535" w:name="_Toc152042444"/>
      <w:bookmarkStart w:id="536" w:name="_Toc144974634"/>
      <w:bookmarkStart w:id="537" w:name="_Toc152045666"/>
      <w:bookmarkStart w:id="538" w:name="_Toc179632684"/>
      <w:r>
        <w:rPr>
          <w:rFonts w:hint="eastAsia" w:ascii="宋体" w:hAnsi="宋体" w:cs="宋体"/>
          <w:b/>
          <w:color w:val="auto"/>
          <w:sz w:val="24"/>
        </w:rPr>
        <w:t>道路和桥梁的损坏责任</w:t>
      </w:r>
      <w:bookmarkEnd w:id="535"/>
      <w:bookmarkEnd w:id="536"/>
      <w:bookmarkEnd w:id="537"/>
      <w:bookmarkEnd w:id="538"/>
    </w:p>
    <w:p w14:paraId="4A8D305C">
      <w:pPr>
        <w:spacing w:line="400" w:lineRule="exact"/>
        <w:ind w:firstLine="440" w:firstLineChars="200"/>
        <w:rPr>
          <w:rFonts w:hint="eastAsia" w:ascii="宋体" w:hAnsi="宋体" w:cs="宋体"/>
          <w:color w:val="auto"/>
        </w:rPr>
      </w:pPr>
      <w:r>
        <w:rPr>
          <w:rFonts w:hint="eastAsia" w:ascii="宋体" w:hAnsi="宋体" w:cs="宋体"/>
          <w:color w:val="auto"/>
        </w:rPr>
        <w:t>因承包人运输造成施工场地内外公共道路和桥梁损坏的，由承包人承担修复损坏的全部费用和可能引起的赔偿。</w:t>
      </w:r>
    </w:p>
    <w:p w14:paraId="7A604F41">
      <w:pPr>
        <w:numPr>
          <w:ilvl w:val="1"/>
          <w:numId w:val="4"/>
        </w:numPr>
        <w:spacing w:line="400" w:lineRule="exact"/>
        <w:ind w:left="0" w:firstLine="241" w:firstLineChars="100"/>
        <w:rPr>
          <w:rFonts w:hint="eastAsia" w:ascii="宋体" w:hAnsi="宋体" w:cs="宋体"/>
          <w:b/>
          <w:color w:val="auto"/>
          <w:sz w:val="24"/>
        </w:rPr>
      </w:pPr>
      <w:bookmarkStart w:id="539" w:name="_Toc152045667"/>
      <w:bookmarkStart w:id="540" w:name="_Toc144974635"/>
      <w:bookmarkStart w:id="541" w:name="_Toc152042445"/>
      <w:bookmarkStart w:id="542" w:name="_Toc179632685"/>
      <w:r>
        <w:rPr>
          <w:rFonts w:hint="eastAsia" w:ascii="宋体" w:hAnsi="宋体" w:cs="宋体"/>
          <w:b/>
          <w:color w:val="auto"/>
          <w:sz w:val="24"/>
        </w:rPr>
        <w:t>水路和航空运输</w:t>
      </w:r>
      <w:bookmarkEnd w:id="539"/>
      <w:bookmarkEnd w:id="540"/>
      <w:bookmarkEnd w:id="541"/>
      <w:bookmarkEnd w:id="542"/>
    </w:p>
    <w:p w14:paraId="5CBCDE1D">
      <w:pPr>
        <w:spacing w:line="400" w:lineRule="exact"/>
        <w:ind w:firstLine="440" w:firstLineChars="200"/>
        <w:rPr>
          <w:rFonts w:hint="eastAsia" w:ascii="宋体" w:hAnsi="宋体" w:cs="宋体"/>
          <w:color w:val="auto"/>
        </w:rPr>
      </w:pPr>
      <w:r>
        <w:rPr>
          <w:rFonts w:hint="eastAsia" w:ascii="宋体" w:hAnsi="宋体" w:cs="宋体"/>
          <w:color w:val="auto"/>
        </w:rPr>
        <w:t>本条上述各款的内容适用于水路运输和航空运输，其中“道路”一词的</w:t>
      </w:r>
      <w:r>
        <w:rPr>
          <w:rFonts w:hint="eastAsia" w:ascii="宋体" w:hAnsi="宋体" w:cs="宋体"/>
          <w:color w:val="auto"/>
          <w:lang w:val="en-US" w:eastAsia="zh-CN"/>
        </w:rPr>
        <w:t>含义</w:t>
      </w:r>
      <w:r>
        <w:rPr>
          <w:rFonts w:hint="eastAsia" w:ascii="宋体" w:hAnsi="宋体" w:cs="宋体"/>
          <w:color w:val="auto"/>
        </w:rPr>
        <w:t>包括河道、航线、船闸、机场、码头、堤防以及水路或航空运输中其他相似结构物；“车辆”一词的</w:t>
      </w:r>
      <w:r>
        <w:rPr>
          <w:rFonts w:hint="eastAsia" w:ascii="宋体" w:hAnsi="宋体" w:cs="宋体"/>
          <w:color w:val="auto"/>
          <w:lang w:val="en-US" w:eastAsia="zh-CN"/>
        </w:rPr>
        <w:t>含义</w:t>
      </w:r>
      <w:r>
        <w:rPr>
          <w:rFonts w:hint="eastAsia" w:ascii="宋体" w:hAnsi="宋体" w:cs="宋体"/>
          <w:color w:val="auto"/>
        </w:rPr>
        <w:t xml:space="preserve">包括船舶和飞机等。 </w:t>
      </w:r>
    </w:p>
    <w:p w14:paraId="5CE71E99">
      <w:pPr>
        <w:pStyle w:val="75"/>
        <w:numPr>
          <w:ilvl w:val="0"/>
          <w:numId w:val="4"/>
        </w:numPr>
        <w:spacing w:before="0"/>
        <w:ind w:left="0" w:firstLine="0"/>
        <w:outlineLvl w:val="9"/>
        <w:rPr>
          <w:rFonts w:hint="eastAsia" w:ascii="宋体" w:hAnsi="宋体" w:eastAsia="宋体"/>
          <w:b/>
          <w:bCs/>
          <w:color w:val="auto"/>
          <w:sz w:val="24"/>
          <w:szCs w:val="24"/>
        </w:rPr>
      </w:pPr>
      <w:bookmarkStart w:id="543" w:name="_Toc12643"/>
      <w:bookmarkStart w:id="544" w:name="_Toc152045668"/>
      <w:bookmarkStart w:id="545" w:name="_Toc28304"/>
      <w:bookmarkStart w:id="546" w:name="_Toc179632686"/>
      <w:bookmarkStart w:id="547" w:name="_Toc152042446"/>
      <w:bookmarkStart w:id="548" w:name="_Toc58398564"/>
      <w:bookmarkStart w:id="549" w:name="_Toc144974636"/>
      <w:r>
        <w:rPr>
          <w:rFonts w:hint="eastAsia" w:ascii="宋体" w:hAnsi="宋体" w:eastAsia="宋体"/>
          <w:b/>
          <w:bCs/>
          <w:color w:val="auto"/>
          <w:sz w:val="24"/>
          <w:szCs w:val="24"/>
        </w:rPr>
        <w:t>测量放线</w:t>
      </w:r>
      <w:bookmarkEnd w:id="543"/>
      <w:bookmarkEnd w:id="544"/>
      <w:bookmarkEnd w:id="545"/>
      <w:bookmarkEnd w:id="546"/>
      <w:bookmarkEnd w:id="547"/>
      <w:bookmarkEnd w:id="548"/>
      <w:bookmarkEnd w:id="549"/>
    </w:p>
    <w:p w14:paraId="2A5873CE">
      <w:pPr>
        <w:numPr>
          <w:ilvl w:val="1"/>
          <w:numId w:val="4"/>
        </w:numPr>
        <w:spacing w:line="400" w:lineRule="exact"/>
        <w:ind w:left="0" w:firstLine="241" w:firstLineChars="100"/>
        <w:rPr>
          <w:rFonts w:hint="eastAsia" w:ascii="宋体" w:hAnsi="宋体" w:cs="宋体"/>
          <w:b/>
          <w:color w:val="auto"/>
          <w:sz w:val="24"/>
        </w:rPr>
      </w:pPr>
      <w:bookmarkStart w:id="550" w:name="_Toc152045669"/>
      <w:bookmarkStart w:id="551" w:name="_Toc179632687"/>
      <w:bookmarkStart w:id="552" w:name="_Toc152042447"/>
      <w:bookmarkStart w:id="553" w:name="_Toc144974637"/>
      <w:r>
        <w:rPr>
          <w:rFonts w:hint="eastAsia" w:ascii="宋体" w:hAnsi="宋体" w:cs="宋体"/>
          <w:b/>
          <w:color w:val="auto"/>
          <w:sz w:val="24"/>
        </w:rPr>
        <w:t>施工控制网</w:t>
      </w:r>
      <w:bookmarkEnd w:id="550"/>
      <w:bookmarkEnd w:id="551"/>
      <w:bookmarkEnd w:id="552"/>
      <w:bookmarkEnd w:id="553"/>
    </w:p>
    <w:p w14:paraId="6650280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1481832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承包人应负责管理施工控制网点。施工控制网点丢失或损坏的，承包人应及时修复。承包人应承担施工控制网点的管理与修复费用，并在工程竣工后将施工控制网点移交发包人。</w:t>
      </w:r>
    </w:p>
    <w:p w14:paraId="1404DC80">
      <w:pPr>
        <w:numPr>
          <w:ilvl w:val="1"/>
          <w:numId w:val="4"/>
        </w:numPr>
        <w:spacing w:line="400" w:lineRule="exact"/>
        <w:ind w:left="0" w:firstLine="241" w:firstLineChars="100"/>
        <w:rPr>
          <w:rFonts w:hint="eastAsia" w:ascii="宋体" w:hAnsi="宋体" w:cs="宋体"/>
          <w:b/>
          <w:color w:val="auto"/>
          <w:sz w:val="24"/>
        </w:rPr>
      </w:pPr>
      <w:bookmarkStart w:id="554" w:name="_Toc179632688"/>
      <w:bookmarkStart w:id="555" w:name="_Toc152042448"/>
      <w:bookmarkStart w:id="556" w:name="_Toc152045670"/>
      <w:bookmarkStart w:id="557" w:name="_Toc144974638"/>
      <w:r>
        <w:rPr>
          <w:rFonts w:hint="eastAsia" w:ascii="宋体" w:hAnsi="宋体" w:cs="宋体"/>
          <w:b/>
          <w:color w:val="auto"/>
          <w:sz w:val="24"/>
        </w:rPr>
        <w:t>施工测量</w:t>
      </w:r>
      <w:bookmarkEnd w:id="554"/>
      <w:bookmarkEnd w:id="555"/>
      <w:bookmarkEnd w:id="556"/>
      <w:bookmarkEnd w:id="557"/>
    </w:p>
    <w:p w14:paraId="3F92124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承包人应负责施工过程中的全部施工测量放线工作，并配置合格的人员、仪器、设备和其他物品。</w:t>
      </w:r>
    </w:p>
    <w:p w14:paraId="5B47004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监理人可以指示承包人进行抽样复测，当复测中发现错误或出现超过合同约定的误差时，承包人应按监理人指示进行修正或补测，并承担相应的复测费用。</w:t>
      </w:r>
    </w:p>
    <w:p w14:paraId="2CBE7343">
      <w:pPr>
        <w:numPr>
          <w:ilvl w:val="1"/>
          <w:numId w:val="4"/>
        </w:numPr>
        <w:spacing w:line="400" w:lineRule="exact"/>
        <w:ind w:left="0" w:firstLine="241" w:firstLineChars="100"/>
        <w:rPr>
          <w:rFonts w:hint="eastAsia" w:ascii="宋体" w:hAnsi="宋体" w:cs="宋体"/>
          <w:b/>
          <w:color w:val="auto"/>
          <w:sz w:val="24"/>
        </w:rPr>
      </w:pPr>
      <w:bookmarkStart w:id="558" w:name="_Toc152045671"/>
      <w:bookmarkStart w:id="559" w:name="_Toc179632689"/>
      <w:bookmarkStart w:id="560" w:name="_Toc152042449"/>
      <w:bookmarkStart w:id="561" w:name="_Toc144974639"/>
      <w:r>
        <w:rPr>
          <w:rFonts w:hint="eastAsia" w:ascii="宋体" w:hAnsi="宋体" w:cs="宋体"/>
          <w:b/>
          <w:color w:val="auto"/>
          <w:sz w:val="24"/>
        </w:rPr>
        <w:t>基准资料错误的责任</w:t>
      </w:r>
      <w:bookmarkEnd w:id="558"/>
      <w:bookmarkEnd w:id="559"/>
      <w:bookmarkEnd w:id="560"/>
      <w:bookmarkEnd w:id="561"/>
    </w:p>
    <w:p w14:paraId="19BBF61B">
      <w:pPr>
        <w:spacing w:line="400" w:lineRule="exact"/>
        <w:ind w:firstLine="440" w:firstLineChars="200"/>
        <w:rPr>
          <w:rFonts w:hint="eastAsia" w:ascii="宋体" w:hAnsi="宋体" w:cs="宋体"/>
          <w:color w:val="auto"/>
        </w:rPr>
      </w:pPr>
      <w:r>
        <w:rPr>
          <w:rFonts w:hint="eastAsia" w:ascii="宋体" w:hAnsi="宋体" w:cs="宋体"/>
          <w:color w:val="auto"/>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2372098">
      <w:pPr>
        <w:numPr>
          <w:ilvl w:val="1"/>
          <w:numId w:val="4"/>
        </w:numPr>
        <w:spacing w:line="400" w:lineRule="exact"/>
        <w:ind w:left="0" w:firstLine="241" w:firstLineChars="100"/>
        <w:rPr>
          <w:rFonts w:hint="eastAsia" w:ascii="宋体" w:hAnsi="宋体" w:cs="宋体"/>
          <w:b/>
          <w:color w:val="auto"/>
          <w:sz w:val="24"/>
        </w:rPr>
      </w:pPr>
      <w:bookmarkStart w:id="562" w:name="_Toc179632690"/>
      <w:bookmarkStart w:id="563" w:name="_Toc144974640"/>
      <w:bookmarkStart w:id="564" w:name="_Toc152042450"/>
      <w:bookmarkStart w:id="565" w:name="_Toc152045672"/>
      <w:r>
        <w:rPr>
          <w:rFonts w:hint="eastAsia" w:ascii="宋体" w:hAnsi="宋体" w:cs="宋体"/>
          <w:b/>
          <w:color w:val="auto"/>
          <w:sz w:val="24"/>
        </w:rPr>
        <w:t>监理人使用施工控制网</w:t>
      </w:r>
      <w:bookmarkEnd w:id="562"/>
      <w:bookmarkEnd w:id="563"/>
      <w:bookmarkEnd w:id="564"/>
      <w:bookmarkEnd w:id="565"/>
    </w:p>
    <w:p w14:paraId="2978B4A1">
      <w:pPr>
        <w:spacing w:line="400" w:lineRule="exact"/>
        <w:ind w:firstLine="440" w:firstLineChars="200"/>
        <w:rPr>
          <w:rFonts w:hint="eastAsia" w:ascii="宋体" w:hAnsi="宋体" w:cs="宋体"/>
          <w:color w:val="auto"/>
        </w:rPr>
      </w:pPr>
      <w:r>
        <w:rPr>
          <w:rFonts w:hint="eastAsia" w:ascii="宋体" w:hAnsi="宋体" w:cs="宋体"/>
          <w:color w:val="auto"/>
        </w:rPr>
        <w:t>监理人需要使用施工控制网的，承包人应提供必要的协助，发包人不再为此支付费用。</w:t>
      </w:r>
    </w:p>
    <w:p w14:paraId="1F4B85AA">
      <w:pPr>
        <w:pStyle w:val="75"/>
        <w:numPr>
          <w:ilvl w:val="0"/>
          <w:numId w:val="4"/>
        </w:numPr>
        <w:spacing w:before="0"/>
        <w:ind w:left="0" w:firstLine="0"/>
        <w:outlineLvl w:val="9"/>
        <w:rPr>
          <w:rFonts w:hint="eastAsia" w:ascii="宋体" w:hAnsi="宋体" w:eastAsia="宋体"/>
          <w:b/>
          <w:bCs/>
          <w:color w:val="auto"/>
          <w:sz w:val="24"/>
          <w:szCs w:val="24"/>
        </w:rPr>
      </w:pPr>
      <w:bookmarkStart w:id="566" w:name="_Toc19761"/>
      <w:bookmarkStart w:id="567" w:name="_Toc631"/>
      <w:bookmarkStart w:id="568" w:name="_Toc58398565"/>
      <w:r>
        <w:rPr>
          <w:rFonts w:hint="eastAsia" w:ascii="宋体" w:hAnsi="宋体" w:eastAsia="宋体"/>
          <w:b/>
          <w:bCs/>
          <w:color w:val="auto"/>
          <w:sz w:val="24"/>
          <w:szCs w:val="24"/>
        </w:rPr>
        <w:t>施工安全、治安保卫和环境保护</w:t>
      </w:r>
      <w:bookmarkEnd w:id="566"/>
      <w:bookmarkEnd w:id="567"/>
      <w:bookmarkEnd w:id="568"/>
    </w:p>
    <w:p w14:paraId="4224F640">
      <w:pPr>
        <w:numPr>
          <w:ilvl w:val="1"/>
          <w:numId w:val="4"/>
        </w:numPr>
        <w:spacing w:line="400" w:lineRule="exact"/>
        <w:ind w:left="0" w:firstLine="241" w:firstLineChars="100"/>
        <w:rPr>
          <w:rFonts w:hint="eastAsia" w:ascii="宋体" w:hAnsi="宋体" w:cs="宋体"/>
          <w:b/>
          <w:color w:val="auto"/>
          <w:sz w:val="24"/>
        </w:rPr>
      </w:pPr>
      <w:bookmarkStart w:id="569" w:name="_Toc152045674"/>
      <w:bookmarkStart w:id="570" w:name="_Toc179632692"/>
      <w:bookmarkStart w:id="571" w:name="_Toc144974642"/>
      <w:bookmarkStart w:id="572" w:name="_Toc152042452"/>
      <w:r>
        <w:rPr>
          <w:rFonts w:hint="eastAsia" w:ascii="宋体" w:hAnsi="宋体" w:cs="宋体"/>
          <w:b/>
          <w:color w:val="auto"/>
          <w:sz w:val="24"/>
        </w:rPr>
        <w:t>发包人的施工安全责任</w:t>
      </w:r>
      <w:bookmarkEnd w:id="569"/>
      <w:bookmarkEnd w:id="570"/>
      <w:bookmarkEnd w:id="571"/>
      <w:bookmarkEnd w:id="572"/>
    </w:p>
    <w:p w14:paraId="5D79683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发包人应按合同约定履行安全职责，授权监理人按合同约定的安全工作内容监督、检查承包人安全工作的实施，组织承包人和有关单位进行安全检查。</w:t>
      </w:r>
    </w:p>
    <w:p w14:paraId="2402FFE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发包人应对其现场机构雇佣的全部人员的工伤事故承担责任，但由于承包人原因造成发包人人员工伤的，应由承包人承担责任。</w:t>
      </w:r>
    </w:p>
    <w:p w14:paraId="61123B6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发包人应负责赔偿以下各种情况造成的第三者人身伤亡和财产损失：</w:t>
      </w:r>
    </w:p>
    <w:p w14:paraId="4AFEB6B0">
      <w:pPr>
        <w:numPr>
          <w:ilvl w:val="0"/>
          <w:numId w:val="7"/>
        </w:numPr>
        <w:spacing w:line="400" w:lineRule="exact"/>
        <w:ind w:left="0" w:firstLine="440" w:firstLineChars="200"/>
        <w:rPr>
          <w:rFonts w:hint="eastAsia" w:ascii="宋体" w:hAnsi="宋体" w:cs="宋体"/>
          <w:color w:val="auto"/>
        </w:rPr>
      </w:pPr>
      <w:r>
        <w:rPr>
          <w:rFonts w:hint="eastAsia" w:ascii="宋体" w:hAnsi="宋体" w:cs="宋体"/>
          <w:color w:val="auto"/>
        </w:rPr>
        <w:t>工程或工程的任何部分对土地的占用所造成的第三者财产损失；</w:t>
      </w:r>
    </w:p>
    <w:p w14:paraId="5D2BD50F">
      <w:pPr>
        <w:numPr>
          <w:ilvl w:val="0"/>
          <w:numId w:val="7"/>
        </w:numPr>
        <w:spacing w:line="400" w:lineRule="exact"/>
        <w:ind w:left="0" w:firstLine="440" w:firstLineChars="200"/>
        <w:rPr>
          <w:rFonts w:hint="eastAsia" w:ascii="宋体" w:hAnsi="宋体" w:cs="宋体"/>
          <w:color w:val="auto"/>
        </w:rPr>
      </w:pPr>
      <w:r>
        <w:rPr>
          <w:rFonts w:hint="eastAsia" w:ascii="宋体" w:hAnsi="宋体" w:cs="宋体"/>
          <w:color w:val="auto"/>
        </w:rPr>
        <w:t>由于发包人原因在施工场地及其毗邻地带造成的第三者人身伤亡和财产损失。</w:t>
      </w:r>
    </w:p>
    <w:p w14:paraId="3000EB11">
      <w:pPr>
        <w:numPr>
          <w:ilvl w:val="1"/>
          <w:numId w:val="4"/>
        </w:numPr>
        <w:spacing w:line="400" w:lineRule="exact"/>
        <w:ind w:left="0" w:firstLine="241" w:firstLineChars="100"/>
        <w:rPr>
          <w:rFonts w:hint="eastAsia" w:ascii="宋体" w:hAnsi="宋体" w:cs="宋体"/>
          <w:b/>
          <w:color w:val="auto"/>
          <w:sz w:val="24"/>
        </w:rPr>
      </w:pPr>
      <w:bookmarkStart w:id="573" w:name="_Toc144974643"/>
      <w:bookmarkStart w:id="574" w:name="_Toc152045675"/>
      <w:bookmarkStart w:id="575" w:name="_Toc179632693"/>
      <w:bookmarkStart w:id="576" w:name="_Toc152042453"/>
      <w:r>
        <w:rPr>
          <w:rFonts w:hint="eastAsia" w:ascii="宋体" w:hAnsi="宋体" w:cs="宋体"/>
          <w:b/>
          <w:color w:val="auto"/>
          <w:sz w:val="24"/>
        </w:rPr>
        <w:t>承包人的施工安全责任</w:t>
      </w:r>
      <w:bookmarkEnd w:id="573"/>
      <w:bookmarkEnd w:id="574"/>
      <w:bookmarkEnd w:id="575"/>
      <w:bookmarkEnd w:id="576"/>
    </w:p>
    <w:p w14:paraId="2257394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承包人应按合同约定履行安全职责，执行监理人有关安全工作的指示，并在专用合同条款约定的期限内，按合同约定的安全工作内容，编制施工安全措施计划报送监理人审批。</w:t>
      </w:r>
    </w:p>
    <w:p w14:paraId="35BE0D6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承包人应加强施工作业安全管理，特别应加强易燃、易爆材料、火工器材、有毒与腐蚀性材料和其他危险品的管理，以及对爆破作业和地下工程施工等危险作业的管理。</w:t>
      </w:r>
    </w:p>
    <w:p w14:paraId="69BA3A8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承包人应严格按照国家安全标准制定施工安全操作规程，配备必要的安全生产和劳动保护设施，加强对承包人人员的安全教育，并发放安全工作手册和劳动保护用具。</w:t>
      </w:r>
    </w:p>
    <w:p w14:paraId="2BC0C9D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承包人应按监理人的指示制定应对灾害的紧急预案，报送监理人审批。承包人还应按预案做好安全检查，配置必要的救助物资和器材，切实保护好有关人员的人身和财产安全。</w:t>
      </w:r>
    </w:p>
    <w:p w14:paraId="5C2DD2A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合同约定的安全作业环境及安全施工措施所需费用应遵守有关规定，并包括在相关工作的合同价格中。因采取合同未约定的安全作业环境及安全施工措施增加的费用，由监理人按第3.5款商定或确定。</w:t>
      </w:r>
    </w:p>
    <w:p w14:paraId="6103247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承包人应对其履行合同所雇佣的全部人员，包括分包人人员的工伤事故承担责任，但由于发包人原因造成承包人人员工伤事故的，应由发包人承担责任。</w:t>
      </w:r>
    </w:p>
    <w:p w14:paraId="20D8C58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由于承包人原因在施工场地内及其毗邻地带造成的第三者人员伤亡和财产损失，由承包人负责赔偿。</w:t>
      </w:r>
    </w:p>
    <w:p w14:paraId="2377E065">
      <w:pPr>
        <w:numPr>
          <w:ilvl w:val="1"/>
          <w:numId w:val="4"/>
        </w:numPr>
        <w:spacing w:line="400" w:lineRule="exact"/>
        <w:ind w:left="0" w:firstLine="241" w:firstLineChars="100"/>
        <w:rPr>
          <w:rFonts w:hint="eastAsia" w:ascii="宋体" w:hAnsi="宋体" w:cs="宋体"/>
          <w:b/>
          <w:color w:val="auto"/>
          <w:sz w:val="24"/>
        </w:rPr>
      </w:pPr>
      <w:bookmarkStart w:id="577" w:name="_Toc179632694"/>
      <w:bookmarkStart w:id="578" w:name="_Toc152042454"/>
      <w:bookmarkStart w:id="579" w:name="_Toc152045676"/>
      <w:bookmarkStart w:id="580" w:name="_Toc144974644"/>
      <w:r>
        <w:rPr>
          <w:rFonts w:hint="eastAsia" w:ascii="宋体" w:hAnsi="宋体" w:cs="宋体"/>
          <w:b/>
          <w:color w:val="auto"/>
          <w:sz w:val="24"/>
        </w:rPr>
        <w:t>治安保卫</w:t>
      </w:r>
      <w:bookmarkEnd w:id="577"/>
      <w:bookmarkEnd w:id="578"/>
      <w:bookmarkEnd w:id="579"/>
      <w:bookmarkEnd w:id="580"/>
    </w:p>
    <w:p w14:paraId="3E3E911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除合同另有约定外，发包人应与当地公安部门协商，在现场建立治安管理机构或联防组织，统一管理施工场地的治安保卫事项，履行合同工程的治安保卫职责。</w:t>
      </w:r>
    </w:p>
    <w:p w14:paraId="4E32F84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发包人和承包人除应协助现场治安管理机构或联防组织维护施工场地的社会治安外，还应做好包括生活区在内的各自管辖区的治安保卫工作。</w:t>
      </w:r>
    </w:p>
    <w:p w14:paraId="4B30DEE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424F6A65">
      <w:pPr>
        <w:numPr>
          <w:ilvl w:val="1"/>
          <w:numId w:val="4"/>
        </w:numPr>
        <w:spacing w:line="400" w:lineRule="exact"/>
        <w:ind w:left="0" w:firstLine="241" w:firstLineChars="100"/>
        <w:rPr>
          <w:rFonts w:hint="eastAsia" w:ascii="宋体" w:hAnsi="宋体" w:cs="宋体"/>
          <w:b/>
          <w:color w:val="auto"/>
          <w:sz w:val="24"/>
        </w:rPr>
      </w:pPr>
      <w:bookmarkStart w:id="581" w:name="_Toc152042455"/>
      <w:bookmarkStart w:id="582" w:name="_Toc144974645"/>
      <w:bookmarkStart w:id="583" w:name="_Toc152045677"/>
      <w:bookmarkStart w:id="584" w:name="_Toc179632695"/>
      <w:r>
        <w:rPr>
          <w:rFonts w:hint="eastAsia" w:ascii="宋体" w:hAnsi="宋体" w:cs="宋体"/>
          <w:b/>
          <w:color w:val="auto"/>
          <w:sz w:val="24"/>
        </w:rPr>
        <w:t>环境保护</w:t>
      </w:r>
      <w:bookmarkEnd w:id="581"/>
      <w:bookmarkEnd w:id="582"/>
      <w:bookmarkEnd w:id="583"/>
      <w:bookmarkEnd w:id="584"/>
    </w:p>
    <w:p w14:paraId="5305E23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承包人在施工过程中，应遵守有关环境保护的法律，履行合同约定的环境保护义务，并对违反法律和合同约定义务所造成的环境破坏、人身伤害和财产损失负责。</w:t>
      </w:r>
    </w:p>
    <w:p w14:paraId="298685F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承包人应按合同约定的环保工作内容，编制施工环保措施计划，报送监理人审批。</w:t>
      </w:r>
    </w:p>
    <w:p w14:paraId="51B87D0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333C75D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承包人应按合同约定采取有效措施，对施工开挖的边坡及时进行支护，维护排水设施，并进行水土保护，避免因施工造成的地质灾害。</w:t>
      </w:r>
    </w:p>
    <w:p w14:paraId="6596423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承包人应按国家饮用水管理标准定期对饮用水源进行监测，防止施工活动污染饮用水源。</w:t>
      </w:r>
    </w:p>
    <w:p w14:paraId="50C7043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承包人应按合同约定，加强对噪声、粉尘、废气、废水和废油的控制，努力降低噪声，控制粉尘和废气浓度，做好废水和废油的治理和排放。</w:t>
      </w:r>
    </w:p>
    <w:p w14:paraId="5C24265B">
      <w:pPr>
        <w:numPr>
          <w:ilvl w:val="1"/>
          <w:numId w:val="4"/>
        </w:numPr>
        <w:spacing w:line="400" w:lineRule="exact"/>
        <w:ind w:left="0" w:firstLine="241" w:firstLineChars="100"/>
        <w:rPr>
          <w:rFonts w:hint="eastAsia" w:ascii="宋体" w:hAnsi="宋体" w:cs="宋体"/>
          <w:b/>
          <w:color w:val="auto"/>
          <w:sz w:val="24"/>
        </w:rPr>
      </w:pPr>
      <w:bookmarkStart w:id="585" w:name="_Toc144974646"/>
      <w:bookmarkStart w:id="586" w:name="_Toc179632696"/>
      <w:bookmarkStart w:id="587" w:name="_Toc152045678"/>
      <w:bookmarkStart w:id="588" w:name="_Toc152042456"/>
      <w:r>
        <w:rPr>
          <w:rFonts w:hint="eastAsia" w:ascii="宋体" w:hAnsi="宋体" w:cs="宋体"/>
          <w:b/>
          <w:color w:val="auto"/>
          <w:sz w:val="24"/>
        </w:rPr>
        <w:t>事故处理</w:t>
      </w:r>
      <w:bookmarkEnd w:id="585"/>
      <w:bookmarkEnd w:id="586"/>
      <w:bookmarkEnd w:id="587"/>
      <w:bookmarkEnd w:id="588"/>
    </w:p>
    <w:p w14:paraId="6AEE96FC">
      <w:pPr>
        <w:spacing w:line="400" w:lineRule="exact"/>
        <w:ind w:firstLine="440" w:firstLineChars="200"/>
        <w:rPr>
          <w:rFonts w:hint="eastAsia" w:ascii="宋体" w:hAnsi="宋体" w:cs="宋体"/>
          <w:color w:val="auto"/>
        </w:rPr>
      </w:pPr>
      <w:r>
        <w:rPr>
          <w:rFonts w:hint="eastAsia" w:ascii="宋体" w:hAnsi="宋体" w:cs="宋体"/>
          <w:color w:val="auto"/>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做出标记和书面记录，妥善保管有关证据。发包人和承包人应按国家有关规定，及时如实地向有关部门报告事故发生的情况，以及正在采取的紧急措施等。</w:t>
      </w:r>
    </w:p>
    <w:p w14:paraId="03A4C113">
      <w:pPr>
        <w:pStyle w:val="75"/>
        <w:numPr>
          <w:ilvl w:val="0"/>
          <w:numId w:val="4"/>
        </w:numPr>
        <w:spacing w:before="0"/>
        <w:ind w:left="0" w:firstLine="0"/>
        <w:outlineLvl w:val="9"/>
        <w:rPr>
          <w:rFonts w:hint="eastAsia" w:ascii="宋体" w:hAnsi="宋体" w:eastAsia="宋体"/>
          <w:b/>
          <w:bCs/>
          <w:color w:val="auto"/>
          <w:sz w:val="24"/>
          <w:szCs w:val="24"/>
        </w:rPr>
      </w:pPr>
      <w:bookmarkStart w:id="589" w:name="_Toc15603"/>
      <w:bookmarkStart w:id="590" w:name="_Toc58398566"/>
      <w:bookmarkStart w:id="591" w:name="_Toc152045679"/>
      <w:bookmarkStart w:id="592" w:name="_Toc144974647"/>
      <w:bookmarkStart w:id="593" w:name="_Toc10061"/>
      <w:bookmarkStart w:id="594" w:name="_Toc152042457"/>
      <w:bookmarkStart w:id="595" w:name="_Toc179632697"/>
      <w:r>
        <w:rPr>
          <w:rFonts w:hint="eastAsia" w:ascii="宋体" w:hAnsi="宋体" w:eastAsia="宋体"/>
          <w:b/>
          <w:bCs/>
          <w:color w:val="auto"/>
          <w:sz w:val="24"/>
          <w:szCs w:val="24"/>
        </w:rPr>
        <w:t>进度计划</w:t>
      </w:r>
      <w:bookmarkEnd w:id="589"/>
      <w:bookmarkEnd w:id="590"/>
      <w:bookmarkEnd w:id="591"/>
      <w:bookmarkEnd w:id="592"/>
      <w:bookmarkEnd w:id="593"/>
      <w:bookmarkEnd w:id="594"/>
      <w:bookmarkEnd w:id="595"/>
    </w:p>
    <w:p w14:paraId="40AD3DB9">
      <w:pPr>
        <w:numPr>
          <w:ilvl w:val="1"/>
          <w:numId w:val="4"/>
        </w:numPr>
        <w:spacing w:line="400" w:lineRule="exact"/>
        <w:ind w:left="0" w:firstLine="241" w:firstLineChars="100"/>
        <w:rPr>
          <w:rFonts w:hint="eastAsia" w:ascii="宋体" w:hAnsi="宋体" w:cs="宋体"/>
          <w:b/>
          <w:color w:val="auto"/>
          <w:sz w:val="24"/>
        </w:rPr>
      </w:pPr>
      <w:bookmarkStart w:id="596" w:name="_Toc152045680"/>
      <w:bookmarkStart w:id="597" w:name="_Toc144974648"/>
      <w:bookmarkStart w:id="598" w:name="_Toc179632698"/>
      <w:bookmarkStart w:id="599" w:name="_Toc152042458"/>
      <w:r>
        <w:rPr>
          <w:rFonts w:hint="eastAsia" w:ascii="宋体" w:hAnsi="宋体" w:cs="宋体"/>
          <w:b/>
          <w:color w:val="auto"/>
          <w:sz w:val="24"/>
        </w:rPr>
        <w:t>合同进度计划</w:t>
      </w:r>
      <w:bookmarkEnd w:id="596"/>
      <w:bookmarkEnd w:id="597"/>
      <w:bookmarkEnd w:id="598"/>
      <w:bookmarkEnd w:id="599"/>
    </w:p>
    <w:p w14:paraId="516004D9">
      <w:pPr>
        <w:spacing w:line="400" w:lineRule="exact"/>
        <w:ind w:firstLine="440" w:firstLineChars="200"/>
        <w:rPr>
          <w:rFonts w:hint="eastAsia" w:ascii="宋体" w:hAnsi="宋体" w:cs="宋体"/>
          <w:color w:val="auto"/>
        </w:rPr>
      </w:pPr>
      <w:r>
        <w:rPr>
          <w:rFonts w:hint="eastAsia" w:ascii="宋体" w:hAnsi="宋体" w:cs="宋体"/>
          <w:color w:val="auto"/>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0E1F4B93">
      <w:pPr>
        <w:numPr>
          <w:ilvl w:val="1"/>
          <w:numId w:val="4"/>
        </w:numPr>
        <w:spacing w:line="400" w:lineRule="exact"/>
        <w:ind w:left="0" w:firstLine="241" w:firstLineChars="100"/>
        <w:rPr>
          <w:rFonts w:hint="eastAsia" w:ascii="宋体" w:hAnsi="宋体" w:cs="宋体"/>
          <w:b/>
          <w:color w:val="auto"/>
          <w:sz w:val="24"/>
        </w:rPr>
      </w:pPr>
      <w:bookmarkStart w:id="600" w:name="_Toc152045681"/>
      <w:bookmarkStart w:id="601" w:name="_Toc144974649"/>
      <w:bookmarkStart w:id="602" w:name="_Toc152042459"/>
      <w:bookmarkStart w:id="603" w:name="_Toc179632699"/>
      <w:r>
        <w:rPr>
          <w:rFonts w:hint="eastAsia" w:ascii="宋体" w:hAnsi="宋体" w:cs="宋体"/>
          <w:b/>
          <w:color w:val="auto"/>
          <w:sz w:val="24"/>
        </w:rPr>
        <w:t>合同进度计划的修订</w:t>
      </w:r>
      <w:bookmarkEnd w:id="600"/>
      <w:bookmarkEnd w:id="601"/>
      <w:bookmarkEnd w:id="602"/>
      <w:bookmarkEnd w:id="603"/>
    </w:p>
    <w:p w14:paraId="165C44B9">
      <w:pPr>
        <w:spacing w:line="400" w:lineRule="exact"/>
        <w:ind w:firstLine="440" w:firstLineChars="200"/>
        <w:rPr>
          <w:rFonts w:hint="eastAsia" w:ascii="宋体" w:hAnsi="宋体" w:cs="宋体"/>
          <w:color w:val="auto"/>
        </w:rPr>
      </w:pPr>
      <w:r>
        <w:rPr>
          <w:rFonts w:hint="eastAsia" w:ascii="宋体" w:hAnsi="宋体" w:cs="宋体"/>
          <w:color w:val="auto"/>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09F9B41A">
      <w:pPr>
        <w:pStyle w:val="75"/>
        <w:numPr>
          <w:ilvl w:val="0"/>
          <w:numId w:val="4"/>
        </w:numPr>
        <w:spacing w:before="0"/>
        <w:ind w:left="0" w:firstLine="0"/>
        <w:outlineLvl w:val="9"/>
        <w:rPr>
          <w:rFonts w:hint="eastAsia" w:ascii="宋体" w:hAnsi="宋体" w:eastAsia="宋体"/>
          <w:b/>
          <w:bCs/>
          <w:color w:val="auto"/>
          <w:sz w:val="24"/>
          <w:szCs w:val="24"/>
        </w:rPr>
      </w:pPr>
      <w:bookmarkStart w:id="604" w:name="_Toc144974650"/>
      <w:bookmarkStart w:id="605" w:name="_Toc179632700"/>
      <w:bookmarkStart w:id="606" w:name="_Toc11026"/>
      <w:bookmarkStart w:id="607" w:name="_Toc152045682"/>
      <w:bookmarkStart w:id="608" w:name="_Toc152042460"/>
      <w:bookmarkStart w:id="609" w:name="_Toc22043"/>
      <w:bookmarkStart w:id="610" w:name="_Toc58398567"/>
      <w:r>
        <w:rPr>
          <w:rFonts w:hint="eastAsia" w:ascii="宋体" w:hAnsi="宋体" w:eastAsia="宋体"/>
          <w:b/>
          <w:bCs/>
          <w:color w:val="auto"/>
          <w:sz w:val="24"/>
          <w:szCs w:val="24"/>
        </w:rPr>
        <w:t>开工和竣工</w:t>
      </w:r>
      <w:bookmarkEnd w:id="604"/>
      <w:bookmarkEnd w:id="605"/>
      <w:bookmarkEnd w:id="606"/>
      <w:bookmarkEnd w:id="607"/>
      <w:bookmarkEnd w:id="608"/>
      <w:bookmarkEnd w:id="609"/>
      <w:bookmarkEnd w:id="610"/>
    </w:p>
    <w:p w14:paraId="51D93E60">
      <w:pPr>
        <w:numPr>
          <w:ilvl w:val="1"/>
          <w:numId w:val="4"/>
        </w:numPr>
        <w:spacing w:line="400" w:lineRule="exact"/>
        <w:ind w:left="0" w:firstLine="241" w:firstLineChars="100"/>
        <w:rPr>
          <w:rFonts w:hint="eastAsia" w:ascii="宋体" w:hAnsi="宋体" w:cs="宋体"/>
          <w:b/>
          <w:color w:val="auto"/>
          <w:sz w:val="24"/>
        </w:rPr>
      </w:pPr>
      <w:bookmarkStart w:id="611" w:name="_Toc152045683"/>
      <w:bookmarkStart w:id="612" w:name="_Toc179632701"/>
      <w:bookmarkStart w:id="613" w:name="_Toc144974651"/>
      <w:bookmarkStart w:id="614" w:name="_Toc152042461"/>
      <w:r>
        <w:rPr>
          <w:rFonts w:hint="eastAsia" w:ascii="宋体" w:hAnsi="宋体" w:cs="宋体"/>
          <w:b/>
          <w:color w:val="auto"/>
          <w:sz w:val="24"/>
        </w:rPr>
        <w:t>开工</w:t>
      </w:r>
      <w:bookmarkEnd w:id="611"/>
      <w:bookmarkEnd w:id="612"/>
      <w:bookmarkEnd w:id="613"/>
      <w:bookmarkEnd w:id="614"/>
    </w:p>
    <w:p w14:paraId="48BCA44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监理人应在开工日期7天前向承包人发出开工通知。监理人在发出开工通知前应获得发包人同意。工期自监理人发出的开工通知中载明的开工日期起计算。承包人应在开工日期后尽快施工。</w:t>
      </w:r>
    </w:p>
    <w:p w14:paraId="01FE0C6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D2FD5EB">
      <w:pPr>
        <w:numPr>
          <w:ilvl w:val="1"/>
          <w:numId w:val="4"/>
        </w:numPr>
        <w:spacing w:line="400" w:lineRule="exact"/>
        <w:ind w:left="0" w:firstLine="241" w:firstLineChars="100"/>
        <w:rPr>
          <w:rFonts w:hint="eastAsia" w:ascii="宋体" w:hAnsi="宋体" w:cs="宋体"/>
          <w:b/>
          <w:color w:val="auto"/>
          <w:sz w:val="24"/>
        </w:rPr>
      </w:pPr>
      <w:bookmarkStart w:id="615" w:name="_Toc179632702"/>
      <w:bookmarkStart w:id="616" w:name="_Toc144974652"/>
      <w:bookmarkStart w:id="617" w:name="_Toc152042462"/>
      <w:bookmarkStart w:id="618" w:name="_Toc152045684"/>
      <w:r>
        <w:rPr>
          <w:rFonts w:hint="eastAsia" w:ascii="宋体" w:hAnsi="宋体" w:cs="宋体"/>
          <w:b/>
          <w:color w:val="auto"/>
          <w:sz w:val="24"/>
        </w:rPr>
        <w:t>竣工</w:t>
      </w:r>
      <w:bookmarkEnd w:id="615"/>
      <w:bookmarkEnd w:id="616"/>
      <w:bookmarkEnd w:id="617"/>
      <w:bookmarkEnd w:id="618"/>
    </w:p>
    <w:p w14:paraId="1E5B4E45">
      <w:pPr>
        <w:spacing w:line="400" w:lineRule="exact"/>
        <w:ind w:firstLine="440" w:firstLineChars="200"/>
        <w:rPr>
          <w:rFonts w:hint="eastAsia" w:ascii="宋体" w:hAnsi="宋体" w:cs="宋体"/>
          <w:color w:val="auto"/>
        </w:rPr>
      </w:pPr>
      <w:r>
        <w:rPr>
          <w:rFonts w:hint="eastAsia" w:ascii="宋体" w:hAnsi="宋体" w:cs="宋体"/>
          <w:color w:val="auto"/>
        </w:rPr>
        <w:t>承包人应在第1.1.4.3目约定的期限内完成合同工程。实际竣工日期在接收证书中写明。</w:t>
      </w:r>
    </w:p>
    <w:p w14:paraId="171B1A6C">
      <w:pPr>
        <w:numPr>
          <w:ilvl w:val="1"/>
          <w:numId w:val="4"/>
        </w:numPr>
        <w:spacing w:line="400" w:lineRule="exact"/>
        <w:ind w:left="0" w:firstLine="241" w:firstLineChars="100"/>
        <w:rPr>
          <w:rFonts w:hint="eastAsia" w:ascii="宋体" w:hAnsi="宋体" w:cs="宋体"/>
          <w:b/>
          <w:color w:val="auto"/>
          <w:sz w:val="24"/>
        </w:rPr>
      </w:pPr>
      <w:bookmarkStart w:id="619" w:name="_Toc144974653"/>
      <w:bookmarkStart w:id="620" w:name="_Toc179632703"/>
      <w:bookmarkStart w:id="621" w:name="_Toc152045685"/>
      <w:bookmarkStart w:id="622" w:name="_Toc152042463"/>
      <w:r>
        <w:rPr>
          <w:rFonts w:hint="eastAsia" w:ascii="宋体" w:hAnsi="宋体" w:cs="宋体"/>
          <w:b/>
          <w:color w:val="auto"/>
          <w:sz w:val="24"/>
        </w:rPr>
        <w:t>发包人的工期延误</w:t>
      </w:r>
      <w:bookmarkEnd w:id="619"/>
      <w:bookmarkEnd w:id="620"/>
      <w:bookmarkEnd w:id="621"/>
      <w:bookmarkEnd w:id="622"/>
    </w:p>
    <w:p w14:paraId="5F63F6C5">
      <w:pPr>
        <w:spacing w:line="400" w:lineRule="exact"/>
        <w:ind w:firstLine="440" w:firstLineChars="200"/>
        <w:rPr>
          <w:rFonts w:hint="eastAsia" w:ascii="宋体" w:hAnsi="宋体" w:cs="宋体"/>
          <w:color w:val="auto"/>
        </w:rPr>
      </w:pPr>
      <w:r>
        <w:rPr>
          <w:rFonts w:hint="eastAsia" w:ascii="宋体" w:hAnsi="宋体" w:cs="宋体"/>
          <w:color w:val="auto"/>
        </w:rPr>
        <w:t>在履行合同过程中，由于发包人的下列原因造成工期延误的，承包人有权要求发包人延长工期和（或）增加费用，并支付合理利润。需要修订合同进度计划的，按照第10.2款的约定办理。</w:t>
      </w:r>
    </w:p>
    <w:p w14:paraId="75288A16">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增加合同工作内容；</w:t>
      </w:r>
    </w:p>
    <w:p w14:paraId="228D1C76">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改变合同中任何一项工作的质量要求或其他特性；</w:t>
      </w:r>
    </w:p>
    <w:p w14:paraId="3F1007BB">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发包人迟延提供材料、工程设备或变更交货地点的；</w:t>
      </w:r>
    </w:p>
    <w:p w14:paraId="52BC0952">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因发包人原因导致的暂停施工；</w:t>
      </w:r>
    </w:p>
    <w:p w14:paraId="1DC2FA5E">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提供图纸延误；</w:t>
      </w:r>
    </w:p>
    <w:p w14:paraId="7DD895B8">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未按合同约定及时支付预付款、进度款；</w:t>
      </w:r>
    </w:p>
    <w:p w14:paraId="66248437">
      <w:pPr>
        <w:numPr>
          <w:ilvl w:val="0"/>
          <w:numId w:val="8"/>
        </w:numPr>
        <w:spacing w:line="400" w:lineRule="exact"/>
        <w:ind w:left="0" w:firstLine="440" w:firstLineChars="200"/>
        <w:rPr>
          <w:rFonts w:hint="eastAsia" w:ascii="宋体" w:hAnsi="宋体" w:cs="宋体"/>
          <w:color w:val="auto"/>
        </w:rPr>
      </w:pPr>
      <w:r>
        <w:rPr>
          <w:rFonts w:hint="eastAsia" w:ascii="宋体" w:hAnsi="宋体" w:cs="宋体"/>
          <w:color w:val="auto"/>
        </w:rPr>
        <w:t>发包人造成工期延误的其他原因。</w:t>
      </w:r>
    </w:p>
    <w:p w14:paraId="4253B4B3">
      <w:pPr>
        <w:numPr>
          <w:ilvl w:val="1"/>
          <w:numId w:val="4"/>
        </w:numPr>
        <w:spacing w:line="400" w:lineRule="exact"/>
        <w:ind w:left="0" w:firstLine="241" w:firstLineChars="100"/>
        <w:rPr>
          <w:rFonts w:hint="eastAsia" w:ascii="宋体" w:hAnsi="宋体" w:cs="宋体"/>
          <w:b/>
          <w:color w:val="auto"/>
          <w:sz w:val="24"/>
        </w:rPr>
      </w:pPr>
      <w:bookmarkStart w:id="623" w:name="_Toc179632704"/>
      <w:bookmarkStart w:id="624" w:name="_Toc152045686"/>
      <w:bookmarkStart w:id="625" w:name="_Toc144974654"/>
      <w:bookmarkStart w:id="626" w:name="_Toc152042464"/>
      <w:r>
        <w:rPr>
          <w:rFonts w:hint="eastAsia" w:ascii="宋体" w:hAnsi="宋体" w:cs="宋体"/>
          <w:b/>
          <w:color w:val="auto"/>
          <w:sz w:val="24"/>
        </w:rPr>
        <w:t>异常恶劣的气候条件</w:t>
      </w:r>
      <w:bookmarkEnd w:id="623"/>
      <w:bookmarkEnd w:id="624"/>
      <w:bookmarkEnd w:id="625"/>
      <w:bookmarkEnd w:id="626"/>
    </w:p>
    <w:p w14:paraId="1924ACF9">
      <w:pPr>
        <w:spacing w:line="400" w:lineRule="exact"/>
        <w:ind w:firstLine="440" w:firstLineChars="200"/>
        <w:rPr>
          <w:rFonts w:hint="eastAsia" w:ascii="宋体" w:hAnsi="宋体" w:cs="宋体"/>
          <w:color w:val="auto"/>
        </w:rPr>
      </w:pPr>
      <w:r>
        <w:rPr>
          <w:rFonts w:hint="eastAsia" w:ascii="宋体" w:hAnsi="宋体" w:cs="宋体"/>
          <w:color w:val="auto"/>
        </w:rPr>
        <w:t>由于出现专用合同条款规定的异常恶劣气候的条件导致工期延误的，承包人有权要求发包人延长工期。</w:t>
      </w:r>
    </w:p>
    <w:p w14:paraId="6D458032">
      <w:pPr>
        <w:numPr>
          <w:ilvl w:val="1"/>
          <w:numId w:val="4"/>
        </w:numPr>
        <w:spacing w:line="400" w:lineRule="exact"/>
        <w:ind w:left="0" w:firstLine="241" w:firstLineChars="100"/>
        <w:rPr>
          <w:rFonts w:hint="eastAsia" w:ascii="宋体" w:hAnsi="宋体" w:cs="宋体"/>
          <w:b/>
          <w:color w:val="auto"/>
          <w:sz w:val="24"/>
        </w:rPr>
      </w:pPr>
      <w:bookmarkStart w:id="627" w:name="_Toc144974655"/>
      <w:bookmarkStart w:id="628" w:name="_Toc179632705"/>
      <w:bookmarkStart w:id="629" w:name="_Toc152045687"/>
      <w:bookmarkStart w:id="630" w:name="_Toc152042465"/>
      <w:r>
        <w:rPr>
          <w:rFonts w:hint="eastAsia" w:ascii="宋体" w:hAnsi="宋体" w:cs="宋体"/>
          <w:b/>
          <w:color w:val="auto"/>
          <w:sz w:val="24"/>
        </w:rPr>
        <w:t>承包人的工期延误</w:t>
      </w:r>
      <w:bookmarkEnd w:id="627"/>
      <w:bookmarkEnd w:id="628"/>
      <w:bookmarkEnd w:id="629"/>
      <w:bookmarkEnd w:id="630"/>
    </w:p>
    <w:p w14:paraId="717FFF65">
      <w:pPr>
        <w:spacing w:line="400" w:lineRule="exact"/>
        <w:ind w:firstLine="440" w:firstLineChars="200"/>
        <w:rPr>
          <w:rFonts w:hint="eastAsia" w:ascii="宋体" w:hAnsi="宋体" w:cs="宋体"/>
          <w:color w:val="auto"/>
        </w:rPr>
      </w:pPr>
      <w:r>
        <w:rPr>
          <w:rFonts w:hint="eastAsia" w:ascii="宋体" w:hAnsi="宋体" w:cs="宋体"/>
          <w:color w:val="auto"/>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422A0E3F">
      <w:pPr>
        <w:numPr>
          <w:ilvl w:val="1"/>
          <w:numId w:val="4"/>
        </w:numPr>
        <w:spacing w:line="400" w:lineRule="exact"/>
        <w:ind w:left="0" w:firstLine="241" w:firstLineChars="100"/>
        <w:rPr>
          <w:rFonts w:hint="eastAsia" w:ascii="宋体" w:hAnsi="宋体" w:cs="宋体"/>
          <w:b/>
          <w:color w:val="auto"/>
          <w:sz w:val="24"/>
        </w:rPr>
      </w:pPr>
      <w:bookmarkStart w:id="631" w:name="_Toc152045688"/>
      <w:bookmarkStart w:id="632" w:name="_Toc179632706"/>
      <w:bookmarkStart w:id="633" w:name="_Toc144974657"/>
      <w:bookmarkStart w:id="634" w:name="_Toc152042466"/>
      <w:r>
        <w:rPr>
          <w:rFonts w:hint="eastAsia" w:ascii="宋体" w:hAnsi="宋体" w:cs="宋体"/>
          <w:b/>
          <w:color w:val="auto"/>
          <w:sz w:val="24"/>
        </w:rPr>
        <w:t>工期提前</w:t>
      </w:r>
      <w:bookmarkEnd w:id="631"/>
      <w:bookmarkEnd w:id="632"/>
      <w:bookmarkEnd w:id="633"/>
      <w:bookmarkEnd w:id="634"/>
    </w:p>
    <w:p w14:paraId="74D8E457">
      <w:pPr>
        <w:spacing w:line="400" w:lineRule="exact"/>
        <w:ind w:firstLine="440" w:firstLineChars="200"/>
        <w:rPr>
          <w:rFonts w:hint="eastAsia" w:ascii="宋体" w:hAnsi="宋体" w:cs="宋体"/>
          <w:color w:val="auto"/>
        </w:rPr>
      </w:pPr>
      <w:r>
        <w:rPr>
          <w:rFonts w:hint="eastAsia" w:ascii="宋体" w:hAnsi="宋体" w:cs="宋体"/>
          <w:color w:val="auto"/>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14:paraId="65739A85">
      <w:pPr>
        <w:pStyle w:val="75"/>
        <w:numPr>
          <w:ilvl w:val="0"/>
          <w:numId w:val="4"/>
        </w:numPr>
        <w:spacing w:before="0"/>
        <w:ind w:left="0" w:firstLine="0"/>
        <w:outlineLvl w:val="9"/>
        <w:rPr>
          <w:rFonts w:hint="eastAsia" w:ascii="宋体" w:hAnsi="宋体" w:eastAsia="宋体"/>
          <w:b/>
          <w:bCs/>
          <w:color w:val="auto"/>
          <w:sz w:val="24"/>
          <w:szCs w:val="24"/>
        </w:rPr>
      </w:pPr>
      <w:bookmarkStart w:id="635" w:name="_Toc28477"/>
      <w:bookmarkStart w:id="636" w:name="_Toc22883"/>
      <w:bookmarkStart w:id="637" w:name="_Toc179632707"/>
      <w:bookmarkStart w:id="638" w:name="_Toc152042467"/>
      <w:bookmarkStart w:id="639" w:name="_Toc58398568"/>
      <w:bookmarkStart w:id="640" w:name="_Toc152045689"/>
      <w:bookmarkStart w:id="641" w:name="_Toc144974658"/>
      <w:r>
        <w:rPr>
          <w:rFonts w:hint="eastAsia" w:ascii="宋体" w:hAnsi="宋体" w:eastAsia="宋体"/>
          <w:b/>
          <w:bCs/>
          <w:color w:val="auto"/>
          <w:sz w:val="24"/>
          <w:szCs w:val="24"/>
        </w:rPr>
        <w:t>暂停施工</w:t>
      </w:r>
      <w:bookmarkEnd w:id="635"/>
      <w:bookmarkEnd w:id="636"/>
      <w:bookmarkEnd w:id="637"/>
      <w:bookmarkEnd w:id="638"/>
      <w:bookmarkEnd w:id="639"/>
      <w:bookmarkEnd w:id="640"/>
      <w:bookmarkEnd w:id="641"/>
    </w:p>
    <w:p w14:paraId="604A10CA">
      <w:pPr>
        <w:numPr>
          <w:ilvl w:val="1"/>
          <w:numId w:val="4"/>
        </w:numPr>
        <w:spacing w:line="400" w:lineRule="exact"/>
        <w:ind w:left="0" w:firstLine="241" w:firstLineChars="100"/>
        <w:rPr>
          <w:rFonts w:hint="eastAsia" w:ascii="宋体" w:hAnsi="宋体" w:cs="宋体"/>
          <w:b/>
          <w:color w:val="auto"/>
          <w:sz w:val="24"/>
        </w:rPr>
      </w:pPr>
      <w:bookmarkStart w:id="642" w:name="_Toc144974659"/>
      <w:bookmarkStart w:id="643" w:name="_Toc179632708"/>
      <w:bookmarkStart w:id="644" w:name="_Toc152042468"/>
      <w:bookmarkStart w:id="645" w:name="_Toc152045690"/>
      <w:r>
        <w:rPr>
          <w:rFonts w:hint="eastAsia" w:ascii="宋体" w:hAnsi="宋体" w:cs="宋体"/>
          <w:b/>
          <w:color w:val="auto"/>
          <w:sz w:val="24"/>
        </w:rPr>
        <w:t>承包人暂停施工的责任</w:t>
      </w:r>
      <w:bookmarkEnd w:id="642"/>
      <w:bookmarkEnd w:id="643"/>
      <w:bookmarkEnd w:id="644"/>
      <w:bookmarkEnd w:id="645"/>
    </w:p>
    <w:p w14:paraId="0FA1E46C">
      <w:pPr>
        <w:spacing w:line="400" w:lineRule="exact"/>
        <w:ind w:firstLine="440" w:firstLineChars="200"/>
        <w:rPr>
          <w:rFonts w:hint="eastAsia" w:ascii="宋体" w:hAnsi="宋体" w:cs="宋体"/>
          <w:color w:val="auto"/>
        </w:rPr>
      </w:pPr>
      <w:r>
        <w:rPr>
          <w:rFonts w:hint="eastAsia" w:ascii="宋体" w:hAnsi="宋体" w:cs="宋体"/>
          <w:color w:val="auto"/>
        </w:rPr>
        <w:t>因下列暂停施工增加的费用和（或）工期延误由承包人承担：</w:t>
      </w:r>
    </w:p>
    <w:p w14:paraId="14FB03D9">
      <w:pPr>
        <w:numPr>
          <w:ilvl w:val="0"/>
          <w:numId w:val="9"/>
        </w:numPr>
        <w:spacing w:line="400" w:lineRule="exact"/>
        <w:ind w:left="0" w:firstLine="440" w:firstLineChars="200"/>
        <w:rPr>
          <w:rFonts w:hint="eastAsia" w:ascii="宋体" w:hAnsi="宋体" w:cs="宋体"/>
          <w:color w:val="auto"/>
        </w:rPr>
      </w:pPr>
      <w:r>
        <w:rPr>
          <w:rFonts w:hint="eastAsia" w:ascii="宋体" w:hAnsi="宋体" w:cs="宋体"/>
          <w:color w:val="auto"/>
        </w:rPr>
        <w:t>承包人违约引起的暂停施工；</w:t>
      </w:r>
    </w:p>
    <w:p w14:paraId="788EC5EC">
      <w:pPr>
        <w:numPr>
          <w:ilvl w:val="0"/>
          <w:numId w:val="9"/>
        </w:numPr>
        <w:spacing w:line="400" w:lineRule="exact"/>
        <w:ind w:left="0" w:firstLine="440" w:firstLineChars="200"/>
        <w:rPr>
          <w:rFonts w:hint="eastAsia" w:ascii="宋体" w:hAnsi="宋体" w:cs="宋体"/>
          <w:color w:val="auto"/>
        </w:rPr>
      </w:pPr>
      <w:r>
        <w:rPr>
          <w:rFonts w:hint="eastAsia" w:ascii="宋体" w:hAnsi="宋体" w:cs="宋体"/>
          <w:color w:val="auto"/>
        </w:rPr>
        <w:t>由于承包人原因为工程合理施工和安全保障所必需的暂停施工；</w:t>
      </w:r>
    </w:p>
    <w:p w14:paraId="69790DFF">
      <w:pPr>
        <w:numPr>
          <w:ilvl w:val="0"/>
          <w:numId w:val="9"/>
        </w:numPr>
        <w:spacing w:line="400" w:lineRule="exact"/>
        <w:ind w:left="0" w:firstLine="440" w:firstLineChars="200"/>
        <w:rPr>
          <w:rFonts w:hint="eastAsia" w:ascii="宋体" w:hAnsi="宋体" w:cs="宋体"/>
          <w:color w:val="auto"/>
        </w:rPr>
      </w:pPr>
      <w:r>
        <w:rPr>
          <w:rFonts w:hint="eastAsia" w:ascii="宋体" w:hAnsi="宋体" w:cs="宋体"/>
          <w:color w:val="auto"/>
        </w:rPr>
        <w:t>承包人擅自暂停施工；</w:t>
      </w:r>
    </w:p>
    <w:p w14:paraId="4E437C27">
      <w:pPr>
        <w:numPr>
          <w:ilvl w:val="0"/>
          <w:numId w:val="9"/>
        </w:numPr>
        <w:spacing w:line="400" w:lineRule="exact"/>
        <w:ind w:left="0" w:firstLine="440" w:firstLineChars="200"/>
        <w:rPr>
          <w:rFonts w:hint="eastAsia" w:ascii="宋体" w:hAnsi="宋体" w:cs="宋体"/>
          <w:color w:val="auto"/>
        </w:rPr>
      </w:pPr>
      <w:r>
        <w:rPr>
          <w:rFonts w:hint="eastAsia" w:ascii="宋体" w:hAnsi="宋体" w:cs="宋体"/>
          <w:color w:val="auto"/>
        </w:rPr>
        <w:t>承包人其他原因引起的暂停施工；</w:t>
      </w:r>
    </w:p>
    <w:p w14:paraId="7E3F0BE6">
      <w:pPr>
        <w:numPr>
          <w:ilvl w:val="0"/>
          <w:numId w:val="9"/>
        </w:numPr>
        <w:spacing w:line="400" w:lineRule="exact"/>
        <w:ind w:left="0" w:firstLine="440" w:firstLineChars="200"/>
        <w:rPr>
          <w:rFonts w:hint="eastAsia" w:ascii="宋体" w:hAnsi="宋体" w:cs="宋体"/>
          <w:color w:val="auto"/>
        </w:rPr>
      </w:pPr>
      <w:r>
        <w:rPr>
          <w:rFonts w:hint="eastAsia" w:ascii="宋体" w:hAnsi="宋体" w:cs="宋体"/>
          <w:color w:val="auto"/>
        </w:rPr>
        <w:t>专用合同条款约定由承包人承担的其他暂停施工。</w:t>
      </w:r>
    </w:p>
    <w:p w14:paraId="441E0AE8">
      <w:pPr>
        <w:numPr>
          <w:ilvl w:val="1"/>
          <w:numId w:val="4"/>
        </w:numPr>
        <w:spacing w:line="400" w:lineRule="exact"/>
        <w:ind w:left="0" w:firstLine="241" w:firstLineChars="100"/>
        <w:rPr>
          <w:rFonts w:hint="eastAsia" w:ascii="宋体" w:hAnsi="宋体" w:cs="宋体"/>
          <w:b/>
          <w:color w:val="auto"/>
          <w:sz w:val="24"/>
        </w:rPr>
      </w:pPr>
      <w:bookmarkStart w:id="646" w:name="_Toc144974660"/>
      <w:bookmarkStart w:id="647" w:name="_Toc179632709"/>
      <w:bookmarkStart w:id="648" w:name="_Toc152045691"/>
      <w:bookmarkStart w:id="649" w:name="_Toc152042469"/>
      <w:r>
        <w:rPr>
          <w:rFonts w:hint="eastAsia" w:ascii="宋体" w:hAnsi="宋体" w:cs="宋体"/>
          <w:b/>
          <w:color w:val="auto"/>
          <w:sz w:val="24"/>
        </w:rPr>
        <w:t>发包人暂停施工的责任</w:t>
      </w:r>
      <w:bookmarkEnd w:id="646"/>
      <w:bookmarkEnd w:id="647"/>
      <w:bookmarkEnd w:id="648"/>
      <w:bookmarkEnd w:id="649"/>
    </w:p>
    <w:p w14:paraId="0D3B5BB2">
      <w:pPr>
        <w:spacing w:line="400" w:lineRule="exact"/>
        <w:ind w:firstLine="440" w:firstLineChars="200"/>
        <w:rPr>
          <w:rFonts w:hint="eastAsia" w:ascii="宋体" w:hAnsi="宋体" w:cs="宋体"/>
          <w:color w:val="auto"/>
        </w:rPr>
      </w:pPr>
      <w:r>
        <w:rPr>
          <w:rFonts w:hint="eastAsia" w:ascii="宋体" w:hAnsi="宋体" w:cs="宋体"/>
          <w:color w:val="auto"/>
        </w:rPr>
        <w:t>由于发包人原因引起的暂停施工造成工期延误的，承包人有权要求发包人延长工期和（或）增加费用，并支付合理利润。</w:t>
      </w:r>
    </w:p>
    <w:p w14:paraId="2326BC50">
      <w:pPr>
        <w:numPr>
          <w:ilvl w:val="1"/>
          <w:numId w:val="4"/>
        </w:numPr>
        <w:spacing w:line="400" w:lineRule="exact"/>
        <w:ind w:left="0" w:firstLine="241" w:firstLineChars="100"/>
        <w:rPr>
          <w:rFonts w:hint="eastAsia" w:ascii="宋体" w:hAnsi="宋体" w:cs="宋体"/>
          <w:b/>
          <w:color w:val="auto"/>
          <w:sz w:val="24"/>
        </w:rPr>
      </w:pPr>
      <w:bookmarkStart w:id="650" w:name="_Toc152042470"/>
      <w:bookmarkStart w:id="651" w:name="_Toc144974661"/>
      <w:bookmarkStart w:id="652" w:name="_Toc152045692"/>
      <w:bookmarkStart w:id="653" w:name="_Toc179632710"/>
      <w:r>
        <w:rPr>
          <w:rFonts w:hint="eastAsia" w:ascii="宋体" w:hAnsi="宋体" w:cs="宋体"/>
          <w:b/>
          <w:color w:val="auto"/>
          <w:sz w:val="24"/>
        </w:rPr>
        <w:t>监理人暂停施工指示</w:t>
      </w:r>
      <w:bookmarkEnd w:id="650"/>
      <w:bookmarkEnd w:id="651"/>
      <w:bookmarkEnd w:id="652"/>
      <w:bookmarkEnd w:id="653"/>
    </w:p>
    <w:p w14:paraId="2AD745A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监理人认为有必要时，可向承包人作出暂停施工的指示，承包人应按监理人指示暂停施工。不论由于何种原因引起的暂停施工，暂停施工期间承包人应负责妥善保护工程并提供安全保障。</w:t>
      </w:r>
    </w:p>
    <w:p w14:paraId="697F52E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27401093">
      <w:pPr>
        <w:numPr>
          <w:ilvl w:val="1"/>
          <w:numId w:val="4"/>
        </w:numPr>
        <w:spacing w:line="400" w:lineRule="exact"/>
        <w:ind w:left="0" w:firstLine="241" w:firstLineChars="100"/>
        <w:rPr>
          <w:rFonts w:hint="eastAsia" w:ascii="宋体" w:hAnsi="宋体" w:cs="宋体"/>
          <w:b/>
          <w:color w:val="auto"/>
          <w:sz w:val="24"/>
        </w:rPr>
      </w:pPr>
      <w:bookmarkStart w:id="654" w:name="_Toc179632711"/>
      <w:bookmarkStart w:id="655" w:name="_Toc152042471"/>
      <w:bookmarkStart w:id="656" w:name="_Toc144974662"/>
      <w:bookmarkStart w:id="657" w:name="_Toc152045693"/>
      <w:r>
        <w:rPr>
          <w:rFonts w:hint="eastAsia" w:ascii="宋体" w:hAnsi="宋体" w:cs="宋体"/>
          <w:b/>
          <w:color w:val="auto"/>
          <w:sz w:val="24"/>
        </w:rPr>
        <w:t>暂停施工后的复工</w:t>
      </w:r>
      <w:bookmarkEnd w:id="654"/>
      <w:bookmarkEnd w:id="655"/>
      <w:bookmarkEnd w:id="656"/>
      <w:bookmarkEnd w:id="657"/>
    </w:p>
    <w:p w14:paraId="04E48F2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78C1C65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承包人无故拖延和拒绝复工的，由此增加的费用和工期延误由承包人承担；因发包人原因无法按时复工的，承包人有权要求发包人延长工期和（或）增加费用，并支付合理利润。</w:t>
      </w:r>
    </w:p>
    <w:p w14:paraId="33095EF1">
      <w:pPr>
        <w:numPr>
          <w:ilvl w:val="1"/>
          <w:numId w:val="4"/>
        </w:numPr>
        <w:spacing w:line="400" w:lineRule="exact"/>
        <w:ind w:left="0" w:firstLine="241" w:firstLineChars="100"/>
        <w:rPr>
          <w:rFonts w:hint="eastAsia" w:ascii="宋体" w:hAnsi="宋体" w:cs="宋体"/>
          <w:b/>
          <w:color w:val="auto"/>
          <w:sz w:val="24"/>
        </w:rPr>
      </w:pPr>
      <w:bookmarkStart w:id="658" w:name="_Toc152042472"/>
      <w:bookmarkStart w:id="659" w:name="_Toc152045694"/>
      <w:bookmarkStart w:id="660" w:name="_Toc144974663"/>
      <w:bookmarkStart w:id="661" w:name="_Toc179632712"/>
      <w:r>
        <w:rPr>
          <w:rFonts w:hint="eastAsia" w:ascii="宋体" w:hAnsi="宋体" w:cs="宋体"/>
          <w:b/>
          <w:color w:val="auto"/>
          <w:sz w:val="24"/>
        </w:rPr>
        <w:t>暂停施工持续56天以上</w:t>
      </w:r>
      <w:bookmarkEnd w:id="658"/>
      <w:bookmarkEnd w:id="659"/>
      <w:bookmarkEnd w:id="660"/>
      <w:bookmarkEnd w:id="661"/>
    </w:p>
    <w:p w14:paraId="4E1B207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07799A6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由于承包人责任引起的暂停施工，如承包人在收到监理人暂停施工指示后56天内不认真采取有效的复工措施，造成工期延误，可视为承包人违约，应按第22.1款的规定办理。</w:t>
      </w:r>
    </w:p>
    <w:p w14:paraId="342DCC59">
      <w:pPr>
        <w:pStyle w:val="75"/>
        <w:numPr>
          <w:ilvl w:val="0"/>
          <w:numId w:val="4"/>
        </w:numPr>
        <w:spacing w:before="0"/>
        <w:ind w:left="0" w:firstLine="0"/>
        <w:outlineLvl w:val="9"/>
        <w:rPr>
          <w:rFonts w:hint="eastAsia" w:ascii="宋体" w:hAnsi="宋体" w:eastAsia="宋体"/>
          <w:b/>
          <w:bCs/>
          <w:color w:val="auto"/>
          <w:sz w:val="24"/>
          <w:szCs w:val="24"/>
        </w:rPr>
      </w:pPr>
      <w:bookmarkStart w:id="662" w:name="_Toc144974664"/>
      <w:bookmarkStart w:id="663" w:name="_Toc179632713"/>
      <w:bookmarkStart w:id="664" w:name="_Toc152045695"/>
      <w:bookmarkStart w:id="665" w:name="_Toc58398569"/>
      <w:bookmarkStart w:id="666" w:name="_Toc31417"/>
      <w:bookmarkStart w:id="667" w:name="_Toc4548"/>
      <w:bookmarkStart w:id="668" w:name="_Toc152042473"/>
      <w:r>
        <w:rPr>
          <w:rFonts w:hint="eastAsia" w:ascii="宋体" w:hAnsi="宋体" w:eastAsia="宋体"/>
          <w:b/>
          <w:bCs/>
          <w:color w:val="auto"/>
          <w:sz w:val="24"/>
          <w:szCs w:val="24"/>
        </w:rPr>
        <w:t>工程质量</w:t>
      </w:r>
      <w:bookmarkEnd w:id="662"/>
      <w:bookmarkEnd w:id="663"/>
      <w:bookmarkEnd w:id="664"/>
      <w:bookmarkEnd w:id="665"/>
      <w:bookmarkEnd w:id="666"/>
      <w:bookmarkEnd w:id="667"/>
      <w:bookmarkEnd w:id="668"/>
    </w:p>
    <w:p w14:paraId="37E6DF9E">
      <w:pPr>
        <w:numPr>
          <w:ilvl w:val="1"/>
          <w:numId w:val="4"/>
        </w:numPr>
        <w:spacing w:line="400" w:lineRule="exact"/>
        <w:ind w:left="0" w:firstLine="241" w:firstLineChars="100"/>
        <w:rPr>
          <w:rFonts w:hint="eastAsia" w:ascii="宋体" w:hAnsi="宋体" w:cs="宋体"/>
          <w:b/>
          <w:color w:val="auto"/>
          <w:sz w:val="24"/>
        </w:rPr>
      </w:pPr>
      <w:bookmarkStart w:id="669" w:name="_Toc152045696"/>
      <w:bookmarkStart w:id="670" w:name="_Toc152042474"/>
      <w:bookmarkStart w:id="671" w:name="_Toc179632714"/>
      <w:bookmarkStart w:id="672" w:name="_Toc144974665"/>
      <w:r>
        <w:rPr>
          <w:rFonts w:hint="eastAsia" w:ascii="宋体" w:hAnsi="宋体" w:cs="宋体"/>
          <w:b/>
          <w:color w:val="auto"/>
          <w:sz w:val="24"/>
        </w:rPr>
        <w:t>工程质量要求</w:t>
      </w:r>
      <w:bookmarkEnd w:id="669"/>
      <w:bookmarkEnd w:id="670"/>
      <w:bookmarkEnd w:id="671"/>
      <w:bookmarkEnd w:id="672"/>
    </w:p>
    <w:p w14:paraId="6F3AAB6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工程质量验收按合同约定验收标准执行。</w:t>
      </w:r>
    </w:p>
    <w:p w14:paraId="053C61E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因承包人原因造成工程质量达不到合同约定验收标准的，监理人有权要求承包人返工直至符合合同要求为止，由此造成的费用增加和（或）工期延误由承包人承担。</w:t>
      </w:r>
    </w:p>
    <w:p w14:paraId="5B8938C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因发包人原因造成工程质量达不到合同约定验收标准的，发包人应承担由于承包人返工造成的费用增加和（或）工期延误，并支付承包人合理利润。</w:t>
      </w:r>
    </w:p>
    <w:p w14:paraId="2D11C47A">
      <w:pPr>
        <w:numPr>
          <w:ilvl w:val="1"/>
          <w:numId w:val="4"/>
        </w:numPr>
        <w:spacing w:line="400" w:lineRule="exact"/>
        <w:ind w:left="0" w:firstLine="241" w:firstLineChars="100"/>
        <w:rPr>
          <w:rFonts w:hint="eastAsia" w:ascii="宋体" w:hAnsi="宋体" w:cs="宋体"/>
          <w:b/>
          <w:color w:val="auto"/>
          <w:sz w:val="24"/>
        </w:rPr>
      </w:pPr>
      <w:bookmarkStart w:id="673" w:name="_Toc144974666"/>
      <w:bookmarkStart w:id="674" w:name="_Toc152042475"/>
      <w:bookmarkStart w:id="675" w:name="_Toc179632715"/>
      <w:bookmarkStart w:id="676" w:name="_Toc152045697"/>
      <w:r>
        <w:rPr>
          <w:rFonts w:hint="eastAsia" w:ascii="宋体" w:hAnsi="宋体" w:cs="宋体"/>
          <w:b/>
          <w:color w:val="auto"/>
          <w:sz w:val="24"/>
        </w:rPr>
        <w:t>承包人的质量管理</w:t>
      </w:r>
      <w:bookmarkEnd w:id="673"/>
      <w:bookmarkEnd w:id="674"/>
      <w:bookmarkEnd w:id="675"/>
      <w:bookmarkEnd w:id="676"/>
    </w:p>
    <w:p w14:paraId="2ED2331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1F2B75D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承包人应加强对施工人员的质量教育和技术培训，定期考核施工人员的劳动技能，严格执行规范和操作规程。</w:t>
      </w:r>
    </w:p>
    <w:p w14:paraId="69C6D9B0">
      <w:pPr>
        <w:numPr>
          <w:ilvl w:val="1"/>
          <w:numId w:val="4"/>
        </w:numPr>
        <w:spacing w:line="400" w:lineRule="exact"/>
        <w:ind w:left="0" w:firstLine="241" w:firstLineChars="100"/>
        <w:rPr>
          <w:rFonts w:hint="eastAsia" w:ascii="宋体" w:hAnsi="宋体" w:cs="宋体"/>
          <w:b/>
          <w:color w:val="auto"/>
          <w:sz w:val="24"/>
        </w:rPr>
      </w:pPr>
      <w:bookmarkStart w:id="677" w:name="_Toc144974667"/>
      <w:bookmarkStart w:id="678" w:name="_Toc152045698"/>
      <w:bookmarkStart w:id="679" w:name="_Toc152042476"/>
      <w:bookmarkStart w:id="680" w:name="_Toc179632716"/>
      <w:r>
        <w:rPr>
          <w:rFonts w:hint="eastAsia" w:ascii="宋体" w:hAnsi="宋体" w:cs="宋体"/>
          <w:b/>
          <w:color w:val="auto"/>
          <w:sz w:val="24"/>
        </w:rPr>
        <w:t>承包人的质量检查</w:t>
      </w:r>
      <w:bookmarkEnd w:id="677"/>
      <w:bookmarkEnd w:id="678"/>
      <w:bookmarkEnd w:id="679"/>
      <w:bookmarkEnd w:id="680"/>
    </w:p>
    <w:p w14:paraId="480A2738">
      <w:pPr>
        <w:spacing w:line="400" w:lineRule="exact"/>
        <w:ind w:firstLine="440" w:firstLineChars="200"/>
        <w:rPr>
          <w:rFonts w:hint="eastAsia" w:ascii="宋体" w:hAnsi="宋体" w:cs="宋体"/>
          <w:color w:val="auto"/>
        </w:rPr>
      </w:pPr>
      <w:r>
        <w:rPr>
          <w:rFonts w:hint="eastAsia" w:ascii="宋体" w:hAnsi="宋体" w:cs="宋体"/>
          <w:color w:val="auto"/>
        </w:rPr>
        <w:t>承包人应按合同约定对材料、工程设备以及工程的所有部位及其施工工艺进行全过程的质量检查和检验，并作详细记录，编制工程质量报表，报送监理人审查。</w:t>
      </w:r>
    </w:p>
    <w:p w14:paraId="18413518">
      <w:pPr>
        <w:numPr>
          <w:ilvl w:val="1"/>
          <w:numId w:val="4"/>
        </w:numPr>
        <w:spacing w:line="400" w:lineRule="exact"/>
        <w:ind w:left="0" w:firstLine="241" w:firstLineChars="100"/>
        <w:rPr>
          <w:rFonts w:hint="eastAsia" w:ascii="宋体" w:hAnsi="宋体" w:cs="宋体"/>
          <w:b/>
          <w:color w:val="auto"/>
          <w:sz w:val="24"/>
        </w:rPr>
      </w:pPr>
      <w:bookmarkStart w:id="681" w:name="_Toc179632717"/>
      <w:bookmarkStart w:id="682" w:name="_Toc152045699"/>
      <w:bookmarkStart w:id="683" w:name="_Toc144974668"/>
      <w:bookmarkStart w:id="684" w:name="_Toc152042477"/>
      <w:r>
        <w:rPr>
          <w:rFonts w:hint="eastAsia" w:ascii="宋体" w:hAnsi="宋体" w:cs="宋体"/>
          <w:b/>
          <w:color w:val="auto"/>
          <w:sz w:val="24"/>
        </w:rPr>
        <w:t>监理人的质量检查</w:t>
      </w:r>
      <w:bookmarkEnd w:id="681"/>
      <w:bookmarkEnd w:id="682"/>
      <w:bookmarkEnd w:id="683"/>
      <w:bookmarkEnd w:id="684"/>
    </w:p>
    <w:p w14:paraId="55B92132">
      <w:pPr>
        <w:spacing w:line="400" w:lineRule="exact"/>
        <w:ind w:firstLine="440" w:firstLineChars="200"/>
        <w:rPr>
          <w:rFonts w:hint="eastAsia" w:ascii="宋体" w:hAnsi="宋体" w:cs="宋体"/>
          <w:color w:val="auto"/>
        </w:rPr>
      </w:pPr>
      <w:r>
        <w:rPr>
          <w:rFonts w:hint="eastAsia" w:ascii="宋体" w:hAnsi="宋体" w:cs="宋体"/>
          <w:color w:val="auto"/>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1C4BA47B">
      <w:pPr>
        <w:numPr>
          <w:ilvl w:val="1"/>
          <w:numId w:val="4"/>
        </w:numPr>
        <w:spacing w:line="400" w:lineRule="exact"/>
        <w:ind w:left="0" w:firstLine="241" w:firstLineChars="100"/>
        <w:rPr>
          <w:rFonts w:hint="eastAsia" w:ascii="宋体" w:hAnsi="宋体" w:cs="宋体"/>
          <w:b/>
          <w:color w:val="auto"/>
          <w:sz w:val="24"/>
        </w:rPr>
      </w:pPr>
      <w:bookmarkStart w:id="685" w:name="_Toc144974669"/>
      <w:bookmarkStart w:id="686" w:name="_Toc152045700"/>
      <w:bookmarkStart w:id="687" w:name="_Toc152042478"/>
      <w:bookmarkStart w:id="688" w:name="_Toc179632718"/>
      <w:r>
        <w:rPr>
          <w:rFonts w:hint="eastAsia" w:ascii="宋体" w:hAnsi="宋体" w:cs="宋体"/>
          <w:b/>
          <w:color w:val="auto"/>
          <w:sz w:val="24"/>
        </w:rPr>
        <w:t>工程隐蔽部位覆盖前的检查</w:t>
      </w:r>
      <w:bookmarkEnd w:id="685"/>
      <w:bookmarkEnd w:id="686"/>
      <w:bookmarkEnd w:id="687"/>
      <w:bookmarkEnd w:id="688"/>
    </w:p>
    <w:p w14:paraId="0B70B5E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通知监理人检查</w:t>
      </w:r>
    </w:p>
    <w:p w14:paraId="7B0B22BD">
      <w:pPr>
        <w:spacing w:line="400" w:lineRule="exact"/>
        <w:ind w:firstLine="440" w:firstLineChars="200"/>
        <w:rPr>
          <w:rFonts w:hint="eastAsia" w:ascii="宋体" w:hAnsi="宋体" w:cs="宋体"/>
          <w:color w:val="auto"/>
        </w:rPr>
      </w:pPr>
      <w:r>
        <w:rPr>
          <w:rFonts w:hint="eastAsia" w:ascii="宋体" w:hAnsi="宋体" w:cs="宋体"/>
          <w:color w:val="auto"/>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2C625DE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监理人未到场检查</w:t>
      </w:r>
    </w:p>
    <w:p w14:paraId="32F764E6">
      <w:pPr>
        <w:spacing w:line="400" w:lineRule="exact"/>
        <w:ind w:firstLine="440" w:firstLineChars="200"/>
        <w:rPr>
          <w:rFonts w:hint="eastAsia" w:ascii="宋体" w:hAnsi="宋体" w:cs="宋体"/>
          <w:color w:val="auto"/>
        </w:rPr>
      </w:pPr>
      <w:r>
        <w:rPr>
          <w:rFonts w:hint="eastAsia" w:ascii="宋体" w:hAnsi="宋体" w:cs="宋体"/>
          <w:color w:val="auto"/>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5DD2204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监理人重新检查</w:t>
      </w:r>
    </w:p>
    <w:p w14:paraId="7A945A17">
      <w:pPr>
        <w:spacing w:line="400" w:lineRule="exact"/>
        <w:ind w:firstLine="440" w:firstLineChars="200"/>
        <w:rPr>
          <w:rFonts w:hint="eastAsia" w:ascii="宋体" w:hAnsi="宋体" w:cs="宋体"/>
          <w:color w:val="auto"/>
        </w:rPr>
      </w:pPr>
      <w:r>
        <w:rPr>
          <w:rFonts w:hint="eastAsia" w:ascii="宋体" w:hAnsi="宋体" w:cs="宋体"/>
          <w:color w:val="auto"/>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40E9E2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承包人私自覆盖</w:t>
      </w:r>
    </w:p>
    <w:p w14:paraId="083F7B09">
      <w:pPr>
        <w:spacing w:line="400" w:lineRule="exact"/>
        <w:ind w:firstLine="440" w:firstLineChars="200"/>
        <w:rPr>
          <w:rFonts w:hint="eastAsia" w:ascii="宋体" w:hAnsi="宋体" w:cs="宋体"/>
          <w:color w:val="auto"/>
        </w:rPr>
      </w:pPr>
      <w:r>
        <w:rPr>
          <w:rFonts w:hint="eastAsia" w:ascii="宋体" w:hAnsi="宋体" w:cs="宋体"/>
          <w:color w:val="auto"/>
        </w:rPr>
        <w:t>承包人未通知监理人到场检查，私自将工程隐蔽部位覆盖的，监理人有权指示承包人钻孔探测或揭开检查，由此增加的费用和（或）工期延误由承包人承担。</w:t>
      </w:r>
    </w:p>
    <w:p w14:paraId="7116645E">
      <w:pPr>
        <w:numPr>
          <w:ilvl w:val="1"/>
          <w:numId w:val="4"/>
        </w:numPr>
        <w:spacing w:line="400" w:lineRule="exact"/>
        <w:ind w:left="0" w:firstLine="241" w:firstLineChars="100"/>
        <w:rPr>
          <w:rFonts w:hint="eastAsia" w:ascii="宋体" w:hAnsi="宋体" w:cs="宋体"/>
          <w:b/>
          <w:color w:val="auto"/>
          <w:sz w:val="24"/>
        </w:rPr>
      </w:pPr>
      <w:bookmarkStart w:id="689" w:name="_Toc152042479"/>
      <w:bookmarkStart w:id="690" w:name="_Toc144974670"/>
      <w:bookmarkStart w:id="691" w:name="_Toc152045701"/>
      <w:bookmarkStart w:id="692" w:name="_Toc179632719"/>
      <w:r>
        <w:rPr>
          <w:rFonts w:hint="eastAsia" w:ascii="宋体" w:hAnsi="宋体" w:cs="宋体"/>
          <w:b/>
          <w:color w:val="auto"/>
          <w:sz w:val="24"/>
        </w:rPr>
        <w:t>清除不合格工程</w:t>
      </w:r>
      <w:bookmarkEnd w:id="689"/>
      <w:bookmarkEnd w:id="690"/>
      <w:bookmarkEnd w:id="691"/>
      <w:bookmarkEnd w:id="692"/>
    </w:p>
    <w:p w14:paraId="4235711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2CFE768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由于发包人提供的材料或工程设备不合格造成的工程不合格，需要承包人采取措施补救的，发包人应承担由此增加的费用和（或）工期延误，并支付承包人合理利润。</w:t>
      </w:r>
    </w:p>
    <w:p w14:paraId="52489746">
      <w:pPr>
        <w:pStyle w:val="75"/>
        <w:numPr>
          <w:ilvl w:val="0"/>
          <w:numId w:val="4"/>
        </w:numPr>
        <w:spacing w:before="0"/>
        <w:ind w:left="0" w:firstLine="0"/>
        <w:outlineLvl w:val="9"/>
        <w:rPr>
          <w:rFonts w:hint="eastAsia" w:ascii="宋体" w:hAnsi="宋体" w:eastAsia="宋体"/>
          <w:b/>
          <w:bCs/>
          <w:color w:val="auto"/>
          <w:sz w:val="24"/>
          <w:szCs w:val="24"/>
        </w:rPr>
      </w:pPr>
      <w:bookmarkStart w:id="693" w:name="_Toc58398570"/>
      <w:bookmarkStart w:id="694" w:name="_Toc179632720"/>
      <w:bookmarkStart w:id="695" w:name="_Toc1418"/>
      <w:bookmarkStart w:id="696" w:name="_Toc3601"/>
      <w:bookmarkStart w:id="697" w:name="_Toc152045702"/>
      <w:bookmarkStart w:id="698" w:name="_Toc144974671"/>
      <w:bookmarkStart w:id="699" w:name="_Toc152042480"/>
      <w:r>
        <w:rPr>
          <w:rFonts w:hint="eastAsia" w:ascii="宋体" w:hAnsi="宋体" w:eastAsia="宋体"/>
          <w:b/>
          <w:bCs/>
          <w:color w:val="auto"/>
          <w:sz w:val="24"/>
          <w:szCs w:val="24"/>
        </w:rPr>
        <w:t>试验和检验</w:t>
      </w:r>
      <w:bookmarkEnd w:id="693"/>
      <w:bookmarkEnd w:id="694"/>
      <w:bookmarkEnd w:id="695"/>
      <w:bookmarkEnd w:id="696"/>
      <w:bookmarkEnd w:id="697"/>
      <w:bookmarkEnd w:id="698"/>
      <w:bookmarkEnd w:id="699"/>
    </w:p>
    <w:p w14:paraId="524CDAC0">
      <w:pPr>
        <w:numPr>
          <w:ilvl w:val="1"/>
          <w:numId w:val="4"/>
        </w:numPr>
        <w:spacing w:line="400" w:lineRule="exact"/>
        <w:ind w:left="0" w:firstLine="241" w:firstLineChars="100"/>
        <w:rPr>
          <w:rFonts w:hint="eastAsia" w:ascii="宋体" w:hAnsi="宋体" w:cs="宋体"/>
          <w:b/>
          <w:color w:val="auto"/>
          <w:sz w:val="24"/>
        </w:rPr>
      </w:pPr>
      <w:bookmarkStart w:id="700" w:name="_Toc152042481"/>
      <w:bookmarkStart w:id="701" w:name="_Toc144974672"/>
      <w:bookmarkStart w:id="702" w:name="_Toc152045703"/>
      <w:bookmarkStart w:id="703" w:name="_Toc179632721"/>
      <w:r>
        <w:rPr>
          <w:rFonts w:hint="eastAsia" w:ascii="宋体" w:hAnsi="宋体" w:cs="宋体"/>
          <w:b/>
          <w:color w:val="auto"/>
          <w:sz w:val="24"/>
        </w:rPr>
        <w:t>材料、工程设备和工程的试验和检验</w:t>
      </w:r>
      <w:bookmarkEnd w:id="700"/>
      <w:bookmarkEnd w:id="701"/>
      <w:bookmarkEnd w:id="702"/>
      <w:bookmarkEnd w:id="703"/>
    </w:p>
    <w:p w14:paraId="07DD925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363DA2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监理人未按合同约定派员参加试验和检验的，除监理人另有指示外，承包人可自行试验和检验，并应立即将试验和检验结果报送监理人，监理人应签字确认。</w:t>
      </w:r>
    </w:p>
    <w:p w14:paraId="6BB81ED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4C7E733">
      <w:pPr>
        <w:numPr>
          <w:ilvl w:val="1"/>
          <w:numId w:val="4"/>
        </w:numPr>
        <w:spacing w:line="400" w:lineRule="exact"/>
        <w:ind w:left="0" w:firstLine="241" w:firstLineChars="100"/>
        <w:rPr>
          <w:rFonts w:hint="eastAsia" w:ascii="宋体" w:hAnsi="宋体" w:cs="宋体"/>
          <w:b/>
          <w:color w:val="auto"/>
          <w:sz w:val="24"/>
        </w:rPr>
      </w:pPr>
      <w:bookmarkStart w:id="704" w:name="_Toc179632722"/>
      <w:bookmarkStart w:id="705" w:name="_Toc144974673"/>
      <w:bookmarkStart w:id="706" w:name="_Toc152045704"/>
      <w:bookmarkStart w:id="707" w:name="_Toc152042482"/>
      <w:r>
        <w:rPr>
          <w:rFonts w:hint="eastAsia" w:ascii="宋体" w:hAnsi="宋体" w:cs="宋体"/>
          <w:b/>
          <w:color w:val="auto"/>
          <w:sz w:val="24"/>
        </w:rPr>
        <w:t>现场材料试验</w:t>
      </w:r>
      <w:bookmarkEnd w:id="704"/>
      <w:bookmarkEnd w:id="705"/>
      <w:bookmarkEnd w:id="706"/>
      <w:bookmarkEnd w:id="707"/>
    </w:p>
    <w:p w14:paraId="168DF71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承包人根据合同约定或监理人指示进行的现场材料试验，应由承包人提供试验场所、试验人员、试验设备器材以及其他必要的试验条件。</w:t>
      </w:r>
    </w:p>
    <w:p w14:paraId="0E1B592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监理人在必要时可以使用承包人的试验场所、试验设备器材以及其他试验条件，进行以工程质量检查为目的的</w:t>
      </w:r>
      <w:r>
        <w:rPr>
          <w:rFonts w:hint="eastAsia" w:ascii="宋体" w:hAnsi="宋体" w:cs="宋体"/>
          <w:color w:val="auto"/>
          <w:lang w:val="en-US" w:eastAsia="zh-CN"/>
        </w:rPr>
        <w:t>复合性</w:t>
      </w:r>
      <w:r>
        <w:rPr>
          <w:rFonts w:hint="eastAsia" w:ascii="宋体" w:hAnsi="宋体" w:cs="宋体"/>
          <w:color w:val="auto"/>
        </w:rPr>
        <w:t>材料试验，承包人应予以协助。</w:t>
      </w:r>
    </w:p>
    <w:p w14:paraId="1178AF67">
      <w:pPr>
        <w:numPr>
          <w:ilvl w:val="1"/>
          <w:numId w:val="4"/>
        </w:numPr>
        <w:spacing w:line="400" w:lineRule="exact"/>
        <w:ind w:left="0" w:firstLine="241" w:firstLineChars="100"/>
        <w:rPr>
          <w:rFonts w:hint="eastAsia" w:ascii="宋体" w:hAnsi="宋体" w:cs="宋体"/>
          <w:b/>
          <w:color w:val="auto"/>
          <w:sz w:val="24"/>
        </w:rPr>
      </w:pPr>
      <w:bookmarkStart w:id="708" w:name="_Toc152045705"/>
      <w:bookmarkStart w:id="709" w:name="_Toc152042483"/>
      <w:bookmarkStart w:id="710" w:name="_Toc179632723"/>
      <w:bookmarkStart w:id="711" w:name="_Toc144974674"/>
      <w:r>
        <w:rPr>
          <w:rFonts w:hint="eastAsia" w:ascii="宋体" w:hAnsi="宋体" w:cs="宋体"/>
          <w:b/>
          <w:color w:val="auto"/>
          <w:sz w:val="24"/>
        </w:rPr>
        <w:t>现场工艺试验</w:t>
      </w:r>
      <w:bookmarkEnd w:id="708"/>
      <w:bookmarkEnd w:id="709"/>
      <w:bookmarkEnd w:id="710"/>
      <w:bookmarkEnd w:id="711"/>
    </w:p>
    <w:p w14:paraId="7AC5A8B8">
      <w:pPr>
        <w:spacing w:line="400" w:lineRule="exact"/>
        <w:ind w:firstLine="440" w:firstLineChars="200"/>
        <w:rPr>
          <w:rFonts w:hint="eastAsia" w:ascii="宋体" w:hAnsi="宋体" w:cs="宋体"/>
          <w:color w:val="auto"/>
        </w:rPr>
      </w:pPr>
      <w:r>
        <w:rPr>
          <w:rFonts w:hint="eastAsia" w:ascii="宋体" w:hAnsi="宋体" w:cs="宋体"/>
          <w:color w:val="auto"/>
        </w:rPr>
        <w:t>承包人应按合同约定或监理人指示进行现场工艺试验。对大型的现场工艺试验，监理人认为必要时，应由承包人根据监理人提出的工艺试验要求，编制工艺试验措施计划，报送监理人审批。</w:t>
      </w:r>
    </w:p>
    <w:p w14:paraId="1439DCDF">
      <w:pPr>
        <w:pStyle w:val="75"/>
        <w:numPr>
          <w:ilvl w:val="0"/>
          <w:numId w:val="4"/>
        </w:numPr>
        <w:spacing w:before="0"/>
        <w:ind w:left="0" w:firstLine="0"/>
        <w:outlineLvl w:val="9"/>
        <w:rPr>
          <w:rFonts w:hint="eastAsia" w:ascii="宋体" w:hAnsi="宋体" w:eastAsia="宋体"/>
          <w:b/>
          <w:bCs/>
          <w:color w:val="auto"/>
          <w:sz w:val="24"/>
          <w:szCs w:val="24"/>
        </w:rPr>
      </w:pPr>
      <w:bookmarkStart w:id="712" w:name="_Toc179632724"/>
      <w:bookmarkStart w:id="713" w:name="_Toc6794"/>
      <w:bookmarkStart w:id="714" w:name="_Toc144974675"/>
      <w:bookmarkStart w:id="715" w:name="_Toc152042484"/>
      <w:bookmarkStart w:id="716" w:name="_Toc58398571"/>
      <w:bookmarkStart w:id="717" w:name="_Toc1914"/>
      <w:bookmarkStart w:id="718" w:name="_Toc152045706"/>
      <w:r>
        <w:rPr>
          <w:rFonts w:hint="eastAsia" w:ascii="宋体" w:hAnsi="宋体" w:eastAsia="宋体"/>
          <w:b/>
          <w:bCs/>
          <w:color w:val="auto"/>
          <w:sz w:val="24"/>
          <w:szCs w:val="24"/>
        </w:rPr>
        <w:t>变更</w:t>
      </w:r>
      <w:bookmarkEnd w:id="712"/>
      <w:bookmarkEnd w:id="713"/>
      <w:bookmarkEnd w:id="714"/>
      <w:bookmarkEnd w:id="715"/>
      <w:bookmarkEnd w:id="716"/>
      <w:bookmarkEnd w:id="717"/>
      <w:bookmarkEnd w:id="718"/>
    </w:p>
    <w:p w14:paraId="1838BE62">
      <w:pPr>
        <w:numPr>
          <w:ilvl w:val="1"/>
          <w:numId w:val="4"/>
        </w:numPr>
        <w:spacing w:line="400" w:lineRule="exact"/>
        <w:ind w:left="0" w:firstLine="241" w:firstLineChars="100"/>
        <w:rPr>
          <w:rFonts w:hint="eastAsia" w:ascii="宋体" w:hAnsi="宋体" w:cs="宋体"/>
          <w:b/>
          <w:color w:val="auto"/>
          <w:sz w:val="24"/>
        </w:rPr>
      </w:pPr>
      <w:bookmarkStart w:id="719" w:name="_Toc179632725"/>
      <w:bookmarkStart w:id="720" w:name="_Toc152045707"/>
      <w:bookmarkStart w:id="721" w:name="_Toc152042485"/>
      <w:bookmarkStart w:id="722" w:name="_Toc144974676"/>
      <w:r>
        <w:rPr>
          <w:rFonts w:hint="eastAsia" w:ascii="宋体" w:hAnsi="宋体" w:cs="宋体"/>
          <w:b/>
          <w:color w:val="auto"/>
          <w:sz w:val="24"/>
        </w:rPr>
        <w:t>变更的范围和内容</w:t>
      </w:r>
      <w:bookmarkEnd w:id="719"/>
      <w:bookmarkEnd w:id="720"/>
      <w:bookmarkEnd w:id="721"/>
      <w:bookmarkEnd w:id="722"/>
    </w:p>
    <w:p w14:paraId="00C85FFB">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除专用合同条款另有约定外，在履行合同中发生以下情形之一，应按照本条规定进行变更。</w:t>
      </w:r>
    </w:p>
    <w:p w14:paraId="5FE386B8">
      <w:pPr>
        <w:numPr>
          <w:ilvl w:val="0"/>
          <w:numId w:val="10"/>
        </w:numPr>
        <w:spacing w:line="400" w:lineRule="exact"/>
        <w:ind w:left="0" w:firstLine="440" w:firstLineChars="200"/>
        <w:rPr>
          <w:rFonts w:hint="eastAsia" w:ascii="宋体" w:hAnsi="宋体" w:cs="宋体"/>
          <w:color w:val="auto"/>
        </w:rPr>
      </w:pPr>
      <w:r>
        <w:rPr>
          <w:rFonts w:hint="eastAsia" w:ascii="宋体" w:hAnsi="宋体" w:cs="宋体"/>
          <w:color w:val="auto"/>
        </w:rPr>
        <w:t>取消合同中任何一项工作，但被取消的工作不能转由发包人或其他人实施；</w:t>
      </w:r>
    </w:p>
    <w:p w14:paraId="344F7CDC">
      <w:pPr>
        <w:numPr>
          <w:ilvl w:val="0"/>
          <w:numId w:val="10"/>
        </w:numPr>
        <w:spacing w:line="400" w:lineRule="exact"/>
        <w:ind w:left="0" w:firstLine="440" w:firstLineChars="200"/>
        <w:rPr>
          <w:rFonts w:hint="eastAsia" w:ascii="宋体" w:hAnsi="宋体" w:cs="宋体"/>
          <w:color w:val="auto"/>
        </w:rPr>
      </w:pPr>
      <w:r>
        <w:rPr>
          <w:rFonts w:hint="eastAsia" w:ascii="宋体" w:hAnsi="宋体" w:cs="宋体"/>
          <w:color w:val="auto"/>
        </w:rPr>
        <w:t>改变合同中任何一项工作的质量或其他特性；</w:t>
      </w:r>
    </w:p>
    <w:p w14:paraId="15836B9C">
      <w:pPr>
        <w:numPr>
          <w:ilvl w:val="0"/>
          <w:numId w:val="10"/>
        </w:numPr>
        <w:spacing w:line="400" w:lineRule="exact"/>
        <w:ind w:left="0" w:firstLine="440" w:firstLineChars="200"/>
        <w:rPr>
          <w:rFonts w:hint="eastAsia" w:ascii="宋体" w:hAnsi="宋体" w:cs="宋体"/>
          <w:color w:val="auto"/>
        </w:rPr>
      </w:pPr>
      <w:r>
        <w:rPr>
          <w:rFonts w:hint="eastAsia" w:ascii="宋体" w:hAnsi="宋体" w:cs="宋体"/>
          <w:color w:val="auto"/>
        </w:rPr>
        <w:t>改变合同工程的基线、标高、位置或尺寸；</w:t>
      </w:r>
    </w:p>
    <w:p w14:paraId="1DF3D04E">
      <w:pPr>
        <w:numPr>
          <w:ilvl w:val="0"/>
          <w:numId w:val="10"/>
        </w:numPr>
        <w:spacing w:line="400" w:lineRule="exact"/>
        <w:ind w:left="0" w:firstLine="440" w:firstLineChars="200"/>
        <w:rPr>
          <w:rFonts w:hint="eastAsia" w:ascii="宋体" w:hAnsi="宋体" w:cs="宋体"/>
          <w:color w:val="auto"/>
        </w:rPr>
      </w:pPr>
      <w:r>
        <w:rPr>
          <w:rFonts w:hint="eastAsia" w:ascii="宋体" w:hAnsi="宋体" w:cs="宋体"/>
          <w:color w:val="auto"/>
        </w:rPr>
        <w:t>改变合同中任何一项工作的施工时间或改变已批准的施工工艺或顺序；</w:t>
      </w:r>
    </w:p>
    <w:p w14:paraId="5B5F0302">
      <w:pPr>
        <w:numPr>
          <w:ilvl w:val="0"/>
          <w:numId w:val="10"/>
        </w:numPr>
        <w:spacing w:line="400" w:lineRule="exact"/>
        <w:ind w:left="0" w:firstLine="440" w:firstLineChars="200"/>
        <w:rPr>
          <w:rFonts w:hint="eastAsia" w:ascii="宋体" w:hAnsi="宋体" w:cs="宋体"/>
          <w:color w:val="auto"/>
        </w:rPr>
      </w:pPr>
      <w:r>
        <w:rPr>
          <w:rFonts w:hint="eastAsia" w:ascii="宋体" w:hAnsi="宋体" w:cs="宋体"/>
          <w:color w:val="auto"/>
        </w:rPr>
        <w:t>为完成工程需要追加的额外工作。</w:t>
      </w:r>
    </w:p>
    <w:p w14:paraId="3F411E61">
      <w:pPr>
        <w:numPr>
          <w:ilvl w:val="1"/>
          <w:numId w:val="4"/>
        </w:numPr>
        <w:spacing w:line="400" w:lineRule="exact"/>
        <w:ind w:left="0" w:firstLine="241" w:firstLineChars="100"/>
        <w:rPr>
          <w:rFonts w:hint="eastAsia" w:ascii="宋体" w:hAnsi="宋体" w:cs="宋体"/>
          <w:b/>
          <w:color w:val="auto"/>
          <w:sz w:val="24"/>
        </w:rPr>
      </w:pPr>
      <w:bookmarkStart w:id="723" w:name="_Toc144974677"/>
      <w:bookmarkStart w:id="724" w:name="_Toc152042486"/>
      <w:bookmarkStart w:id="725" w:name="_Toc152045708"/>
      <w:bookmarkStart w:id="726" w:name="_Toc179632726"/>
      <w:r>
        <w:rPr>
          <w:rFonts w:hint="eastAsia" w:ascii="宋体" w:hAnsi="宋体" w:cs="宋体"/>
          <w:b/>
          <w:color w:val="auto"/>
          <w:sz w:val="24"/>
        </w:rPr>
        <w:t>变更权</w:t>
      </w:r>
      <w:bookmarkEnd w:id="723"/>
      <w:bookmarkEnd w:id="724"/>
      <w:bookmarkEnd w:id="725"/>
      <w:bookmarkEnd w:id="726"/>
    </w:p>
    <w:p w14:paraId="766D3262">
      <w:pPr>
        <w:spacing w:line="400" w:lineRule="exact"/>
        <w:ind w:firstLine="440" w:firstLineChars="200"/>
        <w:rPr>
          <w:rFonts w:hint="eastAsia" w:ascii="宋体" w:hAnsi="宋体" w:cs="宋体"/>
          <w:color w:val="auto"/>
        </w:rPr>
      </w:pPr>
      <w:r>
        <w:rPr>
          <w:rFonts w:hint="eastAsia" w:ascii="宋体" w:hAnsi="宋体" w:cs="宋体"/>
          <w:color w:val="auto"/>
        </w:rPr>
        <w:t>在履行合同过程中，经发包人同意，监理人可按第15.3款约定的变更程序向承包人作出变更指示，承包人应遵照执行。没有监理人的变更指示，承包人不得擅自变更。</w:t>
      </w:r>
    </w:p>
    <w:p w14:paraId="7D210D31">
      <w:pPr>
        <w:numPr>
          <w:ilvl w:val="1"/>
          <w:numId w:val="4"/>
        </w:numPr>
        <w:spacing w:line="400" w:lineRule="exact"/>
        <w:ind w:left="0" w:firstLine="241" w:firstLineChars="100"/>
        <w:rPr>
          <w:rFonts w:hint="eastAsia" w:ascii="宋体" w:hAnsi="宋体" w:cs="宋体"/>
          <w:b/>
          <w:color w:val="auto"/>
          <w:sz w:val="24"/>
        </w:rPr>
      </w:pPr>
      <w:bookmarkStart w:id="727" w:name="_Toc179632727"/>
      <w:bookmarkStart w:id="728" w:name="_Toc152045709"/>
      <w:bookmarkStart w:id="729" w:name="_Toc144974678"/>
      <w:bookmarkStart w:id="730" w:name="_Toc152042487"/>
      <w:r>
        <w:rPr>
          <w:rFonts w:hint="eastAsia" w:ascii="宋体" w:hAnsi="宋体" w:cs="宋体"/>
          <w:b/>
          <w:color w:val="auto"/>
          <w:sz w:val="24"/>
        </w:rPr>
        <w:t>变更程序</w:t>
      </w:r>
      <w:bookmarkEnd w:id="727"/>
      <w:bookmarkEnd w:id="728"/>
      <w:bookmarkEnd w:id="729"/>
      <w:bookmarkEnd w:id="730"/>
    </w:p>
    <w:p w14:paraId="568A191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变更的提出</w:t>
      </w:r>
    </w:p>
    <w:p w14:paraId="4974FC03">
      <w:pPr>
        <w:numPr>
          <w:ilvl w:val="0"/>
          <w:numId w:val="11"/>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683495BC">
      <w:pPr>
        <w:numPr>
          <w:ilvl w:val="0"/>
          <w:numId w:val="11"/>
        </w:numPr>
        <w:spacing w:line="400" w:lineRule="exact"/>
        <w:ind w:left="0" w:firstLine="440" w:firstLineChars="200"/>
        <w:rPr>
          <w:rFonts w:hint="eastAsia" w:ascii="宋体" w:hAnsi="宋体" w:cs="宋体"/>
          <w:color w:val="auto"/>
        </w:rPr>
      </w:pPr>
      <w:r>
        <w:rPr>
          <w:rFonts w:hint="eastAsia" w:ascii="宋体" w:hAnsi="宋体" w:cs="宋体"/>
          <w:color w:val="auto"/>
        </w:rPr>
        <w:t>在合同履行过程中，发生第15.1款约定情形的，监理人应按照第15.3.3项约定向承包人发出变更指示。</w:t>
      </w:r>
    </w:p>
    <w:p w14:paraId="7A8FD979">
      <w:pPr>
        <w:numPr>
          <w:ilvl w:val="0"/>
          <w:numId w:val="11"/>
        </w:numPr>
        <w:spacing w:line="400" w:lineRule="exact"/>
        <w:ind w:left="0" w:firstLine="440" w:firstLineChars="200"/>
        <w:rPr>
          <w:rFonts w:hint="eastAsia" w:ascii="宋体" w:hAnsi="宋体" w:cs="宋体"/>
          <w:color w:val="auto"/>
        </w:rPr>
      </w:pPr>
      <w:r>
        <w:rPr>
          <w:rFonts w:hint="eastAsia" w:ascii="宋体" w:hAnsi="宋体" w:cs="宋体"/>
          <w:color w:val="auto"/>
        </w:rPr>
        <w:t>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6C1BECD3">
      <w:pPr>
        <w:numPr>
          <w:ilvl w:val="0"/>
          <w:numId w:val="11"/>
        </w:numPr>
        <w:spacing w:line="400" w:lineRule="exact"/>
        <w:ind w:left="0" w:firstLine="440" w:firstLineChars="200"/>
        <w:rPr>
          <w:rFonts w:hint="eastAsia" w:ascii="宋体" w:hAnsi="宋体" w:cs="宋体"/>
          <w:color w:val="auto"/>
        </w:rPr>
      </w:pPr>
      <w:r>
        <w:rPr>
          <w:rFonts w:hint="eastAsia" w:ascii="宋体" w:hAnsi="宋体" w:cs="宋体"/>
          <w:color w:val="auto"/>
        </w:rPr>
        <w:t>若承包人收到监理人的变更意向书后认为难以实施此项变更，应立即通知监理人，说明原因并附详细依据。监理人与承包人和发包人协商后确定撤销、改变或不改变原变更意向书。</w:t>
      </w:r>
    </w:p>
    <w:p w14:paraId="6525168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变更估价</w:t>
      </w:r>
    </w:p>
    <w:p w14:paraId="20CBB563">
      <w:pPr>
        <w:numPr>
          <w:ilvl w:val="0"/>
          <w:numId w:val="12"/>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2C470407">
      <w:pPr>
        <w:numPr>
          <w:ilvl w:val="0"/>
          <w:numId w:val="12"/>
        </w:numPr>
        <w:spacing w:line="400" w:lineRule="exact"/>
        <w:ind w:left="0" w:firstLine="440" w:firstLineChars="200"/>
        <w:rPr>
          <w:rFonts w:hint="eastAsia" w:ascii="宋体" w:hAnsi="宋体" w:cs="宋体"/>
          <w:color w:val="auto"/>
        </w:rPr>
      </w:pPr>
      <w:r>
        <w:rPr>
          <w:rFonts w:hint="eastAsia" w:ascii="宋体" w:hAnsi="宋体" w:cs="宋体"/>
          <w:color w:val="auto"/>
        </w:rPr>
        <w:t>变更工作影响工期的，承包人应提出调整工期的具体细节。监理人认为有必要时，可要求承包人提交要求提前或延长工期的施工进度计划及相应施工措施等详细资料。</w:t>
      </w:r>
    </w:p>
    <w:p w14:paraId="43458C39">
      <w:pPr>
        <w:numPr>
          <w:ilvl w:val="0"/>
          <w:numId w:val="12"/>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除专用合同条款对期限另有约定外，监理人收到承包人变更报价书后的14天内，根据第15.4款约定的估价原则，按照第3.5款商定或确定变更价格。</w:t>
      </w:r>
    </w:p>
    <w:p w14:paraId="5DA7049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变更指示</w:t>
      </w:r>
    </w:p>
    <w:p w14:paraId="65365321">
      <w:pPr>
        <w:numPr>
          <w:ilvl w:val="0"/>
          <w:numId w:val="13"/>
        </w:numPr>
        <w:spacing w:line="400" w:lineRule="exact"/>
        <w:ind w:left="0" w:firstLine="440" w:firstLineChars="200"/>
        <w:rPr>
          <w:rFonts w:hint="eastAsia" w:ascii="宋体" w:hAnsi="宋体" w:cs="宋体"/>
          <w:color w:val="auto"/>
        </w:rPr>
      </w:pPr>
      <w:r>
        <w:rPr>
          <w:rFonts w:hint="eastAsia" w:ascii="宋体" w:hAnsi="宋体" w:cs="宋体"/>
          <w:color w:val="auto"/>
        </w:rPr>
        <w:t>变更指示只能由监理人发出。</w:t>
      </w:r>
    </w:p>
    <w:p w14:paraId="44364984">
      <w:pPr>
        <w:numPr>
          <w:ilvl w:val="0"/>
          <w:numId w:val="13"/>
        </w:numPr>
        <w:spacing w:line="400" w:lineRule="exact"/>
        <w:ind w:left="0" w:firstLine="440" w:firstLineChars="200"/>
        <w:rPr>
          <w:rFonts w:hint="eastAsia" w:ascii="宋体" w:hAnsi="宋体" w:cs="宋体"/>
          <w:color w:val="auto"/>
        </w:rPr>
      </w:pPr>
      <w:r>
        <w:rPr>
          <w:rFonts w:hint="eastAsia" w:ascii="宋体" w:hAnsi="宋体" w:cs="宋体"/>
          <w:color w:val="auto"/>
        </w:rPr>
        <w:t>变更指示应说明变更的目的、范围、变更内容以及变更的工程量及其进度和技术要求，并附有关图纸和文件。承包人收到变更指示后，应按变更指示进行变更工作。</w:t>
      </w:r>
    </w:p>
    <w:p w14:paraId="6CF95A29">
      <w:pPr>
        <w:numPr>
          <w:ilvl w:val="1"/>
          <w:numId w:val="4"/>
        </w:numPr>
        <w:spacing w:line="400" w:lineRule="exact"/>
        <w:ind w:left="0" w:firstLine="241" w:firstLineChars="100"/>
        <w:rPr>
          <w:rFonts w:hint="eastAsia" w:ascii="宋体" w:hAnsi="宋体" w:cs="宋体"/>
          <w:b/>
          <w:color w:val="auto"/>
          <w:sz w:val="24"/>
        </w:rPr>
      </w:pPr>
      <w:bookmarkStart w:id="731" w:name="_Toc152045710"/>
      <w:bookmarkStart w:id="732" w:name="_Toc144974679"/>
      <w:bookmarkStart w:id="733" w:name="_Toc152042488"/>
      <w:bookmarkStart w:id="734" w:name="_Toc179632728"/>
      <w:r>
        <w:rPr>
          <w:rFonts w:hint="eastAsia" w:ascii="宋体" w:hAnsi="宋体" w:cs="宋体"/>
          <w:b/>
          <w:color w:val="auto"/>
          <w:sz w:val="24"/>
        </w:rPr>
        <w:t>变更的估价原则</w:t>
      </w:r>
      <w:bookmarkEnd w:id="731"/>
      <w:bookmarkEnd w:id="732"/>
      <w:bookmarkEnd w:id="733"/>
      <w:bookmarkEnd w:id="734"/>
    </w:p>
    <w:p w14:paraId="44F733AF">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除专用合同条款另有约定外，因变更引起的价格调整按照本款约定处理。</w:t>
      </w:r>
    </w:p>
    <w:p w14:paraId="5175278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已标价工程量清单中有适用于变更工作的子目的，采用该子目的单价。</w:t>
      </w:r>
    </w:p>
    <w:p w14:paraId="0188372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已标价工程量清单中无适用于变更工作的子目，但有类似子目的，可在合理范围内参照类似子目的单价，由监理人按第3.5款商定或确定变更工作的单价。</w:t>
      </w:r>
    </w:p>
    <w:p w14:paraId="116533B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已标价工程量清单中无适用或类似子目的单价，可按照成本加利润的原则，由监理人按第3.5款商定或确定变更工作的单价。</w:t>
      </w:r>
    </w:p>
    <w:p w14:paraId="0A183F6C">
      <w:pPr>
        <w:numPr>
          <w:ilvl w:val="1"/>
          <w:numId w:val="4"/>
        </w:numPr>
        <w:spacing w:line="400" w:lineRule="exact"/>
        <w:ind w:left="0" w:firstLine="241" w:firstLineChars="100"/>
        <w:rPr>
          <w:rFonts w:hint="eastAsia" w:ascii="宋体" w:hAnsi="宋体" w:cs="宋体"/>
          <w:b/>
          <w:color w:val="auto"/>
          <w:sz w:val="24"/>
        </w:rPr>
      </w:pPr>
      <w:bookmarkStart w:id="735" w:name="_Toc144974680"/>
      <w:bookmarkStart w:id="736" w:name="_Toc179632729"/>
      <w:bookmarkStart w:id="737" w:name="_Toc152042489"/>
      <w:bookmarkStart w:id="738" w:name="_Toc152045711"/>
      <w:r>
        <w:rPr>
          <w:rFonts w:hint="eastAsia" w:ascii="宋体" w:hAnsi="宋体" w:cs="宋体"/>
          <w:b/>
          <w:color w:val="auto"/>
          <w:sz w:val="24"/>
        </w:rPr>
        <w:t>承包人的合理化建议</w:t>
      </w:r>
      <w:bookmarkEnd w:id="735"/>
      <w:bookmarkEnd w:id="736"/>
      <w:bookmarkEnd w:id="737"/>
      <w:bookmarkEnd w:id="738"/>
    </w:p>
    <w:p w14:paraId="4E93D9E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79491E6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承包人提出的合理化建议降低了合同价格、缩短了工期或者提高了工程经济效益的，发包人可按国家有关规定在专用合同条款中约定给予奖励。</w:t>
      </w:r>
    </w:p>
    <w:p w14:paraId="6EA162EA">
      <w:pPr>
        <w:numPr>
          <w:ilvl w:val="1"/>
          <w:numId w:val="4"/>
        </w:numPr>
        <w:spacing w:line="400" w:lineRule="exact"/>
        <w:ind w:left="0" w:firstLine="241" w:firstLineChars="100"/>
        <w:rPr>
          <w:rFonts w:hint="eastAsia" w:ascii="宋体" w:hAnsi="宋体" w:cs="宋体"/>
          <w:b/>
          <w:color w:val="auto"/>
          <w:sz w:val="24"/>
        </w:rPr>
      </w:pPr>
      <w:bookmarkStart w:id="739" w:name="_Toc152042490"/>
      <w:bookmarkStart w:id="740" w:name="_Toc152045712"/>
      <w:bookmarkStart w:id="741" w:name="_Toc179632730"/>
      <w:bookmarkStart w:id="742" w:name="_Toc144974681"/>
      <w:r>
        <w:rPr>
          <w:rFonts w:hint="eastAsia" w:ascii="宋体" w:hAnsi="宋体" w:cs="宋体"/>
          <w:b/>
          <w:color w:val="auto"/>
          <w:sz w:val="24"/>
        </w:rPr>
        <w:t>暂列金额</w:t>
      </w:r>
      <w:bookmarkEnd w:id="739"/>
      <w:bookmarkEnd w:id="740"/>
      <w:bookmarkEnd w:id="741"/>
      <w:bookmarkEnd w:id="742"/>
    </w:p>
    <w:p w14:paraId="2090D1D7">
      <w:pPr>
        <w:spacing w:line="400" w:lineRule="exact"/>
        <w:ind w:firstLine="440" w:firstLineChars="200"/>
        <w:rPr>
          <w:rFonts w:hint="eastAsia" w:ascii="宋体" w:hAnsi="宋体" w:cs="宋体"/>
          <w:color w:val="auto"/>
        </w:rPr>
      </w:pPr>
      <w:r>
        <w:rPr>
          <w:rFonts w:hint="eastAsia" w:ascii="宋体" w:hAnsi="宋体" w:cs="宋体"/>
          <w:color w:val="auto"/>
        </w:rPr>
        <w:t>暂列金额只能按照监理人的指示使用，并对合同价格进行相应调整。</w:t>
      </w:r>
    </w:p>
    <w:p w14:paraId="59908688">
      <w:pPr>
        <w:numPr>
          <w:ilvl w:val="1"/>
          <w:numId w:val="4"/>
        </w:numPr>
        <w:spacing w:line="400" w:lineRule="exact"/>
        <w:ind w:left="0" w:firstLine="241" w:firstLineChars="100"/>
        <w:rPr>
          <w:rFonts w:hint="eastAsia" w:ascii="宋体" w:hAnsi="宋体" w:cs="宋体"/>
          <w:b/>
          <w:color w:val="auto"/>
          <w:sz w:val="24"/>
        </w:rPr>
      </w:pPr>
      <w:bookmarkStart w:id="743" w:name="_Toc144974682"/>
      <w:bookmarkStart w:id="744" w:name="_Toc152042491"/>
      <w:bookmarkStart w:id="745" w:name="_Toc179632731"/>
      <w:bookmarkStart w:id="746" w:name="_Toc152045713"/>
      <w:r>
        <w:rPr>
          <w:rFonts w:hint="eastAsia" w:ascii="宋体" w:hAnsi="宋体" w:cs="宋体"/>
          <w:b/>
          <w:color w:val="auto"/>
          <w:sz w:val="24"/>
        </w:rPr>
        <w:t>计日工</w:t>
      </w:r>
      <w:bookmarkEnd w:id="743"/>
      <w:bookmarkEnd w:id="744"/>
      <w:bookmarkEnd w:id="745"/>
      <w:bookmarkEnd w:id="746"/>
    </w:p>
    <w:p w14:paraId="2A40586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发包人认为有必要时，由监理人通知承包人以计日工方式实施变更的零星工作。其价款按列入已标价工程量清单中的计日工计价子目及其单价进行计算。</w:t>
      </w:r>
    </w:p>
    <w:p w14:paraId="585623C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采用计日工计价的任何一项变更工作，应从暂列金额中支付，承包人应在该项变更的实施过程中，每天提交以下报表和有关凭证报送监理人审批：</w:t>
      </w:r>
    </w:p>
    <w:p w14:paraId="1A91B5B2">
      <w:pPr>
        <w:spacing w:line="400" w:lineRule="exact"/>
        <w:ind w:firstLine="440" w:firstLineChars="200"/>
        <w:rPr>
          <w:rFonts w:hint="eastAsia" w:ascii="宋体" w:hAnsi="宋体" w:cs="宋体"/>
          <w:color w:val="auto"/>
        </w:rPr>
      </w:pPr>
      <w:r>
        <w:rPr>
          <w:rFonts w:hint="eastAsia" w:ascii="宋体" w:hAnsi="宋体" w:cs="宋体"/>
          <w:color w:val="auto"/>
        </w:rPr>
        <w:t>（1）工作名称、内容和数量；</w:t>
      </w:r>
    </w:p>
    <w:p w14:paraId="0DE5B242">
      <w:pPr>
        <w:spacing w:line="400" w:lineRule="exact"/>
        <w:ind w:firstLine="440" w:firstLineChars="200"/>
        <w:rPr>
          <w:rFonts w:hint="eastAsia" w:ascii="宋体" w:hAnsi="宋体" w:cs="宋体"/>
          <w:color w:val="auto"/>
        </w:rPr>
      </w:pPr>
      <w:r>
        <w:rPr>
          <w:rFonts w:hint="eastAsia" w:ascii="宋体" w:hAnsi="宋体" w:cs="宋体"/>
          <w:color w:val="auto"/>
        </w:rPr>
        <w:t>（2）投入该工作所有人员的姓名、工种、级别和耗用工时；</w:t>
      </w:r>
    </w:p>
    <w:p w14:paraId="02AD7B8D">
      <w:pPr>
        <w:spacing w:line="400" w:lineRule="exact"/>
        <w:ind w:firstLine="440" w:firstLineChars="200"/>
        <w:rPr>
          <w:rFonts w:hint="eastAsia" w:ascii="宋体" w:hAnsi="宋体" w:cs="宋体"/>
          <w:color w:val="auto"/>
        </w:rPr>
      </w:pPr>
      <w:r>
        <w:rPr>
          <w:rFonts w:hint="eastAsia" w:ascii="宋体" w:hAnsi="宋体" w:cs="宋体"/>
          <w:color w:val="auto"/>
        </w:rPr>
        <w:t>（3）投入该工作的材料类别和数量；</w:t>
      </w:r>
    </w:p>
    <w:p w14:paraId="2B2178EA">
      <w:pPr>
        <w:spacing w:line="400" w:lineRule="exact"/>
        <w:ind w:firstLine="440" w:firstLineChars="200"/>
        <w:rPr>
          <w:rFonts w:hint="eastAsia" w:ascii="宋体" w:hAnsi="宋体" w:cs="宋体"/>
          <w:color w:val="auto"/>
        </w:rPr>
      </w:pPr>
      <w:r>
        <w:rPr>
          <w:rFonts w:hint="eastAsia" w:ascii="宋体" w:hAnsi="宋体" w:cs="宋体"/>
          <w:color w:val="auto"/>
        </w:rPr>
        <w:t>（4）投入该工作的施工设备型号、台数和耗用台时；</w:t>
      </w:r>
    </w:p>
    <w:p w14:paraId="62D0664F">
      <w:pPr>
        <w:spacing w:line="400" w:lineRule="exact"/>
        <w:ind w:firstLine="440" w:firstLineChars="200"/>
        <w:rPr>
          <w:rFonts w:hint="eastAsia" w:ascii="宋体" w:hAnsi="宋体" w:cs="宋体"/>
          <w:color w:val="auto"/>
        </w:rPr>
      </w:pPr>
      <w:r>
        <w:rPr>
          <w:rFonts w:hint="eastAsia" w:ascii="宋体" w:hAnsi="宋体" w:cs="宋体"/>
          <w:color w:val="auto"/>
        </w:rPr>
        <w:t>（5）监理人要求提交的其他资料和凭证。</w:t>
      </w:r>
    </w:p>
    <w:p w14:paraId="29E6F21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计日工由承包人汇总后，按第17.3.2项的约定列入进度付款申请单，由监理人复核并经发包人同意后列入进度付款。</w:t>
      </w:r>
    </w:p>
    <w:p w14:paraId="28E3A18E">
      <w:pPr>
        <w:numPr>
          <w:ilvl w:val="1"/>
          <w:numId w:val="4"/>
        </w:numPr>
        <w:spacing w:line="400" w:lineRule="exact"/>
        <w:ind w:left="0" w:firstLine="241" w:firstLineChars="100"/>
        <w:rPr>
          <w:rFonts w:hint="eastAsia" w:ascii="宋体" w:hAnsi="宋体" w:cs="宋体"/>
          <w:b/>
          <w:color w:val="auto"/>
          <w:sz w:val="24"/>
        </w:rPr>
      </w:pPr>
      <w:bookmarkStart w:id="747" w:name="_Toc152045714"/>
      <w:bookmarkStart w:id="748" w:name="_Toc179632732"/>
      <w:bookmarkStart w:id="749" w:name="_Toc144974683"/>
      <w:bookmarkStart w:id="750" w:name="_Toc152042492"/>
      <w:r>
        <w:rPr>
          <w:rFonts w:hint="eastAsia" w:ascii="宋体" w:hAnsi="宋体" w:cs="宋体"/>
          <w:b/>
          <w:color w:val="auto"/>
          <w:sz w:val="24"/>
        </w:rPr>
        <w:t>暂估价</w:t>
      </w:r>
      <w:bookmarkEnd w:id="747"/>
      <w:bookmarkEnd w:id="748"/>
      <w:bookmarkEnd w:id="749"/>
      <w:bookmarkEnd w:id="750"/>
    </w:p>
    <w:p w14:paraId="4F78DF2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23D426C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2C9983B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28D933E7">
      <w:pPr>
        <w:pStyle w:val="75"/>
        <w:numPr>
          <w:ilvl w:val="0"/>
          <w:numId w:val="4"/>
        </w:numPr>
        <w:spacing w:before="0"/>
        <w:ind w:left="0" w:firstLine="0"/>
        <w:outlineLvl w:val="9"/>
        <w:rPr>
          <w:rFonts w:hint="eastAsia" w:ascii="宋体" w:hAnsi="宋体" w:eastAsia="宋体"/>
          <w:b/>
          <w:bCs/>
          <w:color w:val="auto"/>
          <w:sz w:val="24"/>
          <w:szCs w:val="24"/>
        </w:rPr>
      </w:pPr>
      <w:bookmarkStart w:id="751" w:name="_Toc58398572"/>
      <w:bookmarkStart w:id="752" w:name="_Toc23541"/>
      <w:bookmarkStart w:id="753" w:name="_Toc152045715"/>
      <w:bookmarkStart w:id="754" w:name="_Toc19281"/>
      <w:bookmarkStart w:id="755" w:name="_Toc152042493"/>
      <w:bookmarkStart w:id="756" w:name="_Toc144974684"/>
      <w:bookmarkStart w:id="757" w:name="_Toc179632733"/>
      <w:r>
        <w:rPr>
          <w:rFonts w:hint="eastAsia" w:ascii="宋体" w:hAnsi="宋体" w:eastAsia="宋体"/>
          <w:b/>
          <w:bCs/>
          <w:color w:val="auto"/>
          <w:sz w:val="24"/>
          <w:szCs w:val="24"/>
        </w:rPr>
        <w:t>价格调整</w:t>
      </w:r>
      <w:bookmarkEnd w:id="751"/>
      <w:bookmarkEnd w:id="752"/>
      <w:bookmarkEnd w:id="753"/>
      <w:bookmarkEnd w:id="754"/>
      <w:bookmarkEnd w:id="755"/>
      <w:bookmarkEnd w:id="756"/>
      <w:bookmarkEnd w:id="757"/>
    </w:p>
    <w:p w14:paraId="2BF2B8E3">
      <w:pPr>
        <w:numPr>
          <w:ilvl w:val="1"/>
          <w:numId w:val="4"/>
        </w:numPr>
        <w:spacing w:line="400" w:lineRule="exact"/>
        <w:ind w:left="0" w:firstLine="241" w:firstLineChars="100"/>
        <w:rPr>
          <w:rFonts w:hint="eastAsia" w:ascii="宋体" w:hAnsi="宋体" w:cs="宋体"/>
          <w:b/>
          <w:color w:val="auto"/>
          <w:sz w:val="24"/>
        </w:rPr>
      </w:pPr>
      <w:bookmarkStart w:id="758" w:name="_Toc152045716"/>
      <w:bookmarkStart w:id="759" w:name="_Toc144974685"/>
      <w:bookmarkStart w:id="760" w:name="_Toc152042494"/>
      <w:bookmarkStart w:id="761" w:name="_Toc179632734"/>
      <w:r>
        <w:rPr>
          <w:rFonts w:hint="eastAsia" w:ascii="宋体" w:hAnsi="宋体" w:cs="宋体"/>
          <w:b/>
          <w:color w:val="auto"/>
          <w:sz w:val="24"/>
        </w:rPr>
        <w:t>物价波动引起的价格调整</w:t>
      </w:r>
      <w:bookmarkEnd w:id="758"/>
      <w:bookmarkEnd w:id="759"/>
      <w:bookmarkEnd w:id="760"/>
      <w:bookmarkEnd w:id="761"/>
    </w:p>
    <w:p w14:paraId="16DD8FA6">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除专用合同条款另有约定外，因物价波动引起的价格调整按照本款约定处理。</w:t>
      </w:r>
    </w:p>
    <w:p w14:paraId="14F7260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采用价格指数调整价格差额</w:t>
      </w:r>
    </w:p>
    <w:p w14:paraId="07C55DC8">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价格调整公式</w:t>
      </w:r>
    </w:p>
    <w:p w14:paraId="4714A79E">
      <w:pPr>
        <w:spacing w:line="400" w:lineRule="exact"/>
        <w:ind w:firstLine="440" w:firstLineChars="200"/>
        <w:rPr>
          <w:rFonts w:hint="eastAsia" w:ascii="宋体" w:hAnsi="宋体" w:cs="宋体"/>
          <w:color w:val="auto"/>
        </w:rPr>
      </w:pPr>
      <w:r>
        <w:rPr>
          <w:rFonts w:hint="eastAsia" w:ascii="宋体" w:hAnsi="宋体" w:cs="宋体"/>
          <w:color w:val="auto"/>
        </w:rPr>
        <w:t>因人工、材料和设备等价格波动影响合同价格时，根据投标函附录中的价格指数和权重表约定的数据，按以下公式计算差额并调整合同价格。</w:t>
      </w:r>
    </w:p>
    <w:p w14:paraId="0B4C8378">
      <w:pPr>
        <w:autoSpaceDE w:val="0"/>
        <w:autoSpaceDN w:val="0"/>
        <w:adjustRightInd w:val="0"/>
        <w:spacing w:line="400" w:lineRule="exact"/>
        <w:ind w:firstLine="759" w:firstLineChars="398"/>
        <w:rPr>
          <w:rFonts w:hint="eastAsia" w:ascii="宋体" w:hAnsi="宋体" w:cs="宋体"/>
          <w:color w:val="auto"/>
        </w:rPr>
      </w:pPr>
      <w:r>
        <w:rPr>
          <w:rFonts w:hint="eastAsia" w:ascii="宋体" w:hAnsi="宋体" w:cs="宋体"/>
          <w:b/>
          <w:bCs/>
          <w:color w:val="auto"/>
          <w:kern w:val="0"/>
          <w:sz w:val="19"/>
          <w:szCs w:val="19"/>
          <w:lang w:val="zh-CN"/>
        </w:rPr>
        <w:t xml:space="preserve">        </w:t>
      </w:r>
      <w:r>
        <w:rPr>
          <w:rFonts w:hint="eastAsia" w:ascii="宋体" w:hAnsi="宋体" w:cs="宋体"/>
          <w:color w:val="auto"/>
          <w:position w:val="-34"/>
        </w:rPr>
        <w:object>
          <v:shape id="_x0000_i1025" o:spt="75" type="#_x0000_t75" style="height:40.1pt;width:306.9pt;" o:ole="t" filled="f" o:preferrelative="t" stroked="f" coordsize="21600,21600">
            <v:path/>
            <v:fill on="f" focussize="0,0"/>
            <v:stroke on="f"/>
            <v:imagedata r:id="rId11" o:title=""/>
            <o:lock v:ext="edit" aspectratio="t"/>
            <w10:wrap type="none"/>
            <w10:anchorlock/>
          </v:shape>
          <o:OLEObject Type="Embed" ProgID="Equations" ShapeID="_x0000_i1025" DrawAspect="Content" ObjectID="_1468075725" r:id="rId10">
            <o:LockedField>false</o:LockedField>
          </o:OLEObject>
        </w:object>
      </w:r>
    </w:p>
    <w:p w14:paraId="30E7D784">
      <w:pPr>
        <w:tabs>
          <w:tab w:val="left" w:pos="1260"/>
        </w:tabs>
        <w:spacing w:line="400" w:lineRule="exact"/>
        <w:ind w:firstLine="440" w:firstLineChars="200"/>
        <w:rPr>
          <w:rFonts w:hint="eastAsia" w:ascii="宋体" w:hAnsi="宋体" w:cs="宋体"/>
          <w:color w:val="auto"/>
        </w:rPr>
      </w:pPr>
      <w:r>
        <w:rPr>
          <w:rFonts w:hint="eastAsia" w:ascii="宋体" w:hAnsi="宋体" w:cs="宋体"/>
          <w:color w:val="auto"/>
        </w:rPr>
        <w:t xml:space="preserve"> </w:t>
      </w:r>
    </w:p>
    <w:p w14:paraId="4B8E7151">
      <w:pPr>
        <w:tabs>
          <w:tab w:val="left" w:pos="1260"/>
        </w:tabs>
        <w:spacing w:line="400" w:lineRule="exact"/>
        <w:ind w:firstLine="440" w:firstLineChars="200"/>
        <w:rPr>
          <w:rFonts w:hint="eastAsia" w:ascii="宋体" w:hAnsi="宋体" w:cs="宋体"/>
          <w:color w:val="auto"/>
        </w:rPr>
      </w:pPr>
      <w:r>
        <w:rPr>
          <w:rFonts w:hint="eastAsia" w:ascii="宋体" w:hAnsi="宋体" w:cs="宋体"/>
          <w:color w:val="auto"/>
        </w:rPr>
        <w:t>式中： △P -- 需调整的价格差额；</w:t>
      </w:r>
    </w:p>
    <w:p w14:paraId="0F798115">
      <w:pPr>
        <w:tabs>
          <w:tab w:val="left" w:pos="1260"/>
        </w:tabs>
        <w:spacing w:line="400" w:lineRule="exact"/>
        <w:rPr>
          <w:rFonts w:hint="eastAsia" w:ascii="宋体" w:hAnsi="宋体" w:cs="宋体"/>
          <w:color w:val="auto"/>
        </w:rPr>
      </w:pPr>
      <w:r>
        <w:rPr>
          <w:rFonts w:hint="eastAsia" w:ascii="宋体" w:hAnsi="宋体" w:cs="宋体"/>
          <w:color w:val="auto"/>
        </w:rPr>
        <w:tab/>
      </w:r>
      <w:r>
        <w:rPr>
          <w:rFonts w:hint="eastAsia" w:ascii="宋体" w:hAnsi="宋体" w:cs="宋体"/>
          <w:color w:val="auto"/>
        </w:rPr>
        <w:t>P</w:t>
      </w:r>
      <w:r>
        <w:rPr>
          <w:rFonts w:hint="eastAsia" w:ascii="宋体" w:hAnsi="宋体" w:cs="宋体"/>
          <w:color w:val="auto"/>
          <w:szCs w:val="21"/>
          <w:vertAlign w:val="subscript"/>
        </w:rPr>
        <w:t>0</w:t>
      </w:r>
      <w:r>
        <w:rPr>
          <w:rFonts w:hint="eastAsia" w:ascii="宋体" w:hAnsi="宋体" w:cs="宋体"/>
          <w:color w:val="auto"/>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3190F33B">
      <w:pPr>
        <w:tabs>
          <w:tab w:val="left" w:pos="1260"/>
        </w:tabs>
        <w:spacing w:line="400" w:lineRule="exact"/>
        <w:rPr>
          <w:rFonts w:hint="eastAsia" w:ascii="宋体" w:hAnsi="宋体" w:cs="宋体"/>
          <w:color w:val="auto"/>
        </w:rPr>
      </w:pPr>
      <w:r>
        <w:rPr>
          <w:rFonts w:hint="eastAsia" w:ascii="宋体" w:hAnsi="宋体" w:cs="宋体"/>
          <w:color w:val="auto"/>
        </w:rPr>
        <w:tab/>
      </w:r>
      <w:bookmarkStart w:id="762" w:name="_Toc152042495"/>
      <w:bookmarkStart w:id="763" w:name="_Toc144974686"/>
      <w:r>
        <w:rPr>
          <w:rFonts w:hint="eastAsia" w:ascii="宋体" w:hAnsi="宋体" w:cs="宋体"/>
          <w:color w:val="auto"/>
        </w:rPr>
        <w:t>A -- 定值权重（即不调部分的权重）；</w:t>
      </w:r>
      <w:bookmarkEnd w:id="762"/>
      <w:bookmarkEnd w:id="763"/>
    </w:p>
    <w:p w14:paraId="75F1810E">
      <w:pPr>
        <w:tabs>
          <w:tab w:val="left" w:pos="1260"/>
        </w:tabs>
        <w:spacing w:line="400" w:lineRule="exact"/>
        <w:rPr>
          <w:rFonts w:hint="eastAsia" w:ascii="宋体" w:hAnsi="宋体" w:cs="宋体"/>
          <w:color w:val="auto"/>
        </w:rPr>
      </w:pPr>
      <w:r>
        <w:rPr>
          <w:rFonts w:hint="eastAsia" w:ascii="宋体" w:hAnsi="宋体" w:cs="宋体"/>
          <w:color w:val="auto"/>
        </w:rPr>
        <w:tab/>
      </w:r>
      <w:r>
        <w:rPr>
          <w:rFonts w:hint="eastAsia" w:ascii="宋体" w:hAnsi="宋体" w:cs="宋体"/>
          <w:color w:val="auto"/>
        </w:rPr>
        <w:t>B</w:t>
      </w:r>
      <w:r>
        <w:rPr>
          <w:rFonts w:hint="eastAsia" w:ascii="宋体" w:hAnsi="宋体" w:cs="宋体"/>
          <w:color w:val="auto"/>
          <w:szCs w:val="21"/>
          <w:vertAlign w:val="subscript"/>
        </w:rPr>
        <w:t>1</w:t>
      </w:r>
      <w:r>
        <w:rPr>
          <w:rFonts w:hint="eastAsia" w:ascii="宋体" w:hAnsi="宋体" w:cs="宋体"/>
          <w:color w:val="auto"/>
          <w:sz w:val="15"/>
          <w:szCs w:val="15"/>
        </w:rPr>
        <w:t>;</w:t>
      </w:r>
      <w:r>
        <w:rPr>
          <w:rFonts w:hint="eastAsia" w:ascii="宋体" w:hAnsi="宋体" w:cs="宋体"/>
          <w:color w:val="auto"/>
        </w:rPr>
        <w:t xml:space="preserve"> B</w:t>
      </w:r>
      <w:r>
        <w:rPr>
          <w:rFonts w:hint="eastAsia" w:ascii="宋体" w:hAnsi="宋体" w:cs="宋体"/>
          <w:color w:val="auto"/>
          <w:szCs w:val="21"/>
          <w:vertAlign w:val="subscript"/>
        </w:rPr>
        <w:t>2</w:t>
      </w:r>
      <w:r>
        <w:rPr>
          <w:rFonts w:hint="eastAsia" w:ascii="宋体" w:hAnsi="宋体" w:cs="宋体"/>
          <w:color w:val="auto"/>
        </w:rPr>
        <w:t xml:space="preserve"> ;B</w:t>
      </w:r>
      <w:r>
        <w:rPr>
          <w:rFonts w:hint="eastAsia" w:ascii="宋体" w:hAnsi="宋体" w:cs="宋体"/>
          <w:color w:val="auto"/>
          <w:szCs w:val="21"/>
          <w:vertAlign w:val="subscript"/>
        </w:rPr>
        <w:t>3</w:t>
      </w:r>
      <w:r>
        <w:rPr>
          <w:rFonts w:hint="eastAsia" w:ascii="宋体" w:hAnsi="宋体" w:cs="宋体"/>
          <w:color w:val="auto"/>
          <w:sz w:val="15"/>
          <w:szCs w:val="15"/>
        </w:rPr>
        <w:t>·····</w:t>
      </w:r>
      <w:r>
        <w:rPr>
          <w:rFonts w:hint="eastAsia" w:ascii="宋体" w:hAnsi="宋体" w:cs="宋体"/>
          <w:color w:val="auto"/>
        </w:rPr>
        <w:t>B</w:t>
      </w:r>
      <w:r>
        <w:rPr>
          <w:rFonts w:hint="eastAsia" w:ascii="宋体" w:hAnsi="宋体" w:cs="宋体"/>
          <w:color w:val="auto"/>
          <w:szCs w:val="21"/>
          <w:vertAlign w:val="subscript"/>
        </w:rPr>
        <w:t>n</w:t>
      </w:r>
      <w:r>
        <w:rPr>
          <w:rFonts w:hint="eastAsia" w:ascii="宋体" w:hAnsi="宋体" w:cs="宋体"/>
          <w:color w:val="auto"/>
        </w:rPr>
        <w:t xml:space="preserve"> -- 各可调因子的变值权重（即可调部分的权重）为各可调因子在投标函投标总报价中所占的比例；</w:t>
      </w:r>
    </w:p>
    <w:p w14:paraId="53A82A03">
      <w:pPr>
        <w:tabs>
          <w:tab w:val="left" w:pos="1260"/>
        </w:tabs>
        <w:spacing w:line="400" w:lineRule="exact"/>
        <w:rPr>
          <w:rFonts w:hint="eastAsia" w:ascii="宋体" w:hAnsi="宋体" w:cs="宋体"/>
          <w:color w:val="auto"/>
        </w:rPr>
      </w:pPr>
      <w:r>
        <w:rPr>
          <w:rFonts w:hint="eastAsia" w:ascii="宋体" w:hAnsi="宋体" w:cs="宋体"/>
          <w:color w:val="auto"/>
        </w:rPr>
        <w:tab/>
      </w:r>
      <w:r>
        <w:rPr>
          <w:rFonts w:hint="eastAsia" w:ascii="宋体" w:hAnsi="宋体" w:cs="宋体"/>
          <w:color w:val="auto"/>
        </w:rPr>
        <w:t>F</w:t>
      </w:r>
      <w:r>
        <w:rPr>
          <w:rFonts w:hint="eastAsia" w:ascii="宋体" w:hAnsi="宋体" w:cs="宋体"/>
          <w:color w:val="auto"/>
          <w:szCs w:val="21"/>
          <w:vertAlign w:val="subscript"/>
        </w:rPr>
        <w:t>t1</w:t>
      </w:r>
      <w:r>
        <w:rPr>
          <w:rFonts w:hint="eastAsia" w:ascii="宋体" w:hAnsi="宋体" w:cs="宋体"/>
          <w:color w:val="auto"/>
        </w:rPr>
        <w:t xml:space="preserve"> ;F</w:t>
      </w:r>
      <w:r>
        <w:rPr>
          <w:rFonts w:hint="eastAsia" w:ascii="宋体" w:hAnsi="宋体" w:cs="宋体"/>
          <w:color w:val="auto"/>
          <w:szCs w:val="21"/>
          <w:vertAlign w:val="subscript"/>
        </w:rPr>
        <w:t>t2</w:t>
      </w:r>
      <w:r>
        <w:rPr>
          <w:rFonts w:hint="eastAsia" w:ascii="宋体" w:hAnsi="宋体" w:cs="宋体"/>
          <w:color w:val="auto"/>
        </w:rPr>
        <w:t xml:space="preserve"> ;F</w:t>
      </w:r>
      <w:r>
        <w:rPr>
          <w:rFonts w:hint="eastAsia" w:ascii="宋体" w:hAnsi="宋体" w:cs="宋体"/>
          <w:color w:val="auto"/>
          <w:szCs w:val="21"/>
          <w:vertAlign w:val="subscript"/>
        </w:rPr>
        <w:t>t3</w:t>
      </w:r>
      <w:r>
        <w:rPr>
          <w:rFonts w:hint="eastAsia" w:ascii="宋体" w:hAnsi="宋体" w:cs="宋体"/>
          <w:color w:val="auto"/>
          <w:sz w:val="15"/>
          <w:szCs w:val="15"/>
        </w:rPr>
        <w:t>·····</w:t>
      </w:r>
      <w:r>
        <w:rPr>
          <w:rFonts w:hint="eastAsia" w:ascii="宋体" w:hAnsi="宋体" w:cs="宋体"/>
          <w:color w:val="auto"/>
        </w:rPr>
        <w:t>F</w:t>
      </w:r>
      <w:r>
        <w:rPr>
          <w:rFonts w:hint="eastAsia" w:ascii="宋体" w:hAnsi="宋体" w:cs="宋体"/>
          <w:color w:val="auto"/>
          <w:szCs w:val="21"/>
          <w:vertAlign w:val="subscript"/>
        </w:rPr>
        <w:t>tn</w:t>
      </w:r>
      <w:r>
        <w:rPr>
          <w:rFonts w:hint="eastAsia" w:ascii="宋体" w:hAnsi="宋体" w:cs="宋体"/>
          <w:color w:val="auto"/>
        </w:rPr>
        <w:t xml:space="preserve"> -- 各可调因子的现行价格指数，指第17.3.3项、第17.5.2项和第17.6.2项约定的付款证书相关周期最后一天的前42天的各可调因子的价格指数；</w:t>
      </w:r>
    </w:p>
    <w:p w14:paraId="5A98EA53">
      <w:pPr>
        <w:tabs>
          <w:tab w:val="left" w:pos="1260"/>
        </w:tabs>
        <w:spacing w:line="400" w:lineRule="exact"/>
        <w:rPr>
          <w:rFonts w:hint="eastAsia" w:ascii="宋体" w:hAnsi="宋体" w:cs="宋体"/>
          <w:color w:val="auto"/>
        </w:rPr>
      </w:pPr>
      <w:r>
        <w:rPr>
          <w:rFonts w:hint="eastAsia" w:ascii="宋体" w:hAnsi="宋体" w:cs="宋体"/>
          <w:color w:val="auto"/>
        </w:rPr>
        <w:tab/>
      </w:r>
      <w:r>
        <w:rPr>
          <w:rFonts w:hint="eastAsia" w:ascii="宋体" w:hAnsi="宋体" w:cs="宋体"/>
          <w:color w:val="auto"/>
        </w:rPr>
        <w:t>F</w:t>
      </w:r>
      <w:r>
        <w:rPr>
          <w:rFonts w:hint="eastAsia" w:ascii="宋体" w:hAnsi="宋体" w:cs="宋体"/>
          <w:color w:val="auto"/>
          <w:szCs w:val="21"/>
          <w:vertAlign w:val="subscript"/>
        </w:rPr>
        <w:t>o1</w:t>
      </w:r>
      <w:r>
        <w:rPr>
          <w:rFonts w:hint="eastAsia" w:ascii="宋体" w:hAnsi="宋体" w:cs="宋体"/>
          <w:color w:val="auto"/>
        </w:rPr>
        <w:t>; F</w:t>
      </w:r>
      <w:r>
        <w:rPr>
          <w:rFonts w:hint="eastAsia" w:ascii="宋体" w:hAnsi="宋体" w:cs="宋体"/>
          <w:color w:val="auto"/>
          <w:szCs w:val="21"/>
          <w:vertAlign w:val="subscript"/>
        </w:rPr>
        <w:t>o2</w:t>
      </w:r>
      <w:r>
        <w:rPr>
          <w:rFonts w:hint="eastAsia" w:ascii="宋体" w:hAnsi="宋体" w:cs="宋体"/>
          <w:color w:val="auto"/>
          <w:sz w:val="15"/>
          <w:szCs w:val="15"/>
        </w:rPr>
        <w:t>;</w:t>
      </w:r>
      <w:r>
        <w:rPr>
          <w:rFonts w:hint="eastAsia" w:ascii="宋体" w:hAnsi="宋体" w:cs="宋体"/>
          <w:color w:val="auto"/>
        </w:rPr>
        <w:t xml:space="preserve"> F</w:t>
      </w:r>
      <w:r>
        <w:rPr>
          <w:rFonts w:hint="eastAsia" w:ascii="宋体" w:hAnsi="宋体" w:cs="宋体"/>
          <w:color w:val="auto"/>
          <w:szCs w:val="21"/>
          <w:vertAlign w:val="subscript"/>
        </w:rPr>
        <w:t>o3</w:t>
      </w:r>
      <w:r>
        <w:rPr>
          <w:rFonts w:hint="eastAsia" w:ascii="宋体" w:hAnsi="宋体" w:cs="宋体"/>
          <w:color w:val="auto"/>
          <w:sz w:val="15"/>
          <w:szCs w:val="15"/>
        </w:rPr>
        <w:t>·····</w:t>
      </w:r>
      <w:r>
        <w:rPr>
          <w:rFonts w:hint="eastAsia" w:ascii="宋体" w:hAnsi="宋体" w:cs="宋体"/>
          <w:color w:val="auto"/>
        </w:rPr>
        <w:t>F</w:t>
      </w:r>
      <w:r>
        <w:rPr>
          <w:rFonts w:hint="eastAsia" w:ascii="宋体" w:hAnsi="宋体" w:cs="宋体"/>
          <w:color w:val="auto"/>
          <w:szCs w:val="21"/>
          <w:vertAlign w:val="subscript"/>
        </w:rPr>
        <w:t>on</w:t>
      </w:r>
      <w:r>
        <w:rPr>
          <w:rFonts w:hint="eastAsia" w:ascii="宋体" w:hAnsi="宋体" w:cs="宋体"/>
          <w:color w:val="auto"/>
        </w:rPr>
        <w:t xml:space="preserve"> -- 各可调因子的基本价格指数，指基准日期的各可调因子的价格指数。</w:t>
      </w:r>
    </w:p>
    <w:p w14:paraId="5D59701A">
      <w:pPr>
        <w:spacing w:line="400" w:lineRule="exact"/>
        <w:ind w:firstLine="440" w:firstLineChars="200"/>
        <w:rPr>
          <w:rFonts w:hint="eastAsia" w:ascii="宋体" w:hAnsi="宋体" w:cs="宋体"/>
          <w:color w:val="auto"/>
        </w:rPr>
      </w:pPr>
      <w:r>
        <w:rPr>
          <w:rFonts w:hint="eastAsia" w:ascii="宋体" w:hAnsi="宋体" w:cs="宋体"/>
          <w:color w:val="auto"/>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0266D1FD">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暂时确定调整差额</w:t>
      </w:r>
    </w:p>
    <w:p w14:paraId="21CBF4BD">
      <w:pPr>
        <w:spacing w:line="400" w:lineRule="exact"/>
        <w:ind w:firstLine="440" w:firstLineChars="200"/>
        <w:rPr>
          <w:rFonts w:hint="eastAsia" w:ascii="宋体" w:hAnsi="宋体" w:cs="宋体"/>
          <w:color w:val="auto"/>
        </w:rPr>
      </w:pPr>
      <w:r>
        <w:rPr>
          <w:rFonts w:hint="eastAsia" w:ascii="宋体" w:hAnsi="宋体" w:cs="宋体"/>
          <w:color w:val="auto"/>
        </w:rPr>
        <w:t>在计算调整差额时得不到现行价格指数的，可暂用上一次价格指数计算，并在以后的付款中再按实际价格指数进行调整。</w:t>
      </w:r>
    </w:p>
    <w:p w14:paraId="4AF07243">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权重的调整</w:t>
      </w:r>
    </w:p>
    <w:p w14:paraId="6C922E52">
      <w:pPr>
        <w:spacing w:line="400" w:lineRule="exact"/>
        <w:ind w:firstLine="440" w:firstLineChars="200"/>
        <w:rPr>
          <w:rFonts w:hint="eastAsia" w:ascii="宋体" w:hAnsi="宋体" w:cs="宋体"/>
          <w:color w:val="auto"/>
        </w:rPr>
      </w:pPr>
      <w:r>
        <w:rPr>
          <w:rFonts w:hint="eastAsia" w:ascii="宋体" w:hAnsi="宋体" w:cs="宋体"/>
          <w:color w:val="auto"/>
        </w:rPr>
        <w:t>按第15.1款约定的变更导致原定合同中的权重不合理时，由监理人与承包人和发包人协商后进行调整。</w:t>
      </w:r>
    </w:p>
    <w:p w14:paraId="0FD03396">
      <w:pPr>
        <w:numPr>
          <w:ilvl w:val="3"/>
          <w:numId w:val="4"/>
        </w:numPr>
        <w:spacing w:line="400" w:lineRule="exact"/>
        <w:ind w:left="0" w:firstLine="550" w:firstLineChars="250"/>
        <w:rPr>
          <w:rFonts w:hint="eastAsia" w:ascii="宋体" w:hAnsi="宋体" w:cs="宋体"/>
          <w:color w:val="auto"/>
        </w:rPr>
      </w:pPr>
      <w:r>
        <w:rPr>
          <w:rFonts w:hint="eastAsia" w:ascii="宋体" w:hAnsi="宋体" w:cs="宋体"/>
          <w:color w:val="auto"/>
        </w:rPr>
        <w:t>承包人工期延误后的价格调整</w:t>
      </w:r>
    </w:p>
    <w:p w14:paraId="0C8DDAB8">
      <w:pPr>
        <w:spacing w:line="400" w:lineRule="exact"/>
        <w:ind w:firstLine="440" w:firstLineChars="200"/>
        <w:rPr>
          <w:rFonts w:hint="eastAsia" w:ascii="宋体" w:hAnsi="宋体" w:cs="宋体"/>
          <w:color w:val="auto"/>
        </w:rPr>
      </w:pPr>
      <w:r>
        <w:rPr>
          <w:rFonts w:hint="eastAsia" w:ascii="宋体" w:hAnsi="宋体" w:cs="宋体"/>
          <w:color w:val="auto"/>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54B341C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采用造价信息调整价格差额</w:t>
      </w:r>
    </w:p>
    <w:p w14:paraId="052D3BB7">
      <w:pPr>
        <w:spacing w:line="400" w:lineRule="exact"/>
        <w:ind w:firstLine="440" w:firstLineChars="200"/>
        <w:rPr>
          <w:rFonts w:hint="eastAsia" w:ascii="宋体" w:hAnsi="宋体" w:cs="宋体"/>
          <w:color w:val="auto"/>
        </w:rPr>
      </w:pPr>
      <w:r>
        <w:rPr>
          <w:rFonts w:hint="eastAsia" w:ascii="宋体" w:hAnsi="宋体" w:cs="宋体"/>
          <w:color w:val="auto"/>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1EF1D51A">
      <w:pPr>
        <w:numPr>
          <w:ilvl w:val="1"/>
          <w:numId w:val="4"/>
        </w:numPr>
        <w:spacing w:line="400" w:lineRule="exact"/>
        <w:ind w:left="0" w:firstLine="241" w:firstLineChars="100"/>
        <w:rPr>
          <w:rFonts w:hint="eastAsia" w:ascii="宋体" w:hAnsi="宋体" w:cs="宋体"/>
          <w:b/>
          <w:color w:val="auto"/>
          <w:sz w:val="24"/>
        </w:rPr>
      </w:pPr>
      <w:bookmarkStart w:id="764" w:name="_Toc152045717"/>
      <w:bookmarkStart w:id="765" w:name="_Toc152042496"/>
      <w:bookmarkStart w:id="766" w:name="_Toc144974688"/>
      <w:bookmarkStart w:id="767" w:name="_Toc179632735"/>
      <w:r>
        <w:rPr>
          <w:rFonts w:hint="eastAsia" w:ascii="宋体" w:hAnsi="宋体" w:cs="宋体"/>
          <w:b/>
          <w:color w:val="auto"/>
          <w:sz w:val="24"/>
        </w:rPr>
        <w:t>法律变化引起的价格调整</w:t>
      </w:r>
      <w:bookmarkEnd w:id="764"/>
      <w:bookmarkEnd w:id="765"/>
      <w:bookmarkEnd w:id="766"/>
      <w:bookmarkEnd w:id="767"/>
    </w:p>
    <w:p w14:paraId="77A66AB7">
      <w:pPr>
        <w:spacing w:line="400" w:lineRule="exact"/>
        <w:ind w:firstLine="440" w:firstLineChars="200"/>
        <w:rPr>
          <w:rFonts w:hint="eastAsia" w:ascii="宋体" w:hAnsi="宋体" w:cs="宋体"/>
          <w:color w:val="auto"/>
        </w:rPr>
      </w:pPr>
      <w:r>
        <w:rPr>
          <w:rFonts w:hint="eastAsia" w:ascii="宋体" w:hAnsi="宋体" w:cs="宋体"/>
          <w:color w:val="auto"/>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70B91101">
      <w:pPr>
        <w:pStyle w:val="75"/>
        <w:numPr>
          <w:ilvl w:val="0"/>
          <w:numId w:val="4"/>
        </w:numPr>
        <w:spacing w:before="0"/>
        <w:ind w:left="0" w:firstLine="0"/>
        <w:outlineLvl w:val="9"/>
        <w:rPr>
          <w:rFonts w:hint="eastAsia" w:ascii="宋体" w:hAnsi="宋体" w:eastAsia="宋体"/>
          <w:b/>
          <w:bCs/>
          <w:color w:val="auto"/>
          <w:sz w:val="24"/>
          <w:szCs w:val="24"/>
        </w:rPr>
      </w:pPr>
      <w:bookmarkStart w:id="768" w:name="_Toc144974689"/>
      <w:bookmarkStart w:id="769" w:name="_Toc152045718"/>
      <w:bookmarkStart w:id="770" w:name="_Toc962"/>
      <w:bookmarkStart w:id="771" w:name="_Toc25184"/>
      <w:bookmarkStart w:id="772" w:name="_Toc179632736"/>
      <w:bookmarkStart w:id="773" w:name="_Toc58398573"/>
      <w:bookmarkStart w:id="774" w:name="_Toc152042497"/>
      <w:r>
        <w:rPr>
          <w:rFonts w:hint="eastAsia" w:ascii="宋体" w:hAnsi="宋体" w:eastAsia="宋体"/>
          <w:b/>
          <w:bCs/>
          <w:color w:val="auto"/>
          <w:sz w:val="24"/>
          <w:szCs w:val="24"/>
        </w:rPr>
        <w:t>计量与支付</w:t>
      </w:r>
      <w:bookmarkEnd w:id="768"/>
      <w:bookmarkEnd w:id="769"/>
      <w:bookmarkEnd w:id="770"/>
      <w:bookmarkEnd w:id="771"/>
      <w:bookmarkEnd w:id="772"/>
      <w:bookmarkEnd w:id="773"/>
      <w:bookmarkEnd w:id="774"/>
    </w:p>
    <w:p w14:paraId="06C05A24">
      <w:pPr>
        <w:numPr>
          <w:ilvl w:val="1"/>
          <w:numId w:val="4"/>
        </w:numPr>
        <w:spacing w:line="400" w:lineRule="exact"/>
        <w:ind w:left="0" w:firstLine="241" w:firstLineChars="100"/>
        <w:rPr>
          <w:rFonts w:hint="eastAsia" w:ascii="宋体" w:hAnsi="宋体" w:cs="宋体"/>
          <w:b/>
          <w:color w:val="auto"/>
          <w:sz w:val="24"/>
        </w:rPr>
      </w:pPr>
      <w:bookmarkStart w:id="775" w:name="_Toc152045719"/>
      <w:bookmarkStart w:id="776" w:name="_Toc152042498"/>
      <w:bookmarkStart w:id="777" w:name="_Toc144974690"/>
      <w:bookmarkStart w:id="778" w:name="_Toc179632737"/>
      <w:r>
        <w:rPr>
          <w:rFonts w:hint="eastAsia" w:ascii="宋体" w:hAnsi="宋体" w:cs="宋体"/>
          <w:b/>
          <w:color w:val="auto"/>
          <w:sz w:val="24"/>
        </w:rPr>
        <w:t>计量</w:t>
      </w:r>
      <w:bookmarkEnd w:id="775"/>
      <w:bookmarkEnd w:id="776"/>
      <w:bookmarkEnd w:id="777"/>
      <w:bookmarkEnd w:id="778"/>
    </w:p>
    <w:p w14:paraId="2B3EBAD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计量单位</w:t>
      </w:r>
    </w:p>
    <w:p w14:paraId="30B99343">
      <w:pPr>
        <w:spacing w:line="400" w:lineRule="exact"/>
        <w:ind w:firstLine="440" w:firstLineChars="200"/>
        <w:rPr>
          <w:rFonts w:hint="eastAsia" w:ascii="宋体" w:hAnsi="宋体" w:cs="宋体"/>
          <w:color w:val="auto"/>
        </w:rPr>
      </w:pPr>
      <w:r>
        <w:rPr>
          <w:rFonts w:hint="eastAsia" w:ascii="宋体" w:hAnsi="宋体" w:cs="宋体"/>
          <w:color w:val="auto"/>
        </w:rPr>
        <w:t>计量采用国家法定的计量单位。</w:t>
      </w:r>
    </w:p>
    <w:p w14:paraId="352122D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计量方法</w:t>
      </w:r>
    </w:p>
    <w:p w14:paraId="0BDE61F4">
      <w:pPr>
        <w:spacing w:line="400" w:lineRule="exact"/>
        <w:ind w:firstLine="440" w:firstLineChars="200"/>
        <w:rPr>
          <w:rFonts w:hint="eastAsia" w:ascii="宋体" w:hAnsi="宋体" w:cs="宋体"/>
          <w:color w:val="auto"/>
        </w:rPr>
      </w:pPr>
      <w:r>
        <w:rPr>
          <w:rFonts w:hint="eastAsia" w:ascii="宋体" w:hAnsi="宋体" w:cs="宋体"/>
          <w:color w:val="auto"/>
        </w:rPr>
        <w:t>工程量清单中的工程量计算规则应按有关国家标准、行业标准的规定，并在合同中约定执行。</w:t>
      </w:r>
    </w:p>
    <w:p w14:paraId="0E808C1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计量周期</w:t>
      </w:r>
    </w:p>
    <w:p w14:paraId="5AE13BE0">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除专用合同条款另有约定外，单价子目已完成工程量按月计量，总价子目的计量周期按批准的支付分解报告确定。</w:t>
      </w:r>
    </w:p>
    <w:p w14:paraId="707DD14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单价子目的计量</w:t>
      </w:r>
    </w:p>
    <w:p w14:paraId="37DDE9E7">
      <w:pPr>
        <w:numPr>
          <w:ilvl w:val="0"/>
          <w:numId w:val="14"/>
        </w:numPr>
        <w:spacing w:line="400" w:lineRule="exact"/>
        <w:ind w:left="0" w:firstLine="440" w:firstLineChars="200"/>
        <w:rPr>
          <w:rFonts w:hint="eastAsia" w:ascii="宋体" w:hAnsi="宋体" w:cs="宋体"/>
          <w:color w:val="auto"/>
        </w:rPr>
      </w:pPr>
      <w:r>
        <w:rPr>
          <w:rFonts w:hint="eastAsia" w:ascii="宋体" w:hAnsi="宋体" w:cs="宋体"/>
          <w:color w:val="auto"/>
        </w:rPr>
        <w:t>已标价工程量清单中的单价子目工程量为估算工程量。结算工程量是承包人实际完成的，并按合同约定的计量方法进行计量的工程量。</w:t>
      </w:r>
    </w:p>
    <w:p w14:paraId="6B7C92A6">
      <w:pPr>
        <w:numPr>
          <w:ilvl w:val="0"/>
          <w:numId w:val="14"/>
        </w:numPr>
        <w:spacing w:line="400" w:lineRule="exact"/>
        <w:ind w:left="0" w:firstLine="440" w:firstLineChars="200"/>
        <w:rPr>
          <w:rFonts w:hint="eastAsia" w:ascii="宋体" w:hAnsi="宋体" w:cs="宋体"/>
          <w:color w:val="auto"/>
        </w:rPr>
      </w:pPr>
      <w:r>
        <w:rPr>
          <w:rFonts w:hint="eastAsia" w:ascii="宋体" w:hAnsi="宋体" w:cs="宋体"/>
          <w:color w:val="auto"/>
        </w:rPr>
        <w:t>承包人对已完成的工程进行计量，向监理人提交进度付款申请单、已完成工程量报表和有关计量资料。</w:t>
      </w:r>
    </w:p>
    <w:p w14:paraId="7D06BBB2">
      <w:pPr>
        <w:numPr>
          <w:ilvl w:val="0"/>
          <w:numId w:val="14"/>
        </w:numPr>
        <w:spacing w:line="400" w:lineRule="exact"/>
        <w:ind w:left="0" w:firstLine="440" w:firstLineChars="200"/>
        <w:rPr>
          <w:rFonts w:hint="eastAsia" w:ascii="宋体" w:hAnsi="宋体" w:cs="宋体"/>
          <w:color w:val="auto"/>
        </w:rPr>
      </w:pPr>
      <w:r>
        <w:rPr>
          <w:rFonts w:hint="eastAsia" w:ascii="宋体" w:hAnsi="宋体" w:cs="宋体"/>
          <w:color w:val="auto"/>
        </w:rPr>
        <w:t>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2C0AAFEB">
      <w:pPr>
        <w:numPr>
          <w:ilvl w:val="0"/>
          <w:numId w:val="14"/>
        </w:numPr>
        <w:spacing w:line="400" w:lineRule="exact"/>
        <w:ind w:left="0" w:firstLine="440" w:firstLineChars="200"/>
        <w:rPr>
          <w:rFonts w:hint="eastAsia" w:ascii="宋体" w:hAnsi="宋体" w:cs="宋体"/>
          <w:color w:val="auto"/>
        </w:rPr>
      </w:pPr>
      <w:r>
        <w:rPr>
          <w:rFonts w:hint="eastAsia" w:ascii="宋体" w:hAnsi="宋体" w:cs="宋体"/>
          <w:color w:val="auto"/>
        </w:rPr>
        <w:t>监理人认为有必要时，可通知承包人共同进行联合测量、计量，承包人应遵照执行。</w:t>
      </w:r>
    </w:p>
    <w:p w14:paraId="685C7261">
      <w:pPr>
        <w:numPr>
          <w:ilvl w:val="0"/>
          <w:numId w:val="14"/>
        </w:numPr>
        <w:spacing w:line="400" w:lineRule="exact"/>
        <w:ind w:left="0" w:firstLine="440" w:firstLineChars="200"/>
        <w:rPr>
          <w:rFonts w:hint="eastAsia" w:ascii="宋体" w:hAnsi="宋体" w:cs="宋体"/>
          <w:color w:val="auto"/>
        </w:rPr>
      </w:pPr>
      <w:r>
        <w:rPr>
          <w:rFonts w:hint="eastAsia" w:ascii="宋体" w:hAnsi="宋体" w:cs="宋体"/>
          <w:color w:val="auto"/>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32CDA088">
      <w:pPr>
        <w:numPr>
          <w:ilvl w:val="0"/>
          <w:numId w:val="14"/>
        </w:numPr>
        <w:spacing w:line="400" w:lineRule="exact"/>
        <w:ind w:left="0" w:firstLine="440" w:firstLineChars="200"/>
        <w:rPr>
          <w:rFonts w:hint="eastAsia" w:ascii="宋体" w:hAnsi="宋体" w:cs="宋体"/>
          <w:color w:val="auto"/>
        </w:rPr>
      </w:pPr>
      <w:r>
        <w:rPr>
          <w:rFonts w:hint="eastAsia" w:ascii="宋体" w:hAnsi="宋体" w:cs="宋体"/>
          <w:color w:val="auto"/>
        </w:rPr>
        <w:t>监理人应在收到承包人提交的工程量报表后的7天内进行复核，监理人未在约定时间内复核的，承包人提交的工程量报表中的工程量视为承包人实际完成的工程量，据此计算工程价款。</w:t>
      </w:r>
    </w:p>
    <w:p w14:paraId="2E06C60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总价子目的计量</w:t>
      </w:r>
    </w:p>
    <w:p w14:paraId="1800E146">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除专用合同条款另有约定外，总价子目的分解和计量按照下述约定进行。</w:t>
      </w:r>
    </w:p>
    <w:p w14:paraId="2FE9DBA1">
      <w:pPr>
        <w:numPr>
          <w:ilvl w:val="0"/>
          <w:numId w:val="15"/>
        </w:numPr>
        <w:spacing w:line="400" w:lineRule="exact"/>
        <w:ind w:left="0" w:firstLine="440" w:firstLineChars="200"/>
        <w:rPr>
          <w:rFonts w:hint="eastAsia" w:ascii="宋体" w:hAnsi="宋体" w:cs="宋体"/>
          <w:color w:val="auto"/>
        </w:rPr>
      </w:pPr>
      <w:r>
        <w:rPr>
          <w:rFonts w:hint="eastAsia" w:ascii="宋体" w:hAnsi="宋体" w:cs="宋体"/>
          <w:color w:val="auto"/>
        </w:rPr>
        <w:t>总价子目的计量和支付应以总价为基础，不因第16.1款中的因素而进行调整。承包人实际完成的工程量，是进行工程目标管理和控制进度支付的依据。</w:t>
      </w:r>
    </w:p>
    <w:p w14:paraId="6DD7350C">
      <w:pPr>
        <w:numPr>
          <w:ilvl w:val="0"/>
          <w:numId w:val="15"/>
        </w:numPr>
        <w:spacing w:line="400" w:lineRule="exact"/>
        <w:ind w:left="0" w:firstLine="440" w:firstLineChars="200"/>
        <w:rPr>
          <w:rFonts w:hint="eastAsia" w:ascii="宋体" w:hAnsi="宋体" w:cs="宋体"/>
          <w:color w:val="auto"/>
        </w:rPr>
      </w:pPr>
      <w:r>
        <w:rPr>
          <w:rFonts w:hint="eastAsia" w:ascii="宋体" w:hAnsi="宋体" w:cs="宋体"/>
          <w:color w:val="auto"/>
        </w:rPr>
        <w:t>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0B31C080">
      <w:pPr>
        <w:numPr>
          <w:ilvl w:val="0"/>
          <w:numId w:val="15"/>
        </w:numPr>
        <w:spacing w:line="400" w:lineRule="exact"/>
        <w:ind w:left="0" w:firstLine="440" w:firstLineChars="200"/>
        <w:rPr>
          <w:rFonts w:hint="eastAsia" w:ascii="宋体" w:hAnsi="宋体" w:cs="宋体"/>
          <w:color w:val="auto"/>
        </w:rPr>
      </w:pPr>
      <w:r>
        <w:rPr>
          <w:rFonts w:hint="eastAsia" w:ascii="宋体" w:hAnsi="宋体" w:cs="宋体"/>
          <w:color w:val="auto"/>
        </w:rPr>
        <w:t>监理人对承包人提交的上述资料进行复核，以确定分阶段实际完成的工程量和工程形象目标。对其有异议的，可要求承包人按第8.2款约定进行共同复核和抽样复测。</w:t>
      </w:r>
    </w:p>
    <w:p w14:paraId="7AB470A7">
      <w:pPr>
        <w:numPr>
          <w:ilvl w:val="0"/>
          <w:numId w:val="15"/>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除按照第15条约定的变更外，总价子目的工程量是承包人用于结算的最终工程量。 </w:t>
      </w:r>
    </w:p>
    <w:p w14:paraId="2AD2435E">
      <w:pPr>
        <w:numPr>
          <w:ilvl w:val="1"/>
          <w:numId w:val="4"/>
        </w:numPr>
        <w:spacing w:line="400" w:lineRule="exact"/>
        <w:ind w:left="0" w:firstLine="241" w:firstLineChars="100"/>
        <w:rPr>
          <w:rFonts w:hint="eastAsia" w:ascii="宋体" w:hAnsi="宋体" w:cs="宋体"/>
          <w:b/>
          <w:color w:val="auto"/>
          <w:sz w:val="24"/>
        </w:rPr>
      </w:pPr>
      <w:bookmarkStart w:id="779" w:name="_Toc144974691"/>
      <w:bookmarkStart w:id="780" w:name="_Toc179632738"/>
      <w:bookmarkStart w:id="781" w:name="_Toc152045720"/>
      <w:bookmarkStart w:id="782" w:name="_Toc152042499"/>
      <w:r>
        <w:rPr>
          <w:rFonts w:hint="eastAsia" w:ascii="宋体" w:hAnsi="宋体" w:cs="宋体"/>
          <w:b/>
          <w:color w:val="auto"/>
          <w:sz w:val="24"/>
        </w:rPr>
        <w:t>预付款</w:t>
      </w:r>
      <w:bookmarkEnd w:id="779"/>
      <w:bookmarkEnd w:id="780"/>
      <w:bookmarkEnd w:id="781"/>
      <w:bookmarkEnd w:id="782"/>
    </w:p>
    <w:p w14:paraId="68B5D42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预付款</w:t>
      </w:r>
    </w:p>
    <w:p w14:paraId="1F226A87">
      <w:pPr>
        <w:spacing w:line="400" w:lineRule="exact"/>
        <w:ind w:firstLine="440" w:firstLineChars="200"/>
        <w:rPr>
          <w:rFonts w:hint="eastAsia" w:ascii="宋体" w:hAnsi="宋体" w:cs="宋体"/>
          <w:color w:val="auto"/>
        </w:rPr>
      </w:pPr>
      <w:r>
        <w:rPr>
          <w:rFonts w:hint="eastAsia" w:ascii="宋体" w:hAnsi="宋体" w:cs="宋体"/>
          <w:color w:val="auto"/>
        </w:rPr>
        <w:t>预付款用于承包人为合同工程施工购置材料、工程设备、施工设备、修建临时设施以及组织施工队伍进场等。预付款的额度和预付办法在专用合同条款中约定。预付款必须专用于合同工程。</w:t>
      </w:r>
    </w:p>
    <w:p w14:paraId="575EF37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预付款保函</w:t>
      </w:r>
    </w:p>
    <w:p w14:paraId="78B29770">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除专用合同条款另有约定外，承包人应在收到预付款的同时向发包人提交预付款保函，预付款保函的担保金额应与预付款金额相同。保函的担保金额可根据预付款扣回的金额相应递减。</w:t>
      </w:r>
    </w:p>
    <w:p w14:paraId="4F34D6F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预付款的扣回与还清</w:t>
      </w:r>
    </w:p>
    <w:p w14:paraId="355F9E79">
      <w:pPr>
        <w:spacing w:line="400" w:lineRule="exact"/>
        <w:ind w:firstLine="440" w:firstLineChars="200"/>
        <w:rPr>
          <w:rFonts w:hint="eastAsia" w:ascii="宋体" w:hAnsi="宋体" w:cs="宋体"/>
          <w:color w:val="auto"/>
        </w:rPr>
      </w:pPr>
      <w:r>
        <w:rPr>
          <w:rFonts w:hint="eastAsia" w:ascii="宋体" w:hAnsi="宋体" w:cs="宋体"/>
          <w:color w:val="auto"/>
        </w:rPr>
        <w:t>预付款在进度付款中扣回，扣回办法在专用合同条款中约定。在颁发工程接收证书前，由于不可抗力或其他原因解除合同时，预付款尚未扣清的，尚未扣清的预付款余额应作为承包人的到期应付款。</w:t>
      </w:r>
    </w:p>
    <w:p w14:paraId="4B7B7D42">
      <w:pPr>
        <w:numPr>
          <w:ilvl w:val="1"/>
          <w:numId w:val="4"/>
        </w:numPr>
        <w:spacing w:line="400" w:lineRule="exact"/>
        <w:ind w:left="0" w:firstLine="241" w:firstLineChars="100"/>
        <w:rPr>
          <w:rFonts w:hint="eastAsia" w:ascii="宋体" w:hAnsi="宋体" w:cs="宋体"/>
          <w:b/>
          <w:color w:val="auto"/>
          <w:sz w:val="24"/>
        </w:rPr>
      </w:pPr>
      <w:bookmarkStart w:id="783" w:name="_Toc144974692"/>
      <w:bookmarkStart w:id="784" w:name="_Toc152045721"/>
      <w:bookmarkStart w:id="785" w:name="_Toc179632739"/>
      <w:bookmarkStart w:id="786" w:name="_Toc152042500"/>
      <w:r>
        <w:rPr>
          <w:rFonts w:hint="eastAsia" w:ascii="宋体" w:hAnsi="宋体" w:cs="宋体"/>
          <w:b/>
          <w:color w:val="auto"/>
          <w:sz w:val="24"/>
        </w:rPr>
        <w:t>工程进度付款</w:t>
      </w:r>
      <w:bookmarkEnd w:id="783"/>
      <w:bookmarkEnd w:id="784"/>
      <w:bookmarkEnd w:id="785"/>
      <w:bookmarkEnd w:id="786"/>
    </w:p>
    <w:p w14:paraId="4284B83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付款周期</w:t>
      </w:r>
    </w:p>
    <w:p w14:paraId="551B1E46">
      <w:pPr>
        <w:spacing w:line="400" w:lineRule="exact"/>
        <w:ind w:firstLine="440" w:firstLineChars="200"/>
        <w:rPr>
          <w:rFonts w:hint="eastAsia" w:ascii="宋体" w:hAnsi="宋体" w:cs="宋体"/>
          <w:color w:val="auto"/>
        </w:rPr>
      </w:pPr>
      <w:r>
        <w:rPr>
          <w:rFonts w:hint="eastAsia" w:ascii="宋体" w:hAnsi="宋体" w:cs="宋体"/>
          <w:color w:val="auto"/>
        </w:rPr>
        <w:t>付款周期同计量周期。</w:t>
      </w:r>
    </w:p>
    <w:p w14:paraId="70F7FAB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进度付款申请单</w:t>
      </w:r>
    </w:p>
    <w:p w14:paraId="4AB1C880">
      <w:pPr>
        <w:spacing w:line="400" w:lineRule="exact"/>
        <w:ind w:firstLine="440" w:firstLineChars="200"/>
        <w:rPr>
          <w:rFonts w:hint="eastAsia" w:ascii="宋体" w:hAnsi="宋体" w:cs="宋体"/>
          <w:color w:val="auto"/>
        </w:rPr>
      </w:pPr>
      <w:r>
        <w:rPr>
          <w:rFonts w:hint="eastAsia" w:ascii="宋体" w:hAnsi="宋体" w:cs="宋体"/>
          <w:color w:val="auto"/>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5BFE3DD9">
      <w:pPr>
        <w:numPr>
          <w:ilvl w:val="0"/>
          <w:numId w:val="16"/>
        </w:numPr>
        <w:spacing w:line="400" w:lineRule="exact"/>
        <w:ind w:left="0" w:firstLine="440" w:firstLineChars="200"/>
        <w:rPr>
          <w:rFonts w:hint="eastAsia" w:ascii="宋体" w:hAnsi="宋体" w:cs="宋体"/>
          <w:color w:val="auto"/>
        </w:rPr>
      </w:pPr>
      <w:r>
        <w:rPr>
          <w:rFonts w:hint="eastAsia" w:ascii="宋体" w:hAnsi="宋体" w:cs="宋体"/>
          <w:color w:val="auto"/>
        </w:rPr>
        <w:t>截至本次付款周期末已实施工程的价款；</w:t>
      </w:r>
    </w:p>
    <w:p w14:paraId="48DA3982">
      <w:pPr>
        <w:numPr>
          <w:ilvl w:val="0"/>
          <w:numId w:val="16"/>
        </w:numPr>
        <w:spacing w:line="400" w:lineRule="exact"/>
        <w:ind w:left="0" w:firstLine="440" w:firstLineChars="200"/>
        <w:rPr>
          <w:rFonts w:hint="eastAsia" w:ascii="宋体" w:hAnsi="宋体" w:cs="宋体"/>
          <w:color w:val="auto"/>
        </w:rPr>
      </w:pPr>
      <w:r>
        <w:rPr>
          <w:rFonts w:hint="eastAsia" w:ascii="宋体" w:hAnsi="宋体" w:cs="宋体"/>
          <w:color w:val="auto"/>
        </w:rPr>
        <w:t>根据第15条应增加和扣减的变更金额；</w:t>
      </w:r>
    </w:p>
    <w:p w14:paraId="311BB555">
      <w:pPr>
        <w:numPr>
          <w:ilvl w:val="0"/>
          <w:numId w:val="16"/>
        </w:numPr>
        <w:spacing w:line="400" w:lineRule="exact"/>
        <w:ind w:left="0" w:firstLine="440" w:firstLineChars="200"/>
        <w:rPr>
          <w:rFonts w:hint="eastAsia" w:ascii="宋体" w:hAnsi="宋体" w:cs="宋体"/>
          <w:color w:val="auto"/>
        </w:rPr>
      </w:pPr>
      <w:r>
        <w:rPr>
          <w:rFonts w:hint="eastAsia" w:ascii="宋体" w:hAnsi="宋体" w:cs="宋体"/>
          <w:color w:val="auto"/>
        </w:rPr>
        <w:t>根据第23条应增加和扣减的索赔金额；</w:t>
      </w:r>
    </w:p>
    <w:p w14:paraId="1B7755BB">
      <w:pPr>
        <w:numPr>
          <w:ilvl w:val="0"/>
          <w:numId w:val="16"/>
        </w:numPr>
        <w:spacing w:line="400" w:lineRule="exact"/>
        <w:ind w:left="0" w:firstLine="440" w:firstLineChars="200"/>
        <w:rPr>
          <w:rFonts w:hint="eastAsia" w:ascii="宋体" w:hAnsi="宋体" w:cs="宋体"/>
          <w:color w:val="auto"/>
        </w:rPr>
      </w:pPr>
      <w:r>
        <w:rPr>
          <w:rFonts w:hint="eastAsia" w:ascii="宋体" w:hAnsi="宋体" w:cs="宋体"/>
          <w:color w:val="auto"/>
        </w:rPr>
        <w:t>根据第17.2款约定应支付的预付款和扣减的返还预付款；</w:t>
      </w:r>
    </w:p>
    <w:p w14:paraId="75C19B7F">
      <w:pPr>
        <w:numPr>
          <w:ilvl w:val="0"/>
          <w:numId w:val="16"/>
        </w:numPr>
        <w:spacing w:line="400" w:lineRule="exact"/>
        <w:ind w:left="0" w:firstLine="440" w:firstLineChars="200"/>
        <w:rPr>
          <w:rFonts w:hint="eastAsia" w:ascii="宋体" w:hAnsi="宋体" w:cs="宋体"/>
          <w:color w:val="auto"/>
        </w:rPr>
      </w:pPr>
      <w:r>
        <w:rPr>
          <w:rFonts w:hint="eastAsia" w:ascii="宋体" w:hAnsi="宋体" w:cs="宋体"/>
          <w:color w:val="auto"/>
        </w:rPr>
        <w:t>根据第17.4.1项约定应扣减的质量保证金；</w:t>
      </w:r>
    </w:p>
    <w:p w14:paraId="6F8A1D21">
      <w:pPr>
        <w:numPr>
          <w:ilvl w:val="0"/>
          <w:numId w:val="16"/>
        </w:numPr>
        <w:spacing w:line="400" w:lineRule="exact"/>
        <w:ind w:left="0" w:firstLine="440" w:firstLineChars="200"/>
        <w:rPr>
          <w:rFonts w:hint="eastAsia" w:ascii="宋体" w:hAnsi="宋体" w:cs="宋体"/>
          <w:color w:val="auto"/>
        </w:rPr>
      </w:pPr>
      <w:r>
        <w:rPr>
          <w:rFonts w:hint="eastAsia" w:ascii="宋体" w:hAnsi="宋体" w:cs="宋体"/>
          <w:color w:val="auto"/>
        </w:rPr>
        <w:t>根据合同应增加和扣减的其他金额。</w:t>
      </w:r>
    </w:p>
    <w:p w14:paraId="3B97C79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进度付款证书和支付时间</w:t>
      </w:r>
    </w:p>
    <w:p w14:paraId="3AD1BF68">
      <w:pPr>
        <w:numPr>
          <w:ilvl w:val="0"/>
          <w:numId w:val="17"/>
        </w:numPr>
        <w:spacing w:line="400" w:lineRule="exact"/>
        <w:ind w:left="0" w:firstLine="440" w:firstLineChars="200"/>
        <w:rPr>
          <w:rFonts w:hint="eastAsia" w:ascii="宋体" w:hAnsi="宋体" w:cs="宋体"/>
          <w:color w:val="auto"/>
        </w:rPr>
      </w:pPr>
      <w:r>
        <w:rPr>
          <w:rFonts w:hint="eastAsia" w:ascii="宋体" w:hAnsi="宋体" w:cs="宋体"/>
          <w:color w:val="auto"/>
        </w:rPr>
        <w:t>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EAE274A">
      <w:pPr>
        <w:numPr>
          <w:ilvl w:val="0"/>
          <w:numId w:val="17"/>
        </w:numPr>
        <w:spacing w:line="400" w:lineRule="exact"/>
        <w:ind w:left="0" w:firstLine="440" w:firstLineChars="200"/>
        <w:rPr>
          <w:rFonts w:hint="eastAsia" w:ascii="宋体" w:hAnsi="宋体" w:cs="宋体"/>
          <w:color w:val="auto"/>
        </w:rPr>
      </w:pPr>
      <w:r>
        <w:rPr>
          <w:rFonts w:hint="eastAsia" w:ascii="宋体" w:hAnsi="宋体" w:cs="宋体"/>
          <w:color w:val="auto"/>
        </w:rPr>
        <w:t>发包人应在监理人收到进度付款申请单后的28天内，将进度应付款支付给承包人。发包人不按期支付的，按专用合同条款的约定支付逾期付款违约金。</w:t>
      </w:r>
    </w:p>
    <w:p w14:paraId="1D513A89">
      <w:pPr>
        <w:numPr>
          <w:ilvl w:val="0"/>
          <w:numId w:val="17"/>
        </w:numPr>
        <w:spacing w:line="400" w:lineRule="exact"/>
        <w:ind w:left="0" w:firstLine="440" w:firstLineChars="200"/>
        <w:rPr>
          <w:rFonts w:hint="eastAsia" w:ascii="宋体" w:hAnsi="宋体" w:cs="宋体"/>
          <w:color w:val="auto"/>
        </w:rPr>
      </w:pPr>
      <w:r>
        <w:rPr>
          <w:rFonts w:hint="eastAsia" w:ascii="宋体" w:hAnsi="宋体" w:cs="宋体"/>
          <w:color w:val="auto"/>
        </w:rPr>
        <w:t>监理人出具进度付款证书，不应视为监理人已同意、批准或接受了承包人完成的该部分工作。</w:t>
      </w:r>
    </w:p>
    <w:p w14:paraId="161A8D90">
      <w:pPr>
        <w:numPr>
          <w:ilvl w:val="0"/>
          <w:numId w:val="17"/>
        </w:numPr>
        <w:spacing w:line="400" w:lineRule="exact"/>
        <w:ind w:left="0" w:firstLine="440" w:firstLineChars="200"/>
        <w:rPr>
          <w:rFonts w:hint="eastAsia" w:ascii="宋体" w:hAnsi="宋体" w:cs="宋体"/>
          <w:color w:val="auto"/>
        </w:rPr>
      </w:pPr>
      <w:r>
        <w:rPr>
          <w:rFonts w:hint="eastAsia" w:ascii="宋体" w:hAnsi="宋体" w:cs="宋体"/>
          <w:color w:val="auto"/>
        </w:rPr>
        <w:t>进度付款涉及政府投资资金的，按照国库集中支付等国家相关规定和专用合同条款的约定办理。</w:t>
      </w:r>
    </w:p>
    <w:p w14:paraId="7D690ED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工程进度付款的修正</w:t>
      </w:r>
    </w:p>
    <w:p w14:paraId="41AA4338">
      <w:pPr>
        <w:spacing w:line="400" w:lineRule="exact"/>
        <w:ind w:firstLine="440" w:firstLineChars="200"/>
        <w:rPr>
          <w:rFonts w:hint="eastAsia" w:ascii="宋体" w:hAnsi="宋体" w:cs="宋体"/>
          <w:color w:val="auto"/>
        </w:rPr>
      </w:pPr>
      <w:r>
        <w:rPr>
          <w:rFonts w:hint="eastAsia" w:ascii="宋体" w:hAnsi="宋体" w:cs="宋体"/>
          <w:color w:val="auto"/>
        </w:rPr>
        <w:t>在对以往历次已签发的进度付款证书进行汇总和复核中发现错、漏或重复的，监理人有权予以修正，承包人也有权提出修正申请。经双方复核同意的修正，应在本次进度付款中支付或扣除。</w:t>
      </w:r>
    </w:p>
    <w:p w14:paraId="78A59614">
      <w:pPr>
        <w:numPr>
          <w:ilvl w:val="1"/>
          <w:numId w:val="4"/>
        </w:numPr>
        <w:spacing w:line="400" w:lineRule="exact"/>
        <w:ind w:left="0" w:firstLine="241" w:firstLineChars="100"/>
        <w:rPr>
          <w:rFonts w:hint="eastAsia" w:ascii="宋体" w:hAnsi="宋体" w:cs="宋体"/>
          <w:b/>
          <w:color w:val="auto"/>
          <w:sz w:val="24"/>
        </w:rPr>
      </w:pPr>
      <w:bookmarkStart w:id="787" w:name="_Toc179632740"/>
      <w:r>
        <w:rPr>
          <w:rFonts w:hint="eastAsia" w:ascii="宋体" w:hAnsi="宋体" w:cs="宋体"/>
          <w:b/>
          <w:color w:val="auto"/>
          <w:sz w:val="24"/>
        </w:rPr>
        <w:t>质量保证金</w:t>
      </w:r>
      <w:bookmarkEnd w:id="787"/>
    </w:p>
    <w:p w14:paraId="02B1BD5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65BADE3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1C5DA07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1FA78D7C">
      <w:pPr>
        <w:numPr>
          <w:ilvl w:val="1"/>
          <w:numId w:val="4"/>
        </w:numPr>
        <w:spacing w:line="400" w:lineRule="exact"/>
        <w:ind w:left="0" w:firstLine="241" w:firstLineChars="100"/>
        <w:rPr>
          <w:rFonts w:hint="eastAsia" w:ascii="宋体" w:hAnsi="宋体" w:cs="宋体"/>
          <w:b/>
          <w:color w:val="auto"/>
          <w:sz w:val="24"/>
        </w:rPr>
      </w:pPr>
      <w:bookmarkStart w:id="788" w:name="_Toc152045723"/>
      <w:bookmarkStart w:id="789" w:name="_Toc144974694"/>
      <w:bookmarkStart w:id="790" w:name="_Toc152042502"/>
      <w:bookmarkStart w:id="791" w:name="_Toc179632741"/>
      <w:r>
        <w:rPr>
          <w:rFonts w:hint="eastAsia" w:ascii="宋体" w:hAnsi="宋体" w:cs="宋体"/>
          <w:b/>
          <w:color w:val="auto"/>
          <w:sz w:val="24"/>
        </w:rPr>
        <w:t>竣工结算</w:t>
      </w:r>
      <w:bookmarkEnd w:id="788"/>
      <w:bookmarkEnd w:id="789"/>
      <w:bookmarkEnd w:id="790"/>
      <w:bookmarkEnd w:id="791"/>
    </w:p>
    <w:p w14:paraId="2074FE7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竣工付款申请单</w:t>
      </w:r>
    </w:p>
    <w:p w14:paraId="206C2900">
      <w:pPr>
        <w:spacing w:line="400" w:lineRule="exact"/>
        <w:ind w:firstLine="440" w:firstLineChars="200"/>
        <w:rPr>
          <w:rFonts w:hint="eastAsia" w:ascii="宋体" w:hAnsi="宋体" w:cs="宋体"/>
          <w:color w:val="auto"/>
        </w:rPr>
      </w:pPr>
      <w:r>
        <w:rPr>
          <w:rFonts w:hint="eastAsia" w:ascii="宋体" w:hAnsi="宋体" w:cs="宋体"/>
          <w:color w:val="auto"/>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1E06D004">
      <w:pPr>
        <w:spacing w:line="400" w:lineRule="exact"/>
        <w:ind w:firstLine="440" w:firstLineChars="200"/>
        <w:rPr>
          <w:rFonts w:hint="eastAsia" w:ascii="宋体" w:hAnsi="宋体" w:cs="宋体"/>
          <w:color w:val="auto"/>
        </w:rPr>
      </w:pPr>
      <w:r>
        <w:rPr>
          <w:rFonts w:hint="eastAsia" w:ascii="宋体" w:hAnsi="宋体" w:cs="宋体"/>
          <w:color w:val="auto"/>
        </w:rPr>
        <w:t>（2）监理人对竣工付款申请单有异议的，有权要求承包人进行修正和提供补充资料。经监理人和承包人协商后，由承包人向监理人提交修正后的竣工付款申请单。</w:t>
      </w:r>
    </w:p>
    <w:p w14:paraId="2A693F0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竣工付款证书及支付时间</w:t>
      </w:r>
    </w:p>
    <w:p w14:paraId="5222703F">
      <w:pPr>
        <w:spacing w:line="400" w:lineRule="exact"/>
        <w:ind w:firstLine="440" w:firstLineChars="200"/>
        <w:rPr>
          <w:rFonts w:hint="eastAsia" w:ascii="宋体" w:hAnsi="宋体" w:cs="宋体"/>
          <w:color w:val="auto"/>
        </w:rPr>
      </w:pPr>
      <w:r>
        <w:rPr>
          <w:rFonts w:hint="eastAsia" w:ascii="宋体" w:hAnsi="宋体" w:cs="宋体"/>
          <w:color w:val="auto"/>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4AA07B39">
      <w:pPr>
        <w:spacing w:line="400" w:lineRule="exact"/>
        <w:ind w:firstLine="440" w:firstLineChars="200"/>
        <w:rPr>
          <w:rFonts w:hint="eastAsia" w:ascii="宋体" w:hAnsi="宋体" w:cs="宋体"/>
          <w:color w:val="auto"/>
        </w:rPr>
      </w:pPr>
      <w:r>
        <w:rPr>
          <w:rFonts w:hint="eastAsia" w:ascii="宋体" w:hAnsi="宋体" w:cs="宋体"/>
          <w:color w:val="auto"/>
        </w:rPr>
        <w:t>（2）发包人应在监理人出具竣工付款证书后的14天内，将应支付款支付给承包人。发包人不按期支付的，按第17.3.3（2）目的约定，将逾期付款违约金支付给承包人。</w:t>
      </w:r>
    </w:p>
    <w:p w14:paraId="3AF106FD">
      <w:pPr>
        <w:spacing w:line="400" w:lineRule="exact"/>
        <w:ind w:firstLine="440" w:firstLineChars="200"/>
        <w:rPr>
          <w:rFonts w:hint="eastAsia" w:ascii="宋体" w:hAnsi="宋体" w:cs="宋体"/>
          <w:color w:val="auto"/>
        </w:rPr>
      </w:pPr>
      <w:r>
        <w:rPr>
          <w:rFonts w:hint="eastAsia" w:ascii="宋体" w:hAnsi="宋体" w:cs="宋体"/>
          <w:color w:val="auto"/>
        </w:rPr>
        <w:t>（3）承包人对发包人签认的竣工付款证书有异议的，发包人可出具竣工付款申请单中承包人已同意部分的临时付款证书。存在争议的部分，按第24条的约定办理。</w:t>
      </w:r>
    </w:p>
    <w:p w14:paraId="04B6F1F1">
      <w:pPr>
        <w:spacing w:line="400" w:lineRule="exact"/>
        <w:ind w:firstLine="440" w:firstLineChars="200"/>
        <w:rPr>
          <w:rFonts w:hint="eastAsia" w:ascii="宋体" w:hAnsi="宋体" w:cs="宋体"/>
          <w:color w:val="auto"/>
        </w:rPr>
      </w:pPr>
      <w:r>
        <w:rPr>
          <w:rFonts w:hint="eastAsia" w:ascii="宋体" w:hAnsi="宋体" w:cs="宋体"/>
          <w:color w:val="auto"/>
        </w:rPr>
        <w:t>（4）竣工付款涉及政府投资资金的，按第17.3.3（４）目的约定办理。</w:t>
      </w:r>
    </w:p>
    <w:p w14:paraId="09303FF3">
      <w:pPr>
        <w:numPr>
          <w:ilvl w:val="1"/>
          <w:numId w:val="4"/>
        </w:numPr>
        <w:spacing w:line="400" w:lineRule="exact"/>
        <w:ind w:left="0" w:firstLine="241" w:firstLineChars="100"/>
        <w:rPr>
          <w:rFonts w:hint="eastAsia" w:ascii="宋体" w:hAnsi="宋体" w:cs="宋体"/>
          <w:b/>
          <w:color w:val="auto"/>
          <w:sz w:val="24"/>
        </w:rPr>
      </w:pPr>
      <w:bookmarkStart w:id="792" w:name="_Toc179632742"/>
      <w:bookmarkStart w:id="793" w:name="_Toc152045724"/>
      <w:bookmarkStart w:id="794" w:name="_Toc152042503"/>
      <w:bookmarkStart w:id="795" w:name="_Toc144974695"/>
      <w:r>
        <w:rPr>
          <w:rFonts w:hint="eastAsia" w:ascii="宋体" w:hAnsi="宋体" w:cs="宋体"/>
          <w:b/>
          <w:color w:val="auto"/>
          <w:sz w:val="24"/>
        </w:rPr>
        <w:t>最终结清</w:t>
      </w:r>
      <w:bookmarkEnd w:id="792"/>
      <w:bookmarkEnd w:id="793"/>
      <w:bookmarkEnd w:id="794"/>
      <w:bookmarkEnd w:id="795"/>
    </w:p>
    <w:p w14:paraId="5BE4DA5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最终结清申请单</w:t>
      </w:r>
    </w:p>
    <w:p w14:paraId="3E4744D4">
      <w:pPr>
        <w:numPr>
          <w:ilvl w:val="0"/>
          <w:numId w:val="18"/>
        </w:numPr>
        <w:spacing w:line="400" w:lineRule="exact"/>
        <w:ind w:left="0" w:firstLine="440" w:firstLineChars="200"/>
        <w:rPr>
          <w:rFonts w:hint="eastAsia" w:ascii="宋体" w:hAnsi="宋体" w:cs="宋体"/>
          <w:color w:val="auto"/>
        </w:rPr>
      </w:pPr>
      <w:r>
        <w:rPr>
          <w:rFonts w:hint="eastAsia" w:ascii="宋体" w:hAnsi="宋体" w:cs="宋体"/>
          <w:color w:val="auto"/>
        </w:rPr>
        <w:t>缺陷责任期终止证书签发后，承包人可按专用合同条款约定的份数和期限向监理人提交最终结清申请单，并提供相关证明材料。</w:t>
      </w:r>
    </w:p>
    <w:p w14:paraId="68F6C241">
      <w:pPr>
        <w:numPr>
          <w:ilvl w:val="0"/>
          <w:numId w:val="18"/>
        </w:numPr>
        <w:spacing w:line="400" w:lineRule="exact"/>
        <w:ind w:left="0" w:firstLine="440" w:firstLineChars="200"/>
        <w:rPr>
          <w:rFonts w:hint="eastAsia" w:ascii="宋体" w:hAnsi="宋体" w:cs="宋体"/>
          <w:color w:val="auto"/>
        </w:rPr>
      </w:pPr>
      <w:r>
        <w:rPr>
          <w:rFonts w:hint="eastAsia" w:ascii="宋体" w:hAnsi="宋体" w:cs="宋体"/>
          <w:color w:val="auto"/>
        </w:rPr>
        <w:t>发包人对最终结清申请单内容有异议的，有权要求承包人进行修正和提供补充资料，由承包人向监理人提交修正后的最终结清申请单。</w:t>
      </w:r>
    </w:p>
    <w:p w14:paraId="756549F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最终结清证书和支付时间</w:t>
      </w:r>
    </w:p>
    <w:p w14:paraId="217C497E">
      <w:pPr>
        <w:numPr>
          <w:ilvl w:val="0"/>
          <w:numId w:val="19"/>
        </w:numPr>
        <w:spacing w:line="400" w:lineRule="exact"/>
        <w:ind w:left="0" w:firstLine="440" w:firstLineChars="200"/>
        <w:rPr>
          <w:rFonts w:hint="eastAsia" w:ascii="宋体" w:hAnsi="宋体" w:cs="宋体"/>
          <w:color w:val="auto"/>
        </w:rPr>
      </w:pPr>
      <w:r>
        <w:rPr>
          <w:rFonts w:hint="eastAsia" w:ascii="宋体" w:hAnsi="宋体" w:cs="宋体"/>
          <w:color w:val="auto"/>
        </w:rPr>
        <w:t>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2FB0A0C1">
      <w:pPr>
        <w:numPr>
          <w:ilvl w:val="0"/>
          <w:numId w:val="19"/>
        </w:numPr>
        <w:spacing w:line="400" w:lineRule="exact"/>
        <w:ind w:left="0" w:firstLine="440" w:firstLineChars="200"/>
        <w:rPr>
          <w:rFonts w:hint="eastAsia" w:ascii="宋体" w:hAnsi="宋体" w:cs="宋体"/>
          <w:color w:val="auto"/>
        </w:rPr>
      </w:pPr>
      <w:r>
        <w:rPr>
          <w:rFonts w:hint="eastAsia" w:ascii="宋体" w:hAnsi="宋体" w:cs="宋体"/>
          <w:color w:val="auto"/>
        </w:rPr>
        <w:t>发包人应在监理人出具最终结清证书后的14天内，将应支付款支付给承包人。发包人不按期支付的，按第17.3.3（2）目的约定，将逾期付款违约金支付给承包人。</w:t>
      </w:r>
    </w:p>
    <w:p w14:paraId="4FE9143E">
      <w:pPr>
        <w:numPr>
          <w:ilvl w:val="0"/>
          <w:numId w:val="19"/>
        </w:numPr>
        <w:spacing w:line="400" w:lineRule="exact"/>
        <w:ind w:left="0" w:firstLine="440" w:firstLineChars="200"/>
        <w:rPr>
          <w:rFonts w:hint="eastAsia" w:ascii="宋体" w:hAnsi="宋体" w:cs="宋体"/>
          <w:color w:val="auto"/>
        </w:rPr>
      </w:pPr>
      <w:r>
        <w:rPr>
          <w:rFonts w:hint="eastAsia" w:ascii="宋体" w:hAnsi="宋体" w:cs="宋体"/>
          <w:color w:val="auto"/>
        </w:rPr>
        <w:t>承包人对发包人签认的最终结清证书有异议的，按第24条的约定办理。</w:t>
      </w:r>
    </w:p>
    <w:p w14:paraId="36261AB3">
      <w:pPr>
        <w:numPr>
          <w:ilvl w:val="0"/>
          <w:numId w:val="19"/>
        </w:numPr>
        <w:spacing w:line="400" w:lineRule="exact"/>
        <w:ind w:left="0" w:firstLine="440" w:firstLineChars="200"/>
        <w:rPr>
          <w:rFonts w:hint="eastAsia" w:ascii="宋体" w:hAnsi="宋体" w:cs="宋体"/>
          <w:color w:val="auto"/>
        </w:rPr>
      </w:pPr>
      <w:r>
        <w:rPr>
          <w:rFonts w:hint="eastAsia" w:ascii="宋体" w:hAnsi="宋体" w:cs="宋体"/>
          <w:color w:val="auto"/>
        </w:rPr>
        <w:t>最终结清付款涉及政府投资资金的，按第17.3.3（４）目的约定办理。</w:t>
      </w:r>
    </w:p>
    <w:p w14:paraId="7A575414">
      <w:pPr>
        <w:pStyle w:val="75"/>
        <w:numPr>
          <w:ilvl w:val="0"/>
          <w:numId w:val="4"/>
        </w:numPr>
        <w:spacing w:before="0"/>
        <w:ind w:left="0" w:firstLine="0"/>
        <w:outlineLvl w:val="9"/>
        <w:rPr>
          <w:rFonts w:hint="eastAsia" w:ascii="宋体" w:hAnsi="宋体" w:eastAsia="宋体"/>
          <w:b/>
          <w:bCs/>
          <w:color w:val="auto"/>
          <w:sz w:val="24"/>
          <w:szCs w:val="24"/>
        </w:rPr>
      </w:pPr>
      <w:bookmarkStart w:id="796" w:name="_Toc12678"/>
      <w:bookmarkStart w:id="797" w:name="_Toc179632743"/>
      <w:bookmarkStart w:id="798" w:name="_Toc152042504"/>
      <w:bookmarkStart w:id="799" w:name="_Toc8210"/>
      <w:bookmarkStart w:id="800" w:name="_Toc144974696"/>
      <w:bookmarkStart w:id="801" w:name="_Toc152045725"/>
      <w:bookmarkStart w:id="802" w:name="_Toc58398574"/>
      <w:r>
        <w:rPr>
          <w:rFonts w:hint="eastAsia" w:ascii="宋体" w:hAnsi="宋体" w:eastAsia="宋体"/>
          <w:b/>
          <w:bCs/>
          <w:color w:val="auto"/>
          <w:sz w:val="24"/>
          <w:szCs w:val="24"/>
        </w:rPr>
        <w:t>竣工验收</w:t>
      </w:r>
      <w:bookmarkEnd w:id="796"/>
      <w:bookmarkEnd w:id="797"/>
      <w:bookmarkEnd w:id="798"/>
      <w:bookmarkEnd w:id="799"/>
      <w:bookmarkEnd w:id="800"/>
      <w:bookmarkEnd w:id="801"/>
      <w:bookmarkEnd w:id="802"/>
    </w:p>
    <w:p w14:paraId="10064354">
      <w:pPr>
        <w:numPr>
          <w:ilvl w:val="1"/>
          <w:numId w:val="4"/>
        </w:numPr>
        <w:spacing w:line="400" w:lineRule="exact"/>
        <w:ind w:left="0" w:firstLine="241" w:firstLineChars="100"/>
        <w:rPr>
          <w:rFonts w:hint="eastAsia" w:ascii="宋体" w:hAnsi="宋体" w:cs="宋体"/>
          <w:b/>
          <w:color w:val="auto"/>
          <w:sz w:val="24"/>
        </w:rPr>
      </w:pPr>
      <w:bookmarkStart w:id="803" w:name="_Toc152042505"/>
      <w:bookmarkStart w:id="804" w:name="_Toc152045726"/>
      <w:bookmarkStart w:id="805" w:name="_Toc179632744"/>
      <w:bookmarkStart w:id="806" w:name="_Toc144974697"/>
      <w:r>
        <w:rPr>
          <w:rFonts w:hint="eastAsia" w:ascii="宋体" w:hAnsi="宋体" w:cs="宋体"/>
          <w:b/>
          <w:color w:val="auto"/>
          <w:sz w:val="24"/>
        </w:rPr>
        <w:t>竣工验收的含义</w:t>
      </w:r>
      <w:bookmarkEnd w:id="803"/>
      <w:bookmarkEnd w:id="804"/>
      <w:bookmarkEnd w:id="805"/>
      <w:bookmarkEnd w:id="806"/>
    </w:p>
    <w:p w14:paraId="32D6D99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竣工验收指承包人完成了全部合同工作后，发包人按合同要求进行的验收。</w:t>
      </w:r>
    </w:p>
    <w:p w14:paraId="6F191BE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国家验收是政府有关部门根据法律、规范、规程和政策要求，针对发包人全面组织实施的整个工程正式交付投运前的验收。</w:t>
      </w:r>
    </w:p>
    <w:p w14:paraId="554F573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需要进行国家验收的，竣工验收是国家验收的一部分。竣工验收所采用的各项验收和评定标准应符合国家验收标准。发包人和承包人为竣工验收提供的各项竣工验收资料应符合国家验收的要求。 </w:t>
      </w:r>
    </w:p>
    <w:p w14:paraId="6E2F4258">
      <w:pPr>
        <w:numPr>
          <w:ilvl w:val="1"/>
          <w:numId w:val="4"/>
        </w:numPr>
        <w:spacing w:line="400" w:lineRule="exact"/>
        <w:ind w:left="0" w:firstLine="241" w:firstLineChars="100"/>
        <w:rPr>
          <w:rFonts w:hint="eastAsia" w:ascii="宋体" w:hAnsi="宋体" w:cs="宋体"/>
          <w:b/>
          <w:color w:val="auto"/>
          <w:sz w:val="24"/>
        </w:rPr>
      </w:pPr>
      <w:bookmarkStart w:id="807" w:name="_Toc144974698"/>
      <w:bookmarkStart w:id="808" w:name="_Toc179632745"/>
      <w:bookmarkStart w:id="809" w:name="_Toc152045727"/>
      <w:bookmarkStart w:id="810" w:name="_Toc152042506"/>
      <w:r>
        <w:rPr>
          <w:rFonts w:hint="eastAsia" w:ascii="宋体" w:hAnsi="宋体" w:cs="宋体"/>
          <w:b/>
          <w:color w:val="auto"/>
          <w:sz w:val="24"/>
        </w:rPr>
        <w:t>竣工验收申请报告</w:t>
      </w:r>
      <w:bookmarkEnd w:id="807"/>
      <w:bookmarkEnd w:id="808"/>
      <w:bookmarkEnd w:id="809"/>
      <w:bookmarkEnd w:id="810"/>
    </w:p>
    <w:p w14:paraId="485D693C">
      <w:pPr>
        <w:spacing w:line="400" w:lineRule="exact"/>
        <w:ind w:firstLine="440" w:firstLineChars="200"/>
        <w:rPr>
          <w:rFonts w:hint="eastAsia" w:ascii="宋体" w:hAnsi="宋体" w:cs="宋体"/>
          <w:color w:val="auto"/>
        </w:rPr>
      </w:pPr>
      <w:r>
        <w:rPr>
          <w:rFonts w:hint="eastAsia" w:ascii="宋体" w:hAnsi="宋体" w:cs="宋体"/>
          <w:color w:val="auto"/>
        </w:rPr>
        <w:t>当工程具备以下条件时，承包人即可向监理人报送竣工验收申请报告：</w:t>
      </w:r>
    </w:p>
    <w:p w14:paraId="3D4A161E">
      <w:pPr>
        <w:numPr>
          <w:ilvl w:val="0"/>
          <w:numId w:val="20"/>
        </w:numPr>
        <w:spacing w:line="400" w:lineRule="exact"/>
        <w:ind w:left="0" w:firstLine="440" w:firstLineChars="200"/>
        <w:rPr>
          <w:rFonts w:hint="eastAsia" w:ascii="宋体" w:hAnsi="宋体" w:cs="宋体"/>
          <w:color w:val="auto"/>
        </w:rPr>
      </w:pPr>
      <w:r>
        <w:rPr>
          <w:rFonts w:hint="eastAsia" w:ascii="宋体" w:hAnsi="宋体" w:cs="宋体"/>
          <w:color w:val="auto"/>
        </w:rPr>
        <w:t>除监理人同意列入缺陷责任期内完成的尾工（甩项）工程和缺陷修补工作外，合同范围内的全部单位工程以及有关工作，包括合同要求的试验、试运行以及检验和验收均已完成，并符合合同要求；</w:t>
      </w:r>
    </w:p>
    <w:p w14:paraId="5FA2C219">
      <w:pPr>
        <w:numPr>
          <w:ilvl w:val="0"/>
          <w:numId w:val="20"/>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已按合同约定的内容和份数备齐了符合要求的竣工资料； </w:t>
      </w:r>
    </w:p>
    <w:p w14:paraId="363D2EC3">
      <w:pPr>
        <w:numPr>
          <w:ilvl w:val="0"/>
          <w:numId w:val="20"/>
        </w:numPr>
        <w:spacing w:line="400" w:lineRule="exact"/>
        <w:ind w:left="0" w:firstLine="440" w:firstLineChars="200"/>
        <w:rPr>
          <w:rFonts w:hint="eastAsia" w:ascii="宋体" w:hAnsi="宋体" w:cs="宋体"/>
          <w:color w:val="auto"/>
        </w:rPr>
      </w:pPr>
      <w:r>
        <w:rPr>
          <w:rFonts w:hint="eastAsia" w:ascii="宋体" w:hAnsi="宋体" w:cs="宋体"/>
          <w:color w:val="auto"/>
        </w:rPr>
        <w:t>已按监理人的要求编制了在缺陷责任期内完成的尾工（甩项）工程和缺陷修补工作清单以及相应施工计划；</w:t>
      </w:r>
    </w:p>
    <w:p w14:paraId="3667B7B1">
      <w:pPr>
        <w:numPr>
          <w:ilvl w:val="0"/>
          <w:numId w:val="20"/>
        </w:numPr>
        <w:spacing w:line="400" w:lineRule="exact"/>
        <w:ind w:left="0" w:firstLine="440" w:firstLineChars="200"/>
        <w:rPr>
          <w:rFonts w:hint="eastAsia" w:ascii="宋体" w:hAnsi="宋体" w:cs="宋体"/>
          <w:color w:val="auto"/>
        </w:rPr>
      </w:pPr>
      <w:r>
        <w:rPr>
          <w:rFonts w:hint="eastAsia" w:ascii="宋体" w:hAnsi="宋体" w:cs="宋体"/>
          <w:color w:val="auto"/>
        </w:rPr>
        <w:t>监理人要求在竣工验收前应完成的其他工作；</w:t>
      </w:r>
    </w:p>
    <w:p w14:paraId="3579292F">
      <w:pPr>
        <w:numPr>
          <w:ilvl w:val="0"/>
          <w:numId w:val="20"/>
        </w:numPr>
        <w:spacing w:line="400" w:lineRule="exact"/>
        <w:ind w:left="0" w:firstLine="440" w:firstLineChars="200"/>
        <w:rPr>
          <w:rFonts w:hint="eastAsia" w:ascii="宋体" w:hAnsi="宋体" w:cs="宋体"/>
          <w:color w:val="auto"/>
        </w:rPr>
      </w:pPr>
      <w:r>
        <w:rPr>
          <w:rFonts w:hint="eastAsia" w:ascii="宋体" w:hAnsi="宋体" w:cs="宋体"/>
          <w:color w:val="auto"/>
        </w:rPr>
        <w:t>监理人要求提交的竣工验收资料清单。</w:t>
      </w:r>
    </w:p>
    <w:p w14:paraId="62C1C41E">
      <w:pPr>
        <w:numPr>
          <w:ilvl w:val="1"/>
          <w:numId w:val="4"/>
        </w:numPr>
        <w:spacing w:line="400" w:lineRule="exact"/>
        <w:ind w:left="0" w:firstLine="241" w:firstLineChars="100"/>
        <w:rPr>
          <w:rFonts w:hint="eastAsia" w:ascii="宋体" w:hAnsi="宋体" w:cs="宋体"/>
          <w:b/>
          <w:color w:val="auto"/>
          <w:sz w:val="24"/>
        </w:rPr>
      </w:pPr>
      <w:bookmarkStart w:id="811" w:name="_Toc179632746"/>
      <w:bookmarkStart w:id="812" w:name="_Toc144974699"/>
      <w:bookmarkStart w:id="813" w:name="_Toc152042507"/>
      <w:bookmarkStart w:id="814" w:name="_Toc152045728"/>
      <w:r>
        <w:rPr>
          <w:rFonts w:hint="eastAsia" w:ascii="宋体" w:hAnsi="宋体" w:cs="宋体"/>
          <w:b/>
          <w:color w:val="auto"/>
          <w:sz w:val="24"/>
        </w:rPr>
        <w:t>验收</w:t>
      </w:r>
      <w:bookmarkEnd w:id="811"/>
      <w:bookmarkEnd w:id="812"/>
      <w:bookmarkEnd w:id="813"/>
      <w:bookmarkEnd w:id="814"/>
    </w:p>
    <w:p w14:paraId="7B1EFBE8">
      <w:pPr>
        <w:spacing w:line="400" w:lineRule="exact"/>
        <w:ind w:firstLine="440" w:firstLineChars="200"/>
        <w:rPr>
          <w:rFonts w:hint="eastAsia" w:ascii="宋体" w:hAnsi="宋体" w:cs="宋体"/>
          <w:color w:val="auto"/>
        </w:rPr>
      </w:pPr>
      <w:r>
        <w:rPr>
          <w:rFonts w:hint="eastAsia" w:ascii="宋体" w:hAnsi="宋体" w:cs="宋体"/>
          <w:color w:val="auto"/>
        </w:rPr>
        <w:t>监理人收到承包人按第18.2款约定提交的竣工验收申请报告后，应审查申请报告的各项内容，并按以下不同情况进行处理。</w:t>
      </w:r>
    </w:p>
    <w:p w14:paraId="380FEAF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590D92B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监理人审查后认为已具备竣工验收条件的，应在收到竣工验收申请报告后的28天内提请发包人进行工程验收。</w:t>
      </w:r>
    </w:p>
    <w:p w14:paraId="32A6DB4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02C701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发包人验收后不同意接收工程的，监理人应按照发包人的验收意见发出指示，要求承包人对不合格工程认真返工重</w:t>
      </w:r>
      <w:r>
        <w:rPr>
          <w:rFonts w:hint="eastAsia" w:ascii="宋体" w:hAnsi="宋体" w:cs="宋体"/>
          <w:color w:val="auto"/>
          <w:lang w:eastAsia="zh-CN"/>
        </w:rPr>
        <w:t>做</w:t>
      </w:r>
      <w:r>
        <w:rPr>
          <w:rFonts w:hint="eastAsia" w:ascii="宋体" w:hAnsi="宋体" w:cs="宋体"/>
          <w:color w:val="auto"/>
        </w:rPr>
        <w:t>或进行补救处理，并承担由此产生的费用。承包人在完成不合格工程的返工重</w:t>
      </w:r>
      <w:r>
        <w:rPr>
          <w:rFonts w:hint="eastAsia" w:ascii="宋体" w:hAnsi="宋体" w:cs="宋体"/>
          <w:color w:val="auto"/>
          <w:lang w:eastAsia="zh-CN"/>
        </w:rPr>
        <w:t>做</w:t>
      </w:r>
      <w:r>
        <w:rPr>
          <w:rFonts w:hint="eastAsia" w:ascii="宋体" w:hAnsi="宋体" w:cs="宋体"/>
          <w:color w:val="auto"/>
        </w:rPr>
        <w:t>或补救工作后，应重新提交竣工验收申请报告，按第18.3.1项、第18.3.2项和第18.3.3项的约定进行。</w:t>
      </w:r>
    </w:p>
    <w:p w14:paraId="4827F29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除专用合同条款另有约定外，经验收合格工程的实际竣工日期，以提交竣工验收申请报告的日期为准，并在工程接收证书中写明。</w:t>
      </w:r>
    </w:p>
    <w:p w14:paraId="3BC99F2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发包人在收到承包人竣工验收申请报告56天后未进行验收的，视为验收合格，实际竣工日期以提交竣工验收申请报告的日期为准，但发包人由于不可抗力不能进行验收的除外。</w:t>
      </w:r>
    </w:p>
    <w:p w14:paraId="221D88D3">
      <w:pPr>
        <w:numPr>
          <w:ilvl w:val="1"/>
          <w:numId w:val="4"/>
        </w:numPr>
        <w:spacing w:line="400" w:lineRule="exact"/>
        <w:ind w:left="0" w:firstLine="241" w:firstLineChars="100"/>
        <w:rPr>
          <w:rFonts w:hint="eastAsia" w:ascii="宋体" w:hAnsi="宋体" w:cs="宋体"/>
          <w:b/>
          <w:color w:val="auto"/>
          <w:sz w:val="24"/>
        </w:rPr>
      </w:pPr>
      <w:bookmarkStart w:id="815" w:name="_Toc152042508"/>
      <w:bookmarkStart w:id="816" w:name="_Toc152045729"/>
      <w:bookmarkStart w:id="817" w:name="_Toc179632747"/>
      <w:bookmarkStart w:id="818" w:name="_Toc144974700"/>
      <w:r>
        <w:rPr>
          <w:rFonts w:hint="eastAsia" w:ascii="宋体" w:hAnsi="宋体" w:cs="宋体"/>
          <w:b/>
          <w:color w:val="auto"/>
          <w:sz w:val="24"/>
        </w:rPr>
        <w:t>单位工程验收</w:t>
      </w:r>
      <w:bookmarkEnd w:id="815"/>
      <w:bookmarkEnd w:id="816"/>
      <w:bookmarkEnd w:id="817"/>
      <w:bookmarkEnd w:id="818"/>
    </w:p>
    <w:p w14:paraId="2538EA5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29F1520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发包人在全部工程竣工前，使用已接收的单位工程导致承包人费用增加的，发包人应承担由此增加的费用和（或）工期延误，并支付承包人合理利润。</w:t>
      </w:r>
    </w:p>
    <w:p w14:paraId="73DE3A67">
      <w:pPr>
        <w:numPr>
          <w:ilvl w:val="1"/>
          <w:numId w:val="4"/>
        </w:numPr>
        <w:spacing w:line="400" w:lineRule="exact"/>
        <w:ind w:left="0" w:firstLine="241" w:firstLineChars="100"/>
        <w:rPr>
          <w:rFonts w:hint="eastAsia" w:ascii="宋体" w:hAnsi="宋体" w:cs="宋体"/>
          <w:b/>
          <w:color w:val="auto"/>
          <w:sz w:val="24"/>
        </w:rPr>
      </w:pPr>
      <w:bookmarkStart w:id="819" w:name="_Toc179632748"/>
      <w:bookmarkStart w:id="820" w:name="_Toc144974701"/>
      <w:bookmarkStart w:id="821" w:name="_Toc152042509"/>
      <w:bookmarkStart w:id="822" w:name="_Toc152045730"/>
      <w:r>
        <w:rPr>
          <w:rFonts w:hint="eastAsia" w:ascii="宋体" w:hAnsi="宋体" w:cs="宋体"/>
          <w:b/>
          <w:color w:val="auto"/>
          <w:sz w:val="24"/>
        </w:rPr>
        <w:t>施工期运行</w:t>
      </w:r>
      <w:bookmarkEnd w:id="819"/>
      <w:bookmarkEnd w:id="820"/>
      <w:bookmarkEnd w:id="821"/>
      <w:bookmarkEnd w:id="822"/>
    </w:p>
    <w:p w14:paraId="05D1619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36386BE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在施工期运行中发现工程或工程设备损坏或存在缺陷的，由承包人按第19.2款约定进行修复。</w:t>
      </w:r>
    </w:p>
    <w:p w14:paraId="4509E469">
      <w:pPr>
        <w:numPr>
          <w:ilvl w:val="1"/>
          <w:numId w:val="4"/>
        </w:numPr>
        <w:spacing w:line="400" w:lineRule="exact"/>
        <w:ind w:left="0" w:firstLine="241" w:firstLineChars="100"/>
        <w:rPr>
          <w:rFonts w:hint="eastAsia" w:ascii="宋体" w:hAnsi="宋体" w:cs="宋体"/>
          <w:b/>
          <w:color w:val="auto"/>
          <w:sz w:val="24"/>
        </w:rPr>
      </w:pPr>
      <w:bookmarkStart w:id="823" w:name="_Toc152045731"/>
      <w:bookmarkStart w:id="824" w:name="_Toc144974702"/>
      <w:bookmarkStart w:id="825" w:name="_Toc152042510"/>
      <w:bookmarkStart w:id="826" w:name="_Toc179632749"/>
      <w:r>
        <w:rPr>
          <w:rFonts w:hint="eastAsia" w:ascii="宋体" w:hAnsi="宋体" w:cs="宋体"/>
          <w:b/>
          <w:color w:val="auto"/>
          <w:sz w:val="24"/>
        </w:rPr>
        <w:t>试运行</w:t>
      </w:r>
      <w:bookmarkEnd w:id="823"/>
      <w:bookmarkEnd w:id="824"/>
      <w:bookmarkEnd w:id="825"/>
      <w:bookmarkEnd w:id="826"/>
    </w:p>
    <w:p w14:paraId="217D54E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除专用合同条款另有约定外，承包人应按专用合同条款约定进行工程及工程设备试运行，负责提供试运行所需的人员、器材和必要的条件，并承担全部试运行费用。</w:t>
      </w:r>
    </w:p>
    <w:p w14:paraId="2B4C9B0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AAE18F7">
      <w:pPr>
        <w:numPr>
          <w:ilvl w:val="1"/>
          <w:numId w:val="4"/>
        </w:numPr>
        <w:spacing w:line="400" w:lineRule="exact"/>
        <w:ind w:left="0" w:firstLine="241" w:firstLineChars="100"/>
        <w:rPr>
          <w:rFonts w:hint="eastAsia" w:ascii="宋体" w:hAnsi="宋体" w:cs="宋体"/>
          <w:b/>
          <w:color w:val="auto"/>
          <w:sz w:val="24"/>
        </w:rPr>
      </w:pPr>
      <w:bookmarkStart w:id="827" w:name="_Toc152042511"/>
      <w:bookmarkStart w:id="828" w:name="_Toc152045732"/>
      <w:bookmarkStart w:id="829" w:name="_Toc144974703"/>
      <w:bookmarkStart w:id="830" w:name="_Toc179632750"/>
      <w:r>
        <w:rPr>
          <w:rFonts w:hint="eastAsia" w:ascii="宋体" w:hAnsi="宋体" w:cs="宋体"/>
          <w:b/>
          <w:color w:val="auto"/>
          <w:sz w:val="24"/>
        </w:rPr>
        <w:t>竣工清场</w:t>
      </w:r>
      <w:bookmarkEnd w:id="827"/>
      <w:bookmarkEnd w:id="828"/>
      <w:bookmarkEnd w:id="829"/>
      <w:bookmarkEnd w:id="830"/>
    </w:p>
    <w:p w14:paraId="7DB5DB0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除合同另有约定外，工程接收证书颁发后，承包人应按以下要求对施工场地进行清理，直至监理人检验合格为止。竣工清场费用由承包人承担。</w:t>
      </w:r>
    </w:p>
    <w:p w14:paraId="39F87D36">
      <w:pPr>
        <w:numPr>
          <w:ilvl w:val="0"/>
          <w:numId w:val="21"/>
        </w:numPr>
        <w:spacing w:line="400" w:lineRule="exact"/>
        <w:ind w:left="0" w:firstLine="440" w:firstLineChars="200"/>
        <w:rPr>
          <w:rFonts w:hint="eastAsia" w:ascii="宋体" w:hAnsi="宋体" w:cs="宋体"/>
          <w:color w:val="auto"/>
        </w:rPr>
      </w:pPr>
      <w:r>
        <w:rPr>
          <w:rFonts w:hint="eastAsia" w:ascii="宋体" w:hAnsi="宋体" w:cs="宋体"/>
          <w:color w:val="auto"/>
        </w:rPr>
        <w:t>施工场地内残留的垃圾已全部清除出场；</w:t>
      </w:r>
    </w:p>
    <w:p w14:paraId="1001F817">
      <w:pPr>
        <w:numPr>
          <w:ilvl w:val="0"/>
          <w:numId w:val="21"/>
        </w:numPr>
        <w:spacing w:line="400" w:lineRule="exact"/>
        <w:ind w:left="0" w:firstLine="440" w:firstLineChars="200"/>
        <w:rPr>
          <w:rFonts w:hint="eastAsia" w:ascii="宋体" w:hAnsi="宋体" w:cs="宋体"/>
          <w:color w:val="auto"/>
        </w:rPr>
      </w:pPr>
      <w:r>
        <w:rPr>
          <w:rFonts w:hint="eastAsia" w:ascii="宋体" w:hAnsi="宋体" w:cs="宋体"/>
          <w:color w:val="auto"/>
        </w:rPr>
        <w:t>临时工程已拆除，场地已按合同要求进行清理、平整或复原；</w:t>
      </w:r>
    </w:p>
    <w:p w14:paraId="25B899E8">
      <w:pPr>
        <w:numPr>
          <w:ilvl w:val="0"/>
          <w:numId w:val="21"/>
        </w:numPr>
        <w:spacing w:line="400" w:lineRule="exact"/>
        <w:ind w:left="0" w:firstLine="440" w:firstLineChars="200"/>
        <w:rPr>
          <w:rFonts w:hint="eastAsia" w:ascii="宋体" w:hAnsi="宋体" w:cs="宋体"/>
          <w:color w:val="auto"/>
        </w:rPr>
      </w:pPr>
      <w:r>
        <w:rPr>
          <w:rFonts w:hint="eastAsia" w:ascii="宋体" w:hAnsi="宋体" w:cs="宋体"/>
          <w:color w:val="auto"/>
        </w:rPr>
        <w:t>按合同约定应撤离的承包人设备和剩余的材料，包括废弃的施工设备和材料，已按计划撤离施工场地；</w:t>
      </w:r>
    </w:p>
    <w:p w14:paraId="38B82CF1">
      <w:pPr>
        <w:numPr>
          <w:ilvl w:val="0"/>
          <w:numId w:val="21"/>
        </w:numPr>
        <w:spacing w:line="400" w:lineRule="exact"/>
        <w:ind w:left="0" w:firstLine="440" w:firstLineChars="200"/>
        <w:rPr>
          <w:rFonts w:hint="eastAsia" w:ascii="宋体" w:hAnsi="宋体" w:cs="宋体"/>
          <w:color w:val="auto"/>
        </w:rPr>
      </w:pPr>
      <w:r>
        <w:rPr>
          <w:rFonts w:hint="eastAsia" w:ascii="宋体" w:hAnsi="宋体" w:cs="宋体"/>
          <w:color w:val="auto"/>
        </w:rPr>
        <w:t>工程建筑物周边及其附近道路、河道的施工堆积物，已按监理人指示全部清理；</w:t>
      </w:r>
    </w:p>
    <w:p w14:paraId="34A92A1E">
      <w:pPr>
        <w:numPr>
          <w:ilvl w:val="0"/>
          <w:numId w:val="21"/>
        </w:numPr>
        <w:spacing w:line="400" w:lineRule="exact"/>
        <w:ind w:left="0" w:firstLine="440" w:firstLineChars="200"/>
        <w:rPr>
          <w:rFonts w:hint="eastAsia" w:ascii="宋体" w:hAnsi="宋体" w:cs="宋体"/>
          <w:color w:val="auto"/>
        </w:rPr>
      </w:pPr>
      <w:r>
        <w:rPr>
          <w:rFonts w:hint="eastAsia" w:ascii="宋体" w:hAnsi="宋体" w:cs="宋体"/>
          <w:color w:val="auto"/>
        </w:rPr>
        <w:t>监理人指示的其他场地清理工作已全部完成。</w:t>
      </w:r>
    </w:p>
    <w:p w14:paraId="26528CD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承包人未按监理人的要求恢复临时占地，或者场地清理未达到合同约定的，发包人有权委托其他人恢复或清理，所发生的金额从拟支付给承包人的款项中扣除。</w:t>
      </w:r>
    </w:p>
    <w:p w14:paraId="197C52F8">
      <w:pPr>
        <w:numPr>
          <w:ilvl w:val="1"/>
          <w:numId w:val="4"/>
        </w:numPr>
        <w:spacing w:line="400" w:lineRule="exact"/>
        <w:ind w:left="0" w:firstLine="241" w:firstLineChars="100"/>
        <w:rPr>
          <w:rFonts w:hint="eastAsia" w:ascii="宋体" w:hAnsi="宋体" w:cs="宋体"/>
          <w:b/>
          <w:color w:val="auto"/>
          <w:sz w:val="24"/>
        </w:rPr>
      </w:pPr>
      <w:bookmarkStart w:id="831" w:name="_Toc152042512"/>
      <w:bookmarkStart w:id="832" w:name="_Toc152045733"/>
      <w:bookmarkStart w:id="833" w:name="_Toc179632751"/>
      <w:bookmarkStart w:id="834" w:name="_Toc144974704"/>
      <w:r>
        <w:rPr>
          <w:rFonts w:hint="eastAsia" w:ascii="宋体" w:hAnsi="宋体" w:cs="宋体"/>
          <w:b/>
          <w:color w:val="auto"/>
          <w:sz w:val="24"/>
        </w:rPr>
        <w:t>施工队伍的撤离</w:t>
      </w:r>
      <w:bookmarkEnd w:id="831"/>
      <w:bookmarkEnd w:id="832"/>
      <w:bookmarkEnd w:id="833"/>
      <w:bookmarkEnd w:id="834"/>
    </w:p>
    <w:p w14:paraId="7B8DD2CE">
      <w:pPr>
        <w:spacing w:line="400" w:lineRule="exact"/>
        <w:ind w:firstLine="440" w:firstLineChars="200"/>
        <w:rPr>
          <w:rFonts w:hint="eastAsia" w:ascii="宋体" w:hAnsi="宋体" w:cs="宋体"/>
          <w:color w:val="auto"/>
        </w:rPr>
      </w:pPr>
      <w:r>
        <w:rPr>
          <w:rFonts w:hint="eastAsia" w:ascii="宋体" w:hAnsi="宋体" w:cs="宋体"/>
          <w:color w:val="auto"/>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11A792BA">
      <w:pPr>
        <w:pStyle w:val="75"/>
        <w:numPr>
          <w:ilvl w:val="0"/>
          <w:numId w:val="4"/>
        </w:numPr>
        <w:spacing w:before="0"/>
        <w:ind w:left="0" w:firstLine="0"/>
        <w:outlineLvl w:val="9"/>
        <w:rPr>
          <w:rFonts w:hint="eastAsia" w:ascii="宋体" w:hAnsi="宋体" w:eastAsia="宋体"/>
          <w:b/>
          <w:bCs/>
          <w:color w:val="auto"/>
          <w:sz w:val="24"/>
          <w:szCs w:val="24"/>
        </w:rPr>
      </w:pPr>
      <w:bookmarkStart w:id="835" w:name="_Toc179632752"/>
      <w:bookmarkStart w:id="836" w:name="_Toc5520"/>
      <w:bookmarkStart w:id="837" w:name="_Toc11948"/>
      <w:bookmarkStart w:id="838" w:name="_Toc144974705"/>
      <w:bookmarkStart w:id="839" w:name="_Toc152045734"/>
      <w:bookmarkStart w:id="840" w:name="_Toc58398575"/>
      <w:bookmarkStart w:id="841" w:name="_Toc152042513"/>
      <w:r>
        <w:rPr>
          <w:rFonts w:hint="eastAsia" w:ascii="宋体" w:hAnsi="宋体" w:eastAsia="宋体"/>
          <w:b/>
          <w:bCs/>
          <w:color w:val="auto"/>
          <w:sz w:val="24"/>
          <w:szCs w:val="24"/>
        </w:rPr>
        <w:t>缺陷责任与保修责任</w:t>
      </w:r>
      <w:bookmarkEnd w:id="835"/>
      <w:bookmarkEnd w:id="836"/>
      <w:bookmarkEnd w:id="837"/>
      <w:bookmarkEnd w:id="838"/>
      <w:bookmarkEnd w:id="839"/>
      <w:bookmarkEnd w:id="840"/>
      <w:bookmarkEnd w:id="841"/>
    </w:p>
    <w:p w14:paraId="09B1DD14">
      <w:pPr>
        <w:numPr>
          <w:ilvl w:val="1"/>
          <w:numId w:val="4"/>
        </w:numPr>
        <w:spacing w:line="400" w:lineRule="exact"/>
        <w:ind w:left="0" w:firstLine="241" w:firstLineChars="100"/>
        <w:rPr>
          <w:rFonts w:hint="eastAsia" w:ascii="宋体" w:hAnsi="宋体" w:cs="宋体"/>
          <w:b/>
          <w:color w:val="auto"/>
          <w:sz w:val="24"/>
        </w:rPr>
      </w:pPr>
      <w:bookmarkStart w:id="842" w:name="_Toc179632753"/>
      <w:bookmarkStart w:id="843" w:name="_Toc144974706"/>
      <w:bookmarkStart w:id="844" w:name="_Toc152045735"/>
      <w:bookmarkStart w:id="845" w:name="_Toc152042514"/>
      <w:r>
        <w:rPr>
          <w:rFonts w:hint="eastAsia" w:ascii="宋体" w:hAnsi="宋体" w:cs="宋体"/>
          <w:b/>
          <w:color w:val="auto"/>
          <w:sz w:val="24"/>
        </w:rPr>
        <w:t>缺陷责任期的起算时间</w:t>
      </w:r>
      <w:bookmarkEnd w:id="842"/>
      <w:bookmarkEnd w:id="843"/>
      <w:bookmarkEnd w:id="844"/>
      <w:bookmarkEnd w:id="845"/>
    </w:p>
    <w:p w14:paraId="1D601679">
      <w:pPr>
        <w:spacing w:line="400" w:lineRule="exact"/>
        <w:ind w:firstLine="440" w:firstLineChars="200"/>
        <w:rPr>
          <w:rFonts w:hint="eastAsia" w:ascii="宋体" w:hAnsi="宋体" w:cs="宋体"/>
          <w:color w:val="auto"/>
        </w:rPr>
      </w:pPr>
      <w:r>
        <w:rPr>
          <w:rFonts w:hint="eastAsia" w:ascii="宋体" w:hAnsi="宋体" w:cs="宋体"/>
          <w:color w:val="auto"/>
        </w:rPr>
        <w:t>缺陷责任期自实际竣工日期起计算。在全部工程竣工验收前，已经发包人提前验收的单位工程，其缺陷责任期的起算日期相应提前。</w:t>
      </w:r>
    </w:p>
    <w:p w14:paraId="56E67C8B">
      <w:pPr>
        <w:numPr>
          <w:ilvl w:val="1"/>
          <w:numId w:val="4"/>
        </w:numPr>
        <w:spacing w:line="400" w:lineRule="exact"/>
        <w:ind w:left="0" w:firstLine="241" w:firstLineChars="100"/>
        <w:rPr>
          <w:rFonts w:hint="eastAsia" w:ascii="宋体" w:hAnsi="宋体" w:cs="宋体"/>
          <w:b/>
          <w:color w:val="auto"/>
          <w:sz w:val="24"/>
        </w:rPr>
      </w:pPr>
      <w:bookmarkStart w:id="846" w:name="_Toc179632754"/>
      <w:bookmarkStart w:id="847" w:name="_Toc152042515"/>
      <w:bookmarkStart w:id="848" w:name="_Toc144974707"/>
      <w:bookmarkStart w:id="849" w:name="_Toc152045736"/>
      <w:r>
        <w:rPr>
          <w:rFonts w:hint="eastAsia" w:ascii="宋体" w:hAnsi="宋体" w:cs="宋体"/>
          <w:b/>
          <w:color w:val="auto"/>
          <w:sz w:val="24"/>
        </w:rPr>
        <w:t>缺陷责任</w:t>
      </w:r>
      <w:bookmarkEnd w:id="846"/>
      <w:bookmarkEnd w:id="847"/>
      <w:bookmarkEnd w:id="848"/>
      <w:bookmarkEnd w:id="849"/>
    </w:p>
    <w:p w14:paraId="5F23876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承包人应在缺陷责任期内对已交付使用的工程承担缺陷责任。</w:t>
      </w:r>
    </w:p>
    <w:p w14:paraId="16E7216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缺陷责任期内，发包人对已接收使用的工程负责日常维护工作。发包人在使用过程中，发现已接收的工程存在新的缺陷或已修复的缺陷部位或部件又遭损坏的，承包人应负责修复，直至检验合格为止。</w:t>
      </w:r>
    </w:p>
    <w:p w14:paraId="48DA21B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1384875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承包人不能在合理时间内修复缺陷的，发包人可自行修复或委托其他人修复，所需费用和利润的承担，按第19.2.3项约定办理。</w:t>
      </w:r>
    </w:p>
    <w:p w14:paraId="5B42382C">
      <w:pPr>
        <w:numPr>
          <w:ilvl w:val="1"/>
          <w:numId w:val="4"/>
        </w:numPr>
        <w:spacing w:line="400" w:lineRule="exact"/>
        <w:ind w:left="0" w:firstLine="241" w:firstLineChars="100"/>
        <w:rPr>
          <w:rFonts w:hint="eastAsia" w:ascii="宋体" w:hAnsi="宋体" w:cs="宋体"/>
          <w:b/>
          <w:color w:val="auto"/>
          <w:sz w:val="24"/>
        </w:rPr>
      </w:pPr>
      <w:bookmarkStart w:id="850" w:name="_Toc179632755"/>
      <w:bookmarkStart w:id="851" w:name="_Toc144974708"/>
      <w:bookmarkStart w:id="852" w:name="_Toc152042516"/>
      <w:bookmarkStart w:id="853" w:name="_Toc152045737"/>
      <w:r>
        <w:rPr>
          <w:rFonts w:hint="eastAsia" w:ascii="宋体" w:hAnsi="宋体" w:cs="宋体"/>
          <w:b/>
          <w:color w:val="auto"/>
          <w:sz w:val="24"/>
        </w:rPr>
        <w:t>缺陷责任期的延长</w:t>
      </w:r>
      <w:bookmarkEnd w:id="850"/>
      <w:bookmarkEnd w:id="851"/>
      <w:bookmarkEnd w:id="852"/>
      <w:bookmarkEnd w:id="853"/>
    </w:p>
    <w:p w14:paraId="00387297">
      <w:pPr>
        <w:spacing w:line="400" w:lineRule="exact"/>
        <w:ind w:firstLine="440" w:firstLineChars="200"/>
        <w:rPr>
          <w:rFonts w:hint="eastAsia" w:ascii="宋体" w:hAnsi="宋体" w:cs="宋体"/>
          <w:color w:val="auto"/>
        </w:rPr>
      </w:pPr>
      <w:r>
        <w:rPr>
          <w:rFonts w:hint="eastAsia" w:ascii="宋体" w:hAnsi="宋体" w:cs="宋体"/>
          <w:color w:val="auto"/>
        </w:rPr>
        <w:t>由于承包人原因造成某项缺陷或损坏使某项工程或工程设备不能按原定目标使用而需要再次检查、检验和修复的，发包人有权要求承包人相应延长缺陷责任期，但缺陷责任期最长不超过2年。</w:t>
      </w:r>
    </w:p>
    <w:p w14:paraId="460736C6">
      <w:pPr>
        <w:numPr>
          <w:ilvl w:val="1"/>
          <w:numId w:val="4"/>
        </w:numPr>
        <w:spacing w:line="400" w:lineRule="exact"/>
        <w:ind w:left="0" w:firstLine="241" w:firstLineChars="100"/>
        <w:rPr>
          <w:rFonts w:hint="eastAsia" w:ascii="宋体" w:hAnsi="宋体" w:cs="宋体"/>
          <w:b/>
          <w:color w:val="auto"/>
          <w:sz w:val="24"/>
        </w:rPr>
      </w:pPr>
      <w:bookmarkStart w:id="854" w:name="_Toc152045738"/>
      <w:bookmarkStart w:id="855" w:name="_Toc179632756"/>
      <w:bookmarkStart w:id="856" w:name="_Toc144974709"/>
      <w:bookmarkStart w:id="857" w:name="_Toc152042517"/>
      <w:r>
        <w:rPr>
          <w:rFonts w:hint="eastAsia" w:ascii="宋体" w:hAnsi="宋体" w:cs="宋体"/>
          <w:b/>
          <w:color w:val="auto"/>
          <w:sz w:val="24"/>
        </w:rPr>
        <w:t>进一步试验和试运行</w:t>
      </w:r>
      <w:bookmarkEnd w:id="854"/>
      <w:bookmarkEnd w:id="855"/>
      <w:bookmarkEnd w:id="856"/>
      <w:bookmarkEnd w:id="857"/>
    </w:p>
    <w:p w14:paraId="402AE86E">
      <w:pPr>
        <w:spacing w:line="400" w:lineRule="exact"/>
        <w:ind w:firstLine="440" w:firstLineChars="200"/>
        <w:rPr>
          <w:rFonts w:hint="eastAsia" w:ascii="宋体" w:hAnsi="宋体" w:cs="宋体"/>
          <w:color w:val="auto"/>
        </w:rPr>
      </w:pPr>
      <w:r>
        <w:rPr>
          <w:rFonts w:hint="eastAsia" w:ascii="宋体" w:hAnsi="宋体" w:cs="宋体"/>
          <w:color w:val="auto"/>
        </w:rPr>
        <w:t>任何一项缺陷或损坏修复后，经检查证明其影响了工程或工程设备的使用性能，承包人应重新进行合同约定的试验和试运行，试验和试运行的全部费用应由责任方承担。</w:t>
      </w:r>
    </w:p>
    <w:p w14:paraId="0238EF0D">
      <w:pPr>
        <w:numPr>
          <w:ilvl w:val="1"/>
          <w:numId w:val="4"/>
        </w:numPr>
        <w:spacing w:line="400" w:lineRule="exact"/>
        <w:ind w:left="0" w:firstLine="241" w:firstLineChars="100"/>
        <w:rPr>
          <w:rFonts w:hint="eastAsia" w:ascii="宋体" w:hAnsi="宋体" w:cs="宋体"/>
          <w:b/>
          <w:color w:val="auto"/>
          <w:sz w:val="24"/>
        </w:rPr>
      </w:pPr>
      <w:bookmarkStart w:id="858" w:name="_Toc144974710"/>
      <w:bookmarkStart w:id="859" w:name="_Toc179632757"/>
      <w:bookmarkStart w:id="860" w:name="_Toc152045739"/>
      <w:bookmarkStart w:id="861" w:name="_Toc152042518"/>
      <w:r>
        <w:rPr>
          <w:rFonts w:hint="eastAsia" w:ascii="宋体" w:hAnsi="宋体" w:cs="宋体"/>
          <w:b/>
          <w:color w:val="auto"/>
          <w:sz w:val="24"/>
        </w:rPr>
        <w:t>承包人的进入权</w:t>
      </w:r>
      <w:bookmarkEnd w:id="858"/>
      <w:bookmarkEnd w:id="859"/>
      <w:bookmarkEnd w:id="860"/>
      <w:bookmarkEnd w:id="861"/>
    </w:p>
    <w:p w14:paraId="690FFBD9">
      <w:pPr>
        <w:spacing w:line="400" w:lineRule="exact"/>
        <w:ind w:firstLine="440" w:firstLineChars="200"/>
        <w:rPr>
          <w:rFonts w:hint="eastAsia" w:ascii="宋体" w:hAnsi="宋体" w:cs="宋体"/>
          <w:color w:val="auto"/>
        </w:rPr>
      </w:pPr>
      <w:r>
        <w:rPr>
          <w:rFonts w:hint="eastAsia" w:ascii="宋体" w:hAnsi="宋体" w:cs="宋体"/>
          <w:color w:val="auto"/>
        </w:rPr>
        <w:t>缺陷责任期内承包人为缺陷修复工作需要，有权进入工程现场，但应遵守发包人的保安和保密规定。</w:t>
      </w:r>
    </w:p>
    <w:p w14:paraId="11052A9C">
      <w:pPr>
        <w:numPr>
          <w:ilvl w:val="1"/>
          <w:numId w:val="4"/>
        </w:numPr>
        <w:spacing w:line="400" w:lineRule="exact"/>
        <w:ind w:left="0" w:firstLine="241" w:firstLineChars="100"/>
        <w:rPr>
          <w:rFonts w:hint="eastAsia" w:ascii="宋体" w:hAnsi="宋体" w:cs="宋体"/>
          <w:b/>
          <w:color w:val="auto"/>
          <w:sz w:val="24"/>
        </w:rPr>
      </w:pPr>
      <w:bookmarkStart w:id="862" w:name="_Toc152045740"/>
      <w:bookmarkStart w:id="863" w:name="_Toc179632758"/>
      <w:bookmarkStart w:id="864" w:name="_Toc144974711"/>
      <w:bookmarkStart w:id="865" w:name="_Toc152042519"/>
      <w:r>
        <w:rPr>
          <w:rFonts w:hint="eastAsia" w:ascii="宋体" w:hAnsi="宋体" w:cs="宋体"/>
          <w:b/>
          <w:color w:val="auto"/>
          <w:sz w:val="24"/>
        </w:rPr>
        <w:t>缺陷责任期终止证书</w:t>
      </w:r>
      <w:bookmarkEnd w:id="862"/>
      <w:bookmarkEnd w:id="863"/>
      <w:bookmarkEnd w:id="864"/>
      <w:bookmarkEnd w:id="865"/>
    </w:p>
    <w:p w14:paraId="2F7D9EE0">
      <w:pPr>
        <w:spacing w:line="400" w:lineRule="exact"/>
        <w:ind w:firstLine="440" w:firstLineChars="200"/>
        <w:rPr>
          <w:rFonts w:hint="eastAsia" w:ascii="宋体" w:hAnsi="宋体" w:cs="宋体"/>
          <w:color w:val="auto"/>
        </w:rPr>
      </w:pPr>
      <w:r>
        <w:rPr>
          <w:rFonts w:hint="eastAsia" w:ascii="宋体" w:hAnsi="宋体" w:cs="宋体"/>
          <w:color w:val="auto"/>
        </w:rPr>
        <w:t>在第1.1.4.5目约定的缺陷责任期，包括根据第19.3款延长的期限终止后14天内，由监理人向承包人出具经发包人签认的缺陷责任期终止证书，并退还剩余的质量保证金。</w:t>
      </w:r>
    </w:p>
    <w:p w14:paraId="3B782C03">
      <w:pPr>
        <w:numPr>
          <w:ilvl w:val="1"/>
          <w:numId w:val="4"/>
        </w:numPr>
        <w:spacing w:line="400" w:lineRule="exact"/>
        <w:ind w:left="0" w:firstLine="241" w:firstLineChars="100"/>
        <w:rPr>
          <w:rFonts w:hint="eastAsia" w:ascii="宋体" w:hAnsi="宋体" w:cs="宋体"/>
          <w:b/>
          <w:color w:val="auto"/>
          <w:sz w:val="24"/>
        </w:rPr>
      </w:pPr>
      <w:bookmarkStart w:id="866" w:name="_Toc152042520"/>
      <w:bookmarkStart w:id="867" w:name="_Toc144974712"/>
      <w:bookmarkStart w:id="868" w:name="_Toc152045741"/>
      <w:bookmarkStart w:id="869" w:name="_Toc179632759"/>
      <w:r>
        <w:rPr>
          <w:rFonts w:hint="eastAsia" w:ascii="宋体" w:hAnsi="宋体" w:cs="宋体"/>
          <w:b/>
          <w:color w:val="auto"/>
          <w:sz w:val="24"/>
        </w:rPr>
        <w:t>保修责任</w:t>
      </w:r>
      <w:bookmarkEnd w:id="866"/>
      <w:bookmarkEnd w:id="867"/>
      <w:bookmarkEnd w:id="868"/>
      <w:bookmarkEnd w:id="869"/>
    </w:p>
    <w:p w14:paraId="3100C59F">
      <w:pPr>
        <w:spacing w:line="400" w:lineRule="exact"/>
        <w:ind w:firstLine="440" w:firstLineChars="200"/>
        <w:rPr>
          <w:rFonts w:hint="eastAsia" w:ascii="宋体" w:hAnsi="宋体" w:cs="宋体"/>
          <w:color w:val="auto"/>
        </w:rPr>
      </w:pPr>
      <w:r>
        <w:rPr>
          <w:rFonts w:hint="eastAsia" w:ascii="宋体" w:hAnsi="宋体" w:cs="宋体"/>
          <w:color w:val="auto"/>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087C8129">
      <w:pPr>
        <w:pStyle w:val="75"/>
        <w:numPr>
          <w:ilvl w:val="0"/>
          <w:numId w:val="4"/>
        </w:numPr>
        <w:spacing w:before="0"/>
        <w:ind w:left="0" w:firstLine="0"/>
        <w:outlineLvl w:val="9"/>
        <w:rPr>
          <w:rFonts w:hint="eastAsia" w:ascii="宋体" w:hAnsi="宋体" w:eastAsia="宋体"/>
          <w:b/>
          <w:bCs/>
          <w:color w:val="auto"/>
          <w:sz w:val="24"/>
          <w:szCs w:val="24"/>
        </w:rPr>
      </w:pPr>
      <w:bookmarkStart w:id="870" w:name="_Toc152042521"/>
      <w:bookmarkStart w:id="871" w:name="_Toc144974713"/>
      <w:bookmarkStart w:id="872" w:name="_Toc31474"/>
      <w:bookmarkStart w:id="873" w:name="_Toc179632760"/>
      <w:bookmarkStart w:id="874" w:name="_Toc19181"/>
      <w:bookmarkStart w:id="875" w:name="_Toc152045742"/>
      <w:bookmarkStart w:id="876" w:name="_Toc58398576"/>
      <w:r>
        <w:rPr>
          <w:rFonts w:hint="eastAsia" w:ascii="宋体" w:hAnsi="宋体" w:eastAsia="宋体"/>
          <w:b/>
          <w:bCs/>
          <w:color w:val="auto"/>
          <w:sz w:val="24"/>
          <w:szCs w:val="24"/>
        </w:rPr>
        <w:t>保险</w:t>
      </w:r>
      <w:bookmarkEnd w:id="870"/>
      <w:bookmarkEnd w:id="871"/>
      <w:bookmarkEnd w:id="872"/>
      <w:bookmarkEnd w:id="873"/>
      <w:bookmarkEnd w:id="874"/>
      <w:bookmarkEnd w:id="875"/>
      <w:bookmarkEnd w:id="876"/>
    </w:p>
    <w:p w14:paraId="62157187">
      <w:pPr>
        <w:numPr>
          <w:ilvl w:val="1"/>
          <w:numId w:val="4"/>
        </w:numPr>
        <w:spacing w:line="400" w:lineRule="exact"/>
        <w:ind w:left="0" w:firstLine="241" w:firstLineChars="100"/>
        <w:rPr>
          <w:rFonts w:hint="eastAsia" w:ascii="宋体" w:hAnsi="宋体" w:cs="宋体"/>
          <w:b/>
          <w:color w:val="auto"/>
          <w:sz w:val="24"/>
        </w:rPr>
      </w:pPr>
      <w:bookmarkStart w:id="877" w:name="_Toc179632761"/>
      <w:bookmarkStart w:id="878" w:name="_Toc152042522"/>
      <w:bookmarkStart w:id="879" w:name="_Toc152045743"/>
      <w:bookmarkStart w:id="880" w:name="_Toc144974714"/>
      <w:r>
        <w:rPr>
          <w:rFonts w:hint="eastAsia" w:ascii="宋体" w:hAnsi="宋体" w:cs="宋体"/>
          <w:b/>
          <w:color w:val="auto"/>
          <w:sz w:val="24"/>
        </w:rPr>
        <w:t>工程保险</w:t>
      </w:r>
      <w:bookmarkEnd w:id="877"/>
      <w:bookmarkEnd w:id="878"/>
      <w:bookmarkEnd w:id="879"/>
      <w:bookmarkEnd w:id="880"/>
    </w:p>
    <w:p w14:paraId="6E7E474B">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609A675">
      <w:pPr>
        <w:numPr>
          <w:ilvl w:val="1"/>
          <w:numId w:val="4"/>
        </w:numPr>
        <w:spacing w:line="400" w:lineRule="exact"/>
        <w:ind w:left="0" w:firstLine="241" w:firstLineChars="100"/>
        <w:rPr>
          <w:rFonts w:hint="eastAsia" w:ascii="宋体" w:hAnsi="宋体" w:cs="宋体"/>
          <w:b/>
          <w:color w:val="auto"/>
          <w:sz w:val="24"/>
        </w:rPr>
      </w:pPr>
      <w:bookmarkStart w:id="881" w:name="_Toc152042523"/>
      <w:bookmarkStart w:id="882" w:name="_Toc179632762"/>
      <w:bookmarkStart w:id="883" w:name="_Toc144974715"/>
      <w:bookmarkStart w:id="884" w:name="_Toc152045744"/>
      <w:r>
        <w:rPr>
          <w:rFonts w:hint="eastAsia" w:ascii="宋体" w:hAnsi="宋体" w:cs="宋体"/>
          <w:b/>
          <w:color w:val="auto"/>
          <w:sz w:val="24"/>
        </w:rPr>
        <w:t>人员工伤事故的保险</w:t>
      </w:r>
      <w:bookmarkEnd w:id="881"/>
      <w:bookmarkEnd w:id="882"/>
      <w:bookmarkEnd w:id="883"/>
      <w:bookmarkEnd w:id="884"/>
    </w:p>
    <w:p w14:paraId="0BBF6CA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承包人员工伤事故的保险</w:t>
      </w:r>
    </w:p>
    <w:p w14:paraId="06B30C8D">
      <w:pPr>
        <w:spacing w:line="400" w:lineRule="exact"/>
        <w:ind w:firstLine="440" w:firstLineChars="200"/>
        <w:rPr>
          <w:rFonts w:hint="eastAsia" w:ascii="宋体" w:hAnsi="宋体" w:cs="宋体"/>
          <w:color w:val="auto"/>
        </w:rPr>
      </w:pPr>
      <w:r>
        <w:rPr>
          <w:rFonts w:hint="eastAsia" w:ascii="宋体" w:hAnsi="宋体" w:cs="宋体"/>
          <w:color w:val="auto"/>
        </w:rPr>
        <w:t>承包人应依照有关法律规定参加工伤保险，为其履行合同所雇佣的全部人员，缴纳工伤保险费，并要求其分包人也进行此项保险。</w:t>
      </w:r>
    </w:p>
    <w:p w14:paraId="4E4C544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发包人员工伤事故的保险</w:t>
      </w:r>
    </w:p>
    <w:p w14:paraId="4D0DEEF3">
      <w:pPr>
        <w:spacing w:line="400" w:lineRule="exact"/>
        <w:ind w:firstLine="440" w:firstLineChars="200"/>
        <w:rPr>
          <w:rFonts w:hint="eastAsia" w:ascii="宋体" w:hAnsi="宋体" w:cs="宋体"/>
          <w:color w:val="auto"/>
        </w:rPr>
      </w:pPr>
      <w:r>
        <w:rPr>
          <w:rFonts w:hint="eastAsia" w:ascii="宋体" w:hAnsi="宋体" w:cs="宋体"/>
          <w:color w:val="auto"/>
        </w:rPr>
        <w:t>发包人应依照有关法律规定参加工伤保险，为其现场机构雇佣的全部人员，缴纳工伤保险费，并要求其监理人也进行此项保险。</w:t>
      </w:r>
    </w:p>
    <w:p w14:paraId="22F17263">
      <w:pPr>
        <w:numPr>
          <w:ilvl w:val="1"/>
          <w:numId w:val="4"/>
        </w:numPr>
        <w:spacing w:line="400" w:lineRule="exact"/>
        <w:ind w:left="0" w:firstLine="241" w:firstLineChars="100"/>
        <w:rPr>
          <w:rFonts w:hint="eastAsia" w:ascii="宋体" w:hAnsi="宋体" w:cs="宋体"/>
          <w:b/>
          <w:color w:val="auto"/>
          <w:sz w:val="24"/>
        </w:rPr>
      </w:pPr>
      <w:bookmarkStart w:id="885" w:name="_Toc144974716"/>
      <w:bookmarkStart w:id="886" w:name="_Toc152045745"/>
      <w:bookmarkStart w:id="887" w:name="_Toc152042524"/>
      <w:bookmarkStart w:id="888" w:name="_Toc179632763"/>
      <w:r>
        <w:rPr>
          <w:rFonts w:hint="eastAsia" w:ascii="宋体" w:hAnsi="宋体" w:cs="宋体"/>
          <w:b/>
          <w:color w:val="auto"/>
          <w:sz w:val="24"/>
        </w:rPr>
        <w:t>人身意外伤害险</w:t>
      </w:r>
      <w:bookmarkEnd w:id="885"/>
      <w:bookmarkEnd w:id="886"/>
      <w:bookmarkEnd w:id="887"/>
      <w:bookmarkEnd w:id="888"/>
    </w:p>
    <w:p w14:paraId="3E0D617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发包人应在整个施工期间为其现场机构雇用的全部人员，投保人身意外伤害险，缴纳保险费，并要求其监理人也进行此项保险。</w:t>
      </w:r>
    </w:p>
    <w:p w14:paraId="0C40ECF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承包人应在整个施工期间为其现场机构雇用的全部人员，投保人身意外伤害险，缴纳保险费，并要求其分包人也进行此项保险。</w:t>
      </w:r>
    </w:p>
    <w:p w14:paraId="1AA268D8">
      <w:pPr>
        <w:numPr>
          <w:ilvl w:val="1"/>
          <w:numId w:val="4"/>
        </w:numPr>
        <w:spacing w:line="400" w:lineRule="exact"/>
        <w:ind w:left="0" w:firstLine="241" w:firstLineChars="100"/>
        <w:rPr>
          <w:rFonts w:hint="eastAsia" w:ascii="宋体" w:hAnsi="宋体" w:cs="宋体"/>
          <w:b/>
          <w:color w:val="auto"/>
          <w:sz w:val="24"/>
        </w:rPr>
      </w:pPr>
      <w:bookmarkStart w:id="889" w:name="_Toc152045746"/>
      <w:bookmarkStart w:id="890" w:name="_Toc144974717"/>
      <w:bookmarkStart w:id="891" w:name="_Toc179632764"/>
      <w:bookmarkStart w:id="892" w:name="_Toc152042525"/>
      <w:r>
        <w:rPr>
          <w:rFonts w:hint="eastAsia" w:ascii="宋体" w:hAnsi="宋体" w:cs="宋体"/>
          <w:b/>
          <w:color w:val="auto"/>
          <w:sz w:val="24"/>
        </w:rPr>
        <w:t>第三者责任险</w:t>
      </w:r>
      <w:bookmarkEnd w:id="889"/>
      <w:bookmarkEnd w:id="890"/>
      <w:bookmarkEnd w:id="891"/>
      <w:bookmarkEnd w:id="892"/>
    </w:p>
    <w:p w14:paraId="7FC0CB7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21C579C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在缺陷责任期终止证书颁发前，承包人应以承包人和发包人的共同名义，投保第20.4.1项约定的第三者责任险，其保险费率、保险金额等有关内容在专用合同条款中约定。</w:t>
      </w:r>
    </w:p>
    <w:p w14:paraId="4CC16A0B">
      <w:pPr>
        <w:numPr>
          <w:ilvl w:val="1"/>
          <w:numId w:val="4"/>
        </w:numPr>
        <w:spacing w:line="400" w:lineRule="exact"/>
        <w:ind w:left="0" w:firstLine="241" w:firstLineChars="100"/>
        <w:rPr>
          <w:rFonts w:hint="eastAsia" w:ascii="宋体" w:hAnsi="宋体" w:cs="宋体"/>
          <w:b/>
          <w:color w:val="auto"/>
          <w:sz w:val="24"/>
        </w:rPr>
      </w:pPr>
      <w:bookmarkStart w:id="893" w:name="_Toc144974718"/>
      <w:bookmarkStart w:id="894" w:name="_Toc152045747"/>
      <w:bookmarkStart w:id="895" w:name="_Toc179632765"/>
      <w:bookmarkStart w:id="896" w:name="_Toc152042526"/>
      <w:r>
        <w:rPr>
          <w:rFonts w:hint="eastAsia" w:ascii="宋体" w:hAnsi="宋体" w:cs="宋体"/>
          <w:b/>
          <w:color w:val="auto"/>
          <w:sz w:val="24"/>
        </w:rPr>
        <w:t>其他保险</w:t>
      </w:r>
      <w:bookmarkEnd w:id="893"/>
      <w:bookmarkEnd w:id="894"/>
      <w:bookmarkEnd w:id="895"/>
      <w:bookmarkEnd w:id="896"/>
    </w:p>
    <w:p w14:paraId="51FF4318">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除专用合同条款另有约定外，承包人应为其施工设备、进场的材料和工程设备等办理保险。</w:t>
      </w:r>
    </w:p>
    <w:p w14:paraId="2889225A">
      <w:pPr>
        <w:numPr>
          <w:ilvl w:val="1"/>
          <w:numId w:val="4"/>
        </w:numPr>
        <w:spacing w:line="400" w:lineRule="exact"/>
        <w:ind w:left="0" w:firstLine="241" w:firstLineChars="100"/>
        <w:rPr>
          <w:rFonts w:hint="eastAsia" w:ascii="宋体" w:hAnsi="宋体" w:cs="宋体"/>
          <w:b/>
          <w:color w:val="auto"/>
          <w:sz w:val="24"/>
        </w:rPr>
      </w:pPr>
      <w:bookmarkStart w:id="897" w:name="_Toc152042527"/>
      <w:bookmarkStart w:id="898" w:name="_Toc179632766"/>
      <w:bookmarkStart w:id="899" w:name="_Toc152045748"/>
      <w:bookmarkStart w:id="900" w:name="_Toc144974719"/>
      <w:r>
        <w:rPr>
          <w:rFonts w:hint="eastAsia" w:ascii="宋体" w:hAnsi="宋体" w:cs="宋体"/>
          <w:b/>
          <w:color w:val="auto"/>
          <w:sz w:val="24"/>
        </w:rPr>
        <w:t>对各项保险的一般要求</w:t>
      </w:r>
      <w:bookmarkEnd w:id="897"/>
      <w:bookmarkEnd w:id="898"/>
      <w:bookmarkEnd w:id="899"/>
      <w:bookmarkEnd w:id="900"/>
    </w:p>
    <w:p w14:paraId="4992814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保险凭证</w:t>
      </w:r>
    </w:p>
    <w:p w14:paraId="552D07D9">
      <w:pPr>
        <w:spacing w:line="400" w:lineRule="exact"/>
        <w:ind w:firstLine="440" w:firstLineChars="200"/>
        <w:rPr>
          <w:rFonts w:hint="eastAsia" w:ascii="宋体" w:hAnsi="宋体" w:cs="宋体"/>
          <w:color w:val="auto"/>
        </w:rPr>
      </w:pPr>
      <w:r>
        <w:rPr>
          <w:rFonts w:hint="eastAsia" w:ascii="宋体" w:hAnsi="宋体" w:cs="宋体"/>
          <w:color w:val="auto"/>
        </w:rPr>
        <w:t>承包人应在专用合同条款约定的期限内向发包人提交各项保险生效的证据和保险单副本，保险单必须与专用合同条款约定的条件保持一致。</w:t>
      </w:r>
    </w:p>
    <w:p w14:paraId="1E78BA7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保险合同条款的变动</w:t>
      </w:r>
    </w:p>
    <w:p w14:paraId="1C3672FD">
      <w:pPr>
        <w:spacing w:line="400" w:lineRule="exact"/>
        <w:ind w:firstLine="440" w:firstLineChars="200"/>
        <w:rPr>
          <w:rFonts w:hint="eastAsia" w:ascii="宋体" w:hAnsi="宋体" w:cs="宋体"/>
          <w:color w:val="auto"/>
        </w:rPr>
      </w:pPr>
      <w:r>
        <w:rPr>
          <w:rFonts w:hint="eastAsia" w:ascii="宋体" w:hAnsi="宋体" w:cs="宋体"/>
          <w:color w:val="auto"/>
        </w:rPr>
        <w:t>承包人需要变动保险合同条款时，应事先征得发包人同意，并通知监理人。保险人作出变动的，承包人应在收到保险人通知后立即通知发包人和监理人。</w:t>
      </w:r>
    </w:p>
    <w:p w14:paraId="5022C25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持续保险</w:t>
      </w:r>
    </w:p>
    <w:p w14:paraId="646B00ED">
      <w:pPr>
        <w:spacing w:line="400" w:lineRule="exact"/>
        <w:ind w:firstLine="440" w:firstLineChars="200"/>
        <w:rPr>
          <w:rFonts w:hint="eastAsia" w:ascii="宋体" w:hAnsi="宋体" w:cs="宋体"/>
          <w:color w:val="auto"/>
        </w:rPr>
      </w:pPr>
      <w:r>
        <w:rPr>
          <w:rFonts w:hint="eastAsia" w:ascii="宋体" w:hAnsi="宋体" w:cs="宋体"/>
          <w:color w:val="auto"/>
        </w:rPr>
        <w:t>承包人应与保险人保持联系，使保险人能够随时了解工程实施中的变动，并确保按保险合同条款要求持续保险。</w:t>
      </w:r>
    </w:p>
    <w:p w14:paraId="762EF20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保险金不足的补偿</w:t>
      </w:r>
    </w:p>
    <w:p w14:paraId="240E4ABF">
      <w:pPr>
        <w:spacing w:line="400" w:lineRule="exact"/>
        <w:ind w:firstLine="440" w:firstLineChars="200"/>
        <w:rPr>
          <w:rFonts w:hint="eastAsia" w:ascii="宋体" w:hAnsi="宋体" w:cs="宋体"/>
          <w:color w:val="auto"/>
        </w:rPr>
      </w:pPr>
      <w:r>
        <w:rPr>
          <w:rFonts w:hint="eastAsia" w:ascii="宋体" w:hAnsi="宋体" w:cs="宋体"/>
          <w:color w:val="auto"/>
        </w:rPr>
        <w:t>保险金不足以补偿损失的，应由承包人和（或）发包人按合同约定负责补偿。</w:t>
      </w:r>
    </w:p>
    <w:p w14:paraId="66A6C35D">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未按约定投保的补救</w:t>
      </w:r>
    </w:p>
    <w:p w14:paraId="4AF4BADC">
      <w:pPr>
        <w:numPr>
          <w:ilvl w:val="0"/>
          <w:numId w:val="22"/>
        </w:numPr>
        <w:spacing w:line="400" w:lineRule="exact"/>
        <w:ind w:left="0" w:firstLine="440" w:firstLineChars="200"/>
        <w:rPr>
          <w:rFonts w:hint="eastAsia" w:ascii="宋体" w:hAnsi="宋体" w:cs="宋体"/>
          <w:color w:val="auto"/>
        </w:rPr>
      </w:pPr>
      <w:r>
        <w:rPr>
          <w:rFonts w:hint="eastAsia" w:ascii="宋体" w:hAnsi="宋体" w:cs="宋体"/>
          <w:color w:val="auto"/>
        </w:rPr>
        <w:t>由于负有投保义务的一方当事人未按合同约定办理保险，或未能使保险持续有效的，另一方当事人可代为办理，所需费用由对方当事人承担。</w:t>
      </w:r>
    </w:p>
    <w:p w14:paraId="6B4B1710">
      <w:pPr>
        <w:numPr>
          <w:ilvl w:val="0"/>
          <w:numId w:val="22"/>
        </w:numPr>
        <w:spacing w:line="400" w:lineRule="exact"/>
        <w:ind w:left="0" w:firstLine="440" w:firstLineChars="200"/>
        <w:rPr>
          <w:rFonts w:hint="eastAsia" w:ascii="宋体" w:hAnsi="宋体" w:cs="宋体"/>
          <w:color w:val="auto"/>
        </w:rPr>
      </w:pPr>
      <w:r>
        <w:rPr>
          <w:rFonts w:hint="eastAsia" w:ascii="宋体" w:hAnsi="宋体" w:cs="宋体"/>
          <w:color w:val="auto"/>
        </w:rPr>
        <w:t>由于负有投保义务的一方当事人未按合同约定办理某项保险，导致受益人未能得到保险人的赔偿，原应从该项保险得到的保险金应由负有投保义务的一方当事人支付。</w:t>
      </w:r>
    </w:p>
    <w:p w14:paraId="27133DE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报告义务</w:t>
      </w:r>
    </w:p>
    <w:p w14:paraId="648064F2">
      <w:pPr>
        <w:spacing w:line="400" w:lineRule="exact"/>
        <w:ind w:firstLine="440" w:firstLineChars="200"/>
        <w:rPr>
          <w:rFonts w:hint="eastAsia" w:ascii="宋体" w:hAnsi="宋体" w:cs="宋体"/>
          <w:color w:val="auto"/>
        </w:rPr>
      </w:pPr>
      <w:r>
        <w:rPr>
          <w:rFonts w:hint="eastAsia" w:ascii="宋体" w:hAnsi="宋体" w:cs="宋体"/>
          <w:color w:val="auto"/>
        </w:rPr>
        <w:t>当保险事故发生时，投保人应按照保险单规定的条件和期限及时向保险人报告。</w:t>
      </w:r>
    </w:p>
    <w:p w14:paraId="3825FE7D">
      <w:pPr>
        <w:pStyle w:val="75"/>
        <w:numPr>
          <w:ilvl w:val="0"/>
          <w:numId w:val="4"/>
        </w:numPr>
        <w:spacing w:before="0"/>
        <w:ind w:left="0" w:firstLine="0"/>
        <w:outlineLvl w:val="9"/>
        <w:rPr>
          <w:rFonts w:hint="eastAsia" w:ascii="宋体" w:hAnsi="宋体" w:eastAsia="宋体"/>
          <w:b/>
          <w:bCs/>
          <w:color w:val="auto"/>
          <w:sz w:val="24"/>
          <w:szCs w:val="24"/>
        </w:rPr>
      </w:pPr>
      <w:bookmarkStart w:id="901" w:name="_Toc144974720"/>
      <w:bookmarkStart w:id="902" w:name="_Toc17561"/>
      <w:bookmarkStart w:id="903" w:name="_Toc152045749"/>
      <w:bookmarkStart w:id="904" w:name="_Toc1487"/>
      <w:bookmarkStart w:id="905" w:name="_Toc58398577"/>
      <w:bookmarkStart w:id="906" w:name="_Toc179632767"/>
      <w:bookmarkStart w:id="907" w:name="_Toc152042528"/>
      <w:r>
        <w:rPr>
          <w:rFonts w:hint="eastAsia" w:ascii="宋体" w:hAnsi="宋体" w:eastAsia="宋体"/>
          <w:b/>
          <w:bCs/>
          <w:color w:val="auto"/>
          <w:sz w:val="24"/>
          <w:szCs w:val="24"/>
        </w:rPr>
        <w:t>不可抗力</w:t>
      </w:r>
      <w:bookmarkEnd w:id="901"/>
      <w:bookmarkEnd w:id="902"/>
      <w:bookmarkEnd w:id="903"/>
      <w:bookmarkEnd w:id="904"/>
      <w:bookmarkEnd w:id="905"/>
      <w:bookmarkEnd w:id="906"/>
      <w:bookmarkEnd w:id="907"/>
    </w:p>
    <w:p w14:paraId="5117E078">
      <w:pPr>
        <w:numPr>
          <w:ilvl w:val="1"/>
          <w:numId w:val="4"/>
        </w:numPr>
        <w:spacing w:line="400" w:lineRule="exact"/>
        <w:ind w:left="0" w:firstLine="241" w:firstLineChars="100"/>
        <w:rPr>
          <w:rFonts w:hint="eastAsia" w:ascii="宋体" w:hAnsi="宋体" w:cs="宋体"/>
          <w:b/>
          <w:color w:val="auto"/>
          <w:sz w:val="24"/>
        </w:rPr>
      </w:pPr>
      <w:bookmarkStart w:id="908" w:name="_Toc144974721"/>
      <w:bookmarkStart w:id="909" w:name="_Toc152045750"/>
      <w:bookmarkStart w:id="910" w:name="_Toc152042529"/>
      <w:bookmarkStart w:id="911" w:name="_Toc179632768"/>
      <w:r>
        <w:rPr>
          <w:rFonts w:hint="eastAsia" w:ascii="宋体" w:hAnsi="宋体" w:cs="宋体"/>
          <w:b/>
          <w:color w:val="auto"/>
          <w:sz w:val="24"/>
        </w:rPr>
        <w:t>不可抗力的确认</w:t>
      </w:r>
      <w:bookmarkEnd w:id="908"/>
      <w:bookmarkEnd w:id="909"/>
      <w:bookmarkEnd w:id="910"/>
      <w:bookmarkEnd w:id="911"/>
    </w:p>
    <w:p w14:paraId="2E37F42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不可抗力是指承包人和发包人在订立合同时不可预见，在工程施工过程中不可避免发生并不能克服的自然灾害和社会性突发事件，如地震、海啸、瘟疫、水灾、骚乱、暴动、战争和专用合同条款约定的其他情形。</w:t>
      </w:r>
    </w:p>
    <w:p w14:paraId="0F0CD74C">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56009397">
      <w:pPr>
        <w:numPr>
          <w:ilvl w:val="1"/>
          <w:numId w:val="4"/>
        </w:numPr>
        <w:spacing w:line="400" w:lineRule="exact"/>
        <w:ind w:left="0" w:firstLine="241" w:firstLineChars="100"/>
        <w:rPr>
          <w:rFonts w:hint="eastAsia" w:ascii="宋体" w:hAnsi="宋体" w:cs="宋体"/>
          <w:b/>
          <w:color w:val="auto"/>
          <w:sz w:val="24"/>
        </w:rPr>
      </w:pPr>
      <w:bookmarkStart w:id="912" w:name="_Toc152045751"/>
      <w:bookmarkStart w:id="913" w:name="_Toc152042530"/>
      <w:bookmarkStart w:id="914" w:name="_Toc144974722"/>
      <w:bookmarkStart w:id="915" w:name="_Toc179632769"/>
      <w:r>
        <w:rPr>
          <w:rFonts w:hint="eastAsia" w:ascii="宋体" w:hAnsi="宋体" w:cs="宋体"/>
          <w:b/>
          <w:color w:val="auto"/>
          <w:sz w:val="24"/>
        </w:rPr>
        <w:t>不可抗力的通知</w:t>
      </w:r>
      <w:bookmarkEnd w:id="912"/>
      <w:bookmarkEnd w:id="913"/>
      <w:bookmarkEnd w:id="914"/>
      <w:bookmarkEnd w:id="915"/>
    </w:p>
    <w:p w14:paraId="4C6675D7">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合同一方当事人遇到不可抗力事件，使其履行合同义务受到阻碍时，应立即通知合同另一方当事人和监理人，书面说明不可抗力和受阻碍的详细情况，并提供必要的证明。</w:t>
      </w:r>
    </w:p>
    <w:p w14:paraId="350AFB1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如不可抗力持续发生，合同一方当事人应及时向合同另一方当事人和监理人提交中间报告，说明不可抗力和履行合同受阻的情况，并于不可抗力事件结束后28天内提交最终报告及有关资料。</w:t>
      </w:r>
    </w:p>
    <w:p w14:paraId="45AA194D">
      <w:pPr>
        <w:numPr>
          <w:ilvl w:val="1"/>
          <w:numId w:val="4"/>
        </w:numPr>
        <w:spacing w:line="400" w:lineRule="exact"/>
        <w:ind w:left="0" w:firstLine="241" w:firstLineChars="100"/>
        <w:rPr>
          <w:rFonts w:hint="eastAsia" w:ascii="宋体" w:hAnsi="宋体" w:cs="宋体"/>
          <w:b/>
          <w:color w:val="auto"/>
          <w:sz w:val="24"/>
        </w:rPr>
      </w:pPr>
      <w:bookmarkStart w:id="916" w:name="_Toc152042531"/>
      <w:bookmarkStart w:id="917" w:name="_Toc179632770"/>
      <w:bookmarkStart w:id="918" w:name="_Toc152045752"/>
      <w:bookmarkStart w:id="919" w:name="_Toc144974723"/>
      <w:r>
        <w:rPr>
          <w:rFonts w:hint="eastAsia" w:ascii="宋体" w:hAnsi="宋体" w:cs="宋体"/>
          <w:b/>
          <w:color w:val="auto"/>
          <w:sz w:val="24"/>
        </w:rPr>
        <w:t>不可抗力后果及其处理</w:t>
      </w:r>
      <w:bookmarkEnd w:id="916"/>
      <w:bookmarkEnd w:id="917"/>
      <w:bookmarkEnd w:id="918"/>
      <w:bookmarkEnd w:id="919"/>
    </w:p>
    <w:p w14:paraId="287AD30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不可抗力造成损害的责任</w:t>
      </w:r>
    </w:p>
    <w:p w14:paraId="0E593028">
      <w:pPr>
        <w:spacing w:line="400" w:lineRule="exact"/>
        <w:ind w:firstLine="440" w:firstLineChars="200"/>
        <w:rPr>
          <w:rFonts w:hint="eastAsia" w:ascii="宋体" w:hAnsi="宋体" w:cs="宋体"/>
          <w:color w:val="auto"/>
        </w:rPr>
      </w:pPr>
      <w:r>
        <w:rPr>
          <w:rFonts w:hint="eastAsia" w:ascii="宋体" w:hAnsi="宋体" w:cs="宋体"/>
          <w:color w:val="auto"/>
        </w:rPr>
        <w:t>除专用合同条款另有约定外，不可抗力导致的人员伤亡、财产损失、费用增加和（或）工期延误等后果，由合同双方按以下原则承担：</w:t>
      </w:r>
    </w:p>
    <w:p w14:paraId="4B28E70B">
      <w:pPr>
        <w:numPr>
          <w:ilvl w:val="0"/>
          <w:numId w:val="23"/>
        </w:numPr>
        <w:spacing w:line="400" w:lineRule="exact"/>
        <w:ind w:left="0" w:firstLine="440" w:firstLineChars="200"/>
        <w:rPr>
          <w:rFonts w:hint="eastAsia" w:ascii="宋体" w:hAnsi="宋体" w:cs="宋体"/>
          <w:color w:val="auto"/>
        </w:rPr>
      </w:pPr>
      <w:r>
        <w:rPr>
          <w:rFonts w:hint="eastAsia" w:ascii="宋体" w:hAnsi="宋体" w:cs="宋体"/>
          <w:color w:val="auto"/>
        </w:rPr>
        <w:t>永久工程，包括已运至施工场地的材料和工程设备的损害，以及因工程损害造成的第三者人员伤亡和财产损失由发包人承担；</w:t>
      </w:r>
    </w:p>
    <w:p w14:paraId="21F88441">
      <w:pPr>
        <w:numPr>
          <w:ilvl w:val="0"/>
          <w:numId w:val="23"/>
        </w:numPr>
        <w:spacing w:line="400" w:lineRule="exact"/>
        <w:ind w:left="0" w:firstLine="440" w:firstLineChars="200"/>
        <w:rPr>
          <w:rFonts w:hint="eastAsia" w:ascii="宋体" w:hAnsi="宋体" w:cs="宋体"/>
          <w:color w:val="auto"/>
        </w:rPr>
      </w:pPr>
      <w:r>
        <w:rPr>
          <w:rFonts w:hint="eastAsia" w:ascii="宋体" w:hAnsi="宋体" w:cs="宋体"/>
          <w:color w:val="auto"/>
        </w:rPr>
        <w:t>承包人设备的损坏由承包人承担；</w:t>
      </w:r>
    </w:p>
    <w:p w14:paraId="052863E9">
      <w:pPr>
        <w:numPr>
          <w:ilvl w:val="0"/>
          <w:numId w:val="23"/>
        </w:numPr>
        <w:spacing w:line="400" w:lineRule="exact"/>
        <w:ind w:left="0" w:firstLine="440" w:firstLineChars="200"/>
        <w:rPr>
          <w:rFonts w:hint="eastAsia" w:ascii="宋体" w:hAnsi="宋体" w:cs="宋体"/>
          <w:color w:val="auto"/>
        </w:rPr>
      </w:pPr>
      <w:r>
        <w:rPr>
          <w:rFonts w:hint="eastAsia" w:ascii="宋体" w:hAnsi="宋体" w:cs="宋体"/>
          <w:color w:val="auto"/>
        </w:rPr>
        <w:t>发包人和承包人各自承担其人员伤亡和其他财产损失及其相关费用；</w:t>
      </w:r>
    </w:p>
    <w:p w14:paraId="5E2A07A4">
      <w:pPr>
        <w:numPr>
          <w:ilvl w:val="0"/>
          <w:numId w:val="23"/>
        </w:numPr>
        <w:spacing w:line="400" w:lineRule="exact"/>
        <w:ind w:left="0" w:firstLine="440" w:firstLineChars="200"/>
        <w:rPr>
          <w:rFonts w:hint="eastAsia" w:ascii="宋体" w:hAnsi="宋体" w:cs="宋体"/>
          <w:color w:val="auto"/>
        </w:rPr>
      </w:pPr>
      <w:r>
        <w:rPr>
          <w:rFonts w:hint="eastAsia" w:ascii="宋体" w:hAnsi="宋体" w:cs="宋体"/>
          <w:color w:val="auto"/>
        </w:rPr>
        <w:t>承包人的停工损失由承包人承担，但停工期间应监理人要求照管工程和清理、修复工程的金额由发包人承担；</w:t>
      </w:r>
    </w:p>
    <w:p w14:paraId="6C355A1B">
      <w:pPr>
        <w:numPr>
          <w:ilvl w:val="0"/>
          <w:numId w:val="23"/>
        </w:numPr>
        <w:spacing w:line="400" w:lineRule="exact"/>
        <w:ind w:left="0" w:firstLine="440" w:firstLineChars="200"/>
        <w:rPr>
          <w:rFonts w:hint="eastAsia" w:ascii="宋体" w:hAnsi="宋体" w:cs="宋体"/>
          <w:color w:val="auto"/>
        </w:rPr>
      </w:pPr>
      <w:r>
        <w:rPr>
          <w:rFonts w:hint="eastAsia" w:ascii="宋体" w:hAnsi="宋体" w:cs="宋体"/>
          <w:color w:val="auto"/>
        </w:rPr>
        <w:t>不能按期竣工的，应合理延长工期，承包人不需支付逾期竣工违约金。发包人要求赶工的，承包人应采取赶工措施，赶工费用由发包人承担。</w:t>
      </w:r>
    </w:p>
    <w:p w14:paraId="39D1B4B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延迟履行期间发生的不可抗力</w:t>
      </w:r>
    </w:p>
    <w:p w14:paraId="10D48A3F">
      <w:pPr>
        <w:spacing w:line="400" w:lineRule="exact"/>
        <w:ind w:firstLine="440" w:firstLineChars="200"/>
        <w:rPr>
          <w:rFonts w:hint="eastAsia" w:ascii="宋体" w:hAnsi="宋体" w:cs="宋体"/>
          <w:color w:val="auto"/>
        </w:rPr>
      </w:pPr>
      <w:r>
        <w:rPr>
          <w:rFonts w:hint="eastAsia" w:ascii="宋体" w:hAnsi="宋体" w:cs="宋体"/>
          <w:color w:val="auto"/>
        </w:rPr>
        <w:t>合同一方当事人延迟履行，在延迟履行期间发生不可抗力的，不免除其责任。</w:t>
      </w:r>
    </w:p>
    <w:p w14:paraId="64F24F2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避免和减少不可抗力损失</w:t>
      </w:r>
    </w:p>
    <w:p w14:paraId="2A2FAB93">
      <w:pPr>
        <w:spacing w:line="400" w:lineRule="exact"/>
        <w:ind w:firstLine="440" w:firstLineChars="200"/>
        <w:rPr>
          <w:rFonts w:hint="eastAsia" w:ascii="宋体" w:hAnsi="宋体" w:cs="宋体"/>
          <w:color w:val="auto"/>
        </w:rPr>
      </w:pPr>
      <w:r>
        <w:rPr>
          <w:rFonts w:hint="eastAsia" w:ascii="宋体" w:hAnsi="宋体" w:cs="宋体"/>
          <w:color w:val="auto"/>
        </w:rPr>
        <w:t>不可抗力发生后，发包人和承包人均应采取措施尽量避免和减少损失的扩大，任何一方没有采取有效措施导致损失扩大的，应对扩大的损失承担责任。</w:t>
      </w:r>
    </w:p>
    <w:p w14:paraId="2D858EA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因不可抗力解除合同</w:t>
      </w:r>
    </w:p>
    <w:p w14:paraId="74E1A677">
      <w:pPr>
        <w:spacing w:line="400" w:lineRule="exact"/>
        <w:ind w:firstLine="440" w:firstLineChars="200"/>
        <w:rPr>
          <w:rFonts w:hint="eastAsia" w:ascii="宋体" w:hAnsi="宋体" w:cs="宋体"/>
          <w:color w:val="auto"/>
        </w:rPr>
      </w:pPr>
      <w:r>
        <w:rPr>
          <w:rFonts w:hint="eastAsia" w:ascii="宋体" w:hAnsi="宋体" w:cs="宋体"/>
          <w:color w:val="auto"/>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76626D70">
      <w:pPr>
        <w:pStyle w:val="75"/>
        <w:numPr>
          <w:ilvl w:val="0"/>
          <w:numId w:val="4"/>
        </w:numPr>
        <w:spacing w:before="0"/>
        <w:ind w:left="0" w:firstLine="0"/>
        <w:outlineLvl w:val="9"/>
        <w:rPr>
          <w:rFonts w:hint="eastAsia" w:ascii="宋体" w:hAnsi="宋体" w:eastAsia="宋体"/>
          <w:b/>
          <w:bCs/>
          <w:color w:val="auto"/>
          <w:sz w:val="24"/>
          <w:szCs w:val="24"/>
        </w:rPr>
      </w:pPr>
      <w:bookmarkStart w:id="920" w:name="_Toc144974724"/>
      <w:bookmarkStart w:id="921" w:name="_Toc4030"/>
      <w:bookmarkStart w:id="922" w:name="_Toc152042532"/>
      <w:bookmarkStart w:id="923" w:name="_Toc152045753"/>
      <w:bookmarkStart w:id="924" w:name="_Toc179632771"/>
      <w:bookmarkStart w:id="925" w:name="_Toc58398578"/>
      <w:bookmarkStart w:id="926" w:name="_Toc20057"/>
      <w:r>
        <w:rPr>
          <w:rFonts w:hint="eastAsia" w:ascii="宋体" w:hAnsi="宋体" w:eastAsia="宋体"/>
          <w:b/>
          <w:bCs/>
          <w:color w:val="auto"/>
          <w:sz w:val="24"/>
          <w:szCs w:val="24"/>
        </w:rPr>
        <w:t>违约</w:t>
      </w:r>
      <w:bookmarkEnd w:id="920"/>
      <w:bookmarkEnd w:id="921"/>
      <w:bookmarkEnd w:id="922"/>
      <w:bookmarkEnd w:id="923"/>
      <w:bookmarkEnd w:id="924"/>
      <w:bookmarkEnd w:id="925"/>
      <w:bookmarkEnd w:id="926"/>
    </w:p>
    <w:p w14:paraId="2AE64A20">
      <w:pPr>
        <w:numPr>
          <w:ilvl w:val="1"/>
          <w:numId w:val="4"/>
        </w:numPr>
        <w:spacing w:line="400" w:lineRule="exact"/>
        <w:ind w:left="0" w:firstLine="241" w:firstLineChars="100"/>
        <w:rPr>
          <w:rFonts w:hint="eastAsia" w:ascii="宋体" w:hAnsi="宋体" w:cs="宋体"/>
          <w:b/>
          <w:color w:val="auto"/>
          <w:sz w:val="24"/>
        </w:rPr>
      </w:pPr>
      <w:bookmarkStart w:id="927" w:name="_Toc179632772"/>
      <w:bookmarkStart w:id="928" w:name="_Toc144974725"/>
      <w:bookmarkStart w:id="929" w:name="_Toc152045754"/>
      <w:bookmarkStart w:id="930" w:name="_Toc152042533"/>
      <w:r>
        <w:rPr>
          <w:rFonts w:hint="eastAsia" w:ascii="宋体" w:hAnsi="宋体" w:cs="宋体"/>
          <w:b/>
          <w:color w:val="auto"/>
          <w:sz w:val="24"/>
        </w:rPr>
        <w:t>承包人违约</w:t>
      </w:r>
      <w:bookmarkEnd w:id="927"/>
      <w:bookmarkEnd w:id="928"/>
      <w:bookmarkEnd w:id="929"/>
      <w:bookmarkEnd w:id="930"/>
    </w:p>
    <w:p w14:paraId="16357DF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承包人违约的情形</w:t>
      </w:r>
    </w:p>
    <w:p w14:paraId="3C5488BF">
      <w:pPr>
        <w:spacing w:line="400" w:lineRule="exact"/>
        <w:ind w:firstLine="440" w:firstLineChars="200"/>
        <w:rPr>
          <w:rFonts w:hint="eastAsia" w:ascii="宋体" w:hAnsi="宋体" w:cs="宋体"/>
          <w:color w:val="auto"/>
        </w:rPr>
      </w:pPr>
      <w:r>
        <w:rPr>
          <w:rFonts w:hint="eastAsia" w:ascii="宋体" w:hAnsi="宋体" w:cs="宋体"/>
          <w:color w:val="auto"/>
        </w:rPr>
        <w:t>在履行合同过程中发生的下列情况属承包人违约：</w:t>
      </w:r>
    </w:p>
    <w:p w14:paraId="424E63CA">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承包人违反第1.8款或第4.3款的约定，私自将合同的全部或部分权利转让给其他人，或私自将合同的全部或部分义务转移给其他人；</w:t>
      </w:r>
    </w:p>
    <w:p w14:paraId="3339C42B">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承包人违反第5.3款或第6.4款的约定，未经监理人批准，私自将已按合同约定进入施工场地的施工设备、临时设施或材料撤离施工场地；</w:t>
      </w:r>
    </w:p>
    <w:p w14:paraId="2352C5C4">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承包人违反第5.4款的约定使用了不合格材料或工程设备，工程质量达不到标准要求，又拒绝清除不合格工程；</w:t>
      </w:r>
    </w:p>
    <w:p w14:paraId="5DDBE688">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承包人未能按合同进度计划及时完成合同约定的工作，已造成或预期造成工期延误；</w:t>
      </w:r>
    </w:p>
    <w:p w14:paraId="10600224">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承包人在缺陷责任期内，未能对工程接收证书所列的缺陷清单的内容或缺陷责任期内发生的缺陷进行修复，而又拒绝按监理人指示再进行修补；</w:t>
      </w:r>
    </w:p>
    <w:p w14:paraId="018CDC26">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承包人无法继续履行或明确表示不履行或实质上已停止履行合同；</w:t>
      </w:r>
    </w:p>
    <w:p w14:paraId="770DA395">
      <w:pPr>
        <w:numPr>
          <w:ilvl w:val="0"/>
          <w:numId w:val="24"/>
        </w:numPr>
        <w:spacing w:line="400" w:lineRule="exact"/>
        <w:ind w:left="0" w:firstLine="440" w:firstLineChars="200"/>
        <w:rPr>
          <w:rFonts w:hint="eastAsia" w:ascii="宋体" w:hAnsi="宋体" w:cs="宋体"/>
          <w:color w:val="auto"/>
        </w:rPr>
      </w:pPr>
      <w:r>
        <w:rPr>
          <w:rFonts w:hint="eastAsia" w:ascii="宋体" w:hAnsi="宋体" w:cs="宋体"/>
          <w:color w:val="auto"/>
        </w:rPr>
        <w:t>承包人不按合同约定履行义务的其他情况。</w:t>
      </w:r>
    </w:p>
    <w:p w14:paraId="2FF51DAE">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对承包人违约的处理</w:t>
      </w:r>
    </w:p>
    <w:p w14:paraId="613CD5E0">
      <w:pPr>
        <w:numPr>
          <w:ilvl w:val="0"/>
          <w:numId w:val="25"/>
        </w:numPr>
        <w:spacing w:line="400" w:lineRule="exact"/>
        <w:ind w:left="0" w:firstLine="440" w:firstLineChars="200"/>
        <w:rPr>
          <w:rFonts w:hint="eastAsia" w:ascii="宋体" w:hAnsi="宋体" w:cs="宋体"/>
          <w:color w:val="auto"/>
        </w:rPr>
      </w:pPr>
      <w:r>
        <w:rPr>
          <w:rFonts w:hint="eastAsia" w:ascii="宋体" w:hAnsi="宋体" w:cs="宋体"/>
          <w:color w:val="auto"/>
        </w:rPr>
        <w:t>承包人发生第22.1.1（6）目约定的违约情况时，发包人可通知承包人立即解除合同，并按有关法律处理。</w:t>
      </w:r>
    </w:p>
    <w:p w14:paraId="67B5667D">
      <w:pPr>
        <w:numPr>
          <w:ilvl w:val="0"/>
          <w:numId w:val="25"/>
        </w:numPr>
        <w:spacing w:line="400" w:lineRule="exact"/>
        <w:ind w:left="0" w:firstLine="440" w:firstLineChars="200"/>
        <w:rPr>
          <w:rFonts w:hint="eastAsia" w:ascii="宋体" w:hAnsi="宋体" w:cs="宋体"/>
          <w:color w:val="auto"/>
        </w:rPr>
      </w:pPr>
      <w:r>
        <w:rPr>
          <w:rFonts w:hint="eastAsia" w:ascii="宋体" w:hAnsi="宋体" w:cs="宋体"/>
          <w:color w:val="auto"/>
        </w:rPr>
        <w:t>承包人发生除第22.1.1（6）目约定以外的其他违约情况时，监理人可向承包人发出整改通知，要求其在指定的期限内改正。承包人应承担其违约所引起的费用增加和（或）工期延误。</w:t>
      </w:r>
    </w:p>
    <w:p w14:paraId="20AECB40">
      <w:pPr>
        <w:numPr>
          <w:ilvl w:val="0"/>
          <w:numId w:val="25"/>
        </w:numPr>
        <w:spacing w:line="400" w:lineRule="exact"/>
        <w:ind w:left="0" w:firstLine="440" w:firstLineChars="200"/>
        <w:rPr>
          <w:rFonts w:hint="eastAsia" w:ascii="宋体" w:hAnsi="宋体" w:cs="宋体"/>
          <w:color w:val="auto"/>
        </w:rPr>
      </w:pPr>
      <w:r>
        <w:rPr>
          <w:rFonts w:hint="eastAsia" w:ascii="宋体" w:hAnsi="宋体" w:cs="宋体"/>
          <w:color w:val="auto"/>
        </w:rPr>
        <w:t>经检查证明承包人已采取了有效措施纠正违约行为，具备复工条件的，可由监理人签发复工通知复工。</w:t>
      </w:r>
    </w:p>
    <w:p w14:paraId="0BCC60F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承包人违约解除合同</w:t>
      </w:r>
    </w:p>
    <w:p w14:paraId="24CBFB28">
      <w:pPr>
        <w:spacing w:line="400" w:lineRule="exact"/>
        <w:ind w:firstLine="440" w:firstLineChars="200"/>
        <w:rPr>
          <w:rFonts w:hint="eastAsia" w:ascii="宋体" w:hAnsi="宋体" w:cs="宋体"/>
          <w:color w:val="auto"/>
        </w:rPr>
      </w:pPr>
      <w:r>
        <w:rPr>
          <w:rFonts w:hint="eastAsia" w:ascii="宋体" w:hAnsi="宋体" w:cs="宋体"/>
          <w:color w:val="auto"/>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22BB1BD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合同解除后的估价、付款和结清</w:t>
      </w:r>
    </w:p>
    <w:p w14:paraId="0944FD16">
      <w:pPr>
        <w:numPr>
          <w:ilvl w:val="0"/>
          <w:numId w:val="26"/>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合同解除后，监理人按第3.5款商定或确定承包人实际完成工作的价值，以及承包人已提供的材料、施工设备、工程设备和临时工程等的价值。 </w:t>
      </w:r>
    </w:p>
    <w:p w14:paraId="56BBABFB">
      <w:pPr>
        <w:numPr>
          <w:ilvl w:val="0"/>
          <w:numId w:val="26"/>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合同解除后，发包人应暂停对承包人的一切付款，查清各项付款和已扣款金额，包括承包人应支付的违约金。 </w:t>
      </w:r>
    </w:p>
    <w:p w14:paraId="55603F1F">
      <w:pPr>
        <w:numPr>
          <w:ilvl w:val="0"/>
          <w:numId w:val="26"/>
        </w:numPr>
        <w:spacing w:line="400" w:lineRule="exact"/>
        <w:ind w:left="0" w:firstLine="440" w:firstLineChars="200"/>
        <w:rPr>
          <w:rFonts w:hint="eastAsia" w:ascii="宋体" w:hAnsi="宋体" w:cs="宋体"/>
          <w:color w:val="auto"/>
        </w:rPr>
      </w:pPr>
      <w:r>
        <w:rPr>
          <w:rFonts w:hint="eastAsia" w:ascii="宋体" w:hAnsi="宋体" w:cs="宋体"/>
          <w:color w:val="auto"/>
        </w:rPr>
        <w:t>合同解除后，发包人应按第23.4款的约定向承包人索赔由于解除合同给发包人造成的损失。</w:t>
      </w:r>
    </w:p>
    <w:p w14:paraId="68E6BF07">
      <w:pPr>
        <w:numPr>
          <w:ilvl w:val="0"/>
          <w:numId w:val="26"/>
        </w:numPr>
        <w:spacing w:line="400" w:lineRule="exact"/>
        <w:ind w:left="0" w:firstLine="440" w:firstLineChars="200"/>
        <w:rPr>
          <w:rFonts w:hint="eastAsia" w:ascii="宋体" w:hAnsi="宋体" w:cs="宋体"/>
          <w:color w:val="auto"/>
        </w:rPr>
      </w:pPr>
      <w:r>
        <w:rPr>
          <w:rFonts w:hint="eastAsia" w:ascii="宋体" w:hAnsi="宋体" w:cs="宋体"/>
          <w:color w:val="auto"/>
        </w:rPr>
        <w:t>合同双方确认上述往来款项后，出具最终结清付款证书，结清全部合同款项。</w:t>
      </w:r>
    </w:p>
    <w:p w14:paraId="2CBEA8FB">
      <w:pPr>
        <w:numPr>
          <w:ilvl w:val="0"/>
          <w:numId w:val="26"/>
        </w:numPr>
        <w:spacing w:line="400" w:lineRule="exact"/>
        <w:ind w:left="0" w:firstLine="440" w:firstLineChars="200"/>
        <w:rPr>
          <w:rFonts w:hint="eastAsia" w:ascii="宋体" w:hAnsi="宋体" w:cs="宋体"/>
          <w:color w:val="auto"/>
        </w:rPr>
      </w:pPr>
      <w:r>
        <w:rPr>
          <w:rFonts w:hint="eastAsia" w:ascii="宋体" w:hAnsi="宋体" w:cs="宋体"/>
          <w:color w:val="auto"/>
        </w:rPr>
        <w:t>发包人和承包人未能就解除合同后的结清达成一致而形成争议的，按第24条的约定办理。</w:t>
      </w:r>
    </w:p>
    <w:p w14:paraId="1CFBBE1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协议利益的转让</w:t>
      </w:r>
    </w:p>
    <w:p w14:paraId="14EC4056">
      <w:pPr>
        <w:spacing w:line="400" w:lineRule="exact"/>
        <w:ind w:firstLine="440" w:firstLineChars="200"/>
        <w:rPr>
          <w:rFonts w:hint="eastAsia" w:ascii="宋体" w:hAnsi="宋体" w:cs="宋体"/>
          <w:color w:val="auto"/>
        </w:rPr>
      </w:pPr>
      <w:r>
        <w:rPr>
          <w:rFonts w:hint="eastAsia" w:ascii="宋体" w:hAnsi="宋体" w:cs="宋体"/>
          <w:color w:val="auto"/>
        </w:rPr>
        <w:t xml:space="preserve">因承包人违约解除合同的，发包人有权要求承包人将其为实施合同而签订的材料和设备的订货协议或任何服务协议利益转让给发包人，并在解除合同后的14天内，依法办理转让手续。 </w:t>
      </w:r>
    </w:p>
    <w:p w14:paraId="32F673E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紧急情况下无能力或不愿进行抢救</w:t>
      </w:r>
    </w:p>
    <w:p w14:paraId="09F432B6">
      <w:pPr>
        <w:spacing w:line="400" w:lineRule="exact"/>
        <w:ind w:firstLine="440" w:firstLineChars="200"/>
        <w:rPr>
          <w:rFonts w:hint="eastAsia" w:ascii="宋体" w:hAnsi="宋体" w:cs="宋体"/>
          <w:color w:val="auto"/>
        </w:rPr>
      </w:pPr>
      <w:r>
        <w:rPr>
          <w:rFonts w:hint="eastAsia" w:ascii="宋体" w:hAnsi="宋体" w:cs="宋体"/>
          <w:color w:val="auto"/>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8FB82DE">
      <w:pPr>
        <w:numPr>
          <w:ilvl w:val="1"/>
          <w:numId w:val="4"/>
        </w:numPr>
        <w:spacing w:line="400" w:lineRule="exact"/>
        <w:ind w:left="0" w:firstLine="241" w:firstLineChars="100"/>
        <w:rPr>
          <w:rFonts w:hint="eastAsia" w:ascii="宋体" w:hAnsi="宋体" w:cs="宋体"/>
          <w:b/>
          <w:color w:val="auto"/>
          <w:sz w:val="24"/>
        </w:rPr>
      </w:pPr>
      <w:bookmarkStart w:id="931" w:name="_Toc152042534"/>
      <w:bookmarkStart w:id="932" w:name="_Toc152045755"/>
      <w:bookmarkStart w:id="933" w:name="_Toc144974726"/>
      <w:bookmarkStart w:id="934" w:name="_Toc179632773"/>
      <w:r>
        <w:rPr>
          <w:rFonts w:hint="eastAsia" w:ascii="宋体" w:hAnsi="宋体" w:cs="宋体"/>
          <w:b/>
          <w:color w:val="auto"/>
          <w:sz w:val="24"/>
        </w:rPr>
        <w:t>发包人违约</w:t>
      </w:r>
      <w:bookmarkEnd w:id="931"/>
      <w:bookmarkEnd w:id="932"/>
      <w:bookmarkEnd w:id="933"/>
      <w:bookmarkEnd w:id="934"/>
    </w:p>
    <w:p w14:paraId="631D223F">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发包人违约的情形</w:t>
      </w:r>
    </w:p>
    <w:p w14:paraId="46014970">
      <w:pPr>
        <w:spacing w:line="400" w:lineRule="exact"/>
        <w:ind w:firstLine="440" w:firstLineChars="200"/>
        <w:rPr>
          <w:rFonts w:hint="eastAsia" w:ascii="宋体" w:hAnsi="宋体" w:cs="宋体"/>
          <w:color w:val="auto"/>
        </w:rPr>
      </w:pPr>
      <w:r>
        <w:rPr>
          <w:rFonts w:hint="eastAsia" w:ascii="宋体" w:hAnsi="宋体" w:cs="宋体"/>
          <w:color w:val="auto"/>
        </w:rPr>
        <w:t>在履行合同过程中发生的下列情形，属发包人违约：</w:t>
      </w:r>
    </w:p>
    <w:p w14:paraId="01948DE1">
      <w:pPr>
        <w:numPr>
          <w:ilvl w:val="0"/>
          <w:numId w:val="27"/>
        </w:numPr>
        <w:spacing w:line="400" w:lineRule="exact"/>
        <w:ind w:left="0" w:firstLine="440" w:firstLineChars="200"/>
        <w:rPr>
          <w:rFonts w:hint="eastAsia" w:ascii="宋体" w:hAnsi="宋体" w:cs="宋体"/>
          <w:color w:val="auto"/>
        </w:rPr>
      </w:pPr>
      <w:r>
        <w:rPr>
          <w:rFonts w:hint="eastAsia" w:ascii="宋体" w:hAnsi="宋体" w:cs="宋体"/>
          <w:color w:val="auto"/>
        </w:rPr>
        <w:t>发包人未能按合同约定支付预付款或合同价款，或拖延、拒绝批准付款申请和支付凭证，导致付款延误的；</w:t>
      </w:r>
    </w:p>
    <w:p w14:paraId="22655F77">
      <w:pPr>
        <w:numPr>
          <w:ilvl w:val="0"/>
          <w:numId w:val="27"/>
        </w:numPr>
        <w:spacing w:line="400" w:lineRule="exact"/>
        <w:ind w:left="0" w:firstLine="440" w:firstLineChars="200"/>
        <w:rPr>
          <w:rFonts w:hint="eastAsia" w:ascii="宋体" w:hAnsi="宋体" w:cs="宋体"/>
          <w:color w:val="auto"/>
        </w:rPr>
      </w:pPr>
      <w:r>
        <w:rPr>
          <w:rFonts w:hint="eastAsia" w:ascii="宋体" w:hAnsi="宋体" w:cs="宋体"/>
          <w:color w:val="auto"/>
        </w:rPr>
        <w:t>发包人原因造成停工的；</w:t>
      </w:r>
    </w:p>
    <w:p w14:paraId="31144D29">
      <w:pPr>
        <w:numPr>
          <w:ilvl w:val="0"/>
          <w:numId w:val="27"/>
        </w:numPr>
        <w:spacing w:line="400" w:lineRule="exact"/>
        <w:ind w:left="0" w:firstLine="440" w:firstLineChars="200"/>
        <w:rPr>
          <w:rFonts w:hint="eastAsia" w:ascii="宋体" w:hAnsi="宋体" w:cs="宋体"/>
          <w:color w:val="auto"/>
        </w:rPr>
      </w:pPr>
      <w:r>
        <w:rPr>
          <w:rFonts w:hint="eastAsia" w:ascii="宋体" w:hAnsi="宋体" w:cs="宋体"/>
          <w:color w:val="auto"/>
        </w:rPr>
        <w:t>监理人无正当理由没有在约定期限内发出复工指示，导致承包人无法复工的；</w:t>
      </w:r>
    </w:p>
    <w:p w14:paraId="2946FC88">
      <w:pPr>
        <w:numPr>
          <w:ilvl w:val="0"/>
          <w:numId w:val="27"/>
        </w:numPr>
        <w:spacing w:line="400" w:lineRule="exact"/>
        <w:ind w:left="0" w:firstLine="440" w:firstLineChars="200"/>
        <w:rPr>
          <w:rFonts w:hint="eastAsia" w:ascii="宋体" w:hAnsi="宋体" w:cs="宋体"/>
          <w:color w:val="auto"/>
        </w:rPr>
      </w:pPr>
      <w:r>
        <w:rPr>
          <w:rFonts w:hint="eastAsia" w:ascii="宋体" w:hAnsi="宋体" w:cs="宋体"/>
          <w:color w:val="auto"/>
        </w:rPr>
        <w:t>发包人无法继续履行或明确表示不履行或实质上已停止履行合同的；</w:t>
      </w:r>
    </w:p>
    <w:p w14:paraId="4FF11ABE">
      <w:pPr>
        <w:numPr>
          <w:ilvl w:val="0"/>
          <w:numId w:val="27"/>
        </w:numPr>
        <w:spacing w:line="400" w:lineRule="exact"/>
        <w:ind w:left="0" w:firstLine="440" w:firstLineChars="200"/>
        <w:rPr>
          <w:rFonts w:hint="eastAsia" w:ascii="宋体" w:hAnsi="宋体" w:cs="宋体"/>
          <w:color w:val="auto"/>
        </w:rPr>
      </w:pPr>
      <w:r>
        <w:rPr>
          <w:rFonts w:hint="eastAsia" w:ascii="宋体" w:hAnsi="宋体" w:cs="宋体"/>
          <w:color w:val="auto"/>
        </w:rPr>
        <w:t>发包人不履行合同约定其他义务的。</w:t>
      </w:r>
    </w:p>
    <w:p w14:paraId="589049A5">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承包人有权暂停施工</w:t>
      </w:r>
    </w:p>
    <w:p w14:paraId="0CAB4978">
      <w:pPr>
        <w:spacing w:line="400" w:lineRule="exact"/>
        <w:ind w:firstLine="440" w:firstLineChars="200"/>
        <w:rPr>
          <w:rFonts w:hint="eastAsia" w:ascii="宋体" w:hAnsi="宋体" w:cs="宋体"/>
          <w:color w:val="auto"/>
        </w:rPr>
      </w:pPr>
      <w:r>
        <w:rPr>
          <w:rFonts w:hint="eastAsia" w:ascii="宋体" w:hAnsi="宋体" w:cs="宋体"/>
          <w:color w:val="auto"/>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B804420">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发包人违约解除合同 </w:t>
      </w:r>
    </w:p>
    <w:p w14:paraId="3F490288">
      <w:pPr>
        <w:numPr>
          <w:ilvl w:val="0"/>
          <w:numId w:val="28"/>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发生第22.2.1（4）目的违约情况时，承包人可书面通知发包人解除合同。   </w:t>
      </w:r>
    </w:p>
    <w:p w14:paraId="6718FE2B">
      <w:pPr>
        <w:numPr>
          <w:ilvl w:val="0"/>
          <w:numId w:val="28"/>
        </w:numPr>
        <w:spacing w:line="400" w:lineRule="exact"/>
        <w:ind w:left="0" w:firstLine="440" w:firstLineChars="200"/>
        <w:rPr>
          <w:rFonts w:hint="eastAsia" w:ascii="宋体" w:hAnsi="宋体" w:cs="宋体"/>
          <w:color w:val="auto"/>
        </w:rPr>
      </w:pPr>
      <w:r>
        <w:rPr>
          <w:rFonts w:hint="eastAsia" w:ascii="宋体" w:hAnsi="宋体" w:cs="宋体"/>
          <w:color w:val="auto"/>
        </w:rPr>
        <w:t>承包人按22.2.2项暂停施工28天后，发包人仍不纠正违约行为的，承包人可向发包人发出解除合同通知。但承包人的这一行动不免除发包人承担的违约责任，也不影响承包人根据合同约定享有的索赔权利。</w:t>
      </w:r>
    </w:p>
    <w:p w14:paraId="342A388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解除合同后的付款</w:t>
      </w:r>
    </w:p>
    <w:p w14:paraId="31E31708">
      <w:pPr>
        <w:spacing w:line="400" w:lineRule="exact"/>
        <w:ind w:firstLine="440" w:firstLineChars="200"/>
        <w:rPr>
          <w:rFonts w:hint="eastAsia" w:ascii="宋体" w:hAnsi="宋体" w:cs="宋体"/>
          <w:color w:val="auto"/>
        </w:rPr>
      </w:pPr>
      <w:r>
        <w:rPr>
          <w:rFonts w:hint="eastAsia" w:ascii="宋体" w:hAnsi="宋体" w:cs="宋体"/>
          <w:color w:val="auto"/>
        </w:rPr>
        <w:t>因发包人违约解除合同的，发包人应在解除合同后28天内向承包人支付下列金额，承包人应在此期限内及时向发包人提交要求支付下列金额的有关资料和凭证：</w:t>
      </w:r>
    </w:p>
    <w:p w14:paraId="1ACFF883">
      <w:pPr>
        <w:numPr>
          <w:ilvl w:val="0"/>
          <w:numId w:val="29"/>
        </w:numPr>
        <w:spacing w:line="400" w:lineRule="exact"/>
        <w:ind w:left="0" w:firstLine="440" w:firstLineChars="200"/>
        <w:rPr>
          <w:rFonts w:hint="eastAsia" w:ascii="宋体" w:hAnsi="宋体" w:cs="宋体"/>
          <w:color w:val="auto"/>
        </w:rPr>
      </w:pPr>
      <w:r>
        <w:rPr>
          <w:rFonts w:hint="eastAsia" w:ascii="宋体" w:hAnsi="宋体" w:cs="宋体"/>
          <w:color w:val="auto"/>
        </w:rPr>
        <w:t>合同解除日以前所完成工作的价款；</w:t>
      </w:r>
    </w:p>
    <w:p w14:paraId="2E34C352">
      <w:pPr>
        <w:numPr>
          <w:ilvl w:val="0"/>
          <w:numId w:val="29"/>
        </w:numPr>
        <w:spacing w:line="400" w:lineRule="exact"/>
        <w:ind w:left="0" w:firstLine="440" w:firstLineChars="200"/>
        <w:rPr>
          <w:rFonts w:hint="eastAsia" w:ascii="宋体" w:hAnsi="宋体" w:cs="宋体"/>
          <w:color w:val="auto"/>
        </w:rPr>
      </w:pPr>
      <w:r>
        <w:rPr>
          <w:rFonts w:hint="eastAsia" w:ascii="宋体" w:hAnsi="宋体" w:cs="宋体"/>
          <w:color w:val="auto"/>
        </w:rPr>
        <w:t>承包人为该工程施工订购并已付款的材料、工程设备和其他物品的金额。发包人付还后，该材料、工程设备和其他物品归发包人所有；</w:t>
      </w:r>
    </w:p>
    <w:p w14:paraId="27FB008B">
      <w:pPr>
        <w:numPr>
          <w:ilvl w:val="0"/>
          <w:numId w:val="29"/>
        </w:numPr>
        <w:spacing w:line="400" w:lineRule="exact"/>
        <w:ind w:left="0" w:firstLine="440" w:firstLineChars="200"/>
        <w:rPr>
          <w:rFonts w:hint="eastAsia" w:ascii="宋体" w:hAnsi="宋体" w:cs="宋体"/>
          <w:color w:val="auto"/>
        </w:rPr>
      </w:pPr>
      <w:r>
        <w:rPr>
          <w:rFonts w:hint="eastAsia" w:ascii="宋体" w:hAnsi="宋体" w:cs="宋体"/>
          <w:color w:val="auto"/>
        </w:rPr>
        <w:t>承包人为完成工程所发生的，而发包人未支付的金额；</w:t>
      </w:r>
    </w:p>
    <w:p w14:paraId="4BC0E390">
      <w:pPr>
        <w:numPr>
          <w:ilvl w:val="0"/>
          <w:numId w:val="29"/>
        </w:numPr>
        <w:spacing w:line="400" w:lineRule="exact"/>
        <w:ind w:left="0" w:firstLine="440" w:firstLineChars="200"/>
        <w:rPr>
          <w:rFonts w:hint="eastAsia" w:ascii="宋体" w:hAnsi="宋体" w:cs="宋体"/>
          <w:color w:val="auto"/>
        </w:rPr>
      </w:pPr>
      <w:r>
        <w:rPr>
          <w:rFonts w:hint="eastAsia" w:ascii="宋体" w:hAnsi="宋体" w:cs="宋体"/>
          <w:color w:val="auto"/>
        </w:rPr>
        <w:t>承包人撤离施工场地以及遣散承包人人员的金额；</w:t>
      </w:r>
    </w:p>
    <w:p w14:paraId="73216789">
      <w:pPr>
        <w:numPr>
          <w:ilvl w:val="0"/>
          <w:numId w:val="29"/>
        </w:numPr>
        <w:spacing w:line="400" w:lineRule="exact"/>
        <w:ind w:left="0" w:firstLine="440" w:firstLineChars="200"/>
        <w:rPr>
          <w:rFonts w:hint="eastAsia" w:ascii="宋体" w:hAnsi="宋体" w:cs="宋体"/>
          <w:color w:val="auto"/>
        </w:rPr>
      </w:pPr>
      <w:r>
        <w:rPr>
          <w:rFonts w:hint="eastAsia" w:ascii="宋体" w:hAnsi="宋体" w:cs="宋体"/>
          <w:color w:val="auto"/>
        </w:rPr>
        <w:t>由于解除合同应赔偿的承包人损失；</w:t>
      </w:r>
    </w:p>
    <w:p w14:paraId="60CA26AB">
      <w:pPr>
        <w:numPr>
          <w:ilvl w:val="0"/>
          <w:numId w:val="29"/>
        </w:numPr>
        <w:spacing w:line="400" w:lineRule="exact"/>
        <w:ind w:left="0" w:firstLine="440" w:firstLineChars="200"/>
        <w:rPr>
          <w:rFonts w:hint="eastAsia" w:ascii="宋体" w:hAnsi="宋体" w:cs="宋体"/>
          <w:color w:val="auto"/>
        </w:rPr>
      </w:pPr>
      <w:r>
        <w:rPr>
          <w:rFonts w:hint="eastAsia" w:ascii="宋体" w:hAnsi="宋体" w:cs="宋体"/>
          <w:color w:val="auto"/>
        </w:rPr>
        <w:t>按合同约定在合同解除日前应支付给承包人的其他金额。</w:t>
      </w:r>
    </w:p>
    <w:p w14:paraId="543F4308">
      <w:pPr>
        <w:spacing w:line="400" w:lineRule="exact"/>
        <w:ind w:firstLine="440" w:firstLineChars="200"/>
        <w:rPr>
          <w:rFonts w:hint="eastAsia" w:ascii="宋体" w:hAnsi="宋体" w:cs="宋体"/>
          <w:color w:val="auto"/>
        </w:rPr>
      </w:pPr>
      <w:r>
        <w:rPr>
          <w:rFonts w:hint="eastAsia" w:ascii="宋体" w:hAnsi="宋体" w:cs="宋体"/>
          <w:color w:val="auto"/>
        </w:rPr>
        <w:t>发包人应按本项约定支付上述金额并退还质量保证金和履约担保，但有权要求承包人支付应偿还给发包人的各项金额。</w:t>
      </w:r>
    </w:p>
    <w:p w14:paraId="63CB1C7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解除合同后的承包人撤离</w:t>
      </w:r>
    </w:p>
    <w:p w14:paraId="37FCB429">
      <w:pPr>
        <w:spacing w:line="400" w:lineRule="exact"/>
        <w:ind w:firstLine="440" w:firstLineChars="200"/>
        <w:rPr>
          <w:rFonts w:hint="eastAsia" w:ascii="宋体" w:hAnsi="宋体" w:cs="宋体"/>
          <w:color w:val="auto"/>
        </w:rPr>
      </w:pPr>
      <w:r>
        <w:rPr>
          <w:rFonts w:hint="eastAsia" w:ascii="宋体" w:hAnsi="宋体" w:cs="宋体"/>
          <w:color w:val="auto"/>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2D4E7B08">
      <w:pPr>
        <w:numPr>
          <w:ilvl w:val="1"/>
          <w:numId w:val="4"/>
        </w:numPr>
        <w:spacing w:line="400" w:lineRule="exact"/>
        <w:ind w:left="0" w:firstLine="241" w:firstLineChars="100"/>
        <w:rPr>
          <w:rFonts w:hint="eastAsia" w:ascii="宋体" w:hAnsi="宋体" w:cs="宋体"/>
          <w:b/>
          <w:color w:val="auto"/>
          <w:sz w:val="24"/>
        </w:rPr>
      </w:pPr>
      <w:bookmarkStart w:id="935" w:name="_Toc152042535"/>
      <w:bookmarkStart w:id="936" w:name="_Toc179632774"/>
      <w:bookmarkStart w:id="937" w:name="_Toc152045756"/>
      <w:bookmarkStart w:id="938" w:name="_Toc508734288"/>
      <w:r>
        <w:rPr>
          <w:rFonts w:hint="eastAsia" w:ascii="宋体" w:hAnsi="宋体" w:cs="宋体"/>
          <w:b/>
          <w:color w:val="auto"/>
          <w:sz w:val="24"/>
        </w:rPr>
        <w:t>第三人造成的违约</w:t>
      </w:r>
      <w:bookmarkEnd w:id="935"/>
      <w:bookmarkEnd w:id="936"/>
      <w:bookmarkEnd w:id="937"/>
      <w:bookmarkEnd w:id="938"/>
    </w:p>
    <w:p w14:paraId="6C0435EC">
      <w:pPr>
        <w:spacing w:line="400" w:lineRule="exact"/>
        <w:ind w:firstLine="440" w:firstLineChars="200"/>
        <w:rPr>
          <w:rFonts w:hint="eastAsia" w:ascii="宋体" w:hAnsi="宋体" w:cs="宋体"/>
          <w:color w:val="auto"/>
        </w:rPr>
      </w:pPr>
      <w:r>
        <w:rPr>
          <w:rFonts w:hint="eastAsia" w:ascii="宋体" w:hAnsi="宋体" w:cs="宋体"/>
          <w:color w:val="auto"/>
        </w:rPr>
        <w:t>在履行合同过程中，一方当事人因第三人的原因造成违约的，应当向对方当事人承担违约责任。一方当事人和第三人之间的纠纷，依照法律规定或者按照约定解决。</w:t>
      </w:r>
    </w:p>
    <w:p w14:paraId="06FAA881">
      <w:pPr>
        <w:pStyle w:val="75"/>
        <w:numPr>
          <w:ilvl w:val="0"/>
          <w:numId w:val="4"/>
        </w:numPr>
        <w:spacing w:before="0"/>
        <w:ind w:left="0" w:firstLine="0"/>
        <w:outlineLvl w:val="9"/>
        <w:rPr>
          <w:rFonts w:hint="eastAsia" w:ascii="宋体" w:hAnsi="宋体" w:eastAsia="宋体"/>
          <w:b/>
          <w:bCs/>
          <w:color w:val="auto"/>
          <w:sz w:val="24"/>
          <w:szCs w:val="24"/>
        </w:rPr>
      </w:pPr>
      <w:bookmarkStart w:id="939" w:name="_Toc144974727"/>
      <w:bookmarkStart w:id="940" w:name="_Toc179632775"/>
      <w:bookmarkStart w:id="941" w:name="_Toc13702"/>
      <w:bookmarkStart w:id="942" w:name="_Toc20684"/>
      <w:bookmarkStart w:id="943" w:name="_Toc152042536"/>
      <w:bookmarkStart w:id="944" w:name="_Toc58398579"/>
      <w:bookmarkStart w:id="945" w:name="_Toc152045757"/>
      <w:r>
        <w:rPr>
          <w:rFonts w:hint="eastAsia" w:ascii="宋体" w:hAnsi="宋体" w:eastAsia="宋体"/>
          <w:b/>
          <w:bCs/>
          <w:color w:val="auto"/>
          <w:sz w:val="24"/>
          <w:szCs w:val="24"/>
        </w:rPr>
        <w:t>索赔</w:t>
      </w:r>
      <w:bookmarkEnd w:id="939"/>
      <w:bookmarkEnd w:id="940"/>
      <w:bookmarkEnd w:id="941"/>
      <w:bookmarkEnd w:id="942"/>
      <w:bookmarkEnd w:id="943"/>
      <w:bookmarkEnd w:id="944"/>
      <w:bookmarkEnd w:id="945"/>
    </w:p>
    <w:p w14:paraId="1009D467">
      <w:pPr>
        <w:numPr>
          <w:ilvl w:val="1"/>
          <w:numId w:val="4"/>
        </w:numPr>
        <w:spacing w:line="400" w:lineRule="exact"/>
        <w:ind w:left="0" w:firstLine="241" w:firstLineChars="100"/>
        <w:rPr>
          <w:rFonts w:hint="eastAsia" w:ascii="宋体" w:hAnsi="宋体" w:cs="宋体"/>
          <w:b/>
          <w:color w:val="auto"/>
          <w:sz w:val="24"/>
        </w:rPr>
      </w:pPr>
      <w:bookmarkStart w:id="946" w:name="_Toc152042537"/>
      <w:bookmarkStart w:id="947" w:name="_Toc144974728"/>
      <w:bookmarkStart w:id="948" w:name="_Toc179632776"/>
      <w:bookmarkStart w:id="949" w:name="_Toc152045758"/>
      <w:r>
        <w:rPr>
          <w:rFonts w:hint="eastAsia" w:ascii="宋体" w:hAnsi="宋体" w:cs="宋体"/>
          <w:b/>
          <w:color w:val="auto"/>
          <w:sz w:val="24"/>
        </w:rPr>
        <w:t>承包人索赔的提出</w:t>
      </w:r>
      <w:bookmarkEnd w:id="946"/>
      <w:bookmarkEnd w:id="947"/>
      <w:bookmarkEnd w:id="948"/>
      <w:bookmarkEnd w:id="949"/>
    </w:p>
    <w:p w14:paraId="70F29F0E">
      <w:pPr>
        <w:spacing w:line="400" w:lineRule="exact"/>
        <w:ind w:firstLine="440" w:firstLineChars="200"/>
        <w:rPr>
          <w:rFonts w:hint="eastAsia" w:ascii="宋体" w:hAnsi="宋体" w:cs="宋体"/>
          <w:color w:val="auto"/>
        </w:rPr>
      </w:pPr>
      <w:r>
        <w:rPr>
          <w:rFonts w:hint="eastAsia" w:ascii="宋体" w:hAnsi="宋体" w:cs="宋体"/>
          <w:color w:val="auto"/>
        </w:rPr>
        <w:t>根据合同约定，承包人认为有权得到追加付款和（或）延长工期的，应按以下程序向发包人提出索赔：</w:t>
      </w:r>
    </w:p>
    <w:p w14:paraId="4C6ABCAC">
      <w:pPr>
        <w:numPr>
          <w:ilvl w:val="0"/>
          <w:numId w:val="30"/>
        </w:numPr>
        <w:spacing w:line="400" w:lineRule="exact"/>
        <w:ind w:left="0" w:firstLine="440" w:firstLineChars="200"/>
        <w:rPr>
          <w:rFonts w:hint="eastAsia" w:ascii="宋体" w:hAnsi="宋体" w:cs="宋体"/>
          <w:color w:val="auto"/>
        </w:rPr>
      </w:pPr>
      <w:r>
        <w:rPr>
          <w:rFonts w:hint="eastAsia" w:ascii="宋体" w:hAnsi="宋体" w:cs="宋体"/>
          <w:color w:val="auto"/>
        </w:rPr>
        <w:t>承包人应在知道或应当知道索赔事件发生后28天内，向监理人递交索赔意向通知书，并说明发生索赔事件的事由。承包人未在前述28天内发出索赔意向通知书的，丧失要求追加付款和（或）延长工期的权利；</w:t>
      </w:r>
    </w:p>
    <w:p w14:paraId="20E470D5">
      <w:pPr>
        <w:numPr>
          <w:ilvl w:val="0"/>
          <w:numId w:val="30"/>
        </w:numPr>
        <w:spacing w:line="400" w:lineRule="exact"/>
        <w:ind w:left="0" w:firstLine="440" w:firstLineChars="200"/>
        <w:rPr>
          <w:rFonts w:hint="eastAsia" w:ascii="宋体" w:hAnsi="宋体" w:cs="宋体"/>
          <w:color w:val="auto"/>
        </w:rPr>
      </w:pPr>
      <w:r>
        <w:rPr>
          <w:rFonts w:hint="eastAsia" w:ascii="宋体" w:hAnsi="宋体" w:cs="宋体"/>
          <w:color w:val="auto"/>
        </w:rPr>
        <w:t>承包人应在发出索赔意向通知书后28天内，向监理人正式递交索赔通知书。索赔通知书应详细说明索赔理由以及要求追加的付款金额和（或）延长的工期，并附必要的记录和证明材料；</w:t>
      </w:r>
    </w:p>
    <w:p w14:paraId="29BC2D9C">
      <w:pPr>
        <w:numPr>
          <w:ilvl w:val="0"/>
          <w:numId w:val="30"/>
        </w:numPr>
        <w:spacing w:line="400" w:lineRule="exact"/>
        <w:ind w:left="0" w:firstLine="440" w:firstLineChars="200"/>
        <w:rPr>
          <w:rFonts w:hint="eastAsia" w:ascii="宋体" w:hAnsi="宋体" w:cs="宋体"/>
          <w:color w:val="auto"/>
        </w:rPr>
      </w:pPr>
      <w:r>
        <w:rPr>
          <w:rFonts w:hint="eastAsia" w:ascii="宋体" w:hAnsi="宋体" w:cs="宋体"/>
          <w:color w:val="auto"/>
        </w:rPr>
        <w:t>索赔事件具有连续影响的，承包人应按合理时间间隔继续递交延续索赔通知，说明连续影响的实际情况和记录，列出累计的追加付款金额和（或）工期延长天数；</w:t>
      </w:r>
    </w:p>
    <w:p w14:paraId="4DCD0D87">
      <w:pPr>
        <w:numPr>
          <w:ilvl w:val="0"/>
          <w:numId w:val="30"/>
        </w:numPr>
        <w:spacing w:line="400" w:lineRule="exact"/>
        <w:ind w:left="0" w:firstLine="440" w:firstLineChars="200"/>
        <w:rPr>
          <w:rFonts w:hint="eastAsia" w:ascii="宋体" w:hAnsi="宋体" w:cs="宋体"/>
          <w:color w:val="auto"/>
        </w:rPr>
      </w:pPr>
      <w:r>
        <w:rPr>
          <w:rFonts w:hint="eastAsia" w:ascii="宋体" w:hAnsi="宋体" w:cs="宋体"/>
          <w:color w:val="auto"/>
        </w:rPr>
        <w:t>在索赔事件影响结束后的28天内，承包人应向监理人递交最终索赔通知书，说明最终要求索赔的追加付款金额和延长的工期，并附必要的记录和证明材料。</w:t>
      </w:r>
    </w:p>
    <w:p w14:paraId="6B5D61D6">
      <w:pPr>
        <w:numPr>
          <w:ilvl w:val="1"/>
          <w:numId w:val="4"/>
        </w:numPr>
        <w:spacing w:line="400" w:lineRule="exact"/>
        <w:ind w:left="0" w:firstLine="241" w:firstLineChars="100"/>
        <w:rPr>
          <w:rFonts w:hint="eastAsia" w:ascii="宋体" w:hAnsi="宋体" w:cs="宋体"/>
          <w:b/>
          <w:color w:val="auto"/>
          <w:sz w:val="24"/>
        </w:rPr>
      </w:pPr>
      <w:bookmarkStart w:id="950" w:name="_Toc144974729"/>
      <w:bookmarkStart w:id="951" w:name="_Toc179632777"/>
      <w:bookmarkStart w:id="952" w:name="_Toc152045759"/>
      <w:bookmarkStart w:id="953" w:name="_Toc152042538"/>
      <w:r>
        <w:rPr>
          <w:rFonts w:hint="eastAsia" w:ascii="宋体" w:hAnsi="宋体" w:cs="宋体"/>
          <w:b/>
          <w:color w:val="auto"/>
          <w:sz w:val="24"/>
        </w:rPr>
        <w:t>承包人索赔处理程序</w:t>
      </w:r>
      <w:bookmarkEnd w:id="950"/>
      <w:bookmarkEnd w:id="951"/>
      <w:bookmarkEnd w:id="952"/>
      <w:bookmarkEnd w:id="953"/>
    </w:p>
    <w:p w14:paraId="2706293A">
      <w:pPr>
        <w:numPr>
          <w:ilvl w:val="0"/>
          <w:numId w:val="31"/>
        </w:numPr>
        <w:spacing w:line="400" w:lineRule="exact"/>
        <w:ind w:left="0" w:firstLine="440" w:firstLineChars="200"/>
        <w:rPr>
          <w:rFonts w:hint="eastAsia" w:ascii="宋体" w:hAnsi="宋体" w:cs="宋体"/>
          <w:color w:val="auto"/>
        </w:rPr>
      </w:pPr>
      <w:r>
        <w:rPr>
          <w:rFonts w:hint="eastAsia" w:ascii="宋体" w:hAnsi="宋体" w:cs="宋体"/>
          <w:color w:val="auto"/>
        </w:rPr>
        <w:t>监理人收到承包人提交的索赔通知书后，应及时审查索赔通知书的内容、查验承包人的记录和证明材料，必要时监理人可要求承包人提交全部原始记录副本。</w:t>
      </w:r>
    </w:p>
    <w:p w14:paraId="0AECE026">
      <w:pPr>
        <w:numPr>
          <w:ilvl w:val="0"/>
          <w:numId w:val="31"/>
        </w:numPr>
        <w:spacing w:line="400" w:lineRule="exact"/>
        <w:ind w:left="0" w:firstLine="440" w:firstLineChars="200"/>
        <w:rPr>
          <w:rFonts w:hint="eastAsia" w:ascii="宋体" w:hAnsi="宋体" w:cs="宋体"/>
          <w:color w:val="auto"/>
        </w:rPr>
      </w:pPr>
      <w:r>
        <w:rPr>
          <w:rFonts w:hint="eastAsia" w:ascii="宋体" w:hAnsi="宋体" w:cs="宋体"/>
          <w:color w:val="auto"/>
        </w:rPr>
        <w:t>监理人应按第3.5款商定或确定追加的付款和（或）延长的工期，并在收到上述索赔通知书或有关索赔的进一步证明材料后的42天内，将索赔处理结果答复承包人。</w:t>
      </w:r>
    </w:p>
    <w:p w14:paraId="37B413F6">
      <w:pPr>
        <w:numPr>
          <w:ilvl w:val="0"/>
          <w:numId w:val="31"/>
        </w:numPr>
        <w:spacing w:line="400" w:lineRule="exact"/>
        <w:ind w:left="0" w:firstLine="440" w:firstLineChars="200"/>
        <w:rPr>
          <w:rFonts w:hint="eastAsia" w:ascii="宋体" w:hAnsi="宋体" w:cs="宋体"/>
          <w:color w:val="auto"/>
        </w:rPr>
      </w:pPr>
      <w:r>
        <w:rPr>
          <w:rFonts w:hint="eastAsia" w:ascii="宋体" w:hAnsi="宋体" w:cs="宋体"/>
          <w:color w:val="auto"/>
        </w:rPr>
        <w:t>承包人接受索赔处理结果的，发包人应在作出索赔处理结果答复后28天内完成赔付。承包人不接受索赔处理结果的，按第24条的约定办理。</w:t>
      </w:r>
    </w:p>
    <w:p w14:paraId="44762E50">
      <w:pPr>
        <w:numPr>
          <w:ilvl w:val="1"/>
          <w:numId w:val="4"/>
        </w:numPr>
        <w:spacing w:line="400" w:lineRule="exact"/>
        <w:ind w:left="0" w:firstLine="241" w:firstLineChars="100"/>
        <w:rPr>
          <w:rFonts w:hint="eastAsia" w:ascii="宋体" w:hAnsi="宋体" w:cs="宋体"/>
          <w:b/>
          <w:color w:val="auto"/>
          <w:sz w:val="24"/>
        </w:rPr>
      </w:pPr>
      <w:bookmarkStart w:id="954" w:name="_Toc152045760"/>
      <w:bookmarkStart w:id="955" w:name="_Toc144974730"/>
      <w:bookmarkStart w:id="956" w:name="_Toc152042539"/>
      <w:bookmarkStart w:id="957" w:name="_Toc179632778"/>
      <w:r>
        <w:rPr>
          <w:rFonts w:hint="eastAsia" w:ascii="宋体" w:hAnsi="宋体" w:cs="宋体"/>
          <w:b/>
          <w:color w:val="auto"/>
          <w:sz w:val="24"/>
        </w:rPr>
        <w:t>承包人提出索赔的期限</w:t>
      </w:r>
      <w:bookmarkEnd w:id="954"/>
      <w:bookmarkEnd w:id="955"/>
      <w:bookmarkEnd w:id="956"/>
      <w:bookmarkEnd w:id="957"/>
    </w:p>
    <w:p w14:paraId="0E1B4DE8">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承包人按第17.5款的约定接受了竣工付款证书后，应被认为已无权再提出在合同工程接收证书颁发前所发生的任何索赔。</w:t>
      </w:r>
    </w:p>
    <w:p w14:paraId="4642C2D4">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 xml:space="preserve">承包人按第17.6款的约定提交的最终结清申请单中，只限于提出工程接收证书颁发后发生的索赔。提出索赔的期限自接受最终结清证书时终止。 </w:t>
      </w:r>
    </w:p>
    <w:p w14:paraId="01B6BCDC">
      <w:pPr>
        <w:numPr>
          <w:ilvl w:val="1"/>
          <w:numId w:val="4"/>
        </w:numPr>
        <w:spacing w:line="400" w:lineRule="exact"/>
        <w:ind w:left="0" w:firstLine="241" w:firstLineChars="100"/>
        <w:rPr>
          <w:rFonts w:hint="eastAsia" w:ascii="宋体" w:hAnsi="宋体" w:cs="宋体"/>
          <w:b/>
          <w:color w:val="auto"/>
          <w:sz w:val="24"/>
        </w:rPr>
      </w:pPr>
      <w:bookmarkStart w:id="958" w:name="_Toc152042540"/>
      <w:bookmarkStart w:id="959" w:name="_Toc179632779"/>
      <w:bookmarkStart w:id="960" w:name="_Toc144974731"/>
      <w:bookmarkStart w:id="961" w:name="_Toc152045761"/>
      <w:r>
        <w:rPr>
          <w:rFonts w:hint="eastAsia" w:ascii="宋体" w:hAnsi="宋体" w:cs="宋体"/>
          <w:b/>
          <w:color w:val="auto"/>
          <w:sz w:val="24"/>
        </w:rPr>
        <w:t>发包人的索赔</w:t>
      </w:r>
      <w:bookmarkEnd w:id="958"/>
      <w:bookmarkEnd w:id="959"/>
      <w:bookmarkEnd w:id="960"/>
      <w:bookmarkEnd w:id="961"/>
    </w:p>
    <w:p w14:paraId="42E993A1">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4A5B78D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监理人按第3.5款商定或确定发包人从承包人处得到赔付的金额和（或）缺陷责任期的延长期。承包人应付给发包人的金额可从拟支付给承包人的合同价款中扣除，或由承包人以其他方式支付给发包人。</w:t>
      </w:r>
      <w:bookmarkStart w:id="962" w:name="_Toc179632780"/>
      <w:bookmarkStart w:id="963" w:name="_Toc152042541"/>
      <w:bookmarkStart w:id="964" w:name="_Toc144974732"/>
      <w:bookmarkStart w:id="965" w:name="_Toc152045762"/>
    </w:p>
    <w:p w14:paraId="3872B2AB">
      <w:pPr>
        <w:pStyle w:val="75"/>
        <w:numPr>
          <w:ilvl w:val="0"/>
          <w:numId w:val="4"/>
        </w:numPr>
        <w:spacing w:before="0"/>
        <w:ind w:left="0" w:firstLine="0"/>
        <w:outlineLvl w:val="9"/>
        <w:rPr>
          <w:rFonts w:hint="eastAsia" w:ascii="宋体" w:hAnsi="宋体" w:eastAsia="宋体"/>
          <w:b/>
          <w:bCs/>
          <w:color w:val="auto"/>
          <w:sz w:val="24"/>
          <w:szCs w:val="24"/>
        </w:rPr>
      </w:pPr>
      <w:bookmarkStart w:id="966" w:name="_Toc24439"/>
      <w:bookmarkStart w:id="967" w:name="_Toc12012"/>
      <w:bookmarkStart w:id="968" w:name="_Toc58398580"/>
      <w:r>
        <w:rPr>
          <w:rFonts w:hint="eastAsia" w:ascii="宋体" w:hAnsi="宋体" w:eastAsia="宋体"/>
          <w:b/>
          <w:bCs/>
          <w:color w:val="auto"/>
          <w:sz w:val="24"/>
          <w:szCs w:val="24"/>
        </w:rPr>
        <w:t>争议的解决</w:t>
      </w:r>
      <w:bookmarkEnd w:id="962"/>
      <w:bookmarkEnd w:id="963"/>
      <w:bookmarkEnd w:id="964"/>
      <w:bookmarkEnd w:id="965"/>
      <w:bookmarkEnd w:id="966"/>
      <w:bookmarkEnd w:id="967"/>
      <w:bookmarkEnd w:id="968"/>
    </w:p>
    <w:p w14:paraId="4A7A88B0">
      <w:pPr>
        <w:numPr>
          <w:ilvl w:val="1"/>
          <w:numId w:val="4"/>
        </w:numPr>
        <w:spacing w:line="400" w:lineRule="exact"/>
        <w:ind w:left="0" w:firstLine="241" w:firstLineChars="100"/>
        <w:rPr>
          <w:rFonts w:hint="eastAsia" w:ascii="宋体" w:hAnsi="宋体" w:cs="宋体"/>
          <w:b/>
          <w:color w:val="auto"/>
          <w:sz w:val="24"/>
        </w:rPr>
      </w:pPr>
      <w:bookmarkStart w:id="969" w:name="_Toc152045763"/>
      <w:bookmarkStart w:id="970" w:name="_Toc179632781"/>
      <w:bookmarkStart w:id="971" w:name="_Toc152042542"/>
      <w:bookmarkStart w:id="972" w:name="_Toc144974733"/>
      <w:r>
        <w:rPr>
          <w:rFonts w:hint="eastAsia" w:ascii="宋体" w:hAnsi="宋体" w:cs="宋体"/>
          <w:b/>
          <w:color w:val="auto"/>
          <w:sz w:val="24"/>
        </w:rPr>
        <w:t>争议的解决方式</w:t>
      </w:r>
      <w:bookmarkEnd w:id="969"/>
      <w:bookmarkEnd w:id="970"/>
      <w:bookmarkEnd w:id="971"/>
      <w:bookmarkEnd w:id="972"/>
    </w:p>
    <w:p w14:paraId="7A6FF681">
      <w:pPr>
        <w:spacing w:line="400" w:lineRule="exact"/>
        <w:ind w:firstLine="440" w:firstLineChars="200"/>
        <w:rPr>
          <w:rFonts w:hint="eastAsia" w:ascii="宋体" w:hAnsi="宋体" w:cs="宋体"/>
          <w:color w:val="auto"/>
        </w:rPr>
      </w:pPr>
      <w:r>
        <w:rPr>
          <w:rFonts w:hint="eastAsia" w:ascii="宋体" w:hAnsi="宋体" w:cs="宋体"/>
          <w:color w:val="auto"/>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20B8D3AC">
      <w:pPr>
        <w:numPr>
          <w:ilvl w:val="0"/>
          <w:numId w:val="32"/>
        </w:numPr>
        <w:spacing w:line="400" w:lineRule="exact"/>
        <w:ind w:left="0" w:firstLine="440" w:firstLineChars="200"/>
        <w:rPr>
          <w:rFonts w:hint="eastAsia" w:ascii="宋体" w:hAnsi="宋体" w:cs="宋体"/>
          <w:color w:val="auto"/>
        </w:rPr>
      </w:pPr>
      <w:r>
        <w:rPr>
          <w:rFonts w:hint="eastAsia" w:ascii="宋体" w:hAnsi="宋体" w:cs="宋体"/>
          <w:color w:val="auto"/>
        </w:rPr>
        <w:t>向约定的仲裁委员会申请仲裁；</w:t>
      </w:r>
    </w:p>
    <w:p w14:paraId="10A4E2EB">
      <w:pPr>
        <w:numPr>
          <w:ilvl w:val="0"/>
          <w:numId w:val="32"/>
        </w:numPr>
        <w:spacing w:line="400" w:lineRule="exact"/>
        <w:ind w:left="0" w:firstLine="440" w:firstLineChars="200"/>
        <w:rPr>
          <w:rFonts w:hint="eastAsia" w:ascii="宋体" w:hAnsi="宋体" w:cs="宋体"/>
          <w:color w:val="auto"/>
        </w:rPr>
      </w:pPr>
      <w:r>
        <w:rPr>
          <w:rFonts w:hint="eastAsia" w:ascii="宋体" w:hAnsi="宋体" w:cs="宋体"/>
          <w:color w:val="auto"/>
        </w:rPr>
        <w:t>向有管辖权的人民法院提起诉讼。</w:t>
      </w:r>
    </w:p>
    <w:p w14:paraId="6F6ACB40">
      <w:pPr>
        <w:numPr>
          <w:ilvl w:val="1"/>
          <w:numId w:val="4"/>
        </w:numPr>
        <w:spacing w:line="400" w:lineRule="exact"/>
        <w:ind w:left="0" w:firstLine="241" w:firstLineChars="100"/>
        <w:rPr>
          <w:rFonts w:hint="eastAsia" w:ascii="宋体" w:hAnsi="宋体" w:cs="宋体"/>
          <w:b/>
          <w:color w:val="auto"/>
          <w:sz w:val="24"/>
        </w:rPr>
      </w:pPr>
      <w:bookmarkStart w:id="973" w:name="_Toc152045764"/>
      <w:bookmarkStart w:id="974" w:name="_Toc152042543"/>
      <w:bookmarkStart w:id="975" w:name="_Toc144974734"/>
      <w:bookmarkStart w:id="976" w:name="_Toc179632782"/>
      <w:r>
        <w:rPr>
          <w:rFonts w:hint="eastAsia" w:ascii="宋体" w:hAnsi="宋体" w:cs="宋体"/>
          <w:b/>
          <w:color w:val="auto"/>
          <w:sz w:val="24"/>
        </w:rPr>
        <w:t>友好解决</w:t>
      </w:r>
      <w:bookmarkEnd w:id="973"/>
      <w:bookmarkEnd w:id="974"/>
      <w:bookmarkEnd w:id="975"/>
      <w:bookmarkEnd w:id="976"/>
    </w:p>
    <w:p w14:paraId="2A857A88">
      <w:pPr>
        <w:spacing w:line="400" w:lineRule="exact"/>
        <w:ind w:firstLine="440" w:firstLineChars="200"/>
        <w:rPr>
          <w:rFonts w:hint="eastAsia" w:ascii="宋体" w:hAnsi="宋体" w:cs="宋体"/>
          <w:color w:val="auto"/>
        </w:rPr>
      </w:pPr>
      <w:r>
        <w:rPr>
          <w:rFonts w:hint="eastAsia" w:ascii="宋体" w:hAnsi="宋体" w:cs="宋体"/>
          <w:color w:val="auto"/>
        </w:rPr>
        <w:t>在提请争议评审、仲裁或者诉讼前，以及在争议评审、仲裁或诉讼过程中，发包人和承包人均可共同努力友好协商解决争议。</w:t>
      </w:r>
    </w:p>
    <w:p w14:paraId="3349ABF4">
      <w:pPr>
        <w:numPr>
          <w:ilvl w:val="1"/>
          <w:numId w:val="4"/>
        </w:numPr>
        <w:spacing w:line="400" w:lineRule="exact"/>
        <w:ind w:left="0" w:firstLine="241" w:firstLineChars="100"/>
        <w:rPr>
          <w:rFonts w:hint="eastAsia" w:ascii="宋体" w:hAnsi="宋体" w:cs="宋体"/>
          <w:b/>
          <w:color w:val="auto"/>
          <w:sz w:val="24"/>
        </w:rPr>
      </w:pPr>
      <w:bookmarkStart w:id="977" w:name="_Toc179632783"/>
      <w:bookmarkStart w:id="978" w:name="_Toc152042544"/>
      <w:bookmarkStart w:id="979" w:name="_Toc152045765"/>
      <w:bookmarkStart w:id="980" w:name="_Toc144974735"/>
      <w:r>
        <w:rPr>
          <w:rFonts w:hint="eastAsia" w:ascii="宋体" w:hAnsi="宋体" w:cs="宋体"/>
          <w:b/>
          <w:color w:val="auto"/>
          <w:sz w:val="24"/>
        </w:rPr>
        <w:t>争议评审</w:t>
      </w:r>
      <w:bookmarkEnd w:id="977"/>
      <w:bookmarkEnd w:id="978"/>
      <w:bookmarkEnd w:id="979"/>
      <w:bookmarkEnd w:id="980"/>
    </w:p>
    <w:p w14:paraId="42EF4003">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采用争议评审的，发包人和承包人应在开工日后的28天内或在争议发生后，协商成立争议评审组。争议评审组由有合同管理和工程实践经验的专家组成。</w:t>
      </w:r>
    </w:p>
    <w:p w14:paraId="2B2E1206">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合同双方的争议，应首先由申请人向争议评审组提交一份详细的评审申请报告，并附必要的文件、图纸和证明材料，申请人还应将上述报告的副本同时提交给被申请人和监理人。</w:t>
      </w:r>
    </w:p>
    <w:p w14:paraId="0142D942">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被申请人在收到申请人评审申请报告副本后的28天内，向争议评审组提交一份答辩报告，并附证明材料。被申请人应将答辩报告的副本同时提交给申请人和监理人。</w:t>
      </w:r>
    </w:p>
    <w:p w14:paraId="478DE70B">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除专用合同条款另有约定外，争议评审组在收到合同双方报告后的14天内，邀请双方代表和有关人员举行调查会，向双方调查争议细节；必要时争议评审组可要求双方进一步提供补充材料。</w:t>
      </w:r>
    </w:p>
    <w:p w14:paraId="6FA412B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除专用合同条款另有约定外，在调查会结束后的14天内，争议评审组应在不受任何干扰的情况下进行独立、公正的评审，作出书面评审意见，并说明理由。在争议评审期间，争议双方暂按总监理工程师的确定执行。</w:t>
      </w:r>
    </w:p>
    <w:p w14:paraId="1819134A">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发包人和承包人接受评审意见的，由监理人根据评审意见拟定执行协议，经争议双方签字后作为合同的补充文件，并遵照执行。</w:t>
      </w:r>
    </w:p>
    <w:p w14:paraId="090E6CB9">
      <w:pPr>
        <w:numPr>
          <w:ilvl w:val="2"/>
          <w:numId w:val="4"/>
        </w:numPr>
        <w:spacing w:line="400" w:lineRule="exact"/>
        <w:ind w:left="0" w:firstLine="440" w:firstLineChars="200"/>
        <w:rPr>
          <w:rFonts w:hint="eastAsia" w:ascii="宋体" w:hAnsi="宋体" w:cs="宋体"/>
          <w:color w:val="auto"/>
        </w:rPr>
      </w:pPr>
      <w:r>
        <w:rPr>
          <w:rFonts w:hint="eastAsia" w:ascii="宋体" w:hAnsi="宋体" w:cs="宋体"/>
          <w:color w:val="auto"/>
        </w:rPr>
        <w:t>发包人或承包人不接受评审意见，并要求提交仲裁或提起诉讼的，应在收到评审意见后的14天内将仲裁或起诉意向书面通知另一方，并抄送监理人，但在仲裁或诉讼结束前应暂按总监理工程师的确定执行。</w:t>
      </w:r>
    </w:p>
    <w:p w14:paraId="5DF71E58">
      <w:pPr>
        <w:spacing w:line="360" w:lineRule="auto"/>
        <w:ind w:firstLine="648" w:firstLineChars="270"/>
        <w:rPr>
          <w:rFonts w:ascii="宋体" w:cs="宋体"/>
          <w:color w:val="auto"/>
          <w:sz w:val="24"/>
          <w:szCs w:val="22"/>
        </w:rPr>
      </w:pPr>
    </w:p>
    <w:p w14:paraId="56C0A003">
      <w:pPr>
        <w:pStyle w:val="76"/>
        <w:spacing w:line="360" w:lineRule="auto"/>
        <w:ind w:firstLine="0"/>
        <w:rPr>
          <w:rFonts w:ascii="宋体"/>
          <w:b/>
          <w:color w:val="auto"/>
          <w:sz w:val="36"/>
          <w:szCs w:val="36"/>
        </w:rPr>
      </w:pPr>
      <w:bookmarkStart w:id="981" w:name="_Toc247085850"/>
      <w:bookmarkStart w:id="982" w:name="_Toc246997078"/>
      <w:bookmarkStart w:id="983" w:name="_Toc246996335"/>
      <w:bookmarkStart w:id="984" w:name="_Toc369180982"/>
    </w:p>
    <w:p w14:paraId="4DE9C099">
      <w:pPr>
        <w:pStyle w:val="76"/>
        <w:spacing w:line="360" w:lineRule="auto"/>
        <w:ind w:firstLine="0"/>
        <w:rPr>
          <w:rFonts w:ascii="宋体"/>
          <w:b/>
          <w:color w:val="auto"/>
          <w:sz w:val="36"/>
          <w:szCs w:val="36"/>
        </w:rPr>
      </w:pPr>
    </w:p>
    <w:p w14:paraId="7EAB4249">
      <w:pPr>
        <w:pStyle w:val="76"/>
        <w:spacing w:line="360" w:lineRule="auto"/>
        <w:ind w:firstLine="0"/>
        <w:rPr>
          <w:rFonts w:ascii="宋体"/>
          <w:b/>
          <w:color w:val="auto"/>
          <w:sz w:val="36"/>
          <w:szCs w:val="36"/>
        </w:rPr>
      </w:pPr>
    </w:p>
    <w:p w14:paraId="23B622B3">
      <w:pPr>
        <w:keepNext/>
        <w:keepLines/>
        <w:spacing w:before="260" w:after="260" w:line="360" w:lineRule="auto"/>
        <w:jc w:val="center"/>
        <w:outlineLvl w:val="1"/>
        <w:rPr>
          <w:rFonts w:ascii="Cambria" w:hAnsi="Cambria" w:cs="宋体"/>
          <w:b/>
          <w:bCs/>
          <w:color w:val="auto"/>
          <w:kern w:val="0"/>
          <w:sz w:val="32"/>
          <w:szCs w:val="32"/>
        </w:rPr>
      </w:pPr>
      <w:bookmarkStart w:id="985" w:name="_Toc28931"/>
      <w:bookmarkStart w:id="986" w:name="_Toc10562"/>
      <w:bookmarkStart w:id="987" w:name="_Toc98586612"/>
      <w:r>
        <w:rPr>
          <w:rFonts w:hint="eastAsia" w:ascii="Cambria" w:hAnsi="Cambria" w:cs="宋体"/>
          <w:b/>
          <w:bCs/>
          <w:color w:val="auto"/>
          <w:kern w:val="0"/>
          <w:sz w:val="32"/>
          <w:szCs w:val="32"/>
        </w:rPr>
        <w:t>第二节</w:t>
      </w:r>
      <w:r>
        <w:rPr>
          <w:rFonts w:ascii="Cambria" w:hAnsi="Cambria" w:cs="宋体"/>
          <w:b/>
          <w:bCs/>
          <w:color w:val="auto"/>
          <w:kern w:val="0"/>
          <w:sz w:val="32"/>
          <w:szCs w:val="32"/>
        </w:rPr>
        <w:t xml:space="preserve"> </w:t>
      </w:r>
      <w:r>
        <w:rPr>
          <w:rFonts w:hint="eastAsia" w:ascii="Cambria" w:hAnsi="Cambria" w:cs="宋体"/>
          <w:b/>
          <w:bCs/>
          <w:color w:val="auto"/>
          <w:kern w:val="0"/>
          <w:sz w:val="32"/>
          <w:szCs w:val="32"/>
        </w:rPr>
        <w:t>专用合同条款</w:t>
      </w:r>
      <w:bookmarkEnd w:id="981"/>
      <w:bookmarkEnd w:id="982"/>
      <w:bookmarkEnd w:id="983"/>
      <w:bookmarkEnd w:id="984"/>
      <w:bookmarkEnd w:id="985"/>
      <w:bookmarkEnd w:id="986"/>
      <w:bookmarkEnd w:id="987"/>
      <w:bookmarkStart w:id="988" w:name="_Toc152045767"/>
      <w:bookmarkStart w:id="989" w:name="_Toc144974826"/>
      <w:bookmarkStart w:id="990" w:name="_Toc179632785"/>
      <w:bookmarkStart w:id="991" w:name="_Toc152042546"/>
    </w:p>
    <w:bookmarkEnd w:id="988"/>
    <w:bookmarkEnd w:id="989"/>
    <w:bookmarkEnd w:id="990"/>
    <w:bookmarkEnd w:id="991"/>
    <w:p w14:paraId="1CEE48E3">
      <w:pPr>
        <w:keepNext/>
        <w:keepLines/>
        <w:spacing w:before="260" w:after="260" w:line="360" w:lineRule="auto"/>
        <w:jc w:val="center"/>
        <w:outlineLvl w:val="1"/>
        <w:rPr>
          <w:b/>
          <w:color w:val="auto"/>
          <w:sz w:val="32"/>
          <w:szCs w:val="32"/>
        </w:rPr>
      </w:pPr>
      <w:bookmarkStart w:id="992" w:name="_Toc145679956"/>
      <w:bookmarkStart w:id="993" w:name="_Toc12343"/>
      <w:bookmarkStart w:id="994" w:name="_Toc25735"/>
      <w:bookmarkStart w:id="995" w:name="_Toc250359156"/>
      <w:bookmarkStart w:id="996" w:name="_Toc304304141"/>
      <w:r>
        <w:rPr>
          <w:b/>
          <w:color w:val="auto"/>
          <w:sz w:val="32"/>
          <w:szCs w:val="32"/>
        </w:rPr>
        <w:t xml:space="preserve">A </w:t>
      </w:r>
      <w:r>
        <w:rPr>
          <w:rFonts w:hint="eastAsia"/>
          <w:b/>
          <w:color w:val="auto"/>
          <w:sz w:val="32"/>
          <w:szCs w:val="32"/>
        </w:rPr>
        <w:t>公路工程专用合同条款</w:t>
      </w:r>
      <w:bookmarkEnd w:id="992"/>
      <w:bookmarkEnd w:id="993"/>
      <w:bookmarkEnd w:id="994"/>
    </w:p>
    <w:p w14:paraId="5DF8FF8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1.一般约定</w:t>
      </w:r>
    </w:p>
    <w:p w14:paraId="5CA8432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1.1词语定义</w:t>
      </w:r>
    </w:p>
    <w:p w14:paraId="197B6CD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1.1.1合同</w:t>
      </w:r>
    </w:p>
    <w:p w14:paraId="6A4C4BC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第1.1.1.6目细化为：</w:t>
      </w:r>
    </w:p>
    <w:p w14:paraId="3DE258C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技术规范：指本合同所约定的技术标准和要求，是合同文件的组成部分。通用合同条款中“技术标准和要求”一词具有相同含义。 </w:t>
      </w:r>
    </w:p>
    <w:p w14:paraId="2177ED2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第1.1.1.8目细化为：</w:t>
      </w:r>
    </w:p>
    <w:p w14:paraId="582B3D2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已标价工程量清单：指构成合同文件组成部分的已标明价格、经算术性错误修正及其他错误修正(如有)且承包人已确认的最终的工程量清单，包括工程量清单说明、投标报价说明、计日工说明、其他说明及</w:t>
      </w:r>
      <w:r>
        <w:rPr>
          <w:rFonts w:hint="eastAsia" w:ascii="宋体" w:hAnsi="宋体" w:eastAsia="宋体" w:cs="宋体"/>
          <w:color w:val="auto"/>
          <w:sz w:val="21"/>
          <w:szCs w:val="21"/>
          <w:lang w:val="en-US" w:eastAsia="zh-CN"/>
        </w:rPr>
        <w:t>工程量</w:t>
      </w:r>
      <w:r>
        <w:rPr>
          <w:rFonts w:hint="eastAsia" w:ascii="宋体" w:hAnsi="宋体" w:eastAsia="宋体" w:cs="宋体"/>
          <w:color w:val="auto"/>
          <w:sz w:val="21"/>
          <w:szCs w:val="21"/>
        </w:rPr>
        <w:t>清单各项表格(工程清清单表5.1~表5.5)。</w:t>
      </w:r>
    </w:p>
    <w:p w14:paraId="2374C7A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本项补充第1.1. l.10目：</w:t>
      </w:r>
    </w:p>
    <w:p w14:paraId="7A5E3BF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l.1.1.10补遗书：指发出招标文件之后由招标人向已取得招标文件的投标人发出的、编号的对招标文件所作的澄清、修改书。</w:t>
      </w:r>
    </w:p>
    <w:p w14:paraId="3FAD32A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1.1.2合同当事人和人员</w:t>
      </w:r>
    </w:p>
    <w:p w14:paraId="15CCAB1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本项补充第1.1.2.8目：</w:t>
      </w:r>
    </w:p>
    <w:p w14:paraId="02F4F1C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l..1.2.8承包人项目总工：指由承包人书面委派常驻现场负责管理本合同工程的总工程师或技术总负责人。</w:t>
      </w:r>
    </w:p>
    <w:p w14:paraId="7DBD3D1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l..1.3工程和设备</w:t>
      </w:r>
    </w:p>
    <w:p w14:paraId="5490193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第1.1.3.4目细化为：</w:t>
      </w:r>
    </w:p>
    <w:p w14:paraId="27DCAAD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单位工程：指在建设项目中，根据签订的合同，具有独立施工条件的工程。</w:t>
      </w:r>
    </w:p>
    <w:p w14:paraId="4274C1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第1.1.3.10目细化为：</w:t>
      </w:r>
    </w:p>
    <w:p w14:paraId="492D067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永久占地：指为实施本合同工程而需要的一切永久占用的土地，包括公路两侧路权范围内的用地。</w:t>
      </w:r>
    </w:p>
    <w:p w14:paraId="6E5F699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第1.1.3.1 l目细化为：</w:t>
      </w:r>
    </w:p>
    <w:p w14:paraId="2B76852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临时占地：指为实施合同工程而需要的一切临时占用的土地，包括施工所用的临时支线、便道、便桥和现场的临时出入通道，以及生产(办公)、生活等临时设施用地等。</w:t>
      </w:r>
    </w:p>
    <w:p w14:paraId="5BC6B8C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本项补充第1.1.3.12目、第1.1.3.13目：</w:t>
      </w:r>
    </w:p>
    <w:p w14:paraId="32D5446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1.1.3.12分部工程：指在单位工程中，按结构部位、路段长度及施工特点或施工任务划分的若干个工程。</w:t>
      </w:r>
    </w:p>
    <w:p w14:paraId="7AC446C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l.1.3.13分项工程：指在分部工程中，按不同的施工方法、材料、</w:t>
      </w:r>
      <w:r>
        <w:rPr>
          <w:rFonts w:hint="eastAsia" w:ascii="宋体" w:hAnsi="宋体" w:eastAsia="宋体" w:cs="宋体"/>
          <w:color w:val="auto"/>
          <w:sz w:val="21"/>
          <w:szCs w:val="21"/>
          <w:lang w:eastAsia="zh-CN"/>
        </w:rPr>
        <w:t>工时</w:t>
      </w:r>
      <w:r>
        <w:rPr>
          <w:rFonts w:hint="eastAsia" w:ascii="宋体" w:hAnsi="宋体" w:eastAsia="宋体" w:cs="宋体"/>
          <w:color w:val="auto"/>
          <w:sz w:val="21"/>
          <w:szCs w:val="21"/>
        </w:rPr>
        <w:t>及路段长度等划分的若干个工程。</w:t>
      </w:r>
    </w:p>
    <w:p w14:paraId="3F237D3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1.1.6其他</w:t>
      </w:r>
    </w:p>
    <w:p w14:paraId="2D4ADFD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本项补充第1.1.6.2目~第1.1.6.8目：</w:t>
      </w:r>
      <w:r>
        <w:rPr>
          <w:rFonts w:hint="eastAsia" w:ascii="宋体" w:hAnsi="宋体" w:eastAsia="宋体" w:cs="宋体"/>
          <w:b/>
          <w:color w:val="auto"/>
          <w:sz w:val="21"/>
          <w:szCs w:val="21"/>
        </w:rPr>
        <w:t xml:space="preserve"> </w:t>
      </w:r>
    </w:p>
    <w:p w14:paraId="6EC61348">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l.l.6.2竣工验收：指《公路工程竣(交)工验收办法》中的竣工验收。通用合同条款中“国家验收”一词具有相同含义。</w:t>
      </w:r>
    </w:p>
    <w:p w14:paraId="7694C5C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l.l.6.3交工：指《公路工程竣(交)工验收办法》中的交工。通用合同条款中“竣工”一词具有相同含义。</w:t>
      </w:r>
    </w:p>
    <w:p w14:paraId="49D40122">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l.1.6.3交工验收：指《公路工程竣(交)工验收办法》中的交工验收。通用合同条款中“竣工验收” 一词具有相同含义。</w:t>
      </w:r>
    </w:p>
    <w:p w14:paraId="48B5698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l.l.6.4交工验收证书：指《公路工程竣(交)工验收办法》中的交工验收证书。通用合同条款中“工程接收证书”一词具有相同含义。</w:t>
      </w:r>
    </w:p>
    <w:p w14:paraId="5C7E3D3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l.1.6.5转包：指承包人违反法律和不</w:t>
      </w:r>
      <w:r>
        <w:rPr>
          <w:rFonts w:hint="eastAsia" w:ascii="宋体" w:hAnsi="宋体" w:eastAsia="宋体" w:cs="宋体"/>
          <w:color w:val="auto"/>
          <w:sz w:val="21"/>
          <w:szCs w:val="21"/>
          <w:lang w:val="en-US" w:eastAsia="zh-CN"/>
        </w:rPr>
        <w:t>履行</w:t>
      </w:r>
      <w:r>
        <w:rPr>
          <w:rFonts w:hint="eastAsia" w:ascii="宋体" w:hAnsi="宋体" w:eastAsia="宋体" w:cs="宋体"/>
          <w:color w:val="auto"/>
          <w:sz w:val="21"/>
          <w:szCs w:val="21"/>
        </w:rPr>
        <w:t>合同规定的责任和义务，将中标工程全部委托或以专业分包的名义将中标工程肢解后全部委托给其他施工企业施工的行为。</w:t>
      </w:r>
    </w:p>
    <w:p w14:paraId="782C258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1.6.6专业分包：指承包人与具有相应资质的施工企业签订专业分包合同，由分包人承担承包人委托的分部工程、分项工程或适合专业化队伍施工的其他工程，整体结算，并能独立控制工程质量、施工进度、材料采购、生产安全的施工行为。</w:t>
      </w:r>
    </w:p>
    <w:p w14:paraId="71FCD49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l.l.6.7劳务分包：指承包人与具有劳务分包资质的劳务企业签订劳务分包合同，由劳务企业提供劳务人员及机具，由承包人统一组织施工，统一控制工程质量、施工进度、材料采购、生产安全的施工行为。</w:t>
      </w:r>
    </w:p>
    <w:p w14:paraId="13A420E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l.1.6.8雇佣民工：指承包人与具有相应劳动能力的自然人签订劳动合同，由承包人统一组织管理，从事分项工程施工或配套工程施工的行为。</w:t>
      </w:r>
    </w:p>
    <w:p w14:paraId="76CDCF8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1.4合同文件的优先顺序</w:t>
      </w:r>
    </w:p>
    <w:p w14:paraId="299B1C3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本款约定为：</w:t>
      </w:r>
    </w:p>
    <w:p w14:paraId="354E417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组成合同的各项文件应互相解释，互为说明。除项目专用合同条款另有约定外，解释合同文件的优先顺序如下：</w:t>
      </w:r>
    </w:p>
    <w:p w14:paraId="5F58FB4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(1)合同协议书及各种合同附件(含评标期间和合同谈判过程中的澄清文件和补充资料)；</w:t>
      </w:r>
    </w:p>
    <w:p w14:paraId="7ED2D5F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(2)中标通知书；</w:t>
      </w:r>
    </w:p>
    <w:p w14:paraId="4B504E29">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(3)投标函及投标函附录；</w:t>
      </w:r>
    </w:p>
    <w:p w14:paraId="1E6BFEE0">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(4)项目专用合同条款：</w:t>
      </w:r>
    </w:p>
    <w:p w14:paraId="4C89A69D">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(5)公路工程专用合同条款：</w:t>
      </w:r>
    </w:p>
    <w:p w14:paraId="6992AE2D">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(6)通用合同条款；</w:t>
      </w:r>
    </w:p>
    <w:p w14:paraId="2098118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(7)技术规范；</w:t>
      </w:r>
    </w:p>
    <w:p w14:paraId="4D4B554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(8)图纸：</w:t>
      </w:r>
    </w:p>
    <w:p w14:paraId="6F9F798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(9)已标价工程量清单；</w:t>
      </w:r>
    </w:p>
    <w:p w14:paraId="5BEC0CE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(10)承包人有关人员、设备投入的承诺及投标文件中的施工组织设计； </w:t>
      </w:r>
    </w:p>
    <w:p w14:paraId="35A0E8E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 xml:space="preserve">(11)其他合同文件。    </w:t>
      </w:r>
    </w:p>
    <w:p w14:paraId="4CEE91F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1.5合同协议书</w:t>
      </w:r>
    </w:p>
    <w:p w14:paraId="264E54C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303DFA0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制备本合同文件的费用由发包人承担。在合同协议书签订并生效之前，投标函和中标通知书将对双方</w:t>
      </w:r>
      <w:r>
        <w:rPr>
          <w:rFonts w:hint="eastAsia" w:ascii="宋体" w:hAnsi="宋体" w:eastAsia="宋体" w:cs="宋体"/>
          <w:color w:val="auto"/>
          <w:sz w:val="21"/>
          <w:szCs w:val="21"/>
          <w:lang w:val="en-US" w:eastAsia="zh-CN"/>
        </w:rPr>
        <w:t>具有</w:t>
      </w:r>
      <w:r>
        <w:rPr>
          <w:rFonts w:hint="eastAsia" w:ascii="宋体" w:hAnsi="宋体" w:eastAsia="宋体" w:cs="宋体"/>
          <w:color w:val="auto"/>
          <w:sz w:val="21"/>
          <w:szCs w:val="21"/>
        </w:rPr>
        <w:t>约束力。</w:t>
      </w:r>
    </w:p>
    <w:p w14:paraId="0B3BF40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I.6图纸和承包人文件</w:t>
      </w:r>
    </w:p>
    <w:p w14:paraId="4AF4F016">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1.6.1图纸的提供</w:t>
      </w:r>
    </w:p>
    <w:p w14:paraId="7BC5B24A">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本项细化为：</w:t>
      </w:r>
    </w:p>
    <w:p w14:paraId="3D5C50E8">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 xml:space="preserve">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 </w:t>
      </w:r>
    </w:p>
    <w:p w14:paraId="3899ACA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1.6.2承包人提供的文件</w:t>
      </w:r>
    </w:p>
    <w:p w14:paraId="46E239D0">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本项细化为：</w:t>
      </w:r>
    </w:p>
    <w:p w14:paraId="5CFDF5EA">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有下列情形之一的，承包人应免费向监理人提交相关部分工程的施工图纸3份．并附必要的计算书、技术资料，或施工工艺图、设备安装图及安装设备的使用和维护手册各2份供监理人批准。</w:t>
      </w:r>
    </w:p>
    <w:p w14:paraId="5BC94CB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(1)为使第1.6.1项所述的施工图纸适合于经施工测量后的纵、横断面；</w:t>
      </w:r>
    </w:p>
    <w:p w14:paraId="6E05242C">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(2)为使第1.6.1项所述的施工图纸适合于现场具体地形；</w:t>
      </w:r>
    </w:p>
    <w:p w14:paraId="56C33F53">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(3)为使第1.6.1项所述的施工图纸适合于因尺寸与位置变化而引起局部变更；</w:t>
      </w:r>
    </w:p>
    <w:p w14:paraId="137DD8BC">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(4)由于合同要求与施工需要。</w:t>
      </w:r>
    </w:p>
    <w:p w14:paraId="3A4117AA">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此类图纸应按监理人规定的格式和图幅绘制。监理人在收到由承包人绘制的上述工程、工艺图纸、计算书和有关技术资料后14天内应予批准或提出修改要求，承包人应按监理人提出的要求做出修改，重新向监理人提交，监理人应在7天内批准或提出进一步的修改意见。</w:t>
      </w:r>
    </w:p>
    <w:p w14:paraId="4CECEC2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1.6.4圈纸的错误</w:t>
      </w:r>
    </w:p>
    <w:p w14:paraId="1B7FCB4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本项细化为： </w:t>
      </w:r>
    </w:p>
    <w:p w14:paraId="0BF3504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当承包人在查阅合同文件或在本合同工程实施过程中，发现有关的工程设计、技术规范、图纸或其他资料中的任何差错、遗漏或缺陷后，应及时通知监理人。监理人接到该通知后，应立即就此</w:t>
      </w:r>
      <w:r>
        <w:rPr>
          <w:rFonts w:hint="eastAsia" w:ascii="宋体" w:hAnsi="宋体" w:eastAsia="宋体" w:cs="宋体"/>
          <w:color w:val="auto"/>
          <w:sz w:val="21"/>
          <w:szCs w:val="21"/>
          <w:lang w:val="en-US" w:eastAsia="zh-CN"/>
        </w:rPr>
        <w:t>作出</w:t>
      </w:r>
      <w:r>
        <w:rPr>
          <w:rFonts w:hint="eastAsia" w:ascii="宋体" w:hAnsi="宋体" w:eastAsia="宋体" w:cs="宋体"/>
          <w:color w:val="auto"/>
          <w:sz w:val="21"/>
          <w:szCs w:val="21"/>
        </w:rPr>
        <w:t>决定，并通知承包人和发包人。</w:t>
      </w:r>
    </w:p>
    <w:p w14:paraId="0298308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 xml:space="preserve">l.9严禁贿赂  </w:t>
      </w:r>
      <w:r>
        <w:rPr>
          <w:rFonts w:hint="eastAsia" w:ascii="宋体" w:hAnsi="宋体" w:eastAsia="宋体" w:cs="宋体"/>
          <w:b/>
          <w:color w:val="auto"/>
          <w:sz w:val="21"/>
          <w:szCs w:val="21"/>
        </w:rPr>
        <w:t xml:space="preserve">  </w:t>
      </w:r>
    </w:p>
    <w:p w14:paraId="6ABA4A5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300763C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在合同执行过程中，</w:t>
      </w:r>
      <w:r>
        <w:rPr>
          <w:rFonts w:hint="eastAsia" w:ascii="宋体" w:hAnsi="宋体" w:eastAsia="宋体" w:cs="宋体"/>
          <w:color w:val="auto"/>
          <w:sz w:val="21"/>
          <w:szCs w:val="21"/>
          <w:lang w:val="en-US" w:eastAsia="zh-CN"/>
        </w:rPr>
        <w:t>发包人</w:t>
      </w:r>
      <w:r>
        <w:rPr>
          <w:rFonts w:hint="eastAsia" w:ascii="宋体" w:hAnsi="宋体" w:eastAsia="宋体" w:cs="宋体"/>
          <w:color w:val="auto"/>
          <w:sz w:val="21"/>
          <w:szCs w:val="21"/>
        </w:rPr>
        <w:t>和承包人应严格履行《廉政合同》约定的双方在廉政建设方面的权利和义务以及应承担的违约赉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4D10F87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2.发包人义务</w:t>
      </w:r>
    </w:p>
    <w:p w14:paraId="5F1044E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2.3提供施工场地</w:t>
      </w:r>
    </w:p>
    <w:p w14:paraId="55F84CD0">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本款补充：</w:t>
      </w:r>
    </w:p>
    <w:p w14:paraId="2AE51468">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发包人负责办理永久占地的征用及与之有关的拆迁赔偿手续并承担相关费用。承包人在按第lO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1CC619D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5CAB8AD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3.监理人</w:t>
      </w:r>
    </w:p>
    <w:p w14:paraId="152BDCB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3.1监理人的职责和权力</w:t>
      </w:r>
    </w:p>
    <w:p w14:paraId="01476D1A">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第3.1.1项补充：</w:t>
      </w:r>
    </w:p>
    <w:p w14:paraId="214B0712">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监理人在行使下列权力前需要经发包人事先批准：</w:t>
      </w:r>
    </w:p>
    <w:p w14:paraId="63E908C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(1)根据第4.3款，同意分包本工程的某些非主体和非关键性工作；</w:t>
      </w:r>
    </w:p>
    <w:p w14:paraId="1E334C29">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(2)确定第4.1l款下产生的费用增加额；</w:t>
      </w:r>
    </w:p>
    <w:p w14:paraId="1B63C37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(3)根据第11.l款、第12.3款、第12.4款发布开工通知、暂停施工指示或复工通知；</w:t>
      </w:r>
    </w:p>
    <w:p w14:paraId="1549D2E9">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(4)决定第11.3款、第11.4款下的工期延长；</w:t>
      </w:r>
    </w:p>
    <w:p w14:paraId="1A9ED27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(5)审查批准技术规范或设计的变更；</w:t>
      </w:r>
    </w:p>
    <w:p w14:paraId="6398ED9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(6)根据第15·.款发出的变更指示，其单项工程变更或累计变更涉及的金额超过了项目专用合同条款数据表中规定的金额；</w:t>
      </w:r>
    </w:p>
    <w:p w14:paraId="10564E62">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(7)确定第15.4款下变更工作的单价；</w:t>
      </w:r>
    </w:p>
    <w:p w14:paraId="229E127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(8)按照第15.6款决定有关暂列金额的使用；</w:t>
      </w:r>
    </w:p>
    <w:p w14:paraId="3A5A016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(9)确定第15.8款项下的暂估价金额；</w:t>
      </w:r>
    </w:p>
    <w:p w14:paraId="26C74376">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(10)确定第23.1款项下的索赔额。</w:t>
      </w:r>
    </w:p>
    <w:p w14:paraId="3FE46152">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3.5款商定或确定。</w:t>
      </w:r>
    </w:p>
    <w:p w14:paraId="7F79BA2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3.5商定或确定</w:t>
      </w:r>
    </w:p>
    <w:p w14:paraId="1EC1EAE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第3.5.1项补充： </w:t>
      </w:r>
    </w:p>
    <w:p w14:paraId="1A8FE60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如果这项商定或确定导致费用增加和(或)工期延长，或者涉及确定变更工程的价格，则总监理工程师在发出通知前，应征得发包人的同意。</w:t>
      </w:r>
    </w:p>
    <w:p w14:paraId="0EC5317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4.承包人</w:t>
      </w:r>
    </w:p>
    <w:p w14:paraId="62E3C45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4.1承包人的一般义务</w:t>
      </w:r>
    </w:p>
    <w:p w14:paraId="6EE0E3A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4.1.9工程的维护和照管</w:t>
      </w:r>
    </w:p>
    <w:p w14:paraId="0BE7DAB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本项细化为：</w:t>
      </w:r>
    </w:p>
    <w:p w14:paraId="091A296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交工验收证书颁发前，承包人应负责照管和维护工程及将用于或安装在本工程中的材料、设备。交工验收证书颁发时尚有部分未交工程的，承包人还应负责该未交工工程、材料、设备的照管和维护工作，直至交工后移交给发包人为止。</w:t>
      </w:r>
    </w:p>
    <w:p w14:paraId="4B56D6F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在承包人负责照管与维护期间，如果本工程或材料、设备等发生损失或损害，除不可抗力原因之外，承包人均应自费弥补，并达到合同要求。承包人还应对按第19条规定而实施作业的过程中由承包人造成的对工程的任何损失或损害负责。</w:t>
      </w:r>
    </w:p>
    <w:p w14:paraId="0B59354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4.1.10其他义务</w:t>
      </w:r>
    </w:p>
    <w:p w14:paraId="5C2D303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本项细化为：</w:t>
      </w:r>
    </w:p>
    <w:p w14:paraId="22F54B9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(1)临时占地由承包人向当地政府土地管理部门申请，并办理租用手续，承包人按有关规定直接支付其费用，发包人对此将予以协调。</w:t>
      </w:r>
    </w:p>
    <w:p w14:paraId="531B27F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w:t>
      </w:r>
      <w:r>
        <w:rPr>
          <w:rFonts w:hint="eastAsia" w:ascii="宋体" w:hAnsi="宋体" w:eastAsia="宋体" w:cs="宋体"/>
          <w:color w:val="auto"/>
          <w:sz w:val="21"/>
          <w:szCs w:val="21"/>
          <w:lang w:val="en-US" w:eastAsia="zh-CN"/>
        </w:rPr>
        <w:t>地面</w:t>
      </w:r>
      <w:r>
        <w:rPr>
          <w:rFonts w:hint="eastAsia" w:ascii="宋体" w:hAnsi="宋体" w:eastAsia="宋体" w:cs="宋体"/>
          <w:color w:val="auto"/>
          <w:sz w:val="21"/>
          <w:szCs w:val="21"/>
        </w:rPr>
        <w:t>附着物(电力、电信、房屋、坟墓除外)的拆迁补偿等相关费用。除项目专用合同条款另有约定外，临时占地的租地费用实行总额包干。列入程量清单100章中由承包人按总额报价。</w:t>
      </w:r>
    </w:p>
    <w:p w14:paraId="2668F8E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临时占地退还前，承包人应自费恢复到临时占地使用前的状况。如因承包人撤离后来按要求对临时占地进行恢复或虽进行了恢复但未达到使用标准的，将由发包人委托第三方对其恢复，所发生的费用将从应付给承包人的任何款项内扣除。</w:t>
      </w:r>
    </w:p>
    <w:p w14:paraId="7B5F257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除项目专用合同条款另有约定外，承包人应承担并支付为获得本合同工程所需的石料、砂、砾石、黏±或其他当地材料等所发生的料场使用费及其他开支或补偿费。发包人应尽可能协助承包人办理料场租用手续及解决使用过程中的有关问题。</w:t>
      </w:r>
    </w:p>
    <w:p w14:paraId="395C391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承包人应严格遵守国家有关解决拖欠工程款和民工工资的法律法规，及时支付工程中的材料、设备贷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3FB86D7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承包人的项目经理部是民工工资支付行为的主体，承包人的项目经理是</w:t>
      </w:r>
      <w:r>
        <w:rPr>
          <w:rFonts w:hint="eastAsia" w:ascii="宋体" w:hAnsi="宋体" w:eastAsia="宋体" w:cs="宋体"/>
          <w:color w:val="auto"/>
          <w:sz w:val="21"/>
          <w:szCs w:val="21"/>
          <w:lang w:val="en-US" w:eastAsia="zh-CN"/>
        </w:rPr>
        <w:t>农民工</w:t>
      </w:r>
      <w:r>
        <w:rPr>
          <w:rFonts w:hint="eastAsia" w:ascii="宋体" w:hAnsi="宋体" w:eastAsia="宋体" w:cs="宋体"/>
          <w:color w:val="auto"/>
          <w:sz w:val="21"/>
          <w:szCs w:val="21"/>
        </w:rPr>
        <w:t>工资支付的责任人。项目经理部要建立全体民工花名册和工资支付表，确保将工资直接发放给民工本人，或委托银行发放民工工资，严禁发放给“包工头”或其他不具备用工主体资格的组织和个人。</w:t>
      </w:r>
    </w:p>
    <w:p w14:paraId="62BEDAD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工资支付表应如实记录支付单位、支付时间、支付对象、支付数额、支付对象的身份证号和签字等信息。民工花名册和工资支付表应报监理人备查。</w:t>
      </w:r>
    </w:p>
    <w:p w14:paraId="29AFAF8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(4)承包人应履行项目专用合同条款约定的其他义务。</w:t>
      </w:r>
    </w:p>
    <w:p w14:paraId="34BB748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4.3分包</w:t>
      </w:r>
    </w:p>
    <w:p w14:paraId="0D48084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第4.3.2项~第4.3.4项细化为：</w:t>
      </w:r>
    </w:p>
    <w:p w14:paraId="6DA4229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4.3.2承包人不得将工程主体、关键性工作分包给第三人。经发包人同意，承包人可将工程的其他部分或工作分包给第三人。分包包括专业分包和劳务分包。</w:t>
      </w:r>
    </w:p>
    <w:p w14:paraId="4EC56E8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4.3.3专业分包</w:t>
      </w:r>
    </w:p>
    <w:p w14:paraId="76B2219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在工程施工过程中，承包人进行专业分包必须遵守以下规定：</w:t>
      </w:r>
    </w:p>
    <w:p w14:paraId="3A4EF23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(1)允许专业分包的工程范围</w:t>
      </w:r>
      <w:r>
        <w:rPr>
          <w:rFonts w:hint="eastAsia" w:ascii="宋体" w:hAnsi="宋体" w:eastAsia="宋体" w:cs="宋体"/>
          <w:color w:val="auto"/>
          <w:sz w:val="21"/>
          <w:szCs w:val="21"/>
          <w:lang w:val="en-US" w:eastAsia="zh-CN"/>
        </w:rPr>
        <w:t>仅限于</w:t>
      </w:r>
      <w:r>
        <w:rPr>
          <w:rFonts w:hint="eastAsia" w:ascii="宋体" w:hAnsi="宋体" w:eastAsia="宋体" w:cs="宋体"/>
          <w:color w:val="auto"/>
          <w:sz w:val="21"/>
          <w:szCs w:val="21"/>
        </w:rPr>
        <w:t>分部</w:t>
      </w:r>
      <w:r>
        <w:rPr>
          <w:rFonts w:hint="eastAsia" w:ascii="宋体" w:hAnsi="宋体" w:eastAsia="宋体" w:cs="宋体"/>
          <w:color w:val="auto"/>
          <w:sz w:val="21"/>
          <w:szCs w:val="21"/>
          <w:lang w:val="en-US" w:eastAsia="zh-CN"/>
        </w:rPr>
        <w:t>工程</w:t>
      </w:r>
      <w:r>
        <w:rPr>
          <w:rFonts w:hint="eastAsia" w:ascii="宋体" w:hAnsi="宋体" w:eastAsia="宋体" w:cs="宋体"/>
          <w:color w:val="auto"/>
          <w:sz w:val="21"/>
          <w:szCs w:val="21"/>
        </w:rPr>
        <w:t>或分项工程、适合专业化队伍施工的工程，专业分包的工程量累计不得超过总工程量的30％。</w:t>
      </w:r>
    </w:p>
    <w:p w14:paraId="7EE43F6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(2)专业分包人的资格能力(含安全生产能力)应与其分包工程的标准和规模相适应，具备相应的专业承包资质。</w:t>
      </w:r>
    </w:p>
    <w:p w14:paraId="7C4021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(3)专业分包工程不得再次分包。</w:t>
      </w:r>
    </w:p>
    <w:p w14:paraId="791C881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(4)承包人和专业分包人应当依法签订专业分包合同。并按照合同履行约定的义务。专业分包</w:t>
      </w:r>
      <w:r>
        <w:rPr>
          <w:rFonts w:hint="eastAsia" w:ascii="宋体" w:hAnsi="宋体" w:eastAsia="宋体" w:cs="宋体"/>
          <w:color w:val="auto"/>
          <w:sz w:val="21"/>
          <w:szCs w:val="21"/>
          <w:lang w:val="en-US" w:eastAsia="zh-CN"/>
        </w:rPr>
        <w:t>合同</w:t>
      </w:r>
      <w:r>
        <w:rPr>
          <w:rFonts w:hint="eastAsia" w:ascii="宋体" w:hAnsi="宋体" w:eastAsia="宋体" w:cs="宋体"/>
          <w:color w:val="auto"/>
          <w:sz w:val="21"/>
          <w:szCs w:val="21"/>
        </w:rPr>
        <w:t>必须明确约定工程款支付条款、结算方式以及保证按期支付的相应措施，确保工程款的支付。</w:t>
      </w:r>
    </w:p>
    <w:p w14:paraId="6E01E6F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(5)承包人对施工现场安全负总责，并对专业分包人的安全生产进行培训和管理。专业分包人应将其专业分包工程的施工组织设计和施工安全方案报</w:t>
      </w:r>
      <w:r>
        <w:rPr>
          <w:rFonts w:hint="eastAsia" w:ascii="宋体" w:hAnsi="宋体" w:eastAsia="宋体" w:cs="宋体"/>
          <w:color w:val="auto"/>
          <w:sz w:val="21"/>
          <w:szCs w:val="21"/>
          <w:lang w:val="en-US" w:eastAsia="zh-CN"/>
        </w:rPr>
        <w:t>承包人</w:t>
      </w:r>
      <w:r>
        <w:rPr>
          <w:rFonts w:hint="eastAsia" w:ascii="宋体" w:hAnsi="宋体" w:eastAsia="宋体" w:cs="宋体"/>
          <w:color w:val="auto"/>
          <w:sz w:val="21"/>
          <w:szCs w:val="21"/>
        </w:rPr>
        <w:t>备案。专业分包人对分包施工现场安全负责，发现事故隐患，应及时处理。</w:t>
      </w:r>
    </w:p>
    <w:p w14:paraId="2C6D4F9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(6)所有专业分包计划和专业分包合同须报监理人审批，并报发包人核备．。监理人审批专业分包并不解除合同规定的承包人的任何责任或义务。</w:t>
      </w:r>
    </w:p>
    <w:p w14:paraId="6D70E37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违反上述规定之一者属违规分包。</w:t>
      </w:r>
    </w:p>
    <w:p w14:paraId="55E1EF5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4.3.4劳务分包</w:t>
      </w:r>
    </w:p>
    <w:p w14:paraId="52941D6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在工程施工过程中，承包人进行劳务分包必须遵守以下规定：</w:t>
      </w:r>
    </w:p>
    <w:p w14:paraId="5C7D3E2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(1)劳务分包人应具有劳务分包资质。</w:t>
      </w:r>
    </w:p>
    <w:p w14:paraId="17F9107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223ACBE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(3)承包人雇用的劳务作业应加入到承包人的施工班组统一管理。有关施工质量、施工安全、施工进度、环境保护、技术方案、试验检测、材料保管与供应、机械设备等都必须由承包人管理与调配，不得以包代管。</w:t>
      </w:r>
    </w:p>
    <w:p w14:paraId="3E85EEF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(4)承包人应当对劳务分包人员进行安全培训和管理，劳务分包人不得将其分包的劳务作业再次分包。</w:t>
      </w:r>
    </w:p>
    <w:p w14:paraId="04BD42E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违反上述规定之一者属违规分包。</w:t>
      </w:r>
    </w:p>
    <w:p w14:paraId="52E0AB9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本款补充第4.3.6项：</w:t>
      </w:r>
    </w:p>
    <w:p w14:paraId="1D96C3F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4.3.6发包人对承包人与分包人之间的法律与经济纠纷不承担任何</w:t>
      </w:r>
      <w:r>
        <w:rPr>
          <w:rFonts w:hint="eastAsia" w:ascii="宋体" w:hAnsi="宋体" w:eastAsia="宋体" w:cs="宋体"/>
          <w:color w:val="auto"/>
          <w:sz w:val="21"/>
          <w:szCs w:val="21"/>
          <w:lang w:val="en-US" w:eastAsia="zh-CN"/>
        </w:rPr>
        <w:t>责任</w:t>
      </w:r>
      <w:r>
        <w:rPr>
          <w:rFonts w:hint="eastAsia" w:ascii="宋体" w:hAnsi="宋体" w:eastAsia="宋体" w:cs="宋体"/>
          <w:color w:val="auto"/>
          <w:sz w:val="21"/>
          <w:szCs w:val="21"/>
        </w:rPr>
        <w:t>和义务。</w:t>
      </w:r>
    </w:p>
    <w:p w14:paraId="454F203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4.4联合体</w:t>
      </w:r>
    </w:p>
    <w:p w14:paraId="0FC828D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本项规定为：不接受联合体投标。</w:t>
      </w:r>
    </w:p>
    <w:p w14:paraId="4AE23B0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4.6承包人人员的管理</w:t>
      </w:r>
    </w:p>
    <w:p w14:paraId="003E1AD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第4.6.3项细化为：</w:t>
      </w:r>
    </w:p>
    <w:p w14:paraId="50E1F53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72EE19BC">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本款补充第4.6.5项：</w:t>
      </w:r>
    </w:p>
    <w:p w14:paraId="380D2F3A">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 xml:space="preserve">4.6.5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   </w:t>
      </w:r>
    </w:p>
    <w:p w14:paraId="1AAB3B9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4.7撤换承包人项目经理和其他人员</w:t>
      </w:r>
    </w:p>
    <w:p w14:paraId="221B8399">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本款细化为：</w:t>
      </w:r>
    </w:p>
    <w:p w14:paraId="1F43D30D">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468B7D4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4.9工程价款应专款专用</w:t>
      </w:r>
    </w:p>
    <w:p w14:paraId="4EBB3B9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本款细化为：</w:t>
      </w:r>
    </w:p>
    <w:p w14:paraId="2CA2D7A0">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34AAA8F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4.10承包人现场查勘</w:t>
      </w:r>
    </w:p>
    <w:p w14:paraId="228860F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第4.10.1项细化为：</w:t>
      </w:r>
    </w:p>
    <w:p w14:paraId="1D65E48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提供的本合同工程的水文、地质、气象和料场分布、取土场、弃土场位置等资料均属于参考资料，并不构成合同文件的组成部分。承包人应对自己就上述资料的解释、推论和应用负责，发包人不对承包人据此做出的判断和决策承担任何责任。</w:t>
      </w:r>
    </w:p>
    <w:p w14:paraId="74AD18E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4.1l不利物质条件</w:t>
      </w:r>
    </w:p>
    <w:p w14:paraId="799A2C7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第4.11.2项细化为：</w:t>
      </w:r>
    </w:p>
    <w:p w14:paraId="7BCFBF2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4.11.2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2866F4C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本款补充第4.11.3项：</w:t>
      </w:r>
    </w:p>
    <w:p w14:paraId="09BC273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4.11.3可预见的不利物质条件</w:t>
      </w:r>
    </w:p>
    <w:p w14:paraId="4A13AC1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(1)对于项目专用合同条款中已经明确指出的不利物质条件无论承包人是否有其经历和经验均视为承包人在接受合同时已预见其影响，并已在签约合同价中计入因其影响而可能发生的一切费用。</w:t>
      </w:r>
    </w:p>
    <w:p w14:paraId="2B2B762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(2)对于项目专用合同条款未明确指出，但是在不利物质条件发生之前，监理人已经指示承包人有可能发生，但承包人未能及时采取有效措施，而导致的损失和后果均由承包人承担。</w:t>
      </w:r>
    </w:p>
    <w:p w14:paraId="4FDD1CB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补充第4.12款：</w:t>
      </w:r>
    </w:p>
    <w:p w14:paraId="3E7FAE8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4.12投标文件的完备性</w:t>
      </w:r>
    </w:p>
    <w:p w14:paraId="6C5EA98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58DECB8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5.材料和工程设备</w:t>
      </w:r>
    </w:p>
    <w:p w14:paraId="7A5C1E3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5.2发包人提供的材料和工程设备</w:t>
      </w:r>
    </w:p>
    <w:p w14:paraId="1497DD7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第5.2.3项补充：</w:t>
      </w:r>
    </w:p>
    <w:p w14:paraId="664EA26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 </w:t>
      </w:r>
    </w:p>
    <w:p w14:paraId="150ECAF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6.施工设备和临时设施</w:t>
      </w:r>
    </w:p>
    <w:p w14:paraId="52D9A86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6.1承包人提供的施工设备和临时设施</w:t>
      </w:r>
    </w:p>
    <w:p w14:paraId="74D12C8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第6.1.2项约定为：</w:t>
      </w:r>
    </w:p>
    <w:p w14:paraId="2BFBBBB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承包人应自行承担修建临时设施的费用，需要临时占地的，应由承包人按第4.1.10项(1)目的规定办理。</w:t>
      </w:r>
    </w:p>
    <w:p w14:paraId="3D8B7C0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6.3要求承包人增加或更换施工设备</w:t>
      </w:r>
    </w:p>
    <w:p w14:paraId="42FF131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本款细化为：</w:t>
      </w:r>
    </w:p>
    <w:p w14:paraId="68A524E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承包人承诺的施工设备必须按时到达现场，不得拖延、</w:t>
      </w:r>
      <w:r>
        <w:rPr>
          <w:rFonts w:hint="eastAsia" w:ascii="宋体" w:hAnsi="宋体" w:eastAsia="宋体" w:cs="宋体"/>
          <w:color w:val="auto"/>
          <w:sz w:val="21"/>
          <w:szCs w:val="21"/>
          <w:lang w:val="en-US" w:eastAsia="zh-CN"/>
        </w:rPr>
        <w:t>短缺</w:t>
      </w:r>
      <w:r>
        <w:rPr>
          <w:rFonts w:hint="eastAsia" w:ascii="宋体" w:hAnsi="宋体" w:eastAsia="宋体" w:cs="宋体"/>
          <w:color w:val="auto"/>
          <w:sz w:val="21"/>
          <w:szCs w:val="21"/>
        </w:rPr>
        <w:t>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0C2AB1E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7．交通运输</w:t>
      </w:r>
    </w:p>
    <w:p w14:paraId="2BFD25A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7.1道路通行权和场外设施</w:t>
      </w:r>
    </w:p>
    <w:p w14:paraId="24CCAE0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本款约定为：</w:t>
      </w:r>
    </w:p>
    <w:p w14:paraId="137341E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0032AD3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8.测量放线</w:t>
      </w:r>
    </w:p>
    <w:p w14:paraId="4616838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8.4监理人使用施工控制网</w:t>
      </w:r>
    </w:p>
    <w:p w14:paraId="376D588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1328D17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经监理人批准，其他相关承包人也可免费使用施工控制网。</w:t>
      </w:r>
    </w:p>
    <w:p w14:paraId="31A953D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9.施工安全、治安保卫和环境保护</w:t>
      </w:r>
    </w:p>
    <w:p w14:paraId="3DD1176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9.2承包人的施工安全责任    </w:t>
      </w:r>
    </w:p>
    <w:p w14:paraId="4117F71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第9.2.1项细化为：</w:t>
      </w:r>
    </w:p>
    <w:p w14:paraId="72C756D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5A5CD84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59A86BAC">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本项目需要编制专项施工方案的工程包括但不限于以下内容：</w:t>
      </w:r>
    </w:p>
    <w:p w14:paraId="3124C4D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(1)不良地质条件下有潜在危险性的土方、石方开挖；</w:t>
      </w:r>
    </w:p>
    <w:p w14:paraId="263B77B2">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(2)滑坡和高边坡处理；</w:t>
      </w:r>
    </w:p>
    <w:p w14:paraId="3A41C826">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(3)桩基础、挡墙基础、深水基础及围堰工程；</w:t>
      </w:r>
    </w:p>
    <w:p w14:paraId="07349BF9">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(4)桥梁工程中的</w:t>
      </w:r>
      <w:r>
        <w:rPr>
          <w:rFonts w:hint="eastAsia" w:ascii="宋体" w:hAnsi="宋体" w:eastAsia="宋体" w:cs="宋体"/>
          <w:color w:val="auto"/>
          <w:sz w:val="21"/>
          <w:szCs w:val="21"/>
          <w:lang w:val="en-US" w:eastAsia="zh-CN"/>
        </w:rPr>
        <w:t>梁</w:t>
      </w:r>
      <w:r>
        <w:rPr>
          <w:rFonts w:hint="eastAsia" w:ascii="宋体" w:hAnsi="宋体" w:eastAsia="宋体" w:cs="宋体"/>
          <w:color w:val="auto"/>
          <w:sz w:val="21"/>
          <w:szCs w:val="21"/>
        </w:rPr>
        <w:t>、拱、柱等构件施工等；</w:t>
      </w:r>
    </w:p>
    <w:p w14:paraId="1F764CB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(5)隧道工程中的不良地质隧道、高瓦斯隧道等；</w:t>
      </w:r>
    </w:p>
    <w:p w14:paraId="5BB18D7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(6)水上工程中的打桩船作业、施工船作业、外海孤岛作业、边通航边施工作业等；</w:t>
      </w:r>
    </w:p>
    <w:p w14:paraId="03E5CAB9">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(7)水下工程中的水下焊接、混凝土浇筑、爆破工程等；</w:t>
      </w:r>
    </w:p>
    <w:p w14:paraId="7730AAEC">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(8)爆破工程；</w:t>
      </w:r>
    </w:p>
    <w:p w14:paraId="60C98B1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(9)大型临时工程中的大型支架、模叛、便桥的架设与拆除；桥梁、码头的加固与拆除；</w:t>
      </w:r>
    </w:p>
    <w:p w14:paraId="53FC0221">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(10)其他危险性较大的工程。</w:t>
      </w:r>
    </w:p>
    <w:p w14:paraId="47D28AF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监理人和发包人在检查中发现有安全问题或有违反安全管理规章制度的情况时，可视为承包人违约，应按第22.1款的规定办理。</w:t>
      </w:r>
    </w:p>
    <w:p w14:paraId="0EA674E8">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第9.2.5项细化为：</w:t>
      </w:r>
    </w:p>
    <w:p w14:paraId="158155B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本款补充第9.2.8项~第9.2.1l项：</w:t>
      </w:r>
    </w:p>
    <w:p w14:paraId="2CFA40B1">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9.2.8  承包人应充分关注和保障所有在现场工作的人员的安全，采取以下有效措施，使现场和本合同工程的实施保持有条不紊，以免使上述人员的安全受到威胁。</w:t>
      </w:r>
    </w:p>
    <w:p w14:paraId="1D1B5F50">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(1)按《公路水运工程安全生产监督管理办法》规定的最低数量和资质条件配备专职安全生产管理人员；</w:t>
      </w:r>
    </w:p>
    <w:p w14:paraId="17068F1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(2)承包人的垂直运输机械作业人员、施工船舶作业人员、爆破作业人员、安装拆卸工、起重信号工、电工、焊工等国家规定的特种作业人员，必须按照国家规定经过专门的安全作业培训，井取得特种作业操作资格证书后，方可上岗作业；</w:t>
      </w:r>
    </w:p>
    <w:p w14:paraId="17E458E8">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(3)所有施工机具设备和高空作业设备均应定期检查，并有安全员的签字记录；</w:t>
      </w:r>
    </w:p>
    <w:p w14:paraId="7AB4D3D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(4)根据本合同各单位工程的施工特点，严格执行《公路水运工程安全生产监督管理办法》、《公路工程施工安全技术规程》与《公路筑养路机械操作规程》的具体规定。</w:t>
      </w:r>
    </w:p>
    <w:p w14:paraId="0C57EE7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9.2.9为了保护本合同工程免遭损坏，或为了现场附近和过往群众的安全与方便，在确有必要的时候和地方，或当监理人或有关主管部门要求时，承包人应自费提供照明、警卫、护栅、警告标志等安全防护设施。</w:t>
      </w:r>
    </w:p>
    <w:p w14:paraId="108C060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9.2.10在通航水域施工时，承包人应与当地主管部门取得联系，设置必要的导航标志，及时发布航行通告，确保施工水域安全。</w:t>
      </w:r>
    </w:p>
    <w:p w14:paraId="5B57D94C">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9.2.11  在整个施工过程中对承包人采取的施工安全措施，发包人和监理人有权监督，并向承包人提出整改要求。如果出于承包人未能对其负责的上述事项采取各种必要的措施而导致或发生与此有关的人身伤亡、罚款、索赔、损失补偿、诉讼费用及其他一切责任应由承包人负责。</w:t>
      </w:r>
    </w:p>
    <w:p w14:paraId="0D63166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9.4环境保护</w:t>
      </w:r>
    </w:p>
    <w:p w14:paraId="786238F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本款补充第9.4.7项~第9.4.1l项：</w:t>
      </w:r>
    </w:p>
    <w:p w14:paraId="542D98A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9.4.7承包人应切实执行技术规范中有关环境保护方面的条款和规定。</w:t>
      </w:r>
    </w:p>
    <w:p w14:paraId="2476A231">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对于来自施工机械和运输车辆的施工噪声，为保护施工人员的健康，应遵守《中华人民共和国环境噪声污染防治法》并依据《工业众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44EEAB26">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(2)对于公路施工中粉尘污染的主要污染源——灰土拌和、施工车辆和筑路机械运行及运输产生的扬尘，应采取有效措施减轻其对施工现场的大气污染，保护人民健康，如：</w:t>
      </w:r>
    </w:p>
    <w:p w14:paraId="4BDACEF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a．拌和设备应有较好的密封，或有防尘设备。</w:t>
      </w:r>
    </w:p>
    <w:p w14:paraId="4D98DC6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b．施工通道、沥青混凝土拌和站及灰土拌和站应经常进行洒水降尘。</w:t>
      </w:r>
    </w:p>
    <w:p w14:paraId="6E0C5521">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c．路面施工应注意保持水分，以免扬尘。</w:t>
      </w:r>
    </w:p>
    <w:p w14:paraId="5F65110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d．隧道出渣和桥梁钻孔灌注桩施工时排出的泥浆要进行妥善处理，严禁向河流或农田排放。</w:t>
      </w:r>
    </w:p>
    <w:p w14:paraId="1EBFF15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(3)采取可靠措施保证原有交通的正常通行，维持沿线村镇的居民饮水、农田灌溉，生产生活用电及通信等管线的正常使用。</w:t>
      </w:r>
    </w:p>
    <w:p w14:paraId="44AAB65B">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66634873">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9.4.9在施工期间，承包人应随时保持现场整洁，施工设备和材料、工程设备应整齐妥善存放和储存，废料与垃圾及不再需要的临时设施应及时从现场清除、拆除并运走。</w:t>
      </w:r>
    </w:p>
    <w:p w14:paraId="4605903E">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9.4.lO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最，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07176FD1">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9.4.ll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3FD0393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lO.进度计划</w:t>
      </w:r>
    </w:p>
    <w:p w14:paraId="154DCF72">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lO.1合同进度计划</w:t>
      </w:r>
    </w:p>
    <w:p w14:paraId="12C7D06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59B90DE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承包人编制施工方案说明的内容见项目专用合同条款。</w:t>
      </w:r>
    </w:p>
    <w:p w14:paraId="46ED4C4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承包人向监理人报送施工进度计划和施工方案说明的期限：签订合同协议书后28天之内。</w:t>
      </w:r>
    </w:p>
    <w:p w14:paraId="5845CE4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监理人应在14天内对承包人施工进度计划和施工方案说明予以批复或提出修改意见。</w:t>
      </w:r>
    </w:p>
    <w:p w14:paraId="28EC7AE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合同进度计划应按照关键线路网络图和主要工作横道图两种形式分别编绘，并应包括每月预计完成的工作量和形象进度。</w:t>
      </w:r>
    </w:p>
    <w:p w14:paraId="5522B5B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10.2合同进度计划的修订</w:t>
      </w:r>
    </w:p>
    <w:p w14:paraId="07004C0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3EC429A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承包人提交合同进度计划修订申请报告，并附有关措施和相关资料的期限：实际进度发生滞后的当月25目前。</w:t>
      </w:r>
    </w:p>
    <w:p w14:paraId="12CF479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监理人批复修订合同进度计划的期限：收到修订会同进度计划后14天内。</w:t>
      </w:r>
    </w:p>
    <w:p w14:paraId="3C2CC39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补充第10.3款、第l0.4款：</w:t>
      </w:r>
    </w:p>
    <w:p w14:paraId="34F55B2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lO.3年度施工计划</w:t>
      </w:r>
    </w:p>
    <w:p w14:paraId="4FEA55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顼工程数量和工作量，以及为实施此计划将采取的措施。</w:t>
      </w:r>
    </w:p>
    <w:p w14:paraId="75C4205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10.4合同用教计划</w:t>
      </w:r>
    </w:p>
    <w:p w14:paraId="4A4B6C7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03F40E7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11.开工和交工</w:t>
      </w:r>
    </w:p>
    <w:p w14:paraId="3B9FE5A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11.1开工</w:t>
      </w:r>
    </w:p>
    <w:p w14:paraId="1E38EED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第11.1.2项补充：</w:t>
      </w:r>
    </w:p>
    <w:p w14:paraId="65F2E52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承包人应在分部工程开工前14天向监理人提交分部工程开工报审表，若承包人的开工准备、工作计划和质量控制方法是可接受的且已获得批准，则经监理人书面同意，分部工程才能开工。</w:t>
      </w:r>
    </w:p>
    <w:p w14:paraId="378853D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11.3发包人的工期延误  </w:t>
      </w:r>
    </w:p>
    <w:p w14:paraId="5D399F3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7CA15BA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即使由于上述原因造成工期延误，如果受影响的工程并非处在工程施工进度网络计划的关键线路上，则承包人无权要求延长总工期。</w:t>
      </w:r>
    </w:p>
    <w:p w14:paraId="2D0417B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1l.4异常恶劣的气候条件</w:t>
      </w:r>
    </w:p>
    <w:p w14:paraId="2F4D790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0ACA1AC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异常气候是指项目所在地30年以上一遇的罕见气候现象(包括温度、降水、降雪、风等)。异常恶劣的气候条件在项目专用合同条款中作具体规定。</w:t>
      </w:r>
    </w:p>
    <w:p w14:paraId="7FFF237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11.5承包人的工期延误</w:t>
      </w:r>
    </w:p>
    <w:p w14:paraId="2A2C368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本款细化为：</w:t>
      </w:r>
    </w:p>
    <w:p w14:paraId="5FC0E66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00C9705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如果承包人在接到监理人通知后的14天内，来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1282BB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269462B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(4)承包人支付逾期交工违约金，不免除承包人完成工程及修补缺陷的义务。</w:t>
      </w:r>
    </w:p>
    <w:p w14:paraId="543416F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101821E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ll.6工期提前</w:t>
      </w:r>
    </w:p>
    <w:p w14:paraId="6789D7E3">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本款补充：</w:t>
      </w:r>
    </w:p>
    <w:p w14:paraId="1B56AAB7">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发包人不得随意要求承包人提前交工，承包人也不得随意提出提前交工的建议。如遇特殊情况，确需将工期提前的，发包人和承包人必须采取有效措施，确保工程质量。</w:t>
      </w:r>
    </w:p>
    <w:p w14:paraId="2E93DF8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58C24214">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补充第l 1.7款：</w:t>
      </w:r>
    </w:p>
    <w:p w14:paraId="23DEA06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11.7工作时间的限制</w:t>
      </w:r>
    </w:p>
    <w:p w14:paraId="775A9A3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承包人在夜间或国家规定的节假日进行永久工程的施工，应向监理人报告，以便监理人履行监理职责和义务。</w:t>
      </w:r>
    </w:p>
    <w:p w14:paraId="61B79E5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但是，为了抢救瞧命或保护财产，或为了工程的安全、质量而不可避免地短暂作业，则不必事先向监理人报告。但承包人应在事后立即向监理人报告。</w:t>
      </w:r>
    </w:p>
    <w:p w14:paraId="204E41E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本款规定不适用于习惯上或施工本身要求实行连续生产的作业。</w:t>
      </w:r>
    </w:p>
    <w:p w14:paraId="111894E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12.暂停施工</w:t>
      </w:r>
    </w:p>
    <w:p w14:paraId="370CB87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12.1承包人暂停施工的责任   </w:t>
      </w:r>
    </w:p>
    <w:p w14:paraId="20D725F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本款第(5)项细化为：</w:t>
      </w:r>
    </w:p>
    <w:p w14:paraId="6458997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(5)现场气候条件导致的必要停工(第l 1.4款规定的异常恶劣的气候条件除外)；</w:t>
      </w:r>
    </w:p>
    <w:p w14:paraId="068B860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(6)项目专用合同条款可能约定的由承包人承担的其他暂停施工。</w:t>
      </w:r>
    </w:p>
    <w:p w14:paraId="22FCD7D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13.工程质量</w:t>
      </w:r>
    </w:p>
    <w:p w14:paraId="3EA28F7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13.1工程质量要求</w:t>
      </w:r>
    </w:p>
    <w:p w14:paraId="03FD2AB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第13.1.1项约定为：</w:t>
      </w:r>
    </w:p>
    <w:p w14:paraId="07D0CC5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工程质量验收按技术规范及《公路工程质量检验评定标准》执行。</w:t>
      </w:r>
    </w:p>
    <w:p w14:paraId="3255135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本款补充第13.1.4项和第13.1.5项：</w:t>
      </w:r>
    </w:p>
    <w:p w14:paraId="6A8A817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13.1.4发包人和承包人应严格遵守《关于严格落实公路工程质量责任制的若干意见》的相关规定，认真执行工程质量责任登记制度并按要求填写工程质量责任登记表。</w:t>
      </w:r>
    </w:p>
    <w:p w14:paraId="6526CF4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13.1.5本项目严格执行质量责任追究制度。质量事故处理实行“四不放过”原则：事故原因调查不清不放过；事故责任者没有受到教育不放过；没有防范措施不放过；相关责任人没受到处理不放过。</w:t>
      </w:r>
    </w:p>
    <w:p w14:paraId="6118C35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13.2承包人的质量管理</w:t>
      </w:r>
    </w:p>
    <w:p w14:paraId="0A658AE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第13.2.1项补充：</w:t>
      </w:r>
    </w:p>
    <w:p w14:paraId="57F57BD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承包人提交工程质量保证措施文件的期限：签订合同协议书后28天之内。</w:t>
      </w:r>
    </w:p>
    <w:p w14:paraId="0E66F37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本款补充第13.2.3项~第13.2.6项：</w:t>
      </w:r>
    </w:p>
    <w:p w14:paraId="15CCDE7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13.2.3承包人必须遵守国家有关法律、法规和规章，严格执行公路工程强制性技术标准、各类技术规范及规程，全面履行工程合同义务，依法对公路工程质量负责。</w:t>
      </w:r>
    </w:p>
    <w:p w14:paraId="203D844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13.2.4承包人应加强质量监控，确保规范规定的检验、抽检频率，现场质检的原始资料必须真实、准确、可靠，不得追记，接受质量检查时必须出示原始资料。</w:t>
      </w:r>
    </w:p>
    <w:p w14:paraId="389FBF1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13.2.5承包人必须完善检验手段，根据技术规范的规定配齐检测和试验仪器、仪表，并应及时校正确保其精度；根据合同要求加强工地试验室的管理；加强标准计量基础工作和材料检验工作，不得违规计量，不合格材料严禁用于本工程。</w:t>
      </w:r>
    </w:p>
    <w:p w14:paraId="27DD6C6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13.2.6承包人驻工程现场机构应在现场驻地和重要的分部、分项工程施工现场设置明显的工程质量责任登记表公示牌。</w:t>
      </w:r>
    </w:p>
    <w:p w14:paraId="4360025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13.4监理人的质量检查</w:t>
      </w:r>
    </w:p>
    <w:p w14:paraId="2D7BA21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2CC5CB1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监理人及其委派的检验人员，应能进入工程现场，以及材料或工程设备的制造、加工或制配的车间和场所，包括不属于承包人的车间或场所进行检查，承包人应为此提供便利和协助。</w:t>
      </w:r>
    </w:p>
    <w:p w14:paraId="300CD39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13F9A60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13.5工程隐蔽部位覆盖前的检查</w:t>
      </w:r>
    </w:p>
    <w:p w14:paraId="50C03A9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第13.5.1项补充：</w:t>
      </w:r>
    </w:p>
    <w:p w14:paraId="04E80CA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7341F17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13.6清除不合格工程</w:t>
      </w:r>
    </w:p>
    <w:p w14:paraId="07AE80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第13.6.1项细化为：</w:t>
      </w:r>
    </w:p>
    <w:p w14:paraId="01F6D37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 (1)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5EB97AC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(2)如果承包人未在规定时间内执行监理人的指示，发包人有权雇用他人执行。由此增加的费用和(或)工期延误由承包人承担。</w:t>
      </w:r>
    </w:p>
    <w:p w14:paraId="0DF8912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14.试验和检验</w:t>
      </w:r>
    </w:p>
    <w:p w14:paraId="6C7479B5">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补充第14.4款：</w:t>
      </w:r>
      <w:r>
        <w:rPr>
          <w:rFonts w:hint="eastAsia" w:ascii="宋体" w:hAnsi="宋体" w:eastAsia="宋体" w:cs="宋体"/>
          <w:b/>
          <w:color w:val="auto"/>
          <w:sz w:val="21"/>
          <w:szCs w:val="21"/>
        </w:rPr>
        <w:t xml:space="preserve"> </w:t>
      </w:r>
    </w:p>
    <w:p w14:paraId="65AE86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14.4试验和检验费用</w:t>
      </w:r>
    </w:p>
    <w:p w14:paraId="240A1D7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(1)承包人应负资提供合同和技术规范规定的试验和检验所需的全部样品，并承担其费用。</w:t>
      </w:r>
    </w:p>
    <w:p w14:paraId="3330D39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(2)在合同中明确规定的试验和检验，包括无须在工程量清单中单独列项和已在工程量清单中单独列项的试验和检验，其试验和检验的费用由承包人负担。</w:t>
      </w:r>
    </w:p>
    <w:p w14:paraId="292F645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如果监理人所要求做的试验和检验为合同末规定的或是在该材料或工程设备的制造、加工、制配场地以外的场所进行的，则检验结束后，如表明操作工艺或材料、工程设备未能符会合同规定，其费用应由承包人承担，否则，其费用应由发包人承担。</w:t>
      </w:r>
    </w:p>
    <w:p w14:paraId="54E15E1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15.变更</w:t>
      </w:r>
    </w:p>
    <w:p w14:paraId="6E7CC58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15.1变更的范围和内窖</w:t>
      </w:r>
    </w:p>
    <w:p w14:paraId="5322A2D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本款第(1)项细化为：</w:t>
      </w:r>
    </w:p>
    <w:p w14:paraId="0DB494F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(1)取消合同中任何一项工作，但被取消的工作不能转由发包人或其他人实施，由于承包人违约造成的情况除外；</w:t>
      </w:r>
    </w:p>
    <w:p w14:paraId="7F9E861A">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 xml:space="preserve">15.3变更程序 </w:t>
      </w:r>
    </w:p>
    <w:p w14:paraId="4ED6869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本款补充第15.3.4项：</w:t>
      </w:r>
    </w:p>
    <w:p w14:paraId="5A910A3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15.3.4设计变更程序应执行《公路工程设计变更管理办法》的相关规定。</w:t>
      </w:r>
    </w:p>
    <w:p w14:paraId="76761B6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15.4变更的估价原则</w:t>
      </w:r>
    </w:p>
    <w:p w14:paraId="37058C1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本款细化为：</w:t>
      </w:r>
    </w:p>
    <w:p w14:paraId="5330F80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除项目专用合同条款另有约定外，因变更引起的价格调整按照本款约定处理。</w:t>
      </w:r>
    </w:p>
    <w:p w14:paraId="0044209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15.4.1如果取消某项工作，则该项工作的总额价不予支付；</w:t>
      </w:r>
    </w:p>
    <w:p w14:paraId="328FA69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15.4.2已标价工程量清单中有适用于变更工作的子目的，采用该子目的单价。</w:t>
      </w:r>
    </w:p>
    <w:p w14:paraId="3DF4ABC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15.4.3已标价工程量清单中无适用于变更工作的子目，但有类似子目的，可在合理范围内参照类似子目的单价，由监理人按第3.5款商定或确定变更工作的单价。</w:t>
      </w:r>
    </w:p>
    <w:p w14:paraId="0631580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15.4.4已标价工程量清单中无适用或类似子目的单价，可在综合考虑承包人在投标时所提供的单价分析表的基础上，由监理人按第3.5款商定或确定变更工作的单价。</w:t>
      </w:r>
    </w:p>
    <w:p w14:paraId="7EE22A7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15.4.5如果本工程的变更指示是因承包人过错、承包人违反合同或承包人责任造成的，则这种违约引起的任何额外费用应由承包人承担。</w:t>
      </w:r>
    </w:p>
    <w:p w14:paraId="16FC6C9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15.5承包人的合理化建议</w:t>
      </w:r>
    </w:p>
    <w:p w14:paraId="5F0B801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第15.5.2项约定为：</w:t>
      </w:r>
    </w:p>
    <w:p w14:paraId="745D92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承包人提出的合理化建议缩短了工期，发包人按第l 1.6款的规定给予奖励。</w:t>
      </w:r>
    </w:p>
    <w:p w14:paraId="37B48AD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承包人提出的合理化建议降低了合同价格或者提高了工程经济效益的，发包人按项目专用合同条款数据表中规定的金额给予奖励。</w:t>
      </w:r>
    </w:p>
    <w:p w14:paraId="1FA0561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15.6暂列金额</w:t>
      </w:r>
    </w:p>
    <w:p w14:paraId="486989A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本数细化为：</w:t>
      </w:r>
    </w:p>
    <w:p w14:paraId="70AFF8E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5.6.1暂列金额应由监理人报发包人批准后指令全部或部分地使用，或者根本不予动用。</w:t>
      </w:r>
    </w:p>
    <w:p w14:paraId="5D961AE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15.6.2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4327A4A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15.6.3当监理人提出要求时，承包人应提供有关暂列金额支出的所有报份单、发票、凭证和账单或收据，除非该工作是根据已标价工程量清单列明的单价或总额价进行的估价。</w:t>
      </w:r>
    </w:p>
    <w:p w14:paraId="0C18762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 价格调整（本项目不予调价）</w:t>
      </w:r>
    </w:p>
    <w:p w14:paraId="57494DA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17.计量与支付</w:t>
      </w:r>
    </w:p>
    <w:p w14:paraId="5004900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17.1计量</w:t>
      </w:r>
    </w:p>
    <w:p w14:paraId="0660CD0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17.1.2计量方法</w:t>
      </w:r>
    </w:p>
    <w:p w14:paraId="6C5231C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本项约定为：</w:t>
      </w:r>
    </w:p>
    <w:p w14:paraId="6F535EF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工程的计量应以净值为准，除非项目专用合同条款另有约定。工程量清单中各个子目的具体计量方法按本合同文件技术规范中的规定执行。</w:t>
      </w:r>
    </w:p>
    <w:p w14:paraId="5B23CBE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17.1.4单价子目的计量</w:t>
      </w:r>
    </w:p>
    <w:p w14:paraId="7A19AA7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本项补充：</w:t>
      </w:r>
    </w:p>
    <w:p w14:paraId="7D62861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(7)承包人未在已标价工程量清单中填入单价或总额价的工程子目，将被认为其已包含在本合同的其他子目的单价和总额价中，发包人将不另行支付。</w:t>
      </w:r>
    </w:p>
    <w:p w14:paraId="10E6A61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17.2预付款</w:t>
      </w:r>
    </w:p>
    <w:p w14:paraId="7A78EAB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本项目无预付款。</w:t>
      </w:r>
    </w:p>
    <w:p w14:paraId="3D18959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17.3工程进度付款</w:t>
      </w:r>
    </w:p>
    <w:p w14:paraId="07943E7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17.3.3进度付款证书和支付时间</w:t>
      </w:r>
    </w:p>
    <w:p w14:paraId="068F438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本项(1)目补充：</w:t>
      </w:r>
    </w:p>
    <w:p w14:paraId="2ED8D0C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如果该付款周期应结算的价款经扣留和扣回质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1143C77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本项(2)目约定为：</w:t>
      </w:r>
    </w:p>
    <w:p w14:paraId="500238F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发包人不按期支付的，按项目专用合同条款数据表中约定的利率向承包人支付逾期付款违约金。违约金计算基数为发包人的全部未付款额，时间从应付而未付该款额之日算起(不计复利)。</w:t>
      </w:r>
    </w:p>
    <w:p w14:paraId="0380142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17.4质量保证金</w:t>
      </w:r>
    </w:p>
    <w:p w14:paraId="265BBA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第17.4.1项细化为：</w:t>
      </w:r>
    </w:p>
    <w:p w14:paraId="0712256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应从第一个付款周期开始，在发包人的进度付款中，按项目专用合同条款数据表规定的百分比扣留质量保证金，直至扣留的质量保证金总额达到项目专用合同条款数据表规定的限额为止。质量保证金的计算额度不包括预付款的支付以及扣回的金额。</w:t>
      </w:r>
    </w:p>
    <w:p w14:paraId="39BE4A2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17.5交工结算</w:t>
      </w:r>
    </w:p>
    <w:p w14:paraId="1EB096E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17.5.1交工付款申请单</w:t>
      </w:r>
    </w:p>
    <w:p w14:paraId="24A35C8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本项(1)目约定为：</w:t>
      </w:r>
    </w:p>
    <w:p w14:paraId="6601C2D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承包人向监理人提交交工付款申请单(包括相关证明材料)的份数在项目专用合同条款数据表中约定。</w:t>
      </w:r>
    </w:p>
    <w:p w14:paraId="3B6B65F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17.6最终结清</w:t>
      </w:r>
    </w:p>
    <w:p w14:paraId="46F11F0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17.6.1最终结清申请单</w:t>
      </w:r>
    </w:p>
    <w:p w14:paraId="387312F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本项(1)目约定为：</w:t>
      </w:r>
    </w:p>
    <w:p w14:paraId="18344F4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承包人向监理人提交最终结清申请单(包括相关证明材料)的份数在项目专用合同条款数据表中约定；期限：缺陷责任期终止证书签发后。</w:t>
      </w:r>
    </w:p>
    <w:p w14:paraId="3591E40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最终结清申请单中的总金额应认为是代表了根据合同规定应付给承包人的全部款项的最后结算。</w:t>
      </w:r>
    </w:p>
    <w:p w14:paraId="6DF363C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18.交工验收</w:t>
      </w:r>
    </w:p>
    <w:p w14:paraId="61328F5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18.2交工验收申请报告</w:t>
      </w:r>
    </w:p>
    <w:p w14:paraId="214B236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本款第(2)项约定为：</w:t>
      </w:r>
    </w:p>
    <w:p w14:paraId="4CAEA35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竣工资料的内容：承包人应按照《公路工程竣(交)工验收办法》和相关规定编制竣工资料。</w:t>
      </w:r>
    </w:p>
    <w:p w14:paraId="38290D1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竣工资料的份数在项目专用合同条款数据表中约定。</w:t>
      </w:r>
    </w:p>
    <w:p w14:paraId="7D5A928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18.3验收</w:t>
      </w:r>
    </w:p>
    <w:p w14:paraId="3F79F93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第18.3.2项补充：</w:t>
      </w:r>
    </w:p>
    <w:p w14:paraId="4C19340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交工验收由发包人主持，由发包人、监理人、质监、设计、施工、运营、管理养护等有关部门代表组成交工验收小组，对本项目的工程质量进行评定，并写出交工验收报告报交通主管部门备案。承包人应按发包人的要求提交竣工资料，完成交工验收准备工作。</w:t>
      </w:r>
    </w:p>
    <w:p w14:paraId="5A05F9B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第18.3.5项约定为：</w:t>
      </w:r>
    </w:p>
    <w:p w14:paraId="1AEA74D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经验收合格工程的实际交工日期，以最终提交交工验收申请报告的日期为准，并在交工验收证书中写明。</w:t>
      </w:r>
    </w:p>
    <w:p w14:paraId="2D7A4B8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本款补充第18.3.7项：</w:t>
      </w:r>
    </w:p>
    <w:p w14:paraId="2A38F07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组织办理交工验收和签发交工验收证书的费用由发包人承担。但按照第18.3.4项规定达不到合格标准的交工验收费用由承包人承担。</w:t>
      </w:r>
    </w:p>
    <w:p w14:paraId="1E3069E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本条补充第18.9款：</w:t>
      </w:r>
    </w:p>
    <w:p w14:paraId="0BA66A2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18.9竣工文件</w:t>
      </w:r>
    </w:p>
    <w:p w14:paraId="5518B4B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承包人应按照《公路工程竣(交)工验收办法》的相关规定，在缺陷责任期内为竣工验收补充竣工资料，并在签发缺陷责任期终止证书之前提交。</w:t>
      </w:r>
    </w:p>
    <w:p w14:paraId="4488DE0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19．缺陷责任与保修责任</w:t>
      </w:r>
    </w:p>
    <w:p w14:paraId="76BDB2E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19.2缺陷责任</w:t>
      </w:r>
    </w:p>
    <w:p w14:paraId="664C95F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第19.2.2项补充：</w:t>
      </w:r>
    </w:p>
    <w:p w14:paraId="087FD92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在缺陷责任期内，承包人应尽快完成在交工验收证书中写明的未完成工作，并完成对本工程缺陷的修复或监理人指令的修补工作。</w:t>
      </w:r>
    </w:p>
    <w:p w14:paraId="07E694E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19.5承包人的进入权</w:t>
      </w:r>
    </w:p>
    <w:p w14:paraId="2200C0F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本款补充：</w:t>
      </w:r>
    </w:p>
    <w:p w14:paraId="7E796FF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承包人在缺陷修复施工过程中，应服从管养单位的有关安全管理规定，由于承包人自身原因造成的人员伤亡、设备和材料的损毁及罚款等责任由承包人自负。</w:t>
      </w:r>
    </w:p>
    <w:p w14:paraId="4285F2E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19.7保修责任</w:t>
      </w:r>
    </w:p>
    <w:p w14:paraId="5D0022B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本款细化为：</w:t>
      </w:r>
    </w:p>
    <w:p w14:paraId="001CAF1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47BFC0F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(2)在全部工程交工验收前，已经发包人提前验收的单位工程，其保修期的起算日期相应提前。</w:t>
      </w:r>
    </w:p>
    <w:p w14:paraId="78C4B31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(3)工程保修期终止后28天内，监理人签发保修期终止证书。</w:t>
      </w:r>
    </w:p>
    <w:p w14:paraId="3624885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(4)若承包人不履行保修义务和责任，则承包人应承担由于违约造成的法律后果。并由发包人将其违约行为上报省级交通主管部门，作为不良记录纳入公路建设市场信用信息管理系统。</w:t>
      </w:r>
    </w:p>
    <w:p w14:paraId="11A2959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20.保险</w:t>
      </w:r>
    </w:p>
    <w:p w14:paraId="31B72A8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20.1工程保险</w:t>
      </w:r>
    </w:p>
    <w:p w14:paraId="28DB1A9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本款约定为：</w:t>
      </w:r>
    </w:p>
    <w:p w14:paraId="01D7FC0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建筑工程一切险的投保内容：为本合同工程的永久工程、临时工程和设备及已运至施工工地用于永久工程的材料和设备所投的保险。</w:t>
      </w:r>
    </w:p>
    <w:p w14:paraId="3B3F394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保险金额：工程量清单第100章(不含建筑工程一切险及第三者责任险的保险费)至700章的合计金额。</w:t>
      </w:r>
    </w:p>
    <w:p w14:paraId="6298B05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保险费率：在项目专用合同条款数据表中约定。</w:t>
      </w:r>
    </w:p>
    <w:p w14:paraId="731B134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保险期限：开工日起至本合同工程签发缺陷责任期终止证书止(即合同工期+缺陷责任期)。</w:t>
      </w:r>
    </w:p>
    <w:p w14:paraId="322D492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承包人应以发包人和承包人的共同名义投保建筑工程一切险。建筑工程一切险的保险费由承包人报价时列入工程量清单100章内。发包人在接到保险单后，将按照保险单的费用直接向承包人支付。</w:t>
      </w:r>
    </w:p>
    <w:p w14:paraId="4BEDC48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20.4第三者责任险</w:t>
      </w:r>
    </w:p>
    <w:p w14:paraId="2696140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第20.4.2项补充：</w:t>
      </w:r>
    </w:p>
    <w:p w14:paraId="1D4579D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第三者责任险的保险费由承包人报价时列入工程量清单100章内。发包人在接到保险单后，将按照保险单的费用直接向承包人支付。</w:t>
      </w:r>
    </w:p>
    <w:p w14:paraId="0BB05C1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20.5其他保险</w:t>
      </w:r>
    </w:p>
    <w:p w14:paraId="3E9E4F1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本款约定为：</w:t>
      </w:r>
    </w:p>
    <w:p w14:paraId="140A3F0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承包人应为其施工设备等办理保险，其投保金额应足以现场重置。办理本款保险的一切费用均由承包人承担，并包括在工程量清单的单价及总额价中，发包人不单独支付。</w:t>
      </w:r>
    </w:p>
    <w:p w14:paraId="570FD26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20.6对各项保险的一般要求</w:t>
      </w:r>
    </w:p>
    <w:p w14:paraId="552BC95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20.6.1保险凭证</w:t>
      </w:r>
    </w:p>
    <w:p w14:paraId="6D409E7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本项约定为：</w:t>
      </w:r>
    </w:p>
    <w:p w14:paraId="1E3D4DE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承包人向发包人提交各项保险生效的证据和保险单副本的期限：开工后60天内。</w:t>
      </w:r>
    </w:p>
    <w:p w14:paraId="56F4DF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20.6.3持续保险 </w:t>
      </w:r>
    </w:p>
    <w:p w14:paraId="569CCCF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本目补充：</w:t>
      </w:r>
    </w:p>
    <w:p w14:paraId="33943D2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在整个合同期内，承包人应按合同条款规定保证足够的保险额。</w:t>
      </w:r>
    </w:p>
    <w:p w14:paraId="73FF4DA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20.6.4保险金不足的补偿</w:t>
      </w:r>
    </w:p>
    <w:p w14:paraId="38358B4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本项细化为：</w:t>
      </w:r>
    </w:p>
    <w:p w14:paraId="1C3459E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保险金不足以补偿损失的(包括免赔额和超过赂偿限额的部分)，应由承包人和(或)发包人按合同约定负责补偿。</w:t>
      </w:r>
    </w:p>
    <w:p w14:paraId="2F72E23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20.6.5未按约定投保的补救</w:t>
      </w:r>
    </w:p>
    <w:p w14:paraId="5A6C983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本项(2)目细化为：</w:t>
      </w:r>
    </w:p>
    <w:p w14:paraId="5C6AA17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3CE42ED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21.不可抗力</w:t>
      </w:r>
    </w:p>
    <w:p w14:paraId="6A7EA57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21.1不可抗力的确认</w:t>
      </w:r>
    </w:p>
    <w:p w14:paraId="5B82357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21.1.1项细化为：</w:t>
      </w:r>
    </w:p>
    <w:p w14:paraId="4683995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不可抗力是指承包人和发包人在订立合同时不可预见，在工程施工过程中不可避免发生并不能克服的自然灾害和社会性突发事件。包括但不限于：</w:t>
      </w:r>
    </w:p>
    <w:p w14:paraId="72D83AC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(1)地震、海啸、火山爆发、泥石流、暴雨(雪)、台风、龙卷风、水灾等自然灾害；</w:t>
      </w:r>
    </w:p>
    <w:p w14:paraId="7CD4469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(2)战争、骚乱、暴动，但纯属承包人或其分包人派遣与雇用的人员由于本合同工程施工原因引起者除外；</w:t>
      </w:r>
    </w:p>
    <w:p w14:paraId="2BE09D8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(3)核反应、辐射或放射性污染；</w:t>
      </w:r>
    </w:p>
    <w:p w14:paraId="6FF921D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(4)空中飞行物体坠落或非发包人或承包人责任造成的爆炸、火灾；</w:t>
      </w:r>
    </w:p>
    <w:p w14:paraId="681D509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(5)瘟疫；</w:t>
      </w:r>
    </w:p>
    <w:p w14:paraId="361D151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(6)项目专用合同条款约定的其他情形。</w:t>
      </w:r>
    </w:p>
    <w:p w14:paraId="42154C3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21.3不可抗力后果及其处理</w:t>
      </w:r>
    </w:p>
    <w:p w14:paraId="70BC9F2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21.3.4因不可抗力解除合同</w:t>
      </w:r>
    </w:p>
    <w:p w14:paraId="49EAAF3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本项细化为：</w:t>
      </w:r>
    </w:p>
    <w:p w14:paraId="29E949E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一方当事人因不可抗力不能履行合同的，应当及时通知对方解除合同。合同解除后，承包人应按照第22.2.5项约定撤离施工场地。已经订货的材料、设备由订货方负责退货或解除订货合同，不能退还的贷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62948F6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22.违约</w:t>
      </w:r>
    </w:p>
    <w:p w14:paraId="0F32B8F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22.1承包人违约</w:t>
      </w:r>
    </w:p>
    <w:p w14:paraId="6ACC82A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22.1.1承包人违约的情形</w:t>
      </w:r>
    </w:p>
    <w:p w14:paraId="5EDB625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本项(2)目细化为：</w:t>
      </w:r>
    </w:p>
    <w:p w14:paraId="174D555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(2)承包人违反第5.3款或第6.4款的约定，未经监理人批准，私自将已按合同约定进入施工场地的施工设备、临时设施、材料或工程设备撤离施工场地；</w:t>
      </w:r>
    </w:p>
    <w:p w14:paraId="4A7014B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本项(7)目细化为：</w:t>
      </w:r>
    </w:p>
    <w:p w14:paraId="207EA93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(7)承包人未能按期开工；</w:t>
      </w:r>
    </w:p>
    <w:p w14:paraId="5D3582D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(8)承包人违反第4.6款或6.3款的规定，未按承诺或未按监理人的要求及时配备称职的主要管理人员、技术骨干或关键施工设备：</w:t>
      </w:r>
    </w:p>
    <w:p w14:paraId="39513E7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(9)经监理人和发包人检查，发现承包人有安全问题或有违反安全管理规章制度的情况</w:t>
      </w:r>
    </w:p>
    <w:p w14:paraId="470E0D4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(10)承包人不按合同约定履行义务的其他情况。</w:t>
      </w:r>
    </w:p>
    <w:p w14:paraId="4ECABA2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22.1.2对承包人违约的处理</w:t>
      </w:r>
    </w:p>
    <w:p w14:paraId="6114EDB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本项补充：</w:t>
      </w:r>
    </w:p>
    <w:p w14:paraId="64D1FE6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承包人发生第22.1.1项约定的违约情况时，无论发包人是否解除合同，发包人均有权向承包人课以项目专用合同条款中规定的违约金，并由发包人将其违约行为上报省级交通主管部门，作为不良记录纳入公路建设市场信用信息管理系统。</w:t>
      </w:r>
    </w:p>
    <w:p w14:paraId="61FA475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22.2发包人违约</w:t>
      </w:r>
    </w:p>
    <w:p w14:paraId="344B90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22.2.4解除合同后的付款</w:t>
      </w:r>
    </w:p>
    <w:p w14:paraId="1811EDC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本项(2)目细化为：</w:t>
      </w:r>
    </w:p>
    <w:p w14:paraId="5764F9C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(2)承包人为该工程施工订购并已付款的材料、工程设备和其他物品的金额。发包人付款后，该材料、工程设备和其他物品归发包人所有；</w:t>
      </w:r>
    </w:p>
    <w:p w14:paraId="3F24FF0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23.索赔</w:t>
      </w:r>
    </w:p>
    <w:p w14:paraId="158FE7F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23.1承包入索赔的提出</w:t>
      </w:r>
    </w:p>
    <w:p w14:paraId="7AFD430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本款第(4)项细化为：</w:t>
      </w:r>
    </w:p>
    <w:p w14:paraId="5886CE6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(4)在索赔事件影响结束后的28天内，承包人应向监理人递交最终索赔通知书，说明最终要求索赔的追加付款金额和(或)延长的工期，并附必要的记录和证明材料。</w:t>
      </w:r>
    </w:p>
    <w:p w14:paraId="00C1DAE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23.2承包人索赔处理程序</w:t>
      </w:r>
    </w:p>
    <w:p w14:paraId="311E989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本款第(2)项细化为：</w:t>
      </w:r>
    </w:p>
    <w:p w14:paraId="33B30F5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14:paraId="4EE53BB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24.争议的解决</w:t>
      </w:r>
    </w:p>
    <w:p w14:paraId="3BC9571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24.3争议评审</w:t>
      </w:r>
    </w:p>
    <w:p w14:paraId="692E989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第24.3.1项补充：</w:t>
      </w:r>
    </w:p>
    <w:p w14:paraId="1969399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争议评审组由3人或5人组成，专家的聘请方法可由发包人和承包人共同协商确定，亦可请政府主管部门推荐或通过合同争议调解机构聘请，并经双方认同。争议评审组成员应与合同双方均无利窖关系。争议评审组的各项费用由发包人和承包人平均分担。</w:t>
      </w:r>
    </w:p>
    <w:p w14:paraId="469E793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本条补充第24.4、第24.5款(适用于采用仲裁方式最终解决争议的项目)：</w:t>
      </w:r>
    </w:p>
    <w:p w14:paraId="6208FEF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24.4仲裁</w:t>
      </w:r>
    </w:p>
    <w:p w14:paraId="683A924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(1)对于未能友好解决或未能通过争议评审解决的争议，发包人或承包人任一方均有权提交给第24.1款约定的仲裁委员会仲裁。</w:t>
      </w:r>
    </w:p>
    <w:p w14:paraId="63BBC33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7D0461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(3)仲裁裁决是终局性的并对发包人和承包人双方具有约束力。</w:t>
      </w:r>
    </w:p>
    <w:p w14:paraId="3D21EED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(4)全部仲裁费用应由败诉方承担；或按仲裁委员会裁决的比例分担。</w:t>
      </w:r>
    </w:p>
    <w:p w14:paraId="2AE3B6A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24.5仲裁的执行</w:t>
      </w:r>
    </w:p>
    <w:p w14:paraId="597259B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(1)任何一方不履行仲裁机构的裁决的，对方可以向有管辖权的人民法院申请执行。</w:t>
      </w:r>
    </w:p>
    <w:p w14:paraId="5A8081E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两仲裁协议重新申请仲裁，也可以向人民法院上诉。</w:t>
      </w:r>
    </w:p>
    <w:p w14:paraId="03D96386">
      <w:pPr>
        <w:keepNext/>
        <w:keepLines/>
        <w:spacing w:before="260" w:after="260" w:line="360" w:lineRule="auto"/>
        <w:jc w:val="center"/>
        <w:outlineLvl w:val="1"/>
        <w:rPr>
          <w:rFonts w:ascii="Times New Roman" w:hAnsi="Times New Roman" w:eastAsia="宋体" w:cs="Times New Roman"/>
          <w:b/>
          <w:color w:val="auto"/>
          <w:sz w:val="32"/>
          <w:szCs w:val="32"/>
        </w:rPr>
      </w:pPr>
      <w:r>
        <w:rPr>
          <w:rFonts w:ascii="宋体" w:cs="宋体"/>
          <w:color w:val="auto"/>
          <w:sz w:val="21"/>
          <w:szCs w:val="21"/>
        </w:rPr>
        <w:br w:type="page"/>
      </w:r>
      <w:bookmarkStart w:id="997" w:name="_Toc145679957"/>
      <w:bookmarkStart w:id="998" w:name="_Toc25901"/>
      <w:bookmarkStart w:id="999" w:name="_Toc12703"/>
      <w:r>
        <w:rPr>
          <w:rFonts w:ascii="Times New Roman" w:hAnsi="Times New Roman" w:eastAsia="宋体" w:cs="Times New Roman"/>
          <w:b/>
          <w:color w:val="auto"/>
          <w:sz w:val="32"/>
          <w:szCs w:val="32"/>
        </w:rPr>
        <w:t xml:space="preserve">B </w:t>
      </w:r>
      <w:r>
        <w:rPr>
          <w:rFonts w:hint="eastAsia" w:ascii="Times New Roman" w:hAnsi="Times New Roman" w:eastAsia="宋体" w:cs="Times New Roman"/>
          <w:b/>
          <w:color w:val="auto"/>
          <w:sz w:val="32"/>
          <w:szCs w:val="32"/>
        </w:rPr>
        <w:t>项目专用合同条款</w:t>
      </w:r>
      <w:bookmarkEnd w:id="997"/>
      <w:bookmarkEnd w:id="998"/>
      <w:bookmarkEnd w:id="999"/>
    </w:p>
    <w:p w14:paraId="41411714">
      <w:pPr>
        <w:spacing w:line="360" w:lineRule="auto"/>
        <w:rPr>
          <w:rFonts w:ascii="楷体" w:eastAsia="楷体"/>
          <w:b/>
          <w:color w:val="auto"/>
          <w:sz w:val="21"/>
          <w:szCs w:val="21"/>
        </w:rPr>
      </w:pPr>
      <w:r>
        <w:rPr>
          <w:rFonts w:hint="eastAsia" w:ascii="黑体" w:eastAsia="黑体"/>
          <w:color w:val="auto"/>
          <w:sz w:val="21"/>
          <w:szCs w:val="21"/>
        </w:rPr>
        <w:t>说明：</w:t>
      </w:r>
    </w:p>
    <w:p w14:paraId="1B5F758D">
      <w:pPr>
        <w:spacing w:line="360" w:lineRule="auto"/>
        <w:ind w:firstLine="420" w:firstLineChars="200"/>
        <w:rPr>
          <w:color w:val="auto"/>
          <w:sz w:val="21"/>
          <w:szCs w:val="21"/>
        </w:rPr>
      </w:pPr>
      <w:r>
        <w:rPr>
          <w:color w:val="auto"/>
          <w:sz w:val="21"/>
          <w:szCs w:val="21"/>
        </w:rPr>
        <w:t>1</w:t>
      </w:r>
      <w:r>
        <w:rPr>
          <w:rFonts w:hint="eastAsia"/>
          <w:color w:val="auto"/>
          <w:sz w:val="21"/>
          <w:szCs w:val="21"/>
        </w:rPr>
        <w:t>．招标人在根据《公路工程标准施工招标文件》编制项目招标文件中的</w:t>
      </w:r>
      <w:r>
        <w:rPr>
          <w:color w:val="auto"/>
          <w:sz w:val="21"/>
          <w:szCs w:val="21"/>
          <w:cs/>
        </w:rPr>
        <w:t>“</w:t>
      </w:r>
      <w:r>
        <w:rPr>
          <w:rFonts w:hint="eastAsia"/>
          <w:color w:val="auto"/>
          <w:sz w:val="21"/>
          <w:szCs w:val="21"/>
        </w:rPr>
        <w:t>项目专用合同条款</w:t>
      </w:r>
      <w:r>
        <w:rPr>
          <w:color w:val="auto"/>
          <w:sz w:val="21"/>
          <w:szCs w:val="21"/>
          <w:cs/>
        </w:rPr>
        <w:t>”</w:t>
      </w:r>
      <w:r>
        <w:rPr>
          <w:rFonts w:hint="eastAsia"/>
          <w:color w:val="auto"/>
          <w:sz w:val="21"/>
          <w:szCs w:val="21"/>
        </w:rPr>
        <w:t>时，可根据招标项目的具体特点和实际需要，对</w:t>
      </w:r>
      <w:r>
        <w:rPr>
          <w:color w:val="auto"/>
          <w:sz w:val="21"/>
          <w:szCs w:val="21"/>
          <w:cs/>
        </w:rPr>
        <w:t>“</w:t>
      </w:r>
      <w:r>
        <w:rPr>
          <w:rFonts w:hint="eastAsia"/>
          <w:color w:val="auto"/>
          <w:sz w:val="21"/>
          <w:szCs w:val="21"/>
        </w:rPr>
        <w:t>通用合同务款</w:t>
      </w:r>
      <w:r>
        <w:rPr>
          <w:color w:val="auto"/>
          <w:sz w:val="21"/>
          <w:szCs w:val="21"/>
          <w:cs/>
        </w:rPr>
        <w:t>”</w:t>
      </w:r>
      <w:r>
        <w:rPr>
          <w:rFonts w:hint="eastAsia"/>
          <w:color w:val="auto"/>
          <w:sz w:val="21"/>
          <w:szCs w:val="21"/>
        </w:rPr>
        <w:t>及</w:t>
      </w:r>
      <w:r>
        <w:rPr>
          <w:color w:val="auto"/>
          <w:sz w:val="21"/>
          <w:szCs w:val="21"/>
          <w:cs/>
        </w:rPr>
        <w:t>“</w:t>
      </w:r>
      <w:r>
        <w:rPr>
          <w:rFonts w:hint="eastAsia"/>
          <w:color w:val="auto"/>
          <w:sz w:val="21"/>
          <w:szCs w:val="21"/>
        </w:rPr>
        <w:t>公路工程专用合同条款</w:t>
      </w:r>
      <w:r>
        <w:rPr>
          <w:color w:val="auto"/>
          <w:sz w:val="21"/>
          <w:szCs w:val="21"/>
          <w:cs/>
        </w:rPr>
        <w:t>”</w:t>
      </w:r>
      <w:r>
        <w:rPr>
          <w:rFonts w:hint="eastAsia"/>
          <w:color w:val="auto"/>
          <w:sz w:val="21"/>
          <w:szCs w:val="21"/>
        </w:rPr>
        <w:t>进行补充和细化，除</w:t>
      </w:r>
      <w:r>
        <w:rPr>
          <w:color w:val="auto"/>
          <w:sz w:val="21"/>
          <w:szCs w:val="21"/>
          <w:cs/>
        </w:rPr>
        <w:t>“</w:t>
      </w:r>
      <w:r>
        <w:rPr>
          <w:rFonts w:hint="eastAsia"/>
          <w:color w:val="auto"/>
          <w:sz w:val="21"/>
          <w:szCs w:val="21"/>
        </w:rPr>
        <w:t>通用合同条款</w:t>
      </w:r>
      <w:r>
        <w:rPr>
          <w:color w:val="auto"/>
          <w:sz w:val="21"/>
          <w:szCs w:val="21"/>
          <w:cs/>
        </w:rPr>
        <w:t>”</w:t>
      </w:r>
      <w:r>
        <w:rPr>
          <w:rFonts w:hint="eastAsia"/>
          <w:color w:val="auto"/>
          <w:sz w:val="21"/>
          <w:szCs w:val="21"/>
        </w:rPr>
        <w:t>明确</w:t>
      </w:r>
      <w:r>
        <w:rPr>
          <w:color w:val="auto"/>
          <w:sz w:val="21"/>
          <w:szCs w:val="21"/>
          <w:cs/>
        </w:rPr>
        <w:t>“</w:t>
      </w:r>
      <w:r>
        <w:rPr>
          <w:rFonts w:hint="eastAsia"/>
          <w:color w:val="auto"/>
          <w:sz w:val="21"/>
          <w:szCs w:val="21"/>
        </w:rPr>
        <w:t>专用合同条款</w:t>
      </w:r>
      <w:r>
        <w:rPr>
          <w:color w:val="auto"/>
          <w:sz w:val="21"/>
          <w:szCs w:val="21"/>
          <w:cs/>
        </w:rPr>
        <w:t>”</w:t>
      </w:r>
      <w:r>
        <w:rPr>
          <w:rFonts w:hint="eastAsia"/>
          <w:color w:val="auto"/>
          <w:sz w:val="21"/>
          <w:szCs w:val="21"/>
        </w:rPr>
        <w:t>可作出不同约定以及</w:t>
      </w:r>
      <w:r>
        <w:rPr>
          <w:color w:val="auto"/>
          <w:sz w:val="21"/>
          <w:szCs w:val="21"/>
          <w:cs/>
        </w:rPr>
        <w:t>“</w:t>
      </w:r>
      <w:r>
        <w:rPr>
          <w:rFonts w:hint="eastAsia"/>
          <w:color w:val="auto"/>
          <w:sz w:val="21"/>
          <w:szCs w:val="21"/>
        </w:rPr>
        <w:t>公路工程专用合同条款</w:t>
      </w:r>
      <w:r>
        <w:rPr>
          <w:color w:val="auto"/>
          <w:sz w:val="21"/>
          <w:szCs w:val="21"/>
          <w:cs/>
        </w:rPr>
        <w:t>”</w:t>
      </w:r>
      <w:r>
        <w:rPr>
          <w:rFonts w:hint="eastAsia"/>
          <w:color w:val="auto"/>
          <w:sz w:val="21"/>
          <w:szCs w:val="21"/>
        </w:rPr>
        <w:t>明确</w:t>
      </w:r>
      <w:r>
        <w:rPr>
          <w:color w:val="auto"/>
          <w:sz w:val="21"/>
          <w:szCs w:val="21"/>
          <w:cs/>
        </w:rPr>
        <w:t>“</w:t>
      </w:r>
      <w:r>
        <w:rPr>
          <w:rFonts w:hint="eastAsia"/>
          <w:color w:val="auto"/>
          <w:sz w:val="21"/>
          <w:szCs w:val="21"/>
        </w:rPr>
        <w:t>项目专用合同条款</w:t>
      </w:r>
      <w:r>
        <w:rPr>
          <w:color w:val="auto"/>
          <w:sz w:val="21"/>
          <w:szCs w:val="21"/>
          <w:cs/>
        </w:rPr>
        <w:t>”</w:t>
      </w:r>
      <w:r>
        <w:rPr>
          <w:rFonts w:hint="eastAsia"/>
          <w:color w:val="auto"/>
          <w:sz w:val="21"/>
          <w:szCs w:val="21"/>
        </w:rPr>
        <w:t>可作出不同约定外，补充和细化的内容不得与</w:t>
      </w:r>
      <w:r>
        <w:rPr>
          <w:color w:val="auto"/>
          <w:sz w:val="21"/>
          <w:szCs w:val="21"/>
          <w:cs/>
        </w:rPr>
        <w:t>“</w:t>
      </w:r>
      <w:r>
        <w:rPr>
          <w:rFonts w:hint="eastAsia"/>
          <w:color w:val="auto"/>
          <w:sz w:val="21"/>
          <w:szCs w:val="21"/>
        </w:rPr>
        <w:t>通用合同条款</w:t>
      </w:r>
      <w:r>
        <w:rPr>
          <w:color w:val="auto"/>
          <w:sz w:val="21"/>
          <w:szCs w:val="21"/>
          <w:cs/>
        </w:rPr>
        <w:t>”</w:t>
      </w:r>
      <w:r>
        <w:rPr>
          <w:rFonts w:hint="eastAsia"/>
          <w:color w:val="auto"/>
          <w:sz w:val="21"/>
          <w:szCs w:val="21"/>
        </w:rPr>
        <w:t>及</w:t>
      </w:r>
      <w:r>
        <w:rPr>
          <w:color w:val="auto"/>
          <w:sz w:val="21"/>
          <w:szCs w:val="21"/>
          <w:cs/>
        </w:rPr>
        <w:t>“</w:t>
      </w:r>
      <w:r>
        <w:rPr>
          <w:rFonts w:hint="eastAsia"/>
          <w:color w:val="auto"/>
          <w:sz w:val="21"/>
          <w:szCs w:val="21"/>
        </w:rPr>
        <w:t>公路工程专用合同条款</w:t>
      </w:r>
      <w:r>
        <w:rPr>
          <w:color w:val="auto"/>
          <w:sz w:val="21"/>
          <w:szCs w:val="21"/>
          <w:cs/>
        </w:rPr>
        <w:t>”</w:t>
      </w:r>
      <w:r>
        <w:rPr>
          <w:rFonts w:hint="eastAsia"/>
          <w:color w:val="auto"/>
          <w:sz w:val="21"/>
          <w:szCs w:val="21"/>
        </w:rPr>
        <w:t>强制性规定相抵触。同时，补充、细化或约定的不同内容，不得违反法律、行政法规的强制性规定和平等、自愿、公平和诚实信用原则。</w:t>
      </w:r>
    </w:p>
    <w:p w14:paraId="4E1424B9">
      <w:pPr>
        <w:spacing w:line="360" w:lineRule="auto"/>
        <w:ind w:firstLine="420" w:firstLineChars="200"/>
        <w:rPr>
          <w:color w:val="auto"/>
          <w:sz w:val="21"/>
          <w:szCs w:val="21"/>
        </w:rPr>
      </w:pPr>
      <w:r>
        <w:rPr>
          <w:color w:val="auto"/>
          <w:sz w:val="21"/>
          <w:szCs w:val="21"/>
        </w:rPr>
        <w:t>2</w:t>
      </w:r>
      <w:r>
        <w:rPr>
          <w:rFonts w:hint="eastAsia"/>
          <w:color w:val="auto"/>
          <w:sz w:val="21"/>
          <w:szCs w:val="21"/>
        </w:rPr>
        <w:t>．项目专用合同条款的编号应与通用合同条款和公路工程专用合同条款一致。</w:t>
      </w:r>
    </w:p>
    <w:p w14:paraId="4E236876">
      <w:pPr>
        <w:spacing w:line="360" w:lineRule="auto"/>
        <w:ind w:firstLine="420" w:firstLineChars="200"/>
        <w:rPr>
          <w:color w:val="auto"/>
          <w:sz w:val="21"/>
          <w:szCs w:val="21"/>
        </w:rPr>
      </w:pPr>
      <w:r>
        <w:rPr>
          <w:color w:val="auto"/>
          <w:sz w:val="21"/>
          <w:szCs w:val="21"/>
        </w:rPr>
        <w:t>3</w:t>
      </w:r>
      <w:r>
        <w:rPr>
          <w:rFonts w:hint="eastAsia"/>
          <w:color w:val="auto"/>
          <w:sz w:val="21"/>
          <w:szCs w:val="21"/>
        </w:rPr>
        <w:t>．项目专用合同条款可对下列内容进行补充和细化：</w:t>
      </w:r>
    </w:p>
    <w:p w14:paraId="6DFB573A">
      <w:pPr>
        <w:spacing w:line="360" w:lineRule="auto"/>
        <w:ind w:firstLine="420" w:firstLineChars="200"/>
        <w:rPr>
          <w:color w:val="auto"/>
          <w:sz w:val="21"/>
          <w:szCs w:val="21"/>
        </w:rPr>
      </w:pPr>
      <w:r>
        <w:rPr>
          <w:color w:val="auto"/>
          <w:sz w:val="21"/>
          <w:szCs w:val="21"/>
        </w:rPr>
        <w:t>(1)“</w:t>
      </w:r>
      <w:r>
        <w:rPr>
          <w:rFonts w:hint="eastAsia"/>
          <w:color w:val="auto"/>
          <w:sz w:val="21"/>
          <w:szCs w:val="21"/>
        </w:rPr>
        <w:t>通用合同务款</w:t>
      </w:r>
      <w:r>
        <w:rPr>
          <w:color w:val="auto"/>
          <w:sz w:val="21"/>
          <w:szCs w:val="21"/>
          <w:cs/>
        </w:rPr>
        <w:t>”</w:t>
      </w:r>
      <w:r>
        <w:rPr>
          <w:rFonts w:hint="eastAsia"/>
          <w:color w:val="auto"/>
          <w:sz w:val="21"/>
          <w:szCs w:val="21"/>
        </w:rPr>
        <w:t>中明确指出</w:t>
      </w:r>
      <w:r>
        <w:rPr>
          <w:color w:val="auto"/>
          <w:sz w:val="21"/>
          <w:szCs w:val="21"/>
          <w:cs/>
        </w:rPr>
        <w:t>‘‘</w:t>
      </w:r>
      <w:r>
        <w:rPr>
          <w:rFonts w:hint="eastAsia"/>
          <w:color w:val="auto"/>
          <w:sz w:val="21"/>
          <w:szCs w:val="21"/>
        </w:rPr>
        <w:t>专用合同条款</w:t>
      </w:r>
      <w:r>
        <w:rPr>
          <w:color w:val="auto"/>
          <w:sz w:val="21"/>
          <w:szCs w:val="21"/>
          <w:cs/>
        </w:rPr>
        <w:t>”</w:t>
      </w:r>
      <w:r>
        <w:rPr>
          <w:rFonts w:hint="eastAsia"/>
          <w:color w:val="auto"/>
          <w:sz w:val="21"/>
          <w:szCs w:val="21"/>
        </w:rPr>
        <w:t>可对</w:t>
      </w:r>
      <w:r>
        <w:rPr>
          <w:color w:val="auto"/>
          <w:sz w:val="21"/>
          <w:szCs w:val="21"/>
          <w:cs/>
        </w:rPr>
        <w:t>“</w:t>
      </w:r>
      <w:r>
        <w:rPr>
          <w:rFonts w:hint="eastAsia"/>
          <w:color w:val="auto"/>
          <w:sz w:val="21"/>
          <w:szCs w:val="21"/>
        </w:rPr>
        <w:t>通用合同条款</w:t>
      </w:r>
      <w:r>
        <w:rPr>
          <w:color w:val="auto"/>
          <w:sz w:val="21"/>
          <w:szCs w:val="21"/>
          <w:cs/>
        </w:rPr>
        <w:t>”</w:t>
      </w:r>
      <w:r>
        <w:rPr>
          <w:rFonts w:hint="eastAsia"/>
          <w:color w:val="auto"/>
          <w:sz w:val="21"/>
          <w:szCs w:val="21"/>
        </w:rPr>
        <w:t>进行修改的内容</w:t>
      </w:r>
      <w:r>
        <w:rPr>
          <w:color w:val="auto"/>
          <w:sz w:val="21"/>
          <w:szCs w:val="21"/>
        </w:rPr>
        <w:t>(</w:t>
      </w:r>
      <w:r>
        <w:rPr>
          <w:rFonts w:hint="eastAsia"/>
          <w:color w:val="auto"/>
          <w:sz w:val="21"/>
          <w:szCs w:val="21"/>
        </w:rPr>
        <w:t>在</w:t>
      </w:r>
      <w:r>
        <w:rPr>
          <w:color w:val="auto"/>
          <w:sz w:val="21"/>
          <w:szCs w:val="21"/>
          <w:cs/>
        </w:rPr>
        <w:t>“</w:t>
      </w:r>
      <w:r>
        <w:rPr>
          <w:rFonts w:hint="eastAsia"/>
          <w:color w:val="auto"/>
          <w:sz w:val="21"/>
          <w:szCs w:val="21"/>
        </w:rPr>
        <w:t>通用合同条款</w:t>
      </w:r>
      <w:r>
        <w:rPr>
          <w:color w:val="auto"/>
          <w:sz w:val="21"/>
          <w:szCs w:val="21"/>
          <w:cs/>
        </w:rPr>
        <w:t>”</w:t>
      </w:r>
      <w:r>
        <w:rPr>
          <w:rFonts w:hint="eastAsia"/>
          <w:color w:val="auto"/>
          <w:sz w:val="21"/>
          <w:szCs w:val="21"/>
        </w:rPr>
        <w:t>中用</w:t>
      </w:r>
      <w:r>
        <w:rPr>
          <w:color w:val="auto"/>
          <w:sz w:val="21"/>
          <w:szCs w:val="21"/>
          <w:cs/>
        </w:rPr>
        <w:t>“</w:t>
      </w:r>
      <w:r>
        <w:rPr>
          <w:rFonts w:hint="eastAsia"/>
          <w:color w:val="auto"/>
          <w:sz w:val="21"/>
          <w:szCs w:val="21"/>
        </w:rPr>
        <w:t>应按合同约定</w:t>
      </w:r>
      <w:r>
        <w:rPr>
          <w:color w:val="auto"/>
          <w:sz w:val="21"/>
          <w:szCs w:val="21"/>
          <w:cs/>
        </w:rPr>
        <w:t>”</w:t>
      </w:r>
      <w:r>
        <w:rPr>
          <w:rFonts w:hint="eastAsia"/>
          <w:color w:val="auto"/>
          <w:sz w:val="21"/>
          <w:szCs w:val="21"/>
        </w:rPr>
        <w:t>、</w:t>
      </w:r>
      <w:r>
        <w:rPr>
          <w:color w:val="auto"/>
          <w:sz w:val="21"/>
          <w:szCs w:val="21"/>
          <w:cs/>
        </w:rPr>
        <w:t>“</w:t>
      </w:r>
      <w:r>
        <w:rPr>
          <w:rFonts w:hint="eastAsia"/>
          <w:color w:val="auto"/>
          <w:sz w:val="21"/>
          <w:szCs w:val="21"/>
        </w:rPr>
        <w:t>应按专用合同条款约定</w:t>
      </w:r>
      <w:r>
        <w:rPr>
          <w:color w:val="auto"/>
          <w:sz w:val="21"/>
          <w:szCs w:val="21"/>
          <w:cs/>
        </w:rPr>
        <w:t>”“</w:t>
      </w:r>
      <w:r>
        <w:rPr>
          <w:rFonts w:hint="eastAsia"/>
          <w:color w:val="auto"/>
          <w:sz w:val="21"/>
          <w:szCs w:val="21"/>
        </w:rPr>
        <w:t>除合同另有约定外</w:t>
      </w:r>
      <w:r>
        <w:rPr>
          <w:color w:val="auto"/>
          <w:sz w:val="21"/>
          <w:szCs w:val="21"/>
          <w:cs/>
        </w:rPr>
        <w:t>”</w:t>
      </w:r>
      <w:r>
        <w:rPr>
          <w:rFonts w:hint="eastAsia"/>
          <w:color w:val="auto"/>
          <w:sz w:val="21"/>
          <w:szCs w:val="21"/>
        </w:rPr>
        <w:t>、</w:t>
      </w:r>
      <w:r>
        <w:rPr>
          <w:color w:val="auto"/>
          <w:sz w:val="21"/>
          <w:szCs w:val="21"/>
          <w:cs/>
        </w:rPr>
        <w:t>“</w:t>
      </w:r>
      <w:r>
        <w:rPr>
          <w:rFonts w:hint="eastAsia"/>
          <w:color w:val="auto"/>
          <w:sz w:val="21"/>
          <w:szCs w:val="21"/>
        </w:rPr>
        <w:t>除专用合同条款另有约定外</w:t>
      </w:r>
      <w:r>
        <w:rPr>
          <w:color w:val="auto"/>
          <w:sz w:val="21"/>
          <w:szCs w:val="21"/>
          <w:cs/>
        </w:rPr>
        <w:t>”</w:t>
      </w:r>
      <w:r>
        <w:rPr>
          <w:rFonts w:hint="eastAsia"/>
          <w:color w:val="auto"/>
          <w:sz w:val="21"/>
          <w:szCs w:val="21"/>
        </w:rPr>
        <w:t>、</w:t>
      </w:r>
      <w:r>
        <w:rPr>
          <w:color w:val="auto"/>
          <w:sz w:val="21"/>
          <w:szCs w:val="21"/>
          <w:cs/>
        </w:rPr>
        <w:t>“</w:t>
      </w:r>
      <w:r>
        <w:rPr>
          <w:rFonts w:hint="eastAsia"/>
          <w:color w:val="auto"/>
          <w:sz w:val="21"/>
          <w:szCs w:val="21"/>
        </w:rPr>
        <w:t>在专用合同条款中约定</w:t>
      </w:r>
      <w:r>
        <w:rPr>
          <w:color w:val="auto"/>
          <w:sz w:val="21"/>
          <w:szCs w:val="21"/>
          <w:cs/>
        </w:rPr>
        <w:t>”</w:t>
      </w:r>
      <w:r>
        <w:rPr>
          <w:rFonts w:hint="eastAsia"/>
          <w:color w:val="auto"/>
          <w:sz w:val="21"/>
          <w:szCs w:val="21"/>
        </w:rPr>
        <w:t>等多种文字形式表达</w:t>
      </w:r>
      <w:r>
        <w:rPr>
          <w:color w:val="auto"/>
          <w:sz w:val="21"/>
          <w:szCs w:val="21"/>
        </w:rPr>
        <w:t>)</w:t>
      </w:r>
      <w:r>
        <w:rPr>
          <w:rFonts w:hint="eastAsia"/>
          <w:color w:val="auto"/>
          <w:sz w:val="21"/>
          <w:szCs w:val="21"/>
        </w:rPr>
        <w:t>；</w:t>
      </w:r>
    </w:p>
    <w:p w14:paraId="70BC6D34">
      <w:pPr>
        <w:spacing w:line="360" w:lineRule="auto"/>
        <w:ind w:firstLine="420" w:firstLineChars="200"/>
        <w:rPr>
          <w:color w:val="auto"/>
          <w:sz w:val="21"/>
          <w:szCs w:val="21"/>
        </w:rPr>
      </w:pPr>
      <w:r>
        <w:rPr>
          <w:color w:val="auto"/>
          <w:sz w:val="21"/>
          <w:szCs w:val="21"/>
        </w:rPr>
        <w:t>(2)“</w:t>
      </w:r>
      <w:r>
        <w:rPr>
          <w:rFonts w:hint="eastAsia"/>
          <w:color w:val="auto"/>
          <w:sz w:val="21"/>
          <w:szCs w:val="21"/>
        </w:rPr>
        <w:t>公路工程专用合同条款</w:t>
      </w:r>
      <w:r>
        <w:rPr>
          <w:color w:val="auto"/>
          <w:sz w:val="21"/>
          <w:szCs w:val="21"/>
          <w:cs/>
        </w:rPr>
        <w:t>”</w:t>
      </w:r>
      <w:r>
        <w:rPr>
          <w:rFonts w:hint="eastAsia"/>
          <w:color w:val="auto"/>
          <w:sz w:val="21"/>
          <w:szCs w:val="21"/>
        </w:rPr>
        <w:t>中明确指出</w:t>
      </w:r>
      <w:r>
        <w:rPr>
          <w:color w:val="auto"/>
          <w:sz w:val="21"/>
          <w:szCs w:val="21"/>
          <w:cs/>
        </w:rPr>
        <w:t>“</w:t>
      </w:r>
      <w:r>
        <w:rPr>
          <w:rFonts w:hint="eastAsia"/>
          <w:color w:val="auto"/>
          <w:sz w:val="21"/>
          <w:szCs w:val="21"/>
        </w:rPr>
        <w:t>项目专用合同条款</w:t>
      </w:r>
      <w:r>
        <w:rPr>
          <w:color w:val="auto"/>
          <w:sz w:val="21"/>
          <w:szCs w:val="21"/>
          <w:cs/>
        </w:rPr>
        <w:t>”</w:t>
      </w:r>
      <w:r>
        <w:rPr>
          <w:rFonts w:hint="eastAsia"/>
          <w:color w:val="auto"/>
          <w:sz w:val="21"/>
          <w:szCs w:val="21"/>
        </w:rPr>
        <w:t>可对</w:t>
      </w:r>
      <w:r>
        <w:rPr>
          <w:color w:val="auto"/>
          <w:sz w:val="21"/>
          <w:szCs w:val="21"/>
          <w:cs/>
        </w:rPr>
        <w:t>“</w:t>
      </w:r>
      <w:r>
        <w:rPr>
          <w:rFonts w:hint="eastAsia"/>
          <w:color w:val="auto"/>
          <w:sz w:val="21"/>
          <w:szCs w:val="21"/>
        </w:rPr>
        <w:t>公路工程专用合同条款</w:t>
      </w:r>
      <w:r>
        <w:rPr>
          <w:color w:val="auto"/>
          <w:sz w:val="21"/>
          <w:szCs w:val="21"/>
          <w:cs/>
        </w:rPr>
        <w:t>”</w:t>
      </w:r>
      <w:r>
        <w:rPr>
          <w:rFonts w:hint="eastAsia"/>
          <w:color w:val="auto"/>
          <w:sz w:val="21"/>
          <w:szCs w:val="21"/>
        </w:rPr>
        <w:t>进行修改的内容</w:t>
      </w:r>
      <w:r>
        <w:rPr>
          <w:color w:val="auto"/>
          <w:sz w:val="21"/>
          <w:szCs w:val="21"/>
        </w:rPr>
        <w:t>(</w:t>
      </w:r>
      <w:r>
        <w:rPr>
          <w:rFonts w:hint="eastAsia"/>
          <w:color w:val="auto"/>
          <w:sz w:val="21"/>
          <w:szCs w:val="21"/>
        </w:rPr>
        <w:t>在</w:t>
      </w:r>
      <w:r>
        <w:rPr>
          <w:color w:val="auto"/>
          <w:sz w:val="21"/>
          <w:szCs w:val="21"/>
          <w:cs/>
        </w:rPr>
        <w:t>“</w:t>
      </w:r>
      <w:r>
        <w:rPr>
          <w:rFonts w:hint="eastAsia"/>
          <w:color w:val="auto"/>
          <w:sz w:val="21"/>
          <w:szCs w:val="21"/>
        </w:rPr>
        <w:t>公路工程专用合同条款</w:t>
      </w:r>
      <w:r>
        <w:rPr>
          <w:color w:val="auto"/>
          <w:sz w:val="21"/>
          <w:szCs w:val="21"/>
          <w:cs/>
        </w:rPr>
        <w:t>”</w:t>
      </w:r>
      <w:r>
        <w:rPr>
          <w:rFonts w:hint="eastAsia"/>
          <w:color w:val="auto"/>
          <w:sz w:val="21"/>
          <w:szCs w:val="21"/>
        </w:rPr>
        <w:t>中用</w:t>
      </w:r>
      <w:r>
        <w:rPr>
          <w:color w:val="auto"/>
          <w:sz w:val="21"/>
          <w:szCs w:val="21"/>
          <w:cs/>
        </w:rPr>
        <w:t>“</w:t>
      </w:r>
      <w:r>
        <w:rPr>
          <w:rFonts w:hint="eastAsia"/>
          <w:color w:val="auto"/>
          <w:sz w:val="21"/>
          <w:szCs w:val="21"/>
        </w:rPr>
        <w:t>除项目专用合同条款另有约定外</w:t>
      </w:r>
      <w:r>
        <w:rPr>
          <w:color w:val="auto"/>
          <w:sz w:val="21"/>
          <w:szCs w:val="21"/>
          <w:cs/>
        </w:rPr>
        <w:t>”</w:t>
      </w:r>
      <w:r>
        <w:rPr>
          <w:rFonts w:hint="eastAsia"/>
          <w:color w:val="auto"/>
          <w:sz w:val="21"/>
          <w:szCs w:val="21"/>
        </w:rPr>
        <w:t>，</w:t>
      </w:r>
      <w:r>
        <w:rPr>
          <w:color w:val="auto"/>
          <w:sz w:val="21"/>
          <w:szCs w:val="21"/>
          <w:cs/>
        </w:rPr>
        <w:t>“</w:t>
      </w:r>
      <w:r>
        <w:rPr>
          <w:rFonts w:hint="eastAsia"/>
          <w:color w:val="auto"/>
          <w:sz w:val="21"/>
          <w:szCs w:val="21"/>
        </w:rPr>
        <w:t>项目专用合同条款可能约定的</w:t>
      </w:r>
      <w:r>
        <w:rPr>
          <w:color w:val="auto"/>
          <w:sz w:val="21"/>
          <w:szCs w:val="21"/>
          <w:cs/>
        </w:rPr>
        <w:t>”</w:t>
      </w:r>
      <w:r>
        <w:rPr>
          <w:rFonts w:hint="eastAsia"/>
          <w:color w:val="auto"/>
          <w:sz w:val="21"/>
          <w:szCs w:val="21"/>
        </w:rPr>
        <w:t>，</w:t>
      </w:r>
      <w:r>
        <w:rPr>
          <w:color w:val="auto"/>
          <w:sz w:val="21"/>
          <w:szCs w:val="21"/>
          <w:cs/>
        </w:rPr>
        <w:t>“</w:t>
      </w:r>
      <w:r>
        <w:rPr>
          <w:rFonts w:hint="eastAsia"/>
          <w:color w:val="auto"/>
          <w:sz w:val="21"/>
          <w:szCs w:val="21"/>
        </w:rPr>
        <w:t>项目专用合同条款约定的其他情形</w:t>
      </w:r>
      <w:r>
        <w:rPr>
          <w:color w:val="auto"/>
          <w:sz w:val="21"/>
          <w:szCs w:val="21"/>
          <w:cs/>
        </w:rPr>
        <w:t>”</w:t>
      </w:r>
      <w:r>
        <w:rPr>
          <w:rFonts w:hint="eastAsia"/>
          <w:color w:val="auto"/>
          <w:sz w:val="21"/>
          <w:szCs w:val="21"/>
        </w:rPr>
        <w:t>等多种文字形式表达</w:t>
      </w:r>
      <w:r>
        <w:rPr>
          <w:color w:val="auto"/>
          <w:sz w:val="21"/>
          <w:szCs w:val="21"/>
        </w:rPr>
        <w:t>)</w:t>
      </w:r>
      <w:r>
        <w:rPr>
          <w:rFonts w:hint="eastAsia"/>
          <w:color w:val="auto"/>
          <w:sz w:val="21"/>
          <w:szCs w:val="21"/>
        </w:rPr>
        <w:t>；</w:t>
      </w:r>
    </w:p>
    <w:p w14:paraId="32367F7A">
      <w:pPr>
        <w:spacing w:line="360" w:lineRule="auto"/>
        <w:ind w:firstLine="420" w:firstLineChars="200"/>
        <w:rPr>
          <w:color w:val="auto"/>
          <w:sz w:val="21"/>
          <w:szCs w:val="21"/>
        </w:rPr>
      </w:pPr>
      <w:r>
        <w:rPr>
          <w:color w:val="auto"/>
          <w:sz w:val="21"/>
          <w:szCs w:val="21"/>
        </w:rPr>
        <w:t>(3)</w:t>
      </w:r>
      <w:r>
        <w:rPr>
          <w:rFonts w:hint="eastAsia"/>
          <w:color w:val="auto"/>
          <w:sz w:val="21"/>
          <w:szCs w:val="21"/>
        </w:rPr>
        <w:t>其他需要补充、细化的内容。</w:t>
      </w:r>
    </w:p>
    <w:p w14:paraId="32F70FB2">
      <w:pPr>
        <w:spacing w:line="360" w:lineRule="auto"/>
        <w:jc w:val="center"/>
        <w:rPr>
          <w:rFonts w:ascii="宋体" w:cs="宋体"/>
          <w:color w:val="auto"/>
          <w:szCs w:val="22"/>
        </w:rPr>
      </w:pPr>
    </w:p>
    <w:p w14:paraId="4EC95F6C">
      <w:pPr>
        <w:pStyle w:val="76"/>
        <w:spacing w:line="360" w:lineRule="auto"/>
        <w:rPr>
          <w:rFonts w:ascii="宋体"/>
          <w:color w:val="auto"/>
          <w:szCs w:val="22"/>
        </w:rPr>
      </w:pPr>
    </w:p>
    <w:p w14:paraId="6D141863">
      <w:pPr>
        <w:pStyle w:val="76"/>
        <w:spacing w:line="360" w:lineRule="auto"/>
        <w:rPr>
          <w:rFonts w:ascii="宋体"/>
          <w:color w:val="auto"/>
          <w:szCs w:val="22"/>
        </w:rPr>
      </w:pPr>
    </w:p>
    <w:p w14:paraId="6D0B6813">
      <w:pPr>
        <w:pStyle w:val="76"/>
        <w:spacing w:line="360" w:lineRule="auto"/>
        <w:rPr>
          <w:rFonts w:ascii="宋体"/>
          <w:color w:val="auto"/>
          <w:szCs w:val="22"/>
        </w:rPr>
      </w:pPr>
    </w:p>
    <w:p w14:paraId="15CA2149">
      <w:pPr>
        <w:pStyle w:val="76"/>
        <w:spacing w:line="360" w:lineRule="auto"/>
        <w:ind w:firstLine="0"/>
        <w:rPr>
          <w:rFonts w:ascii="宋体"/>
          <w:color w:val="auto"/>
          <w:szCs w:val="22"/>
        </w:rPr>
      </w:pPr>
    </w:p>
    <w:p w14:paraId="402B71EB">
      <w:pPr>
        <w:pStyle w:val="76"/>
        <w:spacing w:line="360" w:lineRule="auto"/>
        <w:ind w:firstLine="0"/>
        <w:rPr>
          <w:rFonts w:ascii="宋体"/>
          <w:color w:val="auto"/>
          <w:szCs w:val="22"/>
        </w:rPr>
      </w:pPr>
    </w:p>
    <w:p w14:paraId="29C22A06">
      <w:pPr>
        <w:pStyle w:val="76"/>
        <w:spacing w:line="360" w:lineRule="auto"/>
        <w:ind w:firstLine="0"/>
        <w:rPr>
          <w:rFonts w:ascii="宋体"/>
          <w:color w:val="auto"/>
          <w:szCs w:val="22"/>
        </w:rPr>
      </w:pPr>
    </w:p>
    <w:p w14:paraId="44C79A23">
      <w:pPr>
        <w:pStyle w:val="76"/>
        <w:spacing w:line="360" w:lineRule="auto"/>
        <w:ind w:firstLine="0"/>
        <w:rPr>
          <w:rFonts w:ascii="宋体"/>
          <w:color w:val="auto"/>
          <w:szCs w:val="22"/>
        </w:rPr>
      </w:pPr>
    </w:p>
    <w:p w14:paraId="7E362BEB">
      <w:pPr>
        <w:pStyle w:val="76"/>
        <w:spacing w:line="360" w:lineRule="auto"/>
        <w:ind w:firstLine="0"/>
        <w:rPr>
          <w:rFonts w:ascii="宋体"/>
          <w:color w:val="auto"/>
          <w:szCs w:val="22"/>
        </w:rPr>
      </w:pPr>
    </w:p>
    <w:p w14:paraId="4EC96624">
      <w:pPr>
        <w:pStyle w:val="76"/>
        <w:spacing w:line="360" w:lineRule="auto"/>
        <w:ind w:firstLine="0"/>
        <w:rPr>
          <w:rFonts w:ascii="宋体"/>
          <w:color w:val="auto"/>
          <w:szCs w:val="22"/>
        </w:rPr>
      </w:pPr>
    </w:p>
    <w:p w14:paraId="498DB913">
      <w:pPr>
        <w:pStyle w:val="76"/>
        <w:spacing w:line="360" w:lineRule="auto"/>
        <w:ind w:firstLine="0"/>
        <w:rPr>
          <w:rFonts w:ascii="宋体"/>
          <w:color w:val="auto"/>
          <w:szCs w:val="22"/>
        </w:rPr>
      </w:pPr>
    </w:p>
    <w:p w14:paraId="3FF65B65">
      <w:pPr>
        <w:pStyle w:val="76"/>
        <w:spacing w:line="360" w:lineRule="auto"/>
        <w:ind w:firstLine="0"/>
        <w:rPr>
          <w:rFonts w:ascii="宋体"/>
          <w:color w:val="auto"/>
          <w:szCs w:val="22"/>
        </w:rPr>
      </w:pPr>
    </w:p>
    <w:p w14:paraId="060E03EB">
      <w:pPr>
        <w:keepNext/>
        <w:keepLines/>
        <w:pageBreakBefore w:val="0"/>
        <w:widowControl w:val="0"/>
        <w:kinsoku/>
        <w:wordWrap/>
        <w:overflowPunct/>
        <w:topLinePunct w:val="0"/>
        <w:autoSpaceDE w:val="0"/>
        <w:autoSpaceDN w:val="0"/>
        <w:bidi w:val="0"/>
        <w:adjustRightInd/>
        <w:spacing w:before="260" w:after="260" w:line="240" w:lineRule="auto"/>
        <w:jc w:val="center"/>
        <w:textAlignment w:val="auto"/>
        <w:outlineLvl w:val="1"/>
        <w:rPr>
          <w:rFonts w:hint="eastAsia" w:ascii="Times New Roman" w:hAnsi="Times New Roman" w:eastAsia="宋体" w:cs="Times New Roman"/>
          <w:b/>
          <w:color w:val="auto"/>
          <w:sz w:val="32"/>
          <w:szCs w:val="32"/>
        </w:rPr>
      </w:pPr>
      <w:bookmarkStart w:id="1000" w:name="_Toc26618"/>
      <w:bookmarkStart w:id="1001" w:name="_Toc8731"/>
      <w:r>
        <w:rPr>
          <w:rFonts w:hint="eastAsia" w:ascii="Times New Roman" w:hAnsi="Times New Roman" w:eastAsia="宋体" w:cs="Times New Roman"/>
          <w:b/>
          <w:color w:val="auto"/>
          <w:sz w:val="32"/>
          <w:szCs w:val="32"/>
        </w:rPr>
        <w:t>专用条款数据表</w:t>
      </w:r>
      <w:bookmarkEnd w:id="1000"/>
      <w:bookmarkEnd w:id="1001"/>
    </w:p>
    <w:p w14:paraId="7710B0D9">
      <w:pPr>
        <w:pageBreakBefore w:val="0"/>
        <w:widowControl w:val="0"/>
        <w:kinsoku/>
        <w:wordWrap/>
        <w:overflowPunct/>
        <w:topLinePunct w:val="0"/>
        <w:autoSpaceDE w:val="0"/>
        <w:autoSpaceDN w:val="0"/>
        <w:bidi w:val="0"/>
        <w:adjustRightInd/>
        <w:snapToGrid w:val="0"/>
        <w:spacing w:line="240" w:lineRule="auto"/>
        <w:ind w:left="-594" w:leftChars="-270"/>
        <w:jc w:val="left"/>
        <w:textAlignment w:val="auto"/>
        <w:rPr>
          <w:rFonts w:ascii="宋体" w:cs="宋体"/>
          <w:color w:val="auto"/>
          <w:sz w:val="21"/>
          <w:szCs w:val="21"/>
        </w:rPr>
      </w:pPr>
      <w:r>
        <w:rPr>
          <w:rFonts w:ascii="宋体" w:hAnsi="宋体" w:cs="宋体"/>
          <w:color w:val="auto"/>
          <w:szCs w:val="22"/>
        </w:rPr>
        <w:t xml:space="preserve">    </w:t>
      </w:r>
      <w:r>
        <w:rPr>
          <w:rFonts w:ascii="宋体" w:hAnsi="宋体" w:cs="宋体"/>
          <w:color w:val="auto"/>
          <w:sz w:val="21"/>
          <w:szCs w:val="21"/>
        </w:rPr>
        <w:t xml:space="preserve"> </w:t>
      </w:r>
      <w:r>
        <w:rPr>
          <w:rFonts w:hint="eastAsia" w:ascii="宋体" w:hAnsi="宋体" w:cs="宋体"/>
          <w:color w:val="auto"/>
          <w:sz w:val="21"/>
          <w:szCs w:val="21"/>
        </w:rPr>
        <w:t>说明：本表是合同条款中适用于本项目的信息和数据的归纳与提示，是合同专用条款的组成部分。</w:t>
      </w:r>
    </w:p>
    <w:tbl>
      <w:tblPr>
        <w:tblStyle w:val="33"/>
        <w:tblpPr w:leftFromText="180" w:rightFromText="180" w:vertAnchor="text" w:horzAnchor="page" w:tblpX="1384" w:tblpY="299"/>
        <w:tblOverlap w:val="never"/>
        <w:tblW w:w="918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64"/>
        <w:gridCol w:w="2210"/>
        <w:gridCol w:w="6206"/>
      </w:tblGrid>
      <w:tr w14:paraId="01DCC8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8" w:hRule="exact"/>
        </w:trPr>
        <w:tc>
          <w:tcPr>
            <w:tcW w:w="764" w:type="dxa"/>
            <w:tcBorders>
              <w:top w:val="double" w:color="auto" w:sz="4" w:space="0"/>
              <w:left w:val="double" w:color="auto" w:sz="4" w:space="0"/>
              <w:bottom w:val="single" w:color="auto" w:sz="6" w:space="0"/>
              <w:right w:val="single" w:color="auto" w:sz="6" w:space="0"/>
            </w:tcBorders>
            <w:noWrap w:val="0"/>
            <w:vAlign w:val="center"/>
          </w:tcPr>
          <w:p w14:paraId="669058D1">
            <w:pPr>
              <w:spacing w:line="360" w:lineRule="auto"/>
              <w:jc w:val="center"/>
              <w:rPr>
                <w:rFonts w:ascii="宋体" w:cs="仿宋"/>
                <w:b/>
                <w:color w:val="auto"/>
                <w:sz w:val="21"/>
                <w:szCs w:val="21"/>
              </w:rPr>
            </w:pPr>
            <w:r>
              <w:rPr>
                <w:rFonts w:hint="eastAsia" w:ascii="宋体" w:hAnsi="宋体" w:cs="仿宋"/>
                <w:b/>
                <w:color w:val="auto"/>
                <w:sz w:val="21"/>
                <w:szCs w:val="21"/>
              </w:rPr>
              <w:t>序号</w:t>
            </w:r>
          </w:p>
        </w:tc>
        <w:tc>
          <w:tcPr>
            <w:tcW w:w="2210" w:type="dxa"/>
            <w:tcBorders>
              <w:top w:val="double" w:color="auto" w:sz="4" w:space="0"/>
              <w:left w:val="single" w:color="auto" w:sz="6" w:space="0"/>
              <w:bottom w:val="single" w:color="auto" w:sz="6" w:space="0"/>
              <w:right w:val="single" w:color="auto" w:sz="6" w:space="0"/>
            </w:tcBorders>
            <w:noWrap w:val="0"/>
            <w:vAlign w:val="center"/>
          </w:tcPr>
          <w:p w14:paraId="6B511A68">
            <w:pPr>
              <w:spacing w:line="360" w:lineRule="auto"/>
              <w:jc w:val="center"/>
              <w:rPr>
                <w:rFonts w:ascii="宋体" w:cs="仿宋"/>
                <w:b/>
                <w:color w:val="auto"/>
                <w:sz w:val="21"/>
                <w:szCs w:val="21"/>
              </w:rPr>
            </w:pPr>
            <w:r>
              <w:rPr>
                <w:rFonts w:hint="eastAsia" w:ascii="宋体" w:hAnsi="宋体" w:cs="仿宋"/>
                <w:b/>
                <w:color w:val="auto"/>
                <w:sz w:val="21"/>
                <w:szCs w:val="21"/>
              </w:rPr>
              <w:t>条款号</w:t>
            </w:r>
          </w:p>
        </w:tc>
        <w:tc>
          <w:tcPr>
            <w:tcW w:w="6206" w:type="dxa"/>
            <w:tcBorders>
              <w:top w:val="double" w:color="auto" w:sz="4" w:space="0"/>
              <w:left w:val="single" w:color="auto" w:sz="6" w:space="0"/>
              <w:bottom w:val="single" w:color="auto" w:sz="6" w:space="0"/>
              <w:right w:val="double" w:color="auto" w:sz="4" w:space="0"/>
            </w:tcBorders>
            <w:noWrap w:val="0"/>
            <w:vAlign w:val="center"/>
          </w:tcPr>
          <w:p w14:paraId="1DFE65AE">
            <w:pPr>
              <w:spacing w:line="360" w:lineRule="auto"/>
              <w:jc w:val="center"/>
              <w:rPr>
                <w:rFonts w:ascii="宋体" w:cs="仿宋"/>
                <w:b/>
                <w:color w:val="auto"/>
                <w:sz w:val="21"/>
                <w:szCs w:val="21"/>
              </w:rPr>
            </w:pPr>
            <w:r>
              <w:rPr>
                <w:rFonts w:hint="eastAsia" w:ascii="宋体" w:hAnsi="宋体" w:cs="仿宋"/>
                <w:b/>
                <w:color w:val="auto"/>
                <w:sz w:val="21"/>
                <w:szCs w:val="21"/>
              </w:rPr>
              <w:t>信息或数据</w:t>
            </w:r>
          </w:p>
        </w:tc>
      </w:tr>
      <w:tr w14:paraId="6FBF72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1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63F44783">
            <w:pPr>
              <w:spacing w:line="360" w:lineRule="auto"/>
              <w:jc w:val="center"/>
              <w:rPr>
                <w:rFonts w:ascii="宋体" w:cs="仿宋"/>
                <w:color w:val="auto"/>
                <w:sz w:val="21"/>
                <w:szCs w:val="21"/>
              </w:rPr>
            </w:pPr>
            <w:r>
              <w:rPr>
                <w:rFonts w:ascii="宋体" w:hAnsi="宋体" w:cs="仿宋"/>
                <w:color w:val="auto"/>
                <w:sz w:val="21"/>
                <w:szCs w:val="21"/>
              </w:rPr>
              <w:t>1</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66B133A3">
            <w:pPr>
              <w:spacing w:line="360" w:lineRule="auto"/>
              <w:jc w:val="center"/>
              <w:rPr>
                <w:rFonts w:ascii="宋体" w:cs="仿宋"/>
                <w:color w:val="auto"/>
                <w:sz w:val="21"/>
                <w:szCs w:val="21"/>
              </w:rPr>
            </w:pPr>
            <w:r>
              <w:rPr>
                <w:rFonts w:ascii="宋体" w:hAnsi="宋体" w:cs="仿宋"/>
                <w:color w:val="auto"/>
                <w:sz w:val="21"/>
                <w:szCs w:val="21"/>
              </w:rPr>
              <w:t>1.1.2.2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E1A5059">
            <w:pPr>
              <w:snapToGrid w:val="0"/>
              <w:spacing w:line="360" w:lineRule="auto"/>
              <w:rPr>
                <w:rFonts w:hint="eastAsia" w:ascii="宋体" w:eastAsia="宋体" w:cs="仿宋"/>
                <w:color w:val="auto"/>
                <w:sz w:val="21"/>
                <w:szCs w:val="21"/>
                <w:lang w:eastAsia="zh-CN"/>
              </w:rPr>
            </w:pPr>
            <w:r>
              <w:rPr>
                <w:rFonts w:hint="eastAsia" w:ascii="宋体" w:hAnsi="宋体" w:cs="仿宋"/>
                <w:color w:val="auto"/>
                <w:sz w:val="21"/>
                <w:szCs w:val="21"/>
              </w:rPr>
              <w:t>发包人：</w:t>
            </w:r>
            <w:r>
              <w:rPr>
                <w:rFonts w:hint="eastAsia" w:ascii="宋体" w:hAnsi="宋体" w:cs="仿宋"/>
                <w:color w:val="auto"/>
                <w:sz w:val="21"/>
                <w:szCs w:val="21"/>
                <w:lang w:eastAsia="zh-CN"/>
              </w:rPr>
              <w:t>镇沅彝族哈尼族拉祜族自治县古城镇人民政府</w:t>
            </w:r>
          </w:p>
          <w:p w14:paraId="18A430A4">
            <w:pPr>
              <w:snapToGrid w:val="0"/>
              <w:spacing w:line="360" w:lineRule="auto"/>
              <w:rPr>
                <w:rFonts w:hint="eastAsia" w:ascii="宋体" w:hAnsi="宋体" w:cs="宋体"/>
                <w:color w:val="auto"/>
                <w:sz w:val="21"/>
                <w:szCs w:val="21"/>
                <w:lang w:val="en-US" w:eastAsia="zh-CN"/>
              </w:rPr>
            </w:pPr>
            <w:r>
              <w:rPr>
                <w:rFonts w:hint="eastAsia" w:ascii="宋体" w:hAnsi="宋体" w:cs="仿宋"/>
                <w:color w:val="auto"/>
                <w:sz w:val="21"/>
                <w:szCs w:val="21"/>
              </w:rPr>
              <w:t>地</w:t>
            </w:r>
            <w:r>
              <w:rPr>
                <w:rFonts w:ascii="宋体" w:hAnsi="宋体" w:cs="仿宋"/>
                <w:color w:val="auto"/>
                <w:sz w:val="21"/>
                <w:szCs w:val="21"/>
              </w:rPr>
              <w:t xml:space="preserve">  </w:t>
            </w:r>
            <w:r>
              <w:rPr>
                <w:rFonts w:hint="eastAsia" w:ascii="宋体" w:hAnsi="宋体" w:cs="仿宋"/>
                <w:color w:val="auto"/>
                <w:sz w:val="21"/>
                <w:szCs w:val="21"/>
              </w:rPr>
              <w:t>址：</w:t>
            </w:r>
            <w:r>
              <w:rPr>
                <w:rFonts w:hint="eastAsia" w:ascii="宋体" w:hAnsi="宋体" w:cs="宋体"/>
                <w:color w:val="auto"/>
                <w:sz w:val="21"/>
                <w:szCs w:val="21"/>
                <w:lang w:eastAsia="zh-CN"/>
              </w:rPr>
              <w:t>镇沅县古城镇人民政府</w:t>
            </w:r>
            <w:r>
              <w:rPr>
                <w:rFonts w:hint="eastAsia" w:ascii="宋体" w:hAnsi="宋体" w:cs="宋体"/>
                <w:color w:val="auto"/>
                <w:sz w:val="21"/>
                <w:szCs w:val="21"/>
                <w:lang w:val="en-US" w:eastAsia="zh-CN"/>
              </w:rPr>
              <w:t xml:space="preserve">  </w:t>
            </w:r>
          </w:p>
          <w:p w14:paraId="0946E3CC">
            <w:pPr>
              <w:snapToGrid w:val="0"/>
              <w:spacing w:line="360" w:lineRule="auto"/>
              <w:rPr>
                <w:rFonts w:ascii="宋体" w:cs="仿宋"/>
                <w:color w:val="auto"/>
                <w:sz w:val="21"/>
                <w:szCs w:val="21"/>
              </w:rPr>
            </w:pPr>
            <w:r>
              <w:rPr>
                <w:rFonts w:hint="eastAsia" w:ascii="宋体" w:hAnsi="宋体" w:eastAsia="宋体" w:cs="宋体"/>
                <w:color w:val="auto"/>
                <w:sz w:val="21"/>
                <w:szCs w:val="21"/>
                <w:lang w:eastAsia="zh-CN"/>
              </w:rPr>
              <w:t>邮政编码：666599</w:t>
            </w:r>
          </w:p>
        </w:tc>
      </w:tr>
      <w:tr w14:paraId="69F425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3"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FB8DF2F">
            <w:pPr>
              <w:spacing w:line="360" w:lineRule="auto"/>
              <w:jc w:val="center"/>
              <w:rPr>
                <w:rFonts w:ascii="宋体" w:cs="仿宋"/>
                <w:color w:val="auto"/>
                <w:sz w:val="21"/>
                <w:szCs w:val="21"/>
              </w:rPr>
            </w:pPr>
            <w:r>
              <w:rPr>
                <w:rFonts w:ascii="宋体" w:hAnsi="宋体" w:cs="仿宋"/>
                <w:color w:val="auto"/>
                <w:sz w:val="21"/>
                <w:szCs w:val="21"/>
              </w:rPr>
              <w:t>2</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2E82890A">
            <w:pPr>
              <w:spacing w:line="360" w:lineRule="auto"/>
              <w:jc w:val="center"/>
              <w:rPr>
                <w:rFonts w:ascii="宋体" w:cs="仿宋"/>
                <w:color w:val="auto"/>
                <w:sz w:val="21"/>
                <w:szCs w:val="21"/>
              </w:rPr>
            </w:pPr>
            <w:r>
              <w:rPr>
                <w:rFonts w:ascii="宋体" w:hAnsi="宋体" w:cs="仿宋"/>
                <w:color w:val="auto"/>
                <w:sz w:val="21"/>
                <w:szCs w:val="21"/>
              </w:rPr>
              <w:t>1.1.2.6</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1D975DB8">
            <w:pPr>
              <w:snapToGrid w:val="0"/>
              <w:spacing w:line="360" w:lineRule="auto"/>
              <w:rPr>
                <w:rFonts w:ascii="宋体" w:cs="仿宋"/>
                <w:color w:val="auto"/>
                <w:sz w:val="21"/>
                <w:szCs w:val="21"/>
              </w:rPr>
            </w:pPr>
            <w:r>
              <w:rPr>
                <w:rFonts w:hint="eastAsia" w:ascii="宋体" w:hAnsi="宋体" w:cs="仿宋"/>
                <w:color w:val="auto"/>
                <w:sz w:val="21"/>
                <w:szCs w:val="21"/>
              </w:rPr>
              <w:t>监理人：</w:t>
            </w:r>
          </w:p>
          <w:p w14:paraId="70588395">
            <w:pPr>
              <w:snapToGrid w:val="0"/>
              <w:spacing w:line="360" w:lineRule="auto"/>
              <w:rPr>
                <w:rFonts w:hint="eastAsia" w:ascii="宋体" w:hAnsi="宋体" w:cs="仿宋"/>
                <w:color w:val="auto"/>
                <w:sz w:val="21"/>
                <w:szCs w:val="21"/>
                <w:lang w:val="en-US" w:eastAsia="zh-CN"/>
              </w:rPr>
            </w:pPr>
            <w:r>
              <w:rPr>
                <w:rFonts w:hint="eastAsia" w:ascii="宋体" w:hAnsi="宋体" w:cs="仿宋"/>
                <w:color w:val="auto"/>
                <w:sz w:val="21"/>
                <w:szCs w:val="21"/>
              </w:rPr>
              <w:t>地</w:t>
            </w:r>
            <w:r>
              <w:rPr>
                <w:rFonts w:ascii="宋体" w:hAnsi="宋体" w:cs="仿宋"/>
                <w:color w:val="auto"/>
                <w:sz w:val="21"/>
                <w:szCs w:val="21"/>
              </w:rPr>
              <w:t xml:space="preserve">  </w:t>
            </w:r>
            <w:r>
              <w:rPr>
                <w:rFonts w:hint="eastAsia" w:ascii="宋体" w:hAnsi="宋体" w:cs="仿宋"/>
                <w:color w:val="auto"/>
                <w:sz w:val="21"/>
                <w:szCs w:val="21"/>
              </w:rPr>
              <w:t>址：</w:t>
            </w:r>
            <w:r>
              <w:rPr>
                <w:rFonts w:ascii="宋体" w:hAnsi="宋体" w:cs="仿宋"/>
                <w:color w:val="auto"/>
                <w:sz w:val="21"/>
                <w:szCs w:val="21"/>
              </w:rPr>
              <w:t xml:space="preserve"> </w:t>
            </w:r>
            <w:r>
              <w:rPr>
                <w:rFonts w:hint="eastAsia" w:ascii="宋体" w:hAnsi="宋体" w:cs="仿宋"/>
                <w:color w:val="auto"/>
                <w:sz w:val="21"/>
                <w:szCs w:val="21"/>
                <w:lang w:val="en-US" w:eastAsia="zh-CN"/>
              </w:rPr>
              <w:t xml:space="preserve">                 </w:t>
            </w:r>
          </w:p>
          <w:p w14:paraId="5EFF1F21">
            <w:pPr>
              <w:snapToGrid w:val="0"/>
              <w:spacing w:line="360" w:lineRule="auto"/>
              <w:rPr>
                <w:rFonts w:ascii="宋体" w:cs="仿宋"/>
                <w:color w:val="auto"/>
                <w:sz w:val="21"/>
                <w:szCs w:val="21"/>
              </w:rPr>
            </w:pPr>
            <w:r>
              <w:rPr>
                <w:rFonts w:hint="eastAsia" w:ascii="宋体" w:hAnsi="宋体" w:eastAsia="宋体" w:cs="宋体"/>
                <w:color w:val="auto"/>
                <w:sz w:val="21"/>
                <w:szCs w:val="21"/>
                <w:lang w:eastAsia="zh-CN"/>
              </w:rPr>
              <w:t>邮政编码：</w:t>
            </w:r>
          </w:p>
        </w:tc>
      </w:tr>
      <w:tr w14:paraId="57B047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7"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74DF8D79">
            <w:pPr>
              <w:spacing w:line="360" w:lineRule="auto"/>
              <w:jc w:val="center"/>
              <w:rPr>
                <w:rFonts w:ascii="宋体" w:cs="仿宋"/>
                <w:color w:val="auto"/>
                <w:sz w:val="21"/>
                <w:szCs w:val="21"/>
              </w:rPr>
            </w:pPr>
            <w:r>
              <w:rPr>
                <w:rFonts w:ascii="宋体" w:hAnsi="宋体" w:cs="仿宋"/>
                <w:color w:val="auto"/>
                <w:sz w:val="21"/>
                <w:szCs w:val="21"/>
              </w:rPr>
              <w:t>3</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0A6F6E74">
            <w:pPr>
              <w:spacing w:line="360" w:lineRule="auto"/>
              <w:jc w:val="center"/>
              <w:rPr>
                <w:rFonts w:ascii="宋体" w:cs="仿宋"/>
                <w:color w:val="auto"/>
                <w:sz w:val="21"/>
                <w:szCs w:val="21"/>
              </w:rPr>
            </w:pPr>
            <w:r>
              <w:rPr>
                <w:rFonts w:ascii="宋体" w:hAnsi="宋体" w:cs="仿宋"/>
                <w:color w:val="auto"/>
                <w:sz w:val="21"/>
                <w:szCs w:val="21"/>
              </w:rPr>
              <w:t>1.1.4.5</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72E9F3B1">
            <w:pPr>
              <w:spacing w:line="360" w:lineRule="auto"/>
              <w:rPr>
                <w:rFonts w:ascii="宋体" w:cs="仿宋"/>
                <w:color w:val="auto"/>
                <w:sz w:val="21"/>
                <w:szCs w:val="21"/>
              </w:rPr>
            </w:pPr>
            <w:r>
              <w:rPr>
                <w:rFonts w:hint="eastAsia" w:ascii="宋体" w:hAnsi="宋体" w:cs="仿宋"/>
                <w:color w:val="auto"/>
                <w:sz w:val="21"/>
                <w:szCs w:val="21"/>
              </w:rPr>
              <w:t>缺陷责任期：自实际交工验收日期起计算</w:t>
            </w:r>
            <w:r>
              <w:rPr>
                <w:rFonts w:ascii="宋体" w:hAnsi="宋体" w:cs="仿宋"/>
                <w:color w:val="auto"/>
                <w:sz w:val="21"/>
                <w:szCs w:val="21"/>
                <w:u w:val="single"/>
              </w:rPr>
              <w:t>1</w:t>
            </w:r>
            <w:r>
              <w:rPr>
                <w:rFonts w:hint="eastAsia" w:ascii="宋体" w:hAnsi="宋体" w:cs="仿宋"/>
                <w:color w:val="auto"/>
                <w:sz w:val="21"/>
                <w:szCs w:val="21"/>
              </w:rPr>
              <w:t>年</w:t>
            </w:r>
          </w:p>
        </w:tc>
      </w:tr>
      <w:tr w14:paraId="27FF6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4" w:hRule="atLeast"/>
        </w:trPr>
        <w:tc>
          <w:tcPr>
            <w:tcW w:w="764" w:type="dxa"/>
            <w:tcBorders>
              <w:top w:val="single" w:color="auto" w:sz="6" w:space="0"/>
              <w:left w:val="double" w:color="auto" w:sz="4" w:space="0"/>
              <w:bottom w:val="single" w:color="auto" w:sz="6" w:space="0"/>
              <w:right w:val="single" w:color="auto" w:sz="6" w:space="0"/>
            </w:tcBorders>
            <w:noWrap w:val="0"/>
            <w:vAlign w:val="center"/>
          </w:tcPr>
          <w:p w14:paraId="07D956BD">
            <w:pPr>
              <w:spacing w:line="360" w:lineRule="auto"/>
              <w:jc w:val="center"/>
              <w:rPr>
                <w:rFonts w:ascii="宋体" w:cs="仿宋"/>
                <w:color w:val="auto"/>
                <w:sz w:val="21"/>
                <w:szCs w:val="21"/>
              </w:rPr>
            </w:pPr>
            <w:r>
              <w:rPr>
                <w:rFonts w:ascii="宋体" w:hAnsi="宋体" w:cs="仿宋"/>
                <w:color w:val="auto"/>
                <w:sz w:val="21"/>
                <w:szCs w:val="21"/>
              </w:rPr>
              <w:t>4</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5CBBBE5E">
            <w:pPr>
              <w:spacing w:line="360" w:lineRule="auto"/>
              <w:jc w:val="center"/>
              <w:rPr>
                <w:rFonts w:ascii="宋体" w:cs="仿宋"/>
                <w:color w:val="auto"/>
                <w:sz w:val="21"/>
                <w:szCs w:val="21"/>
              </w:rPr>
            </w:pPr>
            <w:r>
              <w:rPr>
                <w:rFonts w:ascii="宋体" w:hAnsi="宋体" w:cs="仿宋"/>
                <w:color w:val="auto"/>
                <w:sz w:val="21"/>
                <w:szCs w:val="21"/>
              </w:rPr>
              <w:t>1.6.3</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C84D524">
            <w:pPr>
              <w:spacing w:line="360" w:lineRule="auto"/>
              <w:rPr>
                <w:rFonts w:ascii="宋体" w:cs="仿宋"/>
                <w:color w:val="auto"/>
                <w:sz w:val="21"/>
                <w:szCs w:val="21"/>
              </w:rPr>
            </w:pPr>
            <w:r>
              <w:rPr>
                <w:rFonts w:hint="eastAsia" w:ascii="宋体" w:hAnsi="宋体" w:cs="仿宋"/>
                <w:color w:val="auto"/>
                <w:sz w:val="21"/>
                <w:szCs w:val="21"/>
              </w:rPr>
              <w:t>图纸需要修改和补充的，应由监理人取得发包人同意后，在该项工程或工程相应部位施工前</w:t>
            </w:r>
            <w:r>
              <w:rPr>
                <w:rFonts w:ascii="宋体" w:hAnsi="宋体" w:cs="仿宋"/>
                <w:color w:val="auto"/>
                <w:sz w:val="21"/>
                <w:szCs w:val="21"/>
                <w:u w:val="single"/>
              </w:rPr>
              <w:t>7</w:t>
            </w:r>
            <w:r>
              <w:rPr>
                <w:rFonts w:hint="eastAsia" w:ascii="宋体" w:hAnsi="宋体" w:cs="仿宋"/>
                <w:color w:val="auto"/>
                <w:sz w:val="21"/>
                <w:szCs w:val="21"/>
              </w:rPr>
              <w:t>天签发图纸修改图给承包人</w:t>
            </w:r>
          </w:p>
        </w:tc>
      </w:tr>
      <w:tr w14:paraId="5A0298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6" w:hRule="atLeast"/>
        </w:trPr>
        <w:tc>
          <w:tcPr>
            <w:tcW w:w="764" w:type="dxa"/>
            <w:tcBorders>
              <w:top w:val="single" w:color="auto" w:sz="6" w:space="0"/>
              <w:left w:val="double" w:color="auto" w:sz="4" w:space="0"/>
              <w:bottom w:val="single" w:color="auto" w:sz="6" w:space="0"/>
              <w:right w:val="single" w:color="auto" w:sz="6" w:space="0"/>
            </w:tcBorders>
            <w:noWrap w:val="0"/>
            <w:vAlign w:val="center"/>
          </w:tcPr>
          <w:p w14:paraId="194E06BF">
            <w:pPr>
              <w:spacing w:line="360" w:lineRule="auto"/>
              <w:jc w:val="center"/>
              <w:rPr>
                <w:rFonts w:ascii="宋体" w:cs="仿宋"/>
                <w:color w:val="auto"/>
                <w:sz w:val="21"/>
                <w:szCs w:val="21"/>
              </w:rPr>
            </w:pPr>
            <w:r>
              <w:rPr>
                <w:rFonts w:ascii="宋体" w:hAnsi="宋体" w:cs="仿宋"/>
                <w:color w:val="auto"/>
                <w:sz w:val="21"/>
                <w:szCs w:val="21"/>
              </w:rPr>
              <w:t>5</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533A8288">
            <w:pPr>
              <w:spacing w:line="360" w:lineRule="auto"/>
              <w:jc w:val="center"/>
              <w:rPr>
                <w:rFonts w:ascii="宋体" w:cs="仿宋"/>
                <w:color w:val="auto"/>
                <w:sz w:val="21"/>
                <w:szCs w:val="21"/>
              </w:rPr>
            </w:pPr>
            <w:r>
              <w:rPr>
                <w:rFonts w:ascii="宋体" w:hAnsi="宋体" w:cs="仿宋"/>
                <w:color w:val="auto"/>
                <w:sz w:val="21"/>
                <w:szCs w:val="21"/>
              </w:rPr>
              <w:t>3.1.1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B73ED55">
            <w:pPr>
              <w:pStyle w:val="51"/>
              <w:spacing w:line="400" w:lineRule="exact"/>
              <w:jc w:val="both"/>
              <w:rPr>
                <w:rFonts w:hint="eastAsia" w:ascii="宋体" w:hAnsi="宋体" w:eastAsia="宋体" w:cs="仿宋"/>
                <w:color w:val="auto"/>
                <w:kern w:val="2"/>
                <w:sz w:val="21"/>
                <w:szCs w:val="21"/>
                <w:lang w:val="en-US" w:eastAsia="zh-CN" w:bidi="ar-SA"/>
              </w:rPr>
            </w:pPr>
            <w:r>
              <w:rPr>
                <w:rFonts w:hint="eastAsia" w:ascii="宋体" w:hAnsi="宋体" w:eastAsia="宋体" w:cs="仿宋"/>
                <w:color w:val="auto"/>
                <w:kern w:val="2"/>
                <w:sz w:val="21"/>
                <w:szCs w:val="21"/>
                <w:lang w:val="en-US" w:eastAsia="zh-CN" w:bidi="ar-SA"/>
              </w:rPr>
              <w:t>监理人在行使下列权力前需要经发包人事先批准：</w:t>
            </w:r>
          </w:p>
          <w:p w14:paraId="607B50A0">
            <w:pPr>
              <w:spacing w:line="360" w:lineRule="auto"/>
              <w:rPr>
                <w:rFonts w:ascii="宋体" w:cs="仿宋"/>
                <w:color w:val="auto"/>
                <w:sz w:val="21"/>
                <w:szCs w:val="21"/>
              </w:rPr>
            </w:pPr>
            <w:r>
              <w:rPr>
                <w:rFonts w:hint="eastAsia" w:ascii="宋体" w:hAnsi="宋体" w:eastAsia="宋体" w:cs="仿宋"/>
                <w:color w:val="auto"/>
                <w:kern w:val="2"/>
                <w:sz w:val="21"/>
                <w:szCs w:val="21"/>
                <w:lang w:val="en-US" w:eastAsia="zh-CN" w:bidi="ar-SA"/>
              </w:rPr>
              <w:t xml:space="preserve">（6）根据第15.3 款发出的变更指示，其单项工程变更涉及的金额超过了该单项工程签约时合同价的 </w:t>
            </w:r>
            <w:r>
              <w:rPr>
                <w:rFonts w:hint="eastAsia" w:ascii="宋体" w:hAnsi="宋体" w:eastAsia="宋体" w:cs="仿宋"/>
                <w:color w:val="auto"/>
                <w:kern w:val="2"/>
                <w:sz w:val="21"/>
                <w:szCs w:val="21"/>
                <w:u w:val="single"/>
                <w:lang w:val="en-US" w:eastAsia="zh-CN" w:bidi="ar-SA"/>
              </w:rPr>
              <w:t xml:space="preserve"> 0 </w:t>
            </w:r>
            <w:r>
              <w:rPr>
                <w:rFonts w:hint="eastAsia" w:ascii="宋体" w:hAnsi="宋体" w:eastAsia="宋体" w:cs="仿宋"/>
                <w:color w:val="auto"/>
                <w:kern w:val="2"/>
                <w:sz w:val="21"/>
                <w:szCs w:val="21"/>
                <w:lang w:val="en-US" w:eastAsia="zh-CN" w:bidi="ar-SA"/>
              </w:rPr>
              <w:t>%或累计变更超过了签约合同价的</w:t>
            </w:r>
            <w:r>
              <w:rPr>
                <w:rFonts w:hint="eastAsia" w:ascii="宋体" w:hAnsi="宋体" w:eastAsia="宋体" w:cs="仿宋"/>
                <w:color w:val="auto"/>
                <w:kern w:val="2"/>
                <w:sz w:val="21"/>
                <w:szCs w:val="21"/>
                <w:u w:val="single"/>
                <w:lang w:val="en-US" w:eastAsia="zh-CN" w:bidi="ar-SA"/>
              </w:rPr>
              <w:t xml:space="preserve">  0 </w:t>
            </w:r>
            <w:r>
              <w:rPr>
                <w:rFonts w:hint="eastAsia" w:ascii="宋体" w:hAnsi="宋体" w:eastAsia="宋体" w:cs="仿宋"/>
                <w:color w:val="auto"/>
                <w:kern w:val="2"/>
                <w:sz w:val="21"/>
                <w:szCs w:val="21"/>
                <w:lang w:val="en-US" w:eastAsia="zh-CN" w:bidi="ar-SA"/>
              </w:rPr>
              <w:t>%</w:t>
            </w:r>
          </w:p>
        </w:tc>
      </w:tr>
      <w:tr w14:paraId="2D921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6" w:hRule="atLeast"/>
        </w:trPr>
        <w:tc>
          <w:tcPr>
            <w:tcW w:w="764" w:type="dxa"/>
            <w:tcBorders>
              <w:top w:val="single" w:color="auto" w:sz="6" w:space="0"/>
              <w:left w:val="double" w:color="auto" w:sz="4" w:space="0"/>
              <w:bottom w:val="single" w:color="auto" w:sz="6" w:space="0"/>
              <w:right w:val="single" w:color="auto" w:sz="6" w:space="0"/>
            </w:tcBorders>
            <w:noWrap w:val="0"/>
            <w:vAlign w:val="center"/>
          </w:tcPr>
          <w:p w14:paraId="349FAD5B">
            <w:pPr>
              <w:spacing w:line="360" w:lineRule="auto"/>
              <w:jc w:val="center"/>
              <w:rPr>
                <w:rFonts w:hint="eastAsia" w:ascii="宋体" w:eastAsia="宋体" w:cs="仿宋"/>
                <w:color w:val="auto"/>
                <w:sz w:val="21"/>
                <w:szCs w:val="21"/>
                <w:lang w:val="en-US" w:eastAsia="zh-CN"/>
              </w:rPr>
            </w:pPr>
            <w:r>
              <w:rPr>
                <w:rFonts w:hint="eastAsia" w:ascii="宋体" w:cs="仿宋"/>
                <w:color w:val="auto"/>
                <w:sz w:val="21"/>
                <w:szCs w:val="21"/>
                <w:lang w:val="en-US" w:eastAsia="zh-CN"/>
              </w:rPr>
              <w:t>6</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39BEBEEB">
            <w:pPr>
              <w:pStyle w:val="51"/>
              <w:spacing w:line="400" w:lineRule="exact"/>
              <w:jc w:val="center"/>
              <w:rPr>
                <w:color w:val="auto"/>
                <w:sz w:val="21"/>
                <w:szCs w:val="21"/>
              </w:rPr>
            </w:pPr>
            <w:r>
              <w:rPr>
                <w:color w:val="auto"/>
                <w:sz w:val="21"/>
                <w:szCs w:val="21"/>
              </w:rPr>
              <w:t>4.1.10</w:t>
            </w:r>
          </w:p>
          <w:p w14:paraId="679BE812">
            <w:pPr>
              <w:pStyle w:val="51"/>
              <w:spacing w:line="400" w:lineRule="exact"/>
              <w:jc w:val="center"/>
              <w:rPr>
                <w:rFonts w:cs="仿宋"/>
                <w:color w:val="auto"/>
                <w:sz w:val="21"/>
                <w:szCs w:val="21"/>
              </w:rPr>
            </w:pP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C810500">
            <w:pPr>
              <w:spacing w:line="360" w:lineRule="auto"/>
              <w:rPr>
                <w:rFonts w:cs="仿宋"/>
                <w:color w:val="auto"/>
                <w:sz w:val="21"/>
                <w:szCs w:val="21"/>
              </w:rPr>
            </w:pPr>
            <w:r>
              <w:rPr>
                <w:rFonts w:hint="eastAsia" w:ascii="宋体" w:hAnsi="宋体" w:cs="仿宋"/>
                <w:color w:val="auto"/>
                <w:sz w:val="21"/>
                <w:szCs w:val="21"/>
              </w:rPr>
              <w:t>执行《云南省工程建设领域农民工实名制管理办法》《云南省工程建设项目农民工工资支付日常监管暂定办法》及《云南省工程建设项目农民工工资（劳务费）专用账户管理暂行办法》。</w:t>
            </w:r>
          </w:p>
        </w:tc>
      </w:tr>
      <w:tr w14:paraId="3CB191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6" w:hRule="atLeast"/>
        </w:trPr>
        <w:tc>
          <w:tcPr>
            <w:tcW w:w="764" w:type="dxa"/>
            <w:tcBorders>
              <w:top w:val="single" w:color="auto" w:sz="6" w:space="0"/>
              <w:left w:val="double" w:color="auto" w:sz="4" w:space="0"/>
              <w:bottom w:val="single" w:color="auto" w:sz="6" w:space="0"/>
              <w:right w:val="single" w:color="auto" w:sz="6" w:space="0"/>
            </w:tcBorders>
            <w:noWrap w:val="0"/>
            <w:vAlign w:val="center"/>
          </w:tcPr>
          <w:p w14:paraId="2AAA9A0D">
            <w:pPr>
              <w:spacing w:line="360" w:lineRule="auto"/>
              <w:jc w:val="center"/>
              <w:rPr>
                <w:rFonts w:hint="eastAsia" w:ascii="宋体" w:eastAsia="宋体" w:cs="仿宋"/>
                <w:color w:val="auto"/>
                <w:sz w:val="21"/>
                <w:szCs w:val="21"/>
                <w:lang w:val="en-US" w:eastAsia="zh-CN"/>
              </w:rPr>
            </w:pPr>
            <w:r>
              <w:rPr>
                <w:rFonts w:hint="eastAsia" w:ascii="宋体" w:cs="仿宋"/>
                <w:color w:val="auto"/>
                <w:sz w:val="21"/>
                <w:szCs w:val="21"/>
                <w:lang w:val="en-US" w:eastAsia="zh-CN"/>
              </w:rPr>
              <w:t>7</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41B60C5D">
            <w:pPr>
              <w:adjustRightInd w:val="0"/>
              <w:snapToGrid w:val="0"/>
              <w:jc w:val="center"/>
              <w:rPr>
                <w:rFonts w:hint="default" w:ascii="宋体" w:hAnsi="宋体" w:eastAsia="宋体" w:cs="宋体"/>
                <w:color w:val="auto"/>
                <w:kern w:val="2"/>
                <w:position w:val="0"/>
                <w:sz w:val="21"/>
                <w:szCs w:val="21"/>
                <w:lang w:val="en-US" w:eastAsia="zh-CN" w:bidi="ar-SA"/>
              </w:rPr>
            </w:pPr>
            <w:r>
              <w:rPr>
                <w:rFonts w:hint="eastAsia" w:ascii="宋体" w:hAnsi="宋体" w:cs="宋体"/>
                <w:color w:val="auto"/>
                <w:position w:val="0"/>
                <w:sz w:val="21"/>
                <w:szCs w:val="21"/>
                <w:lang w:val="en-US" w:eastAsia="zh-CN"/>
              </w:rPr>
              <w:t>4.2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6153E599">
            <w:pPr>
              <w:spacing w:line="360" w:lineRule="auto"/>
              <w:rPr>
                <w:rFonts w:hint="eastAsia" w:ascii="宋体" w:hAnsi="宋体" w:eastAsia="宋体" w:cs="仿宋"/>
                <w:color w:val="auto"/>
                <w:sz w:val="21"/>
                <w:szCs w:val="21"/>
              </w:rPr>
            </w:pPr>
            <w:r>
              <w:rPr>
                <w:rFonts w:hint="eastAsia" w:ascii="宋体" w:hAnsi="宋体" w:eastAsia="宋体" w:cs="仿宋"/>
                <w:color w:val="auto"/>
                <w:sz w:val="21"/>
                <w:szCs w:val="21"/>
              </w:rPr>
              <w:t>履约保证金金额：10％签约合同价</w:t>
            </w:r>
          </w:p>
          <w:p w14:paraId="4675CD92">
            <w:pPr>
              <w:spacing w:line="360" w:lineRule="auto"/>
              <w:rPr>
                <w:rFonts w:hint="eastAsia" w:ascii="宋体" w:hAnsi="宋体" w:cs="宋体"/>
                <w:color w:val="auto"/>
                <w:kern w:val="2"/>
                <w:position w:val="0"/>
                <w:sz w:val="21"/>
                <w:szCs w:val="21"/>
                <w:lang w:val="en-US" w:eastAsia="zh-CN" w:bidi="ar-SA"/>
              </w:rPr>
            </w:pPr>
            <w:r>
              <w:rPr>
                <w:rFonts w:hint="eastAsia" w:ascii="宋体" w:hAnsi="宋体" w:eastAsia="宋体" w:cs="仿宋"/>
                <w:color w:val="auto"/>
                <w:sz w:val="21"/>
                <w:szCs w:val="21"/>
              </w:rPr>
              <w:t>履约保证金的形式：银行保函、现金或第三方保险机构承保保函。</w:t>
            </w:r>
          </w:p>
        </w:tc>
      </w:tr>
      <w:tr w14:paraId="5056E7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6" w:hRule="atLeast"/>
        </w:trPr>
        <w:tc>
          <w:tcPr>
            <w:tcW w:w="764" w:type="dxa"/>
            <w:tcBorders>
              <w:top w:val="single" w:color="auto" w:sz="6" w:space="0"/>
              <w:left w:val="double" w:color="auto" w:sz="4" w:space="0"/>
              <w:bottom w:val="single" w:color="auto" w:sz="6" w:space="0"/>
              <w:right w:val="single" w:color="auto" w:sz="6" w:space="0"/>
            </w:tcBorders>
            <w:noWrap w:val="0"/>
            <w:vAlign w:val="center"/>
          </w:tcPr>
          <w:p w14:paraId="03EE0649">
            <w:pPr>
              <w:spacing w:line="360" w:lineRule="auto"/>
              <w:jc w:val="center"/>
              <w:rPr>
                <w:rFonts w:hint="eastAsia" w:ascii="宋体" w:eastAsia="宋体" w:cs="仿宋"/>
                <w:color w:val="auto"/>
                <w:sz w:val="21"/>
                <w:szCs w:val="21"/>
                <w:lang w:val="en-US" w:eastAsia="zh-CN"/>
              </w:rPr>
            </w:pPr>
            <w:r>
              <w:rPr>
                <w:rFonts w:hint="eastAsia" w:ascii="宋体" w:cs="仿宋"/>
                <w:color w:val="auto"/>
                <w:sz w:val="21"/>
                <w:szCs w:val="21"/>
                <w:lang w:val="en-US" w:eastAsia="zh-CN"/>
              </w:rPr>
              <w:t>8</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36B660D4">
            <w:pPr>
              <w:adjustRightInd w:val="0"/>
              <w:snapToGrid w:val="0"/>
              <w:jc w:val="center"/>
              <w:rPr>
                <w:rFonts w:hint="eastAsia" w:ascii="宋体" w:hAnsi="宋体" w:cs="宋体"/>
                <w:color w:val="auto"/>
                <w:kern w:val="2"/>
                <w:position w:val="0"/>
                <w:sz w:val="21"/>
                <w:szCs w:val="21"/>
                <w:lang w:val="en-US" w:eastAsia="zh-CN" w:bidi="ar-SA"/>
              </w:rPr>
            </w:pPr>
            <w:r>
              <w:rPr>
                <w:rFonts w:hint="eastAsia" w:ascii="宋体" w:hAnsi="宋体" w:cs="宋体"/>
                <w:color w:val="auto"/>
                <w:position w:val="0"/>
                <w:sz w:val="21"/>
                <w:szCs w:val="21"/>
              </w:rPr>
              <w:t>4.3.2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58911A6">
            <w:pPr>
              <w:tabs>
                <w:tab w:val="center" w:pos="4897"/>
                <w:tab w:val="left" w:pos="7110"/>
              </w:tabs>
              <w:adjustRightInd w:val="0"/>
              <w:snapToGrid w:val="0"/>
              <w:spacing w:line="340" w:lineRule="exact"/>
              <w:rPr>
                <w:rFonts w:ascii="宋体" w:hAnsi="宋体" w:cs="宋体"/>
                <w:color w:val="auto"/>
                <w:kern w:val="2"/>
                <w:position w:val="0"/>
                <w:sz w:val="21"/>
                <w:szCs w:val="21"/>
                <w:lang w:val="en-US" w:eastAsia="zh-CN" w:bidi="ar-SA"/>
              </w:rPr>
            </w:pPr>
            <w:r>
              <w:rPr>
                <w:rFonts w:hint="eastAsia" w:ascii="宋体" w:hAnsi="宋体" w:eastAsia="宋体" w:cs="仿宋"/>
                <w:color w:val="auto"/>
                <w:sz w:val="21"/>
                <w:szCs w:val="21"/>
              </w:rPr>
              <w:t>本项目禁止分包</w:t>
            </w:r>
          </w:p>
        </w:tc>
      </w:tr>
      <w:tr w14:paraId="6E05D5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0"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7271A0DB">
            <w:pPr>
              <w:spacing w:line="360" w:lineRule="auto"/>
              <w:jc w:val="center"/>
              <w:rPr>
                <w:rFonts w:hint="eastAsia" w:ascii="宋体" w:eastAsia="宋体" w:cs="仿宋"/>
                <w:color w:val="auto"/>
                <w:sz w:val="21"/>
                <w:szCs w:val="21"/>
                <w:lang w:eastAsia="zh-CN"/>
              </w:rPr>
            </w:pPr>
            <w:r>
              <w:rPr>
                <w:rFonts w:hint="eastAsia" w:ascii="宋体" w:hAnsi="宋体" w:cs="仿宋"/>
                <w:color w:val="auto"/>
                <w:sz w:val="21"/>
                <w:szCs w:val="21"/>
                <w:lang w:val="en-US" w:eastAsia="zh-CN"/>
              </w:rPr>
              <w:t>9</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7E1CAE3E">
            <w:pPr>
              <w:spacing w:line="360" w:lineRule="auto"/>
              <w:jc w:val="center"/>
              <w:rPr>
                <w:rFonts w:ascii="宋体" w:cs="仿宋"/>
                <w:color w:val="auto"/>
                <w:sz w:val="21"/>
                <w:szCs w:val="21"/>
              </w:rPr>
            </w:pPr>
            <w:r>
              <w:rPr>
                <w:rFonts w:ascii="宋体" w:hAnsi="宋体" w:cs="仿宋"/>
                <w:color w:val="auto"/>
                <w:sz w:val="21"/>
                <w:szCs w:val="21"/>
              </w:rPr>
              <w:t>5.2.1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8694E3F">
            <w:pPr>
              <w:spacing w:line="360" w:lineRule="auto"/>
              <w:rPr>
                <w:rFonts w:ascii="宋体" w:cs="仿宋"/>
                <w:color w:val="auto"/>
                <w:sz w:val="21"/>
                <w:szCs w:val="21"/>
                <w:u w:val="single"/>
              </w:rPr>
            </w:pPr>
            <w:r>
              <w:rPr>
                <w:rFonts w:hint="eastAsia" w:ascii="宋体" w:hAnsi="宋体" w:cs="仿宋"/>
                <w:color w:val="auto"/>
                <w:sz w:val="21"/>
                <w:szCs w:val="21"/>
              </w:rPr>
              <w:t>发包人是否提供材料或工程设备：</w:t>
            </w:r>
            <w:r>
              <w:rPr>
                <w:rFonts w:hint="eastAsia" w:ascii="宋体" w:hAnsi="宋体" w:cs="仿宋"/>
                <w:color w:val="auto"/>
                <w:sz w:val="21"/>
                <w:szCs w:val="21"/>
                <w:u w:val="single"/>
              </w:rPr>
              <w:t>否</w:t>
            </w:r>
            <w:r>
              <w:rPr>
                <w:rFonts w:hint="eastAsia" w:ascii="宋体" w:hAnsi="宋体" w:cs="仿宋"/>
                <w:color w:val="auto"/>
                <w:sz w:val="21"/>
                <w:szCs w:val="21"/>
              </w:rPr>
              <w:t>。</w:t>
            </w:r>
          </w:p>
        </w:tc>
      </w:tr>
      <w:tr w14:paraId="5A11EB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9"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5F942C40">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10</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4AE5382F">
            <w:pPr>
              <w:spacing w:line="360" w:lineRule="auto"/>
              <w:jc w:val="center"/>
              <w:rPr>
                <w:rFonts w:ascii="宋体" w:cs="仿宋"/>
                <w:color w:val="auto"/>
                <w:sz w:val="21"/>
                <w:szCs w:val="21"/>
              </w:rPr>
            </w:pPr>
            <w:r>
              <w:rPr>
                <w:rFonts w:ascii="宋体" w:hAnsi="宋体" w:cs="仿宋"/>
                <w:color w:val="auto"/>
                <w:sz w:val="21"/>
                <w:szCs w:val="21"/>
              </w:rPr>
              <w:t>6.2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4B0093FD">
            <w:pPr>
              <w:spacing w:line="360" w:lineRule="auto"/>
              <w:rPr>
                <w:rFonts w:ascii="宋体" w:cs="仿宋"/>
                <w:color w:val="auto"/>
                <w:sz w:val="21"/>
                <w:szCs w:val="21"/>
              </w:rPr>
            </w:pPr>
            <w:r>
              <w:rPr>
                <w:rFonts w:hint="eastAsia" w:ascii="宋体" w:hAnsi="宋体" w:cs="仿宋"/>
                <w:color w:val="auto"/>
                <w:sz w:val="21"/>
                <w:szCs w:val="21"/>
              </w:rPr>
              <w:t>发包人是否提供施工设备和临时设施：</w:t>
            </w:r>
            <w:r>
              <w:rPr>
                <w:rFonts w:hint="eastAsia" w:ascii="宋体" w:hAnsi="宋体" w:cs="仿宋"/>
                <w:color w:val="auto"/>
                <w:sz w:val="21"/>
                <w:szCs w:val="21"/>
                <w:u w:val="single"/>
              </w:rPr>
              <w:t>否</w:t>
            </w:r>
          </w:p>
        </w:tc>
      </w:tr>
      <w:tr w14:paraId="1790FC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3"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293D336">
            <w:pPr>
              <w:spacing w:line="360" w:lineRule="auto"/>
              <w:jc w:val="center"/>
              <w:rPr>
                <w:rFonts w:hint="default" w:ascii="宋体" w:hAnsi="宋体" w:cs="仿宋"/>
                <w:color w:val="auto"/>
                <w:sz w:val="21"/>
                <w:szCs w:val="21"/>
                <w:lang w:val="en-US" w:eastAsia="zh-CN"/>
              </w:rPr>
            </w:pPr>
            <w:r>
              <w:rPr>
                <w:rFonts w:hint="eastAsia" w:ascii="宋体" w:hAnsi="宋体" w:cs="仿宋"/>
                <w:color w:val="auto"/>
                <w:sz w:val="21"/>
                <w:szCs w:val="21"/>
                <w:lang w:val="en-US" w:eastAsia="zh-CN"/>
              </w:rPr>
              <w:t>11</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02C6BA5B">
            <w:pPr>
              <w:pStyle w:val="51"/>
              <w:spacing w:line="400" w:lineRule="exact"/>
              <w:jc w:val="center"/>
              <w:rPr>
                <w:rFonts w:ascii="宋体" w:hAnsi="宋体" w:cs="宋体"/>
                <w:color w:val="auto"/>
                <w:kern w:val="0"/>
                <w:sz w:val="21"/>
                <w:szCs w:val="21"/>
                <w:lang w:val="zh-CN" w:eastAsia="zh-CN" w:bidi="ar-SA"/>
              </w:rPr>
            </w:pPr>
            <w:r>
              <w:rPr>
                <w:rFonts w:ascii="宋体" w:hAnsi="宋体"/>
                <w:color w:val="auto"/>
                <w:sz w:val="21"/>
                <w:szCs w:val="21"/>
              </w:rPr>
              <w:t>8.1.1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67585D60">
            <w:pPr>
              <w:pStyle w:val="51"/>
              <w:tabs>
                <w:tab w:val="left" w:pos="6908"/>
                <w:tab w:val="left" w:pos="7244"/>
              </w:tabs>
              <w:spacing w:line="400" w:lineRule="exact"/>
              <w:jc w:val="both"/>
              <w:rPr>
                <w:rFonts w:ascii="宋体" w:hAnsi="宋体"/>
                <w:color w:val="auto"/>
                <w:sz w:val="21"/>
                <w:szCs w:val="21"/>
                <w:u w:val="single"/>
                <w:lang w:eastAsia="zh-CN"/>
              </w:rPr>
            </w:pPr>
            <w:r>
              <w:rPr>
                <w:rFonts w:ascii="宋体" w:hAnsi="宋体"/>
                <w:color w:val="auto"/>
                <w:sz w:val="21"/>
                <w:szCs w:val="21"/>
                <w:lang w:eastAsia="zh-CN"/>
              </w:rPr>
              <w:t>发包</w:t>
            </w:r>
            <w:r>
              <w:rPr>
                <w:rFonts w:ascii="宋体" w:hAnsi="宋体"/>
                <w:color w:val="auto"/>
                <w:spacing w:val="-3"/>
                <w:sz w:val="21"/>
                <w:szCs w:val="21"/>
                <w:lang w:eastAsia="zh-CN"/>
              </w:rPr>
              <w:t>人</w:t>
            </w:r>
            <w:r>
              <w:rPr>
                <w:rFonts w:ascii="宋体" w:hAnsi="宋体"/>
                <w:color w:val="auto"/>
                <w:sz w:val="21"/>
                <w:szCs w:val="21"/>
                <w:lang w:eastAsia="zh-CN"/>
              </w:rPr>
              <w:t>提</w:t>
            </w:r>
            <w:r>
              <w:rPr>
                <w:rFonts w:ascii="宋体" w:hAnsi="宋体"/>
                <w:color w:val="auto"/>
                <w:spacing w:val="-3"/>
                <w:sz w:val="21"/>
                <w:szCs w:val="21"/>
                <w:lang w:eastAsia="zh-CN"/>
              </w:rPr>
              <w:t>供</w:t>
            </w:r>
            <w:r>
              <w:rPr>
                <w:rFonts w:ascii="宋体" w:hAnsi="宋体"/>
                <w:color w:val="auto"/>
                <w:sz w:val="21"/>
                <w:szCs w:val="21"/>
                <w:lang w:eastAsia="zh-CN"/>
              </w:rPr>
              <w:t>测</w:t>
            </w:r>
            <w:r>
              <w:rPr>
                <w:rFonts w:ascii="宋体" w:hAnsi="宋体"/>
                <w:color w:val="auto"/>
                <w:spacing w:val="-3"/>
                <w:sz w:val="21"/>
                <w:szCs w:val="21"/>
                <w:lang w:eastAsia="zh-CN"/>
              </w:rPr>
              <w:t>量</w:t>
            </w:r>
            <w:r>
              <w:rPr>
                <w:rFonts w:ascii="宋体" w:hAnsi="宋体"/>
                <w:color w:val="auto"/>
                <w:sz w:val="21"/>
                <w:szCs w:val="21"/>
                <w:lang w:eastAsia="zh-CN"/>
              </w:rPr>
              <w:t>基</w:t>
            </w:r>
            <w:r>
              <w:rPr>
                <w:rFonts w:ascii="宋体" w:hAnsi="宋体"/>
                <w:color w:val="auto"/>
                <w:spacing w:val="-3"/>
                <w:sz w:val="21"/>
                <w:szCs w:val="21"/>
                <w:lang w:eastAsia="zh-CN"/>
              </w:rPr>
              <w:t>准</w:t>
            </w:r>
            <w:r>
              <w:rPr>
                <w:rFonts w:ascii="宋体" w:hAnsi="宋体"/>
                <w:color w:val="auto"/>
                <w:sz w:val="21"/>
                <w:szCs w:val="21"/>
                <w:lang w:eastAsia="zh-CN"/>
              </w:rPr>
              <w:t>点</w:t>
            </w:r>
            <w:r>
              <w:rPr>
                <w:rFonts w:ascii="宋体" w:hAnsi="宋体"/>
                <w:color w:val="auto"/>
                <w:spacing w:val="-3"/>
                <w:sz w:val="21"/>
                <w:szCs w:val="21"/>
                <w:lang w:eastAsia="zh-CN"/>
              </w:rPr>
              <w:t>、</w:t>
            </w:r>
            <w:r>
              <w:rPr>
                <w:rFonts w:ascii="宋体" w:hAnsi="宋体"/>
                <w:color w:val="auto"/>
                <w:sz w:val="21"/>
                <w:szCs w:val="21"/>
                <w:lang w:eastAsia="zh-CN"/>
              </w:rPr>
              <w:t>基准</w:t>
            </w:r>
            <w:r>
              <w:rPr>
                <w:rFonts w:ascii="宋体" w:hAnsi="宋体"/>
                <w:color w:val="auto"/>
                <w:spacing w:val="-3"/>
                <w:sz w:val="21"/>
                <w:szCs w:val="21"/>
                <w:lang w:eastAsia="zh-CN"/>
              </w:rPr>
              <w:t>线</w:t>
            </w:r>
            <w:r>
              <w:rPr>
                <w:rFonts w:ascii="宋体" w:hAnsi="宋体"/>
                <w:color w:val="auto"/>
                <w:sz w:val="21"/>
                <w:szCs w:val="21"/>
                <w:lang w:eastAsia="zh-CN"/>
              </w:rPr>
              <w:t>和</w:t>
            </w:r>
            <w:r>
              <w:rPr>
                <w:rFonts w:ascii="宋体" w:hAnsi="宋体"/>
                <w:color w:val="auto"/>
                <w:spacing w:val="-3"/>
                <w:sz w:val="21"/>
                <w:szCs w:val="21"/>
                <w:lang w:eastAsia="zh-CN"/>
              </w:rPr>
              <w:t>水</w:t>
            </w:r>
            <w:r>
              <w:rPr>
                <w:rFonts w:ascii="宋体" w:hAnsi="宋体"/>
                <w:color w:val="auto"/>
                <w:sz w:val="21"/>
                <w:szCs w:val="21"/>
                <w:lang w:eastAsia="zh-CN"/>
              </w:rPr>
              <w:t>准</w:t>
            </w:r>
            <w:r>
              <w:rPr>
                <w:rFonts w:ascii="宋体" w:hAnsi="宋体"/>
                <w:color w:val="auto"/>
                <w:spacing w:val="-3"/>
                <w:sz w:val="21"/>
                <w:szCs w:val="21"/>
                <w:lang w:eastAsia="zh-CN"/>
              </w:rPr>
              <w:t>点</w:t>
            </w:r>
            <w:r>
              <w:rPr>
                <w:rFonts w:ascii="宋体" w:hAnsi="宋体"/>
                <w:color w:val="auto"/>
                <w:sz w:val="21"/>
                <w:szCs w:val="21"/>
                <w:lang w:eastAsia="zh-CN"/>
              </w:rPr>
              <w:t>及</w:t>
            </w:r>
            <w:r>
              <w:rPr>
                <w:rFonts w:ascii="宋体" w:hAnsi="宋体"/>
                <w:color w:val="auto"/>
                <w:spacing w:val="-3"/>
                <w:sz w:val="21"/>
                <w:szCs w:val="21"/>
                <w:lang w:eastAsia="zh-CN"/>
              </w:rPr>
              <w:t>其</w:t>
            </w:r>
            <w:r>
              <w:rPr>
                <w:rFonts w:ascii="宋体" w:hAnsi="宋体"/>
                <w:color w:val="auto"/>
                <w:sz w:val="21"/>
                <w:szCs w:val="21"/>
                <w:lang w:eastAsia="zh-CN"/>
              </w:rPr>
              <w:t>书</w:t>
            </w:r>
            <w:r>
              <w:rPr>
                <w:rFonts w:ascii="宋体" w:hAnsi="宋体"/>
                <w:color w:val="auto"/>
                <w:spacing w:val="-3"/>
                <w:sz w:val="21"/>
                <w:szCs w:val="21"/>
                <w:lang w:eastAsia="zh-CN"/>
              </w:rPr>
              <w:t>面</w:t>
            </w:r>
            <w:r>
              <w:rPr>
                <w:rFonts w:ascii="宋体" w:hAnsi="宋体"/>
                <w:color w:val="auto"/>
                <w:sz w:val="21"/>
                <w:szCs w:val="21"/>
                <w:lang w:eastAsia="zh-CN"/>
              </w:rPr>
              <w:t>资料</w:t>
            </w:r>
            <w:r>
              <w:rPr>
                <w:rFonts w:ascii="宋体" w:hAnsi="宋体"/>
                <w:color w:val="auto"/>
                <w:spacing w:val="-3"/>
                <w:sz w:val="21"/>
                <w:szCs w:val="21"/>
                <w:lang w:eastAsia="zh-CN"/>
              </w:rPr>
              <w:t>的</w:t>
            </w:r>
            <w:r>
              <w:rPr>
                <w:rFonts w:ascii="宋体" w:hAnsi="宋体"/>
                <w:color w:val="auto"/>
                <w:sz w:val="21"/>
                <w:szCs w:val="21"/>
                <w:lang w:eastAsia="zh-CN"/>
              </w:rPr>
              <w:t>期</w:t>
            </w:r>
            <w:r>
              <w:rPr>
                <w:rFonts w:ascii="宋体" w:hAnsi="宋体"/>
                <w:color w:val="auto"/>
                <w:spacing w:val="-3"/>
                <w:sz w:val="21"/>
                <w:szCs w:val="21"/>
                <w:lang w:eastAsia="zh-CN"/>
              </w:rPr>
              <w:t>限</w:t>
            </w:r>
            <w:r>
              <w:rPr>
                <w:rFonts w:ascii="宋体" w:hAnsi="宋体"/>
                <w:color w:val="auto"/>
                <w:sz w:val="21"/>
                <w:szCs w:val="21"/>
                <w:lang w:eastAsia="zh-CN"/>
              </w:rPr>
              <w:t>：</w:t>
            </w:r>
            <w:r>
              <w:rPr>
                <w:rFonts w:hint="eastAsia" w:ascii="宋体" w:hAnsi="宋体"/>
                <w:color w:val="auto"/>
                <w:sz w:val="21"/>
                <w:szCs w:val="21"/>
                <w:u w:val="single"/>
                <w:lang w:eastAsia="zh-CN"/>
              </w:rPr>
              <w:t>自签订合同之日起14天内</w:t>
            </w:r>
            <w:r>
              <w:rPr>
                <w:rFonts w:hint="eastAsia" w:ascii="宋体" w:hAnsi="宋体"/>
                <w:color w:val="auto"/>
                <w:sz w:val="21"/>
                <w:szCs w:val="21"/>
                <w:lang w:eastAsia="zh-CN"/>
              </w:rPr>
              <w:t>。</w:t>
            </w:r>
          </w:p>
          <w:p w14:paraId="28B595D9">
            <w:pPr>
              <w:pStyle w:val="51"/>
              <w:tabs>
                <w:tab w:val="left" w:pos="6908"/>
                <w:tab w:val="left" w:pos="7244"/>
              </w:tabs>
              <w:spacing w:line="400" w:lineRule="exact"/>
              <w:jc w:val="both"/>
              <w:rPr>
                <w:rFonts w:hint="eastAsia" w:ascii="宋体" w:hAnsi="宋体" w:cs="宋体"/>
                <w:color w:val="auto"/>
                <w:kern w:val="0"/>
                <w:sz w:val="21"/>
                <w:szCs w:val="21"/>
                <w:lang w:val="zh-CN" w:eastAsia="zh-CN" w:bidi="ar-SA"/>
              </w:rPr>
            </w:pPr>
            <w:r>
              <w:rPr>
                <w:rFonts w:ascii="宋体" w:hAnsi="宋体"/>
                <w:color w:val="auto"/>
                <w:sz w:val="21"/>
                <w:szCs w:val="21"/>
                <w:lang w:eastAsia="zh-CN"/>
              </w:rPr>
              <w:t>承包人将施工控制网资料报送监理人审批的期限：</w:t>
            </w:r>
            <w:r>
              <w:rPr>
                <w:rFonts w:hint="eastAsia" w:ascii="宋体" w:hAnsi="宋体"/>
                <w:color w:val="auto"/>
                <w:sz w:val="21"/>
                <w:szCs w:val="21"/>
                <w:u w:val="single"/>
                <w:lang w:eastAsia="zh-CN"/>
              </w:rPr>
              <w:t>自下发开工通知之日起14天内</w:t>
            </w:r>
            <w:r>
              <w:rPr>
                <w:rFonts w:hint="eastAsia" w:ascii="宋体" w:hAnsi="宋体"/>
                <w:color w:val="auto"/>
                <w:sz w:val="21"/>
                <w:szCs w:val="21"/>
                <w:lang w:eastAsia="zh-CN"/>
              </w:rPr>
              <w:t>。</w:t>
            </w:r>
          </w:p>
        </w:tc>
      </w:tr>
      <w:tr w14:paraId="69748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43"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178E401">
            <w:pPr>
              <w:spacing w:line="360" w:lineRule="auto"/>
              <w:jc w:val="center"/>
              <w:rPr>
                <w:rFonts w:hint="default" w:ascii="宋体" w:hAnsi="宋体" w:cs="仿宋"/>
                <w:color w:val="auto"/>
                <w:sz w:val="21"/>
                <w:szCs w:val="21"/>
                <w:lang w:val="en-US" w:eastAsia="zh-CN"/>
              </w:rPr>
            </w:pPr>
            <w:r>
              <w:rPr>
                <w:rFonts w:hint="eastAsia" w:ascii="宋体" w:hAnsi="宋体" w:cs="仿宋"/>
                <w:color w:val="auto"/>
                <w:sz w:val="21"/>
                <w:szCs w:val="21"/>
                <w:lang w:val="en-US" w:eastAsia="zh-CN"/>
              </w:rPr>
              <w:t>12</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35AA3AEE">
            <w:pPr>
              <w:pStyle w:val="51"/>
              <w:spacing w:line="400" w:lineRule="exact"/>
              <w:jc w:val="cente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10.1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74A10A9">
            <w:pPr>
              <w:pStyle w:val="51"/>
              <w:tabs>
                <w:tab w:val="left" w:pos="6908"/>
                <w:tab w:val="left" w:pos="7244"/>
              </w:tabs>
              <w:spacing w:line="400" w:lineRule="exact"/>
              <w:jc w:val="both"/>
              <w:rPr>
                <w:rFonts w:hint="default" w:ascii="宋体" w:hAnsi="宋体"/>
                <w:color w:val="auto"/>
                <w:sz w:val="21"/>
                <w:szCs w:val="21"/>
                <w:lang w:val="en-US" w:eastAsia="zh-CN"/>
              </w:rPr>
            </w:pPr>
            <w:r>
              <w:rPr>
                <w:rFonts w:hint="eastAsia" w:ascii="宋体" w:hAnsi="宋体"/>
                <w:color w:val="auto"/>
                <w:sz w:val="21"/>
                <w:szCs w:val="21"/>
                <w:lang w:val="en-US" w:eastAsia="zh-CN"/>
              </w:rPr>
              <w:t>承包人编制详细施工进度和施工方案说明报送监理人时限：签订合同后15天内。</w:t>
            </w:r>
          </w:p>
        </w:tc>
      </w:tr>
      <w:tr w14:paraId="5A1851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4"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03AAE8A5">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13</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7BB98351">
            <w:pPr>
              <w:spacing w:line="360" w:lineRule="auto"/>
              <w:jc w:val="center"/>
              <w:rPr>
                <w:rFonts w:ascii="宋体" w:cs="仿宋"/>
                <w:color w:val="auto"/>
                <w:sz w:val="21"/>
                <w:szCs w:val="21"/>
              </w:rPr>
            </w:pPr>
            <w:r>
              <w:rPr>
                <w:rFonts w:ascii="宋体" w:hAnsi="宋体" w:cs="仿宋"/>
                <w:color w:val="auto"/>
                <w:sz w:val="21"/>
                <w:szCs w:val="21"/>
              </w:rPr>
              <w:t>11.5</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4D1FA97F">
            <w:pPr>
              <w:spacing w:line="360" w:lineRule="auto"/>
              <w:rPr>
                <w:rFonts w:ascii="宋体" w:cs="仿宋"/>
                <w:color w:val="auto"/>
                <w:sz w:val="21"/>
                <w:szCs w:val="21"/>
              </w:rPr>
            </w:pPr>
            <w:r>
              <w:rPr>
                <w:rFonts w:hint="eastAsia" w:ascii="宋体" w:hAnsi="宋体" w:cs="仿宋"/>
                <w:color w:val="auto"/>
                <w:sz w:val="21"/>
                <w:szCs w:val="21"/>
              </w:rPr>
              <w:t>逾期交工违约金：</w:t>
            </w:r>
            <w:r>
              <w:rPr>
                <w:rFonts w:ascii="宋体" w:hAnsi="宋体" w:cs="仿宋"/>
                <w:color w:val="auto"/>
                <w:sz w:val="21"/>
                <w:szCs w:val="21"/>
                <w:u w:val="single"/>
              </w:rPr>
              <w:t>1000</w:t>
            </w:r>
            <w:r>
              <w:rPr>
                <w:rFonts w:hint="eastAsia" w:ascii="宋体" w:hAnsi="宋体" w:cs="仿宋"/>
                <w:color w:val="auto"/>
                <w:sz w:val="21"/>
                <w:szCs w:val="21"/>
              </w:rPr>
              <w:t>元</w:t>
            </w:r>
            <w:r>
              <w:rPr>
                <w:rFonts w:ascii="宋体" w:hAnsi="宋体" w:cs="仿宋"/>
                <w:color w:val="auto"/>
                <w:sz w:val="21"/>
                <w:szCs w:val="21"/>
              </w:rPr>
              <w:t>/</w:t>
            </w:r>
            <w:r>
              <w:rPr>
                <w:rFonts w:hint="eastAsia" w:ascii="宋体" w:hAnsi="宋体" w:cs="仿宋"/>
                <w:color w:val="auto"/>
                <w:sz w:val="21"/>
                <w:szCs w:val="21"/>
              </w:rPr>
              <w:t>天</w:t>
            </w:r>
          </w:p>
        </w:tc>
      </w:tr>
      <w:tr w14:paraId="41FC74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24053A0C">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14</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1BC4A542">
            <w:pPr>
              <w:spacing w:line="360" w:lineRule="auto"/>
              <w:jc w:val="center"/>
              <w:rPr>
                <w:rFonts w:ascii="宋体" w:cs="仿宋"/>
                <w:color w:val="auto"/>
                <w:sz w:val="21"/>
                <w:szCs w:val="21"/>
              </w:rPr>
            </w:pPr>
            <w:r>
              <w:rPr>
                <w:rFonts w:ascii="宋体" w:hAnsi="宋体" w:cs="仿宋"/>
                <w:color w:val="auto"/>
                <w:sz w:val="21"/>
                <w:szCs w:val="21"/>
              </w:rPr>
              <w:t>11.5</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103DC1AE">
            <w:pPr>
              <w:spacing w:line="360" w:lineRule="auto"/>
              <w:rPr>
                <w:rFonts w:ascii="宋体" w:cs="仿宋"/>
                <w:color w:val="auto"/>
                <w:sz w:val="21"/>
                <w:szCs w:val="21"/>
                <w:u w:val="single"/>
              </w:rPr>
            </w:pPr>
            <w:r>
              <w:rPr>
                <w:rFonts w:hint="eastAsia" w:ascii="宋体" w:hAnsi="宋体" w:cs="仿宋"/>
                <w:color w:val="auto"/>
                <w:sz w:val="21"/>
                <w:szCs w:val="21"/>
              </w:rPr>
              <w:t>逾期交工违约金限额：</w:t>
            </w:r>
            <w:r>
              <w:rPr>
                <w:rFonts w:hint="eastAsia" w:ascii="宋体" w:hAnsi="宋体"/>
                <w:color w:val="auto"/>
                <w:sz w:val="21"/>
                <w:szCs w:val="21"/>
                <w:lang w:eastAsia="zh-CN"/>
              </w:rPr>
              <w:t>10</w:t>
            </w:r>
            <w:r>
              <w:rPr>
                <w:rFonts w:ascii="宋体" w:hAnsi="宋体"/>
                <w:color w:val="auto"/>
                <w:sz w:val="21"/>
                <w:szCs w:val="21"/>
                <w:lang w:eastAsia="zh-CN"/>
              </w:rPr>
              <w:t>%签</w:t>
            </w:r>
            <w:r>
              <w:rPr>
                <w:rFonts w:ascii="宋体" w:hAnsi="宋体"/>
                <w:color w:val="auto"/>
                <w:spacing w:val="-3"/>
                <w:sz w:val="21"/>
                <w:szCs w:val="21"/>
                <w:lang w:eastAsia="zh-CN"/>
              </w:rPr>
              <w:t>约</w:t>
            </w:r>
            <w:r>
              <w:rPr>
                <w:rFonts w:ascii="宋体" w:hAnsi="宋体"/>
                <w:color w:val="auto"/>
                <w:sz w:val="21"/>
                <w:szCs w:val="21"/>
                <w:lang w:eastAsia="zh-CN"/>
              </w:rPr>
              <w:t>合</w:t>
            </w:r>
            <w:r>
              <w:rPr>
                <w:rFonts w:ascii="宋体" w:hAnsi="宋体"/>
                <w:color w:val="auto"/>
                <w:spacing w:val="-3"/>
                <w:sz w:val="21"/>
                <w:szCs w:val="21"/>
                <w:lang w:eastAsia="zh-CN"/>
              </w:rPr>
              <w:t>同价</w:t>
            </w:r>
          </w:p>
          <w:p w14:paraId="798496BB">
            <w:pPr>
              <w:spacing w:line="360" w:lineRule="auto"/>
              <w:rPr>
                <w:rFonts w:ascii="宋体" w:cs="仿宋"/>
                <w:color w:val="auto"/>
                <w:sz w:val="21"/>
                <w:szCs w:val="21"/>
                <w:u w:val="single"/>
              </w:rPr>
            </w:pPr>
          </w:p>
          <w:p w14:paraId="5B41F007">
            <w:pPr>
              <w:spacing w:line="360" w:lineRule="auto"/>
              <w:rPr>
                <w:rFonts w:ascii="宋体" w:cs="仿宋"/>
                <w:color w:val="auto"/>
                <w:sz w:val="21"/>
                <w:szCs w:val="21"/>
                <w:u w:val="single"/>
              </w:rPr>
            </w:pPr>
          </w:p>
          <w:p w14:paraId="3B591B46">
            <w:pPr>
              <w:spacing w:line="360" w:lineRule="auto"/>
              <w:rPr>
                <w:rFonts w:ascii="宋体" w:cs="仿宋"/>
                <w:color w:val="auto"/>
                <w:sz w:val="21"/>
                <w:szCs w:val="21"/>
                <w:u w:val="single"/>
              </w:rPr>
            </w:pPr>
          </w:p>
          <w:p w14:paraId="3A9592D6">
            <w:pPr>
              <w:spacing w:line="360" w:lineRule="auto"/>
              <w:rPr>
                <w:rFonts w:ascii="宋体" w:cs="仿宋"/>
                <w:color w:val="auto"/>
                <w:sz w:val="21"/>
                <w:szCs w:val="21"/>
                <w:u w:val="single"/>
              </w:rPr>
            </w:pPr>
          </w:p>
          <w:p w14:paraId="5FDF9AAD">
            <w:pPr>
              <w:spacing w:line="360" w:lineRule="auto"/>
              <w:rPr>
                <w:rFonts w:ascii="宋体" w:cs="仿宋"/>
                <w:color w:val="auto"/>
                <w:sz w:val="21"/>
                <w:szCs w:val="21"/>
                <w:u w:val="single"/>
              </w:rPr>
            </w:pPr>
          </w:p>
          <w:p w14:paraId="2DF5963D">
            <w:pPr>
              <w:spacing w:line="360" w:lineRule="auto"/>
              <w:rPr>
                <w:rFonts w:ascii="宋体" w:cs="仿宋"/>
                <w:color w:val="auto"/>
                <w:sz w:val="21"/>
                <w:szCs w:val="21"/>
                <w:u w:val="single"/>
              </w:rPr>
            </w:pPr>
          </w:p>
          <w:p w14:paraId="205F1F24">
            <w:pPr>
              <w:spacing w:line="360" w:lineRule="auto"/>
              <w:rPr>
                <w:rFonts w:ascii="宋体" w:cs="仿宋"/>
                <w:color w:val="auto"/>
                <w:sz w:val="21"/>
                <w:szCs w:val="21"/>
                <w:u w:val="single"/>
              </w:rPr>
            </w:pPr>
          </w:p>
          <w:p w14:paraId="58E12BEA">
            <w:pPr>
              <w:spacing w:line="360" w:lineRule="auto"/>
              <w:rPr>
                <w:rFonts w:ascii="宋体" w:cs="仿宋"/>
                <w:color w:val="auto"/>
                <w:sz w:val="21"/>
                <w:szCs w:val="21"/>
                <w:u w:val="single"/>
              </w:rPr>
            </w:pPr>
          </w:p>
          <w:p w14:paraId="017BFCF0">
            <w:pPr>
              <w:spacing w:line="360" w:lineRule="auto"/>
              <w:rPr>
                <w:rFonts w:ascii="宋体" w:cs="仿宋"/>
                <w:color w:val="auto"/>
                <w:sz w:val="21"/>
                <w:szCs w:val="21"/>
                <w:u w:val="single"/>
              </w:rPr>
            </w:pPr>
          </w:p>
          <w:p w14:paraId="7C34D81D">
            <w:pPr>
              <w:spacing w:line="360" w:lineRule="auto"/>
              <w:rPr>
                <w:rFonts w:ascii="宋体" w:cs="仿宋"/>
                <w:color w:val="auto"/>
                <w:sz w:val="21"/>
                <w:szCs w:val="21"/>
              </w:rPr>
            </w:pPr>
            <w:r>
              <w:rPr>
                <w:rFonts w:ascii="宋体" w:hAnsi="宋体" w:cs="仿宋"/>
                <w:color w:val="auto"/>
                <w:sz w:val="21"/>
                <w:szCs w:val="21"/>
              </w:rPr>
              <w:t>%</w:t>
            </w:r>
            <w:r>
              <w:rPr>
                <w:rFonts w:hint="eastAsia" w:ascii="宋体" w:hAnsi="宋体" w:cs="仿宋"/>
                <w:color w:val="auto"/>
                <w:sz w:val="21"/>
                <w:szCs w:val="21"/>
              </w:rPr>
              <w:t>签约合同价</w:t>
            </w:r>
          </w:p>
        </w:tc>
      </w:tr>
      <w:tr w14:paraId="211975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744996A">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15</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7712DC33">
            <w:pPr>
              <w:spacing w:line="360" w:lineRule="auto"/>
              <w:jc w:val="center"/>
              <w:rPr>
                <w:rFonts w:ascii="宋体" w:cs="仿宋"/>
                <w:color w:val="auto"/>
                <w:sz w:val="21"/>
                <w:szCs w:val="21"/>
              </w:rPr>
            </w:pPr>
            <w:r>
              <w:rPr>
                <w:rFonts w:ascii="宋体" w:hAnsi="宋体" w:cs="仿宋"/>
                <w:color w:val="auto"/>
                <w:sz w:val="21"/>
                <w:szCs w:val="21"/>
              </w:rPr>
              <w:t>11.6</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40C08E4">
            <w:pPr>
              <w:spacing w:line="360" w:lineRule="auto"/>
              <w:rPr>
                <w:rFonts w:ascii="宋体" w:cs="仿宋"/>
                <w:color w:val="auto"/>
                <w:sz w:val="21"/>
                <w:szCs w:val="21"/>
              </w:rPr>
            </w:pPr>
            <w:r>
              <w:rPr>
                <w:rFonts w:hint="eastAsia" w:ascii="宋体" w:hAnsi="宋体" w:cs="仿宋"/>
                <w:color w:val="auto"/>
                <w:sz w:val="21"/>
                <w:szCs w:val="21"/>
              </w:rPr>
              <w:t>提前交工的奖金：</w:t>
            </w:r>
            <w:r>
              <w:rPr>
                <w:rFonts w:hint="eastAsia" w:ascii="宋体" w:hAnsi="宋体" w:cs="仿宋"/>
                <w:color w:val="auto"/>
                <w:sz w:val="21"/>
                <w:szCs w:val="21"/>
                <w:u w:val="single"/>
              </w:rPr>
              <w:t>无</w:t>
            </w:r>
          </w:p>
        </w:tc>
      </w:tr>
      <w:tr w14:paraId="1059D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3F8DE0FE">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16</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0EBB1C4B">
            <w:pPr>
              <w:spacing w:line="360" w:lineRule="auto"/>
              <w:jc w:val="center"/>
              <w:rPr>
                <w:rFonts w:ascii="宋体" w:cs="仿宋"/>
                <w:color w:val="auto"/>
                <w:sz w:val="21"/>
                <w:szCs w:val="21"/>
              </w:rPr>
            </w:pPr>
            <w:r>
              <w:rPr>
                <w:rFonts w:ascii="宋体" w:hAnsi="宋体" w:cs="仿宋"/>
                <w:color w:val="auto"/>
                <w:sz w:val="21"/>
                <w:szCs w:val="21"/>
              </w:rPr>
              <w:t>11.6</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651924BC">
            <w:pPr>
              <w:spacing w:line="360" w:lineRule="auto"/>
              <w:rPr>
                <w:rFonts w:ascii="宋体" w:cs="仿宋"/>
                <w:color w:val="auto"/>
                <w:sz w:val="21"/>
                <w:szCs w:val="21"/>
              </w:rPr>
            </w:pPr>
            <w:r>
              <w:rPr>
                <w:rFonts w:hint="eastAsia" w:ascii="宋体" w:hAnsi="宋体" w:cs="仿宋"/>
                <w:color w:val="auto"/>
                <w:sz w:val="21"/>
                <w:szCs w:val="21"/>
              </w:rPr>
              <w:t>提前交工的奖金限额：</w:t>
            </w:r>
            <w:r>
              <w:rPr>
                <w:rFonts w:hint="eastAsia" w:ascii="宋体" w:hAnsi="宋体" w:cs="仿宋"/>
                <w:color w:val="auto"/>
                <w:sz w:val="21"/>
                <w:szCs w:val="21"/>
                <w:u w:val="single"/>
              </w:rPr>
              <w:t>无</w:t>
            </w:r>
          </w:p>
        </w:tc>
      </w:tr>
      <w:tr w14:paraId="07B68A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49"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1734DFC">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17</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7F5140EB">
            <w:pPr>
              <w:spacing w:line="360" w:lineRule="auto"/>
              <w:jc w:val="center"/>
              <w:rPr>
                <w:rFonts w:ascii="宋体" w:cs="仿宋"/>
                <w:color w:val="auto"/>
                <w:sz w:val="21"/>
                <w:szCs w:val="21"/>
              </w:rPr>
            </w:pPr>
            <w:r>
              <w:rPr>
                <w:rFonts w:ascii="宋体" w:hAnsi="宋体" w:cs="仿宋"/>
                <w:color w:val="auto"/>
                <w:sz w:val="21"/>
                <w:szCs w:val="21"/>
              </w:rPr>
              <w:t>15.5.2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5C0B6830">
            <w:pPr>
              <w:spacing w:line="360" w:lineRule="auto"/>
              <w:rPr>
                <w:rFonts w:ascii="宋体" w:cs="仿宋"/>
                <w:color w:val="auto"/>
                <w:sz w:val="21"/>
                <w:szCs w:val="21"/>
              </w:rPr>
            </w:pPr>
            <w:r>
              <w:rPr>
                <w:rFonts w:hint="eastAsia" w:ascii="宋体" w:hAnsi="宋体" w:cs="仿宋"/>
                <w:color w:val="auto"/>
                <w:sz w:val="21"/>
                <w:szCs w:val="21"/>
              </w:rPr>
              <w:t>承包人提出的合理化建议降低了合同价格或者提高了工程经济效益的，发包人按所节约成本的</w:t>
            </w:r>
            <w:r>
              <w:rPr>
                <w:rFonts w:ascii="宋体" w:hAnsi="宋体" w:cs="仿宋"/>
                <w:color w:val="auto"/>
                <w:sz w:val="21"/>
                <w:szCs w:val="21"/>
                <w:u w:val="single"/>
              </w:rPr>
              <w:t xml:space="preserve"> / </w:t>
            </w:r>
            <w:r>
              <w:rPr>
                <w:rFonts w:hint="eastAsia" w:ascii="宋体" w:hAnsi="宋体" w:cs="仿宋"/>
                <w:color w:val="auto"/>
                <w:sz w:val="21"/>
                <w:szCs w:val="21"/>
              </w:rPr>
              <w:t>或增加收益的</w:t>
            </w:r>
            <w:r>
              <w:rPr>
                <w:rFonts w:ascii="宋体" w:hAnsi="宋体" w:cs="仿宋"/>
                <w:color w:val="auto"/>
                <w:sz w:val="21"/>
                <w:szCs w:val="21"/>
                <w:u w:val="single"/>
              </w:rPr>
              <w:t xml:space="preserve"> / </w:t>
            </w:r>
            <w:r>
              <w:rPr>
                <w:rFonts w:hint="eastAsia" w:ascii="宋体" w:hAnsi="宋体" w:cs="仿宋"/>
                <w:color w:val="auto"/>
                <w:sz w:val="21"/>
                <w:szCs w:val="21"/>
              </w:rPr>
              <w:t>给予奖励</w:t>
            </w:r>
          </w:p>
        </w:tc>
      </w:tr>
      <w:tr w14:paraId="359C68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8"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10332F7A">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18</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2A9A7EC0">
            <w:pPr>
              <w:spacing w:line="360" w:lineRule="auto"/>
              <w:jc w:val="center"/>
              <w:rPr>
                <w:rFonts w:ascii="宋体" w:cs="仿宋"/>
                <w:color w:val="auto"/>
                <w:sz w:val="21"/>
                <w:szCs w:val="21"/>
              </w:rPr>
            </w:pPr>
            <w:r>
              <w:rPr>
                <w:rFonts w:ascii="宋体" w:hAnsi="宋体" w:cs="仿宋"/>
                <w:color w:val="auto"/>
                <w:sz w:val="21"/>
                <w:szCs w:val="21"/>
              </w:rPr>
              <w:t>16</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513853CF">
            <w:pPr>
              <w:spacing w:line="360" w:lineRule="auto"/>
              <w:rPr>
                <w:rFonts w:hint="eastAsia" w:ascii="宋体" w:hAnsi="宋体" w:eastAsia="宋体" w:cs="仿宋"/>
                <w:color w:val="auto"/>
                <w:sz w:val="21"/>
                <w:szCs w:val="21"/>
              </w:rPr>
            </w:pPr>
            <w:r>
              <w:rPr>
                <w:rFonts w:hint="eastAsia" w:ascii="宋体" w:hAnsi="宋体" w:eastAsia="宋体" w:cs="仿宋"/>
                <w:color w:val="auto"/>
                <w:sz w:val="21"/>
                <w:szCs w:val="21"/>
                <w:lang w:eastAsia="zh-CN"/>
              </w:rPr>
              <w:t>本项目</w:t>
            </w:r>
            <w:r>
              <w:rPr>
                <w:rFonts w:hint="eastAsia" w:ascii="宋体" w:hAnsi="宋体" w:eastAsia="宋体" w:cs="仿宋"/>
                <w:color w:val="auto"/>
                <w:sz w:val="21"/>
                <w:szCs w:val="21"/>
              </w:rPr>
              <w:t>不调价。</w:t>
            </w:r>
          </w:p>
        </w:tc>
      </w:tr>
      <w:tr w14:paraId="0A4598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8"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5B612859">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19</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2D80DBD0">
            <w:pPr>
              <w:spacing w:line="360" w:lineRule="auto"/>
              <w:jc w:val="center"/>
              <w:rPr>
                <w:rFonts w:ascii="宋体" w:cs="仿宋"/>
                <w:color w:val="auto"/>
                <w:sz w:val="21"/>
                <w:szCs w:val="21"/>
              </w:rPr>
            </w:pPr>
            <w:r>
              <w:rPr>
                <w:rFonts w:ascii="宋体" w:hAnsi="宋体" w:cs="仿宋"/>
                <w:color w:val="auto"/>
                <w:sz w:val="21"/>
                <w:szCs w:val="21"/>
              </w:rPr>
              <w:t>17.2.1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BB63E7A">
            <w:pPr>
              <w:spacing w:line="360" w:lineRule="auto"/>
              <w:rPr>
                <w:rFonts w:ascii="宋体" w:cs="仿宋"/>
                <w:color w:val="auto"/>
                <w:sz w:val="21"/>
                <w:szCs w:val="21"/>
              </w:rPr>
            </w:pPr>
            <w:r>
              <w:rPr>
                <w:rFonts w:hint="eastAsia" w:ascii="宋体" w:hAnsi="宋体" w:cs="仿宋"/>
                <w:color w:val="auto"/>
                <w:sz w:val="21"/>
                <w:szCs w:val="21"/>
              </w:rPr>
              <w:t>开工预付款金额：</w:t>
            </w:r>
            <w:r>
              <w:rPr>
                <w:rFonts w:hint="eastAsia" w:ascii="宋体" w:hAnsi="宋体" w:cs="宋体"/>
                <w:color w:val="auto"/>
                <w:kern w:val="0"/>
                <w:sz w:val="21"/>
                <w:szCs w:val="21"/>
                <w:u w:val="single"/>
              </w:rPr>
              <w:t>无</w:t>
            </w:r>
          </w:p>
        </w:tc>
      </w:tr>
      <w:tr w14:paraId="63B4A8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19F8DCFF">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20</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04057531">
            <w:pPr>
              <w:spacing w:line="360" w:lineRule="auto"/>
              <w:jc w:val="center"/>
              <w:rPr>
                <w:rFonts w:ascii="宋体" w:cs="仿宋"/>
                <w:color w:val="auto"/>
                <w:sz w:val="21"/>
                <w:szCs w:val="21"/>
              </w:rPr>
            </w:pPr>
            <w:r>
              <w:rPr>
                <w:rFonts w:ascii="宋体" w:hAnsi="宋体" w:cs="仿宋"/>
                <w:color w:val="auto"/>
                <w:sz w:val="21"/>
                <w:szCs w:val="21"/>
              </w:rPr>
              <w:t>17.2.1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B2B7CA2">
            <w:pPr>
              <w:spacing w:line="360" w:lineRule="auto"/>
              <w:rPr>
                <w:rFonts w:ascii="宋体" w:cs="仿宋"/>
                <w:color w:val="auto"/>
                <w:sz w:val="21"/>
                <w:szCs w:val="21"/>
              </w:rPr>
            </w:pPr>
            <w:r>
              <w:rPr>
                <w:rFonts w:hint="eastAsia" w:ascii="宋体" w:hAnsi="宋体" w:cs="仿宋"/>
                <w:color w:val="auto"/>
                <w:sz w:val="21"/>
                <w:szCs w:val="21"/>
              </w:rPr>
              <w:t>材料、设备预付款比例：</w:t>
            </w:r>
            <w:r>
              <w:rPr>
                <w:rFonts w:hint="eastAsia" w:ascii="宋体" w:hAnsi="宋体" w:cs="宋体"/>
                <w:color w:val="auto"/>
                <w:kern w:val="0"/>
                <w:sz w:val="21"/>
                <w:szCs w:val="21"/>
                <w:u w:val="single"/>
              </w:rPr>
              <w:t>无</w:t>
            </w:r>
          </w:p>
        </w:tc>
      </w:tr>
      <w:tr w14:paraId="5030B3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4"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068FE7B9">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21</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501F2C11">
            <w:pPr>
              <w:spacing w:line="360" w:lineRule="auto"/>
              <w:jc w:val="center"/>
              <w:rPr>
                <w:rFonts w:ascii="宋体" w:cs="仿宋"/>
                <w:color w:val="auto"/>
                <w:sz w:val="21"/>
                <w:szCs w:val="21"/>
              </w:rPr>
            </w:pPr>
            <w:r>
              <w:rPr>
                <w:rFonts w:ascii="宋体" w:hAnsi="宋体" w:cs="仿宋"/>
                <w:color w:val="auto"/>
                <w:sz w:val="21"/>
                <w:szCs w:val="21"/>
              </w:rPr>
              <w:t>17.3.2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55556A6D">
            <w:pPr>
              <w:spacing w:line="360" w:lineRule="auto"/>
              <w:rPr>
                <w:rFonts w:ascii="宋体" w:cs="仿宋"/>
                <w:color w:val="auto"/>
                <w:sz w:val="21"/>
                <w:szCs w:val="21"/>
              </w:rPr>
            </w:pPr>
            <w:r>
              <w:rPr>
                <w:rFonts w:hint="eastAsia" w:ascii="宋体" w:hAnsi="宋体" w:cs="仿宋"/>
                <w:color w:val="auto"/>
                <w:sz w:val="21"/>
                <w:szCs w:val="21"/>
              </w:rPr>
              <w:t>承包人在每个付款周期末向监理人提交进度付款申请单的份数：</w:t>
            </w:r>
            <w:r>
              <w:rPr>
                <w:rFonts w:hint="eastAsia" w:ascii="宋体" w:hAnsi="宋体" w:cs="仿宋"/>
                <w:color w:val="auto"/>
                <w:sz w:val="21"/>
                <w:szCs w:val="21"/>
                <w:u w:val="single"/>
                <w:lang w:val="en-US" w:eastAsia="zh-CN"/>
              </w:rPr>
              <w:t>4</w:t>
            </w:r>
            <w:r>
              <w:rPr>
                <w:rFonts w:hint="eastAsia" w:ascii="宋体" w:hAnsi="宋体" w:cs="仿宋"/>
                <w:color w:val="auto"/>
                <w:sz w:val="21"/>
                <w:szCs w:val="21"/>
              </w:rPr>
              <w:t>份</w:t>
            </w:r>
          </w:p>
        </w:tc>
      </w:tr>
      <w:tr w14:paraId="1A3841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4"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03333115">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22</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77E8DB84">
            <w:pPr>
              <w:spacing w:line="360" w:lineRule="auto"/>
              <w:jc w:val="center"/>
              <w:rPr>
                <w:rFonts w:ascii="宋体" w:cs="仿宋"/>
                <w:color w:val="auto"/>
                <w:sz w:val="21"/>
                <w:szCs w:val="21"/>
              </w:rPr>
            </w:pPr>
            <w:r>
              <w:rPr>
                <w:rFonts w:ascii="宋体" w:hAnsi="宋体" w:cs="仿宋"/>
                <w:color w:val="auto"/>
                <w:sz w:val="21"/>
                <w:szCs w:val="21"/>
              </w:rPr>
              <w:t>17.3.3</w:t>
            </w:r>
            <w:r>
              <w:rPr>
                <w:rFonts w:hint="eastAsia" w:ascii="宋体" w:hAnsi="宋体" w:cs="仿宋"/>
                <w:color w:val="auto"/>
                <w:sz w:val="21"/>
                <w:szCs w:val="21"/>
              </w:rPr>
              <w:t>（</w:t>
            </w:r>
            <w:r>
              <w:rPr>
                <w:rFonts w:ascii="宋体" w:hAnsi="宋体" w:cs="仿宋"/>
                <w:color w:val="auto"/>
                <w:sz w:val="21"/>
                <w:szCs w:val="21"/>
              </w:rPr>
              <w:t>1</w:t>
            </w:r>
            <w:r>
              <w:rPr>
                <w:rFonts w:hint="eastAsia" w:ascii="宋体" w:hAnsi="宋体" w:cs="仿宋"/>
                <w:color w:val="auto"/>
                <w:sz w:val="21"/>
                <w:szCs w:val="21"/>
              </w:rPr>
              <w:t>）</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4799C5CD">
            <w:pPr>
              <w:spacing w:line="360" w:lineRule="auto"/>
              <w:rPr>
                <w:rFonts w:ascii="宋体" w:cs="仿宋"/>
                <w:color w:val="auto"/>
                <w:sz w:val="21"/>
                <w:szCs w:val="21"/>
              </w:rPr>
            </w:pPr>
            <w:r>
              <w:rPr>
                <w:rFonts w:hint="eastAsia" w:ascii="宋体" w:hAnsi="宋体" w:cs="仿宋"/>
                <w:color w:val="auto"/>
                <w:sz w:val="21"/>
                <w:szCs w:val="21"/>
              </w:rPr>
              <w:t>进度付款证书最低限额</w:t>
            </w:r>
            <w:r>
              <w:rPr>
                <w:rFonts w:hint="eastAsia" w:ascii="宋体" w:hAnsi="宋体" w:cs="仿宋"/>
                <w:color w:val="auto"/>
                <w:sz w:val="21"/>
                <w:szCs w:val="21"/>
                <w:lang w:eastAsia="zh-CN"/>
              </w:rPr>
              <w:t>：</w:t>
            </w:r>
            <w:r>
              <w:rPr>
                <w:rFonts w:hint="eastAsia" w:ascii="宋体" w:hAnsi="宋体" w:eastAsia="宋体" w:cs="仿宋"/>
                <w:color w:val="auto"/>
                <w:sz w:val="21"/>
                <w:szCs w:val="21"/>
                <w:lang w:eastAsia="zh-CN"/>
              </w:rPr>
              <w:t>根据项目资金情况而定。</w:t>
            </w:r>
          </w:p>
        </w:tc>
      </w:tr>
      <w:tr w14:paraId="031ED0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22"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665CABA6">
            <w:pPr>
              <w:spacing w:line="360" w:lineRule="auto"/>
              <w:jc w:val="center"/>
              <w:rPr>
                <w:rFonts w:hint="default" w:ascii="宋体" w:eastAsia="宋体" w:cs="仿宋"/>
                <w:color w:val="auto"/>
                <w:sz w:val="21"/>
                <w:szCs w:val="21"/>
                <w:lang w:val="en-US" w:eastAsia="zh-CN"/>
              </w:rPr>
            </w:pPr>
            <w:r>
              <w:rPr>
                <w:rFonts w:hint="eastAsia" w:ascii="宋体" w:hAnsi="宋体" w:cs="仿宋"/>
                <w:color w:val="auto"/>
                <w:sz w:val="21"/>
                <w:szCs w:val="21"/>
                <w:lang w:val="en-US" w:eastAsia="zh-CN"/>
              </w:rPr>
              <w:t>23</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3F20D69D">
            <w:pPr>
              <w:spacing w:line="360" w:lineRule="auto"/>
              <w:jc w:val="center"/>
              <w:rPr>
                <w:rFonts w:ascii="宋体" w:cs="仿宋"/>
                <w:color w:val="auto"/>
                <w:sz w:val="21"/>
                <w:szCs w:val="21"/>
              </w:rPr>
            </w:pPr>
            <w:r>
              <w:rPr>
                <w:rFonts w:ascii="宋体" w:hAnsi="宋体" w:cs="仿宋"/>
                <w:color w:val="auto"/>
                <w:sz w:val="21"/>
                <w:szCs w:val="21"/>
              </w:rPr>
              <w:t>17.3.3</w:t>
            </w:r>
            <w:r>
              <w:rPr>
                <w:rFonts w:hint="eastAsia" w:ascii="宋体" w:hAnsi="宋体" w:cs="仿宋"/>
                <w:color w:val="auto"/>
                <w:sz w:val="21"/>
                <w:szCs w:val="21"/>
              </w:rPr>
              <w:t>（</w:t>
            </w:r>
            <w:r>
              <w:rPr>
                <w:rFonts w:ascii="宋体" w:hAnsi="宋体" w:cs="仿宋"/>
                <w:color w:val="auto"/>
                <w:sz w:val="21"/>
                <w:szCs w:val="21"/>
              </w:rPr>
              <w:t>2</w:t>
            </w:r>
            <w:r>
              <w:rPr>
                <w:rFonts w:hint="eastAsia" w:ascii="宋体" w:hAnsi="宋体" w:cs="仿宋"/>
                <w:color w:val="auto"/>
                <w:sz w:val="21"/>
                <w:szCs w:val="21"/>
              </w:rPr>
              <w:t>）</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CCE402D">
            <w:pPr>
              <w:spacing w:line="360" w:lineRule="auto"/>
              <w:rPr>
                <w:rFonts w:hint="eastAsia" w:ascii="宋体" w:eastAsia="宋体" w:cs="仿宋"/>
                <w:color w:val="auto"/>
                <w:sz w:val="21"/>
                <w:szCs w:val="21"/>
                <w:highlight w:val="darkGreen"/>
                <w:lang w:eastAsia="zh-CN"/>
              </w:rPr>
            </w:pPr>
            <w:r>
              <w:rPr>
                <w:rFonts w:hint="eastAsia" w:ascii="宋体" w:hAnsi="宋体" w:cs="仿宋"/>
                <w:color w:val="auto"/>
                <w:sz w:val="21"/>
                <w:szCs w:val="21"/>
              </w:rPr>
              <w:t>逾期付款违约金的利率：</w:t>
            </w:r>
            <w:r>
              <w:rPr>
                <w:rFonts w:hint="eastAsia" w:ascii="宋体" w:hAnsi="宋体" w:cs="仿宋"/>
                <w:color w:val="auto"/>
                <w:sz w:val="21"/>
                <w:szCs w:val="21"/>
                <w:u w:val="single"/>
                <w:lang w:val="en-US" w:eastAsia="zh-CN"/>
              </w:rPr>
              <w:t>无</w:t>
            </w:r>
          </w:p>
        </w:tc>
      </w:tr>
      <w:tr w14:paraId="3EABCB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50AF4F1C">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24</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4801D595">
            <w:pPr>
              <w:spacing w:line="360" w:lineRule="auto"/>
              <w:jc w:val="center"/>
              <w:rPr>
                <w:rFonts w:ascii="宋体" w:cs="仿宋"/>
                <w:color w:val="auto"/>
                <w:sz w:val="21"/>
                <w:szCs w:val="21"/>
              </w:rPr>
            </w:pPr>
            <w:r>
              <w:rPr>
                <w:rFonts w:ascii="宋体" w:hAnsi="宋体" w:cs="宋体"/>
                <w:color w:val="auto"/>
                <w:sz w:val="21"/>
                <w:szCs w:val="21"/>
              </w:rPr>
              <w:t>17.4.1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41C5966B">
            <w:pPr>
              <w:spacing w:line="360" w:lineRule="auto"/>
              <w:rPr>
                <w:rFonts w:ascii="宋体" w:cs="仿宋"/>
                <w:color w:val="auto"/>
                <w:sz w:val="21"/>
                <w:szCs w:val="21"/>
              </w:rPr>
            </w:pPr>
            <w:r>
              <w:rPr>
                <w:rFonts w:hint="eastAsia" w:ascii="宋体" w:hAnsi="宋体" w:cs="宋体"/>
                <w:color w:val="auto"/>
                <w:sz w:val="21"/>
                <w:szCs w:val="21"/>
              </w:rPr>
              <w:t>质量保证金限额：</w:t>
            </w:r>
            <w:r>
              <w:rPr>
                <w:rFonts w:ascii="宋体" w:hAnsi="宋体" w:cs="宋体"/>
                <w:color w:val="auto"/>
                <w:sz w:val="21"/>
                <w:szCs w:val="21"/>
                <w:u w:val="single"/>
              </w:rPr>
              <w:t xml:space="preserve"> 3% </w:t>
            </w:r>
            <w:r>
              <w:rPr>
                <w:rFonts w:hint="eastAsia" w:ascii="宋体" w:hAnsi="宋体" w:cs="宋体"/>
                <w:color w:val="auto"/>
                <w:sz w:val="21"/>
                <w:szCs w:val="21"/>
              </w:rPr>
              <w:t>合同价格</w:t>
            </w:r>
          </w:p>
        </w:tc>
      </w:tr>
      <w:tr w14:paraId="5FBD42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49"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6C867EC9">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25</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56B23310">
            <w:pPr>
              <w:spacing w:line="360" w:lineRule="auto"/>
              <w:jc w:val="center"/>
              <w:rPr>
                <w:rFonts w:ascii="宋体" w:cs="仿宋"/>
                <w:color w:val="auto"/>
                <w:sz w:val="21"/>
                <w:szCs w:val="21"/>
              </w:rPr>
            </w:pPr>
            <w:r>
              <w:rPr>
                <w:rFonts w:ascii="宋体" w:hAnsi="宋体" w:cs="宋体"/>
                <w:color w:val="auto"/>
                <w:sz w:val="21"/>
                <w:szCs w:val="21"/>
              </w:rPr>
              <w:t>17.5.1</w:t>
            </w:r>
            <w:r>
              <w:rPr>
                <w:rFonts w:hint="eastAsia" w:ascii="宋体" w:hAnsi="宋体" w:cs="宋体"/>
                <w:color w:val="auto"/>
                <w:sz w:val="21"/>
                <w:szCs w:val="21"/>
              </w:rPr>
              <w:t>（</w:t>
            </w:r>
            <w:r>
              <w:rPr>
                <w:rFonts w:ascii="宋体" w:hAnsi="宋体" w:cs="宋体"/>
                <w:color w:val="auto"/>
                <w:sz w:val="21"/>
                <w:szCs w:val="21"/>
              </w:rPr>
              <w:t>1</w:t>
            </w:r>
            <w:r>
              <w:rPr>
                <w:rFonts w:hint="eastAsia" w:ascii="宋体" w:hAnsi="宋体" w:cs="宋体"/>
                <w:color w:val="auto"/>
                <w:sz w:val="21"/>
                <w:szCs w:val="21"/>
              </w:rPr>
              <w:t>）</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2DE12A7C">
            <w:pPr>
              <w:spacing w:line="360" w:lineRule="auto"/>
              <w:rPr>
                <w:rFonts w:ascii="宋体" w:cs="仿宋"/>
                <w:color w:val="auto"/>
                <w:sz w:val="21"/>
                <w:szCs w:val="21"/>
              </w:rPr>
            </w:pPr>
            <w:r>
              <w:rPr>
                <w:rFonts w:hint="eastAsia" w:ascii="宋体" w:hAnsi="宋体" w:cs="宋体"/>
                <w:color w:val="auto"/>
                <w:sz w:val="21"/>
                <w:szCs w:val="21"/>
              </w:rPr>
              <w:t>承包人向监理人提交交工付款申请单（包括相关证明材料）的份数：</w:t>
            </w:r>
            <w:r>
              <w:rPr>
                <w:rFonts w:ascii="宋体" w:hAnsi="宋体" w:cs="宋体"/>
                <w:color w:val="auto"/>
                <w:sz w:val="21"/>
                <w:szCs w:val="21"/>
                <w:u w:val="single"/>
              </w:rPr>
              <w:t>4</w:t>
            </w:r>
            <w:r>
              <w:rPr>
                <w:rFonts w:hint="eastAsia" w:ascii="宋体" w:hAnsi="宋体" w:cs="宋体"/>
                <w:color w:val="auto"/>
                <w:sz w:val="21"/>
                <w:szCs w:val="21"/>
              </w:rPr>
              <w:t>份</w:t>
            </w:r>
          </w:p>
        </w:tc>
      </w:tr>
      <w:tr w14:paraId="020D4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5"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5A731FA8">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26</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4E9E9FC5">
            <w:pPr>
              <w:spacing w:line="360" w:lineRule="auto"/>
              <w:jc w:val="center"/>
              <w:rPr>
                <w:rFonts w:ascii="宋体" w:cs="仿宋"/>
                <w:color w:val="auto"/>
                <w:sz w:val="21"/>
                <w:szCs w:val="21"/>
              </w:rPr>
            </w:pPr>
            <w:r>
              <w:rPr>
                <w:rFonts w:ascii="宋体" w:hAnsi="宋体" w:cs="宋体"/>
                <w:color w:val="auto"/>
                <w:sz w:val="21"/>
                <w:szCs w:val="21"/>
              </w:rPr>
              <w:t>17.6.1</w:t>
            </w:r>
            <w:r>
              <w:rPr>
                <w:rFonts w:hint="eastAsia" w:ascii="宋体" w:hAnsi="宋体" w:cs="宋体"/>
                <w:color w:val="auto"/>
                <w:sz w:val="21"/>
                <w:szCs w:val="21"/>
              </w:rPr>
              <w:t>（</w:t>
            </w:r>
            <w:r>
              <w:rPr>
                <w:rFonts w:ascii="宋体" w:hAnsi="宋体" w:cs="宋体"/>
                <w:color w:val="auto"/>
                <w:sz w:val="21"/>
                <w:szCs w:val="21"/>
              </w:rPr>
              <w:t>1</w:t>
            </w:r>
            <w:r>
              <w:rPr>
                <w:rFonts w:hint="eastAsia" w:ascii="宋体" w:hAnsi="宋体" w:cs="宋体"/>
                <w:color w:val="auto"/>
                <w:sz w:val="21"/>
                <w:szCs w:val="21"/>
              </w:rPr>
              <w:t>）</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1294F943">
            <w:pPr>
              <w:spacing w:line="360" w:lineRule="auto"/>
              <w:rPr>
                <w:rFonts w:ascii="宋体" w:cs="仿宋"/>
                <w:color w:val="auto"/>
                <w:sz w:val="21"/>
                <w:szCs w:val="21"/>
              </w:rPr>
            </w:pPr>
            <w:r>
              <w:rPr>
                <w:rFonts w:hint="eastAsia" w:ascii="宋体" w:hAnsi="宋体" w:cs="宋体"/>
                <w:color w:val="auto"/>
                <w:sz w:val="21"/>
                <w:szCs w:val="21"/>
              </w:rPr>
              <w:t>承包人向监理人提交最终结清申请单（包括相关证明材料）的份数：</w:t>
            </w:r>
            <w:r>
              <w:rPr>
                <w:rFonts w:ascii="宋体" w:hAnsi="宋体" w:cs="宋体"/>
                <w:color w:val="auto"/>
                <w:sz w:val="21"/>
                <w:szCs w:val="21"/>
                <w:u w:val="single"/>
              </w:rPr>
              <w:t>4</w:t>
            </w:r>
            <w:r>
              <w:rPr>
                <w:rFonts w:hint="eastAsia" w:ascii="宋体" w:hAnsi="宋体" w:cs="宋体"/>
                <w:color w:val="auto"/>
                <w:sz w:val="21"/>
                <w:szCs w:val="21"/>
              </w:rPr>
              <w:t>份</w:t>
            </w:r>
          </w:p>
        </w:tc>
      </w:tr>
      <w:tr w14:paraId="75DED9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49"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1DB1C534">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27</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2C082480">
            <w:pPr>
              <w:spacing w:line="360" w:lineRule="auto"/>
              <w:jc w:val="center"/>
              <w:rPr>
                <w:rFonts w:ascii="宋体" w:cs="仿宋"/>
                <w:color w:val="auto"/>
                <w:sz w:val="21"/>
                <w:szCs w:val="21"/>
              </w:rPr>
            </w:pPr>
            <w:r>
              <w:rPr>
                <w:rFonts w:ascii="宋体" w:hAnsi="宋体" w:cs="宋体"/>
                <w:color w:val="auto"/>
                <w:sz w:val="21"/>
                <w:szCs w:val="21"/>
              </w:rPr>
              <w:t>18.2</w:t>
            </w:r>
            <w:r>
              <w:rPr>
                <w:rFonts w:hint="eastAsia" w:ascii="宋体" w:hAnsi="宋体" w:cs="宋体"/>
                <w:color w:val="auto"/>
                <w:sz w:val="21"/>
                <w:szCs w:val="21"/>
              </w:rPr>
              <w:t>（</w:t>
            </w:r>
            <w:r>
              <w:rPr>
                <w:rFonts w:ascii="宋体" w:hAnsi="宋体" w:cs="宋体"/>
                <w:color w:val="auto"/>
                <w:sz w:val="21"/>
                <w:szCs w:val="21"/>
              </w:rPr>
              <w:t>2</w:t>
            </w:r>
            <w:r>
              <w:rPr>
                <w:rFonts w:hint="eastAsia" w:ascii="宋体" w:hAnsi="宋体" w:cs="宋体"/>
                <w:color w:val="auto"/>
                <w:sz w:val="21"/>
                <w:szCs w:val="21"/>
              </w:rPr>
              <w:t>）</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0ADAB3B2">
            <w:pPr>
              <w:spacing w:line="360" w:lineRule="auto"/>
              <w:rPr>
                <w:rFonts w:ascii="宋体" w:cs="仿宋"/>
                <w:color w:val="auto"/>
                <w:sz w:val="21"/>
                <w:szCs w:val="21"/>
              </w:rPr>
            </w:pPr>
            <w:r>
              <w:rPr>
                <w:rFonts w:hint="eastAsia" w:ascii="宋体" w:hAnsi="宋体" w:cs="宋体"/>
                <w:color w:val="auto"/>
                <w:sz w:val="21"/>
                <w:szCs w:val="21"/>
              </w:rPr>
              <w:t>竣工资料的份数：</w:t>
            </w:r>
            <w:r>
              <w:rPr>
                <w:rFonts w:ascii="宋体" w:hAnsi="宋体" w:cs="宋体"/>
                <w:color w:val="auto"/>
                <w:sz w:val="21"/>
                <w:szCs w:val="21"/>
              </w:rPr>
              <w:t>3</w:t>
            </w:r>
            <w:r>
              <w:rPr>
                <w:rFonts w:hint="eastAsia" w:ascii="宋体" w:hAnsi="宋体" w:cs="宋体"/>
                <w:color w:val="auto"/>
                <w:sz w:val="21"/>
                <w:szCs w:val="21"/>
              </w:rPr>
              <w:t>份（纸质</w:t>
            </w:r>
            <w:r>
              <w:rPr>
                <w:rFonts w:ascii="宋体" w:hAnsi="宋体" w:cs="宋体"/>
                <w:color w:val="auto"/>
                <w:sz w:val="21"/>
                <w:szCs w:val="21"/>
              </w:rPr>
              <w:t>2</w:t>
            </w:r>
            <w:r>
              <w:rPr>
                <w:rFonts w:hint="eastAsia" w:ascii="宋体" w:hAnsi="宋体" w:cs="宋体"/>
                <w:color w:val="auto"/>
                <w:sz w:val="21"/>
                <w:szCs w:val="21"/>
              </w:rPr>
              <w:t>份，</w:t>
            </w:r>
            <w:r>
              <w:rPr>
                <w:rFonts w:ascii="宋体" w:hAnsi="宋体" w:cs="宋体"/>
                <w:color w:val="auto"/>
                <w:sz w:val="21"/>
                <w:szCs w:val="21"/>
              </w:rPr>
              <w:t>pdf</w:t>
            </w:r>
            <w:r>
              <w:rPr>
                <w:rFonts w:hint="eastAsia" w:ascii="宋体" w:hAnsi="宋体" w:cs="宋体"/>
                <w:color w:val="auto"/>
                <w:sz w:val="21"/>
                <w:szCs w:val="21"/>
              </w:rPr>
              <w:t>格式电子文档一份）。</w:t>
            </w:r>
          </w:p>
        </w:tc>
      </w:tr>
      <w:tr w14:paraId="49024E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9"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7E0F09E9">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28</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1B910EB8">
            <w:pPr>
              <w:spacing w:line="360" w:lineRule="auto"/>
              <w:jc w:val="center"/>
              <w:rPr>
                <w:rFonts w:ascii="宋体" w:cs="仿宋"/>
                <w:color w:val="auto"/>
                <w:sz w:val="21"/>
                <w:szCs w:val="21"/>
              </w:rPr>
            </w:pPr>
            <w:r>
              <w:rPr>
                <w:rFonts w:ascii="宋体" w:hAnsi="宋体" w:cs="宋体"/>
                <w:color w:val="auto"/>
                <w:sz w:val="21"/>
                <w:szCs w:val="21"/>
              </w:rPr>
              <w:t>18.5.1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7F644E33">
            <w:pPr>
              <w:spacing w:line="360" w:lineRule="auto"/>
              <w:rPr>
                <w:rFonts w:ascii="宋体" w:cs="仿宋"/>
                <w:color w:val="auto"/>
                <w:sz w:val="21"/>
                <w:szCs w:val="21"/>
              </w:rPr>
            </w:pPr>
            <w:r>
              <w:rPr>
                <w:rFonts w:hint="eastAsia" w:ascii="宋体" w:hAnsi="宋体" w:cs="宋体"/>
                <w:color w:val="auto"/>
                <w:sz w:val="21"/>
                <w:szCs w:val="21"/>
              </w:rPr>
              <w:t>单位工程或工程设备是否需投入施工期运行：</w:t>
            </w:r>
            <w:r>
              <w:rPr>
                <w:rFonts w:hint="eastAsia" w:ascii="宋体" w:hAnsi="宋体" w:cs="宋体"/>
                <w:color w:val="auto"/>
                <w:sz w:val="21"/>
                <w:szCs w:val="21"/>
                <w:u w:val="single"/>
              </w:rPr>
              <w:t>按业主的要求执行</w:t>
            </w:r>
          </w:p>
        </w:tc>
      </w:tr>
      <w:tr w14:paraId="391FA0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62D106B">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29</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10F9024F">
            <w:pPr>
              <w:spacing w:line="360" w:lineRule="auto"/>
              <w:jc w:val="center"/>
              <w:rPr>
                <w:rFonts w:ascii="宋体" w:cs="仿宋"/>
                <w:color w:val="auto"/>
                <w:sz w:val="21"/>
                <w:szCs w:val="21"/>
              </w:rPr>
            </w:pPr>
            <w:r>
              <w:rPr>
                <w:rFonts w:ascii="宋体" w:hAnsi="宋体" w:cs="宋体"/>
                <w:color w:val="auto"/>
                <w:sz w:val="21"/>
                <w:szCs w:val="21"/>
              </w:rPr>
              <w:t>18.6.1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43A252D4">
            <w:pPr>
              <w:spacing w:line="360" w:lineRule="auto"/>
              <w:rPr>
                <w:rFonts w:ascii="宋体" w:cs="仿宋"/>
                <w:color w:val="auto"/>
                <w:sz w:val="21"/>
                <w:szCs w:val="21"/>
              </w:rPr>
            </w:pPr>
            <w:r>
              <w:rPr>
                <w:rFonts w:hint="eastAsia" w:ascii="宋体" w:hAnsi="宋体" w:cs="宋体"/>
                <w:color w:val="auto"/>
                <w:sz w:val="21"/>
                <w:szCs w:val="21"/>
              </w:rPr>
              <w:t>本工程及工程设备是否进行试运行：</w:t>
            </w:r>
            <w:r>
              <w:rPr>
                <w:rFonts w:hint="eastAsia" w:ascii="宋体" w:hAnsi="宋体" w:cs="宋体"/>
                <w:color w:val="auto"/>
                <w:kern w:val="0"/>
                <w:sz w:val="21"/>
                <w:szCs w:val="21"/>
                <w:u w:val="single"/>
              </w:rPr>
              <w:t>否</w:t>
            </w:r>
          </w:p>
        </w:tc>
      </w:tr>
      <w:tr w14:paraId="2B9971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3BECFD15">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30</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6D00D851">
            <w:pPr>
              <w:spacing w:line="360" w:lineRule="auto"/>
              <w:jc w:val="center"/>
              <w:rPr>
                <w:rFonts w:ascii="宋体" w:cs="仿宋"/>
                <w:color w:val="auto"/>
                <w:sz w:val="21"/>
                <w:szCs w:val="21"/>
              </w:rPr>
            </w:pPr>
            <w:r>
              <w:rPr>
                <w:rFonts w:ascii="宋体" w:hAnsi="宋体" w:cs="宋体"/>
                <w:color w:val="auto"/>
                <w:sz w:val="21"/>
                <w:szCs w:val="21"/>
              </w:rPr>
              <w:t>19.7</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30DBE76">
            <w:pPr>
              <w:spacing w:line="360" w:lineRule="auto"/>
              <w:rPr>
                <w:rFonts w:ascii="宋体" w:cs="仿宋"/>
                <w:color w:val="auto"/>
                <w:sz w:val="21"/>
                <w:szCs w:val="21"/>
              </w:rPr>
            </w:pPr>
            <w:r>
              <w:rPr>
                <w:rFonts w:hint="eastAsia" w:ascii="宋体" w:hAnsi="宋体" w:cs="宋体"/>
                <w:color w:val="auto"/>
                <w:sz w:val="21"/>
                <w:szCs w:val="21"/>
              </w:rPr>
              <w:t>保修期：</w:t>
            </w:r>
            <w:r>
              <w:rPr>
                <w:rFonts w:hint="eastAsia" w:ascii="宋体" w:hAnsi="宋体" w:cs="仿宋"/>
                <w:color w:val="auto"/>
                <w:sz w:val="21"/>
                <w:szCs w:val="21"/>
              </w:rPr>
              <w:t>自实际交工验收日期起计算</w:t>
            </w:r>
            <w:r>
              <w:rPr>
                <w:rFonts w:ascii="宋体" w:hAnsi="宋体" w:cs="仿宋"/>
                <w:color w:val="auto"/>
                <w:sz w:val="21"/>
                <w:szCs w:val="21"/>
                <w:u w:val="single"/>
              </w:rPr>
              <w:t>1</w:t>
            </w:r>
            <w:r>
              <w:rPr>
                <w:rFonts w:hint="eastAsia" w:ascii="宋体" w:hAnsi="宋体" w:cs="仿宋"/>
                <w:color w:val="auto"/>
                <w:sz w:val="21"/>
                <w:szCs w:val="21"/>
              </w:rPr>
              <w:t>年</w:t>
            </w:r>
          </w:p>
        </w:tc>
      </w:tr>
      <w:tr w14:paraId="76B49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6A3DBF20">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31</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19E52E77">
            <w:pPr>
              <w:spacing w:line="360" w:lineRule="auto"/>
              <w:jc w:val="center"/>
              <w:rPr>
                <w:rFonts w:ascii="宋体" w:cs="仿宋"/>
                <w:color w:val="auto"/>
                <w:sz w:val="21"/>
                <w:szCs w:val="21"/>
              </w:rPr>
            </w:pPr>
            <w:r>
              <w:rPr>
                <w:rFonts w:ascii="宋体" w:hAnsi="宋体" w:cs="宋体"/>
                <w:color w:val="auto"/>
                <w:sz w:val="21"/>
                <w:szCs w:val="21"/>
              </w:rPr>
              <w:t>20.1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6FA03F4E">
            <w:pPr>
              <w:spacing w:line="360" w:lineRule="auto"/>
              <w:rPr>
                <w:rFonts w:ascii="宋体" w:cs="仿宋"/>
                <w:color w:val="auto"/>
                <w:sz w:val="21"/>
                <w:szCs w:val="21"/>
              </w:rPr>
            </w:pPr>
            <w:r>
              <w:rPr>
                <w:rFonts w:hint="eastAsia" w:ascii="宋体" w:hAnsi="宋体" w:cs="宋体"/>
                <w:color w:val="auto"/>
                <w:sz w:val="21"/>
                <w:szCs w:val="21"/>
              </w:rPr>
              <w:t>建筑工程一切险的保险费率：</w:t>
            </w:r>
            <w:r>
              <w:rPr>
                <w:rFonts w:hint="eastAsia" w:ascii="宋体" w:hAnsi="宋体" w:cs="宋体"/>
                <w:color w:val="auto"/>
                <w:sz w:val="21"/>
                <w:szCs w:val="21"/>
                <w:u w:val="single"/>
                <w:lang w:val="en-US" w:eastAsia="zh-CN"/>
              </w:rPr>
              <w:t>/</w:t>
            </w:r>
          </w:p>
        </w:tc>
      </w:tr>
      <w:tr w14:paraId="08C6A9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0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476D62A9">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32</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1CBB48C3">
            <w:pPr>
              <w:spacing w:line="360" w:lineRule="auto"/>
              <w:jc w:val="center"/>
              <w:rPr>
                <w:rFonts w:ascii="宋体" w:cs="仿宋"/>
                <w:color w:val="auto"/>
                <w:sz w:val="21"/>
                <w:szCs w:val="21"/>
              </w:rPr>
            </w:pPr>
            <w:r>
              <w:rPr>
                <w:rFonts w:ascii="宋体" w:hAnsi="宋体" w:cs="宋体"/>
                <w:color w:val="auto"/>
                <w:sz w:val="21"/>
                <w:szCs w:val="21"/>
              </w:rPr>
              <w:t>20.4.2</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325592C9">
            <w:pPr>
              <w:spacing w:line="360" w:lineRule="auto"/>
              <w:rPr>
                <w:rFonts w:ascii="宋体" w:cs="仿宋"/>
                <w:color w:val="auto"/>
                <w:sz w:val="21"/>
                <w:szCs w:val="21"/>
              </w:rPr>
            </w:pPr>
            <w:r>
              <w:rPr>
                <w:rFonts w:hint="eastAsia" w:ascii="宋体" w:hAnsi="宋体" w:cs="宋体"/>
                <w:color w:val="auto"/>
                <w:sz w:val="21"/>
                <w:szCs w:val="21"/>
              </w:rPr>
              <w:t>第三者责任险的保险费率：</w:t>
            </w:r>
            <w:r>
              <w:rPr>
                <w:rFonts w:hint="eastAsia" w:ascii="宋体" w:hAnsi="宋体" w:cs="宋体"/>
                <w:color w:val="auto"/>
                <w:sz w:val="21"/>
                <w:szCs w:val="21"/>
                <w:u w:val="single"/>
                <w:lang w:val="en-US" w:eastAsia="zh-CN"/>
              </w:rPr>
              <w:t>/</w:t>
            </w:r>
          </w:p>
        </w:tc>
      </w:tr>
      <w:tr w14:paraId="63AF2B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01"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7091CA64">
            <w:pPr>
              <w:spacing w:line="36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33</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3BC7C3EA">
            <w:pPr>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20.6.1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18402ABC">
            <w:pPr>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承包人向发包人提交各项保险生效的证据和保险单副本时限：签订合同后15天内。</w:t>
            </w:r>
          </w:p>
        </w:tc>
      </w:tr>
      <w:tr w14:paraId="34DA18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47" w:hRule="exact"/>
        </w:trPr>
        <w:tc>
          <w:tcPr>
            <w:tcW w:w="764" w:type="dxa"/>
            <w:tcBorders>
              <w:top w:val="single" w:color="auto" w:sz="6" w:space="0"/>
              <w:left w:val="double" w:color="auto" w:sz="4" w:space="0"/>
              <w:bottom w:val="single" w:color="auto" w:sz="6" w:space="0"/>
              <w:right w:val="single" w:color="auto" w:sz="6" w:space="0"/>
            </w:tcBorders>
            <w:noWrap w:val="0"/>
            <w:vAlign w:val="center"/>
          </w:tcPr>
          <w:p w14:paraId="26905A0A">
            <w:pPr>
              <w:spacing w:line="360" w:lineRule="auto"/>
              <w:jc w:val="center"/>
              <w:rPr>
                <w:rFonts w:hint="default" w:ascii="宋体" w:eastAsia="宋体" w:cs="仿宋"/>
                <w:color w:val="auto"/>
                <w:sz w:val="21"/>
                <w:szCs w:val="21"/>
                <w:lang w:val="en-US" w:eastAsia="zh-CN"/>
              </w:rPr>
            </w:pPr>
            <w:r>
              <w:rPr>
                <w:rFonts w:hint="eastAsia" w:ascii="宋体" w:hAnsi="宋体" w:cs="宋体"/>
                <w:color w:val="auto"/>
                <w:sz w:val="21"/>
                <w:szCs w:val="21"/>
                <w:lang w:val="en-US" w:eastAsia="zh-CN"/>
              </w:rPr>
              <w:t>34</w:t>
            </w:r>
          </w:p>
        </w:tc>
        <w:tc>
          <w:tcPr>
            <w:tcW w:w="2210" w:type="dxa"/>
            <w:tcBorders>
              <w:top w:val="single" w:color="auto" w:sz="6" w:space="0"/>
              <w:left w:val="single" w:color="auto" w:sz="6" w:space="0"/>
              <w:bottom w:val="single" w:color="auto" w:sz="6" w:space="0"/>
              <w:right w:val="single" w:color="auto" w:sz="6" w:space="0"/>
            </w:tcBorders>
            <w:noWrap w:val="0"/>
            <w:vAlign w:val="center"/>
          </w:tcPr>
          <w:p w14:paraId="576B1049">
            <w:pPr>
              <w:spacing w:line="360" w:lineRule="auto"/>
              <w:jc w:val="center"/>
              <w:rPr>
                <w:rFonts w:ascii="宋体" w:cs="仿宋"/>
                <w:color w:val="auto"/>
                <w:sz w:val="21"/>
                <w:szCs w:val="21"/>
              </w:rPr>
            </w:pPr>
            <w:r>
              <w:rPr>
                <w:rFonts w:ascii="宋体" w:hAnsi="宋体" w:cs="宋体"/>
                <w:color w:val="auto"/>
                <w:sz w:val="21"/>
                <w:szCs w:val="21"/>
              </w:rPr>
              <w:t>24.1</w:t>
            </w:r>
          </w:p>
        </w:tc>
        <w:tc>
          <w:tcPr>
            <w:tcW w:w="6206" w:type="dxa"/>
            <w:tcBorders>
              <w:top w:val="single" w:color="auto" w:sz="6" w:space="0"/>
              <w:left w:val="single" w:color="auto" w:sz="6" w:space="0"/>
              <w:bottom w:val="single" w:color="auto" w:sz="6" w:space="0"/>
              <w:right w:val="double" w:color="auto" w:sz="4" w:space="0"/>
            </w:tcBorders>
            <w:noWrap w:val="0"/>
            <w:vAlign w:val="center"/>
          </w:tcPr>
          <w:p w14:paraId="7352B59F">
            <w:pPr>
              <w:pStyle w:val="51"/>
              <w:tabs>
                <w:tab w:val="left" w:pos="4005"/>
              </w:tabs>
              <w:spacing w:line="400" w:lineRule="exact"/>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争议的最终解决方式： 仲裁或诉讼</w:t>
            </w:r>
            <w:r>
              <w:rPr>
                <w:rFonts w:hint="eastAsia" w:ascii="宋体" w:hAnsi="宋体" w:eastAsia="宋体" w:cs="宋体"/>
                <w:color w:val="auto"/>
                <w:kern w:val="2"/>
                <w:sz w:val="21"/>
                <w:szCs w:val="21"/>
                <w:lang w:val="en-US" w:eastAsia="zh-CN" w:bidi="ar-SA"/>
              </w:rPr>
              <w:tab/>
            </w:r>
          </w:p>
          <w:p w14:paraId="0FFA6121">
            <w:pPr>
              <w:spacing w:line="360" w:lineRule="auto"/>
              <w:rPr>
                <w:rFonts w:ascii="宋体" w:cs="仿宋"/>
                <w:color w:val="auto"/>
                <w:sz w:val="21"/>
                <w:szCs w:val="21"/>
              </w:rPr>
            </w:pPr>
            <w:r>
              <w:rPr>
                <w:rFonts w:hint="eastAsia" w:ascii="宋体" w:hAnsi="宋体" w:eastAsia="宋体" w:cs="宋体"/>
                <w:color w:val="auto"/>
                <w:kern w:val="2"/>
                <w:sz w:val="21"/>
                <w:szCs w:val="21"/>
                <w:lang w:val="en-US" w:eastAsia="zh-CN" w:bidi="ar-SA"/>
              </w:rPr>
              <w:t>如采用仲裁，仲裁委员会名称：</w:t>
            </w:r>
            <w:r>
              <w:rPr>
                <w:rFonts w:hint="eastAsia" w:ascii="宋体" w:hAnsi="宋体" w:eastAsia="宋体" w:cs="宋体"/>
                <w:color w:val="auto"/>
                <w:kern w:val="2"/>
                <w:sz w:val="21"/>
                <w:szCs w:val="21"/>
                <w:u w:val="single"/>
                <w:lang w:val="en-US" w:eastAsia="zh-CN" w:bidi="ar-SA"/>
              </w:rPr>
              <w:t>项目所在地</w:t>
            </w:r>
            <w:r>
              <w:rPr>
                <w:rFonts w:hint="eastAsia" w:ascii="宋体" w:hAnsi="宋体" w:eastAsia="宋体" w:cs="宋体"/>
                <w:color w:val="auto"/>
                <w:kern w:val="2"/>
                <w:sz w:val="21"/>
                <w:szCs w:val="21"/>
                <w:lang w:val="en-US" w:eastAsia="zh-CN" w:bidi="ar-SA"/>
              </w:rPr>
              <w:t>仲裁委员会</w:t>
            </w:r>
          </w:p>
        </w:tc>
      </w:tr>
    </w:tbl>
    <w:p w14:paraId="614C1C32">
      <w:pPr>
        <w:spacing w:line="360" w:lineRule="auto"/>
        <w:rPr>
          <w:rFonts w:ascii="宋体" w:cs="宋体"/>
          <w:color w:val="auto"/>
          <w:sz w:val="24"/>
          <w:szCs w:val="22"/>
        </w:rPr>
      </w:pPr>
    </w:p>
    <w:p w14:paraId="0C6B0E82">
      <w:pPr>
        <w:spacing w:before="240" w:line="360" w:lineRule="auto"/>
        <w:rPr>
          <w:rFonts w:hint="eastAsia" w:ascii="宋体" w:cs="宋体"/>
          <w:b/>
          <w:color w:val="auto"/>
          <w:sz w:val="32"/>
          <w:szCs w:val="32"/>
        </w:rPr>
      </w:pPr>
    </w:p>
    <w:p w14:paraId="29DBDC52">
      <w:pPr>
        <w:spacing w:line="360" w:lineRule="auto"/>
        <w:jc w:val="center"/>
        <w:outlineLvl w:val="2"/>
        <w:rPr>
          <w:rFonts w:ascii="宋体" w:hAnsi="宋体" w:cs="宋体"/>
          <w:color w:val="auto"/>
          <w:szCs w:val="21"/>
        </w:rPr>
      </w:pPr>
      <w:r>
        <w:rPr>
          <w:rFonts w:ascii="宋体" w:cs="宋体"/>
          <w:b/>
          <w:color w:val="auto"/>
          <w:sz w:val="30"/>
          <w:szCs w:val="30"/>
        </w:rPr>
        <w:br w:type="page"/>
      </w:r>
      <w:bookmarkEnd w:id="995"/>
      <w:bookmarkEnd w:id="996"/>
      <w:r>
        <w:rPr>
          <w:rFonts w:hint="eastAsia" w:ascii="宋体" w:hAnsi="宋体" w:eastAsia="宋体" w:cs="宋体"/>
          <w:b/>
          <w:bCs/>
          <w:color w:val="auto"/>
          <w:kern w:val="2"/>
          <w:sz w:val="30"/>
          <w:szCs w:val="30"/>
          <w:lang w:val="en-US" w:eastAsia="zh-CN" w:bidi="ar-SA"/>
        </w:rPr>
        <w:t>项目专用合同条款</w:t>
      </w:r>
    </w:p>
    <w:p w14:paraId="053BF860">
      <w:pPr>
        <w:spacing w:line="360" w:lineRule="auto"/>
        <w:ind w:firstLine="442" w:firstLineChars="200"/>
        <w:jc w:val="left"/>
        <w:rPr>
          <w:rFonts w:ascii="宋体" w:hAnsi="宋体" w:cs="宋体"/>
          <w:color w:val="auto"/>
          <w:szCs w:val="21"/>
        </w:rPr>
      </w:pPr>
      <w:r>
        <w:rPr>
          <w:rFonts w:hint="eastAsia" w:ascii="宋体" w:hAnsi="宋体" w:cs="宋体"/>
          <w:b/>
          <w:bCs/>
          <w:color w:val="auto"/>
          <w:szCs w:val="21"/>
        </w:rPr>
        <w:t>说明：</w:t>
      </w:r>
      <w:r>
        <w:rPr>
          <w:rFonts w:hint="eastAsia" w:ascii="宋体" w:hAnsi="宋体" w:cs="宋体"/>
          <w:color w:val="auto"/>
          <w:szCs w:val="21"/>
        </w:rPr>
        <w:t>本部分所列的项目专用合同条款是对“公路工程专用合同条款”中规定必须在项目专用合同条款中明确的内容的集中，招标人编制的“项目专用合同条款”不限于本部分所列内容。</w:t>
      </w:r>
    </w:p>
    <w:p w14:paraId="2ABFA705">
      <w:pPr>
        <w:spacing w:line="360" w:lineRule="auto"/>
        <w:jc w:val="left"/>
        <w:rPr>
          <w:rFonts w:ascii="宋体" w:hAnsi="宋体" w:cs="宋体"/>
          <w:b/>
          <w:bCs/>
          <w:color w:val="auto"/>
          <w:szCs w:val="21"/>
        </w:rPr>
      </w:pPr>
      <w:r>
        <w:rPr>
          <w:rFonts w:hint="eastAsia" w:ascii="宋体" w:hAnsi="宋体" w:cs="宋体"/>
          <w:b/>
          <w:bCs/>
          <w:color w:val="auto"/>
          <w:szCs w:val="21"/>
        </w:rPr>
        <w:t>4.1 承包人的一般义务</w:t>
      </w:r>
    </w:p>
    <w:p w14:paraId="3CD3E828">
      <w:pPr>
        <w:spacing w:line="360" w:lineRule="auto"/>
        <w:ind w:firstLine="442" w:firstLineChars="200"/>
        <w:jc w:val="left"/>
        <w:rPr>
          <w:rFonts w:ascii="宋体" w:hAnsi="宋体" w:cs="宋体"/>
          <w:color w:val="auto"/>
          <w:szCs w:val="21"/>
        </w:rPr>
      </w:pPr>
      <w:r>
        <w:rPr>
          <w:rFonts w:hint="eastAsia" w:ascii="宋体" w:hAnsi="宋体" w:cs="宋体"/>
          <w:b/>
          <w:bCs/>
          <w:color w:val="auto"/>
          <w:szCs w:val="21"/>
        </w:rPr>
        <w:t>4.1.10  其他义务</w:t>
      </w:r>
    </w:p>
    <w:p w14:paraId="2958F930">
      <w:pPr>
        <w:spacing w:line="360" w:lineRule="auto"/>
        <w:ind w:firstLine="440" w:firstLineChars="200"/>
        <w:jc w:val="left"/>
        <w:rPr>
          <w:rFonts w:ascii="宋体" w:hAnsi="宋体" w:cs="宋体"/>
          <w:color w:val="auto"/>
          <w:szCs w:val="21"/>
        </w:rPr>
      </w:pPr>
      <w:r>
        <w:rPr>
          <w:rFonts w:hint="eastAsia" w:ascii="宋体" w:hAnsi="宋体" w:cs="宋体"/>
          <w:color w:val="auto"/>
          <w:szCs w:val="21"/>
        </w:rPr>
        <w:t>(4）承包人应履行的其他义务：</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rPr>
        <w:tab/>
      </w:r>
    </w:p>
    <w:p w14:paraId="4373FF40">
      <w:pPr>
        <w:spacing w:line="360" w:lineRule="auto"/>
        <w:jc w:val="left"/>
        <w:rPr>
          <w:rFonts w:ascii="宋体" w:hAnsi="宋体" w:cs="宋体"/>
          <w:b/>
          <w:bCs/>
          <w:color w:val="auto"/>
          <w:szCs w:val="21"/>
        </w:rPr>
      </w:pPr>
      <w:r>
        <w:rPr>
          <w:rFonts w:hint="eastAsia" w:ascii="宋体" w:hAnsi="宋体" w:cs="宋体"/>
          <w:b/>
          <w:bCs/>
          <w:color w:val="auto"/>
          <w:szCs w:val="21"/>
        </w:rPr>
        <w:t>4.11  不利物质条件</w:t>
      </w:r>
    </w:p>
    <w:p w14:paraId="3F3F93D7">
      <w:pPr>
        <w:spacing w:line="360" w:lineRule="auto"/>
        <w:ind w:firstLine="440" w:firstLineChars="200"/>
        <w:jc w:val="left"/>
        <w:rPr>
          <w:rFonts w:ascii="宋体" w:hAnsi="宋体" w:cs="宋体"/>
          <w:color w:val="auto"/>
          <w:szCs w:val="21"/>
        </w:rPr>
      </w:pPr>
      <w:r>
        <w:rPr>
          <w:rFonts w:hint="eastAsia" w:ascii="宋体" w:hAnsi="宋体" w:cs="宋体"/>
          <w:color w:val="auto"/>
          <w:szCs w:val="21"/>
        </w:rPr>
        <w:t xml:space="preserve">4.11.1 不利物质条件的范围：                       </w:t>
      </w:r>
      <w:r>
        <w:rPr>
          <w:rFonts w:hint="eastAsia" w:ascii="宋体" w:hAnsi="宋体" w:cs="宋体"/>
          <w:color w:val="auto"/>
          <w:szCs w:val="21"/>
        </w:rPr>
        <w:tab/>
      </w:r>
    </w:p>
    <w:p w14:paraId="6CECCCD3">
      <w:pPr>
        <w:spacing w:line="360" w:lineRule="auto"/>
        <w:jc w:val="left"/>
        <w:rPr>
          <w:rFonts w:ascii="宋体" w:hAnsi="宋体" w:cs="宋体"/>
          <w:color w:val="auto"/>
          <w:szCs w:val="21"/>
        </w:rPr>
      </w:pPr>
      <w:r>
        <w:rPr>
          <w:rFonts w:hint="eastAsia" w:ascii="宋体" w:hAnsi="宋体" w:cs="宋体"/>
          <w:b/>
          <w:bCs/>
          <w:color w:val="auto"/>
          <w:szCs w:val="21"/>
        </w:rPr>
        <w:t>10.1 合同进度计划</w:t>
      </w:r>
    </w:p>
    <w:p w14:paraId="38DD6F92">
      <w:pPr>
        <w:spacing w:line="360" w:lineRule="auto"/>
        <w:ind w:firstLine="440" w:firstLineChars="200"/>
        <w:jc w:val="left"/>
        <w:rPr>
          <w:rFonts w:ascii="宋体" w:hAnsi="宋体" w:cs="宋体"/>
          <w:color w:val="auto"/>
          <w:szCs w:val="21"/>
        </w:rPr>
      </w:pPr>
      <w:r>
        <w:rPr>
          <w:rFonts w:hint="eastAsia" w:ascii="宋体" w:hAnsi="宋体" w:cs="宋体"/>
          <w:color w:val="auto"/>
          <w:szCs w:val="21"/>
        </w:rPr>
        <w:t>承包人编制施工方案的内容：</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rPr>
        <w:tab/>
      </w:r>
    </w:p>
    <w:p w14:paraId="40A8A50B">
      <w:pPr>
        <w:spacing w:line="360" w:lineRule="auto"/>
        <w:jc w:val="left"/>
        <w:rPr>
          <w:rFonts w:ascii="宋体" w:hAnsi="宋体" w:cs="宋体"/>
          <w:b/>
          <w:bCs/>
          <w:color w:val="auto"/>
          <w:szCs w:val="21"/>
        </w:rPr>
      </w:pPr>
      <w:r>
        <w:rPr>
          <w:rFonts w:hint="eastAsia" w:ascii="宋体" w:hAnsi="宋体" w:cs="宋体"/>
          <w:b/>
          <w:bCs/>
          <w:color w:val="auto"/>
          <w:szCs w:val="21"/>
        </w:rPr>
        <w:t xml:space="preserve">11.4 异常恶劣的气候条件 </w:t>
      </w:r>
    </w:p>
    <w:p w14:paraId="6807DFB6">
      <w:pPr>
        <w:spacing w:line="360" w:lineRule="auto"/>
        <w:ind w:firstLine="440" w:firstLineChars="200"/>
        <w:jc w:val="left"/>
        <w:rPr>
          <w:rFonts w:ascii="宋体" w:hAnsi="宋体" w:cs="宋体"/>
          <w:color w:val="auto"/>
          <w:szCs w:val="21"/>
        </w:rPr>
      </w:pPr>
      <w:r>
        <w:rPr>
          <w:rFonts w:hint="eastAsia" w:ascii="宋体" w:hAnsi="宋体" w:cs="宋体"/>
          <w:color w:val="auto"/>
          <w:szCs w:val="21"/>
        </w:rPr>
        <w:t>异常恶劣的气候条件的范围：</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rPr>
        <w:tab/>
      </w:r>
      <w:r>
        <w:rPr>
          <w:rFonts w:hint="eastAsia" w:ascii="宋体" w:hAnsi="宋体" w:cs="宋体"/>
          <w:color w:val="auto"/>
          <w:szCs w:val="21"/>
        </w:rPr>
        <w:t xml:space="preserve"> </w:t>
      </w:r>
    </w:p>
    <w:p w14:paraId="4AC96E4E">
      <w:pPr>
        <w:spacing w:line="360" w:lineRule="auto"/>
        <w:jc w:val="left"/>
        <w:rPr>
          <w:rFonts w:ascii="宋体" w:hAnsi="宋体" w:cs="宋体"/>
          <w:b/>
          <w:bCs/>
          <w:color w:val="auto"/>
          <w:szCs w:val="21"/>
        </w:rPr>
      </w:pPr>
      <w:r>
        <w:rPr>
          <w:rFonts w:hint="eastAsia" w:ascii="宋体" w:hAnsi="宋体" w:cs="宋体"/>
          <w:b/>
          <w:bCs/>
          <w:color w:val="auto"/>
          <w:szCs w:val="21"/>
        </w:rPr>
        <w:t>12.1  承包人暂停施工的责任</w:t>
      </w:r>
    </w:p>
    <w:p w14:paraId="3ACF7797">
      <w:pPr>
        <w:spacing w:line="360" w:lineRule="auto"/>
        <w:ind w:firstLine="440" w:firstLineChars="200"/>
        <w:jc w:val="left"/>
        <w:rPr>
          <w:rFonts w:ascii="宋体" w:hAnsi="宋体" w:cs="宋体"/>
          <w:color w:val="auto"/>
          <w:szCs w:val="21"/>
        </w:rPr>
      </w:pPr>
      <w:r>
        <w:rPr>
          <w:rFonts w:hint="eastAsia" w:ascii="宋体" w:hAnsi="宋体" w:cs="宋体"/>
          <w:color w:val="auto"/>
          <w:szCs w:val="21"/>
        </w:rPr>
        <w:t>12.1(6） 由承包人承担的其他暂停施工：</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rPr>
        <w:tab/>
      </w:r>
    </w:p>
    <w:p w14:paraId="39474DBF">
      <w:pPr>
        <w:spacing w:line="360" w:lineRule="auto"/>
        <w:jc w:val="left"/>
        <w:rPr>
          <w:rFonts w:hint="default" w:ascii="宋体" w:hAnsi="宋体" w:eastAsia="宋体" w:cs="宋体"/>
          <w:b/>
          <w:bCs/>
          <w:color w:val="auto"/>
          <w:szCs w:val="21"/>
          <w:lang w:val="en-US" w:eastAsia="zh-CN"/>
        </w:rPr>
      </w:pPr>
      <w:r>
        <w:rPr>
          <w:rFonts w:hint="eastAsia" w:ascii="宋体" w:hAnsi="宋体" w:cs="宋体"/>
          <w:b/>
          <w:bCs/>
          <w:color w:val="auto"/>
          <w:szCs w:val="21"/>
          <w:lang w:val="en-US" w:eastAsia="zh-CN"/>
        </w:rPr>
        <w:t>17.1 计量</w:t>
      </w:r>
    </w:p>
    <w:p w14:paraId="1B219EA5">
      <w:pPr>
        <w:spacing w:line="360" w:lineRule="auto"/>
        <w:ind w:firstLine="440" w:firstLineChars="200"/>
        <w:jc w:val="left"/>
        <w:rPr>
          <w:rFonts w:hint="default" w:ascii="宋体" w:hAnsi="宋体" w:eastAsia="宋体" w:cs="宋体"/>
          <w:b/>
          <w:bCs/>
          <w:color w:val="auto"/>
          <w:szCs w:val="21"/>
          <w:lang w:val="en-US" w:eastAsia="zh-CN"/>
        </w:rPr>
      </w:pPr>
      <w:r>
        <w:rPr>
          <w:rFonts w:hint="eastAsia" w:ascii="宋体" w:hAnsi="宋体" w:cs="宋体"/>
          <w:color w:val="auto"/>
          <w:szCs w:val="21"/>
        </w:rPr>
        <w:t>17.</w:t>
      </w:r>
      <w:r>
        <w:rPr>
          <w:rFonts w:hint="eastAsia" w:ascii="宋体" w:hAnsi="宋体" w:cs="宋体"/>
          <w:color w:val="auto"/>
          <w:szCs w:val="21"/>
          <w:lang w:val="en-US" w:eastAsia="zh-CN"/>
        </w:rPr>
        <w:t>1</w:t>
      </w:r>
      <w:r>
        <w:rPr>
          <w:rFonts w:hint="eastAsia" w:ascii="宋体" w:hAnsi="宋体" w:cs="宋体"/>
          <w:color w:val="auto"/>
          <w:szCs w:val="21"/>
        </w:rPr>
        <w:t xml:space="preserve">.5 </w:t>
      </w:r>
      <w:r>
        <w:rPr>
          <w:rFonts w:hint="eastAsia" w:ascii="宋体" w:hAnsi="宋体" w:cs="宋体"/>
          <w:color w:val="auto"/>
          <w:szCs w:val="21"/>
          <w:lang w:val="en-US" w:eastAsia="zh-CN"/>
        </w:rPr>
        <w:t>本项目工程量清单中总额价子目的支付原则和支付进度：</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rPr>
        <w:tab/>
      </w:r>
    </w:p>
    <w:p w14:paraId="4055FB66">
      <w:pPr>
        <w:spacing w:line="360" w:lineRule="auto"/>
        <w:jc w:val="left"/>
        <w:rPr>
          <w:rFonts w:ascii="宋体" w:hAnsi="宋体" w:cs="宋体"/>
          <w:color w:val="auto"/>
          <w:szCs w:val="21"/>
        </w:rPr>
      </w:pPr>
      <w:r>
        <w:rPr>
          <w:rFonts w:hint="eastAsia" w:ascii="宋体" w:hAnsi="宋体" w:cs="宋体"/>
          <w:b/>
          <w:bCs/>
          <w:color w:val="auto"/>
          <w:szCs w:val="21"/>
        </w:rPr>
        <w:t>17.3 工程进度付款</w:t>
      </w:r>
    </w:p>
    <w:p w14:paraId="6B6AC005">
      <w:pPr>
        <w:spacing w:line="360" w:lineRule="auto"/>
        <w:ind w:firstLine="440" w:firstLineChars="200"/>
        <w:jc w:val="left"/>
        <w:rPr>
          <w:rFonts w:ascii="宋体" w:hAnsi="宋体" w:cs="宋体"/>
          <w:color w:val="auto"/>
          <w:szCs w:val="21"/>
          <w:u w:val="single"/>
        </w:rPr>
      </w:pPr>
      <w:r>
        <w:rPr>
          <w:rFonts w:hint="eastAsia" w:ascii="宋体" w:hAnsi="宋体" w:cs="宋体"/>
          <w:color w:val="auto"/>
          <w:szCs w:val="21"/>
        </w:rPr>
        <w:t>17.3.5 农民工工资保证金的缴存时间 ：</w:t>
      </w:r>
      <w:r>
        <w:rPr>
          <w:rFonts w:hint="eastAsia" w:ascii="宋体" w:hAnsi="宋体" w:cs="宋体"/>
          <w:color w:val="auto"/>
          <w:szCs w:val="21"/>
          <w:u w:val="single"/>
        </w:rPr>
        <w:t xml:space="preserve"> </w:t>
      </w:r>
      <w:r>
        <w:rPr>
          <w:rFonts w:hint="eastAsia" w:cs="宋体"/>
          <w:color w:val="auto"/>
          <w:szCs w:val="21"/>
          <w:u w:val="single"/>
          <w:lang w:val="en-US" w:eastAsia="zh-CN"/>
        </w:rPr>
        <w:t xml:space="preserve"> </w:t>
      </w:r>
      <w:r>
        <w:rPr>
          <w:rFonts w:hint="eastAsia" w:ascii="宋体" w:hAnsi="宋体" w:cs="宋体"/>
          <w:color w:val="auto"/>
          <w:szCs w:val="21"/>
          <w:u w:val="single"/>
        </w:rPr>
        <w:t xml:space="preserve">。 </w:t>
      </w:r>
    </w:p>
    <w:p w14:paraId="5A6ADE7B">
      <w:pPr>
        <w:spacing w:line="360" w:lineRule="auto"/>
        <w:ind w:firstLine="440" w:firstLineChars="200"/>
        <w:jc w:val="left"/>
        <w:rPr>
          <w:color w:val="auto"/>
          <w:highlight w:val="none"/>
        </w:rPr>
      </w:pPr>
      <w:r>
        <w:rPr>
          <w:rFonts w:hint="eastAsia" w:ascii="宋体" w:hAnsi="宋体" w:cs="宋体"/>
          <w:color w:val="auto"/>
          <w:szCs w:val="21"/>
          <w:highlight w:val="none"/>
        </w:rPr>
        <w:t>农民工工资保证金的缴存金额 ：</w:t>
      </w:r>
      <w:r>
        <w:rPr>
          <w:rFonts w:hint="eastAsia"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w:t>
      </w:r>
    </w:p>
    <w:p w14:paraId="667E79B9">
      <w:pPr>
        <w:spacing w:line="360" w:lineRule="auto"/>
        <w:ind w:firstLine="440" w:firstLineChars="200"/>
        <w:jc w:val="left"/>
        <w:rPr>
          <w:rFonts w:ascii="宋体" w:hAnsi="宋体" w:cs="宋体"/>
          <w:color w:val="auto"/>
          <w:szCs w:val="21"/>
        </w:rPr>
      </w:pPr>
      <w:r>
        <w:rPr>
          <w:rFonts w:hint="eastAsia" w:ascii="宋体" w:hAnsi="宋体" w:cs="宋体"/>
          <w:color w:val="auto"/>
          <w:szCs w:val="21"/>
        </w:rPr>
        <w:t>农民工工资保证金的扣留条件：</w:t>
      </w:r>
      <w:r>
        <w:rPr>
          <w:rFonts w:hint="eastAsia"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w:t>
      </w:r>
    </w:p>
    <w:p w14:paraId="6663A737">
      <w:pPr>
        <w:spacing w:line="360" w:lineRule="auto"/>
        <w:ind w:firstLine="440" w:firstLineChars="200"/>
        <w:jc w:val="left"/>
        <w:rPr>
          <w:rFonts w:ascii="宋体" w:hAnsi="宋体" w:cs="宋体"/>
          <w:color w:val="auto"/>
          <w:szCs w:val="21"/>
        </w:rPr>
      </w:pPr>
      <w:r>
        <w:rPr>
          <w:rFonts w:hint="eastAsia" w:ascii="宋体" w:hAnsi="宋体" w:cs="宋体"/>
          <w:color w:val="auto"/>
          <w:szCs w:val="21"/>
        </w:rPr>
        <w:t>农民工工资保证金的返还时间：</w:t>
      </w:r>
      <w:r>
        <w:rPr>
          <w:rFonts w:hint="eastAsia"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w:t>
      </w:r>
    </w:p>
    <w:p w14:paraId="1C33F70E">
      <w:pPr>
        <w:spacing w:line="360" w:lineRule="auto"/>
        <w:jc w:val="left"/>
        <w:rPr>
          <w:rFonts w:ascii="宋体" w:hAnsi="宋体" w:cs="宋体"/>
          <w:color w:val="auto"/>
          <w:szCs w:val="21"/>
        </w:rPr>
      </w:pPr>
      <w:r>
        <w:rPr>
          <w:rFonts w:hint="eastAsia" w:ascii="宋体" w:hAnsi="宋体" w:cs="宋体"/>
          <w:b/>
          <w:bCs/>
          <w:color w:val="auto"/>
          <w:szCs w:val="21"/>
        </w:rPr>
        <w:t>21.1 不可抗力的确认</w:t>
      </w:r>
    </w:p>
    <w:p w14:paraId="2E23AED2">
      <w:pPr>
        <w:spacing w:line="360" w:lineRule="auto"/>
        <w:ind w:firstLine="440" w:firstLineChars="200"/>
        <w:jc w:val="left"/>
        <w:rPr>
          <w:rFonts w:ascii="宋体" w:hAnsi="宋体" w:cs="宋体"/>
          <w:color w:val="auto"/>
          <w:szCs w:val="21"/>
          <w:u w:val="single"/>
        </w:rPr>
      </w:pPr>
      <w:r>
        <w:rPr>
          <w:rFonts w:hint="eastAsia" w:ascii="宋体" w:hAnsi="宋体" w:cs="宋体"/>
          <w:color w:val="auto"/>
          <w:szCs w:val="21"/>
        </w:rPr>
        <w:t>21.1.1(6）不可抗力的其他情形：</w:t>
      </w:r>
      <w:r>
        <w:rPr>
          <w:rFonts w:hint="eastAsia" w:ascii="宋体" w:hAnsi="宋体" w:cs="宋体"/>
          <w:color w:val="auto"/>
          <w:szCs w:val="21"/>
          <w:u w:val="single"/>
        </w:rPr>
        <w:t xml:space="preserve"> / 。</w:t>
      </w:r>
    </w:p>
    <w:p w14:paraId="6963C66F">
      <w:pPr>
        <w:spacing w:line="360" w:lineRule="auto"/>
        <w:jc w:val="left"/>
        <w:rPr>
          <w:rFonts w:ascii="宋体" w:hAnsi="宋体" w:cs="宋体"/>
          <w:color w:val="auto"/>
          <w:szCs w:val="21"/>
          <w:u w:val="single"/>
        </w:rPr>
      </w:pPr>
      <w:r>
        <w:rPr>
          <w:rFonts w:hint="eastAsia" w:ascii="宋体" w:hAnsi="宋体" w:cs="宋体"/>
          <w:b/>
          <w:bCs/>
          <w:color w:val="auto"/>
          <w:szCs w:val="21"/>
        </w:rPr>
        <w:t>22.1 承包人违约</w:t>
      </w:r>
    </w:p>
    <w:p w14:paraId="151038EC">
      <w:pPr>
        <w:spacing w:line="360" w:lineRule="auto"/>
        <w:ind w:firstLine="440" w:firstLineChars="200"/>
        <w:jc w:val="left"/>
        <w:rPr>
          <w:rFonts w:ascii="宋体" w:hAnsi="宋体" w:cs="宋体"/>
          <w:color w:val="auto"/>
          <w:szCs w:val="21"/>
        </w:rPr>
      </w:pPr>
      <w:r>
        <w:rPr>
          <w:rFonts w:hint="eastAsia" w:ascii="宋体" w:hAnsi="宋体" w:cs="宋体"/>
          <w:color w:val="auto"/>
          <w:szCs w:val="21"/>
        </w:rPr>
        <w:t>22.1.2 当承包人发生第22.1.1项约定的违约情况时，发包人有权向承包人课以违约金，具体约定如下：</w:t>
      </w:r>
      <w:r>
        <w:rPr>
          <w:rFonts w:hint="eastAsia" w:ascii="宋体" w:hAnsi="宋体" w:cs="宋体"/>
          <w:color w:val="auto"/>
          <w:szCs w:val="21"/>
          <w:u w:val="single"/>
        </w:rPr>
        <w:t xml:space="preserve"> 除扣除履约保证金外，承包人根据《中华人民共和国民法典》相关规定，应该承担继续履行、采取补救措施或者赔偿损失等违约责任。</w:t>
      </w:r>
    </w:p>
    <w:p w14:paraId="73363B66">
      <w:pPr>
        <w:spacing w:line="360" w:lineRule="auto"/>
        <w:jc w:val="left"/>
        <w:rPr>
          <w:rFonts w:ascii="宋体" w:hAnsi="宋体" w:cs="宋体"/>
          <w:color w:val="auto"/>
          <w:szCs w:val="21"/>
          <w:u w:val="single"/>
        </w:rPr>
      </w:pPr>
      <w:r>
        <w:rPr>
          <w:rFonts w:hint="eastAsia" w:ascii="宋体" w:hAnsi="宋体" w:cs="宋体"/>
          <w:b/>
          <w:bCs/>
          <w:color w:val="auto"/>
          <w:szCs w:val="21"/>
        </w:rPr>
        <w:t>22.2 发包人违约</w:t>
      </w:r>
    </w:p>
    <w:p w14:paraId="6501A0CF">
      <w:pPr>
        <w:spacing w:line="360" w:lineRule="auto"/>
        <w:ind w:firstLine="440" w:firstLineChars="200"/>
        <w:jc w:val="left"/>
        <w:rPr>
          <w:rFonts w:ascii="宋体" w:hAnsi="宋体" w:cs="宋体"/>
          <w:color w:val="auto"/>
          <w:szCs w:val="21"/>
          <w:u w:val="single"/>
        </w:rPr>
      </w:pPr>
      <w:r>
        <w:rPr>
          <w:rFonts w:hint="eastAsia" w:ascii="宋体" w:hAnsi="宋体" w:cs="宋体"/>
          <w:color w:val="auto"/>
          <w:szCs w:val="21"/>
        </w:rPr>
        <w:t>22.2.2 发包人无正当理由不按时返还履约保证金、质量保证金或农民工工资保证金的，发包人应向承包人支付的违约金如下：</w:t>
      </w:r>
      <w:r>
        <w:rPr>
          <w:rFonts w:hint="eastAsia" w:ascii="宋体" w:hAnsi="宋体" w:cs="宋体"/>
          <w:color w:val="auto"/>
          <w:szCs w:val="21"/>
          <w:u w:val="single"/>
        </w:rPr>
        <w:t xml:space="preserve">  无。 </w:t>
      </w:r>
    </w:p>
    <w:p w14:paraId="2B322260">
      <w:pPr>
        <w:autoSpaceDE w:val="0"/>
        <w:autoSpaceDN w:val="0"/>
        <w:spacing w:line="360" w:lineRule="exact"/>
        <w:jc w:val="center"/>
        <w:rPr>
          <w:rFonts w:ascii="宋体" w:hAnsi="宋体" w:cs="宋体"/>
          <w:b/>
          <w:bCs/>
          <w:color w:val="auto"/>
          <w:szCs w:val="21"/>
        </w:rPr>
      </w:pPr>
    </w:p>
    <w:p w14:paraId="21C15E42">
      <w:pPr>
        <w:rPr>
          <w:rFonts w:ascii="宋体" w:hAnsi="宋体"/>
          <w:color w:val="auto"/>
          <w:szCs w:val="21"/>
        </w:rPr>
      </w:pPr>
    </w:p>
    <w:p w14:paraId="34152F11">
      <w:pPr>
        <w:rPr>
          <w:rFonts w:ascii="宋体" w:hAnsi="宋体"/>
          <w:color w:val="auto"/>
          <w:szCs w:val="21"/>
        </w:rPr>
      </w:pPr>
    </w:p>
    <w:p w14:paraId="0942BC7B">
      <w:pPr>
        <w:rPr>
          <w:rFonts w:ascii="宋体" w:hAnsi="宋体"/>
          <w:color w:val="auto"/>
          <w:szCs w:val="21"/>
        </w:rPr>
      </w:pPr>
    </w:p>
    <w:p w14:paraId="0D6458D1">
      <w:pPr>
        <w:keepNext/>
        <w:keepLines/>
        <w:numPr>
          <w:ilvl w:val="0"/>
          <w:numId w:val="33"/>
        </w:numPr>
        <w:adjustRightInd w:val="0"/>
        <w:snapToGrid w:val="0"/>
        <w:spacing w:before="260" w:after="260"/>
        <w:ind w:left="3080" w:leftChars="0" w:firstLineChars="0"/>
        <w:jc w:val="left"/>
        <w:outlineLvl w:val="0"/>
        <w:rPr>
          <w:rFonts w:hint="eastAsia" w:ascii="宋体" w:hAnsi="宋体" w:eastAsia="宋体" w:cs="宋体"/>
          <w:b w:val="0"/>
          <w:bCs w:val="0"/>
          <w:color w:val="auto"/>
          <w:sz w:val="36"/>
          <w:szCs w:val="36"/>
        </w:rPr>
      </w:pPr>
      <w:bookmarkStart w:id="1002" w:name="_Toc12793"/>
      <w:bookmarkStart w:id="1003" w:name="_Toc15608"/>
      <w:r>
        <w:rPr>
          <w:rFonts w:hint="eastAsia" w:ascii="宋体" w:hAnsi="宋体" w:eastAsia="宋体" w:cs="宋体"/>
          <w:b/>
          <w:bCs/>
          <w:color w:val="auto"/>
          <w:sz w:val="36"/>
          <w:szCs w:val="36"/>
        </w:rPr>
        <w:t>响应文件格式</w:t>
      </w:r>
      <w:bookmarkEnd w:id="232"/>
      <w:bookmarkEnd w:id="1002"/>
      <w:bookmarkEnd w:id="1003"/>
    </w:p>
    <w:p w14:paraId="2A4CBDDA">
      <w:pPr>
        <w:shd w:val="clear"/>
        <w:jc w:val="center"/>
        <w:rPr>
          <w:rFonts w:hint="eastAsia" w:ascii="宋体" w:hAnsi="宋体" w:eastAsia="宋体" w:cs="宋体"/>
          <w:b w:val="0"/>
          <w:bCs w:val="0"/>
          <w:color w:val="auto"/>
          <w:kern w:val="0"/>
          <w:sz w:val="36"/>
          <w:szCs w:val="36"/>
        </w:rPr>
      </w:pPr>
    </w:p>
    <w:p w14:paraId="44FD1E72">
      <w:pPr>
        <w:pStyle w:val="8"/>
        <w:rPr>
          <w:rFonts w:hint="eastAsia" w:ascii="宋体" w:hAnsi="宋体" w:eastAsia="宋体" w:cs="宋体"/>
          <w:color w:val="auto"/>
        </w:rPr>
      </w:pPr>
    </w:p>
    <w:p w14:paraId="21A14405">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rFonts w:hint="eastAsia" w:ascii="宋体" w:hAnsi="宋体" w:eastAsia="宋体" w:cs="宋体"/>
          <w:color w:val="auto"/>
          <w:sz w:val="24"/>
          <w:szCs w:val="24"/>
        </w:rPr>
      </w:pPr>
    </w:p>
    <w:p w14:paraId="4C90C5A4">
      <w:pPr>
        <w:pStyle w:val="12"/>
        <w:jc w:val="center"/>
        <w:outlineLvl w:val="0"/>
        <w:rPr>
          <w:rFonts w:hint="eastAsia" w:ascii="宋体" w:hAnsi="宋体" w:eastAsia="宋体" w:cs="宋体"/>
          <w:b w:val="0"/>
          <w:bCs w:val="0"/>
          <w:color w:val="auto"/>
          <w:sz w:val="44"/>
          <w:szCs w:val="44"/>
          <w:shd w:val="clear" w:color="auto" w:fill="FFFFFF"/>
          <w:lang w:eastAsia="zh-CN"/>
        </w:rPr>
      </w:pPr>
      <w:bookmarkStart w:id="1004" w:name="_Toc10023"/>
      <w:bookmarkStart w:id="1005" w:name="_Toc14429"/>
      <w:bookmarkStart w:id="1006" w:name="_Toc4489"/>
      <w:bookmarkStart w:id="1007" w:name="_Toc7803"/>
      <w:bookmarkStart w:id="1008" w:name="_Toc9125"/>
      <w:r>
        <w:rPr>
          <w:rFonts w:hint="eastAsia" w:cs="宋体"/>
          <w:b w:val="0"/>
          <w:bCs w:val="0"/>
          <w:color w:val="auto"/>
          <w:sz w:val="44"/>
          <w:szCs w:val="44"/>
          <w:u w:val="single"/>
          <w:shd w:val="clear" w:color="auto" w:fill="FFFFFF"/>
          <w:lang w:val="en-US" w:eastAsia="zh-CN"/>
        </w:rPr>
        <w:t>镇沅县古城镇建民村产业道路硬化建设项目（二次）</w:t>
      </w:r>
      <w:r>
        <w:rPr>
          <w:rFonts w:hint="eastAsia" w:ascii="宋体" w:hAnsi="宋体" w:eastAsia="宋体" w:cs="宋体"/>
          <w:b w:val="0"/>
          <w:bCs w:val="0"/>
          <w:color w:val="auto"/>
          <w:sz w:val="44"/>
          <w:szCs w:val="44"/>
          <w:shd w:val="clear" w:color="auto" w:fill="FFFFFF"/>
          <w:lang w:val="en-US" w:eastAsia="zh-CN"/>
        </w:rPr>
        <w:t>施工</w:t>
      </w:r>
      <w:bookmarkEnd w:id="1004"/>
      <w:bookmarkEnd w:id="1005"/>
      <w:bookmarkEnd w:id="1006"/>
      <w:bookmarkEnd w:id="1007"/>
      <w:bookmarkEnd w:id="1008"/>
    </w:p>
    <w:p w14:paraId="0FA9D9BE">
      <w:pPr>
        <w:shd w:val="clear"/>
        <w:jc w:val="center"/>
        <w:rPr>
          <w:rFonts w:hint="eastAsia" w:ascii="宋体" w:hAnsi="宋体" w:eastAsia="宋体" w:cs="宋体"/>
          <w:b w:val="0"/>
          <w:bCs w:val="0"/>
          <w:color w:val="auto"/>
          <w:sz w:val="28"/>
          <w:szCs w:val="28"/>
        </w:rPr>
      </w:pPr>
    </w:p>
    <w:p w14:paraId="0F0742A0">
      <w:pPr>
        <w:rPr>
          <w:rFonts w:hint="eastAsia" w:ascii="宋体" w:hAnsi="宋体" w:eastAsia="宋体" w:cs="宋体"/>
          <w:color w:val="auto"/>
        </w:rPr>
      </w:pPr>
    </w:p>
    <w:p w14:paraId="3CF54F09">
      <w:pPr>
        <w:rPr>
          <w:rFonts w:hint="eastAsia" w:ascii="宋体" w:hAnsi="宋体" w:eastAsia="宋体" w:cs="宋体"/>
          <w:color w:val="auto"/>
        </w:rPr>
      </w:pPr>
    </w:p>
    <w:p w14:paraId="55B12E75">
      <w:pPr>
        <w:shd w:val="clear"/>
        <w:spacing w:line="700" w:lineRule="exact"/>
        <w:jc w:val="both"/>
        <w:rPr>
          <w:rFonts w:hint="eastAsia" w:ascii="宋体" w:hAnsi="宋体" w:eastAsia="宋体" w:cs="宋体"/>
          <w:b w:val="0"/>
          <w:bCs w:val="0"/>
          <w:color w:val="auto"/>
          <w:spacing w:val="66"/>
          <w:sz w:val="72"/>
          <w:szCs w:val="72"/>
        </w:rPr>
      </w:pPr>
    </w:p>
    <w:p w14:paraId="4E03BBC7">
      <w:pPr>
        <w:pStyle w:val="12"/>
        <w:shd w:val="clear"/>
        <w:rPr>
          <w:rFonts w:hint="eastAsia" w:ascii="宋体" w:hAnsi="宋体" w:eastAsia="宋体" w:cs="宋体"/>
          <w:b w:val="0"/>
          <w:bCs w:val="0"/>
          <w:color w:val="auto"/>
        </w:rPr>
      </w:pPr>
    </w:p>
    <w:p w14:paraId="699B8444">
      <w:pPr>
        <w:shd w:val="clear"/>
        <w:spacing w:line="700" w:lineRule="exact"/>
        <w:jc w:val="center"/>
        <w:rPr>
          <w:rFonts w:hint="eastAsia" w:ascii="宋体" w:hAnsi="宋体" w:eastAsia="宋体" w:cs="宋体"/>
          <w:b w:val="0"/>
          <w:bCs w:val="0"/>
          <w:color w:val="auto"/>
          <w:spacing w:val="66"/>
          <w:sz w:val="72"/>
          <w:szCs w:val="72"/>
        </w:rPr>
      </w:pPr>
      <w:r>
        <w:rPr>
          <w:rFonts w:hint="eastAsia" w:ascii="宋体" w:hAnsi="宋体" w:eastAsia="宋体" w:cs="宋体"/>
          <w:b w:val="0"/>
          <w:bCs w:val="0"/>
          <w:color w:val="auto"/>
          <w:spacing w:val="66"/>
          <w:sz w:val="72"/>
          <w:szCs w:val="72"/>
        </w:rPr>
        <w:t>响应文件</w:t>
      </w:r>
    </w:p>
    <w:p w14:paraId="3C1AE444">
      <w:pPr>
        <w:shd w:val="clear"/>
        <w:spacing w:line="288" w:lineRule="auto"/>
        <w:rPr>
          <w:rFonts w:hint="eastAsia" w:ascii="宋体" w:hAnsi="宋体" w:eastAsia="宋体" w:cs="宋体"/>
          <w:b w:val="0"/>
          <w:bCs w:val="0"/>
          <w:color w:val="auto"/>
          <w:sz w:val="30"/>
          <w:szCs w:val="30"/>
        </w:rPr>
      </w:pPr>
    </w:p>
    <w:p w14:paraId="0C8A0D67">
      <w:pPr>
        <w:pStyle w:val="47"/>
        <w:rPr>
          <w:rFonts w:hint="eastAsia"/>
          <w:color w:val="auto"/>
        </w:rPr>
      </w:pPr>
    </w:p>
    <w:p w14:paraId="2C5747F3">
      <w:pPr>
        <w:shd w:val="clear"/>
        <w:rPr>
          <w:rFonts w:hint="eastAsia" w:ascii="宋体" w:hAnsi="宋体" w:eastAsia="宋体" w:cs="宋体"/>
          <w:color w:val="auto"/>
        </w:rPr>
      </w:pPr>
    </w:p>
    <w:p w14:paraId="58C5592D">
      <w:pPr>
        <w:pStyle w:val="17"/>
        <w:spacing w:line="360" w:lineRule="auto"/>
        <w:jc w:val="center"/>
        <w:outlineLvl w:val="0"/>
        <w:rPr>
          <w:rFonts w:hint="eastAsia" w:hAnsi="宋体" w:cs="宋体"/>
          <w:b/>
          <w:bCs/>
          <w:color w:val="auto"/>
          <w:sz w:val="30"/>
          <w:szCs w:val="30"/>
          <w:lang w:eastAsia="zh-CN"/>
        </w:rPr>
      </w:pPr>
      <w:bookmarkStart w:id="1009" w:name="_Toc16266"/>
      <w:bookmarkStart w:id="1010" w:name="_Toc11885"/>
      <w:r>
        <w:rPr>
          <w:rFonts w:hint="eastAsia" w:hAnsi="宋体" w:cs="宋体"/>
          <w:b/>
          <w:bCs/>
          <w:color w:val="auto"/>
          <w:sz w:val="30"/>
          <w:szCs w:val="30"/>
          <w:lang w:eastAsia="zh-CN"/>
        </w:rPr>
        <w:t>招标</w:t>
      </w:r>
      <w:r>
        <w:rPr>
          <w:rFonts w:hint="eastAsia" w:ascii="宋体" w:hAnsi="宋体" w:eastAsia="宋体" w:cs="宋体"/>
          <w:b/>
          <w:bCs/>
          <w:color w:val="auto"/>
          <w:sz w:val="30"/>
          <w:szCs w:val="30"/>
          <w:lang w:eastAsia="zh-CN"/>
        </w:rPr>
        <w:t>编号：</w:t>
      </w:r>
      <w:bookmarkEnd w:id="1009"/>
      <w:r>
        <w:rPr>
          <w:rFonts w:hint="eastAsia" w:hAnsi="宋体" w:cs="宋体"/>
          <w:b/>
          <w:bCs/>
          <w:color w:val="auto"/>
          <w:sz w:val="30"/>
          <w:szCs w:val="30"/>
          <w:lang w:eastAsia="zh-CN"/>
        </w:rPr>
        <w:t>2025-ZYCG-33</w:t>
      </w:r>
      <w:bookmarkEnd w:id="1010"/>
    </w:p>
    <w:p w14:paraId="5113027B">
      <w:pPr>
        <w:pStyle w:val="17"/>
        <w:spacing w:line="360" w:lineRule="auto"/>
        <w:jc w:val="center"/>
        <w:outlineLvl w:val="0"/>
        <w:rPr>
          <w:rFonts w:hint="eastAsia" w:asciiTheme="majorEastAsia" w:hAnsiTheme="majorEastAsia" w:eastAsiaTheme="majorEastAsia"/>
          <w:b/>
          <w:bCs/>
          <w:color w:val="auto"/>
          <w:sz w:val="32"/>
          <w:szCs w:val="32"/>
          <w:highlight w:val="none"/>
        </w:rPr>
      </w:pPr>
      <w:bookmarkStart w:id="1011" w:name="_Toc13153"/>
      <w:bookmarkStart w:id="1012" w:name="_Toc8024"/>
      <w:r>
        <w:rPr>
          <w:rFonts w:hint="eastAsia" w:asciiTheme="majorEastAsia" w:hAnsiTheme="majorEastAsia" w:eastAsiaTheme="majorEastAsia"/>
          <w:b/>
          <w:bCs/>
          <w:color w:val="auto"/>
          <w:sz w:val="32"/>
          <w:szCs w:val="32"/>
          <w:highlight w:val="none"/>
        </w:rPr>
        <w:t>（政采云项目编号：</w:t>
      </w:r>
      <w:r>
        <w:rPr>
          <w:rFonts w:hint="eastAsia" w:asciiTheme="majorEastAsia" w:hAnsiTheme="majorEastAsia" w:eastAsiaTheme="majorEastAsia"/>
          <w:b/>
          <w:bCs/>
          <w:color w:val="auto"/>
          <w:sz w:val="32"/>
          <w:szCs w:val="32"/>
          <w:highlight w:val="none"/>
          <w:lang w:eastAsia="zh-CN"/>
        </w:rPr>
        <w:t>PEZC2025-C2-01363-PESP-0124</w:t>
      </w:r>
      <w:r>
        <w:rPr>
          <w:rFonts w:hint="eastAsia" w:asciiTheme="majorEastAsia" w:hAnsiTheme="majorEastAsia" w:eastAsiaTheme="majorEastAsia"/>
          <w:b/>
          <w:bCs/>
          <w:color w:val="auto"/>
          <w:sz w:val="32"/>
          <w:szCs w:val="32"/>
          <w:highlight w:val="none"/>
        </w:rPr>
        <w:t>）</w:t>
      </w:r>
      <w:bookmarkEnd w:id="1011"/>
      <w:bookmarkEnd w:id="1012"/>
    </w:p>
    <w:p w14:paraId="31B01766">
      <w:pPr>
        <w:pStyle w:val="12"/>
        <w:shd w:val="clear"/>
        <w:rPr>
          <w:rFonts w:hint="eastAsia" w:ascii="宋体" w:hAnsi="宋体" w:eastAsia="宋体" w:cs="宋体"/>
          <w:b w:val="0"/>
          <w:bCs w:val="0"/>
          <w:color w:val="auto"/>
          <w:sz w:val="30"/>
          <w:szCs w:val="30"/>
        </w:rPr>
      </w:pPr>
    </w:p>
    <w:p w14:paraId="2F7EF0F8">
      <w:pPr>
        <w:rPr>
          <w:rFonts w:hint="eastAsia" w:ascii="宋体" w:hAnsi="宋体" w:eastAsia="宋体" w:cs="宋体"/>
          <w:color w:val="auto"/>
        </w:rPr>
      </w:pPr>
    </w:p>
    <w:p w14:paraId="1563FE09">
      <w:pPr>
        <w:pStyle w:val="32"/>
        <w:shd w:val="clear"/>
        <w:ind w:firstLine="0" w:firstLineChars="0"/>
        <w:rPr>
          <w:rFonts w:hint="eastAsia" w:ascii="宋体" w:hAnsi="宋体" w:eastAsia="宋体" w:cs="宋体"/>
          <w:b w:val="0"/>
          <w:bCs w:val="0"/>
          <w:color w:val="auto"/>
          <w:sz w:val="30"/>
          <w:szCs w:val="30"/>
        </w:rPr>
      </w:pPr>
    </w:p>
    <w:p w14:paraId="14A4A4F4">
      <w:pPr>
        <w:pStyle w:val="31"/>
        <w:rPr>
          <w:rFonts w:hint="eastAsia"/>
          <w:color w:val="auto"/>
        </w:rPr>
      </w:pPr>
    </w:p>
    <w:p w14:paraId="16353866">
      <w:pPr>
        <w:spacing w:line="480" w:lineRule="auto"/>
        <w:ind w:firstLine="280" w:firstLineChars="100"/>
        <w:outlineLvl w:val="9"/>
        <w:rPr>
          <w:rFonts w:hint="eastAsia" w:ascii="宋体" w:hAnsi="宋体" w:eastAsia="宋体" w:cs="宋体"/>
          <w:b w:val="0"/>
          <w:bCs w:val="0"/>
          <w:color w:val="auto"/>
          <w:kern w:val="0"/>
          <w:sz w:val="28"/>
          <w:szCs w:val="28"/>
          <w:highlight w:val="none"/>
          <w:u w:val="single"/>
        </w:rPr>
      </w:pPr>
      <w:r>
        <w:rPr>
          <w:rFonts w:hint="eastAsia" w:ascii="宋体" w:hAnsi="宋体" w:cs="宋体"/>
          <w:b w:val="0"/>
          <w:bCs w:val="0"/>
          <w:color w:val="auto"/>
          <w:kern w:val="0"/>
          <w:sz w:val="28"/>
          <w:szCs w:val="28"/>
          <w:highlight w:val="none"/>
          <w:lang w:eastAsia="zh-CN"/>
        </w:rPr>
        <w:t>供应</w:t>
      </w:r>
      <w:r>
        <w:rPr>
          <w:rFonts w:hint="eastAsia" w:ascii="宋体" w:hAnsi="宋体" w:eastAsia="宋体" w:cs="宋体"/>
          <w:b w:val="0"/>
          <w:bCs w:val="0"/>
          <w:color w:val="auto"/>
          <w:kern w:val="0"/>
          <w:sz w:val="28"/>
          <w:szCs w:val="28"/>
          <w:highlight w:val="none"/>
          <w:lang w:eastAsia="zh-CN"/>
        </w:rPr>
        <w:t>商（加盖公章）</w:t>
      </w:r>
      <w:r>
        <w:rPr>
          <w:rFonts w:hint="eastAsia" w:ascii="宋体" w:hAnsi="宋体" w:eastAsia="宋体" w:cs="宋体"/>
          <w:b w:val="0"/>
          <w:bCs w:val="0"/>
          <w:color w:val="auto"/>
          <w:kern w:val="0"/>
          <w:sz w:val="28"/>
          <w:szCs w:val="28"/>
          <w:highlight w:val="none"/>
        </w:rPr>
        <w:t>：</w:t>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 xml:space="preserve">         </w:t>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 xml:space="preserve">  </w:t>
      </w:r>
      <w:r>
        <w:rPr>
          <w:rFonts w:hint="eastAsia" w:ascii="宋体" w:hAnsi="宋体" w:eastAsia="宋体" w:cs="宋体"/>
          <w:b w:val="0"/>
          <w:bCs w:val="0"/>
          <w:color w:val="auto"/>
          <w:kern w:val="0"/>
          <w:sz w:val="28"/>
          <w:szCs w:val="28"/>
          <w:highlight w:val="none"/>
        </w:rPr>
        <w:t xml:space="preserve"> </w:t>
      </w:r>
    </w:p>
    <w:p w14:paraId="358B461C">
      <w:pPr>
        <w:pStyle w:val="17"/>
        <w:spacing w:line="480" w:lineRule="auto"/>
        <w:ind w:firstLine="280" w:firstLineChars="100"/>
        <w:outlineLvl w:val="9"/>
        <w:rPr>
          <w:rFonts w:hint="eastAsia" w:ascii="宋体" w:hAnsi="宋体" w:eastAsia="宋体" w:cs="宋体"/>
          <w:b w:val="0"/>
          <w:bCs w:val="0"/>
          <w:color w:val="auto"/>
          <w:kern w:val="0"/>
          <w:sz w:val="28"/>
          <w:szCs w:val="28"/>
          <w:highlight w:val="none"/>
        </w:rPr>
      </w:pPr>
      <w:r>
        <w:rPr>
          <w:rFonts w:hint="eastAsia" w:ascii="宋体" w:hAnsi="宋体" w:eastAsia="宋体" w:cs="宋体"/>
          <w:b w:val="0"/>
          <w:bCs w:val="0"/>
          <w:color w:val="auto"/>
          <w:kern w:val="0"/>
          <w:sz w:val="28"/>
          <w:szCs w:val="28"/>
          <w:highlight w:val="none"/>
        </w:rPr>
        <w:t>法定代表</w:t>
      </w:r>
      <w:r>
        <w:rPr>
          <w:rFonts w:hint="eastAsia" w:ascii="宋体" w:hAnsi="宋体" w:eastAsia="宋体" w:cs="宋体"/>
          <w:b w:val="0"/>
          <w:bCs w:val="0"/>
          <w:color w:val="auto"/>
          <w:kern w:val="0"/>
          <w:sz w:val="28"/>
          <w:szCs w:val="28"/>
          <w:highlight w:val="none"/>
          <w:lang w:val="en-US" w:eastAsia="zh-CN" w:bidi="ar-SA"/>
        </w:rPr>
        <w:t>人（签字或盖章）</w:t>
      </w:r>
      <w:r>
        <w:rPr>
          <w:rFonts w:hint="eastAsia" w:ascii="宋体" w:hAnsi="宋体" w:eastAsia="宋体" w:cs="宋体"/>
          <w:b w:val="0"/>
          <w:bCs w:val="0"/>
          <w:color w:val="auto"/>
          <w:kern w:val="0"/>
          <w:sz w:val="28"/>
          <w:szCs w:val="28"/>
          <w:highlight w:val="none"/>
        </w:rPr>
        <w:t>：</w:t>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p>
    <w:p w14:paraId="37023018">
      <w:pPr>
        <w:spacing w:line="480" w:lineRule="auto"/>
        <w:ind w:firstLine="280" w:firstLineChars="100"/>
        <w:outlineLvl w:val="9"/>
        <w:rPr>
          <w:rFonts w:hint="eastAsia" w:ascii="宋体" w:hAnsi="宋体" w:eastAsia="宋体" w:cs="宋体"/>
          <w:b w:val="0"/>
          <w:bCs w:val="0"/>
          <w:color w:val="auto"/>
          <w:kern w:val="0"/>
          <w:sz w:val="28"/>
          <w:szCs w:val="28"/>
          <w:highlight w:val="none"/>
          <w:u w:val="single"/>
        </w:rPr>
      </w:pPr>
      <w:r>
        <w:rPr>
          <w:rFonts w:hint="eastAsia" w:ascii="宋体" w:hAnsi="宋体" w:eastAsia="宋体" w:cs="宋体"/>
          <w:b w:val="0"/>
          <w:bCs w:val="0"/>
          <w:color w:val="auto"/>
          <w:kern w:val="0"/>
          <w:sz w:val="28"/>
          <w:szCs w:val="28"/>
          <w:highlight w:val="none"/>
        </w:rPr>
        <w:t>公司地址：</w:t>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p>
    <w:p w14:paraId="345E2961">
      <w:pPr>
        <w:spacing w:line="480" w:lineRule="auto"/>
        <w:ind w:firstLine="280" w:firstLineChars="100"/>
        <w:outlineLvl w:val="9"/>
        <w:rPr>
          <w:rFonts w:hint="eastAsia" w:ascii="宋体" w:hAnsi="宋体" w:eastAsia="宋体" w:cs="宋体"/>
          <w:b w:val="0"/>
          <w:bCs w:val="0"/>
          <w:color w:val="auto"/>
          <w:kern w:val="0"/>
          <w:sz w:val="28"/>
          <w:szCs w:val="28"/>
          <w:highlight w:val="none"/>
          <w:u w:val="single"/>
        </w:rPr>
      </w:pPr>
      <w:r>
        <w:rPr>
          <w:rFonts w:hint="eastAsia" w:ascii="宋体" w:hAnsi="宋体" w:eastAsia="宋体" w:cs="宋体"/>
          <w:b w:val="0"/>
          <w:bCs w:val="0"/>
          <w:color w:val="auto"/>
          <w:kern w:val="0"/>
          <w:sz w:val="28"/>
          <w:szCs w:val="28"/>
          <w:highlight w:val="none"/>
        </w:rPr>
        <w:t>联系人：</w:t>
      </w:r>
      <w:r>
        <w:rPr>
          <w:rFonts w:hint="eastAsia" w:ascii="宋体" w:hAnsi="宋体" w:eastAsia="宋体" w:cs="宋体"/>
          <w:b w:val="0"/>
          <w:bCs w:val="0"/>
          <w:color w:val="auto"/>
          <w:kern w:val="0"/>
          <w:sz w:val="28"/>
          <w:szCs w:val="28"/>
          <w:highlight w:val="none"/>
          <w:u w:val="single"/>
        </w:rPr>
        <w:t xml:space="preserve">                 </w:t>
      </w:r>
      <w:r>
        <w:rPr>
          <w:rFonts w:hint="eastAsia" w:ascii="宋体" w:hAnsi="宋体" w:eastAsia="宋体" w:cs="宋体"/>
          <w:b w:val="0"/>
          <w:bCs w:val="0"/>
          <w:color w:val="auto"/>
          <w:kern w:val="0"/>
          <w:sz w:val="28"/>
          <w:szCs w:val="28"/>
          <w:highlight w:val="none"/>
        </w:rPr>
        <w:t>联系电话：</w:t>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r>
        <w:rPr>
          <w:rFonts w:hint="eastAsia" w:ascii="宋体" w:hAnsi="宋体" w:eastAsia="宋体" w:cs="宋体"/>
          <w:b w:val="0"/>
          <w:bCs w:val="0"/>
          <w:color w:val="auto"/>
          <w:kern w:val="0"/>
          <w:sz w:val="28"/>
          <w:szCs w:val="28"/>
          <w:highlight w:val="none"/>
          <w:u w:val="single"/>
        </w:rPr>
        <w:tab/>
      </w:r>
    </w:p>
    <w:p w14:paraId="075381E5">
      <w:pPr>
        <w:pStyle w:val="65"/>
        <w:pageBreakBefore w:val="0"/>
        <w:widowControl w:val="0"/>
        <w:numPr>
          <w:ilvl w:val="0"/>
          <w:numId w:val="0"/>
        </w:numPr>
        <w:tabs>
          <w:tab w:val="left" w:pos="1053"/>
        </w:tabs>
        <w:kinsoku/>
        <w:wordWrap/>
        <w:overflowPunct/>
        <w:topLinePunct w:val="0"/>
        <w:autoSpaceDE w:val="0"/>
        <w:autoSpaceDN w:val="0"/>
        <w:bidi w:val="0"/>
        <w:adjustRightInd/>
        <w:snapToGrid/>
        <w:spacing w:before="158" w:line="360" w:lineRule="auto"/>
        <w:jc w:val="center"/>
        <w:textAlignment w:val="auto"/>
        <w:rPr>
          <w:rFonts w:hint="eastAsia" w:ascii="宋体" w:hAnsi="宋体" w:eastAsia="宋体" w:cs="宋体"/>
          <w:b w:val="0"/>
          <w:bCs w:val="0"/>
          <w:color w:val="auto"/>
          <w:kern w:val="0"/>
          <w:sz w:val="28"/>
          <w:szCs w:val="28"/>
          <w:highlight w:val="none"/>
        </w:rPr>
      </w:pPr>
      <w:r>
        <w:rPr>
          <w:rFonts w:hint="eastAsia" w:ascii="宋体" w:hAnsi="宋体" w:eastAsia="宋体" w:cs="宋体"/>
          <w:b w:val="0"/>
          <w:bCs w:val="0"/>
          <w:color w:val="auto"/>
          <w:kern w:val="0"/>
          <w:sz w:val="28"/>
          <w:szCs w:val="28"/>
          <w:highlight w:val="none"/>
        </w:rPr>
        <w:t>日</w:t>
      </w:r>
      <w:r>
        <w:rPr>
          <w:rFonts w:hint="eastAsia" w:ascii="宋体" w:hAnsi="宋体" w:eastAsia="宋体" w:cs="宋体"/>
          <w:b w:val="0"/>
          <w:bCs w:val="0"/>
          <w:color w:val="auto"/>
          <w:kern w:val="0"/>
          <w:sz w:val="28"/>
          <w:szCs w:val="28"/>
          <w:highlight w:val="none"/>
          <w:lang w:val="en-US" w:eastAsia="zh-CN"/>
        </w:rPr>
        <w:t xml:space="preserve">   </w:t>
      </w:r>
      <w:r>
        <w:rPr>
          <w:rFonts w:hint="eastAsia" w:ascii="宋体" w:hAnsi="宋体" w:eastAsia="宋体" w:cs="宋体"/>
          <w:b w:val="0"/>
          <w:bCs w:val="0"/>
          <w:color w:val="auto"/>
          <w:kern w:val="0"/>
          <w:sz w:val="28"/>
          <w:szCs w:val="28"/>
          <w:highlight w:val="none"/>
        </w:rPr>
        <w:t>期：</w:t>
      </w:r>
      <w:r>
        <w:rPr>
          <w:rFonts w:hint="eastAsia" w:ascii="宋体" w:hAnsi="宋体" w:eastAsia="宋体" w:cs="宋体"/>
          <w:b w:val="0"/>
          <w:bCs w:val="0"/>
          <w:color w:val="auto"/>
          <w:kern w:val="0"/>
          <w:sz w:val="28"/>
          <w:szCs w:val="28"/>
          <w:highlight w:val="none"/>
          <w:u w:val="single"/>
        </w:rPr>
        <w:t xml:space="preserve">      </w:t>
      </w:r>
      <w:r>
        <w:rPr>
          <w:rFonts w:hint="eastAsia" w:ascii="宋体" w:hAnsi="宋体" w:eastAsia="宋体" w:cs="宋体"/>
          <w:b w:val="0"/>
          <w:bCs w:val="0"/>
          <w:color w:val="auto"/>
          <w:kern w:val="0"/>
          <w:sz w:val="28"/>
          <w:szCs w:val="28"/>
          <w:highlight w:val="none"/>
        </w:rPr>
        <w:t>年</w:t>
      </w:r>
      <w:r>
        <w:rPr>
          <w:rFonts w:hint="eastAsia" w:ascii="宋体" w:hAnsi="宋体" w:eastAsia="宋体" w:cs="宋体"/>
          <w:b w:val="0"/>
          <w:bCs w:val="0"/>
          <w:color w:val="auto"/>
          <w:kern w:val="0"/>
          <w:sz w:val="28"/>
          <w:szCs w:val="28"/>
          <w:highlight w:val="none"/>
          <w:u w:val="single"/>
        </w:rPr>
        <w:t xml:space="preserve">     </w:t>
      </w:r>
      <w:r>
        <w:rPr>
          <w:rFonts w:hint="eastAsia" w:ascii="宋体" w:hAnsi="宋体" w:eastAsia="宋体" w:cs="宋体"/>
          <w:b w:val="0"/>
          <w:bCs w:val="0"/>
          <w:color w:val="auto"/>
          <w:kern w:val="0"/>
          <w:sz w:val="28"/>
          <w:szCs w:val="28"/>
          <w:highlight w:val="none"/>
        </w:rPr>
        <w:t>月</w:t>
      </w:r>
      <w:r>
        <w:rPr>
          <w:rFonts w:hint="eastAsia" w:ascii="宋体" w:hAnsi="宋体" w:eastAsia="宋体" w:cs="宋体"/>
          <w:b w:val="0"/>
          <w:bCs w:val="0"/>
          <w:color w:val="auto"/>
          <w:kern w:val="0"/>
          <w:sz w:val="28"/>
          <w:szCs w:val="28"/>
          <w:highlight w:val="none"/>
          <w:u w:val="single"/>
        </w:rPr>
        <w:t xml:space="preserve">     </w:t>
      </w:r>
      <w:r>
        <w:rPr>
          <w:rFonts w:hint="eastAsia" w:ascii="宋体" w:hAnsi="宋体" w:eastAsia="宋体" w:cs="宋体"/>
          <w:b w:val="0"/>
          <w:bCs w:val="0"/>
          <w:color w:val="auto"/>
          <w:kern w:val="0"/>
          <w:sz w:val="28"/>
          <w:szCs w:val="28"/>
          <w:highlight w:val="none"/>
        </w:rPr>
        <w:t>日</w:t>
      </w:r>
    </w:p>
    <w:p w14:paraId="0B63890E">
      <w:pPr>
        <w:pStyle w:val="65"/>
        <w:pageBreakBefore w:val="0"/>
        <w:widowControl w:val="0"/>
        <w:numPr>
          <w:ilvl w:val="0"/>
          <w:numId w:val="0"/>
        </w:numPr>
        <w:tabs>
          <w:tab w:val="left" w:pos="1053"/>
        </w:tabs>
        <w:kinsoku/>
        <w:wordWrap/>
        <w:overflowPunct/>
        <w:topLinePunct w:val="0"/>
        <w:autoSpaceDE w:val="0"/>
        <w:autoSpaceDN w:val="0"/>
        <w:bidi w:val="0"/>
        <w:adjustRightInd/>
        <w:snapToGrid/>
        <w:spacing w:before="158" w:line="360" w:lineRule="auto"/>
        <w:jc w:val="center"/>
        <w:textAlignment w:val="auto"/>
        <w:rPr>
          <w:rFonts w:hint="eastAsia" w:ascii="宋体" w:hAnsi="宋体" w:eastAsia="宋体" w:cs="宋体"/>
          <w:b w:val="0"/>
          <w:bCs w:val="0"/>
          <w:color w:val="auto"/>
          <w:kern w:val="0"/>
          <w:sz w:val="28"/>
          <w:szCs w:val="28"/>
          <w:highlight w:val="none"/>
        </w:rPr>
      </w:pPr>
    </w:p>
    <w:p w14:paraId="521DCEF6">
      <w:pPr>
        <w:pStyle w:val="65"/>
        <w:pageBreakBefore w:val="0"/>
        <w:widowControl w:val="0"/>
        <w:numPr>
          <w:ilvl w:val="0"/>
          <w:numId w:val="0"/>
        </w:numPr>
        <w:tabs>
          <w:tab w:val="left" w:pos="1053"/>
        </w:tabs>
        <w:kinsoku/>
        <w:wordWrap/>
        <w:overflowPunct/>
        <w:topLinePunct w:val="0"/>
        <w:autoSpaceDE w:val="0"/>
        <w:autoSpaceDN w:val="0"/>
        <w:bidi w:val="0"/>
        <w:adjustRightInd/>
        <w:snapToGrid/>
        <w:spacing w:before="158" w:line="360" w:lineRule="auto"/>
        <w:jc w:val="center"/>
        <w:textAlignment w:val="auto"/>
        <w:rPr>
          <w:rFonts w:hint="eastAsia" w:ascii="宋体" w:hAnsi="宋体" w:eastAsia="宋体" w:cs="宋体"/>
          <w:b w:val="0"/>
          <w:bCs w:val="0"/>
          <w:color w:val="auto"/>
          <w:kern w:val="0"/>
          <w:sz w:val="28"/>
          <w:szCs w:val="28"/>
          <w:highlight w:val="none"/>
        </w:rPr>
      </w:pPr>
    </w:p>
    <w:p w14:paraId="063C3C87">
      <w:pPr>
        <w:pStyle w:val="65"/>
        <w:pageBreakBefore w:val="0"/>
        <w:widowControl w:val="0"/>
        <w:numPr>
          <w:ilvl w:val="0"/>
          <w:numId w:val="0"/>
        </w:numPr>
        <w:tabs>
          <w:tab w:val="left" w:pos="1053"/>
        </w:tabs>
        <w:kinsoku/>
        <w:wordWrap/>
        <w:overflowPunct/>
        <w:topLinePunct w:val="0"/>
        <w:autoSpaceDE w:val="0"/>
        <w:autoSpaceDN w:val="0"/>
        <w:bidi w:val="0"/>
        <w:adjustRightInd/>
        <w:snapToGrid/>
        <w:spacing w:before="158" w:line="360" w:lineRule="auto"/>
        <w:jc w:val="center"/>
        <w:textAlignment w:val="auto"/>
        <w:rPr>
          <w:rFonts w:hint="eastAsia" w:ascii="宋体" w:hAnsi="宋体" w:eastAsia="宋体" w:cs="宋体"/>
          <w:color w:val="auto"/>
          <w:sz w:val="24"/>
          <w:szCs w:val="24"/>
        </w:rPr>
      </w:pPr>
      <w:r>
        <w:rPr>
          <w:rFonts w:hint="eastAsia" w:ascii="宋体" w:hAnsi="宋体" w:eastAsia="宋体" w:cs="宋体"/>
          <w:b/>
          <w:bCs/>
          <w:color w:val="auto"/>
          <w:sz w:val="32"/>
          <w:szCs w:val="32"/>
          <w:lang w:eastAsia="zh-CN"/>
        </w:rPr>
        <w:t>开标</w:t>
      </w:r>
      <w:r>
        <w:rPr>
          <w:rFonts w:hint="eastAsia" w:ascii="宋体" w:hAnsi="宋体" w:eastAsia="宋体" w:cs="宋体"/>
          <w:b/>
          <w:bCs/>
          <w:color w:val="auto"/>
          <w:sz w:val="32"/>
          <w:szCs w:val="32"/>
        </w:rPr>
        <w:t>一览表</w:t>
      </w:r>
    </w:p>
    <w:p w14:paraId="49171DEB">
      <w:pPr>
        <w:adjustRightInd w:val="0"/>
        <w:snapToGrid w:val="0"/>
        <w:ind w:firstLine="480" w:firstLineChars="200"/>
        <w:rPr>
          <w:sz w:val="24"/>
          <w:szCs w:val="24"/>
        </w:rPr>
      </w:pPr>
      <w:r>
        <w:rPr>
          <w:rFonts w:hint="eastAsia"/>
          <w:sz w:val="24"/>
          <w:szCs w:val="24"/>
        </w:rPr>
        <w:t>项目名称：</w:t>
      </w:r>
    </w:p>
    <w:p w14:paraId="75FCFCA1">
      <w:pPr>
        <w:pStyle w:val="12"/>
        <w:spacing w:before="6" w:after="1"/>
        <w:ind w:firstLine="480" w:firstLineChars="200"/>
        <w:rPr>
          <w:rFonts w:hint="eastAsia"/>
          <w:sz w:val="24"/>
          <w:szCs w:val="24"/>
        </w:rPr>
      </w:pPr>
      <w:r>
        <w:rPr>
          <w:rFonts w:hint="eastAsia"/>
          <w:sz w:val="24"/>
          <w:szCs w:val="24"/>
          <w:lang w:eastAsia="zh-CN"/>
        </w:rPr>
        <w:t>招标编号</w:t>
      </w:r>
      <w:r>
        <w:rPr>
          <w:rFonts w:hint="eastAsia"/>
          <w:sz w:val="24"/>
          <w:szCs w:val="24"/>
        </w:rPr>
        <w:t>：</w:t>
      </w:r>
    </w:p>
    <w:tbl>
      <w:tblPr>
        <w:tblStyle w:val="33"/>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1395"/>
        <w:gridCol w:w="1395"/>
        <w:gridCol w:w="1395"/>
        <w:gridCol w:w="1718"/>
        <w:gridCol w:w="1926"/>
      </w:tblGrid>
      <w:tr w14:paraId="13B5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0" w:type="auto"/>
            <w:vAlign w:val="center"/>
          </w:tcPr>
          <w:p w14:paraId="75993BDD">
            <w:pPr>
              <w:spacing w:line="360" w:lineRule="auto"/>
              <w:jc w:val="center"/>
              <w:rPr>
                <w:b/>
                <w:sz w:val="24"/>
              </w:rPr>
            </w:pPr>
            <w:r>
              <w:rPr>
                <w:rFonts w:hint="eastAsia"/>
                <w:b/>
                <w:sz w:val="24"/>
              </w:rPr>
              <w:t>项目名称</w:t>
            </w:r>
          </w:p>
        </w:tc>
        <w:tc>
          <w:tcPr>
            <w:tcW w:w="0" w:type="auto"/>
            <w:vAlign w:val="center"/>
          </w:tcPr>
          <w:p w14:paraId="4B1F2998">
            <w:pPr>
              <w:spacing w:line="360" w:lineRule="auto"/>
              <w:jc w:val="center"/>
              <w:rPr>
                <w:b/>
                <w:sz w:val="24"/>
              </w:rPr>
            </w:pPr>
            <w:r>
              <w:rPr>
                <w:rFonts w:hint="eastAsia"/>
                <w:b/>
                <w:sz w:val="24"/>
              </w:rPr>
              <w:t>施工范围</w:t>
            </w:r>
          </w:p>
        </w:tc>
        <w:tc>
          <w:tcPr>
            <w:tcW w:w="0" w:type="auto"/>
            <w:vAlign w:val="center"/>
          </w:tcPr>
          <w:p w14:paraId="058B76DA">
            <w:pPr>
              <w:spacing w:line="360" w:lineRule="auto"/>
              <w:jc w:val="center"/>
              <w:rPr>
                <w:b/>
                <w:sz w:val="24"/>
              </w:rPr>
            </w:pPr>
            <w:r>
              <w:rPr>
                <w:rFonts w:hint="eastAsia"/>
                <w:b/>
                <w:sz w:val="24"/>
              </w:rPr>
              <w:t>施工工期</w:t>
            </w:r>
          </w:p>
        </w:tc>
        <w:tc>
          <w:tcPr>
            <w:tcW w:w="0" w:type="auto"/>
            <w:vAlign w:val="center"/>
          </w:tcPr>
          <w:p w14:paraId="525B3960">
            <w:pPr>
              <w:spacing w:line="360" w:lineRule="auto"/>
              <w:jc w:val="center"/>
              <w:rPr>
                <w:b/>
                <w:sz w:val="24"/>
              </w:rPr>
            </w:pPr>
            <w:r>
              <w:rPr>
                <w:rFonts w:hint="eastAsia"/>
                <w:b/>
                <w:sz w:val="24"/>
              </w:rPr>
              <w:t>项目经理</w:t>
            </w:r>
          </w:p>
        </w:tc>
        <w:tc>
          <w:tcPr>
            <w:tcW w:w="1718" w:type="dxa"/>
            <w:vAlign w:val="center"/>
          </w:tcPr>
          <w:p w14:paraId="10B4E9DA">
            <w:pPr>
              <w:spacing w:line="360" w:lineRule="auto"/>
              <w:jc w:val="both"/>
              <w:rPr>
                <w:rFonts w:hint="eastAsia" w:eastAsia="宋体"/>
                <w:b/>
                <w:sz w:val="24"/>
                <w:lang w:eastAsia="zh-CN"/>
              </w:rPr>
            </w:pPr>
            <w:r>
              <w:rPr>
                <w:rFonts w:hint="eastAsia"/>
                <w:b/>
                <w:sz w:val="24"/>
              </w:rPr>
              <w:t>执业证书</w:t>
            </w:r>
            <w:r>
              <w:rPr>
                <w:rFonts w:hint="eastAsia"/>
                <w:b/>
                <w:sz w:val="24"/>
                <w:lang w:eastAsia="zh-CN"/>
              </w:rPr>
              <w:t>号</w:t>
            </w:r>
          </w:p>
        </w:tc>
        <w:tc>
          <w:tcPr>
            <w:tcW w:w="1926" w:type="dxa"/>
            <w:vAlign w:val="center"/>
          </w:tcPr>
          <w:p w14:paraId="7A1506E1">
            <w:pPr>
              <w:spacing w:line="360" w:lineRule="auto"/>
              <w:jc w:val="center"/>
              <w:rPr>
                <w:b/>
                <w:sz w:val="24"/>
              </w:rPr>
            </w:pPr>
            <w:r>
              <w:rPr>
                <w:rFonts w:hint="eastAsia"/>
                <w:b/>
                <w:sz w:val="24"/>
              </w:rPr>
              <w:t>备注（如果有）</w:t>
            </w:r>
          </w:p>
        </w:tc>
      </w:tr>
      <w:tr w14:paraId="6CD44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0" w:type="auto"/>
            <w:vAlign w:val="center"/>
          </w:tcPr>
          <w:p w14:paraId="45D2AE3F">
            <w:pPr>
              <w:snapToGrid w:val="0"/>
              <w:spacing w:line="360" w:lineRule="auto"/>
              <w:jc w:val="center"/>
              <w:rPr>
                <w:sz w:val="24"/>
              </w:rPr>
            </w:pPr>
          </w:p>
        </w:tc>
        <w:tc>
          <w:tcPr>
            <w:tcW w:w="0" w:type="auto"/>
            <w:vAlign w:val="center"/>
          </w:tcPr>
          <w:p w14:paraId="3E7382E6">
            <w:pPr>
              <w:snapToGrid w:val="0"/>
              <w:spacing w:line="360" w:lineRule="auto"/>
              <w:jc w:val="center"/>
              <w:rPr>
                <w:sz w:val="24"/>
              </w:rPr>
            </w:pPr>
          </w:p>
        </w:tc>
        <w:tc>
          <w:tcPr>
            <w:tcW w:w="0" w:type="auto"/>
            <w:vAlign w:val="center"/>
          </w:tcPr>
          <w:p w14:paraId="70718D7D">
            <w:pPr>
              <w:snapToGrid w:val="0"/>
              <w:spacing w:line="360" w:lineRule="auto"/>
              <w:jc w:val="center"/>
              <w:rPr>
                <w:sz w:val="24"/>
              </w:rPr>
            </w:pPr>
          </w:p>
        </w:tc>
        <w:tc>
          <w:tcPr>
            <w:tcW w:w="0" w:type="auto"/>
            <w:vAlign w:val="center"/>
          </w:tcPr>
          <w:p w14:paraId="4F4DEFBE">
            <w:pPr>
              <w:spacing w:line="360" w:lineRule="auto"/>
              <w:jc w:val="center"/>
              <w:rPr>
                <w:sz w:val="24"/>
              </w:rPr>
            </w:pPr>
          </w:p>
        </w:tc>
        <w:tc>
          <w:tcPr>
            <w:tcW w:w="1718" w:type="dxa"/>
            <w:vAlign w:val="center"/>
          </w:tcPr>
          <w:p w14:paraId="7BF3251C">
            <w:pPr>
              <w:spacing w:line="360" w:lineRule="auto"/>
              <w:jc w:val="center"/>
              <w:rPr>
                <w:sz w:val="24"/>
              </w:rPr>
            </w:pPr>
          </w:p>
        </w:tc>
        <w:tc>
          <w:tcPr>
            <w:tcW w:w="1926" w:type="dxa"/>
            <w:vAlign w:val="center"/>
          </w:tcPr>
          <w:p w14:paraId="39E3A240">
            <w:pPr>
              <w:spacing w:line="360" w:lineRule="auto"/>
              <w:jc w:val="center"/>
              <w:rPr>
                <w:sz w:val="24"/>
              </w:rPr>
            </w:pPr>
          </w:p>
        </w:tc>
      </w:tr>
      <w:tr w14:paraId="327B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0" w:type="auto"/>
            <w:gridSpan w:val="3"/>
            <w:vAlign w:val="center"/>
          </w:tcPr>
          <w:p w14:paraId="27AD7EE4">
            <w:pPr>
              <w:spacing w:line="360" w:lineRule="auto"/>
              <w:jc w:val="center"/>
              <w:rPr>
                <w:b/>
                <w:sz w:val="24"/>
              </w:rPr>
            </w:pPr>
            <w:r>
              <w:rPr>
                <w:rFonts w:hint="eastAsia"/>
                <w:b/>
                <w:sz w:val="24"/>
              </w:rPr>
              <w:t>磋商报价（小写）</w:t>
            </w:r>
          </w:p>
        </w:tc>
        <w:tc>
          <w:tcPr>
            <w:tcW w:w="0" w:type="auto"/>
            <w:gridSpan w:val="3"/>
            <w:vAlign w:val="center"/>
          </w:tcPr>
          <w:p w14:paraId="45E9B96F">
            <w:pPr>
              <w:spacing w:line="360" w:lineRule="auto"/>
              <w:jc w:val="center"/>
              <w:rPr>
                <w:sz w:val="24"/>
              </w:rPr>
            </w:pPr>
          </w:p>
        </w:tc>
      </w:tr>
      <w:tr w14:paraId="031C1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0" w:type="auto"/>
            <w:gridSpan w:val="3"/>
            <w:vAlign w:val="center"/>
          </w:tcPr>
          <w:p w14:paraId="4E56C948">
            <w:pPr>
              <w:spacing w:line="360" w:lineRule="auto"/>
              <w:jc w:val="center"/>
              <w:rPr>
                <w:b/>
                <w:sz w:val="24"/>
              </w:rPr>
            </w:pPr>
            <w:r>
              <w:rPr>
                <w:rFonts w:hint="eastAsia"/>
                <w:b/>
                <w:sz w:val="24"/>
              </w:rPr>
              <w:t>磋商报价（大写）</w:t>
            </w:r>
          </w:p>
        </w:tc>
        <w:tc>
          <w:tcPr>
            <w:tcW w:w="0" w:type="auto"/>
            <w:gridSpan w:val="3"/>
            <w:vAlign w:val="center"/>
          </w:tcPr>
          <w:p w14:paraId="7274BA4D">
            <w:pPr>
              <w:spacing w:line="360" w:lineRule="auto"/>
              <w:jc w:val="center"/>
              <w:rPr>
                <w:sz w:val="24"/>
              </w:rPr>
            </w:pPr>
          </w:p>
        </w:tc>
      </w:tr>
    </w:tbl>
    <w:p w14:paraId="58D4EE0F">
      <w:pPr>
        <w:pStyle w:val="12"/>
        <w:spacing w:before="6" w:after="1"/>
        <w:ind w:firstLine="480" w:firstLineChars="200"/>
        <w:rPr>
          <w:rFonts w:hint="eastAsia" w:ascii="宋体" w:hAnsi="宋体" w:eastAsia="宋体" w:cs="宋体"/>
          <w:color w:val="auto"/>
          <w:sz w:val="24"/>
          <w:szCs w:val="24"/>
        </w:rPr>
      </w:pPr>
    </w:p>
    <w:p w14:paraId="0945B7D6">
      <w:pPr>
        <w:adjustRightInd w:val="0"/>
        <w:spacing w:line="360" w:lineRule="auto"/>
        <w:jc w:val="center"/>
        <w:textAlignment w:val="baseline"/>
        <w:outlineLvl w:val="9"/>
        <w:rPr>
          <w:rFonts w:hint="eastAsia" w:ascii="宋体" w:hAnsi="宋体" w:eastAsia="宋体" w:cs="宋体"/>
          <w:b w:val="0"/>
          <w:bCs w:val="0"/>
          <w:color w:val="auto"/>
          <w:sz w:val="24"/>
          <w:szCs w:val="24"/>
        </w:rPr>
      </w:pPr>
    </w:p>
    <w:p w14:paraId="1AEE05BA">
      <w:pPr>
        <w:keepNext w:val="0"/>
        <w:keepLines w:val="0"/>
        <w:pageBreakBefore w:val="0"/>
        <w:widowControl w:val="0"/>
        <w:shd w:val="clear"/>
        <w:kinsoku/>
        <w:wordWrap/>
        <w:overflowPunct/>
        <w:topLinePunct w:val="0"/>
        <w:autoSpaceDE w:val="0"/>
        <w:autoSpaceDN w:val="0"/>
        <w:bidi w:val="0"/>
        <w:adjustRightInd/>
        <w:snapToGrid/>
        <w:spacing w:line="360" w:lineRule="auto"/>
        <w:ind w:firstLine="480" w:firstLineChars="200"/>
        <w:jc w:val="center"/>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cs="宋体"/>
          <w:color w:val="auto"/>
          <w:sz w:val="24"/>
          <w:szCs w:val="24"/>
          <w:lang w:val="en-US" w:eastAsia="zh-CN"/>
        </w:rPr>
        <w:t>名</w:t>
      </w:r>
      <w:r>
        <w:rPr>
          <w:rFonts w:hint="eastAsia" w:ascii="宋体" w:hAnsi="宋体" w:eastAsia="宋体" w:cs="宋体"/>
          <w:color w:val="auto"/>
          <w:sz w:val="24"/>
          <w:szCs w:val="24"/>
          <w:lang w:val="en-US" w:eastAsia="zh-CN"/>
        </w:rPr>
        <w:t>称</w:t>
      </w:r>
      <w:r>
        <w:rPr>
          <w:rFonts w:hint="eastAsia" w:ascii="宋体" w:hAnsi="宋体" w:eastAsia="宋体" w:cs="宋体"/>
          <w:color w:val="auto"/>
          <w:sz w:val="24"/>
          <w:szCs w:val="24"/>
          <w:lang w:eastAsia="zh-CN"/>
        </w:rPr>
        <w:t>（加盖公章）</w:t>
      </w:r>
      <w:r>
        <w:rPr>
          <w:rFonts w:hint="eastAsia" w:cs="宋体"/>
          <w:color w:val="auto"/>
          <w:sz w:val="24"/>
          <w:szCs w:val="24"/>
          <w:lang w:eastAsia="zh-CN"/>
        </w:rPr>
        <w:t>：</w:t>
      </w:r>
      <w:r>
        <w:rPr>
          <w:rFonts w:hint="eastAsia" w:cs="宋体"/>
          <w:color w:val="auto"/>
          <w:sz w:val="24"/>
          <w:szCs w:val="24"/>
          <w:u w:val="single"/>
          <w:lang w:val="en-US" w:eastAsia="zh-CN"/>
        </w:rPr>
        <w:t xml:space="preserve">             </w:t>
      </w:r>
    </w:p>
    <w:p w14:paraId="1445FB08">
      <w:pPr>
        <w:keepNext w:val="0"/>
        <w:keepLines w:val="0"/>
        <w:pageBreakBefore w:val="0"/>
        <w:widowControl w:val="0"/>
        <w:shd w:val="clear"/>
        <w:kinsoku/>
        <w:wordWrap/>
        <w:overflowPunct/>
        <w:topLinePunct w:val="0"/>
        <w:autoSpaceDE w:val="0"/>
        <w:autoSpaceDN w:val="0"/>
        <w:bidi w:val="0"/>
        <w:adjustRightInd/>
        <w:snapToGrid/>
        <w:spacing w:before="60" w:after="60" w:line="360" w:lineRule="auto"/>
        <w:ind w:firstLine="510"/>
        <w:jc w:val="center"/>
        <w:textAlignment w:val="auto"/>
        <w:rPr>
          <w:rFonts w:hint="eastAsia" w:ascii="宋体" w:hAnsi="宋体" w:eastAsia="宋体" w:cs="宋体"/>
          <w:color w:val="auto"/>
          <w:sz w:val="24"/>
          <w:szCs w:val="24"/>
        </w:rPr>
      </w:pPr>
      <w:r>
        <w:rPr>
          <w:rFonts w:hint="eastAsia" w:cs="宋体"/>
          <w:color w:val="auto"/>
          <w:sz w:val="24"/>
          <w:szCs w:val="24"/>
          <w:lang w:val="en-US" w:eastAsia="zh-CN"/>
        </w:rPr>
        <w:t xml:space="preserve">      </w:t>
      </w:r>
      <w:r>
        <w:rPr>
          <w:rFonts w:hint="eastAsia" w:ascii="宋体" w:hAnsi="宋体" w:eastAsia="宋体" w:cs="宋体"/>
          <w:color w:val="auto"/>
          <w:sz w:val="24"/>
          <w:szCs w:val="24"/>
        </w:rPr>
        <w:t>日  期：_______年____月_____日</w:t>
      </w:r>
    </w:p>
    <w:p w14:paraId="272B1E15">
      <w:pPr>
        <w:spacing w:line="480" w:lineRule="auto"/>
        <w:ind w:firstLine="280" w:firstLineChars="100"/>
        <w:outlineLvl w:val="9"/>
        <w:rPr>
          <w:rFonts w:hint="eastAsia" w:ascii="宋体" w:hAnsi="宋体" w:eastAsia="宋体" w:cs="宋体"/>
          <w:b w:val="0"/>
          <w:bCs w:val="0"/>
          <w:color w:val="auto"/>
          <w:kern w:val="0"/>
          <w:sz w:val="28"/>
          <w:szCs w:val="28"/>
          <w:highlight w:val="none"/>
        </w:rPr>
      </w:pPr>
    </w:p>
    <w:p w14:paraId="081FB92A">
      <w:pPr>
        <w:pStyle w:val="8"/>
        <w:rPr>
          <w:rFonts w:hint="eastAsia" w:ascii="宋体" w:hAnsi="宋体" w:eastAsia="宋体" w:cs="宋体"/>
          <w:b w:val="0"/>
          <w:bCs w:val="0"/>
          <w:color w:val="auto"/>
          <w:kern w:val="0"/>
          <w:sz w:val="28"/>
          <w:szCs w:val="28"/>
          <w:highlight w:val="none"/>
        </w:rPr>
      </w:pPr>
    </w:p>
    <w:p w14:paraId="7DC71C15">
      <w:pPr>
        <w:rPr>
          <w:rFonts w:hint="eastAsia" w:ascii="宋体" w:hAnsi="宋体" w:eastAsia="宋体" w:cs="宋体"/>
          <w:b w:val="0"/>
          <w:bCs w:val="0"/>
          <w:color w:val="auto"/>
          <w:kern w:val="0"/>
          <w:sz w:val="28"/>
          <w:szCs w:val="28"/>
          <w:highlight w:val="none"/>
        </w:rPr>
      </w:pPr>
    </w:p>
    <w:p w14:paraId="0155222E">
      <w:pPr>
        <w:pStyle w:val="8"/>
        <w:rPr>
          <w:rFonts w:hint="eastAsia" w:ascii="宋体" w:hAnsi="宋体" w:eastAsia="宋体" w:cs="宋体"/>
          <w:b w:val="0"/>
          <w:bCs w:val="0"/>
          <w:color w:val="auto"/>
          <w:kern w:val="0"/>
          <w:sz w:val="28"/>
          <w:szCs w:val="28"/>
          <w:highlight w:val="none"/>
        </w:rPr>
      </w:pPr>
    </w:p>
    <w:p w14:paraId="53F60ECF">
      <w:pPr>
        <w:rPr>
          <w:rFonts w:hint="eastAsia" w:ascii="宋体" w:hAnsi="宋体" w:eastAsia="宋体" w:cs="宋体"/>
          <w:b w:val="0"/>
          <w:bCs w:val="0"/>
          <w:color w:val="auto"/>
          <w:kern w:val="0"/>
          <w:sz w:val="28"/>
          <w:szCs w:val="28"/>
          <w:highlight w:val="none"/>
        </w:rPr>
      </w:pPr>
    </w:p>
    <w:p w14:paraId="7380E97C">
      <w:pPr>
        <w:pStyle w:val="8"/>
        <w:rPr>
          <w:rFonts w:hint="eastAsia" w:ascii="宋体" w:hAnsi="宋体" w:eastAsia="宋体" w:cs="宋体"/>
          <w:b w:val="0"/>
          <w:bCs w:val="0"/>
          <w:color w:val="auto"/>
          <w:kern w:val="0"/>
          <w:sz w:val="28"/>
          <w:szCs w:val="28"/>
          <w:highlight w:val="none"/>
        </w:rPr>
      </w:pPr>
    </w:p>
    <w:p w14:paraId="053E0E83">
      <w:pPr>
        <w:rPr>
          <w:rFonts w:hint="eastAsia"/>
          <w:color w:val="auto"/>
        </w:rPr>
      </w:pPr>
    </w:p>
    <w:p w14:paraId="0A3BCDD8">
      <w:pPr>
        <w:rPr>
          <w:rFonts w:hint="eastAsia"/>
          <w:color w:val="auto"/>
        </w:rPr>
      </w:pPr>
    </w:p>
    <w:p w14:paraId="054EE564">
      <w:pPr>
        <w:rPr>
          <w:rFonts w:hint="eastAsia"/>
          <w:color w:val="auto"/>
        </w:rPr>
      </w:pPr>
    </w:p>
    <w:p w14:paraId="3530341A">
      <w:pPr>
        <w:rPr>
          <w:rFonts w:hint="eastAsia"/>
          <w:color w:val="auto"/>
        </w:rPr>
      </w:pPr>
    </w:p>
    <w:p w14:paraId="19CA6989">
      <w:pPr>
        <w:rPr>
          <w:rFonts w:hint="eastAsia"/>
          <w:color w:val="auto"/>
        </w:rPr>
      </w:pPr>
    </w:p>
    <w:p w14:paraId="15B22548">
      <w:pPr>
        <w:rPr>
          <w:rFonts w:hint="eastAsia"/>
          <w:color w:val="auto"/>
        </w:rPr>
      </w:pPr>
    </w:p>
    <w:p w14:paraId="473B0385">
      <w:pPr>
        <w:rPr>
          <w:rFonts w:hint="eastAsia"/>
          <w:color w:val="auto"/>
        </w:rPr>
      </w:pPr>
    </w:p>
    <w:p w14:paraId="3F4D0EC0">
      <w:pPr>
        <w:rPr>
          <w:rFonts w:hint="eastAsia"/>
          <w:color w:val="auto"/>
        </w:rPr>
      </w:pPr>
    </w:p>
    <w:p w14:paraId="1E47A6EF">
      <w:pPr>
        <w:rPr>
          <w:rFonts w:hint="eastAsia"/>
          <w:color w:val="auto"/>
        </w:rPr>
      </w:pPr>
    </w:p>
    <w:p w14:paraId="7145F07E">
      <w:pPr>
        <w:rPr>
          <w:rFonts w:hint="eastAsia"/>
          <w:color w:val="auto"/>
        </w:rPr>
      </w:pPr>
    </w:p>
    <w:p w14:paraId="55CCB514">
      <w:pPr>
        <w:rPr>
          <w:rFonts w:hint="eastAsia"/>
          <w:color w:val="auto"/>
        </w:rPr>
      </w:pPr>
    </w:p>
    <w:p w14:paraId="507DC941">
      <w:pPr>
        <w:rPr>
          <w:rFonts w:hint="eastAsia"/>
          <w:color w:val="auto"/>
        </w:rPr>
      </w:pPr>
    </w:p>
    <w:p w14:paraId="4539BF85">
      <w:pPr>
        <w:rPr>
          <w:rFonts w:hint="eastAsia"/>
          <w:color w:val="auto"/>
        </w:rPr>
      </w:pPr>
    </w:p>
    <w:p w14:paraId="51FE4E45">
      <w:pPr>
        <w:rPr>
          <w:rFonts w:hint="eastAsia"/>
          <w:color w:val="auto"/>
        </w:rPr>
      </w:pPr>
    </w:p>
    <w:sdt>
      <w:sdtPr>
        <w:rPr>
          <w:rFonts w:hint="eastAsia" w:ascii="宋体" w:hAnsi="宋体" w:cs="宋体"/>
          <w:b/>
          <w:bCs/>
          <w:color w:val="auto"/>
          <w:kern w:val="2"/>
          <w:sz w:val="30"/>
          <w:szCs w:val="30"/>
        </w:rPr>
        <w:id w:val="147461248"/>
        <w:placeholder>
          <w:docPart w:val="{b2672fd0-6f8a-4554-82f8-02128c92d7ed}"/>
        </w:placeholder>
      </w:sdtPr>
      <w:sdtEndPr>
        <w:rPr>
          <w:rFonts w:hint="eastAsia" w:ascii="宋体" w:hAnsi="宋体" w:cs="宋体"/>
          <w:b w:val="0"/>
          <w:bCs w:val="0"/>
          <w:color w:val="auto"/>
          <w:kern w:val="2"/>
          <w:sz w:val="24"/>
          <w:szCs w:val="24"/>
        </w:rPr>
      </w:sdtEndPr>
      <w:sdtContent>
        <w:p w14:paraId="159EB7B0">
          <w:pPr>
            <w:pStyle w:val="65"/>
            <w:numPr>
              <w:ilvl w:val="0"/>
              <w:numId w:val="0"/>
            </w:numPr>
            <w:tabs>
              <w:tab w:val="left" w:pos="813"/>
            </w:tabs>
            <w:spacing w:before="73"/>
            <w:ind w:left="440" w:leftChars="0"/>
            <w:jc w:val="center"/>
            <w:rPr>
              <w:rFonts w:hint="eastAsia" w:ascii="宋体" w:hAnsi="宋体" w:cs="宋体"/>
              <w:b w:val="0"/>
              <w:bCs w:val="0"/>
              <w:color w:val="auto"/>
              <w:kern w:val="2"/>
              <w:sz w:val="24"/>
              <w:szCs w:val="24"/>
            </w:rPr>
          </w:pPr>
          <w:r>
            <w:rPr>
              <w:rFonts w:hint="eastAsia" w:ascii="宋体" w:hAnsi="宋体" w:cs="宋体"/>
              <w:b/>
              <w:bCs/>
              <w:color w:val="auto"/>
              <w:kern w:val="2"/>
              <w:sz w:val="30"/>
              <w:szCs w:val="30"/>
              <w:lang w:eastAsia="zh-CN"/>
            </w:rPr>
            <w:t>一、</w:t>
          </w:r>
          <w:r>
            <w:rPr>
              <w:rFonts w:hint="eastAsia" w:ascii="宋体" w:hAnsi="宋体" w:cs="宋体"/>
              <w:b/>
              <w:bCs/>
              <w:color w:val="auto"/>
              <w:sz w:val="30"/>
              <w:szCs w:val="30"/>
            </w:rPr>
            <w:t>资格审查部分</w:t>
          </w:r>
        </w:p>
      </w:sdtContent>
    </w:sdt>
    <w:p w14:paraId="6FE531FA">
      <w:pPr>
        <w:pStyle w:val="65"/>
        <w:numPr>
          <w:ilvl w:val="0"/>
          <w:numId w:val="0"/>
        </w:numPr>
        <w:tabs>
          <w:tab w:val="left" w:pos="813"/>
        </w:tabs>
        <w:spacing w:before="73"/>
        <w:ind w:left="440" w:leftChars="0"/>
        <w:jc w:val="left"/>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val="en-US" w:eastAsia="zh-CN"/>
        </w:rPr>
        <w:t xml:space="preserve">1 </w:t>
      </w:r>
      <w:r>
        <w:rPr>
          <w:rFonts w:ascii="Times New Roman" w:hAnsi="Times New Roman" w:cs="Times New Roman"/>
          <w:b/>
          <w:bCs/>
          <w:color w:val="auto"/>
          <w:sz w:val="21"/>
          <w:szCs w:val="21"/>
          <w:lang w:eastAsia="zh-CN"/>
        </w:rPr>
        <w:t>满足《中华人民共和国政府采购法》第二十二条规定</w:t>
      </w:r>
    </w:p>
    <w:p w14:paraId="202C8793">
      <w:pPr>
        <w:pStyle w:val="65"/>
        <w:numPr>
          <w:ilvl w:val="1"/>
          <w:numId w:val="34"/>
        </w:numPr>
        <w:tabs>
          <w:tab w:val="left" w:pos="1053"/>
        </w:tabs>
        <w:spacing w:before="158"/>
        <w:ind w:left="440" w:leftChars="0"/>
        <w:rPr>
          <w:rFonts w:ascii="Times New Roman" w:hAnsi="Times New Roman" w:cs="Times New Roman"/>
          <w:b/>
          <w:bCs/>
          <w:color w:val="auto"/>
          <w:sz w:val="21"/>
          <w:szCs w:val="21"/>
        </w:rPr>
      </w:pPr>
      <w:r>
        <w:rPr>
          <w:rFonts w:ascii="Times New Roman" w:hAnsi="Times New Roman" w:cs="Times New Roman"/>
          <w:b/>
          <w:bCs/>
          <w:color w:val="auto"/>
          <w:sz w:val="21"/>
          <w:szCs w:val="21"/>
        </w:rPr>
        <w:t>营业执照等证明文件</w:t>
      </w:r>
    </w:p>
    <w:p w14:paraId="5FE9036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outlineLvl w:val="9"/>
        <w:rPr>
          <w:rFonts w:hint="eastAsia" w:ascii="宋体" w:hAnsi="宋体" w:eastAsia="宋体" w:cs="宋体"/>
          <w:color w:val="auto"/>
          <w:sz w:val="21"/>
          <w:szCs w:val="21"/>
          <w:highlight w:val="none"/>
        </w:rPr>
      </w:pPr>
    </w:p>
    <w:p w14:paraId="69351B31">
      <w:pPr>
        <w:pStyle w:val="65"/>
        <w:numPr>
          <w:ilvl w:val="1"/>
          <w:numId w:val="34"/>
        </w:numPr>
        <w:tabs>
          <w:tab w:val="left" w:pos="1053"/>
        </w:tabs>
        <w:spacing w:before="158"/>
        <w:ind w:left="440" w:leftChars="0"/>
        <w:rPr>
          <w:rFonts w:ascii="Times New Roman" w:hAnsi="Times New Roman" w:cs="Times New Roman"/>
          <w:color w:val="auto"/>
          <w:sz w:val="21"/>
          <w:szCs w:val="21"/>
        </w:rPr>
        <w:sectPr>
          <w:pgSz w:w="11910" w:h="16840"/>
          <w:pgMar w:top="1340" w:right="1134" w:bottom="1080" w:left="1160" w:header="879" w:footer="892" w:gutter="0"/>
          <w:pgNumType w:fmt="decimal"/>
          <w:cols w:space="720" w:num="1"/>
        </w:sectPr>
      </w:pPr>
    </w:p>
    <w:p w14:paraId="5CF10676">
      <w:pPr>
        <w:pStyle w:val="65"/>
        <w:numPr>
          <w:ilvl w:val="0"/>
          <w:numId w:val="0"/>
        </w:numPr>
        <w:tabs>
          <w:tab w:val="left" w:pos="1053"/>
        </w:tabs>
        <w:spacing w:before="158"/>
        <w:rPr>
          <w:rFonts w:ascii="Times New Roman" w:hAnsi="Times New Roman" w:eastAsia="宋体" w:cs="Times New Roman"/>
          <w:b/>
          <w:bCs/>
          <w:color w:val="auto"/>
          <w:sz w:val="24"/>
        </w:rPr>
      </w:pPr>
      <w:r>
        <w:rPr>
          <w:rFonts w:hint="eastAsia" w:ascii="Times New Roman" w:hAnsi="Times New Roman" w:eastAsia="宋体" w:cs="Times New Roman"/>
          <w:b/>
          <w:bCs/>
          <w:color w:val="auto"/>
          <w:sz w:val="24"/>
          <w:lang w:val="en-US" w:eastAsia="zh-CN"/>
        </w:rPr>
        <w:t xml:space="preserve">1-2 </w:t>
      </w:r>
      <w:r>
        <w:rPr>
          <w:rFonts w:ascii="Times New Roman" w:hAnsi="Times New Roman" w:eastAsia="宋体" w:cs="Times New Roman"/>
          <w:b/>
          <w:bCs/>
          <w:color w:val="auto"/>
          <w:sz w:val="24"/>
        </w:rPr>
        <w:t>供应商资格声明书</w:t>
      </w:r>
    </w:p>
    <w:p w14:paraId="7274B9B2">
      <w:pPr>
        <w:shd w:val="clear"/>
        <w:spacing w:line="800" w:lineRule="exact"/>
        <w:jc w:val="center"/>
        <w:outlineLvl w:val="1"/>
        <w:rPr>
          <w:rFonts w:hint="eastAsia" w:ascii="宋体" w:hAnsi="宋体" w:eastAsia="宋体" w:cs="宋体"/>
          <w:b/>
          <w:bCs/>
          <w:color w:val="auto"/>
          <w:sz w:val="32"/>
          <w:szCs w:val="32"/>
          <w:lang w:eastAsia="zh-CN"/>
        </w:rPr>
      </w:pPr>
      <w:bookmarkStart w:id="1013" w:name="_Toc29299"/>
      <w:bookmarkStart w:id="1014" w:name="_Toc12537"/>
      <w:bookmarkStart w:id="1015" w:name="_Toc3070"/>
      <w:bookmarkStart w:id="1016" w:name="_Toc13599"/>
      <w:bookmarkStart w:id="1017" w:name="_Toc28609"/>
      <w:r>
        <w:rPr>
          <w:rFonts w:hint="eastAsia" w:ascii="宋体" w:hAnsi="宋体" w:eastAsia="宋体" w:cs="宋体"/>
          <w:b/>
          <w:bCs/>
          <w:color w:val="auto"/>
          <w:sz w:val="32"/>
          <w:szCs w:val="32"/>
          <w:lang w:eastAsia="zh-CN"/>
        </w:rPr>
        <w:t>供应商资格声明书</w:t>
      </w:r>
      <w:bookmarkEnd w:id="1013"/>
      <w:bookmarkEnd w:id="1014"/>
      <w:bookmarkEnd w:id="1015"/>
      <w:bookmarkEnd w:id="1016"/>
      <w:bookmarkEnd w:id="1017"/>
    </w:p>
    <w:p w14:paraId="5FE4C108">
      <w:pPr>
        <w:spacing w:line="320" w:lineRule="exact"/>
        <w:jc w:val="center"/>
        <w:rPr>
          <w:rFonts w:hint="eastAsia" w:ascii="宋体" w:hAnsi="宋体" w:eastAsia="宋体" w:cs="宋体"/>
          <w:color w:val="auto"/>
          <w:sz w:val="24"/>
          <w:szCs w:val="20"/>
        </w:rPr>
      </w:pPr>
    </w:p>
    <w:p w14:paraId="4677AB9F">
      <w:pPr>
        <w:pStyle w:val="12"/>
        <w:keepNext w:val="0"/>
        <w:keepLines w:val="0"/>
        <w:pageBreakBefore w:val="0"/>
        <w:widowControl w:val="0"/>
        <w:kinsoku/>
        <w:wordWrap/>
        <w:overflowPunct/>
        <w:topLinePunct w:val="0"/>
        <w:autoSpaceDE w:val="0"/>
        <w:autoSpaceDN w:val="0"/>
        <w:bidi w:val="0"/>
        <w:adjustRightInd w:val="0"/>
        <w:snapToGrid w:val="0"/>
        <w:spacing w:before="66" w:line="360" w:lineRule="auto"/>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致：</w:t>
      </w:r>
      <w:r>
        <w:rPr>
          <w:rFonts w:hint="eastAsia" w:ascii="宋体" w:hAnsi="宋体" w:eastAsia="宋体" w:cs="宋体"/>
          <w:color w:val="auto"/>
          <w:sz w:val="21"/>
          <w:szCs w:val="21"/>
          <w:u w:val="single"/>
          <w:lang w:eastAsia="zh-CN"/>
        </w:rPr>
        <w:t>采购人或采购代理机构</w:t>
      </w:r>
    </w:p>
    <w:p w14:paraId="08D6328F">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在参与本次项目磋商中，我单位承诺：</w:t>
      </w:r>
    </w:p>
    <w:p w14:paraId="0875150A">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（一）具有良好的商业信誉和健全的财务会计制度；</w:t>
      </w:r>
    </w:p>
    <w:p w14:paraId="743F1C05">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（二）具有履行合同所必需的设备和专业技术能力；</w:t>
      </w:r>
    </w:p>
    <w:p w14:paraId="50C3E543">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（三）有依法缴纳税收和社会保障资金的良好记录；</w:t>
      </w:r>
    </w:p>
    <w:p w14:paraId="7D6E7126">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E9B6B7C">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（五）我单位不属于政府采购法律、行政法规规定的公益一类事业单位、或使用事业编制且由财政拨款保障的群团组织（仅适用于政府购买服务项目）；</w:t>
      </w:r>
    </w:p>
    <w:p w14:paraId="37FCA69B">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（六）我单位不存在为采购项目提供整体设计、规范编制或者项目管理、监理、检测等服务后，再参加该采购项目的其他采购活动的情形（单一来源采购项目除外）；</w:t>
      </w:r>
    </w:p>
    <w:p w14:paraId="13A68E06">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（七）与我单位存在“单位负责人为同一人或者存在直接控股、管理关系”的其他法人单位信息如下（如有，不论其是否参加同一合同项下的政府采购活动均须填写）：</w:t>
      </w:r>
    </w:p>
    <w:tbl>
      <w:tblPr>
        <w:tblStyle w:val="72"/>
        <w:tblpPr w:leftFromText="180" w:rightFromText="180" w:vertAnchor="text" w:horzAnchor="page" w:tblpX="1536" w:tblpY="126"/>
        <w:tblOverlap w:val="never"/>
        <w:tblW w:w="89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5"/>
        <w:gridCol w:w="4670"/>
        <w:gridCol w:w="3144"/>
      </w:tblGrid>
      <w:tr w14:paraId="2847A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1185" w:type="dxa"/>
          </w:tcPr>
          <w:p w14:paraId="5C7DE91C">
            <w:pPr>
              <w:pStyle w:val="51"/>
              <w:spacing w:before="56"/>
              <w:ind w:left="215" w:right="205"/>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4670" w:type="dxa"/>
          </w:tcPr>
          <w:p w14:paraId="46B3EF68">
            <w:pPr>
              <w:pStyle w:val="51"/>
              <w:spacing w:before="56"/>
              <w:ind w:left="1787" w:right="1776"/>
              <w:jc w:val="both"/>
              <w:rPr>
                <w:rFonts w:hint="eastAsia" w:ascii="宋体" w:hAnsi="宋体" w:eastAsia="宋体" w:cs="宋体"/>
                <w:color w:val="auto"/>
                <w:sz w:val="21"/>
                <w:szCs w:val="21"/>
              </w:rPr>
            </w:pPr>
            <w:r>
              <w:rPr>
                <w:rFonts w:hint="eastAsia" w:ascii="宋体" w:hAnsi="宋体" w:eastAsia="宋体" w:cs="宋体"/>
                <w:color w:val="auto"/>
                <w:sz w:val="21"/>
                <w:szCs w:val="21"/>
              </w:rPr>
              <w:t>单位名称</w:t>
            </w:r>
          </w:p>
        </w:tc>
        <w:tc>
          <w:tcPr>
            <w:tcW w:w="3144" w:type="dxa"/>
          </w:tcPr>
          <w:p w14:paraId="27D8A64E">
            <w:pPr>
              <w:pStyle w:val="51"/>
              <w:spacing w:before="56"/>
              <w:ind w:left="989" w:right="977"/>
              <w:jc w:val="center"/>
              <w:rPr>
                <w:rFonts w:hint="eastAsia" w:ascii="宋体" w:hAnsi="宋体" w:eastAsia="宋体" w:cs="宋体"/>
                <w:color w:val="auto"/>
                <w:sz w:val="21"/>
                <w:szCs w:val="21"/>
              </w:rPr>
            </w:pPr>
            <w:r>
              <w:rPr>
                <w:rFonts w:hint="eastAsia" w:ascii="宋体" w:hAnsi="宋体" w:eastAsia="宋体" w:cs="宋体"/>
                <w:color w:val="auto"/>
                <w:sz w:val="21"/>
                <w:szCs w:val="21"/>
              </w:rPr>
              <w:t>相互关系</w:t>
            </w:r>
          </w:p>
        </w:tc>
      </w:tr>
      <w:tr w14:paraId="15798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185" w:type="dxa"/>
          </w:tcPr>
          <w:p w14:paraId="5643239A">
            <w:pPr>
              <w:pStyle w:val="51"/>
              <w:spacing w:before="66"/>
              <w:ind w:left="9"/>
              <w:jc w:val="center"/>
              <w:rPr>
                <w:rFonts w:hint="eastAsia" w:ascii="宋体" w:hAnsi="宋体" w:eastAsia="宋体" w:cs="宋体"/>
                <w:color w:val="auto"/>
                <w:sz w:val="21"/>
                <w:szCs w:val="21"/>
              </w:rPr>
            </w:pPr>
            <w:r>
              <w:rPr>
                <w:rFonts w:hint="eastAsia" w:ascii="宋体" w:hAnsi="宋体" w:eastAsia="宋体" w:cs="宋体"/>
                <w:color w:val="auto"/>
                <w:w w:val="139"/>
                <w:sz w:val="21"/>
                <w:szCs w:val="21"/>
              </w:rPr>
              <w:t>1</w:t>
            </w:r>
          </w:p>
        </w:tc>
        <w:tc>
          <w:tcPr>
            <w:tcW w:w="4670" w:type="dxa"/>
          </w:tcPr>
          <w:p w14:paraId="435712F4">
            <w:pPr>
              <w:pStyle w:val="51"/>
              <w:rPr>
                <w:rFonts w:hint="eastAsia" w:ascii="宋体" w:hAnsi="宋体" w:eastAsia="宋体" w:cs="宋体"/>
                <w:color w:val="auto"/>
                <w:sz w:val="21"/>
                <w:szCs w:val="21"/>
              </w:rPr>
            </w:pPr>
          </w:p>
        </w:tc>
        <w:tc>
          <w:tcPr>
            <w:tcW w:w="3144" w:type="dxa"/>
          </w:tcPr>
          <w:p w14:paraId="1920BA19">
            <w:pPr>
              <w:pStyle w:val="51"/>
              <w:rPr>
                <w:rFonts w:hint="eastAsia" w:ascii="宋体" w:hAnsi="宋体" w:eastAsia="宋体" w:cs="宋体"/>
                <w:color w:val="auto"/>
                <w:sz w:val="21"/>
                <w:szCs w:val="21"/>
              </w:rPr>
            </w:pPr>
          </w:p>
        </w:tc>
      </w:tr>
      <w:tr w14:paraId="63762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185" w:type="dxa"/>
          </w:tcPr>
          <w:p w14:paraId="602C7C6D">
            <w:pPr>
              <w:pStyle w:val="51"/>
              <w:spacing w:before="67"/>
              <w:ind w:left="9"/>
              <w:jc w:val="center"/>
              <w:rPr>
                <w:rFonts w:hint="eastAsia" w:ascii="宋体" w:hAnsi="宋体" w:eastAsia="宋体" w:cs="宋体"/>
                <w:color w:val="auto"/>
                <w:sz w:val="21"/>
                <w:szCs w:val="21"/>
              </w:rPr>
            </w:pPr>
            <w:r>
              <w:rPr>
                <w:rFonts w:hint="eastAsia" w:ascii="宋体" w:hAnsi="宋体" w:eastAsia="宋体" w:cs="宋体"/>
                <w:color w:val="auto"/>
                <w:w w:val="139"/>
                <w:sz w:val="21"/>
                <w:szCs w:val="21"/>
              </w:rPr>
              <w:t>2</w:t>
            </w:r>
          </w:p>
        </w:tc>
        <w:tc>
          <w:tcPr>
            <w:tcW w:w="4670" w:type="dxa"/>
          </w:tcPr>
          <w:p w14:paraId="322A4F66">
            <w:pPr>
              <w:pStyle w:val="51"/>
              <w:rPr>
                <w:rFonts w:hint="eastAsia" w:ascii="宋体" w:hAnsi="宋体" w:eastAsia="宋体" w:cs="宋体"/>
                <w:color w:val="auto"/>
                <w:sz w:val="21"/>
                <w:szCs w:val="21"/>
              </w:rPr>
            </w:pPr>
          </w:p>
        </w:tc>
        <w:tc>
          <w:tcPr>
            <w:tcW w:w="3144" w:type="dxa"/>
          </w:tcPr>
          <w:p w14:paraId="6730A2FC">
            <w:pPr>
              <w:pStyle w:val="51"/>
              <w:rPr>
                <w:rFonts w:hint="eastAsia" w:ascii="宋体" w:hAnsi="宋体" w:eastAsia="宋体" w:cs="宋体"/>
                <w:color w:val="auto"/>
                <w:sz w:val="21"/>
                <w:szCs w:val="21"/>
              </w:rPr>
            </w:pPr>
          </w:p>
        </w:tc>
      </w:tr>
      <w:tr w14:paraId="3DF38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185" w:type="dxa"/>
          </w:tcPr>
          <w:p w14:paraId="62848C71">
            <w:pPr>
              <w:pStyle w:val="51"/>
              <w:spacing w:before="66"/>
              <w:ind w:left="10"/>
              <w:jc w:val="center"/>
              <w:rPr>
                <w:rFonts w:hint="eastAsia" w:ascii="宋体" w:hAnsi="宋体" w:eastAsia="宋体" w:cs="宋体"/>
                <w:color w:val="auto"/>
                <w:sz w:val="21"/>
                <w:szCs w:val="21"/>
              </w:rPr>
            </w:pPr>
            <w:r>
              <w:rPr>
                <w:rFonts w:hint="eastAsia" w:ascii="宋体" w:hAnsi="宋体" w:eastAsia="宋体" w:cs="宋体"/>
                <w:color w:val="auto"/>
                <w:w w:val="121"/>
                <w:sz w:val="21"/>
                <w:szCs w:val="21"/>
              </w:rPr>
              <w:t>…</w:t>
            </w:r>
          </w:p>
        </w:tc>
        <w:tc>
          <w:tcPr>
            <w:tcW w:w="4670" w:type="dxa"/>
          </w:tcPr>
          <w:p w14:paraId="65142E61">
            <w:pPr>
              <w:pStyle w:val="51"/>
              <w:rPr>
                <w:rFonts w:hint="eastAsia" w:ascii="宋体" w:hAnsi="宋体" w:eastAsia="宋体" w:cs="宋体"/>
                <w:color w:val="auto"/>
                <w:sz w:val="21"/>
                <w:szCs w:val="21"/>
              </w:rPr>
            </w:pPr>
          </w:p>
        </w:tc>
        <w:tc>
          <w:tcPr>
            <w:tcW w:w="3144" w:type="dxa"/>
          </w:tcPr>
          <w:p w14:paraId="6C6148F7">
            <w:pPr>
              <w:pStyle w:val="51"/>
              <w:rPr>
                <w:rFonts w:hint="eastAsia" w:ascii="宋体" w:hAnsi="宋体" w:eastAsia="宋体" w:cs="宋体"/>
                <w:color w:val="auto"/>
                <w:sz w:val="21"/>
                <w:szCs w:val="21"/>
              </w:rPr>
            </w:pPr>
          </w:p>
        </w:tc>
      </w:tr>
    </w:tbl>
    <w:p w14:paraId="124433A7">
      <w:pPr>
        <w:pStyle w:val="12"/>
        <w:spacing w:before="10"/>
        <w:rPr>
          <w:rFonts w:hint="eastAsia" w:ascii="宋体" w:hAnsi="宋体" w:eastAsia="宋体" w:cs="宋体"/>
          <w:color w:val="auto"/>
          <w:sz w:val="21"/>
          <w:szCs w:val="21"/>
        </w:rPr>
      </w:pPr>
    </w:p>
    <w:p w14:paraId="00790928">
      <w:pPr>
        <w:pStyle w:val="12"/>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上述声明真实有效，否则我方负全部责任。</w:t>
      </w:r>
    </w:p>
    <w:p w14:paraId="12BFB0A2">
      <w:pPr>
        <w:keepNext w:val="0"/>
        <w:keepLines w:val="0"/>
        <w:pageBreakBefore w:val="0"/>
        <w:widowControl w:val="0"/>
        <w:shd w:val="clear"/>
        <w:kinsoku/>
        <w:wordWrap/>
        <w:overflowPunct/>
        <w:topLinePunct w:val="0"/>
        <w:autoSpaceDE w:val="0"/>
        <w:autoSpaceDN w:val="0"/>
        <w:bidi w:val="0"/>
        <w:adjustRightInd/>
        <w:snapToGrid/>
        <w:spacing w:line="360" w:lineRule="auto"/>
        <w:ind w:firstLine="480" w:firstLineChars="200"/>
        <w:jc w:val="center"/>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cs="宋体"/>
          <w:color w:val="auto"/>
          <w:sz w:val="24"/>
          <w:szCs w:val="24"/>
          <w:lang w:val="en-US" w:eastAsia="zh-CN"/>
        </w:rPr>
        <w:t>名</w:t>
      </w:r>
      <w:r>
        <w:rPr>
          <w:rFonts w:hint="eastAsia" w:ascii="宋体" w:hAnsi="宋体" w:eastAsia="宋体" w:cs="宋体"/>
          <w:color w:val="auto"/>
          <w:sz w:val="24"/>
          <w:szCs w:val="24"/>
          <w:lang w:val="en-US" w:eastAsia="zh-CN"/>
        </w:rPr>
        <w:t>称</w:t>
      </w:r>
      <w:r>
        <w:rPr>
          <w:rFonts w:hint="eastAsia" w:ascii="宋体" w:hAnsi="宋体" w:eastAsia="宋体" w:cs="宋体"/>
          <w:color w:val="auto"/>
          <w:sz w:val="24"/>
          <w:szCs w:val="24"/>
          <w:lang w:eastAsia="zh-CN"/>
        </w:rPr>
        <w:t>（加盖公章）</w:t>
      </w:r>
      <w:r>
        <w:rPr>
          <w:rFonts w:hint="eastAsia" w:cs="宋体"/>
          <w:color w:val="auto"/>
          <w:sz w:val="24"/>
          <w:szCs w:val="24"/>
          <w:lang w:eastAsia="zh-CN"/>
        </w:rPr>
        <w:t>：</w:t>
      </w:r>
      <w:r>
        <w:rPr>
          <w:rFonts w:hint="eastAsia" w:cs="宋体"/>
          <w:color w:val="auto"/>
          <w:sz w:val="24"/>
          <w:szCs w:val="24"/>
          <w:u w:val="single"/>
          <w:lang w:val="en-US" w:eastAsia="zh-CN"/>
        </w:rPr>
        <w:t xml:space="preserve">             </w:t>
      </w:r>
    </w:p>
    <w:p w14:paraId="2553A4C8">
      <w:pPr>
        <w:keepNext w:val="0"/>
        <w:keepLines w:val="0"/>
        <w:pageBreakBefore w:val="0"/>
        <w:widowControl w:val="0"/>
        <w:shd w:val="clear"/>
        <w:kinsoku/>
        <w:wordWrap/>
        <w:overflowPunct/>
        <w:topLinePunct w:val="0"/>
        <w:autoSpaceDE w:val="0"/>
        <w:autoSpaceDN w:val="0"/>
        <w:bidi w:val="0"/>
        <w:adjustRightInd/>
        <w:snapToGrid/>
        <w:spacing w:before="60" w:after="60" w:line="360" w:lineRule="auto"/>
        <w:ind w:firstLine="510"/>
        <w:jc w:val="center"/>
        <w:textAlignment w:val="auto"/>
        <w:rPr>
          <w:rFonts w:hint="eastAsia" w:ascii="宋体" w:hAnsi="宋体" w:eastAsia="宋体" w:cs="宋体"/>
          <w:color w:val="auto"/>
          <w:sz w:val="24"/>
          <w:szCs w:val="24"/>
        </w:rPr>
      </w:pPr>
      <w:r>
        <w:rPr>
          <w:rFonts w:hint="eastAsia" w:cs="宋体"/>
          <w:color w:val="auto"/>
          <w:sz w:val="24"/>
          <w:szCs w:val="24"/>
          <w:lang w:val="en-US" w:eastAsia="zh-CN"/>
        </w:rPr>
        <w:t xml:space="preserve">      </w:t>
      </w:r>
      <w:r>
        <w:rPr>
          <w:rFonts w:hint="eastAsia" w:ascii="宋体" w:hAnsi="宋体" w:eastAsia="宋体" w:cs="宋体"/>
          <w:color w:val="auto"/>
          <w:sz w:val="24"/>
          <w:szCs w:val="24"/>
        </w:rPr>
        <w:t>日  期：_______年____月_____日</w:t>
      </w:r>
    </w:p>
    <w:p w14:paraId="0988DF59">
      <w:pPr>
        <w:pStyle w:val="12"/>
        <w:spacing w:line="281"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说明：供应商承诺不实的，依据《政府采购法》第七十七条“提供虚假材料谋取中标、</w:t>
      </w:r>
      <w:r>
        <w:rPr>
          <w:rFonts w:hint="eastAsia" w:ascii="宋体" w:hAnsi="宋体" w:eastAsia="宋体" w:cs="宋体"/>
          <w:color w:val="auto"/>
          <w:w w:val="105"/>
          <w:sz w:val="21"/>
          <w:szCs w:val="21"/>
          <w:lang w:eastAsia="zh-CN"/>
        </w:rPr>
        <w:t>成交的</w:t>
      </w:r>
      <w:r>
        <w:rPr>
          <w:rFonts w:hint="eastAsia" w:ascii="宋体" w:hAnsi="宋体" w:eastAsia="宋体" w:cs="宋体"/>
          <w:color w:val="auto"/>
          <w:sz w:val="21"/>
          <w:szCs w:val="21"/>
          <w:lang w:eastAsia="zh-CN"/>
        </w:rPr>
        <w:t>”</w:t>
      </w:r>
      <w:r>
        <w:rPr>
          <w:rFonts w:hint="eastAsia" w:ascii="宋体" w:hAnsi="宋体" w:eastAsia="宋体" w:cs="宋体"/>
          <w:color w:val="auto"/>
          <w:w w:val="105"/>
          <w:sz w:val="21"/>
          <w:szCs w:val="21"/>
          <w:lang w:eastAsia="zh-CN"/>
        </w:rPr>
        <w:t>有关规定予以处理。</w:t>
      </w:r>
    </w:p>
    <w:p w14:paraId="3BD852AE">
      <w:pPr>
        <w:pStyle w:val="65"/>
        <w:numPr>
          <w:ilvl w:val="0"/>
          <w:numId w:val="0"/>
        </w:numPr>
        <w:tabs>
          <w:tab w:val="left" w:pos="1053"/>
        </w:tabs>
        <w:spacing w:before="158"/>
        <w:rPr>
          <w:rFonts w:hint="eastAsia" w:ascii="Times New Roman" w:hAnsi="Times New Roman" w:eastAsia="宋体" w:cs="Times New Roman"/>
          <w:color w:val="auto"/>
          <w:sz w:val="24"/>
          <w:lang w:val="en-US" w:eastAsia="zh-CN"/>
        </w:rPr>
      </w:pPr>
    </w:p>
    <w:p w14:paraId="3977734D">
      <w:pPr>
        <w:pStyle w:val="65"/>
        <w:numPr>
          <w:ilvl w:val="0"/>
          <w:numId w:val="0"/>
        </w:numPr>
        <w:tabs>
          <w:tab w:val="left" w:pos="1053"/>
        </w:tabs>
        <w:spacing w:before="158"/>
        <w:rPr>
          <w:rFonts w:hint="eastAsia" w:ascii="Times New Roman" w:hAnsi="Times New Roman" w:eastAsia="宋体" w:cs="Times New Roman"/>
          <w:color w:val="auto"/>
          <w:sz w:val="24"/>
          <w:lang w:val="en-US" w:eastAsia="zh-CN"/>
        </w:rPr>
      </w:pPr>
    </w:p>
    <w:p w14:paraId="0E3BABFB">
      <w:pPr>
        <w:pStyle w:val="65"/>
        <w:numPr>
          <w:ilvl w:val="0"/>
          <w:numId w:val="0"/>
        </w:numPr>
        <w:tabs>
          <w:tab w:val="left" w:pos="1053"/>
        </w:tabs>
        <w:spacing w:before="158"/>
        <w:rPr>
          <w:rFonts w:hint="eastAsia" w:ascii="Times New Roman" w:hAnsi="Times New Roman" w:eastAsia="宋体" w:cs="Times New Roman"/>
          <w:color w:val="auto"/>
          <w:sz w:val="24"/>
          <w:lang w:val="en-US" w:eastAsia="zh-CN"/>
        </w:rPr>
      </w:pPr>
    </w:p>
    <w:p w14:paraId="53D92801">
      <w:pPr>
        <w:pStyle w:val="65"/>
        <w:numPr>
          <w:ilvl w:val="0"/>
          <w:numId w:val="0"/>
        </w:numPr>
        <w:tabs>
          <w:tab w:val="left" w:pos="1053"/>
        </w:tabs>
        <w:spacing w:before="158"/>
        <w:rPr>
          <w:rFonts w:hint="eastAsia" w:ascii="Times New Roman" w:hAnsi="Times New Roman" w:eastAsia="宋体" w:cs="Times New Roman"/>
          <w:color w:val="auto"/>
          <w:sz w:val="24"/>
          <w:lang w:val="en-US" w:eastAsia="zh-CN"/>
        </w:rPr>
      </w:pPr>
    </w:p>
    <w:p w14:paraId="024A49EA">
      <w:pPr>
        <w:numPr>
          <w:ilvl w:val="0"/>
          <w:numId w:val="0"/>
        </w:numPr>
        <w:autoSpaceDE w:val="0"/>
        <w:autoSpaceDN w:val="0"/>
        <w:spacing w:line="640" w:lineRule="exact"/>
        <w:jc w:val="both"/>
        <w:outlineLvl w:val="1"/>
        <w:rPr>
          <w:rFonts w:hint="eastAsia" w:ascii="宋体" w:hAnsi="宋体" w:eastAsia="宋体" w:cs="宋体"/>
          <w:color w:val="auto"/>
          <w:sz w:val="24"/>
          <w:szCs w:val="24"/>
          <w:highlight w:val="none"/>
        </w:rPr>
      </w:pPr>
      <w:bookmarkStart w:id="1018" w:name="_Toc16998"/>
      <w:bookmarkStart w:id="1019" w:name="_Toc25978"/>
      <w:bookmarkStart w:id="1020" w:name="_Toc12286"/>
    </w:p>
    <w:bookmarkEnd w:id="1018"/>
    <w:bookmarkEnd w:id="1019"/>
    <w:bookmarkEnd w:id="1020"/>
    <w:p w14:paraId="0759FE1A">
      <w:pPr>
        <w:numPr>
          <w:ilvl w:val="0"/>
          <w:numId w:val="0"/>
        </w:numPr>
        <w:autoSpaceDE w:val="0"/>
        <w:autoSpaceDN w:val="0"/>
        <w:spacing w:line="640" w:lineRule="exact"/>
        <w:jc w:val="center"/>
        <w:outlineLvl w:val="1"/>
        <w:rPr>
          <w:rFonts w:hint="eastAsia" w:ascii="宋体" w:hAnsi="宋体" w:eastAsia="宋体" w:cs="宋体"/>
          <w:color w:val="auto"/>
          <w:sz w:val="21"/>
          <w:szCs w:val="21"/>
        </w:rPr>
      </w:pPr>
      <w:bookmarkStart w:id="1021" w:name="_Toc3350"/>
      <w:bookmarkStart w:id="1022" w:name="_Toc363"/>
      <w:bookmarkStart w:id="1023" w:name="_Toc22957"/>
      <w:bookmarkStart w:id="1024" w:name="_Toc28718"/>
      <w:bookmarkStart w:id="1025" w:name="_Toc17598"/>
      <w:r>
        <w:rPr>
          <w:rFonts w:hint="eastAsia" w:ascii="宋体" w:hAnsi="宋体" w:eastAsia="宋体" w:cs="宋体"/>
          <w:b/>
          <w:color w:val="auto"/>
          <w:sz w:val="21"/>
          <w:szCs w:val="21"/>
          <w:highlight w:val="none"/>
          <w:lang w:val="zh-CN"/>
        </w:rPr>
        <w:t>（一）</w:t>
      </w:r>
      <w:r>
        <w:rPr>
          <w:rFonts w:hint="eastAsia" w:ascii="宋体" w:hAnsi="宋体" w:eastAsia="宋体" w:cs="宋体"/>
          <w:b/>
          <w:color w:val="auto"/>
          <w:sz w:val="21"/>
          <w:szCs w:val="21"/>
          <w:highlight w:val="none"/>
          <w:lang w:val="en-US" w:eastAsia="zh-CN"/>
        </w:rPr>
        <w:t>具有良好的商业信誉和健全的财务会计制度</w:t>
      </w:r>
      <w:bookmarkEnd w:id="1021"/>
      <w:bookmarkEnd w:id="1022"/>
      <w:bookmarkEnd w:id="1023"/>
      <w:bookmarkEnd w:id="1024"/>
      <w:bookmarkEnd w:id="1025"/>
    </w:p>
    <w:p w14:paraId="26F7FEA1">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1.供应商提供商业信誉承诺书；</w:t>
      </w:r>
    </w:p>
    <w:p w14:paraId="08EA891E">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2.提供财务报表（包括资产负债表、利润表、现金流量表），成立不足一年或新成立的公司提供响应文件递交截止时间前两个月内基本开户银行出具的银行资信证明或资金存款证明或财务报表。</w:t>
      </w:r>
    </w:p>
    <w:p w14:paraId="3BEE52F9">
      <w:pPr>
        <w:autoSpaceDE w:val="0"/>
        <w:autoSpaceDN w:val="0"/>
        <w:spacing w:line="640" w:lineRule="exact"/>
        <w:jc w:val="center"/>
        <w:outlineLvl w:val="1"/>
        <w:rPr>
          <w:rFonts w:hint="eastAsia" w:ascii="宋体" w:hAnsi="宋体" w:eastAsia="宋体" w:cs="宋体"/>
          <w:b/>
          <w:color w:val="auto"/>
          <w:sz w:val="21"/>
          <w:szCs w:val="21"/>
          <w:highlight w:val="none"/>
          <w:lang w:val="zh-CN"/>
        </w:rPr>
      </w:pPr>
      <w:bookmarkStart w:id="1026" w:name="_Toc9232"/>
      <w:bookmarkStart w:id="1027" w:name="_Toc1425"/>
      <w:bookmarkStart w:id="1028" w:name="_Toc21805"/>
      <w:bookmarkStart w:id="1029" w:name="_Toc15621"/>
      <w:bookmarkStart w:id="1030" w:name="_Toc23595"/>
      <w:r>
        <w:rPr>
          <w:rFonts w:hint="eastAsia" w:ascii="宋体" w:hAnsi="宋体" w:eastAsia="宋体" w:cs="宋体"/>
          <w:b/>
          <w:color w:val="auto"/>
          <w:sz w:val="21"/>
          <w:szCs w:val="21"/>
          <w:highlight w:val="none"/>
          <w:lang w:val="zh-CN"/>
        </w:rPr>
        <w:t>（二）依法缴纳税收</w:t>
      </w:r>
      <w:r>
        <w:rPr>
          <w:rFonts w:hint="eastAsia" w:ascii="宋体" w:hAnsi="宋体" w:eastAsia="宋体" w:cs="宋体"/>
          <w:b/>
          <w:color w:val="auto"/>
          <w:sz w:val="21"/>
          <w:szCs w:val="21"/>
          <w:highlight w:val="none"/>
          <w:lang w:val="en-US" w:eastAsia="zh-CN"/>
        </w:rPr>
        <w:t>和社会保障资金</w:t>
      </w:r>
      <w:r>
        <w:rPr>
          <w:rFonts w:hint="eastAsia" w:ascii="宋体" w:hAnsi="宋体" w:eastAsia="宋体" w:cs="宋体"/>
          <w:b/>
          <w:color w:val="auto"/>
          <w:sz w:val="21"/>
          <w:szCs w:val="21"/>
          <w:highlight w:val="none"/>
          <w:lang w:val="zh-CN"/>
        </w:rPr>
        <w:t>证明材料</w:t>
      </w:r>
      <w:bookmarkEnd w:id="1026"/>
      <w:bookmarkEnd w:id="1027"/>
      <w:bookmarkEnd w:id="1028"/>
      <w:bookmarkEnd w:id="1029"/>
      <w:bookmarkEnd w:id="1030"/>
    </w:p>
    <w:p w14:paraId="4C3D5D86">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1.纳税证明材料：提供任意三个月的纳税申报的税务局税收通用缴款书扫描件或银行电子缴税（费）凭证扫描件或税务局出具纳税情况的相关证明扫描件；</w:t>
      </w:r>
    </w:p>
    <w:p w14:paraId="4061AD4F">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2.缴纳社会保险证明材料：提供任意三个月的社会保险费缴款书扫描件或银行电子缴税（费）凭证扫描件或社保管理部门出具的有效的缴款证明扫描件。</w:t>
      </w:r>
    </w:p>
    <w:p w14:paraId="57034070">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注：依法免税或不需要缴纳社会保障资金的投标人，应提供相应文件证明其依法免税或不需要缴纳社会保障资金。</w:t>
      </w:r>
    </w:p>
    <w:p w14:paraId="07129D9A">
      <w:pPr>
        <w:autoSpaceDE w:val="0"/>
        <w:autoSpaceDN w:val="0"/>
        <w:spacing w:line="640" w:lineRule="exact"/>
        <w:jc w:val="center"/>
        <w:outlineLvl w:val="1"/>
        <w:rPr>
          <w:rFonts w:hint="eastAsia" w:ascii="宋体" w:hAnsi="宋体" w:eastAsia="宋体" w:cs="宋体"/>
          <w:b/>
          <w:color w:val="auto"/>
          <w:sz w:val="21"/>
          <w:szCs w:val="21"/>
          <w:highlight w:val="none"/>
          <w:lang w:val="zh-CN"/>
        </w:rPr>
      </w:pPr>
      <w:bookmarkStart w:id="1031" w:name="_Toc25266"/>
      <w:bookmarkStart w:id="1032" w:name="_Toc21036"/>
      <w:bookmarkStart w:id="1033" w:name="_Toc12388"/>
      <w:bookmarkStart w:id="1034" w:name="_Toc14425"/>
      <w:bookmarkStart w:id="1035" w:name="_Toc6252"/>
      <w:r>
        <w:rPr>
          <w:rFonts w:hint="eastAsia" w:ascii="宋体" w:hAnsi="宋体" w:eastAsia="宋体" w:cs="宋体"/>
          <w:b/>
          <w:color w:val="auto"/>
          <w:sz w:val="21"/>
          <w:szCs w:val="21"/>
          <w:highlight w:val="none"/>
          <w:lang w:val="zh-CN" w:eastAsia="zh-CN"/>
        </w:rPr>
        <w:t>（三）</w:t>
      </w:r>
      <w:r>
        <w:rPr>
          <w:rFonts w:hint="eastAsia" w:ascii="宋体" w:hAnsi="宋体" w:eastAsia="宋体" w:cs="宋体"/>
          <w:b/>
          <w:color w:val="auto"/>
          <w:sz w:val="21"/>
          <w:szCs w:val="21"/>
          <w:highlight w:val="none"/>
          <w:lang w:val="en-US" w:eastAsia="zh-CN"/>
        </w:rPr>
        <w:t>具有履行合同所必需的设备和专业技术能力</w:t>
      </w:r>
      <w:bookmarkEnd w:id="1031"/>
      <w:bookmarkEnd w:id="1032"/>
      <w:bookmarkEnd w:id="1033"/>
      <w:bookmarkEnd w:id="1034"/>
      <w:bookmarkEnd w:id="1035"/>
    </w:p>
    <w:p w14:paraId="65830BB8">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 xml:space="preserve"> 采购</w:t>
      </w:r>
      <w:r>
        <w:rPr>
          <w:rFonts w:hint="eastAsia" w:ascii="宋体" w:hAnsi="宋体" w:eastAsia="宋体" w:cs="宋体"/>
          <w:color w:val="auto"/>
          <w:sz w:val="21"/>
          <w:szCs w:val="21"/>
          <w:highlight w:val="none"/>
          <w:u w:val="single"/>
          <w:lang w:eastAsia="zh-CN"/>
        </w:rPr>
        <w:t>人名称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4EF67794">
      <w:pPr>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本公司参加的</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活动，在此承诺：</w:t>
      </w:r>
    </w:p>
    <w:p w14:paraId="06C49A6C">
      <w:pPr>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1、具备履行合同所必需的设备和专业技术服务能力；</w:t>
      </w:r>
    </w:p>
    <w:p w14:paraId="01E16C57">
      <w:pPr>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2、按照</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文件的要求提交</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文件，并对所提供的全具备履行合同所必需的设备和专业技术服务能力的证明材料的真实性承担法律责任；</w:t>
      </w:r>
    </w:p>
    <w:p w14:paraId="40886962">
      <w:pPr>
        <w:shd w:val="clear"/>
        <w:spacing w:line="480" w:lineRule="auto"/>
        <w:ind w:firstLine="3150" w:firstLineChars="1500"/>
        <w:rPr>
          <w:rFonts w:hint="eastAsia" w:ascii="宋体" w:hAnsi="宋体" w:eastAsia="宋体" w:cs="宋体"/>
          <w:color w:val="auto"/>
          <w:sz w:val="21"/>
          <w:szCs w:val="21"/>
        </w:rPr>
      </w:pPr>
    </w:p>
    <w:p w14:paraId="485E3A23">
      <w:pPr>
        <w:keepNext w:val="0"/>
        <w:keepLines w:val="0"/>
        <w:pageBreakBefore w:val="0"/>
        <w:widowControl w:val="0"/>
        <w:shd w:val="clear"/>
        <w:kinsoku/>
        <w:wordWrap/>
        <w:overflowPunct/>
        <w:topLinePunct w:val="0"/>
        <w:autoSpaceDE w:val="0"/>
        <w:autoSpaceDN w:val="0"/>
        <w:bidi w:val="0"/>
        <w:adjustRightInd/>
        <w:snapToGrid/>
        <w:spacing w:line="360" w:lineRule="auto"/>
        <w:ind w:firstLine="480" w:firstLineChars="200"/>
        <w:jc w:val="center"/>
        <w:textAlignment w:val="auto"/>
        <w:rPr>
          <w:rFonts w:hint="eastAsia" w:ascii="宋体" w:hAnsi="宋体" w:eastAsia="宋体" w:cs="宋体"/>
          <w:color w:val="auto"/>
          <w:sz w:val="24"/>
          <w:szCs w:val="24"/>
          <w:u w:val="single"/>
          <w:lang w:val="en-US" w:eastAsia="zh-CN"/>
        </w:rPr>
      </w:pPr>
      <w:bookmarkStart w:id="1036" w:name="_Toc26306"/>
      <w:bookmarkStart w:id="1037" w:name="_Toc19240"/>
      <w:bookmarkStart w:id="1038" w:name="_Toc15624"/>
      <w:bookmarkStart w:id="1039" w:name="_Toc21505"/>
      <w:r>
        <w:rPr>
          <w:rFonts w:hint="eastAsia" w:ascii="宋体" w:hAnsi="宋体" w:eastAsia="宋体" w:cs="宋体"/>
          <w:color w:val="auto"/>
          <w:sz w:val="24"/>
          <w:szCs w:val="24"/>
        </w:rPr>
        <w:t>供应商</w:t>
      </w:r>
      <w:r>
        <w:rPr>
          <w:rFonts w:hint="eastAsia" w:cs="宋体"/>
          <w:color w:val="auto"/>
          <w:sz w:val="24"/>
          <w:szCs w:val="24"/>
          <w:lang w:val="en-US" w:eastAsia="zh-CN"/>
        </w:rPr>
        <w:t>名</w:t>
      </w:r>
      <w:r>
        <w:rPr>
          <w:rFonts w:hint="eastAsia" w:ascii="宋体" w:hAnsi="宋体" w:eastAsia="宋体" w:cs="宋体"/>
          <w:color w:val="auto"/>
          <w:sz w:val="24"/>
          <w:szCs w:val="24"/>
          <w:lang w:val="en-US" w:eastAsia="zh-CN"/>
        </w:rPr>
        <w:t>称</w:t>
      </w:r>
      <w:r>
        <w:rPr>
          <w:rFonts w:hint="eastAsia" w:ascii="宋体" w:hAnsi="宋体" w:eastAsia="宋体" w:cs="宋体"/>
          <w:color w:val="auto"/>
          <w:sz w:val="24"/>
          <w:szCs w:val="24"/>
          <w:lang w:eastAsia="zh-CN"/>
        </w:rPr>
        <w:t>（加盖公章）</w:t>
      </w:r>
      <w:r>
        <w:rPr>
          <w:rFonts w:hint="eastAsia" w:cs="宋体"/>
          <w:color w:val="auto"/>
          <w:sz w:val="24"/>
          <w:szCs w:val="24"/>
          <w:lang w:eastAsia="zh-CN"/>
        </w:rPr>
        <w:t>：</w:t>
      </w:r>
      <w:r>
        <w:rPr>
          <w:rFonts w:hint="eastAsia" w:cs="宋体"/>
          <w:color w:val="auto"/>
          <w:sz w:val="24"/>
          <w:szCs w:val="24"/>
          <w:u w:val="single"/>
          <w:lang w:val="en-US" w:eastAsia="zh-CN"/>
        </w:rPr>
        <w:t xml:space="preserve">             </w:t>
      </w:r>
    </w:p>
    <w:p w14:paraId="47893EBA">
      <w:pPr>
        <w:keepNext w:val="0"/>
        <w:keepLines w:val="0"/>
        <w:pageBreakBefore w:val="0"/>
        <w:widowControl w:val="0"/>
        <w:shd w:val="clear"/>
        <w:kinsoku/>
        <w:wordWrap/>
        <w:overflowPunct/>
        <w:topLinePunct w:val="0"/>
        <w:autoSpaceDE w:val="0"/>
        <w:autoSpaceDN w:val="0"/>
        <w:bidi w:val="0"/>
        <w:adjustRightInd/>
        <w:snapToGrid/>
        <w:spacing w:before="60" w:after="60" w:line="360" w:lineRule="auto"/>
        <w:ind w:firstLine="510"/>
        <w:jc w:val="center"/>
        <w:textAlignment w:val="auto"/>
        <w:rPr>
          <w:rFonts w:hint="eastAsia" w:ascii="宋体" w:hAnsi="宋体" w:eastAsia="宋体" w:cs="宋体"/>
          <w:color w:val="auto"/>
          <w:sz w:val="24"/>
          <w:szCs w:val="24"/>
        </w:rPr>
      </w:pPr>
      <w:r>
        <w:rPr>
          <w:rFonts w:hint="eastAsia" w:cs="宋体"/>
          <w:color w:val="auto"/>
          <w:sz w:val="24"/>
          <w:szCs w:val="24"/>
          <w:lang w:val="en-US" w:eastAsia="zh-CN"/>
        </w:rPr>
        <w:t xml:space="preserve">      </w:t>
      </w:r>
      <w:r>
        <w:rPr>
          <w:rFonts w:hint="eastAsia" w:ascii="宋体" w:hAnsi="宋体" w:eastAsia="宋体" w:cs="宋体"/>
          <w:color w:val="auto"/>
          <w:sz w:val="24"/>
          <w:szCs w:val="24"/>
        </w:rPr>
        <w:t>日  期：_______年____月_____日</w:t>
      </w:r>
    </w:p>
    <w:p w14:paraId="53B84D8B">
      <w:pPr>
        <w:autoSpaceDE w:val="0"/>
        <w:autoSpaceDN w:val="0"/>
        <w:spacing w:line="640" w:lineRule="exact"/>
        <w:jc w:val="center"/>
        <w:outlineLvl w:val="1"/>
        <w:rPr>
          <w:rFonts w:hint="eastAsia" w:ascii="宋体" w:hAnsi="宋体" w:eastAsia="宋体" w:cs="宋体"/>
          <w:b/>
          <w:color w:val="auto"/>
          <w:sz w:val="21"/>
          <w:szCs w:val="21"/>
          <w:highlight w:val="none"/>
          <w:lang w:val="en-US" w:eastAsia="zh-CN"/>
        </w:rPr>
      </w:pPr>
      <w:bookmarkStart w:id="1040" w:name="_Toc15566"/>
      <w:r>
        <w:rPr>
          <w:rFonts w:hint="eastAsia" w:ascii="宋体" w:hAnsi="宋体" w:eastAsia="宋体" w:cs="宋体"/>
          <w:b/>
          <w:color w:val="auto"/>
          <w:sz w:val="21"/>
          <w:szCs w:val="21"/>
          <w:highlight w:val="none"/>
          <w:lang w:val="zh-CN" w:eastAsia="zh-CN"/>
        </w:rPr>
        <w:t>（四）</w:t>
      </w:r>
      <w:r>
        <w:rPr>
          <w:rFonts w:hint="eastAsia" w:ascii="宋体" w:hAnsi="宋体" w:eastAsia="宋体" w:cs="宋体"/>
          <w:b/>
          <w:color w:val="auto"/>
          <w:sz w:val="21"/>
          <w:szCs w:val="21"/>
          <w:highlight w:val="none"/>
          <w:lang w:val="en-US" w:eastAsia="zh-CN"/>
        </w:rPr>
        <w:t>参加政府采购活动前三年内，在经营活动中没有重大违法记录</w:t>
      </w:r>
      <w:bookmarkEnd w:id="1036"/>
      <w:bookmarkEnd w:id="1037"/>
      <w:bookmarkEnd w:id="1038"/>
      <w:bookmarkEnd w:id="1039"/>
      <w:bookmarkEnd w:id="1040"/>
    </w:p>
    <w:p w14:paraId="59F28DAD">
      <w:pPr>
        <w:outlineLvl w:val="9"/>
        <w:rPr>
          <w:rFonts w:hint="eastAsia" w:ascii="宋体" w:hAnsi="宋体" w:eastAsia="宋体" w:cs="宋体"/>
          <w:color w:val="auto"/>
          <w:sz w:val="21"/>
          <w:szCs w:val="21"/>
        </w:rPr>
      </w:pPr>
    </w:p>
    <w:p w14:paraId="78BB549F">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lang w:eastAsia="zh-CN"/>
        </w:rPr>
      </w:pPr>
      <w:bookmarkStart w:id="1041" w:name="_Toc23688"/>
      <w:bookmarkStart w:id="1042" w:name="_Toc24382"/>
      <w:bookmarkStart w:id="1043" w:name="_Toc26759"/>
      <w:bookmarkStart w:id="1044" w:name="_Toc253"/>
      <w:r>
        <w:rPr>
          <w:rFonts w:hint="eastAsia" w:ascii="宋体" w:hAnsi="宋体" w:eastAsia="宋体" w:cs="宋体"/>
          <w:color w:val="auto"/>
          <w:sz w:val="21"/>
          <w:szCs w:val="21"/>
          <w:highlight w:val="none"/>
          <w:lang w:val="en-US" w:eastAsia="zh-CN"/>
        </w:rPr>
        <w:t>参加政府采购活动前三年内，在经</w:t>
      </w:r>
      <w:r>
        <w:rPr>
          <w:rFonts w:hint="eastAsia" w:ascii="宋体" w:hAnsi="宋体" w:eastAsia="宋体" w:cs="宋体"/>
          <w:color w:val="auto"/>
          <w:sz w:val="21"/>
          <w:szCs w:val="21"/>
          <w:highlight w:val="none"/>
          <w:lang w:eastAsia="zh-CN"/>
        </w:rPr>
        <w:t>营活动中没有重大违法记录</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lang w:eastAsia="zh-CN"/>
        </w:rPr>
        <w:t>（重大违法记录，是指供应商</w:t>
      </w:r>
      <w:r>
        <w:rPr>
          <w:rFonts w:hint="eastAsia" w:ascii="宋体" w:hAnsi="宋体" w:eastAsia="宋体" w:cs="宋体"/>
          <w:color w:val="auto"/>
          <w:lang w:val="en-US" w:eastAsia="zh-CN"/>
        </w:rPr>
        <w:t>没有受到责令停业的行政处罚或正处于财务被接管、冻结、破产的状态，近3年（2022年至今）所施工过的工程未发生过重大安全责任事故或质量事故，近3年（2022年至今）未发生过骗取中标和严重违约及重大合同纠纷</w:t>
      </w:r>
      <w:r>
        <w:rPr>
          <w:rFonts w:hint="eastAsia" w:ascii="宋体" w:hAnsi="宋体" w:eastAsia="宋体" w:cs="宋体"/>
          <w:color w:val="auto"/>
          <w:sz w:val="21"/>
          <w:szCs w:val="21"/>
          <w:highlight w:val="none"/>
          <w:lang w:eastAsia="zh-CN"/>
        </w:rPr>
        <w:t>）的书面声明</w:t>
      </w:r>
      <w:r>
        <w:rPr>
          <w:rFonts w:hint="eastAsia" w:cs="宋体"/>
          <w:color w:val="auto"/>
          <w:sz w:val="21"/>
          <w:szCs w:val="21"/>
          <w:highlight w:val="none"/>
          <w:lang w:eastAsia="zh-CN"/>
        </w:rPr>
        <w:t>。</w:t>
      </w:r>
    </w:p>
    <w:p w14:paraId="271008B2">
      <w:pPr>
        <w:numPr>
          <w:ilvl w:val="0"/>
          <w:numId w:val="35"/>
        </w:numPr>
        <w:autoSpaceDE w:val="0"/>
        <w:autoSpaceDN w:val="0"/>
        <w:spacing w:line="640" w:lineRule="exact"/>
        <w:jc w:val="center"/>
        <w:outlineLvl w:val="1"/>
        <w:rPr>
          <w:rFonts w:hint="eastAsia" w:ascii="宋体" w:hAnsi="宋体" w:eastAsia="宋体" w:cs="宋体"/>
          <w:b/>
          <w:color w:val="auto"/>
          <w:sz w:val="21"/>
          <w:szCs w:val="21"/>
          <w:highlight w:val="none"/>
          <w:lang w:val="zh-CN" w:eastAsia="zh-CN"/>
        </w:rPr>
      </w:pPr>
      <w:bookmarkStart w:id="1045" w:name="_Toc25080"/>
      <w:r>
        <w:rPr>
          <w:rFonts w:hint="eastAsia" w:ascii="宋体" w:hAnsi="宋体" w:eastAsia="宋体" w:cs="宋体"/>
          <w:b/>
          <w:color w:val="auto"/>
          <w:sz w:val="21"/>
          <w:szCs w:val="21"/>
          <w:highlight w:val="none"/>
          <w:lang w:val="zh-CN" w:eastAsia="zh-CN"/>
        </w:rPr>
        <w:t>法律、行政法规规定的其他条件</w:t>
      </w:r>
      <w:bookmarkEnd w:id="1041"/>
      <w:bookmarkEnd w:id="1042"/>
      <w:bookmarkEnd w:id="1043"/>
      <w:bookmarkEnd w:id="1044"/>
      <w:bookmarkEnd w:id="1045"/>
    </w:p>
    <w:p w14:paraId="617E5DA0">
      <w:pPr>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lang w:val="en-US" w:eastAsia="zh-CN"/>
        </w:rPr>
        <w:t>单位负责人为同一人或者存在直接控股、管理关系的不同供应商，不得参加同一合同项下的政府采购活动。</w:t>
      </w:r>
    </w:p>
    <w:p w14:paraId="57FD67FC">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2F720FDD">
      <w:pPr>
        <w:numPr>
          <w:ilvl w:val="0"/>
          <w:numId w:val="0"/>
        </w:numPr>
        <w:autoSpaceDE w:val="0"/>
        <w:autoSpaceDN w:val="0"/>
        <w:spacing w:line="360" w:lineRule="auto"/>
        <w:jc w:val="lef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2.落实政府采购政策需满足的资格要求：</w:t>
      </w:r>
    </w:p>
    <w:p w14:paraId="3362BADE">
      <w:pPr>
        <w:pStyle w:val="65"/>
        <w:numPr>
          <w:ilvl w:val="0"/>
          <w:numId w:val="0"/>
        </w:numPr>
        <w:tabs>
          <w:tab w:val="left" w:pos="1053"/>
        </w:tabs>
        <w:spacing w:before="158"/>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2-1 中小企业证明文件</w:t>
      </w:r>
    </w:p>
    <w:p w14:paraId="094C2D22">
      <w:pPr>
        <w:pStyle w:val="65"/>
        <w:numPr>
          <w:ilvl w:val="0"/>
          <w:numId w:val="0"/>
        </w:numPr>
        <w:tabs>
          <w:tab w:val="left" w:pos="1053"/>
        </w:tabs>
        <w:spacing w:before="158"/>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2-1-1中小企业声明函及残疾人福利性单位声明函格式</w:t>
      </w:r>
    </w:p>
    <w:p w14:paraId="5C92E6AB">
      <w:pPr>
        <w:pStyle w:val="29"/>
        <w:widowControl/>
        <w:numPr>
          <w:ilvl w:val="0"/>
          <w:numId w:val="0"/>
        </w:numPr>
        <w:shd w:val="clear"/>
        <w:spacing w:before="0" w:beforeAutospacing="0" w:after="0" w:afterAutospacing="0" w:line="360" w:lineRule="auto"/>
        <w:jc w:val="center"/>
        <w:outlineLvl w:val="1"/>
        <w:rPr>
          <w:rFonts w:hint="eastAsia" w:ascii="宋体" w:hAnsi="宋体" w:eastAsia="宋体" w:cs="宋体"/>
          <w:b/>
          <w:bCs/>
          <w:color w:val="auto"/>
          <w:sz w:val="21"/>
          <w:szCs w:val="21"/>
          <w:shd w:val="clear" w:color="auto" w:fill="FFFFFF"/>
        </w:rPr>
      </w:pPr>
    </w:p>
    <w:p w14:paraId="3DD6ED35">
      <w:pPr>
        <w:pStyle w:val="29"/>
        <w:widowControl/>
        <w:spacing w:beforeAutospacing="0" w:afterAutospacing="0" w:line="360" w:lineRule="auto"/>
        <w:jc w:val="center"/>
        <w:outlineLvl w:val="1"/>
        <w:rPr>
          <w:rFonts w:cs="宋体"/>
          <w:b/>
          <w:bCs/>
          <w:sz w:val="28"/>
          <w:szCs w:val="28"/>
          <w:shd w:val="clear" w:color="auto" w:fill="FFFFFF"/>
        </w:rPr>
      </w:pPr>
      <w:bookmarkStart w:id="1046" w:name="_Toc5753"/>
      <w:bookmarkStart w:id="1047" w:name="_Toc1431"/>
      <w:bookmarkStart w:id="1048" w:name="_Toc12716"/>
      <w:bookmarkStart w:id="1049" w:name="_Toc3309"/>
      <w:bookmarkStart w:id="1050" w:name="_Toc14207"/>
      <w:r>
        <w:rPr>
          <w:rFonts w:hint="eastAsia" w:cs="宋体"/>
          <w:b/>
          <w:bCs/>
          <w:sz w:val="28"/>
          <w:szCs w:val="28"/>
          <w:shd w:val="clear" w:color="auto" w:fill="FFFFFF"/>
        </w:rPr>
        <w:t>中小企业声明函（工程、服务）</w:t>
      </w:r>
      <w:bookmarkEnd w:id="1046"/>
      <w:bookmarkEnd w:id="1047"/>
      <w:bookmarkEnd w:id="1048"/>
      <w:bookmarkEnd w:id="1049"/>
      <w:bookmarkEnd w:id="1050"/>
    </w:p>
    <w:p w14:paraId="725D991D">
      <w:pPr>
        <w:pStyle w:val="29"/>
        <w:widowControl/>
        <w:spacing w:beforeAutospacing="0" w:afterAutospacing="0" w:line="360" w:lineRule="auto"/>
        <w:ind w:firstLine="440" w:firstLineChars="200"/>
        <w:rPr>
          <w:rFonts w:cs="宋体"/>
          <w:sz w:val="22"/>
          <w:szCs w:val="22"/>
          <w:shd w:val="clear" w:color="auto" w:fill="FFFFFF"/>
        </w:rPr>
      </w:pPr>
      <w:r>
        <w:rPr>
          <w:rFonts w:hint="eastAsia" w:cs="宋体"/>
          <w:sz w:val="22"/>
          <w:szCs w:val="22"/>
          <w:shd w:val="clear" w:color="auto" w:fill="FFFFFF"/>
        </w:rPr>
        <w:t>本公司（联合体）郑重声明，根据《政府采购促进中小企业发展管理办法》（财库[2020]46号）的规定，本公司（联合体）参加</w:t>
      </w:r>
      <w:r>
        <w:rPr>
          <w:rFonts w:hint="eastAsia" w:cs="宋体"/>
          <w:sz w:val="22"/>
          <w:szCs w:val="22"/>
          <w:u w:val="single"/>
          <w:shd w:val="clear" w:color="auto" w:fill="FFFFFF"/>
        </w:rPr>
        <w:t>（单位名称）的（项目名称）</w:t>
      </w:r>
      <w:r>
        <w:rPr>
          <w:rFonts w:hint="eastAsia" w:cs="宋体"/>
          <w:sz w:val="22"/>
          <w:szCs w:val="22"/>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14:paraId="1A63AE09">
      <w:pPr>
        <w:pStyle w:val="29"/>
        <w:widowControl/>
        <w:spacing w:beforeAutospacing="0" w:afterAutospacing="0" w:line="360" w:lineRule="auto"/>
        <w:ind w:firstLine="440" w:firstLineChars="200"/>
        <w:rPr>
          <w:rFonts w:cs="宋体"/>
          <w:sz w:val="22"/>
          <w:szCs w:val="22"/>
          <w:shd w:val="clear" w:color="auto" w:fill="FFFFFF"/>
        </w:rPr>
      </w:pPr>
      <w:r>
        <w:rPr>
          <w:rFonts w:hint="eastAsia" w:cs="宋体"/>
          <w:sz w:val="22"/>
          <w:szCs w:val="22"/>
          <w:shd w:val="clear" w:color="auto" w:fill="FFFFFF"/>
        </w:rPr>
        <w:t>1.</w:t>
      </w:r>
      <w:r>
        <w:rPr>
          <w:rFonts w:hint="eastAsia" w:cs="宋体"/>
          <w:sz w:val="22"/>
          <w:szCs w:val="22"/>
          <w:u w:val="single"/>
          <w:shd w:val="clear" w:color="auto" w:fill="FFFFFF"/>
        </w:rPr>
        <w:t>（标的名称）</w:t>
      </w:r>
      <w:r>
        <w:rPr>
          <w:rFonts w:hint="eastAsia" w:cs="宋体"/>
          <w:sz w:val="22"/>
          <w:szCs w:val="22"/>
          <w:shd w:val="clear" w:color="auto" w:fill="FFFFFF"/>
        </w:rPr>
        <w:t>，属于</w:t>
      </w:r>
      <w:r>
        <w:rPr>
          <w:rFonts w:hint="eastAsia" w:cs="宋体"/>
          <w:sz w:val="22"/>
          <w:szCs w:val="22"/>
          <w:u w:val="single"/>
          <w:shd w:val="clear" w:color="auto" w:fill="FFFFFF"/>
        </w:rPr>
        <w:t>（采购文件中明确的所属行业）</w:t>
      </w:r>
      <w:r>
        <w:rPr>
          <w:rFonts w:hint="eastAsia" w:cs="宋体"/>
          <w:sz w:val="22"/>
          <w:szCs w:val="22"/>
          <w:shd w:val="clear" w:color="auto" w:fill="FFFFFF"/>
        </w:rPr>
        <w:t>行业；承建（承接）企业为</w:t>
      </w:r>
      <w:r>
        <w:rPr>
          <w:rFonts w:hint="eastAsia" w:cs="宋体"/>
          <w:sz w:val="22"/>
          <w:szCs w:val="22"/>
          <w:u w:val="single"/>
          <w:shd w:val="clear" w:color="auto" w:fill="FFFFFF"/>
        </w:rPr>
        <w:t>（企业名称）</w:t>
      </w:r>
      <w:r>
        <w:rPr>
          <w:rFonts w:hint="eastAsia" w:cs="宋体"/>
          <w:sz w:val="22"/>
          <w:szCs w:val="22"/>
          <w:shd w:val="clear" w:color="auto" w:fill="FFFFFF"/>
        </w:rPr>
        <w:t>，从业人员</w:t>
      </w:r>
      <w:r>
        <w:rPr>
          <w:rFonts w:hint="eastAsia" w:cs="宋体"/>
          <w:sz w:val="22"/>
          <w:szCs w:val="22"/>
          <w:u w:val="single"/>
          <w:shd w:val="clear" w:color="auto" w:fill="FFFFFF"/>
        </w:rPr>
        <w:t xml:space="preserve">      </w:t>
      </w:r>
      <w:r>
        <w:rPr>
          <w:rFonts w:hint="eastAsia" w:cs="宋体"/>
          <w:sz w:val="22"/>
          <w:szCs w:val="22"/>
          <w:shd w:val="clear" w:color="auto" w:fill="FFFFFF"/>
        </w:rPr>
        <w:t>人，营业收入为</w:t>
      </w:r>
      <w:r>
        <w:rPr>
          <w:rFonts w:hint="eastAsia" w:cs="宋体"/>
          <w:sz w:val="22"/>
          <w:szCs w:val="22"/>
          <w:u w:val="single"/>
          <w:shd w:val="clear" w:color="auto" w:fill="FFFFFF"/>
        </w:rPr>
        <w:t xml:space="preserve">      </w:t>
      </w:r>
      <w:r>
        <w:rPr>
          <w:rFonts w:hint="eastAsia" w:cs="宋体"/>
          <w:sz w:val="22"/>
          <w:szCs w:val="22"/>
          <w:shd w:val="clear" w:color="auto" w:fill="FFFFFF"/>
        </w:rPr>
        <w:t>万元，资产总额为</w:t>
      </w:r>
      <w:r>
        <w:rPr>
          <w:rFonts w:hint="eastAsia" w:cs="宋体"/>
          <w:sz w:val="22"/>
          <w:szCs w:val="22"/>
          <w:u w:val="single"/>
          <w:shd w:val="clear" w:color="auto" w:fill="FFFFFF"/>
        </w:rPr>
        <w:t xml:space="preserve">     </w:t>
      </w:r>
      <w:r>
        <w:rPr>
          <w:rFonts w:hint="eastAsia" w:cs="宋体"/>
          <w:spacing w:val="12"/>
          <w:sz w:val="22"/>
          <w:szCs w:val="22"/>
        </w:rPr>
        <w:t>万</w:t>
      </w:r>
      <w:r>
        <w:rPr>
          <w:rFonts w:hint="eastAsia" w:cs="宋体"/>
          <w:sz w:val="22"/>
          <w:szCs w:val="22"/>
        </w:rPr>
        <w:t>元</w:t>
      </w:r>
      <w:r>
        <w:rPr>
          <w:rFonts w:hint="eastAsia" w:cs="宋体"/>
          <w:spacing w:val="-46"/>
          <w:sz w:val="22"/>
          <w:szCs w:val="22"/>
        </w:rPr>
        <w:t xml:space="preserve"> </w:t>
      </w:r>
      <w:r>
        <w:rPr>
          <w:rFonts w:hint="eastAsia" w:cs="宋体"/>
          <w:spacing w:val="8"/>
          <w:w w:val="137"/>
          <w:position w:val="7"/>
          <w:sz w:val="22"/>
          <w:szCs w:val="22"/>
        </w:rPr>
        <w:t>1</w:t>
      </w:r>
      <w:r>
        <w:rPr>
          <w:rFonts w:hint="eastAsia" w:cs="宋体"/>
          <w:sz w:val="22"/>
          <w:szCs w:val="22"/>
          <w:shd w:val="clear" w:color="auto" w:fill="FFFFFF"/>
        </w:rPr>
        <w:t>，属于</w:t>
      </w:r>
      <w:r>
        <w:rPr>
          <w:rFonts w:hint="eastAsia" w:cs="宋体"/>
          <w:sz w:val="22"/>
          <w:szCs w:val="22"/>
          <w:u w:val="single"/>
          <w:shd w:val="clear" w:color="auto" w:fill="FFFFFF"/>
        </w:rPr>
        <w:t>（中型企业、小型企业、微型企业）</w:t>
      </w:r>
      <w:r>
        <w:rPr>
          <w:rFonts w:hint="eastAsia" w:cs="宋体"/>
          <w:sz w:val="22"/>
          <w:szCs w:val="22"/>
          <w:shd w:val="clear" w:color="auto" w:fill="FFFFFF"/>
        </w:rPr>
        <w:t>；</w:t>
      </w:r>
    </w:p>
    <w:p w14:paraId="64799493">
      <w:pPr>
        <w:pStyle w:val="29"/>
        <w:widowControl/>
        <w:spacing w:beforeAutospacing="0" w:afterAutospacing="0" w:line="360" w:lineRule="auto"/>
        <w:ind w:firstLine="440" w:firstLineChars="200"/>
        <w:rPr>
          <w:rFonts w:cs="宋体"/>
          <w:sz w:val="22"/>
          <w:szCs w:val="22"/>
          <w:shd w:val="clear" w:color="auto" w:fill="FFFFFF"/>
        </w:rPr>
      </w:pPr>
      <w:r>
        <w:rPr>
          <w:rFonts w:hint="eastAsia" w:cs="宋体"/>
          <w:sz w:val="22"/>
          <w:szCs w:val="22"/>
          <w:shd w:val="clear" w:color="auto" w:fill="FFFFFF"/>
        </w:rPr>
        <w:t>2.</w:t>
      </w:r>
      <w:r>
        <w:rPr>
          <w:rFonts w:hint="eastAsia" w:cs="宋体"/>
          <w:sz w:val="22"/>
          <w:szCs w:val="22"/>
          <w:u w:val="single"/>
          <w:shd w:val="clear" w:color="auto" w:fill="FFFFFF"/>
        </w:rPr>
        <w:t>（标的名称）</w:t>
      </w:r>
      <w:r>
        <w:rPr>
          <w:rFonts w:hint="eastAsia" w:cs="宋体"/>
          <w:sz w:val="22"/>
          <w:szCs w:val="22"/>
          <w:shd w:val="clear" w:color="auto" w:fill="FFFFFF"/>
        </w:rPr>
        <w:t>，属于</w:t>
      </w:r>
      <w:r>
        <w:rPr>
          <w:rFonts w:hint="eastAsia" w:cs="宋体"/>
          <w:sz w:val="22"/>
          <w:szCs w:val="22"/>
          <w:u w:val="single"/>
          <w:shd w:val="clear" w:color="auto" w:fill="FFFFFF"/>
        </w:rPr>
        <w:t>（采购文件中明确的所属行业）</w:t>
      </w:r>
      <w:r>
        <w:rPr>
          <w:rFonts w:hint="eastAsia" w:cs="宋体"/>
          <w:sz w:val="22"/>
          <w:szCs w:val="22"/>
          <w:shd w:val="clear" w:color="auto" w:fill="FFFFFF"/>
        </w:rPr>
        <w:t>行业；承建（承接）企业为</w:t>
      </w:r>
      <w:r>
        <w:rPr>
          <w:rFonts w:hint="eastAsia" w:cs="宋体"/>
          <w:sz w:val="22"/>
          <w:szCs w:val="22"/>
          <w:u w:val="single"/>
          <w:shd w:val="clear" w:color="auto" w:fill="FFFFFF"/>
        </w:rPr>
        <w:t>（企业名称）</w:t>
      </w:r>
      <w:r>
        <w:rPr>
          <w:rFonts w:hint="eastAsia" w:cs="宋体"/>
          <w:sz w:val="22"/>
          <w:szCs w:val="22"/>
          <w:shd w:val="clear" w:color="auto" w:fill="FFFFFF"/>
        </w:rPr>
        <w:t>，从业人员</w:t>
      </w:r>
      <w:r>
        <w:rPr>
          <w:rFonts w:hint="eastAsia" w:cs="宋体"/>
          <w:sz w:val="22"/>
          <w:szCs w:val="22"/>
          <w:u w:val="single"/>
          <w:shd w:val="clear" w:color="auto" w:fill="FFFFFF"/>
        </w:rPr>
        <w:t xml:space="preserve">      </w:t>
      </w:r>
      <w:r>
        <w:rPr>
          <w:rFonts w:hint="eastAsia" w:cs="宋体"/>
          <w:sz w:val="22"/>
          <w:szCs w:val="22"/>
          <w:shd w:val="clear" w:color="auto" w:fill="FFFFFF"/>
        </w:rPr>
        <w:t>人，营业收入为</w:t>
      </w:r>
      <w:r>
        <w:rPr>
          <w:rFonts w:hint="eastAsia" w:cs="宋体"/>
          <w:sz w:val="22"/>
          <w:szCs w:val="22"/>
          <w:u w:val="single"/>
          <w:shd w:val="clear" w:color="auto" w:fill="FFFFFF"/>
        </w:rPr>
        <w:t xml:space="preserve">      </w:t>
      </w:r>
      <w:r>
        <w:rPr>
          <w:rFonts w:hint="eastAsia" w:cs="宋体"/>
          <w:sz w:val="22"/>
          <w:szCs w:val="22"/>
          <w:shd w:val="clear" w:color="auto" w:fill="FFFFFF"/>
        </w:rPr>
        <w:t>万元，资产总额为</w:t>
      </w:r>
      <w:r>
        <w:rPr>
          <w:rFonts w:hint="eastAsia" w:cs="宋体"/>
          <w:sz w:val="22"/>
          <w:szCs w:val="22"/>
          <w:u w:val="single"/>
          <w:shd w:val="clear" w:color="auto" w:fill="FFFFFF"/>
        </w:rPr>
        <w:t xml:space="preserve">   </w:t>
      </w:r>
      <w:r>
        <w:rPr>
          <w:rFonts w:hint="eastAsia" w:cs="宋体"/>
          <w:sz w:val="22"/>
          <w:szCs w:val="22"/>
          <w:shd w:val="clear" w:color="auto" w:fill="FFFFFF"/>
        </w:rPr>
        <w:t>万元，属于</w:t>
      </w:r>
      <w:r>
        <w:rPr>
          <w:rFonts w:hint="eastAsia" w:cs="宋体"/>
          <w:sz w:val="22"/>
          <w:szCs w:val="22"/>
          <w:u w:val="single"/>
          <w:shd w:val="clear" w:color="auto" w:fill="FFFFFF"/>
        </w:rPr>
        <w:t>（中型企业、小型企业、微型企业）</w:t>
      </w:r>
      <w:r>
        <w:rPr>
          <w:rFonts w:hint="eastAsia" w:cs="宋体"/>
          <w:sz w:val="22"/>
          <w:szCs w:val="22"/>
          <w:shd w:val="clear" w:color="auto" w:fill="FFFFFF"/>
        </w:rPr>
        <w:t>；</w:t>
      </w:r>
    </w:p>
    <w:p w14:paraId="0CA52E63">
      <w:pPr>
        <w:pStyle w:val="29"/>
        <w:widowControl/>
        <w:spacing w:beforeAutospacing="0" w:afterAutospacing="0" w:line="360" w:lineRule="auto"/>
        <w:rPr>
          <w:rFonts w:cs="宋体"/>
          <w:sz w:val="22"/>
          <w:szCs w:val="22"/>
          <w:shd w:val="clear" w:color="auto" w:fill="FFFFFF"/>
        </w:rPr>
      </w:pPr>
      <w:r>
        <w:rPr>
          <w:rFonts w:hint="eastAsia" w:cs="宋体"/>
          <w:sz w:val="22"/>
          <w:szCs w:val="22"/>
          <w:shd w:val="clear" w:color="auto" w:fill="FFFFFF"/>
        </w:rPr>
        <w:t xml:space="preserve">   ........</w:t>
      </w:r>
    </w:p>
    <w:p w14:paraId="6E612095">
      <w:pPr>
        <w:pStyle w:val="29"/>
        <w:widowControl/>
        <w:spacing w:beforeAutospacing="0" w:afterAutospacing="0" w:line="360" w:lineRule="auto"/>
        <w:ind w:firstLine="560"/>
        <w:rPr>
          <w:rFonts w:cs="宋体"/>
          <w:sz w:val="22"/>
          <w:szCs w:val="22"/>
          <w:shd w:val="clear" w:color="auto" w:fill="FFFFFF"/>
        </w:rPr>
      </w:pPr>
      <w:r>
        <w:rPr>
          <w:rFonts w:hint="eastAsia" w:cs="宋体"/>
          <w:sz w:val="22"/>
          <w:szCs w:val="22"/>
          <w:shd w:val="clear" w:color="auto" w:fill="FFFFFF"/>
        </w:rPr>
        <w:t>以上企业，不属于大企业的分支机构，不存在控股股东为大企业的情形，也不存在与大企业的负责人为同一人的情形。</w:t>
      </w:r>
    </w:p>
    <w:p w14:paraId="5AF6FF57">
      <w:pPr>
        <w:pStyle w:val="29"/>
        <w:widowControl/>
        <w:spacing w:beforeAutospacing="0" w:afterAutospacing="0" w:line="360" w:lineRule="auto"/>
        <w:ind w:firstLine="560"/>
        <w:rPr>
          <w:rFonts w:cs="宋体"/>
          <w:sz w:val="22"/>
          <w:szCs w:val="22"/>
          <w:shd w:val="clear" w:color="auto" w:fill="FFFFFF"/>
        </w:rPr>
      </w:pPr>
      <w:r>
        <w:rPr>
          <w:rFonts w:hint="eastAsia" w:cs="宋体"/>
          <w:sz w:val="22"/>
          <w:szCs w:val="22"/>
          <w:shd w:val="clear" w:color="auto" w:fill="FFFFFF"/>
        </w:rPr>
        <w:t>本企业对上述声明内容的真实性负责。如有虚假，将依法承担相应责任。</w:t>
      </w:r>
    </w:p>
    <w:p w14:paraId="25F0D852">
      <w:pPr>
        <w:pStyle w:val="29"/>
        <w:widowControl/>
        <w:spacing w:beforeAutospacing="0" w:afterAutospacing="0" w:line="360" w:lineRule="auto"/>
        <w:ind w:firstLine="560"/>
        <w:rPr>
          <w:rFonts w:cs="宋体"/>
          <w:sz w:val="22"/>
          <w:szCs w:val="22"/>
          <w:shd w:val="clear" w:color="auto" w:fill="FFFFFF"/>
        </w:rPr>
      </w:pPr>
    </w:p>
    <w:p w14:paraId="5EDDE751">
      <w:pPr>
        <w:pStyle w:val="29"/>
        <w:widowControl/>
        <w:spacing w:beforeAutospacing="0" w:afterAutospacing="0" w:line="360" w:lineRule="auto"/>
        <w:rPr>
          <w:rFonts w:cs="宋体"/>
          <w:sz w:val="22"/>
          <w:szCs w:val="22"/>
          <w:shd w:val="clear" w:color="auto" w:fill="FFFFFF"/>
        </w:rPr>
      </w:pPr>
    </w:p>
    <w:p w14:paraId="144C103F">
      <w:pPr>
        <w:spacing w:line="360" w:lineRule="auto"/>
        <w:rPr>
          <w:sz w:val="22"/>
          <w:szCs w:val="22"/>
        </w:rPr>
      </w:pPr>
      <w:r>
        <w:rPr>
          <w:rFonts w:hint="eastAsia"/>
          <w:sz w:val="22"/>
          <w:szCs w:val="22"/>
        </w:rPr>
        <w:t xml:space="preserve">                                    </w:t>
      </w:r>
    </w:p>
    <w:p w14:paraId="2C58E27B">
      <w:pPr>
        <w:pStyle w:val="12"/>
        <w:tabs>
          <w:tab w:val="left" w:pos="2812"/>
        </w:tabs>
        <w:ind w:right="878"/>
        <w:jc w:val="center"/>
        <w:rPr>
          <w:sz w:val="22"/>
          <w:szCs w:val="22"/>
          <w:lang w:eastAsia="zh-CN"/>
        </w:rPr>
      </w:pPr>
      <w:r>
        <w:rPr>
          <w:rFonts w:hint="eastAsia"/>
          <w:sz w:val="22"/>
          <w:szCs w:val="22"/>
        </w:rPr>
        <w:t xml:space="preserve"> </w:t>
      </w:r>
      <w:r>
        <w:rPr>
          <w:rFonts w:hint="eastAsia"/>
          <w:sz w:val="22"/>
          <w:szCs w:val="22"/>
          <w:lang w:eastAsia="zh-CN"/>
        </w:rPr>
        <w:t>企业名称（盖章）</w:t>
      </w:r>
      <w:r>
        <w:rPr>
          <w:rFonts w:hint="eastAsia"/>
          <w:sz w:val="22"/>
          <w:szCs w:val="22"/>
          <w:u w:val="single"/>
          <w:lang w:eastAsia="zh-CN"/>
        </w:rPr>
        <w:t xml:space="preserve">： </w:t>
      </w:r>
      <w:r>
        <w:rPr>
          <w:rFonts w:hint="eastAsia"/>
          <w:sz w:val="22"/>
          <w:szCs w:val="22"/>
          <w:u w:val="single"/>
          <w:lang w:eastAsia="zh-CN"/>
        </w:rPr>
        <w:tab/>
      </w:r>
    </w:p>
    <w:p w14:paraId="3B227BC1">
      <w:pPr>
        <w:pStyle w:val="12"/>
        <w:tabs>
          <w:tab w:val="left" w:pos="1612"/>
        </w:tabs>
        <w:spacing w:before="161"/>
        <w:ind w:right="878"/>
        <w:jc w:val="center"/>
        <w:rPr>
          <w:sz w:val="22"/>
          <w:szCs w:val="22"/>
          <w:lang w:eastAsia="zh-CN"/>
        </w:rPr>
      </w:pPr>
      <w:r>
        <w:rPr>
          <w:rFonts w:hint="eastAsia"/>
          <w:sz w:val="22"/>
          <w:szCs w:val="22"/>
          <w:lang w:eastAsia="zh-CN"/>
        </w:rPr>
        <w:t>日</w:t>
      </w:r>
      <w:r>
        <w:rPr>
          <w:rFonts w:hint="eastAsia"/>
          <w:spacing w:val="-1"/>
          <w:sz w:val="22"/>
          <w:szCs w:val="22"/>
          <w:lang w:eastAsia="zh-CN"/>
        </w:rPr>
        <w:t xml:space="preserve"> </w:t>
      </w:r>
      <w:r>
        <w:rPr>
          <w:rFonts w:hint="eastAsia"/>
          <w:sz w:val="22"/>
          <w:szCs w:val="22"/>
          <w:lang w:eastAsia="zh-CN"/>
        </w:rPr>
        <w:t>期：</w:t>
      </w:r>
      <w:r>
        <w:rPr>
          <w:rFonts w:hint="eastAsia"/>
          <w:sz w:val="22"/>
          <w:szCs w:val="22"/>
          <w:u w:val="single"/>
          <w:lang w:eastAsia="zh-CN"/>
        </w:rPr>
        <w:t xml:space="preserve"> </w:t>
      </w:r>
      <w:r>
        <w:rPr>
          <w:rFonts w:hint="eastAsia"/>
          <w:sz w:val="22"/>
          <w:szCs w:val="22"/>
          <w:u w:val="single"/>
          <w:lang w:eastAsia="zh-CN"/>
        </w:rPr>
        <w:tab/>
      </w:r>
    </w:p>
    <w:p w14:paraId="650401FA">
      <w:pPr>
        <w:pStyle w:val="12"/>
        <w:rPr>
          <w:rFonts w:hint="eastAsia" w:ascii="宋体" w:hAnsi="宋体" w:eastAsia="宋体" w:cs="宋体"/>
          <w:color w:val="auto"/>
          <w:sz w:val="21"/>
          <w:szCs w:val="21"/>
          <w:lang w:eastAsia="zh-CN"/>
        </w:rPr>
      </w:pPr>
    </w:p>
    <w:p w14:paraId="7F16FCD2">
      <w:pPr>
        <w:pStyle w:val="12"/>
        <w:rPr>
          <w:rFonts w:hint="eastAsia" w:ascii="宋体" w:hAnsi="宋体" w:eastAsia="宋体" w:cs="宋体"/>
          <w:color w:val="auto"/>
          <w:sz w:val="21"/>
          <w:szCs w:val="21"/>
          <w:lang w:eastAsia="zh-CN"/>
        </w:rPr>
      </w:pPr>
    </w:p>
    <w:p w14:paraId="46196B8A">
      <w:pPr>
        <w:pStyle w:val="12"/>
        <w:spacing w:before="2"/>
        <w:rPr>
          <w:rFonts w:hint="eastAsia" w:ascii="宋体" w:hAnsi="宋体" w:eastAsia="宋体" w:cs="宋体"/>
          <w:color w:val="auto"/>
          <w:sz w:val="21"/>
          <w:szCs w:val="21"/>
          <w:lang w:eastAsia="zh-CN"/>
        </w:rPr>
      </w:pPr>
      <w:r>
        <w:rPr>
          <w:rFonts w:hint="eastAsia" w:ascii="宋体" w:hAnsi="宋体" w:eastAsia="宋体" w:cs="宋体"/>
          <w:color w:val="auto"/>
          <w:sz w:val="21"/>
          <w:szCs w:val="21"/>
        </w:rPr>
        <mc:AlternateContent>
          <mc:Choice Requires="wps">
            <w:drawing>
              <wp:anchor distT="0" distB="0" distL="114300" distR="114300" simplePos="0" relativeHeight="251663360" behindDoc="1" locked="0" layoutInCell="1" allowOverlap="1">
                <wp:simplePos x="0" y="0"/>
                <wp:positionH relativeFrom="page">
                  <wp:posOffset>1011555</wp:posOffset>
                </wp:positionH>
                <wp:positionV relativeFrom="paragraph">
                  <wp:posOffset>196850</wp:posOffset>
                </wp:positionV>
                <wp:extent cx="5681345" cy="1270"/>
                <wp:effectExtent l="0" t="0" r="0" b="0"/>
                <wp:wrapTopAndBottom/>
                <wp:docPr id="2" name="任意多边形 2"/>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9.65pt;margin-top:15.5pt;height:0.1pt;width:447.35pt;mso-position-horizontal-relative:page;mso-wrap-distance-bottom:0pt;mso-wrap-distance-top:0pt;z-index:-251653120;mso-width-relative:page;mso-height-relative:page;" filled="f" stroked="t" coordsize="8947,1" o:gfxdata="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ENZZ9gAAAAKAQAADwAAAAAAAAABACAAAAAiAAAAZHJzL2Rvd25yZXYueG1s&#10;UEsBAhQAFAAAAAgAh07iQIDLPkwxAgAAhQQAAA4AAAAAAAAAAQAgAAAAJwEAAGRycy9lMm9Eb2Mu&#10;eG1sUEsFBgAAAAAGAAYAWQEAAMoFAAAAAA==&#10;" path="m0,0l8946,0e">
                <v:fill on="f" focussize="0,0"/>
                <v:stroke weight="0.48pt" color="#000000" joinstyle="round"/>
                <v:imagedata o:title=""/>
                <o:lock v:ext="edit" aspectratio="f"/>
                <w10:wrap type="topAndBottom"/>
              </v:shape>
            </w:pict>
          </mc:Fallback>
        </mc:AlternateContent>
      </w:r>
    </w:p>
    <w:p w14:paraId="54419323">
      <w:pPr>
        <w:spacing w:line="241" w:lineRule="exact"/>
        <w:ind w:left="541"/>
        <w:rPr>
          <w:rFonts w:hint="eastAsia" w:ascii="宋体" w:hAnsi="宋体" w:eastAsia="宋体" w:cs="宋体"/>
          <w:color w:val="auto"/>
          <w:sz w:val="21"/>
          <w:szCs w:val="21"/>
          <w:lang w:eastAsia="zh-CN"/>
        </w:rPr>
      </w:pPr>
      <w:r>
        <w:rPr>
          <w:rFonts w:hint="eastAsia" w:ascii="宋体" w:hAnsi="宋体" w:eastAsia="宋体" w:cs="宋体"/>
          <w:color w:val="auto"/>
          <w:w w:val="125"/>
          <w:position w:val="6"/>
          <w:sz w:val="21"/>
          <w:szCs w:val="21"/>
          <w:lang w:eastAsia="zh-CN"/>
        </w:rPr>
        <w:t xml:space="preserve">1 </w:t>
      </w:r>
      <w:r>
        <w:rPr>
          <w:rFonts w:hint="eastAsia" w:ascii="宋体" w:hAnsi="宋体" w:eastAsia="宋体" w:cs="宋体"/>
          <w:color w:val="auto"/>
          <w:sz w:val="21"/>
          <w:szCs w:val="21"/>
          <w:lang w:eastAsia="zh-CN"/>
        </w:rPr>
        <w:t>从业人员、营业收入、资产总额填报上一年度数据，无上一年度数据的新成立企业可不填报。</w:t>
      </w:r>
    </w:p>
    <w:p w14:paraId="2079DC59">
      <w:pPr>
        <w:spacing w:line="241" w:lineRule="exact"/>
        <w:rPr>
          <w:rFonts w:hint="eastAsia" w:ascii="宋体" w:hAnsi="宋体" w:eastAsia="宋体" w:cs="宋体"/>
          <w:color w:val="auto"/>
          <w:sz w:val="21"/>
          <w:szCs w:val="21"/>
          <w:lang w:eastAsia="zh-CN"/>
        </w:rPr>
        <w:sectPr>
          <w:pgSz w:w="11910" w:h="16840"/>
          <w:pgMar w:top="1340" w:right="1185" w:bottom="1140" w:left="1160" w:header="879" w:footer="892" w:gutter="0"/>
          <w:pgNumType w:fmt="decimal"/>
          <w:cols w:space="720" w:num="1"/>
        </w:sectPr>
      </w:pPr>
    </w:p>
    <w:p w14:paraId="335F1C28">
      <w:pPr>
        <w:pStyle w:val="29"/>
        <w:widowControl/>
        <w:spacing w:beforeAutospacing="0" w:afterAutospacing="0" w:line="360" w:lineRule="auto"/>
        <w:jc w:val="center"/>
        <w:outlineLvl w:val="1"/>
        <w:rPr>
          <w:rFonts w:hint="eastAsia" w:ascii="宋体" w:hAnsi="宋体" w:eastAsia="宋体" w:cs="宋体"/>
          <w:b/>
          <w:bCs/>
          <w:sz w:val="28"/>
          <w:szCs w:val="28"/>
          <w:shd w:val="clear" w:color="auto" w:fill="FFFFFF"/>
          <w:lang w:eastAsia="en-US"/>
        </w:rPr>
      </w:pPr>
      <w:bookmarkStart w:id="1051" w:name="_Toc13321"/>
      <w:bookmarkStart w:id="1052" w:name="_Toc19087"/>
      <w:bookmarkStart w:id="1053" w:name="_Toc11305"/>
      <w:bookmarkStart w:id="1054" w:name="_Toc16320"/>
      <w:bookmarkStart w:id="1055" w:name="_Toc29796"/>
      <w:r>
        <w:rPr>
          <w:rFonts w:hint="eastAsia" w:ascii="宋体" w:hAnsi="宋体" w:eastAsia="宋体" w:cs="宋体"/>
          <w:b/>
          <w:bCs/>
          <w:sz w:val="28"/>
          <w:szCs w:val="28"/>
          <w:shd w:val="clear" w:color="auto" w:fill="FFFFFF"/>
          <w:lang w:eastAsia="en-US"/>
        </w:rPr>
        <w:t>残疾人福利性单位声明函</w:t>
      </w:r>
      <w:bookmarkEnd w:id="1051"/>
      <w:bookmarkEnd w:id="1052"/>
      <w:bookmarkEnd w:id="1053"/>
      <w:bookmarkEnd w:id="1054"/>
      <w:bookmarkEnd w:id="1055"/>
    </w:p>
    <w:p w14:paraId="4D382D3F">
      <w:pPr>
        <w:pStyle w:val="12"/>
        <w:keepNext w:val="0"/>
        <w:keepLines w:val="0"/>
        <w:pageBreakBefore w:val="0"/>
        <w:widowControl w:val="0"/>
        <w:kinsoku/>
        <w:wordWrap/>
        <w:overflowPunct/>
        <w:topLinePunct w:val="0"/>
        <w:autoSpaceDE w:val="0"/>
        <w:autoSpaceDN w:val="0"/>
        <w:bidi w:val="0"/>
        <w:adjustRightInd/>
        <w:snapToGrid/>
        <w:spacing w:before="246" w:line="458" w:lineRule="auto"/>
        <w:ind w:left="0" w:right="0" w:firstLine="504"/>
        <w:jc w:val="left"/>
        <w:textAlignment w:val="auto"/>
        <w:rPr>
          <w:rFonts w:hint="eastAsia" w:ascii="宋体" w:hAnsi="宋体" w:eastAsia="宋体" w:cs="宋体"/>
          <w:sz w:val="22"/>
          <w:szCs w:val="22"/>
          <w:lang w:eastAsia="zh-CN"/>
        </w:rPr>
      </w:pPr>
      <w:r>
        <w:rPr>
          <w:rFonts w:hint="eastAsia" w:ascii="宋体" w:hAnsi="宋体" w:eastAsia="宋体" w:cs="宋体"/>
          <w:spacing w:val="8"/>
          <w:sz w:val="22"/>
          <w:szCs w:val="22"/>
          <w:lang w:eastAsia="zh-CN"/>
        </w:rPr>
        <w:t>本单位郑重声明，根据《财政部 民政部 中国残疾人联合会关于促进残疾人就</w:t>
      </w:r>
      <w:r>
        <w:rPr>
          <w:rFonts w:hint="eastAsia" w:ascii="宋体" w:hAnsi="宋体" w:eastAsia="宋体" w:cs="宋体"/>
          <w:sz w:val="22"/>
          <w:szCs w:val="22"/>
          <w:lang w:eastAsia="zh-CN"/>
        </w:rPr>
        <w:t>业政府采购政策的通知》</w:t>
      </w:r>
      <w:r>
        <w:rPr>
          <w:rFonts w:hint="eastAsia" w:ascii="宋体" w:hAnsi="宋体" w:eastAsia="宋体" w:cs="宋体"/>
          <w:spacing w:val="12"/>
          <w:sz w:val="22"/>
          <w:szCs w:val="22"/>
          <w:lang w:eastAsia="zh-CN"/>
        </w:rPr>
        <w:t>（</w:t>
      </w:r>
      <w:r>
        <w:rPr>
          <w:rFonts w:hint="eastAsia" w:ascii="宋体" w:hAnsi="宋体" w:eastAsia="宋体" w:cs="宋体"/>
          <w:spacing w:val="5"/>
          <w:sz w:val="22"/>
          <w:szCs w:val="22"/>
          <w:lang w:eastAsia="zh-CN"/>
        </w:rPr>
        <w:t>财库〔</w:t>
      </w:r>
      <w:r>
        <w:rPr>
          <w:rFonts w:hint="eastAsia" w:ascii="宋体" w:hAnsi="宋体" w:eastAsia="宋体" w:cs="宋体"/>
          <w:spacing w:val="-2"/>
          <w:w w:val="139"/>
          <w:sz w:val="22"/>
          <w:szCs w:val="22"/>
          <w:lang w:eastAsia="zh-CN"/>
        </w:rPr>
        <w:t>2</w:t>
      </w:r>
      <w:r>
        <w:rPr>
          <w:rFonts w:hint="eastAsia" w:ascii="宋体" w:hAnsi="宋体" w:eastAsia="宋体" w:cs="宋体"/>
          <w:w w:val="139"/>
          <w:sz w:val="22"/>
          <w:szCs w:val="22"/>
          <w:lang w:eastAsia="zh-CN"/>
        </w:rPr>
        <w:t>0</w:t>
      </w:r>
      <w:r>
        <w:rPr>
          <w:rFonts w:hint="eastAsia" w:ascii="宋体" w:hAnsi="宋体" w:eastAsia="宋体" w:cs="宋体"/>
          <w:spacing w:val="-2"/>
          <w:w w:val="139"/>
          <w:sz w:val="22"/>
          <w:szCs w:val="22"/>
          <w:lang w:eastAsia="zh-CN"/>
        </w:rPr>
        <w:t>1</w:t>
      </w:r>
      <w:r>
        <w:rPr>
          <w:rFonts w:hint="eastAsia" w:ascii="宋体" w:hAnsi="宋体" w:eastAsia="宋体" w:cs="宋体"/>
          <w:spacing w:val="3"/>
          <w:w w:val="139"/>
          <w:sz w:val="22"/>
          <w:szCs w:val="22"/>
          <w:lang w:eastAsia="zh-CN"/>
        </w:rPr>
        <w:t>7</w:t>
      </w:r>
      <w:r>
        <w:rPr>
          <w:rFonts w:hint="eastAsia" w:ascii="宋体" w:hAnsi="宋体" w:eastAsia="宋体" w:cs="宋体"/>
          <w:spacing w:val="-2"/>
          <w:sz w:val="22"/>
          <w:szCs w:val="22"/>
          <w:lang w:eastAsia="zh-CN"/>
        </w:rPr>
        <w:t xml:space="preserve">〕 </w:t>
      </w:r>
      <w:r>
        <w:rPr>
          <w:rFonts w:hint="eastAsia" w:ascii="宋体" w:hAnsi="宋体" w:eastAsia="宋体" w:cs="宋体"/>
          <w:spacing w:val="-2"/>
          <w:w w:val="139"/>
          <w:sz w:val="22"/>
          <w:szCs w:val="22"/>
          <w:lang w:eastAsia="zh-CN"/>
        </w:rPr>
        <w:t>14</w:t>
      </w:r>
      <w:r>
        <w:rPr>
          <w:rFonts w:hint="eastAsia" w:ascii="宋体" w:hAnsi="宋体" w:eastAsia="宋体" w:cs="宋体"/>
          <w:w w:val="139"/>
          <w:sz w:val="22"/>
          <w:szCs w:val="22"/>
          <w:lang w:eastAsia="zh-CN"/>
        </w:rPr>
        <w:t>1</w:t>
      </w:r>
      <w:r>
        <w:rPr>
          <w:rFonts w:hint="eastAsia" w:ascii="宋体" w:hAnsi="宋体" w:eastAsia="宋体" w:cs="宋体"/>
          <w:sz w:val="22"/>
          <w:szCs w:val="22"/>
          <w:lang w:eastAsia="zh-CN"/>
        </w:rPr>
        <w:t xml:space="preserve"> </w:t>
      </w:r>
      <w:r>
        <w:rPr>
          <w:rFonts w:hint="eastAsia" w:ascii="宋体" w:hAnsi="宋体" w:eastAsia="宋体" w:cs="宋体"/>
          <w:spacing w:val="12"/>
          <w:sz w:val="22"/>
          <w:szCs w:val="22"/>
          <w:lang w:eastAsia="zh-CN"/>
        </w:rPr>
        <w:t>号</w:t>
      </w:r>
      <w:r>
        <w:rPr>
          <w:rFonts w:hint="eastAsia" w:ascii="宋体" w:hAnsi="宋体" w:eastAsia="宋体" w:cs="宋体"/>
          <w:spacing w:val="9"/>
          <w:sz w:val="22"/>
          <w:szCs w:val="22"/>
          <w:lang w:eastAsia="zh-CN"/>
        </w:rPr>
        <w:t>）</w:t>
      </w:r>
      <w:r>
        <w:rPr>
          <w:rFonts w:hint="eastAsia" w:ascii="宋体" w:hAnsi="宋体" w:eastAsia="宋体" w:cs="宋体"/>
          <w:spacing w:val="10"/>
          <w:sz w:val="22"/>
          <w:szCs w:val="22"/>
          <w:lang w:eastAsia="zh-CN"/>
        </w:rPr>
        <w:t>的规定，本单位</w:t>
      </w:r>
      <w:r>
        <w:rPr>
          <w:rFonts w:hint="eastAsia" w:ascii="宋体" w:hAnsi="宋体" w:eastAsia="宋体" w:cs="宋体"/>
          <w:spacing w:val="2"/>
          <w:sz w:val="22"/>
          <w:szCs w:val="22"/>
          <w:lang w:eastAsia="zh-CN"/>
        </w:rPr>
        <w:t>（</w:t>
      </w:r>
      <w:r>
        <w:rPr>
          <w:rFonts w:hint="eastAsia" w:ascii="宋体" w:hAnsi="宋体" w:eastAsia="宋体" w:cs="宋体"/>
          <w:sz w:val="22"/>
          <w:szCs w:val="22"/>
          <w:lang w:eastAsia="zh-CN"/>
        </w:rPr>
        <w:t>请进行选）：</w:t>
      </w:r>
    </w:p>
    <w:p w14:paraId="7F2CAD17">
      <w:pPr>
        <w:pStyle w:val="12"/>
        <w:keepNext w:val="0"/>
        <w:keepLines w:val="0"/>
        <w:pageBreakBefore w:val="0"/>
        <w:widowControl w:val="0"/>
        <w:kinsoku/>
        <w:wordWrap/>
        <w:overflowPunct/>
        <w:topLinePunct w:val="0"/>
        <w:autoSpaceDE w:val="0"/>
        <w:autoSpaceDN w:val="0"/>
        <w:bidi w:val="0"/>
        <w:adjustRightInd/>
        <w:snapToGrid/>
        <w:spacing w:before="1"/>
        <w:ind w:right="0" w:firstLine="618" w:firstLineChars="200"/>
        <w:jc w:val="left"/>
        <w:textAlignment w:val="auto"/>
        <w:rPr>
          <w:rFonts w:hint="eastAsia" w:ascii="宋体" w:hAnsi="宋体" w:eastAsia="宋体" w:cs="宋体"/>
          <w:sz w:val="22"/>
          <w:szCs w:val="22"/>
          <w:lang w:eastAsia="zh-CN"/>
        </w:rPr>
      </w:pPr>
      <w:r>
        <w:rPr>
          <w:rFonts w:hint="eastAsia" w:ascii="宋体" w:hAnsi="宋体" w:eastAsia="宋体" w:cs="宋体"/>
          <w:b/>
          <w:w w:val="140"/>
          <w:sz w:val="22"/>
          <w:szCs w:val="22"/>
          <w:lang w:eastAsia="zh-CN"/>
        </w:rPr>
        <w:t>□</w:t>
      </w:r>
      <w:r>
        <w:rPr>
          <w:rFonts w:hint="eastAsia" w:ascii="宋体" w:hAnsi="宋体" w:eastAsia="宋体" w:cs="宋体"/>
          <w:w w:val="105"/>
          <w:sz w:val="22"/>
          <w:szCs w:val="22"/>
          <w:lang w:eastAsia="zh-CN"/>
        </w:rPr>
        <w:t>不属于符合条件的残疾人福利性单位。</w:t>
      </w:r>
    </w:p>
    <w:p w14:paraId="6FF93813">
      <w:pPr>
        <w:pStyle w:val="12"/>
        <w:keepNext w:val="0"/>
        <w:keepLines w:val="0"/>
        <w:pageBreakBefore w:val="0"/>
        <w:widowControl w:val="0"/>
        <w:kinsoku/>
        <w:wordWrap/>
        <w:overflowPunct/>
        <w:topLinePunct w:val="0"/>
        <w:autoSpaceDE w:val="0"/>
        <w:autoSpaceDN w:val="0"/>
        <w:bidi w:val="0"/>
        <w:adjustRightInd/>
        <w:snapToGrid/>
        <w:spacing w:before="7"/>
        <w:ind w:left="0" w:right="0"/>
        <w:jc w:val="left"/>
        <w:textAlignment w:val="auto"/>
        <w:rPr>
          <w:rFonts w:hint="eastAsia" w:ascii="宋体" w:hAnsi="宋体" w:eastAsia="宋体" w:cs="宋体"/>
          <w:sz w:val="22"/>
          <w:szCs w:val="22"/>
          <w:lang w:eastAsia="zh-CN"/>
        </w:rPr>
      </w:pPr>
    </w:p>
    <w:p w14:paraId="46E92052">
      <w:pPr>
        <w:pStyle w:val="12"/>
        <w:keepNext w:val="0"/>
        <w:keepLines w:val="0"/>
        <w:pageBreakBefore w:val="0"/>
        <w:widowControl w:val="0"/>
        <w:tabs>
          <w:tab w:val="left" w:pos="7629"/>
          <w:tab w:val="left" w:pos="9119"/>
        </w:tabs>
        <w:kinsoku/>
        <w:wordWrap/>
        <w:overflowPunct/>
        <w:topLinePunct w:val="0"/>
        <w:autoSpaceDE w:val="0"/>
        <w:autoSpaceDN w:val="0"/>
        <w:bidi w:val="0"/>
        <w:adjustRightInd/>
        <w:snapToGrid/>
        <w:spacing w:line="456" w:lineRule="auto"/>
        <w:ind w:right="0" w:firstLine="596" w:firstLineChars="200"/>
        <w:jc w:val="left"/>
        <w:textAlignment w:val="auto"/>
        <w:rPr>
          <w:rFonts w:hint="eastAsia" w:ascii="宋体" w:hAnsi="宋体" w:eastAsia="宋体" w:cs="宋体"/>
          <w:sz w:val="22"/>
          <w:szCs w:val="22"/>
          <w:lang w:eastAsia="zh-CN"/>
        </w:rPr>
      </w:pPr>
      <w:r>
        <w:rPr>
          <w:rFonts w:hint="eastAsia" w:cs="宋体"/>
          <w:b/>
          <w:w w:val="135"/>
          <w:sz w:val="22"/>
          <w:szCs w:val="22"/>
          <w:lang w:eastAsia="zh-CN"/>
        </w:rPr>
        <w:t>□</w:t>
      </w:r>
      <w:r>
        <w:rPr>
          <w:rFonts w:hint="eastAsia" w:ascii="宋体" w:hAnsi="宋体" w:eastAsia="宋体" w:cs="宋体"/>
          <w:spacing w:val="16"/>
          <w:sz w:val="22"/>
          <w:szCs w:val="22"/>
          <w:lang w:eastAsia="zh-CN"/>
        </w:rPr>
        <w:t>属于符合</w:t>
      </w:r>
      <w:r>
        <w:rPr>
          <w:rFonts w:hint="eastAsia" w:ascii="宋体" w:hAnsi="宋体" w:eastAsia="宋体" w:cs="宋体"/>
          <w:spacing w:val="19"/>
          <w:sz w:val="22"/>
          <w:szCs w:val="22"/>
          <w:lang w:eastAsia="zh-CN"/>
        </w:rPr>
        <w:t>条</w:t>
      </w:r>
      <w:r>
        <w:rPr>
          <w:rFonts w:hint="eastAsia" w:ascii="宋体" w:hAnsi="宋体" w:eastAsia="宋体" w:cs="宋体"/>
          <w:spacing w:val="16"/>
          <w:sz w:val="22"/>
          <w:szCs w:val="22"/>
          <w:lang w:eastAsia="zh-CN"/>
        </w:rPr>
        <w:t>件的残疾人福利性</w:t>
      </w:r>
      <w:r>
        <w:rPr>
          <w:rFonts w:hint="eastAsia" w:ascii="宋体" w:hAnsi="宋体" w:eastAsia="宋体" w:cs="宋体"/>
          <w:spacing w:val="19"/>
          <w:sz w:val="22"/>
          <w:szCs w:val="22"/>
          <w:lang w:eastAsia="zh-CN"/>
        </w:rPr>
        <w:t>单</w:t>
      </w:r>
      <w:r>
        <w:rPr>
          <w:rFonts w:hint="eastAsia" w:ascii="宋体" w:hAnsi="宋体" w:eastAsia="宋体" w:cs="宋体"/>
          <w:spacing w:val="16"/>
          <w:sz w:val="22"/>
          <w:szCs w:val="22"/>
          <w:lang w:eastAsia="zh-CN"/>
        </w:rPr>
        <w:t>位</w:t>
      </w:r>
      <w:r>
        <w:rPr>
          <w:rFonts w:hint="eastAsia" w:ascii="宋体" w:hAnsi="宋体" w:eastAsia="宋体" w:cs="宋体"/>
          <w:spacing w:val="18"/>
          <w:sz w:val="22"/>
          <w:szCs w:val="22"/>
          <w:lang w:eastAsia="zh-CN"/>
        </w:rPr>
        <w:t>，</w:t>
      </w:r>
      <w:r>
        <w:rPr>
          <w:rFonts w:hint="eastAsia" w:ascii="宋体" w:hAnsi="宋体" w:eastAsia="宋体" w:cs="宋体"/>
          <w:spacing w:val="16"/>
          <w:sz w:val="22"/>
          <w:szCs w:val="22"/>
          <w:lang w:eastAsia="zh-CN"/>
        </w:rPr>
        <w:t>且</w:t>
      </w:r>
      <w:r>
        <w:rPr>
          <w:rFonts w:hint="eastAsia" w:ascii="宋体" w:hAnsi="宋体" w:eastAsia="宋体" w:cs="宋体"/>
          <w:spacing w:val="14"/>
          <w:sz w:val="22"/>
          <w:szCs w:val="22"/>
          <w:lang w:eastAsia="zh-CN"/>
        </w:rPr>
        <w:t>本</w:t>
      </w:r>
      <w:r>
        <w:rPr>
          <w:rFonts w:hint="eastAsia" w:ascii="宋体" w:hAnsi="宋体" w:eastAsia="宋体" w:cs="宋体"/>
          <w:spacing w:val="16"/>
          <w:sz w:val="22"/>
          <w:szCs w:val="22"/>
          <w:lang w:eastAsia="zh-CN"/>
        </w:rPr>
        <w:t>单位参</w:t>
      </w:r>
      <w:r>
        <w:rPr>
          <w:rFonts w:hint="eastAsia" w:ascii="宋体" w:hAnsi="宋体" w:eastAsia="宋体" w:cs="宋体"/>
          <w:spacing w:val="14"/>
          <w:sz w:val="22"/>
          <w:szCs w:val="22"/>
          <w:lang w:eastAsia="zh-CN"/>
        </w:rPr>
        <w:t>加</w:t>
      </w:r>
      <w:r>
        <w:rPr>
          <w:rFonts w:hint="eastAsia" w:ascii="宋体" w:hAnsi="宋体" w:eastAsia="宋体" w:cs="宋体"/>
          <w:spacing w:val="14"/>
          <w:sz w:val="22"/>
          <w:szCs w:val="22"/>
          <w:u w:val="single"/>
          <w:lang w:eastAsia="zh-CN"/>
        </w:rPr>
        <w:t xml:space="preserve"> </w:t>
      </w:r>
      <w:r>
        <w:rPr>
          <w:rFonts w:hint="eastAsia" w:ascii="宋体" w:hAnsi="宋体" w:eastAsia="宋体" w:cs="宋体"/>
          <w:spacing w:val="14"/>
          <w:sz w:val="22"/>
          <w:szCs w:val="22"/>
          <w:u w:val="single"/>
          <w:lang w:eastAsia="zh-CN"/>
        </w:rPr>
        <w:tab/>
      </w:r>
      <w:r>
        <w:rPr>
          <w:rFonts w:hint="eastAsia" w:ascii="宋体" w:hAnsi="宋体" w:eastAsia="宋体" w:cs="宋体"/>
          <w:spacing w:val="16"/>
          <w:sz w:val="22"/>
          <w:szCs w:val="22"/>
          <w:lang w:eastAsia="zh-CN"/>
        </w:rPr>
        <w:t>单</w:t>
      </w:r>
      <w:r>
        <w:rPr>
          <w:rFonts w:hint="eastAsia" w:ascii="宋体" w:hAnsi="宋体" w:eastAsia="宋体" w:cs="宋体"/>
          <w:spacing w:val="14"/>
          <w:sz w:val="22"/>
          <w:szCs w:val="22"/>
          <w:lang w:eastAsia="zh-CN"/>
        </w:rPr>
        <w:t>位</w:t>
      </w:r>
      <w:r>
        <w:rPr>
          <w:rFonts w:hint="eastAsia" w:ascii="宋体" w:hAnsi="宋体" w:eastAsia="宋体" w:cs="宋体"/>
          <w:spacing w:val="16"/>
          <w:sz w:val="22"/>
          <w:szCs w:val="22"/>
          <w:lang w:eastAsia="zh-CN"/>
        </w:rPr>
        <w:t>的</w:t>
      </w:r>
      <w:r>
        <w:rPr>
          <w:rFonts w:hint="eastAsia" w:ascii="宋体" w:hAnsi="宋体" w:eastAsia="宋体" w:cs="宋体"/>
          <w:spacing w:val="16"/>
          <w:sz w:val="22"/>
          <w:szCs w:val="22"/>
          <w:u w:val="single"/>
          <w:lang w:eastAsia="zh-CN"/>
        </w:rPr>
        <w:t xml:space="preserve"> </w:t>
      </w:r>
      <w:r>
        <w:rPr>
          <w:rFonts w:hint="eastAsia" w:ascii="宋体" w:hAnsi="宋体" w:eastAsia="宋体" w:cs="宋体"/>
          <w:spacing w:val="16"/>
          <w:sz w:val="22"/>
          <w:szCs w:val="22"/>
          <w:u w:val="single"/>
          <w:lang w:eastAsia="zh-CN"/>
        </w:rPr>
        <w:tab/>
      </w:r>
      <w:r>
        <w:rPr>
          <w:rFonts w:hint="eastAsia" w:ascii="宋体" w:hAnsi="宋体" w:eastAsia="宋体" w:cs="宋体"/>
          <w:spacing w:val="16"/>
          <w:sz w:val="22"/>
          <w:szCs w:val="22"/>
          <w:lang w:eastAsia="zh-CN"/>
        </w:rPr>
        <w:t>项</w:t>
      </w:r>
      <w:r>
        <w:rPr>
          <w:rFonts w:hint="eastAsia" w:ascii="宋体" w:hAnsi="宋体" w:eastAsia="宋体" w:cs="宋体"/>
          <w:spacing w:val="-16"/>
          <w:sz w:val="22"/>
          <w:szCs w:val="22"/>
          <w:lang w:eastAsia="zh-CN"/>
        </w:rPr>
        <w:t>目</w:t>
      </w:r>
      <w:r>
        <w:rPr>
          <w:rFonts w:hint="eastAsia" w:ascii="宋体" w:hAnsi="宋体" w:eastAsia="宋体" w:cs="宋体"/>
          <w:spacing w:val="12"/>
          <w:sz w:val="22"/>
          <w:szCs w:val="22"/>
          <w:lang w:eastAsia="zh-CN"/>
        </w:rPr>
        <w:t>采</w:t>
      </w:r>
      <w:r>
        <w:rPr>
          <w:rFonts w:hint="eastAsia" w:ascii="宋体" w:hAnsi="宋体" w:eastAsia="宋体" w:cs="宋体"/>
          <w:spacing w:val="14"/>
          <w:sz w:val="22"/>
          <w:szCs w:val="22"/>
          <w:lang w:eastAsia="zh-CN"/>
        </w:rPr>
        <w:t>购</w:t>
      </w:r>
      <w:r>
        <w:rPr>
          <w:rFonts w:hint="eastAsia" w:ascii="宋体" w:hAnsi="宋体" w:eastAsia="宋体" w:cs="宋体"/>
          <w:spacing w:val="12"/>
          <w:sz w:val="22"/>
          <w:szCs w:val="22"/>
          <w:lang w:eastAsia="zh-CN"/>
        </w:rPr>
        <w:t>活</w:t>
      </w:r>
      <w:r>
        <w:rPr>
          <w:rFonts w:hint="eastAsia" w:ascii="宋体" w:hAnsi="宋体" w:eastAsia="宋体" w:cs="宋体"/>
          <w:spacing w:val="14"/>
          <w:sz w:val="22"/>
          <w:szCs w:val="22"/>
          <w:lang w:eastAsia="zh-CN"/>
        </w:rPr>
        <w:t>动</w:t>
      </w:r>
      <w:r>
        <w:rPr>
          <w:rFonts w:hint="eastAsia" w:ascii="宋体" w:hAnsi="宋体" w:eastAsia="宋体" w:cs="宋体"/>
          <w:spacing w:val="12"/>
          <w:sz w:val="22"/>
          <w:szCs w:val="22"/>
          <w:lang w:eastAsia="zh-CN"/>
        </w:rPr>
        <w:t>提</w:t>
      </w:r>
      <w:r>
        <w:rPr>
          <w:rFonts w:hint="eastAsia" w:ascii="宋体" w:hAnsi="宋体" w:eastAsia="宋体" w:cs="宋体"/>
          <w:spacing w:val="14"/>
          <w:sz w:val="22"/>
          <w:szCs w:val="22"/>
          <w:lang w:eastAsia="zh-CN"/>
        </w:rPr>
        <w:t>供</w:t>
      </w:r>
      <w:r>
        <w:rPr>
          <w:rFonts w:hint="eastAsia" w:ascii="宋体" w:hAnsi="宋体" w:eastAsia="宋体" w:cs="宋体"/>
          <w:spacing w:val="12"/>
          <w:sz w:val="22"/>
          <w:szCs w:val="22"/>
          <w:lang w:eastAsia="zh-CN"/>
        </w:rPr>
        <w:t>本</w:t>
      </w:r>
      <w:r>
        <w:rPr>
          <w:rFonts w:hint="eastAsia" w:ascii="宋体" w:hAnsi="宋体" w:eastAsia="宋体" w:cs="宋体"/>
          <w:spacing w:val="14"/>
          <w:sz w:val="22"/>
          <w:szCs w:val="22"/>
          <w:lang w:eastAsia="zh-CN"/>
        </w:rPr>
        <w:t>单</w:t>
      </w:r>
      <w:r>
        <w:rPr>
          <w:rFonts w:hint="eastAsia" w:ascii="宋体" w:hAnsi="宋体" w:eastAsia="宋体" w:cs="宋体"/>
          <w:spacing w:val="12"/>
          <w:sz w:val="22"/>
          <w:szCs w:val="22"/>
          <w:lang w:eastAsia="zh-CN"/>
        </w:rPr>
        <w:t>位</w:t>
      </w:r>
      <w:r>
        <w:rPr>
          <w:rFonts w:hint="eastAsia" w:ascii="宋体" w:hAnsi="宋体" w:eastAsia="宋体" w:cs="宋体"/>
          <w:spacing w:val="14"/>
          <w:sz w:val="22"/>
          <w:szCs w:val="22"/>
          <w:lang w:eastAsia="zh-CN"/>
        </w:rPr>
        <w:t>制</w:t>
      </w:r>
      <w:r>
        <w:rPr>
          <w:rFonts w:hint="eastAsia" w:ascii="宋体" w:hAnsi="宋体" w:eastAsia="宋体" w:cs="宋体"/>
          <w:spacing w:val="12"/>
          <w:sz w:val="22"/>
          <w:szCs w:val="22"/>
          <w:lang w:eastAsia="zh-CN"/>
        </w:rPr>
        <w:t>造</w:t>
      </w:r>
      <w:r>
        <w:rPr>
          <w:rFonts w:hint="eastAsia" w:ascii="宋体" w:hAnsi="宋体" w:eastAsia="宋体" w:cs="宋体"/>
          <w:spacing w:val="14"/>
          <w:sz w:val="22"/>
          <w:szCs w:val="22"/>
          <w:lang w:eastAsia="zh-CN"/>
        </w:rPr>
        <w:t>的</w:t>
      </w:r>
      <w:r>
        <w:rPr>
          <w:rFonts w:hint="eastAsia" w:ascii="宋体" w:hAnsi="宋体" w:eastAsia="宋体" w:cs="宋体"/>
          <w:spacing w:val="12"/>
          <w:sz w:val="22"/>
          <w:szCs w:val="22"/>
          <w:lang w:eastAsia="zh-CN"/>
        </w:rPr>
        <w:t>货物</w:t>
      </w:r>
      <w:r>
        <w:rPr>
          <w:rFonts w:hint="eastAsia" w:ascii="宋体" w:hAnsi="宋体" w:eastAsia="宋体" w:cs="宋体"/>
          <w:b/>
          <w:w w:val="135"/>
          <w:sz w:val="22"/>
          <w:szCs w:val="22"/>
          <w:lang w:eastAsia="zh-CN"/>
        </w:rPr>
        <w:t>□</w:t>
      </w:r>
      <w:r>
        <w:rPr>
          <w:rFonts w:hint="eastAsia" w:ascii="宋体" w:hAnsi="宋体" w:eastAsia="宋体" w:cs="宋体"/>
          <w:spacing w:val="14"/>
          <w:sz w:val="22"/>
          <w:szCs w:val="22"/>
          <w:lang w:eastAsia="zh-CN"/>
        </w:rPr>
        <w:t>（</w:t>
      </w:r>
      <w:r>
        <w:rPr>
          <w:rFonts w:hint="eastAsia" w:ascii="宋体" w:hAnsi="宋体" w:eastAsia="宋体" w:cs="宋体"/>
          <w:spacing w:val="12"/>
          <w:sz w:val="22"/>
          <w:szCs w:val="22"/>
          <w:lang w:eastAsia="zh-CN"/>
        </w:rPr>
        <w:t>由</w:t>
      </w:r>
      <w:r>
        <w:rPr>
          <w:rFonts w:hint="eastAsia" w:ascii="宋体" w:hAnsi="宋体" w:eastAsia="宋体" w:cs="宋体"/>
          <w:spacing w:val="14"/>
          <w:sz w:val="22"/>
          <w:szCs w:val="22"/>
          <w:lang w:eastAsia="zh-CN"/>
        </w:rPr>
        <w:t>本</w:t>
      </w:r>
      <w:r>
        <w:rPr>
          <w:rFonts w:hint="eastAsia" w:ascii="宋体" w:hAnsi="宋体" w:eastAsia="宋体" w:cs="宋体"/>
          <w:spacing w:val="12"/>
          <w:sz w:val="22"/>
          <w:szCs w:val="22"/>
          <w:lang w:eastAsia="zh-CN"/>
        </w:rPr>
        <w:t>单</w:t>
      </w:r>
      <w:r>
        <w:rPr>
          <w:rFonts w:hint="eastAsia" w:ascii="宋体" w:hAnsi="宋体" w:eastAsia="宋体" w:cs="宋体"/>
          <w:spacing w:val="14"/>
          <w:sz w:val="22"/>
          <w:szCs w:val="22"/>
          <w:lang w:eastAsia="zh-CN"/>
        </w:rPr>
        <w:t>位</w:t>
      </w:r>
      <w:r>
        <w:rPr>
          <w:rFonts w:hint="eastAsia" w:ascii="宋体" w:hAnsi="宋体" w:eastAsia="宋体" w:cs="宋体"/>
          <w:spacing w:val="12"/>
          <w:sz w:val="22"/>
          <w:szCs w:val="22"/>
          <w:lang w:eastAsia="zh-CN"/>
        </w:rPr>
        <w:t>承</w:t>
      </w:r>
      <w:r>
        <w:rPr>
          <w:rFonts w:hint="eastAsia" w:ascii="宋体" w:hAnsi="宋体" w:eastAsia="宋体" w:cs="宋体"/>
          <w:spacing w:val="14"/>
          <w:sz w:val="22"/>
          <w:szCs w:val="22"/>
          <w:lang w:eastAsia="zh-CN"/>
        </w:rPr>
        <w:t>担</w:t>
      </w:r>
      <w:r>
        <w:rPr>
          <w:rFonts w:hint="eastAsia" w:ascii="宋体" w:hAnsi="宋体" w:eastAsia="宋体" w:cs="宋体"/>
          <w:spacing w:val="12"/>
          <w:sz w:val="22"/>
          <w:szCs w:val="22"/>
          <w:lang w:eastAsia="zh-CN"/>
        </w:rPr>
        <w:t>工</w:t>
      </w:r>
      <w:r>
        <w:rPr>
          <w:rFonts w:hint="eastAsia" w:ascii="宋体" w:hAnsi="宋体" w:eastAsia="宋体" w:cs="宋体"/>
          <w:spacing w:val="9"/>
          <w:sz w:val="22"/>
          <w:szCs w:val="22"/>
          <w:lang w:eastAsia="zh-CN"/>
        </w:rPr>
        <w:t>程</w:t>
      </w:r>
      <w:r>
        <w:rPr>
          <w:rFonts w:hint="eastAsia" w:ascii="宋体" w:hAnsi="宋体" w:eastAsia="宋体" w:cs="宋体"/>
          <w:b/>
          <w:w w:val="135"/>
          <w:sz w:val="22"/>
          <w:szCs w:val="22"/>
          <w:lang w:eastAsia="zh-CN"/>
        </w:rPr>
        <w:t>□</w:t>
      </w:r>
      <w:r>
        <w:rPr>
          <w:rFonts w:hint="eastAsia" w:ascii="宋体" w:hAnsi="宋体" w:eastAsia="宋体" w:cs="宋体"/>
          <w:spacing w:val="7"/>
          <w:w w:val="147"/>
          <w:sz w:val="22"/>
          <w:szCs w:val="22"/>
          <w:lang w:eastAsia="zh-CN"/>
        </w:rPr>
        <w:t>/</w:t>
      </w:r>
      <w:r>
        <w:rPr>
          <w:rFonts w:hint="eastAsia" w:ascii="宋体" w:hAnsi="宋体" w:eastAsia="宋体" w:cs="宋体"/>
          <w:spacing w:val="12"/>
          <w:sz w:val="22"/>
          <w:szCs w:val="22"/>
          <w:lang w:eastAsia="zh-CN"/>
        </w:rPr>
        <w:t>提</w:t>
      </w:r>
      <w:r>
        <w:rPr>
          <w:rFonts w:hint="eastAsia" w:ascii="宋体" w:hAnsi="宋体" w:eastAsia="宋体" w:cs="宋体"/>
          <w:spacing w:val="14"/>
          <w:sz w:val="22"/>
          <w:szCs w:val="22"/>
          <w:lang w:eastAsia="zh-CN"/>
        </w:rPr>
        <w:t>供</w:t>
      </w:r>
      <w:r>
        <w:rPr>
          <w:rFonts w:hint="eastAsia" w:ascii="宋体" w:hAnsi="宋体" w:eastAsia="宋体" w:cs="宋体"/>
          <w:spacing w:val="12"/>
          <w:sz w:val="22"/>
          <w:szCs w:val="22"/>
          <w:lang w:eastAsia="zh-CN"/>
        </w:rPr>
        <w:t>服务</w:t>
      </w:r>
      <w:r>
        <w:rPr>
          <w:rFonts w:hint="eastAsia" w:ascii="宋体" w:hAnsi="宋体" w:eastAsia="宋体" w:cs="宋体"/>
          <w:b/>
          <w:w w:val="135"/>
          <w:sz w:val="22"/>
          <w:szCs w:val="22"/>
          <w:lang w:eastAsia="zh-CN"/>
        </w:rPr>
        <w:t>□</w:t>
      </w:r>
      <w:r>
        <w:rPr>
          <w:rFonts w:hint="eastAsia" w:ascii="宋体" w:hAnsi="宋体" w:eastAsia="宋体" w:cs="宋体"/>
          <w:spacing w:val="-111"/>
          <w:sz w:val="22"/>
          <w:szCs w:val="22"/>
          <w:lang w:eastAsia="zh-CN"/>
        </w:rPr>
        <w:t>）</w:t>
      </w:r>
      <w:r>
        <w:rPr>
          <w:rFonts w:hint="eastAsia" w:ascii="宋体" w:hAnsi="宋体" w:eastAsia="宋体" w:cs="宋体"/>
          <w:spacing w:val="12"/>
          <w:sz w:val="22"/>
          <w:szCs w:val="22"/>
          <w:lang w:eastAsia="zh-CN"/>
        </w:rPr>
        <w:t>，</w:t>
      </w:r>
      <w:r>
        <w:rPr>
          <w:rFonts w:hint="eastAsia" w:ascii="宋体" w:hAnsi="宋体" w:eastAsia="宋体" w:cs="宋体"/>
          <w:spacing w:val="14"/>
          <w:sz w:val="22"/>
          <w:szCs w:val="22"/>
          <w:lang w:eastAsia="zh-CN"/>
        </w:rPr>
        <w:t>或</w:t>
      </w:r>
      <w:r>
        <w:rPr>
          <w:rFonts w:hint="eastAsia" w:ascii="宋体" w:hAnsi="宋体" w:eastAsia="宋体" w:cs="宋体"/>
          <w:spacing w:val="12"/>
          <w:sz w:val="22"/>
          <w:szCs w:val="22"/>
          <w:lang w:eastAsia="zh-CN"/>
        </w:rPr>
        <w:t>者</w:t>
      </w:r>
      <w:r>
        <w:rPr>
          <w:rFonts w:hint="eastAsia" w:ascii="宋体" w:hAnsi="宋体" w:eastAsia="宋体" w:cs="宋体"/>
          <w:spacing w:val="14"/>
          <w:sz w:val="22"/>
          <w:szCs w:val="22"/>
          <w:lang w:eastAsia="zh-CN"/>
        </w:rPr>
        <w:t>提</w:t>
      </w:r>
      <w:r>
        <w:rPr>
          <w:rFonts w:hint="eastAsia" w:ascii="宋体" w:hAnsi="宋体" w:eastAsia="宋体" w:cs="宋体"/>
          <w:spacing w:val="12"/>
          <w:sz w:val="22"/>
          <w:szCs w:val="22"/>
          <w:lang w:eastAsia="zh-CN"/>
        </w:rPr>
        <w:t>供</w:t>
      </w:r>
      <w:r>
        <w:rPr>
          <w:rFonts w:hint="eastAsia" w:ascii="宋体" w:hAnsi="宋体" w:eastAsia="宋体" w:cs="宋体"/>
          <w:spacing w:val="14"/>
          <w:sz w:val="22"/>
          <w:szCs w:val="22"/>
          <w:lang w:eastAsia="zh-CN"/>
        </w:rPr>
        <w:t>其</w:t>
      </w:r>
      <w:r>
        <w:rPr>
          <w:rFonts w:hint="eastAsia" w:ascii="宋体" w:hAnsi="宋体" w:eastAsia="宋体" w:cs="宋体"/>
          <w:spacing w:val="12"/>
          <w:sz w:val="22"/>
          <w:szCs w:val="22"/>
          <w:lang w:eastAsia="zh-CN"/>
        </w:rPr>
        <w:t>他</w:t>
      </w:r>
      <w:r>
        <w:rPr>
          <w:rFonts w:hint="eastAsia" w:ascii="宋体" w:hAnsi="宋体" w:eastAsia="宋体" w:cs="宋体"/>
          <w:sz w:val="22"/>
          <w:szCs w:val="22"/>
          <w:lang w:eastAsia="zh-CN"/>
        </w:rPr>
        <w:t>残</w:t>
      </w:r>
      <w:r>
        <w:rPr>
          <w:rFonts w:hint="eastAsia" w:ascii="宋体" w:hAnsi="宋体" w:eastAsia="宋体" w:cs="宋体"/>
          <w:spacing w:val="12"/>
          <w:sz w:val="22"/>
          <w:szCs w:val="22"/>
          <w:lang w:eastAsia="zh-CN"/>
        </w:rPr>
        <w:t>疾人福利性单位制造的货物（不包括使用非残疾人福利性单位注册商标的货物</w:t>
      </w:r>
      <w:r>
        <w:rPr>
          <w:rFonts w:hint="eastAsia" w:ascii="宋体" w:hAnsi="宋体" w:eastAsia="宋体" w:cs="宋体"/>
          <w:spacing w:val="-116"/>
          <w:sz w:val="22"/>
          <w:szCs w:val="22"/>
          <w:lang w:eastAsia="zh-CN"/>
        </w:rPr>
        <w:t>）</w:t>
      </w:r>
      <w:r>
        <w:rPr>
          <w:rFonts w:hint="eastAsia" w:ascii="宋体" w:hAnsi="宋体" w:eastAsia="宋体" w:cs="宋体"/>
          <w:sz w:val="22"/>
          <w:szCs w:val="22"/>
          <w:lang w:eastAsia="zh-CN"/>
        </w:rPr>
        <w:t>。</w:t>
      </w:r>
    </w:p>
    <w:p w14:paraId="7889C785">
      <w:pPr>
        <w:pStyle w:val="12"/>
        <w:keepNext w:val="0"/>
        <w:keepLines w:val="0"/>
        <w:pageBreakBefore w:val="0"/>
        <w:widowControl w:val="0"/>
        <w:kinsoku/>
        <w:wordWrap/>
        <w:overflowPunct/>
        <w:topLinePunct w:val="0"/>
        <w:autoSpaceDE w:val="0"/>
        <w:autoSpaceDN w:val="0"/>
        <w:bidi w:val="0"/>
        <w:adjustRightInd/>
        <w:snapToGrid/>
        <w:spacing w:before="7"/>
        <w:ind w:left="0" w:right="0"/>
        <w:jc w:val="left"/>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本单位对上述声明的真实性负责。如有虚假，将依法承担相应责任。</w:t>
      </w:r>
    </w:p>
    <w:p w14:paraId="44A7AF66">
      <w:pPr>
        <w:spacing w:line="480" w:lineRule="auto"/>
        <w:ind w:firstLine="440" w:firstLineChars="200"/>
        <w:rPr>
          <w:sz w:val="22"/>
          <w:szCs w:val="22"/>
          <w:shd w:val="clear" w:color="auto" w:fill="FFFFFF"/>
        </w:rPr>
      </w:pPr>
    </w:p>
    <w:p w14:paraId="15F2E89C">
      <w:pPr>
        <w:spacing w:line="480" w:lineRule="auto"/>
        <w:ind w:firstLine="440" w:firstLineChars="200"/>
        <w:rPr>
          <w:sz w:val="22"/>
          <w:szCs w:val="22"/>
          <w:shd w:val="clear" w:color="auto" w:fill="FFFFFF"/>
        </w:rPr>
      </w:pPr>
    </w:p>
    <w:p w14:paraId="57CEF5A6">
      <w:pPr>
        <w:spacing w:line="480" w:lineRule="auto"/>
        <w:ind w:firstLine="440" w:firstLineChars="200"/>
        <w:rPr>
          <w:sz w:val="22"/>
          <w:szCs w:val="22"/>
          <w:shd w:val="clear" w:color="auto" w:fill="FFFFFF"/>
        </w:rPr>
      </w:pPr>
    </w:p>
    <w:p w14:paraId="40D1C07E">
      <w:pPr>
        <w:spacing w:before="60" w:after="60" w:line="480" w:lineRule="auto"/>
        <w:ind w:firstLine="2926" w:firstLineChars="1330"/>
        <w:rPr>
          <w:sz w:val="22"/>
          <w:szCs w:val="22"/>
          <w:u w:val="single"/>
        </w:rPr>
      </w:pPr>
      <w:r>
        <w:rPr>
          <w:rFonts w:hint="eastAsia"/>
          <w:sz w:val="22"/>
          <w:szCs w:val="22"/>
          <w:lang w:eastAsia="zh-CN"/>
        </w:rPr>
        <w:t>单位名称</w:t>
      </w:r>
      <w:r>
        <w:rPr>
          <w:rFonts w:hint="eastAsia" w:ascii="宋体" w:hAnsi="宋体" w:eastAsia="宋体" w:cs="宋体"/>
          <w:sz w:val="22"/>
          <w:szCs w:val="22"/>
          <w:lang w:eastAsia="zh-CN"/>
        </w:rPr>
        <w:t>（盖章）</w:t>
      </w:r>
      <w:r>
        <w:rPr>
          <w:rFonts w:hint="eastAsia"/>
          <w:sz w:val="22"/>
          <w:szCs w:val="22"/>
        </w:rPr>
        <w:t>：</w:t>
      </w:r>
      <w:r>
        <w:rPr>
          <w:rFonts w:hint="eastAsia"/>
          <w:sz w:val="22"/>
          <w:szCs w:val="22"/>
          <w:u w:val="single"/>
        </w:rPr>
        <w:t xml:space="preserve">                          </w:t>
      </w:r>
    </w:p>
    <w:p w14:paraId="1AC8B3DC">
      <w:pPr>
        <w:spacing w:before="60" w:after="60" w:line="480" w:lineRule="auto"/>
        <w:ind w:firstLine="4463" w:firstLineChars="2029"/>
        <w:rPr>
          <w:sz w:val="22"/>
          <w:szCs w:val="22"/>
        </w:rPr>
      </w:pPr>
      <w:r>
        <w:rPr>
          <w:rFonts w:hint="eastAsia"/>
          <w:sz w:val="22"/>
          <w:szCs w:val="22"/>
        </w:rPr>
        <w:t>日期：_______年____月_____日</w:t>
      </w:r>
    </w:p>
    <w:p w14:paraId="086CD226">
      <w:pPr>
        <w:keepNext w:val="0"/>
        <w:keepLines w:val="0"/>
        <w:pageBreakBefore w:val="0"/>
        <w:widowControl w:val="0"/>
        <w:shd w:val="clear"/>
        <w:kinsoku/>
        <w:wordWrap/>
        <w:overflowPunct/>
        <w:topLinePunct w:val="0"/>
        <w:autoSpaceDE w:val="0"/>
        <w:autoSpaceDN w:val="0"/>
        <w:bidi w:val="0"/>
        <w:adjustRightInd/>
        <w:snapToGrid/>
        <w:spacing w:line="480" w:lineRule="auto"/>
        <w:ind w:left="1758" w:leftChars="799"/>
        <w:jc w:val="center"/>
        <w:textAlignment w:val="auto"/>
        <w:rPr>
          <w:rFonts w:hint="eastAsia" w:ascii="宋体" w:hAnsi="宋体" w:eastAsia="宋体" w:cs="宋体"/>
          <w:color w:val="auto"/>
          <w:sz w:val="21"/>
          <w:szCs w:val="21"/>
        </w:rPr>
      </w:pPr>
    </w:p>
    <w:p w14:paraId="23540974">
      <w:pPr>
        <w:pStyle w:val="32"/>
        <w:rPr>
          <w:rFonts w:hint="eastAsia" w:ascii="宋体" w:hAnsi="宋体" w:eastAsia="宋体" w:cs="宋体"/>
          <w:color w:val="auto"/>
          <w:sz w:val="21"/>
          <w:szCs w:val="21"/>
        </w:rPr>
      </w:pPr>
    </w:p>
    <w:p w14:paraId="2D57A395">
      <w:pPr>
        <w:pStyle w:val="31"/>
        <w:rPr>
          <w:rFonts w:hint="eastAsia" w:ascii="宋体" w:hAnsi="宋体" w:eastAsia="宋体" w:cs="宋体"/>
          <w:color w:val="auto"/>
          <w:sz w:val="21"/>
          <w:szCs w:val="21"/>
        </w:rPr>
      </w:pPr>
    </w:p>
    <w:p w14:paraId="643B8C13">
      <w:pPr>
        <w:pStyle w:val="32"/>
        <w:rPr>
          <w:rFonts w:hint="eastAsia" w:ascii="宋体" w:hAnsi="宋体" w:eastAsia="宋体" w:cs="宋体"/>
          <w:color w:val="auto"/>
          <w:sz w:val="21"/>
          <w:szCs w:val="21"/>
        </w:rPr>
      </w:pPr>
    </w:p>
    <w:p w14:paraId="36D02B3B">
      <w:pPr>
        <w:pStyle w:val="31"/>
        <w:rPr>
          <w:rFonts w:hint="eastAsia" w:ascii="宋体" w:hAnsi="宋体" w:eastAsia="宋体" w:cs="宋体"/>
          <w:color w:val="auto"/>
          <w:sz w:val="21"/>
          <w:szCs w:val="21"/>
        </w:rPr>
      </w:pPr>
    </w:p>
    <w:p w14:paraId="41C9662C">
      <w:pPr>
        <w:pStyle w:val="32"/>
        <w:rPr>
          <w:rFonts w:hint="eastAsia" w:ascii="宋体" w:hAnsi="宋体" w:eastAsia="宋体" w:cs="宋体"/>
          <w:color w:val="auto"/>
          <w:sz w:val="21"/>
          <w:szCs w:val="21"/>
        </w:rPr>
      </w:pPr>
    </w:p>
    <w:p w14:paraId="18AF8F18">
      <w:pPr>
        <w:pStyle w:val="31"/>
        <w:rPr>
          <w:rFonts w:hint="eastAsia" w:ascii="宋体" w:hAnsi="宋体" w:eastAsia="宋体" w:cs="宋体"/>
          <w:color w:val="auto"/>
          <w:sz w:val="21"/>
          <w:szCs w:val="21"/>
        </w:rPr>
      </w:pPr>
    </w:p>
    <w:p w14:paraId="1A9A7C23">
      <w:pPr>
        <w:pStyle w:val="32"/>
        <w:rPr>
          <w:rFonts w:hint="eastAsia" w:ascii="宋体" w:hAnsi="宋体" w:eastAsia="宋体" w:cs="宋体"/>
          <w:color w:val="auto"/>
          <w:sz w:val="21"/>
          <w:szCs w:val="21"/>
        </w:rPr>
      </w:pPr>
    </w:p>
    <w:p w14:paraId="51C3F142">
      <w:pPr>
        <w:pStyle w:val="31"/>
        <w:rPr>
          <w:rFonts w:hint="eastAsia" w:ascii="宋体" w:hAnsi="宋体" w:eastAsia="宋体" w:cs="宋体"/>
          <w:color w:val="auto"/>
          <w:sz w:val="21"/>
          <w:szCs w:val="21"/>
        </w:rPr>
      </w:pPr>
    </w:p>
    <w:p w14:paraId="0BD8A425">
      <w:pPr>
        <w:pStyle w:val="32"/>
        <w:rPr>
          <w:rFonts w:hint="eastAsia" w:ascii="宋体" w:hAnsi="宋体" w:eastAsia="宋体" w:cs="宋体"/>
          <w:color w:val="auto"/>
          <w:sz w:val="21"/>
          <w:szCs w:val="21"/>
        </w:rPr>
      </w:pPr>
    </w:p>
    <w:p w14:paraId="5BBA8E5B">
      <w:pPr>
        <w:pStyle w:val="31"/>
        <w:rPr>
          <w:rFonts w:hint="eastAsia" w:ascii="宋体" w:hAnsi="宋体" w:eastAsia="宋体" w:cs="宋体"/>
          <w:color w:val="auto"/>
          <w:sz w:val="21"/>
          <w:szCs w:val="21"/>
        </w:rPr>
      </w:pPr>
    </w:p>
    <w:p w14:paraId="2B132636">
      <w:pPr>
        <w:pStyle w:val="32"/>
        <w:rPr>
          <w:rFonts w:hint="eastAsia" w:ascii="宋体" w:hAnsi="宋体" w:eastAsia="宋体" w:cs="宋体"/>
          <w:color w:val="auto"/>
          <w:sz w:val="21"/>
          <w:szCs w:val="21"/>
        </w:rPr>
      </w:pPr>
    </w:p>
    <w:p w14:paraId="4375CEA3">
      <w:pPr>
        <w:pStyle w:val="31"/>
        <w:rPr>
          <w:rFonts w:hint="eastAsia" w:ascii="宋体" w:hAnsi="宋体" w:eastAsia="宋体" w:cs="宋体"/>
          <w:color w:val="auto"/>
          <w:sz w:val="21"/>
          <w:szCs w:val="21"/>
        </w:rPr>
      </w:pPr>
    </w:p>
    <w:p w14:paraId="33F49CAE">
      <w:pPr>
        <w:pStyle w:val="31"/>
        <w:ind w:left="0" w:leftChars="0" w:firstLine="0" w:firstLineChars="0"/>
        <w:rPr>
          <w:rFonts w:hint="eastAsia" w:ascii="宋体" w:hAnsi="宋体" w:eastAsia="宋体" w:cs="宋体"/>
          <w:color w:val="auto"/>
          <w:sz w:val="21"/>
          <w:szCs w:val="21"/>
        </w:rPr>
      </w:pPr>
    </w:p>
    <w:p w14:paraId="441688BC">
      <w:pPr>
        <w:pStyle w:val="32"/>
        <w:rPr>
          <w:rFonts w:hint="eastAsia" w:ascii="宋体" w:hAnsi="宋体" w:eastAsia="宋体" w:cs="宋体"/>
          <w:color w:val="auto"/>
          <w:sz w:val="21"/>
          <w:szCs w:val="21"/>
        </w:rPr>
      </w:pPr>
    </w:p>
    <w:p w14:paraId="4BA0951E">
      <w:pPr>
        <w:pStyle w:val="32"/>
        <w:rPr>
          <w:rFonts w:hint="eastAsia" w:ascii="宋体" w:hAnsi="宋体" w:eastAsia="宋体" w:cs="宋体"/>
          <w:color w:val="auto"/>
          <w:sz w:val="21"/>
          <w:szCs w:val="21"/>
        </w:rPr>
      </w:pPr>
    </w:p>
    <w:p w14:paraId="49A51E63">
      <w:pPr>
        <w:pStyle w:val="31"/>
        <w:rPr>
          <w:rFonts w:hint="eastAsia" w:ascii="宋体" w:hAnsi="宋体" w:eastAsia="宋体" w:cs="宋体"/>
          <w:color w:val="auto"/>
          <w:sz w:val="21"/>
          <w:szCs w:val="21"/>
        </w:rPr>
      </w:pPr>
    </w:p>
    <w:p w14:paraId="5BEE1B4A">
      <w:pPr>
        <w:pStyle w:val="32"/>
        <w:rPr>
          <w:rFonts w:hint="eastAsia" w:ascii="宋体" w:hAnsi="宋体" w:eastAsia="宋体" w:cs="宋体"/>
          <w:color w:val="auto"/>
          <w:sz w:val="21"/>
          <w:szCs w:val="21"/>
        </w:rPr>
      </w:pPr>
    </w:p>
    <w:p w14:paraId="70C6BF3A">
      <w:pPr>
        <w:pStyle w:val="31"/>
        <w:rPr>
          <w:rFonts w:hint="eastAsia" w:ascii="宋体" w:hAnsi="宋体" w:eastAsia="宋体" w:cs="宋体"/>
          <w:color w:val="auto"/>
          <w:sz w:val="21"/>
          <w:szCs w:val="21"/>
        </w:rPr>
      </w:pPr>
    </w:p>
    <w:p w14:paraId="148CDAD9">
      <w:pPr>
        <w:pStyle w:val="32"/>
        <w:rPr>
          <w:rFonts w:hint="eastAsia" w:ascii="宋体" w:hAnsi="宋体" w:eastAsia="宋体" w:cs="宋体"/>
          <w:color w:val="auto"/>
          <w:sz w:val="21"/>
          <w:szCs w:val="21"/>
        </w:rPr>
      </w:pPr>
    </w:p>
    <w:p w14:paraId="58BF30D3">
      <w:pPr>
        <w:pStyle w:val="29"/>
        <w:keepNext w:val="0"/>
        <w:keepLines w:val="0"/>
        <w:pageBreakBefore w:val="0"/>
        <w:widowControl/>
        <w:kinsoku/>
        <w:wordWrap/>
        <w:overflowPunct/>
        <w:topLinePunct w:val="0"/>
        <w:autoSpaceDE w:val="0"/>
        <w:autoSpaceDN w:val="0"/>
        <w:bidi w:val="0"/>
        <w:spacing w:beforeAutospacing="0" w:afterAutospacing="0" w:line="480" w:lineRule="auto"/>
        <w:jc w:val="center"/>
        <w:textAlignment w:val="auto"/>
        <w:outlineLvl w:val="1"/>
        <w:rPr>
          <w:rFonts w:cs="宋体"/>
          <w:b/>
          <w:bCs/>
          <w:sz w:val="28"/>
          <w:szCs w:val="28"/>
          <w:shd w:val="clear" w:color="auto" w:fill="FFFFFF"/>
        </w:rPr>
      </w:pPr>
      <w:bookmarkStart w:id="1056" w:name="_Toc25724"/>
      <w:bookmarkStart w:id="1057" w:name="_Toc8825"/>
      <w:bookmarkStart w:id="1058" w:name="_Toc26429"/>
      <w:bookmarkStart w:id="1059" w:name="_Toc17373"/>
      <w:bookmarkStart w:id="1060" w:name="_Toc18735"/>
      <w:r>
        <w:rPr>
          <w:rFonts w:hint="eastAsia" w:cs="宋体"/>
          <w:b/>
          <w:bCs/>
          <w:sz w:val="28"/>
          <w:szCs w:val="28"/>
          <w:shd w:val="clear" w:color="auto" w:fill="FFFFFF"/>
        </w:rPr>
        <w:t>监狱企业证明文件</w:t>
      </w:r>
      <w:bookmarkEnd w:id="1056"/>
      <w:bookmarkEnd w:id="1057"/>
      <w:bookmarkEnd w:id="1058"/>
      <w:bookmarkEnd w:id="1059"/>
      <w:bookmarkEnd w:id="1060"/>
    </w:p>
    <w:p w14:paraId="7A3E2111">
      <w:pPr>
        <w:pStyle w:val="12"/>
        <w:keepNext w:val="0"/>
        <w:keepLines w:val="0"/>
        <w:pageBreakBefore w:val="0"/>
        <w:widowControl w:val="0"/>
        <w:kinsoku/>
        <w:wordWrap/>
        <w:overflowPunct/>
        <w:topLinePunct w:val="0"/>
        <w:autoSpaceDE w:val="0"/>
        <w:autoSpaceDN w:val="0"/>
        <w:bidi w:val="0"/>
        <w:adjustRightInd w:val="0"/>
        <w:snapToGrid w:val="0"/>
        <w:spacing w:line="480" w:lineRule="auto"/>
        <w:ind w:left="0" w:right="0" w:firstLine="472" w:firstLineChars="200"/>
        <w:jc w:val="left"/>
        <w:textAlignment w:val="auto"/>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E7E1BC">
      <w:pPr>
        <w:pStyle w:val="12"/>
        <w:keepNext w:val="0"/>
        <w:keepLines w:val="0"/>
        <w:pageBreakBefore w:val="0"/>
        <w:widowControl w:val="0"/>
        <w:kinsoku/>
        <w:wordWrap/>
        <w:overflowPunct/>
        <w:topLinePunct w:val="0"/>
        <w:autoSpaceDE w:val="0"/>
        <w:autoSpaceDN w:val="0"/>
        <w:bidi w:val="0"/>
        <w:adjustRightInd w:val="0"/>
        <w:snapToGrid w:val="0"/>
        <w:spacing w:line="480" w:lineRule="auto"/>
        <w:ind w:left="0" w:right="0" w:firstLine="472" w:firstLineChars="200"/>
        <w:jc w:val="left"/>
        <w:textAlignment w:val="auto"/>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监狱企业参加政府采购活动时，应当提供由省级以上监狱管理局、戒毒管理局（含新疆生产建设兵团）出具的属于监狱企业的证明文件。</w:t>
      </w:r>
    </w:p>
    <w:p w14:paraId="76318D92">
      <w:pPr>
        <w:shd w:val="clear"/>
        <w:spacing w:before="60" w:after="60" w:line="480" w:lineRule="auto"/>
        <w:ind w:firstLine="510"/>
        <w:rPr>
          <w:rFonts w:hint="eastAsia" w:ascii="宋体" w:hAnsi="宋体" w:eastAsia="宋体" w:cs="宋体"/>
          <w:color w:val="auto"/>
          <w:sz w:val="21"/>
          <w:szCs w:val="21"/>
        </w:rPr>
      </w:pPr>
    </w:p>
    <w:p w14:paraId="1C535EE5">
      <w:pPr>
        <w:shd w:val="clear"/>
        <w:spacing w:before="60" w:after="60" w:line="480" w:lineRule="auto"/>
        <w:ind w:firstLine="510"/>
        <w:rPr>
          <w:rFonts w:hint="eastAsia" w:ascii="宋体" w:hAnsi="宋体" w:eastAsia="宋体" w:cs="宋体"/>
          <w:color w:val="auto"/>
          <w:sz w:val="21"/>
          <w:szCs w:val="21"/>
        </w:rPr>
      </w:pPr>
    </w:p>
    <w:p w14:paraId="659D3236">
      <w:pPr>
        <w:shd w:val="clear"/>
        <w:spacing w:before="60" w:after="60" w:line="480" w:lineRule="auto"/>
        <w:ind w:firstLine="510"/>
        <w:rPr>
          <w:rFonts w:hint="eastAsia" w:ascii="宋体" w:hAnsi="宋体" w:eastAsia="宋体" w:cs="宋体"/>
          <w:color w:val="auto"/>
          <w:sz w:val="21"/>
          <w:szCs w:val="21"/>
        </w:rPr>
      </w:pPr>
    </w:p>
    <w:p w14:paraId="132D619D">
      <w:pPr>
        <w:shd w:val="clear"/>
        <w:spacing w:before="60" w:after="60" w:line="480" w:lineRule="auto"/>
        <w:ind w:firstLine="510"/>
        <w:rPr>
          <w:rFonts w:hint="eastAsia" w:ascii="宋体" w:hAnsi="宋体" w:eastAsia="宋体" w:cs="宋体"/>
          <w:color w:val="auto"/>
          <w:sz w:val="21"/>
          <w:szCs w:val="21"/>
        </w:rPr>
      </w:pPr>
    </w:p>
    <w:p w14:paraId="4BB236BE">
      <w:pPr>
        <w:pStyle w:val="32"/>
        <w:shd w:val="clear"/>
        <w:ind w:firstLine="496"/>
        <w:rPr>
          <w:rFonts w:hint="eastAsia" w:ascii="宋体" w:hAnsi="宋体" w:eastAsia="宋体" w:cs="宋体"/>
          <w:color w:val="auto"/>
          <w:sz w:val="21"/>
          <w:szCs w:val="21"/>
        </w:rPr>
      </w:pPr>
    </w:p>
    <w:p w14:paraId="3AF0966B">
      <w:pPr>
        <w:pStyle w:val="32"/>
        <w:shd w:val="clear"/>
        <w:ind w:firstLine="496"/>
        <w:rPr>
          <w:rFonts w:hint="eastAsia" w:ascii="宋体" w:hAnsi="宋体" w:eastAsia="宋体" w:cs="宋体"/>
          <w:color w:val="auto"/>
          <w:sz w:val="21"/>
          <w:szCs w:val="21"/>
        </w:rPr>
      </w:pPr>
    </w:p>
    <w:p w14:paraId="7B266238">
      <w:pPr>
        <w:pStyle w:val="31"/>
        <w:rPr>
          <w:rFonts w:hint="eastAsia" w:ascii="宋体" w:hAnsi="宋体" w:eastAsia="宋体" w:cs="宋体"/>
          <w:color w:val="auto"/>
          <w:sz w:val="21"/>
          <w:szCs w:val="21"/>
        </w:rPr>
      </w:pPr>
    </w:p>
    <w:p w14:paraId="2D75AE8E">
      <w:pPr>
        <w:pStyle w:val="32"/>
        <w:rPr>
          <w:rFonts w:hint="eastAsia" w:ascii="宋体" w:hAnsi="宋体" w:eastAsia="宋体" w:cs="宋体"/>
          <w:color w:val="auto"/>
          <w:sz w:val="21"/>
          <w:szCs w:val="21"/>
        </w:rPr>
      </w:pPr>
    </w:p>
    <w:p w14:paraId="164486E2">
      <w:pPr>
        <w:pStyle w:val="31"/>
        <w:rPr>
          <w:rFonts w:hint="eastAsia" w:ascii="宋体" w:hAnsi="宋体" w:eastAsia="宋体" w:cs="宋体"/>
          <w:color w:val="auto"/>
          <w:sz w:val="21"/>
          <w:szCs w:val="21"/>
        </w:rPr>
      </w:pPr>
    </w:p>
    <w:p w14:paraId="0D2F5986">
      <w:pPr>
        <w:pStyle w:val="32"/>
        <w:shd w:val="clear"/>
        <w:ind w:firstLine="496"/>
        <w:rPr>
          <w:rFonts w:hint="eastAsia" w:ascii="宋体" w:hAnsi="宋体" w:eastAsia="宋体" w:cs="宋体"/>
          <w:color w:val="auto"/>
          <w:sz w:val="21"/>
          <w:szCs w:val="21"/>
        </w:rPr>
      </w:pPr>
    </w:p>
    <w:p w14:paraId="5258CC9D">
      <w:pPr>
        <w:pStyle w:val="32"/>
        <w:shd w:val="clear"/>
        <w:ind w:firstLine="496"/>
        <w:rPr>
          <w:rFonts w:hint="eastAsia" w:ascii="宋体" w:hAnsi="宋体" w:eastAsia="宋体" w:cs="宋体"/>
          <w:color w:val="auto"/>
          <w:sz w:val="21"/>
          <w:szCs w:val="21"/>
        </w:rPr>
      </w:pPr>
    </w:p>
    <w:p w14:paraId="7EDABFCE">
      <w:pPr>
        <w:pStyle w:val="32"/>
        <w:shd w:val="clear"/>
        <w:ind w:firstLine="496"/>
        <w:rPr>
          <w:rFonts w:hint="eastAsia" w:ascii="宋体" w:hAnsi="宋体" w:eastAsia="宋体" w:cs="宋体"/>
          <w:color w:val="auto"/>
          <w:sz w:val="21"/>
          <w:szCs w:val="21"/>
        </w:rPr>
      </w:pPr>
    </w:p>
    <w:p w14:paraId="7B1AB4D6">
      <w:pPr>
        <w:pStyle w:val="32"/>
        <w:shd w:val="clear"/>
        <w:ind w:firstLine="496"/>
        <w:rPr>
          <w:rFonts w:hint="eastAsia" w:ascii="宋体" w:hAnsi="宋体" w:eastAsia="宋体" w:cs="宋体"/>
          <w:color w:val="auto"/>
          <w:sz w:val="21"/>
          <w:szCs w:val="21"/>
        </w:rPr>
      </w:pPr>
    </w:p>
    <w:p w14:paraId="18F7EC14">
      <w:pPr>
        <w:pStyle w:val="32"/>
        <w:shd w:val="clear"/>
        <w:ind w:firstLine="496"/>
        <w:rPr>
          <w:rFonts w:hint="eastAsia" w:ascii="宋体" w:hAnsi="宋体" w:eastAsia="宋体" w:cs="宋体"/>
          <w:color w:val="auto"/>
          <w:sz w:val="21"/>
          <w:szCs w:val="21"/>
        </w:rPr>
      </w:pPr>
    </w:p>
    <w:p w14:paraId="3128D632">
      <w:pPr>
        <w:pStyle w:val="32"/>
        <w:shd w:val="clear"/>
        <w:ind w:firstLine="496"/>
        <w:rPr>
          <w:rFonts w:hint="eastAsia" w:ascii="宋体" w:hAnsi="宋体" w:eastAsia="宋体" w:cs="宋体"/>
          <w:color w:val="auto"/>
          <w:sz w:val="21"/>
          <w:szCs w:val="21"/>
        </w:rPr>
      </w:pPr>
    </w:p>
    <w:p w14:paraId="4CA6427D">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521734AC">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77045D8F">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04669BD3">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43A6CFB1">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33E60E8F">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6A64BD29">
      <w:pPr>
        <w:pStyle w:val="65"/>
        <w:numPr>
          <w:ilvl w:val="0"/>
          <w:numId w:val="0"/>
        </w:numPr>
        <w:tabs>
          <w:tab w:val="left" w:pos="1053"/>
        </w:tabs>
        <w:spacing w:before="158"/>
        <w:rPr>
          <w:rFonts w:hint="eastAsia" w:ascii="宋体" w:hAnsi="宋体" w:eastAsia="宋体" w:cs="宋体"/>
          <w:color w:val="auto"/>
          <w:sz w:val="21"/>
          <w:szCs w:val="21"/>
          <w:lang w:val="en-US" w:eastAsia="zh-CN"/>
        </w:rPr>
      </w:pPr>
    </w:p>
    <w:p w14:paraId="51CBC40C">
      <w:pPr>
        <w:numPr>
          <w:ilvl w:val="0"/>
          <w:numId w:val="0"/>
        </w:numPr>
        <w:autoSpaceDE w:val="0"/>
        <w:autoSpaceDN w:val="0"/>
        <w:spacing w:line="360" w:lineRule="auto"/>
        <w:jc w:val="lef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3.本项目的特定资格要求</w:t>
      </w:r>
    </w:p>
    <w:p w14:paraId="4D4C3C33">
      <w:pPr>
        <w:widowControl/>
        <w:spacing w:line="360" w:lineRule="auto"/>
        <w:ind w:firstLine="420" w:firstLineChars="200"/>
        <w:jc w:val="left"/>
        <w:rPr>
          <w:rFonts w:hint="eastAsia" w:ascii="宋体" w:hAnsi="宋体" w:eastAsia="宋体" w:cs="宋体"/>
          <w:color w:val="auto"/>
          <w:sz w:val="21"/>
          <w:szCs w:val="21"/>
        </w:rPr>
      </w:pPr>
      <w:bookmarkStart w:id="1061" w:name="_Toc16911"/>
      <w:r>
        <w:rPr>
          <w:rFonts w:hint="eastAsia" w:ascii="宋体" w:hAnsi="宋体" w:eastAsia="宋体" w:cs="宋体"/>
          <w:b w:val="0"/>
          <w:bCs/>
          <w:color w:val="auto"/>
          <w:sz w:val="21"/>
          <w:szCs w:val="21"/>
        </w:rPr>
        <w:t>（1）供应商应具备</w:t>
      </w:r>
      <w:r>
        <w:rPr>
          <w:rFonts w:hint="eastAsia" w:ascii="宋体" w:hAnsi="宋体" w:eastAsia="宋体" w:cs="宋体"/>
          <w:color w:val="auto"/>
          <w:sz w:val="21"/>
          <w:szCs w:val="21"/>
        </w:rPr>
        <w:t>具备行政主管部门核发的公路工程施工总承包叁级以上（含叁级）资质和有效的安全生产许可证（公路工程施工总承包（叁级、贰级）企业必须达到三级及以上企业安全生产标准化达标考评，公路工程施工总承包（壹级及以上资质）的企业必须达到二级及以上企业安全生产标准化达标考评），并在人员、设备、资金等方面具有相应的施工能力。</w:t>
      </w:r>
    </w:p>
    <w:p w14:paraId="2F31AC7A">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投标人应进入交通运输部“全国公路建设市场信用信息管理系统(https://glxy.mot.gov.cn)”或“省级公路水运建设市场信用信息管理系统”中的公路工程施工资质企业名录,且投标人名称和资质与该名录中的相应企业名称和资质完全一致。</w:t>
      </w:r>
    </w:p>
    <w:p w14:paraId="4BDED27C">
      <w:pPr>
        <w:pStyle w:val="17"/>
        <w:autoSpaceDE/>
        <w:autoSpaceDN/>
        <w:spacing w:line="360" w:lineRule="auto"/>
        <w:ind w:firstLine="420" w:firstLineChars="200"/>
        <w:rPr>
          <w:rFonts w:hint="eastAsia" w:ascii="宋体" w:hAnsi="宋体" w:eastAsia="宋体" w:cs="宋体"/>
          <w:bCs/>
          <w:sz w:val="21"/>
          <w:szCs w:val="21"/>
          <w:lang w:eastAsia="zh-CN"/>
        </w:rPr>
      </w:pPr>
      <w:r>
        <w:rPr>
          <w:rFonts w:hint="eastAsia" w:ascii="宋体" w:hAnsi="宋体" w:eastAsia="宋体" w:cs="宋体"/>
          <w:b w:val="0"/>
          <w:bCs/>
          <w:color w:val="auto"/>
          <w:sz w:val="21"/>
          <w:szCs w:val="21"/>
        </w:rPr>
        <w:t>（</w:t>
      </w:r>
      <w:r>
        <w:rPr>
          <w:rFonts w:hint="eastAsia" w:cs="宋体"/>
          <w:b w:val="0"/>
          <w:bCs/>
          <w:color w:val="auto"/>
          <w:sz w:val="21"/>
          <w:szCs w:val="21"/>
          <w:lang w:val="en-US" w:eastAsia="zh-CN"/>
        </w:rPr>
        <w:t>2</w:t>
      </w:r>
      <w:r>
        <w:rPr>
          <w:rFonts w:hint="eastAsia" w:ascii="宋体" w:hAnsi="宋体" w:eastAsia="宋体" w:cs="宋体"/>
          <w:b w:val="0"/>
          <w:bCs/>
          <w:color w:val="auto"/>
          <w:sz w:val="21"/>
          <w:szCs w:val="21"/>
        </w:rPr>
        <w:t>）项目负责人资格：具有公路工程专业二级及以上注册建造师执业资格证书，同时持有省级及以上交通主管部门颁发的安全生产考核B类合格证；拟派项目负责人注册单位需与供应商申请单位名称一致</w:t>
      </w:r>
      <w:r>
        <w:rPr>
          <w:rFonts w:hint="eastAsia" w:hAnsi="宋体" w:cs="宋体"/>
          <w:b w:val="0"/>
          <w:bCs/>
          <w:color w:val="auto"/>
          <w:sz w:val="21"/>
          <w:szCs w:val="21"/>
          <w:lang w:eastAsia="zh-CN"/>
        </w:rPr>
        <w:t>，</w:t>
      </w:r>
      <w:r>
        <w:rPr>
          <w:rFonts w:hint="eastAsia" w:ascii="宋体" w:hAnsi="宋体" w:eastAsia="宋体" w:cs="宋体"/>
          <w:bCs/>
          <w:sz w:val="21"/>
          <w:szCs w:val="21"/>
          <w:lang w:eastAsia="zh-CN"/>
        </w:rPr>
        <w:t>且未担任其他在建建设工程项目的项目负责人。</w:t>
      </w:r>
    </w:p>
    <w:p w14:paraId="199C204E">
      <w:pPr>
        <w:keepNext w:val="0"/>
        <w:keepLines w:val="0"/>
        <w:pageBreakBefore w:val="0"/>
        <w:widowControl w:val="0"/>
        <w:kinsoku/>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b w:val="0"/>
          <w:bCs/>
          <w:color w:val="auto"/>
          <w:sz w:val="21"/>
          <w:szCs w:val="21"/>
        </w:rPr>
      </w:pPr>
    </w:p>
    <w:p w14:paraId="0C606FA3">
      <w:pPr>
        <w:pStyle w:val="4"/>
        <w:keepNext w:val="0"/>
        <w:keepLines w:val="0"/>
        <w:adjustRightInd w:val="0"/>
        <w:snapToGrid w:val="0"/>
        <w:spacing w:before="0" w:after="0" w:line="360" w:lineRule="auto"/>
        <w:ind w:firstLine="643" w:firstLineChars="200"/>
        <w:jc w:val="both"/>
        <w:rPr>
          <w:sz w:val="21"/>
          <w:szCs w:val="21"/>
          <w:lang w:eastAsia="zh-CN"/>
        </w:rPr>
      </w:pPr>
      <w:r>
        <w:rPr>
          <w:color w:val="auto"/>
          <w:kern w:val="0"/>
        </w:rPr>
        <w:br w:type="page"/>
      </w:r>
      <w:bookmarkEnd w:id="1061"/>
      <w:r>
        <w:rPr>
          <w:rFonts w:hint="eastAsia"/>
          <w:sz w:val="21"/>
          <w:szCs w:val="21"/>
          <w:lang w:eastAsia="zh-CN"/>
        </w:rPr>
        <w:t>附表一</w:t>
      </w:r>
    </w:p>
    <w:p w14:paraId="63D21901">
      <w:pPr>
        <w:adjustRightInd w:val="0"/>
        <w:snapToGrid w:val="0"/>
        <w:spacing w:line="360" w:lineRule="auto"/>
        <w:jc w:val="center"/>
        <w:rPr>
          <w:b/>
          <w:bCs/>
          <w:sz w:val="28"/>
          <w:szCs w:val="28"/>
        </w:rPr>
      </w:pPr>
      <w:r>
        <w:rPr>
          <w:rFonts w:hint="eastAsia"/>
          <w:b/>
          <w:bCs/>
          <w:sz w:val="28"/>
          <w:szCs w:val="28"/>
          <w:lang w:eastAsia="zh-CN"/>
        </w:rPr>
        <w:t>1.</w:t>
      </w:r>
      <w:r>
        <w:rPr>
          <w:rFonts w:hint="eastAsia"/>
          <w:b/>
          <w:bCs/>
          <w:sz w:val="28"/>
          <w:szCs w:val="28"/>
        </w:rPr>
        <w:t>项目负责人简历表</w:t>
      </w:r>
    </w:p>
    <w:p w14:paraId="2A01043E">
      <w:pPr>
        <w:spacing w:line="420" w:lineRule="exact"/>
        <w:ind w:firstLine="440" w:firstLineChars="200"/>
        <w:rPr>
          <w:szCs w:val="21"/>
        </w:rPr>
      </w:pPr>
      <w:r>
        <w:rPr>
          <w:rFonts w:hint="eastAsia"/>
          <w:szCs w:val="21"/>
        </w:rPr>
        <w:t>项目负责人应附建造师执业资格证书、注册证书、安全生产考核合格证书、身份证、职称证、学历证、养老保险扫描件及未担任其他在建建设工程项目项目负责人的承诺书，管理过的项目业绩须附合同协议书和竣工验收备案登记表扫描件。类似项目限于以项目负责人身份参与的项目。</w:t>
      </w:r>
    </w:p>
    <w:tbl>
      <w:tblPr>
        <w:tblStyle w:val="33"/>
        <w:tblW w:w="92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3"/>
        <w:gridCol w:w="1124"/>
        <w:gridCol w:w="1229"/>
        <w:gridCol w:w="1378"/>
        <w:gridCol w:w="1005"/>
        <w:gridCol w:w="988"/>
        <w:gridCol w:w="1155"/>
        <w:gridCol w:w="1143"/>
      </w:tblGrid>
      <w:tr w14:paraId="12FE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467873A6">
            <w:pPr>
              <w:jc w:val="center"/>
              <w:rPr>
                <w:szCs w:val="21"/>
              </w:rPr>
            </w:pPr>
            <w:r>
              <w:rPr>
                <w:rFonts w:hint="eastAsia"/>
                <w:szCs w:val="21"/>
              </w:rPr>
              <w:t>姓  名</w:t>
            </w:r>
          </w:p>
        </w:tc>
        <w:tc>
          <w:tcPr>
            <w:tcW w:w="1124" w:type="dxa"/>
            <w:tcBorders>
              <w:top w:val="single" w:color="auto" w:sz="4" w:space="0"/>
              <w:left w:val="single" w:color="auto" w:sz="4" w:space="0"/>
              <w:bottom w:val="single" w:color="auto" w:sz="4" w:space="0"/>
              <w:right w:val="single" w:color="auto" w:sz="4" w:space="0"/>
            </w:tcBorders>
            <w:vAlign w:val="center"/>
          </w:tcPr>
          <w:p w14:paraId="6BECE74A">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14F0AF59">
            <w:pPr>
              <w:jc w:val="center"/>
              <w:rPr>
                <w:szCs w:val="21"/>
              </w:rPr>
            </w:pPr>
            <w:r>
              <w:rPr>
                <w:rFonts w:hint="eastAsia"/>
                <w:szCs w:val="21"/>
              </w:rPr>
              <w:t>年  龄</w:t>
            </w:r>
          </w:p>
        </w:tc>
        <w:tc>
          <w:tcPr>
            <w:tcW w:w="1378" w:type="dxa"/>
            <w:tcBorders>
              <w:top w:val="single" w:color="auto" w:sz="4" w:space="0"/>
              <w:left w:val="single" w:color="auto" w:sz="4" w:space="0"/>
              <w:bottom w:val="single" w:color="auto" w:sz="4" w:space="0"/>
              <w:right w:val="single" w:color="auto" w:sz="4" w:space="0"/>
            </w:tcBorders>
            <w:vAlign w:val="center"/>
          </w:tcPr>
          <w:p w14:paraId="166F39AB">
            <w:pPr>
              <w:jc w:val="center"/>
              <w:rPr>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2CEAB74">
            <w:pPr>
              <w:jc w:val="center"/>
              <w:rPr>
                <w:szCs w:val="21"/>
              </w:rPr>
            </w:pPr>
            <w:r>
              <w:rPr>
                <w:rFonts w:hint="eastAsia"/>
                <w:szCs w:val="21"/>
              </w:rPr>
              <w:t>学历</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454A282A">
            <w:pPr>
              <w:jc w:val="center"/>
              <w:rPr>
                <w:szCs w:val="21"/>
              </w:rPr>
            </w:pPr>
          </w:p>
        </w:tc>
      </w:tr>
      <w:tr w14:paraId="1BE7D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3689010C">
            <w:pPr>
              <w:jc w:val="center"/>
              <w:rPr>
                <w:szCs w:val="21"/>
              </w:rPr>
            </w:pPr>
            <w:r>
              <w:rPr>
                <w:rFonts w:hint="eastAsia"/>
                <w:szCs w:val="21"/>
              </w:rPr>
              <w:t>职  称</w:t>
            </w:r>
          </w:p>
        </w:tc>
        <w:tc>
          <w:tcPr>
            <w:tcW w:w="1124" w:type="dxa"/>
            <w:tcBorders>
              <w:top w:val="single" w:color="auto" w:sz="4" w:space="0"/>
              <w:left w:val="single" w:color="auto" w:sz="4" w:space="0"/>
              <w:bottom w:val="single" w:color="auto" w:sz="4" w:space="0"/>
              <w:right w:val="single" w:color="auto" w:sz="4" w:space="0"/>
            </w:tcBorders>
            <w:vAlign w:val="center"/>
          </w:tcPr>
          <w:p w14:paraId="1AE9B1FB">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22FFA0C2">
            <w:pPr>
              <w:jc w:val="center"/>
              <w:rPr>
                <w:szCs w:val="21"/>
              </w:rPr>
            </w:pPr>
            <w:r>
              <w:rPr>
                <w:rFonts w:hint="eastAsia"/>
                <w:szCs w:val="21"/>
              </w:rPr>
              <w:t>职  务</w:t>
            </w:r>
          </w:p>
        </w:tc>
        <w:tc>
          <w:tcPr>
            <w:tcW w:w="1378" w:type="dxa"/>
            <w:tcBorders>
              <w:top w:val="single" w:color="auto" w:sz="4" w:space="0"/>
              <w:left w:val="single" w:color="auto" w:sz="4" w:space="0"/>
              <w:bottom w:val="single" w:color="auto" w:sz="4" w:space="0"/>
              <w:right w:val="single" w:color="auto" w:sz="4" w:space="0"/>
            </w:tcBorders>
            <w:vAlign w:val="center"/>
          </w:tcPr>
          <w:p w14:paraId="1308CF49">
            <w:pPr>
              <w:jc w:val="center"/>
              <w:rPr>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49ED8CBF">
            <w:pPr>
              <w:jc w:val="center"/>
              <w:rPr>
                <w:szCs w:val="21"/>
              </w:rPr>
            </w:pPr>
            <w:r>
              <w:rPr>
                <w:rFonts w:hint="eastAsia"/>
                <w:szCs w:val="21"/>
              </w:rPr>
              <w:t>拟在本工程任职</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6E71A35B">
            <w:pPr>
              <w:jc w:val="center"/>
              <w:rPr>
                <w:szCs w:val="21"/>
              </w:rPr>
            </w:pPr>
            <w:r>
              <w:rPr>
                <w:rFonts w:hint="eastAsia"/>
                <w:szCs w:val="21"/>
              </w:rPr>
              <w:t>项目负责人</w:t>
            </w:r>
          </w:p>
        </w:tc>
      </w:tr>
      <w:tr w14:paraId="24E0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150F1DA4">
            <w:pPr>
              <w:jc w:val="center"/>
              <w:rPr>
                <w:szCs w:val="21"/>
              </w:rPr>
            </w:pPr>
            <w:r>
              <w:rPr>
                <w:rFonts w:hint="eastAsia"/>
                <w:szCs w:val="21"/>
              </w:rPr>
              <w:t>注册建造师执业资格等级</w:t>
            </w:r>
          </w:p>
        </w:tc>
        <w:tc>
          <w:tcPr>
            <w:tcW w:w="1378" w:type="dxa"/>
            <w:tcBorders>
              <w:top w:val="single" w:color="auto" w:sz="4" w:space="0"/>
              <w:left w:val="single" w:color="auto" w:sz="4" w:space="0"/>
              <w:bottom w:val="single" w:color="auto" w:sz="4" w:space="0"/>
              <w:right w:val="single" w:color="auto" w:sz="4" w:space="0"/>
            </w:tcBorders>
            <w:vAlign w:val="center"/>
          </w:tcPr>
          <w:p w14:paraId="2CE1A4B8">
            <w:pPr>
              <w:jc w:val="center"/>
              <w:rPr>
                <w:szCs w:val="21"/>
              </w:rPr>
            </w:pPr>
            <w:r>
              <w:rPr>
                <w:rFonts w:hint="eastAsia"/>
                <w:szCs w:val="21"/>
              </w:rPr>
              <w:t xml:space="preserve">      级</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37F3BD6F">
            <w:pPr>
              <w:jc w:val="center"/>
              <w:rPr>
                <w:szCs w:val="21"/>
              </w:rPr>
            </w:pPr>
            <w:r>
              <w:rPr>
                <w:rFonts w:hint="eastAsia"/>
                <w:szCs w:val="21"/>
              </w:rPr>
              <w:t>建造师专业</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646BADC7">
            <w:pPr>
              <w:jc w:val="center"/>
              <w:rPr>
                <w:szCs w:val="21"/>
              </w:rPr>
            </w:pPr>
          </w:p>
        </w:tc>
      </w:tr>
      <w:tr w14:paraId="08E0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07767BEC">
            <w:pPr>
              <w:jc w:val="center"/>
              <w:rPr>
                <w:szCs w:val="21"/>
              </w:rPr>
            </w:pPr>
            <w:r>
              <w:rPr>
                <w:rFonts w:hint="eastAsia"/>
                <w:szCs w:val="21"/>
              </w:rPr>
              <w:t>安全生产考核合格证书</w:t>
            </w:r>
          </w:p>
        </w:tc>
        <w:tc>
          <w:tcPr>
            <w:tcW w:w="1378" w:type="dxa"/>
            <w:tcBorders>
              <w:top w:val="single" w:color="auto" w:sz="4" w:space="0"/>
              <w:left w:val="single" w:color="auto" w:sz="4" w:space="0"/>
              <w:bottom w:val="single" w:color="auto" w:sz="4" w:space="0"/>
              <w:right w:val="single" w:color="auto" w:sz="4" w:space="0"/>
            </w:tcBorders>
            <w:vAlign w:val="center"/>
          </w:tcPr>
          <w:p w14:paraId="7D90C834">
            <w:pPr>
              <w:jc w:val="center"/>
              <w:rPr>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9895623">
            <w:pPr>
              <w:jc w:val="center"/>
              <w:rPr>
                <w:szCs w:val="21"/>
              </w:rPr>
            </w:pPr>
            <w:r>
              <w:rPr>
                <w:rFonts w:hint="eastAsia"/>
                <w:szCs w:val="21"/>
              </w:rPr>
              <w:t>注册单位</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2D63D37E">
            <w:pPr>
              <w:jc w:val="center"/>
              <w:rPr>
                <w:szCs w:val="21"/>
              </w:rPr>
            </w:pPr>
          </w:p>
        </w:tc>
      </w:tr>
      <w:tr w14:paraId="523E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2E497FAD">
            <w:pPr>
              <w:jc w:val="center"/>
              <w:rPr>
                <w:szCs w:val="21"/>
              </w:rPr>
            </w:pPr>
            <w:r>
              <w:rPr>
                <w:rFonts w:hint="eastAsia"/>
                <w:szCs w:val="21"/>
              </w:rPr>
              <w:t>毕业学校</w:t>
            </w:r>
          </w:p>
        </w:tc>
        <w:tc>
          <w:tcPr>
            <w:tcW w:w="8022" w:type="dxa"/>
            <w:gridSpan w:val="7"/>
            <w:tcBorders>
              <w:top w:val="single" w:color="auto" w:sz="4" w:space="0"/>
              <w:left w:val="single" w:color="auto" w:sz="4" w:space="0"/>
              <w:bottom w:val="single" w:color="auto" w:sz="4" w:space="0"/>
              <w:right w:val="single" w:color="auto" w:sz="4" w:space="0"/>
            </w:tcBorders>
            <w:vAlign w:val="center"/>
          </w:tcPr>
          <w:p w14:paraId="010A572F">
            <w:pPr>
              <w:ind w:firstLine="880" w:firstLineChars="400"/>
              <w:rPr>
                <w:szCs w:val="21"/>
              </w:rPr>
            </w:pPr>
            <w:r>
              <w:rPr>
                <w:rFonts w:hint="eastAsia"/>
                <w:szCs w:val="21"/>
              </w:rPr>
              <w:t>年毕业于                  学校            专业</w:t>
            </w:r>
          </w:p>
        </w:tc>
      </w:tr>
      <w:tr w14:paraId="2729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204" w:type="dxa"/>
            <w:gridSpan w:val="9"/>
            <w:tcBorders>
              <w:top w:val="single" w:color="auto" w:sz="4" w:space="0"/>
              <w:left w:val="single" w:color="auto" w:sz="4" w:space="0"/>
              <w:bottom w:val="single" w:color="auto" w:sz="4" w:space="0"/>
              <w:right w:val="single" w:color="auto" w:sz="4" w:space="0"/>
            </w:tcBorders>
            <w:vAlign w:val="center"/>
          </w:tcPr>
          <w:p w14:paraId="20BED6F0">
            <w:pPr>
              <w:jc w:val="center"/>
              <w:rPr>
                <w:szCs w:val="21"/>
              </w:rPr>
            </w:pPr>
            <w:r>
              <w:rPr>
                <w:rFonts w:hint="eastAsia"/>
                <w:szCs w:val="21"/>
              </w:rPr>
              <w:t>主要工作经历</w:t>
            </w:r>
          </w:p>
        </w:tc>
      </w:tr>
      <w:tr w14:paraId="1E5C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09" w:type="dxa"/>
            <w:tcBorders>
              <w:top w:val="single" w:color="auto" w:sz="4" w:space="0"/>
              <w:left w:val="single" w:color="auto" w:sz="4" w:space="0"/>
              <w:bottom w:val="single" w:color="auto" w:sz="4" w:space="0"/>
              <w:right w:val="single" w:color="auto" w:sz="4" w:space="0"/>
            </w:tcBorders>
            <w:vAlign w:val="center"/>
          </w:tcPr>
          <w:p w14:paraId="0DAB2325">
            <w:pPr>
              <w:jc w:val="center"/>
              <w:rPr>
                <w:szCs w:val="21"/>
              </w:rPr>
            </w:pPr>
            <w:r>
              <w:rPr>
                <w:rFonts w:hint="eastAsia"/>
                <w:szCs w:val="21"/>
              </w:rPr>
              <w:t>序号</w:t>
            </w: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47AFC643">
            <w:pPr>
              <w:jc w:val="center"/>
              <w:rPr>
                <w:szCs w:val="21"/>
              </w:rPr>
            </w:pPr>
            <w:r>
              <w:rPr>
                <w:rFonts w:hint="eastAsia"/>
                <w:szCs w:val="21"/>
              </w:rPr>
              <w:t>参加过的类似项目名称</w:t>
            </w:r>
          </w:p>
        </w:tc>
        <w:tc>
          <w:tcPr>
            <w:tcW w:w="1229" w:type="dxa"/>
            <w:tcBorders>
              <w:top w:val="single" w:color="auto" w:sz="4" w:space="0"/>
              <w:left w:val="single" w:color="auto" w:sz="4" w:space="0"/>
              <w:bottom w:val="single" w:color="auto" w:sz="4" w:space="0"/>
              <w:right w:val="single" w:color="auto" w:sz="4" w:space="0"/>
            </w:tcBorders>
            <w:vAlign w:val="center"/>
          </w:tcPr>
          <w:p w14:paraId="16EA4503">
            <w:pPr>
              <w:pStyle w:val="8"/>
              <w:spacing w:before="120" w:line="360" w:lineRule="auto"/>
              <w:ind w:firstLine="0" w:firstLineChars="0"/>
              <w:jc w:val="both"/>
              <w:rPr>
                <w:kern w:val="2"/>
                <w:sz w:val="21"/>
                <w:szCs w:val="21"/>
              </w:rPr>
            </w:pPr>
            <w:r>
              <w:rPr>
                <w:rFonts w:hint="eastAsia"/>
                <w:kern w:val="2"/>
                <w:sz w:val="21"/>
                <w:szCs w:val="21"/>
              </w:rPr>
              <w:t>项目地址</w:t>
            </w:r>
          </w:p>
        </w:tc>
        <w:tc>
          <w:tcPr>
            <w:tcW w:w="1378" w:type="dxa"/>
            <w:tcBorders>
              <w:top w:val="single" w:color="auto" w:sz="4" w:space="0"/>
              <w:left w:val="single" w:color="auto" w:sz="4" w:space="0"/>
              <w:bottom w:val="single" w:color="auto" w:sz="4" w:space="0"/>
              <w:right w:val="single" w:color="auto" w:sz="4" w:space="0"/>
            </w:tcBorders>
            <w:vAlign w:val="center"/>
          </w:tcPr>
          <w:p w14:paraId="24561F79">
            <w:pPr>
              <w:pStyle w:val="8"/>
              <w:spacing w:before="120" w:line="360" w:lineRule="auto"/>
              <w:ind w:firstLine="0" w:firstLineChars="0"/>
              <w:jc w:val="both"/>
              <w:rPr>
                <w:kern w:val="2"/>
                <w:sz w:val="21"/>
                <w:szCs w:val="21"/>
              </w:rPr>
            </w:pPr>
            <w:r>
              <w:rPr>
                <w:rFonts w:hint="eastAsia"/>
                <w:kern w:val="2"/>
                <w:sz w:val="21"/>
                <w:szCs w:val="21"/>
              </w:rPr>
              <w:t>业主名称</w:t>
            </w:r>
          </w:p>
        </w:tc>
        <w:tc>
          <w:tcPr>
            <w:tcW w:w="1005" w:type="dxa"/>
            <w:tcBorders>
              <w:top w:val="single" w:color="auto" w:sz="4" w:space="0"/>
              <w:left w:val="single" w:color="auto" w:sz="4" w:space="0"/>
              <w:bottom w:val="single" w:color="auto" w:sz="4" w:space="0"/>
              <w:right w:val="single" w:color="auto" w:sz="4" w:space="0"/>
            </w:tcBorders>
            <w:vAlign w:val="center"/>
          </w:tcPr>
          <w:p w14:paraId="70D1B3BE">
            <w:pPr>
              <w:pStyle w:val="8"/>
              <w:spacing w:before="120" w:line="360" w:lineRule="auto"/>
              <w:ind w:firstLine="0" w:firstLineChars="0"/>
              <w:jc w:val="both"/>
              <w:rPr>
                <w:kern w:val="2"/>
                <w:sz w:val="21"/>
                <w:szCs w:val="21"/>
              </w:rPr>
            </w:pPr>
            <w:r>
              <w:rPr>
                <w:rFonts w:hint="eastAsia"/>
                <w:kern w:val="2"/>
                <w:sz w:val="21"/>
                <w:szCs w:val="21"/>
              </w:rPr>
              <w:t>联系人姓名及电话</w:t>
            </w:r>
          </w:p>
        </w:tc>
        <w:tc>
          <w:tcPr>
            <w:tcW w:w="988" w:type="dxa"/>
            <w:tcBorders>
              <w:top w:val="single" w:color="auto" w:sz="4" w:space="0"/>
              <w:left w:val="single" w:color="auto" w:sz="4" w:space="0"/>
              <w:bottom w:val="single" w:color="auto" w:sz="4" w:space="0"/>
              <w:right w:val="single" w:color="auto" w:sz="4" w:space="0"/>
            </w:tcBorders>
            <w:vAlign w:val="center"/>
          </w:tcPr>
          <w:p w14:paraId="6FEDBE61">
            <w:pPr>
              <w:pStyle w:val="8"/>
              <w:spacing w:before="120" w:line="360" w:lineRule="auto"/>
              <w:ind w:firstLine="0" w:firstLineChars="0"/>
              <w:jc w:val="both"/>
              <w:rPr>
                <w:kern w:val="2"/>
                <w:sz w:val="21"/>
                <w:szCs w:val="21"/>
              </w:rPr>
            </w:pPr>
            <w:r>
              <w:rPr>
                <w:rFonts w:hint="eastAsia"/>
                <w:kern w:val="2"/>
                <w:sz w:val="21"/>
                <w:szCs w:val="21"/>
              </w:rPr>
              <w:t>合同金额</w:t>
            </w:r>
          </w:p>
        </w:tc>
        <w:tc>
          <w:tcPr>
            <w:tcW w:w="1155" w:type="dxa"/>
            <w:tcBorders>
              <w:top w:val="single" w:color="auto" w:sz="4" w:space="0"/>
              <w:left w:val="single" w:color="auto" w:sz="4" w:space="0"/>
              <w:bottom w:val="single" w:color="auto" w:sz="4" w:space="0"/>
              <w:right w:val="single" w:color="auto" w:sz="4" w:space="0"/>
            </w:tcBorders>
            <w:vAlign w:val="center"/>
          </w:tcPr>
          <w:p w14:paraId="1794A55E">
            <w:pPr>
              <w:pStyle w:val="8"/>
              <w:spacing w:before="120" w:line="360" w:lineRule="auto"/>
              <w:ind w:firstLine="0" w:firstLineChars="0"/>
              <w:jc w:val="both"/>
              <w:rPr>
                <w:kern w:val="2"/>
                <w:sz w:val="21"/>
                <w:szCs w:val="21"/>
              </w:rPr>
            </w:pPr>
            <w:r>
              <w:rPr>
                <w:rFonts w:hint="eastAsia"/>
                <w:kern w:val="2"/>
                <w:sz w:val="21"/>
                <w:szCs w:val="21"/>
              </w:rPr>
              <w:t>完成时间</w:t>
            </w:r>
          </w:p>
        </w:tc>
        <w:tc>
          <w:tcPr>
            <w:tcW w:w="1143" w:type="dxa"/>
            <w:tcBorders>
              <w:top w:val="single" w:color="auto" w:sz="4" w:space="0"/>
              <w:left w:val="single" w:color="auto" w:sz="4" w:space="0"/>
              <w:bottom w:val="single" w:color="auto" w:sz="4" w:space="0"/>
              <w:right w:val="single" w:color="auto" w:sz="4" w:space="0"/>
            </w:tcBorders>
            <w:vAlign w:val="center"/>
          </w:tcPr>
          <w:p w14:paraId="1161AC0B">
            <w:pPr>
              <w:jc w:val="center"/>
              <w:rPr>
                <w:szCs w:val="21"/>
              </w:rPr>
            </w:pPr>
            <w:r>
              <w:rPr>
                <w:rFonts w:hint="eastAsia"/>
                <w:szCs w:val="21"/>
              </w:rPr>
              <w:t>在项目中担任何种职务</w:t>
            </w:r>
          </w:p>
        </w:tc>
      </w:tr>
      <w:tr w14:paraId="46A3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2F09AEEC">
            <w:pPr>
              <w:jc w:val="center"/>
              <w:rPr>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20EE3492">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6DFA104C">
            <w:pPr>
              <w:jc w:val="center"/>
              <w:rPr>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3FC6C4E4">
            <w:pPr>
              <w:jc w:val="center"/>
              <w:rPr>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06A5D88B">
            <w:pPr>
              <w:jc w:val="center"/>
              <w:rPr>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337356E0">
            <w:pPr>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F263886">
            <w:pPr>
              <w:jc w:val="center"/>
              <w:rPr>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5708752F">
            <w:pPr>
              <w:jc w:val="center"/>
              <w:rPr>
                <w:szCs w:val="21"/>
              </w:rPr>
            </w:pPr>
          </w:p>
        </w:tc>
      </w:tr>
      <w:tr w14:paraId="2C51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6060217B">
            <w:pPr>
              <w:jc w:val="center"/>
              <w:rPr>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3DA37B44">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62484816">
            <w:pPr>
              <w:jc w:val="center"/>
              <w:rPr>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5CC65E80">
            <w:pPr>
              <w:jc w:val="center"/>
              <w:rPr>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5FA8C2B3">
            <w:pPr>
              <w:jc w:val="center"/>
              <w:rPr>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185AC628">
            <w:pPr>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7BF8CD3">
            <w:pPr>
              <w:jc w:val="center"/>
              <w:rPr>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0462F989">
            <w:pPr>
              <w:jc w:val="center"/>
              <w:rPr>
                <w:szCs w:val="21"/>
              </w:rPr>
            </w:pPr>
          </w:p>
        </w:tc>
      </w:tr>
      <w:tr w14:paraId="4D753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652502CC">
            <w:pPr>
              <w:jc w:val="center"/>
              <w:rPr>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6551E372">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6FDF79BD">
            <w:pPr>
              <w:jc w:val="center"/>
              <w:rPr>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0BDB5A92">
            <w:pPr>
              <w:jc w:val="center"/>
              <w:rPr>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6BB795E">
            <w:pPr>
              <w:jc w:val="center"/>
              <w:rPr>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5EFAF73C">
            <w:pPr>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0D8CB22">
            <w:pPr>
              <w:jc w:val="center"/>
              <w:rPr>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7020BE45">
            <w:pPr>
              <w:jc w:val="center"/>
              <w:rPr>
                <w:szCs w:val="21"/>
              </w:rPr>
            </w:pPr>
          </w:p>
        </w:tc>
      </w:tr>
      <w:tr w14:paraId="01AE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1CD20FF9">
            <w:pPr>
              <w:jc w:val="center"/>
              <w:rPr>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A49730C">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2F6AE571">
            <w:pPr>
              <w:jc w:val="center"/>
              <w:rPr>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649225DE">
            <w:pPr>
              <w:jc w:val="center"/>
              <w:rPr>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0D97D491">
            <w:pPr>
              <w:jc w:val="center"/>
              <w:rPr>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3248FC1E">
            <w:pPr>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08EE9F0">
            <w:pPr>
              <w:jc w:val="center"/>
              <w:rPr>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4B43F014">
            <w:pPr>
              <w:jc w:val="center"/>
              <w:rPr>
                <w:szCs w:val="21"/>
              </w:rPr>
            </w:pPr>
          </w:p>
        </w:tc>
      </w:tr>
      <w:tr w14:paraId="0A32F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12EB4FD3">
            <w:pPr>
              <w:jc w:val="center"/>
              <w:rPr>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1CF3E1D">
            <w:pPr>
              <w:jc w:val="center"/>
              <w:rPr>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10394223">
            <w:pPr>
              <w:jc w:val="center"/>
              <w:rPr>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4579426E">
            <w:pPr>
              <w:jc w:val="center"/>
              <w:rPr>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0AEC75D">
            <w:pPr>
              <w:jc w:val="center"/>
              <w:rPr>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5373B9A8">
            <w:pPr>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6F72733">
            <w:pPr>
              <w:jc w:val="center"/>
              <w:rPr>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4072B145">
            <w:pPr>
              <w:jc w:val="center"/>
              <w:rPr>
                <w:szCs w:val="21"/>
              </w:rPr>
            </w:pPr>
          </w:p>
        </w:tc>
      </w:tr>
    </w:tbl>
    <w:p w14:paraId="3EC329AE">
      <w:pPr>
        <w:adjustRightInd w:val="0"/>
        <w:spacing w:line="200" w:lineRule="exact"/>
        <w:rPr>
          <w:rFonts w:ascii="Arial" w:hAnsi="Arial"/>
          <w:sz w:val="20"/>
        </w:rPr>
      </w:pPr>
    </w:p>
    <w:p w14:paraId="6905685F">
      <w:pPr>
        <w:jc w:val="center"/>
        <w:rPr>
          <w:rFonts w:hint="eastAsia" w:ascii="宋体" w:hAnsi="宋体" w:eastAsia="宋体" w:cs="宋体"/>
          <w:b/>
          <w:bCs/>
          <w:sz w:val="28"/>
          <w:szCs w:val="28"/>
        </w:rPr>
      </w:pPr>
      <w:r>
        <w:rPr>
          <w:rFonts w:hint="eastAsia" w:ascii="黑体" w:eastAsia="黑体"/>
          <w:sz w:val="28"/>
          <w:szCs w:val="28"/>
        </w:rPr>
        <w:br w:type="page"/>
      </w:r>
      <w:r>
        <w:rPr>
          <w:rFonts w:hint="eastAsia" w:ascii="宋体" w:hAnsi="宋体" w:eastAsia="宋体" w:cs="宋体"/>
          <w:b/>
          <w:bCs/>
          <w:sz w:val="28"/>
          <w:szCs w:val="28"/>
        </w:rPr>
        <w:t>承  诺  书</w:t>
      </w:r>
    </w:p>
    <w:p w14:paraId="5401250F">
      <w:pPr>
        <w:jc w:val="center"/>
        <w:rPr>
          <w:rFonts w:hint="eastAsia" w:ascii="宋体" w:hAnsi="宋体" w:eastAsia="宋体" w:cs="宋体"/>
          <w:sz w:val="28"/>
          <w:szCs w:val="28"/>
        </w:rPr>
      </w:pPr>
    </w:p>
    <w:p w14:paraId="7F4E3AF9">
      <w:pPr>
        <w:spacing w:after="312" w:afterLines="100" w:line="440" w:lineRule="exact"/>
        <w:jc w:val="left"/>
        <w:rPr>
          <w:rFonts w:hint="eastAsia" w:ascii="宋体" w:hAnsi="宋体" w:eastAsia="宋体" w:cs="宋体"/>
          <w:szCs w:val="21"/>
        </w:rPr>
      </w:pPr>
      <w:r>
        <w:rPr>
          <w:rFonts w:hint="eastAsia" w:ascii="宋体" w:hAnsi="宋体" w:eastAsia="宋体" w:cs="宋体"/>
          <w:u w:val="none"/>
        </w:rPr>
        <w:t>________________________</w:t>
      </w:r>
      <w:r>
        <w:rPr>
          <w:rFonts w:hint="eastAsia" w:ascii="宋体" w:hAnsi="宋体" w:eastAsia="宋体" w:cs="宋体"/>
          <w:szCs w:val="21"/>
        </w:rPr>
        <w:t>（</w:t>
      </w:r>
      <w:r>
        <w:rPr>
          <w:rFonts w:hint="eastAsia" w:ascii="宋体" w:hAnsi="宋体" w:eastAsia="宋体" w:cs="宋体"/>
          <w:szCs w:val="21"/>
          <w:lang w:eastAsia="zh-CN"/>
        </w:rPr>
        <w:t>供应商</w:t>
      </w:r>
      <w:r>
        <w:rPr>
          <w:rFonts w:hint="eastAsia" w:ascii="宋体" w:hAnsi="宋体" w:eastAsia="宋体" w:cs="宋体"/>
          <w:szCs w:val="21"/>
        </w:rPr>
        <w:t>名称）：</w:t>
      </w:r>
    </w:p>
    <w:p w14:paraId="4A90E98E">
      <w:pPr>
        <w:spacing w:line="440" w:lineRule="exact"/>
        <w:ind w:firstLine="440" w:firstLineChars="200"/>
        <w:jc w:val="left"/>
        <w:rPr>
          <w:rFonts w:hint="eastAsia" w:ascii="宋体" w:hAnsi="宋体" w:eastAsia="宋体" w:cs="宋体"/>
          <w:szCs w:val="21"/>
        </w:rPr>
      </w:pPr>
      <w:r>
        <w:rPr>
          <w:rFonts w:hint="eastAsia" w:ascii="宋体" w:hAnsi="宋体" w:eastAsia="宋体" w:cs="宋体"/>
          <w:szCs w:val="21"/>
        </w:rPr>
        <w:t>我方在此声明，我方拟派往</w:t>
      </w:r>
      <w:r>
        <w:rPr>
          <w:rFonts w:hint="eastAsia" w:ascii="宋体" w:hAnsi="宋体" w:eastAsia="宋体" w:cs="宋体"/>
          <w:u w:val="none"/>
        </w:rPr>
        <w:t>_____________________</w:t>
      </w:r>
      <w:r>
        <w:rPr>
          <w:rFonts w:hint="eastAsia" w:ascii="宋体" w:hAnsi="宋体" w:eastAsia="宋体" w:cs="宋体"/>
          <w:szCs w:val="21"/>
        </w:rPr>
        <w:t>（项目名称）的项目负责人</w:t>
      </w:r>
      <w:r>
        <w:rPr>
          <w:rFonts w:hint="eastAsia" w:ascii="宋体" w:hAnsi="宋体" w:eastAsia="宋体" w:cs="宋体"/>
          <w:u w:val="none"/>
        </w:rPr>
        <w:t>_________</w:t>
      </w:r>
      <w:r>
        <w:rPr>
          <w:rFonts w:hint="eastAsia" w:ascii="宋体" w:hAnsi="宋体" w:eastAsia="宋体" w:cs="宋体"/>
          <w:szCs w:val="21"/>
          <w:u w:val="none"/>
        </w:rPr>
        <w:t>（</w:t>
      </w:r>
      <w:r>
        <w:rPr>
          <w:rFonts w:hint="eastAsia" w:ascii="宋体" w:hAnsi="宋体" w:eastAsia="宋体" w:cs="宋体"/>
          <w:szCs w:val="21"/>
        </w:rPr>
        <w:t>项目负责人姓名）现阶段没有担任任何在建建设工程项目的项目负责人。</w:t>
      </w:r>
    </w:p>
    <w:p w14:paraId="3453AD9A">
      <w:pPr>
        <w:pStyle w:val="17"/>
        <w:autoSpaceDE/>
        <w:autoSpaceDN/>
        <w:spacing w:line="360" w:lineRule="auto"/>
        <w:ind w:firstLine="420" w:firstLineChars="200"/>
        <w:rPr>
          <w:rFonts w:hint="eastAsia" w:ascii="宋体" w:hAnsi="宋体" w:eastAsia="宋体" w:cs="宋体"/>
          <w:bCs/>
          <w:sz w:val="21"/>
          <w:szCs w:val="21"/>
          <w:lang w:eastAsia="zh-CN"/>
        </w:rPr>
      </w:pPr>
    </w:p>
    <w:p w14:paraId="6FEC062C">
      <w:pPr>
        <w:spacing w:line="440" w:lineRule="exact"/>
        <w:ind w:firstLine="440" w:firstLineChars="200"/>
        <w:jc w:val="left"/>
        <w:rPr>
          <w:rFonts w:hint="eastAsia" w:ascii="宋体" w:hAnsi="宋体" w:eastAsia="宋体" w:cs="宋体"/>
          <w:szCs w:val="21"/>
        </w:rPr>
      </w:pPr>
    </w:p>
    <w:p w14:paraId="2FD50B62">
      <w:pPr>
        <w:spacing w:line="440" w:lineRule="exact"/>
        <w:ind w:firstLine="440" w:firstLineChars="200"/>
        <w:jc w:val="left"/>
        <w:rPr>
          <w:rFonts w:hint="eastAsia" w:ascii="宋体" w:hAnsi="宋体" w:eastAsia="宋体" w:cs="宋体"/>
          <w:szCs w:val="21"/>
        </w:rPr>
      </w:pPr>
      <w:r>
        <w:rPr>
          <w:rFonts w:hint="eastAsia" w:ascii="宋体" w:hAnsi="宋体" w:eastAsia="宋体" w:cs="宋体"/>
          <w:szCs w:val="21"/>
        </w:rPr>
        <w:t>我方保证上述信息的真实和准确，并愿意承担因我方就此弄虚作假所引起的一切法律后果。</w:t>
      </w:r>
    </w:p>
    <w:p w14:paraId="48F632E1">
      <w:pPr>
        <w:spacing w:line="440" w:lineRule="exact"/>
        <w:ind w:firstLine="440" w:firstLineChars="200"/>
        <w:jc w:val="left"/>
        <w:rPr>
          <w:rFonts w:hint="eastAsia" w:ascii="宋体" w:hAnsi="宋体" w:eastAsia="宋体" w:cs="宋体"/>
          <w:szCs w:val="21"/>
        </w:rPr>
      </w:pPr>
    </w:p>
    <w:p w14:paraId="3CC55D38">
      <w:pPr>
        <w:spacing w:line="440" w:lineRule="exact"/>
        <w:ind w:firstLine="440" w:firstLineChars="200"/>
        <w:jc w:val="left"/>
        <w:rPr>
          <w:rFonts w:hint="eastAsia" w:ascii="宋体" w:hAnsi="宋体" w:eastAsia="宋体" w:cs="宋体"/>
          <w:szCs w:val="21"/>
        </w:rPr>
      </w:pPr>
      <w:r>
        <w:rPr>
          <w:rFonts w:hint="eastAsia" w:ascii="宋体" w:hAnsi="宋体" w:eastAsia="宋体" w:cs="宋体"/>
          <w:szCs w:val="21"/>
        </w:rPr>
        <w:t>特此承诺</w:t>
      </w:r>
    </w:p>
    <w:p w14:paraId="3EF7EE3F">
      <w:pPr>
        <w:spacing w:line="440" w:lineRule="exact"/>
        <w:ind w:firstLine="440" w:firstLineChars="200"/>
        <w:jc w:val="left"/>
        <w:rPr>
          <w:rFonts w:hint="eastAsia" w:ascii="宋体" w:hAnsi="宋体" w:eastAsia="宋体" w:cs="宋体"/>
          <w:szCs w:val="21"/>
        </w:rPr>
      </w:pPr>
    </w:p>
    <w:p w14:paraId="1A9CB955">
      <w:pPr>
        <w:spacing w:line="440" w:lineRule="exact"/>
        <w:ind w:firstLine="440" w:firstLineChars="200"/>
        <w:jc w:val="left"/>
        <w:rPr>
          <w:rFonts w:ascii="宋体" w:hAnsi="宋体"/>
          <w:szCs w:val="21"/>
        </w:rPr>
      </w:pPr>
    </w:p>
    <w:p w14:paraId="6EC5B975">
      <w:pPr>
        <w:spacing w:line="440" w:lineRule="exact"/>
        <w:ind w:firstLine="440" w:firstLineChars="200"/>
        <w:jc w:val="left"/>
        <w:rPr>
          <w:rFonts w:ascii="宋体" w:hAnsi="宋体"/>
          <w:szCs w:val="21"/>
        </w:rPr>
      </w:pPr>
    </w:p>
    <w:p w14:paraId="0629ADD3">
      <w:pPr>
        <w:keepNext w:val="0"/>
        <w:keepLines w:val="0"/>
        <w:pageBreakBefore w:val="0"/>
        <w:widowControl w:val="0"/>
        <w:shd w:val="clear"/>
        <w:kinsoku/>
        <w:wordWrap/>
        <w:overflowPunct/>
        <w:topLinePunct w:val="0"/>
        <w:autoSpaceDE w:val="0"/>
        <w:autoSpaceDN w:val="0"/>
        <w:bidi w:val="0"/>
        <w:adjustRightInd/>
        <w:snapToGrid/>
        <w:spacing w:line="360" w:lineRule="auto"/>
        <w:ind w:firstLine="2880" w:firstLineChars="1200"/>
        <w:jc w:val="both"/>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cs="宋体"/>
          <w:color w:val="auto"/>
          <w:sz w:val="24"/>
          <w:szCs w:val="24"/>
          <w:lang w:val="en-US" w:eastAsia="zh-CN"/>
        </w:rPr>
        <w:t>名</w:t>
      </w:r>
      <w:r>
        <w:rPr>
          <w:rFonts w:hint="eastAsia" w:ascii="宋体" w:hAnsi="宋体" w:eastAsia="宋体" w:cs="宋体"/>
          <w:color w:val="auto"/>
          <w:sz w:val="24"/>
          <w:szCs w:val="24"/>
          <w:lang w:val="en-US" w:eastAsia="zh-CN"/>
        </w:rPr>
        <w:t>称</w:t>
      </w:r>
      <w:r>
        <w:rPr>
          <w:rFonts w:hint="eastAsia" w:ascii="宋体" w:hAnsi="宋体" w:eastAsia="宋体" w:cs="宋体"/>
          <w:color w:val="auto"/>
          <w:sz w:val="24"/>
          <w:szCs w:val="24"/>
          <w:lang w:eastAsia="zh-CN"/>
        </w:rPr>
        <w:t>（加盖公章）</w:t>
      </w:r>
      <w:r>
        <w:rPr>
          <w:rFonts w:hint="eastAsia" w:cs="宋体"/>
          <w:color w:val="auto"/>
          <w:sz w:val="24"/>
          <w:szCs w:val="24"/>
          <w:lang w:eastAsia="zh-CN"/>
        </w:rPr>
        <w:t>：</w:t>
      </w:r>
      <w:r>
        <w:rPr>
          <w:rFonts w:hint="eastAsia" w:cs="宋体"/>
          <w:color w:val="auto"/>
          <w:sz w:val="24"/>
          <w:szCs w:val="24"/>
          <w:u w:val="single"/>
          <w:lang w:val="en-US" w:eastAsia="zh-CN"/>
        </w:rPr>
        <w:t xml:space="preserve">             </w:t>
      </w:r>
    </w:p>
    <w:p w14:paraId="73B65631">
      <w:pPr>
        <w:spacing w:line="360" w:lineRule="auto"/>
        <w:ind w:firstLine="440" w:firstLineChars="200"/>
        <w:jc w:val="center"/>
        <w:rPr>
          <w:szCs w:val="21"/>
        </w:rPr>
      </w:pPr>
      <w:r>
        <w:rPr>
          <w:rFonts w:hint="eastAsia"/>
          <w:szCs w:val="21"/>
          <w:lang w:val="en-US" w:eastAsia="zh-CN"/>
        </w:rPr>
        <w:t>日期：</w:t>
      </w:r>
      <w:r>
        <w:rPr>
          <w:rFonts w:hint="eastAsia" w:cs="宋体"/>
          <w:color w:val="auto"/>
          <w:sz w:val="24"/>
          <w:szCs w:val="24"/>
          <w:u w:val="single"/>
          <w:lang w:val="en-US" w:eastAsia="zh-CN"/>
        </w:rPr>
        <w:t xml:space="preserve">       </w:t>
      </w:r>
      <w:r>
        <w:rPr>
          <w:rFonts w:hint="eastAsia"/>
          <w:szCs w:val="21"/>
        </w:rPr>
        <w:t xml:space="preserve">年 </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372859A8">
      <w:pPr>
        <w:spacing w:line="360" w:lineRule="auto"/>
        <w:jc w:val="left"/>
      </w:pPr>
      <w:r>
        <w:rPr>
          <w:rFonts w:hint="eastAsia" w:ascii="仿宋" w:hAnsi="仿宋" w:eastAsia="仿宋"/>
          <w:szCs w:val="21"/>
        </w:rPr>
        <w:t xml:space="preserve"> </w:t>
      </w:r>
    </w:p>
    <w:p w14:paraId="32D08613">
      <w:pPr>
        <w:widowControl/>
        <w:rPr>
          <w:rFonts w:ascii="黑体" w:eastAsia="黑体"/>
          <w:sz w:val="28"/>
          <w:szCs w:val="28"/>
        </w:rPr>
      </w:pPr>
    </w:p>
    <w:p w14:paraId="390D68EA">
      <w:pPr>
        <w:widowControl/>
        <w:rPr>
          <w:rFonts w:ascii="黑体" w:eastAsia="黑体"/>
          <w:sz w:val="28"/>
          <w:szCs w:val="28"/>
        </w:rPr>
      </w:pPr>
    </w:p>
    <w:p w14:paraId="6909BBBD">
      <w:pPr>
        <w:widowControl/>
        <w:rPr>
          <w:rFonts w:ascii="黑体" w:eastAsia="黑体"/>
          <w:sz w:val="28"/>
          <w:szCs w:val="28"/>
        </w:rPr>
      </w:pPr>
    </w:p>
    <w:p w14:paraId="2BBC4BE2">
      <w:pPr>
        <w:widowControl/>
        <w:rPr>
          <w:rFonts w:ascii="黑体" w:eastAsia="黑体"/>
          <w:sz w:val="28"/>
          <w:szCs w:val="28"/>
        </w:rPr>
      </w:pPr>
    </w:p>
    <w:p w14:paraId="7B5FEBAB">
      <w:pPr>
        <w:widowControl/>
        <w:rPr>
          <w:rFonts w:ascii="黑体" w:eastAsia="黑体"/>
          <w:sz w:val="28"/>
          <w:szCs w:val="28"/>
        </w:rPr>
      </w:pPr>
    </w:p>
    <w:p w14:paraId="38E54E9D">
      <w:pPr>
        <w:widowControl/>
        <w:rPr>
          <w:rFonts w:ascii="黑体" w:eastAsia="黑体"/>
          <w:sz w:val="28"/>
          <w:szCs w:val="28"/>
        </w:rPr>
      </w:pPr>
    </w:p>
    <w:p w14:paraId="359747AE">
      <w:pPr>
        <w:widowControl/>
        <w:rPr>
          <w:rFonts w:ascii="黑体" w:eastAsia="黑体"/>
          <w:sz w:val="28"/>
          <w:szCs w:val="28"/>
        </w:rPr>
      </w:pPr>
    </w:p>
    <w:p w14:paraId="2C8AAC3E">
      <w:pPr>
        <w:widowControl/>
        <w:rPr>
          <w:rFonts w:ascii="黑体" w:eastAsia="黑体"/>
          <w:sz w:val="28"/>
          <w:szCs w:val="28"/>
        </w:rPr>
      </w:pPr>
    </w:p>
    <w:p w14:paraId="03DDA1DF">
      <w:pPr>
        <w:widowControl/>
        <w:rPr>
          <w:rFonts w:ascii="黑体" w:eastAsia="黑体"/>
          <w:sz w:val="28"/>
          <w:szCs w:val="28"/>
        </w:rPr>
      </w:pPr>
    </w:p>
    <w:p w14:paraId="55A5263D">
      <w:pPr>
        <w:widowControl/>
        <w:rPr>
          <w:rFonts w:ascii="黑体" w:eastAsia="黑体"/>
          <w:sz w:val="28"/>
          <w:szCs w:val="28"/>
        </w:rPr>
      </w:pPr>
    </w:p>
    <w:p w14:paraId="3AF74380">
      <w:pPr>
        <w:widowControl/>
        <w:rPr>
          <w:rFonts w:ascii="黑体" w:eastAsia="黑体"/>
          <w:sz w:val="28"/>
          <w:szCs w:val="28"/>
        </w:rPr>
      </w:pPr>
    </w:p>
    <w:p w14:paraId="323DAD55">
      <w:pPr>
        <w:widowControl/>
        <w:rPr>
          <w:rFonts w:ascii="黑体" w:eastAsia="黑体"/>
          <w:sz w:val="28"/>
          <w:szCs w:val="28"/>
        </w:rPr>
      </w:pPr>
    </w:p>
    <w:p w14:paraId="26BE176A">
      <w:pPr>
        <w:widowControl/>
        <w:rPr>
          <w:rFonts w:ascii="黑体" w:eastAsia="黑体"/>
          <w:sz w:val="28"/>
          <w:szCs w:val="28"/>
        </w:rPr>
      </w:pPr>
    </w:p>
    <w:p w14:paraId="60A50DA4">
      <w:pPr>
        <w:widowControl/>
        <w:rPr>
          <w:rFonts w:ascii="黑体" w:eastAsia="黑体"/>
          <w:sz w:val="28"/>
          <w:szCs w:val="28"/>
        </w:rPr>
      </w:pPr>
    </w:p>
    <w:p w14:paraId="116379C8">
      <w:pPr>
        <w:widowControl/>
        <w:rPr>
          <w:rFonts w:ascii="黑体" w:eastAsia="黑体"/>
          <w:sz w:val="28"/>
          <w:szCs w:val="28"/>
        </w:rPr>
      </w:pPr>
    </w:p>
    <w:p w14:paraId="09F4900C">
      <w:pPr>
        <w:widowControl/>
        <w:rPr>
          <w:rFonts w:ascii="黑体" w:eastAsia="黑体"/>
          <w:sz w:val="28"/>
          <w:szCs w:val="28"/>
        </w:rPr>
      </w:pPr>
    </w:p>
    <w:p w14:paraId="4A4BF47D">
      <w:pPr>
        <w:widowControl/>
        <w:rPr>
          <w:rFonts w:ascii="黑体" w:eastAsia="黑体"/>
          <w:sz w:val="28"/>
          <w:szCs w:val="28"/>
        </w:rPr>
      </w:pPr>
    </w:p>
    <w:p w14:paraId="605E75A1">
      <w:pPr>
        <w:widowControl/>
        <w:rPr>
          <w:rFonts w:ascii="黑体" w:eastAsia="黑体"/>
          <w:sz w:val="28"/>
          <w:szCs w:val="28"/>
        </w:rPr>
      </w:pPr>
    </w:p>
    <w:p w14:paraId="0707B9F3">
      <w:pPr>
        <w:pStyle w:val="4"/>
        <w:keepNext w:val="0"/>
        <w:keepLines w:val="0"/>
        <w:rPr>
          <w:rFonts w:hint="eastAsia"/>
          <w:sz w:val="21"/>
          <w:szCs w:val="21"/>
          <w:lang w:eastAsia="zh-CN"/>
        </w:rPr>
      </w:pPr>
      <w:bookmarkStart w:id="1062" w:name="_Toc9068"/>
      <w:bookmarkStart w:id="1063" w:name="_Toc26115"/>
      <w:bookmarkStart w:id="1064" w:name="_Toc28052"/>
      <w:bookmarkStart w:id="1065" w:name="_Toc3295"/>
    </w:p>
    <w:p w14:paraId="2CB6FCAB">
      <w:pPr>
        <w:pStyle w:val="4"/>
        <w:keepNext w:val="0"/>
        <w:keepLines w:val="0"/>
        <w:rPr>
          <w:sz w:val="21"/>
          <w:szCs w:val="21"/>
          <w:lang w:eastAsia="zh-CN"/>
        </w:rPr>
      </w:pPr>
      <w:r>
        <w:rPr>
          <w:rFonts w:hint="eastAsia"/>
          <w:sz w:val="21"/>
          <w:szCs w:val="21"/>
          <w:lang w:eastAsia="zh-CN"/>
        </w:rPr>
        <w:t>附表二</w:t>
      </w:r>
      <w:bookmarkEnd w:id="1062"/>
      <w:r>
        <w:rPr>
          <w:rFonts w:hint="eastAsia"/>
          <w:sz w:val="21"/>
          <w:szCs w:val="21"/>
          <w:lang w:eastAsia="zh-CN"/>
        </w:rPr>
        <w:t xml:space="preserve">                </w:t>
      </w:r>
    </w:p>
    <w:bookmarkEnd w:id="1063"/>
    <w:bookmarkEnd w:id="1064"/>
    <w:bookmarkEnd w:id="1065"/>
    <w:p w14:paraId="7569D6B9">
      <w:pPr>
        <w:adjustRightInd w:val="0"/>
        <w:snapToGrid w:val="0"/>
        <w:spacing w:line="360" w:lineRule="auto"/>
        <w:jc w:val="center"/>
        <w:rPr>
          <w:b/>
          <w:bCs/>
          <w:sz w:val="28"/>
          <w:szCs w:val="28"/>
          <w:lang w:eastAsia="zh-CN"/>
        </w:rPr>
      </w:pPr>
      <w:r>
        <w:rPr>
          <w:rFonts w:hint="eastAsia"/>
          <w:b/>
          <w:bCs/>
          <w:sz w:val="28"/>
          <w:szCs w:val="28"/>
          <w:lang w:eastAsia="zh-CN"/>
        </w:rPr>
        <w:t>2.技术负责人简历表</w:t>
      </w:r>
    </w:p>
    <w:tbl>
      <w:tblPr>
        <w:tblStyle w:val="33"/>
        <w:tblW w:w="9120" w:type="dxa"/>
        <w:jc w:val="center"/>
        <w:tblLayout w:type="fixed"/>
        <w:tblCellMar>
          <w:top w:w="0" w:type="dxa"/>
          <w:left w:w="0" w:type="dxa"/>
          <w:bottom w:w="0" w:type="dxa"/>
          <w:right w:w="0" w:type="dxa"/>
        </w:tblCellMar>
      </w:tblPr>
      <w:tblGrid>
        <w:gridCol w:w="1560"/>
        <w:gridCol w:w="720"/>
        <w:gridCol w:w="600"/>
        <w:gridCol w:w="900"/>
        <w:gridCol w:w="300"/>
        <w:gridCol w:w="1048"/>
        <w:gridCol w:w="1532"/>
        <w:gridCol w:w="169"/>
        <w:gridCol w:w="731"/>
        <w:gridCol w:w="360"/>
        <w:gridCol w:w="1200"/>
      </w:tblGrid>
      <w:tr w14:paraId="1E969C2C">
        <w:tblPrEx>
          <w:tblCellMar>
            <w:top w:w="0" w:type="dxa"/>
            <w:left w:w="0" w:type="dxa"/>
            <w:bottom w:w="0" w:type="dxa"/>
            <w:right w:w="0" w:type="dxa"/>
          </w:tblCellMar>
        </w:tblPrEx>
        <w:trPr>
          <w:jc w:val="center"/>
        </w:trPr>
        <w:tc>
          <w:tcPr>
            <w:tcW w:w="1560" w:type="dxa"/>
            <w:tcBorders>
              <w:top w:val="single" w:color="auto" w:sz="6" w:space="0"/>
              <w:left w:val="single" w:color="auto" w:sz="6" w:space="0"/>
              <w:bottom w:val="single" w:color="auto" w:sz="6" w:space="0"/>
              <w:right w:val="single" w:color="auto" w:sz="6" w:space="0"/>
            </w:tcBorders>
            <w:vAlign w:val="center"/>
          </w:tcPr>
          <w:p w14:paraId="268463C4">
            <w:pPr>
              <w:spacing w:line="420" w:lineRule="exact"/>
              <w:jc w:val="center"/>
              <w:rPr>
                <w:szCs w:val="21"/>
              </w:rPr>
            </w:pPr>
            <w:r>
              <w:rPr>
                <w:rFonts w:hint="eastAsia"/>
                <w:szCs w:val="21"/>
              </w:rPr>
              <w:t>姓名</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22ED0BAF">
            <w:pPr>
              <w:spacing w:line="420" w:lineRule="exact"/>
              <w:ind w:firstLine="440" w:firstLineChars="200"/>
              <w:jc w:val="center"/>
              <w:rPr>
                <w:szCs w:val="21"/>
              </w:rPr>
            </w:pPr>
          </w:p>
        </w:tc>
        <w:tc>
          <w:tcPr>
            <w:tcW w:w="1048" w:type="dxa"/>
            <w:tcBorders>
              <w:top w:val="single" w:color="auto" w:sz="6" w:space="0"/>
              <w:left w:val="single" w:color="auto" w:sz="6" w:space="0"/>
              <w:bottom w:val="single" w:color="auto" w:sz="6" w:space="0"/>
              <w:right w:val="single" w:color="auto" w:sz="6" w:space="0"/>
            </w:tcBorders>
            <w:vAlign w:val="center"/>
          </w:tcPr>
          <w:p w14:paraId="1175035B">
            <w:pPr>
              <w:spacing w:line="420" w:lineRule="exact"/>
              <w:jc w:val="center"/>
              <w:rPr>
                <w:szCs w:val="21"/>
              </w:rPr>
            </w:pPr>
            <w:r>
              <w:rPr>
                <w:rFonts w:hint="eastAsia"/>
                <w:szCs w:val="21"/>
              </w:rPr>
              <w:t>性别</w:t>
            </w:r>
          </w:p>
        </w:tc>
        <w:tc>
          <w:tcPr>
            <w:tcW w:w="1532" w:type="dxa"/>
            <w:tcBorders>
              <w:top w:val="single" w:color="auto" w:sz="6" w:space="0"/>
              <w:left w:val="single" w:color="auto" w:sz="6" w:space="0"/>
              <w:bottom w:val="single" w:color="auto" w:sz="6" w:space="0"/>
              <w:right w:val="single" w:color="auto" w:sz="6" w:space="0"/>
            </w:tcBorders>
            <w:vAlign w:val="center"/>
          </w:tcPr>
          <w:p w14:paraId="58CF263F">
            <w:pPr>
              <w:spacing w:line="420" w:lineRule="exact"/>
              <w:ind w:firstLine="440" w:firstLineChars="200"/>
              <w:jc w:val="center"/>
              <w:rPr>
                <w:szCs w:val="21"/>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400DB7FD">
            <w:pPr>
              <w:spacing w:line="420" w:lineRule="exact"/>
              <w:jc w:val="center"/>
              <w:rPr>
                <w:szCs w:val="21"/>
              </w:rPr>
            </w:pPr>
            <w:r>
              <w:rPr>
                <w:rFonts w:hint="eastAsia"/>
                <w:szCs w:val="21"/>
              </w:rPr>
              <w:t>年龄</w:t>
            </w:r>
          </w:p>
        </w:tc>
        <w:tc>
          <w:tcPr>
            <w:tcW w:w="1560" w:type="dxa"/>
            <w:gridSpan w:val="2"/>
            <w:tcBorders>
              <w:top w:val="single" w:color="auto" w:sz="6" w:space="0"/>
              <w:left w:val="single" w:color="auto" w:sz="6" w:space="0"/>
              <w:bottom w:val="single" w:color="auto" w:sz="6" w:space="0"/>
              <w:right w:val="single" w:color="auto" w:sz="6" w:space="0"/>
            </w:tcBorders>
            <w:vAlign w:val="center"/>
          </w:tcPr>
          <w:p w14:paraId="64635F53">
            <w:pPr>
              <w:spacing w:line="420" w:lineRule="exact"/>
              <w:ind w:firstLine="440" w:firstLineChars="200"/>
              <w:jc w:val="center"/>
              <w:rPr>
                <w:szCs w:val="21"/>
              </w:rPr>
            </w:pPr>
          </w:p>
        </w:tc>
      </w:tr>
      <w:tr w14:paraId="25A07E1B">
        <w:tblPrEx>
          <w:tblCellMar>
            <w:top w:w="0" w:type="dxa"/>
            <w:left w:w="0" w:type="dxa"/>
            <w:bottom w:w="0" w:type="dxa"/>
            <w:right w:w="0" w:type="dxa"/>
          </w:tblCellMar>
        </w:tblPrEx>
        <w:trPr>
          <w:jc w:val="center"/>
        </w:trPr>
        <w:tc>
          <w:tcPr>
            <w:tcW w:w="1560" w:type="dxa"/>
            <w:tcBorders>
              <w:top w:val="single" w:color="auto" w:sz="6" w:space="0"/>
              <w:left w:val="single" w:color="auto" w:sz="6" w:space="0"/>
              <w:bottom w:val="single" w:color="auto" w:sz="6" w:space="0"/>
              <w:right w:val="single" w:color="auto" w:sz="6" w:space="0"/>
            </w:tcBorders>
            <w:vAlign w:val="center"/>
          </w:tcPr>
          <w:p w14:paraId="180E27DB">
            <w:pPr>
              <w:spacing w:line="420" w:lineRule="exact"/>
              <w:jc w:val="center"/>
              <w:rPr>
                <w:szCs w:val="21"/>
              </w:rPr>
            </w:pPr>
            <w:r>
              <w:rPr>
                <w:rFonts w:hint="eastAsia"/>
                <w:szCs w:val="21"/>
              </w:rPr>
              <w:t>职务</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612DE2C6">
            <w:pPr>
              <w:spacing w:line="420" w:lineRule="exact"/>
              <w:ind w:firstLine="440" w:firstLineChars="200"/>
              <w:jc w:val="center"/>
              <w:rPr>
                <w:szCs w:val="21"/>
              </w:rPr>
            </w:pPr>
          </w:p>
        </w:tc>
        <w:tc>
          <w:tcPr>
            <w:tcW w:w="1048" w:type="dxa"/>
            <w:tcBorders>
              <w:top w:val="single" w:color="auto" w:sz="6" w:space="0"/>
              <w:left w:val="single" w:color="auto" w:sz="6" w:space="0"/>
              <w:bottom w:val="single" w:color="auto" w:sz="6" w:space="0"/>
              <w:right w:val="single" w:color="auto" w:sz="6" w:space="0"/>
            </w:tcBorders>
            <w:vAlign w:val="center"/>
          </w:tcPr>
          <w:p w14:paraId="1F96CB8F">
            <w:pPr>
              <w:spacing w:line="420" w:lineRule="exact"/>
              <w:jc w:val="center"/>
              <w:rPr>
                <w:szCs w:val="21"/>
              </w:rPr>
            </w:pPr>
            <w:r>
              <w:rPr>
                <w:rFonts w:hint="eastAsia"/>
                <w:szCs w:val="21"/>
              </w:rPr>
              <w:t>职称</w:t>
            </w:r>
          </w:p>
        </w:tc>
        <w:tc>
          <w:tcPr>
            <w:tcW w:w="1532" w:type="dxa"/>
            <w:tcBorders>
              <w:top w:val="single" w:color="auto" w:sz="6" w:space="0"/>
              <w:left w:val="single" w:color="auto" w:sz="6" w:space="0"/>
              <w:bottom w:val="single" w:color="auto" w:sz="6" w:space="0"/>
              <w:right w:val="single" w:color="auto" w:sz="6" w:space="0"/>
            </w:tcBorders>
            <w:vAlign w:val="center"/>
          </w:tcPr>
          <w:p w14:paraId="566E6976">
            <w:pPr>
              <w:spacing w:line="420" w:lineRule="exact"/>
              <w:ind w:firstLine="440" w:firstLineChars="200"/>
              <w:jc w:val="center"/>
              <w:rPr>
                <w:szCs w:val="21"/>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7207D46D">
            <w:pPr>
              <w:spacing w:line="420" w:lineRule="exact"/>
              <w:jc w:val="center"/>
              <w:rPr>
                <w:szCs w:val="21"/>
              </w:rPr>
            </w:pPr>
            <w:r>
              <w:rPr>
                <w:rFonts w:hint="eastAsia"/>
                <w:szCs w:val="21"/>
              </w:rPr>
              <w:t>学历</w:t>
            </w:r>
          </w:p>
        </w:tc>
        <w:tc>
          <w:tcPr>
            <w:tcW w:w="1560" w:type="dxa"/>
            <w:gridSpan w:val="2"/>
            <w:tcBorders>
              <w:top w:val="single" w:color="auto" w:sz="6" w:space="0"/>
              <w:left w:val="single" w:color="auto" w:sz="6" w:space="0"/>
              <w:bottom w:val="single" w:color="auto" w:sz="6" w:space="0"/>
              <w:right w:val="single" w:color="auto" w:sz="6" w:space="0"/>
            </w:tcBorders>
            <w:vAlign w:val="center"/>
          </w:tcPr>
          <w:p w14:paraId="2C44D13A">
            <w:pPr>
              <w:spacing w:line="420" w:lineRule="exact"/>
              <w:ind w:firstLine="440" w:firstLineChars="200"/>
              <w:jc w:val="center"/>
              <w:rPr>
                <w:szCs w:val="21"/>
              </w:rPr>
            </w:pPr>
          </w:p>
        </w:tc>
      </w:tr>
      <w:tr w14:paraId="00EAE2AE">
        <w:tblPrEx>
          <w:tblCellMar>
            <w:top w:w="0" w:type="dxa"/>
            <w:left w:w="0" w:type="dxa"/>
            <w:bottom w:w="0" w:type="dxa"/>
            <w:right w:w="0" w:type="dxa"/>
          </w:tblCellMar>
        </w:tblPrEx>
        <w:trPr>
          <w:jc w:val="center"/>
        </w:trPr>
        <w:tc>
          <w:tcPr>
            <w:tcW w:w="2880" w:type="dxa"/>
            <w:gridSpan w:val="3"/>
            <w:tcBorders>
              <w:top w:val="single" w:color="auto" w:sz="6" w:space="0"/>
              <w:left w:val="single" w:color="auto" w:sz="6" w:space="0"/>
              <w:bottom w:val="single" w:color="auto" w:sz="6" w:space="0"/>
              <w:right w:val="single" w:color="auto" w:sz="6" w:space="0"/>
            </w:tcBorders>
            <w:vAlign w:val="center"/>
          </w:tcPr>
          <w:p w14:paraId="767604C0">
            <w:pPr>
              <w:spacing w:line="420" w:lineRule="exact"/>
              <w:jc w:val="center"/>
              <w:rPr>
                <w:szCs w:val="21"/>
              </w:rPr>
            </w:pPr>
            <w:r>
              <w:rPr>
                <w:rFonts w:hint="eastAsia"/>
                <w:szCs w:val="21"/>
              </w:rPr>
              <w:t>参加工作时间</w:t>
            </w:r>
          </w:p>
        </w:tc>
        <w:tc>
          <w:tcPr>
            <w:tcW w:w="2248" w:type="dxa"/>
            <w:gridSpan w:val="3"/>
            <w:tcBorders>
              <w:top w:val="single" w:color="auto" w:sz="6" w:space="0"/>
              <w:left w:val="single" w:color="auto" w:sz="6" w:space="0"/>
              <w:bottom w:val="single" w:color="auto" w:sz="6" w:space="0"/>
              <w:right w:val="single" w:color="auto" w:sz="6" w:space="0"/>
            </w:tcBorders>
            <w:vAlign w:val="center"/>
          </w:tcPr>
          <w:p w14:paraId="61E8B114">
            <w:pPr>
              <w:spacing w:line="420" w:lineRule="exact"/>
              <w:ind w:firstLine="440" w:firstLineChars="200"/>
              <w:jc w:val="center"/>
              <w:rPr>
                <w:szCs w:val="21"/>
              </w:rPr>
            </w:pPr>
          </w:p>
        </w:tc>
        <w:tc>
          <w:tcPr>
            <w:tcW w:w="2792" w:type="dxa"/>
            <w:gridSpan w:val="4"/>
            <w:tcBorders>
              <w:top w:val="single" w:color="auto" w:sz="6" w:space="0"/>
              <w:left w:val="single" w:color="auto" w:sz="6" w:space="0"/>
              <w:bottom w:val="single" w:color="auto" w:sz="6" w:space="0"/>
              <w:right w:val="single" w:color="auto" w:sz="6" w:space="0"/>
            </w:tcBorders>
            <w:vAlign w:val="center"/>
          </w:tcPr>
          <w:p w14:paraId="1028EA3C">
            <w:pPr>
              <w:spacing w:line="420" w:lineRule="exact"/>
              <w:jc w:val="center"/>
              <w:rPr>
                <w:szCs w:val="21"/>
              </w:rPr>
            </w:pPr>
            <w:r>
              <w:rPr>
                <w:rFonts w:hint="eastAsia"/>
                <w:szCs w:val="21"/>
              </w:rPr>
              <w:t>担任技术负责人年限</w:t>
            </w:r>
          </w:p>
        </w:tc>
        <w:tc>
          <w:tcPr>
            <w:tcW w:w="1200" w:type="dxa"/>
            <w:tcBorders>
              <w:top w:val="single" w:color="auto" w:sz="6" w:space="0"/>
              <w:left w:val="single" w:color="auto" w:sz="6" w:space="0"/>
              <w:bottom w:val="single" w:color="auto" w:sz="6" w:space="0"/>
              <w:right w:val="single" w:color="auto" w:sz="6" w:space="0"/>
            </w:tcBorders>
            <w:vAlign w:val="center"/>
          </w:tcPr>
          <w:p w14:paraId="3E357A4E">
            <w:pPr>
              <w:spacing w:line="420" w:lineRule="exact"/>
              <w:ind w:firstLine="440" w:firstLineChars="200"/>
              <w:jc w:val="center"/>
              <w:rPr>
                <w:szCs w:val="21"/>
              </w:rPr>
            </w:pPr>
          </w:p>
        </w:tc>
      </w:tr>
      <w:tr w14:paraId="42F7E8A4">
        <w:tblPrEx>
          <w:tblCellMar>
            <w:top w:w="0" w:type="dxa"/>
            <w:left w:w="0" w:type="dxa"/>
            <w:bottom w:w="0" w:type="dxa"/>
            <w:right w:w="0" w:type="dxa"/>
          </w:tblCellMar>
        </w:tblPrEx>
        <w:trPr>
          <w:jc w:val="center"/>
        </w:trPr>
        <w:tc>
          <w:tcPr>
            <w:tcW w:w="9120" w:type="dxa"/>
            <w:gridSpan w:val="11"/>
            <w:tcBorders>
              <w:top w:val="single" w:color="auto" w:sz="6" w:space="0"/>
              <w:left w:val="single" w:color="auto" w:sz="6" w:space="0"/>
              <w:bottom w:val="single" w:color="auto" w:sz="6" w:space="0"/>
              <w:right w:val="single" w:color="auto" w:sz="6" w:space="0"/>
            </w:tcBorders>
            <w:vAlign w:val="center"/>
          </w:tcPr>
          <w:p w14:paraId="24DAD8AA">
            <w:pPr>
              <w:spacing w:line="420" w:lineRule="exact"/>
              <w:jc w:val="center"/>
              <w:rPr>
                <w:szCs w:val="21"/>
              </w:rPr>
            </w:pPr>
            <w:r>
              <w:rPr>
                <w:rFonts w:hint="eastAsia"/>
                <w:szCs w:val="21"/>
              </w:rPr>
              <w:t>已完工程项目情况</w:t>
            </w:r>
          </w:p>
        </w:tc>
      </w:tr>
      <w:tr w14:paraId="666D1F2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10ADB5A7">
            <w:pPr>
              <w:spacing w:line="420" w:lineRule="exact"/>
              <w:jc w:val="center"/>
              <w:rPr>
                <w:szCs w:val="21"/>
              </w:rPr>
            </w:pPr>
            <w:r>
              <w:rPr>
                <w:rFonts w:hint="eastAsia"/>
                <w:szCs w:val="21"/>
              </w:rPr>
              <w:t>建设单位</w:t>
            </w: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543E19B">
            <w:pPr>
              <w:spacing w:line="420" w:lineRule="exact"/>
              <w:jc w:val="center"/>
              <w:rPr>
                <w:szCs w:val="21"/>
              </w:rPr>
            </w:pPr>
            <w:r>
              <w:rPr>
                <w:rFonts w:hint="eastAsia"/>
                <w:szCs w:val="21"/>
              </w:rPr>
              <w:t>项目名称</w:t>
            </w: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FE5D44D">
            <w:pPr>
              <w:spacing w:line="420" w:lineRule="exact"/>
              <w:jc w:val="center"/>
              <w:rPr>
                <w:szCs w:val="21"/>
              </w:rPr>
            </w:pPr>
            <w:r>
              <w:rPr>
                <w:rFonts w:hint="eastAsia"/>
                <w:szCs w:val="21"/>
              </w:rPr>
              <w:t>建设规模</w:t>
            </w: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70E543B">
            <w:pPr>
              <w:spacing w:line="420" w:lineRule="exact"/>
              <w:jc w:val="center"/>
              <w:rPr>
                <w:szCs w:val="21"/>
              </w:rPr>
            </w:pPr>
            <w:r>
              <w:rPr>
                <w:rFonts w:hint="eastAsia"/>
                <w:szCs w:val="21"/>
              </w:rPr>
              <w:t>开、竣工日期</w:t>
            </w: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7A684E8">
            <w:pPr>
              <w:spacing w:line="420" w:lineRule="exact"/>
              <w:jc w:val="center"/>
              <w:rPr>
                <w:szCs w:val="21"/>
              </w:rPr>
            </w:pPr>
            <w:r>
              <w:rPr>
                <w:rFonts w:hint="eastAsia"/>
                <w:szCs w:val="21"/>
              </w:rPr>
              <w:t>工程质量</w:t>
            </w:r>
          </w:p>
        </w:tc>
      </w:tr>
      <w:tr w14:paraId="22D5BCF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671708AA">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ABA4542">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ED20701">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0E73BB6">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C4F6038">
            <w:pPr>
              <w:spacing w:line="420" w:lineRule="exact"/>
              <w:ind w:firstLine="440" w:firstLineChars="200"/>
              <w:jc w:val="center"/>
              <w:rPr>
                <w:szCs w:val="21"/>
              </w:rPr>
            </w:pPr>
          </w:p>
        </w:tc>
      </w:tr>
      <w:tr w14:paraId="27F26B4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3B9163E8">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0F2906E">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9C810AA">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B29DE50">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F1FE193">
            <w:pPr>
              <w:spacing w:line="420" w:lineRule="exact"/>
              <w:ind w:firstLine="440" w:firstLineChars="200"/>
              <w:jc w:val="center"/>
              <w:rPr>
                <w:szCs w:val="21"/>
              </w:rPr>
            </w:pPr>
          </w:p>
        </w:tc>
      </w:tr>
      <w:tr w14:paraId="0FB679F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0A16C85">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4B65CCD">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084A997">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4C25FF5">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624C87B">
            <w:pPr>
              <w:spacing w:line="420" w:lineRule="exact"/>
              <w:ind w:firstLine="440" w:firstLineChars="200"/>
              <w:jc w:val="center"/>
              <w:rPr>
                <w:szCs w:val="21"/>
              </w:rPr>
            </w:pPr>
          </w:p>
        </w:tc>
      </w:tr>
      <w:tr w14:paraId="555C0BD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C814487">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46837E2">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0FEE00FB">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D0E6F13">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EF289E3">
            <w:pPr>
              <w:spacing w:line="420" w:lineRule="exact"/>
              <w:ind w:firstLine="440" w:firstLineChars="200"/>
              <w:jc w:val="center"/>
              <w:rPr>
                <w:szCs w:val="21"/>
              </w:rPr>
            </w:pPr>
          </w:p>
        </w:tc>
      </w:tr>
      <w:tr w14:paraId="6D1FBD7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83C55DE">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FF130A3">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F8AE6B1">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16ED603">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DA9DC55">
            <w:pPr>
              <w:spacing w:line="420" w:lineRule="exact"/>
              <w:ind w:firstLine="440" w:firstLineChars="200"/>
              <w:jc w:val="center"/>
              <w:rPr>
                <w:szCs w:val="21"/>
              </w:rPr>
            </w:pPr>
          </w:p>
        </w:tc>
      </w:tr>
      <w:tr w14:paraId="19DF0F9A">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252E5B37">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A71D146">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35380B9">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76F8FE8">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4F3A10D6">
            <w:pPr>
              <w:spacing w:line="420" w:lineRule="exact"/>
              <w:ind w:firstLine="440" w:firstLineChars="200"/>
              <w:jc w:val="center"/>
              <w:rPr>
                <w:szCs w:val="21"/>
              </w:rPr>
            </w:pPr>
          </w:p>
        </w:tc>
      </w:tr>
      <w:tr w14:paraId="5C68B27E">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80EC7E5">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12F3545">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A7AC051">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3494164">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947C49C">
            <w:pPr>
              <w:spacing w:line="420" w:lineRule="exact"/>
              <w:ind w:firstLine="440" w:firstLineChars="200"/>
              <w:jc w:val="center"/>
              <w:rPr>
                <w:szCs w:val="21"/>
              </w:rPr>
            </w:pPr>
          </w:p>
        </w:tc>
      </w:tr>
      <w:tr w14:paraId="30F83A33">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0EEF3280">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B023B43">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CB02C44">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AEAC180">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53BD9A2">
            <w:pPr>
              <w:spacing w:line="420" w:lineRule="exact"/>
              <w:ind w:firstLine="440" w:firstLineChars="200"/>
              <w:jc w:val="center"/>
              <w:rPr>
                <w:szCs w:val="21"/>
              </w:rPr>
            </w:pPr>
          </w:p>
        </w:tc>
      </w:tr>
      <w:tr w14:paraId="21FB6C8B">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2F7A553">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E67F491">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8E8A356">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89DD994">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47AB667B">
            <w:pPr>
              <w:spacing w:line="420" w:lineRule="exact"/>
              <w:ind w:firstLine="440" w:firstLineChars="200"/>
              <w:jc w:val="center"/>
              <w:rPr>
                <w:szCs w:val="21"/>
              </w:rPr>
            </w:pPr>
          </w:p>
        </w:tc>
      </w:tr>
      <w:tr w14:paraId="460A9D7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F0D99E1">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72D2FA7">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449D85B">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3CC9F9F">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1CAB2923">
            <w:pPr>
              <w:spacing w:line="420" w:lineRule="exact"/>
              <w:ind w:firstLine="440" w:firstLineChars="200"/>
              <w:jc w:val="center"/>
              <w:rPr>
                <w:szCs w:val="21"/>
              </w:rPr>
            </w:pPr>
          </w:p>
        </w:tc>
      </w:tr>
      <w:tr w14:paraId="6DA9197A">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1323A840">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B3BB47A">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6389640F">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F1EABA4">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01225153">
            <w:pPr>
              <w:spacing w:line="420" w:lineRule="exact"/>
              <w:ind w:firstLine="440" w:firstLineChars="200"/>
              <w:jc w:val="center"/>
              <w:rPr>
                <w:szCs w:val="21"/>
              </w:rPr>
            </w:pPr>
          </w:p>
        </w:tc>
      </w:tr>
      <w:tr w14:paraId="0C35E0D0">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2B8B0203">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F9D0299">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BC7F677">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BB7EDF4">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1BDE7C37">
            <w:pPr>
              <w:spacing w:line="420" w:lineRule="exact"/>
              <w:ind w:firstLine="440" w:firstLineChars="200"/>
              <w:jc w:val="center"/>
              <w:rPr>
                <w:szCs w:val="21"/>
              </w:rPr>
            </w:pPr>
          </w:p>
        </w:tc>
      </w:tr>
      <w:tr w14:paraId="689CD899">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14E247EE">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FB72381">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3DE62B2">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4056B06">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3DD7FF29">
            <w:pPr>
              <w:spacing w:line="420" w:lineRule="exact"/>
              <w:ind w:firstLine="440" w:firstLineChars="200"/>
              <w:jc w:val="center"/>
              <w:rPr>
                <w:szCs w:val="21"/>
              </w:rPr>
            </w:pPr>
          </w:p>
        </w:tc>
      </w:tr>
      <w:tr w14:paraId="67D7CF7E">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5C4A5876">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6C0608D">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4D2A9A0">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798EC51">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2468D8C">
            <w:pPr>
              <w:spacing w:line="420" w:lineRule="exact"/>
              <w:ind w:firstLine="440" w:firstLineChars="200"/>
              <w:jc w:val="center"/>
              <w:rPr>
                <w:szCs w:val="21"/>
              </w:rPr>
            </w:pPr>
          </w:p>
        </w:tc>
      </w:tr>
      <w:tr w14:paraId="1F955F0D">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23BADAC2">
            <w:pPr>
              <w:spacing w:line="420" w:lineRule="exact"/>
              <w:ind w:firstLine="440" w:firstLineChars="200"/>
              <w:jc w:val="center"/>
              <w:rPr>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A229E3C">
            <w:pPr>
              <w:spacing w:line="420" w:lineRule="exact"/>
              <w:ind w:firstLine="440" w:firstLineChars="200"/>
              <w:jc w:val="center"/>
              <w:rPr>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C560E6C">
            <w:pPr>
              <w:spacing w:line="420" w:lineRule="exact"/>
              <w:ind w:firstLine="440" w:firstLineChars="200"/>
              <w:jc w:val="center"/>
              <w:rPr>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382DFC28">
            <w:pPr>
              <w:spacing w:line="420" w:lineRule="exact"/>
              <w:ind w:firstLine="440" w:firstLineChars="200"/>
              <w:jc w:val="center"/>
              <w:rPr>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9746020">
            <w:pPr>
              <w:spacing w:line="420" w:lineRule="exact"/>
              <w:ind w:firstLine="440" w:firstLineChars="200"/>
              <w:jc w:val="center"/>
              <w:rPr>
                <w:szCs w:val="21"/>
              </w:rPr>
            </w:pPr>
          </w:p>
        </w:tc>
      </w:tr>
    </w:tbl>
    <w:p w14:paraId="22FFF7CC">
      <w:pPr>
        <w:spacing w:line="360" w:lineRule="auto"/>
        <w:ind w:firstLine="440" w:firstLineChars="200"/>
        <w:rPr>
          <w:szCs w:val="21"/>
        </w:rPr>
      </w:pPr>
      <w:r>
        <w:rPr>
          <w:rFonts w:hint="eastAsia"/>
          <w:szCs w:val="21"/>
        </w:rPr>
        <w:t>说明：项目技术负责人应</w:t>
      </w:r>
      <w:r>
        <w:rPr>
          <w:rFonts w:hint="eastAsia" w:ascii="宋体" w:hAnsi="宋体" w:eastAsia="宋体" w:cs="宋体"/>
          <w:szCs w:val="21"/>
        </w:rPr>
        <w:t>附</w:t>
      </w:r>
      <w:r>
        <w:rPr>
          <w:rFonts w:hint="eastAsia" w:ascii="宋体" w:hAnsi="宋体" w:eastAsia="宋体" w:cs="宋体"/>
          <w:szCs w:val="21"/>
          <w:lang w:eastAsia="zh-CN"/>
        </w:rPr>
        <w:t>证书</w:t>
      </w:r>
      <w:r>
        <w:rPr>
          <w:rFonts w:hint="eastAsia" w:ascii="宋体" w:hAnsi="宋体" w:eastAsia="宋体" w:cs="宋体"/>
          <w:szCs w:val="21"/>
        </w:rPr>
        <w:t>扫描</w:t>
      </w:r>
      <w:r>
        <w:rPr>
          <w:rFonts w:hint="eastAsia"/>
          <w:szCs w:val="21"/>
        </w:rPr>
        <w:t>件。</w:t>
      </w:r>
    </w:p>
    <w:p w14:paraId="7E7CC83B">
      <w:pPr>
        <w:spacing w:line="360" w:lineRule="auto"/>
        <w:ind w:firstLine="220" w:firstLineChars="100"/>
        <w:rPr>
          <w:szCs w:val="21"/>
        </w:rPr>
      </w:pPr>
    </w:p>
    <w:p w14:paraId="054934AD">
      <w:pPr>
        <w:keepNext w:val="0"/>
        <w:keepLines w:val="0"/>
        <w:pageBreakBefore w:val="0"/>
        <w:widowControl w:val="0"/>
        <w:shd w:val="clear"/>
        <w:kinsoku/>
        <w:wordWrap/>
        <w:overflowPunct/>
        <w:topLinePunct w:val="0"/>
        <w:autoSpaceDE w:val="0"/>
        <w:autoSpaceDN w:val="0"/>
        <w:bidi w:val="0"/>
        <w:adjustRightInd/>
        <w:snapToGrid/>
        <w:spacing w:line="360" w:lineRule="auto"/>
        <w:ind w:firstLine="2880" w:firstLineChars="1200"/>
        <w:jc w:val="both"/>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cs="宋体"/>
          <w:color w:val="auto"/>
          <w:sz w:val="24"/>
          <w:szCs w:val="24"/>
          <w:lang w:val="en-US" w:eastAsia="zh-CN"/>
        </w:rPr>
        <w:t>名</w:t>
      </w:r>
      <w:r>
        <w:rPr>
          <w:rFonts w:hint="eastAsia" w:ascii="宋体" w:hAnsi="宋体" w:eastAsia="宋体" w:cs="宋体"/>
          <w:color w:val="auto"/>
          <w:sz w:val="24"/>
          <w:szCs w:val="24"/>
          <w:lang w:val="en-US" w:eastAsia="zh-CN"/>
        </w:rPr>
        <w:t>称</w:t>
      </w:r>
      <w:r>
        <w:rPr>
          <w:rFonts w:hint="eastAsia" w:ascii="宋体" w:hAnsi="宋体" w:eastAsia="宋体" w:cs="宋体"/>
          <w:color w:val="auto"/>
          <w:sz w:val="24"/>
          <w:szCs w:val="24"/>
          <w:lang w:eastAsia="zh-CN"/>
        </w:rPr>
        <w:t>（加盖公章）</w:t>
      </w:r>
      <w:r>
        <w:rPr>
          <w:rFonts w:hint="eastAsia" w:cs="宋体"/>
          <w:color w:val="auto"/>
          <w:sz w:val="24"/>
          <w:szCs w:val="24"/>
          <w:lang w:eastAsia="zh-CN"/>
        </w:rPr>
        <w:t>：</w:t>
      </w:r>
      <w:r>
        <w:rPr>
          <w:rFonts w:hint="eastAsia" w:cs="宋体"/>
          <w:color w:val="auto"/>
          <w:sz w:val="24"/>
          <w:szCs w:val="24"/>
          <w:u w:val="single"/>
          <w:lang w:val="en-US" w:eastAsia="zh-CN"/>
        </w:rPr>
        <w:t xml:space="preserve">             </w:t>
      </w:r>
    </w:p>
    <w:p w14:paraId="266C8FF9">
      <w:pPr>
        <w:spacing w:line="360" w:lineRule="auto"/>
        <w:ind w:firstLine="440" w:firstLineChars="200"/>
        <w:jc w:val="center"/>
        <w:rPr>
          <w:szCs w:val="21"/>
        </w:rPr>
      </w:pPr>
      <w:r>
        <w:rPr>
          <w:rFonts w:hint="eastAsia"/>
          <w:szCs w:val="21"/>
          <w:lang w:val="en-US" w:eastAsia="zh-CN"/>
        </w:rPr>
        <w:t>日期：</w:t>
      </w:r>
      <w:r>
        <w:rPr>
          <w:rFonts w:hint="eastAsia" w:cs="宋体"/>
          <w:color w:val="auto"/>
          <w:sz w:val="24"/>
          <w:szCs w:val="24"/>
          <w:u w:val="single"/>
          <w:lang w:val="en-US" w:eastAsia="zh-CN"/>
        </w:rPr>
        <w:t xml:space="preserve">       </w:t>
      </w:r>
      <w:r>
        <w:rPr>
          <w:rFonts w:hint="eastAsia"/>
          <w:szCs w:val="21"/>
        </w:rPr>
        <w:t xml:space="preserve">年 </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1DDEFC01">
      <w:pPr>
        <w:spacing w:line="360" w:lineRule="auto"/>
        <w:ind w:firstLine="440" w:firstLineChars="200"/>
        <w:rPr>
          <w:szCs w:val="21"/>
        </w:rPr>
      </w:pPr>
    </w:p>
    <w:p w14:paraId="6262E869">
      <w:pPr>
        <w:pStyle w:val="65"/>
        <w:tabs>
          <w:tab w:val="left" w:pos="1053"/>
        </w:tabs>
        <w:spacing w:before="158"/>
        <w:ind w:firstLine="0" w:firstLineChars="0"/>
        <w:rPr>
          <w:rFonts w:ascii="Times New Roman" w:hAnsi="Times New Roman" w:cs="Times New Roman"/>
          <w:b/>
          <w:bCs/>
          <w:sz w:val="24"/>
          <w:lang w:eastAsia="zh-CN"/>
        </w:rPr>
      </w:pPr>
    </w:p>
    <w:p w14:paraId="5861C1AE">
      <w:pPr>
        <w:pStyle w:val="65"/>
        <w:tabs>
          <w:tab w:val="left" w:pos="1053"/>
        </w:tabs>
        <w:spacing w:before="158"/>
        <w:ind w:firstLine="0" w:firstLineChars="0"/>
        <w:rPr>
          <w:rFonts w:ascii="Times New Roman" w:hAnsi="Times New Roman" w:cs="Times New Roman"/>
          <w:b/>
          <w:bCs/>
          <w:sz w:val="24"/>
          <w:lang w:eastAsia="zh-CN"/>
        </w:rPr>
      </w:pPr>
    </w:p>
    <w:p w14:paraId="19E7A33C">
      <w:pPr>
        <w:pStyle w:val="65"/>
        <w:tabs>
          <w:tab w:val="left" w:pos="1053"/>
        </w:tabs>
        <w:spacing w:before="158"/>
        <w:ind w:firstLine="0" w:firstLineChars="0"/>
        <w:rPr>
          <w:rFonts w:ascii="Times New Roman" w:hAnsi="Times New Roman" w:cs="Times New Roman"/>
          <w:b/>
          <w:bCs/>
          <w:sz w:val="24"/>
          <w:lang w:eastAsia="zh-CN"/>
        </w:rPr>
      </w:pPr>
    </w:p>
    <w:p w14:paraId="7F0BF431">
      <w:pPr>
        <w:pStyle w:val="65"/>
        <w:tabs>
          <w:tab w:val="left" w:pos="1053"/>
        </w:tabs>
        <w:spacing w:before="158"/>
        <w:ind w:firstLine="0" w:firstLineChars="0"/>
        <w:rPr>
          <w:rFonts w:ascii="Times New Roman" w:hAnsi="Times New Roman" w:cs="Times New Roman"/>
          <w:b/>
          <w:bCs/>
          <w:sz w:val="24"/>
          <w:lang w:eastAsia="zh-CN"/>
        </w:rPr>
      </w:pPr>
    </w:p>
    <w:p w14:paraId="2D4EAB50">
      <w:pPr>
        <w:pStyle w:val="65"/>
        <w:tabs>
          <w:tab w:val="left" w:pos="1053"/>
        </w:tabs>
        <w:spacing w:before="158"/>
        <w:ind w:firstLine="0" w:firstLineChars="0"/>
        <w:rPr>
          <w:rFonts w:ascii="Times New Roman" w:hAnsi="Times New Roman" w:cs="Times New Roman"/>
          <w:b/>
          <w:bCs/>
          <w:sz w:val="24"/>
          <w:lang w:eastAsia="zh-CN"/>
        </w:rPr>
      </w:pPr>
      <w:r>
        <w:rPr>
          <w:rFonts w:hint="eastAsia" w:ascii="Times New Roman" w:hAnsi="Times New Roman" w:cs="Times New Roman"/>
          <w:b/>
          <w:bCs/>
          <w:sz w:val="24"/>
          <w:lang w:eastAsia="zh-CN"/>
        </w:rPr>
        <w:t>4.磋商保证金凭证/交款单据电子件</w:t>
      </w:r>
    </w:p>
    <w:p w14:paraId="776FC5CB">
      <w:pPr>
        <w:pStyle w:val="65"/>
        <w:tabs>
          <w:tab w:val="left" w:pos="1053"/>
        </w:tabs>
        <w:spacing w:before="158"/>
        <w:ind w:firstLine="0" w:firstLineChars="0"/>
        <w:rPr>
          <w:rFonts w:ascii="Times New Roman" w:hAnsi="Times New Roman" w:cs="Times New Roman"/>
          <w:sz w:val="24"/>
          <w:lang w:eastAsia="zh-CN"/>
        </w:rPr>
      </w:pPr>
    </w:p>
    <w:p w14:paraId="332D7EB3">
      <w:pPr>
        <w:pStyle w:val="65"/>
        <w:tabs>
          <w:tab w:val="left" w:pos="1053"/>
        </w:tabs>
        <w:spacing w:before="158"/>
        <w:ind w:firstLine="0" w:firstLineChars="0"/>
        <w:rPr>
          <w:rFonts w:ascii="Times New Roman" w:hAnsi="Times New Roman" w:cs="Times New Roman"/>
          <w:sz w:val="24"/>
          <w:lang w:eastAsia="zh-CN"/>
        </w:rPr>
      </w:pPr>
    </w:p>
    <w:p w14:paraId="552618B4">
      <w:pPr>
        <w:pStyle w:val="65"/>
        <w:tabs>
          <w:tab w:val="left" w:pos="1053"/>
        </w:tabs>
        <w:spacing w:before="158"/>
        <w:ind w:firstLine="0" w:firstLineChars="0"/>
        <w:rPr>
          <w:rFonts w:ascii="Times New Roman" w:hAnsi="Times New Roman" w:cs="Times New Roman"/>
          <w:sz w:val="24"/>
          <w:lang w:eastAsia="zh-CN"/>
        </w:rPr>
      </w:pPr>
    </w:p>
    <w:p w14:paraId="002CB8CD">
      <w:pPr>
        <w:pStyle w:val="65"/>
        <w:tabs>
          <w:tab w:val="left" w:pos="1053"/>
        </w:tabs>
        <w:spacing w:before="158"/>
        <w:ind w:firstLine="0" w:firstLineChars="0"/>
        <w:rPr>
          <w:rFonts w:ascii="Times New Roman" w:hAnsi="Times New Roman" w:cs="Times New Roman"/>
          <w:sz w:val="24"/>
          <w:lang w:eastAsia="zh-CN"/>
        </w:rPr>
      </w:pPr>
    </w:p>
    <w:p w14:paraId="76534CBF">
      <w:pPr>
        <w:pStyle w:val="65"/>
        <w:tabs>
          <w:tab w:val="left" w:pos="1053"/>
        </w:tabs>
        <w:spacing w:before="158"/>
        <w:ind w:firstLine="0" w:firstLineChars="0"/>
        <w:rPr>
          <w:rFonts w:ascii="Times New Roman" w:hAnsi="Times New Roman" w:cs="Times New Roman"/>
          <w:sz w:val="24"/>
          <w:lang w:eastAsia="zh-CN"/>
        </w:rPr>
      </w:pPr>
    </w:p>
    <w:p w14:paraId="55604F3D">
      <w:pPr>
        <w:pStyle w:val="65"/>
        <w:tabs>
          <w:tab w:val="left" w:pos="1053"/>
        </w:tabs>
        <w:spacing w:before="158"/>
        <w:ind w:firstLine="0" w:firstLineChars="0"/>
        <w:rPr>
          <w:rFonts w:ascii="Times New Roman" w:hAnsi="Times New Roman" w:cs="Times New Roman"/>
          <w:sz w:val="24"/>
          <w:lang w:eastAsia="zh-CN"/>
        </w:rPr>
      </w:pPr>
    </w:p>
    <w:p w14:paraId="31AFA473">
      <w:pPr>
        <w:pStyle w:val="65"/>
        <w:tabs>
          <w:tab w:val="left" w:pos="1053"/>
        </w:tabs>
        <w:spacing w:before="158"/>
        <w:ind w:firstLine="0" w:firstLineChars="0"/>
        <w:rPr>
          <w:rFonts w:ascii="Times New Roman" w:hAnsi="Times New Roman" w:cs="Times New Roman"/>
          <w:sz w:val="24"/>
          <w:lang w:eastAsia="zh-CN"/>
        </w:rPr>
      </w:pPr>
    </w:p>
    <w:p w14:paraId="31D82AFF">
      <w:pPr>
        <w:pStyle w:val="65"/>
        <w:tabs>
          <w:tab w:val="left" w:pos="1053"/>
        </w:tabs>
        <w:spacing w:before="158"/>
        <w:ind w:firstLine="0" w:firstLineChars="0"/>
        <w:rPr>
          <w:rFonts w:ascii="Times New Roman" w:hAnsi="Times New Roman" w:cs="Times New Roman"/>
          <w:sz w:val="24"/>
          <w:lang w:eastAsia="zh-CN"/>
        </w:rPr>
      </w:pPr>
    </w:p>
    <w:p w14:paraId="6C14924E">
      <w:pPr>
        <w:pStyle w:val="65"/>
        <w:tabs>
          <w:tab w:val="left" w:pos="1053"/>
        </w:tabs>
        <w:spacing w:before="158"/>
        <w:ind w:firstLine="0" w:firstLineChars="0"/>
        <w:rPr>
          <w:rFonts w:ascii="Times New Roman" w:hAnsi="Times New Roman" w:cs="Times New Roman"/>
          <w:sz w:val="24"/>
          <w:lang w:eastAsia="zh-CN"/>
        </w:rPr>
      </w:pPr>
    </w:p>
    <w:p w14:paraId="75639199">
      <w:pPr>
        <w:pStyle w:val="65"/>
        <w:tabs>
          <w:tab w:val="left" w:pos="1053"/>
        </w:tabs>
        <w:spacing w:before="158"/>
        <w:ind w:firstLine="0" w:firstLineChars="0"/>
        <w:rPr>
          <w:rFonts w:ascii="Times New Roman" w:hAnsi="Times New Roman" w:cs="Times New Roman"/>
          <w:sz w:val="24"/>
          <w:lang w:eastAsia="zh-CN"/>
        </w:rPr>
      </w:pPr>
    </w:p>
    <w:p w14:paraId="48A918DF">
      <w:pPr>
        <w:pStyle w:val="65"/>
        <w:tabs>
          <w:tab w:val="left" w:pos="1053"/>
        </w:tabs>
        <w:spacing w:before="158"/>
        <w:ind w:firstLine="0" w:firstLineChars="0"/>
        <w:rPr>
          <w:rFonts w:ascii="Times New Roman" w:hAnsi="Times New Roman" w:cs="Times New Roman"/>
          <w:sz w:val="24"/>
          <w:lang w:eastAsia="zh-CN"/>
        </w:rPr>
      </w:pPr>
    </w:p>
    <w:p w14:paraId="36F3EA9B">
      <w:pPr>
        <w:pStyle w:val="65"/>
        <w:tabs>
          <w:tab w:val="left" w:pos="1053"/>
        </w:tabs>
        <w:spacing w:before="158"/>
        <w:ind w:firstLine="0" w:firstLineChars="0"/>
        <w:rPr>
          <w:rFonts w:ascii="Times New Roman" w:hAnsi="Times New Roman" w:cs="Times New Roman"/>
          <w:sz w:val="24"/>
          <w:lang w:eastAsia="zh-CN"/>
        </w:rPr>
      </w:pPr>
    </w:p>
    <w:p w14:paraId="4AA17865">
      <w:pPr>
        <w:pStyle w:val="65"/>
        <w:tabs>
          <w:tab w:val="left" w:pos="1053"/>
        </w:tabs>
        <w:spacing w:before="158"/>
        <w:ind w:firstLine="0" w:firstLineChars="0"/>
        <w:rPr>
          <w:rFonts w:ascii="Times New Roman" w:hAnsi="Times New Roman" w:cs="Times New Roman"/>
          <w:sz w:val="24"/>
          <w:lang w:eastAsia="zh-CN"/>
        </w:rPr>
      </w:pPr>
    </w:p>
    <w:p w14:paraId="4DDED6FE">
      <w:pPr>
        <w:pStyle w:val="65"/>
        <w:tabs>
          <w:tab w:val="left" w:pos="1053"/>
        </w:tabs>
        <w:spacing w:before="158"/>
        <w:ind w:firstLine="0" w:firstLineChars="0"/>
        <w:rPr>
          <w:rFonts w:ascii="Times New Roman" w:hAnsi="Times New Roman" w:cs="Times New Roman"/>
          <w:sz w:val="24"/>
          <w:lang w:eastAsia="zh-CN"/>
        </w:rPr>
      </w:pPr>
    </w:p>
    <w:p w14:paraId="0FB8318D">
      <w:pPr>
        <w:pStyle w:val="65"/>
        <w:tabs>
          <w:tab w:val="left" w:pos="1053"/>
        </w:tabs>
        <w:spacing w:before="158"/>
        <w:ind w:firstLine="0" w:firstLineChars="0"/>
        <w:rPr>
          <w:rFonts w:ascii="Times New Roman" w:hAnsi="Times New Roman" w:cs="Times New Roman"/>
          <w:sz w:val="24"/>
          <w:lang w:eastAsia="zh-CN"/>
        </w:rPr>
      </w:pPr>
    </w:p>
    <w:p w14:paraId="2B57C212">
      <w:pPr>
        <w:pStyle w:val="65"/>
        <w:tabs>
          <w:tab w:val="left" w:pos="1053"/>
        </w:tabs>
        <w:spacing w:before="158"/>
        <w:ind w:firstLine="0" w:firstLineChars="0"/>
        <w:rPr>
          <w:rFonts w:ascii="Times New Roman" w:hAnsi="Times New Roman" w:cs="Times New Roman"/>
          <w:sz w:val="24"/>
          <w:lang w:eastAsia="zh-CN"/>
        </w:rPr>
      </w:pPr>
    </w:p>
    <w:p w14:paraId="493E19CA">
      <w:pPr>
        <w:pStyle w:val="65"/>
        <w:tabs>
          <w:tab w:val="left" w:pos="1053"/>
        </w:tabs>
        <w:spacing w:before="158"/>
        <w:ind w:firstLine="0" w:firstLineChars="0"/>
        <w:rPr>
          <w:rFonts w:ascii="Times New Roman" w:hAnsi="Times New Roman" w:cs="Times New Roman"/>
          <w:sz w:val="24"/>
          <w:lang w:eastAsia="zh-CN"/>
        </w:rPr>
      </w:pPr>
    </w:p>
    <w:p w14:paraId="6D9C1195">
      <w:pPr>
        <w:pStyle w:val="65"/>
        <w:tabs>
          <w:tab w:val="left" w:pos="1053"/>
        </w:tabs>
        <w:spacing w:before="158"/>
        <w:ind w:firstLine="0" w:firstLineChars="0"/>
        <w:rPr>
          <w:rFonts w:ascii="Times New Roman" w:hAnsi="Times New Roman" w:cs="Times New Roman"/>
          <w:sz w:val="24"/>
          <w:lang w:eastAsia="zh-CN"/>
        </w:rPr>
      </w:pPr>
    </w:p>
    <w:p w14:paraId="227DD725">
      <w:pPr>
        <w:pStyle w:val="65"/>
        <w:tabs>
          <w:tab w:val="left" w:pos="1053"/>
        </w:tabs>
        <w:spacing w:before="158"/>
        <w:ind w:firstLine="0" w:firstLineChars="0"/>
        <w:rPr>
          <w:rFonts w:ascii="Times New Roman" w:hAnsi="Times New Roman" w:cs="Times New Roman"/>
          <w:sz w:val="24"/>
          <w:lang w:eastAsia="zh-CN"/>
        </w:rPr>
      </w:pPr>
    </w:p>
    <w:p w14:paraId="33C5399C">
      <w:pPr>
        <w:pStyle w:val="65"/>
        <w:tabs>
          <w:tab w:val="left" w:pos="1053"/>
        </w:tabs>
        <w:spacing w:before="158"/>
        <w:ind w:firstLine="0" w:firstLineChars="0"/>
        <w:rPr>
          <w:rFonts w:ascii="Times New Roman" w:hAnsi="Times New Roman" w:cs="Times New Roman"/>
          <w:sz w:val="24"/>
          <w:lang w:eastAsia="zh-CN"/>
        </w:rPr>
      </w:pPr>
    </w:p>
    <w:p w14:paraId="0E8DB3D6">
      <w:pPr>
        <w:pStyle w:val="65"/>
        <w:tabs>
          <w:tab w:val="left" w:pos="1053"/>
        </w:tabs>
        <w:spacing w:before="158"/>
        <w:ind w:firstLine="0" w:firstLineChars="0"/>
        <w:rPr>
          <w:rFonts w:ascii="Times New Roman" w:hAnsi="Times New Roman" w:cs="Times New Roman"/>
          <w:sz w:val="24"/>
          <w:lang w:eastAsia="zh-CN"/>
        </w:rPr>
      </w:pPr>
    </w:p>
    <w:p w14:paraId="3821ED17">
      <w:pPr>
        <w:pStyle w:val="65"/>
        <w:tabs>
          <w:tab w:val="left" w:pos="1053"/>
        </w:tabs>
        <w:spacing w:before="158"/>
        <w:ind w:firstLine="0" w:firstLineChars="0"/>
        <w:rPr>
          <w:rFonts w:ascii="Times New Roman" w:hAnsi="Times New Roman" w:cs="Times New Roman"/>
          <w:sz w:val="24"/>
          <w:lang w:eastAsia="zh-CN"/>
        </w:rPr>
      </w:pPr>
    </w:p>
    <w:p w14:paraId="3468951D">
      <w:pPr>
        <w:pStyle w:val="65"/>
        <w:tabs>
          <w:tab w:val="left" w:pos="1053"/>
        </w:tabs>
        <w:spacing w:before="158"/>
        <w:ind w:firstLine="0" w:firstLineChars="0"/>
        <w:rPr>
          <w:rFonts w:ascii="Times New Roman" w:hAnsi="Times New Roman" w:cs="Times New Roman"/>
          <w:sz w:val="24"/>
          <w:lang w:eastAsia="zh-CN"/>
        </w:rPr>
      </w:pPr>
    </w:p>
    <w:p w14:paraId="1FB33D04">
      <w:pPr>
        <w:pStyle w:val="65"/>
        <w:tabs>
          <w:tab w:val="left" w:pos="1053"/>
        </w:tabs>
        <w:spacing w:before="158"/>
        <w:ind w:firstLine="0" w:firstLineChars="0"/>
        <w:rPr>
          <w:rFonts w:ascii="Times New Roman" w:hAnsi="Times New Roman" w:cs="Times New Roman"/>
          <w:sz w:val="24"/>
          <w:lang w:eastAsia="zh-CN"/>
        </w:rPr>
      </w:pPr>
    </w:p>
    <w:p w14:paraId="60F3F4DF">
      <w:pPr>
        <w:pStyle w:val="65"/>
        <w:tabs>
          <w:tab w:val="left" w:pos="1053"/>
        </w:tabs>
        <w:spacing w:before="158"/>
        <w:ind w:firstLine="0" w:firstLineChars="0"/>
        <w:rPr>
          <w:rFonts w:ascii="Times New Roman" w:hAnsi="Times New Roman" w:cs="Times New Roman"/>
          <w:sz w:val="24"/>
          <w:lang w:eastAsia="zh-CN"/>
        </w:rPr>
      </w:pPr>
    </w:p>
    <w:p w14:paraId="70E8D0DC">
      <w:pPr>
        <w:pStyle w:val="65"/>
        <w:tabs>
          <w:tab w:val="left" w:pos="1053"/>
        </w:tabs>
        <w:spacing w:before="158"/>
        <w:ind w:firstLine="0" w:firstLineChars="0"/>
        <w:rPr>
          <w:rFonts w:ascii="Times New Roman" w:hAnsi="Times New Roman" w:cs="Times New Roman"/>
          <w:sz w:val="24"/>
          <w:lang w:eastAsia="zh-CN"/>
        </w:rPr>
      </w:pPr>
    </w:p>
    <w:p w14:paraId="6820AC90">
      <w:pPr>
        <w:pStyle w:val="65"/>
        <w:tabs>
          <w:tab w:val="left" w:pos="1053"/>
        </w:tabs>
        <w:spacing w:before="158"/>
        <w:ind w:firstLine="0" w:firstLineChars="0"/>
        <w:rPr>
          <w:rFonts w:ascii="Times New Roman" w:hAnsi="Times New Roman" w:cs="Times New Roman"/>
          <w:sz w:val="24"/>
          <w:lang w:eastAsia="zh-CN"/>
        </w:rPr>
      </w:pPr>
    </w:p>
    <w:p w14:paraId="0B8BC8C2">
      <w:pPr>
        <w:pStyle w:val="65"/>
        <w:tabs>
          <w:tab w:val="left" w:pos="1053"/>
        </w:tabs>
        <w:spacing w:before="158"/>
        <w:ind w:firstLine="0" w:firstLineChars="0"/>
        <w:rPr>
          <w:rFonts w:ascii="Times New Roman" w:hAnsi="Times New Roman" w:cs="Times New Roman"/>
          <w:sz w:val="24"/>
          <w:lang w:eastAsia="zh-CN"/>
        </w:rPr>
      </w:pPr>
    </w:p>
    <w:p w14:paraId="405DA1AE">
      <w:pPr>
        <w:pStyle w:val="65"/>
        <w:tabs>
          <w:tab w:val="left" w:pos="1053"/>
        </w:tabs>
        <w:spacing w:before="158"/>
        <w:ind w:firstLine="0" w:firstLineChars="0"/>
        <w:rPr>
          <w:rFonts w:ascii="Times New Roman" w:hAnsi="Times New Roman" w:cs="Times New Roman"/>
          <w:sz w:val="24"/>
          <w:lang w:eastAsia="zh-CN"/>
        </w:rPr>
      </w:pPr>
    </w:p>
    <w:p w14:paraId="6DE4DF14">
      <w:pPr>
        <w:pStyle w:val="65"/>
        <w:tabs>
          <w:tab w:val="left" w:pos="1053"/>
        </w:tabs>
        <w:spacing w:before="158"/>
        <w:ind w:firstLine="0" w:firstLineChars="0"/>
        <w:rPr>
          <w:rFonts w:ascii="Times New Roman" w:hAnsi="Times New Roman" w:cs="Times New Roman"/>
          <w:sz w:val="24"/>
          <w:lang w:eastAsia="zh-CN"/>
        </w:rPr>
      </w:pPr>
    </w:p>
    <w:p w14:paraId="44E1FD43">
      <w:pPr>
        <w:pStyle w:val="65"/>
        <w:tabs>
          <w:tab w:val="left" w:pos="1053"/>
        </w:tabs>
        <w:spacing w:before="158"/>
        <w:ind w:firstLine="0" w:firstLineChars="0"/>
        <w:rPr>
          <w:rFonts w:ascii="Times New Roman" w:hAnsi="Times New Roman" w:cs="Times New Roman"/>
          <w:sz w:val="24"/>
          <w:lang w:eastAsia="zh-CN"/>
        </w:rPr>
      </w:pPr>
    </w:p>
    <w:p w14:paraId="4AB159B1">
      <w:pPr>
        <w:pStyle w:val="65"/>
        <w:tabs>
          <w:tab w:val="left" w:pos="1053"/>
        </w:tabs>
        <w:spacing w:before="158"/>
        <w:ind w:firstLine="0" w:firstLineChars="0"/>
        <w:rPr>
          <w:rFonts w:ascii="Times New Roman" w:hAnsi="Times New Roman" w:cs="Times New Roman"/>
          <w:sz w:val="24"/>
          <w:lang w:eastAsia="zh-CN"/>
        </w:rPr>
      </w:pPr>
    </w:p>
    <w:p w14:paraId="394E7BA2">
      <w:pPr>
        <w:pStyle w:val="65"/>
        <w:tabs>
          <w:tab w:val="left" w:pos="1053"/>
        </w:tabs>
        <w:spacing w:before="158"/>
        <w:ind w:firstLine="0" w:firstLineChars="0"/>
        <w:jc w:val="center"/>
        <w:rPr>
          <w:b/>
          <w:bCs/>
          <w:kern w:val="2"/>
          <w:sz w:val="30"/>
          <w:szCs w:val="30"/>
        </w:rPr>
      </w:pPr>
      <w:sdt>
        <w:sdtPr>
          <w:rPr>
            <w:rFonts w:hint="eastAsia"/>
            <w:kern w:val="2"/>
            <w:sz w:val="24"/>
            <w:szCs w:val="24"/>
          </w:rPr>
          <w:id w:val="147452378"/>
          <w:placeholder>
            <w:docPart w:val="{10e0c648-0e15-4048-a74c-c36cadb6e61c}"/>
          </w:placeholder>
        </w:sdtPr>
        <w:sdtEndPr>
          <w:rPr>
            <w:rFonts w:hint="eastAsia"/>
            <w:b/>
            <w:bCs/>
            <w:kern w:val="2"/>
            <w:sz w:val="30"/>
            <w:szCs w:val="30"/>
          </w:rPr>
        </w:sdtEndPr>
        <w:sdtContent>
          <w:r>
            <w:rPr>
              <w:rFonts w:hint="eastAsia"/>
              <w:b/>
              <w:bCs/>
              <w:kern w:val="2"/>
              <w:sz w:val="30"/>
              <w:szCs w:val="30"/>
              <w:lang w:eastAsia="zh-CN"/>
            </w:rPr>
            <w:t>二、</w:t>
          </w:r>
          <w:r>
            <w:rPr>
              <w:rFonts w:hint="eastAsia"/>
              <w:b/>
              <w:bCs/>
              <w:kern w:val="2"/>
              <w:sz w:val="30"/>
              <w:szCs w:val="30"/>
            </w:rPr>
            <w:t>商务标部分</w:t>
          </w:r>
        </w:sdtContent>
      </w:sdt>
    </w:p>
    <w:p w14:paraId="2423BB3C">
      <w:pPr>
        <w:pStyle w:val="65"/>
        <w:tabs>
          <w:tab w:val="left" w:pos="1053"/>
        </w:tabs>
        <w:spacing w:before="158"/>
        <w:ind w:firstLine="0" w:firstLineChars="0"/>
        <w:rPr>
          <w:rFonts w:ascii="Times New Roman" w:hAnsi="Times New Roman" w:cs="Times New Roman"/>
          <w:b/>
          <w:bCs/>
          <w:sz w:val="24"/>
          <w:lang w:eastAsia="zh-CN"/>
        </w:rPr>
      </w:pPr>
      <w:r>
        <w:rPr>
          <w:rFonts w:hint="eastAsia" w:ascii="Times New Roman" w:hAnsi="Times New Roman" w:cs="Times New Roman"/>
          <w:b/>
          <w:bCs/>
          <w:sz w:val="24"/>
          <w:lang w:eastAsia="zh-CN"/>
        </w:rPr>
        <w:t>5.响应书（实质性格式）</w:t>
      </w:r>
    </w:p>
    <w:p w14:paraId="6C08174E">
      <w:pPr>
        <w:pStyle w:val="12"/>
        <w:rPr>
          <w:rFonts w:ascii="Times New Roman" w:hAnsi="Times New Roman" w:cs="Times New Roman"/>
          <w:sz w:val="20"/>
        </w:rPr>
      </w:pPr>
    </w:p>
    <w:p w14:paraId="3F8C2C15">
      <w:pPr>
        <w:pStyle w:val="12"/>
        <w:spacing w:before="3"/>
        <w:rPr>
          <w:rFonts w:ascii="Times New Roman" w:hAnsi="Times New Roman" w:cs="Times New Roman"/>
        </w:rPr>
      </w:pPr>
    </w:p>
    <w:p w14:paraId="6964B3F1">
      <w:pPr>
        <w:pStyle w:val="2"/>
        <w:spacing w:before="49"/>
        <w:ind w:right="31"/>
        <w:rPr>
          <w:rFonts w:ascii="Times New Roman" w:hAnsi="Times New Roman" w:cs="Times New Roman"/>
        </w:rPr>
      </w:pPr>
      <w:bookmarkStart w:id="1066" w:name="_Toc16878"/>
      <w:bookmarkStart w:id="1067" w:name="_Toc18890"/>
      <w:bookmarkStart w:id="1068" w:name="_Toc14397"/>
      <w:bookmarkStart w:id="1069" w:name="_Toc20301"/>
      <w:bookmarkStart w:id="1070" w:name="_Toc22698"/>
      <w:r>
        <w:rPr>
          <w:rFonts w:ascii="Times New Roman" w:hAnsi="Times New Roman" w:cs="Times New Roman"/>
        </w:rPr>
        <w:t>响应书</w:t>
      </w:r>
      <w:bookmarkEnd w:id="1066"/>
      <w:bookmarkEnd w:id="1067"/>
      <w:bookmarkEnd w:id="1068"/>
      <w:bookmarkEnd w:id="1069"/>
      <w:bookmarkEnd w:id="1070"/>
    </w:p>
    <w:p w14:paraId="48234178">
      <w:pPr>
        <w:pStyle w:val="12"/>
        <w:spacing w:before="7"/>
        <w:rPr>
          <w:rFonts w:ascii="Times New Roman" w:hAnsi="Times New Roman" w:cs="Times New Roman"/>
          <w:sz w:val="13"/>
        </w:rPr>
      </w:pPr>
    </w:p>
    <w:p w14:paraId="42B8D661">
      <w:pPr>
        <w:pStyle w:val="12"/>
        <w:spacing w:before="66"/>
        <w:ind w:left="541"/>
        <w:rPr>
          <w:rFonts w:ascii="Times New Roman" w:hAnsi="Times New Roman" w:cs="Times New Roman"/>
          <w:sz w:val="24"/>
          <w:szCs w:val="24"/>
          <w:lang w:eastAsia="zh-CN"/>
        </w:rPr>
      </w:pPr>
      <w:r>
        <w:rPr>
          <w:rFonts w:ascii="Times New Roman" w:hAnsi="Times New Roman" w:cs="Times New Roman"/>
          <w:spacing w:val="-61"/>
          <w:sz w:val="24"/>
          <w:szCs w:val="24"/>
          <w:lang w:eastAsia="zh-CN"/>
        </w:rPr>
        <w:t>致：</w:t>
      </w:r>
      <w:r>
        <w:rPr>
          <w:rFonts w:ascii="Times New Roman" w:hAnsi="Times New Roman" w:cs="Times New Roman"/>
          <w:sz w:val="24"/>
          <w:szCs w:val="24"/>
          <w:u w:val="single"/>
          <w:lang w:eastAsia="zh-CN"/>
        </w:rPr>
        <w:t>（采购人或采购代理机构）</w:t>
      </w:r>
    </w:p>
    <w:p w14:paraId="38BB7674">
      <w:pPr>
        <w:pStyle w:val="12"/>
        <w:rPr>
          <w:rFonts w:ascii="Times New Roman" w:hAnsi="Times New Roman" w:cs="Times New Roman"/>
          <w:sz w:val="24"/>
          <w:szCs w:val="24"/>
          <w:lang w:eastAsia="zh-CN"/>
        </w:rPr>
      </w:pPr>
    </w:p>
    <w:p w14:paraId="3F784AEF">
      <w:pPr>
        <w:pStyle w:val="12"/>
        <w:spacing w:before="9"/>
        <w:rPr>
          <w:rFonts w:ascii="Times New Roman" w:hAnsi="Times New Roman" w:cs="Times New Roman"/>
          <w:sz w:val="24"/>
          <w:szCs w:val="24"/>
          <w:lang w:eastAsia="zh-CN"/>
        </w:rPr>
      </w:pPr>
    </w:p>
    <w:p w14:paraId="07BC1BA7">
      <w:pPr>
        <w:pStyle w:val="12"/>
        <w:tabs>
          <w:tab w:val="left" w:pos="3335"/>
        </w:tabs>
        <w:spacing w:before="83" w:line="364" w:lineRule="auto"/>
        <w:ind w:left="541" w:right="567" w:firstLine="407"/>
        <w:rPr>
          <w:rFonts w:ascii="Times New Roman" w:hAnsi="Times New Roman" w:cs="Times New Roman"/>
          <w:sz w:val="24"/>
          <w:szCs w:val="24"/>
          <w:lang w:eastAsia="zh-CN"/>
        </w:rPr>
      </w:pPr>
      <w:r>
        <w:rPr>
          <w:rFonts w:ascii="Times New Roman" w:hAnsi="Times New Roman" w:cs="Times New Roman"/>
          <w:sz w:val="24"/>
          <w:szCs w:val="24"/>
          <w:lang w:eastAsia="zh-CN"/>
        </w:rPr>
        <w:t>我方参加你方就</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（项目名称</w:t>
      </w:r>
      <w:r>
        <w:rPr>
          <w:rFonts w:ascii="Times New Roman" w:hAnsi="Times New Roman" w:cs="Times New Roman"/>
          <w:spacing w:val="-15"/>
          <w:sz w:val="24"/>
          <w:szCs w:val="24"/>
          <w:lang w:eastAsia="zh-CN"/>
        </w:rPr>
        <w:t>，</w:t>
      </w:r>
      <w:r>
        <w:rPr>
          <w:rFonts w:hint="eastAsia" w:ascii="Times New Roman" w:hAnsi="Times New Roman" w:cs="Times New Roman"/>
          <w:sz w:val="24"/>
          <w:szCs w:val="24"/>
          <w:lang w:eastAsia="zh-CN"/>
        </w:rPr>
        <w:t>项目编号</w:t>
      </w:r>
      <w:r>
        <w:rPr>
          <w:rFonts w:ascii="Times New Roman" w:hAnsi="Times New Roman" w:eastAsia="Arial Narrow" w:cs="Times New Roman"/>
          <w:w w:val="125"/>
          <w:sz w:val="24"/>
          <w:szCs w:val="24"/>
          <w:lang w:eastAsia="zh-CN"/>
        </w:rPr>
        <w:t>/</w:t>
      </w:r>
      <w:r>
        <w:rPr>
          <w:rFonts w:ascii="Times New Roman" w:hAnsi="Times New Roman" w:cs="Times New Roman"/>
          <w:sz w:val="24"/>
          <w:szCs w:val="24"/>
          <w:lang w:eastAsia="zh-CN"/>
        </w:rPr>
        <w:t>包号</w:t>
      </w:r>
      <w:r>
        <w:rPr>
          <w:rFonts w:ascii="Times New Roman" w:hAnsi="Times New Roman" w:cs="Times New Roman"/>
          <w:spacing w:val="-15"/>
          <w:sz w:val="24"/>
          <w:szCs w:val="24"/>
          <w:lang w:eastAsia="zh-CN"/>
        </w:rPr>
        <w:t>）</w:t>
      </w:r>
      <w:r>
        <w:rPr>
          <w:rFonts w:ascii="Times New Roman" w:hAnsi="Times New Roman" w:cs="Times New Roman"/>
          <w:sz w:val="24"/>
          <w:szCs w:val="24"/>
          <w:lang w:eastAsia="zh-CN"/>
        </w:rPr>
        <w:t>组织的采购活动</w:t>
      </w:r>
      <w:r>
        <w:rPr>
          <w:rFonts w:ascii="Times New Roman" w:hAnsi="Times New Roman" w:cs="Times New Roman"/>
          <w:spacing w:val="-15"/>
          <w:sz w:val="24"/>
          <w:szCs w:val="24"/>
          <w:lang w:eastAsia="zh-CN"/>
        </w:rPr>
        <w:t>，</w:t>
      </w:r>
      <w:r>
        <w:rPr>
          <w:rFonts w:ascii="Times New Roman" w:hAnsi="Times New Roman" w:cs="Times New Roman"/>
          <w:sz w:val="24"/>
          <w:szCs w:val="24"/>
          <w:lang w:eastAsia="zh-CN"/>
        </w:rPr>
        <w:t>并对此项</w:t>
      </w:r>
      <w:r>
        <w:rPr>
          <w:rFonts w:ascii="Times New Roman" w:hAnsi="Times New Roman" w:cs="Times New Roman"/>
          <w:spacing w:val="-12"/>
          <w:sz w:val="24"/>
          <w:szCs w:val="24"/>
          <w:lang w:eastAsia="zh-CN"/>
        </w:rPr>
        <w:t>目</w:t>
      </w:r>
      <w:r>
        <w:rPr>
          <w:rFonts w:ascii="Times New Roman" w:hAnsi="Times New Roman" w:cs="Times New Roman"/>
          <w:sz w:val="24"/>
          <w:szCs w:val="24"/>
          <w:lang w:eastAsia="zh-CN"/>
        </w:rPr>
        <w:t>进行磋商。</w:t>
      </w:r>
    </w:p>
    <w:p w14:paraId="74594A07">
      <w:pPr>
        <w:pStyle w:val="65"/>
        <w:tabs>
          <w:tab w:val="left" w:pos="1298"/>
        </w:tabs>
        <w:spacing w:line="306" w:lineRule="exact"/>
        <w:ind w:left="440" w:leftChars="200" w:firstLine="480"/>
        <w:rPr>
          <w:rFonts w:ascii="Times New Roman" w:hAnsi="Times New Roman" w:cs="Times New Roman"/>
          <w:sz w:val="24"/>
          <w:szCs w:val="24"/>
          <w:lang w:eastAsia="zh-CN"/>
        </w:rPr>
      </w:pPr>
      <w:r>
        <w:rPr>
          <w:rFonts w:hint="eastAsia" w:ascii="Times New Roman" w:hAnsi="Times New Roman" w:cs="Times New Roman"/>
          <w:sz w:val="24"/>
          <w:szCs w:val="24"/>
          <w:lang w:eastAsia="zh-CN"/>
        </w:rPr>
        <w:t>1.</w:t>
      </w:r>
      <w:r>
        <w:rPr>
          <w:rFonts w:ascii="Times New Roman" w:hAnsi="Times New Roman" w:cs="Times New Roman"/>
          <w:sz w:val="24"/>
          <w:szCs w:val="24"/>
          <w:lang w:eastAsia="zh-CN"/>
        </w:rPr>
        <w:t>我方已详细审查全部竞争性磋商文件，自愿参与磋商并承诺如下：</w:t>
      </w:r>
    </w:p>
    <w:p w14:paraId="4BDE1FC3">
      <w:pPr>
        <w:pStyle w:val="65"/>
        <w:tabs>
          <w:tab w:val="left" w:pos="1606"/>
          <w:tab w:val="left" w:pos="6885"/>
        </w:tabs>
        <w:spacing w:before="161"/>
        <w:ind w:left="440" w:leftChars="200" w:firstLine="240" w:firstLineChars="100"/>
        <w:rPr>
          <w:rFonts w:ascii="Times New Roman" w:hAnsi="Times New Roman" w:cs="Times New Roman"/>
          <w:sz w:val="24"/>
          <w:szCs w:val="24"/>
          <w:lang w:eastAsia="zh-CN"/>
        </w:rPr>
      </w:pPr>
      <w:r>
        <w:rPr>
          <w:rFonts w:hint="eastAsia" w:ascii="Times New Roman" w:hAnsi="Times New Roman" w:cs="Times New Roman"/>
          <w:sz w:val="24"/>
          <w:szCs w:val="24"/>
          <w:lang w:eastAsia="zh-CN"/>
        </w:rPr>
        <w:t>（1）</w:t>
      </w:r>
      <w:r>
        <w:rPr>
          <w:rFonts w:ascii="Times New Roman" w:hAnsi="Times New Roman" w:cs="Times New Roman"/>
          <w:sz w:val="24"/>
          <w:szCs w:val="24"/>
          <w:lang w:eastAsia="zh-CN"/>
        </w:rPr>
        <w:t>本响应有效期为自响应文件提交截止之日起</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个日历日。</w:t>
      </w:r>
    </w:p>
    <w:p w14:paraId="35B64A2D">
      <w:pPr>
        <w:pStyle w:val="65"/>
        <w:tabs>
          <w:tab w:val="left" w:pos="1613"/>
        </w:tabs>
        <w:spacing w:before="158" w:line="364" w:lineRule="auto"/>
        <w:ind w:left="440" w:leftChars="200" w:right="570" w:firstLine="240" w:firstLineChars="100"/>
        <w:rPr>
          <w:rFonts w:ascii="Times New Roman" w:hAnsi="Times New Roman" w:cs="Times New Roman"/>
          <w:sz w:val="24"/>
          <w:szCs w:val="24"/>
          <w:lang w:eastAsia="zh-CN"/>
        </w:rPr>
      </w:pPr>
      <w:r>
        <w:rPr>
          <w:rFonts w:hint="eastAsia" w:ascii="Times New Roman" w:hAnsi="Times New Roman" w:cs="Times New Roman"/>
          <w:sz w:val="24"/>
          <w:szCs w:val="24"/>
          <w:lang w:eastAsia="zh-CN"/>
        </w:rPr>
        <w:t>（2）</w:t>
      </w:r>
      <w:r>
        <w:rPr>
          <w:rFonts w:ascii="Times New Roman" w:hAnsi="Times New Roman" w:cs="Times New Roman"/>
          <w:sz w:val="24"/>
          <w:szCs w:val="24"/>
          <w:lang w:eastAsia="zh-CN"/>
        </w:rPr>
        <w:t>除合同条款及采购需求偏离表列出的偏离外，我方响应竞争性磋商文件的全部要求。</w:t>
      </w:r>
    </w:p>
    <w:p w14:paraId="04728105">
      <w:pPr>
        <w:pStyle w:val="65"/>
        <w:tabs>
          <w:tab w:val="left" w:pos="1594"/>
        </w:tabs>
        <w:spacing w:line="306" w:lineRule="exact"/>
        <w:ind w:left="440" w:leftChars="200" w:firstLine="240" w:firstLineChars="100"/>
        <w:rPr>
          <w:rFonts w:ascii="Times New Roman" w:hAnsi="Times New Roman" w:cs="Times New Roman"/>
          <w:sz w:val="24"/>
          <w:szCs w:val="24"/>
          <w:lang w:eastAsia="zh-CN"/>
        </w:rPr>
      </w:pPr>
      <w:r>
        <w:rPr>
          <w:rFonts w:hint="eastAsia" w:ascii="Times New Roman" w:hAnsi="Times New Roman" w:cs="Times New Roman"/>
          <w:sz w:val="24"/>
          <w:szCs w:val="24"/>
          <w:lang w:eastAsia="zh-CN"/>
        </w:rPr>
        <w:t>（3）</w:t>
      </w:r>
      <w:r>
        <w:rPr>
          <w:rFonts w:ascii="Times New Roman" w:hAnsi="Times New Roman" w:cs="Times New Roman"/>
          <w:sz w:val="24"/>
          <w:szCs w:val="24"/>
          <w:lang w:eastAsia="zh-CN"/>
        </w:rPr>
        <w:t>我方已提供的全部文件资料是真实、准确的，并对此承担一切法律后果。</w:t>
      </w:r>
    </w:p>
    <w:p w14:paraId="285F9167">
      <w:pPr>
        <w:pStyle w:val="65"/>
        <w:tabs>
          <w:tab w:val="left" w:pos="1603"/>
        </w:tabs>
        <w:spacing w:before="160" w:line="362" w:lineRule="auto"/>
        <w:ind w:left="440" w:leftChars="200" w:right="570" w:firstLine="240" w:firstLineChars="100"/>
        <w:rPr>
          <w:rFonts w:ascii="Times New Roman" w:hAnsi="Times New Roman" w:cs="Times New Roman"/>
          <w:sz w:val="24"/>
          <w:szCs w:val="24"/>
          <w:lang w:eastAsia="zh-CN"/>
        </w:rPr>
      </w:pPr>
      <w:r>
        <w:rPr>
          <w:rFonts w:hint="eastAsia" w:ascii="Times New Roman" w:hAnsi="Times New Roman" w:cs="Times New Roman"/>
          <w:sz w:val="24"/>
          <w:szCs w:val="24"/>
          <w:lang w:eastAsia="zh-CN"/>
        </w:rPr>
        <w:t>（4）</w:t>
      </w:r>
      <w:r>
        <w:rPr>
          <w:rFonts w:ascii="Times New Roman" w:hAnsi="Times New Roman" w:cs="Times New Roman"/>
          <w:sz w:val="24"/>
          <w:szCs w:val="24"/>
          <w:lang w:eastAsia="zh-CN"/>
        </w:rPr>
        <w:t>如我方成交，我方将在法律规定的期限内与你方签订合同，按照竞争性磋商文件要求提交履约保证金，并在合同约定的期限内完成合同规定的全部义务。</w:t>
      </w:r>
    </w:p>
    <w:p w14:paraId="228AE563">
      <w:pPr>
        <w:pStyle w:val="65"/>
        <w:tabs>
          <w:tab w:val="left" w:pos="1298"/>
        </w:tabs>
        <w:spacing w:line="306" w:lineRule="exact"/>
        <w:ind w:left="440" w:leftChars="200" w:firstLine="480"/>
        <w:rPr>
          <w:rFonts w:ascii="Times New Roman" w:hAnsi="Times New Roman" w:cs="Times New Roman"/>
          <w:sz w:val="24"/>
          <w:szCs w:val="24"/>
          <w:lang w:eastAsia="zh-CN"/>
        </w:rPr>
      </w:pPr>
      <w:r>
        <w:rPr>
          <w:rFonts w:hint="eastAsia" w:ascii="Times New Roman" w:hAnsi="Times New Roman" w:cs="Times New Roman"/>
          <w:sz w:val="24"/>
          <w:szCs w:val="24"/>
          <w:lang w:eastAsia="zh-CN"/>
        </w:rPr>
        <w:t>2.其他补充条款（如有）：</w:t>
      </w:r>
      <w:r>
        <w:rPr>
          <w:rFonts w:hint="eastAsia" w:ascii="Times New Roman" w:hAnsi="Times New Roman" w:cs="Times New Roman"/>
          <w:sz w:val="24"/>
          <w:szCs w:val="24"/>
          <w:u w:val="single"/>
          <w:lang w:eastAsia="zh-CN"/>
        </w:rPr>
        <w:t xml:space="preserve"> </w:t>
      </w:r>
      <w:r>
        <w:rPr>
          <w:rFonts w:hint="eastAsia" w:ascii="Times New Roman" w:hAnsi="Times New Roman" w:cs="Times New Roman"/>
          <w:sz w:val="24"/>
          <w:szCs w:val="24"/>
          <w:u w:val="single"/>
          <w:lang w:eastAsia="zh-CN"/>
        </w:rPr>
        <w:tab/>
      </w:r>
      <w:r>
        <w:rPr>
          <w:rFonts w:hint="eastAsia" w:ascii="Times New Roman" w:hAnsi="Times New Roman" w:cs="Times New Roman"/>
          <w:sz w:val="24"/>
          <w:szCs w:val="24"/>
          <w:u w:val="single"/>
          <w:lang w:eastAsia="zh-CN"/>
        </w:rPr>
        <w:t xml:space="preserve"> </w:t>
      </w:r>
    </w:p>
    <w:p w14:paraId="4F491B66">
      <w:pPr>
        <w:pStyle w:val="12"/>
        <w:spacing w:before="158"/>
        <w:ind w:left="1021"/>
        <w:rPr>
          <w:rFonts w:ascii="Times New Roman" w:hAnsi="Times New Roman" w:cs="Times New Roman"/>
          <w:sz w:val="24"/>
          <w:szCs w:val="24"/>
          <w:lang w:eastAsia="zh-CN"/>
        </w:rPr>
      </w:pPr>
      <w:r>
        <w:rPr>
          <w:rFonts w:ascii="Times New Roman" w:hAnsi="Times New Roman" w:cs="Times New Roman"/>
          <w:sz w:val="24"/>
          <w:szCs w:val="24"/>
          <w:lang w:eastAsia="zh-CN"/>
        </w:rPr>
        <w:t>与本磋商有关的一切正式往来信函请寄：</w:t>
      </w:r>
    </w:p>
    <w:p w14:paraId="189ED5E9">
      <w:pPr>
        <w:pStyle w:val="12"/>
        <w:rPr>
          <w:rFonts w:ascii="Times New Roman" w:hAnsi="Times New Roman" w:cs="Times New Roman"/>
          <w:sz w:val="24"/>
          <w:szCs w:val="24"/>
          <w:lang w:eastAsia="zh-CN"/>
        </w:rPr>
      </w:pPr>
    </w:p>
    <w:p w14:paraId="30F67280">
      <w:pPr>
        <w:pStyle w:val="12"/>
        <w:spacing w:before="2"/>
        <w:rPr>
          <w:rFonts w:ascii="Times New Roman" w:hAnsi="Times New Roman" w:cs="Times New Roman"/>
          <w:sz w:val="24"/>
          <w:szCs w:val="24"/>
          <w:lang w:eastAsia="zh-CN"/>
        </w:rPr>
      </w:pPr>
    </w:p>
    <w:p w14:paraId="5D84960A">
      <w:pPr>
        <w:pStyle w:val="12"/>
        <w:tabs>
          <w:tab w:val="left" w:pos="5161"/>
          <w:tab w:val="left" w:pos="5761"/>
          <w:tab w:val="left" w:pos="9054"/>
        </w:tabs>
        <w:ind w:left="961"/>
        <w:rPr>
          <w:rFonts w:ascii="Times New Roman" w:hAnsi="Times New Roman" w:eastAsia="Times New Roman" w:cs="Times New Roman"/>
          <w:sz w:val="24"/>
          <w:szCs w:val="24"/>
          <w:lang w:eastAsia="zh-CN"/>
        </w:rPr>
      </w:pPr>
      <w:r>
        <w:rPr>
          <w:rFonts w:ascii="Times New Roman" w:hAnsi="Times New Roman" w:cs="Times New Roman"/>
          <w:sz w:val="24"/>
          <w:szCs w:val="24"/>
          <w:lang w:eastAsia="zh-CN"/>
        </w:rPr>
        <w:t>地址</w:t>
      </w:r>
      <w:r>
        <w:rPr>
          <w:rFonts w:ascii="Times New Roman" w:hAnsi="Times New Roman" w:cs="Times New Roman"/>
          <w:sz w:val="24"/>
          <w:szCs w:val="24"/>
          <w:lang w:eastAsia="zh-CN"/>
        </w:rPr>
        <w:tab/>
      </w:r>
      <w:r>
        <w:rPr>
          <w:rFonts w:ascii="Times New Roman" w:hAnsi="Times New Roman" w:cs="Times New Roman"/>
          <w:sz w:val="24"/>
          <w:szCs w:val="24"/>
          <w:lang w:eastAsia="zh-CN"/>
        </w:rPr>
        <w:t>传</w:t>
      </w:r>
      <w:r>
        <w:rPr>
          <w:rFonts w:ascii="Times New Roman" w:hAnsi="Times New Roman" w:cs="Times New Roman"/>
          <w:sz w:val="24"/>
          <w:szCs w:val="24"/>
          <w:lang w:eastAsia="zh-CN"/>
        </w:rPr>
        <w:tab/>
      </w:r>
      <w:r>
        <w:rPr>
          <w:rFonts w:ascii="Times New Roman" w:hAnsi="Times New Roman" w:cs="Times New Roman"/>
          <w:sz w:val="24"/>
          <w:szCs w:val="24"/>
          <w:lang w:eastAsia="zh-CN"/>
        </w:rPr>
        <w:t>真</w:t>
      </w:r>
      <w:r>
        <w:rPr>
          <w:rFonts w:ascii="Times New Roman" w:hAnsi="Times New Roman" w:eastAsia="Times New Roman" w:cs="Times New Roman"/>
          <w:sz w:val="24"/>
          <w:szCs w:val="24"/>
          <w:u w:val="single"/>
          <w:lang w:eastAsia="zh-CN"/>
        </w:rPr>
        <w:t xml:space="preserve"> </w:t>
      </w:r>
      <w:r>
        <w:rPr>
          <w:rFonts w:ascii="Times New Roman" w:hAnsi="Times New Roman" w:eastAsia="Times New Roman" w:cs="Times New Roman"/>
          <w:sz w:val="24"/>
          <w:szCs w:val="24"/>
          <w:u w:val="single"/>
          <w:lang w:eastAsia="zh-CN"/>
        </w:rPr>
        <w:tab/>
      </w:r>
    </w:p>
    <w:p w14:paraId="0A86FD6B">
      <w:pPr>
        <w:pStyle w:val="12"/>
        <w:tabs>
          <w:tab w:val="left" w:pos="5161"/>
          <w:tab w:val="left" w:pos="9174"/>
        </w:tabs>
        <w:spacing w:before="161"/>
        <w:ind w:left="961"/>
        <w:rPr>
          <w:rFonts w:ascii="Times New Roman" w:hAnsi="Times New Roman" w:eastAsia="Times New Roman" w:cs="Times New Roman"/>
          <w:sz w:val="24"/>
          <w:szCs w:val="24"/>
          <w:lang w:eastAsia="zh-CN"/>
        </w:rPr>
      </w:pPr>
      <w:r>
        <w:rPr>
          <w:rFonts w:ascii="Times New Roman" w:hAnsi="Times New Roman" w:cs="Times New Roman"/>
          <w:sz w:val="24"/>
          <w:szCs w:val="24"/>
          <w:lang w:eastAsia="zh-CN"/>
        </w:rPr>
        <w:t>电话</w:t>
      </w:r>
      <w:r>
        <w:rPr>
          <w:rFonts w:ascii="Times New Roman" w:hAnsi="Times New Roman" w:cs="Times New Roman"/>
          <w:sz w:val="24"/>
          <w:szCs w:val="24"/>
          <w:lang w:eastAsia="zh-CN"/>
        </w:rPr>
        <w:tab/>
      </w:r>
      <w:r>
        <w:rPr>
          <w:rFonts w:ascii="Times New Roman" w:hAnsi="Times New Roman" w:cs="Times New Roman"/>
          <w:spacing w:val="-1"/>
          <w:sz w:val="24"/>
          <w:szCs w:val="24"/>
          <w:lang w:eastAsia="zh-CN"/>
        </w:rPr>
        <w:t>电</w:t>
      </w:r>
      <w:r>
        <w:rPr>
          <w:rFonts w:ascii="Times New Roman" w:hAnsi="Times New Roman" w:cs="Times New Roman"/>
          <w:sz w:val="24"/>
          <w:szCs w:val="24"/>
          <w:lang w:eastAsia="zh-CN"/>
        </w:rPr>
        <w:t>子函件</w:t>
      </w:r>
      <w:r>
        <w:rPr>
          <w:rFonts w:ascii="Times New Roman" w:hAnsi="Times New Roman" w:eastAsia="Times New Roman" w:cs="Times New Roman"/>
          <w:sz w:val="24"/>
          <w:szCs w:val="24"/>
          <w:u w:val="single"/>
          <w:lang w:eastAsia="zh-CN"/>
        </w:rPr>
        <w:t xml:space="preserve"> </w:t>
      </w:r>
      <w:r>
        <w:rPr>
          <w:rFonts w:ascii="Times New Roman" w:hAnsi="Times New Roman" w:eastAsia="Times New Roman" w:cs="Times New Roman"/>
          <w:sz w:val="24"/>
          <w:szCs w:val="24"/>
          <w:u w:val="single"/>
          <w:lang w:eastAsia="zh-CN"/>
        </w:rPr>
        <w:tab/>
      </w:r>
    </w:p>
    <w:p w14:paraId="36DB7A65">
      <w:pPr>
        <w:pStyle w:val="12"/>
        <w:rPr>
          <w:rFonts w:ascii="Times New Roman" w:hAnsi="Times New Roman" w:cs="Times New Roman"/>
          <w:sz w:val="24"/>
          <w:szCs w:val="24"/>
          <w:lang w:eastAsia="zh-CN"/>
        </w:rPr>
      </w:pPr>
    </w:p>
    <w:p w14:paraId="6103E0E1">
      <w:pPr>
        <w:pStyle w:val="12"/>
        <w:rPr>
          <w:rFonts w:ascii="Times New Roman" w:hAnsi="Times New Roman" w:cs="Times New Roman"/>
          <w:sz w:val="24"/>
          <w:szCs w:val="24"/>
          <w:lang w:eastAsia="zh-CN"/>
        </w:rPr>
      </w:pPr>
    </w:p>
    <w:p w14:paraId="0554406E">
      <w:pPr>
        <w:pStyle w:val="12"/>
        <w:rPr>
          <w:rFonts w:ascii="Times New Roman" w:hAnsi="Times New Roman" w:cs="Times New Roman"/>
          <w:sz w:val="24"/>
          <w:szCs w:val="24"/>
          <w:lang w:eastAsia="zh-CN"/>
        </w:rPr>
      </w:pPr>
    </w:p>
    <w:p w14:paraId="2FE9D920">
      <w:pPr>
        <w:pStyle w:val="12"/>
        <w:rPr>
          <w:rFonts w:ascii="Times New Roman" w:hAnsi="Times New Roman" w:cs="Times New Roman"/>
          <w:sz w:val="24"/>
          <w:szCs w:val="24"/>
          <w:lang w:eastAsia="zh-CN"/>
        </w:rPr>
      </w:pPr>
    </w:p>
    <w:p w14:paraId="5E0C6534">
      <w:pPr>
        <w:pStyle w:val="12"/>
        <w:rPr>
          <w:rFonts w:ascii="Times New Roman" w:hAnsi="Times New Roman" w:cs="Times New Roman"/>
          <w:sz w:val="24"/>
          <w:szCs w:val="24"/>
          <w:lang w:eastAsia="zh-CN"/>
        </w:rPr>
      </w:pPr>
    </w:p>
    <w:p w14:paraId="0CF5B693">
      <w:pPr>
        <w:pStyle w:val="12"/>
        <w:spacing w:before="11"/>
        <w:rPr>
          <w:rFonts w:ascii="Times New Roman" w:hAnsi="Times New Roman" w:cs="Times New Roman"/>
          <w:sz w:val="24"/>
          <w:szCs w:val="24"/>
          <w:lang w:eastAsia="zh-CN"/>
        </w:rPr>
      </w:pPr>
    </w:p>
    <w:p w14:paraId="276D451D">
      <w:pPr>
        <w:pStyle w:val="12"/>
        <w:tabs>
          <w:tab w:val="left" w:pos="2101"/>
          <w:tab w:val="left" w:pos="2821"/>
          <w:tab w:val="left" w:pos="3541"/>
          <w:tab w:val="left" w:pos="4434"/>
        </w:tabs>
        <w:spacing w:before="85" w:line="384" w:lineRule="auto"/>
        <w:ind w:left="901" w:right="5750"/>
        <w:rPr>
          <w:rFonts w:ascii="Times New Roman" w:hAnsi="Times New Roman" w:eastAsia="Times New Roman" w:cs="Times New Roman"/>
          <w:sz w:val="24"/>
          <w:szCs w:val="24"/>
          <w:u w:val="single"/>
          <w:lang w:eastAsia="zh-CN"/>
        </w:rPr>
      </w:pPr>
      <w:r>
        <w:rPr>
          <w:rFonts w:ascii="Times New Roman" w:hAnsi="Times New Roman" w:cs="Times New Roman"/>
          <w:sz w:val="24"/>
          <w:szCs w:val="24"/>
          <w:lang w:eastAsia="zh-CN"/>
        </w:rPr>
        <w:t>供应商名</w:t>
      </w:r>
      <w:r>
        <w:rPr>
          <w:rFonts w:ascii="Times New Roman" w:hAnsi="Times New Roman" w:eastAsia="宋体" w:cs="Times New Roman"/>
          <w:sz w:val="24"/>
          <w:szCs w:val="24"/>
          <w:lang w:eastAsia="zh-CN"/>
        </w:rPr>
        <w:t>称（加盖公章）：</w:t>
      </w:r>
      <w:r>
        <w:rPr>
          <w:rFonts w:ascii="Times New Roman" w:hAnsi="Times New Roman" w:eastAsia="Times New Roman" w:cs="Times New Roman"/>
          <w:sz w:val="24"/>
          <w:szCs w:val="24"/>
          <w:u w:val="single"/>
          <w:lang w:eastAsia="zh-CN"/>
        </w:rPr>
        <w:t xml:space="preserve"> </w:t>
      </w:r>
      <w:r>
        <w:rPr>
          <w:rFonts w:ascii="Times New Roman" w:hAnsi="Times New Roman" w:eastAsia="Times New Roman" w:cs="Times New Roman"/>
          <w:sz w:val="24"/>
          <w:szCs w:val="24"/>
          <w:u w:val="single"/>
          <w:lang w:eastAsia="zh-CN"/>
        </w:rPr>
        <w:tab/>
      </w:r>
      <w:r>
        <w:rPr>
          <w:rFonts w:ascii="Times New Roman" w:hAnsi="Times New Roman" w:eastAsia="Times New Roman" w:cs="Times New Roman"/>
          <w:sz w:val="24"/>
          <w:szCs w:val="24"/>
          <w:u w:val="single"/>
          <w:lang w:eastAsia="zh-CN"/>
        </w:rPr>
        <w:t xml:space="preserve"> </w:t>
      </w:r>
    </w:p>
    <w:p w14:paraId="67098250">
      <w:pPr>
        <w:pStyle w:val="12"/>
        <w:tabs>
          <w:tab w:val="left" w:pos="2101"/>
          <w:tab w:val="left" w:pos="2821"/>
          <w:tab w:val="left" w:pos="3541"/>
          <w:tab w:val="left" w:pos="4434"/>
        </w:tabs>
        <w:spacing w:before="85" w:line="384" w:lineRule="auto"/>
        <w:ind w:left="901" w:right="5750"/>
        <w:rPr>
          <w:rFonts w:ascii="Times New Roman" w:hAnsi="Times New Roman" w:cs="Times New Roman"/>
          <w:sz w:val="24"/>
          <w:szCs w:val="24"/>
          <w:lang w:eastAsia="zh-CN"/>
        </w:rPr>
      </w:pPr>
      <w:r>
        <w:rPr>
          <w:rFonts w:ascii="Times New Roman" w:hAnsi="Times New Roman" w:cs="Times New Roman"/>
          <w:sz w:val="24"/>
          <w:szCs w:val="24"/>
          <w:lang w:eastAsia="zh-CN"/>
        </w:rPr>
        <w:t>日期：</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年</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月</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日</w:t>
      </w:r>
    </w:p>
    <w:p w14:paraId="747A1DDB">
      <w:pPr>
        <w:spacing w:line="384" w:lineRule="auto"/>
        <w:rPr>
          <w:rFonts w:ascii="Times New Roman" w:hAnsi="Times New Roman" w:cs="Times New Roman"/>
          <w:sz w:val="24"/>
          <w:szCs w:val="24"/>
          <w:lang w:eastAsia="zh-CN"/>
        </w:rPr>
      </w:pPr>
    </w:p>
    <w:p w14:paraId="673A368D">
      <w:pPr>
        <w:pStyle w:val="3"/>
        <w:rPr>
          <w:lang w:eastAsia="zh-CN"/>
        </w:rPr>
      </w:pPr>
    </w:p>
    <w:p w14:paraId="0859E8DA">
      <w:pPr>
        <w:pStyle w:val="65"/>
        <w:tabs>
          <w:tab w:val="left" w:pos="1053"/>
        </w:tabs>
        <w:spacing w:before="158" w:line="360" w:lineRule="auto"/>
        <w:ind w:firstLine="0" w:firstLineChars="0"/>
        <w:rPr>
          <w:rFonts w:ascii="Times New Roman" w:hAnsi="Times New Roman" w:cs="Times New Roman"/>
          <w:b/>
          <w:bCs/>
          <w:sz w:val="24"/>
          <w:lang w:eastAsia="zh-CN"/>
        </w:rPr>
      </w:pPr>
    </w:p>
    <w:p w14:paraId="48ACED9F">
      <w:pPr>
        <w:pStyle w:val="3"/>
        <w:spacing w:line="360" w:lineRule="auto"/>
        <w:jc w:val="both"/>
        <w:rPr>
          <w:rFonts w:ascii="Times New Roman" w:hAnsi="Times New Roman" w:cs="Times New Roman"/>
          <w:b/>
          <w:bCs/>
          <w:sz w:val="24"/>
          <w:lang w:eastAsia="zh-CN"/>
        </w:rPr>
      </w:pPr>
      <w:bookmarkStart w:id="1071" w:name="_Toc26757"/>
      <w:r>
        <w:rPr>
          <w:rFonts w:hint="eastAsia" w:ascii="Times New Roman" w:hAnsi="Times New Roman" w:cs="Times New Roman"/>
          <w:b/>
          <w:bCs/>
          <w:sz w:val="24"/>
          <w:lang w:eastAsia="zh-CN"/>
        </w:rPr>
        <w:t>6.法定代表人身份证明书或授权委托书</w:t>
      </w:r>
      <w:bookmarkEnd w:id="1071"/>
    </w:p>
    <w:p w14:paraId="32CA12FF">
      <w:pPr>
        <w:pStyle w:val="2"/>
        <w:ind w:right="25"/>
        <w:rPr>
          <w:rFonts w:ascii="Times New Roman" w:hAnsi="Times New Roman" w:cs="Times New Roman"/>
          <w:lang w:eastAsia="zh-CN"/>
        </w:rPr>
      </w:pPr>
      <w:bookmarkStart w:id="1072" w:name="_Toc15581"/>
      <w:bookmarkStart w:id="1073" w:name="_Toc160018043"/>
      <w:bookmarkStart w:id="1074" w:name="_Toc32007"/>
      <w:bookmarkStart w:id="1075" w:name="_Toc25352"/>
      <w:bookmarkStart w:id="1076" w:name="_Toc3840"/>
      <w:r>
        <w:rPr>
          <w:rFonts w:ascii="Times New Roman" w:hAnsi="Times New Roman" w:cs="Times New Roman"/>
          <w:lang w:eastAsia="zh-CN"/>
        </w:rPr>
        <w:t>法定代表人（单位负责人）身份证明</w:t>
      </w:r>
      <w:bookmarkEnd w:id="1072"/>
      <w:bookmarkEnd w:id="1073"/>
    </w:p>
    <w:p w14:paraId="0D47892C">
      <w:pPr>
        <w:pStyle w:val="12"/>
        <w:tabs>
          <w:tab w:val="left" w:pos="1501"/>
        </w:tabs>
        <w:spacing w:before="136" w:line="610" w:lineRule="atLeast"/>
        <w:ind w:left="1021" w:right="5802" w:hanging="481"/>
        <w:rPr>
          <w:rFonts w:ascii="Times New Roman" w:hAnsi="Times New Roman" w:cs="Times New Roman"/>
          <w:sz w:val="24"/>
          <w:szCs w:val="24"/>
          <w:lang w:eastAsia="zh-CN"/>
        </w:rPr>
      </w:pPr>
      <w:r>
        <w:rPr>
          <w:rFonts w:ascii="Times New Roman" w:hAnsi="Times New Roman" w:cs="Times New Roman"/>
          <w:spacing w:val="-1"/>
          <w:sz w:val="24"/>
          <w:szCs w:val="24"/>
          <w:lang w:eastAsia="zh-CN"/>
        </w:rPr>
        <w:t>致</w:t>
      </w:r>
      <w:r>
        <w:rPr>
          <w:rFonts w:ascii="Times New Roman" w:hAnsi="Times New Roman" w:cs="Times New Roman"/>
          <w:sz w:val="24"/>
          <w:szCs w:val="24"/>
          <w:lang w:eastAsia="zh-CN"/>
        </w:rPr>
        <w:t>：</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（采购人或采购代理机构</w:t>
      </w:r>
      <w:r>
        <w:rPr>
          <w:rFonts w:ascii="Times New Roman" w:hAnsi="Times New Roman" w:cs="Times New Roman"/>
          <w:spacing w:val="-16"/>
          <w:sz w:val="24"/>
          <w:szCs w:val="24"/>
          <w:lang w:eastAsia="zh-CN"/>
        </w:rPr>
        <w:t xml:space="preserve">） </w:t>
      </w:r>
      <w:r>
        <w:rPr>
          <w:rFonts w:ascii="Times New Roman" w:hAnsi="Times New Roman" w:cs="Times New Roman"/>
          <w:sz w:val="24"/>
          <w:szCs w:val="24"/>
          <w:lang w:eastAsia="zh-CN"/>
        </w:rPr>
        <w:t>兹证明，</w:t>
      </w:r>
    </w:p>
    <w:p w14:paraId="0C6609DF">
      <w:pPr>
        <w:pStyle w:val="12"/>
        <w:tabs>
          <w:tab w:val="left" w:pos="1741"/>
          <w:tab w:val="left" w:pos="2941"/>
          <w:tab w:val="left" w:pos="4141"/>
          <w:tab w:val="left" w:pos="5394"/>
        </w:tabs>
        <w:spacing w:before="153"/>
        <w:ind w:left="541"/>
        <w:rPr>
          <w:rFonts w:ascii="Times New Roman" w:hAnsi="Times New Roman" w:eastAsia="Times New Roman" w:cs="Times New Roman"/>
          <w:sz w:val="24"/>
          <w:szCs w:val="24"/>
          <w:lang w:eastAsia="zh-CN"/>
        </w:rPr>
      </w:pPr>
      <w:r>
        <w:rPr>
          <w:rFonts w:ascii="Times New Roman" w:hAnsi="Times New Roman" w:cs="Times New Roman"/>
          <w:sz w:val="24"/>
          <w:szCs w:val="24"/>
          <w:lang w:eastAsia="zh-CN"/>
        </w:rPr>
        <w:t>姓名：</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性别：</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年龄：</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pacing w:val="-1"/>
          <w:sz w:val="24"/>
          <w:szCs w:val="24"/>
          <w:lang w:eastAsia="zh-CN"/>
        </w:rPr>
        <w:t>职</w:t>
      </w:r>
      <w:r>
        <w:rPr>
          <w:rFonts w:ascii="Times New Roman" w:hAnsi="Times New Roman" w:cs="Times New Roman"/>
          <w:sz w:val="24"/>
          <w:szCs w:val="24"/>
          <w:lang w:eastAsia="zh-CN"/>
        </w:rPr>
        <w:t>务：</w:t>
      </w:r>
      <w:r>
        <w:rPr>
          <w:rFonts w:ascii="Times New Roman" w:hAnsi="Times New Roman" w:eastAsia="Times New Roman" w:cs="Times New Roman"/>
          <w:sz w:val="24"/>
          <w:szCs w:val="24"/>
          <w:u w:val="single"/>
          <w:lang w:eastAsia="zh-CN"/>
        </w:rPr>
        <w:t xml:space="preserve"> </w:t>
      </w:r>
      <w:r>
        <w:rPr>
          <w:rFonts w:ascii="Times New Roman" w:hAnsi="Times New Roman" w:eastAsia="Times New Roman" w:cs="Times New Roman"/>
          <w:sz w:val="24"/>
          <w:szCs w:val="24"/>
          <w:u w:val="single"/>
          <w:lang w:eastAsia="zh-CN"/>
        </w:rPr>
        <w:tab/>
      </w:r>
    </w:p>
    <w:p w14:paraId="41955BEC">
      <w:pPr>
        <w:pStyle w:val="12"/>
        <w:rPr>
          <w:rFonts w:ascii="Times New Roman" w:hAnsi="Times New Roman" w:cs="Times New Roman"/>
          <w:sz w:val="24"/>
          <w:szCs w:val="24"/>
          <w:lang w:eastAsia="zh-CN"/>
        </w:rPr>
      </w:pPr>
    </w:p>
    <w:p w14:paraId="19F43126">
      <w:pPr>
        <w:pStyle w:val="12"/>
        <w:spacing w:before="10"/>
        <w:rPr>
          <w:rFonts w:ascii="Times New Roman" w:hAnsi="Times New Roman" w:cs="Times New Roman"/>
          <w:sz w:val="24"/>
          <w:szCs w:val="24"/>
          <w:lang w:eastAsia="zh-CN"/>
        </w:rPr>
      </w:pPr>
    </w:p>
    <w:p w14:paraId="480E2C10">
      <w:pPr>
        <w:pStyle w:val="12"/>
        <w:tabs>
          <w:tab w:val="left" w:pos="1981"/>
        </w:tabs>
        <w:spacing w:before="74"/>
        <w:ind w:left="541"/>
        <w:rPr>
          <w:rFonts w:ascii="Times New Roman" w:hAnsi="Times New Roman" w:cs="Times New Roman"/>
          <w:sz w:val="24"/>
          <w:szCs w:val="24"/>
          <w:lang w:eastAsia="zh-CN"/>
        </w:rPr>
      </w:pPr>
      <w:r>
        <w:rPr>
          <w:rFonts w:ascii="Times New Roman" w:hAnsi="Times New Roman" w:cs="Times New Roman"/>
          <w:sz w:val="24"/>
          <w:szCs w:val="24"/>
          <w:lang w:eastAsia="zh-CN"/>
        </w:rPr>
        <w:t>系</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（供应商名称）的法定代表人（单位负责人）。</w:t>
      </w:r>
    </w:p>
    <w:p w14:paraId="62BD308F">
      <w:pPr>
        <w:pStyle w:val="12"/>
        <w:rPr>
          <w:rFonts w:ascii="Times New Roman" w:hAnsi="Times New Roman" w:cs="Times New Roman"/>
          <w:sz w:val="24"/>
          <w:szCs w:val="24"/>
          <w:lang w:eastAsia="zh-CN"/>
        </w:rPr>
      </w:pPr>
    </w:p>
    <w:p w14:paraId="0EFCDA7C">
      <w:pPr>
        <w:pStyle w:val="12"/>
        <w:rPr>
          <w:rFonts w:ascii="Times New Roman" w:hAnsi="Times New Roman" w:cs="Times New Roman"/>
          <w:sz w:val="24"/>
          <w:szCs w:val="24"/>
          <w:lang w:eastAsia="zh-CN"/>
        </w:rPr>
      </w:pPr>
    </w:p>
    <w:p w14:paraId="1556762E">
      <w:pPr>
        <w:pStyle w:val="12"/>
        <w:spacing w:before="5"/>
        <w:rPr>
          <w:rFonts w:ascii="Times New Roman" w:hAnsi="Times New Roman" w:cs="Times New Roman"/>
          <w:sz w:val="24"/>
          <w:szCs w:val="24"/>
          <w:lang w:eastAsia="zh-CN"/>
        </w:rPr>
      </w:pPr>
    </w:p>
    <w:p w14:paraId="31007FDB">
      <w:pPr>
        <w:pStyle w:val="12"/>
        <w:ind w:left="541"/>
        <w:rPr>
          <w:rFonts w:ascii="Times New Roman" w:hAnsi="Times New Roman" w:cs="Times New Roman"/>
          <w:sz w:val="24"/>
          <w:szCs w:val="24"/>
          <w:lang w:eastAsia="zh-CN"/>
        </w:rPr>
      </w:pPr>
      <w:r>
        <w:rPr>
          <w:rFonts w:ascii="Times New Roman" w:hAnsi="Times New Roman" w:cs="Times New Roman"/>
          <w:sz w:val="24"/>
          <w:szCs w:val="24"/>
          <w:lang w:eastAsia="zh-CN"/>
        </w:rPr>
        <w:t>附：法定代表人（单位负责人）身份证（非中国国籍提供护照）等身份证明文件电子件：</w:t>
      </w:r>
    </w:p>
    <w:p w14:paraId="7B35B06C">
      <w:pPr>
        <w:pStyle w:val="12"/>
        <w:rPr>
          <w:rFonts w:ascii="Times New Roman" w:hAnsi="Times New Roman" w:cs="Times New Roman"/>
          <w:sz w:val="24"/>
          <w:szCs w:val="24"/>
          <w:lang w:eastAsia="zh-CN"/>
        </w:rPr>
      </w:pPr>
    </w:p>
    <w:p w14:paraId="55BE2475">
      <w:pPr>
        <w:pStyle w:val="12"/>
        <w:spacing w:before="5"/>
        <w:rPr>
          <w:rFonts w:ascii="Times New Roman" w:hAnsi="Times New Roman" w:cs="Times New Roman"/>
          <w:sz w:val="24"/>
          <w:szCs w:val="24"/>
          <w:lang w:eastAsia="zh-CN"/>
        </w:rPr>
      </w:pPr>
      <w:r>
        <w:rPr>
          <w:rFonts w:ascii="Times New Roman" w:hAnsi="Times New Roman" w:cs="Times New Roman"/>
          <w:sz w:val="24"/>
          <w:szCs w:val="24"/>
        </w:rPr>
        <mc:AlternateContent>
          <mc:Choice Requires="wpg">
            <w:drawing>
              <wp:anchor distT="0" distB="0" distL="114300" distR="114300" simplePos="0" relativeHeight="251665408" behindDoc="1" locked="0" layoutInCell="1" allowOverlap="1">
                <wp:simplePos x="0" y="0"/>
                <wp:positionH relativeFrom="page">
                  <wp:posOffset>1008380</wp:posOffset>
                </wp:positionH>
                <wp:positionV relativeFrom="paragraph">
                  <wp:posOffset>121285</wp:posOffset>
                </wp:positionV>
                <wp:extent cx="5761355" cy="1452245"/>
                <wp:effectExtent l="1270" t="1905" r="9525" b="12700"/>
                <wp:wrapTopAndBottom/>
                <wp:docPr id="13" name="组合 13"/>
                <wp:cNvGraphicFramePr/>
                <a:graphic xmlns:a="http://schemas.openxmlformats.org/drawingml/2006/main">
                  <a:graphicData uri="http://schemas.microsoft.com/office/word/2010/wordprocessingGroup">
                    <wpg:wgp>
                      <wpg:cNvGrpSpPr/>
                      <wpg:grpSpPr>
                        <a:xfrm>
                          <a:off x="0" y="0"/>
                          <a:ext cx="5761355" cy="1452245"/>
                          <a:chOff x="1588" y="191"/>
                          <a:chExt cx="9073" cy="2287"/>
                        </a:xfrm>
                      </wpg:grpSpPr>
                      <wps:wsp>
                        <wps:cNvPr id="9" name="直接连接符 9"/>
                        <wps:cNvCnPr/>
                        <wps:spPr>
                          <a:xfrm>
                            <a:off x="1588" y="195"/>
                            <a:ext cx="9072" cy="0"/>
                          </a:xfrm>
                          <a:prstGeom prst="line">
                            <a:avLst/>
                          </a:prstGeom>
                          <a:ln w="6096" cap="flat" cmpd="sng">
                            <a:solidFill>
                              <a:srgbClr val="000000"/>
                            </a:solidFill>
                            <a:prstDash val="solid"/>
                            <a:headEnd type="none" w="med" len="med"/>
                            <a:tailEnd type="none" w="med" len="med"/>
                          </a:ln>
                        </wps:spPr>
                        <wps:bodyPr upright="1"/>
                      </wps:wsp>
                      <wps:wsp>
                        <wps:cNvPr id="10" name="直接连接符 10"/>
                        <wps:cNvCnPr/>
                        <wps:spPr>
                          <a:xfrm>
                            <a:off x="1588" y="2472"/>
                            <a:ext cx="9072" cy="0"/>
                          </a:xfrm>
                          <a:prstGeom prst="line">
                            <a:avLst/>
                          </a:prstGeom>
                          <a:ln w="6096" cap="flat" cmpd="sng">
                            <a:solidFill>
                              <a:srgbClr val="000000"/>
                            </a:solidFill>
                            <a:prstDash val="solid"/>
                            <a:headEnd type="none" w="med" len="med"/>
                            <a:tailEnd type="none" w="med" len="med"/>
                          </a:ln>
                        </wps:spPr>
                        <wps:bodyPr upright="1"/>
                      </wps:wsp>
                      <wps:wsp>
                        <wps:cNvPr id="11" name="直接连接符 11"/>
                        <wps:cNvCnPr/>
                        <wps:spPr>
                          <a:xfrm>
                            <a:off x="1593" y="191"/>
                            <a:ext cx="0" cy="2277"/>
                          </a:xfrm>
                          <a:prstGeom prst="line">
                            <a:avLst/>
                          </a:prstGeom>
                          <a:ln w="6096" cap="flat" cmpd="sng">
                            <a:solidFill>
                              <a:srgbClr val="000000"/>
                            </a:solidFill>
                            <a:prstDash val="solid"/>
                            <a:headEnd type="none" w="med" len="med"/>
                            <a:tailEnd type="none" w="med" len="med"/>
                          </a:ln>
                        </wps:spPr>
                        <wps:bodyPr upright="1"/>
                      </wps:wsp>
                      <wps:wsp>
                        <wps:cNvPr id="12" name="直接连接符 12"/>
                        <wps:cNvCnPr/>
                        <wps:spPr>
                          <a:xfrm>
                            <a:off x="10655" y="191"/>
                            <a:ext cx="0" cy="2277"/>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79.4pt;margin-top:9.55pt;height:114.35pt;width:453.65pt;mso-position-horizontal-relative:page;mso-wrap-distance-bottom:0pt;mso-wrap-distance-top:0pt;z-index:-251651072;mso-width-relative:page;mso-height-relative:page;" coordorigin="1588,191" coordsize="9073,2287" o:gfxdata="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OpGui3aAAAACwEAAA8AAAAAAAAAAQAgAAAAIgAAAGRycy9kb3ducmV2LnhtbFBLAQIUABQAAAAI&#10;AIdO4kBdYGV4zwIAADgLAAAOAAAAAAAAAAEAIAAAACkBAABkcnMvZTJvRG9jLnhtbFBLBQYAAAAA&#10;BgAGAFkBAABqBgAAAAA=&#10;">
                <o:lock v:ext="edit" aspectratio="f"/>
                <v:line id="_x0000_s1026" o:spid="_x0000_s1026" o:spt="20" style="position:absolute;left:1588;top:195;height:0;width:9072;"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_x0000_s1026" o:spid="_x0000_s1026" o:spt="20" style="position:absolute;left:1588;top:2472;height:0;width:9072;"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_x0000_s1026" o:spid="_x0000_s1026" o:spt="20" style="position:absolute;left:1593;top:191;height:2277;width:0;"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_x0000_s1026" o:spid="_x0000_s1026" o:spt="20" style="position:absolute;left:10655;top:191;height:2277;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7A8974D7">
      <w:pPr>
        <w:pStyle w:val="12"/>
        <w:rPr>
          <w:rFonts w:ascii="Times New Roman" w:hAnsi="Times New Roman" w:cs="Times New Roman"/>
          <w:sz w:val="24"/>
          <w:szCs w:val="24"/>
          <w:lang w:eastAsia="zh-CN"/>
        </w:rPr>
      </w:pPr>
    </w:p>
    <w:p w14:paraId="0654623B">
      <w:pPr>
        <w:pStyle w:val="12"/>
        <w:rPr>
          <w:rFonts w:ascii="Times New Roman" w:hAnsi="Times New Roman" w:cs="Times New Roman"/>
          <w:sz w:val="24"/>
          <w:szCs w:val="24"/>
          <w:lang w:eastAsia="zh-CN"/>
        </w:rPr>
      </w:pPr>
    </w:p>
    <w:p w14:paraId="6E492A4D">
      <w:pPr>
        <w:pStyle w:val="12"/>
        <w:spacing w:before="4"/>
        <w:rPr>
          <w:rFonts w:ascii="Times New Roman" w:hAnsi="Times New Roman" w:cs="Times New Roman"/>
          <w:sz w:val="24"/>
          <w:szCs w:val="24"/>
          <w:lang w:eastAsia="zh-CN"/>
        </w:rPr>
      </w:pPr>
    </w:p>
    <w:p w14:paraId="07E8C702">
      <w:pPr>
        <w:pStyle w:val="12"/>
        <w:tabs>
          <w:tab w:val="left" w:pos="4074"/>
        </w:tabs>
        <w:ind w:left="541"/>
        <w:rPr>
          <w:rFonts w:ascii="Times New Roman" w:hAnsi="Times New Roman" w:eastAsia="Times New Roman" w:cs="Times New Roman"/>
          <w:sz w:val="24"/>
          <w:szCs w:val="24"/>
          <w:lang w:eastAsia="zh-CN"/>
        </w:rPr>
      </w:pPr>
      <w:r>
        <w:rPr>
          <w:rFonts w:ascii="Times New Roman" w:hAnsi="Times New Roman" w:cs="Times New Roman"/>
          <w:sz w:val="24"/>
          <w:szCs w:val="24"/>
          <w:lang w:eastAsia="zh-CN"/>
        </w:rPr>
        <w:t>供应商名称（加盖公章）：</w:t>
      </w:r>
      <w:r>
        <w:rPr>
          <w:rFonts w:ascii="Times New Roman" w:hAnsi="Times New Roman" w:eastAsia="Times New Roman" w:cs="Times New Roman"/>
          <w:sz w:val="24"/>
          <w:szCs w:val="24"/>
          <w:u w:val="single"/>
          <w:lang w:eastAsia="zh-CN"/>
        </w:rPr>
        <w:t xml:space="preserve"> </w:t>
      </w:r>
      <w:r>
        <w:rPr>
          <w:rFonts w:ascii="Times New Roman" w:hAnsi="Times New Roman" w:eastAsia="Times New Roman" w:cs="Times New Roman"/>
          <w:sz w:val="24"/>
          <w:szCs w:val="24"/>
          <w:u w:val="single"/>
          <w:lang w:eastAsia="zh-CN"/>
        </w:rPr>
        <w:tab/>
      </w:r>
    </w:p>
    <w:p w14:paraId="08275519">
      <w:pPr>
        <w:pStyle w:val="12"/>
        <w:tabs>
          <w:tab w:val="left" w:pos="1741"/>
          <w:tab w:val="left" w:pos="2461"/>
          <w:tab w:val="left" w:pos="3181"/>
          <w:tab w:val="left" w:pos="5807"/>
        </w:tabs>
        <w:spacing w:before="158" w:line="364" w:lineRule="auto"/>
        <w:ind w:left="541" w:right="4377"/>
        <w:rPr>
          <w:rFonts w:ascii="Times New Roman" w:hAnsi="Times New Roman" w:cs="Times New Roman"/>
          <w:sz w:val="24"/>
          <w:szCs w:val="24"/>
          <w:lang w:eastAsia="zh-CN"/>
        </w:rPr>
      </w:pPr>
      <w:r>
        <w:rPr>
          <w:rFonts w:ascii="Times New Roman" w:hAnsi="Times New Roman" w:cs="Times New Roman"/>
          <w:sz w:val="24"/>
          <w:szCs w:val="24"/>
          <w:lang w:eastAsia="zh-CN"/>
        </w:rPr>
        <w:t>法定代表人（单位负责人）（签字或签章）：</w:t>
      </w:r>
      <w:r>
        <w:rPr>
          <w:rFonts w:ascii="Times New Roman" w:hAnsi="Times New Roman" w:eastAsia="Times New Roman" w:cs="Times New Roman"/>
          <w:sz w:val="24"/>
          <w:szCs w:val="24"/>
          <w:u w:val="single"/>
          <w:lang w:eastAsia="zh-CN"/>
        </w:rPr>
        <w:t xml:space="preserve"> </w:t>
      </w:r>
      <w:r>
        <w:rPr>
          <w:rFonts w:hint="eastAsia" w:ascii="Times New Roman" w:hAnsi="Times New Roman" w:eastAsia="Times New Roman" w:cs="Times New Roman"/>
          <w:sz w:val="24"/>
          <w:szCs w:val="24"/>
          <w:u w:val="single"/>
          <w:lang w:val="en-US" w:eastAsia="zh-CN"/>
        </w:rPr>
        <w:t xml:space="preserve"> </w:t>
      </w:r>
      <w:r>
        <w:rPr>
          <w:rFonts w:ascii="Times New Roman" w:hAnsi="Times New Roman" w:eastAsia="Times New Roman" w:cs="Times New Roman"/>
          <w:sz w:val="24"/>
          <w:szCs w:val="24"/>
          <w:u w:val="single"/>
          <w:lang w:eastAsia="zh-CN"/>
        </w:rPr>
        <w:tab/>
      </w:r>
      <w:r>
        <w:rPr>
          <w:rFonts w:hint="eastAsia" w:ascii="Times New Roman" w:hAnsi="Times New Roman" w:eastAsia="Times New Roman" w:cs="Times New Roman"/>
          <w:sz w:val="24"/>
          <w:szCs w:val="24"/>
          <w:u w:val="single"/>
          <w:lang w:val="en-US" w:eastAsia="zh-CN"/>
        </w:rPr>
        <w:t xml:space="preserve">  </w:t>
      </w:r>
      <w:r>
        <w:rPr>
          <w:rFonts w:ascii="Times New Roman" w:hAnsi="Times New Roman" w:eastAsia="Times New Roman" w:cs="Times New Roman"/>
          <w:sz w:val="24"/>
          <w:szCs w:val="24"/>
          <w:u w:val="single"/>
          <w:lang w:eastAsia="zh-CN"/>
        </w:rPr>
        <w:t xml:space="preserve"> </w:t>
      </w:r>
      <w:r>
        <w:rPr>
          <w:rFonts w:ascii="Times New Roman" w:hAnsi="Times New Roman" w:cs="Times New Roman"/>
          <w:sz w:val="24"/>
          <w:szCs w:val="24"/>
          <w:lang w:eastAsia="zh-CN"/>
        </w:rPr>
        <w:t>日期：</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年</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月</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日</w:t>
      </w:r>
    </w:p>
    <w:p w14:paraId="78392F59">
      <w:pPr>
        <w:spacing w:line="364" w:lineRule="auto"/>
        <w:rPr>
          <w:rFonts w:ascii="Times New Roman" w:hAnsi="Times New Roman" w:cs="Times New Roman"/>
          <w:sz w:val="24"/>
          <w:szCs w:val="24"/>
          <w:lang w:eastAsia="zh-CN"/>
        </w:rPr>
        <w:sectPr>
          <w:pgSz w:w="11910" w:h="16840"/>
          <w:pgMar w:top="1340" w:right="560" w:bottom="1080" w:left="1160" w:header="879" w:footer="892" w:gutter="0"/>
          <w:cols w:space="720" w:num="1"/>
        </w:sectPr>
      </w:pPr>
    </w:p>
    <w:p w14:paraId="086CFD5C">
      <w:pPr>
        <w:pStyle w:val="3"/>
        <w:spacing w:line="360" w:lineRule="auto"/>
        <w:jc w:val="center"/>
        <w:rPr>
          <w:rFonts w:ascii="宋体" w:hAnsi="宋体" w:cs="宋体"/>
          <w:sz w:val="24"/>
        </w:rPr>
      </w:pPr>
      <w:bookmarkStart w:id="1077" w:name="_Toc21423"/>
      <w:bookmarkStart w:id="1078" w:name="_Toc25945"/>
      <w:bookmarkStart w:id="1079" w:name="_Toc26572"/>
      <w:bookmarkStart w:id="1080" w:name="_Toc4929"/>
      <w:bookmarkStart w:id="1081" w:name="_Toc24933"/>
      <w:bookmarkStart w:id="1082" w:name="_Toc15381"/>
      <w:bookmarkStart w:id="1083" w:name="_Toc8841"/>
      <w:bookmarkStart w:id="1084" w:name="_Toc323"/>
      <w:r>
        <w:rPr>
          <w:rFonts w:hint="eastAsia" w:ascii="宋体" w:hAnsi="宋体" w:cs="宋体"/>
          <w:sz w:val="28"/>
          <w:szCs w:val="28"/>
        </w:rPr>
        <w:t>授权委托书</w:t>
      </w:r>
      <w:bookmarkEnd w:id="1077"/>
      <w:bookmarkEnd w:id="1078"/>
      <w:bookmarkEnd w:id="1079"/>
      <w:bookmarkEnd w:id="1080"/>
      <w:bookmarkEnd w:id="1081"/>
      <w:bookmarkEnd w:id="1082"/>
      <w:bookmarkEnd w:id="1083"/>
      <w:bookmarkEnd w:id="1084"/>
    </w:p>
    <w:p w14:paraId="013C4D60">
      <w:pPr>
        <w:pStyle w:val="12"/>
        <w:tabs>
          <w:tab w:val="left" w:pos="1883"/>
          <w:tab w:val="left" w:pos="3486"/>
          <w:tab w:val="left" w:pos="9666"/>
        </w:tabs>
        <w:spacing w:before="75"/>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（姓名</w:t>
      </w:r>
      <w:r>
        <w:rPr>
          <w:rFonts w:hint="eastAsia" w:ascii="宋体" w:hAnsi="宋体" w:eastAsia="宋体" w:cs="宋体"/>
          <w:spacing w:val="-39"/>
          <w:sz w:val="24"/>
          <w:szCs w:val="24"/>
          <w:lang w:eastAsia="zh-CN"/>
        </w:rPr>
        <w:t>）</w:t>
      </w:r>
      <w:r>
        <w:rPr>
          <w:rFonts w:hint="eastAsia" w:ascii="宋体" w:hAnsi="宋体" w:eastAsia="宋体" w:cs="宋体"/>
          <w:sz w:val="24"/>
          <w:szCs w:val="24"/>
          <w:lang w:eastAsia="zh-CN"/>
        </w:rPr>
        <w:t>系</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pacing w:val="-1"/>
          <w:sz w:val="24"/>
          <w:szCs w:val="24"/>
          <w:lang w:eastAsia="zh-CN"/>
        </w:rPr>
        <w:t>（</w:t>
      </w:r>
      <w:r>
        <w:rPr>
          <w:rFonts w:hint="eastAsia" w:ascii="宋体" w:hAnsi="宋体" w:eastAsia="宋体" w:cs="宋体"/>
          <w:sz w:val="24"/>
          <w:szCs w:val="24"/>
          <w:lang w:eastAsia="zh-CN"/>
        </w:rPr>
        <w:t>供应商名称</w:t>
      </w:r>
      <w:r>
        <w:rPr>
          <w:rFonts w:hint="eastAsia" w:ascii="宋体" w:hAnsi="宋体" w:eastAsia="宋体" w:cs="宋体"/>
          <w:spacing w:val="-39"/>
          <w:sz w:val="24"/>
          <w:szCs w:val="24"/>
          <w:lang w:eastAsia="zh-CN"/>
        </w:rPr>
        <w:t>）</w:t>
      </w:r>
      <w:r>
        <w:rPr>
          <w:rFonts w:hint="eastAsia" w:ascii="宋体" w:hAnsi="宋体" w:eastAsia="宋体" w:cs="宋体"/>
          <w:sz w:val="24"/>
          <w:szCs w:val="24"/>
          <w:lang w:eastAsia="zh-CN"/>
        </w:rPr>
        <w:t>的法定代表</w:t>
      </w:r>
      <w:r>
        <w:rPr>
          <w:rFonts w:hint="eastAsia" w:ascii="宋体" w:hAnsi="宋体" w:eastAsia="宋体" w:cs="宋体"/>
          <w:spacing w:val="-36"/>
          <w:sz w:val="24"/>
          <w:szCs w:val="24"/>
          <w:lang w:eastAsia="zh-CN"/>
        </w:rPr>
        <w:t>人</w:t>
      </w:r>
      <w:r>
        <w:rPr>
          <w:rFonts w:hint="eastAsia" w:ascii="宋体" w:hAnsi="宋体" w:eastAsia="宋体" w:cs="宋体"/>
          <w:sz w:val="24"/>
          <w:szCs w:val="24"/>
          <w:lang w:eastAsia="zh-CN"/>
        </w:rPr>
        <w:t>（单位负责人</w:t>
      </w:r>
      <w:r>
        <w:rPr>
          <w:rFonts w:hint="eastAsia" w:ascii="宋体" w:hAnsi="宋体" w:eastAsia="宋体" w:cs="宋体"/>
          <w:spacing w:val="-80"/>
          <w:sz w:val="24"/>
          <w:szCs w:val="24"/>
          <w:lang w:eastAsia="zh-CN"/>
        </w:rPr>
        <w:t>），</w:t>
      </w:r>
      <w:r>
        <w:rPr>
          <w:rFonts w:hint="eastAsia" w:ascii="宋体" w:hAnsi="宋体" w:eastAsia="宋体" w:cs="宋体"/>
          <w:sz w:val="24"/>
          <w:szCs w:val="24"/>
          <w:lang w:eastAsia="zh-CN"/>
        </w:rPr>
        <w:t>现委托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p>
    <w:p w14:paraId="69F95AC5">
      <w:pPr>
        <w:pStyle w:val="12"/>
        <w:tabs>
          <w:tab w:val="left" w:pos="1501"/>
        </w:tabs>
        <w:spacing w:before="159" w:line="362" w:lineRule="auto"/>
        <w:ind w:right="522"/>
        <w:rPr>
          <w:rFonts w:hint="eastAsia" w:ascii="宋体" w:hAnsi="宋体" w:eastAsia="宋体" w:cs="宋体"/>
          <w:sz w:val="24"/>
          <w:szCs w:val="24"/>
          <w:lang w:eastAsia="zh-CN"/>
        </w:rPr>
      </w:pPr>
      <w:r>
        <w:rPr>
          <w:rFonts w:hint="eastAsia" w:ascii="宋体" w:hAnsi="宋体" w:eastAsia="宋体" w:cs="宋体"/>
          <w:sz w:val="24"/>
          <w:szCs w:val="24"/>
          <w:lang w:eastAsia="zh-CN"/>
        </w:rPr>
        <w:t>（姓名）为我方代理人。代理人根据授权，以我方名义签署、澄清确认、提交、撤回</w:t>
      </w:r>
      <w:r>
        <w:rPr>
          <w:rFonts w:hint="eastAsia" w:ascii="宋体" w:hAnsi="宋体" w:eastAsia="宋体" w:cs="宋体"/>
          <w:spacing w:val="-16"/>
          <w:sz w:val="24"/>
          <w:szCs w:val="24"/>
          <w:lang w:eastAsia="zh-CN"/>
        </w:rPr>
        <w:t>、</w:t>
      </w:r>
      <w:r>
        <w:rPr>
          <w:rFonts w:hint="eastAsia" w:ascii="宋体" w:hAnsi="宋体" w:eastAsia="宋体" w:cs="宋体"/>
          <w:sz w:val="24"/>
          <w:szCs w:val="24"/>
          <w:lang w:eastAsia="zh-CN"/>
        </w:rPr>
        <w:t>修改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（项目名称）响应文件和处理有关事宜，其法律后果由我方承担。委托期限：自本授权委托书签署之日起至响应有效期届满之日止。代理人无转委托权。</w:t>
      </w:r>
    </w:p>
    <w:p w14:paraId="1E1C3077">
      <w:pPr>
        <w:pStyle w:val="12"/>
        <w:spacing w:before="2"/>
        <w:rPr>
          <w:rFonts w:hint="eastAsia" w:ascii="宋体" w:hAnsi="宋体" w:eastAsia="宋体" w:cs="宋体"/>
          <w:sz w:val="24"/>
          <w:szCs w:val="24"/>
          <w:lang w:eastAsia="zh-CN"/>
        </w:rPr>
      </w:pPr>
    </w:p>
    <w:p w14:paraId="3A7BF7E2">
      <w:pPr>
        <w:pStyle w:val="12"/>
        <w:keepNext w:val="0"/>
        <w:keepLines w:val="0"/>
        <w:pageBreakBefore w:val="0"/>
        <w:widowControl w:val="0"/>
        <w:tabs>
          <w:tab w:val="left" w:pos="5034"/>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供应商名称（加盖公章）：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p>
    <w:p w14:paraId="3524F755">
      <w:pPr>
        <w:pStyle w:val="12"/>
        <w:keepNext w:val="0"/>
        <w:keepLines w:val="0"/>
        <w:pageBreakBefore w:val="0"/>
        <w:widowControl w:val="0"/>
        <w:tabs>
          <w:tab w:val="left" w:pos="5274"/>
          <w:tab w:val="left" w:pos="6834"/>
        </w:tabs>
        <w:kinsoku/>
        <w:wordWrap/>
        <w:overflowPunct/>
        <w:topLinePunct w:val="0"/>
        <w:autoSpaceDE w:val="0"/>
        <w:autoSpaceDN w:val="0"/>
        <w:bidi w:val="0"/>
        <w:adjustRightInd/>
        <w:snapToGrid/>
        <w:spacing w:line="360" w:lineRule="auto"/>
        <w:ind w:left="0" w:right="0"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lang w:eastAsia="zh-CN"/>
        </w:rPr>
        <w:t>法定代表人（单位负责人）（签字或签章）：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p>
    <w:p w14:paraId="40E16AD9">
      <w:pPr>
        <w:pStyle w:val="12"/>
        <w:keepNext w:val="0"/>
        <w:keepLines w:val="0"/>
        <w:pageBreakBefore w:val="0"/>
        <w:widowControl w:val="0"/>
        <w:tabs>
          <w:tab w:val="left" w:pos="5274"/>
          <w:tab w:val="left" w:pos="6834"/>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委托代理人（签字或签章）：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p>
    <w:p w14:paraId="22CCE731">
      <w:pPr>
        <w:pStyle w:val="12"/>
        <w:keepNext w:val="0"/>
        <w:keepLines w:val="0"/>
        <w:pageBreakBefore w:val="0"/>
        <w:widowControl w:val="0"/>
        <w:tabs>
          <w:tab w:val="left" w:pos="1741"/>
          <w:tab w:val="left" w:pos="2461"/>
          <w:tab w:val="left" w:pos="3181"/>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p>
    <w:p w14:paraId="29CE0CE8">
      <w:pPr>
        <w:pStyle w:val="12"/>
        <w:rPr>
          <w:rFonts w:hint="eastAsia" w:ascii="宋体" w:hAnsi="宋体" w:eastAsia="宋体" w:cs="宋体"/>
          <w:sz w:val="24"/>
          <w:szCs w:val="24"/>
          <w:lang w:eastAsia="zh-CN"/>
        </w:rPr>
      </w:pPr>
    </w:p>
    <w:p w14:paraId="60D1EC68">
      <w:pPr>
        <w:pStyle w:val="12"/>
        <w:spacing w:before="1"/>
        <w:rPr>
          <w:rFonts w:hint="eastAsia" w:ascii="宋体" w:hAnsi="宋体" w:eastAsia="宋体" w:cs="宋体"/>
          <w:sz w:val="24"/>
          <w:szCs w:val="24"/>
          <w:lang w:eastAsia="zh-CN"/>
        </w:rPr>
      </w:pPr>
    </w:p>
    <w:p w14:paraId="70674099">
      <w:pPr>
        <w:pStyle w:val="12"/>
        <w:ind w:left="541"/>
        <w:rPr>
          <w:rFonts w:hint="eastAsia" w:ascii="宋体" w:hAnsi="宋体" w:eastAsia="宋体" w:cs="宋体"/>
          <w:sz w:val="24"/>
          <w:szCs w:val="24"/>
          <w:lang w:eastAsia="zh-CN"/>
        </w:rPr>
      </w:pPr>
      <w:r>
        <w:rPr>
          <w:rFonts w:hint="eastAsia" w:ascii="宋体" w:hAnsi="宋体" w:eastAsia="宋体" w:cs="宋体"/>
          <w:sz w:val="24"/>
          <w:szCs w:val="24"/>
          <w:lang w:eastAsia="zh-CN"/>
        </w:rPr>
        <w:t>附：法定代表人及委托代理人身份证明文件电子件：</w:t>
      </w:r>
    </w:p>
    <w:p w14:paraId="44262039">
      <w:pPr>
        <w:pStyle w:val="12"/>
        <w:spacing w:before="12"/>
        <w:rPr>
          <w:rFonts w:hint="eastAsia" w:ascii="宋体" w:hAnsi="宋体" w:eastAsia="宋体" w:cs="宋体"/>
          <w:sz w:val="24"/>
          <w:szCs w:val="24"/>
          <w:lang w:eastAsia="zh-CN"/>
        </w:rPr>
      </w:pPr>
      <w:r>
        <w:rPr>
          <w:rFonts w:hint="eastAsia" w:ascii="宋体" w:hAnsi="宋体" w:eastAsia="宋体" w:cs="宋体"/>
          <w:sz w:val="24"/>
          <w:szCs w:val="24"/>
        </w:rPr>
        <mc:AlternateContent>
          <mc:Choice Requires="wpg">
            <w:drawing>
              <wp:anchor distT="0" distB="0" distL="114300" distR="114300" simplePos="0" relativeHeight="251664384" behindDoc="1" locked="0" layoutInCell="1" allowOverlap="1">
                <wp:simplePos x="0" y="0"/>
                <wp:positionH relativeFrom="page">
                  <wp:posOffset>1008380</wp:posOffset>
                </wp:positionH>
                <wp:positionV relativeFrom="paragraph">
                  <wp:posOffset>100965</wp:posOffset>
                </wp:positionV>
                <wp:extent cx="5274945" cy="1504315"/>
                <wp:effectExtent l="1270" t="1905" r="19685" b="17780"/>
                <wp:wrapTopAndBottom/>
                <wp:docPr id="8" name="组合 8"/>
                <wp:cNvGraphicFramePr/>
                <a:graphic xmlns:a="http://schemas.openxmlformats.org/drawingml/2006/main">
                  <a:graphicData uri="http://schemas.microsoft.com/office/word/2010/wordprocessingGroup">
                    <wpg:wgp>
                      <wpg:cNvGrpSpPr/>
                      <wpg:grpSpPr>
                        <a:xfrm>
                          <a:off x="0" y="0"/>
                          <a:ext cx="5274945" cy="1504315"/>
                          <a:chOff x="1588" y="159"/>
                          <a:chExt cx="8307" cy="2369"/>
                        </a:xfrm>
                      </wpg:grpSpPr>
                      <wps:wsp>
                        <wps:cNvPr id="4" name="直接连接符 4"/>
                        <wps:cNvCnPr/>
                        <wps:spPr>
                          <a:xfrm>
                            <a:off x="1588" y="163"/>
                            <a:ext cx="8306" cy="0"/>
                          </a:xfrm>
                          <a:prstGeom prst="line">
                            <a:avLst/>
                          </a:prstGeom>
                          <a:ln w="6096" cap="flat" cmpd="sng">
                            <a:solidFill>
                              <a:srgbClr val="000000"/>
                            </a:solidFill>
                            <a:prstDash val="solid"/>
                            <a:headEnd type="none" w="med" len="med"/>
                            <a:tailEnd type="none" w="med" len="med"/>
                          </a:ln>
                        </wps:spPr>
                        <wps:bodyPr upright="1"/>
                      </wps:wsp>
                      <wps:wsp>
                        <wps:cNvPr id="5" name="直接连接符 5"/>
                        <wps:cNvCnPr/>
                        <wps:spPr>
                          <a:xfrm>
                            <a:off x="1588" y="2522"/>
                            <a:ext cx="8306" cy="0"/>
                          </a:xfrm>
                          <a:prstGeom prst="line">
                            <a:avLst/>
                          </a:prstGeom>
                          <a:ln w="6096" cap="flat" cmpd="sng">
                            <a:solidFill>
                              <a:srgbClr val="000000"/>
                            </a:solidFill>
                            <a:prstDash val="solid"/>
                            <a:headEnd type="none" w="med" len="med"/>
                            <a:tailEnd type="none" w="med" len="med"/>
                          </a:ln>
                        </wps:spPr>
                        <wps:bodyPr upright="1"/>
                      </wps:wsp>
                      <wps:wsp>
                        <wps:cNvPr id="6" name="直接连接符 6"/>
                        <wps:cNvCnPr/>
                        <wps:spPr>
                          <a:xfrm>
                            <a:off x="1593" y="159"/>
                            <a:ext cx="0" cy="2359"/>
                          </a:xfrm>
                          <a:prstGeom prst="line">
                            <a:avLst/>
                          </a:prstGeom>
                          <a:ln w="6096" cap="flat" cmpd="sng">
                            <a:solidFill>
                              <a:srgbClr val="000000"/>
                            </a:solidFill>
                            <a:prstDash val="solid"/>
                            <a:headEnd type="none" w="med" len="med"/>
                            <a:tailEnd type="none" w="med" len="med"/>
                          </a:ln>
                        </wps:spPr>
                        <wps:bodyPr upright="1"/>
                      </wps:wsp>
                      <wps:wsp>
                        <wps:cNvPr id="7" name="直接连接符 7"/>
                        <wps:cNvCnPr/>
                        <wps:spPr>
                          <a:xfrm>
                            <a:off x="9889" y="159"/>
                            <a:ext cx="0" cy="2359"/>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79.4pt;margin-top:7.95pt;height:118.45pt;width:415.35pt;mso-position-horizontal-relative:page;mso-wrap-distance-bottom:0pt;mso-wrap-distance-top:0pt;z-index:-251652096;mso-width-relative:page;mso-height-relative:page;" coordorigin="1588,159" coordsize="8307,2369" o:gfxdata="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Oxhin/ZAAAACgEAAA8AAAAAAAAAAQAgAAAAIgAAAGRycy9kb3ducmV2LnhtbFBLAQIUABQAAAAI&#10;AIdO4kA8Hkcl0AIAAC8LAAAOAAAAAAAAAAEAIAAAACgBAABkcnMvZTJvRG9jLnhtbFBLBQYAAAAA&#10;BgAGAFkBAABqBgAAAAA=&#10;">
                <o:lock v:ext="edit" aspectratio="f"/>
                <v:line id="_x0000_s1026" o:spid="_x0000_s1026" o:spt="20" style="position:absolute;left:1588;top:163;height:0;width:8306;" filled="f" stroked="t" coordsize="21600,21600" o:gfxdata="UEsDBAoAAAAAAIdO4kAAAAAAAAAAAAAAAAAEAAAAZHJzL1BLAwQUAAAACACHTuJA2BnJkbwAAADa&#10;AAAADwAAAGRycy9kb3ducmV2LnhtbEWPQYvCMBSE74L/ITzBm6aK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ZyZG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_x0000_s1026" o:spid="_x0000_s1026" o:spt="20" style="position:absolute;left:1588;top:2522;height:0;width:8306;"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_x0000_s1026" o:spid="_x0000_s1026" o:spt="20" style="position:absolute;left:1593;top:159;height:2359;width:0;"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_x0000_s1026" o:spid="_x0000_s1026" o:spt="20" style="position:absolute;left:9889;top:159;height:2359;width:0;" filled="f" stroked="t" coordsize="21600,21600" o:gfxdata="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1fm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14:paraId="05AF0141">
      <w:pPr>
        <w:pStyle w:val="12"/>
        <w:spacing w:line="281" w:lineRule="exact"/>
        <w:ind w:left="541"/>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说明：</w:t>
      </w:r>
    </w:p>
    <w:p w14:paraId="25CFC639">
      <w:pPr>
        <w:pStyle w:val="65"/>
        <w:numPr>
          <w:ilvl w:val="0"/>
          <w:numId w:val="0"/>
        </w:numPr>
        <w:tabs>
          <w:tab w:val="left" w:pos="771"/>
        </w:tabs>
        <w:spacing w:before="158" w:line="364" w:lineRule="auto"/>
        <w:ind w:leftChars="200" w:right="570" w:rightChars="0" w:firstLine="472" w:firstLineChars="200"/>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1.若供应商为事业单位或其他组织或分支机构，则法定代表人（单位负责人）处的签署人可为单位负责人。</w:t>
      </w:r>
    </w:p>
    <w:p w14:paraId="2EF4479C">
      <w:pPr>
        <w:pStyle w:val="65"/>
        <w:numPr>
          <w:ilvl w:val="0"/>
          <w:numId w:val="0"/>
        </w:numPr>
        <w:tabs>
          <w:tab w:val="left" w:pos="771"/>
        </w:tabs>
        <w:spacing w:line="364" w:lineRule="auto"/>
        <w:ind w:leftChars="200" w:right="570" w:rightChars="0" w:firstLine="472" w:firstLineChars="200"/>
        <w:jc w:val="both"/>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2.若响应文件中签字之处均为法定代表人（单位负责人）本人签署，则可不提供本《授权委托书》，但须提供《法定代表人（单位负责人）身份证明》；否则，不需要提供《法定代表人（单位负责人）身份证明》。</w:t>
      </w:r>
    </w:p>
    <w:p w14:paraId="6C6BE969">
      <w:pPr>
        <w:pStyle w:val="65"/>
        <w:numPr>
          <w:ilvl w:val="0"/>
          <w:numId w:val="0"/>
        </w:numPr>
        <w:tabs>
          <w:tab w:val="left" w:pos="771"/>
        </w:tabs>
        <w:spacing w:line="307" w:lineRule="exact"/>
        <w:ind w:leftChars="200" w:firstLine="472" w:firstLineChars="200"/>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3.供应商为自然人的情形，可不提供本《授权委托书》。</w:t>
      </w:r>
    </w:p>
    <w:p w14:paraId="02E654C3">
      <w:pPr>
        <w:pStyle w:val="65"/>
        <w:numPr>
          <w:ilvl w:val="0"/>
          <w:numId w:val="0"/>
        </w:numPr>
        <w:tabs>
          <w:tab w:val="left" w:pos="771"/>
        </w:tabs>
        <w:spacing w:before="159" w:line="364" w:lineRule="auto"/>
        <w:ind w:leftChars="200" w:right="569" w:rightChars="0" w:firstLine="472" w:firstLineChars="200"/>
        <w:jc w:val="both"/>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4.供应商应随本《授权委托书》同时提供法定代表人（单位负责人）及委托代理人的有效的身份证（非中国国籍提供护照）等身份证明文件电子件。提供身份证的，应同时提供身份证双面电子件。</w:t>
      </w:r>
    </w:p>
    <w:p w14:paraId="0BB1EF10">
      <w:pPr>
        <w:spacing w:line="364" w:lineRule="auto"/>
        <w:jc w:val="both"/>
        <w:rPr>
          <w:rFonts w:hint="eastAsia" w:ascii="宋体" w:hAnsi="宋体" w:eastAsia="宋体" w:cs="宋体"/>
          <w:spacing w:val="-2"/>
          <w:sz w:val="24"/>
          <w:szCs w:val="24"/>
          <w:lang w:val="en-US" w:eastAsia="zh-CN" w:bidi="ar-SA"/>
        </w:rPr>
        <w:sectPr>
          <w:pgSz w:w="11910" w:h="16840"/>
          <w:pgMar w:top="1380" w:right="560" w:bottom="280" w:left="1160" w:header="720" w:footer="720" w:gutter="0"/>
          <w:cols w:space="720" w:num="1"/>
        </w:sectPr>
      </w:pPr>
    </w:p>
    <w:bookmarkEnd w:id="1074"/>
    <w:bookmarkEnd w:id="1075"/>
    <w:bookmarkEnd w:id="1076"/>
    <w:p w14:paraId="2BE1FD86">
      <w:pPr>
        <w:pStyle w:val="65"/>
        <w:tabs>
          <w:tab w:val="left" w:pos="1053"/>
        </w:tabs>
        <w:spacing w:before="158"/>
        <w:ind w:firstLine="0" w:firstLineChars="0"/>
        <w:rPr>
          <w:rFonts w:ascii="Times New Roman" w:hAnsi="Times New Roman" w:cs="Times New Roman"/>
          <w:b/>
          <w:bCs/>
          <w:sz w:val="24"/>
          <w:lang w:eastAsia="zh-CN"/>
        </w:rPr>
      </w:pPr>
      <w:r>
        <w:rPr>
          <w:rFonts w:hint="eastAsia" w:ascii="Times New Roman" w:hAnsi="Times New Roman" w:cs="Times New Roman"/>
          <w:b/>
          <w:bCs/>
          <w:sz w:val="24"/>
          <w:lang w:eastAsia="zh-CN"/>
        </w:rPr>
        <w:t>7.报价一览表</w:t>
      </w:r>
    </w:p>
    <w:p w14:paraId="16CB837C">
      <w:pPr>
        <w:pStyle w:val="65"/>
        <w:tabs>
          <w:tab w:val="left" w:pos="1053"/>
        </w:tabs>
        <w:spacing w:before="158" w:line="360" w:lineRule="auto"/>
        <w:ind w:firstLine="0" w:firstLineChars="0"/>
        <w:jc w:val="center"/>
        <w:rPr>
          <w:rFonts w:ascii="Times New Roman" w:hAnsi="Times New Roman" w:cs="Times New Roman"/>
          <w:sz w:val="24"/>
          <w:lang w:eastAsia="zh-CN"/>
        </w:rPr>
      </w:pPr>
      <w:r>
        <w:rPr>
          <w:rFonts w:hint="eastAsia"/>
          <w:b/>
          <w:bCs/>
          <w:sz w:val="32"/>
          <w:szCs w:val="32"/>
        </w:rPr>
        <w:t>报价一览表</w:t>
      </w:r>
    </w:p>
    <w:p w14:paraId="1580C50A">
      <w:pPr>
        <w:adjustRightInd w:val="0"/>
        <w:snapToGrid w:val="0"/>
        <w:ind w:firstLine="480" w:firstLineChars="200"/>
        <w:rPr>
          <w:sz w:val="24"/>
          <w:szCs w:val="24"/>
        </w:rPr>
      </w:pPr>
      <w:r>
        <w:rPr>
          <w:rFonts w:hint="eastAsia"/>
          <w:sz w:val="24"/>
          <w:szCs w:val="24"/>
        </w:rPr>
        <w:t>项目名称：</w:t>
      </w:r>
    </w:p>
    <w:p w14:paraId="46B9EC0C">
      <w:pPr>
        <w:pStyle w:val="12"/>
        <w:spacing w:before="6" w:after="1"/>
        <w:ind w:firstLine="480" w:firstLineChars="200"/>
        <w:rPr>
          <w:rFonts w:hint="eastAsia"/>
          <w:sz w:val="24"/>
          <w:szCs w:val="24"/>
        </w:rPr>
      </w:pPr>
      <w:r>
        <w:rPr>
          <w:rFonts w:hint="eastAsia"/>
          <w:sz w:val="24"/>
          <w:szCs w:val="24"/>
          <w:lang w:eastAsia="zh-CN"/>
        </w:rPr>
        <w:t>招标编号</w:t>
      </w:r>
      <w:r>
        <w:rPr>
          <w:rFonts w:hint="eastAsia"/>
          <w:sz w:val="24"/>
          <w:szCs w:val="24"/>
        </w:rPr>
        <w:t>：</w:t>
      </w:r>
    </w:p>
    <w:tbl>
      <w:tblPr>
        <w:tblStyle w:val="33"/>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
        <w:gridCol w:w="1395"/>
        <w:gridCol w:w="1395"/>
        <w:gridCol w:w="1395"/>
        <w:gridCol w:w="1395"/>
        <w:gridCol w:w="2250"/>
      </w:tblGrid>
      <w:tr w14:paraId="22CC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0" w:type="auto"/>
            <w:vAlign w:val="center"/>
          </w:tcPr>
          <w:p w14:paraId="75E7A711">
            <w:pPr>
              <w:spacing w:line="360" w:lineRule="auto"/>
              <w:jc w:val="center"/>
              <w:rPr>
                <w:b/>
                <w:sz w:val="24"/>
              </w:rPr>
            </w:pPr>
            <w:r>
              <w:rPr>
                <w:rFonts w:hint="eastAsia"/>
                <w:b/>
                <w:sz w:val="24"/>
              </w:rPr>
              <w:t>项目名称</w:t>
            </w:r>
          </w:p>
        </w:tc>
        <w:tc>
          <w:tcPr>
            <w:tcW w:w="0" w:type="auto"/>
            <w:vAlign w:val="center"/>
          </w:tcPr>
          <w:p w14:paraId="470728F8">
            <w:pPr>
              <w:spacing w:line="360" w:lineRule="auto"/>
              <w:jc w:val="center"/>
              <w:rPr>
                <w:b/>
                <w:sz w:val="24"/>
              </w:rPr>
            </w:pPr>
            <w:r>
              <w:rPr>
                <w:rFonts w:hint="eastAsia"/>
                <w:b/>
                <w:sz w:val="24"/>
              </w:rPr>
              <w:t>施工范围</w:t>
            </w:r>
          </w:p>
        </w:tc>
        <w:tc>
          <w:tcPr>
            <w:tcW w:w="0" w:type="auto"/>
            <w:vAlign w:val="center"/>
          </w:tcPr>
          <w:p w14:paraId="3C4726B6">
            <w:pPr>
              <w:spacing w:line="360" w:lineRule="auto"/>
              <w:jc w:val="center"/>
              <w:rPr>
                <w:b/>
                <w:sz w:val="24"/>
              </w:rPr>
            </w:pPr>
            <w:r>
              <w:rPr>
                <w:rFonts w:hint="eastAsia"/>
                <w:b/>
                <w:sz w:val="24"/>
              </w:rPr>
              <w:t>施工工期</w:t>
            </w:r>
          </w:p>
        </w:tc>
        <w:tc>
          <w:tcPr>
            <w:tcW w:w="0" w:type="auto"/>
            <w:vAlign w:val="center"/>
          </w:tcPr>
          <w:p w14:paraId="618AE16D">
            <w:pPr>
              <w:spacing w:line="360" w:lineRule="auto"/>
              <w:jc w:val="center"/>
              <w:rPr>
                <w:b/>
                <w:sz w:val="24"/>
              </w:rPr>
            </w:pPr>
            <w:r>
              <w:rPr>
                <w:rFonts w:hint="eastAsia"/>
                <w:b/>
                <w:sz w:val="24"/>
              </w:rPr>
              <w:t>项目经理</w:t>
            </w:r>
          </w:p>
        </w:tc>
        <w:tc>
          <w:tcPr>
            <w:tcW w:w="0" w:type="auto"/>
            <w:vAlign w:val="center"/>
          </w:tcPr>
          <w:p w14:paraId="0EB7D45D">
            <w:pPr>
              <w:spacing w:line="360" w:lineRule="auto"/>
              <w:jc w:val="center"/>
              <w:rPr>
                <w:rFonts w:hint="eastAsia"/>
                <w:b/>
                <w:sz w:val="24"/>
                <w:lang w:eastAsia="zh-CN"/>
              </w:rPr>
            </w:pPr>
            <w:r>
              <w:rPr>
                <w:rFonts w:hint="eastAsia"/>
                <w:b/>
                <w:sz w:val="24"/>
              </w:rPr>
              <w:t>执业证书</w:t>
            </w:r>
          </w:p>
          <w:p w14:paraId="6953222E">
            <w:pPr>
              <w:spacing w:line="360" w:lineRule="auto"/>
              <w:jc w:val="center"/>
              <w:rPr>
                <w:b/>
                <w:sz w:val="24"/>
              </w:rPr>
            </w:pPr>
            <w:r>
              <w:rPr>
                <w:rFonts w:hint="eastAsia"/>
                <w:b/>
                <w:sz w:val="24"/>
              </w:rPr>
              <w:t>信息</w:t>
            </w:r>
          </w:p>
        </w:tc>
        <w:tc>
          <w:tcPr>
            <w:tcW w:w="0" w:type="auto"/>
            <w:vAlign w:val="center"/>
          </w:tcPr>
          <w:p w14:paraId="47B29777">
            <w:pPr>
              <w:spacing w:line="360" w:lineRule="auto"/>
              <w:jc w:val="center"/>
              <w:rPr>
                <w:b/>
                <w:sz w:val="24"/>
              </w:rPr>
            </w:pPr>
            <w:r>
              <w:rPr>
                <w:rFonts w:hint="eastAsia"/>
                <w:b/>
                <w:sz w:val="24"/>
              </w:rPr>
              <w:t>备注（如果有）</w:t>
            </w:r>
          </w:p>
        </w:tc>
      </w:tr>
      <w:tr w14:paraId="1422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0" w:type="auto"/>
            <w:vAlign w:val="center"/>
          </w:tcPr>
          <w:p w14:paraId="5730F994">
            <w:pPr>
              <w:snapToGrid w:val="0"/>
              <w:spacing w:line="360" w:lineRule="auto"/>
              <w:jc w:val="center"/>
              <w:rPr>
                <w:sz w:val="24"/>
              </w:rPr>
            </w:pPr>
          </w:p>
        </w:tc>
        <w:tc>
          <w:tcPr>
            <w:tcW w:w="0" w:type="auto"/>
            <w:vAlign w:val="center"/>
          </w:tcPr>
          <w:p w14:paraId="7ED315F0">
            <w:pPr>
              <w:snapToGrid w:val="0"/>
              <w:spacing w:line="360" w:lineRule="auto"/>
              <w:jc w:val="center"/>
              <w:rPr>
                <w:sz w:val="24"/>
              </w:rPr>
            </w:pPr>
          </w:p>
        </w:tc>
        <w:tc>
          <w:tcPr>
            <w:tcW w:w="0" w:type="auto"/>
            <w:vAlign w:val="center"/>
          </w:tcPr>
          <w:p w14:paraId="28F2E40F">
            <w:pPr>
              <w:snapToGrid w:val="0"/>
              <w:spacing w:line="360" w:lineRule="auto"/>
              <w:jc w:val="center"/>
              <w:rPr>
                <w:sz w:val="24"/>
              </w:rPr>
            </w:pPr>
          </w:p>
        </w:tc>
        <w:tc>
          <w:tcPr>
            <w:tcW w:w="0" w:type="auto"/>
            <w:vAlign w:val="center"/>
          </w:tcPr>
          <w:p w14:paraId="37A53376">
            <w:pPr>
              <w:spacing w:line="360" w:lineRule="auto"/>
              <w:jc w:val="center"/>
              <w:rPr>
                <w:sz w:val="24"/>
              </w:rPr>
            </w:pPr>
          </w:p>
        </w:tc>
        <w:tc>
          <w:tcPr>
            <w:tcW w:w="0" w:type="auto"/>
            <w:vAlign w:val="center"/>
          </w:tcPr>
          <w:p w14:paraId="5AF760D2">
            <w:pPr>
              <w:spacing w:line="360" w:lineRule="auto"/>
              <w:jc w:val="center"/>
              <w:rPr>
                <w:sz w:val="24"/>
              </w:rPr>
            </w:pPr>
          </w:p>
        </w:tc>
        <w:tc>
          <w:tcPr>
            <w:tcW w:w="0" w:type="auto"/>
            <w:vAlign w:val="center"/>
          </w:tcPr>
          <w:p w14:paraId="64A1BFC2">
            <w:pPr>
              <w:spacing w:line="360" w:lineRule="auto"/>
              <w:jc w:val="center"/>
              <w:rPr>
                <w:sz w:val="24"/>
              </w:rPr>
            </w:pPr>
          </w:p>
        </w:tc>
      </w:tr>
      <w:tr w14:paraId="198D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0" w:type="auto"/>
            <w:gridSpan w:val="3"/>
            <w:vAlign w:val="center"/>
          </w:tcPr>
          <w:p w14:paraId="2EED71E3">
            <w:pPr>
              <w:spacing w:line="360" w:lineRule="auto"/>
              <w:jc w:val="center"/>
              <w:rPr>
                <w:b/>
                <w:sz w:val="24"/>
              </w:rPr>
            </w:pPr>
            <w:r>
              <w:rPr>
                <w:rFonts w:hint="eastAsia"/>
                <w:b/>
                <w:sz w:val="24"/>
              </w:rPr>
              <w:t>磋商报价（小写）</w:t>
            </w:r>
          </w:p>
        </w:tc>
        <w:tc>
          <w:tcPr>
            <w:tcW w:w="0" w:type="auto"/>
            <w:gridSpan w:val="3"/>
            <w:vAlign w:val="center"/>
          </w:tcPr>
          <w:p w14:paraId="7288990B">
            <w:pPr>
              <w:spacing w:line="360" w:lineRule="auto"/>
              <w:jc w:val="center"/>
              <w:rPr>
                <w:sz w:val="24"/>
              </w:rPr>
            </w:pPr>
          </w:p>
        </w:tc>
      </w:tr>
      <w:tr w14:paraId="1B36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0" w:type="auto"/>
            <w:gridSpan w:val="3"/>
            <w:vAlign w:val="center"/>
          </w:tcPr>
          <w:p w14:paraId="1F764EC9">
            <w:pPr>
              <w:spacing w:line="360" w:lineRule="auto"/>
              <w:jc w:val="center"/>
              <w:rPr>
                <w:b/>
                <w:sz w:val="24"/>
              </w:rPr>
            </w:pPr>
            <w:r>
              <w:rPr>
                <w:rFonts w:hint="eastAsia"/>
                <w:b/>
                <w:sz w:val="24"/>
              </w:rPr>
              <w:t>磋商报价（大写）</w:t>
            </w:r>
          </w:p>
        </w:tc>
        <w:tc>
          <w:tcPr>
            <w:tcW w:w="0" w:type="auto"/>
            <w:gridSpan w:val="3"/>
            <w:vAlign w:val="center"/>
          </w:tcPr>
          <w:p w14:paraId="0277CA1D">
            <w:pPr>
              <w:spacing w:line="360" w:lineRule="auto"/>
              <w:jc w:val="center"/>
              <w:rPr>
                <w:sz w:val="24"/>
              </w:rPr>
            </w:pPr>
          </w:p>
        </w:tc>
      </w:tr>
    </w:tbl>
    <w:p w14:paraId="2193896B">
      <w:pPr>
        <w:pStyle w:val="12"/>
        <w:spacing w:before="6" w:after="1"/>
        <w:ind w:firstLine="480" w:firstLineChars="200"/>
        <w:rPr>
          <w:rFonts w:hint="eastAsia"/>
          <w:sz w:val="24"/>
          <w:szCs w:val="24"/>
        </w:rPr>
      </w:pPr>
    </w:p>
    <w:p w14:paraId="23823577">
      <w:pPr>
        <w:rPr>
          <w:lang w:eastAsia="zh-CN"/>
        </w:rPr>
      </w:pPr>
    </w:p>
    <w:p w14:paraId="182270DE">
      <w:pPr>
        <w:pStyle w:val="12"/>
        <w:spacing w:before="3"/>
        <w:rPr>
          <w:rFonts w:ascii="Times New Roman" w:hAnsi="Times New Roman" w:cs="Times New Roman"/>
          <w:sz w:val="17"/>
        </w:rPr>
      </w:pPr>
    </w:p>
    <w:p w14:paraId="1FF27969">
      <w:pPr>
        <w:pStyle w:val="12"/>
        <w:tabs>
          <w:tab w:val="left" w:pos="2101"/>
          <w:tab w:val="left" w:pos="2821"/>
          <w:tab w:val="left" w:pos="3541"/>
          <w:tab w:val="left" w:pos="4434"/>
        </w:tabs>
        <w:spacing w:before="85" w:line="384" w:lineRule="auto"/>
        <w:ind w:left="901" w:right="575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供应商名称（加盖公章）：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p>
    <w:p w14:paraId="6F3099FD">
      <w:pPr>
        <w:pStyle w:val="12"/>
        <w:tabs>
          <w:tab w:val="left" w:pos="2101"/>
          <w:tab w:val="left" w:pos="2821"/>
          <w:tab w:val="left" w:pos="3541"/>
          <w:tab w:val="left" w:pos="4434"/>
        </w:tabs>
        <w:spacing w:before="85" w:line="384" w:lineRule="auto"/>
        <w:ind w:left="901" w:right="5750"/>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p>
    <w:p w14:paraId="35DD21D3">
      <w:pPr>
        <w:pStyle w:val="12"/>
        <w:spacing w:before="83"/>
        <w:ind w:left="541"/>
        <w:rPr>
          <w:rFonts w:ascii="Times New Roman" w:hAnsi="Times New Roman" w:cs="Times New Roman"/>
          <w:w w:val="110"/>
          <w:sz w:val="24"/>
          <w:szCs w:val="24"/>
          <w:lang w:eastAsia="zh-CN"/>
        </w:rPr>
      </w:pPr>
    </w:p>
    <w:p w14:paraId="622D4D5E">
      <w:pPr>
        <w:pStyle w:val="12"/>
        <w:spacing w:before="83"/>
        <w:ind w:left="541"/>
        <w:rPr>
          <w:rFonts w:ascii="Times New Roman" w:hAnsi="Times New Roman" w:cs="Times New Roman"/>
          <w:w w:val="110"/>
          <w:sz w:val="24"/>
          <w:szCs w:val="24"/>
          <w:lang w:eastAsia="zh-CN"/>
        </w:rPr>
      </w:pPr>
    </w:p>
    <w:p w14:paraId="06CB57EB">
      <w:pPr>
        <w:pStyle w:val="12"/>
        <w:spacing w:before="83"/>
        <w:ind w:left="541"/>
        <w:rPr>
          <w:rFonts w:ascii="Times New Roman" w:hAnsi="Times New Roman" w:cs="Times New Roman"/>
          <w:w w:val="110"/>
          <w:sz w:val="24"/>
          <w:szCs w:val="24"/>
          <w:lang w:eastAsia="zh-CN"/>
        </w:rPr>
      </w:pPr>
      <w:r>
        <w:rPr>
          <w:rFonts w:ascii="Times New Roman" w:hAnsi="Times New Roman" w:cs="Times New Roman"/>
          <w:w w:val="110"/>
          <w:sz w:val="24"/>
          <w:szCs w:val="24"/>
          <w:lang w:eastAsia="zh-CN"/>
        </w:rPr>
        <w:t>注：1.此表中，报价</w:t>
      </w:r>
      <w:r>
        <w:rPr>
          <w:rFonts w:hint="eastAsia" w:ascii="Times New Roman" w:hAnsi="Times New Roman" w:cs="Times New Roman"/>
          <w:w w:val="110"/>
          <w:sz w:val="24"/>
          <w:szCs w:val="24"/>
          <w:lang w:eastAsia="zh-CN"/>
        </w:rPr>
        <w:t>一览表</w:t>
      </w:r>
      <w:r>
        <w:rPr>
          <w:rFonts w:ascii="Times New Roman" w:hAnsi="Times New Roman" w:cs="Times New Roman"/>
          <w:w w:val="110"/>
          <w:sz w:val="24"/>
          <w:szCs w:val="24"/>
          <w:lang w:eastAsia="zh-CN"/>
        </w:rPr>
        <w:t>应和《分项报价表》中的总价相一致。</w:t>
      </w:r>
    </w:p>
    <w:p w14:paraId="4FCE24CD">
      <w:pPr>
        <w:pStyle w:val="12"/>
        <w:spacing w:before="83"/>
        <w:ind w:firstLine="1056" w:firstLineChars="400"/>
        <w:rPr>
          <w:rFonts w:ascii="Times New Roman" w:hAnsi="Times New Roman" w:cs="Times New Roman"/>
          <w:w w:val="110"/>
          <w:sz w:val="24"/>
          <w:szCs w:val="24"/>
          <w:lang w:eastAsia="zh-CN"/>
        </w:rPr>
      </w:pPr>
      <w:r>
        <w:rPr>
          <w:rFonts w:ascii="Times New Roman" w:hAnsi="Times New Roman" w:cs="Times New Roman"/>
          <w:w w:val="110"/>
          <w:sz w:val="24"/>
          <w:szCs w:val="24"/>
          <w:lang w:eastAsia="zh-CN"/>
        </w:rPr>
        <w:t>2.本表必须</w:t>
      </w:r>
      <w:r>
        <w:rPr>
          <w:rFonts w:hint="eastAsia" w:ascii="Times New Roman" w:hAnsi="Times New Roman" w:cs="Times New Roman"/>
          <w:w w:val="110"/>
          <w:sz w:val="24"/>
          <w:szCs w:val="24"/>
          <w:lang w:eastAsia="zh-CN"/>
        </w:rPr>
        <w:t>按要求</w:t>
      </w:r>
      <w:r>
        <w:rPr>
          <w:rFonts w:ascii="Times New Roman" w:hAnsi="Times New Roman" w:cs="Times New Roman"/>
          <w:w w:val="110"/>
          <w:sz w:val="24"/>
          <w:szCs w:val="24"/>
          <w:lang w:eastAsia="zh-CN"/>
        </w:rPr>
        <w:t>分别填写。</w:t>
      </w:r>
    </w:p>
    <w:p w14:paraId="3D918719">
      <w:pPr>
        <w:pStyle w:val="12"/>
        <w:rPr>
          <w:rFonts w:ascii="Times New Roman" w:hAnsi="Times New Roman" w:cs="Times New Roman"/>
          <w:sz w:val="28"/>
          <w:lang w:eastAsia="zh-CN"/>
        </w:rPr>
      </w:pPr>
    </w:p>
    <w:p w14:paraId="0A0774CE">
      <w:pPr>
        <w:pStyle w:val="12"/>
        <w:rPr>
          <w:rFonts w:ascii="Times New Roman" w:hAnsi="Times New Roman" w:cs="Times New Roman"/>
          <w:sz w:val="28"/>
          <w:lang w:eastAsia="zh-CN"/>
        </w:rPr>
      </w:pPr>
    </w:p>
    <w:p w14:paraId="6E2A1160">
      <w:pPr>
        <w:pStyle w:val="12"/>
        <w:spacing w:before="3"/>
        <w:rPr>
          <w:rFonts w:ascii="Times New Roman" w:hAnsi="Times New Roman" w:cs="Times New Roman"/>
          <w:sz w:val="37"/>
          <w:lang w:eastAsia="zh-CN"/>
        </w:rPr>
      </w:pPr>
    </w:p>
    <w:p w14:paraId="4D071F63">
      <w:pPr>
        <w:pStyle w:val="12"/>
        <w:spacing w:before="3"/>
        <w:rPr>
          <w:rFonts w:ascii="Times New Roman" w:hAnsi="Times New Roman" w:cs="Times New Roman"/>
          <w:sz w:val="37"/>
          <w:lang w:eastAsia="zh-CN"/>
        </w:rPr>
      </w:pPr>
    </w:p>
    <w:p w14:paraId="12E70879">
      <w:pPr>
        <w:pStyle w:val="12"/>
        <w:spacing w:before="3"/>
        <w:rPr>
          <w:rFonts w:ascii="Times New Roman" w:hAnsi="Times New Roman" w:cs="Times New Roman"/>
          <w:sz w:val="37"/>
          <w:lang w:eastAsia="zh-CN"/>
        </w:rPr>
      </w:pPr>
    </w:p>
    <w:p w14:paraId="4D48CFE5">
      <w:pPr>
        <w:pStyle w:val="12"/>
        <w:spacing w:before="3"/>
        <w:rPr>
          <w:rFonts w:ascii="Times New Roman" w:hAnsi="Times New Roman" w:cs="Times New Roman"/>
          <w:sz w:val="37"/>
          <w:lang w:eastAsia="zh-CN"/>
        </w:rPr>
      </w:pPr>
    </w:p>
    <w:p w14:paraId="5AC06B84">
      <w:pPr>
        <w:pStyle w:val="12"/>
        <w:spacing w:before="3"/>
        <w:rPr>
          <w:rFonts w:ascii="Times New Roman" w:hAnsi="Times New Roman" w:cs="Times New Roman"/>
          <w:sz w:val="37"/>
          <w:lang w:eastAsia="zh-CN"/>
        </w:rPr>
      </w:pPr>
    </w:p>
    <w:p w14:paraId="64239383">
      <w:pPr>
        <w:pStyle w:val="12"/>
        <w:spacing w:before="3"/>
        <w:rPr>
          <w:rFonts w:ascii="Times New Roman" w:hAnsi="Times New Roman" w:cs="Times New Roman"/>
          <w:sz w:val="37"/>
          <w:lang w:eastAsia="zh-CN"/>
        </w:rPr>
      </w:pPr>
    </w:p>
    <w:p w14:paraId="0FB9A8F2">
      <w:pPr>
        <w:pStyle w:val="65"/>
        <w:tabs>
          <w:tab w:val="left" w:pos="1053"/>
        </w:tabs>
        <w:spacing w:before="158"/>
        <w:ind w:firstLine="0" w:firstLineChars="0"/>
        <w:rPr>
          <w:rFonts w:ascii="Times New Roman" w:hAnsi="Times New Roman" w:cs="Times New Roman"/>
          <w:b/>
          <w:bCs/>
          <w:sz w:val="24"/>
          <w:lang w:eastAsia="zh-CN"/>
        </w:rPr>
      </w:pPr>
      <w:r>
        <w:rPr>
          <w:rFonts w:hint="eastAsia" w:ascii="Times New Roman" w:hAnsi="Times New Roman" w:cs="Times New Roman"/>
          <w:b/>
          <w:bCs/>
          <w:sz w:val="24"/>
          <w:lang w:val="en-US" w:eastAsia="zh-CN"/>
        </w:rPr>
        <w:t>7.1</w:t>
      </w:r>
      <w:r>
        <w:rPr>
          <w:rFonts w:hint="eastAsia" w:ascii="Times New Roman" w:hAnsi="Times New Roman" w:cs="Times New Roman"/>
          <w:b/>
          <w:bCs/>
          <w:sz w:val="24"/>
          <w:lang w:eastAsia="zh-CN"/>
        </w:rPr>
        <w:t>分项报价表</w:t>
      </w:r>
    </w:p>
    <w:p w14:paraId="6CDA2B7A">
      <w:pPr>
        <w:spacing w:line="384" w:lineRule="auto"/>
        <w:rPr>
          <w:rFonts w:ascii="Times New Roman" w:hAnsi="Times New Roman" w:cs="Times New Roman"/>
          <w:lang w:eastAsia="zh-CN"/>
        </w:rPr>
      </w:pPr>
    </w:p>
    <w:p w14:paraId="114B0156">
      <w:pPr>
        <w:spacing w:line="360" w:lineRule="auto"/>
        <w:jc w:val="center"/>
        <w:rPr>
          <w:b/>
          <w:sz w:val="24"/>
          <w:szCs w:val="24"/>
          <w:lang w:eastAsia="zh-CN"/>
        </w:rPr>
      </w:pPr>
      <w:r>
        <w:rPr>
          <w:rFonts w:hint="eastAsia"/>
          <w:b/>
          <w:sz w:val="24"/>
          <w:lang w:eastAsia="zh-CN"/>
        </w:rPr>
        <w:t>（</w:t>
      </w:r>
      <w:r>
        <w:rPr>
          <w:rFonts w:hint="eastAsia"/>
          <w:b/>
          <w:sz w:val="24"/>
        </w:rPr>
        <w:t>已标价工程量清单</w:t>
      </w:r>
      <w:r>
        <w:rPr>
          <w:rFonts w:hint="eastAsia"/>
          <w:b/>
          <w:sz w:val="24"/>
          <w:lang w:eastAsia="zh-CN"/>
        </w:rPr>
        <w:t>）</w:t>
      </w:r>
    </w:p>
    <w:p w14:paraId="32622D4E">
      <w:pPr>
        <w:spacing w:line="440" w:lineRule="exact"/>
        <w:ind w:firstLine="440" w:firstLineChars="200"/>
        <w:rPr>
          <w:sz w:val="24"/>
          <w:szCs w:val="24"/>
          <w:lang w:eastAsia="zh-CN"/>
        </w:rPr>
      </w:pPr>
      <w:r>
        <w:rPr>
          <w:rFonts w:hint="eastAsia"/>
          <w:sz w:val="22"/>
          <w:szCs w:val="22"/>
          <w:lang w:eastAsia="zh-CN"/>
        </w:rPr>
        <w:t>说明：按《工程量清单》中的格式、内容和要求进行编制。工程量清单应加盖注册造价工程师签章，工程量清单为委托编制的应附有委托协议书原件及营业执照等相关资料复印件。</w:t>
      </w:r>
    </w:p>
    <w:p w14:paraId="397CE581">
      <w:pPr>
        <w:spacing w:line="480" w:lineRule="exact"/>
        <w:ind w:firstLine="480" w:firstLineChars="200"/>
        <w:rPr>
          <w:sz w:val="24"/>
          <w:szCs w:val="24"/>
          <w:lang w:eastAsia="zh-CN"/>
        </w:rPr>
      </w:pPr>
    </w:p>
    <w:p w14:paraId="37F53C40">
      <w:pPr>
        <w:pStyle w:val="32"/>
        <w:ind w:left="440" w:firstLine="480"/>
        <w:rPr>
          <w:rFonts w:ascii="Times New Roman" w:hAnsi="Times New Roman" w:cs="Times New Roman"/>
          <w:sz w:val="24"/>
          <w:lang w:eastAsia="zh-CN"/>
        </w:rPr>
      </w:pPr>
    </w:p>
    <w:p w14:paraId="6B438298">
      <w:pPr>
        <w:pStyle w:val="31"/>
        <w:ind w:firstLine="240"/>
        <w:rPr>
          <w:rFonts w:ascii="Times New Roman" w:hAnsi="Times New Roman" w:cs="Times New Roman"/>
          <w:sz w:val="24"/>
          <w:szCs w:val="24"/>
          <w:lang w:eastAsia="zh-CN"/>
        </w:rPr>
      </w:pPr>
    </w:p>
    <w:p w14:paraId="77C49ADC">
      <w:pPr>
        <w:pStyle w:val="32"/>
        <w:ind w:left="440" w:firstLine="480"/>
        <w:rPr>
          <w:rFonts w:ascii="Times New Roman" w:hAnsi="Times New Roman" w:cs="Times New Roman"/>
          <w:sz w:val="24"/>
          <w:lang w:eastAsia="zh-CN"/>
        </w:rPr>
      </w:pPr>
    </w:p>
    <w:p w14:paraId="51657B1A">
      <w:pPr>
        <w:pStyle w:val="31"/>
        <w:ind w:firstLine="240"/>
        <w:rPr>
          <w:rFonts w:ascii="Times New Roman" w:hAnsi="Times New Roman" w:cs="Times New Roman"/>
          <w:sz w:val="24"/>
          <w:szCs w:val="24"/>
          <w:lang w:eastAsia="zh-CN"/>
        </w:rPr>
      </w:pPr>
    </w:p>
    <w:p w14:paraId="21431BC7">
      <w:pPr>
        <w:pStyle w:val="32"/>
        <w:ind w:left="440" w:firstLine="480"/>
        <w:rPr>
          <w:rFonts w:ascii="Times New Roman" w:hAnsi="Times New Roman" w:cs="Times New Roman"/>
          <w:sz w:val="24"/>
          <w:lang w:eastAsia="zh-CN"/>
        </w:rPr>
      </w:pPr>
    </w:p>
    <w:p w14:paraId="593C2982">
      <w:pPr>
        <w:pStyle w:val="31"/>
        <w:ind w:firstLine="240"/>
        <w:rPr>
          <w:rFonts w:ascii="Times New Roman" w:hAnsi="Times New Roman" w:cs="Times New Roman"/>
          <w:sz w:val="24"/>
          <w:szCs w:val="24"/>
          <w:lang w:eastAsia="zh-CN"/>
        </w:rPr>
      </w:pPr>
    </w:p>
    <w:p w14:paraId="02278584">
      <w:pPr>
        <w:pStyle w:val="32"/>
        <w:ind w:left="440" w:firstLine="480"/>
        <w:rPr>
          <w:rFonts w:ascii="Times New Roman" w:hAnsi="Times New Roman" w:cs="Times New Roman"/>
          <w:sz w:val="24"/>
          <w:lang w:eastAsia="zh-CN"/>
        </w:rPr>
      </w:pPr>
    </w:p>
    <w:p w14:paraId="71D07185">
      <w:pPr>
        <w:pStyle w:val="31"/>
        <w:ind w:firstLine="240"/>
        <w:rPr>
          <w:rFonts w:ascii="Times New Roman" w:hAnsi="Times New Roman" w:cs="Times New Roman"/>
          <w:sz w:val="24"/>
          <w:szCs w:val="24"/>
          <w:lang w:eastAsia="zh-CN"/>
        </w:rPr>
      </w:pPr>
    </w:p>
    <w:p w14:paraId="0556C9BA">
      <w:pPr>
        <w:pStyle w:val="32"/>
        <w:ind w:left="440" w:firstLine="480"/>
        <w:rPr>
          <w:rFonts w:ascii="Times New Roman" w:hAnsi="Times New Roman" w:cs="Times New Roman"/>
          <w:sz w:val="24"/>
          <w:lang w:eastAsia="zh-CN"/>
        </w:rPr>
      </w:pPr>
    </w:p>
    <w:p w14:paraId="6F16AD16">
      <w:pPr>
        <w:pStyle w:val="31"/>
        <w:ind w:firstLine="240"/>
        <w:rPr>
          <w:rFonts w:ascii="Times New Roman" w:hAnsi="Times New Roman" w:cs="Times New Roman"/>
          <w:sz w:val="24"/>
          <w:szCs w:val="24"/>
          <w:lang w:eastAsia="zh-CN"/>
        </w:rPr>
      </w:pPr>
    </w:p>
    <w:p w14:paraId="1F9FC72D">
      <w:pPr>
        <w:pStyle w:val="32"/>
        <w:ind w:left="440" w:firstLine="480"/>
        <w:rPr>
          <w:rFonts w:ascii="Times New Roman" w:hAnsi="Times New Roman" w:cs="Times New Roman"/>
          <w:sz w:val="24"/>
          <w:lang w:eastAsia="zh-CN"/>
        </w:rPr>
      </w:pPr>
    </w:p>
    <w:p w14:paraId="7E0D0496">
      <w:pPr>
        <w:pStyle w:val="31"/>
        <w:ind w:firstLine="240"/>
        <w:rPr>
          <w:rFonts w:ascii="Times New Roman" w:hAnsi="Times New Roman" w:cs="Times New Roman"/>
          <w:sz w:val="24"/>
          <w:szCs w:val="24"/>
          <w:lang w:eastAsia="zh-CN"/>
        </w:rPr>
      </w:pPr>
    </w:p>
    <w:p w14:paraId="55542F15">
      <w:pPr>
        <w:pStyle w:val="32"/>
        <w:ind w:left="440" w:firstLine="480"/>
        <w:rPr>
          <w:rFonts w:ascii="Times New Roman" w:hAnsi="Times New Roman" w:cs="Times New Roman"/>
          <w:sz w:val="24"/>
          <w:lang w:eastAsia="zh-CN"/>
        </w:rPr>
      </w:pPr>
    </w:p>
    <w:p w14:paraId="2A5D8055">
      <w:pPr>
        <w:pStyle w:val="31"/>
        <w:ind w:firstLine="240"/>
        <w:rPr>
          <w:rFonts w:ascii="Times New Roman" w:hAnsi="Times New Roman" w:cs="Times New Roman"/>
          <w:sz w:val="24"/>
          <w:szCs w:val="24"/>
          <w:lang w:eastAsia="zh-CN"/>
        </w:rPr>
      </w:pPr>
    </w:p>
    <w:p w14:paraId="56E3E85A">
      <w:pPr>
        <w:pStyle w:val="32"/>
        <w:ind w:left="440" w:firstLine="480"/>
        <w:rPr>
          <w:rFonts w:ascii="Times New Roman" w:hAnsi="Times New Roman" w:cs="Times New Roman"/>
          <w:sz w:val="24"/>
          <w:lang w:eastAsia="zh-CN"/>
        </w:rPr>
      </w:pPr>
    </w:p>
    <w:p w14:paraId="22E53EE3">
      <w:pPr>
        <w:pStyle w:val="31"/>
        <w:ind w:firstLine="240"/>
        <w:rPr>
          <w:rFonts w:ascii="Times New Roman" w:hAnsi="Times New Roman" w:cs="Times New Roman"/>
          <w:sz w:val="24"/>
          <w:szCs w:val="24"/>
          <w:lang w:eastAsia="zh-CN"/>
        </w:rPr>
      </w:pPr>
    </w:p>
    <w:p w14:paraId="62D72B55">
      <w:pPr>
        <w:pStyle w:val="32"/>
        <w:ind w:left="440" w:firstLine="480"/>
        <w:rPr>
          <w:rFonts w:ascii="Times New Roman" w:hAnsi="Times New Roman" w:cs="Times New Roman"/>
          <w:sz w:val="24"/>
          <w:lang w:eastAsia="zh-CN"/>
        </w:rPr>
      </w:pPr>
    </w:p>
    <w:p w14:paraId="5EC02EB3">
      <w:pPr>
        <w:pStyle w:val="31"/>
        <w:ind w:firstLine="240"/>
        <w:rPr>
          <w:rFonts w:ascii="Times New Roman" w:hAnsi="Times New Roman" w:cs="Times New Roman"/>
          <w:sz w:val="24"/>
          <w:szCs w:val="24"/>
          <w:lang w:eastAsia="zh-CN"/>
        </w:rPr>
      </w:pPr>
    </w:p>
    <w:p w14:paraId="709B599B">
      <w:pPr>
        <w:pStyle w:val="32"/>
        <w:ind w:left="440" w:firstLine="480"/>
        <w:rPr>
          <w:rFonts w:ascii="Times New Roman" w:hAnsi="Times New Roman" w:cs="Times New Roman"/>
          <w:sz w:val="24"/>
          <w:lang w:eastAsia="zh-CN"/>
        </w:rPr>
      </w:pPr>
    </w:p>
    <w:p w14:paraId="1BF7FE4C">
      <w:pPr>
        <w:pStyle w:val="31"/>
        <w:ind w:firstLine="240"/>
        <w:rPr>
          <w:rFonts w:ascii="Times New Roman" w:hAnsi="Times New Roman" w:cs="Times New Roman"/>
          <w:sz w:val="24"/>
          <w:szCs w:val="24"/>
          <w:lang w:eastAsia="zh-CN"/>
        </w:rPr>
      </w:pPr>
    </w:p>
    <w:p w14:paraId="004C6534">
      <w:pPr>
        <w:pStyle w:val="32"/>
        <w:ind w:left="440" w:firstLine="480"/>
        <w:rPr>
          <w:rFonts w:ascii="Times New Roman" w:hAnsi="Times New Roman" w:cs="Times New Roman"/>
          <w:sz w:val="24"/>
          <w:lang w:eastAsia="zh-CN"/>
        </w:rPr>
      </w:pPr>
    </w:p>
    <w:p w14:paraId="2B131162">
      <w:pPr>
        <w:pStyle w:val="32"/>
        <w:ind w:left="440" w:firstLine="480"/>
        <w:rPr>
          <w:rFonts w:ascii="Times New Roman" w:hAnsi="Times New Roman" w:cs="Times New Roman"/>
          <w:sz w:val="24"/>
          <w:lang w:eastAsia="zh-CN"/>
        </w:rPr>
      </w:pPr>
    </w:p>
    <w:p w14:paraId="71EB4F1D">
      <w:pPr>
        <w:pStyle w:val="32"/>
        <w:ind w:left="440" w:firstLine="480"/>
        <w:rPr>
          <w:rFonts w:ascii="Times New Roman" w:hAnsi="Times New Roman" w:cs="Times New Roman"/>
          <w:sz w:val="24"/>
          <w:lang w:eastAsia="zh-CN"/>
        </w:rPr>
      </w:pPr>
    </w:p>
    <w:p w14:paraId="47775A87">
      <w:pPr>
        <w:pStyle w:val="32"/>
        <w:ind w:left="440" w:firstLine="480"/>
        <w:rPr>
          <w:rFonts w:ascii="Times New Roman" w:hAnsi="Times New Roman" w:cs="Times New Roman"/>
          <w:sz w:val="24"/>
          <w:lang w:eastAsia="zh-CN"/>
        </w:rPr>
      </w:pPr>
    </w:p>
    <w:p w14:paraId="6D24F6C4">
      <w:pPr>
        <w:pStyle w:val="32"/>
        <w:ind w:left="440" w:firstLine="480"/>
        <w:rPr>
          <w:rFonts w:ascii="Times New Roman" w:hAnsi="Times New Roman" w:cs="Times New Roman"/>
          <w:sz w:val="24"/>
          <w:lang w:eastAsia="zh-CN"/>
        </w:rPr>
      </w:pPr>
    </w:p>
    <w:p w14:paraId="54191430">
      <w:pPr>
        <w:pStyle w:val="32"/>
        <w:ind w:left="440" w:firstLine="480"/>
        <w:rPr>
          <w:rFonts w:ascii="Times New Roman" w:hAnsi="Times New Roman" w:cs="Times New Roman"/>
          <w:sz w:val="24"/>
          <w:lang w:eastAsia="zh-CN"/>
        </w:rPr>
      </w:pPr>
    </w:p>
    <w:p w14:paraId="6A1A3789">
      <w:pPr>
        <w:pStyle w:val="32"/>
        <w:ind w:left="440" w:firstLine="480"/>
        <w:rPr>
          <w:rFonts w:ascii="Times New Roman" w:hAnsi="Times New Roman" w:cs="Times New Roman"/>
          <w:sz w:val="24"/>
          <w:lang w:eastAsia="zh-CN"/>
        </w:rPr>
      </w:pPr>
    </w:p>
    <w:p w14:paraId="40E92039">
      <w:pPr>
        <w:pStyle w:val="32"/>
        <w:ind w:left="440" w:firstLine="480"/>
        <w:rPr>
          <w:rFonts w:ascii="Times New Roman" w:hAnsi="Times New Roman" w:cs="Times New Roman"/>
          <w:sz w:val="24"/>
          <w:lang w:eastAsia="zh-CN"/>
        </w:rPr>
      </w:pPr>
    </w:p>
    <w:p w14:paraId="7427A413">
      <w:pPr>
        <w:pStyle w:val="32"/>
        <w:ind w:left="440" w:firstLine="480"/>
        <w:rPr>
          <w:rFonts w:ascii="Times New Roman" w:hAnsi="Times New Roman" w:cs="Times New Roman"/>
          <w:sz w:val="24"/>
          <w:lang w:eastAsia="zh-CN"/>
        </w:rPr>
      </w:pPr>
    </w:p>
    <w:p w14:paraId="1EF6A064">
      <w:pPr>
        <w:pStyle w:val="32"/>
        <w:ind w:left="440" w:firstLine="480"/>
        <w:rPr>
          <w:rFonts w:ascii="Times New Roman" w:hAnsi="Times New Roman" w:cs="Times New Roman"/>
          <w:sz w:val="24"/>
          <w:lang w:eastAsia="zh-CN"/>
        </w:rPr>
      </w:pPr>
    </w:p>
    <w:p w14:paraId="7C62A298">
      <w:pPr>
        <w:pStyle w:val="65"/>
        <w:tabs>
          <w:tab w:val="left" w:pos="1053"/>
        </w:tabs>
        <w:spacing w:before="158"/>
        <w:ind w:firstLine="0" w:firstLineChars="0"/>
        <w:rPr>
          <w:rFonts w:ascii="Times New Roman" w:hAnsi="Times New Roman" w:cs="Times New Roman"/>
          <w:b/>
          <w:bCs/>
          <w:sz w:val="24"/>
          <w:lang w:val="zh-CN" w:eastAsia="zh-CN"/>
        </w:rPr>
      </w:pPr>
      <w:r>
        <w:rPr>
          <w:rFonts w:hint="eastAsia" w:ascii="Times New Roman" w:hAnsi="Times New Roman" w:cs="Times New Roman"/>
          <w:b/>
          <w:bCs/>
          <w:sz w:val="24"/>
          <w:lang w:val="en-US" w:eastAsia="zh-CN"/>
        </w:rPr>
        <w:t>8</w:t>
      </w:r>
      <w:r>
        <w:rPr>
          <w:rFonts w:hint="eastAsia" w:ascii="Times New Roman" w:hAnsi="Times New Roman" w:cs="Times New Roman"/>
          <w:b/>
          <w:bCs/>
          <w:sz w:val="24"/>
          <w:lang w:eastAsia="zh-CN"/>
        </w:rPr>
        <w:t>.竞争性磋商文件要求提供或供应商认为应附的其他材料</w:t>
      </w:r>
    </w:p>
    <w:p w14:paraId="5CE7C11C">
      <w:pPr>
        <w:spacing w:line="360" w:lineRule="auto"/>
      </w:pPr>
    </w:p>
    <w:p w14:paraId="6251D85A">
      <w:pPr>
        <w:pStyle w:val="32"/>
        <w:ind w:left="440"/>
      </w:pPr>
    </w:p>
    <w:p w14:paraId="3F1C9D9B">
      <w:pPr>
        <w:pStyle w:val="31"/>
        <w:ind w:firstLine="280"/>
      </w:pPr>
    </w:p>
    <w:p w14:paraId="44F3A804">
      <w:pPr>
        <w:pStyle w:val="32"/>
        <w:ind w:left="440"/>
      </w:pPr>
    </w:p>
    <w:p w14:paraId="71A11C28">
      <w:pPr>
        <w:pStyle w:val="31"/>
        <w:ind w:firstLine="280"/>
      </w:pPr>
    </w:p>
    <w:p w14:paraId="30D10770">
      <w:pPr>
        <w:pStyle w:val="32"/>
        <w:ind w:left="440"/>
      </w:pPr>
    </w:p>
    <w:p w14:paraId="709091B9">
      <w:pPr>
        <w:pStyle w:val="31"/>
        <w:ind w:firstLine="280"/>
      </w:pPr>
    </w:p>
    <w:p w14:paraId="7E3EACF2">
      <w:pPr>
        <w:pStyle w:val="32"/>
        <w:ind w:left="440"/>
      </w:pPr>
    </w:p>
    <w:p w14:paraId="7C1AC935">
      <w:pPr>
        <w:pStyle w:val="31"/>
        <w:ind w:firstLine="280"/>
      </w:pPr>
    </w:p>
    <w:p w14:paraId="0C3107A2">
      <w:pPr>
        <w:pStyle w:val="32"/>
        <w:ind w:left="440"/>
      </w:pPr>
    </w:p>
    <w:p w14:paraId="0C8FB983">
      <w:pPr>
        <w:pStyle w:val="31"/>
        <w:ind w:firstLine="280"/>
      </w:pPr>
    </w:p>
    <w:p w14:paraId="37F15C3B">
      <w:pPr>
        <w:pStyle w:val="32"/>
        <w:ind w:left="440"/>
      </w:pPr>
    </w:p>
    <w:p w14:paraId="692F6606">
      <w:pPr>
        <w:pStyle w:val="31"/>
        <w:ind w:firstLine="280"/>
      </w:pPr>
    </w:p>
    <w:p w14:paraId="6897B140">
      <w:pPr>
        <w:pStyle w:val="32"/>
        <w:ind w:left="440"/>
      </w:pPr>
    </w:p>
    <w:p w14:paraId="242896F8">
      <w:pPr>
        <w:pStyle w:val="31"/>
        <w:ind w:firstLine="280"/>
      </w:pPr>
    </w:p>
    <w:p w14:paraId="77685E8A">
      <w:pPr>
        <w:pStyle w:val="32"/>
        <w:ind w:left="440"/>
      </w:pPr>
    </w:p>
    <w:p w14:paraId="18667375">
      <w:pPr>
        <w:pStyle w:val="31"/>
        <w:ind w:firstLine="280"/>
      </w:pPr>
    </w:p>
    <w:p w14:paraId="1CDF997A">
      <w:pPr>
        <w:pStyle w:val="32"/>
        <w:ind w:left="440"/>
      </w:pPr>
    </w:p>
    <w:p w14:paraId="04F6A694">
      <w:pPr>
        <w:pStyle w:val="31"/>
        <w:ind w:firstLine="280"/>
      </w:pPr>
    </w:p>
    <w:p w14:paraId="754B61C5">
      <w:pPr>
        <w:pStyle w:val="32"/>
        <w:ind w:left="440"/>
      </w:pPr>
    </w:p>
    <w:p w14:paraId="027D12ED">
      <w:pPr>
        <w:pStyle w:val="31"/>
        <w:ind w:firstLine="280"/>
      </w:pPr>
    </w:p>
    <w:p w14:paraId="4862639A">
      <w:pPr>
        <w:pStyle w:val="32"/>
        <w:ind w:left="440"/>
      </w:pPr>
    </w:p>
    <w:p w14:paraId="5CB476C2">
      <w:pPr>
        <w:pStyle w:val="31"/>
        <w:ind w:firstLine="280"/>
      </w:pPr>
    </w:p>
    <w:p w14:paraId="517ECF63">
      <w:pPr>
        <w:pStyle w:val="32"/>
        <w:ind w:left="440"/>
      </w:pPr>
    </w:p>
    <w:p w14:paraId="417167AC">
      <w:pPr>
        <w:pStyle w:val="31"/>
        <w:ind w:firstLine="280"/>
      </w:pPr>
    </w:p>
    <w:p w14:paraId="64F66897">
      <w:pPr>
        <w:pStyle w:val="32"/>
        <w:ind w:left="0" w:leftChars="0" w:firstLine="0" w:firstLineChars="0"/>
      </w:pPr>
    </w:p>
    <w:p w14:paraId="6BA31A59">
      <w:pPr>
        <w:spacing w:line="800" w:lineRule="exact"/>
        <w:jc w:val="center"/>
        <w:outlineLvl w:val="1"/>
        <w:rPr>
          <w:lang w:eastAsia="zh-CN"/>
        </w:rPr>
      </w:pPr>
      <w:bookmarkStart w:id="1085" w:name="_Toc8804"/>
      <w:bookmarkStart w:id="1086" w:name="_Toc32194"/>
      <w:bookmarkStart w:id="1087" w:name="_Toc16793"/>
      <w:bookmarkStart w:id="1088" w:name="_Toc5184"/>
      <w:bookmarkStart w:id="1089" w:name="_Toc26547"/>
      <w:r>
        <w:rPr>
          <w:rFonts w:hint="eastAsia"/>
          <w:b/>
          <w:bCs/>
          <w:sz w:val="32"/>
          <w:szCs w:val="32"/>
          <w:lang w:val="zh-CN" w:eastAsia="zh-CN"/>
        </w:rPr>
        <w:t>三、技术标部分</w:t>
      </w:r>
      <w:bookmarkEnd w:id="1085"/>
      <w:bookmarkEnd w:id="1086"/>
      <w:bookmarkEnd w:id="1087"/>
      <w:bookmarkEnd w:id="1088"/>
      <w:bookmarkEnd w:id="1089"/>
    </w:p>
    <w:p w14:paraId="27C63D30">
      <w:pPr>
        <w:spacing w:line="360" w:lineRule="auto"/>
        <w:rPr>
          <w:szCs w:val="21"/>
        </w:rPr>
      </w:pPr>
      <w:r>
        <w:rPr>
          <w:rFonts w:hint="eastAsia"/>
          <w:szCs w:val="21"/>
          <w:lang w:eastAsia="zh-CN"/>
        </w:rPr>
        <w:t>1.</w:t>
      </w:r>
      <w:r>
        <w:rPr>
          <w:rFonts w:hint="eastAsia"/>
          <w:szCs w:val="21"/>
        </w:rPr>
        <w:t>技术部分应包括以下内容：</w:t>
      </w:r>
    </w:p>
    <w:p w14:paraId="66256F6A">
      <w:pPr>
        <w:numPr>
          <w:ilvl w:val="0"/>
          <w:numId w:val="36"/>
        </w:numPr>
        <w:spacing w:line="360" w:lineRule="auto"/>
        <w:rPr>
          <w:szCs w:val="21"/>
        </w:rPr>
      </w:pPr>
      <w:r>
        <w:rPr>
          <w:rFonts w:hint="eastAsia"/>
          <w:szCs w:val="21"/>
        </w:rPr>
        <w:t>施工方案与技术措施</w:t>
      </w:r>
    </w:p>
    <w:p w14:paraId="55DEE298">
      <w:pPr>
        <w:numPr>
          <w:ilvl w:val="0"/>
          <w:numId w:val="36"/>
        </w:numPr>
        <w:spacing w:line="360" w:lineRule="auto"/>
        <w:rPr>
          <w:szCs w:val="21"/>
        </w:rPr>
      </w:pPr>
      <w:r>
        <w:rPr>
          <w:rFonts w:hint="eastAsia"/>
          <w:szCs w:val="21"/>
        </w:rPr>
        <w:t>质量管理体系与措施</w:t>
      </w:r>
    </w:p>
    <w:p w14:paraId="3672FB89">
      <w:pPr>
        <w:numPr>
          <w:ilvl w:val="0"/>
          <w:numId w:val="36"/>
        </w:numPr>
        <w:spacing w:line="360" w:lineRule="auto"/>
        <w:rPr>
          <w:szCs w:val="21"/>
        </w:rPr>
      </w:pPr>
      <w:r>
        <w:rPr>
          <w:rFonts w:hint="eastAsia"/>
          <w:szCs w:val="21"/>
        </w:rPr>
        <w:t>环境保护安全管理体系与措施</w:t>
      </w:r>
    </w:p>
    <w:p w14:paraId="3F46F2F0">
      <w:pPr>
        <w:numPr>
          <w:ilvl w:val="0"/>
          <w:numId w:val="36"/>
        </w:numPr>
        <w:spacing w:line="360" w:lineRule="auto"/>
        <w:rPr>
          <w:szCs w:val="21"/>
        </w:rPr>
      </w:pPr>
      <w:r>
        <w:rPr>
          <w:rFonts w:hint="eastAsia"/>
          <w:szCs w:val="21"/>
        </w:rPr>
        <w:t>项目管理机构配置</w:t>
      </w:r>
    </w:p>
    <w:p w14:paraId="184BBBAA">
      <w:pPr>
        <w:numPr>
          <w:ilvl w:val="0"/>
          <w:numId w:val="36"/>
        </w:numPr>
        <w:spacing w:line="360" w:lineRule="auto"/>
        <w:rPr>
          <w:szCs w:val="21"/>
        </w:rPr>
      </w:pPr>
      <w:r>
        <w:rPr>
          <w:rFonts w:hint="eastAsia"/>
          <w:szCs w:val="21"/>
        </w:rPr>
        <w:t>其他需说明的内容</w:t>
      </w:r>
    </w:p>
    <w:p w14:paraId="744C2D95">
      <w:pPr>
        <w:spacing w:line="360" w:lineRule="auto"/>
        <w:rPr>
          <w:szCs w:val="21"/>
        </w:rPr>
      </w:pPr>
      <w:r>
        <w:rPr>
          <w:rFonts w:hint="eastAsia"/>
          <w:szCs w:val="21"/>
        </w:rPr>
        <w:t>2.施工组织设计除采用文字表述外可参考附下列图表，图表及格式，根据其施工组织设计的要求可自行把下列图表添加到相应的项目中。</w:t>
      </w:r>
    </w:p>
    <w:p w14:paraId="57C76B12">
      <w:pPr>
        <w:spacing w:line="360" w:lineRule="auto"/>
        <w:ind w:firstLine="770" w:firstLineChars="350"/>
        <w:rPr>
          <w:szCs w:val="21"/>
        </w:rPr>
      </w:pPr>
      <w:r>
        <w:rPr>
          <w:rFonts w:hint="eastAsia"/>
          <w:szCs w:val="21"/>
        </w:rPr>
        <w:t>附表一 拟投入本标段的主要施工设备表</w:t>
      </w:r>
    </w:p>
    <w:p w14:paraId="569395DB">
      <w:pPr>
        <w:spacing w:line="360" w:lineRule="auto"/>
        <w:ind w:firstLine="770" w:firstLineChars="350"/>
        <w:rPr>
          <w:szCs w:val="21"/>
        </w:rPr>
      </w:pPr>
      <w:r>
        <w:rPr>
          <w:rFonts w:hint="eastAsia"/>
          <w:szCs w:val="21"/>
        </w:rPr>
        <w:t>附表二 拟配备本标段的试验和检测仪器设备表</w:t>
      </w:r>
    </w:p>
    <w:p w14:paraId="7E7726BE">
      <w:pPr>
        <w:spacing w:line="360" w:lineRule="auto"/>
        <w:ind w:firstLine="770" w:firstLineChars="350"/>
        <w:rPr>
          <w:szCs w:val="21"/>
        </w:rPr>
      </w:pPr>
      <w:r>
        <w:rPr>
          <w:rFonts w:hint="eastAsia"/>
          <w:szCs w:val="21"/>
        </w:rPr>
        <w:t>附表三 劳动力计划表</w:t>
      </w:r>
    </w:p>
    <w:p w14:paraId="3720C2AB">
      <w:pPr>
        <w:spacing w:line="360" w:lineRule="auto"/>
        <w:ind w:firstLine="770" w:firstLineChars="350"/>
        <w:rPr>
          <w:szCs w:val="21"/>
        </w:rPr>
      </w:pPr>
      <w:r>
        <w:rPr>
          <w:rFonts w:hint="eastAsia"/>
          <w:szCs w:val="21"/>
        </w:rPr>
        <w:t>附表四 计划开、竣工日期和施工进度网络图</w:t>
      </w:r>
    </w:p>
    <w:p w14:paraId="62247BCE">
      <w:pPr>
        <w:rPr>
          <w:szCs w:val="21"/>
        </w:rPr>
      </w:pPr>
      <w:r>
        <w:br w:type="page"/>
      </w:r>
      <w:r>
        <w:rPr>
          <w:rFonts w:hint="eastAsia" w:ascii="黑体" w:eastAsia="黑体"/>
          <w:sz w:val="27"/>
          <w:szCs w:val="21"/>
        </w:rPr>
        <w:t>附表一：拟投入本标段的主要施工设备表</w:t>
      </w:r>
    </w:p>
    <w:tbl>
      <w:tblPr>
        <w:tblStyle w:val="3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
        <w:gridCol w:w="1432"/>
        <w:gridCol w:w="838"/>
        <w:gridCol w:w="1229"/>
        <w:gridCol w:w="795"/>
        <w:gridCol w:w="843"/>
        <w:gridCol w:w="955"/>
        <w:gridCol w:w="955"/>
        <w:gridCol w:w="956"/>
        <w:gridCol w:w="806"/>
      </w:tblGrid>
      <w:tr w14:paraId="73892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vAlign w:val="center"/>
          </w:tcPr>
          <w:p w14:paraId="7653036F">
            <w:pPr>
              <w:spacing w:line="360" w:lineRule="auto"/>
              <w:jc w:val="center"/>
              <w:rPr>
                <w:szCs w:val="21"/>
              </w:rPr>
            </w:pPr>
            <w:r>
              <w:rPr>
                <w:rFonts w:hint="eastAsia"/>
                <w:szCs w:val="21"/>
              </w:rPr>
              <w:t>序号</w:t>
            </w:r>
          </w:p>
        </w:tc>
        <w:tc>
          <w:tcPr>
            <w:tcW w:w="1432" w:type="dxa"/>
            <w:tcBorders>
              <w:top w:val="single" w:color="000000" w:sz="4" w:space="0"/>
              <w:left w:val="single" w:color="000000" w:sz="4" w:space="0"/>
              <w:bottom w:val="single" w:color="000000" w:sz="4" w:space="0"/>
              <w:right w:val="single" w:color="000000" w:sz="4" w:space="0"/>
            </w:tcBorders>
            <w:vAlign w:val="center"/>
          </w:tcPr>
          <w:p w14:paraId="2D47C861">
            <w:pPr>
              <w:spacing w:line="360" w:lineRule="auto"/>
              <w:jc w:val="center"/>
              <w:rPr>
                <w:szCs w:val="21"/>
              </w:rPr>
            </w:pPr>
            <w:r>
              <w:rPr>
                <w:rFonts w:hint="eastAsia"/>
                <w:szCs w:val="21"/>
              </w:rPr>
              <w:t>设备名称</w:t>
            </w:r>
          </w:p>
        </w:tc>
        <w:tc>
          <w:tcPr>
            <w:tcW w:w="838" w:type="dxa"/>
            <w:tcBorders>
              <w:top w:val="single" w:color="000000" w:sz="4" w:space="0"/>
              <w:left w:val="single" w:color="000000" w:sz="4" w:space="0"/>
              <w:bottom w:val="single" w:color="000000" w:sz="4" w:space="0"/>
              <w:right w:val="single" w:color="000000" w:sz="4" w:space="0"/>
            </w:tcBorders>
            <w:vAlign w:val="center"/>
          </w:tcPr>
          <w:p w14:paraId="304AF05B">
            <w:pPr>
              <w:spacing w:line="360" w:lineRule="auto"/>
              <w:jc w:val="center"/>
              <w:rPr>
                <w:szCs w:val="21"/>
              </w:rPr>
            </w:pPr>
            <w:r>
              <w:rPr>
                <w:rFonts w:hint="eastAsia"/>
                <w:szCs w:val="21"/>
              </w:rPr>
              <w:t>型号规格</w:t>
            </w:r>
          </w:p>
        </w:tc>
        <w:tc>
          <w:tcPr>
            <w:tcW w:w="1229" w:type="dxa"/>
            <w:tcBorders>
              <w:top w:val="single" w:color="000000" w:sz="4" w:space="0"/>
              <w:left w:val="single" w:color="000000" w:sz="4" w:space="0"/>
              <w:bottom w:val="single" w:color="000000" w:sz="4" w:space="0"/>
              <w:right w:val="single" w:color="000000" w:sz="4" w:space="0"/>
            </w:tcBorders>
            <w:vAlign w:val="center"/>
          </w:tcPr>
          <w:p w14:paraId="2164C825">
            <w:pPr>
              <w:spacing w:line="360" w:lineRule="auto"/>
              <w:jc w:val="center"/>
              <w:rPr>
                <w:szCs w:val="21"/>
              </w:rPr>
            </w:pPr>
            <w:r>
              <w:rPr>
                <w:rFonts w:hint="eastAsia"/>
                <w:szCs w:val="21"/>
              </w:rPr>
              <w:t>数量</w:t>
            </w:r>
          </w:p>
        </w:tc>
        <w:tc>
          <w:tcPr>
            <w:tcW w:w="795" w:type="dxa"/>
            <w:tcBorders>
              <w:top w:val="single" w:color="000000" w:sz="4" w:space="0"/>
              <w:left w:val="single" w:color="000000" w:sz="4" w:space="0"/>
              <w:bottom w:val="single" w:color="000000" w:sz="4" w:space="0"/>
              <w:right w:val="single" w:color="000000" w:sz="4" w:space="0"/>
            </w:tcBorders>
            <w:vAlign w:val="center"/>
          </w:tcPr>
          <w:p w14:paraId="39449A73">
            <w:pPr>
              <w:spacing w:line="360" w:lineRule="auto"/>
              <w:jc w:val="center"/>
              <w:rPr>
                <w:szCs w:val="21"/>
              </w:rPr>
            </w:pPr>
            <w:r>
              <w:rPr>
                <w:rFonts w:hint="eastAsia"/>
                <w:szCs w:val="21"/>
              </w:rPr>
              <w:t>国别产地</w:t>
            </w:r>
          </w:p>
        </w:tc>
        <w:tc>
          <w:tcPr>
            <w:tcW w:w="843" w:type="dxa"/>
            <w:tcBorders>
              <w:top w:val="single" w:color="000000" w:sz="4" w:space="0"/>
              <w:left w:val="single" w:color="000000" w:sz="4" w:space="0"/>
              <w:bottom w:val="single" w:color="000000" w:sz="4" w:space="0"/>
              <w:right w:val="single" w:color="000000" w:sz="4" w:space="0"/>
            </w:tcBorders>
            <w:vAlign w:val="center"/>
          </w:tcPr>
          <w:p w14:paraId="1D4C0702">
            <w:pPr>
              <w:spacing w:line="360" w:lineRule="auto"/>
              <w:jc w:val="center"/>
              <w:rPr>
                <w:szCs w:val="21"/>
              </w:rPr>
            </w:pPr>
            <w:r>
              <w:rPr>
                <w:rFonts w:hint="eastAsia"/>
                <w:szCs w:val="21"/>
              </w:rPr>
              <w:t>制造年份</w:t>
            </w:r>
          </w:p>
        </w:tc>
        <w:tc>
          <w:tcPr>
            <w:tcW w:w="955" w:type="dxa"/>
            <w:tcBorders>
              <w:top w:val="single" w:color="000000" w:sz="4" w:space="0"/>
              <w:left w:val="single" w:color="000000" w:sz="4" w:space="0"/>
              <w:bottom w:val="single" w:color="000000" w:sz="4" w:space="0"/>
              <w:right w:val="single" w:color="000000" w:sz="4" w:space="0"/>
            </w:tcBorders>
            <w:vAlign w:val="center"/>
          </w:tcPr>
          <w:p w14:paraId="52823A9E">
            <w:pPr>
              <w:spacing w:line="360" w:lineRule="auto"/>
              <w:jc w:val="center"/>
              <w:rPr>
                <w:szCs w:val="21"/>
              </w:rPr>
            </w:pPr>
            <w:r>
              <w:rPr>
                <w:rFonts w:hint="eastAsia"/>
                <w:szCs w:val="21"/>
              </w:rPr>
              <w:t>额定功率（KW）</w:t>
            </w:r>
          </w:p>
        </w:tc>
        <w:tc>
          <w:tcPr>
            <w:tcW w:w="955" w:type="dxa"/>
            <w:tcBorders>
              <w:top w:val="single" w:color="000000" w:sz="4" w:space="0"/>
              <w:left w:val="single" w:color="000000" w:sz="4" w:space="0"/>
              <w:bottom w:val="single" w:color="000000" w:sz="4" w:space="0"/>
              <w:right w:val="single" w:color="000000" w:sz="4" w:space="0"/>
            </w:tcBorders>
            <w:vAlign w:val="center"/>
          </w:tcPr>
          <w:p w14:paraId="5A0CFA8E">
            <w:pPr>
              <w:spacing w:line="360" w:lineRule="auto"/>
              <w:jc w:val="center"/>
              <w:rPr>
                <w:szCs w:val="21"/>
              </w:rPr>
            </w:pPr>
            <w:r>
              <w:rPr>
                <w:rFonts w:hint="eastAsia"/>
                <w:szCs w:val="21"/>
              </w:rPr>
              <w:t>生产能力</w:t>
            </w:r>
          </w:p>
        </w:tc>
        <w:tc>
          <w:tcPr>
            <w:tcW w:w="956" w:type="dxa"/>
            <w:tcBorders>
              <w:top w:val="single" w:color="000000" w:sz="4" w:space="0"/>
              <w:left w:val="single" w:color="000000" w:sz="4" w:space="0"/>
              <w:bottom w:val="single" w:color="000000" w:sz="4" w:space="0"/>
              <w:right w:val="single" w:color="000000" w:sz="4" w:space="0"/>
            </w:tcBorders>
            <w:vAlign w:val="center"/>
          </w:tcPr>
          <w:p w14:paraId="0D2EB655">
            <w:pPr>
              <w:spacing w:line="360" w:lineRule="auto"/>
              <w:jc w:val="center"/>
              <w:rPr>
                <w:szCs w:val="21"/>
              </w:rPr>
            </w:pPr>
            <w:r>
              <w:rPr>
                <w:rFonts w:hint="eastAsia"/>
                <w:szCs w:val="21"/>
              </w:rPr>
              <w:t>用于施工部位</w:t>
            </w:r>
          </w:p>
        </w:tc>
        <w:tc>
          <w:tcPr>
            <w:tcW w:w="806" w:type="dxa"/>
            <w:tcBorders>
              <w:top w:val="single" w:color="000000" w:sz="4" w:space="0"/>
              <w:left w:val="single" w:color="000000" w:sz="4" w:space="0"/>
              <w:bottom w:val="single" w:color="000000" w:sz="4" w:space="0"/>
              <w:right w:val="single" w:color="000000" w:sz="4" w:space="0"/>
            </w:tcBorders>
            <w:vAlign w:val="center"/>
          </w:tcPr>
          <w:p w14:paraId="65713D7B">
            <w:pPr>
              <w:spacing w:line="360" w:lineRule="auto"/>
              <w:jc w:val="center"/>
              <w:rPr>
                <w:szCs w:val="21"/>
              </w:rPr>
            </w:pPr>
            <w:r>
              <w:rPr>
                <w:rFonts w:hint="eastAsia"/>
                <w:szCs w:val="21"/>
              </w:rPr>
              <w:t>备注</w:t>
            </w:r>
          </w:p>
        </w:tc>
      </w:tr>
      <w:tr w14:paraId="3649D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2909E038">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45B4BB19">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47FAF7B5">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C67CD96">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10312D44">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1FBFDD0A">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FFDF6E2">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33A4366C">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5E3A99FA">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32C851AD">
            <w:pPr>
              <w:spacing w:line="360" w:lineRule="auto"/>
              <w:rPr>
                <w:szCs w:val="21"/>
              </w:rPr>
            </w:pPr>
          </w:p>
        </w:tc>
      </w:tr>
      <w:tr w14:paraId="2CCA7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776E34B">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618C56F1">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338764FA">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4177CCD4">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0744F598">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7E05C424">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A247B7D">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22770A97">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3BF45A60">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072CDC2C">
            <w:pPr>
              <w:spacing w:line="360" w:lineRule="auto"/>
              <w:rPr>
                <w:szCs w:val="21"/>
              </w:rPr>
            </w:pPr>
          </w:p>
        </w:tc>
      </w:tr>
      <w:tr w14:paraId="1AB06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0453C05">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0EDF1152">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0F9FD7E6">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185FA52B">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580394D4">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670B4F1D">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1C1B78B">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C7AFD89">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2CAA8E17">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1D1F3741">
            <w:pPr>
              <w:spacing w:line="360" w:lineRule="auto"/>
              <w:rPr>
                <w:szCs w:val="21"/>
              </w:rPr>
            </w:pPr>
          </w:p>
        </w:tc>
      </w:tr>
      <w:tr w14:paraId="1D9D2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0BEE8DA6">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1C7B90D5">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758F84CC">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7160F663">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5052C87A">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6B2152E4">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3E5F6BCB">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27181AA">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7218CC8C">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261EBD56">
            <w:pPr>
              <w:spacing w:line="360" w:lineRule="auto"/>
              <w:rPr>
                <w:szCs w:val="21"/>
              </w:rPr>
            </w:pPr>
          </w:p>
        </w:tc>
      </w:tr>
      <w:tr w14:paraId="24EB4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17E2CBBC">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579AD609">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275AF296">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75054DC2">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4B97A35B">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680B1D8A">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0B3415A">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0724D465">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3F0DF3BF">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2B527EF0">
            <w:pPr>
              <w:spacing w:line="360" w:lineRule="auto"/>
              <w:rPr>
                <w:szCs w:val="21"/>
              </w:rPr>
            </w:pPr>
          </w:p>
        </w:tc>
      </w:tr>
      <w:tr w14:paraId="5154E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39F0619D">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70534608">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00498E33">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E2E16BB">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09FAEF4A">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43093533">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9712A44">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03CF53CA">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7A148C08">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718C556D">
            <w:pPr>
              <w:spacing w:line="360" w:lineRule="auto"/>
              <w:rPr>
                <w:szCs w:val="21"/>
              </w:rPr>
            </w:pPr>
          </w:p>
        </w:tc>
      </w:tr>
      <w:tr w14:paraId="35672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F8F517A">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6086F4CB">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63790C97">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B902FCE">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49D8902B">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79882B9C">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9FDCB30">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0EA4ECD">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180C4AA1">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13463910">
            <w:pPr>
              <w:spacing w:line="360" w:lineRule="auto"/>
              <w:rPr>
                <w:szCs w:val="21"/>
              </w:rPr>
            </w:pPr>
          </w:p>
        </w:tc>
      </w:tr>
      <w:tr w14:paraId="5CAA2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04730EFB">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2AA9D131">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45C043FF">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8009711">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4445928A">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5443CE10">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6185E1A">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07046ED2">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7FFA7578">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6BA21A4E">
            <w:pPr>
              <w:spacing w:line="360" w:lineRule="auto"/>
              <w:rPr>
                <w:szCs w:val="21"/>
              </w:rPr>
            </w:pPr>
          </w:p>
        </w:tc>
      </w:tr>
      <w:tr w14:paraId="11D19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CC40505">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6F57A79D">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2D19E220">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410F8E0">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2D8440C8">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6E05F387">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2668F29B">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3686890">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0454399E">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329C6122">
            <w:pPr>
              <w:spacing w:line="360" w:lineRule="auto"/>
              <w:rPr>
                <w:szCs w:val="21"/>
              </w:rPr>
            </w:pPr>
          </w:p>
        </w:tc>
      </w:tr>
      <w:tr w14:paraId="7643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69566B85">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2680F593">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49CF0D0C">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705526BD">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66A4408D">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70BC6999">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3CF456F">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496ABD1">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52B9184C">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68DC1743">
            <w:pPr>
              <w:spacing w:line="360" w:lineRule="auto"/>
              <w:rPr>
                <w:szCs w:val="21"/>
              </w:rPr>
            </w:pPr>
          </w:p>
        </w:tc>
      </w:tr>
      <w:tr w14:paraId="5F06A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98093A3">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014E103A">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712D4F34">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1679414">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00495A74">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2D9E6450">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46533FEE">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2A531BBB">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1FD57A73">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33610AD3">
            <w:pPr>
              <w:spacing w:line="360" w:lineRule="auto"/>
              <w:rPr>
                <w:szCs w:val="21"/>
              </w:rPr>
            </w:pPr>
          </w:p>
        </w:tc>
      </w:tr>
      <w:tr w14:paraId="2420F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2B42C28">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1B3FBCA1">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1721BFDB">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C039059">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3D433356">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684D4706">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0FBC777C">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2F9736D5">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021D8A74">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7B2B7BA7">
            <w:pPr>
              <w:spacing w:line="360" w:lineRule="auto"/>
              <w:rPr>
                <w:szCs w:val="21"/>
              </w:rPr>
            </w:pPr>
          </w:p>
        </w:tc>
      </w:tr>
      <w:tr w14:paraId="19838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148C03B6">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4878AB09">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28321BB2">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3F0D9A4">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6907F2EC">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492EDEFF">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33F1D65">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27DEBEAE">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49EDD8E1">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63DE4EA7">
            <w:pPr>
              <w:spacing w:line="360" w:lineRule="auto"/>
              <w:rPr>
                <w:szCs w:val="21"/>
              </w:rPr>
            </w:pPr>
          </w:p>
        </w:tc>
      </w:tr>
      <w:tr w14:paraId="7374D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6B3BCC5D">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240862E5">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6C0CEFDF">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DD0091B">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1079A41D">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266314AB">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6614C228">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3E42451">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7BC4A70D">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45C5045E">
            <w:pPr>
              <w:spacing w:line="360" w:lineRule="auto"/>
              <w:rPr>
                <w:szCs w:val="21"/>
              </w:rPr>
            </w:pPr>
          </w:p>
        </w:tc>
      </w:tr>
      <w:tr w14:paraId="4F63D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A86CB5F">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0E255107">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4D1D2158">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2ABBF618">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18AE05DE">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65D0CA78">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3629B21">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75E157D">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5C3C33BC">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3DBAEC66">
            <w:pPr>
              <w:spacing w:line="360" w:lineRule="auto"/>
              <w:rPr>
                <w:szCs w:val="21"/>
              </w:rPr>
            </w:pPr>
          </w:p>
        </w:tc>
      </w:tr>
      <w:tr w14:paraId="78FDF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9FF9D87">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4695892E">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5D84AC7D">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72C2E6A8">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410A602A">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2D29644A">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213D2E3">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4083F6FA">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0807D27A">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77D3F776">
            <w:pPr>
              <w:spacing w:line="360" w:lineRule="auto"/>
              <w:rPr>
                <w:szCs w:val="21"/>
              </w:rPr>
            </w:pPr>
          </w:p>
        </w:tc>
      </w:tr>
      <w:tr w14:paraId="165A6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657C022">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45D74FDC">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4B28290B">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24A6B13">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35BF23EE">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0CA7AA04">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5239D5F">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7AE2B016">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7C586276">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2285B46F">
            <w:pPr>
              <w:spacing w:line="360" w:lineRule="auto"/>
              <w:rPr>
                <w:szCs w:val="21"/>
              </w:rPr>
            </w:pPr>
          </w:p>
        </w:tc>
      </w:tr>
      <w:tr w14:paraId="7E3B4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63EC2A49">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277708CA">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1A7E85E3">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C1CA402">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4122C812">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0DCC14FB">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459F13E">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64E6985A">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02DD1765">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034B12A1">
            <w:pPr>
              <w:spacing w:line="360" w:lineRule="auto"/>
              <w:rPr>
                <w:szCs w:val="21"/>
              </w:rPr>
            </w:pPr>
          </w:p>
        </w:tc>
      </w:tr>
      <w:tr w14:paraId="165D1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3E204D8B">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20825117">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0A8F2A5A">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AEA9794">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661B5A46">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061BAA60">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0F2B70F">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5FC19347">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158CE6FC">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55CBB840">
            <w:pPr>
              <w:spacing w:line="360" w:lineRule="auto"/>
              <w:rPr>
                <w:szCs w:val="21"/>
              </w:rPr>
            </w:pPr>
          </w:p>
        </w:tc>
      </w:tr>
      <w:tr w14:paraId="062B1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099D932C">
            <w:pPr>
              <w:spacing w:line="360" w:lineRule="auto"/>
              <w:rPr>
                <w:szCs w:val="21"/>
              </w:rPr>
            </w:pPr>
          </w:p>
        </w:tc>
        <w:tc>
          <w:tcPr>
            <w:tcW w:w="1432" w:type="dxa"/>
            <w:tcBorders>
              <w:top w:val="single" w:color="000000" w:sz="4" w:space="0"/>
              <w:left w:val="single" w:color="000000" w:sz="4" w:space="0"/>
              <w:bottom w:val="single" w:color="000000" w:sz="4" w:space="0"/>
              <w:right w:val="single" w:color="000000" w:sz="4" w:space="0"/>
            </w:tcBorders>
          </w:tcPr>
          <w:p w14:paraId="21743B95">
            <w:pPr>
              <w:spacing w:line="360" w:lineRule="auto"/>
              <w:rPr>
                <w:szCs w:val="21"/>
              </w:rPr>
            </w:pPr>
          </w:p>
        </w:tc>
        <w:tc>
          <w:tcPr>
            <w:tcW w:w="838" w:type="dxa"/>
            <w:tcBorders>
              <w:top w:val="single" w:color="000000" w:sz="4" w:space="0"/>
              <w:left w:val="single" w:color="000000" w:sz="4" w:space="0"/>
              <w:bottom w:val="single" w:color="000000" w:sz="4" w:space="0"/>
              <w:right w:val="single" w:color="000000" w:sz="4" w:space="0"/>
            </w:tcBorders>
          </w:tcPr>
          <w:p w14:paraId="387B067E">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46257FE9">
            <w:pPr>
              <w:spacing w:line="360" w:lineRule="auto"/>
              <w:rPr>
                <w:szCs w:val="21"/>
              </w:rPr>
            </w:pPr>
          </w:p>
        </w:tc>
        <w:tc>
          <w:tcPr>
            <w:tcW w:w="795" w:type="dxa"/>
            <w:tcBorders>
              <w:top w:val="single" w:color="000000" w:sz="4" w:space="0"/>
              <w:left w:val="single" w:color="000000" w:sz="4" w:space="0"/>
              <w:bottom w:val="single" w:color="000000" w:sz="4" w:space="0"/>
              <w:right w:val="single" w:color="000000" w:sz="4" w:space="0"/>
            </w:tcBorders>
          </w:tcPr>
          <w:p w14:paraId="45B13D5D">
            <w:pPr>
              <w:spacing w:line="360" w:lineRule="auto"/>
              <w:rPr>
                <w:szCs w:val="21"/>
              </w:rPr>
            </w:pPr>
          </w:p>
        </w:tc>
        <w:tc>
          <w:tcPr>
            <w:tcW w:w="843" w:type="dxa"/>
            <w:tcBorders>
              <w:top w:val="single" w:color="000000" w:sz="4" w:space="0"/>
              <w:left w:val="single" w:color="000000" w:sz="4" w:space="0"/>
              <w:bottom w:val="single" w:color="000000" w:sz="4" w:space="0"/>
              <w:right w:val="single" w:color="000000" w:sz="4" w:space="0"/>
            </w:tcBorders>
          </w:tcPr>
          <w:p w14:paraId="2C1A6EBC">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2D050276">
            <w:pPr>
              <w:spacing w:line="360" w:lineRule="auto"/>
              <w:rPr>
                <w:szCs w:val="21"/>
              </w:rPr>
            </w:pPr>
          </w:p>
        </w:tc>
        <w:tc>
          <w:tcPr>
            <w:tcW w:w="955" w:type="dxa"/>
            <w:tcBorders>
              <w:top w:val="single" w:color="000000" w:sz="4" w:space="0"/>
              <w:left w:val="single" w:color="000000" w:sz="4" w:space="0"/>
              <w:bottom w:val="single" w:color="000000" w:sz="4" w:space="0"/>
              <w:right w:val="single" w:color="000000" w:sz="4" w:space="0"/>
            </w:tcBorders>
          </w:tcPr>
          <w:p w14:paraId="1D86B82B">
            <w:pPr>
              <w:spacing w:line="360" w:lineRule="auto"/>
              <w:rPr>
                <w:szCs w:val="21"/>
              </w:rPr>
            </w:pPr>
          </w:p>
        </w:tc>
        <w:tc>
          <w:tcPr>
            <w:tcW w:w="956" w:type="dxa"/>
            <w:tcBorders>
              <w:top w:val="single" w:color="000000" w:sz="4" w:space="0"/>
              <w:left w:val="single" w:color="000000" w:sz="4" w:space="0"/>
              <w:bottom w:val="single" w:color="000000" w:sz="4" w:space="0"/>
              <w:right w:val="single" w:color="000000" w:sz="4" w:space="0"/>
            </w:tcBorders>
          </w:tcPr>
          <w:p w14:paraId="2FC7D5A2">
            <w:pPr>
              <w:spacing w:line="360" w:lineRule="auto"/>
              <w:rPr>
                <w:szCs w:val="21"/>
              </w:rPr>
            </w:pPr>
          </w:p>
        </w:tc>
        <w:tc>
          <w:tcPr>
            <w:tcW w:w="806" w:type="dxa"/>
            <w:tcBorders>
              <w:top w:val="single" w:color="000000" w:sz="4" w:space="0"/>
              <w:left w:val="single" w:color="000000" w:sz="4" w:space="0"/>
              <w:bottom w:val="single" w:color="000000" w:sz="4" w:space="0"/>
              <w:right w:val="single" w:color="000000" w:sz="4" w:space="0"/>
            </w:tcBorders>
          </w:tcPr>
          <w:p w14:paraId="295F9825">
            <w:pPr>
              <w:spacing w:line="360" w:lineRule="auto"/>
              <w:rPr>
                <w:szCs w:val="21"/>
              </w:rPr>
            </w:pPr>
          </w:p>
        </w:tc>
      </w:tr>
    </w:tbl>
    <w:p w14:paraId="1CAC0B46">
      <w:pPr>
        <w:rPr>
          <w:szCs w:val="21"/>
        </w:rPr>
      </w:pPr>
      <w:r>
        <w:br w:type="page"/>
      </w:r>
      <w:r>
        <w:rPr>
          <w:rFonts w:hint="eastAsia" w:ascii="黑体" w:eastAsia="黑体"/>
          <w:sz w:val="27"/>
          <w:szCs w:val="21"/>
        </w:rPr>
        <w:t>附表二：拟配备本标段的试验和检测仪器设备表</w:t>
      </w:r>
    </w:p>
    <w:tbl>
      <w:tblPr>
        <w:tblStyle w:val="3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1051"/>
        <w:gridCol w:w="1216"/>
        <w:gridCol w:w="886"/>
        <w:gridCol w:w="1229"/>
        <w:gridCol w:w="873"/>
        <w:gridCol w:w="1051"/>
        <w:gridCol w:w="1053"/>
        <w:gridCol w:w="1053"/>
      </w:tblGrid>
      <w:tr w14:paraId="4F30B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vAlign w:val="center"/>
          </w:tcPr>
          <w:p w14:paraId="1E31C47C">
            <w:pPr>
              <w:spacing w:line="360" w:lineRule="auto"/>
              <w:jc w:val="center"/>
              <w:rPr>
                <w:szCs w:val="21"/>
              </w:rPr>
            </w:pPr>
            <w:r>
              <w:rPr>
                <w:rFonts w:hint="eastAsia"/>
                <w:szCs w:val="21"/>
              </w:rPr>
              <w:t>序号</w:t>
            </w:r>
          </w:p>
        </w:tc>
        <w:tc>
          <w:tcPr>
            <w:tcW w:w="1051" w:type="dxa"/>
            <w:tcBorders>
              <w:top w:val="single" w:color="000000" w:sz="4" w:space="0"/>
              <w:left w:val="single" w:color="000000" w:sz="4" w:space="0"/>
              <w:bottom w:val="single" w:color="000000" w:sz="4" w:space="0"/>
              <w:right w:val="single" w:color="000000" w:sz="4" w:space="0"/>
            </w:tcBorders>
            <w:vAlign w:val="center"/>
          </w:tcPr>
          <w:p w14:paraId="00C357EB">
            <w:pPr>
              <w:spacing w:line="360" w:lineRule="auto"/>
              <w:jc w:val="center"/>
              <w:rPr>
                <w:szCs w:val="21"/>
              </w:rPr>
            </w:pPr>
            <w:r>
              <w:rPr>
                <w:rFonts w:hint="eastAsia"/>
                <w:szCs w:val="21"/>
              </w:rPr>
              <w:t>仪器设备名称</w:t>
            </w:r>
          </w:p>
        </w:tc>
        <w:tc>
          <w:tcPr>
            <w:tcW w:w="1216" w:type="dxa"/>
            <w:tcBorders>
              <w:top w:val="single" w:color="000000" w:sz="4" w:space="0"/>
              <w:left w:val="single" w:color="000000" w:sz="4" w:space="0"/>
              <w:bottom w:val="single" w:color="000000" w:sz="4" w:space="0"/>
              <w:right w:val="single" w:color="000000" w:sz="4" w:space="0"/>
            </w:tcBorders>
            <w:vAlign w:val="center"/>
          </w:tcPr>
          <w:p w14:paraId="6BFA4020">
            <w:pPr>
              <w:spacing w:line="360" w:lineRule="auto"/>
              <w:jc w:val="center"/>
              <w:rPr>
                <w:szCs w:val="21"/>
              </w:rPr>
            </w:pPr>
            <w:r>
              <w:rPr>
                <w:rFonts w:hint="eastAsia"/>
                <w:szCs w:val="21"/>
              </w:rPr>
              <w:t>型号规格</w:t>
            </w:r>
          </w:p>
        </w:tc>
        <w:tc>
          <w:tcPr>
            <w:tcW w:w="886" w:type="dxa"/>
            <w:tcBorders>
              <w:top w:val="single" w:color="000000" w:sz="4" w:space="0"/>
              <w:left w:val="single" w:color="000000" w:sz="4" w:space="0"/>
              <w:bottom w:val="single" w:color="000000" w:sz="4" w:space="0"/>
              <w:right w:val="single" w:color="000000" w:sz="4" w:space="0"/>
            </w:tcBorders>
            <w:vAlign w:val="center"/>
          </w:tcPr>
          <w:p w14:paraId="6FBA3DF3">
            <w:pPr>
              <w:spacing w:line="360" w:lineRule="auto"/>
              <w:jc w:val="center"/>
              <w:rPr>
                <w:szCs w:val="21"/>
              </w:rPr>
            </w:pPr>
            <w:r>
              <w:rPr>
                <w:rFonts w:hint="eastAsia"/>
                <w:szCs w:val="21"/>
              </w:rPr>
              <w:t>数量</w:t>
            </w:r>
          </w:p>
        </w:tc>
        <w:tc>
          <w:tcPr>
            <w:tcW w:w="1229" w:type="dxa"/>
            <w:tcBorders>
              <w:top w:val="single" w:color="000000" w:sz="4" w:space="0"/>
              <w:left w:val="single" w:color="000000" w:sz="4" w:space="0"/>
              <w:bottom w:val="single" w:color="000000" w:sz="4" w:space="0"/>
              <w:right w:val="single" w:color="000000" w:sz="4" w:space="0"/>
            </w:tcBorders>
            <w:vAlign w:val="center"/>
          </w:tcPr>
          <w:p w14:paraId="4C954FF6">
            <w:pPr>
              <w:spacing w:line="360" w:lineRule="auto"/>
              <w:jc w:val="center"/>
              <w:rPr>
                <w:szCs w:val="21"/>
              </w:rPr>
            </w:pPr>
            <w:r>
              <w:rPr>
                <w:rFonts w:hint="eastAsia"/>
                <w:szCs w:val="21"/>
              </w:rPr>
              <w:t>国别产地</w:t>
            </w:r>
          </w:p>
        </w:tc>
        <w:tc>
          <w:tcPr>
            <w:tcW w:w="873" w:type="dxa"/>
            <w:tcBorders>
              <w:top w:val="single" w:color="000000" w:sz="4" w:space="0"/>
              <w:left w:val="single" w:color="000000" w:sz="4" w:space="0"/>
              <w:bottom w:val="single" w:color="000000" w:sz="4" w:space="0"/>
              <w:right w:val="single" w:color="000000" w:sz="4" w:space="0"/>
            </w:tcBorders>
            <w:vAlign w:val="center"/>
          </w:tcPr>
          <w:p w14:paraId="470CB82F">
            <w:pPr>
              <w:spacing w:line="360" w:lineRule="auto"/>
              <w:jc w:val="center"/>
              <w:rPr>
                <w:szCs w:val="21"/>
              </w:rPr>
            </w:pPr>
            <w:r>
              <w:rPr>
                <w:rFonts w:hint="eastAsia"/>
                <w:szCs w:val="21"/>
              </w:rPr>
              <w:t>制造年份</w:t>
            </w:r>
          </w:p>
        </w:tc>
        <w:tc>
          <w:tcPr>
            <w:tcW w:w="1051" w:type="dxa"/>
            <w:tcBorders>
              <w:top w:val="single" w:color="000000" w:sz="4" w:space="0"/>
              <w:left w:val="single" w:color="000000" w:sz="4" w:space="0"/>
              <w:bottom w:val="single" w:color="000000" w:sz="4" w:space="0"/>
              <w:right w:val="single" w:color="000000" w:sz="4" w:space="0"/>
            </w:tcBorders>
            <w:vAlign w:val="center"/>
          </w:tcPr>
          <w:p w14:paraId="38FADE40">
            <w:pPr>
              <w:spacing w:line="360" w:lineRule="auto"/>
              <w:jc w:val="center"/>
              <w:rPr>
                <w:szCs w:val="21"/>
              </w:rPr>
            </w:pPr>
            <w:r>
              <w:rPr>
                <w:rFonts w:hint="eastAsia"/>
                <w:szCs w:val="21"/>
              </w:rPr>
              <w:t>已使用台数</w:t>
            </w:r>
          </w:p>
        </w:tc>
        <w:tc>
          <w:tcPr>
            <w:tcW w:w="1053" w:type="dxa"/>
            <w:tcBorders>
              <w:top w:val="single" w:color="000000" w:sz="4" w:space="0"/>
              <w:left w:val="single" w:color="000000" w:sz="4" w:space="0"/>
              <w:bottom w:val="single" w:color="000000" w:sz="4" w:space="0"/>
              <w:right w:val="single" w:color="000000" w:sz="4" w:space="0"/>
            </w:tcBorders>
            <w:vAlign w:val="center"/>
          </w:tcPr>
          <w:p w14:paraId="2CFC4502">
            <w:pPr>
              <w:spacing w:line="360" w:lineRule="auto"/>
              <w:jc w:val="center"/>
              <w:rPr>
                <w:szCs w:val="21"/>
              </w:rPr>
            </w:pPr>
            <w:r>
              <w:rPr>
                <w:rFonts w:hint="eastAsia"/>
                <w:szCs w:val="21"/>
              </w:rPr>
              <w:t>用途</w:t>
            </w:r>
          </w:p>
        </w:tc>
        <w:tc>
          <w:tcPr>
            <w:tcW w:w="1053" w:type="dxa"/>
            <w:tcBorders>
              <w:top w:val="single" w:color="000000" w:sz="4" w:space="0"/>
              <w:left w:val="single" w:color="000000" w:sz="4" w:space="0"/>
              <w:bottom w:val="single" w:color="000000" w:sz="4" w:space="0"/>
              <w:right w:val="single" w:color="000000" w:sz="4" w:space="0"/>
            </w:tcBorders>
            <w:vAlign w:val="center"/>
          </w:tcPr>
          <w:p w14:paraId="32F3E356">
            <w:pPr>
              <w:spacing w:line="360" w:lineRule="auto"/>
              <w:jc w:val="center"/>
              <w:rPr>
                <w:szCs w:val="21"/>
              </w:rPr>
            </w:pPr>
            <w:r>
              <w:rPr>
                <w:rFonts w:hint="eastAsia"/>
                <w:szCs w:val="21"/>
              </w:rPr>
              <w:t>备注</w:t>
            </w:r>
          </w:p>
        </w:tc>
      </w:tr>
      <w:tr w14:paraId="6F23B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9C0EAA5">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9F50D91">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1A76E30C">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4D3928A5">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07544A46">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239B75C4">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33EE8D9">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193FDF8E">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7E8D586B">
            <w:pPr>
              <w:spacing w:line="360" w:lineRule="auto"/>
              <w:rPr>
                <w:szCs w:val="21"/>
              </w:rPr>
            </w:pPr>
          </w:p>
        </w:tc>
      </w:tr>
      <w:tr w14:paraId="2BA70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57B89712">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51EB6314">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6E8B0CC8">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3D580CE8">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75E3DA38">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4B1E1594">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2EB5E7C4">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6728C53F">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7A22331B">
            <w:pPr>
              <w:spacing w:line="360" w:lineRule="auto"/>
              <w:rPr>
                <w:szCs w:val="21"/>
              </w:rPr>
            </w:pPr>
          </w:p>
        </w:tc>
      </w:tr>
      <w:tr w14:paraId="48CC7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4A8B7DA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86CFE53">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2614A87F">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21FBE566">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A313369">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46B3CEE2">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415188B7">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071E9B57">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15BCF5BB">
            <w:pPr>
              <w:spacing w:line="360" w:lineRule="auto"/>
              <w:rPr>
                <w:szCs w:val="21"/>
              </w:rPr>
            </w:pPr>
          </w:p>
        </w:tc>
      </w:tr>
      <w:tr w14:paraId="1FFB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7E7735CD">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6A4A0D82">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3A5CC502">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11EB2FCA">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7D7E5C2">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416237A3">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05A450A3">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034EF21B">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14460A0">
            <w:pPr>
              <w:spacing w:line="360" w:lineRule="auto"/>
              <w:rPr>
                <w:szCs w:val="21"/>
              </w:rPr>
            </w:pPr>
          </w:p>
        </w:tc>
      </w:tr>
      <w:tr w14:paraId="2F9C5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BD84735">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4BA90AD4">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4038F443">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55D043D9">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76EB90C9">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381615A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1D15B57D">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3FFCC7E">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47995E7F">
            <w:pPr>
              <w:spacing w:line="360" w:lineRule="auto"/>
              <w:rPr>
                <w:szCs w:val="21"/>
              </w:rPr>
            </w:pPr>
          </w:p>
        </w:tc>
      </w:tr>
      <w:tr w14:paraId="5C2DD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23C96DAA">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2126FC89">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5265C594">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4B510773">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A141575">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7FE375F2">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2A4108C6">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7DC76B2F">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35D4E478">
            <w:pPr>
              <w:spacing w:line="360" w:lineRule="auto"/>
              <w:rPr>
                <w:szCs w:val="21"/>
              </w:rPr>
            </w:pPr>
          </w:p>
        </w:tc>
      </w:tr>
      <w:tr w14:paraId="7D21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519D56A5">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E42301A">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675CA15A">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041ED10D">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6A4CB9C">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6E3E8C42">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44D489FD">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2558A62">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1FF59EF">
            <w:pPr>
              <w:spacing w:line="360" w:lineRule="auto"/>
              <w:rPr>
                <w:szCs w:val="21"/>
              </w:rPr>
            </w:pPr>
          </w:p>
        </w:tc>
      </w:tr>
      <w:tr w14:paraId="46872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1B969B61">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45DE1390">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6A205906">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79118777">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1848F715">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2B644B8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4BECE474">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7D2EDB66">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65B4FA64">
            <w:pPr>
              <w:spacing w:line="360" w:lineRule="auto"/>
              <w:rPr>
                <w:szCs w:val="21"/>
              </w:rPr>
            </w:pPr>
          </w:p>
        </w:tc>
      </w:tr>
      <w:tr w14:paraId="302CB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194B3E4">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001CB1DC">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14D60EE3">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25D9D2B8">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1CDA969A">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3D5CDAE1">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1B5E7818">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4A4D9180">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18076B62">
            <w:pPr>
              <w:spacing w:line="360" w:lineRule="auto"/>
              <w:rPr>
                <w:szCs w:val="21"/>
              </w:rPr>
            </w:pPr>
          </w:p>
        </w:tc>
      </w:tr>
      <w:tr w14:paraId="7298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4125054">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51376E3F">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42DB656D">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3336F03C">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3652BC1">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62C4B978">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08E21493">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21CF117D">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2D3E26BF">
            <w:pPr>
              <w:spacing w:line="360" w:lineRule="auto"/>
              <w:rPr>
                <w:szCs w:val="21"/>
              </w:rPr>
            </w:pPr>
          </w:p>
        </w:tc>
      </w:tr>
      <w:tr w14:paraId="476CF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5DB15636">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3FD964B8">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73C2BDB0">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4A4326C1">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23331195">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0F7735FE">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11A242D">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D5C8B63">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622ADF07">
            <w:pPr>
              <w:spacing w:line="360" w:lineRule="auto"/>
              <w:rPr>
                <w:szCs w:val="21"/>
              </w:rPr>
            </w:pPr>
          </w:p>
        </w:tc>
      </w:tr>
      <w:tr w14:paraId="2915A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59B529D7">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657B96E3">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49C1B77E">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50477B7D">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87F48E4">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2293E47A">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242C5A8D">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13E813A7">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669F1E04">
            <w:pPr>
              <w:spacing w:line="360" w:lineRule="auto"/>
              <w:rPr>
                <w:szCs w:val="21"/>
              </w:rPr>
            </w:pPr>
          </w:p>
        </w:tc>
      </w:tr>
      <w:tr w14:paraId="7DF66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0D6FF134">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A7F3B3D">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43C9FB26">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6B1B24D7">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017C187">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5AA997FE">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17E81811">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4290EDA9">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4F61FCDC">
            <w:pPr>
              <w:spacing w:line="360" w:lineRule="auto"/>
              <w:rPr>
                <w:szCs w:val="21"/>
              </w:rPr>
            </w:pPr>
          </w:p>
        </w:tc>
      </w:tr>
      <w:tr w14:paraId="06432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18A864B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D43036B">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79FF079E">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1AF0801F">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37CD188">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64728185">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3A19E0FA">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70A4E062">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1954C304">
            <w:pPr>
              <w:spacing w:line="360" w:lineRule="auto"/>
              <w:rPr>
                <w:szCs w:val="21"/>
              </w:rPr>
            </w:pPr>
          </w:p>
        </w:tc>
      </w:tr>
      <w:tr w14:paraId="6B494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E72945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00BD33D6">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6D7A4034">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592A6594">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51503137">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443ACE45">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51846CE1">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0AABD49E">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2766833A">
            <w:pPr>
              <w:spacing w:line="360" w:lineRule="auto"/>
              <w:rPr>
                <w:szCs w:val="21"/>
              </w:rPr>
            </w:pPr>
          </w:p>
        </w:tc>
      </w:tr>
      <w:tr w14:paraId="54D48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06178390">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55DFA2E9">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09E25F52">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6E159DE2">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1A1507B">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12403F0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62D5D98E">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693E6C64">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28747B8">
            <w:pPr>
              <w:spacing w:line="360" w:lineRule="auto"/>
              <w:rPr>
                <w:szCs w:val="21"/>
              </w:rPr>
            </w:pPr>
          </w:p>
        </w:tc>
      </w:tr>
      <w:tr w14:paraId="76E3B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26139910">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58FFDD52">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66C3B633">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5856080C">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28919496">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6052E41E">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1BC8E84E">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750A6C0F">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20B320C6">
            <w:pPr>
              <w:spacing w:line="360" w:lineRule="auto"/>
              <w:rPr>
                <w:szCs w:val="21"/>
              </w:rPr>
            </w:pPr>
          </w:p>
        </w:tc>
      </w:tr>
      <w:tr w14:paraId="3FA69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942AFB0">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1BF4438E">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0B02C2C1">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4AABC63F">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60D18AFA">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31AC8DA3">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588539B5">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0D3CA881">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463419F3">
            <w:pPr>
              <w:spacing w:line="360" w:lineRule="auto"/>
              <w:rPr>
                <w:szCs w:val="21"/>
              </w:rPr>
            </w:pPr>
          </w:p>
        </w:tc>
      </w:tr>
      <w:tr w14:paraId="3B199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4895791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0726DACC">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670BD0C7">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7D48DC18">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397675C4">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1AA7D76D">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2E81E405">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1E5F4C35">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FF1453A">
            <w:pPr>
              <w:spacing w:line="360" w:lineRule="auto"/>
              <w:rPr>
                <w:szCs w:val="21"/>
              </w:rPr>
            </w:pPr>
          </w:p>
        </w:tc>
      </w:tr>
      <w:tr w14:paraId="5101D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1EADD849">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72E79667">
            <w:pPr>
              <w:spacing w:line="360" w:lineRule="auto"/>
              <w:rPr>
                <w:szCs w:val="21"/>
              </w:rPr>
            </w:pPr>
          </w:p>
        </w:tc>
        <w:tc>
          <w:tcPr>
            <w:tcW w:w="1216" w:type="dxa"/>
            <w:tcBorders>
              <w:top w:val="single" w:color="000000" w:sz="4" w:space="0"/>
              <w:left w:val="single" w:color="000000" w:sz="4" w:space="0"/>
              <w:bottom w:val="single" w:color="000000" w:sz="4" w:space="0"/>
              <w:right w:val="single" w:color="000000" w:sz="4" w:space="0"/>
            </w:tcBorders>
          </w:tcPr>
          <w:p w14:paraId="023B65E1">
            <w:pPr>
              <w:spacing w:line="360" w:lineRule="auto"/>
              <w:rPr>
                <w:szCs w:val="21"/>
              </w:rPr>
            </w:pPr>
          </w:p>
        </w:tc>
        <w:tc>
          <w:tcPr>
            <w:tcW w:w="886" w:type="dxa"/>
            <w:tcBorders>
              <w:top w:val="single" w:color="000000" w:sz="4" w:space="0"/>
              <w:left w:val="single" w:color="000000" w:sz="4" w:space="0"/>
              <w:bottom w:val="single" w:color="000000" w:sz="4" w:space="0"/>
              <w:right w:val="single" w:color="000000" w:sz="4" w:space="0"/>
            </w:tcBorders>
          </w:tcPr>
          <w:p w14:paraId="559451FB">
            <w:pPr>
              <w:spacing w:line="360" w:lineRule="auto"/>
              <w:rPr>
                <w:szCs w:val="21"/>
              </w:rPr>
            </w:pPr>
          </w:p>
        </w:tc>
        <w:tc>
          <w:tcPr>
            <w:tcW w:w="1229" w:type="dxa"/>
            <w:tcBorders>
              <w:top w:val="single" w:color="000000" w:sz="4" w:space="0"/>
              <w:left w:val="single" w:color="000000" w:sz="4" w:space="0"/>
              <w:bottom w:val="single" w:color="000000" w:sz="4" w:space="0"/>
              <w:right w:val="single" w:color="000000" w:sz="4" w:space="0"/>
            </w:tcBorders>
          </w:tcPr>
          <w:p w14:paraId="4376A166">
            <w:pPr>
              <w:spacing w:line="360" w:lineRule="auto"/>
              <w:rPr>
                <w:szCs w:val="21"/>
              </w:rPr>
            </w:pPr>
          </w:p>
        </w:tc>
        <w:tc>
          <w:tcPr>
            <w:tcW w:w="873" w:type="dxa"/>
            <w:tcBorders>
              <w:top w:val="single" w:color="000000" w:sz="4" w:space="0"/>
              <w:left w:val="single" w:color="000000" w:sz="4" w:space="0"/>
              <w:bottom w:val="single" w:color="000000" w:sz="4" w:space="0"/>
              <w:right w:val="single" w:color="000000" w:sz="4" w:space="0"/>
            </w:tcBorders>
          </w:tcPr>
          <w:p w14:paraId="1702AF05">
            <w:pPr>
              <w:spacing w:line="360" w:lineRule="auto"/>
              <w:rPr>
                <w:szCs w:val="21"/>
              </w:rPr>
            </w:pPr>
          </w:p>
        </w:tc>
        <w:tc>
          <w:tcPr>
            <w:tcW w:w="1051" w:type="dxa"/>
            <w:tcBorders>
              <w:top w:val="single" w:color="000000" w:sz="4" w:space="0"/>
              <w:left w:val="single" w:color="000000" w:sz="4" w:space="0"/>
              <w:bottom w:val="single" w:color="000000" w:sz="4" w:space="0"/>
              <w:right w:val="single" w:color="000000" w:sz="4" w:space="0"/>
            </w:tcBorders>
          </w:tcPr>
          <w:p w14:paraId="115DF02D">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49B01C80">
            <w:pPr>
              <w:spacing w:line="360" w:lineRule="auto"/>
              <w:rPr>
                <w:szCs w:val="21"/>
              </w:rPr>
            </w:pPr>
          </w:p>
        </w:tc>
        <w:tc>
          <w:tcPr>
            <w:tcW w:w="1053" w:type="dxa"/>
            <w:tcBorders>
              <w:top w:val="single" w:color="000000" w:sz="4" w:space="0"/>
              <w:left w:val="single" w:color="000000" w:sz="4" w:space="0"/>
              <w:bottom w:val="single" w:color="000000" w:sz="4" w:space="0"/>
              <w:right w:val="single" w:color="000000" w:sz="4" w:space="0"/>
            </w:tcBorders>
          </w:tcPr>
          <w:p w14:paraId="5E5B130F">
            <w:pPr>
              <w:spacing w:line="360" w:lineRule="auto"/>
              <w:rPr>
                <w:szCs w:val="21"/>
              </w:rPr>
            </w:pPr>
          </w:p>
        </w:tc>
      </w:tr>
    </w:tbl>
    <w:p w14:paraId="25091E69">
      <w:pPr>
        <w:rPr>
          <w:szCs w:val="21"/>
        </w:rPr>
      </w:pPr>
      <w:r>
        <w:br w:type="page"/>
      </w:r>
      <w:r>
        <w:rPr>
          <w:rFonts w:hint="eastAsia" w:ascii="黑体" w:eastAsia="黑体"/>
          <w:sz w:val="27"/>
          <w:szCs w:val="21"/>
        </w:rPr>
        <w:t>附表三：劳动力计划表</w:t>
      </w:r>
    </w:p>
    <w:p w14:paraId="1E449319">
      <w:pPr>
        <w:ind w:firstLine="7040" w:firstLineChars="3200"/>
        <w:rPr>
          <w:szCs w:val="21"/>
        </w:rPr>
      </w:pPr>
      <w:r>
        <w:rPr>
          <w:rFonts w:hint="eastAsia"/>
          <w:szCs w:val="21"/>
        </w:rPr>
        <w:t>单位：人</w:t>
      </w:r>
    </w:p>
    <w:tbl>
      <w:tblPr>
        <w:tblStyle w:val="3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8"/>
        <w:gridCol w:w="1194"/>
        <w:gridCol w:w="1194"/>
        <w:gridCol w:w="1194"/>
        <w:gridCol w:w="1194"/>
        <w:gridCol w:w="1194"/>
        <w:gridCol w:w="1196"/>
        <w:gridCol w:w="1042"/>
      </w:tblGrid>
      <w:tr w14:paraId="1D39C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vAlign w:val="center"/>
          </w:tcPr>
          <w:p w14:paraId="4561A2C0">
            <w:pPr>
              <w:spacing w:line="360" w:lineRule="auto"/>
              <w:jc w:val="center"/>
              <w:rPr>
                <w:szCs w:val="21"/>
              </w:rPr>
            </w:pPr>
            <w:r>
              <w:rPr>
                <w:rFonts w:hint="eastAsia"/>
                <w:szCs w:val="21"/>
              </w:rPr>
              <w:t>工种</w:t>
            </w:r>
          </w:p>
        </w:tc>
        <w:tc>
          <w:tcPr>
            <w:tcW w:w="8208" w:type="dxa"/>
            <w:gridSpan w:val="7"/>
            <w:tcBorders>
              <w:top w:val="single" w:color="000000" w:sz="4" w:space="0"/>
              <w:left w:val="single" w:color="000000" w:sz="4" w:space="0"/>
              <w:bottom w:val="single" w:color="000000" w:sz="4" w:space="0"/>
              <w:right w:val="single" w:color="000000" w:sz="4" w:space="0"/>
            </w:tcBorders>
            <w:vAlign w:val="center"/>
          </w:tcPr>
          <w:p w14:paraId="0189B449">
            <w:pPr>
              <w:spacing w:line="360" w:lineRule="auto"/>
              <w:jc w:val="center"/>
              <w:rPr>
                <w:szCs w:val="21"/>
              </w:rPr>
            </w:pPr>
            <w:r>
              <w:rPr>
                <w:rFonts w:hint="eastAsia"/>
                <w:szCs w:val="21"/>
              </w:rPr>
              <w:t>按工程施工阶段投入劳动力情况</w:t>
            </w:r>
          </w:p>
        </w:tc>
      </w:tr>
      <w:tr w14:paraId="53E17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7EB35C1F">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964016F">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8131C1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0E07385">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B416CA8">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B4D2AD1">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17F4CFFC">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1D546973">
            <w:pPr>
              <w:spacing w:line="360" w:lineRule="auto"/>
              <w:rPr>
                <w:szCs w:val="21"/>
              </w:rPr>
            </w:pPr>
          </w:p>
        </w:tc>
      </w:tr>
      <w:tr w14:paraId="4C18A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00CCBD4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2FEE4A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0578F96">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EAB71E5">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51CB95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0118083">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10133E9C">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1CDE08DD">
            <w:pPr>
              <w:spacing w:line="360" w:lineRule="auto"/>
              <w:rPr>
                <w:szCs w:val="21"/>
              </w:rPr>
            </w:pPr>
          </w:p>
        </w:tc>
      </w:tr>
      <w:tr w14:paraId="49408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11BF88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B76C198">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59FA9A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14E748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9D5DFE6">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D95F6CF">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25760F8D">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70139035">
            <w:pPr>
              <w:spacing w:line="360" w:lineRule="auto"/>
              <w:rPr>
                <w:szCs w:val="21"/>
              </w:rPr>
            </w:pPr>
          </w:p>
        </w:tc>
      </w:tr>
      <w:tr w14:paraId="61EE0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2D52788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53DF776">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1AE22C8">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C2256C0">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491D6E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2532E80">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7A1ADA72">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61384F56">
            <w:pPr>
              <w:spacing w:line="360" w:lineRule="auto"/>
              <w:rPr>
                <w:szCs w:val="21"/>
              </w:rPr>
            </w:pPr>
          </w:p>
        </w:tc>
      </w:tr>
      <w:tr w14:paraId="6D07D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0C86950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E66E41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0372C4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3B31DF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759432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7B8F75A">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43C9C368">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1255242B">
            <w:pPr>
              <w:spacing w:line="360" w:lineRule="auto"/>
              <w:rPr>
                <w:szCs w:val="21"/>
              </w:rPr>
            </w:pPr>
          </w:p>
        </w:tc>
      </w:tr>
      <w:tr w14:paraId="3168A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3FA4996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0B80376">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3C4E31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57D814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7982815">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5B0B765">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16AD3D7C">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7B8534E3">
            <w:pPr>
              <w:spacing w:line="360" w:lineRule="auto"/>
              <w:rPr>
                <w:szCs w:val="21"/>
              </w:rPr>
            </w:pPr>
          </w:p>
        </w:tc>
      </w:tr>
      <w:tr w14:paraId="4493B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015EE0D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9AFDC6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5B478F8">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4BC8B4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47266E3">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3954DBB">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7EBB3118">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44E150D6">
            <w:pPr>
              <w:spacing w:line="360" w:lineRule="auto"/>
              <w:rPr>
                <w:szCs w:val="21"/>
              </w:rPr>
            </w:pPr>
          </w:p>
        </w:tc>
      </w:tr>
      <w:tr w14:paraId="28425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ED82F9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8C2695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E302064">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175E123">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C5E2959">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DD83821">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639223B8">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514E3E3C">
            <w:pPr>
              <w:spacing w:line="360" w:lineRule="auto"/>
              <w:rPr>
                <w:szCs w:val="21"/>
              </w:rPr>
            </w:pPr>
          </w:p>
        </w:tc>
      </w:tr>
      <w:tr w14:paraId="38055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2028F8F9">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3C1CD79">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AD5DFB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99C817F">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0B99EB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8ECA26E">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025A75D9">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09B750F3">
            <w:pPr>
              <w:spacing w:line="360" w:lineRule="auto"/>
              <w:rPr>
                <w:szCs w:val="21"/>
              </w:rPr>
            </w:pPr>
          </w:p>
        </w:tc>
      </w:tr>
      <w:tr w14:paraId="3E973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DD396E5">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730FA73">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F7D6691">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D57C7D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59018E1">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99CC470">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1FF61D89">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2819E228">
            <w:pPr>
              <w:spacing w:line="360" w:lineRule="auto"/>
              <w:rPr>
                <w:szCs w:val="21"/>
              </w:rPr>
            </w:pPr>
          </w:p>
        </w:tc>
      </w:tr>
      <w:tr w14:paraId="305E5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0C8862A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3DBA47B">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7DFFE4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18AECC3">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15FB1D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3C72F04">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729BD0F9">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3A81E105">
            <w:pPr>
              <w:spacing w:line="360" w:lineRule="auto"/>
              <w:rPr>
                <w:szCs w:val="21"/>
              </w:rPr>
            </w:pPr>
          </w:p>
        </w:tc>
      </w:tr>
      <w:tr w14:paraId="01D01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23FEC4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2319F4F">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4EF1E5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B29242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21FD49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1E404C7">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2157E9C0">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473B7081">
            <w:pPr>
              <w:spacing w:line="360" w:lineRule="auto"/>
              <w:rPr>
                <w:szCs w:val="21"/>
              </w:rPr>
            </w:pPr>
          </w:p>
        </w:tc>
      </w:tr>
      <w:tr w14:paraId="332A1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7D10CEA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CD316D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1583CA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5F5B87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217D783">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B67F461">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326A6A51">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6488A808">
            <w:pPr>
              <w:spacing w:line="360" w:lineRule="auto"/>
              <w:rPr>
                <w:szCs w:val="21"/>
              </w:rPr>
            </w:pPr>
          </w:p>
        </w:tc>
      </w:tr>
      <w:tr w14:paraId="488B6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0A6E09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CB9BDD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0E6359B">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DADD314">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7A4F306">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263D95E">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6BDF24F3">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507ECF16">
            <w:pPr>
              <w:spacing w:line="360" w:lineRule="auto"/>
              <w:rPr>
                <w:szCs w:val="21"/>
              </w:rPr>
            </w:pPr>
          </w:p>
        </w:tc>
      </w:tr>
      <w:tr w14:paraId="75937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52DE900">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CAC94F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35E8DD4">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D7B19D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E00F0FB">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27123D7">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426F1F88">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1B250AD2">
            <w:pPr>
              <w:spacing w:line="360" w:lineRule="auto"/>
              <w:rPr>
                <w:szCs w:val="21"/>
              </w:rPr>
            </w:pPr>
          </w:p>
        </w:tc>
      </w:tr>
      <w:tr w14:paraId="596C8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5D42994">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334090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013F31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E8218A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E6F1A03">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F08DCD5">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69A8D546">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1FA0CEE6">
            <w:pPr>
              <w:spacing w:line="360" w:lineRule="auto"/>
              <w:rPr>
                <w:szCs w:val="21"/>
              </w:rPr>
            </w:pPr>
          </w:p>
        </w:tc>
      </w:tr>
      <w:tr w14:paraId="3637E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7097724F">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86C606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F730F21">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8382E7C">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DE0293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070A5F5">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7C99655C">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7665F31C">
            <w:pPr>
              <w:spacing w:line="360" w:lineRule="auto"/>
              <w:rPr>
                <w:szCs w:val="21"/>
              </w:rPr>
            </w:pPr>
          </w:p>
        </w:tc>
      </w:tr>
      <w:tr w14:paraId="0DB47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31CF3D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8C9BDC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69A05C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217009D">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CB4BDDA">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701AFF1D">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7D0E698C">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4FAC26EB">
            <w:pPr>
              <w:spacing w:line="360" w:lineRule="auto"/>
              <w:rPr>
                <w:szCs w:val="21"/>
              </w:rPr>
            </w:pPr>
          </w:p>
        </w:tc>
      </w:tr>
      <w:tr w14:paraId="3CD9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B5193E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BDF03A4">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F138425">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084FAD7">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0BFAA1DE">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3CFFC111">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33DBE8E5">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096137D6">
            <w:pPr>
              <w:spacing w:line="360" w:lineRule="auto"/>
              <w:rPr>
                <w:szCs w:val="21"/>
              </w:rPr>
            </w:pPr>
          </w:p>
        </w:tc>
      </w:tr>
      <w:tr w14:paraId="26B7C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5A5F8519">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4C716B32">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107DB940">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2B6C525F">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55434719">
            <w:pPr>
              <w:spacing w:line="360" w:lineRule="auto"/>
              <w:rPr>
                <w:szCs w:val="21"/>
              </w:rPr>
            </w:pPr>
          </w:p>
        </w:tc>
        <w:tc>
          <w:tcPr>
            <w:tcW w:w="1194" w:type="dxa"/>
            <w:tcBorders>
              <w:top w:val="single" w:color="000000" w:sz="4" w:space="0"/>
              <w:left w:val="single" w:color="000000" w:sz="4" w:space="0"/>
              <w:bottom w:val="single" w:color="000000" w:sz="4" w:space="0"/>
              <w:right w:val="single" w:color="000000" w:sz="4" w:space="0"/>
            </w:tcBorders>
          </w:tcPr>
          <w:p w14:paraId="6157B70E">
            <w:pPr>
              <w:spacing w:line="360" w:lineRule="auto"/>
              <w:rPr>
                <w:szCs w:val="21"/>
              </w:rPr>
            </w:pPr>
          </w:p>
        </w:tc>
        <w:tc>
          <w:tcPr>
            <w:tcW w:w="1196" w:type="dxa"/>
            <w:tcBorders>
              <w:top w:val="single" w:color="000000" w:sz="4" w:space="0"/>
              <w:left w:val="single" w:color="000000" w:sz="4" w:space="0"/>
              <w:bottom w:val="single" w:color="000000" w:sz="4" w:space="0"/>
              <w:right w:val="single" w:color="000000" w:sz="4" w:space="0"/>
            </w:tcBorders>
          </w:tcPr>
          <w:p w14:paraId="51DC0586">
            <w:pPr>
              <w:spacing w:line="360" w:lineRule="auto"/>
              <w:rPr>
                <w:szCs w:val="21"/>
              </w:rPr>
            </w:pPr>
          </w:p>
        </w:tc>
        <w:tc>
          <w:tcPr>
            <w:tcW w:w="1042" w:type="dxa"/>
            <w:tcBorders>
              <w:top w:val="single" w:color="000000" w:sz="4" w:space="0"/>
              <w:left w:val="single" w:color="000000" w:sz="4" w:space="0"/>
              <w:bottom w:val="single" w:color="000000" w:sz="4" w:space="0"/>
              <w:right w:val="single" w:color="000000" w:sz="4" w:space="0"/>
            </w:tcBorders>
          </w:tcPr>
          <w:p w14:paraId="1E4F966E">
            <w:pPr>
              <w:spacing w:line="360" w:lineRule="auto"/>
              <w:rPr>
                <w:szCs w:val="21"/>
              </w:rPr>
            </w:pPr>
          </w:p>
        </w:tc>
      </w:tr>
    </w:tbl>
    <w:p w14:paraId="63634CF1">
      <w:pPr>
        <w:rPr>
          <w:rFonts w:ascii="黑体" w:eastAsia="黑体"/>
          <w:sz w:val="27"/>
          <w:szCs w:val="21"/>
        </w:rPr>
      </w:pPr>
      <w:r>
        <w:br w:type="page"/>
      </w:r>
      <w:r>
        <w:rPr>
          <w:rFonts w:hint="eastAsia" w:ascii="黑体" w:eastAsia="黑体"/>
          <w:sz w:val="27"/>
          <w:szCs w:val="21"/>
        </w:rPr>
        <w:t>附表四：计划开、竣工日期和施工进度网络图</w:t>
      </w:r>
    </w:p>
    <w:p w14:paraId="61E9A977">
      <w:pPr>
        <w:spacing w:line="360" w:lineRule="auto"/>
        <w:ind w:firstLine="440" w:firstLineChars="200"/>
        <w:rPr>
          <w:szCs w:val="21"/>
        </w:rPr>
      </w:pPr>
      <w:r>
        <w:rPr>
          <w:rFonts w:hint="eastAsia"/>
          <w:szCs w:val="21"/>
        </w:rPr>
        <w:t>1.应递交施工进度网络图或施工进度表，说明按</w:t>
      </w:r>
      <w:r>
        <w:rPr>
          <w:rFonts w:hint="eastAsia"/>
          <w:szCs w:val="21"/>
          <w:lang w:eastAsia="zh-CN"/>
        </w:rPr>
        <w:t>采购</w:t>
      </w:r>
      <w:r>
        <w:rPr>
          <w:rFonts w:hint="eastAsia"/>
          <w:szCs w:val="21"/>
        </w:rPr>
        <w:t>文件要求的计划工期进行施工的各个关键日期。</w:t>
      </w:r>
    </w:p>
    <w:p w14:paraId="2F4BED3C">
      <w:pPr>
        <w:spacing w:line="360" w:lineRule="auto"/>
        <w:ind w:firstLine="440" w:firstLineChars="200"/>
        <w:rPr>
          <w:szCs w:val="21"/>
        </w:rPr>
      </w:pPr>
      <w:r>
        <w:rPr>
          <w:rFonts w:hint="eastAsia"/>
          <w:szCs w:val="21"/>
        </w:rPr>
        <w:t>2.施工进度表可采用网络图（或横道图）表示。</w:t>
      </w:r>
    </w:p>
    <w:p w14:paraId="6723EDB2">
      <w:r>
        <w:br w:type="page"/>
      </w:r>
    </w:p>
    <w:p w14:paraId="057A681D">
      <w:pPr>
        <w:pStyle w:val="2"/>
        <w:spacing w:before="0" w:after="480" w:afterLines="200"/>
        <w:ind w:left="3663" w:right="2954"/>
        <w:rPr>
          <w:rFonts w:ascii="Times New Roman" w:hAnsi="Times New Roman" w:cs="Times New Roman"/>
          <w:lang w:eastAsia="zh-CN"/>
        </w:rPr>
      </w:pPr>
      <w:bookmarkStart w:id="1090" w:name="_Toc4167"/>
      <w:r>
        <w:rPr>
          <w:rFonts w:ascii="Times New Roman" w:hAnsi="Times New Roman" w:cs="Times New Roman"/>
          <w:lang w:eastAsia="zh-CN"/>
        </w:rPr>
        <w:t>最后报价一览表</w:t>
      </w:r>
      <w:bookmarkEnd w:id="1090"/>
    </w:p>
    <w:p w14:paraId="159EDFB5">
      <w:pPr>
        <w:adjustRightInd w:val="0"/>
        <w:snapToGrid w:val="0"/>
        <w:rPr>
          <w:sz w:val="24"/>
          <w:szCs w:val="24"/>
        </w:rPr>
      </w:pPr>
      <w:r>
        <w:rPr>
          <w:rFonts w:hint="eastAsia"/>
          <w:sz w:val="24"/>
          <w:szCs w:val="24"/>
        </w:rPr>
        <w:t>项目名称：</w:t>
      </w:r>
    </w:p>
    <w:p w14:paraId="06957FAA">
      <w:pPr>
        <w:pStyle w:val="12"/>
        <w:spacing w:before="6" w:after="1"/>
        <w:rPr>
          <w:rFonts w:hint="eastAsia"/>
          <w:sz w:val="24"/>
          <w:szCs w:val="24"/>
        </w:rPr>
      </w:pPr>
      <w:r>
        <w:rPr>
          <w:rFonts w:hint="eastAsia"/>
          <w:sz w:val="24"/>
          <w:szCs w:val="24"/>
          <w:lang w:eastAsia="zh-CN"/>
        </w:rPr>
        <w:t>招标编号</w:t>
      </w:r>
      <w:r>
        <w:rPr>
          <w:rFonts w:hint="eastAsia"/>
          <w:sz w:val="24"/>
          <w:szCs w:val="24"/>
        </w:rPr>
        <w:t>：</w:t>
      </w:r>
    </w:p>
    <w:tbl>
      <w:tblPr>
        <w:tblStyle w:val="33"/>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1395"/>
        <w:gridCol w:w="1395"/>
        <w:gridCol w:w="1395"/>
        <w:gridCol w:w="1594"/>
        <w:gridCol w:w="2050"/>
      </w:tblGrid>
      <w:tr w14:paraId="06183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0" w:type="auto"/>
            <w:vAlign w:val="center"/>
          </w:tcPr>
          <w:p w14:paraId="51E2867F">
            <w:pPr>
              <w:spacing w:line="360" w:lineRule="auto"/>
              <w:jc w:val="center"/>
              <w:rPr>
                <w:b/>
                <w:sz w:val="24"/>
              </w:rPr>
            </w:pPr>
            <w:r>
              <w:rPr>
                <w:rFonts w:hint="eastAsia"/>
                <w:b/>
                <w:sz w:val="24"/>
              </w:rPr>
              <w:t>项目名称</w:t>
            </w:r>
          </w:p>
        </w:tc>
        <w:tc>
          <w:tcPr>
            <w:tcW w:w="0" w:type="auto"/>
            <w:vAlign w:val="center"/>
          </w:tcPr>
          <w:p w14:paraId="48851CC7">
            <w:pPr>
              <w:spacing w:line="360" w:lineRule="auto"/>
              <w:jc w:val="center"/>
              <w:rPr>
                <w:b/>
                <w:sz w:val="24"/>
              </w:rPr>
            </w:pPr>
            <w:r>
              <w:rPr>
                <w:rFonts w:hint="eastAsia"/>
                <w:b/>
                <w:sz w:val="24"/>
              </w:rPr>
              <w:t>施工范围</w:t>
            </w:r>
          </w:p>
        </w:tc>
        <w:tc>
          <w:tcPr>
            <w:tcW w:w="0" w:type="auto"/>
            <w:vAlign w:val="center"/>
          </w:tcPr>
          <w:p w14:paraId="49909587">
            <w:pPr>
              <w:spacing w:line="360" w:lineRule="auto"/>
              <w:jc w:val="center"/>
              <w:rPr>
                <w:b/>
                <w:sz w:val="24"/>
              </w:rPr>
            </w:pPr>
            <w:r>
              <w:rPr>
                <w:rFonts w:hint="eastAsia"/>
                <w:b/>
                <w:sz w:val="24"/>
              </w:rPr>
              <w:t>施工工期</w:t>
            </w:r>
          </w:p>
        </w:tc>
        <w:tc>
          <w:tcPr>
            <w:tcW w:w="0" w:type="auto"/>
            <w:vAlign w:val="center"/>
          </w:tcPr>
          <w:p w14:paraId="69B3B24C">
            <w:pPr>
              <w:spacing w:line="360" w:lineRule="auto"/>
              <w:jc w:val="center"/>
              <w:rPr>
                <w:b/>
                <w:sz w:val="24"/>
              </w:rPr>
            </w:pPr>
            <w:r>
              <w:rPr>
                <w:rFonts w:hint="eastAsia"/>
                <w:b/>
                <w:sz w:val="24"/>
              </w:rPr>
              <w:t>项目经理</w:t>
            </w:r>
          </w:p>
        </w:tc>
        <w:tc>
          <w:tcPr>
            <w:tcW w:w="1594" w:type="dxa"/>
            <w:vAlign w:val="center"/>
          </w:tcPr>
          <w:p w14:paraId="2FB1FD49">
            <w:pPr>
              <w:spacing w:line="360" w:lineRule="auto"/>
              <w:jc w:val="both"/>
              <w:rPr>
                <w:rFonts w:hint="eastAsia" w:eastAsia="宋体"/>
                <w:b/>
                <w:sz w:val="24"/>
                <w:lang w:eastAsia="zh-CN"/>
              </w:rPr>
            </w:pPr>
            <w:r>
              <w:rPr>
                <w:rFonts w:hint="eastAsia"/>
                <w:b/>
                <w:sz w:val="24"/>
              </w:rPr>
              <w:t>执业证书</w:t>
            </w:r>
            <w:r>
              <w:rPr>
                <w:rFonts w:hint="eastAsia"/>
                <w:b/>
                <w:sz w:val="24"/>
                <w:lang w:eastAsia="zh-CN"/>
              </w:rPr>
              <w:t>号</w:t>
            </w:r>
          </w:p>
        </w:tc>
        <w:tc>
          <w:tcPr>
            <w:tcW w:w="2050" w:type="dxa"/>
            <w:vAlign w:val="center"/>
          </w:tcPr>
          <w:p w14:paraId="6B7FEB5E">
            <w:pPr>
              <w:spacing w:line="360" w:lineRule="auto"/>
              <w:jc w:val="center"/>
              <w:rPr>
                <w:b/>
                <w:sz w:val="24"/>
              </w:rPr>
            </w:pPr>
            <w:r>
              <w:rPr>
                <w:rFonts w:hint="eastAsia"/>
                <w:b/>
                <w:sz w:val="24"/>
              </w:rPr>
              <w:t>备注（如果有）</w:t>
            </w:r>
          </w:p>
        </w:tc>
      </w:tr>
      <w:tr w14:paraId="33E3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0" w:type="auto"/>
            <w:vAlign w:val="center"/>
          </w:tcPr>
          <w:p w14:paraId="4AE3C51F">
            <w:pPr>
              <w:snapToGrid w:val="0"/>
              <w:spacing w:line="360" w:lineRule="auto"/>
              <w:jc w:val="center"/>
              <w:rPr>
                <w:sz w:val="24"/>
              </w:rPr>
            </w:pPr>
          </w:p>
        </w:tc>
        <w:tc>
          <w:tcPr>
            <w:tcW w:w="0" w:type="auto"/>
            <w:vAlign w:val="center"/>
          </w:tcPr>
          <w:p w14:paraId="77E0F6FD">
            <w:pPr>
              <w:snapToGrid w:val="0"/>
              <w:spacing w:line="360" w:lineRule="auto"/>
              <w:jc w:val="center"/>
              <w:rPr>
                <w:sz w:val="24"/>
              </w:rPr>
            </w:pPr>
          </w:p>
        </w:tc>
        <w:tc>
          <w:tcPr>
            <w:tcW w:w="0" w:type="auto"/>
            <w:vAlign w:val="center"/>
          </w:tcPr>
          <w:p w14:paraId="322260D5">
            <w:pPr>
              <w:snapToGrid w:val="0"/>
              <w:spacing w:line="360" w:lineRule="auto"/>
              <w:jc w:val="center"/>
              <w:rPr>
                <w:sz w:val="24"/>
              </w:rPr>
            </w:pPr>
          </w:p>
        </w:tc>
        <w:tc>
          <w:tcPr>
            <w:tcW w:w="0" w:type="auto"/>
            <w:vAlign w:val="center"/>
          </w:tcPr>
          <w:p w14:paraId="62495EFF">
            <w:pPr>
              <w:spacing w:line="360" w:lineRule="auto"/>
              <w:jc w:val="center"/>
              <w:rPr>
                <w:sz w:val="24"/>
              </w:rPr>
            </w:pPr>
          </w:p>
        </w:tc>
        <w:tc>
          <w:tcPr>
            <w:tcW w:w="1594" w:type="dxa"/>
            <w:vAlign w:val="center"/>
          </w:tcPr>
          <w:p w14:paraId="643D06F7">
            <w:pPr>
              <w:spacing w:line="360" w:lineRule="auto"/>
              <w:jc w:val="center"/>
              <w:rPr>
                <w:sz w:val="24"/>
              </w:rPr>
            </w:pPr>
          </w:p>
        </w:tc>
        <w:tc>
          <w:tcPr>
            <w:tcW w:w="2050" w:type="dxa"/>
            <w:vAlign w:val="center"/>
          </w:tcPr>
          <w:p w14:paraId="6F9874F9">
            <w:pPr>
              <w:spacing w:line="360" w:lineRule="auto"/>
              <w:jc w:val="center"/>
              <w:rPr>
                <w:sz w:val="24"/>
              </w:rPr>
            </w:pPr>
          </w:p>
        </w:tc>
      </w:tr>
      <w:tr w14:paraId="2361E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0" w:type="auto"/>
            <w:gridSpan w:val="3"/>
            <w:vAlign w:val="center"/>
          </w:tcPr>
          <w:p w14:paraId="5A12AE55">
            <w:pPr>
              <w:spacing w:line="360" w:lineRule="auto"/>
              <w:jc w:val="center"/>
              <w:rPr>
                <w:b/>
                <w:sz w:val="24"/>
              </w:rPr>
            </w:pPr>
            <w:r>
              <w:rPr>
                <w:rFonts w:hint="eastAsia"/>
                <w:b/>
                <w:sz w:val="24"/>
              </w:rPr>
              <w:t>磋商报价（小写）</w:t>
            </w:r>
          </w:p>
        </w:tc>
        <w:tc>
          <w:tcPr>
            <w:tcW w:w="0" w:type="auto"/>
            <w:gridSpan w:val="3"/>
            <w:vAlign w:val="center"/>
          </w:tcPr>
          <w:p w14:paraId="0AD848BA">
            <w:pPr>
              <w:spacing w:line="360" w:lineRule="auto"/>
              <w:jc w:val="center"/>
              <w:rPr>
                <w:sz w:val="24"/>
              </w:rPr>
            </w:pPr>
          </w:p>
        </w:tc>
      </w:tr>
      <w:tr w14:paraId="6D36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0" w:type="auto"/>
            <w:gridSpan w:val="3"/>
            <w:vAlign w:val="center"/>
          </w:tcPr>
          <w:p w14:paraId="32F1F906">
            <w:pPr>
              <w:spacing w:line="360" w:lineRule="auto"/>
              <w:jc w:val="center"/>
              <w:rPr>
                <w:b/>
                <w:sz w:val="24"/>
              </w:rPr>
            </w:pPr>
            <w:r>
              <w:rPr>
                <w:rFonts w:hint="eastAsia"/>
                <w:b/>
                <w:sz w:val="24"/>
              </w:rPr>
              <w:t>磋商报价（大写）</w:t>
            </w:r>
          </w:p>
        </w:tc>
        <w:tc>
          <w:tcPr>
            <w:tcW w:w="0" w:type="auto"/>
            <w:gridSpan w:val="3"/>
            <w:vAlign w:val="center"/>
          </w:tcPr>
          <w:p w14:paraId="74B74BEE">
            <w:pPr>
              <w:spacing w:line="360" w:lineRule="auto"/>
              <w:jc w:val="center"/>
              <w:rPr>
                <w:sz w:val="24"/>
              </w:rPr>
            </w:pPr>
          </w:p>
        </w:tc>
      </w:tr>
    </w:tbl>
    <w:p w14:paraId="09ED83B1">
      <w:pPr>
        <w:spacing w:line="360" w:lineRule="auto"/>
        <w:ind w:firstLine="482"/>
        <w:rPr>
          <w:sz w:val="24"/>
          <w:szCs w:val="24"/>
        </w:rPr>
      </w:pPr>
      <w:r>
        <w:rPr>
          <w:rFonts w:hint="eastAsia"/>
          <w:sz w:val="24"/>
          <w:szCs w:val="24"/>
        </w:rPr>
        <w:t>注：此部分内容不需装入响应文件中，请</w:t>
      </w:r>
      <w:r>
        <w:rPr>
          <w:rFonts w:hint="eastAsia"/>
          <w:sz w:val="24"/>
          <w:szCs w:val="24"/>
          <w:lang w:eastAsia="zh-CN"/>
        </w:rPr>
        <w:t>上传</w:t>
      </w:r>
      <w:r>
        <w:rPr>
          <w:rFonts w:hint="eastAsia"/>
          <w:sz w:val="24"/>
          <w:szCs w:val="24"/>
        </w:rPr>
        <w:t>签字、盖章到</w:t>
      </w:r>
      <w:r>
        <w:rPr>
          <w:rFonts w:hint="eastAsia"/>
          <w:sz w:val="24"/>
          <w:szCs w:val="24"/>
          <w:lang w:eastAsia="zh-CN"/>
        </w:rPr>
        <w:t>政采云”平台</w:t>
      </w:r>
      <w:r>
        <w:rPr>
          <w:rFonts w:hint="eastAsia"/>
          <w:sz w:val="24"/>
          <w:szCs w:val="24"/>
        </w:rPr>
        <w:t>。</w:t>
      </w:r>
    </w:p>
    <w:p w14:paraId="4113E684">
      <w:pPr>
        <w:spacing w:line="360" w:lineRule="auto"/>
        <w:ind w:firstLine="482"/>
        <w:rPr>
          <w:sz w:val="24"/>
          <w:szCs w:val="24"/>
        </w:rPr>
      </w:pPr>
    </w:p>
    <w:p w14:paraId="4EFEECDA">
      <w:pPr>
        <w:spacing w:line="360" w:lineRule="auto"/>
        <w:ind w:firstLine="482"/>
        <w:rPr>
          <w:sz w:val="24"/>
          <w:szCs w:val="24"/>
        </w:rPr>
      </w:pPr>
    </w:p>
    <w:p w14:paraId="3EF61212">
      <w:pPr>
        <w:spacing w:line="360" w:lineRule="auto"/>
        <w:ind w:firstLine="482"/>
        <w:rPr>
          <w:sz w:val="24"/>
          <w:szCs w:val="24"/>
        </w:rPr>
      </w:pPr>
    </w:p>
    <w:p w14:paraId="418C5880">
      <w:pPr>
        <w:spacing w:line="360" w:lineRule="auto"/>
        <w:ind w:firstLine="482"/>
        <w:rPr>
          <w:sz w:val="24"/>
          <w:szCs w:val="24"/>
        </w:rPr>
      </w:pPr>
    </w:p>
    <w:p w14:paraId="091B0C74">
      <w:pPr>
        <w:pStyle w:val="12"/>
        <w:tabs>
          <w:tab w:val="left" w:pos="1601"/>
          <w:tab w:val="left" w:pos="2321"/>
          <w:tab w:val="left" w:pos="3041"/>
          <w:tab w:val="left" w:pos="6454"/>
        </w:tabs>
        <w:spacing w:line="384" w:lineRule="auto"/>
        <w:ind w:left="401" w:right="3430"/>
        <w:rPr>
          <w:rFonts w:ascii="Times New Roman" w:hAnsi="Times New Roman" w:eastAsia="Times New Roman" w:cs="Times New Roman"/>
          <w:sz w:val="24"/>
          <w:szCs w:val="24"/>
          <w:u w:val="single"/>
          <w:lang w:eastAsia="zh-CN"/>
        </w:rPr>
      </w:pPr>
      <w:r>
        <w:rPr>
          <w:rFonts w:ascii="Times New Roman" w:hAnsi="Times New Roman" w:cs="Times New Roman"/>
          <w:sz w:val="24"/>
          <w:szCs w:val="24"/>
          <w:lang w:eastAsia="zh-CN"/>
        </w:rPr>
        <w:t xml:space="preserve">供应商授权代表签字（或加盖供应商公章）： </w:t>
      </w:r>
      <w:r>
        <w:rPr>
          <w:rFonts w:hint="eastAsia" w:ascii="Times New Roman" w:hAnsi="Times New Roman" w:cs="Times New Roman"/>
          <w:sz w:val="24"/>
          <w:szCs w:val="24"/>
          <w:lang w:val="en-US" w:eastAsia="zh-CN"/>
        </w:rPr>
        <w:t xml:space="preserve"> </w:t>
      </w:r>
      <w:r>
        <w:rPr>
          <w:rFonts w:ascii="Times New Roman" w:hAnsi="Times New Roman" w:eastAsia="Times New Roman" w:cs="Times New Roman"/>
          <w:sz w:val="24"/>
          <w:szCs w:val="24"/>
          <w:u w:val="single"/>
          <w:lang w:eastAsia="zh-CN"/>
        </w:rPr>
        <w:tab/>
      </w:r>
    </w:p>
    <w:p w14:paraId="5250D905">
      <w:pPr>
        <w:pStyle w:val="12"/>
        <w:tabs>
          <w:tab w:val="left" w:pos="1601"/>
          <w:tab w:val="left" w:pos="2321"/>
          <w:tab w:val="left" w:pos="3041"/>
          <w:tab w:val="left" w:pos="6454"/>
        </w:tabs>
        <w:spacing w:line="384" w:lineRule="auto"/>
        <w:ind w:left="401" w:right="3430"/>
        <w:rPr>
          <w:rFonts w:ascii="Times New Roman" w:hAnsi="Times New Roman" w:cs="Times New Roman"/>
          <w:sz w:val="24"/>
          <w:szCs w:val="24"/>
          <w:lang w:eastAsia="zh-CN"/>
        </w:rPr>
      </w:pPr>
      <w:r>
        <w:rPr>
          <w:rFonts w:ascii="Times New Roman" w:hAnsi="Times New Roman" w:cs="Times New Roman"/>
          <w:sz w:val="24"/>
          <w:szCs w:val="24"/>
          <w:lang w:eastAsia="zh-CN"/>
        </w:rPr>
        <w:t>日期：</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年</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月</w:t>
      </w:r>
      <w:r>
        <w:rPr>
          <w:rFonts w:ascii="Times New Roman" w:hAnsi="Times New Roman" w:cs="Times New Roman"/>
          <w:sz w:val="24"/>
          <w:szCs w:val="24"/>
          <w:u w:val="single"/>
          <w:lang w:eastAsia="zh-CN"/>
        </w:rPr>
        <w:t xml:space="preserve"> </w:t>
      </w:r>
      <w:r>
        <w:rPr>
          <w:rFonts w:ascii="Times New Roman" w:hAnsi="Times New Roman" w:cs="Times New Roman"/>
          <w:sz w:val="24"/>
          <w:szCs w:val="24"/>
          <w:u w:val="single"/>
          <w:lang w:eastAsia="zh-CN"/>
        </w:rPr>
        <w:tab/>
      </w:r>
      <w:r>
        <w:rPr>
          <w:rFonts w:ascii="Times New Roman" w:hAnsi="Times New Roman" w:cs="Times New Roman"/>
          <w:sz w:val="24"/>
          <w:szCs w:val="24"/>
          <w:lang w:eastAsia="zh-CN"/>
        </w:rPr>
        <w:t>日</w:t>
      </w:r>
    </w:p>
    <w:p w14:paraId="126B1B2E">
      <w:pPr>
        <w:spacing w:line="384" w:lineRule="auto"/>
        <w:rPr>
          <w:lang w:eastAsia="zh-CN"/>
        </w:rPr>
      </w:pPr>
      <w:r>
        <w:rPr>
          <w:rFonts w:hint="eastAsia" w:ascii="Times New Roman" w:hAnsi="Times New Roman" w:cs="Times New Roman"/>
          <w:sz w:val="24"/>
          <w:szCs w:val="24"/>
          <w:lang w:val="en-US" w:eastAsia="zh-CN"/>
        </w:rPr>
        <w:t xml:space="preserve">      </w:t>
      </w:r>
    </w:p>
    <w:p w14:paraId="2A029817">
      <w:pPr>
        <w:rPr>
          <w:rFonts w:hint="eastAsia"/>
          <w:color w:val="auto"/>
          <w:lang w:val="en-US" w:eastAsia="zh-CN"/>
        </w:rPr>
      </w:pPr>
    </w:p>
    <w:sectPr>
      <w:headerReference r:id="rId6" w:type="default"/>
      <w:footerReference r:id="rId7" w:type="default"/>
      <w:pgSz w:w="11906" w:h="16838"/>
      <w:pgMar w:top="1338" w:right="1134" w:bottom="1083" w:left="1162"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1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Microsoft JhengHei">
    <w:panose1 w:val="020B0604030504040204"/>
    <w:charset w:val="88"/>
    <w:family w:val="swiss"/>
    <w:pitch w:val="default"/>
    <w:sig w:usb0="00000087" w:usb1="28AF4000" w:usb2="00000016" w:usb3="00000000" w:csb0="00100009" w:csb1="00000000"/>
  </w:font>
  <w:font w:name="楷体">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5B764">
    <w:pPr>
      <w:pStyle w:val="21"/>
      <w:jc w:val="center"/>
    </w:pPr>
  </w:p>
  <w:p w14:paraId="7F28AD03">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832BD">
    <w:pPr>
      <w:pStyle w:val="12"/>
      <w:rPr>
        <w:sz w:val="20"/>
        <w:lang w:eastAsia="zh-CN"/>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文本框 6"/>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w="6350">
                        <a:noFill/>
                      </a:ln>
                    </wps:spPr>
                    <wps:txbx>
                      <w:txbxContent>
                        <w:p w14:paraId="39CC1612">
                          <w:pPr>
                            <w:pStyle w:val="21"/>
                            <w:rPr>
                              <w:lang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P8wR7RAAAAAgEAAA8AAAAAAAAAAQAgAAAAIgAAAGRycy9kb3ducmV2LnhtbFBLAQIUABQA&#10;AAAIAIdO4kDP6MugMAIAAFIEAAAOAAAAAAAAAAEAIAAAACABAABkcnMvZTJvRG9jLnhtbFBLBQYA&#10;AAAABgAGAFkBAADCBQAAAAA=&#10;">
              <v:fill on="f" focussize="0,0"/>
              <v:stroke on="f" weight="0.5pt"/>
              <v:imagedata o:title=""/>
              <o:lock v:ext="edit" aspectratio="f"/>
              <v:textbox inset="0mm,0mm,0mm,0mm" style="mso-fit-shape-to-text:t;">
                <w:txbxContent>
                  <w:p w14:paraId="39CC1612">
                    <w:pPr>
                      <w:pStyle w:val="21"/>
                      <w:rPr>
                        <w:lang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82C1A">
    <w:pPr>
      <w:pStyle w:val="12"/>
      <w:rPr>
        <w:sz w:val="20"/>
        <w:lang w:eastAsia="zh-CN"/>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47A05">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4B47A05">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5C46">
    <w:pPr>
      <w:pStyle w:val="12"/>
      <w:spacing w:line="14" w:lineRule="auto"/>
      <w:rPr>
        <w:sz w:val="20"/>
        <w:lang w:eastAsia="zh-CN"/>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152A9A">
                          <w:pPr>
                            <w:pStyle w:val="21"/>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2152A9A">
                    <w:pPr>
                      <w:pStyle w:val="21"/>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1EB82">
    <w:pPr>
      <w:pStyle w:val="22"/>
      <w:ind w:firstLine="602" w:firstLineChars="400"/>
      <w:jc w:val="both"/>
      <w:rPr>
        <w:b/>
        <w:sz w:val="15"/>
        <w:szCs w:val="15"/>
      </w:rPr>
    </w:pPr>
  </w:p>
  <w:p w14:paraId="13815529">
    <w:pPr>
      <w:pStyle w:val="22"/>
      <w:jc w:val="right"/>
      <w:rPr>
        <w:rFonts w:hint="eastAsia" w:eastAsia="宋体"/>
        <w:szCs w:val="2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13BE9D"/>
    <w:multiLevelType w:val="singleLevel"/>
    <w:tmpl w:val="8013BE9D"/>
    <w:lvl w:ilvl="0" w:tentative="0">
      <w:start w:val="1"/>
      <w:numFmt w:val="decimal"/>
      <w:lvlText w:val="(%1)"/>
      <w:lvlJc w:val="left"/>
      <w:pPr>
        <w:ind w:left="425" w:hanging="425"/>
      </w:pPr>
      <w:rPr>
        <w:rFonts w:hint="default"/>
      </w:rPr>
    </w:lvl>
  </w:abstractNum>
  <w:abstractNum w:abstractNumId="1">
    <w:nsid w:val="8CA44A5B"/>
    <w:multiLevelType w:val="singleLevel"/>
    <w:tmpl w:val="8CA44A5B"/>
    <w:lvl w:ilvl="0" w:tentative="0">
      <w:start w:val="1"/>
      <w:numFmt w:val="decimal"/>
      <w:lvlText w:val="(%1)"/>
      <w:lvlJc w:val="left"/>
      <w:pPr>
        <w:ind w:left="425" w:hanging="425"/>
      </w:pPr>
      <w:rPr>
        <w:rFonts w:hint="default"/>
      </w:rPr>
    </w:lvl>
  </w:abstractNum>
  <w:abstractNum w:abstractNumId="2">
    <w:nsid w:val="9115B4CF"/>
    <w:multiLevelType w:val="singleLevel"/>
    <w:tmpl w:val="9115B4CF"/>
    <w:lvl w:ilvl="0" w:tentative="0">
      <w:start w:val="1"/>
      <w:numFmt w:val="decimal"/>
      <w:lvlText w:val="(%1)"/>
      <w:lvlJc w:val="left"/>
      <w:pPr>
        <w:ind w:left="425" w:hanging="425"/>
      </w:pPr>
      <w:rPr>
        <w:rFonts w:hint="default"/>
      </w:rPr>
    </w:lvl>
  </w:abstractNum>
  <w:abstractNum w:abstractNumId="3">
    <w:nsid w:val="A1BC4EAE"/>
    <w:multiLevelType w:val="singleLevel"/>
    <w:tmpl w:val="A1BC4EAE"/>
    <w:lvl w:ilvl="0" w:tentative="0">
      <w:start w:val="1"/>
      <w:numFmt w:val="decimal"/>
      <w:lvlText w:val="(%1)"/>
      <w:lvlJc w:val="left"/>
      <w:pPr>
        <w:ind w:left="425" w:hanging="425"/>
      </w:pPr>
      <w:rPr>
        <w:rFonts w:hint="default"/>
      </w:rPr>
    </w:lvl>
  </w:abstractNum>
  <w:abstractNum w:abstractNumId="4">
    <w:nsid w:val="A1DCAB22"/>
    <w:multiLevelType w:val="singleLevel"/>
    <w:tmpl w:val="A1DCAB22"/>
    <w:lvl w:ilvl="0" w:tentative="0">
      <w:start w:val="5"/>
      <w:numFmt w:val="chineseCounting"/>
      <w:lvlText w:val="（%1)"/>
      <w:lvlJc w:val="left"/>
      <w:pPr>
        <w:tabs>
          <w:tab w:val="left" w:pos="312"/>
        </w:tabs>
      </w:pPr>
      <w:rPr>
        <w:rFonts w:hint="eastAsia"/>
      </w:rPr>
    </w:lvl>
  </w:abstractNum>
  <w:abstractNum w:abstractNumId="5">
    <w:nsid w:val="B934AD7D"/>
    <w:multiLevelType w:val="singleLevel"/>
    <w:tmpl w:val="B934AD7D"/>
    <w:lvl w:ilvl="0" w:tentative="0">
      <w:start w:val="1"/>
      <w:numFmt w:val="decimal"/>
      <w:lvlText w:val="(%1)"/>
      <w:lvlJc w:val="left"/>
      <w:pPr>
        <w:ind w:left="425" w:hanging="425"/>
      </w:pPr>
      <w:rPr>
        <w:rFonts w:hint="default"/>
      </w:rPr>
    </w:lvl>
  </w:abstractNum>
  <w:abstractNum w:abstractNumId="6">
    <w:nsid w:val="BF7A5056"/>
    <w:multiLevelType w:val="singleLevel"/>
    <w:tmpl w:val="BF7A5056"/>
    <w:lvl w:ilvl="0" w:tentative="0">
      <w:start w:val="1"/>
      <w:numFmt w:val="decimal"/>
      <w:lvlText w:val="(%1)"/>
      <w:lvlJc w:val="left"/>
      <w:pPr>
        <w:ind w:left="425" w:hanging="425"/>
      </w:pPr>
      <w:rPr>
        <w:rFonts w:hint="default"/>
      </w:rPr>
    </w:lvl>
  </w:abstractNum>
  <w:abstractNum w:abstractNumId="7">
    <w:nsid w:val="CAE893C7"/>
    <w:multiLevelType w:val="singleLevel"/>
    <w:tmpl w:val="CAE893C7"/>
    <w:lvl w:ilvl="0" w:tentative="0">
      <w:start w:val="1"/>
      <w:numFmt w:val="decimal"/>
      <w:lvlText w:val="(%1)"/>
      <w:lvlJc w:val="left"/>
      <w:pPr>
        <w:ind w:left="425" w:hanging="425"/>
      </w:pPr>
      <w:rPr>
        <w:rFonts w:hint="default"/>
      </w:rPr>
    </w:lvl>
  </w:abstractNum>
  <w:abstractNum w:abstractNumId="8">
    <w:nsid w:val="CB27F91A"/>
    <w:multiLevelType w:val="singleLevel"/>
    <w:tmpl w:val="CB27F91A"/>
    <w:lvl w:ilvl="0" w:tentative="0">
      <w:start w:val="1"/>
      <w:numFmt w:val="decimal"/>
      <w:lvlText w:val="(%1)"/>
      <w:lvlJc w:val="left"/>
      <w:pPr>
        <w:ind w:left="425" w:hanging="425"/>
      </w:pPr>
      <w:rPr>
        <w:rFonts w:hint="default"/>
      </w:rPr>
    </w:lvl>
  </w:abstractNum>
  <w:abstractNum w:abstractNumId="9">
    <w:nsid w:val="D3108D58"/>
    <w:multiLevelType w:val="singleLevel"/>
    <w:tmpl w:val="D3108D58"/>
    <w:lvl w:ilvl="0" w:tentative="0">
      <w:start w:val="1"/>
      <w:numFmt w:val="decimal"/>
      <w:lvlText w:val="(%1)"/>
      <w:lvlJc w:val="left"/>
      <w:pPr>
        <w:ind w:left="425" w:hanging="425"/>
      </w:pPr>
      <w:rPr>
        <w:rFonts w:hint="default"/>
      </w:rPr>
    </w:lvl>
  </w:abstractNum>
  <w:abstractNum w:abstractNumId="10">
    <w:nsid w:val="D7605039"/>
    <w:multiLevelType w:val="singleLevel"/>
    <w:tmpl w:val="D7605039"/>
    <w:lvl w:ilvl="0" w:tentative="0">
      <w:start w:val="1"/>
      <w:numFmt w:val="decimal"/>
      <w:lvlText w:val="(%1)"/>
      <w:lvlJc w:val="left"/>
      <w:pPr>
        <w:ind w:left="425" w:hanging="425"/>
      </w:pPr>
      <w:rPr>
        <w:rFonts w:hint="default"/>
      </w:rPr>
    </w:lvl>
  </w:abstractNum>
  <w:abstractNum w:abstractNumId="11">
    <w:nsid w:val="D82281F4"/>
    <w:multiLevelType w:val="singleLevel"/>
    <w:tmpl w:val="D82281F4"/>
    <w:lvl w:ilvl="0" w:tentative="0">
      <w:start w:val="1"/>
      <w:numFmt w:val="decimal"/>
      <w:lvlText w:val="(%1)"/>
      <w:lvlJc w:val="left"/>
      <w:pPr>
        <w:ind w:left="425" w:hanging="425"/>
      </w:pPr>
      <w:rPr>
        <w:rFonts w:hint="default"/>
      </w:rPr>
    </w:lvl>
  </w:abstractNum>
  <w:abstractNum w:abstractNumId="12">
    <w:nsid w:val="E3A6893D"/>
    <w:multiLevelType w:val="singleLevel"/>
    <w:tmpl w:val="E3A6893D"/>
    <w:lvl w:ilvl="0" w:tentative="0">
      <w:start w:val="1"/>
      <w:numFmt w:val="decimal"/>
      <w:lvlText w:val="(%1)"/>
      <w:lvlJc w:val="left"/>
      <w:pPr>
        <w:ind w:left="425" w:hanging="425"/>
      </w:pPr>
      <w:rPr>
        <w:rFonts w:hint="default"/>
      </w:rPr>
    </w:lvl>
  </w:abstractNum>
  <w:abstractNum w:abstractNumId="13">
    <w:nsid w:val="E7EF5B9B"/>
    <w:multiLevelType w:val="singleLevel"/>
    <w:tmpl w:val="E7EF5B9B"/>
    <w:lvl w:ilvl="0" w:tentative="0">
      <w:start w:val="1"/>
      <w:numFmt w:val="decimal"/>
      <w:lvlText w:val="(%1)"/>
      <w:lvlJc w:val="left"/>
      <w:pPr>
        <w:ind w:left="425" w:hanging="425"/>
      </w:pPr>
      <w:rPr>
        <w:rFonts w:hint="default"/>
      </w:rPr>
    </w:lvl>
  </w:abstractNum>
  <w:abstractNum w:abstractNumId="14">
    <w:nsid w:val="FC481E43"/>
    <w:multiLevelType w:val="multilevel"/>
    <w:tmpl w:val="FC481E43"/>
    <w:lvl w:ilvl="0" w:tentative="0">
      <w:start w:val="1"/>
      <w:numFmt w:val="decimal"/>
      <w:suff w:val="nothing"/>
      <w:lvlText w:val="%1"/>
      <w:lvlJc w:val="left"/>
      <w:pPr>
        <w:ind w:left="896" w:hanging="356"/>
      </w:pPr>
      <w:rPr>
        <w:rFonts w:hint="default" w:ascii="宋体" w:hAnsi="宋体" w:eastAsia="宋体" w:cs="宋体"/>
        <w:snapToGrid w:val="0"/>
        <w:w w:val="100"/>
        <w:sz w:val="21"/>
        <w:szCs w:val="21"/>
      </w:rPr>
    </w:lvl>
    <w:lvl w:ilvl="1" w:tentative="0">
      <w:start w:val="1"/>
      <w:numFmt w:val="decimal"/>
      <w:suff w:val="nothing"/>
      <w:lvlText w:val="%1.%2"/>
      <w:lvlJc w:val="left"/>
      <w:pPr>
        <w:ind w:left="1801" w:hanging="721"/>
      </w:pPr>
      <w:rPr>
        <w:rFonts w:hint="default" w:ascii="宋体" w:hAnsi="宋体" w:eastAsia="宋体" w:cs="宋体"/>
        <w:snapToGrid w:val="0"/>
        <w:spacing w:val="0"/>
        <w:w w:val="100"/>
        <w:sz w:val="21"/>
        <w:szCs w:val="21"/>
      </w:rPr>
    </w:lvl>
    <w:lvl w:ilvl="2" w:tentative="0">
      <w:start w:val="1"/>
      <w:numFmt w:val="decimal"/>
      <w:suff w:val="nothing"/>
      <w:lvlText w:val="%1.%2.%3"/>
      <w:lvlJc w:val="left"/>
      <w:pPr>
        <w:ind w:left="2521" w:hanging="901"/>
      </w:pPr>
      <w:rPr>
        <w:rFonts w:hint="default" w:ascii="宋体" w:hAnsi="宋体" w:eastAsia="宋体" w:cs="宋体"/>
        <w:snapToGrid w:val="0"/>
        <w:spacing w:val="0"/>
        <w:w w:val="100"/>
        <w:sz w:val="21"/>
        <w:szCs w:val="21"/>
      </w:rPr>
    </w:lvl>
    <w:lvl w:ilvl="3" w:tentative="0">
      <w:start w:val="1"/>
      <w:numFmt w:val="decimal"/>
      <w:suff w:val="nothing"/>
      <w:lvlText w:val="%1.%2.%3.%4"/>
      <w:lvlJc w:val="left"/>
      <w:pPr>
        <w:ind w:left="3426" w:hanging="901"/>
      </w:pPr>
      <w:rPr>
        <w:rFonts w:hint="default" w:ascii="宋体" w:hAnsi="宋体" w:eastAsia="宋体" w:cs="宋体"/>
        <w:snapToGrid w:val="0"/>
        <w:spacing w:val="0"/>
        <w:w w:val="100"/>
        <w:sz w:val="21"/>
        <w:szCs w:val="21"/>
      </w:rPr>
    </w:lvl>
    <w:lvl w:ilvl="4" w:tentative="0">
      <w:start w:val="1"/>
      <w:numFmt w:val="decimal"/>
      <w:suff w:val="nothing"/>
      <w:lvlText w:val="（%5）"/>
      <w:lvlJc w:val="left"/>
      <w:pPr>
        <w:ind w:left="3376" w:hanging="641"/>
      </w:pPr>
      <w:rPr>
        <w:rFonts w:hint="default" w:ascii="宋体" w:hAnsi="宋体" w:eastAsia="宋体" w:cs="宋体"/>
        <w:spacing w:val="2"/>
        <w:w w:val="100"/>
        <w:sz w:val="22"/>
        <w:szCs w:val="22"/>
      </w:rPr>
    </w:lvl>
    <w:lvl w:ilvl="5" w:tentative="0">
      <w:start w:val="0"/>
      <w:numFmt w:val="bullet"/>
      <w:lvlText w:val="•"/>
      <w:lvlJc w:val="left"/>
      <w:pPr>
        <w:ind w:left="3380" w:hanging="641"/>
      </w:pPr>
      <w:rPr>
        <w:rFonts w:hint="default"/>
      </w:rPr>
    </w:lvl>
    <w:lvl w:ilvl="6" w:tentative="0">
      <w:start w:val="0"/>
      <w:numFmt w:val="bullet"/>
      <w:lvlText w:val="•"/>
      <w:lvlJc w:val="left"/>
      <w:pPr>
        <w:ind w:left="3420" w:hanging="641"/>
      </w:pPr>
      <w:rPr>
        <w:rFonts w:hint="default"/>
      </w:rPr>
    </w:lvl>
    <w:lvl w:ilvl="7" w:tentative="0">
      <w:start w:val="0"/>
      <w:numFmt w:val="bullet"/>
      <w:lvlText w:val="•"/>
      <w:lvlJc w:val="left"/>
      <w:pPr>
        <w:ind w:left="5111" w:hanging="641"/>
      </w:pPr>
      <w:rPr>
        <w:rFonts w:hint="default"/>
      </w:rPr>
    </w:lvl>
    <w:lvl w:ilvl="8" w:tentative="0">
      <w:start w:val="0"/>
      <w:numFmt w:val="bullet"/>
      <w:lvlText w:val="•"/>
      <w:lvlJc w:val="left"/>
      <w:pPr>
        <w:ind w:left="6803" w:hanging="641"/>
      </w:pPr>
      <w:rPr>
        <w:rFonts w:hint="default"/>
      </w:rPr>
    </w:lvl>
  </w:abstractNum>
  <w:abstractNum w:abstractNumId="15">
    <w:nsid w:val="FF2303E2"/>
    <w:multiLevelType w:val="singleLevel"/>
    <w:tmpl w:val="FF2303E2"/>
    <w:lvl w:ilvl="0" w:tentative="0">
      <w:start w:val="1"/>
      <w:numFmt w:val="decimal"/>
      <w:lvlText w:val="(%1)"/>
      <w:lvlJc w:val="left"/>
      <w:pPr>
        <w:ind w:left="425" w:hanging="425"/>
      </w:pPr>
      <w:rPr>
        <w:rFonts w:hint="default"/>
      </w:rPr>
    </w:lvl>
  </w:abstractNum>
  <w:abstractNum w:abstractNumId="16">
    <w:nsid w:val="0C5C3759"/>
    <w:multiLevelType w:val="singleLevel"/>
    <w:tmpl w:val="0C5C3759"/>
    <w:lvl w:ilvl="0" w:tentative="0">
      <w:start w:val="1"/>
      <w:numFmt w:val="decimal"/>
      <w:lvlText w:val="(%1)"/>
      <w:lvlJc w:val="left"/>
      <w:pPr>
        <w:ind w:left="425" w:hanging="425"/>
      </w:pPr>
      <w:rPr>
        <w:rFonts w:hint="default"/>
      </w:rPr>
    </w:lvl>
  </w:abstractNum>
  <w:abstractNum w:abstractNumId="17">
    <w:nsid w:val="12C8C05B"/>
    <w:multiLevelType w:val="singleLevel"/>
    <w:tmpl w:val="12C8C05B"/>
    <w:lvl w:ilvl="0" w:tentative="0">
      <w:start w:val="2"/>
      <w:numFmt w:val="chineseCounting"/>
      <w:suff w:val="space"/>
      <w:lvlText w:val="第%1章"/>
      <w:lvlJc w:val="left"/>
      <w:rPr>
        <w:rFonts w:hint="eastAsia"/>
      </w:rPr>
    </w:lvl>
  </w:abstractNum>
  <w:abstractNum w:abstractNumId="18">
    <w:nsid w:val="178162D3"/>
    <w:multiLevelType w:val="singleLevel"/>
    <w:tmpl w:val="178162D3"/>
    <w:lvl w:ilvl="0" w:tentative="0">
      <w:start w:val="1"/>
      <w:numFmt w:val="decimal"/>
      <w:lvlText w:val="(%1)"/>
      <w:lvlJc w:val="left"/>
      <w:pPr>
        <w:ind w:left="425" w:hanging="425"/>
      </w:pPr>
      <w:rPr>
        <w:rFonts w:hint="default"/>
      </w:rPr>
    </w:lvl>
  </w:abstractNum>
  <w:abstractNum w:abstractNumId="19">
    <w:nsid w:val="1CDA1C57"/>
    <w:multiLevelType w:val="singleLevel"/>
    <w:tmpl w:val="1CDA1C57"/>
    <w:lvl w:ilvl="0" w:tentative="0">
      <w:start w:val="1"/>
      <w:numFmt w:val="decimal"/>
      <w:lvlText w:val="(%1)"/>
      <w:lvlJc w:val="left"/>
      <w:pPr>
        <w:ind w:left="425" w:hanging="425"/>
      </w:pPr>
      <w:rPr>
        <w:rFonts w:hint="default"/>
      </w:rPr>
    </w:lvl>
  </w:abstractNum>
  <w:abstractNum w:abstractNumId="20">
    <w:nsid w:val="1E53C7DA"/>
    <w:multiLevelType w:val="singleLevel"/>
    <w:tmpl w:val="1E53C7DA"/>
    <w:lvl w:ilvl="0" w:tentative="0">
      <w:start w:val="6"/>
      <w:numFmt w:val="chineseCounting"/>
      <w:suff w:val="space"/>
      <w:lvlText w:val="第%1章"/>
      <w:lvlJc w:val="left"/>
      <w:pPr>
        <w:ind w:left="3080"/>
      </w:pPr>
      <w:rPr>
        <w:rFonts w:hint="eastAsia"/>
        <w:b/>
        <w:bCs/>
      </w:rPr>
    </w:lvl>
  </w:abstractNum>
  <w:abstractNum w:abstractNumId="21">
    <w:nsid w:val="24044E96"/>
    <w:multiLevelType w:val="multilevel"/>
    <w:tmpl w:val="24044E9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2">
    <w:nsid w:val="24C757F7"/>
    <w:multiLevelType w:val="singleLevel"/>
    <w:tmpl w:val="24C757F7"/>
    <w:lvl w:ilvl="0" w:tentative="0">
      <w:start w:val="1"/>
      <w:numFmt w:val="decimal"/>
      <w:lvlText w:val="(%1)"/>
      <w:lvlJc w:val="left"/>
      <w:pPr>
        <w:ind w:left="425" w:hanging="425"/>
      </w:pPr>
      <w:rPr>
        <w:rFonts w:hint="default"/>
      </w:rPr>
    </w:lvl>
  </w:abstractNum>
  <w:abstractNum w:abstractNumId="23">
    <w:nsid w:val="36DF37D0"/>
    <w:multiLevelType w:val="singleLevel"/>
    <w:tmpl w:val="36DF37D0"/>
    <w:lvl w:ilvl="0" w:tentative="0">
      <w:start w:val="1"/>
      <w:numFmt w:val="decimal"/>
      <w:lvlText w:val="(%1)"/>
      <w:lvlJc w:val="left"/>
      <w:pPr>
        <w:ind w:left="425" w:hanging="425"/>
      </w:pPr>
      <w:rPr>
        <w:rFonts w:hint="default"/>
      </w:rPr>
    </w:lvl>
  </w:abstractNum>
  <w:abstractNum w:abstractNumId="24">
    <w:nsid w:val="45D6C5DB"/>
    <w:multiLevelType w:val="singleLevel"/>
    <w:tmpl w:val="45D6C5DB"/>
    <w:lvl w:ilvl="0" w:tentative="0">
      <w:start w:val="1"/>
      <w:numFmt w:val="decimal"/>
      <w:lvlText w:val="(%1)"/>
      <w:lvlJc w:val="left"/>
      <w:pPr>
        <w:ind w:left="425" w:hanging="425"/>
      </w:pPr>
      <w:rPr>
        <w:rFonts w:hint="default"/>
      </w:rPr>
    </w:lvl>
  </w:abstractNum>
  <w:abstractNum w:abstractNumId="25">
    <w:nsid w:val="46F248FC"/>
    <w:multiLevelType w:val="singleLevel"/>
    <w:tmpl w:val="46F248FC"/>
    <w:lvl w:ilvl="0" w:tentative="0">
      <w:start w:val="1"/>
      <w:numFmt w:val="decimal"/>
      <w:lvlText w:val="(%1)"/>
      <w:lvlJc w:val="left"/>
      <w:pPr>
        <w:ind w:left="425" w:hanging="425"/>
      </w:pPr>
      <w:rPr>
        <w:rFonts w:hint="default"/>
      </w:rPr>
    </w:lvl>
  </w:abstractNum>
  <w:abstractNum w:abstractNumId="26">
    <w:nsid w:val="59AF65C8"/>
    <w:multiLevelType w:val="singleLevel"/>
    <w:tmpl w:val="59AF65C8"/>
    <w:lvl w:ilvl="0" w:tentative="0">
      <w:start w:val="1"/>
      <w:numFmt w:val="decimal"/>
      <w:lvlText w:val="(%1)"/>
      <w:lvlJc w:val="left"/>
      <w:pPr>
        <w:ind w:left="425" w:hanging="425"/>
      </w:pPr>
      <w:rPr>
        <w:rFonts w:hint="default"/>
      </w:rPr>
    </w:lvl>
  </w:abstractNum>
  <w:abstractNum w:abstractNumId="27">
    <w:nsid w:val="5AEEDA18"/>
    <w:multiLevelType w:val="singleLevel"/>
    <w:tmpl w:val="5AEEDA18"/>
    <w:lvl w:ilvl="0" w:tentative="0">
      <w:start w:val="1"/>
      <w:numFmt w:val="decimal"/>
      <w:lvlText w:val="(%1)"/>
      <w:lvlJc w:val="left"/>
      <w:pPr>
        <w:ind w:left="425" w:hanging="425"/>
      </w:pPr>
      <w:rPr>
        <w:rFonts w:hint="default"/>
      </w:rPr>
    </w:lvl>
  </w:abstractNum>
  <w:abstractNum w:abstractNumId="28">
    <w:nsid w:val="5F2AD55A"/>
    <w:multiLevelType w:val="singleLevel"/>
    <w:tmpl w:val="5F2AD55A"/>
    <w:lvl w:ilvl="0" w:tentative="0">
      <w:start w:val="1"/>
      <w:numFmt w:val="decimal"/>
      <w:lvlText w:val="(%1)"/>
      <w:lvlJc w:val="left"/>
      <w:pPr>
        <w:ind w:left="425" w:hanging="425"/>
      </w:pPr>
      <w:rPr>
        <w:rFonts w:hint="default"/>
      </w:rPr>
    </w:lvl>
  </w:abstractNum>
  <w:abstractNum w:abstractNumId="29">
    <w:nsid w:val="62F74F11"/>
    <w:multiLevelType w:val="singleLevel"/>
    <w:tmpl w:val="62F74F11"/>
    <w:lvl w:ilvl="0" w:tentative="0">
      <w:start w:val="1"/>
      <w:numFmt w:val="decimal"/>
      <w:lvlText w:val="(%1)"/>
      <w:lvlJc w:val="left"/>
      <w:pPr>
        <w:ind w:left="425" w:hanging="425"/>
      </w:pPr>
      <w:rPr>
        <w:rFonts w:hint="default"/>
      </w:rPr>
    </w:lvl>
  </w:abstractNum>
  <w:abstractNum w:abstractNumId="30">
    <w:nsid w:val="6400C467"/>
    <w:multiLevelType w:val="singleLevel"/>
    <w:tmpl w:val="6400C467"/>
    <w:lvl w:ilvl="0" w:tentative="0">
      <w:start w:val="1"/>
      <w:numFmt w:val="decimal"/>
      <w:lvlText w:val="(%1)"/>
      <w:lvlJc w:val="left"/>
      <w:pPr>
        <w:ind w:left="425" w:hanging="425"/>
      </w:pPr>
      <w:rPr>
        <w:rFonts w:hint="default"/>
      </w:rPr>
    </w:lvl>
  </w:abstractNum>
  <w:abstractNum w:abstractNumId="31">
    <w:nsid w:val="68B01A9E"/>
    <w:multiLevelType w:val="multilevel"/>
    <w:tmpl w:val="68B01A9E"/>
    <w:lvl w:ilvl="0" w:tentative="0">
      <w:start w:val="1"/>
      <w:numFmt w:val="decimal"/>
      <w:suff w:val="space"/>
      <w:lvlText w:val="%1"/>
      <w:lvlJc w:val="left"/>
      <w:pPr>
        <w:ind w:left="921" w:hanging="361"/>
      </w:pPr>
      <w:rPr>
        <w:rFonts w:hint="default" w:ascii="宋体" w:hAnsi="宋体" w:eastAsia="宋体" w:cs="宋体"/>
        <w:w w:val="139"/>
        <w:sz w:val="24"/>
        <w:szCs w:val="24"/>
      </w:rPr>
    </w:lvl>
    <w:lvl w:ilvl="1" w:tentative="0">
      <w:start w:val="1"/>
      <w:numFmt w:val="decimal"/>
      <w:suff w:val="nothing"/>
      <w:lvlText w:val="%1.%2"/>
      <w:lvlJc w:val="left"/>
      <w:pPr>
        <w:ind w:left="1636" w:hanging="721"/>
      </w:pPr>
      <w:rPr>
        <w:rFonts w:hint="default" w:ascii="宋体" w:hAnsi="宋体" w:eastAsia="宋体" w:cs="宋体"/>
        <w:color w:val="auto"/>
        <w:spacing w:val="-2"/>
        <w:w w:val="139"/>
        <w:sz w:val="21"/>
        <w:szCs w:val="21"/>
      </w:rPr>
    </w:lvl>
    <w:lvl w:ilvl="2" w:tentative="0">
      <w:start w:val="1"/>
      <w:numFmt w:val="decimal"/>
      <w:suff w:val="nothing"/>
      <w:lvlText w:val="%1.%2.%3"/>
      <w:lvlJc w:val="left"/>
      <w:pPr>
        <w:ind w:left="2541" w:hanging="901"/>
      </w:pPr>
      <w:rPr>
        <w:rFonts w:hint="default" w:ascii="宋体" w:hAnsi="宋体" w:eastAsia="宋体" w:cs="宋体"/>
        <w:spacing w:val="-2"/>
        <w:w w:val="139"/>
        <w:sz w:val="21"/>
        <w:szCs w:val="21"/>
      </w:rPr>
    </w:lvl>
    <w:lvl w:ilvl="3" w:tentative="0">
      <w:start w:val="0"/>
      <w:numFmt w:val="bullet"/>
      <w:lvlText w:val="•"/>
      <w:lvlJc w:val="left"/>
      <w:pPr>
        <w:ind w:left="3498" w:hanging="901"/>
      </w:pPr>
      <w:rPr>
        <w:rFonts w:hint="default"/>
      </w:rPr>
    </w:lvl>
    <w:lvl w:ilvl="4" w:tentative="0">
      <w:start w:val="0"/>
      <w:numFmt w:val="bullet"/>
      <w:lvlText w:val="•"/>
      <w:lvlJc w:val="left"/>
      <w:pPr>
        <w:ind w:left="4456" w:hanging="901"/>
      </w:pPr>
      <w:rPr>
        <w:rFonts w:hint="default"/>
      </w:rPr>
    </w:lvl>
    <w:lvl w:ilvl="5" w:tentative="0">
      <w:start w:val="0"/>
      <w:numFmt w:val="bullet"/>
      <w:lvlText w:val="•"/>
      <w:lvlJc w:val="left"/>
      <w:pPr>
        <w:ind w:left="5415" w:hanging="901"/>
      </w:pPr>
      <w:rPr>
        <w:rFonts w:hint="default"/>
      </w:rPr>
    </w:lvl>
    <w:lvl w:ilvl="6" w:tentative="0">
      <w:start w:val="0"/>
      <w:numFmt w:val="bullet"/>
      <w:lvlText w:val="•"/>
      <w:lvlJc w:val="left"/>
      <w:pPr>
        <w:ind w:left="6373" w:hanging="901"/>
      </w:pPr>
      <w:rPr>
        <w:rFonts w:hint="default"/>
      </w:rPr>
    </w:lvl>
    <w:lvl w:ilvl="7" w:tentative="0">
      <w:start w:val="0"/>
      <w:numFmt w:val="bullet"/>
      <w:lvlText w:val="•"/>
      <w:lvlJc w:val="left"/>
      <w:pPr>
        <w:ind w:left="7331" w:hanging="901"/>
      </w:pPr>
      <w:rPr>
        <w:rFonts w:hint="default"/>
      </w:rPr>
    </w:lvl>
    <w:lvl w:ilvl="8" w:tentative="0">
      <w:start w:val="0"/>
      <w:numFmt w:val="bullet"/>
      <w:lvlText w:val="•"/>
      <w:lvlJc w:val="left"/>
      <w:pPr>
        <w:ind w:left="8290" w:hanging="901"/>
      </w:pPr>
      <w:rPr>
        <w:rFonts w:hint="default"/>
      </w:rPr>
    </w:lvl>
  </w:abstractNum>
  <w:abstractNum w:abstractNumId="32">
    <w:nsid w:val="719BDEAD"/>
    <w:multiLevelType w:val="singleLevel"/>
    <w:tmpl w:val="719BDEAD"/>
    <w:lvl w:ilvl="0" w:tentative="0">
      <w:start w:val="1"/>
      <w:numFmt w:val="decimal"/>
      <w:lvlText w:val="(%1)"/>
      <w:lvlJc w:val="left"/>
      <w:pPr>
        <w:ind w:left="425" w:hanging="425"/>
      </w:pPr>
      <w:rPr>
        <w:rFonts w:hint="default"/>
      </w:rPr>
    </w:lvl>
  </w:abstractNum>
  <w:abstractNum w:abstractNumId="33">
    <w:nsid w:val="75C2B83F"/>
    <w:multiLevelType w:val="singleLevel"/>
    <w:tmpl w:val="75C2B83F"/>
    <w:lvl w:ilvl="0" w:tentative="0">
      <w:start w:val="1"/>
      <w:numFmt w:val="decimal"/>
      <w:lvlText w:val="(%1)"/>
      <w:lvlJc w:val="left"/>
      <w:pPr>
        <w:ind w:left="425" w:hanging="425"/>
      </w:pPr>
      <w:rPr>
        <w:rFonts w:hint="default"/>
      </w:rPr>
    </w:lvl>
  </w:abstractNum>
  <w:abstractNum w:abstractNumId="34">
    <w:nsid w:val="78F4E883"/>
    <w:multiLevelType w:val="multilevel"/>
    <w:tmpl w:val="78F4E883"/>
    <w:lvl w:ilvl="0" w:tentative="0">
      <w:start w:val="1"/>
      <w:numFmt w:val="decimal"/>
      <w:suff w:val="nothing"/>
      <w:lvlText w:val="%1."/>
      <w:lvlJc w:val="left"/>
      <w:pPr>
        <w:ind w:left="425" w:hanging="425"/>
      </w:pPr>
      <w:rPr>
        <w:rFonts w:hint="default"/>
      </w:rPr>
    </w:lvl>
    <w:lvl w:ilvl="1" w:tentative="0">
      <w:start w:val="1"/>
      <w:numFmt w:val="decimal"/>
      <w:suff w:val="nothing"/>
      <w:lvlText w:val="%1.%2."/>
      <w:lvlJc w:val="left"/>
      <w:pPr>
        <w:ind w:left="567" w:hanging="567"/>
      </w:pPr>
      <w:rPr>
        <w:rFonts w:hint="default"/>
      </w:rPr>
    </w:lvl>
    <w:lvl w:ilvl="2" w:tentative="0">
      <w:start w:val="1"/>
      <w:numFmt w:val="decimal"/>
      <w:suff w:val="nothing"/>
      <w:lvlText w:val="%1.%2.%3."/>
      <w:lvlJc w:val="left"/>
      <w:pPr>
        <w:ind w:left="709" w:hanging="709"/>
      </w:pPr>
      <w:rPr>
        <w:rFonts w:hint="default"/>
      </w:rPr>
    </w:lvl>
    <w:lvl w:ilvl="3" w:tentative="0">
      <w:start w:val="1"/>
      <w:numFmt w:val="decimal"/>
      <w:suff w:val="nothing"/>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5">
    <w:nsid w:val="7AB2E1B3"/>
    <w:multiLevelType w:val="singleLevel"/>
    <w:tmpl w:val="7AB2E1B3"/>
    <w:lvl w:ilvl="0" w:tentative="0">
      <w:start w:val="1"/>
      <w:numFmt w:val="decimal"/>
      <w:lvlText w:val="(%1)"/>
      <w:lvlJc w:val="left"/>
      <w:pPr>
        <w:ind w:left="635" w:hanging="425"/>
      </w:pPr>
      <w:rPr>
        <w:rFonts w:hint="default"/>
      </w:rPr>
    </w:lvl>
  </w:abstractNum>
  <w:num w:numId="1">
    <w:abstractNumId w:val="17"/>
  </w:num>
  <w:num w:numId="2">
    <w:abstractNumId w:val="14"/>
  </w:num>
  <w:num w:numId="3">
    <w:abstractNumId w:val="31"/>
  </w:num>
  <w:num w:numId="4">
    <w:abstractNumId w:val="34"/>
  </w:num>
  <w:num w:numId="5">
    <w:abstractNumId w:val="3"/>
  </w:num>
  <w:num w:numId="6">
    <w:abstractNumId w:val="6"/>
  </w:num>
  <w:num w:numId="7">
    <w:abstractNumId w:val="2"/>
  </w:num>
  <w:num w:numId="8">
    <w:abstractNumId w:val="12"/>
  </w:num>
  <w:num w:numId="9">
    <w:abstractNumId w:val="32"/>
  </w:num>
  <w:num w:numId="10">
    <w:abstractNumId w:val="5"/>
  </w:num>
  <w:num w:numId="11">
    <w:abstractNumId w:val="9"/>
  </w:num>
  <w:num w:numId="12">
    <w:abstractNumId w:val="27"/>
  </w:num>
  <w:num w:numId="13">
    <w:abstractNumId w:val="22"/>
  </w:num>
  <w:num w:numId="14">
    <w:abstractNumId w:val="1"/>
  </w:num>
  <w:num w:numId="15">
    <w:abstractNumId w:val="26"/>
  </w:num>
  <w:num w:numId="16">
    <w:abstractNumId w:val="15"/>
  </w:num>
  <w:num w:numId="17">
    <w:abstractNumId w:val="19"/>
  </w:num>
  <w:num w:numId="18">
    <w:abstractNumId w:val="23"/>
  </w:num>
  <w:num w:numId="19">
    <w:abstractNumId w:val="25"/>
  </w:num>
  <w:num w:numId="20">
    <w:abstractNumId w:val="28"/>
  </w:num>
  <w:num w:numId="21">
    <w:abstractNumId w:val="11"/>
  </w:num>
  <w:num w:numId="22">
    <w:abstractNumId w:val="13"/>
  </w:num>
  <w:num w:numId="23">
    <w:abstractNumId w:val="24"/>
  </w:num>
  <w:num w:numId="24">
    <w:abstractNumId w:val="18"/>
  </w:num>
  <w:num w:numId="25">
    <w:abstractNumId w:val="30"/>
  </w:num>
  <w:num w:numId="26">
    <w:abstractNumId w:val="7"/>
  </w:num>
  <w:num w:numId="27">
    <w:abstractNumId w:val="29"/>
  </w:num>
  <w:num w:numId="28">
    <w:abstractNumId w:val="33"/>
  </w:num>
  <w:num w:numId="29">
    <w:abstractNumId w:val="16"/>
  </w:num>
  <w:num w:numId="30">
    <w:abstractNumId w:val="8"/>
  </w:num>
  <w:num w:numId="31">
    <w:abstractNumId w:val="0"/>
  </w:num>
  <w:num w:numId="32">
    <w:abstractNumId w:val="10"/>
  </w:num>
  <w:num w:numId="33">
    <w:abstractNumId w:val="20"/>
  </w:num>
  <w:num w:numId="34">
    <w:abstractNumId w:val="21"/>
  </w:num>
  <w:num w:numId="35">
    <w:abstractNumId w:val="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IyZjM2ZDM2ZmQ4Nzk1NWIxNzc2NjgzMWY4MDkxN2EifQ=="/>
    <w:docVar w:name="DocumentID" w:val="{E7F98D23-061C-438C-88CD-C0A2215E33D9}"/>
    <w:docVar w:name="DocumentName" w:val="镇茶请〔2025〕2号 关于2024年中国宝武集团定点帮扶镇沅县茶叶和农特产品包装厂建设项目增加设备采购的请示（盖章）"/>
    <w:docVar w:name="KSO_WPS_MARK_KEY" w:val="4bf50c2a-e192-4e53-aab5-7f2d2877feff"/>
  </w:docVars>
  <w:rsids>
    <w:rsidRoot w:val="00172A27"/>
    <w:rsid w:val="00007BB4"/>
    <w:rsid w:val="001C3DA6"/>
    <w:rsid w:val="001D58C3"/>
    <w:rsid w:val="00224E88"/>
    <w:rsid w:val="0024575B"/>
    <w:rsid w:val="00285206"/>
    <w:rsid w:val="002934F4"/>
    <w:rsid w:val="0029731D"/>
    <w:rsid w:val="002C0C47"/>
    <w:rsid w:val="002E2345"/>
    <w:rsid w:val="003223F0"/>
    <w:rsid w:val="00324C73"/>
    <w:rsid w:val="00354D21"/>
    <w:rsid w:val="003577A2"/>
    <w:rsid w:val="003C4216"/>
    <w:rsid w:val="003D1CDD"/>
    <w:rsid w:val="004279FB"/>
    <w:rsid w:val="004665A2"/>
    <w:rsid w:val="004B0164"/>
    <w:rsid w:val="004F5D57"/>
    <w:rsid w:val="005061FB"/>
    <w:rsid w:val="005979E3"/>
    <w:rsid w:val="005C1B56"/>
    <w:rsid w:val="005C24C5"/>
    <w:rsid w:val="005F5954"/>
    <w:rsid w:val="0061452A"/>
    <w:rsid w:val="006452A5"/>
    <w:rsid w:val="006904A5"/>
    <w:rsid w:val="006C1804"/>
    <w:rsid w:val="00713C01"/>
    <w:rsid w:val="0077025C"/>
    <w:rsid w:val="00780C0F"/>
    <w:rsid w:val="00872A63"/>
    <w:rsid w:val="008C2444"/>
    <w:rsid w:val="008E59BF"/>
    <w:rsid w:val="00953D9C"/>
    <w:rsid w:val="009618A5"/>
    <w:rsid w:val="009C2851"/>
    <w:rsid w:val="00A615F4"/>
    <w:rsid w:val="00AE57BD"/>
    <w:rsid w:val="00B23CD3"/>
    <w:rsid w:val="00BA4980"/>
    <w:rsid w:val="00C22DEC"/>
    <w:rsid w:val="00D63258"/>
    <w:rsid w:val="00D73BB8"/>
    <w:rsid w:val="00D87B3E"/>
    <w:rsid w:val="00DC19CB"/>
    <w:rsid w:val="00FC5707"/>
    <w:rsid w:val="01004E14"/>
    <w:rsid w:val="010B4DD1"/>
    <w:rsid w:val="010F3B4F"/>
    <w:rsid w:val="011C44BE"/>
    <w:rsid w:val="011F5819"/>
    <w:rsid w:val="012B4B9B"/>
    <w:rsid w:val="01312B31"/>
    <w:rsid w:val="01344155"/>
    <w:rsid w:val="0139148C"/>
    <w:rsid w:val="01395070"/>
    <w:rsid w:val="013C0B0D"/>
    <w:rsid w:val="01412F6E"/>
    <w:rsid w:val="014177C9"/>
    <w:rsid w:val="014557C2"/>
    <w:rsid w:val="014A2BEC"/>
    <w:rsid w:val="015E5797"/>
    <w:rsid w:val="01612C03"/>
    <w:rsid w:val="01635C49"/>
    <w:rsid w:val="016922E3"/>
    <w:rsid w:val="016E45EF"/>
    <w:rsid w:val="017257CD"/>
    <w:rsid w:val="0175771D"/>
    <w:rsid w:val="01951DD0"/>
    <w:rsid w:val="01A14161"/>
    <w:rsid w:val="01A52705"/>
    <w:rsid w:val="01B17289"/>
    <w:rsid w:val="01B21A08"/>
    <w:rsid w:val="01B3067F"/>
    <w:rsid w:val="01C24CBB"/>
    <w:rsid w:val="01C61885"/>
    <w:rsid w:val="01D67357"/>
    <w:rsid w:val="01DE04D5"/>
    <w:rsid w:val="01E90844"/>
    <w:rsid w:val="0203533F"/>
    <w:rsid w:val="02051D2C"/>
    <w:rsid w:val="020A2568"/>
    <w:rsid w:val="020E3AC8"/>
    <w:rsid w:val="021358C1"/>
    <w:rsid w:val="021407FD"/>
    <w:rsid w:val="0216451C"/>
    <w:rsid w:val="021A0F9E"/>
    <w:rsid w:val="021E4DB7"/>
    <w:rsid w:val="022D16AD"/>
    <w:rsid w:val="023D0B8F"/>
    <w:rsid w:val="0242210F"/>
    <w:rsid w:val="02445A7A"/>
    <w:rsid w:val="024A378E"/>
    <w:rsid w:val="024E4370"/>
    <w:rsid w:val="025F0348"/>
    <w:rsid w:val="02641E43"/>
    <w:rsid w:val="026E488E"/>
    <w:rsid w:val="0273635F"/>
    <w:rsid w:val="02810A7C"/>
    <w:rsid w:val="0283793F"/>
    <w:rsid w:val="02966E25"/>
    <w:rsid w:val="029A38EC"/>
    <w:rsid w:val="02AC3971"/>
    <w:rsid w:val="02B134E2"/>
    <w:rsid w:val="02B36DDF"/>
    <w:rsid w:val="02BD1039"/>
    <w:rsid w:val="02C170CB"/>
    <w:rsid w:val="02CF7209"/>
    <w:rsid w:val="02D12407"/>
    <w:rsid w:val="02F456F2"/>
    <w:rsid w:val="02F702F6"/>
    <w:rsid w:val="02FC059F"/>
    <w:rsid w:val="02FE362B"/>
    <w:rsid w:val="03000A9F"/>
    <w:rsid w:val="03024437"/>
    <w:rsid w:val="030E47D1"/>
    <w:rsid w:val="0326677A"/>
    <w:rsid w:val="032926E7"/>
    <w:rsid w:val="03366062"/>
    <w:rsid w:val="033A6C3D"/>
    <w:rsid w:val="034D6BB0"/>
    <w:rsid w:val="035A24BD"/>
    <w:rsid w:val="035B0FDD"/>
    <w:rsid w:val="035B12CD"/>
    <w:rsid w:val="036064EB"/>
    <w:rsid w:val="036E60B8"/>
    <w:rsid w:val="037707FE"/>
    <w:rsid w:val="037D56E7"/>
    <w:rsid w:val="03850FDC"/>
    <w:rsid w:val="03920A67"/>
    <w:rsid w:val="03A04F32"/>
    <w:rsid w:val="03A45B2D"/>
    <w:rsid w:val="03A63E9B"/>
    <w:rsid w:val="03B13D2C"/>
    <w:rsid w:val="03CE4920"/>
    <w:rsid w:val="03D91504"/>
    <w:rsid w:val="03E77C66"/>
    <w:rsid w:val="03F1578E"/>
    <w:rsid w:val="0401090C"/>
    <w:rsid w:val="040522EB"/>
    <w:rsid w:val="04071455"/>
    <w:rsid w:val="041C1683"/>
    <w:rsid w:val="041E0054"/>
    <w:rsid w:val="043A1BFA"/>
    <w:rsid w:val="04444457"/>
    <w:rsid w:val="044933B7"/>
    <w:rsid w:val="045572F6"/>
    <w:rsid w:val="046513FC"/>
    <w:rsid w:val="04675A50"/>
    <w:rsid w:val="046C526A"/>
    <w:rsid w:val="047273F4"/>
    <w:rsid w:val="047343F5"/>
    <w:rsid w:val="0473478A"/>
    <w:rsid w:val="047B530C"/>
    <w:rsid w:val="04840360"/>
    <w:rsid w:val="048D195A"/>
    <w:rsid w:val="049A1846"/>
    <w:rsid w:val="04AD3DAA"/>
    <w:rsid w:val="04C67AD7"/>
    <w:rsid w:val="04C801F1"/>
    <w:rsid w:val="04E13B4A"/>
    <w:rsid w:val="04EC4CB7"/>
    <w:rsid w:val="04F400C4"/>
    <w:rsid w:val="04FB78FA"/>
    <w:rsid w:val="04FE7536"/>
    <w:rsid w:val="050C6C1A"/>
    <w:rsid w:val="050F0093"/>
    <w:rsid w:val="05180B4E"/>
    <w:rsid w:val="05267172"/>
    <w:rsid w:val="053523CE"/>
    <w:rsid w:val="05421AF7"/>
    <w:rsid w:val="0544299D"/>
    <w:rsid w:val="05442B22"/>
    <w:rsid w:val="05467A28"/>
    <w:rsid w:val="054758F2"/>
    <w:rsid w:val="0556327D"/>
    <w:rsid w:val="05580A37"/>
    <w:rsid w:val="056A550B"/>
    <w:rsid w:val="056E16A4"/>
    <w:rsid w:val="05720B50"/>
    <w:rsid w:val="0576438B"/>
    <w:rsid w:val="057940A1"/>
    <w:rsid w:val="057A3FEB"/>
    <w:rsid w:val="057E2676"/>
    <w:rsid w:val="0589529A"/>
    <w:rsid w:val="058A538D"/>
    <w:rsid w:val="058F5967"/>
    <w:rsid w:val="059734BF"/>
    <w:rsid w:val="0599432F"/>
    <w:rsid w:val="059953A5"/>
    <w:rsid w:val="059B00A7"/>
    <w:rsid w:val="05A21435"/>
    <w:rsid w:val="05A515D1"/>
    <w:rsid w:val="05AB3878"/>
    <w:rsid w:val="05AB5E10"/>
    <w:rsid w:val="05B20F4D"/>
    <w:rsid w:val="05B54345"/>
    <w:rsid w:val="05BD4595"/>
    <w:rsid w:val="05CC21C6"/>
    <w:rsid w:val="05D94063"/>
    <w:rsid w:val="05F419CC"/>
    <w:rsid w:val="06075463"/>
    <w:rsid w:val="060A6FDB"/>
    <w:rsid w:val="060F3992"/>
    <w:rsid w:val="06191F5F"/>
    <w:rsid w:val="062067FE"/>
    <w:rsid w:val="06263C68"/>
    <w:rsid w:val="06382825"/>
    <w:rsid w:val="06394360"/>
    <w:rsid w:val="064047AA"/>
    <w:rsid w:val="06540256"/>
    <w:rsid w:val="065552F2"/>
    <w:rsid w:val="065F5A7A"/>
    <w:rsid w:val="0665143C"/>
    <w:rsid w:val="0667436E"/>
    <w:rsid w:val="06722F91"/>
    <w:rsid w:val="06744345"/>
    <w:rsid w:val="067669DB"/>
    <w:rsid w:val="067A4160"/>
    <w:rsid w:val="068129D2"/>
    <w:rsid w:val="068419BD"/>
    <w:rsid w:val="06897318"/>
    <w:rsid w:val="06965EE6"/>
    <w:rsid w:val="06976AC0"/>
    <w:rsid w:val="069900A8"/>
    <w:rsid w:val="069B360C"/>
    <w:rsid w:val="069B44E4"/>
    <w:rsid w:val="06A3402F"/>
    <w:rsid w:val="06B61F6B"/>
    <w:rsid w:val="06C43C7A"/>
    <w:rsid w:val="06C50DE9"/>
    <w:rsid w:val="06CA1F34"/>
    <w:rsid w:val="06CC6373"/>
    <w:rsid w:val="06D02710"/>
    <w:rsid w:val="06DF2215"/>
    <w:rsid w:val="06EA1A20"/>
    <w:rsid w:val="06EA2A23"/>
    <w:rsid w:val="06FE22CF"/>
    <w:rsid w:val="070C52CF"/>
    <w:rsid w:val="071B11D3"/>
    <w:rsid w:val="07213C01"/>
    <w:rsid w:val="072145DC"/>
    <w:rsid w:val="072B3446"/>
    <w:rsid w:val="07302E57"/>
    <w:rsid w:val="07313F96"/>
    <w:rsid w:val="07342561"/>
    <w:rsid w:val="073A1EE3"/>
    <w:rsid w:val="074063B9"/>
    <w:rsid w:val="07452F64"/>
    <w:rsid w:val="07460147"/>
    <w:rsid w:val="0749768F"/>
    <w:rsid w:val="07520C39"/>
    <w:rsid w:val="0756735E"/>
    <w:rsid w:val="07613B44"/>
    <w:rsid w:val="07630014"/>
    <w:rsid w:val="077261C5"/>
    <w:rsid w:val="07790040"/>
    <w:rsid w:val="079D771E"/>
    <w:rsid w:val="07B425C4"/>
    <w:rsid w:val="07B60BBA"/>
    <w:rsid w:val="07BA190D"/>
    <w:rsid w:val="07BA7573"/>
    <w:rsid w:val="07C44419"/>
    <w:rsid w:val="07C961DB"/>
    <w:rsid w:val="07CB2CC9"/>
    <w:rsid w:val="07DA1AB4"/>
    <w:rsid w:val="07DC6755"/>
    <w:rsid w:val="07E20E14"/>
    <w:rsid w:val="07E36D62"/>
    <w:rsid w:val="07F7319E"/>
    <w:rsid w:val="080565BB"/>
    <w:rsid w:val="080715CC"/>
    <w:rsid w:val="08213ED2"/>
    <w:rsid w:val="08297BEC"/>
    <w:rsid w:val="082C148A"/>
    <w:rsid w:val="083D17BD"/>
    <w:rsid w:val="08431698"/>
    <w:rsid w:val="08447518"/>
    <w:rsid w:val="084D6628"/>
    <w:rsid w:val="08510AE5"/>
    <w:rsid w:val="08660E5B"/>
    <w:rsid w:val="08665487"/>
    <w:rsid w:val="0871412E"/>
    <w:rsid w:val="088A5531"/>
    <w:rsid w:val="08917BA0"/>
    <w:rsid w:val="089D5EE4"/>
    <w:rsid w:val="08A35C01"/>
    <w:rsid w:val="08AF5C17"/>
    <w:rsid w:val="08C570AF"/>
    <w:rsid w:val="08DC7681"/>
    <w:rsid w:val="08DE559A"/>
    <w:rsid w:val="08DF0772"/>
    <w:rsid w:val="08DF3473"/>
    <w:rsid w:val="08E01C78"/>
    <w:rsid w:val="08E42C35"/>
    <w:rsid w:val="08E7715F"/>
    <w:rsid w:val="08F36BC5"/>
    <w:rsid w:val="08F90B19"/>
    <w:rsid w:val="09036F58"/>
    <w:rsid w:val="090E293E"/>
    <w:rsid w:val="09104908"/>
    <w:rsid w:val="091343F8"/>
    <w:rsid w:val="0926412B"/>
    <w:rsid w:val="09270611"/>
    <w:rsid w:val="092D02DD"/>
    <w:rsid w:val="09390E93"/>
    <w:rsid w:val="093B3729"/>
    <w:rsid w:val="093C56FD"/>
    <w:rsid w:val="09431486"/>
    <w:rsid w:val="09436A8B"/>
    <w:rsid w:val="0946256B"/>
    <w:rsid w:val="094858E6"/>
    <w:rsid w:val="0950222B"/>
    <w:rsid w:val="09646A02"/>
    <w:rsid w:val="09683386"/>
    <w:rsid w:val="09710176"/>
    <w:rsid w:val="097D3ECD"/>
    <w:rsid w:val="097E3DFA"/>
    <w:rsid w:val="097F73FB"/>
    <w:rsid w:val="09800B5E"/>
    <w:rsid w:val="098C11F1"/>
    <w:rsid w:val="099C43EE"/>
    <w:rsid w:val="09A2374A"/>
    <w:rsid w:val="09A52148"/>
    <w:rsid w:val="09A87966"/>
    <w:rsid w:val="09AD5586"/>
    <w:rsid w:val="09C0632E"/>
    <w:rsid w:val="09C26E67"/>
    <w:rsid w:val="09C41D96"/>
    <w:rsid w:val="09C874F1"/>
    <w:rsid w:val="09D33F9B"/>
    <w:rsid w:val="09DD5E79"/>
    <w:rsid w:val="09E15FC8"/>
    <w:rsid w:val="09E74D90"/>
    <w:rsid w:val="09EA7FCE"/>
    <w:rsid w:val="09F4766A"/>
    <w:rsid w:val="09F91840"/>
    <w:rsid w:val="0A083831"/>
    <w:rsid w:val="0A0847BE"/>
    <w:rsid w:val="0A110938"/>
    <w:rsid w:val="0A12778C"/>
    <w:rsid w:val="0A1675EB"/>
    <w:rsid w:val="0A224A3F"/>
    <w:rsid w:val="0A232419"/>
    <w:rsid w:val="0A2510C5"/>
    <w:rsid w:val="0A276E91"/>
    <w:rsid w:val="0A36214C"/>
    <w:rsid w:val="0A3D797F"/>
    <w:rsid w:val="0A41782C"/>
    <w:rsid w:val="0A454A85"/>
    <w:rsid w:val="0A51684A"/>
    <w:rsid w:val="0A520A0C"/>
    <w:rsid w:val="0A627267"/>
    <w:rsid w:val="0A6338F3"/>
    <w:rsid w:val="0A656E55"/>
    <w:rsid w:val="0A6A77D3"/>
    <w:rsid w:val="0A6F009A"/>
    <w:rsid w:val="0A7A4B8D"/>
    <w:rsid w:val="0A7C47BB"/>
    <w:rsid w:val="0A870648"/>
    <w:rsid w:val="0A87472E"/>
    <w:rsid w:val="0A8A0C5E"/>
    <w:rsid w:val="0A9201BD"/>
    <w:rsid w:val="0A944C18"/>
    <w:rsid w:val="0AA314FE"/>
    <w:rsid w:val="0AAA49C8"/>
    <w:rsid w:val="0AAD0ACA"/>
    <w:rsid w:val="0AC31E27"/>
    <w:rsid w:val="0AC65956"/>
    <w:rsid w:val="0ACB2284"/>
    <w:rsid w:val="0AE603D7"/>
    <w:rsid w:val="0AE849ED"/>
    <w:rsid w:val="0AF16D76"/>
    <w:rsid w:val="0AF52007"/>
    <w:rsid w:val="0AF66C07"/>
    <w:rsid w:val="0AFE51ED"/>
    <w:rsid w:val="0B0F2F30"/>
    <w:rsid w:val="0B2123DA"/>
    <w:rsid w:val="0B2159A7"/>
    <w:rsid w:val="0B345284"/>
    <w:rsid w:val="0B3E2BD8"/>
    <w:rsid w:val="0B444D3D"/>
    <w:rsid w:val="0B4A1924"/>
    <w:rsid w:val="0B4F5EA5"/>
    <w:rsid w:val="0B5275B6"/>
    <w:rsid w:val="0B547AD3"/>
    <w:rsid w:val="0B5742B7"/>
    <w:rsid w:val="0B643E3E"/>
    <w:rsid w:val="0B651162"/>
    <w:rsid w:val="0B6F523B"/>
    <w:rsid w:val="0B7F7EFB"/>
    <w:rsid w:val="0B834BBA"/>
    <w:rsid w:val="0B83769E"/>
    <w:rsid w:val="0B9170F9"/>
    <w:rsid w:val="0B9B3794"/>
    <w:rsid w:val="0B9C6F88"/>
    <w:rsid w:val="0BA30B27"/>
    <w:rsid w:val="0BA6199E"/>
    <w:rsid w:val="0BB027B3"/>
    <w:rsid w:val="0BC14B82"/>
    <w:rsid w:val="0BC50D95"/>
    <w:rsid w:val="0BD17C08"/>
    <w:rsid w:val="0BFC73C5"/>
    <w:rsid w:val="0C102B12"/>
    <w:rsid w:val="0C1A7D0F"/>
    <w:rsid w:val="0C1D6653"/>
    <w:rsid w:val="0C28640C"/>
    <w:rsid w:val="0C3D1EB8"/>
    <w:rsid w:val="0C3E79DE"/>
    <w:rsid w:val="0C465CC3"/>
    <w:rsid w:val="0C4A272E"/>
    <w:rsid w:val="0C5A6307"/>
    <w:rsid w:val="0C6C454B"/>
    <w:rsid w:val="0C7813B7"/>
    <w:rsid w:val="0C7B440E"/>
    <w:rsid w:val="0C7E2917"/>
    <w:rsid w:val="0C7F0F4E"/>
    <w:rsid w:val="0C874020"/>
    <w:rsid w:val="0C8E44C1"/>
    <w:rsid w:val="0C932B21"/>
    <w:rsid w:val="0C994C14"/>
    <w:rsid w:val="0C996017"/>
    <w:rsid w:val="0C9A1DAD"/>
    <w:rsid w:val="0CBC273A"/>
    <w:rsid w:val="0CF13FDD"/>
    <w:rsid w:val="0D0330CC"/>
    <w:rsid w:val="0D0631CA"/>
    <w:rsid w:val="0D0714A8"/>
    <w:rsid w:val="0D0B5E2C"/>
    <w:rsid w:val="0D272220"/>
    <w:rsid w:val="0D2F03FE"/>
    <w:rsid w:val="0D3C5C98"/>
    <w:rsid w:val="0D467AC3"/>
    <w:rsid w:val="0D5D1A45"/>
    <w:rsid w:val="0D5E7A2E"/>
    <w:rsid w:val="0D676BB6"/>
    <w:rsid w:val="0D6C3A2C"/>
    <w:rsid w:val="0D750CCC"/>
    <w:rsid w:val="0D7A7DB0"/>
    <w:rsid w:val="0D7D55EA"/>
    <w:rsid w:val="0D892EDB"/>
    <w:rsid w:val="0D8C16B1"/>
    <w:rsid w:val="0D9659CB"/>
    <w:rsid w:val="0D9F625A"/>
    <w:rsid w:val="0DA07748"/>
    <w:rsid w:val="0DA616BD"/>
    <w:rsid w:val="0DA727D0"/>
    <w:rsid w:val="0DAD1D15"/>
    <w:rsid w:val="0DB311C0"/>
    <w:rsid w:val="0DB978BE"/>
    <w:rsid w:val="0DC00573"/>
    <w:rsid w:val="0DC21F49"/>
    <w:rsid w:val="0DD276FA"/>
    <w:rsid w:val="0DD423A8"/>
    <w:rsid w:val="0DDF1735"/>
    <w:rsid w:val="0DE011D7"/>
    <w:rsid w:val="0DE15665"/>
    <w:rsid w:val="0DEB7A0D"/>
    <w:rsid w:val="0DED0371"/>
    <w:rsid w:val="0DFB434F"/>
    <w:rsid w:val="0E1279AE"/>
    <w:rsid w:val="0E1C23DA"/>
    <w:rsid w:val="0E2269C7"/>
    <w:rsid w:val="0E255428"/>
    <w:rsid w:val="0E256399"/>
    <w:rsid w:val="0E331EC5"/>
    <w:rsid w:val="0E3B21A2"/>
    <w:rsid w:val="0E451688"/>
    <w:rsid w:val="0E4C1F50"/>
    <w:rsid w:val="0E4E17C4"/>
    <w:rsid w:val="0E622CB8"/>
    <w:rsid w:val="0E7447D1"/>
    <w:rsid w:val="0E754E01"/>
    <w:rsid w:val="0E9C2691"/>
    <w:rsid w:val="0E9D2238"/>
    <w:rsid w:val="0EA42472"/>
    <w:rsid w:val="0EA87CDD"/>
    <w:rsid w:val="0EA930D7"/>
    <w:rsid w:val="0EB0446C"/>
    <w:rsid w:val="0EB11CF4"/>
    <w:rsid w:val="0EB307AE"/>
    <w:rsid w:val="0EB65F51"/>
    <w:rsid w:val="0ECF4697"/>
    <w:rsid w:val="0ED55B6B"/>
    <w:rsid w:val="0EDE3E0B"/>
    <w:rsid w:val="0EE77EB9"/>
    <w:rsid w:val="0EEF27A4"/>
    <w:rsid w:val="0EF6634E"/>
    <w:rsid w:val="0EF66578"/>
    <w:rsid w:val="0EFB056F"/>
    <w:rsid w:val="0EFE30A1"/>
    <w:rsid w:val="0F0F10CE"/>
    <w:rsid w:val="0F101953"/>
    <w:rsid w:val="0F210F13"/>
    <w:rsid w:val="0F2A6802"/>
    <w:rsid w:val="0F375D47"/>
    <w:rsid w:val="0F416972"/>
    <w:rsid w:val="0F4460DC"/>
    <w:rsid w:val="0F4A0448"/>
    <w:rsid w:val="0F4C7586"/>
    <w:rsid w:val="0F4F16EE"/>
    <w:rsid w:val="0F582357"/>
    <w:rsid w:val="0F585488"/>
    <w:rsid w:val="0F5B600F"/>
    <w:rsid w:val="0F5D017B"/>
    <w:rsid w:val="0F5E0F45"/>
    <w:rsid w:val="0F610D0F"/>
    <w:rsid w:val="0F6134EE"/>
    <w:rsid w:val="0F71188D"/>
    <w:rsid w:val="0F724C0C"/>
    <w:rsid w:val="0F786D63"/>
    <w:rsid w:val="0F8C5A4D"/>
    <w:rsid w:val="0F8E7C9A"/>
    <w:rsid w:val="0F977B31"/>
    <w:rsid w:val="0F992BD3"/>
    <w:rsid w:val="0F9F4285"/>
    <w:rsid w:val="0FA30F88"/>
    <w:rsid w:val="0FA3740E"/>
    <w:rsid w:val="0FB33416"/>
    <w:rsid w:val="0FB51E26"/>
    <w:rsid w:val="0FBE1FAD"/>
    <w:rsid w:val="0FBF0E36"/>
    <w:rsid w:val="0FBF6117"/>
    <w:rsid w:val="0FC351B8"/>
    <w:rsid w:val="0FC3717F"/>
    <w:rsid w:val="0FC6470A"/>
    <w:rsid w:val="0FD06B9F"/>
    <w:rsid w:val="0FE638FB"/>
    <w:rsid w:val="0FF51D06"/>
    <w:rsid w:val="100E2C92"/>
    <w:rsid w:val="100E76C7"/>
    <w:rsid w:val="101D73E9"/>
    <w:rsid w:val="10212510"/>
    <w:rsid w:val="10233173"/>
    <w:rsid w:val="1026713C"/>
    <w:rsid w:val="10280789"/>
    <w:rsid w:val="10316B7E"/>
    <w:rsid w:val="10450AAF"/>
    <w:rsid w:val="10463290"/>
    <w:rsid w:val="10466E61"/>
    <w:rsid w:val="10487C2F"/>
    <w:rsid w:val="105E2654"/>
    <w:rsid w:val="106519DD"/>
    <w:rsid w:val="10715480"/>
    <w:rsid w:val="10841479"/>
    <w:rsid w:val="10846FAC"/>
    <w:rsid w:val="10896620"/>
    <w:rsid w:val="10A71DA7"/>
    <w:rsid w:val="10A83F41"/>
    <w:rsid w:val="10AE33DE"/>
    <w:rsid w:val="10BA5D55"/>
    <w:rsid w:val="10BC6775"/>
    <w:rsid w:val="10BD6539"/>
    <w:rsid w:val="10BE1EC0"/>
    <w:rsid w:val="10C06BB1"/>
    <w:rsid w:val="10DC3685"/>
    <w:rsid w:val="10DE6069"/>
    <w:rsid w:val="10E87F18"/>
    <w:rsid w:val="10F62635"/>
    <w:rsid w:val="10FD52B2"/>
    <w:rsid w:val="110034B4"/>
    <w:rsid w:val="111468B7"/>
    <w:rsid w:val="113F222E"/>
    <w:rsid w:val="113F4CE8"/>
    <w:rsid w:val="114020FA"/>
    <w:rsid w:val="1143238B"/>
    <w:rsid w:val="114E2471"/>
    <w:rsid w:val="115463B8"/>
    <w:rsid w:val="11677E43"/>
    <w:rsid w:val="11697F5F"/>
    <w:rsid w:val="116D514A"/>
    <w:rsid w:val="117136E1"/>
    <w:rsid w:val="11716160"/>
    <w:rsid w:val="11807201"/>
    <w:rsid w:val="118856A9"/>
    <w:rsid w:val="1198260A"/>
    <w:rsid w:val="119C2FBF"/>
    <w:rsid w:val="11AD4E84"/>
    <w:rsid w:val="11B13056"/>
    <w:rsid w:val="11B24EFA"/>
    <w:rsid w:val="11C437CA"/>
    <w:rsid w:val="11C72AD5"/>
    <w:rsid w:val="11C94097"/>
    <w:rsid w:val="11CE710E"/>
    <w:rsid w:val="11D965A8"/>
    <w:rsid w:val="11DA40B3"/>
    <w:rsid w:val="11FA0D64"/>
    <w:rsid w:val="12112EDC"/>
    <w:rsid w:val="121A4793"/>
    <w:rsid w:val="121D1550"/>
    <w:rsid w:val="121D69B9"/>
    <w:rsid w:val="1220693C"/>
    <w:rsid w:val="12247947"/>
    <w:rsid w:val="12294356"/>
    <w:rsid w:val="122B797D"/>
    <w:rsid w:val="122F22A3"/>
    <w:rsid w:val="1232769D"/>
    <w:rsid w:val="12356B1B"/>
    <w:rsid w:val="12370F37"/>
    <w:rsid w:val="12432D7D"/>
    <w:rsid w:val="1246139A"/>
    <w:rsid w:val="12492AAA"/>
    <w:rsid w:val="12565770"/>
    <w:rsid w:val="12597094"/>
    <w:rsid w:val="126479A3"/>
    <w:rsid w:val="12676CA0"/>
    <w:rsid w:val="126D2C31"/>
    <w:rsid w:val="126D4B79"/>
    <w:rsid w:val="12851F14"/>
    <w:rsid w:val="12861FAC"/>
    <w:rsid w:val="129F4E7F"/>
    <w:rsid w:val="12A1643E"/>
    <w:rsid w:val="12B24C82"/>
    <w:rsid w:val="12B409FA"/>
    <w:rsid w:val="12B6416D"/>
    <w:rsid w:val="12BA5C91"/>
    <w:rsid w:val="12C12415"/>
    <w:rsid w:val="12C329F0"/>
    <w:rsid w:val="12C83AED"/>
    <w:rsid w:val="12D324B7"/>
    <w:rsid w:val="12D76496"/>
    <w:rsid w:val="12DE611B"/>
    <w:rsid w:val="13014079"/>
    <w:rsid w:val="130410A6"/>
    <w:rsid w:val="1306220E"/>
    <w:rsid w:val="130848A2"/>
    <w:rsid w:val="131123A2"/>
    <w:rsid w:val="13147299"/>
    <w:rsid w:val="131D034D"/>
    <w:rsid w:val="131F1440"/>
    <w:rsid w:val="13255454"/>
    <w:rsid w:val="134544E6"/>
    <w:rsid w:val="134721E4"/>
    <w:rsid w:val="13506E6B"/>
    <w:rsid w:val="1351449B"/>
    <w:rsid w:val="13537EB6"/>
    <w:rsid w:val="135F69F8"/>
    <w:rsid w:val="13681194"/>
    <w:rsid w:val="138403CC"/>
    <w:rsid w:val="138E283A"/>
    <w:rsid w:val="13980AFF"/>
    <w:rsid w:val="13A06610"/>
    <w:rsid w:val="13A779AE"/>
    <w:rsid w:val="13A857CB"/>
    <w:rsid w:val="13AA7707"/>
    <w:rsid w:val="13B809FB"/>
    <w:rsid w:val="13CC51DF"/>
    <w:rsid w:val="13D17908"/>
    <w:rsid w:val="13DC33DE"/>
    <w:rsid w:val="13E406EC"/>
    <w:rsid w:val="13E4213D"/>
    <w:rsid w:val="13E602E2"/>
    <w:rsid w:val="13E7240E"/>
    <w:rsid w:val="13E76FD4"/>
    <w:rsid w:val="13EB4D89"/>
    <w:rsid w:val="13EE706B"/>
    <w:rsid w:val="13F70AEB"/>
    <w:rsid w:val="140449A8"/>
    <w:rsid w:val="14076915"/>
    <w:rsid w:val="14172FEE"/>
    <w:rsid w:val="14200163"/>
    <w:rsid w:val="14215A16"/>
    <w:rsid w:val="14264FE0"/>
    <w:rsid w:val="142B13B0"/>
    <w:rsid w:val="142D2812"/>
    <w:rsid w:val="142E2ED3"/>
    <w:rsid w:val="14305A14"/>
    <w:rsid w:val="14585BDC"/>
    <w:rsid w:val="14667B56"/>
    <w:rsid w:val="1468384A"/>
    <w:rsid w:val="146D4825"/>
    <w:rsid w:val="14836516"/>
    <w:rsid w:val="148E4A78"/>
    <w:rsid w:val="149515ED"/>
    <w:rsid w:val="14967A3F"/>
    <w:rsid w:val="149D3CCF"/>
    <w:rsid w:val="149E5493"/>
    <w:rsid w:val="14A53EDD"/>
    <w:rsid w:val="14B51839"/>
    <w:rsid w:val="14C173FE"/>
    <w:rsid w:val="14D14BB6"/>
    <w:rsid w:val="14D64397"/>
    <w:rsid w:val="14D745BB"/>
    <w:rsid w:val="14DE3B11"/>
    <w:rsid w:val="14E16EF2"/>
    <w:rsid w:val="14E3577B"/>
    <w:rsid w:val="14E96F07"/>
    <w:rsid w:val="14EE7B8D"/>
    <w:rsid w:val="150224A4"/>
    <w:rsid w:val="150473A9"/>
    <w:rsid w:val="150B4D40"/>
    <w:rsid w:val="15155795"/>
    <w:rsid w:val="15203457"/>
    <w:rsid w:val="1525768E"/>
    <w:rsid w:val="15272A68"/>
    <w:rsid w:val="1528122B"/>
    <w:rsid w:val="154332C2"/>
    <w:rsid w:val="15495AA5"/>
    <w:rsid w:val="1559049D"/>
    <w:rsid w:val="156A22D6"/>
    <w:rsid w:val="156D38AF"/>
    <w:rsid w:val="157A7E30"/>
    <w:rsid w:val="157C797C"/>
    <w:rsid w:val="157C797D"/>
    <w:rsid w:val="157E0E4B"/>
    <w:rsid w:val="15872C04"/>
    <w:rsid w:val="158773B4"/>
    <w:rsid w:val="158D108E"/>
    <w:rsid w:val="159554E5"/>
    <w:rsid w:val="15A55C41"/>
    <w:rsid w:val="15AB192C"/>
    <w:rsid w:val="15BE1B45"/>
    <w:rsid w:val="15BF44EA"/>
    <w:rsid w:val="15C526DE"/>
    <w:rsid w:val="15CF09F5"/>
    <w:rsid w:val="15D3104F"/>
    <w:rsid w:val="15D9632D"/>
    <w:rsid w:val="15EB3A81"/>
    <w:rsid w:val="15EC4A00"/>
    <w:rsid w:val="15FA44CC"/>
    <w:rsid w:val="160F6180"/>
    <w:rsid w:val="161B01DC"/>
    <w:rsid w:val="161E4555"/>
    <w:rsid w:val="161E4E94"/>
    <w:rsid w:val="16243D8E"/>
    <w:rsid w:val="16320A4E"/>
    <w:rsid w:val="16340141"/>
    <w:rsid w:val="16356C2B"/>
    <w:rsid w:val="163A2FC4"/>
    <w:rsid w:val="163F4A7E"/>
    <w:rsid w:val="16534225"/>
    <w:rsid w:val="166936CF"/>
    <w:rsid w:val="166B7621"/>
    <w:rsid w:val="167468B1"/>
    <w:rsid w:val="167E55A7"/>
    <w:rsid w:val="168138B8"/>
    <w:rsid w:val="16832F6F"/>
    <w:rsid w:val="169560C3"/>
    <w:rsid w:val="16996458"/>
    <w:rsid w:val="169B1713"/>
    <w:rsid w:val="16AC638D"/>
    <w:rsid w:val="16AE4F75"/>
    <w:rsid w:val="16B40C08"/>
    <w:rsid w:val="16B9476E"/>
    <w:rsid w:val="16C30AC2"/>
    <w:rsid w:val="16C62347"/>
    <w:rsid w:val="16C879D0"/>
    <w:rsid w:val="16D16C12"/>
    <w:rsid w:val="16D231FD"/>
    <w:rsid w:val="16DC22CD"/>
    <w:rsid w:val="16E05BE8"/>
    <w:rsid w:val="16ED5525"/>
    <w:rsid w:val="170070D3"/>
    <w:rsid w:val="171710BF"/>
    <w:rsid w:val="172A1D5F"/>
    <w:rsid w:val="172A3444"/>
    <w:rsid w:val="172D0D7B"/>
    <w:rsid w:val="17324BDA"/>
    <w:rsid w:val="17353B8B"/>
    <w:rsid w:val="173720E5"/>
    <w:rsid w:val="173C4056"/>
    <w:rsid w:val="173D16EB"/>
    <w:rsid w:val="17405C33"/>
    <w:rsid w:val="174A116E"/>
    <w:rsid w:val="174E0366"/>
    <w:rsid w:val="17716EB9"/>
    <w:rsid w:val="17756AF3"/>
    <w:rsid w:val="177744E0"/>
    <w:rsid w:val="17795D6E"/>
    <w:rsid w:val="178710FA"/>
    <w:rsid w:val="178F7340"/>
    <w:rsid w:val="17950B00"/>
    <w:rsid w:val="179F2F57"/>
    <w:rsid w:val="17A9510D"/>
    <w:rsid w:val="17BC7A0B"/>
    <w:rsid w:val="17BD13C6"/>
    <w:rsid w:val="17C630D4"/>
    <w:rsid w:val="17D67A13"/>
    <w:rsid w:val="17DE3292"/>
    <w:rsid w:val="17EC356C"/>
    <w:rsid w:val="17EF4625"/>
    <w:rsid w:val="17FD54DC"/>
    <w:rsid w:val="17FF44C5"/>
    <w:rsid w:val="181E3665"/>
    <w:rsid w:val="182340F3"/>
    <w:rsid w:val="1827334D"/>
    <w:rsid w:val="183A5405"/>
    <w:rsid w:val="1840063A"/>
    <w:rsid w:val="18550589"/>
    <w:rsid w:val="18565113"/>
    <w:rsid w:val="18854B12"/>
    <w:rsid w:val="188D3E1B"/>
    <w:rsid w:val="188F59A2"/>
    <w:rsid w:val="18934C0E"/>
    <w:rsid w:val="18A60DE5"/>
    <w:rsid w:val="18B3705E"/>
    <w:rsid w:val="18C3050C"/>
    <w:rsid w:val="18C75F97"/>
    <w:rsid w:val="18DC539F"/>
    <w:rsid w:val="18DD5A18"/>
    <w:rsid w:val="18E81AAA"/>
    <w:rsid w:val="18EF6907"/>
    <w:rsid w:val="19086E4A"/>
    <w:rsid w:val="190F4842"/>
    <w:rsid w:val="19170C84"/>
    <w:rsid w:val="19263CD4"/>
    <w:rsid w:val="19276B42"/>
    <w:rsid w:val="193D5227"/>
    <w:rsid w:val="194064EB"/>
    <w:rsid w:val="195E5509"/>
    <w:rsid w:val="195F4871"/>
    <w:rsid w:val="196D1903"/>
    <w:rsid w:val="19706CFD"/>
    <w:rsid w:val="1977008B"/>
    <w:rsid w:val="197952C5"/>
    <w:rsid w:val="19823193"/>
    <w:rsid w:val="19853216"/>
    <w:rsid w:val="19882298"/>
    <w:rsid w:val="198A6011"/>
    <w:rsid w:val="198F3927"/>
    <w:rsid w:val="19910BBE"/>
    <w:rsid w:val="19A277FE"/>
    <w:rsid w:val="19AA1D78"/>
    <w:rsid w:val="19BB08C0"/>
    <w:rsid w:val="19BD268D"/>
    <w:rsid w:val="19C221A0"/>
    <w:rsid w:val="19CD1D5B"/>
    <w:rsid w:val="19D21766"/>
    <w:rsid w:val="19DA5AAD"/>
    <w:rsid w:val="19DD3C92"/>
    <w:rsid w:val="19E25E4D"/>
    <w:rsid w:val="19EA1045"/>
    <w:rsid w:val="19FD279E"/>
    <w:rsid w:val="1A084670"/>
    <w:rsid w:val="1A0A22B2"/>
    <w:rsid w:val="1A163D48"/>
    <w:rsid w:val="1A1D27C0"/>
    <w:rsid w:val="1A380FE2"/>
    <w:rsid w:val="1A3A55B8"/>
    <w:rsid w:val="1A42161A"/>
    <w:rsid w:val="1A4E5290"/>
    <w:rsid w:val="1A5526A3"/>
    <w:rsid w:val="1A777ECD"/>
    <w:rsid w:val="1A7E0B74"/>
    <w:rsid w:val="1A837228"/>
    <w:rsid w:val="1A87043A"/>
    <w:rsid w:val="1A8B64E4"/>
    <w:rsid w:val="1A9457AB"/>
    <w:rsid w:val="1A966DB0"/>
    <w:rsid w:val="1A9D6217"/>
    <w:rsid w:val="1AAE2BCF"/>
    <w:rsid w:val="1AAE3F81"/>
    <w:rsid w:val="1ABF3B7C"/>
    <w:rsid w:val="1AC9700C"/>
    <w:rsid w:val="1ACA7FC4"/>
    <w:rsid w:val="1AE27027"/>
    <w:rsid w:val="1AE946C2"/>
    <w:rsid w:val="1B031D83"/>
    <w:rsid w:val="1B035A1D"/>
    <w:rsid w:val="1B121618"/>
    <w:rsid w:val="1B1271A2"/>
    <w:rsid w:val="1B1C18C5"/>
    <w:rsid w:val="1B282AFB"/>
    <w:rsid w:val="1B46390B"/>
    <w:rsid w:val="1B563630"/>
    <w:rsid w:val="1B6808D6"/>
    <w:rsid w:val="1B6E5BCC"/>
    <w:rsid w:val="1B717AD2"/>
    <w:rsid w:val="1B770B51"/>
    <w:rsid w:val="1B7C5E2D"/>
    <w:rsid w:val="1B7C694E"/>
    <w:rsid w:val="1B83797A"/>
    <w:rsid w:val="1B8B0113"/>
    <w:rsid w:val="1B926F17"/>
    <w:rsid w:val="1B9B6215"/>
    <w:rsid w:val="1B9C2C21"/>
    <w:rsid w:val="1BB06236"/>
    <w:rsid w:val="1BC872C4"/>
    <w:rsid w:val="1BDE1B90"/>
    <w:rsid w:val="1BE50FE7"/>
    <w:rsid w:val="1BF0417E"/>
    <w:rsid w:val="1BF26B8B"/>
    <w:rsid w:val="1C013BE8"/>
    <w:rsid w:val="1C0C5403"/>
    <w:rsid w:val="1C11561F"/>
    <w:rsid w:val="1C2A0945"/>
    <w:rsid w:val="1C2E10A5"/>
    <w:rsid w:val="1C2E455D"/>
    <w:rsid w:val="1C324607"/>
    <w:rsid w:val="1C3633A3"/>
    <w:rsid w:val="1C3872E1"/>
    <w:rsid w:val="1C3F6C01"/>
    <w:rsid w:val="1C4208E0"/>
    <w:rsid w:val="1C5932DB"/>
    <w:rsid w:val="1C6568C1"/>
    <w:rsid w:val="1C752741"/>
    <w:rsid w:val="1C7B78F5"/>
    <w:rsid w:val="1C812CDB"/>
    <w:rsid w:val="1C831F97"/>
    <w:rsid w:val="1C895A78"/>
    <w:rsid w:val="1C8A46E4"/>
    <w:rsid w:val="1C901F09"/>
    <w:rsid w:val="1CAF4150"/>
    <w:rsid w:val="1CB513E6"/>
    <w:rsid w:val="1CB735C0"/>
    <w:rsid w:val="1CBB2DA0"/>
    <w:rsid w:val="1CCC6940"/>
    <w:rsid w:val="1CD5127E"/>
    <w:rsid w:val="1CF00868"/>
    <w:rsid w:val="1CF16199"/>
    <w:rsid w:val="1D1E04E8"/>
    <w:rsid w:val="1D292844"/>
    <w:rsid w:val="1D2A4609"/>
    <w:rsid w:val="1D3250C0"/>
    <w:rsid w:val="1D333DDD"/>
    <w:rsid w:val="1D3A1AFC"/>
    <w:rsid w:val="1D3C1D18"/>
    <w:rsid w:val="1D3E783E"/>
    <w:rsid w:val="1D412E17"/>
    <w:rsid w:val="1D535F7C"/>
    <w:rsid w:val="1D5B1780"/>
    <w:rsid w:val="1D5D48F4"/>
    <w:rsid w:val="1D5F77B4"/>
    <w:rsid w:val="1D703237"/>
    <w:rsid w:val="1D93435F"/>
    <w:rsid w:val="1D994BF1"/>
    <w:rsid w:val="1DA43419"/>
    <w:rsid w:val="1DAB27B4"/>
    <w:rsid w:val="1DB177A8"/>
    <w:rsid w:val="1DB22371"/>
    <w:rsid w:val="1DB82D35"/>
    <w:rsid w:val="1DC6412A"/>
    <w:rsid w:val="1DD732ED"/>
    <w:rsid w:val="1DD85009"/>
    <w:rsid w:val="1DD95D9C"/>
    <w:rsid w:val="1DE65E84"/>
    <w:rsid w:val="1DE7052C"/>
    <w:rsid w:val="1E0255DB"/>
    <w:rsid w:val="1E075E82"/>
    <w:rsid w:val="1E1B2245"/>
    <w:rsid w:val="1E20130D"/>
    <w:rsid w:val="1E2665D8"/>
    <w:rsid w:val="1E287C86"/>
    <w:rsid w:val="1E377B67"/>
    <w:rsid w:val="1E3A2D0F"/>
    <w:rsid w:val="1E473278"/>
    <w:rsid w:val="1E5146AE"/>
    <w:rsid w:val="1E67450D"/>
    <w:rsid w:val="1E787D6E"/>
    <w:rsid w:val="1E7A4C6D"/>
    <w:rsid w:val="1E9321B0"/>
    <w:rsid w:val="1E9C146B"/>
    <w:rsid w:val="1EA062D6"/>
    <w:rsid w:val="1EA35B1D"/>
    <w:rsid w:val="1EA638DD"/>
    <w:rsid w:val="1EA91532"/>
    <w:rsid w:val="1EAC07D7"/>
    <w:rsid w:val="1EB51F26"/>
    <w:rsid w:val="1EB53B30"/>
    <w:rsid w:val="1EBD621C"/>
    <w:rsid w:val="1EC0032E"/>
    <w:rsid w:val="1EC52B5D"/>
    <w:rsid w:val="1ED75ACF"/>
    <w:rsid w:val="1EE8217F"/>
    <w:rsid w:val="1EEB4E48"/>
    <w:rsid w:val="1F0815A3"/>
    <w:rsid w:val="1F1071A2"/>
    <w:rsid w:val="1F1410A0"/>
    <w:rsid w:val="1F1555A6"/>
    <w:rsid w:val="1F171713"/>
    <w:rsid w:val="1F1C4BF8"/>
    <w:rsid w:val="1F274302"/>
    <w:rsid w:val="1F2876C9"/>
    <w:rsid w:val="1F306F2C"/>
    <w:rsid w:val="1F337E82"/>
    <w:rsid w:val="1F505606"/>
    <w:rsid w:val="1F59061F"/>
    <w:rsid w:val="1F672F0C"/>
    <w:rsid w:val="1F70362A"/>
    <w:rsid w:val="1F731836"/>
    <w:rsid w:val="1F820D16"/>
    <w:rsid w:val="1F823671"/>
    <w:rsid w:val="1F826CB0"/>
    <w:rsid w:val="1F890B18"/>
    <w:rsid w:val="1F9D6372"/>
    <w:rsid w:val="1F9D7166"/>
    <w:rsid w:val="1FAB44EC"/>
    <w:rsid w:val="1FAB6E72"/>
    <w:rsid w:val="1FAE057F"/>
    <w:rsid w:val="1FB62E58"/>
    <w:rsid w:val="1FB75952"/>
    <w:rsid w:val="1FBA6BDE"/>
    <w:rsid w:val="1FBC2C9C"/>
    <w:rsid w:val="1FC16504"/>
    <w:rsid w:val="1FC304F3"/>
    <w:rsid w:val="1FC54B9D"/>
    <w:rsid w:val="1FCB1131"/>
    <w:rsid w:val="1FD9170E"/>
    <w:rsid w:val="1FED3D29"/>
    <w:rsid w:val="1FF266BE"/>
    <w:rsid w:val="1FFA29E7"/>
    <w:rsid w:val="20020FF7"/>
    <w:rsid w:val="200457E4"/>
    <w:rsid w:val="200C59D1"/>
    <w:rsid w:val="200F25CB"/>
    <w:rsid w:val="20103AA9"/>
    <w:rsid w:val="201463E7"/>
    <w:rsid w:val="20210F16"/>
    <w:rsid w:val="202757CE"/>
    <w:rsid w:val="202C7E22"/>
    <w:rsid w:val="202F3B8D"/>
    <w:rsid w:val="203776EA"/>
    <w:rsid w:val="20440C1A"/>
    <w:rsid w:val="20464723"/>
    <w:rsid w:val="206A01B5"/>
    <w:rsid w:val="2077189F"/>
    <w:rsid w:val="208052BA"/>
    <w:rsid w:val="2082399F"/>
    <w:rsid w:val="20895369"/>
    <w:rsid w:val="208C2897"/>
    <w:rsid w:val="20933DDE"/>
    <w:rsid w:val="20944DC9"/>
    <w:rsid w:val="20953FE8"/>
    <w:rsid w:val="209677D1"/>
    <w:rsid w:val="209B0B03"/>
    <w:rsid w:val="20AF24C5"/>
    <w:rsid w:val="20B84EF0"/>
    <w:rsid w:val="20C22534"/>
    <w:rsid w:val="20C76468"/>
    <w:rsid w:val="20CE6DF5"/>
    <w:rsid w:val="20D109C9"/>
    <w:rsid w:val="20D44A5E"/>
    <w:rsid w:val="20DA1BA5"/>
    <w:rsid w:val="20DC00AD"/>
    <w:rsid w:val="20FA366C"/>
    <w:rsid w:val="210112AE"/>
    <w:rsid w:val="21151D35"/>
    <w:rsid w:val="21154D5A"/>
    <w:rsid w:val="21162880"/>
    <w:rsid w:val="211A7DF9"/>
    <w:rsid w:val="21234DF0"/>
    <w:rsid w:val="213005B6"/>
    <w:rsid w:val="213602AB"/>
    <w:rsid w:val="21372CFB"/>
    <w:rsid w:val="213E4349"/>
    <w:rsid w:val="214A157E"/>
    <w:rsid w:val="214F3409"/>
    <w:rsid w:val="21542B8C"/>
    <w:rsid w:val="217001E2"/>
    <w:rsid w:val="21787CD1"/>
    <w:rsid w:val="217A5637"/>
    <w:rsid w:val="217D645B"/>
    <w:rsid w:val="21821CC3"/>
    <w:rsid w:val="21831830"/>
    <w:rsid w:val="218D38BD"/>
    <w:rsid w:val="21921F06"/>
    <w:rsid w:val="219A2C46"/>
    <w:rsid w:val="219F4623"/>
    <w:rsid w:val="21B91C44"/>
    <w:rsid w:val="21B92964"/>
    <w:rsid w:val="21BD49FC"/>
    <w:rsid w:val="21CC6E7B"/>
    <w:rsid w:val="21DC5376"/>
    <w:rsid w:val="21E14C3C"/>
    <w:rsid w:val="21E554C9"/>
    <w:rsid w:val="21F3749C"/>
    <w:rsid w:val="21F544EB"/>
    <w:rsid w:val="22013842"/>
    <w:rsid w:val="220E2700"/>
    <w:rsid w:val="2216585B"/>
    <w:rsid w:val="22176971"/>
    <w:rsid w:val="221E7EE4"/>
    <w:rsid w:val="22230DB0"/>
    <w:rsid w:val="22424E06"/>
    <w:rsid w:val="224A6E99"/>
    <w:rsid w:val="224C6CD7"/>
    <w:rsid w:val="226715E5"/>
    <w:rsid w:val="22695545"/>
    <w:rsid w:val="22761CC7"/>
    <w:rsid w:val="22853819"/>
    <w:rsid w:val="22877E93"/>
    <w:rsid w:val="22937E9C"/>
    <w:rsid w:val="22943318"/>
    <w:rsid w:val="22997A93"/>
    <w:rsid w:val="22A564AE"/>
    <w:rsid w:val="22A5758C"/>
    <w:rsid w:val="22AD6D95"/>
    <w:rsid w:val="22B12860"/>
    <w:rsid w:val="22B45EAC"/>
    <w:rsid w:val="22B55A22"/>
    <w:rsid w:val="22BA03F1"/>
    <w:rsid w:val="22BB29E9"/>
    <w:rsid w:val="22BE2824"/>
    <w:rsid w:val="22CA3922"/>
    <w:rsid w:val="22CC529C"/>
    <w:rsid w:val="22D02AB2"/>
    <w:rsid w:val="22D57F6D"/>
    <w:rsid w:val="22D87DED"/>
    <w:rsid w:val="22E13B42"/>
    <w:rsid w:val="22E631E5"/>
    <w:rsid w:val="230B66A5"/>
    <w:rsid w:val="230C2DCB"/>
    <w:rsid w:val="231A1FF3"/>
    <w:rsid w:val="231C485A"/>
    <w:rsid w:val="231E52EC"/>
    <w:rsid w:val="231F0354"/>
    <w:rsid w:val="23227153"/>
    <w:rsid w:val="23245188"/>
    <w:rsid w:val="23362D65"/>
    <w:rsid w:val="233F0736"/>
    <w:rsid w:val="23445482"/>
    <w:rsid w:val="2348426B"/>
    <w:rsid w:val="234A668E"/>
    <w:rsid w:val="235801E0"/>
    <w:rsid w:val="23590674"/>
    <w:rsid w:val="23616034"/>
    <w:rsid w:val="23630415"/>
    <w:rsid w:val="23684C01"/>
    <w:rsid w:val="23713D9D"/>
    <w:rsid w:val="237F0241"/>
    <w:rsid w:val="238150C4"/>
    <w:rsid w:val="23831A39"/>
    <w:rsid w:val="2397319A"/>
    <w:rsid w:val="239A19D0"/>
    <w:rsid w:val="23A3264F"/>
    <w:rsid w:val="23A608F4"/>
    <w:rsid w:val="23B6673B"/>
    <w:rsid w:val="23BB68EE"/>
    <w:rsid w:val="23C30A9D"/>
    <w:rsid w:val="23C3235C"/>
    <w:rsid w:val="23C57C1A"/>
    <w:rsid w:val="23C87E61"/>
    <w:rsid w:val="23CD25F3"/>
    <w:rsid w:val="23D577DF"/>
    <w:rsid w:val="23E03C52"/>
    <w:rsid w:val="23EA1C67"/>
    <w:rsid w:val="23F01CF2"/>
    <w:rsid w:val="23F066DA"/>
    <w:rsid w:val="24264B88"/>
    <w:rsid w:val="24325F23"/>
    <w:rsid w:val="24440B35"/>
    <w:rsid w:val="24572B1C"/>
    <w:rsid w:val="245C5A04"/>
    <w:rsid w:val="246663BD"/>
    <w:rsid w:val="24681E13"/>
    <w:rsid w:val="246A48BA"/>
    <w:rsid w:val="246F7735"/>
    <w:rsid w:val="247F7E83"/>
    <w:rsid w:val="24871851"/>
    <w:rsid w:val="248B757B"/>
    <w:rsid w:val="249220F4"/>
    <w:rsid w:val="249A2369"/>
    <w:rsid w:val="249A6556"/>
    <w:rsid w:val="249C022D"/>
    <w:rsid w:val="24A226A7"/>
    <w:rsid w:val="24A41AB1"/>
    <w:rsid w:val="24AD1C3D"/>
    <w:rsid w:val="24B4527F"/>
    <w:rsid w:val="24B914CD"/>
    <w:rsid w:val="24BE6FBE"/>
    <w:rsid w:val="24C3687B"/>
    <w:rsid w:val="24D43154"/>
    <w:rsid w:val="24D43B4D"/>
    <w:rsid w:val="24D77D53"/>
    <w:rsid w:val="24E7481F"/>
    <w:rsid w:val="24EB1F8D"/>
    <w:rsid w:val="24FB4266"/>
    <w:rsid w:val="25074B61"/>
    <w:rsid w:val="252235A1"/>
    <w:rsid w:val="252B4EFE"/>
    <w:rsid w:val="2535116B"/>
    <w:rsid w:val="2543066A"/>
    <w:rsid w:val="255611FC"/>
    <w:rsid w:val="256438E4"/>
    <w:rsid w:val="2565120D"/>
    <w:rsid w:val="258D1A39"/>
    <w:rsid w:val="258E47A9"/>
    <w:rsid w:val="259C2A71"/>
    <w:rsid w:val="259F1096"/>
    <w:rsid w:val="25A04F98"/>
    <w:rsid w:val="25B3069D"/>
    <w:rsid w:val="25BA5ED0"/>
    <w:rsid w:val="25C4025F"/>
    <w:rsid w:val="25C74149"/>
    <w:rsid w:val="25DC7FD8"/>
    <w:rsid w:val="25E35426"/>
    <w:rsid w:val="25E54C5D"/>
    <w:rsid w:val="25F5515A"/>
    <w:rsid w:val="25F87E3F"/>
    <w:rsid w:val="260B075F"/>
    <w:rsid w:val="260D506B"/>
    <w:rsid w:val="260F3FF4"/>
    <w:rsid w:val="261823EB"/>
    <w:rsid w:val="261D7101"/>
    <w:rsid w:val="26215F4F"/>
    <w:rsid w:val="2628131D"/>
    <w:rsid w:val="2629095F"/>
    <w:rsid w:val="26354FCA"/>
    <w:rsid w:val="263712CE"/>
    <w:rsid w:val="26423705"/>
    <w:rsid w:val="264D6D44"/>
    <w:rsid w:val="26526D72"/>
    <w:rsid w:val="26662084"/>
    <w:rsid w:val="26706DF9"/>
    <w:rsid w:val="268E60E4"/>
    <w:rsid w:val="269569EF"/>
    <w:rsid w:val="26A55B94"/>
    <w:rsid w:val="26AA1D2F"/>
    <w:rsid w:val="26AF45F6"/>
    <w:rsid w:val="26B24DF9"/>
    <w:rsid w:val="26B84EFE"/>
    <w:rsid w:val="26BA57E5"/>
    <w:rsid w:val="26CC602D"/>
    <w:rsid w:val="26D134D1"/>
    <w:rsid w:val="26D759FD"/>
    <w:rsid w:val="26DB2EF0"/>
    <w:rsid w:val="26DE174A"/>
    <w:rsid w:val="26E01980"/>
    <w:rsid w:val="26E73AE5"/>
    <w:rsid w:val="2709422D"/>
    <w:rsid w:val="271F3108"/>
    <w:rsid w:val="27261EFD"/>
    <w:rsid w:val="2728122E"/>
    <w:rsid w:val="272948FD"/>
    <w:rsid w:val="27300C80"/>
    <w:rsid w:val="27315A19"/>
    <w:rsid w:val="2736624A"/>
    <w:rsid w:val="273758D9"/>
    <w:rsid w:val="27437A60"/>
    <w:rsid w:val="27605364"/>
    <w:rsid w:val="276205CD"/>
    <w:rsid w:val="27630FE4"/>
    <w:rsid w:val="27637C19"/>
    <w:rsid w:val="276B08A8"/>
    <w:rsid w:val="276E10DB"/>
    <w:rsid w:val="276F5BA1"/>
    <w:rsid w:val="27823AEA"/>
    <w:rsid w:val="2798617B"/>
    <w:rsid w:val="27AF735E"/>
    <w:rsid w:val="27B62FE5"/>
    <w:rsid w:val="27BF157B"/>
    <w:rsid w:val="27C22892"/>
    <w:rsid w:val="27C23224"/>
    <w:rsid w:val="27CB218B"/>
    <w:rsid w:val="27CC3C98"/>
    <w:rsid w:val="27D105D2"/>
    <w:rsid w:val="27DC13A2"/>
    <w:rsid w:val="27DF3879"/>
    <w:rsid w:val="27E17743"/>
    <w:rsid w:val="28065902"/>
    <w:rsid w:val="280725E0"/>
    <w:rsid w:val="280B4F91"/>
    <w:rsid w:val="28123DA1"/>
    <w:rsid w:val="28302479"/>
    <w:rsid w:val="28341F69"/>
    <w:rsid w:val="283D5C74"/>
    <w:rsid w:val="28415495"/>
    <w:rsid w:val="28485A15"/>
    <w:rsid w:val="284D55C6"/>
    <w:rsid w:val="2858552C"/>
    <w:rsid w:val="285C1BDA"/>
    <w:rsid w:val="285C3082"/>
    <w:rsid w:val="286363AA"/>
    <w:rsid w:val="28724D70"/>
    <w:rsid w:val="288307FB"/>
    <w:rsid w:val="28AD1D1C"/>
    <w:rsid w:val="28B9421C"/>
    <w:rsid w:val="28BA51E4"/>
    <w:rsid w:val="28C12DA8"/>
    <w:rsid w:val="28C42562"/>
    <w:rsid w:val="28C43AE7"/>
    <w:rsid w:val="28C53A22"/>
    <w:rsid w:val="28CB286F"/>
    <w:rsid w:val="28D654E7"/>
    <w:rsid w:val="28D960CB"/>
    <w:rsid w:val="28EA1692"/>
    <w:rsid w:val="290B259E"/>
    <w:rsid w:val="291904BE"/>
    <w:rsid w:val="29247BF6"/>
    <w:rsid w:val="292867A7"/>
    <w:rsid w:val="292C30EE"/>
    <w:rsid w:val="292D11EB"/>
    <w:rsid w:val="293A7438"/>
    <w:rsid w:val="293F6EA3"/>
    <w:rsid w:val="29424212"/>
    <w:rsid w:val="2950134E"/>
    <w:rsid w:val="295544A3"/>
    <w:rsid w:val="295C2680"/>
    <w:rsid w:val="29631492"/>
    <w:rsid w:val="29634B26"/>
    <w:rsid w:val="296E14AB"/>
    <w:rsid w:val="29713B4C"/>
    <w:rsid w:val="29755FA6"/>
    <w:rsid w:val="2975762B"/>
    <w:rsid w:val="29767514"/>
    <w:rsid w:val="298B66B1"/>
    <w:rsid w:val="298B6D36"/>
    <w:rsid w:val="29A94291"/>
    <w:rsid w:val="29C70DAC"/>
    <w:rsid w:val="29EC044B"/>
    <w:rsid w:val="29EE20E1"/>
    <w:rsid w:val="29F2250D"/>
    <w:rsid w:val="29F86FC6"/>
    <w:rsid w:val="29FA4AED"/>
    <w:rsid w:val="29FA773D"/>
    <w:rsid w:val="29FC6C62"/>
    <w:rsid w:val="29FD7D26"/>
    <w:rsid w:val="29FF1643"/>
    <w:rsid w:val="2A0057F6"/>
    <w:rsid w:val="2A023397"/>
    <w:rsid w:val="2A0566DB"/>
    <w:rsid w:val="2A284530"/>
    <w:rsid w:val="2A2C78F9"/>
    <w:rsid w:val="2A305C74"/>
    <w:rsid w:val="2A4B359A"/>
    <w:rsid w:val="2A515DBB"/>
    <w:rsid w:val="2A570AC6"/>
    <w:rsid w:val="2A5720AB"/>
    <w:rsid w:val="2A584AFE"/>
    <w:rsid w:val="2A6A08DD"/>
    <w:rsid w:val="2A6D2200"/>
    <w:rsid w:val="2A737E83"/>
    <w:rsid w:val="2A742E4E"/>
    <w:rsid w:val="2A7B7ACA"/>
    <w:rsid w:val="2A8C03D3"/>
    <w:rsid w:val="2A987BFE"/>
    <w:rsid w:val="2ABC7FF4"/>
    <w:rsid w:val="2AC45C47"/>
    <w:rsid w:val="2AC67025"/>
    <w:rsid w:val="2AC84BEB"/>
    <w:rsid w:val="2ADB1EF9"/>
    <w:rsid w:val="2AF1738F"/>
    <w:rsid w:val="2AF60172"/>
    <w:rsid w:val="2B065713"/>
    <w:rsid w:val="2B073965"/>
    <w:rsid w:val="2B195597"/>
    <w:rsid w:val="2B304E5F"/>
    <w:rsid w:val="2B381D70"/>
    <w:rsid w:val="2B3848B4"/>
    <w:rsid w:val="2B4837C7"/>
    <w:rsid w:val="2B506842"/>
    <w:rsid w:val="2B507F33"/>
    <w:rsid w:val="2B5B1FFD"/>
    <w:rsid w:val="2B5B26DC"/>
    <w:rsid w:val="2B5F2796"/>
    <w:rsid w:val="2B747B4B"/>
    <w:rsid w:val="2B7738F7"/>
    <w:rsid w:val="2B972AA1"/>
    <w:rsid w:val="2B9C3859"/>
    <w:rsid w:val="2BA715DA"/>
    <w:rsid w:val="2BA967CA"/>
    <w:rsid w:val="2BAF0AD3"/>
    <w:rsid w:val="2BB75FE8"/>
    <w:rsid w:val="2BD223E9"/>
    <w:rsid w:val="2BD504B7"/>
    <w:rsid w:val="2BD92C3B"/>
    <w:rsid w:val="2BDA0415"/>
    <w:rsid w:val="2BDD6474"/>
    <w:rsid w:val="2BEC5B43"/>
    <w:rsid w:val="2C1856FE"/>
    <w:rsid w:val="2C343987"/>
    <w:rsid w:val="2C3B547F"/>
    <w:rsid w:val="2C4150D2"/>
    <w:rsid w:val="2C552F6F"/>
    <w:rsid w:val="2C597C75"/>
    <w:rsid w:val="2C5C72A4"/>
    <w:rsid w:val="2C5F7000"/>
    <w:rsid w:val="2C64594A"/>
    <w:rsid w:val="2C7A3CC3"/>
    <w:rsid w:val="2C85671A"/>
    <w:rsid w:val="2C864D5D"/>
    <w:rsid w:val="2C8A58E0"/>
    <w:rsid w:val="2C9046A6"/>
    <w:rsid w:val="2C996406"/>
    <w:rsid w:val="2CA451E4"/>
    <w:rsid w:val="2CA7395A"/>
    <w:rsid w:val="2CAF54A3"/>
    <w:rsid w:val="2CB80EFB"/>
    <w:rsid w:val="2CB84510"/>
    <w:rsid w:val="2CB854B4"/>
    <w:rsid w:val="2CB90C8F"/>
    <w:rsid w:val="2CBC519D"/>
    <w:rsid w:val="2CC361CA"/>
    <w:rsid w:val="2CC517EA"/>
    <w:rsid w:val="2CD35079"/>
    <w:rsid w:val="2CD47877"/>
    <w:rsid w:val="2CDA1729"/>
    <w:rsid w:val="2CE63999"/>
    <w:rsid w:val="2CF27824"/>
    <w:rsid w:val="2CF95E0E"/>
    <w:rsid w:val="2CFA630E"/>
    <w:rsid w:val="2CFE1D5E"/>
    <w:rsid w:val="2CFE6262"/>
    <w:rsid w:val="2D052F0A"/>
    <w:rsid w:val="2D0837B5"/>
    <w:rsid w:val="2D1D56B0"/>
    <w:rsid w:val="2D2233D4"/>
    <w:rsid w:val="2D326660"/>
    <w:rsid w:val="2D3812F3"/>
    <w:rsid w:val="2D4E3E49"/>
    <w:rsid w:val="2D5D583A"/>
    <w:rsid w:val="2D5F2757"/>
    <w:rsid w:val="2D6424BC"/>
    <w:rsid w:val="2D6C5D01"/>
    <w:rsid w:val="2D772AA6"/>
    <w:rsid w:val="2D855DE9"/>
    <w:rsid w:val="2D917D56"/>
    <w:rsid w:val="2D987795"/>
    <w:rsid w:val="2D9D5444"/>
    <w:rsid w:val="2DB16EF8"/>
    <w:rsid w:val="2DC16D79"/>
    <w:rsid w:val="2DD13DB6"/>
    <w:rsid w:val="2DD1469C"/>
    <w:rsid w:val="2DD32EBC"/>
    <w:rsid w:val="2DD67BCC"/>
    <w:rsid w:val="2DD81DCE"/>
    <w:rsid w:val="2DEA131C"/>
    <w:rsid w:val="2DFC0B9F"/>
    <w:rsid w:val="2DFE0923"/>
    <w:rsid w:val="2DFE3C1F"/>
    <w:rsid w:val="2E007D2B"/>
    <w:rsid w:val="2E040205"/>
    <w:rsid w:val="2E141E76"/>
    <w:rsid w:val="2E214AA3"/>
    <w:rsid w:val="2E22407C"/>
    <w:rsid w:val="2E3529C7"/>
    <w:rsid w:val="2E3C5E88"/>
    <w:rsid w:val="2E530536"/>
    <w:rsid w:val="2E55703A"/>
    <w:rsid w:val="2E603C5F"/>
    <w:rsid w:val="2E652C5B"/>
    <w:rsid w:val="2E692D31"/>
    <w:rsid w:val="2E7067B2"/>
    <w:rsid w:val="2E773C35"/>
    <w:rsid w:val="2E7A755B"/>
    <w:rsid w:val="2E8A41DC"/>
    <w:rsid w:val="2E913489"/>
    <w:rsid w:val="2E913546"/>
    <w:rsid w:val="2E923FE3"/>
    <w:rsid w:val="2E945959"/>
    <w:rsid w:val="2E960B5C"/>
    <w:rsid w:val="2E975000"/>
    <w:rsid w:val="2E9D4C49"/>
    <w:rsid w:val="2E9E1919"/>
    <w:rsid w:val="2EA90095"/>
    <w:rsid w:val="2EAC2465"/>
    <w:rsid w:val="2EAD4279"/>
    <w:rsid w:val="2EAF63C6"/>
    <w:rsid w:val="2EB57234"/>
    <w:rsid w:val="2EC83770"/>
    <w:rsid w:val="2ECD2651"/>
    <w:rsid w:val="2ECE02F6"/>
    <w:rsid w:val="2ED022C0"/>
    <w:rsid w:val="2ED0406E"/>
    <w:rsid w:val="2ED07801"/>
    <w:rsid w:val="2ED27DE6"/>
    <w:rsid w:val="2ED743E7"/>
    <w:rsid w:val="2EE054F5"/>
    <w:rsid w:val="2EE31FF3"/>
    <w:rsid w:val="2EF13E4A"/>
    <w:rsid w:val="2EF234C9"/>
    <w:rsid w:val="2F002231"/>
    <w:rsid w:val="2F061E3C"/>
    <w:rsid w:val="2F0D6E2A"/>
    <w:rsid w:val="2F1A15D0"/>
    <w:rsid w:val="2F1D6524"/>
    <w:rsid w:val="2F1E0299"/>
    <w:rsid w:val="2F1F4049"/>
    <w:rsid w:val="2F2C4661"/>
    <w:rsid w:val="2F3153A5"/>
    <w:rsid w:val="2F402C84"/>
    <w:rsid w:val="2F512A3A"/>
    <w:rsid w:val="2F5471C8"/>
    <w:rsid w:val="2F573C96"/>
    <w:rsid w:val="2F594063"/>
    <w:rsid w:val="2F5E5A30"/>
    <w:rsid w:val="2F64058C"/>
    <w:rsid w:val="2F6F276C"/>
    <w:rsid w:val="2F973531"/>
    <w:rsid w:val="2F9F25F2"/>
    <w:rsid w:val="2FA50A2D"/>
    <w:rsid w:val="2FAD6F3D"/>
    <w:rsid w:val="2FAF1ED5"/>
    <w:rsid w:val="2FB41743"/>
    <w:rsid w:val="2FB97246"/>
    <w:rsid w:val="2FCA0796"/>
    <w:rsid w:val="2FCE1C1E"/>
    <w:rsid w:val="2FD351B7"/>
    <w:rsid w:val="2FD40CF0"/>
    <w:rsid w:val="2FD90F2F"/>
    <w:rsid w:val="2FDB431F"/>
    <w:rsid w:val="2FDD6D3F"/>
    <w:rsid w:val="2FE273ED"/>
    <w:rsid w:val="2FFB68F1"/>
    <w:rsid w:val="300249C7"/>
    <w:rsid w:val="30065FB5"/>
    <w:rsid w:val="301A24DE"/>
    <w:rsid w:val="301E073E"/>
    <w:rsid w:val="301E3ECB"/>
    <w:rsid w:val="303E7004"/>
    <w:rsid w:val="30406FD1"/>
    <w:rsid w:val="3046798A"/>
    <w:rsid w:val="306E1D90"/>
    <w:rsid w:val="30880EE3"/>
    <w:rsid w:val="308E58B7"/>
    <w:rsid w:val="3096065C"/>
    <w:rsid w:val="30963C7F"/>
    <w:rsid w:val="309F1F4A"/>
    <w:rsid w:val="30A41ED3"/>
    <w:rsid w:val="30A63EF1"/>
    <w:rsid w:val="30B77141"/>
    <w:rsid w:val="30BA3228"/>
    <w:rsid w:val="30CF5934"/>
    <w:rsid w:val="30DA11D4"/>
    <w:rsid w:val="30E438A0"/>
    <w:rsid w:val="30F720DE"/>
    <w:rsid w:val="30FD3114"/>
    <w:rsid w:val="3103697D"/>
    <w:rsid w:val="3116512B"/>
    <w:rsid w:val="311A3CC6"/>
    <w:rsid w:val="311D3472"/>
    <w:rsid w:val="314C026D"/>
    <w:rsid w:val="31531CA9"/>
    <w:rsid w:val="31571B0B"/>
    <w:rsid w:val="316867E0"/>
    <w:rsid w:val="31692558"/>
    <w:rsid w:val="3170660F"/>
    <w:rsid w:val="317B6958"/>
    <w:rsid w:val="31816C0C"/>
    <w:rsid w:val="318B79AD"/>
    <w:rsid w:val="31952463"/>
    <w:rsid w:val="319633B5"/>
    <w:rsid w:val="31A50A16"/>
    <w:rsid w:val="31A77C80"/>
    <w:rsid w:val="31A83C78"/>
    <w:rsid w:val="31AD4B3A"/>
    <w:rsid w:val="31B1462B"/>
    <w:rsid w:val="31B62868"/>
    <w:rsid w:val="31B6732A"/>
    <w:rsid w:val="31B9703B"/>
    <w:rsid w:val="31BE37D9"/>
    <w:rsid w:val="31C1249D"/>
    <w:rsid w:val="31C14142"/>
    <w:rsid w:val="31D04BDB"/>
    <w:rsid w:val="31D92D05"/>
    <w:rsid w:val="31DC15EB"/>
    <w:rsid w:val="31E014DC"/>
    <w:rsid w:val="31ED4411"/>
    <w:rsid w:val="32016023"/>
    <w:rsid w:val="32063DE1"/>
    <w:rsid w:val="3216248A"/>
    <w:rsid w:val="323D7013"/>
    <w:rsid w:val="32403558"/>
    <w:rsid w:val="32487551"/>
    <w:rsid w:val="324D7F03"/>
    <w:rsid w:val="325E42E4"/>
    <w:rsid w:val="3270353A"/>
    <w:rsid w:val="329448A6"/>
    <w:rsid w:val="329A64D2"/>
    <w:rsid w:val="32AF4F38"/>
    <w:rsid w:val="32B14583"/>
    <w:rsid w:val="32C523BF"/>
    <w:rsid w:val="32E95766"/>
    <w:rsid w:val="32FB4D54"/>
    <w:rsid w:val="32FC31FE"/>
    <w:rsid w:val="32FF4304"/>
    <w:rsid w:val="33071809"/>
    <w:rsid w:val="33090C17"/>
    <w:rsid w:val="33194B85"/>
    <w:rsid w:val="331F2233"/>
    <w:rsid w:val="3320219F"/>
    <w:rsid w:val="332E29BB"/>
    <w:rsid w:val="33332E1D"/>
    <w:rsid w:val="333472C1"/>
    <w:rsid w:val="333A68BF"/>
    <w:rsid w:val="3340323B"/>
    <w:rsid w:val="334253F4"/>
    <w:rsid w:val="33431138"/>
    <w:rsid w:val="33495581"/>
    <w:rsid w:val="334A4D49"/>
    <w:rsid w:val="334C089D"/>
    <w:rsid w:val="334E010E"/>
    <w:rsid w:val="335214F5"/>
    <w:rsid w:val="3355626D"/>
    <w:rsid w:val="335A0594"/>
    <w:rsid w:val="335B0E22"/>
    <w:rsid w:val="335F6B0C"/>
    <w:rsid w:val="3368463A"/>
    <w:rsid w:val="336F2F1E"/>
    <w:rsid w:val="33756F88"/>
    <w:rsid w:val="337B700F"/>
    <w:rsid w:val="33894FC2"/>
    <w:rsid w:val="339F4CB8"/>
    <w:rsid w:val="33B4252F"/>
    <w:rsid w:val="33C63C91"/>
    <w:rsid w:val="33D235AB"/>
    <w:rsid w:val="33D4796C"/>
    <w:rsid w:val="33E213A8"/>
    <w:rsid w:val="33F359B8"/>
    <w:rsid w:val="34027894"/>
    <w:rsid w:val="341821BB"/>
    <w:rsid w:val="341A110E"/>
    <w:rsid w:val="34205613"/>
    <w:rsid w:val="34360E17"/>
    <w:rsid w:val="343F3571"/>
    <w:rsid w:val="3448264E"/>
    <w:rsid w:val="344C3298"/>
    <w:rsid w:val="346918E7"/>
    <w:rsid w:val="347F64EC"/>
    <w:rsid w:val="348702E2"/>
    <w:rsid w:val="348A0733"/>
    <w:rsid w:val="34BD7568"/>
    <w:rsid w:val="34CA77B1"/>
    <w:rsid w:val="34F066BB"/>
    <w:rsid w:val="34F52A80"/>
    <w:rsid w:val="34FA20F0"/>
    <w:rsid w:val="35032D4B"/>
    <w:rsid w:val="35042CC3"/>
    <w:rsid w:val="351D6C41"/>
    <w:rsid w:val="35234088"/>
    <w:rsid w:val="352D0CC8"/>
    <w:rsid w:val="355552CD"/>
    <w:rsid w:val="35581831"/>
    <w:rsid w:val="35617EE9"/>
    <w:rsid w:val="356D0868"/>
    <w:rsid w:val="35796127"/>
    <w:rsid w:val="357D288D"/>
    <w:rsid w:val="357F756B"/>
    <w:rsid w:val="358C22E8"/>
    <w:rsid w:val="35944047"/>
    <w:rsid w:val="3596795E"/>
    <w:rsid w:val="3599165E"/>
    <w:rsid w:val="35B00DB3"/>
    <w:rsid w:val="35BC7F9C"/>
    <w:rsid w:val="35BE2C30"/>
    <w:rsid w:val="35C3759D"/>
    <w:rsid w:val="35D2049F"/>
    <w:rsid w:val="35DD291A"/>
    <w:rsid w:val="35DD39E6"/>
    <w:rsid w:val="35DF0960"/>
    <w:rsid w:val="35E040D0"/>
    <w:rsid w:val="35F24216"/>
    <w:rsid w:val="35F31848"/>
    <w:rsid w:val="36015455"/>
    <w:rsid w:val="360311CD"/>
    <w:rsid w:val="360D204B"/>
    <w:rsid w:val="360F1636"/>
    <w:rsid w:val="361549BC"/>
    <w:rsid w:val="36234A82"/>
    <w:rsid w:val="36291E1F"/>
    <w:rsid w:val="3639775B"/>
    <w:rsid w:val="36410503"/>
    <w:rsid w:val="364A3AFF"/>
    <w:rsid w:val="36681921"/>
    <w:rsid w:val="366854D4"/>
    <w:rsid w:val="36814456"/>
    <w:rsid w:val="36841352"/>
    <w:rsid w:val="36856CF9"/>
    <w:rsid w:val="368906AD"/>
    <w:rsid w:val="368E4C2A"/>
    <w:rsid w:val="369424F9"/>
    <w:rsid w:val="369625BE"/>
    <w:rsid w:val="369A6198"/>
    <w:rsid w:val="36A553C6"/>
    <w:rsid w:val="36A846AE"/>
    <w:rsid w:val="36B97ADD"/>
    <w:rsid w:val="36D7201E"/>
    <w:rsid w:val="36E1452B"/>
    <w:rsid w:val="36E30F45"/>
    <w:rsid w:val="36E6757B"/>
    <w:rsid w:val="36E96615"/>
    <w:rsid w:val="36F46080"/>
    <w:rsid w:val="36F65622"/>
    <w:rsid w:val="36FF649E"/>
    <w:rsid w:val="36FF7BE6"/>
    <w:rsid w:val="370379E1"/>
    <w:rsid w:val="370F6EE1"/>
    <w:rsid w:val="37123149"/>
    <w:rsid w:val="371B2546"/>
    <w:rsid w:val="371F75C5"/>
    <w:rsid w:val="372633C5"/>
    <w:rsid w:val="373D426B"/>
    <w:rsid w:val="37427105"/>
    <w:rsid w:val="37475458"/>
    <w:rsid w:val="374A1241"/>
    <w:rsid w:val="37557806"/>
    <w:rsid w:val="37585548"/>
    <w:rsid w:val="375A042A"/>
    <w:rsid w:val="376161AB"/>
    <w:rsid w:val="376E2676"/>
    <w:rsid w:val="37714E22"/>
    <w:rsid w:val="37723754"/>
    <w:rsid w:val="377420F6"/>
    <w:rsid w:val="37A145B1"/>
    <w:rsid w:val="37C16CE0"/>
    <w:rsid w:val="37D26CD7"/>
    <w:rsid w:val="37D36638"/>
    <w:rsid w:val="37DB3126"/>
    <w:rsid w:val="37DC468E"/>
    <w:rsid w:val="37E406DC"/>
    <w:rsid w:val="37F213B9"/>
    <w:rsid w:val="380F20AB"/>
    <w:rsid w:val="38213B8C"/>
    <w:rsid w:val="382471D8"/>
    <w:rsid w:val="38381C7A"/>
    <w:rsid w:val="38387A7A"/>
    <w:rsid w:val="38482EC7"/>
    <w:rsid w:val="387A4AE4"/>
    <w:rsid w:val="38810FA3"/>
    <w:rsid w:val="38A0786D"/>
    <w:rsid w:val="38A7624F"/>
    <w:rsid w:val="38B90269"/>
    <w:rsid w:val="38BB08D8"/>
    <w:rsid w:val="38BF2B83"/>
    <w:rsid w:val="38CE751F"/>
    <w:rsid w:val="38E20C20"/>
    <w:rsid w:val="38E52DE5"/>
    <w:rsid w:val="38E760EA"/>
    <w:rsid w:val="38E92D4E"/>
    <w:rsid w:val="38EA0BBC"/>
    <w:rsid w:val="38F905EA"/>
    <w:rsid w:val="38FE570C"/>
    <w:rsid w:val="39144483"/>
    <w:rsid w:val="392A4D78"/>
    <w:rsid w:val="392A7D81"/>
    <w:rsid w:val="393F18AE"/>
    <w:rsid w:val="393F25C3"/>
    <w:rsid w:val="394270EA"/>
    <w:rsid w:val="395547D8"/>
    <w:rsid w:val="395B30CE"/>
    <w:rsid w:val="39761CB6"/>
    <w:rsid w:val="397B327E"/>
    <w:rsid w:val="397B406D"/>
    <w:rsid w:val="398C6662"/>
    <w:rsid w:val="39A50986"/>
    <w:rsid w:val="39AF5867"/>
    <w:rsid w:val="39B44E40"/>
    <w:rsid w:val="39B76008"/>
    <w:rsid w:val="39BA0545"/>
    <w:rsid w:val="39BD35F0"/>
    <w:rsid w:val="39BF123A"/>
    <w:rsid w:val="39C80522"/>
    <w:rsid w:val="39CB0253"/>
    <w:rsid w:val="39D30EB6"/>
    <w:rsid w:val="39E128BC"/>
    <w:rsid w:val="39FA76BE"/>
    <w:rsid w:val="39FE4185"/>
    <w:rsid w:val="3A0A5C31"/>
    <w:rsid w:val="3A1E0B9C"/>
    <w:rsid w:val="3A23327D"/>
    <w:rsid w:val="3A2526EB"/>
    <w:rsid w:val="3A286966"/>
    <w:rsid w:val="3A3450CB"/>
    <w:rsid w:val="3A476CE7"/>
    <w:rsid w:val="3A490DE0"/>
    <w:rsid w:val="3A553AA5"/>
    <w:rsid w:val="3A5E0663"/>
    <w:rsid w:val="3A5F752C"/>
    <w:rsid w:val="3A686984"/>
    <w:rsid w:val="3A711DD0"/>
    <w:rsid w:val="3A714E7B"/>
    <w:rsid w:val="3A7C7F6E"/>
    <w:rsid w:val="3A887EF3"/>
    <w:rsid w:val="3A8D72B7"/>
    <w:rsid w:val="3A9B5311"/>
    <w:rsid w:val="3A9F6D64"/>
    <w:rsid w:val="3AA045BA"/>
    <w:rsid w:val="3AA749CF"/>
    <w:rsid w:val="3AAD03EA"/>
    <w:rsid w:val="3AB70E68"/>
    <w:rsid w:val="3AD058C9"/>
    <w:rsid w:val="3AD1406B"/>
    <w:rsid w:val="3AD153F6"/>
    <w:rsid w:val="3AD76E07"/>
    <w:rsid w:val="3AE570F3"/>
    <w:rsid w:val="3AF76781"/>
    <w:rsid w:val="3AFD4DF2"/>
    <w:rsid w:val="3B00729C"/>
    <w:rsid w:val="3B0A0D9D"/>
    <w:rsid w:val="3B433D80"/>
    <w:rsid w:val="3B4402BD"/>
    <w:rsid w:val="3B463B4D"/>
    <w:rsid w:val="3B5070E8"/>
    <w:rsid w:val="3B514788"/>
    <w:rsid w:val="3B6C15C2"/>
    <w:rsid w:val="3B6C60A1"/>
    <w:rsid w:val="3B6F465D"/>
    <w:rsid w:val="3B712735"/>
    <w:rsid w:val="3B7346FF"/>
    <w:rsid w:val="3B783C55"/>
    <w:rsid w:val="3B796203"/>
    <w:rsid w:val="3B7D20EB"/>
    <w:rsid w:val="3B7E3F99"/>
    <w:rsid w:val="3B8B2281"/>
    <w:rsid w:val="3B8E32E7"/>
    <w:rsid w:val="3B990B7D"/>
    <w:rsid w:val="3B996E12"/>
    <w:rsid w:val="3B9A6943"/>
    <w:rsid w:val="3B9D177C"/>
    <w:rsid w:val="3BA21321"/>
    <w:rsid w:val="3BAC72F6"/>
    <w:rsid w:val="3BB34091"/>
    <w:rsid w:val="3BB52EA6"/>
    <w:rsid w:val="3BB53162"/>
    <w:rsid w:val="3BC54E29"/>
    <w:rsid w:val="3BD84BEB"/>
    <w:rsid w:val="3BDA054A"/>
    <w:rsid w:val="3BDB4D5B"/>
    <w:rsid w:val="3BDE66FA"/>
    <w:rsid w:val="3BE21B4A"/>
    <w:rsid w:val="3BE61375"/>
    <w:rsid w:val="3BE71D72"/>
    <w:rsid w:val="3BEC600E"/>
    <w:rsid w:val="3BF759A1"/>
    <w:rsid w:val="3BF93AEE"/>
    <w:rsid w:val="3BFC6EA7"/>
    <w:rsid w:val="3C0C0CC0"/>
    <w:rsid w:val="3C0D4B53"/>
    <w:rsid w:val="3C0F0C18"/>
    <w:rsid w:val="3C206F59"/>
    <w:rsid w:val="3C2E793E"/>
    <w:rsid w:val="3C3176E0"/>
    <w:rsid w:val="3C32271B"/>
    <w:rsid w:val="3C3F2833"/>
    <w:rsid w:val="3C47212E"/>
    <w:rsid w:val="3C525711"/>
    <w:rsid w:val="3C554213"/>
    <w:rsid w:val="3C5650C3"/>
    <w:rsid w:val="3C722251"/>
    <w:rsid w:val="3C765DD6"/>
    <w:rsid w:val="3C776471"/>
    <w:rsid w:val="3C7D492A"/>
    <w:rsid w:val="3C8471CD"/>
    <w:rsid w:val="3C971BE3"/>
    <w:rsid w:val="3C9E1902"/>
    <w:rsid w:val="3CA64660"/>
    <w:rsid w:val="3CB7061B"/>
    <w:rsid w:val="3CBC379F"/>
    <w:rsid w:val="3CC14814"/>
    <w:rsid w:val="3CC43C27"/>
    <w:rsid w:val="3CD3454E"/>
    <w:rsid w:val="3CDE1AC3"/>
    <w:rsid w:val="3CE52994"/>
    <w:rsid w:val="3CE96B06"/>
    <w:rsid w:val="3D0106F2"/>
    <w:rsid w:val="3D072AD2"/>
    <w:rsid w:val="3D09595A"/>
    <w:rsid w:val="3D183272"/>
    <w:rsid w:val="3D197528"/>
    <w:rsid w:val="3D3414E9"/>
    <w:rsid w:val="3D350BE3"/>
    <w:rsid w:val="3D366C7E"/>
    <w:rsid w:val="3D3D68D6"/>
    <w:rsid w:val="3D3F1833"/>
    <w:rsid w:val="3D432085"/>
    <w:rsid w:val="3D4F3EFC"/>
    <w:rsid w:val="3D5567B2"/>
    <w:rsid w:val="3D5C06E2"/>
    <w:rsid w:val="3D650EB2"/>
    <w:rsid w:val="3D6562C9"/>
    <w:rsid w:val="3D673DEF"/>
    <w:rsid w:val="3D687B67"/>
    <w:rsid w:val="3D6E780F"/>
    <w:rsid w:val="3D830769"/>
    <w:rsid w:val="3D857359"/>
    <w:rsid w:val="3D8F25B4"/>
    <w:rsid w:val="3D954F13"/>
    <w:rsid w:val="3DA43295"/>
    <w:rsid w:val="3DA8142B"/>
    <w:rsid w:val="3DB054D2"/>
    <w:rsid w:val="3DBE499B"/>
    <w:rsid w:val="3DC36756"/>
    <w:rsid w:val="3DC57800"/>
    <w:rsid w:val="3DC84F3E"/>
    <w:rsid w:val="3DE87C48"/>
    <w:rsid w:val="3DEA4FB9"/>
    <w:rsid w:val="3DF713C9"/>
    <w:rsid w:val="3DFB51F3"/>
    <w:rsid w:val="3DFF2AC2"/>
    <w:rsid w:val="3E1877DF"/>
    <w:rsid w:val="3E1A55D3"/>
    <w:rsid w:val="3E275199"/>
    <w:rsid w:val="3E2F4081"/>
    <w:rsid w:val="3E327930"/>
    <w:rsid w:val="3E33149D"/>
    <w:rsid w:val="3E357CE8"/>
    <w:rsid w:val="3E3E713F"/>
    <w:rsid w:val="3E4B1963"/>
    <w:rsid w:val="3E526B1F"/>
    <w:rsid w:val="3E556BA1"/>
    <w:rsid w:val="3E576739"/>
    <w:rsid w:val="3E694CDA"/>
    <w:rsid w:val="3E6D1ADA"/>
    <w:rsid w:val="3E7569E0"/>
    <w:rsid w:val="3E7E3AE6"/>
    <w:rsid w:val="3E804423"/>
    <w:rsid w:val="3E8804C1"/>
    <w:rsid w:val="3E8F7BC2"/>
    <w:rsid w:val="3EA81730"/>
    <w:rsid w:val="3EC534C3"/>
    <w:rsid w:val="3ECA2888"/>
    <w:rsid w:val="3ECF0C8A"/>
    <w:rsid w:val="3ED140FC"/>
    <w:rsid w:val="3ED40591"/>
    <w:rsid w:val="3ED656D0"/>
    <w:rsid w:val="3ED70C1D"/>
    <w:rsid w:val="3ED90D1D"/>
    <w:rsid w:val="3EE43646"/>
    <w:rsid w:val="3EEA2F2A"/>
    <w:rsid w:val="3EF64633"/>
    <w:rsid w:val="3EFE4C27"/>
    <w:rsid w:val="3EFF26CF"/>
    <w:rsid w:val="3F0173B9"/>
    <w:rsid w:val="3F111A26"/>
    <w:rsid w:val="3F132B04"/>
    <w:rsid w:val="3F1F4851"/>
    <w:rsid w:val="3F2D1069"/>
    <w:rsid w:val="3F2D3F18"/>
    <w:rsid w:val="3F3B5533"/>
    <w:rsid w:val="3F3C74C0"/>
    <w:rsid w:val="3F422757"/>
    <w:rsid w:val="3F52287D"/>
    <w:rsid w:val="3F5716E2"/>
    <w:rsid w:val="3F5A7FC4"/>
    <w:rsid w:val="3F5D36FC"/>
    <w:rsid w:val="3F7903CA"/>
    <w:rsid w:val="3F7B3187"/>
    <w:rsid w:val="3F7E4346"/>
    <w:rsid w:val="3FA330D9"/>
    <w:rsid w:val="3FA51DD5"/>
    <w:rsid w:val="3FB0546C"/>
    <w:rsid w:val="3FB212D0"/>
    <w:rsid w:val="3FB577A3"/>
    <w:rsid w:val="3FBE453F"/>
    <w:rsid w:val="3FD00CEF"/>
    <w:rsid w:val="3FD1166E"/>
    <w:rsid w:val="3FD60360"/>
    <w:rsid w:val="3FD94195"/>
    <w:rsid w:val="3FDD4730"/>
    <w:rsid w:val="3FE060DB"/>
    <w:rsid w:val="3FE67B95"/>
    <w:rsid w:val="3FF37BBC"/>
    <w:rsid w:val="3FF7488B"/>
    <w:rsid w:val="400075B8"/>
    <w:rsid w:val="40087F78"/>
    <w:rsid w:val="40095632"/>
    <w:rsid w:val="400F438B"/>
    <w:rsid w:val="4011007C"/>
    <w:rsid w:val="402D0C2D"/>
    <w:rsid w:val="40385F17"/>
    <w:rsid w:val="40442B79"/>
    <w:rsid w:val="404F1617"/>
    <w:rsid w:val="40513CA7"/>
    <w:rsid w:val="40572E0E"/>
    <w:rsid w:val="40582115"/>
    <w:rsid w:val="40622EA8"/>
    <w:rsid w:val="40690858"/>
    <w:rsid w:val="40700B5C"/>
    <w:rsid w:val="40740BC3"/>
    <w:rsid w:val="408A6CF6"/>
    <w:rsid w:val="40A315E2"/>
    <w:rsid w:val="40AC0D9B"/>
    <w:rsid w:val="40B365A7"/>
    <w:rsid w:val="40B45E2D"/>
    <w:rsid w:val="40BA692C"/>
    <w:rsid w:val="40C3494D"/>
    <w:rsid w:val="40CB63B2"/>
    <w:rsid w:val="40CB79F0"/>
    <w:rsid w:val="40CD1CB4"/>
    <w:rsid w:val="40DF4E12"/>
    <w:rsid w:val="40E91E5E"/>
    <w:rsid w:val="40EE1CC7"/>
    <w:rsid w:val="41042BC6"/>
    <w:rsid w:val="410D6685"/>
    <w:rsid w:val="411021EA"/>
    <w:rsid w:val="41115F4D"/>
    <w:rsid w:val="41165CC3"/>
    <w:rsid w:val="411918A4"/>
    <w:rsid w:val="41211869"/>
    <w:rsid w:val="41401B13"/>
    <w:rsid w:val="41403EA2"/>
    <w:rsid w:val="41424081"/>
    <w:rsid w:val="414965D9"/>
    <w:rsid w:val="414C7ECC"/>
    <w:rsid w:val="414E0D20"/>
    <w:rsid w:val="414E7496"/>
    <w:rsid w:val="415B1EBD"/>
    <w:rsid w:val="41667FF5"/>
    <w:rsid w:val="418D4623"/>
    <w:rsid w:val="41A0653D"/>
    <w:rsid w:val="41A858AC"/>
    <w:rsid w:val="41B01A29"/>
    <w:rsid w:val="41B64712"/>
    <w:rsid w:val="41D82A8F"/>
    <w:rsid w:val="41D91B53"/>
    <w:rsid w:val="41E64F2A"/>
    <w:rsid w:val="41EA0BC0"/>
    <w:rsid w:val="41F43343"/>
    <w:rsid w:val="41F8770C"/>
    <w:rsid w:val="41FF6C37"/>
    <w:rsid w:val="420955D4"/>
    <w:rsid w:val="423674A3"/>
    <w:rsid w:val="42387D16"/>
    <w:rsid w:val="42474733"/>
    <w:rsid w:val="424C2AAE"/>
    <w:rsid w:val="42594074"/>
    <w:rsid w:val="42666D6B"/>
    <w:rsid w:val="4269060A"/>
    <w:rsid w:val="428216CB"/>
    <w:rsid w:val="428B61D9"/>
    <w:rsid w:val="429D2CE1"/>
    <w:rsid w:val="42A409BF"/>
    <w:rsid w:val="42AD3CDF"/>
    <w:rsid w:val="42AF08E9"/>
    <w:rsid w:val="42DA1507"/>
    <w:rsid w:val="42DA5DE4"/>
    <w:rsid w:val="42DB7E36"/>
    <w:rsid w:val="42E07911"/>
    <w:rsid w:val="42E11A0A"/>
    <w:rsid w:val="42E36E7A"/>
    <w:rsid w:val="42EB7271"/>
    <w:rsid w:val="42EC3C72"/>
    <w:rsid w:val="430D60E1"/>
    <w:rsid w:val="431614CB"/>
    <w:rsid w:val="43190AF7"/>
    <w:rsid w:val="431D3FC4"/>
    <w:rsid w:val="43244531"/>
    <w:rsid w:val="432966C9"/>
    <w:rsid w:val="432B1E03"/>
    <w:rsid w:val="43302180"/>
    <w:rsid w:val="433162BE"/>
    <w:rsid w:val="433848E7"/>
    <w:rsid w:val="433B48AD"/>
    <w:rsid w:val="4340407B"/>
    <w:rsid w:val="43456981"/>
    <w:rsid w:val="434C2F55"/>
    <w:rsid w:val="435C1F1C"/>
    <w:rsid w:val="435E1034"/>
    <w:rsid w:val="436835F4"/>
    <w:rsid w:val="43683C53"/>
    <w:rsid w:val="436C2D98"/>
    <w:rsid w:val="438149F0"/>
    <w:rsid w:val="438636BB"/>
    <w:rsid w:val="439B47F3"/>
    <w:rsid w:val="439F5296"/>
    <w:rsid w:val="43A121D2"/>
    <w:rsid w:val="43B1345D"/>
    <w:rsid w:val="43B203D7"/>
    <w:rsid w:val="43C51FF2"/>
    <w:rsid w:val="43CC5BA1"/>
    <w:rsid w:val="43D30430"/>
    <w:rsid w:val="43DF592A"/>
    <w:rsid w:val="43EF3098"/>
    <w:rsid w:val="43F106EA"/>
    <w:rsid w:val="43F13F9A"/>
    <w:rsid w:val="43F87E97"/>
    <w:rsid w:val="43FB30BE"/>
    <w:rsid w:val="43FD54AD"/>
    <w:rsid w:val="44100D32"/>
    <w:rsid w:val="4411602B"/>
    <w:rsid w:val="441F37B7"/>
    <w:rsid w:val="44211985"/>
    <w:rsid w:val="44232CD2"/>
    <w:rsid w:val="442C21D6"/>
    <w:rsid w:val="442D34B5"/>
    <w:rsid w:val="442E2653"/>
    <w:rsid w:val="44452751"/>
    <w:rsid w:val="444924A1"/>
    <w:rsid w:val="444C0FFC"/>
    <w:rsid w:val="44550E45"/>
    <w:rsid w:val="446E63AB"/>
    <w:rsid w:val="44727C49"/>
    <w:rsid w:val="44773F85"/>
    <w:rsid w:val="44785034"/>
    <w:rsid w:val="447A433A"/>
    <w:rsid w:val="447C70C4"/>
    <w:rsid w:val="44930287"/>
    <w:rsid w:val="449C6A74"/>
    <w:rsid w:val="449D4AFC"/>
    <w:rsid w:val="44A637AD"/>
    <w:rsid w:val="44B943D5"/>
    <w:rsid w:val="44BC475A"/>
    <w:rsid w:val="44D64EB1"/>
    <w:rsid w:val="4500202F"/>
    <w:rsid w:val="450C1813"/>
    <w:rsid w:val="45153269"/>
    <w:rsid w:val="451E50E8"/>
    <w:rsid w:val="451F76A5"/>
    <w:rsid w:val="452047A7"/>
    <w:rsid w:val="45237196"/>
    <w:rsid w:val="452D591E"/>
    <w:rsid w:val="4537102D"/>
    <w:rsid w:val="45383D7D"/>
    <w:rsid w:val="4539117E"/>
    <w:rsid w:val="45393891"/>
    <w:rsid w:val="453C0257"/>
    <w:rsid w:val="454837A5"/>
    <w:rsid w:val="45492635"/>
    <w:rsid w:val="454A53B0"/>
    <w:rsid w:val="45567A68"/>
    <w:rsid w:val="456776C7"/>
    <w:rsid w:val="457D6377"/>
    <w:rsid w:val="458B1F8B"/>
    <w:rsid w:val="45A42BC4"/>
    <w:rsid w:val="45A54583"/>
    <w:rsid w:val="45B47BFC"/>
    <w:rsid w:val="45C2075D"/>
    <w:rsid w:val="45CA2147"/>
    <w:rsid w:val="45CB0304"/>
    <w:rsid w:val="45D606DB"/>
    <w:rsid w:val="45D60A2D"/>
    <w:rsid w:val="45F11400"/>
    <w:rsid w:val="45F60406"/>
    <w:rsid w:val="45FE1952"/>
    <w:rsid w:val="4609085B"/>
    <w:rsid w:val="460A0562"/>
    <w:rsid w:val="460A7759"/>
    <w:rsid w:val="46162856"/>
    <w:rsid w:val="46163572"/>
    <w:rsid w:val="461722D7"/>
    <w:rsid w:val="462C3E87"/>
    <w:rsid w:val="462F5A68"/>
    <w:rsid w:val="463376E4"/>
    <w:rsid w:val="463478FD"/>
    <w:rsid w:val="4635451F"/>
    <w:rsid w:val="463A08B6"/>
    <w:rsid w:val="463E42FD"/>
    <w:rsid w:val="46523418"/>
    <w:rsid w:val="465A36A1"/>
    <w:rsid w:val="465F225C"/>
    <w:rsid w:val="46620A18"/>
    <w:rsid w:val="46850F64"/>
    <w:rsid w:val="469F775B"/>
    <w:rsid w:val="46A12516"/>
    <w:rsid w:val="46A13276"/>
    <w:rsid w:val="46A4404A"/>
    <w:rsid w:val="46AE7B45"/>
    <w:rsid w:val="46AF2CD3"/>
    <w:rsid w:val="46B578B9"/>
    <w:rsid w:val="46CA393F"/>
    <w:rsid w:val="46D464C5"/>
    <w:rsid w:val="46DE6B82"/>
    <w:rsid w:val="46FA0196"/>
    <w:rsid w:val="46FB3358"/>
    <w:rsid w:val="47094169"/>
    <w:rsid w:val="470A6B16"/>
    <w:rsid w:val="470D3958"/>
    <w:rsid w:val="47123393"/>
    <w:rsid w:val="47134EC9"/>
    <w:rsid w:val="47174AD8"/>
    <w:rsid w:val="47195C49"/>
    <w:rsid w:val="47205BC8"/>
    <w:rsid w:val="47216CF5"/>
    <w:rsid w:val="47296679"/>
    <w:rsid w:val="472A62E2"/>
    <w:rsid w:val="47470C09"/>
    <w:rsid w:val="47482EE3"/>
    <w:rsid w:val="474A7128"/>
    <w:rsid w:val="4763368A"/>
    <w:rsid w:val="476349F7"/>
    <w:rsid w:val="47642491"/>
    <w:rsid w:val="476E2A52"/>
    <w:rsid w:val="476F26CB"/>
    <w:rsid w:val="476F66C2"/>
    <w:rsid w:val="47743D72"/>
    <w:rsid w:val="47791F28"/>
    <w:rsid w:val="478769FC"/>
    <w:rsid w:val="478A424A"/>
    <w:rsid w:val="47934E28"/>
    <w:rsid w:val="47970F56"/>
    <w:rsid w:val="47A43792"/>
    <w:rsid w:val="47A85730"/>
    <w:rsid w:val="47B00BEF"/>
    <w:rsid w:val="47B27E5C"/>
    <w:rsid w:val="47C05019"/>
    <w:rsid w:val="47DC2DC1"/>
    <w:rsid w:val="47EC1AC1"/>
    <w:rsid w:val="47FD4001"/>
    <w:rsid w:val="47FE05D7"/>
    <w:rsid w:val="48063329"/>
    <w:rsid w:val="48073F5E"/>
    <w:rsid w:val="48152914"/>
    <w:rsid w:val="481B0FFA"/>
    <w:rsid w:val="48211EBE"/>
    <w:rsid w:val="48227CC2"/>
    <w:rsid w:val="482737D7"/>
    <w:rsid w:val="482A2AB6"/>
    <w:rsid w:val="48367451"/>
    <w:rsid w:val="48430EAC"/>
    <w:rsid w:val="48556179"/>
    <w:rsid w:val="48610E03"/>
    <w:rsid w:val="48772462"/>
    <w:rsid w:val="48787533"/>
    <w:rsid w:val="487D4BAC"/>
    <w:rsid w:val="488C4E44"/>
    <w:rsid w:val="48900BCB"/>
    <w:rsid w:val="489049E9"/>
    <w:rsid w:val="489E3BEA"/>
    <w:rsid w:val="48A55F1E"/>
    <w:rsid w:val="48AE2A65"/>
    <w:rsid w:val="48C61299"/>
    <w:rsid w:val="48C62FF7"/>
    <w:rsid w:val="48DE33BE"/>
    <w:rsid w:val="48F36E7F"/>
    <w:rsid w:val="48F549A5"/>
    <w:rsid w:val="490265A1"/>
    <w:rsid w:val="49153063"/>
    <w:rsid w:val="491A5A7C"/>
    <w:rsid w:val="491E2BE5"/>
    <w:rsid w:val="49261002"/>
    <w:rsid w:val="492737F0"/>
    <w:rsid w:val="49277880"/>
    <w:rsid w:val="492D45D3"/>
    <w:rsid w:val="492E3773"/>
    <w:rsid w:val="492F486A"/>
    <w:rsid w:val="49305421"/>
    <w:rsid w:val="494024AD"/>
    <w:rsid w:val="49450C92"/>
    <w:rsid w:val="4956706F"/>
    <w:rsid w:val="49586B83"/>
    <w:rsid w:val="4969603B"/>
    <w:rsid w:val="49774644"/>
    <w:rsid w:val="497A134E"/>
    <w:rsid w:val="497F795B"/>
    <w:rsid w:val="498476FB"/>
    <w:rsid w:val="498A4861"/>
    <w:rsid w:val="498D72D3"/>
    <w:rsid w:val="499A1D67"/>
    <w:rsid w:val="499C3073"/>
    <w:rsid w:val="499D7C4A"/>
    <w:rsid w:val="49A278E5"/>
    <w:rsid w:val="49A50263"/>
    <w:rsid w:val="49A8249A"/>
    <w:rsid w:val="49AF2333"/>
    <w:rsid w:val="49B03E00"/>
    <w:rsid w:val="49B767F4"/>
    <w:rsid w:val="49B77EAC"/>
    <w:rsid w:val="49BF0D36"/>
    <w:rsid w:val="49C0147C"/>
    <w:rsid w:val="49D90D3B"/>
    <w:rsid w:val="49EB5DA8"/>
    <w:rsid w:val="4A02381D"/>
    <w:rsid w:val="4A072C75"/>
    <w:rsid w:val="4A147A52"/>
    <w:rsid w:val="4A1D3EBF"/>
    <w:rsid w:val="4A2A6C9B"/>
    <w:rsid w:val="4A3E2213"/>
    <w:rsid w:val="4A400646"/>
    <w:rsid w:val="4A401910"/>
    <w:rsid w:val="4A444C13"/>
    <w:rsid w:val="4A503165"/>
    <w:rsid w:val="4A5B1E8F"/>
    <w:rsid w:val="4A602853"/>
    <w:rsid w:val="4A6144A5"/>
    <w:rsid w:val="4A6718D3"/>
    <w:rsid w:val="4A6D2E4F"/>
    <w:rsid w:val="4A755E15"/>
    <w:rsid w:val="4A8050E2"/>
    <w:rsid w:val="4A8D0370"/>
    <w:rsid w:val="4A8F2BD7"/>
    <w:rsid w:val="4A946E4A"/>
    <w:rsid w:val="4A961452"/>
    <w:rsid w:val="4AA276D9"/>
    <w:rsid w:val="4AA47AD1"/>
    <w:rsid w:val="4ABF5D7B"/>
    <w:rsid w:val="4ADB406F"/>
    <w:rsid w:val="4ADD3943"/>
    <w:rsid w:val="4AEA1261"/>
    <w:rsid w:val="4AEC5619"/>
    <w:rsid w:val="4AF3147D"/>
    <w:rsid w:val="4AF31F03"/>
    <w:rsid w:val="4AF74A01"/>
    <w:rsid w:val="4AFB201B"/>
    <w:rsid w:val="4B005883"/>
    <w:rsid w:val="4B0327F8"/>
    <w:rsid w:val="4B037E2A"/>
    <w:rsid w:val="4B097894"/>
    <w:rsid w:val="4B1544D6"/>
    <w:rsid w:val="4B19595B"/>
    <w:rsid w:val="4B276928"/>
    <w:rsid w:val="4B277B67"/>
    <w:rsid w:val="4B2B5419"/>
    <w:rsid w:val="4B325EA6"/>
    <w:rsid w:val="4B3B4A9B"/>
    <w:rsid w:val="4B4675F7"/>
    <w:rsid w:val="4B502367"/>
    <w:rsid w:val="4B5E393B"/>
    <w:rsid w:val="4B5F6A4E"/>
    <w:rsid w:val="4B7230D0"/>
    <w:rsid w:val="4B9743E4"/>
    <w:rsid w:val="4B985ABC"/>
    <w:rsid w:val="4B985B43"/>
    <w:rsid w:val="4B9C37FE"/>
    <w:rsid w:val="4BA31987"/>
    <w:rsid w:val="4BA90A43"/>
    <w:rsid w:val="4BC9155C"/>
    <w:rsid w:val="4BD95D0A"/>
    <w:rsid w:val="4BDF193C"/>
    <w:rsid w:val="4BE40621"/>
    <w:rsid w:val="4BF3052A"/>
    <w:rsid w:val="4BFB1079"/>
    <w:rsid w:val="4BFF3473"/>
    <w:rsid w:val="4C061918"/>
    <w:rsid w:val="4C1716E7"/>
    <w:rsid w:val="4C2131E2"/>
    <w:rsid w:val="4C2F25EC"/>
    <w:rsid w:val="4C2F6420"/>
    <w:rsid w:val="4C302A48"/>
    <w:rsid w:val="4C4A063D"/>
    <w:rsid w:val="4C59529E"/>
    <w:rsid w:val="4C5F2C91"/>
    <w:rsid w:val="4C692BA3"/>
    <w:rsid w:val="4C7107E7"/>
    <w:rsid w:val="4C7E2F03"/>
    <w:rsid w:val="4C7F0DFE"/>
    <w:rsid w:val="4C85012A"/>
    <w:rsid w:val="4C867DFC"/>
    <w:rsid w:val="4C8B1F54"/>
    <w:rsid w:val="4C8D6F54"/>
    <w:rsid w:val="4C915E6D"/>
    <w:rsid w:val="4CAD226D"/>
    <w:rsid w:val="4CB5457C"/>
    <w:rsid w:val="4CC07EDC"/>
    <w:rsid w:val="4CC74EF2"/>
    <w:rsid w:val="4CCD1757"/>
    <w:rsid w:val="4CE27936"/>
    <w:rsid w:val="4CEC62D0"/>
    <w:rsid w:val="4D01701D"/>
    <w:rsid w:val="4D047FF7"/>
    <w:rsid w:val="4D155616"/>
    <w:rsid w:val="4D16138E"/>
    <w:rsid w:val="4D203FBB"/>
    <w:rsid w:val="4D3721DF"/>
    <w:rsid w:val="4D445001"/>
    <w:rsid w:val="4D446E10"/>
    <w:rsid w:val="4D487C17"/>
    <w:rsid w:val="4D4C4C70"/>
    <w:rsid w:val="4D4C735D"/>
    <w:rsid w:val="4D5325E2"/>
    <w:rsid w:val="4D5642BD"/>
    <w:rsid w:val="4D5926B6"/>
    <w:rsid w:val="4D5C5F04"/>
    <w:rsid w:val="4D7367E0"/>
    <w:rsid w:val="4D757C48"/>
    <w:rsid w:val="4D7A698E"/>
    <w:rsid w:val="4D8222C2"/>
    <w:rsid w:val="4D87787E"/>
    <w:rsid w:val="4D8F0753"/>
    <w:rsid w:val="4D9110BE"/>
    <w:rsid w:val="4D921582"/>
    <w:rsid w:val="4D9A7089"/>
    <w:rsid w:val="4D9D738B"/>
    <w:rsid w:val="4DA0437D"/>
    <w:rsid w:val="4DA05060"/>
    <w:rsid w:val="4DA16760"/>
    <w:rsid w:val="4DAD33B9"/>
    <w:rsid w:val="4DB32326"/>
    <w:rsid w:val="4DBA61BD"/>
    <w:rsid w:val="4DC233D4"/>
    <w:rsid w:val="4DCB1E0B"/>
    <w:rsid w:val="4DD405D9"/>
    <w:rsid w:val="4DD708C2"/>
    <w:rsid w:val="4DDD3CFA"/>
    <w:rsid w:val="4DF40474"/>
    <w:rsid w:val="4DF92D2E"/>
    <w:rsid w:val="4E0670BD"/>
    <w:rsid w:val="4E0705AC"/>
    <w:rsid w:val="4E086F29"/>
    <w:rsid w:val="4E0B07C7"/>
    <w:rsid w:val="4E102281"/>
    <w:rsid w:val="4E1D1B5A"/>
    <w:rsid w:val="4E2A1EF8"/>
    <w:rsid w:val="4E44461A"/>
    <w:rsid w:val="4E4548E8"/>
    <w:rsid w:val="4E5651F1"/>
    <w:rsid w:val="4E5A0798"/>
    <w:rsid w:val="4E606D65"/>
    <w:rsid w:val="4E641BE5"/>
    <w:rsid w:val="4E730458"/>
    <w:rsid w:val="4E745DCD"/>
    <w:rsid w:val="4E7C16C5"/>
    <w:rsid w:val="4E880069"/>
    <w:rsid w:val="4E89685D"/>
    <w:rsid w:val="4E8F15BC"/>
    <w:rsid w:val="4E977CA4"/>
    <w:rsid w:val="4E9B7D9D"/>
    <w:rsid w:val="4E9E3B39"/>
    <w:rsid w:val="4EAD6820"/>
    <w:rsid w:val="4EB21276"/>
    <w:rsid w:val="4EB36953"/>
    <w:rsid w:val="4EBF4066"/>
    <w:rsid w:val="4EC33F8B"/>
    <w:rsid w:val="4ECD3CCE"/>
    <w:rsid w:val="4ECD68B8"/>
    <w:rsid w:val="4ED70257"/>
    <w:rsid w:val="4EFA54B9"/>
    <w:rsid w:val="4F0330D6"/>
    <w:rsid w:val="4F0C47F7"/>
    <w:rsid w:val="4F1D2EA8"/>
    <w:rsid w:val="4F20644B"/>
    <w:rsid w:val="4F244236"/>
    <w:rsid w:val="4F314914"/>
    <w:rsid w:val="4F332122"/>
    <w:rsid w:val="4F3700F2"/>
    <w:rsid w:val="4F400213"/>
    <w:rsid w:val="4F485194"/>
    <w:rsid w:val="4F4C073B"/>
    <w:rsid w:val="4F4C5DA4"/>
    <w:rsid w:val="4F513580"/>
    <w:rsid w:val="4F586D00"/>
    <w:rsid w:val="4F6012A3"/>
    <w:rsid w:val="4F674123"/>
    <w:rsid w:val="4F6939F7"/>
    <w:rsid w:val="4F7800DE"/>
    <w:rsid w:val="4F7D56F4"/>
    <w:rsid w:val="4F882FE0"/>
    <w:rsid w:val="4F901A04"/>
    <w:rsid w:val="4F941D6B"/>
    <w:rsid w:val="4F955FD6"/>
    <w:rsid w:val="4F9D7AB3"/>
    <w:rsid w:val="4FA068B0"/>
    <w:rsid w:val="4FA340AB"/>
    <w:rsid w:val="4FA64C4B"/>
    <w:rsid w:val="4FA908D8"/>
    <w:rsid w:val="4FB32BA5"/>
    <w:rsid w:val="4FB34C66"/>
    <w:rsid w:val="4FB36591"/>
    <w:rsid w:val="4FC4489E"/>
    <w:rsid w:val="4FCB5E9D"/>
    <w:rsid w:val="4FD5193E"/>
    <w:rsid w:val="4FE071A9"/>
    <w:rsid w:val="4FE6328B"/>
    <w:rsid w:val="4FE82895"/>
    <w:rsid w:val="4FED38B1"/>
    <w:rsid w:val="4FF4458C"/>
    <w:rsid w:val="4FF4667E"/>
    <w:rsid w:val="4FFF1B4F"/>
    <w:rsid w:val="50125E3D"/>
    <w:rsid w:val="501375FE"/>
    <w:rsid w:val="501A600E"/>
    <w:rsid w:val="501D383F"/>
    <w:rsid w:val="501E5995"/>
    <w:rsid w:val="50336098"/>
    <w:rsid w:val="50362776"/>
    <w:rsid w:val="50412BC6"/>
    <w:rsid w:val="50433723"/>
    <w:rsid w:val="504968CF"/>
    <w:rsid w:val="504D1BB4"/>
    <w:rsid w:val="50575F45"/>
    <w:rsid w:val="506A211C"/>
    <w:rsid w:val="506A3ECB"/>
    <w:rsid w:val="506D5769"/>
    <w:rsid w:val="506D7441"/>
    <w:rsid w:val="5070761B"/>
    <w:rsid w:val="50723B0F"/>
    <w:rsid w:val="50761C18"/>
    <w:rsid w:val="508A1109"/>
    <w:rsid w:val="508B43FA"/>
    <w:rsid w:val="508B716D"/>
    <w:rsid w:val="509271BB"/>
    <w:rsid w:val="5094040C"/>
    <w:rsid w:val="50A7426F"/>
    <w:rsid w:val="50B437E7"/>
    <w:rsid w:val="50B93D1A"/>
    <w:rsid w:val="50BE4216"/>
    <w:rsid w:val="50BE74EA"/>
    <w:rsid w:val="50C015DC"/>
    <w:rsid w:val="50CA386F"/>
    <w:rsid w:val="50D15A21"/>
    <w:rsid w:val="50D27553"/>
    <w:rsid w:val="50D457B2"/>
    <w:rsid w:val="50D92DFE"/>
    <w:rsid w:val="50DF3AB5"/>
    <w:rsid w:val="50E240BA"/>
    <w:rsid w:val="50E7728A"/>
    <w:rsid w:val="50EA7CC9"/>
    <w:rsid w:val="50EE05FA"/>
    <w:rsid w:val="50F31E75"/>
    <w:rsid w:val="50F37CC9"/>
    <w:rsid w:val="50FA29AC"/>
    <w:rsid w:val="51027F16"/>
    <w:rsid w:val="510D4F52"/>
    <w:rsid w:val="510F6324"/>
    <w:rsid w:val="512322CB"/>
    <w:rsid w:val="512B2825"/>
    <w:rsid w:val="512C73D2"/>
    <w:rsid w:val="512E1286"/>
    <w:rsid w:val="512E25AB"/>
    <w:rsid w:val="51343DB2"/>
    <w:rsid w:val="514710FA"/>
    <w:rsid w:val="516721B8"/>
    <w:rsid w:val="516E1C82"/>
    <w:rsid w:val="51763B17"/>
    <w:rsid w:val="51782617"/>
    <w:rsid w:val="517D10B2"/>
    <w:rsid w:val="51844B18"/>
    <w:rsid w:val="5192508D"/>
    <w:rsid w:val="51A75EF8"/>
    <w:rsid w:val="51AE72B4"/>
    <w:rsid w:val="51B863AD"/>
    <w:rsid w:val="51BC46B8"/>
    <w:rsid w:val="51C4363D"/>
    <w:rsid w:val="51CD1493"/>
    <w:rsid w:val="51D37EBB"/>
    <w:rsid w:val="51ED6B61"/>
    <w:rsid w:val="51EF45C5"/>
    <w:rsid w:val="51F14C24"/>
    <w:rsid w:val="52015458"/>
    <w:rsid w:val="52043EAB"/>
    <w:rsid w:val="521777A6"/>
    <w:rsid w:val="52306A4E"/>
    <w:rsid w:val="52384567"/>
    <w:rsid w:val="523B5C21"/>
    <w:rsid w:val="524027CD"/>
    <w:rsid w:val="5244256A"/>
    <w:rsid w:val="525234E1"/>
    <w:rsid w:val="52667C32"/>
    <w:rsid w:val="52680DA4"/>
    <w:rsid w:val="52697FBF"/>
    <w:rsid w:val="527032EE"/>
    <w:rsid w:val="527105DA"/>
    <w:rsid w:val="52727066"/>
    <w:rsid w:val="5278529C"/>
    <w:rsid w:val="52825358"/>
    <w:rsid w:val="528E00BA"/>
    <w:rsid w:val="52AA4A52"/>
    <w:rsid w:val="52B21B59"/>
    <w:rsid w:val="52BA088C"/>
    <w:rsid w:val="52C539A2"/>
    <w:rsid w:val="52D6248C"/>
    <w:rsid w:val="52D75F0C"/>
    <w:rsid w:val="52DA0EC5"/>
    <w:rsid w:val="52DD7710"/>
    <w:rsid w:val="52E635B0"/>
    <w:rsid w:val="52F51210"/>
    <w:rsid w:val="52FF1C80"/>
    <w:rsid w:val="53076EE4"/>
    <w:rsid w:val="5308525F"/>
    <w:rsid w:val="530E6956"/>
    <w:rsid w:val="53146370"/>
    <w:rsid w:val="531521BD"/>
    <w:rsid w:val="53194363"/>
    <w:rsid w:val="53202F66"/>
    <w:rsid w:val="532E2DBB"/>
    <w:rsid w:val="534228C4"/>
    <w:rsid w:val="534A7FE3"/>
    <w:rsid w:val="534F73A8"/>
    <w:rsid w:val="535B3F9E"/>
    <w:rsid w:val="537717DF"/>
    <w:rsid w:val="537F21AA"/>
    <w:rsid w:val="53986FA1"/>
    <w:rsid w:val="53A063C7"/>
    <w:rsid w:val="53A536B8"/>
    <w:rsid w:val="53AD5722"/>
    <w:rsid w:val="53B46320"/>
    <w:rsid w:val="53B95AB4"/>
    <w:rsid w:val="53BA6F17"/>
    <w:rsid w:val="53BF038D"/>
    <w:rsid w:val="53C24398"/>
    <w:rsid w:val="53C733E2"/>
    <w:rsid w:val="53CA188D"/>
    <w:rsid w:val="53D212AD"/>
    <w:rsid w:val="53D703FB"/>
    <w:rsid w:val="53EB7195"/>
    <w:rsid w:val="53F561A1"/>
    <w:rsid w:val="53F87A3F"/>
    <w:rsid w:val="540141EA"/>
    <w:rsid w:val="540569A1"/>
    <w:rsid w:val="5406564E"/>
    <w:rsid w:val="54156208"/>
    <w:rsid w:val="54175925"/>
    <w:rsid w:val="541D3002"/>
    <w:rsid w:val="542045C2"/>
    <w:rsid w:val="542720D3"/>
    <w:rsid w:val="542C3664"/>
    <w:rsid w:val="54345BCD"/>
    <w:rsid w:val="543E5A93"/>
    <w:rsid w:val="54415B18"/>
    <w:rsid w:val="54446DFB"/>
    <w:rsid w:val="545424CA"/>
    <w:rsid w:val="546D3F89"/>
    <w:rsid w:val="54755B61"/>
    <w:rsid w:val="54792198"/>
    <w:rsid w:val="54881984"/>
    <w:rsid w:val="549E7DB6"/>
    <w:rsid w:val="54A42DBE"/>
    <w:rsid w:val="54B3589D"/>
    <w:rsid w:val="54BA3CC9"/>
    <w:rsid w:val="54BF14ED"/>
    <w:rsid w:val="54C14E40"/>
    <w:rsid w:val="54DE5C80"/>
    <w:rsid w:val="54E3249D"/>
    <w:rsid w:val="54EB4EAE"/>
    <w:rsid w:val="54EF2BF0"/>
    <w:rsid w:val="54F04DBD"/>
    <w:rsid w:val="54FE4BE1"/>
    <w:rsid w:val="55135935"/>
    <w:rsid w:val="55147544"/>
    <w:rsid w:val="55156995"/>
    <w:rsid w:val="551613A0"/>
    <w:rsid w:val="5523289A"/>
    <w:rsid w:val="552708AE"/>
    <w:rsid w:val="55354124"/>
    <w:rsid w:val="553837B8"/>
    <w:rsid w:val="553D3E1C"/>
    <w:rsid w:val="554710E4"/>
    <w:rsid w:val="554C1DF1"/>
    <w:rsid w:val="555047E4"/>
    <w:rsid w:val="555136C8"/>
    <w:rsid w:val="55526C31"/>
    <w:rsid w:val="555F2B3A"/>
    <w:rsid w:val="55603AEE"/>
    <w:rsid w:val="556D4888"/>
    <w:rsid w:val="55772DAE"/>
    <w:rsid w:val="557F26FD"/>
    <w:rsid w:val="558952C1"/>
    <w:rsid w:val="55995DC0"/>
    <w:rsid w:val="55996F07"/>
    <w:rsid w:val="55AC6647"/>
    <w:rsid w:val="55AE6659"/>
    <w:rsid w:val="55C2619F"/>
    <w:rsid w:val="55C7549E"/>
    <w:rsid w:val="55DB39FA"/>
    <w:rsid w:val="55DD0ADE"/>
    <w:rsid w:val="55E625C1"/>
    <w:rsid w:val="55EC5382"/>
    <w:rsid w:val="55EC6A81"/>
    <w:rsid w:val="55F83C3B"/>
    <w:rsid w:val="55FB118B"/>
    <w:rsid w:val="560711C8"/>
    <w:rsid w:val="5607356A"/>
    <w:rsid w:val="560A31A5"/>
    <w:rsid w:val="560C1378"/>
    <w:rsid w:val="560E0BDF"/>
    <w:rsid w:val="561F3061"/>
    <w:rsid w:val="562C4540"/>
    <w:rsid w:val="563311E5"/>
    <w:rsid w:val="56332FB1"/>
    <w:rsid w:val="5634700D"/>
    <w:rsid w:val="563C00B7"/>
    <w:rsid w:val="56453F08"/>
    <w:rsid w:val="564A4157"/>
    <w:rsid w:val="564C0043"/>
    <w:rsid w:val="5651167C"/>
    <w:rsid w:val="565600D1"/>
    <w:rsid w:val="5656031D"/>
    <w:rsid w:val="56580E99"/>
    <w:rsid w:val="565A4F8D"/>
    <w:rsid w:val="565F4B6C"/>
    <w:rsid w:val="565F728B"/>
    <w:rsid w:val="56786C1A"/>
    <w:rsid w:val="56995AF5"/>
    <w:rsid w:val="569972B8"/>
    <w:rsid w:val="569E667C"/>
    <w:rsid w:val="56A16D5E"/>
    <w:rsid w:val="56A603B4"/>
    <w:rsid w:val="56AF1EC1"/>
    <w:rsid w:val="56B70F13"/>
    <w:rsid w:val="56B73244"/>
    <w:rsid w:val="56BB1D1D"/>
    <w:rsid w:val="56C419DE"/>
    <w:rsid w:val="56C87B9D"/>
    <w:rsid w:val="56D23D26"/>
    <w:rsid w:val="56DF3F46"/>
    <w:rsid w:val="56E449CF"/>
    <w:rsid w:val="56EC509A"/>
    <w:rsid w:val="56FC44C8"/>
    <w:rsid w:val="56FE0B98"/>
    <w:rsid w:val="570631E8"/>
    <w:rsid w:val="570C6E4F"/>
    <w:rsid w:val="573460CC"/>
    <w:rsid w:val="5737087F"/>
    <w:rsid w:val="574A4786"/>
    <w:rsid w:val="57523ECE"/>
    <w:rsid w:val="5753390A"/>
    <w:rsid w:val="575351AA"/>
    <w:rsid w:val="57655DBD"/>
    <w:rsid w:val="57672F12"/>
    <w:rsid w:val="57693E8E"/>
    <w:rsid w:val="578653D9"/>
    <w:rsid w:val="57875362"/>
    <w:rsid w:val="57947A7F"/>
    <w:rsid w:val="579B2BBB"/>
    <w:rsid w:val="57A06424"/>
    <w:rsid w:val="57A21CB3"/>
    <w:rsid w:val="57A37CC2"/>
    <w:rsid w:val="57A54696"/>
    <w:rsid w:val="57A85E2A"/>
    <w:rsid w:val="57AC5BC9"/>
    <w:rsid w:val="57B123DF"/>
    <w:rsid w:val="57B47027"/>
    <w:rsid w:val="57B9562A"/>
    <w:rsid w:val="57BA312C"/>
    <w:rsid w:val="57BE4AFC"/>
    <w:rsid w:val="57C54F25"/>
    <w:rsid w:val="57CA6046"/>
    <w:rsid w:val="57CE5A57"/>
    <w:rsid w:val="57D836F1"/>
    <w:rsid w:val="57EA58F1"/>
    <w:rsid w:val="57ED7735"/>
    <w:rsid w:val="57F03F81"/>
    <w:rsid w:val="57F077AA"/>
    <w:rsid w:val="57F27CC4"/>
    <w:rsid w:val="57F27DC0"/>
    <w:rsid w:val="57F32B83"/>
    <w:rsid w:val="57FC2AD6"/>
    <w:rsid w:val="5807599B"/>
    <w:rsid w:val="58134A4A"/>
    <w:rsid w:val="5820271E"/>
    <w:rsid w:val="582726A1"/>
    <w:rsid w:val="58424AD4"/>
    <w:rsid w:val="584A192F"/>
    <w:rsid w:val="584A5139"/>
    <w:rsid w:val="585913F0"/>
    <w:rsid w:val="586236D9"/>
    <w:rsid w:val="586733BD"/>
    <w:rsid w:val="586A1782"/>
    <w:rsid w:val="587D61ED"/>
    <w:rsid w:val="58895205"/>
    <w:rsid w:val="588B2C03"/>
    <w:rsid w:val="58904FA7"/>
    <w:rsid w:val="589B3CED"/>
    <w:rsid w:val="589E1D1E"/>
    <w:rsid w:val="58B008E9"/>
    <w:rsid w:val="58BA52C3"/>
    <w:rsid w:val="58CC66D2"/>
    <w:rsid w:val="58DA326C"/>
    <w:rsid w:val="58DD3C41"/>
    <w:rsid w:val="58F9403E"/>
    <w:rsid w:val="58FD5F1B"/>
    <w:rsid w:val="5903777F"/>
    <w:rsid w:val="59085620"/>
    <w:rsid w:val="59092735"/>
    <w:rsid w:val="590C25EE"/>
    <w:rsid w:val="591B1E1F"/>
    <w:rsid w:val="5922354D"/>
    <w:rsid w:val="59232E69"/>
    <w:rsid w:val="59233AE0"/>
    <w:rsid w:val="592E29A6"/>
    <w:rsid w:val="593F35CE"/>
    <w:rsid w:val="594D0D4B"/>
    <w:rsid w:val="595565FB"/>
    <w:rsid w:val="59585471"/>
    <w:rsid w:val="5963030A"/>
    <w:rsid w:val="59724243"/>
    <w:rsid w:val="5975202C"/>
    <w:rsid w:val="597A5637"/>
    <w:rsid w:val="597C0389"/>
    <w:rsid w:val="59810E3F"/>
    <w:rsid w:val="5983265B"/>
    <w:rsid w:val="59840A12"/>
    <w:rsid w:val="59884404"/>
    <w:rsid w:val="599A605C"/>
    <w:rsid w:val="599C78CE"/>
    <w:rsid w:val="59A92A29"/>
    <w:rsid w:val="59AF6DF2"/>
    <w:rsid w:val="59C3464B"/>
    <w:rsid w:val="59C97E3B"/>
    <w:rsid w:val="59CB5654"/>
    <w:rsid w:val="59D7295A"/>
    <w:rsid w:val="59DA6467"/>
    <w:rsid w:val="59F155A7"/>
    <w:rsid w:val="59FF6D83"/>
    <w:rsid w:val="5A005A0B"/>
    <w:rsid w:val="5A0A4028"/>
    <w:rsid w:val="5A0A5DD6"/>
    <w:rsid w:val="5A0D2851"/>
    <w:rsid w:val="5A171CC0"/>
    <w:rsid w:val="5A234BDF"/>
    <w:rsid w:val="5A2428B2"/>
    <w:rsid w:val="5A2953A0"/>
    <w:rsid w:val="5A2C69D7"/>
    <w:rsid w:val="5A2F0EC0"/>
    <w:rsid w:val="5A337E13"/>
    <w:rsid w:val="5A3A2B60"/>
    <w:rsid w:val="5A3F2CE1"/>
    <w:rsid w:val="5A450C16"/>
    <w:rsid w:val="5A486AE9"/>
    <w:rsid w:val="5A4A27B9"/>
    <w:rsid w:val="5A5A5929"/>
    <w:rsid w:val="5A5F5168"/>
    <w:rsid w:val="5A626670"/>
    <w:rsid w:val="5A641AD8"/>
    <w:rsid w:val="5A6E45B7"/>
    <w:rsid w:val="5A736072"/>
    <w:rsid w:val="5A947F95"/>
    <w:rsid w:val="5A9C1D5C"/>
    <w:rsid w:val="5A9F13EB"/>
    <w:rsid w:val="5AA97224"/>
    <w:rsid w:val="5AAC4607"/>
    <w:rsid w:val="5AAE70AA"/>
    <w:rsid w:val="5AB0697E"/>
    <w:rsid w:val="5AB53F94"/>
    <w:rsid w:val="5ABA2BB1"/>
    <w:rsid w:val="5ABE313D"/>
    <w:rsid w:val="5AC25BF4"/>
    <w:rsid w:val="5AC468CD"/>
    <w:rsid w:val="5AD00A20"/>
    <w:rsid w:val="5AD72475"/>
    <w:rsid w:val="5ADE7C57"/>
    <w:rsid w:val="5AE12FDB"/>
    <w:rsid w:val="5AE42ACB"/>
    <w:rsid w:val="5AEF05A9"/>
    <w:rsid w:val="5AF16718"/>
    <w:rsid w:val="5AFA3C30"/>
    <w:rsid w:val="5AFF4FA4"/>
    <w:rsid w:val="5B0A119E"/>
    <w:rsid w:val="5B123195"/>
    <w:rsid w:val="5B1502DA"/>
    <w:rsid w:val="5B1944B8"/>
    <w:rsid w:val="5B2630E4"/>
    <w:rsid w:val="5B313499"/>
    <w:rsid w:val="5B336F88"/>
    <w:rsid w:val="5B44689C"/>
    <w:rsid w:val="5B503CBD"/>
    <w:rsid w:val="5B67704D"/>
    <w:rsid w:val="5B754B2E"/>
    <w:rsid w:val="5B772783"/>
    <w:rsid w:val="5B7958A0"/>
    <w:rsid w:val="5B9A5378"/>
    <w:rsid w:val="5B9D21F8"/>
    <w:rsid w:val="5BA230DF"/>
    <w:rsid w:val="5BA252E4"/>
    <w:rsid w:val="5BA76BC5"/>
    <w:rsid w:val="5BAA5AC3"/>
    <w:rsid w:val="5BB552E9"/>
    <w:rsid w:val="5BC14141"/>
    <w:rsid w:val="5BC72B69"/>
    <w:rsid w:val="5BCD355F"/>
    <w:rsid w:val="5BD112A2"/>
    <w:rsid w:val="5BDC687F"/>
    <w:rsid w:val="5BDE39BF"/>
    <w:rsid w:val="5BF80DFA"/>
    <w:rsid w:val="5BF929B0"/>
    <w:rsid w:val="5BF94A61"/>
    <w:rsid w:val="5C045FA1"/>
    <w:rsid w:val="5C161DD1"/>
    <w:rsid w:val="5C1C5130"/>
    <w:rsid w:val="5C2136C8"/>
    <w:rsid w:val="5C2F5D25"/>
    <w:rsid w:val="5C4D42F1"/>
    <w:rsid w:val="5C53209F"/>
    <w:rsid w:val="5C624F4A"/>
    <w:rsid w:val="5C645343"/>
    <w:rsid w:val="5C6736C0"/>
    <w:rsid w:val="5C797243"/>
    <w:rsid w:val="5C8C671C"/>
    <w:rsid w:val="5CAD5399"/>
    <w:rsid w:val="5CC43A64"/>
    <w:rsid w:val="5CD728E8"/>
    <w:rsid w:val="5CE529B8"/>
    <w:rsid w:val="5CE63BF4"/>
    <w:rsid w:val="5CF87814"/>
    <w:rsid w:val="5CF8788F"/>
    <w:rsid w:val="5CF9606F"/>
    <w:rsid w:val="5CFE60C6"/>
    <w:rsid w:val="5D047455"/>
    <w:rsid w:val="5D0649F9"/>
    <w:rsid w:val="5D096819"/>
    <w:rsid w:val="5D0C00B7"/>
    <w:rsid w:val="5D107632"/>
    <w:rsid w:val="5D1D1645"/>
    <w:rsid w:val="5D292A17"/>
    <w:rsid w:val="5D396C3A"/>
    <w:rsid w:val="5D487342"/>
    <w:rsid w:val="5D5072D9"/>
    <w:rsid w:val="5D7A14C5"/>
    <w:rsid w:val="5D7F6ADB"/>
    <w:rsid w:val="5D8433C6"/>
    <w:rsid w:val="5D861C18"/>
    <w:rsid w:val="5D8B4BBA"/>
    <w:rsid w:val="5D960DD9"/>
    <w:rsid w:val="5DA0714C"/>
    <w:rsid w:val="5DB91FED"/>
    <w:rsid w:val="5DC0371B"/>
    <w:rsid w:val="5DC25A68"/>
    <w:rsid w:val="5DC518AA"/>
    <w:rsid w:val="5DCA13F8"/>
    <w:rsid w:val="5DCF6CE2"/>
    <w:rsid w:val="5DD26E34"/>
    <w:rsid w:val="5DD67888"/>
    <w:rsid w:val="5DD901F5"/>
    <w:rsid w:val="5DE20508"/>
    <w:rsid w:val="5DE640C1"/>
    <w:rsid w:val="5DE67C11"/>
    <w:rsid w:val="5DF37787"/>
    <w:rsid w:val="5DF4461E"/>
    <w:rsid w:val="5E004CFE"/>
    <w:rsid w:val="5E011E39"/>
    <w:rsid w:val="5E0214A2"/>
    <w:rsid w:val="5E0418C4"/>
    <w:rsid w:val="5E0F7E5F"/>
    <w:rsid w:val="5E3C1704"/>
    <w:rsid w:val="5E5B153C"/>
    <w:rsid w:val="5E61431A"/>
    <w:rsid w:val="5E6439B4"/>
    <w:rsid w:val="5E6F0750"/>
    <w:rsid w:val="5E74339A"/>
    <w:rsid w:val="5E7E4846"/>
    <w:rsid w:val="5E815658"/>
    <w:rsid w:val="5E912704"/>
    <w:rsid w:val="5EA11DD0"/>
    <w:rsid w:val="5EA90DB1"/>
    <w:rsid w:val="5EB40695"/>
    <w:rsid w:val="5EB540E2"/>
    <w:rsid w:val="5EB752E8"/>
    <w:rsid w:val="5EBB5D74"/>
    <w:rsid w:val="5EBD0128"/>
    <w:rsid w:val="5EC155FD"/>
    <w:rsid w:val="5EC7379C"/>
    <w:rsid w:val="5EC9176D"/>
    <w:rsid w:val="5ED31270"/>
    <w:rsid w:val="5EDA147B"/>
    <w:rsid w:val="5EDF49E4"/>
    <w:rsid w:val="5EE633C9"/>
    <w:rsid w:val="5EEC2AB0"/>
    <w:rsid w:val="5EF527B9"/>
    <w:rsid w:val="5EFA28BD"/>
    <w:rsid w:val="5EFB3D33"/>
    <w:rsid w:val="5F0E580A"/>
    <w:rsid w:val="5F217B21"/>
    <w:rsid w:val="5F2D4A41"/>
    <w:rsid w:val="5F303F90"/>
    <w:rsid w:val="5F381A2D"/>
    <w:rsid w:val="5F4104EC"/>
    <w:rsid w:val="5F4450A3"/>
    <w:rsid w:val="5F563E0A"/>
    <w:rsid w:val="5F5D0FE7"/>
    <w:rsid w:val="5F6067ED"/>
    <w:rsid w:val="5F626AF0"/>
    <w:rsid w:val="5F643621"/>
    <w:rsid w:val="5F646008"/>
    <w:rsid w:val="5F7408C2"/>
    <w:rsid w:val="5F7676EB"/>
    <w:rsid w:val="5F7D79ED"/>
    <w:rsid w:val="5F8872FE"/>
    <w:rsid w:val="5F8E5FAA"/>
    <w:rsid w:val="5F903E8A"/>
    <w:rsid w:val="5F9E7530"/>
    <w:rsid w:val="5FA108F1"/>
    <w:rsid w:val="5FAC5719"/>
    <w:rsid w:val="5FB31062"/>
    <w:rsid w:val="5FB76A00"/>
    <w:rsid w:val="5FF11F12"/>
    <w:rsid w:val="5FF53382"/>
    <w:rsid w:val="5FF66356"/>
    <w:rsid w:val="600051F8"/>
    <w:rsid w:val="60067808"/>
    <w:rsid w:val="60161979"/>
    <w:rsid w:val="60213E31"/>
    <w:rsid w:val="60221834"/>
    <w:rsid w:val="603443FE"/>
    <w:rsid w:val="60411B0A"/>
    <w:rsid w:val="60543B01"/>
    <w:rsid w:val="60643242"/>
    <w:rsid w:val="60692BB9"/>
    <w:rsid w:val="60737908"/>
    <w:rsid w:val="60811817"/>
    <w:rsid w:val="60993287"/>
    <w:rsid w:val="60A2320D"/>
    <w:rsid w:val="60A32AE1"/>
    <w:rsid w:val="60A56859"/>
    <w:rsid w:val="60A67A0A"/>
    <w:rsid w:val="60A93600"/>
    <w:rsid w:val="60AC088A"/>
    <w:rsid w:val="60AC7552"/>
    <w:rsid w:val="60B371C8"/>
    <w:rsid w:val="60BA6AC2"/>
    <w:rsid w:val="60C47351"/>
    <w:rsid w:val="60D27BA6"/>
    <w:rsid w:val="60D32F30"/>
    <w:rsid w:val="60D35412"/>
    <w:rsid w:val="60D86C2E"/>
    <w:rsid w:val="60DB227B"/>
    <w:rsid w:val="60DC4946"/>
    <w:rsid w:val="60E055A5"/>
    <w:rsid w:val="6118527D"/>
    <w:rsid w:val="612451FB"/>
    <w:rsid w:val="61253405"/>
    <w:rsid w:val="61263555"/>
    <w:rsid w:val="612F4609"/>
    <w:rsid w:val="61363D20"/>
    <w:rsid w:val="61373C8E"/>
    <w:rsid w:val="615845F6"/>
    <w:rsid w:val="615C11C6"/>
    <w:rsid w:val="61627BF6"/>
    <w:rsid w:val="61736633"/>
    <w:rsid w:val="617F70AA"/>
    <w:rsid w:val="618038BB"/>
    <w:rsid w:val="61824CAA"/>
    <w:rsid w:val="618E2B81"/>
    <w:rsid w:val="61961ACC"/>
    <w:rsid w:val="61984650"/>
    <w:rsid w:val="619F4EE5"/>
    <w:rsid w:val="61A27AB7"/>
    <w:rsid w:val="61AB7E9F"/>
    <w:rsid w:val="61AE4E80"/>
    <w:rsid w:val="61C6283F"/>
    <w:rsid w:val="61C91E01"/>
    <w:rsid w:val="61CA1396"/>
    <w:rsid w:val="61D55818"/>
    <w:rsid w:val="61DA7BFB"/>
    <w:rsid w:val="61FA1557"/>
    <w:rsid w:val="620462DF"/>
    <w:rsid w:val="621719D8"/>
    <w:rsid w:val="621B46AE"/>
    <w:rsid w:val="622B3652"/>
    <w:rsid w:val="622B4562"/>
    <w:rsid w:val="622E2789"/>
    <w:rsid w:val="62555D0F"/>
    <w:rsid w:val="62561A72"/>
    <w:rsid w:val="6271027E"/>
    <w:rsid w:val="62792267"/>
    <w:rsid w:val="628E1C9B"/>
    <w:rsid w:val="628F5A13"/>
    <w:rsid w:val="629570DC"/>
    <w:rsid w:val="62B334AF"/>
    <w:rsid w:val="62B40FD5"/>
    <w:rsid w:val="62B65689"/>
    <w:rsid w:val="62BF2D39"/>
    <w:rsid w:val="62C065C5"/>
    <w:rsid w:val="62C236F2"/>
    <w:rsid w:val="62C722DF"/>
    <w:rsid w:val="62C77E42"/>
    <w:rsid w:val="62CA00E1"/>
    <w:rsid w:val="62CB2109"/>
    <w:rsid w:val="62CD783B"/>
    <w:rsid w:val="62DA71BA"/>
    <w:rsid w:val="62EE0AB3"/>
    <w:rsid w:val="62F51A0D"/>
    <w:rsid w:val="62FA1A1C"/>
    <w:rsid w:val="62FF4645"/>
    <w:rsid w:val="62FF4946"/>
    <w:rsid w:val="630A6E47"/>
    <w:rsid w:val="63146327"/>
    <w:rsid w:val="63177498"/>
    <w:rsid w:val="63235890"/>
    <w:rsid w:val="6329558D"/>
    <w:rsid w:val="633012BC"/>
    <w:rsid w:val="633B0840"/>
    <w:rsid w:val="63473BF7"/>
    <w:rsid w:val="634E142A"/>
    <w:rsid w:val="634E643D"/>
    <w:rsid w:val="63564D5E"/>
    <w:rsid w:val="63614F95"/>
    <w:rsid w:val="636F55B0"/>
    <w:rsid w:val="63713E2E"/>
    <w:rsid w:val="638052BB"/>
    <w:rsid w:val="638504C8"/>
    <w:rsid w:val="638E35A5"/>
    <w:rsid w:val="63BC1F40"/>
    <w:rsid w:val="63BC6393"/>
    <w:rsid w:val="63BF2F61"/>
    <w:rsid w:val="63D762ED"/>
    <w:rsid w:val="63DA41A4"/>
    <w:rsid w:val="63DB5D1A"/>
    <w:rsid w:val="63DD7CB0"/>
    <w:rsid w:val="63E6100D"/>
    <w:rsid w:val="63E71EEE"/>
    <w:rsid w:val="63ED31A5"/>
    <w:rsid w:val="63F932AC"/>
    <w:rsid w:val="640534C1"/>
    <w:rsid w:val="6407665A"/>
    <w:rsid w:val="64091AA5"/>
    <w:rsid w:val="640C18F5"/>
    <w:rsid w:val="64270CEA"/>
    <w:rsid w:val="642E7660"/>
    <w:rsid w:val="64373C6C"/>
    <w:rsid w:val="643B36EE"/>
    <w:rsid w:val="643F3DB0"/>
    <w:rsid w:val="64404C10"/>
    <w:rsid w:val="64413F63"/>
    <w:rsid w:val="64487735"/>
    <w:rsid w:val="645B3E9D"/>
    <w:rsid w:val="645F3E3A"/>
    <w:rsid w:val="646031C3"/>
    <w:rsid w:val="64676A6D"/>
    <w:rsid w:val="647C740B"/>
    <w:rsid w:val="64803408"/>
    <w:rsid w:val="64894804"/>
    <w:rsid w:val="648B40F4"/>
    <w:rsid w:val="6491484C"/>
    <w:rsid w:val="649C11D4"/>
    <w:rsid w:val="64A06682"/>
    <w:rsid w:val="64A570FD"/>
    <w:rsid w:val="64AB477E"/>
    <w:rsid w:val="64B064D9"/>
    <w:rsid w:val="64D12A55"/>
    <w:rsid w:val="64D70FAB"/>
    <w:rsid w:val="64D77440"/>
    <w:rsid w:val="64E52B8C"/>
    <w:rsid w:val="64F36653"/>
    <w:rsid w:val="64F77F86"/>
    <w:rsid w:val="64F94633"/>
    <w:rsid w:val="650858DF"/>
    <w:rsid w:val="650952CB"/>
    <w:rsid w:val="65112074"/>
    <w:rsid w:val="651C2E52"/>
    <w:rsid w:val="65200D72"/>
    <w:rsid w:val="65220911"/>
    <w:rsid w:val="652A37D1"/>
    <w:rsid w:val="65333DC1"/>
    <w:rsid w:val="653C222F"/>
    <w:rsid w:val="653E102A"/>
    <w:rsid w:val="654B4C37"/>
    <w:rsid w:val="65530F79"/>
    <w:rsid w:val="656338C5"/>
    <w:rsid w:val="656D413F"/>
    <w:rsid w:val="658564AB"/>
    <w:rsid w:val="6586563D"/>
    <w:rsid w:val="658A7316"/>
    <w:rsid w:val="658D448B"/>
    <w:rsid w:val="6591071C"/>
    <w:rsid w:val="659C2BD6"/>
    <w:rsid w:val="65A10921"/>
    <w:rsid w:val="65A14FD7"/>
    <w:rsid w:val="65AB76D7"/>
    <w:rsid w:val="65C95566"/>
    <w:rsid w:val="65CC47EF"/>
    <w:rsid w:val="65CD79D9"/>
    <w:rsid w:val="65D76A89"/>
    <w:rsid w:val="65DE2082"/>
    <w:rsid w:val="65EA1B33"/>
    <w:rsid w:val="65F907CD"/>
    <w:rsid w:val="65FA0464"/>
    <w:rsid w:val="66003970"/>
    <w:rsid w:val="6603176E"/>
    <w:rsid w:val="66046561"/>
    <w:rsid w:val="6612654A"/>
    <w:rsid w:val="661F7A4D"/>
    <w:rsid w:val="662C6DF9"/>
    <w:rsid w:val="662C7E84"/>
    <w:rsid w:val="662F5543"/>
    <w:rsid w:val="66416080"/>
    <w:rsid w:val="664C4D1D"/>
    <w:rsid w:val="664D1F5F"/>
    <w:rsid w:val="66543AE8"/>
    <w:rsid w:val="66623BD7"/>
    <w:rsid w:val="66665741"/>
    <w:rsid w:val="666A13DF"/>
    <w:rsid w:val="666F593F"/>
    <w:rsid w:val="66761BE9"/>
    <w:rsid w:val="668D61A9"/>
    <w:rsid w:val="668F1B3D"/>
    <w:rsid w:val="669563D9"/>
    <w:rsid w:val="66A01F9C"/>
    <w:rsid w:val="66AC6B93"/>
    <w:rsid w:val="66B21CD0"/>
    <w:rsid w:val="66B71A01"/>
    <w:rsid w:val="66BF37A7"/>
    <w:rsid w:val="66C15C07"/>
    <w:rsid w:val="66C16402"/>
    <w:rsid w:val="66C40FB6"/>
    <w:rsid w:val="66C537B1"/>
    <w:rsid w:val="66C82385"/>
    <w:rsid w:val="66D1436D"/>
    <w:rsid w:val="66D460EA"/>
    <w:rsid w:val="66F005CF"/>
    <w:rsid w:val="66F2690F"/>
    <w:rsid w:val="66F62437"/>
    <w:rsid w:val="66F935C8"/>
    <w:rsid w:val="67010561"/>
    <w:rsid w:val="670719D2"/>
    <w:rsid w:val="6717328F"/>
    <w:rsid w:val="67187EA7"/>
    <w:rsid w:val="671D1820"/>
    <w:rsid w:val="6733398F"/>
    <w:rsid w:val="67334663"/>
    <w:rsid w:val="673A7D37"/>
    <w:rsid w:val="67403C27"/>
    <w:rsid w:val="674C5C80"/>
    <w:rsid w:val="675437C5"/>
    <w:rsid w:val="675E1F6B"/>
    <w:rsid w:val="67606CD4"/>
    <w:rsid w:val="67753429"/>
    <w:rsid w:val="67762846"/>
    <w:rsid w:val="6777097B"/>
    <w:rsid w:val="677B30CE"/>
    <w:rsid w:val="67825B46"/>
    <w:rsid w:val="67924895"/>
    <w:rsid w:val="67A954A2"/>
    <w:rsid w:val="67AC639E"/>
    <w:rsid w:val="67B77890"/>
    <w:rsid w:val="67BA2608"/>
    <w:rsid w:val="67C100C2"/>
    <w:rsid w:val="67C63DF7"/>
    <w:rsid w:val="67CB129B"/>
    <w:rsid w:val="67CC6DC1"/>
    <w:rsid w:val="67DD08FB"/>
    <w:rsid w:val="67EA35B7"/>
    <w:rsid w:val="67F81964"/>
    <w:rsid w:val="680612E5"/>
    <w:rsid w:val="68126ECA"/>
    <w:rsid w:val="681D1B52"/>
    <w:rsid w:val="681E586F"/>
    <w:rsid w:val="682A5C47"/>
    <w:rsid w:val="682E61EA"/>
    <w:rsid w:val="68382B77"/>
    <w:rsid w:val="683978E9"/>
    <w:rsid w:val="683E05B0"/>
    <w:rsid w:val="6841021F"/>
    <w:rsid w:val="684664DA"/>
    <w:rsid w:val="684D17F0"/>
    <w:rsid w:val="685272C6"/>
    <w:rsid w:val="68654AA1"/>
    <w:rsid w:val="68700B42"/>
    <w:rsid w:val="68815D82"/>
    <w:rsid w:val="688D6550"/>
    <w:rsid w:val="68956145"/>
    <w:rsid w:val="68B92D62"/>
    <w:rsid w:val="68C449FF"/>
    <w:rsid w:val="68DC675E"/>
    <w:rsid w:val="68E105D9"/>
    <w:rsid w:val="68E65227"/>
    <w:rsid w:val="68E97CCA"/>
    <w:rsid w:val="68FB5E9E"/>
    <w:rsid w:val="68FC103A"/>
    <w:rsid w:val="690D07ED"/>
    <w:rsid w:val="69117EB9"/>
    <w:rsid w:val="69145EEE"/>
    <w:rsid w:val="69154A16"/>
    <w:rsid w:val="692D485E"/>
    <w:rsid w:val="6936532F"/>
    <w:rsid w:val="693E3CEF"/>
    <w:rsid w:val="694330B3"/>
    <w:rsid w:val="69497BD2"/>
    <w:rsid w:val="6953779A"/>
    <w:rsid w:val="69673B84"/>
    <w:rsid w:val="696848C8"/>
    <w:rsid w:val="69792C7D"/>
    <w:rsid w:val="697A2F79"/>
    <w:rsid w:val="69855479"/>
    <w:rsid w:val="699243B6"/>
    <w:rsid w:val="69BC5836"/>
    <w:rsid w:val="69C54964"/>
    <w:rsid w:val="69D910D3"/>
    <w:rsid w:val="69DF0E07"/>
    <w:rsid w:val="69E93D2C"/>
    <w:rsid w:val="6A083210"/>
    <w:rsid w:val="6A253F1C"/>
    <w:rsid w:val="6A3F19FF"/>
    <w:rsid w:val="6A470435"/>
    <w:rsid w:val="6A56433C"/>
    <w:rsid w:val="6A5A03B7"/>
    <w:rsid w:val="6A5C564F"/>
    <w:rsid w:val="6A5D18ED"/>
    <w:rsid w:val="6A5D7BF6"/>
    <w:rsid w:val="6A5E4E33"/>
    <w:rsid w:val="6A6E4160"/>
    <w:rsid w:val="6A763BAE"/>
    <w:rsid w:val="6A7B3EE7"/>
    <w:rsid w:val="6A7C1F1D"/>
    <w:rsid w:val="6A805FA1"/>
    <w:rsid w:val="6A837900"/>
    <w:rsid w:val="6A860270"/>
    <w:rsid w:val="6A8F1578"/>
    <w:rsid w:val="6A982EC2"/>
    <w:rsid w:val="6A9950DE"/>
    <w:rsid w:val="6A9D356F"/>
    <w:rsid w:val="6AA3690E"/>
    <w:rsid w:val="6AAE7AFB"/>
    <w:rsid w:val="6AB1396F"/>
    <w:rsid w:val="6AB45E99"/>
    <w:rsid w:val="6ABD74D2"/>
    <w:rsid w:val="6ABE3D34"/>
    <w:rsid w:val="6AC02C0D"/>
    <w:rsid w:val="6ACA3EAE"/>
    <w:rsid w:val="6ACD0E86"/>
    <w:rsid w:val="6ACD70D8"/>
    <w:rsid w:val="6AD20D01"/>
    <w:rsid w:val="6AD81719"/>
    <w:rsid w:val="6ADC73DD"/>
    <w:rsid w:val="6AE06048"/>
    <w:rsid w:val="6AF31B33"/>
    <w:rsid w:val="6AF91C7B"/>
    <w:rsid w:val="6B033EB3"/>
    <w:rsid w:val="6B0378FF"/>
    <w:rsid w:val="6B0C57BA"/>
    <w:rsid w:val="6B0F76F1"/>
    <w:rsid w:val="6B1D1425"/>
    <w:rsid w:val="6B242AE9"/>
    <w:rsid w:val="6B340795"/>
    <w:rsid w:val="6B3929BF"/>
    <w:rsid w:val="6B3D6771"/>
    <w:rsid w:val="6B3E4B52"/>
    <w:rsid w:val="6B4C74AC"/>
    <w:rsid w:val="6B517C8E"/>
    <w:rsid w:val="6B6D0A54"/>
    <w:rsid w:val="6B6D0FDB"/>
    <w:rsid w:val="6B82636B"/>
    <w:rsid w:val="6B936F9F"/>
    <w:rsid w:val="6BA40D6D"/>
    <w:rsid w:val="6BA65A4A"/>
    <w:rsid w:val="6BB40298"/>
    <w:rsid w:val="6BBF7E5E"/>
    <w:rsid w:val="6BD21F3B"/>
    <w:rsid w:val="6BD66B5E"/>
    <w:rsid w:val="6BDD334B"/>
    <w:rsid w:val="6BE464B4"/>
    <w:rsid w:val="6BF1329A"/>
    <w:rsid w:val="6BF13DF2"/>
    <w:rsid w:val="6BF2108D"/>
    <w:rsid w:val="6BF2590C"/>
    <w:rsid w:val="6BFE1AAB"/>
    <w:rsid w:val="6C085EA2"/>
    <w:rsid w:val="6C08735B"/>
    <w:rsid w:val="6C0B610A"/>
    <w:rsid w:val="6C167501"/>
    <w:rsid w:val="6C1C448F"/>
    <w:rsid w:val="6C1F11FD"/>
    <w:rsid w:val="6C3A079D"/>
    <w:rsid w:val="6C486162"/>
    <w:rsid w:val="6C50111D"/>
    <w:rsid w:val="6C6D7467"/>
    <w:rsid w:val="6C716282"/>
    <w:rsid w:val="6C725BAF"/>
    <w:rsid w:val="6C766DA2"/>
    <w:rsid w:val="6C8248A0"/>
    <w:rsid w:val="6C8B724B"/>
    <w:rsid w:val="6C8E2897"/>
    <w:rsid w:val="6CA05F34"/>
    <w:rsid w:val="6CA230B9"/>
    <w:rsid w:val="6CA5467B"/>
    <w:rsid w:val="6CBB4E99"/>
    <w:rsid w:val="6CBF0CA2"/>
    <w:rsid w:val="6CC14A1B"/>
    <w:rsid w:val="6CC419F8"/>
    <w:rsid w:val="6CC517C9"/>
    <w:rsid w:val="6CE95D1F"/>
    <w:rsid w:val="6CF22E26"/>
    <w:rsid w:val="6CFC3CA5"/>
    <w:rsid w:val="6D1844B8"/>
    <w:rsid w:val="6D276982"/>
    <w:rsid w:val="6D3D2088"/>
    <w:rsid w:val="6D464F20"/>
    <w:rsid w:val="6D4D4C31"/>
    <w:rsid w:val="6D4F48E7"/>
    <w:rsid w:val="6D632D11"/>
    <w:rsid w:val="6D673814"/>
    <w:rsid w:val="6D6A15B6"/>
    <w:rsid w:val="6D6E05FF"/>
    <w:rsid w:val="6D7051A6"/>
    <w:rsid w:val="6D715E4E"/>
    <w:rsid w:val="6D732FC1"/>
    <w:rsid w:val="6D751064"/>
    <w:rsid w:val="6D82562D"/>
    <w:rsid w:val="6D872B7A"/>
    <w:rsid w:val="6D8C30C1"/>
    <w:rsid w:val="6D9216EC"/>
    <w:rsid w:val="6D940381"/>
    <w:rsid w:val="6D9C0D34"/>
    <w:rsid w:val="6D9C7F50"/>
    <w:rsid w:val="6D9D0BA4"/>
    <w:rsid w:val="6D9E02BF"/>
    <w:rsid w:val="6DA02882"/>
    <w:rsid w:val="6DA36350"/>
    <w:rsid w:val="6DA948A9"/>
    <w:rsid w:val="6DB64EE8"/>
    <w:rsid w:val="6DC84517"/>
    <w:rsid w:val="6DCB4021"/>
    <w:rsid w:val="6DCE0354"/>
    <w:rsid w:val="6DD63451"/>
    <w:rsid w:val="6DD93EFC"/>
    <w:rsid w:val="6DE91931"/>
    <w:rsid w:val="6DE94229"/>
    <w:rsid w:val="6DFF42DD"/>
    <w:rsid w:val="6E0710AC"/>
    <w:rsid w:val="6E0C5B55"/>
    <w:rsid w:val="6E132441"/>
    <w:rsid w:val="6E235906"/>
    <w:rsid w:val="6E2D654E"/>
    <w:rsid w:val="6E30451C"/>
    <w:rsid w:val="6E3827CA"/>
    <w:rsid w:val="6E3864DB"/>
    <w:rsid w:val="6E3C070E"/>
    <w:rsid w:val="6E6A3866"/>
    <w:rsid w:val="6E6C6ACF"/>
    <w:rsid w:val="6E7502AF"/>
    <w:rsid w:val="6E8977BA"/>
    <w:rsid w:val="6E92648E"/>
    <w:rsid w:val="6EB14C96"/>
    <w:rsid w:val="6EB72579"/>
    <w:rsid w:val="6EBA5F28"/>
    <w:rsid w:val="6EBC36EB"/>
    <w:rsid w:val="6EBF4E9B"/>
    <w:rsid w:val="6EC300BE"/>
    <w:rsid w:val="6EC60BF7"/>
    <w:rsid w:val="6ED02CD6"/>
    <w:rsid w:val="6ED05844"/>
    <w:rsid w:val="6EE928E1"/>
    <w:rsid w:val="6EFF33B8"/>
    <w:rsid w:val="6F1057E5"/>
    <w:rsid w:val="6F1633AA"/>
    <w:rsid w:val="6F222F69"/>
    <w:rsid w:val="6F3C5D23"/>
    <w:rsid w:val="6F450286"/>
    <w:rsid w:val="6F4D07E7"/>
    <w:rsid w:val="6F5059EA"/>
    <w:rsid w:val="6F524050"/>
    <w:rsid w:val="6F5611EE"/>
    <w:rsid w:val="6F5953DE"/>
    <w:rsid w:val="6F6157F3"/>
    <w:rsid w:val="6F6E0DCE"/>
    <w:rsid w:val="6F7B66DF"/>
    <w:rsid w:val="6F885CC3"/>
    <w:rsid w:val="6F9044C3"/>
    <w:rsid w:val="6F95674D"/>
    <w:rsid w:val="6F9F5609"/>
    <w:rsid w:val="6FA17D14"/>
    <w:rsid w:val="6FA530C4"/>
    <w:rsid w:val="6FB37179"/>
    <w:rsid w:val="6FBC3842"/>
    <w:rsid w:val="6FC02D2B"/>
    <w:rsid w:val="6FC565D0"/>
    <w:rsid w:val="6FD83A4B"/>
    <w:rsid w:val="6FE47435"/>
    <w:rsid w:val="6FE72261"/>
    <w:rsid w:val="6FEF1130"/>
    <w:rsid w:val="6FF32068"/>
    <w:rsid w:val="6FFB2675"/>
    <w:rsid w:val="6FFC63BE"/>
    <w:rsid w:val="6FFD1CB9"/>
    <w:rsid w:val="7003504C"/>
    <w:rsid w:val="70062241"/>
    <w:rsid w:val="700904AC"/>
    <w:rsid w:val="70090BB2"/>
    <w:rsid w:val="700C2F6C"/>
    <w:rsid w:val="70197637"/>
    <w:rsid w:val="703511C4"/>
    <w:rsid w:val="704D7EC2"/>
    <w:rsid w:val="70576D06"/>
    <w:rsid w:val="70590E1E"/>
    <w:rsid w:val="705C33D8"/>
    <w:rsid w:val="706A1FC2"/>
    <w:rsid w:val="70860455"/>
    <w:rsid w:val="708B7584"/>
    <w:rsid w:val="708C4894"/>
    <w:rsid w:val="70951540"/>
    <w:rsid w:val="70C03A00"/>
    <w:rsid w:val="70C82BCC"/>
    <w:rsid w:val="70CA60EF"/>
    <w:rsid w:val="70ED2109"/>
    <w:rsid w:val="70F029E2"/>
    <w:rsid w:val="70F30535"/>
    <w:rsid w:val="70F32156"/>
    <w:rsid w:val="70F538B4"/>
    <w:rsid w:val="70F74EAF"/>
    <w:rsid w:val="710E2F7C"/>
    <w:rsid w:val="711200BC"/>
    <w:rsid w:val="71121CE9"/>
    <w:rsid w:val="711A6DEF"/>
    <w:rsid w:val="71280D8C"/>
    <w:rsid w:val="712C58BD"/>
    <w:rsid w:val="713E1433"/>
    <w:rsid w:val="7155207D"/>
    <w:rsid w:val="71691628"/>
    <w:rsid w:val="717202C2"/>
    <w:rsid w:val="717515E4"/>
    <w:rsid w:val="717A3260"/>
    <w:rsid w:val="717B788E"/>
    <w:rsid w:val="71907AAF"/>
    <w:rsid w:val="71920D26"/>
    <w:rsid w:val="719F6119"/>
    <w:rsid w:val="71A32941"/>
    <w:rsid w:val="71A74F8D"/>
    <w:rsid w:val="71B32D40"/>
    <w:rsid w:val="71BB13F6"/>
    <w:rsid w:val="71BF5466"/>
    <w:rsid w:val="71D90A58"/>
    <w:rsid w:val="71D96281"/>
    <w:rsid w:val="71DA564C"/>
    <w:rsid w:val="71E7458D"/>
    <w:rsid w:val="72043019"/>
    <w:rsid w:val="72097BAE"/>
    <w:rsid w:val="72135D18"/>
    <w:rsid w:val="721F0AD5"/>
    <w:rsid w:val="722B6F78"/>
    <w:rsid w:val="72456638"/>
    <w:rsid w:val="72495B34"/>
    <w:rsid w:val="7252697D"/>
    <w:rsid w:val="72593869"/>
    <w:rsid w:val="725C6331"/>
    <w:rsid w:val="726A6929"/>
    <w:rsid w:val="727B49F4"/>
    <w:rsid w:val="727D301E"/>
    <w:rsid w:val="72847023"/>
    <w:rsid w:val="728C4FF6"/>
    <w:rsid w:val="72A621FB"/>
    <w:rsid w:val="72A84BC3"/>
    <w:rsid w:val="72AE3C93"/>
    <w:rsid w:val="72B16F11"/>
    <w:rsid w:val="72B8295F"/>
    <w:rsid w:val="72BA5959"/>
    <w:rsid w:val="72D752CA"/>
    <w:rsid w:val="72D801AB"/>
    <w:rsid w:val="72D87269"/>
    <w:rsid w:val="72E2184F"/>
    <w:rsid w:val="72E30FAA"/>
    <w:rsid w:val="72E33E6B"/>
    <w:rsid w:val="72F42C94"/>
    <w:rsid w:val="72FE2128"/>
    <w:rsid w:val="730C428D"/>
    <w:rsid w:val="73124227"/>
    <w:rsid w:val="7315786E"/>
    <w:rsid w:val="7316404C"/>
    <w:rsid w:val="73464F77"/>
    <w:rsid w:val="7354013B"/>
    <w:rsid w:val="735B5C7A"/>
    <w:rsid w:val="7370719A"/>
    <w:rsid w:val="737E18B7"/>
    <w:rsid w:val="7386017E"/>
    <w:rsid w:val="739A5FC5"/>
    <w:rsid w:val="73AB5878"/>
    <w:rsid w:val="73AD1B7C"/>
    <w:rsid w:val="73B379A0"/>
    <w:rsid w:val="73C37FE1"/>
    <w:rsid w:val="73C453B0"/>
    <w:rsid w:val="73C63965"/>
    <w:rsid w:val="73E46E7F"/>
    <w:rsid w:val="73E62503"/>
    <w:rsid w:val="73F762EF"/>
    <w:rsid w:val="73FB2F08"/>
    <w:rsid w:val="7401587E"/>
    <w:rsid w:val="740B5450"/>
    <w:rsid w:val="740B5907"/>
    <w:rsid w:val="74136320"/>
    <w:rsid w:val="74234269"/>
    <w:rsid w:val="742B12BE"/>
    <w:rsid w:val="743770E0"/>
    <w:rsid w:val="743919C5"/>
    <w:rsid w:val="74494751"/>
    <w:rsid w:val="744E59F8"/>
    <w:rsid w:val="7450210E"/>
    <w:rsid w:val="74512C67"/>
    <w:rsid w:val="745C4283"/>
    <w:rsid w:val="745F4DBA"/>
    <w:rsid w:val="74600FBD"/>
    <w:rsid w:val="74650D3F"/>
    <w:rsid w:val="746D1F5A"/>
    <w:rsid w:val="748F36C5"/>
    <w:rsid w:val="74933140"/>
    <w:rsid w:val="749D4BE7"/>
    <w:rsid w:val="74A470FC"/>
    <w:rsid w:val="74A7099A"/>
    <w:rsid w:val="74A91DF6"/>
    <w:rsid w:val="74A92964"/>
    <w:rsid w:val="74B33F80"/>
    <w:rsid w:val="74B8377B"/>
    <w:rsid w:val="74C85364"/>
    <w:rsid w:val="74CE27B5"/>
    <w:rsid w:val="74CF74D8"/>
    <w:rsid w:val="74D95729"/>
    <w:rsid w:val="74E704EB"/>
    <w:rsid w:val="7501454E"/>
    <w:rsid w:val="7508751B"/>
    <w:rsid w:val="750F1D4A"/>
    <w:rsid w:val="751110F8"/>
    <w:rsid w:val="751D58FB"/>
    <w:rsid w:val="751F419F"/>
    <w:rsid w:val="752072B1"/>
    <w:rsid w:val="752078D6"/>
    <w:rsid w:val="752B0E1A"/>
    <w:rsid w:val="75333847"/>
    <w:rsid w:val="753440CD"/>
    <w:rsid w:val="753A3818"/>
    <w:rsid w:val="753C0231"/>
    <w:rsid w:val="75576330"/>
    <w:rsid w:val="755B2625"/>
    <w:rsid w:val="756F5485"/>
    <w:rsid w:val="75736ACE"/>
    <w:rsid w:val="75765278"/>
    <w:rsid w:val="75873FED"/>
    <w:rsid w:val="75957371"/>
    <w:rsid w:val="759A22AD"/>
    <w:rsid w:val="75A42E4C"/>
    <w:rsid w:val="75A44368"/>
    <w:rsid w:val="75A60176"/>
    <w:rsid w:val="75B07D22"/>
    <w:rsid w:val="75B602A2"/>
    <w:rsid w:val="75B82733"/>
    <w:rsid w:val="75BC563D"/>
    <w:rsid w:val="75C24D4E"/>
    <w:rsid w:val="75CD7361"/>
    <w:rsid w:val="75E12E07"/>
    <w:rsid w:val="75EA3AA5"/>
    <w:rsid w:val="75EE0734"/>
    <w:rsid w:val="75F609FD"/>
    <w:rsid w:val="75FE5EAB"/>
    <w:rsid w:val="76056182"/>
    <w:rsid w:val="760F188A"/>
    <w:rsid w:val="76213EF6"/>
    <w:rsid w:val="762159BA"/>
    <w:rsid w:val="76265C3F"/>
    <w:rsid w:val="762E1FBC"/>
    <w:rsid w:val="76351602"/>
    <w:rsid w:val="76376014"/>
    <w:rsid w:val="763D4222"/>
    <w:rsid w:val="764B6527"/>
    <w:rsid w:val="765925D5"/>
    <w:rsid w:val="765D3A06"/>
    <w:rsid w:val="76671961"/>
    <w:rsid w:val="76712364"/>
    <w:rsid w:val="767401B1"/>
    <w:rsid w:val="7674661E"/>
    <w:rsid w:val="767C3C07"/>
    <w:rsid w:val="768D3BBF"/>
    <w:rsid w:val="76944F4E"/>
    <w:rsid w:val="76A21419"/>
    <w:rsid w:val="76A46E93"/>
    <w:rsid w:val="76AC165B"/>
    <w:rsid w:val="76B053F4"/>
    <w:rsid w:val="76BB23B6"/>
    <w:rsid w:val="76BF7A7A"/>
    <w:rsid w:val="76CC02A2"/>
    <w:rsid w:val="76D452AF"/>
    <w:rsid w:val="76D828DF"/>
    <w:rsid w:val="76E02090"/>
    <w:rsid w:val="76E30B52"/>
    <w:rsid w:val="76E54FC8"/>
    <w:rsid w:val="76EE28B0"/>
    <w:rsid w:val="76FA3D91"/>
    <w:rsid w:val="770C71DA"/>
    <w:rsid w:val="7715608F"/>
    <w:rsid w:val="77177478"/>
    <w:rsid w:val="771C6C46"/>
    <w:rsid w:val="77207437"/>
    <w:rsid w:val="77253D09"/>
    <w:rsid w:val="77277898"/>
    <w:rsid w:val="772A123B"/>
    <w:rsid w:val="77371D99"/>
    <w:rsid w:val="773D7394"/>
    <w:rsid w:val="77413963"/>
    <w:rsid w:val="77474960"/>
    <w:rsid w:val="774C6380"/>
    <w:rsid w:val="77514A05"/>
    <w:rsid w:val="77550B81"/>
    <w:rsid w:val="775A5569"/>
    <w:rsid w:val="775D6951"/>
    <w:rsid w:val="776404F5"/>
    <w:rsid w:val="776D36B4"/>
    <w:rsid w:val="777234E1"/>
    <w:rsid w:val="777460AD"/>
    <w:rsid w:val="77752FD1"/>
    <w:rsid w:val="777F31C2"/>
    <w:rsid w:val="778410B4"/>
    <w:rsid w:val="77842113"/>
    <w:rsid w:val="77901BB9"/>
    <w:rsid w:val="77935347"/>
    <w:rsid w:val="77A5622A"/>
    <w:rsid w:val="77A72061"/>
    <w:rsid w:val="77BC475C"/>
    <w:rsid w:val="77C02EEC"/>
    <w:rsid w:val="77C74EAF"/>
    <w:rsid w:val="77CC2464"/>
    <w:rsid w:val="77D9530E"/>
    <w:rsid w:val="77EF4B32"/>
    <w:rsid w:val="77F51A1C"/>
    <w:rsid w:val="77F64E00"/>
    <w:rsid w:val="780A0EE2"/>
    <w:rsid w:val="781C3A49"/>
    <w:rsid w:val="782A51B1"/>
    <w:rsid w:val="782B3132"/>
    <w:rsid w:val="782F3180"/>
    <w:rsid w:val="78321486"/>
    <w:rsid w:val="783453B2"/>
    <w:rsid w:val="783B1B25"/>
    <w:rsid w:val="78447906"/>
    <w:rsid w:val="7849792D"/>
    <w:rsid w:val="785414D9"/>
    <w:rsid w:val="78592815"/>
    <w:rsid w:val="786E2AF4"/>
    <w:rsid w:val="787633B9"/>
    <w:rsid w:val="787F0B85"/>
    <w:rsid w:val="78827754"/>
    <w:rsid w:val="78943491"/>
    <w:rsid w:val="78AA6CAB"/>
    <w:rsid w:val="78AD3AF6"/>
    <w:rsid w:val="78AE679B"/>
    <w:rsid w:val="78BB5222"/>
    <w:rsid w:val="78DA568A"/>
    <w:rsid w:val="78DF4EDF"/>
    <w:rsid w:val="78EF46BD"/>
    <w:rsid w:val="78F739AF"/>
    <w:rsid w:val="78FC2917"/>
    <w:rsid w:val="78FD6DDA"/>
    <w:rsid w:val="79030169"/>
    <w:rsid w:val="79033131"/>
    <w:rsid w:val="790777FC"/>
    <w:rsid w:val="79101A46"/>
    <w:rsid w:val="79110AD8"/>
    <w:rsid w:val="79120941"/>
    <w:rsid w:val="79134850"/>
    <w:rsid w:val="79257B83"/>
    <w:rsid w:val="79297BCF"/>
    <w:rsid w:val="792F71B0"/>
    <w:rsid w:val="79343239"/>
    <w:rsid w:val="793F0198"/>
    <w:rsid w:val="79444A09"/>
    <w:rsid w:val="79500F4C"/>
    <w:rsid w:val="7962698E"/>
    <w:rsid w:val="796321BC"/>
    <w:rsid w:val="79773031"/>
    <w:rsid w:val="797B41A3"/>
    <w:rsid w:val="797B7924"/>
    <w:rsid w:val="79873238"/>
    <w:rsid w:val="7989240F"/>
    <w:rsid w:val="79915DAD"/>
    <w:rsid w:val="79925DD5"/>
    <w:rsid w:val="799B1F89"/>
    <w:rsid w:val="79A021C7"/>
    <w:rsid w:val="79A41185"/>
    <w:rsid w:val="79AD79A3"/>
    <w:rsid w:val="79B37DE1"/>
    <w:rsid w:val="79C03724"/>
    <w:rsid w:val="79C72C2F"/>
    <w:rsid w:val="79CA6167"/>
    <w:rsid w:val="79CA6C00"/>
    <w:rsid w:val="79D34698"/>
    <w:rsid w:val="79D657AA"/>
    <w:rsid w:val="79DB1061"/>
    <w:rsid w:val="79DF0BD6"/>
    <w:rsid w:val="79EB040F"/>
    <w:rsid w:val="79EF00A5"/>
    <w:rsid w:val="79F0361A"/>
    <w:rsid w:val="79F90F7D"/>
    <w:rsid w:val="79FE72AE"/>
    <w:rsid w:val="7A151964"/>
    <w:rsid w:val="7A2A0C3D"/>
    <w:rsid w:val="7A3542AF"/>
    <w:rsid w:val="7A455609"/>
    <w:rsid w:val="7A543395"/>
    <w:rsid w:val="7A584E34"/>
    <w:rsid w:val="7A5A660F"/>
    <w:rsid w:val="7A645E52"/>
    <w:rsid w:val="7A723185"/>
    <w:rsid w:val="7A763C0B"/>
    <w:rsid w:val="7A7D597A"/>
    <w:rsid w:val="7A8C6B52"/>
    <w:rsid w:val="7A9D23CE"/>
    <w:rsid w:val="7AA46A6F"/>
    <w:rsid w:val="7AB5580C"/>
    <w:rsid w:val="7AB82A51"/>
    <w:rsid w:val="7AC202DC"/>
    <w:rsid w:val="7ACD240B"/>
    <w:rsid w:val="7ADD2F81"/>
    <w:rsid w:val="7ADD60D1"/>
    <w:rsid w:val="7AEA3006"/>
    <w:rsid w:val="7AF20495"/>
    <w:rsid w:val="7AF43CEB"/>
    <w:rsid w:val="7AF63FC2"/>
    <w:rsid w:val="7AFA2700"/>
    <w:rsid w:val="7B094F4E"/>
    <w:rsid w:val="7B0D020A"/>
    <w:rsid w:val="7B18614D"/>
    <w:rsid w:val="7B277F83"/>
    <w:rsid w:val="7B3A6C49"/>
    <w:rsid w:val="7B592B6D"/>
    <w:rsid w:val="7B5C0BF8"/>
    <w:rsid w:val="7B6205F9"/>
    <w:rsid w:val="7B640941"/>
    <w:rsid w:val="7B701D9B"/>
    <w:rsid w:val="7B71245D"/>
    <w:rsid w:val="7B7A2964"/>
    <w:rsid w:val="7BA05D70"/>
    <w:rsid w:val="7BB3442C"/>
    <w:rsid w:val="7BBE6ADF"/>
    <w:rsid w:val="7BBF1F0E"/>
    <w:rsid w:val="7BC03058"/>
    <w:rsid w:val="7BC7258E"/>
    <w:rsid w:val="7BC73463"/>
    <w:rsid w:val="7BCE5F1A"/>
    <w:rsid w:val="7BE157C9"/>
    <w:rsid w:val="7BE4331D"/>
    <w:rsid w:val="7BE80876"/>
    <w:rsid w:val="7BF353F1"/>
    <w:rsid w:val="7BFE5435"/>
    <w:rsid w:val="7C042B76"/>
    <w:rsid w:val="7C1347A7"/>
    <w:rsid w:val="7C326459"/>
    <w:rsid w:val="7C336FB7"/>
    <w:rsid w:val="7C3B36E8"/>
    <w:rsid w:val="7C4A4EB7"/>
    <w:rsid w:val="7C4B6FFA"/>
    <w:rsid w:val="7C64357C"/>
    <w:rsid w:val="7C701673"/>
    <w:rsid w:val="7C702F90"/>
    <w:rsid w:val="7C71370B"/>
    <w:rsid w:val="7C75137E"/>
    <w:rsid w:val="7C786D99"/>
    <w:rsid w:val="7C787C67"/>
    <w:rsid w:val="7C7A2AF3"/>
    <w:rsid w:val="7C8A757C"/>
    <w:rsid w:val="7C8E12D3"/>
    <w:rsid w:val="7C906666"/>
    <w:rsid w:val="7C9255DB"/>
    <w:rsid w:val="7C9279D8"/>
    <w:rsid w:val="7C930E0D"/>
    <w:rsid w:val="7C99016B"/>
    <w:rsid w:val="7C9D1417"/>
    <w:rsid w:val="7CAB4D9F"/>
    <w:rsid w:val="7CC057A0"/>
    <w:rsid w:val="7CC86FE5"/>
    <w:rsid w:val="7CD15977"/>
    <w:rsid w:val="7CD37488"/>
    <w:rsid w:val="7CE309DD"/>
    <w:rsid w:val="7CE54755"/>
    <w:rsid w:val="7CF624BE"/>
    <w:rsid w:val="7CF70184"/>
    <w:rsid w:val="7CFC5F96"/>
    <w:rsid w:val="7D0A582B"/>
    <w:rsid w:val="7D0E1FE7"/>
    <w:rsid w:val="7D1438D1"/>
    <w:rsid w:val="7D1524A6"/>
    <w:rsid w:val="7D2C3D08"/>
    <w:rsid w:val="7D327286"/>
    <w:rsid w:val="7D365BFD"/>
    <w:rsid w:val="7D3B4375"/>
    <w:rsid w:val="7D5D078F"/>
    <w:rsid w:val="7D600D06"/>
    <w:rsid w:val="7D60202E"/>
    <w:rsid w:val="7D71301F"/>
    <w:rsid w:val="7D721B05"/>
    <w:rsid w:val="7D822D00"/>
    <w:rsid w:val="7D847ACA"/>
    <w:rsid w:val="7D8C2E23"/>
    <w:rsid w:val="7D9102AF"/>
    <w:rsid w:val="7DA3218C"/>
    <w:rsid w:val="7DA70A10"/>
    <w:rsid w:val="7DB14637"/>
    <w:rsid w:val="7DB3215D"/>
    <w:rsid w:val="7DC66C89"/>
    <w:rsid w:val="7DC91981"/>
    <w:rsid w:val="7DD757A3"/>
    <w:rsid w:val="7DDD2D2B"/>
    <w:rsid w:val="7DDD71DA"/>
    <w:rsid w:val="7DE20684"/>
    <w:rsid w:val="7DE27447"/>
    <w:rsid w:val="7DE45268"/>
    <w:rsid w:val="7DE542B3"/>
    <w:rsid w:val="7DE9187B"/>
    <w:rsid w:val="7DEE03DC"/>
    <w:rsid w:val="7DFC0F2C"/>
    <w:rsid w:val="7E010CA2"/>
    <w:rsid w:val="7E091D8E"/>
    <w:rsid w:val="7E135500"/>
    <w:rsid w:val="7E1E6CD5"/>
    <w:rsid w:val="7E505EBB"/>
    <w:rsid w:val="7E585E0E"/>
    <w:rsid w:val="7E5D1DFB"/>
    <w:rsid w:val="7E775881"/>
    <w:rsid w:val="7E931336"/>
    <w:rsid w:val="7E9348B1"/>
    <w:rsid w:val="7EA53F61"/>
    <w:rsid w:val="7EAB47A9"/>
    <w:rsid w:val="7EAF41E1"/>
    <w:rsid w:val="7EB02B41"/>
    <w:rsid w:val="7EB16914"/>
    <w:rsid w:val="7EB22415"/>
    <w:rsid w:val="7EB446C8"/>
    <w:rsid w:val="7EB97C47"/>
    <w:rsid w:val="7EC21892"/>
    <w:rsid w:val="7ECE5EA4"/>
    <w:rsid w:val="7EE55250"/>
    <w:rsid w:val="7F07037F"/>
    <w:rsid w:val="7F2A6A2A"/>
    <w:rsid w:val="7F2D7CEE"/>
    <w:rsid w:val="7F3140B6"/>
    <w:rsid w:val="7F341417"/>
    <w:rsid w:val="7F352008"/>
    <w:rsid w:val="7F3B4DF3"/>
    <w:rsid w:val="7F417D10"/>
    <w:rsid w:val="7F4F53DA"/>
    <w:rsid w:val="7F564DD3"/>
    <w:rsid w:val="7F683CB7"/>
    <w:rsid w:val="7F6970B0"/>
    <w:rsid w:val="7F77293D"/>
    <w:rsid w:val="7F7D60C4"/>
    <w:rsid w:val="7F7E6C71"/>
    <w:rsid w:val="7F7F450B"/>
    <w:rsid w:val="7F8B4D75"/>
    <w:rsid w:val="7F8B7FBB"/>
    <w:rsid w:val="7FA06711"/>
    <w:rsid w:val="7FA3742F"/>
    <w:rsid w:val="7FA73EAD"/>
    <w:rsid w:val="7FA928C3"/>
    <w:rsid w:val="7FB20FF6"/>
    <w:rsid w:val="7FB36F98"/>
    <w:rsid w:val="7FC01797"/>
    <w:rsid w:val="7FC5060F"/>
    <w:rsid w:val="7FC5261C"/>
    <w:rsid w:val="7FC84CE6"/>
    <w:rsid w:val="7FC967AD"/>
    <w:rsid w:val="7FE17456"/>
    <w:rsid w:val="7FE64A6C"/>
    <w:rsid w:val="7FE900B8"/>
    <w:rsid w:val="7FF20608"/>
    <w:rsid w:val="7FF854BD"/>
    <w:rsid w:val="7FF90C02"/>
    <w:rsid w:val="7FF91D51"/>
    <w:rsid w:val="7FFC4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en-US" w:eastAsia="en-US" w:bidi="ar-SA"/>
    </w:rPr>
  </w:style>
  <w:style w:type="paragraph" w:styleId="2">
    <w:name w:val="heading 1"/>
    <w:basedOn w:val="1"/>
    <w:link w:val="61"/>
    <w:qFormat/>
    <w:uiPriority w:val="0"/>
    <w:pPr>
      <w:keepNext/>
      <w:keepLines/>
      <w:spacing w:line="360" w:lineRule="auto"/>
      <w:jc w:val="center"/>
      <w:outlineLvl w:val="0"/>
    </w:pPr>
    <w:rPr>
      <w:b/>
      <w:kern w:val="44"/>
      <w:sz w:val="32"/>
    </w:rPr>
  </w:style>
  <w:style w:type="paragraph" w:styleId="3">
    <w:name w:val="heading 2"/>
    <w:basedOn w:val="1"/>
    <w:next w:val="1"/>
    <w:link w:val="68"/>
    <w:qFormat/>
    <w:uiPriority w:val="0"/>
    <w:pPr>
      <w:keepNext/>
      <w:keepLines/>
      <w:spacing w:before="260" w:after="260" w:line="416" w:lineRule="auto"/>
      <w:outlineLvl w:val="1"/>
    </w:pPr>
    <w:rPr>
      <w:rFonts w:ascii="Cambria" w:hAnsi="Cambria" w:cs="Times New Roman"/>
      <w:b/>
      <w:bCs/>
      <w:sz w:val="32"/>
      <w:szCs w:val="32"/>
    </w:rPr>
  </w:style>
  <w:style w:type="paragraph" w:styleId="4">
    <w:name w:val="heading 3"/>
    <w:basedOn w:val="1"/>
    <w:next w:val="1"/>
    <w:qFormat/>
    <w:uiPriority w:val="99"/>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after="290" w:line="376" w:lineRule="auto"/>
      <w:outlineLvl w:val="4"/>
    </w:pPr>
    <w:rPr>
      <w:rFonts w:ascii="仿宋" w:hAnsi="仿宋" w:eastAsia="方正仿宋_GBK"/>
      <w:b/>
      <w:bCs/>
      <w:sz w:val="28"/>
      <w:szCs w:val="28"/>
    </w:rPr>
  </w:style>
  <w:style w:type="paragraph" w:styleId="7">
    <w:name w:val="heading 9"/>
    <w:basedOn w:val="1"/>
    <w:next w:val="1"/>
    <w:qFormat/>
    <w:uiPriority w:val="0"/>
    <w:pPr>
      <w:keepNext/>
      <w:keepLines/>
      <w:spacing w:before="240" w:after="64" w:line="320" w:lineRule="auto"/>
      <w:outlineLvl w:val="8"/>
    </w:pPr>
    <w:rPr>
      <w:rFonts w:ascii="Cambria" w:hAnsi="Cambria" w:cs="Times New Roman"/>
      <w:sz w:val="21"/>
      <w:szCs w:val="21"/>
    </w:rPr>
  </w:style>
  <w:style w:type="character" w:default="1" w:styleId="35">
    <w:name w:val="Default Paragraph Font"/>
    <w:link w:val="36"/>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8">
    <w:name w:val="Normal Indent"/>
    <w:basedOn w:val="1"/>
    <w:next w:val="1"/>
    <w:qFormat/>
    <w:uiPriority w:val="99"/>
    <w:pPr>
      <w:tabs>
        <w:tab w:val="left" w:pos="750"/>
      </w:tabs>
      <w:spacing w:beforeLines="50" w:line="300" w:lineRule="auto"/>
      <w:ind w:firstLine="200" w:firstLineChars="200"/>
    </w:pPr>
    <w:rPr>
      <w:szCs w:val="20"/>
    </w:rPr>
  </w:style>
  <w:style w:type="paragraph" w:styleId="9">
    <w:name w:val="Document Map"/>
    <w:basedOn w:val="1"/>
    <w:qFormat/>
    <w:uiPriority w:val="0"/>
    <w:rPr>
      <w:sz w:val="18"/>
      <w:szCs w:val="18"/>
    </w:rPr>
  </w:style>
  <w:style w:type="paragraph" w:styleId="10">
    <w:name w:val="toa heading"/>
    <w:basedOn w:val="1"/>
    <w:next w:val="1"/>
    <w:semiHidden/>
    <w:qFormat/>
    <w:uiPriority w:val="0"/>
    <w:pPr>
      <w:spacing w:before="120"/>
    </w:pPr>
    <w:rPr>
      <w:rFonts w:ascii="Cambria" w:hAnsi="Cambria"/>
      <w:sz w:val="24"/>
    </w:rPr>
  </w:style>
  <w:style w:type="paragraph" w:styleId="11">
    <w:name w:val="annotation text"/>
    <w:basedOn w:val="1"/>
    <w:qFormat/>
    <w:uiPriority w:val="0"/>
    <w:pPr>
      <w:spacing w:line="360" w:lineRule="auto"/>
    </w:pPr>
    <w:rPr>
      <w:rFonts w:ascii="Calibri" w:hAnsi="Calibri"/>
    </w:rPr>
  </w:style>
  <w:style w:type="paragraph" w:styleId="12">
    <w:name w:val="Body Text"/>
    <w:basedOn w:val="1"/>
    <w:qFormat/>
    <w:uiPriority w:val="99"/>
    <w:rPr>
      <w:sz w:val="21"/>
      <w:szCs w:val="21"/>
    </w:rPr>
  </w:style>
  <w:style w:type="paragraph" w:styleId="13">
    <w:name w:val="Body Text Indent"/>
    <w:basedOn w:val="1"/>
    <w:unhideWhenUsed/>
    <w:qFormat/>
    <w:uiPriority w:val="99"/>
    <w:pPr>
      <w:spacing w:after="120"/>
      <w:ind w:left="420" w:leftChars="200"/>
    </w:pPr>
  </w:style>
  <w:style w:type="paragraph" w:styleId="14">
    <w:name w:val="List 2"/>
    <w:basedOn w:val="1"/>
    <w:unhideWhenUsed/>
    <w:qFormat/>
    <w:uiPriority w:val="99"/>
    <w:pPr>
      <w:ind w:left="100" w:leftChars="200" w:hanging="200" w:hangingChars="200"/>
      <w:contextualSpacing/>
    </w:pPr>
  </w:style>
  <w:style w:type="paragraph" w:styleId="15">
    <w:name w:val="toc 5"/>
    <w:basedOn w:val="1"/>
    <w:next w:val="1"/>
    <w:qFormat/>
    <w:uiPriority w:val="0"/>
    <w:pPr>
      <w:ind w:left="1680" w:leftChars="800"/>
    </w:pPr>
    <w:rPr>
      <w:rFonts w:ascii="Calibri" w:hAnsi="Calibri" w:cs="Times New Roman"/>
    </w:rPr>
  </w:style>
  <w:style w:type="paragraph" w:styleId="16">
    <w:name w:val="toc 3"/>
    <w:basedOn w:val="1"/>
    <w:next w:val="1"/>
    <w:qFormat/>
    <w:uiPriority w:val="39"/>
    <w:pPr>
      <w:ind w:left="440"/>
    </w:pPr>
    <w:rPr>
      <w:rFonts w:ascii="Calibri" w:hAnsi="Calibri"/>
      <w:i/>
      <w:iCs/>
      <w:sz w:val="20"/>
      <w:szCs w:val="20"/>
    </w:rPr>
  </w:style>
  <w:style w:type="paragraph" w:styleId="17">
    <w:name w:val="Plain Text"/>
    <w:basedOn w:val="1"/>
    <w:unhideWhenUsed/>
    <w:qFormat/>
    <w:uiPriority w:val="0"/>
    <w:rPr>
      <w:rFonts w:hAnsi="Courier New"/>
    </w:rPr>
  </w:style>
  <w:style w:type="paragraph" w:styleId="18">
    <w:name w:val="toc 8"/>
    <w:basedOn w:val="1"/>
    <w:next w:val="1"/>
    <w:qFormat/>
    <w:uiPriority w:val="0"/>
    <w:pPr>
      <w:ind w:left="2940" w:leftChars="1400"/>
    </w:pPr>
  </w:style>
  <w:style w:type="paragraph" w:styleId="19">
    <w:name w:val="Date"/>
    <w:basedOn w:val="1"/>
    <w:next w:val="1"/>
    <w:semiHidden/>
    <w:qFormat/>
    <w:uiPriority w:val="0"/>
    <w:pPr>
      <w:ind w:left="100" w:leftChars="2500"/>
    </w:pPr>
  </w:style>
  <w:style w:type="paragraph" w:styleId="20">
    <w:name w:val="Balloon Text"/>
    <w:basedOn w:val="1"/>
    <w:link w:val="66"/>
    <w:qFormat/>
    <w:uiPriority w:val="0"/>
    <w:rPr>
      <w:sz w:val="18"/>
      <w:szCs w:val="18"/>
    </w:rPr>
  </w:style>
  <w:style w:type="paragraph" w:styleId="21">
    <w:name w:val="footer"/>
    <w:basedOn w:val="1"/>
    <w:qFormat/>
    <w:uiPriority w:val="0"/>
    <w:pPr>
      <w:tabs>
        <w:tab w:val="center" w:pos="4153"/>
        <w:tab w:val="right" w:pos="8306"/>
      </w:tabs>
      <w:snapToGrid w:val="0"/>
    </w:pPr>
    <w:rPr>
      <w:sz w:val="18"/>
      <w:szCs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23">
    <w:name w:val="toc 1"/>
    <w:basedOn w:val="1"/>
    <w:next w:val="1"/>
    <w:qFormat/>
    <w:uiPriority w:val="39"/>
    <w:pPr>
      <w:spacing w:before="120" w:after="120"/>
    </w:pPr>
    <w:rPr>
      <w:rFonts w:ascii="Calibri" w:hAnsi="Calibri"/>
      <w:b/>
      <w:bCs/>
      <w:caps/>
      <w:sz w:val="20"/>
      <w:szCs w:val="20"/>
    </w:rPr>
  </w:style>
  <w:style w:type="paragraph" w:styleId="24">
    <w:name w:val="index heading"/>
    <w:basedOn w:val="1"/>
    <w:next w:val="25"/>
    <w:qFormat/>
    <w:uiPriority w:val="0"/>
    <w:pPr>
      <w:widowControl/>
    </w:pPr>
  </w:style>
  <w:style w:type="paragraph" w:styleId="25">
    <w:name w:val="index 1"/>
    <w:basedOn w:val="1"/>
    <w:next w:val="1"/>
    <w:qFormat/>
    <w:uiPriority w:val="0"/>
  </w:style>
  <w:style w:type="paragraph" w:styleId="26">
    <w:name w:val="Body Text Indent 3"/>
    <w:basedOn w:val="1"/>
    <w:qFormat/>
    <w:uiPriority w:val="0"/>
    <w:pPr>
      <w:ind w:left="420" w:leftChars="200"/>
    </w:pPr>
    <w:rPr>
      <w:sz w:val="16"/>
      <w:szCs w:val="16"/>
    </w:rPr>
  </w:style>
  <w:style w:type="paragraph" w:styleId="27">
    <w:name w:val="toc 2"/>
    <w:basedOn w:val="1"/>
    <w:next w:val="1"/>
    <w:qFormat/>
    <w:uiPriority w:val="39"/>
    <w:pPr>
      <w:ind w:left="220"/>
    </w:pPr>
    <w:rPr>
      <w:rFonts w:ascii="Calibri" w:hAnsi="Calibri"/>
      <w:smallCaps/>
      <w:sz w:val="20"/>
      <w:szCs w:val="20"/>
    </w:rPr>
  </w:style>
  <w:style w:type="paragraph" w:styleId="28">
    <w:name w:val="Body Text 2"/>
    <w:basedOn w:val="1"/>
    <w:qFormat/>
    <w:uiPriority w:val="0"/>
    <w:rPr>
      <w:sz w:val="13"/>
      <w:szCs w:val="20"/>
    </w:rPr>
  </w:style>
  <w:style w:type="paragraph" w:styleId="29">
    <w:name w:val="Normal (Web)"/>
    <w:basedOn w:val="1"/>
    <w:qFormat/>
    <w:uiPriority w:val="0"/>
    <w:pPr>
      <w:spacing w:beforeAutospacing="1" w:afterAutospacing="1"/>
    </w:pPr>
    <w:rPr>
      <w:rFonts w:cs="Times New Roman"/>
      <w:sz w:val="24"/>
      <w:lang w:eastAsia="zh-CN"/>
    </w:rPr>
  </w:style>
  <w:style w:type="paragraph" w:styleId="30">
    <w:name w:val="Title"/>
    <w:basedOn w:val="1"/>
    <w:next w:val="1"/>
    <w:qFormat/>
    <w:uiPriority w:val="99"/>
    <w:pPr>
      <w:spacing w:before="240" w:after="60"/>
      <w:jc w:val="center"/>
      <w:outlineLvl w:val="0"/>
    </w:pPr>
    <w:rPr>
      <w:rFonts w:ascii="Cambria" w:hAnsi="Cambria" w:cs="Times New Roman"/>
      <w:b/>
      <w:bCs/>
      <w:sz w:val="32"/>
      <w:szCs w:val="32"/>
    </w:rPr>
  </w:style>
  <w:style w:type="paragraph" w:styleId="31">
    <w:name w:val="Body Text First Indent"/>
    <w:basedOn w:val="12"/>
    <w:next w:val="32"/>
    <w:qFormat/>
    <w:uiPriority w:val="0"/>
    <w:pPr>
      <w:ind w:firstLine="420" w:firstLineChars="100"/>
    </w:pPr>
    <w:rPr>
      <w:rFonts w:ascii="仿宋_GB2312" w:eastAsia="仿宋_GB2312"/>
      <w:kern w:val="2"/>
      <w:sz w:val="28"/>
    </w:rPr>
  </w:style>
  <w:style w:type="paragraph" w:styleId="32">
    <w:name w:val="Body Text First Indent 2"/>
    <w:basedOn w:val="13"/>
    <w:qFormat/>
    <w:uiPriority w:val="0"/>
    <w:pPr>
      <w:ind w:firstLine="420" w:firstLineChars="200"/>
      <w:jc w:val="both"/>
    </w:pPr>
    <w:rPr>
      <w:kern w:val="2"/>
      <w:sz w:val="21"/>
      <w:szCs w:val="24"/>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Char1"/>
    <w:basedOn w:val="1"/>
    <w:link w:val="35"/>
    <w:qFormat/>
    <w:uiPriority w:val="0"/>
    <w:pPr>
      <w:widowControl/>
      <w:spacing w:line="240" w:lineRule="exact"/>
    </w:pPr>
  </w:style>
  <w:style w:type="character" w:styleId="37">
    <w:name w:val="Strong"/>
    <w:basedOn w:val="35"/>
    <w:qFormat/>
    <w:uiPriority w:val="22"/>
    <w:rPr>
      <w:rFonts w:cs="Times New Roman"/>
      <w:b/>
      <w:bCs/>
    </w:rPr>
  </w:style>
  <w:style w:type="character" w:styleId="38">
    <w:name w:val="page number"/>
    <w:basedOn w:val="35"/>
    <w:qFormat/>
    <w:uiPriority w:val="0"/>
  </w:style>
  <w:style w:type="character" w:styleId="39">
    <w:name w:val="FollowedHyperlink"/>
    <w:basedOn w:val="35"/>
    <w:qFormat/>
    <w:uiPriority w:val="0"/>
    <w:rPr>
      <w:rFonts w:hint="eastAsia" w:ascii="微软雅黑" w:hAnsi="微软雅黑" w:eastAsia="微软雅黑" w:cs="微软雅黑"/>
      <w:color w:val="428BCA"/>
      <w:u w:val="none"/>
    </w:rPr>
  </w:style>
  <w:style w:type="character" w:styleId="40">
    <w:name w:val="HTML Definition"/>
    <w:basedOn w:val="35"/>
    <w:qFormat/>
    <w:uiPriority w:val="0"/>
    <w:rPr>
      <w:i/>
    </w:rPr>
  </w:style>
  <w:style w:type="character" w:styleId="41">
    <w:name w:val="Hyperlink"/>
    <w:basedOn w:val="35"/>
    <w:qFormat/>
    <w:uiPriority w:val="99"/>
    <w:rPr>
      <w:rFonts w:cs="Times New Roman"/>
      <w:color w:val="0000FF"/>
      <w:u w:val="single"/>
    </w:rPr>
  </w:style>
  <w:style w:type="character" w:styleId="42">
    <w:name w:val="HTML Code"/>
    <w:basedOn w:val="35"/>
    <w:qFormat/>
    <w:uiPriority w:val="0"/>
    <w:rPr>
      <w:rFonts w:ascii="Consolas" w:hAnsi="Consolas" w:eastAsia="Consolas" w:cs="Consolas"/>
      <w:color w:val="C7254E"/>
      <w:sz w:val="21"/>
      <w:szCs w:val="21"/>
      <w:shd w:val="clear" w:color="auto" w:fill="F9F2F4"/>
    </w:rPr>
  </w:style>
  <w:style w:type="character" w:styleId="43">
    <w:name w:val="HTML Keyboard"/>
    <w:basedOn w:val="35"/>
    <w:qFormat/>
    <w:uiPriority w:val="0"/>
    <w:rPr>
      <w:rFonts w:hint="default" w:ascii="Consolas" w:hAnsi="Consolas" w:eastAsia="Consolas" w:cs="Consolas"/>
      <w:color w:val="FFFFFF"/>
      <w:sz w:val="21"/>
      <w:szCs w:val="21"/>
      <w:shd w:val="clear" w:color="auto" w:fill="333333"/>
    </w:rPr>
  </w:style>
  <w:style w:type="character" w:styleId="44">
    <w:name w:val="HTML Sample"/>
    <w:basedOn w:val="35"/>
    <w:qFormat/>
    <w:uiPriority w:val="0"/>
    <w:rPr>
      <w:rFonts w:hint="default" w:ascii="Consolas" w:hAnsi="Consolas" w:eastAsia="Consolas" w:cs="Consolas"/>
      <w:sz w:val="21"/>
      <w:szCs w:val="21"/>
    </w:rPr>
  </w:style>
  <w:style w:type="paragraph" w:customStyle="1" w:styleId="45">
    <w:name w:val="Char Char Char Char"/>
    <w:basedOn w:val="9"/>
    <w:link w:val="35"/>
    <w:qFormat/>
    <w:uiPriority w:val="0"/>
    <w:pPr>
      <w:adjustRightInd w:val="0"/>
      <w:snapToGrid w:val="0"/>
      <w:spacing w:line="360" w:lineRule="auto"/>
    </w:pPr>
  </w:style>
  <w:style w:type="paragraph" w:customStyle="1" w:styleId="46">
    <w:name w:val="Normal Indent1"/>
    <w:basedOn w:val="1"/>
    <w:qFormat/>
    <w:uiPriority w:val="99"/>
    <w:pPr>
      <w:ind w:firstLine="420" w:firstLineChars="200"/>
    </w:pPr>
    <w:rPr>
      <w:rFonts w:ascii="Calibri" w:hAnsi="Calibri" w:eastAsia="宋体" w:cs="Calibri"/>
      <w:sz w:val="21"/>
      <w:szCs w:val="21"/>
    </w:rPr>
  </w:style>
  <w:style w:type="paragraph" w:customStyle="1" w:styleId="47">
    <w:name w:val="列出段落1"/>
    <w:basedOn w:val="1"/>
    <w:qFormat/>
    <w:uiPriority w:val="0"/>
    <w:pPr>
      <w:ind w:firstLine="420" w:firstLineChars="200"/>
    </w:pPr>
    <w:rPr>
      <w:rFonts w:ascii="Calibri" w:hAnsi="Calibri"/>
    </w:rPr>
  </w:style>
  <w:style w:type="paragraph" w:customStyle="1" w:styleId="4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9">
    <w:name w:val="Heading 11"/>
    <w:basedOn w:val="1"/>
    <w:qFormat/>
    <w:uiPriority w:val="99"/>
    <w:pPr>
      <w:spacing w:line="590" w:lineRule="exact"/>
      <w:ind w:left="3"/>
      <w:outlineLvl w:val="1"/>
    </w:pPr>
    <w:rPr>
      <w:rFonts w:ascii="Microsoft JhengHei" w:hAnsi="Microsoft JhengHei" w:eastAsia="Microsoft JhengHei" w:cs="Microsoft JhengHei"/>
      <w:b/>
      <w:bCs/>
      <w:sz w:val="44"/>
      <w:szCs w:val="44"/>
    </w:rPr>
  </w:style>
  <w:style w:type="paragraph" w:customStyle="1" w:styleId="50">
    <w:name w:val="Heading 31"/>
    <w:basedOn w:val="1"/>
    <w:qFormat/>
    <w:uiPriority w:val="99"/>
    <w:pPr>
      <w:ind w:left="726" w:hanging="489"/>
      <w:outlineLvl w:val="3"/>
    </w:pPr>
    <w:rPr>
      <w:sz w:val="28"/>
      <w:szCs w:val="28"/>
    </w:rPr>
  </w:style>
  <w:style w:type="paragraph" w:customStyle="1" w:styleId="51">
    <w:name w:val="Table Paragraph"/>
    <w:basedOn w:val="1"/>
    <w:qFormat/>
    <w:uiPriority w:val="1"/>
  </w:style>
  <w:style w:type="paragraph" w:customStyle="1" w:styleId="52">
    <w:name w:val="Heading 21"/>
    <w:basedOn w:val="1"/>
    <w:qFormat/>
    <w:uiPriority w:val="99"/>
    <w:pPr>
      <w:ind w:left="501" w:hanging="401"/>
      <w:outlineLvl w:val="2"/>
    </w:pPr>
    <w:rPr>
      <w:rFonts w:ascii="Microsoft JhengHei" w:hAnsi="Microsoft JhengHei" w:eastAsia="Microsoft JhengHei" w:cs="Microsoft JhengHei"/>
      <w:b/>
      <w:bCs/>
      <w:sz w:val="32"/>
      <w:szCs w:val="32"/>
    </w:rPr>
  </w:style>
  <w:style w:type="paragraph" w:customStyle="1" w:styleId="53">
    <w:name w:val="xl28"/>
    <w:basedOn w:val="1"/>
    <w:qFormat/>
    <w:uiPriority w:val="0"/>
    <w:pPr>
      <w:widowControl/>
      <w:pBdr>
        <w:left w:val="single" w:color="auto" w:sz="4" w:space="0"/>
        <w:bottom w:val="single" w:color="auto" w:sz="4" w:space="0"/>
      </w:pBdr>
      <w:spacing w:beforeAutospacing="1" w:afterAutospacing="1"/>
      <w:jc w:val="center"/>
    </w:pPr>
    <w:rPr>
      <w:sz w:val="24"/>
    </w:rPr>
  </w:style>
  <w:style w:type="paragraph" w:customStyle="1" w:styleId="54">
    <w:name w:val="WPSOffice手动目录 1"/>
    <w:qFormat/>
    <w:uiPriority w:val="0"/>
    <w:rPr>
      <w:rFonts w:asciiTheme="minorHAnsi" w:hAnsiTheme="minorHAnsi" w:eastAsiaTheme="minorEastAsia" w:cstheme="minorBidi"/>
      <w:lang w:val="en-US" w:eastAsia="zh-CN" w:bidi="ar-SA"/>
    </w:rPr>
  </w:style>
  <w:style w:type="paragraph" w:customStyle="1" w:styleId="55">
    <w:name w:val="_Style 3"/>
    <w:basedOn w:val="2"/>
    <w:next w:val="1"/>
    <w:qFormat/>
    <w:uiPriority w:val="39"/>
    <w:pPr>
      <w:spacing w:before="480" w:line="276" w:lineRule="auto"/>
      <w:outlineLvl w:val="9"/>
    </w:pPr>
    <w:rPr>
      <w:rFonts w:ascii="仿宋" w:hAnsi="仿宋" w:eastAsia="仿宋"/>
      <w:color w:val="000000"/>
      <w:kern w:val="0"/>
      <w:szCs w:val="32"/>
    </w:rPr>
  </w:style>
  <w:style w:type="paragraph" w:customStyle="1" w:styleId="56">
    <w:name w:val="普通(网站)1"/>
    <w:basedOn w:val="1"/>
    <w:qFormat/>
    <w:uiPriority w:val="0"/>
    <w:pPr>
      <w:spacing w:before="100" w:beforeAutospacing="1" w:after="100" w:afterAutospacing="1"/>
    </w:pPr>
    <w:rPr>
      <w:rFonts w:ascii="Times New Roman" w:hAnsi="Times New Roman"/>
      <w:sz w:val="24"/>
    </w:rPr>
  </w:style>
  <w:style w:type="paragraph" w:customStyle="1" w:styleId="57">
    <w:name w:val="列出段落2"/>
    <w:basedOn w:val="1"/>
    <w:qFormat/>
    <w:uiPriority w:val="0"/>
    <w:pPr>
      <w:ind w:firstLine="420" w:firstLineChars="200"/>
    </w:pPr>
    <w:rPr>
      <w:rFonts w:ascii="Times New Roman" w:hAnsi="Times New Roman"/>
    </w:rPr>
  </w:style>
  <w:style w:type="paragraph" w:customStyle="1" w:styleId="58">
    <w:name w:val="正文 A"/>
    <w:qFormat/>
    <w:uiPriority w:val="99"/>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59">
    <w:name w:val="Heading 1_0"/>
    <w:basedOn w:val="1"/>
    <w:qFormat/>
    <w:uiPriority w:val="1"/>
    <w:pPr>
      <w:spacing w:before="55"/>
      <w:ind w:left="674"/>
      <w:jc w:val="center"/>
      <w:outlineLvl w:val="1"/>
    </w:pPr>
    <w:rPr>
      <w:b/>
      <w:bCs/>
      <w:sz w:val="32"/>
      <w:szCs w:val="32"/>
    </w:rPr>
  </w:style>
  <w:style w:type="character" w:customStyle="1" w:styleId="60">
    <w:name w:val="15"/>
    <w:qFormat/>
    <w:uiPriority w:val="0"/>
    <w:rPr>
      <w:rFonts w:hint="default" w:ascii="Times New Roman" w:hAnsi="Times New Roman" w:cs="Times New Roman"/>
      <w:b/>
      <w:bCs/>
      <w:kern w:val="44"/>
      <w:sz w:val="44"/>
      <w:szCs w:val="44"/>
    </w:rPr>
  </w:style>
  <w:style w:type="character" w:customStyle="1" w:styleId="61">
    <w:name w:val="标题 1 字符"/>
    <w:basedOn w:val="35"/>
    <w:link w:val="2"/>
    <w:qFormat/>
    <w:uiPriority w:val="0"/>
    <w:rPr>
      <w:b/>
      <w:kern w:val="44"/>
      <w:sz w:val="32"/>
    </w:rPr>
  </w:style>
  <w:style w:type="paragraph" w:customStyle="1" w:styleId="62">
    <w:name w:val="WPSOffice手动目录 2"/>
    <w:qFormat/>
    <w:uiPriority w:val="0"/>
    <w:pPr>
      <w:ind w:left="200" w:leftChars="200"/>
    </w:pPr>
    <w:rPr>
      <w:rFonts w:ascii="Calibri" w:hAnsi="Calibri" w:eastAsia="宋体" w:cs="Times New Roman"/>
      <w:lang w:val="en-US" w:eastAsia="zh-CN" w:bidi="ar-SA"/>
    </w:rPr>
  </w:style>
  <w:style w:type="paragraph" w:customStyle="1" w:styleId="63">
    <w:name w:val="正文 New New New New New New New New New New New New New New"/>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64">
    <w:name w:val="Plain Text_0"/>
    <w:basedOn w:val="1"/>
    <w:qFormat/>
    <w:uiPriority w:val="0"/>
    <w:rPr>
      <w:rFonts w:hAnsi="Times New Roman"/>
      <w:sz w:val="20"/>
      <w:szCs w:val="20"/>
      <w:lang w:val="zh-CN"/>
    </w:rPr>
  </w:style>
  <w:style w:type="paragraph" w:styleId="65">
    <w:name w:val="List Paragraph"/>
    <w:basedOn w:val="1"/>
    <w:qFormat/>
    <w:uiPriority w:val="34"/>
    <w:pPr>
      <w:ind w:firstLine="420" w:firstLineChars="200"/>
    </w:pPr>
  </w:style>
  <w:style w:type="character" w:customStyle="1" w:styleId="66">
    <w:name w:val="批注框文本 字符"/>
    <w:basedOn w:val="35"/>
    <w:link w:val="20"/>
    <w:qFormat/>
    <w:uiPriority w:val="0"/>
    <w:rPr>
      <w:rFonts w:ascii="宋体" w:hAnsi="宋体" w:cs="宋体"/>
      <w:sz w:val="18"/>
      <w:szCs w:val="18"/>
      <w:lang w:eastAsia="en-US"/>
    </w:rPr>
  </w:style>
  <w:style w:type="character" w:customStyle="1" w:styleId="67">
    <w:name w:val="Unresolved Mention"/>
    <w:basedOn w:val="35"/>
    <w:semiHidden/>
    <w:unhideWhenUsed/>
    <w:qFormat/>
    <w:uiPriority w:val="99"/>
    <w:rPr>
      <w:color w:val="605E5C"/>
      <w:shd w:val="clear" w:color="auto" w:fill="E1DFDD"/>
    </w:rPr>
  </w:style>
  <w:style w:type="character" w:customStyle="1" w:styleId="68">
    <w:name w:val="标题 2 字符"/>
    <w:link w:val="3"/>
    <w:qFormat/>
    <w:uiPriority w:val="0"/>
    <w:rPr>
      <w:rFonts w:ascii="Cambria" w:hAnsi="Cambria" w:cs="Times New Roman"/>
      <w:b/>
      <w:bCs/>
      <w:sz w:val="32"/>
      <w:szCs w:val="32"/>
    </w:rPr>
  </w:style>
  <w:style w:type="character" w:customStyle="1" w:styleId="69">
    <w:name w:val="font01"/>
    <w:basedOn w:val="35"/>
    <w:qFormat/>
    <w:uiPriority w:val="0"/>
    <w:rPr>
      <w:rFonts w:hint="eastAsia" w:ascii="宋体" w:hAnsi="宋体" w:eastAsia="宋体" w:cs="宋体"/>
      <w:color w:val="000000"/>
      <w:sz w:val="24"/>
      <w:szCs w:val="24"/>
      <w:u w:val="none"/>
    </w:rPr>
  </w:style>
  <w:style w:type="character" w:customStyle="1" w:styleId="70">
    <w:name w:val="font61"/>
    <w:basedOn w:val="35"/>
    <w:qFormat/>
    <w:uiPriority w:val="0"/>
    <w:rPr>
      <w:rFonts w:hint="eastAsia" w:ascii="宋体" w:hAnsi="宋体" w:eastAsia="宋体" w:cs="宋体"/>
      <w:b/>
      <w:bCs/>
      <w:color w:val="000000"/>
      <w:sz w:val="22"/>
      <w:szCs w:val="22"/>
      <w:u w:val="none"/>
    </w:rPr>
  </w:style>
  <w:style w:type="character" w:customStyle="1" w:styleId="71">
    <w:name w:val="font31"/>
    <w:basedOn w:val="35"/>
    <w:qFormat/>
    <w:uiPriority w:val="0"/>
    <w:rPr>
      <w:rFonts w:hint="eastAsia" w:ascii="宋体" w:hAnsi="宋体" w:eastAsia="宋体" w:cs="宋体"/>
      <w:color w:val="000000"/>
      <w:sz w:val="22"/>
      <w:szCs w:val="22"/>
      <w:u w:val="none"/>
    </w:rPr>
  </w:style>
  <w:style w:type="table" w:customStyle="1" w:styleId="72">
    <w:name w:val="Table Normal"/>
    <w:semiHidden/>
    <w:unhideWhenUsed/>
    <w:qFormat/>
    <w:uiPriority w:val="2"/>
    <w:tblPr>
      <w:tblCellMar>
        <w:top w:w="0" w:type="dxa"/>
        <w:left w:w="0" w:type="dxa"/>
        <w:bottom w:w="0" w:type="dxa"/>
        <w:right w:w="0" w:type="dxa"/>
      </w:tblCellMar>
    </w:tblPr>
  </w:style>
  <w:style w:type="paragraph" w:customStyle="1" w:styleId="73">
    <w:name w:val="实施方案正文"/>
    <w:basedOn w:val="1"/>
    <w:qFormat/>
    <w:uiPriority w:val="99"/>
    <w:pPr>
      <w:ind w:firstLine="566" w:firstLineChars="202"/>
    </w:pPr>
    <w:rPr>
      <w:kern w:val="0"/>
      <w:szCs w:val="20"/>
    </w:rPr>
  </w:style>
  <w:style w:type="paragraph" w:styleId="74">
    <w:name w:val="No Spacing"/>
    <w:qFormat/>
    <w:uiPriority w:val="99"/>
    <w:pPr>
      <w:widowControl w:val="0"/>
      <w:jc w:val="both"/>
    </w:pPr>
    <w:rPr>
      <w:rFonts w:hint="eastAsia" w:ascii="Times New Roman" w:hAnsi="Times New Roman" w:eastAsia="宋体" w:cs="Times New Roman"/>
      <w:kern w:val="2"/>
      <w:sz w:val="21"/>
      <w:lang w:val="en-US" w:eastAsia="zh-CN" w:bidi="ar-SA"/>
    </w:rPr>
  </w:style>
  <w:style w:type="paragraph" w:customStyle="1" w:styleId="75">
    <w:name w:val="样式 标题 2 + Times New Roman 四号 非加粗 段前: 5 磅 段后: 0 磅 行距: 固定值 20..."/>
    <w:basedOn w:val="3"/>
    <w:qFormat/>
    <w:uiPriority w:val="0"/>
    <w:pPr>
      <w:spacing w:before="100" w:line="400" w:lineRule="exact"/>
      <w:jc w:val="both"/>
    </w:pPr>
    <w:rPr>
      <w:rFonts w:ascii="Times New Roman" w:hAnsi="Times New Roman" w:eastAsia="黑体" w:cs="宋体"/>
      <w:b w:val="0"/>
      <w:position w:val="-6"/>
      <w:szCs w:val="20"/>
    </w:rPr>
  </w:style>
  <w:style w:type="paragraph" w:customStyle="1" w:styleId="76">
    <w:name w:val="样式 首行缩进:  2 字符"/>
    <w:basedOn w:val="1"/>
    <w:qFormat/>
    <w:uiPriority w:val="0"/>
    <w:pPr>
      <w:ind w:firstLine="56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wmf"/><Relationship Id="rId10" Type="http://schemas.openxmlformats.org/officeDocument/2006/relationships/oleObject" Target="embeddings/oleObject1.bin"/><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2672fd0-6f8a-4554-82f8-02128c92d7ed}"/>
        <w:style w:val=""/>
        <w:category>
          <w:name w:val="常规"/>
          <w:gallery w:val="placeholder"/>
        </w:category>
        <w:types>
          <w:type w:val="bbPlcHdr"/>
        </w:types>
        <w:behaviors>
          <w:behavior w:val="content"/>
        </w:behaviors>
        <w:description w:val=""/>
        <w:guid w:val="{b2672fd0-6f8a-4554-82f8-02128c92d7ed}"/>
      </w:docPartPr>
      <w:docPartBody>
        <w:p w14:paraId="77232B5D">
          <w:r>
            <w:rPr>
              <w:color w:val="808080"/>
            </w:rPr>
            <w:t>单击此处输入文字。</w:t>
          </w:r>
        </w:p>
      </w:docPartBody>
    </w:docPart>
    <w:docPart>
      <w:docPartPr>
        <w:name w:val="{10e0c648-0e15-4048-a74c-c36cadb6e61c}"/>
        <w:style w:val=""/>
        <w:category>
          <w:name w:val="常规"/>
          <w:gallery w:val="placeholder"/>
        </w:category>
        <w:types>
          <w:type w:val="bbPlcHdr"/>
        </w:types>
        <w:behaviors>
          <w:behavior w:val="content"/>
        </w:behaviors>
        <w:description w:val=""/>
        <w:guid w:val="{10e0c648-0e15-4048-a74c-c36cadb6e61c}"/>
      </w:docPartPr>
      <w:docPartBody>
        <w:p w14:paraId="426A8B2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autoRedefine/>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A79E62-ECCA-4A86-BC77-A546FF38A7B6}">
  <ds:schemaRefs/>
</ds:datastoreItem>
</file>

<file path=docProps/app.xml><?xml version="1.0" encoding="utf-8"?>
<Properties xmlns="http://schemas.openxmlformats.org/officeDocument/2006/extended-properties" xmlns:vt="http://schemas.openxmlformats.org/officeDocument/2006/docPropsVTypes">
  <Template>Normal</Template>
  <Pages>112</Pages>
  <Words>20696</Words>
  <Characters>21933</Characters>
  <Lines>219</Lines>
  <Paragraphs>61</Paragraphs>
  <TotalTime>7</TotalTime>
  <ScaleCrop>false</ScaleCrop>
  <LinksUpToDate>false</LinksUpToDate>
  <CharactersWithSpaces>22159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2023-08-29T15:53:00Z</dcterms:created>
  <dc:creator>Administrator</dc:creator>
  <cp:lastModifiedBy>月儿</cp:lastModifiedBy>
  <cp:lastPrinted>2025-08-22T00:14:00Z</cp:lastPrinted>
  <dcterms:modified xsi:type="dcterms:W3CDTF">2025-10-13T08:37:19Z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B04D3536B01C4E50BEC4E495F77EDFA3_13</vt:lpwstr>
  </property>
  <property fmtid="{D5CDD505-2E9C-101B-9397-08002B2CF9AE}" pid="3" name="KSOProductBuildVer">
    <vt:lpwstr>2052-12.1.0.18608</vt:lpwstr>
  </property>
  <property fmtid="{D5CDD505-2E9C-101B-9397-08002B2CF9AE}" pid="4" name="KSOTemplateDocerSaveRecord">
    <vt:lpwstr>eyJoZGlkIjoiMjYyYmFjN2U4MWZhODJmY2QwMjEzNzYyYjFhOWIxMzciLCJ1c2VySWQiOiI3Mjc1NTU1MDYifQ==</vt:lpwstr>
  </property>
</Properties>
</file>