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440105-2024-04488</w:t>
      </w:r>
    </w:p>
    <w:p>
      <w:pPr>
        <w:pStyle w:val="null3"/>
        <w:jc w:val="center"/>
        <w:outlineLvl w:val="3"/>
      </w:pPr>
      <w:r>
        <w:rPr>
          <w:sz w:val="24"/>
          <w:b/>
        </w:rPr>
        <w:t>采购项目编号：</w:t>
      </w:r>
      <w:r>
        <w:rPr>
          <w:sz w:val="24"/>
          <w:b/>
        </w:rPr>
        <w:t>HYGZ24WJ01A0558</w:t>
      </w:r>
    </w:p>
    <w:p>
      <w:pPr>
        <w:pStyle w:val="null3"/>
        <w:jc w:val="center"/>
        <w:outlineLvl w:val="3"/>
      </w:pPr>
      <w:r>
        <w:rPr>
          <w:sz w:val="24"/>
          <w:b/>
        </w:rPr>
        <w:t>项目名称：</w:t>
      </w:r>
      <w:r>
        <w:rPr>
          <w:sz w:val="24"/>
          <w:b/>
        </w:rPr>
        <w:t>广州市海珠区妇幼保健院医疗设备采购项目（四）</w:t>
      </w:r>
    </w:p>
    <w:p>
      <w:pPr>
        <w:pStyle w:val="null3"/>
        <w:jc w:val="center"/>
        <w:outlineLvl w:val="3"/>
      </w:pPr>
      <w:r>
        <w:rPr>
          <w:sz w:val="24"/>
          <w:b/>
        </w:rPr>
        <w:t>采购人：</w:t>
      </w:r>
      <w:r>
        <w:rPr>
          <w:sz w:val="24"/>
          <w:b/>
        </w:rPr>
        <w:t>广州市海珠区妇幼保健院</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广东弘烨项目管理有限公司</w:t>
      </w:r>
      <w:r>
        <w:rPr/>
        <w:t>受</w:t>
      </w:r>
      <w:r>
        <w:rPr/>
        <w:t>广州市海珠区妇幼保健院</w:t>
      </w:r>
      <w:r>
        <w:rPr/>
        <w:t>的委托，采用</w:t>
      </w:r>
      <w:r>
        <w:rPr/>
        <w:t>公开招标</w:t>
      </w:r>
      <w:r>
        <w:rPr/>
        <w:t>方式组织采购</w:t>
      </w:r>
      <w:r>
        <w:rPr/>
        <w:t>广州市海珠区妇幼保健院医疗设备采购项目（四）</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广州市海珠区妇幼保健院医疗设备采购项目（四）</w:t>
      </w:r>
    </w:p>
    <w:p>
      <w:pPr>
        <w:pStyle w:val="null3"/>
        <w:ind w:firstLine="480"/>
      </w:pPr>
      <w:r>
        <w:rPr/>
        <w:t>采购计划编号：</w:t>
      </w:r>
      <w:r>
        <w:rPr/>
        <w:t>440105-2024-04488</w:t>
      </w:r>
    </w:p>
    <w:p>
      <w:pPr>
        <w:pStyle w:val="null3"/>
        <w:ind w:firstLine="480"/>
      </w:pPr>
      <w:r>
        <w:rPr/>
        <w:t>采购项目编号：</w:t>
      </w:r>
      <w:r>
        <w:rPr/>
        <w:t>HYGZ24WJ01A0558</w:t>
      </w:r>
    </w:p>
    <w:p>
      <w:pPr>
        <w:pStyle w:val="null3"/>
        <w:ind w:firstLine="480"/>
      </w:pPr>
      <w:r>
        <w:rPr/>
        <w:t>采购方式：</w:t>
      </w:r>
      <w:r>
        <w:rPr/>
        <w:t>公开招标</w:t>
      </w:r>
    </w:p>
    <w:p>
      <w:pPr>
        <w:pStyle w:val="null3"/>
        <w:ind w:firstLine="480"/>
      </w:pPr>
      <w:r>
        <w:rPr/>
        <w:t>预算金额：</w:t>
      </w:r>
      <w:r>
        <w:rPr/>
        <w:t>750,000.00</w:t>
      </w:r>
      <w:r>
        <w:rPr/>
        <w:t>元</w:t>
      </w:r>
    </w:p>
    <w:p>
      <w:pPr>
        <w:pStyle w:val="null3"/>
        <w:outlineLvl w:val="3"/>
      </w:pPr>
      <w:r>
        <w:rPr>
          <w:sz w:val="24"/>
          <w:b/>
        </w:rPr>
        <w:t>2.项目内容及需求情况（采购项目技术规格、参数及要求）</w:t>
      </w:r>
    </w:p>
    <w:p>
      <w:pPr>
        <w:pStyle w:val="null3"/>
      </w:pPr>
      <w:r>
        <w:rPr/>
        <w:t>采购包1(磁刺激治疗仪):</w:t>
      </w:r>
    </w:p>
    <w:p>
      <w:pPr>
        <w:pStyle w:val="null3"/>
      </w:pPr>
      <w:r>
        <w:rPr/>
        <w:t>采购包预算金额：750,000.00元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物理治疗、康复及体育治疗仪器设备</w:t>
            </w:r>
          </w:p>
        </w:tc>
        <w:tc>
          <w:tcPr>
            <w:tcW w:type="dxa" w:w="2052"/>
          </w:tcPr>
          <w:p>
            <w:pPr>
              <w:pStyle w:val="null3"/>
            </w:pPr>
            <w:r>
              <w:rPr/>
              <w:t>磁刺激治疗仪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合同履行期限：合同签订后15天内完成交货。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采购包1（磁刺激治疗仪）：</w:t>
      </w:r>
      <w:r>
        <w:rPr/>
        <w:t>本采购包不属于专门面向中小企业采购的项目。</w:t>
      </w:r>
    </w:p>
    <w:p>
      <w:pPr>
        <w:pStyle w:val="null3"/>
        <w:outlineLvl w:val="3"/>
      </w:pPr>
      <w:r>
        <w:rPr>
          <w:sz w:val="24"/>
          <w:b/>
        </w:rPr>
        <w:t>3.本项目特定的资格要求：</w:t>
      </w:r>
    </w:p>
    <w:p>
      <w:pPr>
        <w:pStyle w:val="null3"/>
      </w:pPr>
      <w:r>
        <w:rPr/>
        <w:t>采购包1（磁刺激治疗仪）：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p>
      <w:pPr>
        <w:pStyle w:val="null3"/>
      </w:pPr>
      <w:r>
        <w:rPr/>
        <w:t>4)所投产品属于第二类、第三类医疗器械，则必须提供监督管理部门签发的有效的《医疗器械注册证》复印件（如国家另有规定，则适用其规定）。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广州市海珠区妇幼保健院</w:t>
      </w:r>
    </w:p>
    <w:p>
      <w:pPr>
        <w:pStyle w:val="null3"/>
        <w:ind w:firstLine="480"/>
      </w:pPr>
      <w:r>
        <w:rPr/>
        <w:t xml:space="preserve"> 地址：</w:t>
      </w:r>
      <w:r>
        <w:rPr/>
        <w:t>广州市海珠区江南西路杏园大街15号</w:t>
      </w:r>
    </w:p>
    <w:p>
      <w:pPr>
        <w:pStyle w:val="null3"/>
        <w:ind w:firstLine="480"/>
      </w:pPr>
      <w:r>
        <w:rPr/>
        <w:t xml:space="preserve"> 联系方式：</w:t>
      </w:r>
      <w:r>
        <w:rPr/>
        <w:t>020-84412074</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详见</w:t>
      </w:r>
      <w:r>
        <w:rPr>
          <w:sz w:val="24"/>
        </w:rPr>
        <w:t>“采购需求”</w:t>
      </w:r>
    </w:p>
    <w:p>
      <w:pPr>
        <w:pStyle w:val="null3"/>
      </w:pPr>
      <w:r>
        <w:rPr/>
        <w:t>采购包1（磁刺激治疗仪）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合同签订后15天内完成交货。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1期：支付比例80%,1.合同签订后，采购人在5个工作日内向中标供应商支付合同总额的80%预付款；</w:t>
            </w:r>
          </w:p>
          <w:p>
            <w:pPr>
              <w:pStyle w:val="null3"/>
            </w:pPr>
            <w:r>
              <w:rPr/>
              <w:t>2期：支付比例20%,所有设备安装调试、验收合格后，采购人于收到全额发票之日起5个工作日内支付合同总额20%的设备款给中标供应商。 2.具体付款要求如下：合同设备到达采购人指定地点交付并完成安装验收后，凭以下材料结算：（1）合同； （2）中标供应商开具的全额正式发票原件； （3）验收调试报告； （4）提供有效期内的由计量部门出具的检定（校准）报告（计量设备要求提供）。 3.付款时间：执行国库集中支付的，采购人仅负责在上述约定时间内完成申报手续，采购人完成申报手续即视为采购人完成合同约定的支付义务。由于此次使用经费是财政下达的专项债经费，根据专项债经费下达的时间进行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为原制造商制造的全新产品，整机无污染，无侵权行为、表面无划损、无任何设计、安全使用的缺陷隐患，可在中国境内依常规安全合法使用，采购人因使用中标供应商提供的设备构成侵权的，由中标供应商承担全部法律责任。 2.交付验收标准依次序对照适用标准为：①符合中华人民共和国国家安全质量标准、环保标准或行业标准；②符合招标文件和响应承诺中采购人认可的合理最佳配置、参数及各项要求；③货物来源国官方标准。 3.货物为原厂商未启封全新包装，具出厂合格证，序列号、包装箱号与出厂批号一致，并可追索查阅。 4.中标供应商应将关键主机设备的用户手册、保修手册、有关单证资料及配备件、随机工具等交付给采购人，使用操作及安全须知等重要资料应附有中文说明。 5.质量验收不限于以上标准，其中未包括的内容，执行现行的适用于该货物的国家和行业最高标准。 6.合同设备安装调试及培训完成，确保正常使用后进行验收，验收应在双方共同参加下进行。验收按国家有关的规定、规范进行。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供应商承担。 7.设备安装验收合格后,中标供应商必须将设备的整套技术资料（中英文）包括用户手册、操作手册（使用说明）、维修保养手册，基本原理图或有关电路图、安装手册/产品合格证及配备件、随机工具等交给采购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货物运至采购人指定的地点。投标报价包括货物的搬运费、运输费、卸装费、保险费、验收、货物设计、制造、包装、培训、强检设备的首次检测费用、检验费用、质保期服务、技术服务（包括技术资料、图纸的提供）、信息系统接入、质保期保障、产品成本、利润、各种税金、电源点至设备管线连接及合同实施过程中不可预见费用等一切费用。</w:t>
            </w:r>
          </w:p>
          <w:p>
            <w:pPr>
              <w:pStyle w:val="null3"/>
            </w:pPr>
            <w:r>
              <w:rPr/>
              <w:t>（二）交货要求，1.中标供应商应提供原装、全新的、符合质量标准的货物，不得以旧货翻新充数，并按有关要求进行包装及装运； 2.中国境内制造的产品必须提供原出厂合格证等证明文件。 3.中标供应商应将所提供货物的装箱清单、用户手册、原厂保修卡、随机资料及配件、随机工具等交付给采购人。</w:t>
            </w:r>
          </w:p>
          <w:p>
            <w:pPr>
              <w:pStyle w:val="null3"/>
            </w:pPr>
            <w:r>
              <w:rPr/>
              <w:t>（三）包装、保险及发运、保管要求（技术参数有要求的以技术参数为准），1.设备材料的包装必须是制造商原厂包装，其包装均应有良好的防湿、防锈、防潮、防雨、防腐及防碰撞的措施。凡由于包装不良造成的损失和由此产生的费用均由中标供应商承担； 2.所有新购设备需要的备品备件、专用工具、设备运输、卸货、搬运、安装、调试、检验、培训、技术服务等已包含在合同总价中； 3.各种设备，必须提供装箱清单，按装箱清单验收货物； 4.货物在现场的保管由中标供应商负责，直至项目安装、验收完毕； 5.货物在系统安装调试验收合格前的保险由中标供应商负责，中标供应商负责其派出的现场服务人员人身意外保险； 6.设备至采购人指定的使用现场的包装、保险及发运等环节和费用均由中标供应商负责。</w:t>
            </w:r>
          </w:p>
          <w:p>
            <w:pPr>
              <w:pStyle w:val="null3"/>
            </w:pPr>
            <w:r>
              <w:rPr/>
              <w:t>（四）售后服务（技术参数有要求的以技术参数为准），1.所有设备提供至少2年或以上的上门保修服务，负责保修期内所有零配件更换，相关费用包含在投标报价中； 2.当设备出现故障，中标供应商须在接到采购人通知后2小时内响应，24小时内有工作人员上门检测、维修，48小时内仍未能有效解决，提供详细解决方案。若72小时故障仍未修复，免费提供同质量的设备给采购人临时使用； 3.保修期过后，承诺提供终身上门服务和软件升级，如零配件需要更换的，征得采购人同意后可对要更换的零配件收取材料费，免人工费和交通费。所有配件均为当前市场最低价，过质保期后生产厂家保证设备10年以上的零配件供应服务； 4.中标供应商提供技术培训，保证使用人员能够正确操作设备的各项功能； 5.保修期内每季度安排人员上门对机器进行维护保养检查和设备校准，并做好维修保养和校准记录，把维护保养信息反馈给用户，以确保设备精确正常运行。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磁刺激治疗仪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750,000.00</w:t>
            </w:r>
          </w:p>
        </w:tc>
        <w:tc>
          <w:tcPr>
            <w:tcW w:type="dxa" w:w="831"/>
          </w:tcPr>
          <w:p>
            <w:pPr>
              <w:pStyle w:val="null3"/>
              <w:jc w:val="right"/>
            </w:pPr>
            <w:r>
              <w:rPr/>
              <w:t>750,000.00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磁刺激治疗仪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1.整机通过YY/T 0994-2015 磁刺激设备行业标准，通过EMC电磁兼容测试。</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2.适用范围：用于神经功能评定和治疗，腰骶神经功能障碍的辅助治疗。（提供注册证证明）</w:t>
            </w:r>
          </w:p>
        </w:tc>
      </w:tr>
      <w:tr>
        <w:tc>
          <w:tcPr>
            <w:tcW w:type="dxa" w:w="2076"/>
          </w:tcPr>
          <w:p/>
        </w:tc>
        <w:tc>
          <w:tcPr>
            <w:tcW w:type="dxa" w:w="415"/>
          </w:tcPr>
          <w:p>
            <w:pPr>
              <w:pStyle w:val="null3"/>
            </w:pPr>
            <w:r>
              <w:rPr/>
              <w:t>3</w:t>
            </w:r>
          </w:p>
        </w:tc>
        <w:tc>
          <w:tcPr>
            <w:tcW w:type="dxa" w:w="5814"/>
          </w:tcPr>
          <w:p>
            <w:pPr>
              <w:pStyle w:val="null3"/>
            </w:pPr>
            <w:r>
              <w:rPr/>
              <w:t>3.注册证中显示产品结构及组成包含座椅或治疗椅。（提供注册证证明）</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4.配置盆底磁刺激专用座椅，座椅靠背角度可调，可放平至180度。（提供产品彩页或用户手册或产品图片证明）</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5.具有坐位、仰卧位和俯卧位3种不同治疗体位，可适应不同治疗场景下的患者治疗需求。</w:t>
            </w:r>
          </w:p>
        </w:tc>
      </w:tr>
      <w:tr>
        <w:tc>
          <w:tcPr>
            <w:tcW w:type="dxa" w:w="2076"/>
          </w:tcPr>
          <w:p/>
        </w:tc>
        <w:tc>
          <w:tcPr>
            <w:tcW w:type="dxa" w:w="415"/>
          </w:tcPr>
          <w:p>
            <w:pPr>
              <w:pStyle w:val="null3"/>
            </w:pPr>
            <w:r>
              <w:rPr/>
              <w:t>6</w:t>
            </w:r>
          </w:p>
        </w:tc>
        <w:tc>
          <w:tcPr>
            <w:tcW w:type="dxa" w:w="5814"/>
          </w:tcPr>
          <w:p>
            <w:pPr>
              <w:pStyle w:val="null3"/>
            </w:pPr>
            <w:r>
              <w:rPr/>
              <w:t>6.标配至少2个刺激线圈，包括盆底刺激线圈和外周刺激线圈，可满足临床对不同部位的治疗需求。</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7.外观结构：一体式主机，脉冲源、冷却系统集成；非堆叠结构，无倾覆、坠落风险。（提供产品彩页或用户手册或产品图片证明）</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8.脉冲磁场最大磁感应强度≥7Tesla。（提供产品彩页或用户手册证明）</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9.脉冲磁场刺激频率：≥0-130Hz连续可调。</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10.当脉冲频率≤1Hz时，频率调节步长为0.01Hz。（提供用户手册或技术参数白皮书证明）</w:t>
            </w:r>
          </w:p>
        </w:tc>
      </w:tr>
      <w:tr>
        <w:tc>
          <w:tcPr>
            <w:tcW w:type="dxa" w:w="2076"/>
          </w:tcPr>
          <w:p/>
        </w:tc>
        <w:tc>
          <w:tcPr>
            <w:tcW w:type="dxa" w:w="415"/>
          </w:tcPr>
          <w:p>
            <w:pPr>
              <w:pStyle w:val="null3"/>
            </w:pPr>
            <w:r>
              <w:rPr/>
              <w:t>11</w:t>
            </w:r>
          </w:p>
        </w:tc>
        <w:tc>
          <w:tcPr>
            <w:tcW w:type="dxa" w:w="5814"/>
          </w:tcPr>
          <w:p>
            <w:pPr>
              <w:pStyle w:val="null3"/>
            </w:pPr>
            <w:r>
              <w:rPr/>
              <w:t>11.磁感应强度最大变化率：≥10kT/s～70kT/s。</w:t>
            </w:r>
          </w:p>
        </w:tc>
      </w:tr>
      <w:tr>
        <w:tc>
          <w:tcPr>
            <w:tcW w:type="dxa" w:w="2076"/>
          </w:tcPr>
          <w:p/>
        </w:tc>
        <w:tc>
          <w:tcPr>
            <w:tcW w:type="dxa" w:w="415"/>
          </w:tcPr>
          <w:p>
            <w:pPr>
              <w:pStyle w:val="null3"/>
            </w:pPr>
            <w:r>
              <w:rPr/>
              <w:t>12</w:t>
            </w:r>
          </w:p>
        </w:tc>
        <w:tc>
          <w:tcPr>
            <w:tcW w:type="dxa" w:w="5814"/>
          </w:tcPr>
          <w:p>
            <w:pPr>
              <w:pStyle w:val="null3"/>
            </w:pPr>
            <w:r>
              <w:rPr/>
              <w:t>12.单脉冲上升时间：50μs±15μs。</w:t>
            </w:r>
          </w:p>
        </w:tc>
      </w:tr>
      <w:tr>
        <w:tc>
          <w:tcPr>
            <w:tcW w:type="dxa" w:w="2076"/>
          </w:tcPr>
          <w:p/>
        </w:tc>
        <w:tc>
          <w:tcPr>
            <w:tcW w:type="dxa" w:w="415"/>
          </w:tcPr>
          <w:p>
            <w:pPr>
              <w:pStyle w:val="null3"/>
            </w:pPr>
            <w:r>
              <w:rPr/>
              <w:t>13</w:t>
            </w:r>
          </w:p>
        </w:tc>
        <w:tc>
          <w:tcPr>
            <w:tcW w:type="dxa" w:w="5814"/>
          </w:tcPr>
          <w:p>
            <w:pPr>
              <w:pStyle w:val="null3"/>
            </w:pPr>
            <w:r>
              <w:rPr/>
              <w:t>13.单个脉冲持续时间：340μs±20μs。</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14.配置原厂双通道运动诱发电位检测模块，集成于主机内部，检测模块与主机之间无需有线或无线通讯，数据传输稳定性强。</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15.运动诱发电位检测采样率：≥4000Hz。（提供检测报告或用户手册或技术参数白皮书证明）</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16.运动诱发电位测量灵敏度范围：2～2500μV，最小分辨率≤0.2μV，检查频率范围：不窄于20Hz～500Hz。</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17.采用液态内循环冷却系统，散热效率高，保证设备长时间运行，可实现系统温度≤40℃。防护系统实时监测线圈温度，安全预警暂停工作，保证安全使用。</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18.Windows软件操作平台，大容量硬盘存储患者基本信息及治疗记录，图像显示设备≥14英寸。采用实体按键进行选择、键入等动作，非触摸屏操作，防止由误触导致刺激参数突然变化，避免引起患者治疗风险。</w:t>
            </w:r>
          </w:p>
        </w:tc>
      </w:tr>
      <w:tr>
        <w:tc>
          <w:tcPr>
            <w:tcW w:type="dxa" w:w="2076"/>
          </w:tcPr>
          <w:p/>
        </w:tc>
        <w:tc>
          <w:tcPr>
            <w:tcW w:type="dxa" w:w="415"/>
          </w:tcPr>
          <w:p>
            <w:pPr>
              <w:pStyle w:val="null3"/>
            </w:pPr>
            <w:r>
              <w:rPr/>
              <w:t>19</w:t>
            </w:r>
          </w:p>
        </w:tc>
        <w:tc>
          <w:tcPr>
            <w:tcW w:type="dxa" w:w="5814"/>
          </w:tcPr>
          <w:p>
            <w:pPr>
              <w:pStyle w:val="null3"/>
            </w:pPr>
            <w:r>
              <w:rPr/>
              <w:t>19.开放式设计平台，具备触发输入输出通用接口，可兼容肌电图等设备。</w:t>
            </w:r>
          </w:p>
        </w:tc>
      </w:tr>
      <w:tr>
        <w:tc>
          <w:tcPr>
            <w:tcW w:type="dxa" w:w="2076"/>
          </w:tcPr>
          <w:p/>
        </w:tc>
        <w:tc>
          <w:tcPr>
            <w:tcW w:type="dxa" w:w="415"/>
          </w:tcPr>
          <w:p>
            <w:pPr>
              <w:pStyle w:val="null3"/>
            </w:pPr>
            <w:r>
              <w:rPr/>
              <w:t>20</w:t>
            </w:r>
          </w:p>
        </w:tc>
        <w:tc>
          <w:tcPr>
            <w:tcW w:type="dxa" w:w="5814"/>
          </w:tcPr>
          <w:p>
            <w:pPr>
              <w:pStyle w:val="null3"/>
            </w:pPr>
            <w:r>
              <w:rPr/>
              <w:t>20.内置≥5种磁刺激模式：MEP模式、标准模式、TBS模式、复合模式、方案治疗模式，可实现单脉冲刺激、重复脉冲刺激、TBS爆发序列刺激、重复变频刺激、重复变幅刺激，满足临床多种应用场景需求。</w:t>
            </w:r>
          </w:p>
        </w:tc>
      </w:tr>
      <w:tr>
        <w:tc>
          <w:tcPr>
            <w:tcW w:type="dxa" w:w="2076"/>
          </w:tcPr>
          <w:p/>
        </w:tc>
        <w:tc>
          <w:tcPr>
            <w:tcW w:type="dxa" w:w="415"/>
          </w:tcPr>
          <w:p>
            <w:pPr>
              <w:pStyle w:val="null3"/>
            </w:pPr>
            <w:r>
              <w:rPr/>
              <w:t>21</w:t>
            </w:r>
          </w:p>
        </w:tc>
        <w:tc>
          <w:tcPr>
            <w:tcW w:type="dxa" w:w="5814"/>
          </w:tcPr>
          <w:p>
            <w:pPr>
              <w:pStyle w:val="null3"/>
            </w:pPr>
            <w:r>
              <w:rPr/>
              <w:t>21.内置多种临床治疗方案供医生选择，包含压力性尿失禁、急迫性尿失禁、尿潴留、盆腔脏器脱垂、便秘、大便失禁、慢性前列腺炎、慢性盆腔疼痛等。且所有内置方案参数可查看，也可以导入导出。</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22.系统支持与生物刺激反馈类设备之间数据共享，可自动接收生物刺激反馈类设备生成的磁电疗程化治疗方案及患者基本信息、治疗记录等数据，实现患者治疗数据的自动实时同步。</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23.疗程化方案治疗，可自动按照当前治疗次数调用对应的治疗方案进行治疗，也可手动调整方案。</w:t>
            </w:r>
          </w:p>
        </w:tc>
      </w:tr>
      <w:tr>
        <w:tc>
          <w:tcPr>
            <w:tcW w:type="dxa" w:w="2076"/>
          </w:tcPr>
          <w:p/>
        </w:tc>
        <w:tc>
          <w:tcPr>
            <w:tcW w:type="dxa" w:w="415"/>
          </w:tcPr>
          <w:p>
            <w:pPr>
              <w:pStyle w:val="null3"/>
            </w:pPr>
            <w:r>
              <w:rPr/>
              <w:t>24</w:t>
            </w:r>
          </w:p>
        </w:tc>
        <w:tc>
          <w:tcPr>
            <w:tcW w:type="dxa" w:w="5814"/>
          </w:tcPr>
          <w:p>
            <w:pPr>
              <w:pStyle w:val="null3"/>
            </w:pPr>
            <w:r>
              <w:rPr/>
              <w:t>24.具有方案自定义功能，可用于疗程方案设置和独立方案设置。</w:t>
            </w:r>
          </w:p>
        </w:tc>
      </w:tr>
      <w:tr>
        <w:tc>
          <w:tcPr>
            <w:tcW w:type="dxa" w:w="2076"/>
          </w:tcPr>
          <w:p/>
        </w:tc>
        <w:tc>
          <w:tcPr>
            <w:tcW w:type="dxa" w:w="415"/>
          </w:tcPr>
          <w:p>
            <w:pPr>
              <w:pStyle w:val="null3"/>
            </w:pPr>
            <w:r>
              <w:rPr/>
              <w:t>25</w:t>
            </w:r>
          </w:p>
        </w:tc>
        <w:tc>
          <w:tcPr>
            <w:tcW w:type="dxa" w:w="5814"/>
          </w:tcPr>
          <w:p>
            <w:pPr>
              <w:pStyle w:val="null3"/>
            </w:pPr>
            <w:r>
              <w:rPr/>
              <w:t>25.磁刺激治疗方案参数可自定义设置，包括刺激部位、刺激频率、刺激时间、间歇时间、休息时间、重复次数等。单次治疗方案至少可设置10种不同频率循环刺激，实现重复变频刺激。</w:t>
            </w:r>
          </w:p>
        </w:tc>
      </w:tr>
      <w:tr>
        <w:tc>
          <w:tcPr>
            <w:tcW w:type="dxa" w:w="2076"/>
          </w:tcPr>
          <w:p/>
        </w:tc>
        <w:tc>
          <w:tcPr>
            <w:tcW w:type="dxa" w:w="415"/>
          </w:tcPr>
          <w:p>
            <w:pPr>
              <w:pStyle w:val="null3"/>
            </w:pPr>
            <w:r>
              <w:rPr/>
              <w:t>26</w:t>
            </w:r>
          </w:p>
        </w:tc>
        <w:tc>
          <w:tcPr>
            <w:tcW w:type="dxa" w:w="5814"/>
          </w:tcPr>
          <w:p>
            <w:pPr>
              <w:pStyle w:val="null3"/>
            </w:pPr>
            <w:r>
              <w:rPr/>
              <w:t>26.刺激方案具有患者体位示意图，提示患者磁刺激刺激部位或摆放姿势体位。</w:t>
            </w:r>
          </w:p>
        </w:tc>
      </w:tr>
      <w:tr>
        <w:tc>
          <w:tcPr>
            <w:tcW w:type="dxa" w:w="2076"/>
          </w:tcPr>
          <w:p/>
        </w:tc>
        <w:tc>
          <w:tcPr>
            <w:tcW w:type="dxa" w:w="415"/>
          </w:tcPr>
          <w:p>
            <w:pPr>
              <w:pStyle w:val="null3"/>
            </w:pPr>
            <w:r>
              <w:rPr/>
              <w:t>27</w:t>
            </w:r>
          </w:p>
        </w:tc>
        <w:tc>
          <w:tcPr>
            <w:tcW w:type="dxa" w:w="5814"/>
          </w:tcPr>
          <w:p>
            <w:pPr>
              <w:pStyle w:val="null3"/>
            </w:pPr>
            <w:r>
              <w:rPr/>
              <w:t>27.具有数据管理功能，可以对工作量等治疗数据进行统计分析，还可以回顾数据结果、波形。可实现病历管理或病历导出。</w:t>
            </w:r>
          </w:p>
        </w:tc>
      </w:tr>
      <w:tr>
        <w:tc>
          <w:tcPr>
            <w:tcW w:type="dxa" w:w="2076"/>
          </w:tcPr>
          <w:p/>
        </w:tc>
        <w:tc>
          <w:tcPr>
            <w:tcW w:type="dxa" w:w="415"/>
          </w:tcPr>
          <w:p>
            <w:pPr>
              <w:pStyle w:val="null3"/>
            </w:pPr>
            <w:r>
              <w:rPr/>
              <w:t>28</w:t>
            </w:r>
          </w:p>
        </w:tc>
        <w:tc>
          <w:tcPr>
            <w:tcW w:type="dxa" w:w="5814"/>
          </w:tcPr>
          <w:p>
            <w:pPr>
              <w:pStyle w:val="null3"/>
            </w:pPr>
            <w:r>
              <w:rPr/>
              <w:t>28.可生成运动诱发电位检测报告，及报告打印输出。</w:t>
            </w:r>
          </w:p>
        </w:tc>
      </w:tr>
      <w:tr>
        <w:tc>
          <w:tcPr>
            <w:tcW w:type="dxa" w:w="2076"/>
          </w:tcPr>
          <w:p/>
        </w:tc>
        <w:tc>
          <w:tcPr>
            <w:tcW w:type="dxa" w:w="415"/>
          </w:tcPr>
          <w:p>
            <w:pPr>
              <w:pStyle w:val="null3"/>
            </w:pPr>
            <w:r>
              <w:rPr/>
              <w:t>29</w:t>
            </w:r>
          </w:p>
        </w:tc>
        <w:tc>
          <w:tcPr>
            <w:tcW w:type="dxa" w:w="5814"/>
          </w:tcPr>
          <w:p>
            <w:pPr>
              <w:pStyle w:val="null3"/>
            </w:pPr>
            <w:r>
              <w:rPr/>
              <w:t>29.配置清单</w:t>
            </w:r>
          </w:p>
          <w:tbl>
            <w:tblPr>
              <w:tblInd w:type="dxa" w:w="105"/>
              <w:tblBorders>
                <w:top w:val="none" w:color="000000" w:sz="4"/>
                <w:left w:val="none" w:color="000000" w:sz="4"/>
                <w:bottom w:val="none" w:color="000000" w:sz="4"/>
                <w:right w:val="none" w:color="000000" w:sz="4"/>
                <w:insideH w:val="none"/>
                <w:insideV w:val="none"/>
              </w:tblBorders>
            </w:tblPr>
            <w:tblGrid>
              <w:gridCol w:w="1399"/>
              <w:gridCol w:w="1399"/>
              <w:gridCol w:w="1399"/>
              <w:gridCol w:w="1399"/>
            </w:tblGrid>
            <w:tr>
              <w:tc>
                <w:tcPr>
                  <w:tcW w:type="dxa" w:w="1399"/>
                </w:tcPr>
                <w:p>
                  <w:pPr>
                    <w:pStyle w:val="null3"/>
                    <w:jc w:val="center"/>
                  </w:pPr>
                  <w:r>
                    <w:rPr/>
                    <w:t>序号</w:t>
                  </w:r>
                </w:p>
              </w:tc>
              <w:tc>
                <w:tcPr>
                  <w:tcW w:type="dxa" w:w="1399"/>
                </w:tcPr>
                <w:p>
                  <w:pPr>
                    <w:pStyle w:val="null3"/>
                    <w:jc w:val="center"/>
                  </w:pPr>
                  <w:r>
                    <w:rPr/>
                    <w:t>配置</w:t>
                  </w:r>
                </w:p>
              </w:tc>
              <w:tc>
                <w:tcPr>
                  <w:tcW w:type="dxa" w:w="1399"/>
                </w:tcPr>
                <w:p>
                  <w:pPr>
                    <w:pStyle w:val="null3"/>
                    <w:jc w:val="center"/>
                  </w:pPr>
                  <w:r>
                    <w:rPr/>
                    <w:t>单位</w:t>
                  </w:r>
                </w:p>
              </w:tc>
              <w:tc>
                <w:tcPr>
                  <w:tcW w:type="dxa" w:w="1399"/>
                </w:tcPr>
                <w:p>
                  <w:pPr>
                    <w:pStyle w:val="null3"/>
                    <w:jc w:val="center"/>
                  </w:pPr>
                  <w:r>
                    <w:rPr/>
                    <w:t>数量</w:t>
                  </w:r>
                </w:p>
              </w:tc>
            </w:tr>
            <w:tr>
              <w:tc>
                <w:tcPr>
                  <w:tcW w:type="dxa" w:w="1399"/>
                </w:tcPr>
                <w:p>
                  <w:pPr>
                    <w:pStyle w:val="null3"/>
                    <w:jc w:val="center"/>
                  </w:pPr>
                  <w:r>
                    <w:rPr/>
                    <w:t>1</w:t>
                  </w:r>
                </w:p>
              </w:tc>
              <w:tc>
                <w:tcPr>
                  <w:tcW w:type="dxa" w:w="1399"/>
                </w:tcPr>
                <w:p>
                  <w:pPr>
                    <w:pStyle w:val="null3"/>
                    <w:jc w:val="center"/>
                  </w:pPr>
                  <w:r>
                    <w:rPr/>
                    <w:t>磁场脉冲源系统</w:t>
                  </w:r>
                </w:p>
              </w:tc>
              <w:tc>
                <w:tcPr>
                  <w:tcW w:type="dxa" w:w="1399"/>
                </w:tcPr>
                <w:p>
                  <w:pPr>
                    <w:pStyle w:val="null3"/>
                    <w:jc w:val="center"/>
                  </w:pPr>
                  <w:r>
                    <w:rPr/>
                    <w:t>套</w:t>
                  </w:r>
                </w:p>
              </w:tc>
              <w:tc>
                <w:tcPr>
                  <w:tcW w:type="dxa" w:w="1399"/>
                </w:tcPr>
                <w:p>
                  <w:pPr>
                    <w:pStyle w:val="null3"/>
                    <w:jc w:val="center"/>
                  </w:pPr>
                  <w:r>
                    <w:rPr/>
                    <w:t>1</w:t>
                  </w:r>
                </w:p>
              </w:tc>
            </w:tr>
            <w:tr>
              <w:tc>
                <w:tcPr>
                  <w:tcW w:type="dxa" w:w="1399"/>
                </w:tcPr>
                <w:p>
                  <w:pPr>
                    <w:pStyle w:val="null3"/>
                    <w:jc w:val="center"/>
                  </w:pPr>
                  <w:r>
                    <w:rPr/>
                    <w:t>2</w:t>
                  </w:r>
                </w:p>
              </w:tc>
              <w:tc>
                <w:tcPr>
                  <w:tcW w:type="dxa" w:w="1399"/>
                </w:tcPr>
                <w:p>
                  <w:pPr>
                    <w:pStyle w:val="null3"/>
                    <w:jc w:val="center"/>
                  </w:pPr>
                  <w:r>
                    <w:rPr/>
                    <w:t>液态内循环冷却系统</w:t>
                  </w:r>
                </w:p>
              </w:tc>
              <w:tc>
                <w:tcPr>
                  <w:tcW w:type="dxa" w:w="1399"/>
                </w:tcPr>
                <w:p>
                  <w:pPr>
                    <w:pStyle w:val="null3"/>
                    <w:jc w:val="center"/>
                  </w:pPr>
                  <w:r>
                    <w:rPr/>
                    <w:t>套</w:t>
                  </w:r>
                </w:p>
              </w:tc>
              <w:tc>
                <w:tcPr>
                  <w:tcW w:type="dxa" w:w="1399"/>
                </w:tcPr>
                <w:p>
                  <w:pPr>
                    <w:pStyle w:val="null3"/>
                    <w:jc w:val="center"/>
                  </w:pPr>
                  <w:r>
                    <w:rPr/>
                    <w:t>1</w:t>
                  </w:r>
                </w:p>
              </w:tc>
            </w:tr>
            <w:tr>
              <w:tc>
                <w:tcPr>
                  <w:tcW w:type="dxa" w:w="1399"/>
                </w:tcPr>
                <w:p>
                  <w:pPr>
                    <w:pStyle w:val="null3"/>
                    <w:jc w:val="center"/>
                  </w:pPr>
                  <w:r>
                    <w:rPr/>
                    <w:t>3</w:t>
                  </w:r>
                </w:p>
              </w:tc>
              <w:tc>
                <w:tcPr>
                  <w:tcW w:type="dxa" w:w="1399"/>
                </w:tcPr>
                <w:p>
                  <w:pPr>
                    <w:pStyle w:val="null3"/>
                    <w:jc w:val="center"/>
                  </w:pPr>
                  <w:r>
                    <w:rPr/>
                    <w:t>双通道MEP模块</w:t>
                  </w:r>
                </w:p>
              </w:tc>
              <w:tc>
                <w:tcPr>
                  <w:tcW w:type="dxa" w:w="1399"/>
                </w:tcPr>
                <w:p>
                  <w:pPr>
                    <w:pStyle w:val="null3"/>
                    <w:jc w:val="center"/>
                  </w:pPr>
                  <w:r>
                    <w:rPr/>
                    <w:t>套</w:t>
                  </w:r>
                </w:p>
              </w:tc>
              <w:tc>
                <w:tcPr>
                  <w:tcW w:type="dxa" w:w="1399"/>
                </w:tcPr>
                <w:p>
                  <w:pPr>
                    <w:pStyle w:val="null3"/>
                    <w:jc w:val="center"/>
                  </w:pPr>
                  <w:r>
                    <w:rPr/>
                    <w:t>1</w:t>
                  </w:r>
                </w:p>
              </w:tc>
            </w:tr>
            <w:tr>
              <w:tc>
                <w:tcPr>
                  <w:tcW w:type="dxa" w:w="1399"/>
                </w:tcPr>
                <w:p>
                  <w:pPr>
                    <w:pStyle w:val="null3"/>
                    <w:jc w:val="center"/>
                  </w:pPr>
                  <w:r>
                    <w:rPr/>
                    <w:t>4</w:t>
                  </w:r>
                </w:p>
              </w:tc>
              <w:tc>
                <w:tcPr>
                  <w:tcW w:type="dxa" w:w="1399"/>
                </w:tcPr>
                <w:p>
                  <w:pPr>
                    <w:pStyle w:val="null3"/>
                    <w:jc w:val="center"/>
                  </w:pPr>
                  <w:r>
                    <w:rPr/>
                    <w:t>磁刺激软件</w:t>
                  </w:r>
                </w:p>
              </w:tc>
              <w:tc>
                <w:tcPr>
                  <w:tcW w:type="dxa" w:w="1399"/>
                </w:tcPr>
                <w:p>
                  <w:pPr>
                    <w:pStyle w:val="null3"/>
                    <w:jc w:val="center"/>
                  </w:pPr>
                  <w:r>
                    <w:rPr/>
                    <w:t>套</w:t>
                  </w:r>
                </w:p>
              </w:tc>
              <w:tc>
                <w:tcPr>
                  <w:tcW w:type="dxa" w:w="1399"/>
                </w:tcPr>
                <w:p>
                  <w:pPr>
                    <w:pStyle w:val="null3"/>
                    <w:jc w:val="center"/>
                  </w:pPr>
                  <w:r>
                    <w:rPr/>
                    <w:t>1</w:t>
                  </w:r>
                </w:p>
              </w:tc>
            </w:tr>
            <w:tr>
              <w:tc>
                <w:tcPr>
                  <w:tcW w:type="dxa" w:w="1399"/>
                </w:tcPr>
                <w:p>
                  <w:pPr>
                    <w:pStyle w:val="null3"/>
                    <w:jc w:val="center"/>
                  </w:pPr>
                  <w:r>
                    <w:rPr/>
                    <w:t>5</w:t>
                  </w:r>
                </w:p>
              </w:tc>
              <w:tc>
                <w:tcPr>
                  <w:tcW w:type="dxa" w:w="1399"/>
                </w:tcPr>
                <w:p>
                  <w:pPr>
                    <w:pStyle w:val="null3"/>
                    <w:jc w:val="center"/>
                  </w:pPr>
                  <w:r>
                    <w:rPr/>
                    <w:t>恒温磁刺激线圈</w:t>
                  </w:r>
                </w:p>
              </w:tc>
              <w:tc>
                <w:tcPr>
                  <w:tcW w:type="dxa" w:w="1399"/>
                </w:tcPr>
                <w:p>
                  <w:pPr>
                    <w:pStyle w:val="null3"/>
                    <w:jc w:val="center"/>
                  </w:pPr>
                  <w:r>
                    <w:rPr/>
                    <w:t>套</w:t>
                  </w:r>
                </w:p>
              </w:tc>
              <w:tc>
                <w:tcPr>
                  <w:tcW w:type="dxa" w:w="1399"/>
                </w:tcPr>
                <w:p>
                  <w:pPr>
                    <w:pStyle w:val="null3"/>
                    <w:jc w:val="center"/>
                  </w:pPr>
                  <w:r>
                    <w:rPr/>
                    <w:t>2</w:t>
                  </w:r>
                </w:p>
              </w:tc>
            </w:tr>
            <w:tr>
              <w:tc>
                <w:tcPr>
                  <w:tcW w:type="dxa" w:w="1399"/>
                </w:tcPr>
                <w:p>
                  <w:pPr>
                    <w:pStyle w:val="null3"/>
                    <w:jc w:val="center"/>
                  </w:pPr>
                  <w:r>
                    <w:rPr/>
                    <w:t>6</w:t>
                  </w:r>
                </w:p>
              </w:tc>
              <w:tc>
                <w:tcPr>
                  <w:tcW w:type="dxa" w:w="1399"/>
                </w:tcPr>
                <w:p>
                  <w:pPr>
                    <w:pStyle w:val="null3"/>
                    <w:jc w:val="center"/>
                  </w:pPr>
                  <w:r>
                    <w:rPr/>
                    <w:t>检验电极耗材</w:t>
                  </w:r>
                </w:p>
              </w:tc>
              <w:tc>
                <w:tcPr>
                  <w:tcW w:type="dxa" w:w="1399"/>
                </w:tcPr>
                <w:p>
                  <w:pPr>
                    <w:pStyle w:val="null3"/>
                    <w:jc w:val="center"/>
                  </w:pPr>
                  <w:r>
                    <w:rPr/>
                    <w:t>套</w:t>
                  </w:r>
                </w:p>
              </w:tc>
              <w:tc>
                <w:tcPr>
                  <w:tcW w:type="dxa" w:w="1399"/>
                </w:tcPr>
                <w:p>
                  <w:pPr>
                    <w:pStyle w:val="null3"/>
                    <w:jc w:val="center"/>
                  </w:pPr>
                  <w:r>
                    <w:rPr/>
                    <w:t>1</w:t>
                  </w:r>
                </w:p>
              </w:tc>
            </w:tr>
            <w:tr>
              <w:tc>
                <w:tcPr>
                  <w:tcW w:type="dxa" w:w="1399"/>
                </w:tcPr>
                <w:p>
                  <w:pPr>
                    <w:pStyle w:val="null3"/>
                    <w:jc w:val="center"/>
                  </w:pPr>
                  <w:r>
                    <w:rPr/>
                    <w:t>7</w:t>
                  </w:r>
                </w:p>
              </w:tc>
              <w:tc>
                <w:tcPr>
                  <w:tcW w:type="dxa" w:w="1399"/>
                </w:tcPr>
                <w:p>
                  <w:pPr>
                    <w:pStyle w:val="null3"/>
                    <w:jc w:val="center"/>
                  </w:pPr>
                  <w:r>
                    <w:rPr/>
                    <w:t>座椅脚凳</w:t>
                  </w:r>
                </w:p>
              </w:tc>
              <w:tc>
                <w:tcPr>
                  <w:tcW w:type="dxa" w:w="1399"/>
                </w:tcPr>
                <w:p>
                  <w:pPr>
                    <w:pStyle w:val="null3"/>
                    <w:jc w:val="center"/>
                  </w:pPr>
                  <w:r>
                    <w:rPr/>
                    <w:t>套</w:t>
                  </w:r>
                </w:p>
              </w:tc>
              <w:tc>
                <w:tcPr>
                  <w:tcW w:type="dxa" w:w="1399"/>
                </w:tcPr>
                <w:p>
                  <w:pPr>
                    <w:pStyle w:val="null3"/>
                    <w:jc w:val="center"/>
                  </w:pPr>
                  <w:r>
                    <w:rPr/>
                    <w:t>1</w:t>
                  </w:r>
                </w:p>
              </w:tc>
            </w:tr>
            <w:tr>
              <w:tc>
                <w:tcPr>
                  <w:tcW w:type="dxa" w:w="1399"/>
                </w:tcPr>
                <w:p>
                  <w:pPr>
                    <w:pStyle w:val="null3"/>
                    <w:jc w:val="center"/>
                  </w:pPr>
                  <w:r>
                    <w:rPr/>
                    <w:t>8</w:t>
                  </w:r>
                </w:p>
              </w:tc>
              <w:tc>
                <w:tcPr>
                  <w:tcW w:type="dxa" w:w="1399"/>
                </w:tcPr>
                <w:p>
                  <w:pPr>
                    <w:pStyle w:val="null3"/>
                    <w:jc w:val="center"/>
                  </w:pPr>
                  <w:r>
                    <w:rPr/>
                    <w:t>用户手册</w:t>
                  </w:r>
                </w:p>
              </w:tc>
              <w:tc>
                <w:tcPr>
                  <w:tcW w:type="dxa" w:w="1399"/>
                </w:tcPr>
                <w:p>
                  <w:pPr>
                    <w:pStyle w:val="null3"/>
                    <w:jc w:val="center"/>
                  </w:pPr>
                  <w:r>
                    <w:rPr/>
                    <w:t>本</w:t>
                  </w:r>
                </w:p>
              </w:tc>
              <w:tc>
                <w:tcPr>
                  <w:tcW w:type="dxa" w:w="1399"/>
                </w:tcPr>
                <w:p>
                  <w:pPr>
                    <w:pStyle w:val="null3"/>
                    <w:jc w:val="center"/>
                  </w:pPr>
                  <w:r>
                    <w:rPr/>
                    <w:t>1</w:t>
                  </w:r>
                </w:p>
              </w:tc>
            </w:tr>
            <w:tr>
              <w:tc>
                <w:tcPr>
                  <w:tcW w:type="dxa" w:w="1399"/>
                </w:tcPr>
                <w:p>
                  <w:pPr>
                    <w:pStyle w:val="null3"/>
                    <w:jc w:val="center"/>
                  </w:pPr>
                  <w:r>
                    <w:rPr/>
                    <w:t>9</w:t>
                  </w:r>
                </w:p>
              </w:tc>
              <w:tc>
                <w:tcPr>
                  <w:tcW w:type="dxa" w:w="1399"/>
                </w:tcPr>
                <w:p>
                  <w:pPr>
                    <w:pStyle w:val="null3"/>
                    <w:jc w:val="center"/>
                  </w:pPr>
                  <w:r>
                    <w:rPr/>
                    <w:t>合格证</w:t>
                  </w:r>
                </w:p>
              </w:tc>
              <w:tc>
                <w:tcPr>
                  <w:tcW w:type="dxa" w:w="1399"/>
                </w:tcPr>
                <w:p>
                  <w:pPr>
                    <w:pStyle w:val="null3"/>
                    <w:jc w:val="center"/>
                  </w:pPr>
                  <w:r>
                    <w:rPr/>
                    <w:t>张</w:t>
                  </w:r>
                </w:p>
              </w:tc>
              <w:tc>
                <w:tcPr>
                  <w:tcW w:type="dxa" w:w="1399"/>
                </w:tcPr>
                <w:p>
                  <w:pPr>
                    <w:pStyle w:val="null3"/>
                    <w:jc w:val="center"/>
                  </w:pPr>
                  <w:r>
                    <w:rPr/>
                    <w:t>1</w:t>
                  </w:r>
                </w:p>
              </w:tc>
            </w:tr>
            <w:tr>
              <w:tc>
                <w:tcPr>
                  <w:tcW w:type="dxa" w:w="1399"/>
                </w:tcPr>
                <w:p>
                  <w:pPr>
                    <w:pStyle w:val="null3"/>
                    <w:jc w:val="center"/>
                  </w:pPr>
                  <w:r>
                    <w:rPr/>
                    <w:t>10</w:t>
                  </w:r>
                </w:p>
              </w:tc>
              <w:tc>
                <w:tcPr>
                  <w:tcW w:type="dxa" w:w="1399"/>
                </w:tcPr>
                <w:p>
                  <w:pPr>
                    <w:pStyle w:val="null3"/>
                    <w:jc w:val="center"/>
                  </w:pPr>
                  <w:r>
                    <w:rPr/>
                    <w:t>保修卡</w:t>
                  </w:r>
                </w:p>
              </w:tc>
              <w:tc>
                <w:tcPr>
                  <w:tcW w:type="dxa" w:w="1399"/>
                </w:tcPr>
                <w:p>
                  <w:pPr>
                    <w:pStyle w:val="null3"/>
                    <w:jc w:val="center"/>
                  </w:pPr>
                  <w:r>
                    <w:rPr/>
                    <w:t>张</w:t>
                  </w:r>
                </w:p>
              </w:tc>
              <w:tc>
                <w:tcPr>
                  <w:tcW w:type="dxa" w:w="1399"/>
                </w:tcPr>
                <w:p>
                  <w:pPr>
                    <w:pStyle w:val="null3"/>
                    <w:jc w:val="center"/>
                  </w:pPr>
                  <w:r>
                    <w:rPr/>
                    <w:t>1</w:t>
                  </w:r>
                </w:p>
              </w:tc>
            </w:tr>
            <w:tr>
              <w:tc>
                <w:tcPr>
                  <w:tcW w:type="dxa" w:w="1399"/>
                </w:tcPr>
                <w:p>
                  <w:pPr>
                    <w:pStyle w:val="null3"/>
                    <w:jc w:val="center"/>
                  </w:pPr>
                  <w:r>
                    <w:rPr/>
                    <w:t>11</w:t>
                  </w:r>
                </w:p>
              </w:tc>
              <w:tc>
                <w:tcPr>
                  <w:tcW w:type="dxa" w:w="1399"/>
                </w:tcPr>
                <w:p>
                  <w:pPr>
                    <w:pStyle w:val="null3"/>
                    <w:jc w:val="center"/>
                  </w:pPr>
                  <w:r>
                    <w:rPr/>
                    <w:t>操作流程卡</w:t>
                  </w:r>
                </w:p>
              </w:tc>
              <w:tc>
                <w:tcPr>
                  <w:tcW w:type="dxa" w:w="1399"/>
                </w:tcPr>
                <w:p>
                  <w:pPr>
                    <w:pStyle w:val="null3"/>
                    <w:jc w:val="center"/>
                  </w:pPr>
                  <w:r>
                    <w:rPr/>
                    <w:t>张</w:t>
                  </w:r>
                </w:p>
              </w:tc>
              <w:tc>
                <w:tcPr>
                  <w:tcW w:type="dxa" w:w="1399"/>
                </w:tcPr>
                <w:p>
                  <w:pPr>
                    <w:pStyle w:val="null3"/>
                    <w:jc w:val="center"/>
                  </w:pPr>
                  <w:r>
                    <w:rPr/>
                    <w:t>1</w:t>
                  </w:r>
                </w:p>
              </w:tc>
            </w:tr>
            <w:tr>
              <w:tc>
                <w:tcPr>
                  <w:tcW w:type="dxa" w:w="1399"/>
                </w:tcPr>
                <w:p>
                  <w:pPr>
                    <w:pStyle w:val="null3"/>
                    <w:jc w:val="center"/>
                  </w:pPr>
                  <w:r>
                    <w:rPr/>
                    <w:t>12</w:t>
                  </w:r>
                </w:p>
              </w:tc>
              <w:tc>
                <w:tcPr>
                  <w:tcW w:type="dxa" w:w="1399"/>
                </w:tcPr>
                <w:p>
                  <w:pPr>
                    <w:pStyle w:val="null3"/>
                    <w:jc w:val="center"/>
                  </w:pPr>
                  <w:r>
                    <w:rPr/>
                    <w:t>操作工作站</w:t>
                  </w:r>
                </w:p>
              </w:tc>
              <w:tc>
                <w:tcPr>
                  <w:tcW w:type="dxa" w:w="1399"/>
                </w:tcPr>
                <w:p>
                  <w:pPr>
                    <w:pStyle w:val="null3"/>
                    <w:jc w:val="center"/>
                  </w:pPr>
                  <w:r>
                    <w:rPr/>
                    <w:t>台</w:t>
                  </w:r>
                </w:p>
              </w:tc>
              <w:tc>
                <w:tcPr>
                  <w:tcW w:type="dxa" w:w="1399"/>
                </w:tcPr>
                <w:p>
                  <w:pPr>
                    <w:pStyle w:val="null3"/>
                    <w:jc w:val="center"/>
                  </w:pPr>
                  <w:r>
                    <w:rPr/>
                    <w:t>1</w:t>
                  </w:r>
                </w:p>
              </w:tc>
            </w:tr>
            <w:tr>
              <w:tc>
                <w:tcPr>
                  <w:tcW w:type="dxa" w:w="1399"/>
                </w:tcPr>
                <w:p>
                  <w:pPr>
                    <w:pStyle w:val="null3"/>
                    <w:jc w:val="center"/>
                  </w:pPr>
                  <w:r>
                    <w:rPr/>
                    <w:t>13</w:t>
                  </w:r>
                </w:p>
              </w:tc>
              <w:tc>
                <w:tcPr>
                  <w:tcW w:type="dxa" w:w="1399"/>
                </w:tcPr>
                <w:p>
                  <w:pPr>
                    <w:pStyle w:val="null3"/>
                    <w:jc w:val="center"/>
                  </w:pPr>
                  <w:r>
                    <w:rPr/>
                    <w:t>支架</w:t>
                  </w:r>
                </w:p>
              </w:tc>
              <w:tc>
                <w:tcPr>
                  <w:tcW w:type="dxa" w:w="1399"/>
                </w:tcPr>
                <w:p>
                  <w:pPr>
                    <w:pStyle w:val="null3"/>
                    <w:jc w:val="center"/>
                  </w:pPr>
                  <w:r>
                    <w:rPr/>
                    <w:t>套</w:t>
                  </w:r>
                </w:p>
              </w:tc>
              <w:tc>
                <w:tcPr>
                  <w:tcW w:type="dxa" w:w="1399"/>
                </w:tcPr>
                <w:p>
                  <w:pPr>
                    <w:pStyle w:val="null3"/>
                    <w:jc w:val="center"/>
                  </w:pPr>
                  <w:r>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采购机构代理服务收费标准：以项目预算金额作为计算基数；参考国家计委（计价格〔2002〕1980号）及国家发改委（发改价格〔2011〕534号）规定的收费标准，定额收取人民币壹万叁仟伍佰元整。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中标人在本项目发布结果公告后3天内，须提供与递交投标文件电子标书内容一致且每页加盖单位公章的纸质文件1套（1正）及非加密电子版投标文件U盘（或光盘）1份给采购人（邮寄地址：广州市海珠区江南西路杏园大街15号，联系人：刘小姐，020-84412074），邮寄外包裹须注明项目名称、项目编号、包号（如有）、供应商名称等能识别其身份的信息，请合理安排时间并及时将快递单号发送至采购代理机构邮箱（gdonghongye@163.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采购包1(磁刺激治疗仪)：综合评分法,是指投标文件满足招标文件全部实质性要求，且按照评审因素的量化指标评审得分最高的投标人为中标候选人的评标方法。（最低报价不是中标的唯一依据。）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采购包1（磁刺激治疗仪）：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采购包1（磁刺激治疗仪）：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所投产品属于第二类、第三类医疗器械，则必须提供监督管理部门签发的有效的《医疗器械注册证》复印件（如国家另有规定，则适用其规定）。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采购包1（磁刺激治疗仪）：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采购包1(磁刺激治疗仪):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(21.0分)</w:t>
            </w:r>
          </w:p>
        </w:tc>
        <w:tc>
          <w:tcPr>
            <w:tcW w:type="dxa" w:w="5076"/>
          </w:tcPr>
          <w:p>
            <w:pPr>
              <w:pStyle w:val="null3"/>
              <w:jc w:val="left"/>
            </w:pPr>
            <w:r>
              <w:rPr/>
              <w:t>根据各投标人对采购需求重要技术参数（带“▲”共14条）响应程度进行评审：满足或优于采购需求的每条得1.5分，14条全部满足或优于采购需求最高得21分。 【注：采购需求中要求提供相关证明材料的，必须按采购需求要求提供相关证明材料，如未按要求提供相关证明材料的，则视为“不满足”。若采购需求中无明确证明材料的，以投标文件中《技术与服务要求响应表》填写的“是否偏离”情况为准，未填写或未响应的视为不满足。】</w:t>
            </w:r>
          </w:p>
        </w:tc>
      </w:tr>
      <w:tr>
        <w:tc>
          <w:tcPr>
            <w:tcW w:type="dxa" w:w="922"/>
            <w:gridSpan w:val="2"/>
            <w:vMerge/>
          </w:tcPr>
          <w:p/>
        </w:tc>
        <w:tc>
          <w:tcPr>
            <w:tcW w:type="dxa" w:w="2307"/>
          </w:tcPr>
          <w:p>
            <w:pPr>
              <w:pStyle w:val="null3"/>
              <w:jc w:val="left"/>
            </w:pPr>
            <w:r>
              <w:rPr/>
              <w:t>一般技术参数响应 (7.5分)</w:t>
            </w:r>
          </w:p>
        </w:tc>
        <w:tc>
          <w:tcPr>
            <w:tcW w:type="dxa" w:w="5076"/>
          </w:tcPr>
          <w:p>
            <w:pPr>
              <w:pStyle w:val="null3"/>
              <w:jc w:val="left"/>
            </w:pPr>
            <w:r>
              <w:rPr/>
              <w:t>采购需求中2.“技术标准与要求”附表一，产品“具体技术(参数)要求及配置清单”非“▲”项，满足或优于采购需求的每条得0.5分，15条全部满足或优于采购需求最高得7.5分，本项最高得7.5分。 【注：采购需求中要求提供相关证明材料的，必须按采购需求要求提供相关证明材料，如未按要求提供相关证明材料的，则视为不满足。若采购需求中无明确证明材料的，以投标文件中《技术与服务要求响应表》填写的“是否偏离”情况为准，未填写或未响应的视为不满足。】</w:t>
            </w:r>
          </w:p>
        </w:tc>
      </w:tr>
      <w:tr>
        <w:tc>
          <w:tcPr>
            <w:tcW w:type="dxa" w:w="922"/>
            <w:gridSpan w:val="2"/>
            <w:vMerge/>
          </w:tcPr>
          <w:p/>
        </w:tc>
        <w:tc>
          <w:tcPr>
            <w:tcW w:type="dxa" w:w="2307"/>
          </w:tcPr>
          <w:p>
            <w:pPr>
              <w:pStyle w:val="null3"/>
              <w:jc w:val="left"/>
            </w:pPr>
            <w:r>
              <w:rPr/>
              <w:t>安装调试及验收方案 (8.0分)</w:t>
            </w:r>
            <w:r>
              <w:rPr/>
              <w:t>，（等次分值选择：</w:t>
            </w:r>
            <w:r>
              <w:rPr/>
              <w:t>0.0;</w:t>
            </w:r>
            <w:r>
              <w:rPr/>
              <w:t>2.0;</w:t>
            </w:r>
            <w:r>
              <w:rPr/>
              <w:t>5.0;</w:t>
            </w:r>
            <w:r>
              <w:rPr/>
              <w:t>8.0;</w:t>
            </w:r>
            <w:r>
              <w:rPr/>
              <w:t>）</w:t>
            </w:r>
          </w:p>
        </w:tc>
        <w:tc>
          <w:tcPr>
            <w:tcW w:type="dxa" w:w="5076"/>
          </w:tcPr>
          <w:p>
            <w:pPr>
              <w:pStyle w:val="null3"/>
              <w:jc w:val="left"/>
            </w:pPr>
            <w:r>
              <w:rPr/>
              <w:t>根据投标人的安装调试及验收方案要科学、合理，符合国家相关标准及规定的前提下，进行评审： 1.安装调试及验收方案具体、详细、可行，有利于项目实施，得8分； 2.安装调试及验收方案具体可行，安装调试及验收方案具体可行，得5分； 3.安装调试及验收方案简略，安装调试及验收方案基本可行，得2分； 4.不提供不得分。</w:t>
            </w:r>
          </w:p>
        </w:tc>
      </w:tr>
      <w:tr>
        <w:tc>
          <w:tcPr>
            <w:tcW w:type="dxa" w:w="922"/>
            <w:gridSpan w:val="2"/>
            <w:vMerge/>
          </w:tcPr>
          <w:p/>
        </w:tc>
        <w:tc>
          <w:tcPr>
            <w:tcW w:type="dxa" w:w="2307"/>
          </w:tcPr>
          <w:p>
            <w:pPr>
              <w:pStyle w:val="null3"/>
              <w:jc w:val="left"/>
            </w:pPr>
            <w:r>
              <w:rPr/>
              <w:t>质量保证承诺声明 (8.5分)</w:t>
            </w:r>
            <w:r>
              <w:rPr/>
              <w:t>，（等次分值选择：</w:t>
            </w:r>
            <w:r>
              <w:rPr/>
              <w:t>0.0;</w:t>
            </w:r>
            <w:r>
              <w:rPr/>
              <w:t>2.5;</w:t>
            </w:r>
            <w:r>
              <w:rPr/>
              <w:t>5.5;</w:t>
            </w:r>
            <w:r>
              <w:rPr/>
              <w:t>8.5;</w:t>
            </w:r>
            <w:r>
              <w:rPr/>
              <w:t>）</w:t>
            </w:r>
          </w:p>
        </w:tc>
        <w:tc>
          <w:tcPr>
            <w:tcW w:type="dxa" w:w="5076"/>
          </w:tcPr>
          <w:p>
            <w:pPr>
              <w:pStyle w:val="null3"/>
              <w:jc w:val="left"/>
            </w:pPr>
            <w:r>
              <w:rPr/>
              <w:t>承诺声明包括产品的质量、因产品质量问题造成事故的责任承担及赔偿方案、产品的三包、供货服务等内容。根据声明的详细性、合理性、切合实际等各方面情况进行综合评价： 1.声明详细完整、十分合理，切合实际，得8.5分； 2.声明基本完整、基本合理，基本切合实际，得5.5分； 3.声明不完整、不合理，部分切合实际，得2.5分； 4.无声明不得分。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根据投标人在2021年至今承接的同类项目业绩（以合同签署时间为准）进行评审。每提供一项业绩证明文件得1分，满分为5分。 【注：须提供合同复印件加盖公章，不提供不得分】</w:t>
            </w:r>
          </w:p>
        </w:tc>
      </w:tr>
      <w:tr>
        <w:tc>
          <w:tcPr>
            <w:tcW w:type="dxa" w:w="922"/>
            <w:gridSpan w:val="2"/>
            <w:vMerge/>
          </w:tcPr>
          <w:p/>
        </w:tc>
        <w:tc>
          <w:tcPr>
            <w:tcW w:type="dxa" w:w="2307"/>
          </w:tcPr>
          <w:p>
            <w:pPr>
              <w:pStyle w:val="null3"/>
              <w:jc w:val="left"/>
            </w:pPr>
            <w:r>
              <w:rPr/>
              <w:t>客户满意评价 (5.0分)</w:t>
            </w:r>
          </w:p>
        </w:tc>
        <w:tc>
          <w:tcPr>
            <w:tcW w:type="dxa" w:w="5076"/>
          </w:tcPr>
          <w:p>
            <w:pPr>
              <w:pStyle w:val="null3"/>
              <w:jc w:val="left"/>
            </w:pPr>
            <w:r>
              <w:rPr/>
              <w:t>投标人2021年至今，得到过往服务客户类似于“优”、“满意”或依照百分制评分得到90分以上服务评价的，每个得1分，最高5分。 【注：同一服务客户不累计计算。须提供服务客户加盖公章的满意评价证明文件，不提供不得分】</w:t>
            </w:r>
          </w:p>
        </w:tc>
      </w:tr>
      <w:tr>
        <w:tc>
          <w:tcPr>
            <w:tcW w:type="dxa" w:w="922"/>
            <w:gridSpan w:val="2"/>
            <w:vMerge/>
          </w:tcPr>
          <w:p/>
        </w:tc>
        <w:tc>
          <w:tcPr>
            <w:tcW w:type="dxa" w:w="2307"/>
          </w:tcPr>
          <w:p>
            <w:pPr>
              <w:pStyle w:val="null3"/>
              <w:jc w:val="left"/>
            </w:pPr>
            <w:r>
              <w:rPr/>
              <w:t>企业管理体系 (3.0分)</w:t>
            </w:r>
          </w:p>
        </w:tc>
        <w:tc>
          <w:tcPr>
            <w:tcW w:type="dxa" w:w="5076"/>
          </w:tcPr>
          <w:p>
            <w:pPr>
              <w:pStyle w:val="null3"/>
              <w:jc w:val="left"/>
            </w:pPr>
            <w:r>
              <w:rPr/>
              <w:t>投标人获得有效期内的质量管理体系认证证书、环境管理体系认证证书、职业健康安全管理体系认证证书的，每提供一项得1分，最高3分。 【注：同时提供有效期内的证书复印件以及在全国认证认可信息公共服务平台（http://cx.cnca.cn/）对体系证书的信息查询截图作为评审依据，未按上述要求提供证明材料或证书已失效或撤销或暂停的不得分】</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4.0;</w:t>
            </w:r>
            <w:r>
              <w:rPr/>
              <w:t>7.0;</w:t>
            </w:r>
            <w:r>
              <w:rPr/>
              <w:t>）</w:t>
            </w:r>
          </w:p>
        </w:tc>
        <w:tc>
          <w:tcPr>
            <w:tcW w:type="dxa" w:w="5076"/>
          </w:tcPr>
          <w:p>
            <w:pPr>
              <w:pStyle w:val="null3"/>
              <w:jc w:val="left"/>
            </w:pPr>
            <w:r>
              <w:rPr/>
              <w:t>根据投标人的售后服务方案（包括培训计划、质保期、服务响应时间、服务方式、保修范围、质保期外的维修服务收费标准、其它服务承诺等）进行综合评价： 1.有完善的售后服务方案，各阶段服务计划详尽，得7分； 2.有基本完善的售后服务方案，各阶段服务计划基本详尽，得4分； 3.售后服务方案不够完善，各阶段服务计划简单，得1分； 4.未提供方案的不得分。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shd w:fill="FFFFFF" w:val="clear"/>
        </w:rPr>
        <w:t>广东省政府采购</w:t>
      </w:r>
    </w:p>
    <w:p>
      <w:pPr>
        <w:pStyle w:val="null3"/>
        <w:jc w:val="center"/>
      </w:pPr>
      <w:r>
        <w:rPr>
          <w:sz w:val="48"/>
          <w:shd w:fill="FFFFFF" w:val="clear"/>
        </w:rPr>
        <w:t>合　同　书</w:t>
      </w:r>
    </w:p>
    <w:p>
      <w:pPr>
        <w:pStyle w:val="null3"/>
        <w:ind w:left="2100"/>
        <w:jc w:val="left"/>
      </w:pPr>
      <w:r>
        <w:rPr>
          <w:sz w:val="28"/>
          <w:shd w:fill="FFFFFF" w:val="clear"/>
        </w:rPr>
        <w:t>采购编号：</w:t>
      </w:r>
    </w:p>
    <w:p>
      <w:pPr>
        <w:pStyle w:val="null3"/>
        <w:ind w:left="3495"/>
        <w:jc w:val="left"/>
      </w:pPr>
      <w:r>
        <w:rPr>
          <w:sz w:val="28"/>
          <w:shd w:fill="FFFFFF" w:val="clear"/>
        </w:rPr>
        <w:t>项目名称：</w:t>
      </w:r>
    </w:p>
    <w:p>
      <w:pPr>
        <w:pStyle w:val="null3"/>
        <w:jc w:val="both"/>
      </w:pPr>
      <w:r>
        <w:rPr>
          <w:sz w:val="24"/>
          <w:b/>
          <w:shd w:fill="FFFFFF" w:val="clear"/>
        </w:rPr>
        <w:t>注：本合同仅为合同的参考文本，合同签订双方可根据项目的具体要求进行修订，但不得修改实质性条款。</w:t>
      </w:r>
    </w:p>
    <w:p>
      <w:pPr>
        <w:pStyle w:val="null3"/>
        <w:jc w:val="both"/>
      </w:pPr>
      <w:r>
        <w:rPr/>
        <w:t xml:space="preserve"> </w:t>
      </w:r>
    </w:p>
    <w:p>
      <w:pPr>
        <w:pStyle w:val="null3"/>
        <w:ind w:firstLine="420"/>
        <w:jc w:val="both"/>
      </w:pPr>
      <w:r>
        <w:rPr>
          <w:sz w:val="24"/>
          <w:shd w:fill="FFFFFF" w:val="clear"/>
        </w:rPr>
        <w:t>甲　　方：　　　　　　　　　　</w:t>
      </w:r>
    </w:p>
    <w:p>
      <w:pPr>
        <w:pStyle w:val="null3"/>
        <w:ind w:firstLine="420"/>
        <w:jc w:val="both"/>
      </w:pPr>
      <w:r>
        <w:rPr>
          <w:sz w:val="24"/>
          <w:shd w:fill="FFFFFF" w:val="clear"/>
        </w:rPr>
        <w:t>电　　话：　　　　　　　　</w:t>
      </w:r>
    </w:p>
    <w:p>
      <w:pPr>
        <w:pStyle w:val="null3"/>
        <w:ind w:firstLine="420"/>
        <w:jc w:val="both"/>
      </w:pPr>
      <w:r>
        <w:rPr>
          <w:sz w:val="24"/>
          <w:shd w:fill="FFFFFF" w:val="clear"/>
        </w:rPr>
        <w:t>传　　真：　　　　　　　　</w:t>
      </w:r>
    </w:p>
    <w:p>
      <w:pPr>
        <w:pStyle w:val="null3"/>
        <w:ind w:firstLine="420"/>
        <w:jc w:val="both"/>
      </w:pPr>
      <w:r>
        <w:rPr>
          <w:sz w:val="24"/>
          <w:shd w:fill="FFFFFF" w:val="clear"/>
        </w:rPr>
        <w:t>地　　址：　　　　　　　　　　</w:t>
      </w:r>
    </w:p>
    <w:p>
      <w:pPr>
        <w:pStyle w:val="null3"/>
        <w:ind w:firstLine="420"/>
        <w:jc w:val="both"/>
      </w:pPr>
      <w:r>
        <w:rPr>
          <w:sz w:val="24"/>
          <w:shd w:fill="FFFFFF" w:val="clear"/>
        </w:rPr>
        <w:t>乙　　方：　　　　　　　　　　</w:t>
      </w:r>
    </w:p>
    <w:p>
      <w:pPr>
        <w:pStyle w:val="null3"/>
        <w:ind w:firstLine="420"/>
        <w:jc w:val="both"/>
      </w:pPr>
      <w:r>
        <w:rPr>
          <w:sz w:val="24"/>
          <w:shd w:fill="FFFFFF" w:val="clear"/>
        </w:rPr>
        <w:t>电　　话：　　　　　　　　</w:t>
      </w:r>
    </w:p>
    <w:p>
      <w:pPr>
        <w:pStyle w:val="null3"/>
        <w:ind w:firstLine="420"/>
        <w:jc w:val="both"/>
      </w:pPr>
      <w:r>
        <w:rPr>
          <w:sz w:val="24"/>
          <w:shd w:fill="FFFFFF" w:val="clear"/>
        </w:rPr>
        <w:t>传　　真：　　　　　　　　</w:t>
      </w:r>
    </w:p>
    <w:p>
      <w:pPr>
        <w:pStyle w:val="null3"/>
        <w:ind w:firstLine="420"/>
        <w:jc w:val="both"/>
      </w:pPr>
      <w:r>
        <w:rPr>
          <w:sz w:val="24"/>
          <w:shd w:fill="FFFFFF" w:val="clear"/>
        </w:rPr>
        <w:t>地　　址：　　　　　　　　　　</w:t>
      </w:r>
    </w:p>
    <w:p>
      <w:pPr>
        <w:pStyle w:val="null3"/>
        <w:ind w:firstLine="420"/>
        <w:jc w:val="both"/>
      </w:pPr>
      <w:r>
        <w:rPr>
          <w:sz w:val="24"/>
          <w:shd w:fill="FFFFFF" w:val="clear"/>
        </w:rPr>
        <w:t>项目名称：　　　　　　　　　　　　　　　　　　　　　</w:t>
      </w:r>
    </w:p>
    <w:p>
      <w:pPr>
        <w:pStyle w:val="null3"/>
        <w:ind w:firstLine="420"/>
        <w:jc w:val="both"/>
      </w:pPr>
      <w:r>
        <w:rPr>
          <w:sz w:val="24"/>
          <w:shd w:fill="FFFFFF" w:val="clear"/>
        </w:rPr>
        <w:t>采购编号：　　　　　　　　　　</w:t>
      </w:r>
    </w:p>
    <w:p>
      <w:pPr>
        <w:pStyle w:val="null3"/>
        <w:ind w:firstLine="420"/>
        <w:jc w:val="both"/>
      </w:pPr>
      <w:r>
        <w:rPr>
          <w:sz w:val="24"/>
          <w:shd w:fill="FFFFFF" w:val="clear"/>
        </w:rPr>
        <w:t>根据项目的采购结果，按照《中华人民共和国政府采购法》、《中华人民共和国民法典》的规定，经双方协商，本着平等互利和诚实信用的原则，一致同意签订本合同如下。</w:t>
      </w:r>
    </w:p>
    <w:p>
      <w:pPr>
        <w:pStyle w:val="null3"/>
        <w:ind w:firstLine="420"/>
        <w:jc w:val="both"/>
      </w:pPr>
      <w:r>
        <w:rPr>
          <w:sz w:val="24"/>
          <w:shd w:fill="FFFFFF" w:val="clear"/>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037"/>
        <w:gridCol w:w="1037"/>
        <w:gridCol w:w="1037"/>
        <w:gridCol w:w="2076"/>
        <w:gridCol w:w="1037"/>
        <w:gridCol w:w="2078"/>
      </w:tblGrid>
      <w:tr>
        <w:tc>
          <w:tcPr>
            <w:tcW w:type="dxa" w:w="103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序号</w:t>
            </w:r>
          </w:p>
        </w:tc>
        <w:tc>
          <w:tcPr>
            <w:tcW w:type="dxa" w:w="103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品名</w:t>
            </w:r>
          </w:p>
        </w:tc>
        <w:tc>
          <w:tcPr>
            <w:tcW w:type="dxa" w:w="103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规格</w:t>
            </w:r>
          </w:p>
        </w:tc>
        <w:tc>
          <w:tcPr>
            <w:tcW w:type="dxa" w:w="207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单价（元）</w:t>
            </w:r>
          </w:p>
        </w:tc>
        <w:tc>
          <w:tcPr>
            <w:tcW w:type="dxa" w:w="103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数量</w:t>
            </w:r>
          </w:p>
        </w:tc>
        <w:tc>
          <w:tcPr>
            <w:tcW w:type="dxa" w:w="207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总价（元）</w:t>
            </w:r>
          </w:p>
        </w:tc>
      </w:tr>
      <w:tr>
        <w:tc>
          <w:tcPr>
            <w:tcW w:type="dxa" w:w="10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1</w:t>
            </w:r>
          </w:p>
        </w:tc>
        <w:tc>
          <w:tcPr>
            <w:tcW w:type="dxa" w:w="103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3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0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03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10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2</w:t>
            </w:r>
          </w:p>
        </w:tc>
        <w:tc>
          <w:tcPr>
            <w:tcW w:type="dxa" w:w="103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3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0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03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10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w:t>
            </w:r>
          </w:p>
        </w:tc>
        <w:tc>
          <w:tcPr>
            <w:tcW w:type="dxa" w:w="103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3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0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03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10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合计</w:t>
            </w:r>
          </w:p>
        </w:tc>
        <w:tc>
          <w:tcPr>
            <w:tcW w:type="dxa" w:w="5187"/>
            <w:gridSpan w:val="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20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both"/>
      </w:pPr>
      <w:r>
        <w:rPr>
          <w:sz w:val="24"/>
          <w:shd w:fill="FFFFFF" w:val="clear"/>
        </w:rPr>
        <w:t>注：货物名称内容必须与投标文件中货物名称内容一致。</w:t>
      </w:r>
    </w:p>
    <w:p>
      <w:pPr>
        <w:pStyle w:val="null3"/>
        <w:ind w:firstLine="420"/>
        <w:jc w:val="both"/>
      </w:pPr>
      <w:r>
        <w:rPr>
          <w:sz w:val="24"/>
          <w:shd w:fill="FFFFFF" w:val="clear"/>
        </w:rPr>
        <w:t>二、合同金额</w:t>
      </w:r>
    </w:p>
    <w:p>
      <w:pPr>
        <w:pStyle w:val="null3"/>
        <w:ind w:firstLine="420"/>
        <w:jc w:val="both"/>
      </w:pPr>
      <w:r>
        <w:rPr>
          <w:sz w:val="24"/>
          <w:shd w:fill="FFFFFF" w:val="clear"/>
        </w:rPr>
        <w:t>合同金额为（大写）：</w:t>
      </w:r>
      <w:r>
        <w:rPr>
          <w:sz w:val="24"/>
          <w:shd w:fill="FFFFFF" w:val="clear"/>
        </w:rPr>
        <w:t>_________________元（￥_______________元）人民币。</w:t>
      </w:r>
      <w:r>
        <w:rPr>
          <w:sz w:val="24"/>
          <w:shd w:fill="FFFFFF" w:val="clear"/>
        </w:rPr>
        <w:t>（</w:t>
      </w:r>
      <w:r>
        <w:rPr>
          <w:sz w:val="24"/>
        </w:rPr>
        <w:t>合同总额货物的搬运费、运输费、卸装费、保险费、验收、货物设计、制造、包装、培训、强检设备的首次检测费用、检验费用、质保期服务、技术服务（包括技术资料、图纸的提供）、信息系统接入、质保期保障、产品成本、利润、各种税金、电源点至设备管线连接及合同实施过程中不可预见费用等一切费用</w:t>
      </w:r>
      <w:r>
        <w:rPr>
          <w:sz w:val="24"/>
          <w:shd w:fill="FFFFFF" w:val="clear"/>
        </w:rPr>
        <w:t>。）</w:t>
      </w:r>
    </w:p>
    <w:p>
      <w:pPr>
        <w:pStyle w:val="null3"/>
        <w:ind w:firstLine="420"/>
        <w:jc w:val="both"/>
      </w:pPr>
      <w:r>
        <w:rPr>
          <w:sz w:val="24"/>
          <w:shd w:fill="FFFFFF" w:val="clear"/>
        </w:rPr>
        <w:t>三、</w:t>
      </w:r>
      <w:r>
        <w:rPr>
          <w:sz w:val="24"/>
          <w:shd w:fill="FFFFFF" w:val="clear"/>
        </w:rPr>
        <w:t>交货</w:t>
      </w:r>
      <w:r>
        <w:rPr>
          <w:sz w:val="24"/>
          <w:shd w:fill="FFFFFF" w:val="clear"/>
        </w:rPr>
        <w:t>要求</w:t>
      </w:r>
    </w:p>
    <w:p>
      <w:pPr>
        <w:pStyle w:val="null3"/>
        <w:ind w:firstLine="480"/>
        <w:jc w:val="left"/>
      </w:pPr>
      <w:r>
        <w:rPr>
          <w:sz w:val="24"/>
        </w:rPr>
        <w:t>1.乙方应提供原装、全新的、符合质量标准的货物，不得以旧货翻新充数，并按有关要求进行包装及装运；</w:t>
      </w:r>
    </w:p>
    <w:p>
      <w:pPr>
        <w:pStyle w:val="null3"/>
        <w:ind w:firstLine="480"/>
        <w:jc w:val="left"/>
      </w:pPr>
      <w:r>
        <w:rPr>
          <w:sz w:val="24"/>
        </w:rPr>
        <w:t>2.中国境内制造的产品必须提供原出厂合格证等证明文件。</w:t>
      </w:r>
    </w:p>
    <w:p>
      <w:pPr>
        <w:pStyle w:val="null3"/>
        <w:ind w:firstLine="480"/>
        <w:jc w:val="left"/>
      </w:pPr>
      <w:r>
        <w:rPr>
          <w:sz w:val="24"/>
        </w:rPr>
        <w:t>3.乙方应将所提供货物的装箱清单、用户手册、原厂保修卡、随机资料及配件、随机工具等交付给甲方。</w:t>
      </w:r>
    </w:p>
    <w:p>
      <w:pPr>
        <w:pStyle w:val="null3"/>
        <w:ind w:firstLine="420"/>
        <w:jc w:val="both"/>
      </w:pPr>
      <w:r>
        <w:rPr>
          <w:sz w:val="24"/>
          <w:shd w:fill="FFFFFF" w:val="clear"/>
        </w:rPr>
        <w:t>四、交货期及交货地点</w:t>
      </w:r>
    </w:p>
    <w:p>
      <w:pPr>
        <w:pStyle w:val="null3"/>
        <w:ind w:firstLine="420"/>
        <w:jc w:val="both"/>
      </w:pPr>
      <w:r>
        <w:rPr>
          <w:sz w:val="24"/>
          <w:shd w:fill="FFFFFF" w:val="clear"/>
        </w:rPr>
        <w:t>1</w:t>
      </w:r>
      <w:r>
        <w:rPr>
          <w:sz w:val="24"/>
          <w:shd w:fill="FFFFFF" w:val="clear"/>
        </w:rPr>
        <w:t>.</w:t>
      </w:r>
      <w:r>
        <w:rPr>
          <w:sz w:val="24"/>
          <w:shd w:fill="FFFFFF" w:val="clear"/>
        </w:rPr>
        <w:t>交货期：</w:t>
      </w:r>
      <w:r>
        <w:rPr>
          <w:sz w:val="24"/>
        </w:rPr>
        <w:t>合同签订后</w:t>
      </w:r>
      <w:r>
        <w:rPr>
          <w:sz w:val="24"/>
        </w:rPr>
        <w:t>15天内完成交货。</w:t>
      </w:r>
    </w:p>
    <w:p>
      <w:pPr>
        <w:pStyle w:val="null3"/>
        <w:ind w:firstLine="420"/>
        <w:jc w:val="both"/>
      </w:pPr>
      <w:r>
        <w:rPr>
          <w:sz w:val="24"/>
          <w:shd w:fill="FFFFFF" w:val="clear"/>
        </w:rPr>
        <w:t>2</w:t>
      </w:r>
      <w:r>
        <w:rPr>
          <w:sz w:val="24"/>
          <w:shd w:fill="FFFFFF" w:val="clear"/>
        </w:rPr>
        <w:t>.</w:t>
      </w:r>
      <w:r>
        <w:rPr>
          <w:sz w:val="24"/>
          <w:shd w:fill="FFFFFF" w:val="clear"/>
        </w:rPr>
        <w:t>交货地点：</w:t>
      </w:r>
      <w:r>
        <w:rPr>
          <w:sz w:val="24"/>
        </w:rPr>
        <w:t>甲方指定地点。</w:t>
      </w:r>
    </w:p>
    <w:p>
      <w:pPr>
        <w:pStyle w:val="null3"/>
        <w:ind w:firstLine="420"/>
        <w:jc w:val="both"/>
      </w:pPr>
      <w:r>
        <w:rPr>
          <w:sz w:val="24"/>
          <w:shd w:fill="FFFFFF" w:val="clear"/>
        </w:rPr>
        <w:t>五、付款方式</w:t>
      </w:r>
    </w:p>
    <w:p>
      <w:pPr>
        <w:pStyle w:val="null3"/>
        <w:ind w:firstLine="420"/>
        <w:jc w:val="both"/>
      </w:pPr>
      <w:r>
        <w:rPr>
          <w:sz w:val="24"/>
          <w:shd w:fill="FFFFFF" w:val="clear"/>
        </w:rPr>
        <w:t>1.合同签订后，甲方在5个工作日内向乙方支付合同总额的80%预付款。</w:t>
      </w:r>
    </w:p>
    <w:p>
      <w:pPr>
        <w:pStyle w:val="null3"/>
        <w:ind w:firstLine="420"/>
        <w:jc w:val="both"/>
      </w:pPr>
      <w:r>
        <w:rPr>
          <w:sz w:val="24"/>
          <w:shd w:fill="FFFFFF" w:val="clear"/>
        </w:rPr>
        <w:t>所有设备安装调试、验收合格后，甲方于收到全额发票之日起</w:t>
      </w:r>
      <w:r>
        <w:rPr>
          <w:sz w:val="24"/>
          <w:shd w:fill="FFFFFF" w:val="clear"/>
        </w:rPr>
        <w:t>5个工作日内支付合同总额20%的设备款给乙方。</w:t>
      </w:r>
    </w:p>
    <w:p>
      <w:pPr>
        <w:pStyle w:val="null3"/>
        <w:ind w:firstLine="420"/>
        <w:jc w:val="both"/>
      </w:pPr>
      <w:r>
        <w:rPr>
          <w:sz w:val="24"/>
          <w:shd w:fill="FFFFFF" w:val="clear"/>
        </w:rPr>
        <w:t>2.具体付款要求如下：合同设备到达甲方指定地点交付并完成安装验收后，凭以下材料结算：</w:t>
      </w:r>
    </w:p>
    <w:p>
      <w:pPr>
        <w:pStyle w:val="null3"/>
        <w:ind w:firstLine="420"/>
        <w:jc w:val="both"/>
      </w:pPr>
      <w:r>
        <w:rPr>
          <w:sz w:val="24"/>
          <w:shd w:fill="FFFFFF" w:val="clear"/>
        </w:rPr>
        <w:t>（</w:t>
      </w:r>
      <w:r>
        <w:rPr>
          <w:sz w:val="24"/>
          <w:shd w:fill="FFFFFF" w:val="clear"/>
        </w:rPr>
        <w:t>1）合同；</w:t>
      </w:r>
    </w:p>
    <w:p>
      <w:pPr>
        <w:pStyle w:val="null3"/>
        <w:ind w:firstLine="420"/>
        <w:jc w:val="both"/>
      </w:pPr>
      <w:r>
        <w:rPr>
          <w:sz w:val="24"/>
          <w:shd w:fill="FFFFFF" w:val="clear"/>
        </w:rPr>
        <w:t>（</w:t>
      </w:r>
      <w:r>
        <w:rPr>
          <w:sz w:val="24"/>
          <w:shd w:fill="FFFFFF" w:val="clear"/>
        </w:rPr>
        <w:t>2</w:t>
      </w:r>
      <w:r>
        <w:rPr>
          <w:sz w:val="24"/>
          <w:shd w:fill="FFFFFF" w:val="clear"/>
        </w:rPr>
        <w:t>）</w:t>
      </w:r>
      <w:r>
        <w:rPr>
          <w:sz w:val="24"/>
          <w:shd w:fill="FFFFFF" w:val="clear"/>
        </w:rPr>
        <w:t>乙方开具的全额正式发票原件；</w:t>
      </w:r>
    </w:p>
    <w:p>
      <w:pPr>
        <w:pStyle w:val="null3"/>
        <w:ind w:firstLine="420"/>
        <w:jc w:val="both"/>
      </w:pPr>
      <w:r>
        <w:rPr>
          <w:sz w:val="24"/>
          <w:shd w:fill="FFFFFF" w:val="clear"/>
        </w:rPr>
        <w:t>（</w:t>
      </w:r>
      <w:r>
        <w:rPr>
          <w:sz w:val="24"/>
          <w:shd w:fill="FFFFFF" w:val="clear"/>
        </w:rPr>
        <w:t>3）验收调试报告；</w:t>
      </w:r>
    </w:p>
    <w:p>
      <w:pPr>
        <w:pStyle w:val="null3"/>
        <w:ind w:firstLine="420"/>
        <w:jc w:val="both"/>
      </w:pPr>
      <w:r>
        <w:rPr>
          <w:sz w:val="24"/>
          <w:shd w:fill="FFFFFF" w:val="clear"/>
        </w:rPr>
        <w:t>（</w:t>
      </w:r>
      <w:r>
        <w:rPr>
          <w:sz w:val="24"/>
          <w:shd w:fill="FFFFFF" w:val="clear"/>
        </w:rPr>
        <w:t>4）提供有效期内的由计量部门出具的检定（校准）报告（计量设备要求提供）。</w:t>
      </w:r>
    </w:p>
    <w:p>
      <w:pPr>
        <w:pStyle w:val="null3"/>
        <w:ind w:firstLine="420"/>
        <w:jc w:val="both"/>
      </w:pPr>
      <w:r>
        <w:rPr>
          <w:sz w:val="24"/>
          <w:shd w:fill="FFFFFF" w:val="clear"/>
        </w:rPr>
        <w:t>3.付款时间：执行国库集中支付的，甲方仅负责在上述约定时间内完成申报手续，甲方完成申报手续即视为甲方完成合同约定的支付义务。由于此次使用经费是财政下达的专项债经费，根据专项债经费下达的时间进行支付。</w:t>
      </w:r>
    </w:p>
    <w:p>
      <w:pPr>
        <w:pStyle w:val="null3"/>
        <w:ind w:firstLine="480"/>
        <w:jc w:val="both"/>
      </w:pPr>
      <w:r>
        <w:rPr>
          <w:sz w:val="24"/>
          <w:shd w:fill="FFFFFF" w:val="clear"/>
        </w:rPr>
        <w:t>六、包装、保险及发运、保管要求</w:t>
      </w:r>
    </w:p>
    <w:p>
      <w:pPr>
        <w:pStyle w:val="null3"/>
        <w:ind w:firstLine="480"/>
        <w:jc w:val="left"/>
      </w:pPr>
      <w:r>
        <w:rPr>
          <w:sz w:val="24"/>
        </w:rPr>
        <w:t>1.设备材料的包装必须是制造商原厂包装，其包装均应有良好的防湿、防锈、防潮、防雨、防腐及防碰撞的措施。凡由于包装不良造成的损失和由此产生的费用均由乙方承担；</w:t>
      </w:r>
    </w:p>
    <w:p>
      <w:pPr>
        <w:pStyle w:val="null3"/>
        <w:ind w:firstLine="480"/>
        <w:jc w:val="left"/>
      </w:pPr>
      <w:r>
        <w:rPr>
          <w:sz w:val="24"/>
        </w:rPr>
        <w:t>2.所有新购设备需要的备品备件、专用工具、设备运输、卸货、搬运、安装、调试、检验、培训、技术服务等已包含在合同总价中；</w:t>
      </w:r>
    </w:p>
    <w:p>
      <w:pPr>
        <w:pStyle w:val="null3"/>
        <w:ind w:firstLine="480"/>
        <w:jc w:val="left"/>
      </w:pPr>
      <w:r>
        <w:rPr>
          <w:sz w:val="24"/>
        </w:rPr>
        <w:t>3.各种设备，必须提供装箱清单，按装箱清单验收货物；</w:t>
      </w:r>
    </w:p>
    <w:p>
      <w:pPr>
        <w:pStyle w:val="null3"/>
        <w:ind w:firstLine="480"/>
        <w:jc w:val="left"/>
      </w:pPr>
      <w:r>
        <w:rPr>
          <w:sz w:val="24"/>
        </w:rPr>
        <w:t>4.货物在现场的保管由乙方负责，直至项目安装、验收完毕；</w:t>
      </w:r>
    </w:p>
    <w:p>
      <w:pPr>
        <w:pStyle w:val="null3"/>
        <w:ind w:firstLine="480"/>
        <w:jc w:val="left"/>
      </w:pPr>
      <w:r>
        <w:rPr>
          <w:sz w:val="24"/>
        </w:rPr>
        <w:t>5.货物在系统安装调试验收合格前的保险由乙方负责，乙方负责其派出的现场服务人员人身意外保险；</w:t>
      </w:r>
    </w:p>
    <w:p>
      <w:pPr>
        <w:pStyle w:val="null3"/>
        <w:ind w:firstLine="480"/>
        <w:jc w:val="left"/>
      </w:pPr>
      <w:r>
        <w:rPr>
          <w:sz w:val="24"/>
        </w:rPr>
        <w:t>6.设备至甲方指定的使用现场的包装、保险及发运等环节和费用均由乙方负责。</w:t>
      </w:r>
    </w:p>
    <w:p>
      <w:pPr>
        <w:pStyle w:val="null3"/>
        <w:ind w:firstLine="480"/>
        <w:jc w:val="both"/>
      </w:pPr>
      <w:r>
        <w:rPr>
          <w:sz w:val="24"/>
          <w:shd w:fill="FFFFFF" w:val="clear"/>
        </w:rPr>
        <w:t>七、</w:t>
      </w:r>
      <w:r>
        <w:rPr>
          <w:sz w:val="24"/>
          <w:shd w:fill="FFFFFF" w:val="clear"/>
        </w:rPr>
        <w:t>验收要求：</w:t>
      </w:r>
    </w:p>
    <w:p>
      <w:pPr>
        <w:pStyle w:val="null3"/>
        <w:ind w:firstLine="480"/>
        <w:jc w:val="both"/>
      </w:pPr>
      <w:r>
        <w:rPr>
          <w:sz w:val="24"/>
        </w:rPr>
        <w:t>1.货物为原制造商制造的全新产品，整机无污染，无侵权行为、表面无划损、无任何设计、安全使用的缺陷隐患，可在中国境内依常规安全合法使用，甲方因使用乙方提供的设备构成侵权的，由乙方承担全部法律责任。</w:t>
      </w:r>
    </w:p>
    <w:p>
      <w:pPr>
        <w:pStyle w:val="null3"/>
        <w:ind w:firstLine="480"/>
        <w:jc w:val="both"/>
      </w:pPr>
      <w:r>
        <w:rPr>
          <w:sz w:val="24"/>
        </w:rPr>
        <w:t>2.交付验收标准依次序对照适用标准为：①符合中华人民共和国国家安全质量标准、环保标准或行业标准；②符合招标文件和响应承诺中甲方认可的合理最佳配置、参数及各项要求；③货物来源国官方标准。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80"/>
        <w:jc w:val="both"/>
      </w:pPr>
      <w:r>
        <w:rPr>
          <w:sz w:val="24"/>
        </w:rPr>
        <w:t>3.货物为原厂商未启封全新包装，具出厂合格证，序列号、包装箱号与出厂批号一致，并可追索查阅。</w:t>
      </w:r>
    </w:p>
    <w:p>
      <w:pPr>
        <w:pStyle w:val="null3"/>
        <w:ind w:firstLine="480"/>
        <w:jc w:val="both"/>
      </w:pPr>
      <w:r>
        <w:rPr>
          <w:sz w:val="24"/>
        </w:rPr>
        <w:t>4.乙方应将关键主机设备的用户手册、保修手册、有关单证资料及配备件、随机工具等交付给甲方，使用操作及安全须知等重要资料应附有中文说明。</w:t>
      </w:r>
    </w:p>
    <w:p>
      <w:pPr>
        <w:pStyle w:val="null3"/>
        <w:ind w:firstLine="480"/>
        <w:jc w:val="both"/>
      </w:pPr>
      <w:r>
        <w:rPr>
          <w:sz w:val="24"/>
        </w:rPr>
        <w:t>5.质量验收不限于以上标准，其中未包括的内容，执行现行的适用于该货物的国家和行业最高标准。</w:t>
      </w:r>
    </w:p>
    <w:p>
      <w:pPr>
        <w:pStyle w:val="null3"/>
        <w:ind w:firstLine="480"/>
        <w:jc w:val="both"/>
      </w:pPr>
      <w:r>
        <w:rPr>
          <w:sz w:val="24"/>
        </w:rPr>
        <w:t>6.合同设备安装调试及培训完成，确保正常使用后进行验收，验收应在双方共同参加下进行。验收按国家有关的规定、规范进行。验收时如发现所交付的设备有短装、次品、损坏或其它不符合本合同规定之情形者，甲方应作出详尽的现场记录，或由双方签署备忘录。此现场记录或备忘录可用作补充、缺失和更换损坏部件的有效证据。由此产生的有关费用由乙方承担。</w:t>
      </w:r>
    </w:p>
    <w:p>
      <w:pPr>
        <w:pStyle w:val="null3"/>
        <w:ind w:firstLine="480"/>
        <w:jc w:val="both"/>
      </w:pPr>
      <w:r>
        <w:rPr>
          <w:sz w:val="24"/>
        </w:rPr>
        <w:t>7.设备安装验收合格后,乙方必须将设备的整套技术资料（中英文）包括用户手册、操作手册（使用说明）、维修保养手册，基本原理图或有关电路图、安装手册/产品合格证及配备件、随机工具等交给甲方。</w:t>
      </w:r>
    </w:p>
    <w:p>
      <w:pPr>
        <w:pStyle w:val="null3"/>
        <w:ind w:firstLine="480"/>
        <w:jc w:val="both"/>
      </w:pPr>
      <w:r>
        <w:rPr>
          <w:sz w:val="24"/>
          <w:shd w:fill="FFFFFF" w:val="clear"/>
        </w:rPr>
        <w:t>八、</w:t>
      </w:r>
      <w:r>
        <w:rPr>
          <w:sz w:val="24"/>
          <w:shd w:fill="FFFFFF" w:val="clear"/>
        </w:rPr>
        <w:t>售后服务</w:t>
      </w:r>
      <w:r>
        <w:rPr>
          <w:sz w:val="24"/>
          <w:shd w:fill="FFFFFF" w:val="clear"/>
        </w:rPr>
        <w:t>：</w:t>
      </w:r>
    </w:p>
    <w:p>
      <w:pPr>
        <w:pStyle w:val="null3"/>
        <w:ind w:firstLine="480"/>
        <w:jc w:val="both"/>
      </w:pPr>
      <w:r>
        <w:rPr>
          <w:sz w:val="24"/>
        </w:rPr>
        <w:t>1.所有设备提供至少</w:t>
      </w:r>
      <w:r>
        <w:rPr>
          <w:sz w:val="24"/>
          <w:u w:val="single"/>
        </w:rPr>
        <w:t xml:space="preserve">   </w:t>
      </w:r>
      <w:r>
        <w:rPr>
          <w:sz w:val="24"/>
        </w:rPr>
        <w:t>年或以上的上门保修服务，负责保修期内所有零配件更换，相关费用包含在投标报价中；</w:t>
      </w:r>
    </w:p>
    <w:p>
      <w:pPr>
        <w:pStyle w:val="null3"/>
        <w:ind w:firstLine="480"/>
        <w:jc w:val="both"/>
      </w:pPr>
      <w:r>
        <w:rPr>
          <w:sz w:val="24"/>
        </w:rPr>
        <w:t>2.当设备出现故障，乙方须在接到甲方通知后2小时内响应，24小时内有工作人员上门检测、维修，48小时内仍未能有效解决，提供详细解决方案。若72小时故障仍未修复，免费提供同质量的设备给甲方临时使用；</w:t>
      </w:r>
    </w:p>
    <w:p>
      <w:pPr>
        <w:pStyle w:val="null3"/>
        <w:ind w:firstLine="480"/>
        <w:jc w:val="both"/>
      </w:pPr>
      <w:r>
        <w:rPr>
          <w:sz w:val="24"/>
        </w:rPr>
        <w:t>3.保修期过后，承诺提供终身上门服务和软件升级，如零配件需要更换的，征得甲方同意后可对要更换的零配件收取材料费，免人工费和交通费。所有配件均为当前市场最低价，过质保期后生产厂家保证设备10年以上的零配件供应服务；</w:t>
      </w:r>
    </w:p>
    <w:p>
      <w:pPr>
        <w:pStyle w:val="null3"/>
        <w:ind w:firstLine="480"/>
        <w:jc w:val="both"/>
      </w:pPr>
      <w:r>
        <w:rPr>
          <w:sz w:val="24"/>
        </w:rPr>
        <w:t>4.乙方提供技术培训，保证使用人员能够正确操作设备的各项功能；</w:t>
      </w:r>
    </w:p>
    <w:p>
      <w:pPr>
        <w:pStyle w:val="null3"/>
        <w:ind w:firstLine="480"/>
        <w:jc w:val="both"/>
      </w:pPr>
      <w:r>
        <w:rPr>
          <w:sz w:val="24"/>
        </w:rPr>
        <w:t>5.保修期内每季度安排人员上门对机器进行维护保养检查和设备校准，并做好维修保养和校准记录，把维护保养信息反馈给用户，以确保设备精确正常运行。</w:t>
      </w:r>
    </w:p>
    <w:p>
      <w:pPr>
        <w:pStyle w:val="null3"/>
        <w:ind w:firstLine="480"/>
        <w:jc w:val="both"/>
      </w:pPr>
      <w:r>
        <w:rPr>
          <w:sz w:val="24"/>
          <w:shd w:fill="FFFFFF" w:val="clear"/>
        </w:rPr>
        <w:t>九、违约责任与赔偿损失</w:t>
      </w:r>
    </w:p>
    <w:p>
      <w:pPr>
        <w:pStyle w:val="null3"/>
        <w:ind w:firstLine="420"/>
        <w:jc w:val="both"/>
      </w:pPr>
      <w:r>
        <w:rPr>
          <w:sz w:val="24"/>
          <w:shd w:fill="FFFFFF" w:val="clear"/>
        </w:rPr>
        <w:t>1、乙方交付的货物、工程/提供的服务不符合本合同规定的，甲方有权拒收，并且乙方须向甲方支付本合同总价5%的违约金。</w:t>
      </w:r>
    </w:p>
    <w:p>
      <w:pPr>
        <w:pStyle w:val="null3"/>
        <w:ind w:firstLine="420"/>
        <w:jc w:val="both"/>
      </w:pPr>
      <w:r>
        <w:rPr>
          <w:sz w:val="24"/>
          <w:shd w:fill="FFFFFF" w:val="clear"/>
        </w:rPr>
        <w:t>2、乙方未能按本合同规定的交货时间交付货物的/提供服务，从逾期之日起每日按本合同总价3‰的数额向甲方支付违约金，违约金累计总额不超过合同总价的5%；逾期半个月以上的，甲方有权终止合同，由此造成的甲方经济损失由乙方承担。</w:t>
      </w:r>
    </w:p>
    <w:p>
      <w:pPr>
        <w:pStyle w:val="null3"/>
        <w:ind w:firstLine="420"/>
        <w:jc w:val="both"/>
      </w:pPr>
      <w:r>
        <w:rPr>
          <w:sz w:val="24"/>
          <w:shd w:fill="FFFFFF" w:val="clear"/>
        </w:rPr>
        <w:t>3、甲方无正当理由拒收货物/接受服务，到期拒付货物/服务款项的，甲方向乙方偿付本合同总的5%的违约金。甲方人逾期付款，则每日按本合同总价的3‰向乙方偿付违约金，违约金累计总额不超过欠款总价的5%。</w:t>
      </w:r>
    </w:p>
    <w:p>
      <w:pPr>
        <w:pStyle w:val="null3"/>
        <w:ind w:firstLine="420"/>
        <w:jc w:val="both"/>
      </w:pPr>
      <w:r>
        <w:rPr>
          <w:sz w:val="24"/>
          <w:shd w:fill="FFFFFF" w:val="clear"/>
        </w:rPr>
        <w:t>4、其它违约责任按《中华人民共和国民法典》处理。</w:t>
      </w:r>
    </w:p>
    <w:p>
      <w:pPr>
        <w:pStyle w:val="null3"/>
        <w:ind w:firstLine="420"/>
        <w:jc w:val="both"/>
      </w:pPr>
      <w:r>
        <w:rPr>
          <w:sz w:val="24"/>
          <w:shd w:fill="FFFFFF" w:val="clear"/>
        </w:rPr>
        <w:t>十、争议的解决</w:t>
      </w:r>
    </w:p>
    <w:p>
      <w:pPr>
        <w:pStyle w:val="null3"/>
        <w:ind w:firstLine="420"/>
        <w:jc w:val="both"/>
      </w:pPr>
      <w:r>
        <w:rPr>
          <w:sz w:val="24"/>
          <w:shd w:fill="FFFFFF" w:val="clear"/>
        </w:rPr>
        <w:t>合同执行过程中发生的任何争议，如双方不能通过友好协商解决，则由甲方所在地人民法院管辖。</w:t>
      </w:r>
    </w:p>
    <w:p>
      <w:pPr>
        <w:pStyle w:val="null3"/>
        <w:ind w:firstLine="420"/>
        <w:jc w:val="both"/>
      </w:pPr>
      <w:r>
        <w:rPr>
          <w:sz w:val="24"/>
          <w:shd w:fill="FFFFFF" w:val="clear"/>
        </w:rPr>
        <w:t>十一、不可抗力</w:t>
      </w:r>
    </w:p>
    <w:p>
      <w:pPr>
        <w:pStyle w:val="null3"/>
        <w:ind w:firstLine="420"/>
        <w:jc w:val="both"/>
      </w:pPr>
      <w:r>
        <w:rPr>
          <w:sz w:val="24"/>
          <w:shd w:fill="FFFFFF" w:val="clear"/>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shd w:fill="FFFFFF" w:val="clear"/>
        </w:rPr>
        <w:t>十二、税费</w:t>
      </w:r>
    </w:p>
    <w:p>
      <w:pPr>
        <w:pStyle w:val="null3"/>
        <w:ind w:firstLine="420"/>
        <w:jc w:val="both"/>
      </w:pPr>
      <w:r>
        <w:rPr>
          <w:sz w:val="24"/>
          <w:shd w:fill="FFFFFF" w:val="clear"/>
        </w:rPr>
        <w:t>1、在中国境内、外发生的与本合同执行有关的一切税费均由乙方负担。</w:t>
      </w:r>
    </w:p>
    <w:p>
      <w:pPr>
        <w:pStyle w:val="null3"/>
        <w:ind w:firstLine="420"/>
        <w:jc w:val="both"/>
      </w:pPr>
      <w:r>
        <w:rPr>
          <w:sz w:val="24"/>
          <w:shd w:fill="FFFFFF" w:val="clear"/>
        </w:rPr>
        <w:t>十三、其它</w:t>
      </w:r>
    </w:p>
    <w:p>
      <w:pPr>
        <w:pStyle w:val="null3"/>
        <w:ind w:firstLine="420"/>
        <w:jc w:val="both"/>
      </w:pPr>
      <w:r>
        <w:rPr>
          <w:sz w:val="24"/>
          <w:shd w:fill="FFFFFF" w:val="clear"/>
        </w:rPr>
        <w:t>1、本合同所有附件、招标文件、投标文件、中标通知书均为合同的有效组成部分，与本合同具有同等法律效力。</w:t>
      </w:r>
    </w:p>
    <w:p>
      <w:pPr>
        <w:pStyle w:val="null3"/>
        <w:ind w:firstLine="420"/>
        <w:jc w:val="both"/>
      </w:pPr>
      <w:r>
        <w:rPr>
          <w:sz w:val="24"/>
          <w:shd w:fill="FFFFFF" w:val="clear"/>
        </w:rPr>
        <w:t>2、在执行本合同的过程中，所有经双方签署确认的文件（包括会议纪要、补充协议、往来信函）为本合同的有效组成部分。</w:t>
      </w:r>
    </w:p>
    <w:p>
      <w:pPr>
        <w:pStyle w:val="null3"/>
        <w:ind w:firstLine="420"/>
        <w:jc w:val="both"/>
      </w:pPr>
      <w:r>
        <w:rPr>
          <w:sz w:val="24"/>
          <w:shd w:fill="FFFFFF" w:val="clear"/>
        </w:rPr>
        <w:t>3、如一方地址、电话、传真号码有变更，应在变更当日内书面通知对方，否则，应承担相应责任。</w:t>
      </w:r>
    </w:p>
    <w:p>
      <w:pPr>
        <w:pStyle w:val="null3"/>
        <w:ind w:firstLine="420"/>
        <w:jc w:val="both"/>
      </w:pPr>
      <w:r>
        <w:rPr>
          <w:sz w:val="24"/>
          <w:shd w:fill="FFFFFF" w:val="clear"/>
        </w:rPr>
        <w:t>4、除甲方事先书面同意外，乙方不得部分或全部转让其应履行的合同项下的义务。</w:t>
      </w:r>
    </w:p>
    <w:p>
      <w:pPr>
        <w:pStyle w:val="null3"/>
        <w:ind w:firstLine="420"/>
        <w:jc w:val="both"/>
      </w:pPr>
      <w:r>
        <w:rPr>
          <w:sz w:val="24"/>
          <w:shd w:fill="FFFFFF" w:val="clear"/>
        </w:rPr>
        <w:t>十四、合同生效</w:t>
      </w:r>
    </w:p>
    <w:p>
      <w:pPr>
        <w:pStyle w:val="null3"/>
        <w:ind w:firstLine="420"/>
        <w:jc w:val="both"/>
      </w:pPr>
      <w:r>
        <w:rPr>
          <w:sz w:val="24"/>
          <w:shd w:fill="FFFFFF" w:val="clear"/>
        </w:rPr>
        <w:t>1、本合同在甲乙双方法人代表或其授权代表签字盖章后生效。</w:t>
      </w:r>
    </w:p>
    <w:p>
      <w:pPr>
        <w:pStyle w:val="null3"/>
        <w:ind w:firstLine="420"/>
        <w:jc w:val="both"/>
      </w:pPr>
      <w:r>
        <w:rPr>
          <w:sz w:val="24"/>
          <w:shd w:fill="FFFFFF" w:val="clear"/>
        </w:rPr>
        <w:t>2、合同一式</w:t>
      </w:r>
      <w:r>
        <w:rPr>
          <w:sz w:val="24"/>
          <w:shd w:fill="FFFFFF" w:val="clear"/>
        </w:rPr>
        <w:t>五</w:t>
      </w:r>
      <w:r>
        <w:rPr>
          <w:sz w:val="24"/>
          <w:shd w:fill="FFFFFF" w:val="clear"/>
        </w:rPr>
        <w:t>份</w:t>
      </w:r>
      <w:r>
        <w:rPr>
          <w:sz w:val="24"/>
          <w:shd w:fill="FFFFFF" w:val="clear"/>
        </w:rPr>
        <w:t>，</w:t>
      </w:r>
      <w:r>
        <w:rPr>
          <w:sz w:val="24"/>
        </w:rPr>
        <w:t>其中甲乙双方各执二份，采购代理机构执一份</w:t>
      </w:r>
      <w:r>
        <w:rPr>
          <w:sz w:val="24"/>
          <w:shd w:fill="FFFFFF" w:val="clear"/>
        </w:rPr>
        <w:t>。</w:t>
      </w:r>
    </w:p>
    <w:p>
      <w:pPr>
        <w:pStyle w:val="null3"/>
        <w:ind w:firstLine="420"/>
        <w:jc w:val="both"/>
      </w:pPr>
      <w:r>
        <w:rPr>
          <w:sz w:val="24"/>
          <w:shd w:fill="FFFFFF" w:val="clear"/>
        </w:rPr>
        <w:t>甲方（盖章）：</w:t>
      </w:r>
      <w:r>
        <w:rPr>
          <w:sz w:val="24"/>
        </w:rPr>
        <w:t xml:space="preserve">                     </w:t>
      </w:r>
      <w:r>
        <w:rPr>
          <w:sz w:val="24"/>
          <w:shd w:fill="FFFFFF" w:val="clear"/>
        </w:rPr>
        <w:t>乙方（盖章）：</w:t>
      </w:r>
    </w:p>
    <w:p>
      <w:pPr>
        <w:pStyle w:val="null3"/>
        <w:ind w:firstLine="420"/>
        <w:jc w:val="both"/>
      </w:pPr>
      <w:r>
        <w:rPr>
          <w:sz w:val="24"/>
          <w:shd w:fill="FFFFFF" w:val="clear"/>
        </w:rPr>
        <w:t>代表：</w:t>
      </w:r>
      <w:r>
        <w:rPr>
          <w:sz w:val="24"/>
        </w:rPr>
        <w:t xml:space="preserve">                             </w:t>
      </w:r>
      <w:r>
        <w:rPr>
          <w:sz w:val="24"/>
          <w:shd w:fill="FFFFFF" w:val="clear"/>
        </w:rPr>
        <w:t>代表：</w:t>
      </w:r>
    </w:p>
    <w:p>
      <w:pPr>
        <w:pStyle w:val="null3"/>
        <w:ind w:firstLine="420"/>
        <w:jc w:val="both"/>
      </w:pPr>
      <w:r>
        <w:rPr>
          <w:sz w:val="24"/>
          <w:shd w:fill="FFFFFF" w:val="clear"/>
        </w:rPr>
        <w:t>签定地点：</w:t>
      </w:r>
    </w:p>
    <w:p>
      <w:pPr>
        <w:pStyle w:val="null3"/>
        <w:ind w:firstLine="420"/>
        <w:jc w:val="both"/>
      </w:pPr>
      <w:r>
        <w:rPr>
          <w:sz w:val="24"/>
          <w:shd w:fill="FFFFFF" w:val="clear"/>
        </w:rPr>
        <w:t>签定日期：　　　年　　月　　日</w:t>
      </w:r>
      <w:r>
        <w:rPr>
          <w:sz w:val="24"/>
        </w:rPr>
        <w:t xml:space="preserve">     </w:t>
      </w:r>
      <w:r>
        <w:rPr>
          <w:sz w:val="24"/>
          <w:shd w:fill="FFFFFF" w:val="clear"/>
        </w:rPr>
        <w:t>签定日期：　　年　　月　　日</w:t>
      </w:r>
    </w:p>
    <w:p>
      <w:pPr>
        <w:pStyle w:val="null3"/>
        <w:ind w:firstLine="2160"/>
        <w:jc w:val="both"/>
      </w:pPr>
      <w:r>
        <w:rPr>
          <w:sz w:val="24"/>
        </w:rPr>
        <w:t xml:space="preserve">                    </w:t>
      </w:r>
      <w:r>
        <w:rPr>
          <w:sz w:val="24"/>
          <w:shd w:fill="FFFFFF" w:val="clear"/>
        </w:rPr>
        <w:t>开户名称：</w:t>
      </w:r>
    </w:p>
    <w:p>
      <w:pPr>
        <w:pStyle w:val="null3"/>
        <w:ind w:firstLine="420"/>
        <w:jc w:val="both"/>
      </w:pPr>
      <w:r>
        <w:rPr>
          <w:sz w:val="24"/>
        </w:rPr>
        <w:t xml:space="preserve">                                   </w:t>
      </w:r>
      <w:r>
        <w:rPr>
          <w:sz w:val="24"/>
          <w:shd w:fill="FFFFFF" w:val="clear"/>
        </w:rPr>
        <w:t>银行帐号：</w:t>
      </w:r>
    </w:p>
    <w:p>
      <w:pPr>
        <w:pStyle w:val="null3"/>
        <w:ind w:firstLine="420"/>
        <w:jc w:val="both"/>
      </w:pPr>
      <w:r>
        <w:rPr>
          <w:sz w:val="24"/>
        </w:rPr>
        <w:t xml:space="preserve">                                   </w:t>
      </w:r>
      <w:r>
        <w:rPr>
          <w:sz w:val="24"/>
          <w:shd w:fill="FFFFFF" w:val="clear"/>
        </w:rPr>
        <w:t>开户行：</w:t>
      </w:r>
    </w:p>
    <w:p>
      <w:pPr>
        <w:pStyle w:val="null3"/>
        <w:ind w:firstLine="42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440105-2024-04488</w:t>
      </w:r>
    </w:p>
    <w:p>
      <w:pPr>
        <w:pStyle w:val="null3"/>
        <w:jc w:val="center"/>
        <w:outlineLvl w:val="3"/>
      </w:pPr>
      <w:r>
        <w:rPr>
          <w:sz w:val="24"/>
          <w:b/>
        </w:rPr>
        <w:t>采购项目编号：</w:t>
      </w:r>
      <w:r>
        <w:rPr>
          <w:sz w:val="24"/>
          <w:b/>
        </w:rPr>
        <w:t>HYGZ24WJ01A0558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广州市海珠区妇幼保健院医疗设备采购项目（四）</w:t>
      </w:r>
      <w:r>
        <w:rPr>
          <w:u w:val="single"/>
        </w:rPr>
        <w:t>”</w:t>
      </w:r>
      <w:r>
        <w:rPr/>
        <w:t>项目的招标[采购项目编号为：</w:t>
      </w:r>
      <w:r>
        <w:rPr>
          <w:u w:val="single"/>
        </w:rPr>
        <w:t>HYGZ24WJ01A0558</w:t>
      </w:r>
      <w:r>
        <w:rPr/>
        <w:t>]，我方愿参与投标。</w:t>
      </w:r>
    </w:p>
    <w:p>
      <w:pPr>
        <w:pStyle w:val="null3"/>
        <w:ind w:firstLine="480"/>
      </w:pPr>
      <w:r>
        <w:rPr/>
        <w:t>我方确认收到贵方提供的</w:t>
      </w:r>
      <w:r>
        <w:rPr>
          <w:u w:val="single"/>
        </w:rPr>
        <w:t>“</w:t>
      </w:r>
      <w:r>
        <w:rPr>
          <w:u w:val="single"/>
        </w:rPr>
        <w:t>广州市海珠区妇幼保健院医疗设备采购项目（四）</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广州市海珠区妇幼保健院医疗设备采购项目（四）</w:t>
      </w:r>
      <w:r>
        <w:rPr/>
        <w:t>”项目采购[采购项目编号为</w:t>
      </w:r>
      <w:r>
        <w:rPr/>
        <w:t>HYGZ24WJ01A0558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广州市海珠区妇幼保健院医疗设备采购项目（四）</w:t>
      </w:r>
      <w:r>
        <w:rPr/>
        <w:t>招标中获中标（采购项目编号：</w:t>
      </w:r>
      <w:r>
        <w:rPr/>
        <w:t>HYGZ24WJ01A0558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