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3559AC">
      <w:pPr>
        <w:spacing w:line="520" w:lineRule="exact"/>
        <w:rPr>
          <w:rFonts w:hint="eastAsia" w:cs="仿宋_GB2312"/>
          <w:sz w:val="48"/>
          <w:szCs w:val="48"/>
        </w:rPr>
      </w:pPr>
      <w:r>
        <w:rPr>
          <w:rFonts w:hint="eastAsia"/>
          <w:b/>
          <w:sz w:val="30"/>
          <w:szCs w:val="30"/>
        </w:rPr>
        <w:t>招标编号：SZ2265-GP-GC-084S</w:t>
      </w:r>
    </w:p>
    <w:p w14:paraId="5FFFB66C">
      <w:pPr>
        <w:spacing w:line="520" w:lineRule="exact"/>
        <w:jc w:val="center"/>
        <w:rPr>
          <w:rFonts w:hint="eastAsia" w:cs="仿宋_GB2312"/>
          <w:sz w:val="48"/>
          <w:szCs w:val="48"/>
        </w:rPr>
      </w:pPr>
    </w:p>
    <w:p w14:paraId="48621A00">
      <w:pPr>
        <w:spacing w:line="520" w:lineRule="exact"/>
        <w:jc w:val="center"/>
        <w:rPr>
          <w:rFonts w:hint="eastAsia" w:cs="仿宋_GB2312"/>
          <w:sz w:val="48"/>
          <w:szCs w:val="48"/>
        </w:rPr>
      </w:pPr>
    </w:p>
    <w:p w14:paraId="763F6AC0">
      <w:pPr>
        <w:spacing w:line="520" w:lineRule="exact"/>
        <w:jc w:val="center"/>
        <w:rPr>
          <w:rFonts w:hint="eastAsia" w:cs="仿宋_GB2312"/>
          <w:sz w:val="48"/>
          <w:szCs w:val="48"/>
        </w:rPr>
      </w:pPr>
    </w:p>
    <w:p w14:paraId="31857B5D">
      <w:pPr>
        <w:spacing w:line="520" w:lineRule="exact"/>
        <w:jc w:val="center"/>
        <w:rPr>
          <w:rFonts w:hint="eastAsia" w:cs="仿宋_GB2312"/>
          <w:sz w:val="48"/>
          <w:szCs w:val="48"/>
        </w:rPr>
      </w:pPr>
    </w:p>
    <w:p w14:paraId="69FBCF17">
      <w:pPr>
        <w:spacing w:line="520" w:lineRule="exact"/>
        <w:jc w:val="center"/>
        <w:rPr>
          <w:rFonts w:hint="eastAsia" w:cs="仿宋_GB2312"/>
          <w:sz w:val="48"/>
          <w:szCs w:val="48"/>
        </w:rPr>
      </w:pPr>
      <w:r>
        <w:rPr>
          <w:rFonts w:hint="eastAsia" w:cs="仿宋_GB2312"/>
          <w:sz w:val="48"/>
          <w:szCs w:val="48"/>
        </w:rPr>
        <w:t>陕西测绘地理信息局测绘综合楼</w:t>
      </w:r>
    </w:p>
    <w:p w14:paraId="31BB619D">
      <w:pPr>
        <w:spacing w:line="520" w:lineRule="exact"/>
        <w:jc w:val="center"/>
        <w:rPr>
          <w:rFonts w:hint="eastAsia" w:cs="仿宋_GB2312"/>
          <w:b/>
          <w:strike/>
          <w:sz w:val="48"/>
          <w:szCs w:val="48"/>
          <w:shd w:val="clear" w:color="auto" w:fill="FFFFFF"/>
          <w:em w:val="dot"/>
        </w:rPr>
      </w:pPr>
      <w:r>
        <w:rPr>
          <w:rFonts w:hint="eastAsia" w:cs="仿宋_GB2312"/>
          <w:sz w:val="48"/>
          <w:szCs w:val="48"/>
        </w:rPr>
        <w:t>六层修缮改造</w:t>
      </w:r>
    </w:p>
    <w:p w14:paraId="001B4A76">
      <w:pPr>
        <w:spacing w:line="520" w:lineRule="exact"/>
        <w:jc w:val="center"/>
        <w:rPr>
          <w:rFonts w:hint="eastAsia" w:cs="仿宋_GB2312"/>
          <w:sz w:val="48"/>
          <w:szCs w:val="48"/>
        </w:rPr>
      </w:pPr>
    </w:p>
    <w:p w14:paraId="26451710">
      <w:pPr>
        <w:spacing w:line="520" w:lineRule="exact"/>
        <w:jc w:val="center"/>
        <w:rPr>
          <w:rFonts w:hint="eastAsia" w:cs="仿宋_GB2312"/>
          <w:sz w:val="48"/>
          <w:szCs w:val="48"/>
        </w:rPr>
      </w:pPr>
    </w:p>
    <w:p w14:paraId="263FDE72">
      <w:pPr>
        <w:spacing w:line="460" w:lineRule="exact"/>
        <w:jc w:val="center"/>
        <w:rPr>
          <w:rFonts w:hint="eastAsia" w:cs="仿宋_GB2312"/>
          <w:b/>
          <w:sz w:val="32"/>
          <w:szCs w:val="32"/>
          <w:shd w:val="clear" w:color="auto" w:fill="FFFFFF"/>
        </w:rPr>
      </w:pPr>
    </w:p>
    <w:p w14:paraId="59D00F27">
      <w:pPr>
        <w:spacing w:line="360" w:lineRule="auto"/>
        <w:jc w:val="center"/>
        <w:rPr>
          <w:rFonts w:hint="eastAsia" w:cs="仿宋_GB2312"/>
          <w:b/>
          <w:sz w:val="32"/>
          <w:szCs w:val="32"/>
          <w:shd w:val="clear" w:color="auto" w:fill="FFFFFF"/>
        </w:rPr>
      </w:pPr>
    </w:p>
    <w:p w14:paraId="3BD43CDC">
      <w:pPr>
        <w:spacing w:before="156" w:beforeLines="50" w:line="360" w:lineRule="auto"/>
        <w:jc w:val="center"/>
        <w:rPr>
          <w:rFonts w:hint="eastAsia" w:cs="仿宋_GB2312"/>
          <w:b/>
          <w:bCs/>
          <w:sz w:val="84"/>
          <w:szCs w:val="84"/>
        </w:rPr>
      </w:pPr>
      <w:r>
        <w:rPr>
          <w:rFonts w:hint="eastAsia" w:cs="仿宋_GB2312"/>
          <w:b/>
          <w:bCs/>
          <w:sz w:val="84"/>
          <w:szCs w:val="84"/>
        </w:rPr>
        <w:t>招标文件</w:t>
      </w:r>
    </w:p>
    <w:p w14:paraId="6A8D8E8C">
      <w:pPr>
        <w:spacing w:line="360" w:lineRule="auto"/>
        <w:jc w:val="center"/>
        <w:rPr>
          <w:rFonts w:hint="eastAsia" w:cs="仿宋_GB2312"/>
          <w:b/>
          <w:sz w:val="36"/>
          <w:szCs w:val="36"/>
        </w:rPr>
      </w:pPr>
    </w:p>
    <w:p w14:paraId="7AB86E98">
      <w:pPr>
        <w:spacing w:line="360" w:lineRule="auto"/>
        <w:jc w:val="center"/>
        <w:rPr>
          <w:rFonts w:hint="eastAsia" w:cs="仿宋_GB2312"/>
          <w:b/>
          <w:sz w:val="36"/>
          <w:szCs w:val="36"/>
        </w:rPr>
      </w:pPr>
      <w:r>
        <w:rPr>
          <w:rFonts w:hint="eastAsia"/>
        </w:rPr>
        <w:drawing>
          <wp:inline distT="0" distB="0" distL="114300" distR="114300">
            <wp:extent cx="1147445" cy="1403350"/>
            <wp:effectExtent l="0" t="0" r="14605" b="6350"/>
            <wp:docPr id="4" name="图片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3"/>
                    <pic:cNvPicPr>
                      <a:picLocks noChangeAspect="1"/>
                    </pic:cNvPicPr>
                  </pic:nvPicPr>
                  <pic:blipFill>
                    <a:blip r:embed="rId24"/>
                    <a:stretch>
                      <a:fillRect/>
                    </a:stretch>
                  </pic:blipFill>
                  <pic:spPr>
                    <a:xfrm>
                      <a:off x="0" y="0"/>
                      <a:ext cx="1147445" cy="1403350"/>
                    </a:xfrm>
                    <a:prstGeom prst="rect">
                      <a:avLst/>
                    </a:prstGeom>
                    <a:noFill/>
                    <a:ln>
                      <a:noFill/>
                    </a:ln>
                  </pic:spPr>
                </pic:pic>
              </a:graphicData>
            </a:graphic>
          </wp:inline>
        </w:drawing>
      </w:r>
    </w:p>
    <w:p w14:paraId="7E672E35">
      <w:pPr>
        <w:spacing w:line="360" w:lineRule="auto"/>
        <w:jc w:val="center"/>
        <w:rPr>
          <w:rFonts w:hint="eastAsia" w:cs="仿宋_GB2312"/>
          <w:b/>
          <w:sz w:val="36"/>
          <w:szCs w:val="36"/>
        </w:rPr>
      </w:pPr>
    </w:p>
    <w:p w14:paraId="7CB61C42">
      <w:pPr>
        <w:spacing w:line="460" w:lineRule="exact"/>
        <w:jc w:val="both"/>
        <w:rPr>
          <w:rFonts w:hint="eastAsia" w:cs="仿宋_GB2312"/>
          <w:b/>
          <w:sz w:val="36"/>
          <w:szCs w:val="36"/>
        </w:rPr>
      </w:pPr>
    </w:p>
    <w:p w14:paraId="3BBEB486">
      <w:pPr>
        <w:spacing w:line="460" w:lineRule="exact"/>
        <w:jc w:val="center"/>
        <w:rPr>
          <w:rFonts w:hint="eastAsia" w:cs="仿宋_GB2312"/>
          <w:b/>
          <w:sz w:val="28"/>
          <w:szCs w:val="28"/>
        </w:rPr>
      </w:pPr>
    </w:p>
    <w:p w14:paraId="1DC0E1AB">
      <w:pPr>
        <w:spacing w:line="560" w:lineRule="exact"/>
        <w:jc w:val="center"/>
        <w:rPr>
          <w:rFonts w:hint="eastAsia" w:cs="仿宋_GB2312"/>
          <w:b/>
          <w:sz w:val="28"/>
          <w:szCs w:val="28"/>
        </w:rPr>
      </w:pPr>
      <w:r>
        <w:rPr>
          <w:rFonts w:hint="eastAsia" w:cs="仿宋_GB2312"/>
          <w:b/>
          <w:sz w:val="28"/>
          <w:szCs w:val="28"/>
        </w:rPr>
        <w:t>招标人：陕西测绘地理信息局劳动就业服务中心</w:t>
      </w:r>
    </w:p>
    <w:p w14:paraId="1F929D94">
      <w:pPr>
        <w:spacing w:line="560" w:lineRule="exact"/>
        <w:jc w:val="center"/>
        <w:rPr>
          <w:rFonts w:hint="eastAsia" w:cs="仿宋_GB2312"/>
          <w:b/>
          <w:sz w:val="28"/>
          <w:szCs w:val="28"/>
        </w:rPr>
      </w:pPr>
      <w:r>
        <w:rPr>
          <w:rFonts w:hint="eastAsia" w:cs="仿宋_GB2312"/>
          <w:b/>
          <w:sz w:val="28"/>
          <w:szCs w:val="28"/>
        </w:rPr>
        <w:t>招标代理机构：陕西省招标有限责任公司</w:t>
      </w:r>
    </w:p>
    <w:p w14:paraId="53262A0F">
      <w:pPr>
        <w:jc w:val="center"/>
        <w:rPr>
          <w:rFonts w:hint="default" w:cs="仿宋_GB2312"/>
          <w:b/>
          <w:bCs/>
          <w:sz w:val="28"/>
          <w:szCs w:val="28"/>
          <w:lang w:val="en-US"/>
        </w:rPr>
        <w:sectPr>
          <w:footerReference r:id="rId3" w:type="default"/>
          <w:pgSz w:w="11906" w:h="16838"/>
          <w:pgMar w:top="1418" w:right="1555" w:bottom="1418" w:left="1531" w:header="851" w:footer="992" w:gutter="0"/>
          <w:pgNumType w:fmt="decimal"/>
          <w:cols w:space="720" w:num="1"/>
          <w:docGrid w:type="lines" w:linePitch="312" w:charSpace="0"/>
        </w:sectPr>
      </w:pPr>
      <w:r>
        <w:rPr>
          <w:rFonts w:hint="eastAsia" w:cs="仿宋_GB2312"/>
          <w:b/>
          <w:bCs/>
          <w:sz w:val="28"/>
          <w:szCs w:val="28"/>
        </w:rPr>
        <w:t>二〇二六年</w:t>
      </w:r>
      <w:r>
        <w:rPr>
          <w:rFonts w:hint="eastAsia" w:cs="仿宋_GB2312"/>
          <w:b/>
          <w:bCs/>
          <w:sz w:val="28"/>
          <w:szCs w:val="28"/>
          <w:lang w:val="en-US" w:eastAsia="zh-CN"/>
        </w:rPr>
        <w:t>六月</w:t>
      </w:r>
    </w:p>
    <w:p w14:paraId="227F3D64">
      <w:pPr>
        <w:spacing w:line="560" w:lineRule="exact"/>
        <w:jc w:val="both"/>
        <w:rPr>
          <w:rFonts w:ascii="Times New Roman" w:hAnsi="Times New Roman" w:cs="Times New Roman"/>
          <w:b/>
          <w:sz w:val="36"/>
          <w:szCs w:val="36"/>
        </w:rPr>
      </w:pPr>
    </w:p>
    <w:p w14:paraId="70D143FB">
      <w:pPr>
        <w:pStyle w:val="66"/>
        <w:spacing w:line="460" w:lineRule="exact"/>
        <w:jc w:val="center"/>
        <w:rPr>
          <w:rFonts w:ascii="Times New Roman" w:hAnsi="Times New Roman"/>
          <w:color w:val="auto"/>
          <w:sz w:val="48"/>
          <w:szCs w:val="48"/>
          <w:lang w:val="zh-CN"/>
        </w:rPr>
      </w:pPr>
      <w:r>
        <w:rPr>
          <w:rFonts w:ascii="Times New Roman" w:hAnsi="Times New Roman"/>
          <w:color w:val="auto"/>
          <w:sz w:val="48"/>
          <w:szCs w:val="48"/>
          <w:lang w:val="zh-CN"/>
        </w:rPr>
        <w:t>目录</w:t>
      </w:r>
    </w:p>
    <w:p w14:paraId="07B9B5EF">
      <w:pPr>
        <w:rPr>
          <w:rFonts w:ascii="Times New Roman" w:hAnsi="Times New Roman" w:cs="Times New Roman"/>
          <w:lang w:val="zh-CN"/>
        </w:rPr>
      </w:pPr>
    </w:p>
    <w:p w14:paraId="139A4D2C">
      <w:pPr>
        <w:pStyle w:val="33"/>
        <w:tabs>
          <w:tab w:val="right" w:leader="dot" w:pos="8820"/>
        </w:tabs>
        <w:spacing w:line="360" w:lineRule="auto"/>
        <w:rPr>
          <w:sz w:val="28"/>
          <w:szCs w:val="28"/>
        </w:rPr>
      </w:pPr>
      <w:r>
        <w:rPr>
          <w:rFonts w:ascii="Times New Roman" w:hAnsi="Times New Roman" w:cs="Times New Roman"/>
          <w:b/>
          <w:sz w:val="28"/>
          <w:szCs w:val="28"/>
        </w:rPr>
        <w:fldChar w:fldCharType="begin"/>
      </w:r>
      <w:r>
        <w:rPr>
          <w:rFonts w:ascii="Times New Roman" w:hAnsi="Times New Roman" w:cs="Times New Roman"/>
          <w:b/>
          <w:sz w:val="28"/>
          <w:szCs w:val="28"/>
        </w:rPr>
        <w:instrText xml:space="preserve"> TOC \o "1-3" \h \z \u </w:instrText>
      </w:r>
      <w:r>
        <w:rPr>
          <w:rFonts w:ascii="Times New Roman" w:hAnsi="Times New Roman" w:cs="Times New Roman"/>
          <w:b/>
          <w:sz w:val="28"/>
          <w:szCs w:val="28"/>
        </w:rPr>
        <w:fldChar w:fldCharType="separate"/>
      </w:r>
      <w:r>
        <w:rPr>
          <w:rFonts w:ascii="Times New Roman" w:hAnsi="Times New Roman" w:cs="Times New Roman"/>
          <w:sz w:val="28"/>
          <w:szCs w:val="32"/>
        </w:rPr>
        <w:fldChar w:fldCharType="begin"/>
      </w:r>
      <w:r>
        <w:rPr>
          <w:rFonts w:ascii="Times New Roman" w:hAnsi="Times New Roman" w:cs="Times New Roman"/>
          <w:sz w:val="28"/>
          <w:szCs w:val="32"/>
        </w:rPr>
        <w:instrText xml:space="preserve"> HYPERLINK \l _Toc13706 </w:instrText>
      </w:r>
      <w:r>
        <w:rPr>
          <w:rFonts w:ascii="Times New Roman" w:hAnsi="Times New Roman" w:cs="Times New Roman"/>
          <w:sz w:val="28"/>
          <w:szCs w:val="32"/>
        </w:rPr>
        <w:fldChar w:fldCharType="separate"/>
      </w:r>
      <w:r>
        <w:rPr>
          <w:rFonts w:ascii="Times New Roman" w:hAnsi="Times New Roman" w:cs="Times New Roman"/>
          <w:sz w:val="28"/>
          <w:szCs w:val="28"/>
        </w:rPr>
        <w:t xml:space="preserve">第一部分  </w:t>
      </w:r>
      <w:r>
        <w:rPr>
          <w:rFonts w:hint="eastAsia" w:ascii="Times New Roman" w:hAnsi="Times New Roman" w:cs="Times New Roman"/>
          <w:sz w:val="28"/>
          <w:szCs w:val="28"/>
        </w:rPr>
        <w:t>招标公告</w:t>
      </w:r>
      <w:r>
        <w:rPr>
          <w:sz w:val="28"/>
          <w:szCs w:val="28"/>
        </w:rPr>
        <w:tab/>
      </w:r>
      <w:r>
        <w:rPr>
          <w:sz w:val="28"/>
          <w:szCs w:val="28"/>
        </w:rPr>
        <w:fldChar w:fldCharType="begin"/>
      </w:r>
      <w:r>
        <w:rPr>
          <w:sz w:val="28"/>
          <w:szCs w:val="28"/>
        </w:rPr>
        <w:instrText xml:space="preserve"> PAGEREF _Toc13706 \h </w:instrText>
      </w:r>
      <w:r>
        <w:rPr>
          <w:sz w:val="28"/>
          <w:szCs w:val="28"/>
        </w:rPr>
        <w:fldChar w:fldCharType="separate"/>
      </w:r>
      <w:r>
        <w:rPr>
          <w:sz w:val="28"/>
          <w:szCs w:val="28"/>
        </w:rPr>
        <w:t>1</w:t>
      </w:r>
      <w:r>
        <w:rPr>
          <w:sz w:val="28"/>
          <w:szCs w:val="28"/>
        </w:rPr>
        <w:fldChar w:fldCharType="end"/>
      </w:r>
      <w:r>
        <w:rPr>
          <w:rFonts w:ascii="Times New Roman" w:hAnsi="Times New Roman" w:cs="Times New Roman"/>
          <w:sz w:val="28"/>
          <w:szCs w:val="32"/>
        </w:rPr>
        <w:fldChar w:fldCharType="end"/>
      </w:r>
    </w:p>
    <w:p w14:paraId="7CA8BF4F">
      <w:pPr>
        <w:pStyle w:val="33"/>
        <w:tabs>
          <w:tab w:val="right" w:leader="dot" w:pos="8820"/>
        </w:tabs>
        <w:spacing w:line="360" w:lineRule="auto"/>
        <w:rPr>
          <w:sz w:val="28"/>
          <w:szCs w:val="28"/>
        </w:rPr>
      </w:pPr>
      <w:r>
        <w:rPr>
          <w:rFonts w:ascii="Times New Roman" w:hAnsi="Times New Roman" w:cs="Times New Roman"/>
          <w:sz w:val="28"/>
          <w:szCs w:val="32"/>
        </w:rPr>
        <w:fldChar w:fldCharType="begin"/>
      </w:r>
      <w:r>
        <w:rPr>
          <w:rFonts w:ascii="Times New Roman" w:hAnsi="Times New Roman" w:cs="Times New Roman"/>
          <w:sz w:val="28"/>
          <w:szCs w:val="32"/>
        </w:rPr>
        <w:instrText xml:space="preserve"> HYPERLINK \l _Toc26488 </w:instrText>
      </w:r>
      <w:r>
        <w:rPr>
          <w:rFonts w:ascii="Times New Roman" w:hAnsi="Times New Roman" w:cs="Times New Roman"/>
          <w:sz w:val="28"/>
          <w:szCs w:val="32"/>
        </w:rPr>
        <w:fldChar w:fldCharType="separate"/>
      </w:r>
      <w:r>
        <w:rPr>
          <w:rFonts w:ascii="Times New Roman" w:hAnsi="Times New Roman" w:cs="Times New Roman"/>
          <w:sz w:val="28"/>
          <w:szCs w:val="28"/>
        </w:rPr>
        <w:t>第二部分  投标人须知</w:t>
      </w:r>
      <w:r>
        <w:rPr>
          <w:sz w:val="28"/>
          <w:szCs w:val="28"/>
        </w:rPr>
        <w:tab/>
      </w:r>
      <w:r>
        <w:rPr>
          <w:sz w:val="28"/>
          <w:szCs w:val="28"/>
        </w:rPr>
        <w:fldChar w:fldCharType="begin"/>
      </w:r>
      <w:r>
        <w:rPr>
          <w:sz w:val="28"/>
          <w:szCs w:val="28"/>
        </w:rPr>
        <w:instrText xml:space="preserve"> PAGEREF _Toc26488 \h </w:instrText>
      </w:r>
      <w:r>
        <w:rPr>
          <w:sz w:val="28"/>
          <w:szCs w:val="28"/>
        </w:rPr>
        <w:fldChar w:fldCharType="separate"/>
      </w:r>
      <w:r>
        <w:rPr>
          <w:sz w:val="28"/>
          <w:szCs w:val="28"/>
        </w:rPr>
        <w:t>4</w:t>
      </w:r>
      <w:r>
        <w:rPr>
          <w:sz w:val="28"/>
          <w:szCs w:val="28"/>
        </w:rPr>
        <w:fldChar w:fldCharType="end"/>
      </w:r>
      <w:r>
        <w:rPr>
          <w:rFonts w:ascii="Times New Roman" w:hAnsi="Times New Roman" w:cs="Times New Roman"/>
          <w:sz w:val="28"/>
          <w:szCs w:val="32"/>
        </w:rPr>
        <w:fldChar w:fldCharType="end"/>
      </w:r>
    </w:p>
    <w:p w14:paraId="36963477">
      <w:pPr>
        <w:pStyle w:val="33"/>
        <w:tabs>
          <w:tab w:val="right" w:leader="dot" w:pos="8820"/>
        </w:tabs>
        <w:spacing w:line="360" w:lineRule="auto"/>
        <w:rPr>
          <w:sz w:val="28"/>
          <w:szCs w:val="28"/>
        </w:rPr>
      </w:pPr>
      <w:r>
        <w:rPr>
          <w:rFonts w:ascii="Times New Roman" w:hAnsi="Times New Roman" w:cs="Times New Roman"/>
          <w:sz w:val="28"/>
          <w:szCs w:val="32"/>
        </w:rPr>
        <w:fldChar w:fldCharType="begin"/>
      </w:r>
      <w:r>
        <w:rPr>
          <w:rFonts w:ascii="Times New Roman" w:hAnsi="Times New Roman" w:cs="Times New Roman"/>
          <w:sz w:val="28"/>
          <w:szCs w:val="32"/>
        </w:rPr>
        <w:instrText xml:space="preserve"> HYPERLINK \l _Toc27607 </w:instrText>
      </w:r>
      <w:r>
        <w:rPr>
          <w:rFonts w:ascii="Times New Roman" w:hAnsi="Times New Roman" w:cs="Times New Roman"/>
          <w:sz w:val="28"/>
          <w:szCs w:val="32"/>
        </w:rPr>
        <w:fldChar w:fldCharType="separate"/>
      </w:r>
      <w:r>
        <w:rPr>
          <w:sz w:val="28"/>
          <w:szCs w:val="28"/>
        </w:rPr>
        <w:t xml:space="preserve">第三部分 </w:t>
      </w:r>
      <w:r>
        <w:rPr>
          <w:rFonts w:hint="eastAsia"/>
          <w:sz w:val="28"/>
          <w:szCs w:val="28"/>
          <w:lang w:val="en-US" w:eastAsia="zh-CN"/>
        </w:rPr>
        <w:t xml:space="preserve"> </w:t>
      </w:r>
      <w:r>
        <w:rPr>
          <w:sz w:val="28"/>
          <w:szCs w:val="28"/>
        </w:rPr>
        <w:t>评标办法</w:t>
      </w:r>
      <w:r>
        <w:rPr>
          <w:sz w:val="28"/>
          <w:szCs w:val="28"/>
        </w:rPr>
        <w:tab/>
      </w:r>
      <w:r>
        <w:rPr>
          <w:sz w:val="28"/>
          <w:szCs w:val="28"/>
        </w:rPr>
        <w:fldChar w:fldCharType="begin"/>
      </w:r>
      <w:r>
        <w:rPr>
          <w:sz w:val="28"/>
          <w:szCs w:val="28"/>
        </w:rPr>
        <w:instrText xml:space="preserve"> PAGEREF _Toc27607 \h </w:instrText>
      </w:r>
      <w:r>
        <w:rPr>
          <w:sz w:val="28"/>
          <w:szCs w:val="28"/>
        </w:rPr>
        <w:fldChar w:fldCharType="separate"/>
      </w:r>
      <w:r>
        <w:rPr>
          <w:sz w:val="28"/>
          <w:szCs w:val="28"/>
        </w:rPr>
        <w:t>26</w:t>
      </w:r>
      <w:r>
        <w:rPr>
          <w:sz w:val="28"/>
          <w:szCs w:val="28"/>
        </w:rPr>
        <w:fldChar w:fldCharType="end"/>
      </w:r>
      <w:r>
        <w:rPr>
          <w:rFonts w:ascii="Times New Roman" w:hAnsi="Times New Roman" w:cs="Times New Roman"/>
          <w:sz w:val="28"/>
          <w:szCs w:val="32"/>
        </w:rPr>
        <w:fldChar w:fldCharType="end"/>
      </w:r>
    </w:p>
    <w:p w14:paraId="59FF2E39">
      <w:pPr>
        <w:pStyle w:val="33"/>
        <w:tabs>
          <w:tab w:val="right" w:leader="dot" w:pos="8820"/>
        </w:tabs>
        <w:spacing w:line="360" w:lineRule="auto"/>
        <w:rPr>
          <w:sz w:val="28"/>
          <w:szCs w:val="28"/>
        </w:rPr>
      </w:pPr>
      <w:r>
        <w:rPr>
          <w:rFonts w:ascii="Times New Roman" w:hAnsi="Times New Roman" w:cs="Times New Roman"/>
          <w:sz w:val="28"/>
          <w:szCs w:val="32"/>
        </w:rPr>
        <w:fldChar w:fldCharType="begin"/>
      </w:r>
      <w:r>
        <w:rPr>
          <w:rFonts w:ascii="Times New Roman" w:hAnsi="Times New Roman" w:cs="Times New Roman"/>
          <w:sz w:val="28"/>
          <w:szCs w:val="32"/>
        </w:rPr>
        <w:instrText xml:space="preserve"> HYPERLINK \l _Toc3553 </w:instrText>
      </w:r>
      <w:r>
        <w:rPr>
          <w:rFonts w:ascii="Times New Roman" w:hAnsi="Times New Roman" w:cs="Times New Roman"/>
          <w:sz w:val="28"/>
          <w:szCs w:val="32"/>
        </w:rPr>
        <w:fldChar w:fldCharType="separate"/>
      </w:r>
      <w:r>
        <w:rPr>
          <w:rFonts w:ascii="Times New Roman" w:hAnsi="Times New Roman" w:cs="Times New Roman"/>
          <w:bCs w:val="0"/>
          <w:sz w:val="28"/>
          <w:szCs w:val="28"/>
        </w:rPr>
        <w:t xml:space="preserve">第四部分 </w:t>
      </w:r>
      <w:r>
        <w:rPr>
          <w:rFonts w:hint="eastAsia" w:ascii="Times New Roman" w:hAnsi="Times New Roman" w:cs="Times New Roman"/>
          <w:bCs w:val="0"/>
          <w:sz w:val="28"/>
          <w:szCs w:val="28"/>
        </w:rPr>
        <w:t xml:space="preserve"> </w:t>
      </w:r>
      <w:r>
        <w:rPr>
          <w:rFonts w:ascii="Times New Roman" w:hAnsi="Times New Roman" w:cs="Times New Roman"/>
          <w:bCs w:val="0"/>
          <w:sz w:val="28"/>
          <w:szCs w:val="28"/>
        </w:rPr>
        <w:t>合同</w:t>
      </w:r>
      <w:r>
        <w:rPr>
          <w:sz w:val="28"/>
          <w:szCs w:val="28"/>
        </w:rPr>
        <w:tab/>
      </w:r>
      <w:r>
        <w:rPr>
          <w:sz w:val="28"/>
          <w:szCs w:val="28"/>
        </w:rPr>
        <w:fldChar w:fldCharType="begin"/>
      </w:r>
      <w:r>
        <w:rPr>
          <w:sz w:val="28"/>
          <w:szCs w:val="28"/>
        </w:rPr>
        <w:instrText xml:space="preserve"> PAGEREF _Toc3553 \h </w:instrText>
      </w:r>
      <w:r>
        <w:rPr>
          <w:sz w:val="28"/>
          <w:szCs w:val="28"/>
        </w:rPr>
        <w:fldChar w:fldCharType="separate"/>
      </w:r>
      <w:r>
        <w:rPr>
          <w:sz w:val="28"/>
          <w:szCs w:val="28"/>
        </w:rPr>
        <w:t>35</w:t>
      </w:r>
      <w:r>
        <w:rPr>
          <w:sz w:val="28"/>
          <w:szCs w:val="28"/>
        </w:rPr>
        <w:fldChar w:fldCharType="end"/>
      </w:r>
      <w:r>
        <w:rPr>
          <w:rFonts w:ascii="Times New Roman" w:hAnsi="Times New Roman" w:cs="Times New Roman"/>
          <w:sz w:val="28"/>
          <w:szCs w:val="32"/>
        </w:rPr>
        <w:fldChar w:fldCharType="end"/>
      </w:r>
    </w:p>
    <w:p w14:paraId="2F893813">
      <w:pPr>
        <w:pStyle w:val="33"/>
        <w:tabs>
          <w:tab w:val="right" w:leader="dot" w:pos="8820"/>
        </w:tabs>
        <w:spacing w:line="360" w:lineRule="auto"/>
        <w:rPr>
          <w:sz w:val="28"/>
          <w:szCs w:val="28"/>
        </w:rPr>
      </w:pPr>
      <w:r>
        <w:rPr>
          <w:rFonts w:ascii="Times New Roman" w:hAnsi="Times New Roman" w:cs="Times New Roman"/>
          <w:sz w:val="28"/>
          <w:szCs w:val="32"/>
        </w:rPr>
        <w:fldChar w:fldCharType="begin"/>
      </w:r>
      <w:r>
        <w:rPr>
          <w:rFonts w:ascii="Times New Roman" w:hAnsi="Times New Roman" w:cs="Times New Roman"/>
          <w:sz w:val="28"/>
          <w:szCs w:val="32"/>
        </w:rPr>
        <w:instrText xml:space="preserve"> HYPERLINK \l _Toc8101 </w:instrText>
      </w:r>
      <w:r>
        <w:rPr>
          <w:rFonts w:ascii="Times New Roman" w:hAnsi="Times New Roman" w:cs="Times New Roman"/>
          <w:sz w:val="28"/>
          <w:szCs w:val="32"/>
        </w:rPr>
        <w:fldChar w:fldCharType="separate"/>
      </w:r>
      <w:r>
        <w:rPr>
          <w:rFonts w:ascii="Times New Roman" w:hAnsi="Times New Roman" w:cs="Times New Roman"/>
          <w:bCs w:val="0"/>
          <w:sz w:val="28"/>
          <w:szCs w:val="28"/>
        </w:rPr>
        <w:t>第五部分  技术标准和要求</w:t>
      </w:r>
      <w:r>
        <w:rPr>
          <w:sz w:val="28"/>
          <w:szCs w:val="28"/>
        </w:rPr>
        <w:tab/>
      </w:r>
      <w:r>
        <w:rPr>
          <w:sz w:val="28"/>
          <w:szCs w:val="28"/>
        </w:rPr>
        <w:fldChar w:fldCharType="begin"/>
      </w:r>
      <w:r>
        <w:rPr>
          <w:sz w:val="28"/>
          <w:szCs w:val="28"/>
        </w:rPr>
        <w:instrText xml:space="preserve"> PAGEREF _Toc8101 \h </w:instrText>
      </w:r>
      <w:r>
        <w:rPr>
          <w:sz w:val="28"/>
          <w:szCs w:val="28"/>
        </w:rPr>
        <w:fldChar w:fldCharType="separate"/>
      </w:r>
      <w:r>
        <w:rPr>
          <w:sz w:val="28"/>
          <w:szCs w:val="28"/>
        </w:rPr>
        <w:t>137</w:t>
      </w:r>
      <w:r>
        <w:rPr>
          <w:sz w:val="28"/>
          <w:szCs w:val="28"/>
        </w:rPr>
        <w:fldChar w:fldCharType="end"/>
      </w:r>
      <w:r>
        <w:rPr>
          <w:rFonts w:ascii="Times New Roman" w:hAnsi="Times New Roman" w:cs="Times New Roman"/>
          <w:sz w:val="28"/>
          <w:szCs w:val="32"/>
        </w:rPr>
        <w:fldChar w:fldCharType="end"/>
      </w:r>
    </w:p>
    <w:p w14:paraId="2A9C7CC6">
      <w:pPr>
        <w:pStyle w:val="33"/>
        <w:tabs>
          <w:tab w:val="right" w:leader="dot" w:pos="8820"/>
        </w:tabs>
        <w:spacing w:line="360" w:lineRule="auto"/>
        <w:rPr>
          <w:sz w:val="28"/>
          <w:szCs w:val="28"/>
        </w:rPr>
      </w:pPr>
      <w:r>
        <w:rPr>
          <w:rFonts w:ascii="Times New Roman" w:hAnsi="Times New Roman" w:cs="Times New Roman"/>
          <w:sz w:val="28"/>
          <w:szCs w:val="32"/>
        </w:rPr>
        <w:fldChar w:fldCharType="begin"/>
      </w:r>
      <w:r>
        <w:rPr>
          <w:rFonts w:ascii="Times New Roman" w:hAnsi="Times New Roman" w:cs="Times New Roman"/>
          <w:sz w:val="28"/>
          <w:szCs w:val="32"/>
        </w:rPr>
        <w:instrText xml:space="preserve"> HYPERLINK \l _Toc24468 </w:instrText>
      </w:r>
      <w:r>
        <w:rPr>
          <w:rFonts w:ascii="Times New Roman" w:hAnsi="Times New Roman" w:cs="Times New Roman"/>
          <w:sz w:val="28"/>
          <w:szCs w:val="32"/>
        </w:rPr>
        <w:fldChar w:fldCharType="separate"/>
      </w:r>
      <w:r>
        <w:rPr>
          <w:rFonts w:ascii="Times New Roman" w:hAnsi="Times New Roman" w:cs="Times New Roman"/>
          <w:sz w:val="28"/>
          <w:szCs w:val="28"/>
        </w:rPr>
        <w:t xml:space="preserve">第六部分  </w:t>
      </w:r>
      <w:r>
        <w:rPr>
          <w:rFonts w:hint="eastAsia" w:ascii="Times New Roman" w:hAnsi="Times New Roman" w:cs="Times New Roman"/>
          <w:sz w:val="28"/>
          <w:szCs w:val="28"/>
        </w:rPr>
        <w:t>工程量清单及图纸</w:t>
      </w:r>
      <w:r>
        <w:rPr>
          <w:sz w:val="28"/>
          <w:szCs w:val="28"/>
        </w:rPr>
        <w:tab/>
      </w:r>
      <w:r>
        <w:rPr>
          <w:sz w:val="28"/>
          <w:szCs w:val="28"/>
        </w:rPr>
        <w:fldChar w:fldCharType="begin"/>
      </w:r>
      <w:r>
        <w:rPr>
          <w:sz w:val="28"/>
          <w:szCs w:val="28"/>
        </w:rPr>
        <w:instrText xml:space="preserve"> PAGEREF _Toc24468 \h </w:instrText>
      </w:r>
      <w:r>
        <w:rPr>
          <w:sz w:val="28"/>
          <w:szCs w:val="28"/>
        </w:rPr>
        <w:fldChar w:fldCharType="separate"/>
      </w:r>
      <w:r>
        <w:rPr>
          <w:sz w:val="28"/>
          <w:szCs w:val="28"/>
        </w:rPr>
        <w:t>142</w:t>
      </w:r>
      <w:r>
        <w:rPr>
          <w:sz w:val="28"/>
          <w:szCs w:val="28"/>
        </w:rPr>
        <w:fldChar w:fldCharType="end"/>
      </w:r>
      <w:r>
        <w:rPr>
          <w:rFonts w:ascii="Times New Roman" w:hAnsi="Times New Roman" w:cs="Times New Roman"/>
          <w:sz w:val="28"/>
          <w:szCs w:val="32"/>
        </w:rPr>
        <w:fldChar w:fldCharType="end"/>
      </w:r>
    </w:p>
    <w:p w14:paraId="6816AC38">
      <w:pPr>
        <w:pStyle w:val="33"/>
        <w:tabs>
          <w:tab w:val="right" w:leader="dot" w:pos="8820"/>
        </w:tabs>
        <w:spacing w:line="360" w:lineRule="auto"/>
        <w:rPr>
          <w:sz w:val="28"/>
          <w:szCs w:val="28"/>
        </w:rPr>
      </w:pPr>
      <w:r>
        <w:rPr>
          <w:rFonts w:ascii="Times New Roman" w:hAnsi="Times New Roman" w:cs="Times New Roman"/>
          <w:sz w:val="28"/>
          <w:szCs w:val="32"/>
        </w:rPr>
        <w:fldChar w:fldCharType="begin"/>
      </w:r>
      <w:r>
        <w:rPr>
          <w:rFonts w:ascii="Times New Roman" w:hAnsi="Times New Roman" w:cs="Times New Roman"/>
          <w:sz w:val="28"/>
          <w:szCs w:val="32"/>
        </w:rPr>
        <w:instrText xml:space="preserve"> HYPERLINK \l _Toc22942 </w:instrText>
      </w:r>
      <w:r>
        <w:rPr>
          <w:rFonts w:ascii="Times New Roman" w:hAnsi="Times New Roman" w:cs="Times New Roman"/>
          <w:sz w:val="28"/>
          <w:szCs w:val="32"/>
        </w:rPr>
        <w:fldChar w:fldCharType="separate"/>
      </w:r>
      <w:r>
        <w:rPr>
          <w:rFonts w:ascii="Times New Roman" w:hAnsi="Times New Roman" w:cs="Times New Roman"/>
          <w:sz w:val="28"/>
          <w:szCs w:val="28"/>
        </w:rPr>
        <w:t>第</w:t>
      </w:r>
      <w:r>
        <w:rPr>
          <w:rFonts w:hint="eastAsia" w:ascii="Times New Roman" w:hAnsi="Times New Roman" w:cs="Times New Roman"/>
          <w:sz w:val="28"/>
          <w:szCs w:val="28"/>
        </w:rPr>
        <w:t>七</w:t>
      </w:r>
      <w:r>
        <w:rPr>
          <w:rFonts w:ascii="Times New Roman" w:hAnsi="Times New Roman" w:cs="Times New Roman"/>
          <w:sz w:val="28"/>
          <w:szCs w:val="28"/>
        </w:rPr>
        <w:t>部分  投标文件格式</w:t>
      </w:r>
      <w:r>
        <w:rPr>
          <w:sz w:val="28"/>
          <w:szCs w:val="28"/>
        </w:rPr>
        <w:tab/>
      </w:r>
      <w:r>
        <w:rPr>
          <w:sz w:val="28"/>
          <w:szCs w:val="28"/>
        </w:rPr>
        <w:fldChar w:fldCharType="begin"/>
      </w:r>
      <w:r>
        <w:rPr>
          <w:sz w:val="28"/>
          <w:szCs w:val="28"/>
        </w:rPr>
        <w:instrText xml:space="preserve"> PAGEREF _Toc22942 \h </w:instrText>
      </w:r>
      <w:r>
        <w:rPr>
          <w:sz w:val="28"/>
          <w:szCs w:val="28"/>
        </w:rPr>
        <w:fldChar w:fldCharType="separate"/>
      </w:r>
      <w:r>
        <w:rPr>
          <w:sz w:val="28"/>
          <w:szCs w:val="28"/>
        </w:rPr>
        <w:t>143</w:t>
      </w:r>
      <w:r>
        <w:rPr>
          <w:sz w:val="28"/>
          <w:szCs w:val="28"/>
        </w:rPr>
        <w:fldChar w:fldCharType="end"/>
      </w:r>
      <w:r>
        <w:rPr>
          <w:rFonts w:ascii="Times New Roman" w:hAnsi="Times New Roman" w:cs="Times New Roman"/>
          <w:sz w:val="28"/>
          <w:szCs w:val="32"/>
        </w:rPr>
        <w:fldChar w:fldCharType="end"/>
      </w:r>
    </w:p>
    <w:p w14:paraId="362D6F69">
      <w:pPr>
        <w:pStyle w:val="39"/>
        <w:tabs>
          <w:tab w:val="right" w:leader="dot" w:pos="8820"/>
        </w:tabs>
      </w:pPr>
    </w:p>
    <w:p w14:paraId="36E0697D">
      <w:pPr>
        <w:jc w:val="center"/>
        <w:rPr>
          <w:rFonts w:ascii="Times New Roman" w:hAnsi="Times New Roman" w:cs="Times New Roman"/>
        </w:rPr>
      </w:pPr>
      <w:r>
        <w:rPr>
          <w:rFonts w:ascii="Times New Roman" w:hAnsi="Times New Roman" w:cs="Times New Roman"/>
          <w:szCs w:val="28"/>
        </w:rPr>
        <w:fldChar w:fldCharType="end"/>
      </w:r>
    </w:p>
    <w:p w14:paraId="74498026">
      <w:pPr>
        <w:jc w:val="center"/>
        <w:rPr>
          <w:rFonts w:ascii="Times New Roman" w:hAnsi="Times New Roman" w:cs="Times New Roman"/>
        </w:rPr>
      </w:pPr>
    </w:p>
    <w:p w14:paraId="341E42E4">
      <w:pPr>
        <w:jc w:val="center"/>
        <w:rPr>
          <w:rFonts w:ascii="Times New Roman" w:hAnsi="Times New Roman" w:cs="Times New Roman"/>
        </w:rPr>
      </w:pPr>
    </w:p>
    <w:p w14:paraId="277A0FD9">
      <w:pPr>
        <w:jc w:val="center"/>
        <w:rPr>
          <w:rFonts w:ascii="Times New Roman" w:hAnsi="Times New Roman" w:cs="Times New Roman"/>
        </w:rPr>
      </w:pPr>
    </w:p>
    <w:p w14:paraId="704EC7EA">
      <w:pPr>
        <w:jc w:val="center"/>
        <w:rPr>
          <w:rFonts w:ascii="Times New Roman" w:hAnsi="Times New Roman" w:cs="Times New Roman"/>
        </w:rPr>
      </w:pPr>
    </w:p>
    <w:p w14:paraId="71F7C201">
      <w:pPr>
        <w:jc w:val="center"/>
        <w:rPr>
          <w:rFonts w:ascii="Times New Roman" w:hAnsi="Times New Roman" w:cs="Times New Roman"/>
        </w:rPr>
      </w:pPr>
    </w:p>
    <w:p w14:paraId="6D637D4B">
      <w:pPr>
        <w:jc w:val="center"/>
        <w:rPr>
          <w:rFonts w:ascii="Times New Roman" w:hAnsi="Times New Roman" w:cs="Times New Roman"/>
        </w:rPr>
      </w:pPr>
    </w:p>
    <w:p w14:paraId="71E53DFF">
      <w:pPr>
        <w:jc w:val="center"/>
        <w:rPr>
          <w:rFonts w:ascii="Times New Roman" w:hAnsi="Times New Roman" w:cs="Times New Roman"/>
        </w:rPr>
      </w:pPr>
    </w:p>
    <w:p w14:paraId="7B5F5ADB">
      <w:pPr>
        <w:jc w:val="center"/>
        <w:rPr>
          <w:rFonts w:ascii="Times New Roman" w:hAnsi="Times New Roman" w:cs="Times New Roman"/>
        </w:rPr>
      </w:pPr>
    </w:p>
    <w:p w14:paraId="23DAA982">
      <w:pPr>
        <w:jc w:val="center"/>
        <w:rPr>
          <w:rFonts w:ascii="Times New Roman" w:hAnsi="Times New Roman" w:cs="Times New Roman"/>
        </w:rPr>
      </w:pPr>
    </w:p>
    <w:p w14:paraId="6EE60E81">
      <w:pPr>
        <w:jc w:val="center"/>
        <w:rPr>
          <w:rFonts w:ascii="Times New Roman" w:hAnsi="Times New Roman" w:cs="Times New Roman"/>
        </w:rPr>
      </w:pPr>
    </w:p>
    <w:p w14:paraId="34BD8D62">
      <w:pPr>
        <w:jc w:val="center"/>
        <w:rPr>
          <w:rFonts w:ascii="Times New Roman" w:hAnsi="Times New Roman" w:cs="Times New Roman"/>
        </w:rPr>
      </w:pPr>
    </w:p>
    <w:p w14:paraId="69BFD1DF">
      <w:pPr>
        <w:jc w:val="center"/>
        <w:rPr>
          <w:rFonts w:ascii="Times New Roman" w:hAnsi="Times New Roman" w:cs="Times New Roman"/>
        </w:rPr>
      </w:pPr>
    </w:p>
    <w:p w14:paraId="6AC8F0FC">
      <w:pPr>
        <w:jc w:val="center"/>
        <w:rPr>
          <w:rFonts w:ascii="Times New Roman" w:hAnsi="Times New Roman" w:cs="Times New Roman"/>
        </w:rPr>
      </w:pPr>
    </w:p>
    <w:p w14:paraId="7CE0D685">
      <w:pPr>
        <w:jc w:val="center"/>
        <w:rPr>
          <w:rFonts w:ascii="Times New Roman" w:hAnsi="Times New Roman" w:cs="Times New Roman"/>
        </w:rPr>
      </w:pPr>
    </w:p>
    <w:p w14:paraId="2A7B410D">
      <w:pPr>
        <w:pStyle w:val="3"/>
        <w:spacing w:before="0" w:after="0" w:line="460" w:lineRule="exact"/>
        <w:jc w:val="center"/>
        <w:rPr>
          <w:rFonts w:ascii="Times New Roman" w:hAnsi="Times New Roman" w:cs="Times New Roman"/>
        </w:rPr>
        <w:sectPr>
          <w:footerReference r:id="rId4" w:type="default"/>
          <w:pgSz w:w="11906" w:h="16838"/>
          <w:pgMar w:top="1418" w:right="1555" w:bottom="1418" w:left="1531" w:header="851" w:footer="992" w:gutter="0"/>
          <w:pgNumType w:fmt="decimal" w:start="1"/>
          <w:cols w:space="720" w:num="1"/>
          <w:docGrid w:type="lines" w:linePitch="312" w:charSpace="0"/>
        </w:sectPr>
      </w:pPr>
    </w:p>
    <w:p w14:paraId="0BBD0AE5">
      <w:pPr>
        <w:pStyle w:val="3"/>
        <w:spacing w:before="0" w:after="0" w:line="460" w:lineRule="exact"/>
        <w:jc w:val="center"/>
        <w:rPr>
          <w:rFonts w:ascii="Times New Roman" w:hAnsi="Times New Roman" w:cs="Times New Roman"/>
          <w:b w:val="0"/>
          <w:sz w:val="32"/>
          <w:szCs w:val="32"/>
        </w:rPr>
      </w:pPr>
      <w:bookmarkStart w:id="0" w:name="_Toc13706"/>
      <w:r>
        <w:rPr>
          <w:rFonts w:ascii="Times New Roman" w:hAnsi="Times New Roman" w:cs="Times New Roman"/>
        </w:rPr>
        <w:t xml:space="preserve">第一部分  </w:t>
      </w:r>
      <w:r>
        <w:rPr>
          <w:rFonts w:hint="eastAsia" w:ascii="Times New Roman" w:hAnsi="Times New Roman" w:cs="Times New Roman"/>
        </w:rPr>
        <w:t>招标公告</w:t>
      </w:r>
      <w:bookmarkEnd w:id="0"/>
    </w:p>
    <w:p w14:paraId="1C3E917E">
      <w:pPr>
        <w:spacing w:line="360" w:lineRule="auto"/>
        <w:rPr>
          <w:rFonts w:hint="eastAsia"/>
          <w:sz w:val="21"/>
          <w:szCs w:val="21"/>
        </w:rPr>
      </w:pPr>
      <w:bookmarkStart w:id="1" w:name="_Toc493931893"/>
      <w:bookmarkStart w:id="2" w:name="_Hlk524699175"/>
      <w:bookmarkStart w:id="3" w:name="_Toc363119276"/>
      <w:bookmarkStart w:id="4" w:name="_Toc490849897"/>
      <w:r>
        <w:rPr>
          <w:rFonts w:hint="eastAsia"/>
          <w:sz w:val="21"/>
          <w:szCs w:val="21"/>
        </w:rPr>
        <w:t>项目概况</w:t>
      </w:r>
    </w:p>
    <w:p w14:paraId="2E0D46D6">
      <w:pPr>
        <w:spacing w:line="360" w:lineRule="auto"/>
        <w:ind w:firstLine="420" w:firstLineChars="200"/>
        <w:jc w:val="both"/>
        <w:rPr>
          <w:rFonts w:hint="eastAsia"/>
          <w:sz w:val="21"/>
          <w:szCs w:val="21"/>
        </w:rPr>
      </w:pPr>
      <w:r>
        <w:rPr>
          <w:rFonts w:hint="eastAsia"/>
          <w:sz w:val="21"/>
          <w:szCs w:val="21"/>
        </w:rPr>
        <w:t>陕西测绘地理信息局测绘综合楼六层修缮改造招标项目的潜在投标人应在西安市碑林区和平路108号佳腾大厦7层招标二部获取招标文件，并于2026年</w:t>
      </w:r>
      <w:r>
        <w:rPr>
          <w:rFonts w:hint="eastAsia"/>
          <w:sz w:val="21"/>
          <w:szCs w:val="21"/>
          <w:lang w:val="en-US" w:eastAsia="zh-CN"/>
        </w:rPr>
        <w:t>7</w:t>
      </w:r>
      <w:r>
        <w:rPr>
          <w:rFonts w:hint="eastAsia"/>
          <w:sz w:val="21"/>
          <w:szCs w:val="21"/>
        </w:rPr>
        <w:t>月</w:t>
      </w:r>
      <w:r>
        <w:rPr>
          <w:rFonts w:hint="eastAsia"/>
          <w:sz w:val="21"/>
          <w:szCs w:val="21"/>
          <w:lang w:val="en-US" w:eastAsia="zh-CN"/>
        </w:rPr>
        <w:t>7</w:t>
      </w:r>
      <w:r>
        <w:rPr>
          <w:rFonts w:hint="eastAsia"/>
          <w:sz w:val="21"/>
          <w:szCs w:val="21"/>
        </w:rPr>
        <w:t>日09点30分（北京时间）前递交投标文件。</w:t>
      </w:r>
    </w:p>
    <w:p w14:paraId="075AF8F1">
      <w:pPr>
        <w:spacing w:line="360" w:lineRule="auto"/>
        <w:outlineLvl w:val="1"/>
        <w:rPr>
          <w:rFonts w:hint="eastAsia"/>
          <w:b/>
          <w:sz w:val="21"/>
          <w:szCs w:val="21"/>
        </w:rPr>
      </w:pPr>
      <w:bookmarkStart w:id="5" w:name="_Toc14141"/>
      <w:r>
        <w:rPr>
          <w:rFonts w:hint="eastAsia"/>
          <w:b/>
          <w:sz w:val="21"/>
          <w:szCs w:val="21"/>
        </w:rPr>
        <w:t>一、项目基本情况</w:t>
      </w:r>
      <w:bookmarkEnd w:id="5"/>
    </w:p>
    <w:p w14:paraId="7B59E830">
      <w:pPr>
        <w:spacing w:line="360" w:lineRule="auto"/>
        <w:ind w:firstLine="420" w:firstLineChars="200"/>
        <w:rPr>
          <w:rFonts w:hint="eastAsia"/>
          <w:sz w:val="21"/>
          <w:szCs w:val="21"/>
        </w:rPr>
      </w:pPr>
      <w:r>
        <w:rPr>
          <w:rFonts w:hint="eastAsia"/>
          <w:sz w:val="21"/>
          <w:szCs w:val="21"/>
        </w:rPr>
        <w:t>项目编号：SZ2265-GP-GC-084S</w:t>
      </w:r>
    </w:p>
    <w:p w14:paraId="7DA14E63">
      <w:pPr>
        <w:spacing w:line="360" w:lineRule="auto"/>
        <w:ind w:firstLine="420" w:firstLineChars="200"/>
        <w:rPr>
          <w:rFonts w:hint="eastAsia"/>
          <w:sz w:val="21"/>
          <w:szCs w:val="21"/>
        </w:rPr>
      </w:pPr>
      <w:r>
        <w:rPr>
          <w:rFonts w:hint="eastAsia"/>
          <w:sz w:val="21"/>
          <w:szCs w:val="21"/>
        </w:rPr>
        <w:t>项目名称：陕西测绘地理信息局测绘综合楼六层修缮改造</w:t>
      </w:r>
    </w:p>
    <w:p w14:paraId="26A77820">
      <w:pPr>
        <w:spacing w:line="360" w:lineRule="auto"/>
        <w:ind w:firstLine="420" w:firstLineChars="200"/>
        <w:rPr>
          <w:rFonts w:hint="eastAsia"/>
          <w:sz w:val="21"/>
          <w:szCs w:val="21"/>
        </w:rPr>
      </w:pPr>
      <w:r>
        <w:rPr>
          <w:rFonts w:hint="eastAsia"/>
          <w:sz w:val="21"/>
          <w:szCs w:val="21"/>
        </w:rPr>
        <w:t>采购方式：公开招标</w:t>
      </w:r>
    </w:p>
    <w:p w14:paraId="63674D98">
      <w:pPr>
        <w:spacing w:line="360" w:lineRule="auto"/>
        <w:ind w:firstLine="420" w:firstLineChars="200"/>
        <w:rPr>
          <w:rFonts w:hint="eastAsia"/>
          <w:sz w:val="21"/>
          <w:szCs w:val="21"/>
        </w:rPr>
      </w:pPr>
      <w:r>
        <w:rPr>
          <w:rFonts w:hint="eastAsia"/>
          <w:sz w:val="21"/>
          <w:szCs w:val="21"/>
        </w:rPr>
        <w:t>预算金额：770.58万元（人民币）</w:t>
      </w:r>
    </w:p>
    <w:p w14:paraId="14D7591F">
      <w:pPr>
        <w:spacing w:line="360" w:lineRule="auto"/>
        <w:ind w:firstLine="420" w:firstLineChars="200"/>
        <w:rPr>
          <w:rFonts w:hint="eastAsia"/>
          <w:sz w:val="21"/>
          <w:szCs w:val="21"/>
          <w:highlight w:val="none"/>
        </w:rPr>
      </w:pPr>
      <w:r>
        <w:rPr>
          <w:rFonts w:hint="eastAsia"/>
          <w:sz w:val="21"/>
          <w:szCs w:val="21"/>
        </w:rPr>
        <w:t>最高限价</w:t>
      </w:r>
      <w:r>
        <w:rPr>
          <w:rFonts w:hint="eastAsia"/>
          <w:sz w:val="21"/>
          <w:szCs w:val="21"/>
          <w:highlight w:val="none"/>
        </w:rPr>
        <w:t>：</w:t>
      </w:r>
      <w:r>
        <w:rPr>
          <w:rFonts w:hint="eastAsia"/>
          <w:sz w:val="21"/>
          <w:szCs w:val="21"/>
          <w:highlight w:val="none"/>
          <w:lang w:val="en-US" w:eastAsia="zh-CN"/>
        </w:rPr>
        <w:t>739.951553</w:t>
      </w:r>
      <w:r>
        <w:rPr>
          <w:rFonts w:hint="eastAsia"/>
          <w:sz w:val="21"/>
          <w:szCs w:val="21"/>
          <w:highlight w:val="none"/>
        </w:rPr>
        <w:t>万元（人民币）</w:t>
      </w:r>
    </w:p>
    <w:p w14:paraId="61F37D4A">
      <w:pPr>
        <w:spacing w:line="360" w:lineRule="auto"/>
        <w:ind w:firstLine="420" w:firstLineChars="200"/>
        <w:rPr>
          <w:rFonts w:hint="eastAsia"/>
          <w:sz w:val="21"/>
          <w:szCs w:val="21"/>
        </w:rPr>
      </w:pPr>
      <w:r>
        <w:rPr>
          <w:rFonts w:hint="eastAsia"/>
          <w:sz w:val="21"/>
          <w:szCs w:val="21"/>
        </w:rPr>
        <w:t>采购需求：本项目工程招标范围包括测绘综合楼六层拆除及改造工程、装饰装修工程、电气工程、给排水工程、火灾报警工程、弱电工程、通风空调工程、消防工程等内容。具体详见图纸及工程量清单。（要求详见招标文件）。</w:t>
      </w:r>
    </w:p>
    <w:p w14:paraId="412E41EB">
      <w:pPr>
        <w:spacing w:line="360" w:lineRule="auto"/>
        <w:ind w:firstLine="420" w:firstLineChars="200"/>
        <w:rPr>
          <w:rFonts w:hint="eastAsia"/>
          <w:sz w:val="21"/>
          <w:szCs w:val="21"/>
        </w:rPr>
      </w:pPr>
      <w:r>
        <w:rPr>
          <w:rFonts w:hint="eastAsia"/>
          <w:sz w:val="21"/>
          <w:szCs w:val="21"/>
        </w:rPr>
        <w:t>合同履行期限：工期：80日历日。</w:t>
      </w:r>
    </w:p>
    <w:p w14:paraId="3B9487C2">
      <w:pPr>
        <w:spacing w:line="360" w:lineRule="auto"/>
        <w:ind w:firstLine="420" w:firstLineChars="200"/>
        <w:rPr>
          <w:rFonts w:hint="eastAsia"/>
          <w:sz w:val="21"/>
          <w:szCs w:val="21"/>
        </w:rPr>
      </w:pPr>
      <w:r>
        <w:rPr>
          <w:rFonts w:hint="eastAsia"/>
          <w:sz w:val="21"/>
          <w:szCs w:val="21"/>
        </w:rPr>
        <w:t>本项目(不接受)联合体投标。</w:t>
      </w:r>
    </w:p>
    <w:p w14:paraId="01C31145">
      <w:pPr>
        <w:spacing w:line="360" w:lineRule="auto"/>
        <w:outlineLvl w:val="1"/>
        <w:rPr>
          <w:rFonts w:hint="eastAsia"/>
          <w:b/>
          <w:sz w:val="21"/>
          <w:szCs w:val="21"/>
        </w:rPr>
      </w:pPr>
      <w:bookmarkStart w:id="6" w:name="_Toc29569"/>
      <w:r>
        <w:rPr>
          <w:rFonts w:hint="eastAsia"/>
          <w:b/>
          <w:sz w:val="21"/>
          <w:szCs w:val="21"/>
        </w:rPr>
        <w:t>二、投标人的资格要求：</w:t>
      </w:r>
      <w:bookmarkEnd w:id="6"/>
    </w:p>
    <w:p w14:paraId="46C81F78">
      <w:pPr>
        <w:spacing w:line="360" w:lineRule="auto"/>
        <w:ind w:firstLine="420" w:firstLineChars="200"/>
        <w:jc w:val="both"/>
        <w:rPr>
          <w:rFonts w:hint="eastAsia"/>
          <w:sz w:val="21"/>
          <w:szCs w:val="21"/>
        </w:rPr>
      </w:pPr>
      <w:r>
        <w:rPr>
          <w:rFonts w:hint="eastAsia"/>
          <w:sz w:val="21"/>
          <w:szCs w:val="21"/>
        </w:rPr>
        <w:t>1.满足《中华人民共和国政府采购法》第二十二条规定；</w:t>
      </w:r>
    </w:p>
    <w:p w14:paraId="508220C2">
      <w:pPr>
        <w:spacing w:line="360" w:lineRule="auto"/>
        <w:ind w:firstLine="420" w:firstLineChars="200"/>
        <w:jc w:val="both"/>
        <w:rPr>
          <w:rFonts w:hint="eastAsia"/>
          <w:sz w:val="21"/>
          <w:szCs w:val="21"/>
        </w:rPr>
      </w:pPr>
      <w:r>
        <w:rPr>
          <w:rFonts w:hint="eastAsia"/>
          <w:sz w:val="21"/>
          <w:szCs w:val="21"/>
        </w:rPr>
        <w:t>2.落实政府采购政策需满足的资格要求：本项目为专门面向中小企业项目，供应商应为中型企业、小型企业、微型企业或监狱企业或残疾人福利性单位。供应商为中小企业的，提供《中小企业声明函》，且中小企业的划分标准所属行业为建筑业；供应商为监狱企业的，应提供监狱企业的证明文件；供应商为残疾人福利性单位的，应提供《残疾人福利性单位声明函》（监狱企业或残疾人福利性单位视同小型、微型企业）。</w:t>
      </w:r>
    </w:p>
    <w:p w14:paraId="782369FC">
      <w:pPr>
        <w:spacing w:line="360" w:lineRule="auto"/>
        <w:ind w:firstLine="420" w:firstLineChars="200"/>
        <w:jc w:val="both"/>
        <w:rPr>
          <w:rFonts w:hint="eastAsia"/>
          <w:sz w:val="21"/>
          <w:szCs w:val="21"/>
        </w:rPr>
      </w:pPr>
      <w:r>
        <w:rPr>
          <w:rFonts w:hint="eastAsia"/>
          <w:sz w:val="21"/>
          <w:szCs w:val="21"/>
        </w:rPr>
        <w:t>3.本项目的特定资格要求：</w:t>
      </w:r>
    </w:p>
    <w:p w14:paraId="194E19C0">
      <w:pPr>
        <w:spacing w:line="360" w:lineRule="auto"/>
        <w:ind w:firstLine="420" w:firstLineChars="200"/>
        <w:jc w:val="both"/>
        <w:rPr>
          <w:rFonts w:hint="eastAsia"/>
          <w:sz w:val="21"/>
          <w:szCs w:val="21"/>
        </w:rPr>
      </w:pPr>
      <w:r>
        <w:rPr>
          <w:rFonts w:hint="eastAsia"/>
          <w:sz w:val="21"/>
          <w:szCs w:val="21"/>
        </w:rPr>
        <w:t>3.1提供法定代表人（单位负责人）授权委托书及被授权人身份证，法定代表人（单位负责人）直接参与只</w:t>
      </w:r>
      <w:r>
        <w:rPr>
          <w:rFonts w:hint="eastAsia"/>
          <w:sz w:val="21"/>
          <w:szCs w:val="21"/>
          <w:lang w:eastAsia="zh-CN"/>
        </w:rPr>
        <w:t>需提交</w:t>
      </w:r>
      <w:r>
        <w:rPr>
          <w:rFonts w:hint="eastAsia"/>
          <w:sz w:val="21"/>
          <w:szCs w:val="21"/>
        </w:rPr>
        <w:t>其身份证；</w:t>
      </w:r>
    </w:p>
    <w:p w14:paraId="40241996">
      <w:pPr>
        <w:spacing w:line="360" w:lineRule="auto"/>
        <w:ind w:firstLine="420" w:firstLineChars="200"/>
        <w:jc w:val="both"/>
        <w:rPr>
          <w:rFonts w:hint="eastAsia"/>
          <w:sz w:val="21"/>
          <w:szCs w:val="21"/>
        </w:rPr>
      </w:pPr>
      <w:r>
        <w:rPr>
          <w:rFonts w:hint="eastAsia"/>
          <w:sz w:val="21"/>
          <w:szCs w:val="21"/>
        </w:rPr>
        <w:t>3.2提供统一社会信用代码的营业执照或其他组织经营的合法凭证或自然人的提供身份证明文件；</w:t>
      </w:r>
    </w:p>
    <w:p w14:paraId="46FABF32">
      <w:pPr>
        <w:spacing w:line="360" w:lineRule="auto"/>
        <w:ind w:firstLine="420" w:firstLineChars="200"/>
        <w:jc w:val="both"/>
        <w:rPr>
          <w:rFonts w:hint="eastAsia"/>
          <w:sz w:val="21"/>
          <w:szCs w:val="21"/>
        </w:rPr>
      </w:pPr>
      <w:r>
        <w:rPr>
          <w:rFonts w:hint="eastAsia"/>
          <w:sz w:val="21"/>
          <w:szCs w:val="21"/>
        </w:rPr>
        <w:t>3.3投标人资质及项目经理要求：投标人须具备建设部门颁发的建筑工程施工总承包三级及以上资质，具备有效的安全生产许可证；拟派项目经理须具备建筑工程专业二级及以上注册建造师证，具备有效的安全生产考核合格证书（建安B证），在本单位注册，无不良信用记录，且未担任其他在建工程的项目经理（提供无在建承诺）；</w:t>
      </w:r>
    </w:p>
    <w:p w14:paraId="14305EB7">
      <w:pPr>
        <w:spacing w:line="360" w:lineRule="auto"/>
        <w:ind w:firstLine="420" w:firstLineChars="200"/>
        <w:jc w:val="both"/>
        <w:rPr>
          <w:rFonts w:hint="eastAsia"/>
          <w:sz w:val="21"/>
          <w:szCs w:val="21"/>
        </w:rPr>
      </w:pPr>
      <w:r>
        <w:rPr>
          <w:rFonts w:hint="eastAsia"/>
          <w:sz w:val="21"/>
          <w:szCs w:val="21"/>
        </w:rPr>
        <w:t>3.4财务状况报告：</w:t>
      </w:r>
      <w:r>
        <w:rPr>
          <w:rFonts w:hint="eastAsia"/>
          <w:sz w:val="21"/>
          <w:szCs w:val="21"/>
          <w:highlight w:val="none"/>
        </w:rPr>
        <w:t>提供2024年或2025年任意一个年度经审计的审计报告</w:t>
      </w:r>
      <w:r>
        <w:rPr>
          <w:rFonts w:hint="eastAsia"/>
          <w:sz w:val="21"/>
          <w:szCs w:val="21"/>
          <w:highlight w:val="none"/>
          <w:lang w:eastAsia="zh-CN"/>
        </w:rPr>
        <w:t>，</w:t>
      </w:r>
      <w:r>
        <w:rPr>
          <w:rFonts w:hint="eastAsia"/>
          <w:sz w:val="21"/>
          <w:szCs w:val="21"/>
          <w:highlight w:val="none"/>
        </w:rPr>
        <w:t>符合《中小企业划型标准规定》的小型企业按照《小企业会计准则》执行</w:t>
      </w:r>
      <w:r>
        <w:rPr>
          <w:rFonts w:hint="eastAsia"/>
          <w:sz w:val="21"/>
          <w:szCs w:val="21"/>
          <w:highlight w:val="none"/>
          <w:lang w:eastAsia="zh-CN"/>
        </w:rPr>
        <w:t>，</w:t>
      </w:r>
      <w:r>
        <w:rPr>
          <w:rFonts w:hint="eastAsia"/>
          <w:sz w:val="21"/>
          <w:szCs w:val="21"/>
          <w:highlight w:val="none"/>
        </w:rPr>
        <w:t>成立时间至提交投标文件截止时间不足一年的可提供成立后任意时段的资产负债表；或其开标前三个月内基本开户银行出具的资信证明或政府采购信用担保机构出具的担保函（以上三种形式的资料提供任何一种即可）；</w:t>
      </w:r>
    </w:p>
    <w:p w14:paraId="1E56022B">
      <w:pPr>
        <w:spacing w:line="360" w:lineRule="auto"/>
        <w:ind w:firstLine="420" w:firstLineChars="200"/>
        <w:jc w:val="both"/>
        <w:rPr>
          <w:rFonts w:hint="eastAsia"/>
          <w:sz w:val="21"/>
          <w:szCs w:val="21"/>
        </w:rPr>
      </w:pPr>
      <w:r>
        <w:rPr>
          <w:rFonts w:hint="eastAsia"/>
          <w:sz w:val="21"/>
          <w:szCs w:val="21"/>
        </w:rPr>
        <w:t>3.5税收缴纳证明：提供自2025年1月1日至投标文件提交截止时间任意连续六个月的纳税证明或完税证明，纳税证明或完税证明上应有代收机构或税务机关的公章或业务专用章；依法免税的供应商应提供相关文件证明；</w:t>
      </w:r>
    </w:p>
    <w:p w14:paraId="52528BEF">
      <w:pPr>
        <w:spacing w:line="360" w:lineRule="auto"/>
        <w:ind w:firstLine="420" w:firstLineChars="200"/>
        <w:jc w:val="both"/>
        <w:rPr>
          <w:rFonts w:hint="eastAsia"/>
          <w:sz w:val="21"/>
          <w:szCs w:val="21"/>
        </w:rPr>
      </w:pPr>
      <w:r>
        <w:rPr>
          <w:rFonts w:hint="eastAsia"/>
          <w:sz w:val="21"/>
          <w:szCs w:val="21"/>
        </w:rPr>
        <w:t>3.6社会保障资金缴纳证明：提供自2025年1月1日至投标文件提交截止时间任意连续六个月的已缴纳的社会保障资金的证明，社会保障资金缴存单据或社保机构开具的社会保险参保缴费情况证明或提供其它相关证明资料，单据或证明上应有社保机构或代收机构的公章。依法不需要缴纳社会保障资金的供应商应提供相关文件证明；</w:t>
      </w:r>
    </w:p>
    <w:p w14:paraId="5BFFE07F">
      <w:pPr>
        <w:spacing w:line="360" w:lineRule="auto"/>
        <w:ind w:firstLine="420" w:firstLineChars="200"/>
        <w:jc w:val="both"/>
        <w:rPr>
          <w:rFonts w:hint="eastAsia"/>
          <w:sz w:val="21"/>
          <w:szCs w:val="21"/>
        </w:rPr>
      </w:pPr>
      <w:r>
        <w:rPr>
          <w:rFonts w:hint="eastAsia"/>
          <w:sz w:val="21"/>
          <w:szCs w:val="21"/>
        </w:rPr>
        <w:t>3.7信用承诺：参加本次招标采购活动前3年内在经营活动中没有重大违法，以及未被列入《信用中国》（https://www.creditchina.gov.cn）“重大税收违法失信主体名单”和“政府采购严重违法失信行为记录名单”和“失信被执行人”（页面跳转至《中国执行信息公开网》http://zxgk.court.gov.cn/shixin）及不处于《中国政府采购网》（http://www.ccgp.gov.cn）记录的“政府采购严重违法失信行为记录名单”中的禁止参加政府采购活动期间，提供书面信用承诺函；</w:t>
      </w:r>
    </w:p>
    <w:p w14:paraId="332C9693">
      <w:pPr>
        <w:spacing w:line="360" w:lineRule="auto"/>
        <w:ind w:firstLine="420" w:firstLineChars="200"/>
        <w:jc w:val="both"/>
        <w:rPr>
          <w:rFonts w:hint="eastAsia"/>
          <w:sz w:val="21"/>
          <w:szCs w:val="21"/>
        </w:rPr>
      </w:pPr>
      <w:r>
        <w:rPr>
          <w:rFonts w:hint="eastAsia"/>
          <w:sz w:val="21"/>
          <w:szCs w:val="21"/>
        </w:rPr>
        <w:t>3.8书面承诺：提供具有履行合同所必需的设备和专业技术能力的承诺函；</w:t>
      </w:r>
    </w:p>
    <w:p w14:paraId="5C2E0BD7">
      <w:pPr>
        <w:spacing w:line="360" w:lineRule="auto"/>
        <w:ind w:firstLine="420" w:firstLineChars="200"/>
        <w:jc w:val="both"/>
        <w:rPr>
          <w:rFonts w:hint="eastAsia"/>
          <w:sz w:val="21"/>
          <w:szCs w:val="21"/>
        </w:rPr>
      </w:pPr>
      <w:r>
        <w:rPr>
          <w:rFonts w:hint="eastAsia"/>
          <w:sz w:val="21"/>
          <w:szCs w:val="21"/>
        </w:rPr>
        <w:t>3.9投标人及其拟派项目经理须在“陕西省住房和城乡建设厅（http://js.shaanxi.gov.cn/ ）”可查询；（提供加盖公章查询截图的复印件或扫描件）</w:t>
      </w:r>
    </w:p>
    <w:p w14:paraId="71177548">
      <w:pPr>
        <w:spacing w:line="360" w:lineRule="auto"/>
        <w:ind w:firstLine="420" w:firstLineChars="200"/>
        <w:jc w:val="both"/>
        <w:rPr>
          <w:rFonts w:hint="eastAsia"/>
          <w:sz w:val="21"/>
          <w:szCs w:val="21"/>
        </w:rPr>
      </w:pPr>
      <w:r>
        <w:rPr>
          <w:rFonts w:hint="eastAsia"/>
          <w:sz w:val="21"/>
          <w:szCs w:val="21"/>
        </w:rPr>
        <w:t>3.10本项目不接受联合体投标。</w:t>
      </w:r>
    </w:p>
    <w:p w14:paraId="3F7198D5">
      <w:pPr>
        <w:spacing w:line="360" w:lineRule="auto"/>
        <w:outlineLvl w:val="1"/>
        <w:rPr>
          <w:rFonts w:hint="eastAsia"/>
          <w:b/>
          <w:sz w:val="21"/>
          <w:szCs w:val="21"/>
        </w:rPr>
      </w:pPr>
      <w:bookmarkStart w:id="7" w:name="_Toc24009"/>
      <w:r>
        <w:rPr>
          <w:rFonts w:hint="eastAsia"/>
          <w:b/>
          <w:sz w:val="21"/>
          <w:szCs w:val="21"/>
        </w:rPr>
        <w:t>三、获取采购文件</w:t>
      </w:r>
      <w:bookmarkEnd w:id="7"/>
    </w:p>
    <w:p w14:paraId="37DC5784">
      <w:pPr>
        <w:spacing w:line="360" w:lineRule="auto"/>
        <w:ind w:firstLine="420" w:firstLineChars="200"/>
        <w:jc w:val="both"/>
        <w:rPr>
          <w:rFonts w:hint="eastAsia"/>
          <w:sz w:val="21"/>
          <w:szCs w:val="21"/>
        </w:rPr>
      </w:pPr>
      <w:r>
        <w:rPr>
          <w:rFonts w:hint="eastAsia"/>
          <w:sz w:val="21"/>
          <w:szCs w:val="21"/>
        </w:rPr>
        <w:t>时间：2026年</w:t>
      </w:r>
      <w:r>
        <w:rPr>
          <w:rFonts w:hint="eastAsia"/>
          <w:sz w:val="21"/>
          <w:szCs w:val="21"/>
          <w:lang w:val="en-US" w:eastAsia="zh-CN"/>
        </w:rPr>
        <w:t>6</w:t>
      </w:r>
      <w:r>
        <w:rPr>
          <w:rFonts w:hint="eastAsia"/>
          <w:sz w:val="21"/>
          <w:szCs w:val="21"/>
        </w:rPr>
        <w:t>月</w:t>
      </w:r>
      <w:r>
        <w:rPr>
          <w:rFonts w:hint="eastAsia"/>
          <w:sz w:val="21"/>
          <w:szCs w:val="21"/>
          <w:lang w:val="en-US" w:eastAsia="zh-CN"/>
        </w:rPr>
        <w:t>12</w:t>
      </w:r>
      <w:r>
        <w:rPr>
          <w:rFonts w:hint="eastAsia"/>
          <w:sz w:val="21"/>
          <w:szCs w:val="21"/>
        </w:rPr>
        <w:t>日至202</w:t>
      </w:r>
      <w:r>
        <w:rPr>
          <w:rFonts w:hint="eastAsia"/>
          <w:sz w:val="21"/>
          <w:szCs w:val="21"/>
          <w:lang w:val="en-US" w:eastAsia="zh-CN"/>
        </w:rPr>
        <w:t>6</w:t>
      </w:r>
      <w:r>
        <w:rPr>
          <w:rFonts w:hint="eastAsia"/>
          <w:sz w:val="21"/>
          <w:szCs w:val="21"/>
        </w:rPr>
        <w:t>年</w:t>
      </w:r>
      <w:r>
        <w:rPr>
          <w:rFonts w:hint="eastAsia"/>
          <w:sz w:val="21"/>
          <w:szCs w:val="21"/>
          <w:lang w:val="en-US" w:eastAsia="zh-CN"/>
        </w:rPr>
        <w:t>6月22</w:t>
      </w:r>
      <w:r>
        <w:rPr>
          <w:rFonts w:hint="eastAsia"/>
          <w:sz w:val="21"/>
          <w:szCs w:val="21"/>
        </w:rPr>
        <w:t>日，每天上午9:00至12:00，下午14:00至17:00。（北京时间，法定节假日除外）</w:t>
      </w:r>
    </w:p>
    <w:p w14:paraId="4E6DEF73">
      <w:pPr>
        <w:spacing w:line="360" w:lineRule="auto"/>
        <w:ind w:firstLine="420" w:firstLineChars="200"/>
        <w:jc w:val="both"/>
        <w:rPr>
          <w:rFonts w:hint="eastAsia"/>
          <w:sz w:val="21"/>
          <w:szCs w:val="21"/>
        </w:rPr>
      </w:pPr>
      <w:r>
        <w:rPr>
          <w:rFonts w:hint="eastAsia"/>
          <w:sz w:val="21"/>
          <w:szCs w:val="21"/>
        </w:rPr>
        <w:t>地点：陕西省西安市碑林区和平路108号佳腾大厦七层招标二部</w:t>
      </w:r>
    </w:p>
    <w:p w14:paraId="5873DC62">
      <w:pPr>
        <w:spacing w:line="360" w:lineRule="auto"/>
        <w:ind w:firstLine="420" w:firstLineChars="200"/>
        <w:jc w:val="both"/>
        <w:rPr>
          <w:rFonts w:hint="eastAsia"/>
          <w:sz w:val="21"/>
          <w:szCs w:val="21"/>
        </w:rPr>
      </w:pPr>
      <w:r>
        <w:rPr>
          <w:rFonts w:hint="eastAsia"/>
          <w:sz w:val="21"/>
          <w:szCs w:val="21"/>
        </w:rPr>
        <w:t>方式：领购招标文件时请携带身份证原件及复印件或扫描件、单位介绍信原件加盖公章</w:t>
      </w:r>
    </w:p>
    <w:p w14:paraId="11EF07DE">
      <w:pPr>
        <w:spacing w:line="360" w:lineRule="auto"/>
        <w:ind w:firstLine="420" w:firstLineChars="200"/>
        <w:jc w:val="both"/>
        <w:rPr>
          <w:rFonts w:hint="eastAsia"/>
          <w:sz w:val="21"/>
          <w:szCs w:val="21"/>
        </w:rPr>
      </w:pPr>
      <w:r>
        <w:rPr>
          <w:rFonts w:hint="eastAsia"/>
          <w:sz w:val="21"/>
          <w:szCs w:val="21"/>
        </w:rPr>
        <w:t>售价：￥500.0元（人民币）</w:t>
      </w:r>
    </w:p>
    <w:p w14:paraId="6A955079">
      <w:pPr>
        <w:spacing w:line="360" w:lineRule="auto"/>
        <w:outlineLvl w:val="1"/>
        <w:rPr>
          <w:rFonts w:hint="eastAsia"/>
          <w:b/>
          <w:sz w:val="21"/>
          <w:szCs w:val="21"/>
        </w:rPr>
      </w:pPr>
      <w:bookmarkStart w:id="8" w:name="_Toc22568"/>
      <w:r>
        <w:rPr>
          <w:rFonts w:hint="eastAsia"/>
          <w:b/>
          <w:sz w:val="21"/>
          <w:szCs w:val="21"/>
        </w:rPr>
        <w:t>四、投标文件提交</w:t>
      </w:r>
      <w:bookmarkEnd w:id="8"/>
    </w:p>
    <w:p w14:paraId="04FAF731">
      <w:pPr>
        <w:spacing w:line="360" w:lineRule="auto"/>
        <w:ind w:firstLine="420" w:firstLineChars="200"/>
        <w:rPr>
          <w:rFonts w:hint="eastAsia"/>
          <w:sz w:val="21"/>
          <w:szCs w:val="21"/>
        </w:rPr>
      </w:pPr>
      <w:r>
        <w:rPr>
          <w:rFonts w:hint="eastAsia"/>
          <w:sz w:val="21"/>
          <w:szCs w:val="21"/>
        </w:rPr>
        <w:t>截止时间：2026年</w:t>
      </w:r>
      <w:r>
        <w:rPr>
          <w:rFonts w:hint="eastAsia"/>
          <w:sz w:val="21"/>
          <w:szCs w:val="21"/>
          <w:lang w:val="en-US" w:eastAsia="zh-CN"/>
        </w:rPr>
        <w:t>7</w:t>
      </w:r>
      <w:r>
        <w:rPr>
          <w:rFonts w:hint="eastAsia"/>
          <w:sz w:val="21"/>
          <w:szCs w:val="21"/>
        </w:rPr>
        <w:t>月</w:t>
      </w:r>
      <w:r>
        <w:rPr>
          <w:rFonts w:hint="eastAsia"/>
          <w:sz w:val="21"/>
          <w:szCs w:val="21"/>
          <w:lang w:val="en-US" w:eastAsia="zh-CN"/>
        </w:rPr>
        <w:t>7</w:t>
      </w:r>
      <w:r>
        <w:rPr>
          <w:rFonts w:hint="eastAsia"/>
          <w:sz w:val="21"/>
          <w:szCs w:val="21"/>
        </w:rPr>
        <w:t>日09点30分（北京时间）</w:t>
      </w:r>
    </w:p>
    <w:p w14:paraId="4A3495C5">
      <w:pPr>
        <w:spacing w:line="360" w:lineRule="auto"/>
        <w:ind w:firstLine="420" w:firstLineChars="200"/>
        <w:rPr>
          <w:rFonts w:hint="default" w:eastAsia="宋体"/>
          <w:sz w:val="21"/>
          <w:szCs w:val="21"/>
          <w:lang w:val="en-US" w:eastAsia="zh-CN"/>
        </w:rPr>
      </w:pPr>
      <w:r>
        <w:rPr>
          <w:rFonts w:hint="eastAsia"/>
          <w:sz w:val="21"/>
          <w:szCs w:val="21"/>
        </w:rPr>
        <w:t>地点：陕西省西安市和平路108号佳腾大厦7层</w:t>
      </w:r>
      <w:r>
        <w:rPr>
          <w:rFonts w:hint="eastAsia"/>
          <w:sz w:val="21"/>
          <w:szCs w:val="21"/>
          <w:lang w:val="en-US" w:eastAsia="zh-CN"/>
        </w:rPr>
        <w:t>开标大厅</w:t>
      </w:r>
    </w:p>
    <w:p w14:paraId="20C75C0B">
      <w:pPr>
        <w:spacing w:line="360" w:lineRule="auto"/>
        <w:outlineLvl w:val="1"/>
        <w:rPr>
          <w:rFonts w:hint="eastAsia"/>
          <w:b/>
          <w:sz w:val="21"/>
          <w:szCs w:val="21"/>
        </w:rPr>
      </w:pPr>
      <w:bookmarkStart w:id="9" w:name="_Toc14869"/>
      <w:r>
        <w:rPr>
          <w:rFonts w:hint="eastAsia"/>
          <w:b/>
          <w:sz w:val="21"/>
          <w:szCs w:val="21"/>
        </w:rPr>
        <w:t>五、开启</w:t>
      </w:r>
      <w:bookmarkEnd w:id="9"/>
    </w:p>
    <w:p w14:paraId="75E37664">
      <w:pPr>
        <w:spacing w:line="360" w:lineRule="auto"/>
        <w:ind w:firstLine="420" w:firstLineChars="200"/>
        <w:rPr>
          <w:rFonts w:hint="eastAsia"/>
          <w:sz w:val="21"/>
          <w:szCs w:val="21"/>
        </w:rPr>
      </w:pPr>
      <w:r>
        <w:rPr>
          <w:rFonts w:hint="eastAsia"/>
          <w:sz w:val="21"/>
          <w:szCs w:val="21"/>
        </w:rPr>
        <w:t>时间：202</w:t>
      </w:r>
      <w:r>
        <w:rPr>
          <w:rFonts w:hint="eastAsia"/>
          <w:sz w:val="21"/>
          <w:szCs w:val="21"/>
          <w:lang w:val="en-US" w:eastAsia="zh-CN"/>
        </w:rPr>
        <w:t>6</w:t>
      </w:r>
      <w:r>
        <w:rPr>
          <w:rFonts w:hint="eastAsia"/>
          <w:sz w:val="21"/>
          <w:szCs w:val="21"/>
        </w:rPr>
        <w:t>年</w:t>
      </w:r>
      <w:r>
        <w:rPr>
          <w:rFonts w:hint="eastAsia"/>
          <w:sz w:val="21"/>
          <w:szCs w:val="21"/>
          <w:lang w:val="en-US" w:eastAsia="zh-CN"/>
        </w:rPr>
        <w:t>7</w:t>
      </w:r>
      <w:r>
        <w:rPr>
          <w:rFonts w:hint="eastAsia"/>
          <w:sz w:val="21"/>
          <w:szCs w:val="21"/>
        </w:rPr>
        <w:t>月</w:t>
      </w:r>
      <w:r>
        <w:rPr>
          <w:rFonts w:hint="eastAsia"/>
          <w:sz w:val="21"/>
          <w:szCs w:val="21"/>
          <w:lang w:val="en-US" w:eastAsia="zh-CN"/>
        </w:rPr>
        <w:t>7</w:t>
      </w:r>
      <w:r>
        <w:rPr>
          <w:rFonts w:hint="eastAsia"/>
          <w:sz w:val="21"/>
          <w:szCs w:val="21"/>
        </w:rPr>
        <w:t>日09点30分（北京时间）</w:t>
      </w:r>
    </w:p>
    <w:p w14:paraId="602A50E0">
      <w:pPr>
        <w:spacing w:line="360" w:lineRule="auto"/>
        <w:ind w:firstLine="420" w:firstLineChars="200"/>
        <w:rPr>
          <w:rFonts w:hint="default" w:eastAsia="宋体"/>
          <w:sz w:val="21"/>
          <w:szCs w:val="21"/>
          <w:lang w:val="en-US" w:eastAsia="zh-CN"/>
        </w:rPr>
      </w:pPr>
      <w:r>
        <w:rPr>
          <w:rFonts w:hint="eastAsia"/>
          <w:sz w:val="21"/>
          <w:szCs w:val="21"/>
        </w:rPr>
        <w:t>地点：陕西省西安市和平路108号佳腾大厦</w:t>
      </w:r>
      <w:r>
        <w:rPr>
          <w:rFonts w:hint="eastAsia"/>
          <w:sz w:val="21"/>
          <w:szCs w:val="21"/>
          <w:lang w:val="en-US" w:eastAsia="zh-CN"/>
        </w:rPr>
        <w:t>7</w:t>
      </w:r>
      <w:r>
        <w:rPr>
          <w:rFonts w:hint="eastAsia"/>
          <w:sz w:val="21"/>
          <w:szCs w:val="21"/>
        </w:rPr>
        <w:t>层</w:t>
      </w:r>
      <w:r>
        <w:rPr>
          <w:rFonts w:hint="eastAsia"/>
          <w:sz w:val="21"/>
          <w:szCs w:val="21"/>
          <w:lang w:val="en-US" w:eastAsia="zh-CN"/>
        </w:rPr>
        <w:t>开标大厅</w:t>
      </w:r>
    </w:p>
    <w:p w14:paraId="733B74D8">
      <w:pPr>
        <w:spacing w:line="360" w:lineRule="auto"/>
        <w:outlineLvl w:val="1"/>
        <w:rPr>
          <w:rFonts w:hint="eastAsia"/>
          <w:b/>
          <w:sz w:val="21"/>
          <w:szCs w:val="21"/>
        </w:rPr>
      </w:pPr>
      <w:bookmarkStart w:id="10" w:name="_Toc27425"/>
      <w:r>
        <w:rPr>
          <w:rFonts w:hint="eastAsia"/>
          <w:b/>
          <w:sz w:val="21"/>
          <w:szCs w:val="21"/>
        </w:rPr>
        <w:t>六、公告期限</w:t>
      </w:r>
      <w:bookmarkEnd w:id="10"/>
    </w:p>
    <w:p w14:paraId="28870CF2">
      <w:pPr>
        <w:spacing w:line="360" w:lineRule="auto"/>
        <w:ind w:firstLine="420" w:firstLineChars="200"/>
        <w:rPr>
          <w:rFonts w:hint="eastAsia"/>
          <w:sz w:val="21"/>
          <w:szCs w:val="21"/>
        </w:rPr>
      </w:pPr>
      <w:r>
        <w:rPr>
          <w:rFonts w:hint="eastAsia"/>
          <w:sz w:val="21"/>
          <w:szCs w:val="21"/>
        </w:rPr>
        <w:t>自本公告发布之日起5个工作日。</w:t>
      </w:r>
    </w:p>
    <w:p w14:paraId="3709BB91">
      <w:pPr>
        <w:spacing w:line="360" w:lineRule="auto"/>
        <w:outlineLvl w:val="1"/>
        <w:rPr>
          <w:rFonts w:hint="eastAsia"/>
          <w:b/>
          <w:sz w:val="21"/>
          <w:szCs w:val="21"/>
        </w:rPr>
      </w:pPr>
      <w:bookmarkStart w:id="11" w:name="_Toc13750"/>
      <w:r>
        <w:rPr>
          <w:rFonts w:hint="eastAsia"/>
          <w:b/>
          <w:sz w:val="21"/>
          <w:szCs w:val="21"/>
        </w:rPr>
        <w:t>七、其他补充事宜</w:t>
      </w:r>
      <w:bookmarkEnd w:id="11"/>
    </w:p>
    <w:p w14:paraId="1A52D7B7">
      <w:pPr>
        <w:pStyle w:val="60"/>
        <w:spacing w:line="360" w:lineRule="auto"/>
        <w:ind w:firstLine="420" w:firstLineChars="200"/>
      </w:pPr>
      <w:r>
        <w:rPr>
          <w:rFonts w:hint="eastAsia" w:ascii="宋体" w:hAnsi="宋体" w:cs="宋体"/>
          <w:kern w:val="0"/>
          <w:szCs w:val="21"/>
        </w:rPr>
        <w:t>本项目采购活动执行下列政府采购政策（具体办法详见招标文件）：（1）《关于在政府采购活动中查询及使用信用记录有关问题的通知》（财库〔2016〕125号）。（2）《政府采购促进中小企业发展管理办法》（财库〔2020〕46号）、《关于进一步加大政府采购支持中小企业力度的通知》（财库〔2022〕19号）、《陕西省财政厅关于进一步加大政府采购支持中小企业力度的通知》（陕财办采〔2022〕5号）、《关于政府采购支持监狱企业发展有关问题的通知》（财库〔2014〕68号）以及《关于促进残疾人就业政府采购政策的通知》（财库〔2017〕141号）。（3）《关于印发环境标志产品政府采购品目清单的通知》（财库〔2019〕18号）、《关于印发节能产品政府采购品目清单的通知》（财库〔2019〕19号）、国务院办公厅《关于建立政府强制采购节能产品制度的通知》（国办发〔2007〕51号）。财政部、国家发改委、生态环境部、市场监管总局联合印发《关于调整优化节能产品、环境标志产品政府采购执行机制的通知》（财库〔2019〕9号）。（4）《财政部 农业农村部 国家乡村振兴局关于运用政府采购政策支持乡村产业振兴的通知》（财库〔2021〕19号）、《财政部农业农村部国家乡村振兴局 中华全国供销合作总社关于印发&lt;关于深入开展政府采购脱贫地区农副产品工作推进乡村产业振兴的实施意见&gt;的通知》（财库〔2021〕20号）。（5）《陕西省财政厅关于加快推进我省中小企业政府采购信用融资工作的通知》（陕财办采〔2020〕15号）、陕西省财政厅关于印发《陕西省中小企业政府采购信用融资办法》（陕财办采〔2018〕23号）。（6）其他需要落实的政府采购政策（如有最新颁布的政府采购政策，按最新的文件执行）。</w:t>
      </w:r>
    </w:p>
    <w:p w14:paraId="0EB3BF23">
      <w:pPr>
        <w:spacing w:line="360" w:lineRule="auto"/>
        <w:outlineLvl w:val="1"/>
        <w:rPr>
          <w:rFonts w:hint="eastAsia"/>
          <w:b/>
          <w:sz w:val="21"/>
          <w:szCs w:val="21"/>
        </w:rPr>
      </w:pPr>
      <w:bookmarkStart w:id="12" w:name="_Toc22079"/>
      <w:r>
        <w:rPr>
          <w:rFonts w:hint="eastAsia"/>
          <w:b/>
          <w:sz w:val="21"/>
          <w:szCs w:val="21"/>
        </w:rPr>
        <w:t>八、凡对本次采购提出询问，请按以下方式联系。</w:t>
      </w:r>
      <w:bookmarkEnd w:id="12"/>
    </w:p>
    <w:p w14:paraId="54BA339F">
      <w:pPr>
        <w:spacing w:line="360" w:lineRule="auto"/>
        <w:ind w:firstLine="420" w:firstLineChars="200"/>
        <w:rPr>
          <w:rFonts w:hint="eastAsia"/>
          <w:sz w:val="21"/>
          <w:szCs w:val="21"/>
        </w:rPr>
      </w:pPr>
      <w:r>
        <w:rPr>
          <w:rFonts w:hint="eastAsia"/>
          <w:sz w:val="21"/>
          <w:szCs w:val="21"/>
        </w:rPr>
        <w:t>1.采购人信息</w:t>
      </w:r>
    </w:p>
    <w:p w14:paraId="254E163F">
      <w:pPr>
        <w:spacing w:line="360" w:lineRule="auto"/>
        <w:ind w:firstLine="420" w:firstLineChars="200"/>
        <w:rPr>
          <w:rFonts w:hint="eastAsia"/>
          <w:sz w:val="21"/>
          <w:szCs w:val="21"/>
        </w:rPr>
      </w:pPr>
      <w:r>
        <w:rPr>
          <w:rFonts w:hint="eastAsia"/>
          <w:sz w:val="21"/>
          <w:szCs w:val="21"/>
        </w:rPr>
        <w:t>名 称：陕西测绘地理信息局劳动就业服务中心</w:t>
      </w:r>
    </w:p>
    <w:p w14:paraId="538708F2">
      <w:pPr>
        <w:spacing w:line="360" w:lineRule="auto"/>
        <w:ind w:firstLine="420" w:firstLineChars="200"/>
        <w:rPr>
          <w:rFonts w:hint="eastAsia"/>
          <w:sz w:val="21"/>
          <w:szCs w:val="21"/>
        </w:rPr>
      </w:pPr>
      <w:r>
        <w:rPr>
          <w:rFonts w:hint="eastAsia"/>
          <w:sz w:val="21"/>
          <w:szCs w:val="21"/>
        </w:rPr>
        <w:t>地 址：西安市友谊东路334号</w:t>
      </w:r>
    </w:p>
    <w:p w14:paraId="71915014">
      <w:pPr>
        <w:spacing w:line="360" w:lineRule="auto"/>
        <w:ind w:firstLine="420" w:firstLineChars="200"/>
        <w:rPr>
          <w:rFonts w:hint="default" w:eastAsia="宋体"/>
          <w:sz w:val="21"/>
          <w:szCs w:val="21"/>
          <w:lang w:val="en-US" w:eastAsia="zh-CN"/>
        </w:rPr>
      </w:pPr>
      <w:r>
        <w:rPr>
          <w:rFonts w:hint="eastAsia"/>
          <w:sz w:val="21"/>
          <w:szCs w:val="21"/>
        </w:rPr>
        <w:t>联系方式：鞠工 029-87604</w:t>
      </w:r>
      <w:r>
        <w:rPr>
          <w:rFonts w:hint="eastAsia"/>
          <w:sz w:val="21"/>
          <w:szCs w:val="21"/>
          <w:lang w:val="en-US" w:eastAsia="zh-CN"/>
        </w:rPr>
        <w:t>266</w:t>
      </w:r>
    </w:p>
    <w:p w14:paraId="00423879">
      <w:pPr>
        <w:spacing w:line="360" w:lineRule="auto"/>
        <w:ind w:firstLine="420" w:firstLineChars="200"/>
        <w:rPr>
          <w:rFonts w:hint="eastAsia"/>
          <w:sz w:val="21"/>
          <w:szCs w:val="21"/>
        </w:rPr>
      </w:pPr>
      <w:r>
        <w:rPr>
          <w:rFonts w:hint="eastAsia"/>
          <w:sz w:val="21"/>
          <w:szCs w:val="21"/>
        </w:rPr>
        <w:t>2.采购代理机构信息</w:t>
      </w:r>
    </w:p>
    <w:p w14:paraId="1094EFE7">
      <w:pPr>
        <w:spacing w:line="360" w:lineRule="auto"/>
        <w:ind w:firstLine="420" w:firstLineChars="200"/>
        <w:rPr>
          <w:rFonts w:hint="eastAsia"/>
          <w:sz w:val="21"/>
          <w:szCs w:val="21"/>
        </w:rPr>
      </w:pPr>
      <w:r>
        <w:rPr>
          <w:rFonts w:hint="eastAsia"/>
          <w:sz w:val="21"/>
          <w:szCs w:val="21"/>
        </w:rPr>
        <w:t>名 称：陕西省招标有限责任公司</w:t>
      </w:r>
    </w:p>
    <w:p w14:paraId="224A1040">
      <w:pPr>
        <w:spacing w:line="360" w:lineRule="auto"/>
        <w:ind w:firstLine="420" w:firstLineChars="200"/>
        <w:rPr>
          <w:rFonts w:hint="eastAsia"/>
          <w:sz w:val="21"/>
          <w:szCs w:val="21"/>
        </w:rPr>
      </w:pPr>
      <w:r>
        <w:rPr>
          <w:rFonts w:hint="eastAsia"/>
          <w:sz w:val="21"/>
          <w:szCs w:val="21"/>
        </w:rPr>
        <w:t>地 址：陕西省西安市和平路108号佳腾大厦</w:t>
      </w:r>
    </w:p>
    <w:p w14:paraId="2C1F39F3">
      <w:pPr>
        <w:spacing w:line="360" w:lineRule="auto"/>
        <w:ind w:firstLine="420" w:firstLineChars="200"/>
        <w:rPr>
          <w:rFonts w:hint="eastAsia"/>
          <w:sz w:val="21"/>
          <w:szCs w:val="21"/>
        </w:rPr>
      </w:pPr>
      <w:r>
        <w:rPr>
          <w:rFonts w:hint="eastAsia"/>
          <w:sz w:val="21"/>
          <w:szCs w:val="21"/>
        </w:rPr>
        <w:t>联系方式：马悦、张轩、李楚瑶 029-87521315</w:t>
      </w:r>
    </w:p>
    <w:p w14:paraId="0B9D3D20">
      <w:pPr>
        <w:spacing w:line="360" w:lineRule="auto"/>
        <w:ind w:firstLine="420" w:firstLineChars="200"/>
        <w:rPr>
          <w:rFonts w:hint="eastAsia"/>
          <w:sz w:val="21"/>
          <w:szCs w:val="21"/>
        </w:rPr>
      </w:pPr>
      <w:r>
        <w:rPr>
          <w:rFonts w:hint="eastAsia"/>
          <w:sz w:val="21"/>
          <w:szCs w:val="21"/>
        </w:rPr>
        <w:t>3.项目联系方式</w:t>
      </w:r>
    </w:p>
    <w:p w14:paraId="4B5336BB">
      <w:pPr>
        <w:spacing w:line="360" w:lineRule="auto"/>
        <w:ind w:firstLine="420" w:firstLineChars="200"/>
        <w:rPr>
          <w:rFonts w:hint="eastAsia"/>
          <w:sz w:val="21"/>
          <w:szCs w:val="21"/>
        </w:rPr>
      </w:pPr>
      <w:r>
        <w:rPr>
          <w:rFonts w:hint="eastAsia"/>
          <w:sz w:val="21"/>
          <w:szCs w:val="21"/>
        </w:rPr>
        <w:t xml:space="preserve">项目联系人：马悦、张轩、李楚瑶 </w:t>
      </w:r>
    </w:p>
    <w:p w14:paraId="4F1ECDB2">
      <w:pPr>
        <w:spacing w:line="360" w:lineRule="auto"/>
        <w:ind w:firstLine="420" w:firstLineChars="200"/>
        <w:rPr>
          <w:rFonts w:hint="eastAsia"/>
          <w:sz w:val="21"/>
          <w:szCs w:val="21"/>
        </w:rPr>
        <w:sectPr>
          <w:footerReference r:id="rId6" w:type="first"/>
          <w:footerReference r:id="rId5" w:type="default"/>
          <w:pgSz w:w="11906" w:h="16838"/>
          <w:pgMar w:top="1361" w:right="1644" w:bottom="1361" w:left="1644" w:header="567" w:footer="680" w:gutter="0"/>
          <w:pgNumType w:fmt="decimal" w:start="1"/>
          <w:cols w:space="720" w:num="1"/>
          <w:docGrid w:linePitch="312" w:charSpace="0"/>
        </w:sectPr>
      </w:pPr>
      <w:r>
        <w:rPr>
          <w:rFonts w:hint="eastAsia"/>
          <w:sz w:val="21"/>
          <w:szCs w:val="21"/>
        </w:rPr>
        <w:t>电 话：029-87521315</w:t>
      </w:r>
    </w:p>
    <w:bookmarkEnd w:id="1"/>
    <w:bookmarkEnd w:id="2"/>
    <w:bookmarkEnd w:id="3"/>
    <w:bookmarkEnd w:id="4"/>
    <w:p w14:paraId="49EC2C92">
      <w:pPr>
        <w:pStyle w:val="3"/>
        <w:tabs>
          <w:tab w:val="center" w:pos="4876"/>
          <w:tab w:val="left" w:pos="8194"/>
        </w:tabs>
        <w:spacing w:line="460" w:lineRule="exact"/>
        <w:jc w:val="center"/>
        <w:rPr>
          <w:rFonts w:ascii="Times New Roman" w:hAnsi="Times New Roman" w:cs="Times New Roman"/>
          <w:b w:val="0"/>
          <w:bCs w:val="0"/>
          <w:sz w:val="24"/>
          <w:szCs w:val="24"/>
        </w:rPr>
      </w:pPr>
      <w:bookmarkStart w:id="13" w:name="_Toc26488"/>
      <w:r>
        <w:rPr>
          <w:rFonts w:ascii="Times New Roman" w:hAnsi="Times New Roman" w:cs="Times New Roman"/>
        </w:rPr>
        <w:t>第二部分  投标人须知</w:t>
      </w:r>
      <w:bookmarkEnd w:id="13"/>
    </w:p>
    <w:p w14:paraId="74D23328">
      <w:pPr>
        <w:pStyle w:val="4"/>
        <w:spacing w:after="156"/>
        <w:rPr>
          <w:rFonts w:ascii="Times New Roman" w:hAnsi="Times New Roman"/>
          <w:sz w:val="21"/>
          <w:szCs w:val="21"/>
        </w:rPr>
      </w:pPr>
      <w:bookmarkStart w:id="14" w:name="_Toc283035009"/>
      <w:bookmarkStart w:id="15" w:name="_Toc4497828"/>
      <w:bookmarkStart w:id="16" w:name="_Toc4497881"/>
      <w:bookmarkStart w:id="17" w:name="_Toc283304086"/>
      <w:bookmarkStart w:id="18" w:name="_Toc416361843"/>
      <w:bookmarkStart w:id="19" w:name="_Toc283035492"/>
      <w:bookmarkStart w:id="20" w:name="_Toc16449"/>
      <w:bookmarkStart w:id="21" w:name="_Toc290389696"/>
      <w:bookmarkStart w:id="22" w:name="_Toc283035149"/>
      <w:r>
        <w:rPr>
          <w:rFonts w:ascii="Times New Roman" w:hAnsi="Times New Roman"/>
          <w:sz w:val="21"/>
          <w:szCs w:val="21"/>
        </w:rPr>
        <w:t>投标人须知前附表</w:t>
      </w:r>
      <w:bookmarkEnd w:id="14"/>
      <w:bookmarkEnd w:id="15"/>
      <w:bookmarkEnd w:id="16"/>
      <w:bookmarkEnd w:id="17"/>
      <w:bookmarkEnd w:id="18"/>
      <w:bookmarkEnd w:id="19"/>
      <w:bookmarkEnd w:id="20"/>
      <w:bookmarkEnd w:id="21"/>
      <w:bookmarkEnd w:id="22"/>
    </w:p>
    <w:p w14:paraId="2B6B2C5C">
      <w:pPr>
        <w:spacing w:line="240" w:lineRule="exact"/>
        <w:rPr>
          <w:rFonts w:ascii="Times New Roman" w:hAnsi="Times New Roman" w:cs="Times New Roman"/>
          <w:color w:val="000000"/>
          <w:sz w:val="21"/>
          <w:szCs w:val="21"/>
        </w:rPr>
      </w:pPr>
    </w:p>
    <w:tbl>
      <w:tblPr>
        <w:tblStyle w:val="50"/>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3"/>
        <w:gridCol w:w="2960"/>
        <w:gridCol w:w="5639"/>
      </w:tblGrid>
      <w:tr w14:paraId="1AFAE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3C4180B3">
            <w:pPr>
              <w:jc w:val="center"/>
              <w:rPr>
                <w:rFonts w:ascii="Times New Roman" w:hAnsi="Times New Roman" w:cs="Times New Roman"/>
                <w:b/>
                <w:color w:val="000000"/>
                <w:sz w:val="21"/>
                <w:szCs w:val="21"/>
              </w:rPr>
            </w:pPr>
            <w:r>
              <w:rPr>
                <w:rFonts w:ascii="Times New Roman" w:hAnsi="Times New Roman" w:cs="Times New Roman"/>
                <w:b/>
                <w:color w:val="000000"/>
                <w:sz w:val="21"/>
                <w:szCs w:val="21"/>
              </w:rPr>
              <w:t>条款号</w:t>
            </w:r>
          </w:p>
        </w:tc>
        <w:tc>
          <w:tcPr>
            <w:tcW w:w="2960" w:type="dxa"/>
            <w:vAlign w:val="center"/>
          </w:tcPr>
          <w:p w14:paraId="0DE3CB9E">
            <w:pPr>
              <w:ind w:firstLine="213"/>
              <w:jc w:val="center"/>
              <w:rPr>
                <w:rFonts w:ascii="Times New Roman" w:hAnsi="Times New Roman" w:cs="Times New Roman"/>
                <w:b/>
                <w:color w:val="000000"/>
                <w:sz w:val="21"/>
                <w:szCs w:val="21"/>
              </w:rPr>
            </w:pPr>
            <w:r>
              <w:rPr>
                <w:rFonts w:ascii="Times New Roman" w:hAnsi="Times New Roman" w:cs="Times New Roman"/>
                <w:b/>
                <w:color w:val="000000"/>
                <w:sz w:val="21"/>
                <w:szCs w:val="21"/>
              </w:rPr>
              <w:t>条  款  名  称</w:t>
            </w:r>
          </w:p>
        </w:tc>
        <w:tc>
          <w:tcPr>
            <w:tcW w:w="5639" w:type="dxa"/>
            <w:vAlign w:val="center"/>
          </w:tcPr>
          <w:p w14:paraId="2A975F0C">
            <w:pPr>
              <w:ind w:firstLine="193"/>
              <w:jc w:val="both"/>
              <w:rPr>
                <w:rFonts w:ascii="Times New Roman" w:hAnsi="Times New Roman" w:cs="Times New Roman"/>
                <w:b/>
                <w:color w:val="000000"/>
                <w:sz w:val="21"/>
                <w:szCs w:val="21"/>
              </w:rPr>
            </w:pPr>
            <w:r>
              <w:rPr>
                <w:rFonts w:ascii="Times New Roman" w:hAnsi="Times New Roman" w:cs="Times New Roman"/>
                <w:b/>
                <w:color w:val="000000"/>
                <w:sz w:val="21"/>
                <w:szCs w:val="21"/>
              </w:rPr>
              <w:t>编  列  内  容</w:t>
            </w:r>
          </w:p>
        </w:tc>
      </w:tr>
      <w:tr w14:paraId="68F14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417D3148">
            <w:pPr>
              <w:ind w:left="-122" w:leftChars="-51"/>
              <w:jc w:val="center"/>
              <w:rPr>
                <w:rFonts w:ascii="Times New Roman" w:hAnsi="Times New Roman" w:cs="Times New Roman"/>
                <w:color w:val="000000"/>
                <w:sz w:val="21"/>
                <w:szCs w:val="21"/>
              </w:rPr>
            </w:pPr>
            <w:r>
              <w:rPr>
                <w:rFonts w:ascii="Times New Roman" w:hAnsi="Times New Roman" w:cs="Times New Roman"/>
                <w:color w:val="000000"/>
                <w:sz w:val="21"/>
                <w:szCs w:val="21"/>
              </w:rPr>
              <w:t>1.1.2</w:t>
            </w:r>
          </w:p>
        </w:tc>
        <w:tc>
          <w:tcPr>
            <w:tcW w:w="2960" w:type="dxa"/>
            <w:vAlign w:val="center"/>
          </w:tcPr>
          <w:p w14:paraId="53B6AE97">
            <w:pPr>
              <w:jc w:val="center"/>
              <w:rPr>
                <w:rFonts w:ascii="Times New Roman" w:hAnsi="Times New Roman" w:cs="Times New Roman"/>
                <w:color w:val="000000"/>
                <w:sz w:val="21"/>
                <w:szCs w:val="21"/>
              </w:rPr>
            </w:pPr>
            <w:r>
              <w:rPr>
                <w:rFonts w:ascii="Times New Roman" w:hAnsi="Times New Roman" w:cs="Times New Roman"/>
                <w:color w:val="000000"/>
                <w:sz w:val="21"/>
                <w:szCs w:val="21"/>
              </w:rPr>
              <w:t>招标人</w:t>
            </w:r>
          </w:p>
        </w:tc>
        <w:tc>
          <w:tcPr>
            <w:tcW w:w="5639" w:type="dxa"/>
            <w:vAlign w:val="center"/>
          </w:tcPr>
          <w:p w14:paraId="2A8AD0D4">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名称：陕西测绘地理信息局劳动就业服务中心</w:t>
            </w:r>
          </w:p>
          <w:p w14:paraId="2A7A1561">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地址：西安市友谊东路334号</w:t>
            </w:r>
          </w:p>
          <w:p w14:paraId="25B9EDFB">
            <w:pPr>
              <w:jc w:val="both"/>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rPr>
              <w:t>联系方式：029-8760</w:t>
            </w:r>
            <w:r>
              <w:rPr>
                <w:rFonts w:hint="eastAsia" w:ascii="Times New Roman" w:hAnsi="Times New Roman" w:cs="Times New Roman"/>
                <w:color w:val="000000"/>
                <w:sz w:val="21"/>
                <w:szCs w:val="21"/>
                <w:lang w:val="en-US" w:eastAsia="zh-CN"/>
              </w:rPr>
              <w:t>4266</w:t>
            </w:r>
          </w:p>
        </w:tc>
      </w:tr>
      <w:tr w14:paraId="06746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1976C8F1">
            <w:pPr>
              <w:ind w:hanging="108"/>
              <w:jc w:val="center"/>
              <w:rPr>
                <w:rFonts w:ascii="Times New Roman" w:hAnsi="Times New Roman" w:cs="Times New Roman"/>
                <w:color w:val="000000"/>
                <w:sz w:val="21"/>
                <w:szCs w:val="21"/>
              </w:rPr>
            </w:pPr>
            <w:r>
              <w:rPr>
                <w:rFonts w:ascii="Times New Roman" w:hAnsi="Times New Roman" w:cs="Times New Roman"/>
                <w:color w:val="000000"/>
                <w:sz w:val="21"/>
                <w:szCs w:val="21"/>
              </w:rPr>
              <w:t>1.1.3</w:t>
            </w:r>
          </w:p>
        </w:tc>
        <w:tc>
          <w:tcPr>
            <w:tcW w:w="2960" w:type="dxa"/>
            <w:vAlign w:val="center"/>
          </w:tcPr>
          <w:p w14:paraId="72D18F10">
            <w:pPr>
              <w:jc w:val="center"/>
              <w:rPr>
                <w:rFonts w:ascii="Times New Roman" w:hAnsi="Times New Roman" w:cs="Times New Roman"/>
                <w:color w:val="000000"/>
                <w:sz w:val="21"/>
                <w:szCs w:val="21"/>
              </w:rPr>
            </w:pPr>
            <w:r>
              <w:rPr>
                <w:rFonts w:ascii="Times New Roman" w:hAnsi="Times New Roman" w:cs="Times New Roman"/>
                <w:color w:val="000000"/>
                <w:sz w:val="21"/>
                <w:szCs w:val="21"/>
              </w:rPr>
              <w:t>招标代理机构</w:t>
            </w:r>
          </w:p>
        </w:tc>
        <w:tc>
          <w:tcPr>
            <w:tcW w:w="5639" w:type="dxa"/>
            <w:vAlign w:val="center"/>
          </w:tcPr>
          <w:p w14:paraId="4343A66E">
            <w:pPr>
              <w:jc w:val="both"/>
              <w:rPr>
                <w:rFonts w:ascii="Times New Roman" w:hAnsi="Times New Roman" w:cs="Times New Roman"/>
                <w:color w:val="000000"/>
                <w:sz w:val="21"/>
                <w:szCs w:val="21"/>
              </w:rPr>
            </w:pPr>
            <w:r>
              <w:rPr>
                <w:rFonts w:ascii="Times New Roman" w:hAnsi="Times New Roman" w:cs="Times New Roman"/>
                <w:color w:val="000000"/>
                <w:sz w:val="21"/>
                <w:szCs w:val="21"/>
              </w:rPr>
              <w:t>名称：</w:t>
            </w:r>
            <w:r>
              <w:rPr>
                <w:rFonts w:hint="eastAsia" w:ascii="Times New Roman" w:hAnsi="Times New Roman" w:cs="Times New Roman"/>
                <w:color w:val="000000"/>
                <w:sz w:val="21"/>
                <w:szCs w:val="21"/>
              </w:rPr>
              <w:t>陕西省招标有限责任公司</w:t>
            </w:r>
          </w:p>
          <w:p w14:paraId="3F8DEBBF">
            <w:pPr>
              <w:jc w:val="both"/>
              <w:rPr>
                <w:rFonts w:ascii="Times New Roman" w:hAnsi="Times New Roman" w:cs="Times New Roman"/>
                <w:color w:val="000000"/>
                <w:sz w:val="21"/>
                <w:szCs w:val="21"/>
              </w:rPr>
            </w:pPr>
            <w:r>
              <w:rPr>
                <w:rFonts w:ascii="Times New Roman" w:hAnsi="Times New Roman" w:cs="Times New Roman"/>
                <w:color w:val="000000"/>
                <w:sz w:val="21"/>
                <w:szCs w:val="21"/>
              </w:rPr>
              <w:t>地址：西安市和平路108号佳腾大厦</w:t>
            </w:r>
          </w:p>
          <w:p w14:paraId="139640CA">
            <w:pPr>
              <w:jc w:val="both"/>
              <w:rPr>
                <w:rFonts w:ascii="Times New Roman" w:hAnsi="Times New Roman" w:cs="Times New Roman"/>
                <w:color w:val="000000"/>
                <w:sz w:val="21"/>
                <w:szCs w:val="21"/>
              </w:rPr>
            </w:pPr>
            <w:r>
              <w:rPr>
                <w:rFonts w:ascii="Times New Roman" w:hAnsi="Times New Roman" w:cs="Times New Roman"/>
                <w:color w:val="000000"/>
                <w:sz w:val="21"/>
                <w:szCs w:val="21"/>
              </w:rPr>
              <w:t>联系人：</w:t>
            </w:r>
            <w:r>
              <w:rPr>
                <w:rFonts w:hint="eastAsia" w:ascii="Times New Roman" w:hAnsi="Times New Roman" w:cs="Times New Roman"/>
                <w:color w:val="000000"/>
                <w:sz w:val="21"/>
                <w:szCs w:val="21"/>
              </w:rPr>
              <w:t>马悦、张轩、李楚瑶</w:t>
            </w:r>
          </w:p>
          <w:p w14:paraId="65EF9D37">
            <w:pPr>
              <w:jc w:val="both"/>
              <w:rPr>
                <w:rFonts w:ascii="Times New Roman" w:hAnsi="Times New Roman" w:cs="Times New Roman"/>
                <w:color w:val="000000"/>
                <w:sz w:val="21"/>
                <w:szCs w:val="21"/>
              </w:rPr>
            </w:pPr>
            <w:r>
              <w:rPr>
                <w:rFonts w:ascii="Times New Roman" w:hAnsi="Times New Roman" w:cs="Times New Roman"/>
                <w:color w:val="000000"/>
                <w:sz w:val="21"/>
                <w:szCs w:val="21"/>
              </w:rPr>
              <w:t>联系电话：029-8752131</w:t>
            </w:r>
            <w:r>
              <w:rPr>
                <w:rFonts w:hint="eastAsia" w:ascii="Times New Roman" w:hAnsi="Times New Roman" w:cs="Times New Roman"/>
                <w:color w:val="000000"/>
                <w:sz w:val="21"/>
                <w:szCs w:val="21"/>
              </w:rPr>
              <w:t>5</w:t>
            </w:r>
          </w:p>
        </w:tc>
      </w:tr>
      <w:tr w14:paraId="67388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76E0A6D7">
            <w:pPr>
              <w:jc w:val="center"/>
              <w:rPr>
                <w:rFonts w:ascii="Times New Roman" w:hAnsi="Times New Roman" w:cs="Times New Roman"/>
                <w:color w:val="000000"/>
                <w:sz w:val="21"/>
                <w:szCs w:val="21"/>
              </w:rPr>
            </w:pPr>
            <w:r>
              <w:rPr>
                <w:rFonts w:ascii="Times New Roman" w:hAnsi="Times New Roman" w:cs="Times New Roman"/>
                <w:color w:val="000000"/>
                <w:sz w:val="21"/>
                <w:szCs w:val="21"/>
              </w:rPr>
              <w:t>1.1.4</w:t>
            </w:r>
          </w:p>
        </w:tc>
        <w:tc>
          <w:tcPr>
            <w:tcW w:w="2960" w:type="dxa"/>
            <w:vAlign w:val="center"/>
          </w:tcPr>
          <w:p w14:paraId="3672239E">
            <w:pPr>
              <w:jc w:val="center"/>
              <w:rPr>
                <w:rFonts w:ascii="Times New Roman" w:hAnsi="Times New Roman" w:cs="Times New Roman"/>
                <w:color w:val="000000"/>
                <w:sz w:val="21"/>
                <w:szCs w:val="21"/>
              </w:rPr>
            </w:pPr>
            <w:r>
              <w:rPr>
                <w:rFonts w:ascii="Times New Roman" w:hAnsi="Times New Roman" w:cs="Times New Roman"/>
                <w:color w:val="000000"/>
                <w:sz w:val="21"/>
                <w:szCs w:val="21"/>
              </w:rPr>
              <w:t>项目名称</w:t>
            </w:r>
          </w:p>
        </w:tc>
        <w:tc>
          <w:tcPr>
            <w:tcW w:w="5639" w:type="dxa"/>
            <w:vAlign w:val="center"/>
          </w:tcPr>
          <w:p w14:paraId="2E8924AD">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陕西测绘地理信息局测绘综合楼六层修缮改造</w:t>
            </w:r>
          </w:p>
        </w:tc>
      </w:tr>
      <w:tr w14:paraId="6B711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397B7A8D">
            <w:pPr>
              <w:jc w:val="center"/>
              <w:rPr>
                <w:rFonts w:ascii="Times New Roman" w:hAnsi="Times New Roman" w:cs="Times New Roman"/>
                <w:color w:val="000000"/>
                <w:sz w:val="21"/>
                <w:szCs w:val="21"/>
              </w:rPr>
            </w:pPr>
            <w:r>
              <w:rPr>
                <w:rFonts w:ascii="Times New Roman" w:hAnsi="Times New Roman" w:cs="Times New Roman"/>
                <w:color w:val="000000"/>
                <w:sz w:val="21"/>
                <w:szCs w:val="21"/>
              </w:rPr>
              <w:t>1.1.5</w:t>
            </w:r>
          </w:p>
        </w:tc>
        <w:tc>
          <w:tcPr>
            <w:tcW w:w="2960" w:type="dxa"/>
            <w:vAlign w:val="center"/>
          </w:tcPr>
          <w:p w14:paraId="0B7DBCF8">
            <w:pPr>
              <w:jc w:val="center"/>
              <w:rPr>
                <w:rFonts w:ascii="Times New Roman" w:hAnsi="Times New Roman" w:cs="Times New Roman"/>
                <w:color w:val="000000"/>
                <w:sz w:val="21"/>
                <w:szCs w:val="21"/>
              </w:rPr>
            </w:pPr>
            <w:r>
              <w:rPr>
                <w:rFonts w:ascii="Times New Roman" w:hAnsi="Times New Roman" w:cs="Times New Roman"/>
                <w:color w:val="000000"/>
                <w:sz w:val="21"/>
                <w:szCs w:val="21"/>
              </w:rPr>
              <w:t>建设地点</w:t>
            </w:r>
          </w:p>
        </w:tc>
        <w:tc>
          <w:tcPr>
            <w:tcW w:w="5639" w:type="dxa"/>
            <w:vAlign w:val="center"/>
          </w:tcPr>
          <w:p w14:paraId="16362ED3">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陕西省西安市碑林区友谊东路334号</w:t>
            </w:r>
          </w:p>
        </w:tc>
      </w:tr>
      <w:tr w14:paraId="429B2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4B0DFC23">
            <w:pPr>
              <w:jc w:val="center"/>
              <w:rPr>
                <w:rFonts w:ascii="Times New Roman" w:hAnsi="Times New Roman" w:cs="Times New Roman"/>
                <w:color w:val="000000"/>
                <w:sz w:val="21"/>
                <w:szCs w:val="21"/>
              </w:rPr>
            </w:pPr>
            <w:r>
              <w:rPr>
                <w:rFonts w:hint="eastAsia" w:ascii="Times New Roman" w:hAnsi="Times New Roman" w:cs="Times New Roman"/>
                <w:color w:val="000000"/>
                <w:sz w:val="21"/>
                <w:szCs w:val="21"/>
              </w:rPr>
              <w:t>1.1.6</w:t>
            </w:r>
          </w:p>
        </w:tc>
        <w:tc>
          <w:tcPr>
            <w:tcW w:w="2960" w:type="dxa"/>
            <w:vAlign w:val="center"/>
          </w:tcPr>
          <w:p w14:paraId="44B61DB2">
            <w:pPr>
              <w:jc w:val="center"/>
              <w:rPr>
                <w:rFonts w:ascii="Times New Roman" w:hAnsi="Times New Roman" w:cs="Times New Roman"/>
                <w:color w:val="000000"/>
                <w:sz w:val="21"/>
                <w:szCs w:val="21"/>
              </w:rPr>
            </w:pPr>
            <w:r>
              <w:rPr>
                <w:rFonts w:hint="eastAsia" w:ascii="Times New Roman" w:hAnsi="Times New Roman" w:cs="Times New Roman"/>
                <w:color w:val="000000"/>
                <w:sz w:val="21"/>
                <w:szCs w:val="21"/>
              </w:rPr>
              <w:t>工程概况</w:t>
            </w:r>
          </w:p>
        </w:tc>
        <w:tc>
          <w:tcPr>
            <w:tcW w:w="5639" w:type="dxa"/>
            <w:vAlign w:val="center"/>
          </w:tcPr>
          <w:p w14:paraId="74A41E3B">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本工程为陕西测绘地理信息局测绘综合楼六层修缮改造，包括测绘综合楼六层拆除及改造工程、装饰装修工程、电气工程、给排水工程、火灾报警工程、弱电工程、通风空调工程、消防工程等内容。</w:t>
            </w:r>
          </w:p>
        </w:tc>
      </w:tr>
      <w:tr w14:paraId="6C99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6AB18ACB">
            <w:pPr>
              <w:jc w:val="center"/>
              <w:rPr>
                <w:rFonts w:ascii="Times New Roman" w:hAnsi="Times New Roman" w:cs="Times New Roman"/>
                <w:color w:val="000000"/>
                <w:sz w:val="21"/>
                <w:szCs w:val="21"/>
              </w:rPr>
            </w:pPr>
            <w:r>
              <w:rPr>
                <w:rFonts w:ascii="Times New Roman" w:hAnsi="Times New Roman" w:cs="Times New Roman"/>
                <w:color w:val="000000"/>
                <w:sz w:val="21"/>
                <w:szCs w:val="21"/>
              </w:rPr>
              <w:t>1.2.1</w:t>
            </w:r>
          </w:p>
        </w:tc>
        <w:tc>
          <w:tcPr>
            <w:tcW w:w="2960" w:type="dxa"/>
            <w:vAlign w:val="center"/>
          </w:tcPr>
          <w:p w14:paraId="3E4F3DAD">
            <w:pPr>
              <w:jc w:val="center"/>
              <w:rPr>
                <w:rFonts w:ascii="Times New Roman" w:hAnsi="Times New Roman" w:cs="Times New Roman"/>
                <w:color w:val="000000"/>
                <w:sz w:val="21"/>
                <w:szCs w:val="21"/>
              </w:rPr>
            </w:pPr>
            <w:r>
              <w:rPr>
                <w:rFonts w:ascii="Times New Roman" w:hAnsi="Times New Roman" w:cs="Times New Roman"/>
                <w:color w:val="000000"/>
                <w:sz w:val="21"/>
                <w:szCs w:val="21"/>
              </w:rPr>
              <w:t>资金来源</w:t>
            </w:r>
          </w:p>
        </w:tc>
        <w:tc>
          <w:tcPr>
            <w:tcW w:w="5639" w:type="dxa"/>
            <w:vAlign w:val="center"/>
          </w:tcPr>
          <w:p w14:paraId="771AB69F">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财政资金</w:t>
            </w:r>
          </w:p>
        </w:tc>
      </w:tr>
      <w:tr w14:paraId="78FE5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0CF05479">
            <w:pPr>
              <w:jc w:val="center"/>
              <w:rPr>
                <w:rFonts w:ascii="Times New Roman" w:hAnsi="Times New Roman" w:cs="Times New Roman"/>
                <w:color w:val="000000"/>
                <w:sz w:val="21"/>
                <w:szCs w:val="21"/>
              </w:rPr>
            </w:pPr>
            <w:r>
              <w:rPr>
                <w:rFonts w:ascii="Times New Roman" w:hAnsi="Times New Roman" w:cs="Times New Roman"/>
                <w:color w:val="000000"/>
                <w:sz w:val="21"/>
                <w:szCs w:val="21"/>
              </w:rPr>
              <w:t>1.2.</w:t>
            </w:r>
            <w:r>
              <w:rPr>
                <w:rFonts w:hint="eastAsia" w:ascii="Times New Roman" w:hAnsi="Times New Roman" w:cs="Times New Roman"/>
                <w:color w:val="000000"/>
                <w:sz w:val="21"/>
                <w:szCs w:val="21"/>
              </w:rPr>
              <w:t>2</w:t>
            </w:r>
          </w:p>
        </w:tc>
        <w:tc>
          <w:tcPr>
            <w:tcW w:w="2960" w:type="dxa"/>
            <w:vAlign w:val="center"/>
          </w:tcPr>
          <w:p w14:paraId="6BAE695E">
            <w:pPr>
              <w:jc w:val="center"/>
              <w:rPr>
                <w:rFonts w:ascii="Times New Roman" w:hAnsi="Times New Roman" w:cs="Times New Roman"/>
                <w:color w:val="000000"/>
                <w:sz w:val="21"/>
                <w:szCs w:val="21"/>
              </w:rPr>
            </w:pPr>
            <w:r>
              <w:rPr>
                <w:rFonts w:ascii="Times New Roman" w:hAnsi="Times New Roman" w:cs="Times New Roman"/>
                <w:color w:val="000000"/>
                <w:sz w:val="21"/>
                <w:szCs w:val="21"/>
              </w:rPr>
              <w:t>资金落实情况</w:t>
            </w:r>
          </w:p>
        </w:tc>
        <w:tc>
          <w:tcPr>
            <w:tcW w:w="5639" w:type="dxa"/>
            <w:vAlign w:val="center"/>
          </w:tcPr>
          <w:p w14:paraId="2AA255BC">
            <w:pPr>
              <w:jc w:val="both"/>
              <w:rPr>
                <w:rFonts w:ascii="Times New Roman" w:hAnsi="Times New Roman" w:cs="Times New Roman"/>
                <w:color w:val="000000"/>
                <w:sz w:val="21"/>
                <w:szCs w:val="21"/>
              </w:rPr>
            </w:pPr>
            <w:r>
              <w:rPr>
                <w:rFonts w:ascii="Times New Roman" w:hAnsi="Times New Roman" w:cs="Times New Roman"/>
                <w:color w:val="000000"/>
                <w:sz w:val="21"/>
                <w:szCs w:val="21"/>
              </w:rPr>
              <w:t>已落实</w:t>
            </w:r>
          </w:p>
        </w:tc>
      </w:tr>
      <w:tr w14:paraId="2407C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0B4D6933">
            <w:pPr>
              <w:jc w:val="center"/>
              <w:rPr>
                <w:rFonts w:ascii="Times New Roman" w:hAnsi="Times New Roman" w:cs="Times New Roman"/>
                <w:color w:val="000000"/>
                <w:sz w:val="21"/>
                <w:szCs w:val="21"/>
              </w:rPr>
            </w:pPr>
            <w:r>
              <w:rPr>
                <w:rFonts w:ascii="Times New Roman" w:hAnsi="Times New Roman" w:cs="Times New Roman"/>
                <w:color w:val="000000"/>
                <w:sz w:val="21"/>
                <w:szCs w:val="21"/>
              </w:rPr>
              <w:t>1.3.1</w:t>
            </w:r>
          </w:p>
        </w:tc>
        <w:tc>
          <w:tcPr>
            <w:tcW w:w="2960" w:type="dxa"/>
            <w:vAlign w:val="center"/>
          </w:tcPr>
          <w:p w14:paraId="50580BEB">
            <w:pPr>
              <w:jc w:val="center"/>
              <w:rPr>
                <w:rFonts w:ascii="Times New Roman" w:hAnsi="Times New Roman" w:cs="Times New Roman"/>
                <w:color w:val="000000"/>
                <w:sz w:val="21"/>
                <w:szCs w:val="21"/>
              </w:rPr>
            </w:pPr>
            <w:r>
              <w:rPr>
                <w:rFonts w:ascii="Times New Roman" w:hAnsi="Times New Roman" w:cs="Times New Roman"/>
                <w:color w:val="000000"/>
                <w:sz w:val="21"/>
                <w:szCs w:val="21"/>
              </w:rPr>
              <w:t>招标范围</w:t>
            </w:r>
          </w:p>
        </w:tc>
        <w:tc>
          <w:tcPr>
            <w:tcW w:w="5639" w:type="dxa"/>
            <w:vAlign w:val="bottom"/>
          </w:tcPr>
          <w:p w14:paraId="2B92CD78">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本工程为陕西测绘地理信息局测绘综合楼六层修缮改造施工图纸及工程量清单的全部内容。具体详见图纸及工程量清单。</w:t>
            </w:r>
          </w:p>
        </w:tc>
      </w:tr>
      <w:tr w14:paraId="5AF77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69788D03">
            <w:pPr>
              <w:jc w:val="center"/>
              <w:rPr>
                <w:rFonts w:ascii="Times New Roman" w:hAnsi="Times New Roman" w:cs="Times New Roman"/>
                <w:color w:val="000000"/>
                <w:sz w:val="21"/>
                <w:szCs w:val="21"/>
              </w:rPr>
            </w:pPr>
            <w:r>
              <w:rPr>
                <w:rFonts w:ascii="Times New Roman" w:hAnsi="Times New Roman" w:cs="Times New Roman"/>
                <w:color w:val="000000"/>
                <w:sz w:val="21"/>
                <w:szCs w:val="21"/>
              </w:rPr>
              <w:t>1.3.2</w:t>
            </w:r>
          </w:p>
        </w:tc>
        <w:tc>
          <w:tcPr>
            <w:tcW w:w="2960" w:type="dxa"/>
            <w:vAlign w:val="center"/>
          </w:tcPr>
          <w:p w14:paraId="4FEB01A9">
            <w:pPr>
              <w:jc w:val="center"/>
              <w:rPr>
                <w:rFonts w:ascii="Times New Roman" w:hAnsi="Times New Roman" w:cs="Times New Roman"/>
                <w:color w:val="000000"/>
                <w:sz w:val="21"/>
                <w:szCs w:val="21"/>
              </w:rPr>
            </w:pPr>
            <w:r>
              <w:rPr>
                <w:rFonts w:ascii="Times New Roman" w:hAnsi="Times New Roman" w:cs="Times New Roman"/>
                <w:color w:val="000000"/>
                <w:sz w:val="21"/>
                <w:szCs w:val="21"/>
              </w:rPr>
              <w:t>工期要求</w:t>
            </w:r>
          </w:p>
        </w:tc>
        <w:tc>
          <w:tcPr>
            <w:tcW w:w="5639" w:type="dxa"/>
            <w:vAlign w:val="center"/>
          </w:tcPr>
          <w:p w14:paraId="06F27DD2">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计划工期：80日历天</w:t>
            </w:r>
          </w:p>
        </w:tc>
      </w:tr>
      <w:tr w14:paraId="6DAA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62CCDD0A">
            <w:pPr>
              <w:jc w:val="center"/>
              <w:rPr>
                <w:rFonts w:ascii="Times New Roman" w:hAnsi="Times New Roman" w:cs="Times New Roman"/>
                <w:color w:val="000000"/>
                <w:sz w:val="21"/>
                <w:szCs w:val="21"/>
              </w:rPr>
            </w:pPr>
            <w:r>
              <w:rPr>
                <w:rFonts w:ascii="Times New Roman" w:hAnsi="Times New Roman" w:cs="Times New Roman"/>
                <w:color w:val="000000"/>
                <w:sz w:val="21"/>
                <w:szCs w:val="21"/>
              </w:rPr>
              <w:t>1.3.3</w:t>
            </w:r>
          </w:p>
        </w:tc>
        <w:tc>
          <w:tcPr>
            <w:tcW w:w="2960" w:type="dxa"/>
            <w:vAlign w:val="center"/>
          </w:tcPr>
          <w:p w14:paraId="3058B7CE">
            <w:pPr>
              <w:jc w:val="center"/>
              <w:rPr>
                <w:rFonts w:ascii="Times New Roman" w:hAnsi="Times New Roman" w:cs="Times New Roman"/>
                <w:color w:val="000000"/>
                <w:sz w:val="21"/>
                <w:szCs w:val="21"/>
              </w:rPr>
            </w:pPr>
            <w:r>
              <w:rPr>
                <w:rFonts w:ascii="Times New Roman" w:hAnsi="Times New Roman" w:cs="Times New Roman"/>
                <w:color w:val="000000"/>
                <w:sz w:val="21"/>
                <w:szCs w:val="21"/>
              </w:rPr>
              <w:t>质量要求</w:t>
            </w:r>
          </w:p>
        </w:tc>
        <w:tc>
          <w:tcPr>
            <w:tcW w:w="5639" w:type="dxa"/>
            <w:vAlign w:val="center"/>
          </w:tcPr>
          <w:p w14:paraId="4E552640">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达到国家现行施工验收规范“合格”标准。</w:t>
            </w:r>
          </w:p>
        </w:tc>
      </w:tr>
      <w:tr w14:paraId="00D01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11A1983D">
            <w:pPr>
              <w:jc w:val="center"/>
              <w:rPr>
                <w:rFonts w:ascii="Times New Roman" w:hAnsi="Times New Roman" w:cs="Times New Roman"/>
                <w:color w:val="000000"/>
                <w:sz w:val="21"/>
                <w:szCs w:val="21"/>
              </w:rPr>
            </w:pPr>
            <w:r>
              <w:rPr>
                <w:rFonts w:ascii="Times New Roman" w:hAnsi="Times New Roman" w:cs="Times New Roman"/>
                <w:color w:val="000000"/>
                <w:sz w:val="21"/>
                <w:szCs w:val="21"/>
              </w:rPr>
              <w:t>1.4.1</w:t>
            </w:r>
          </w:p>
        </w:tc>
        <w:tc>
          <w:tcPr>
            <w:tcW w:w="2960" w:type="dxa"/>
            <w:vAlign w:val="center"/>
          </w:tcPr>
          <w:p w14:paraId="3757662A">
            <w:pPr>
              <w:jc w:val="center"/>
              <w:rPr>
                <w:rFonts w:ascii="Times New Roman" w:hAnsi="Times New Roman" w:cs="Times New Roman"/>
                <w:color w:val="000000"/>
                <w:sz w:val="21"/>
                <w:szCs w:val="21"/>
              </w:rPr>
            </w:pPr>
            <w:r>
              <w:rPr>
                <w:rFonts w:ascii="Times New Roman" w:hAnsi="Times New Roman" w:cs="Times New Roman"/>
                <w:color w:val="000000"/>
                <w:sz w:val="21"/>
                <w:szCs w:val="21"/>
              </w:rPr>
              <w:t>投标人</w:t>
            </w:r>
            <w:r>
              <w:rPr>
                <w:rFonts w:hint="eastAsia"/>
                <w:color w:val="000000"/>
                <w:sz w:val="21"/>
                <w:szCs w:val="21"/>
              </w:rPr>
              <w:t>资质条件、能力和信誉</w:t>
            </w:r>
          </w:p>
        </w:tc>
        <w:tc>
          <w:tcPr>
            <w:tcW w:w="5639" w:type="dxa"/>
            <w:vAlign w:val="center"/>
          </w:tcPr>
          <w:p w14:paraId="3E00498E">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1.满足《中华人民共和国政府采购法》第二十二条规定；</w:t>
            </w:r>
          </w:p>
          <w:p w14:paraId="7C611D38">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2.落实政府采购政策需满足的资格要求：本项目为专门面向中小企业项目，供应商应为中型企业、小型企业、微型企业或监狱企业或残疾人福利性单位。供应商为中小企业的，提供《中小企业声明函》，且中小企业的划分标准所属行业为建筑业；供应商为监狱企业的，应提供监狱企业的证明文件；供应商为残疾人福利性单位的，应提供《残疾人福利性单位声明函》（监狱企业或残疾人福利性单位视同小型、微型企业）。</w:t>
            </w:r>
          </w:p>
          <w:p w14:paraId="763CF8FC">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3.本项目的特定资格要求：</w:t>
            </w:r>
          </w:p>
          <w:p w14:paraId="4FB587EA">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3.1提供法定代表人（单位负责人）授权委托书及被授权人身份证，法定代表人（单位负责人）直接参与只须提交其身份证；3.2提供统一社会信用代码的营业执照或其他组织经营的合法凭证或自然人的提供身份证明文件；3.3投标人资质及项目经理要求：投标人须具备建设部门颁发的建筑工程施工总承包三级及以上资质，具备有效的安全生产许可证；拟派项目经理须具备建筑工程专业二级及以上注册建造师证，具备有效的安全生产考核合格证书（建安B证），在本单位注册，无不良信用记录，且未担任其他在建工程的项目经理（提供无在建承诺）；3.4财务状况报告：</w:t>
            </w:r>
            <w:r>
              <w:rPr>
                <w:rFonts w:hint="eastAsia"/>
                <w:sz w:val="21"/>
                <w:szCs w:val="21"/>
                <w:highlight w:val="none"/>
              </w:rPr>
              <w:t>提供2024年或2025年任意一个年度经审计的审计报告</w:t>
            </w:r>
            <w:r>
              <w:rPr>
                <w:rFonts w:hint="eastAsia"/>
                <w:sz w:val="21"/>
                <w:szCs w:val="21"/>
                <w:highlight w:val="none"/>
                <w:lang w:eastAsia="zh-CN"/>
              </w:rPr>
              <w:t>，</w:t>
            </w:r>
            <w:r>
              <w:rPr>
                <w:rFonts w:hint="eastAsia"/>
                <w:sz w:val="21"/>
                <w:szCs w:val="21"/>
                <w:highlight w:val="none"/>
              </w:rPr>
              <w:t>符合《中小企业划型标准规定》的小型企业按照《小企业会计准则》执行</w:t>
            </w:r>
            <w:r>
              <w:rPr>
                <w:rFonts w:hint="eastAsia"/>
                <w:sz w:val="21"/>
                <w:szCs w:val="21"/>
                <w:highlight w:val="none"/>
                <w:lang w:eastAsia="zh-CN"/>
              </w:rPr>
              <w:t>，</w:t>
            </w:r>
            <w:r>
              <w:rPr>
                <w:rFonts w:hint="eastAsia"/>
                <w:sz w:val="21"/>
                <w:szCs w:val="21"/>
                <w:highlight w:val="none"/>
              </w:rPr>
              <w:t>成立时间至提交投标文件截止时间不足一年的可提供成立后任意时段的资产负债表；或其开标前三个月内基本开户银行出具的资信证明或政府采购信用担保机构出具的担保函（以上三种形式的资料提供任何一种即可）；</w:t>
            </w:r>
            <w:r>
              <w:rPr>
                <w:rFonts w:hint="eastAsia" w:ascii="Times New Roman" w:hAnsi="Times New Roman" w:cs="Times New Roman"/>
                <w:color w:val="000000"/>
                <w:sz w:val="21"/>
                <w:szCs w:val="21"/>
              </w:rPr>
              <w:t>3.5税收缴纳证明：提供自2025年1月1日至投标文件提交截止时间任意连续六个月的纳税证明或完税证明，纳税证明或完税证明上应有代收机构或税务机关的公章或业务专用章；依法免税的供应商应提供相关文件证明；3.6社会保障资金缴纳证明：提供自2025年1月1日至投标文件提交截止时间任意连续六个月的已缴纳的社会保障资金的证明，社会保障资金缴存单据或社保机构开具的社会保险参保缴费情况证明或提供其它相关证明资料，单据或证明上应有社保机构或代收机构的公章。依法不需要缴纳社会保障资金的供应商应提供相关文件证明；3.7信用承诺：参加本次招标采购活动前3年内在经营活动中没有重大违法，以及未被列入《信用中国》（https://www.creditchina.gov.cn）“重大税收违法失信主体名单”和“政府采购严重违法失信行为记录名单”和“失信被执行人”（页面跳转至《中国执行信息公开网》http://zxgk.court.gov.cn/shixin）及不处于《中国政府采购网》（http://www.ccgp.gov.cn）记录的“政府采购严重违法失信行为记录名单”中的禁止参加政府采购活动期间，提供书面信用承诺函；3.8书面承诺：提供具有履行合同所必需的设备和专业技术能力的承诺函；3.9投标人及其拟派项目经理须在“陕西省住房和城乡建设厅（http://js.shaanxi.gov.cn/ ）”可查询；（提供加盖公章查询截图的复印件或扫描件）3.10本项目不接受联合体投标。</w:t>
            </w:r>
          </w:p>
        </w:tc>
      </w:tr>
      <w:tr w14:paraId="1AB17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143" w:type="dxa"/>
            <w:vAlign w:val="center"/>
          </w:tcPr>
          <w:p w14:paraId="324C8869">
            <w:pPr>
              <w:jc w:val="center"/>
              <w:rPr>
                <w:rFonts w:ascii="Times New Roman" w:hAnsi="Times New Roman" w:cs="Times New Roman"/>
                <w:color w:val="000000"/>
                <w:sz w:val="21"/>
                <w:szCs w:val="21"/>
              </w:rPr>
            </w:pPr>
            <w:r>
              <w:rPr>
                <w:rFonts w:ascii="Times New Roman" w:hAnsi="Times New Roman" w:cs="Times New Roman"/>
                <w:color w:val="000000"/>
                <w:sz w:val="21"/>
                <w:szCs w:val="21"/>
              </w:rPr>
              <w:t>1.4.2</w:t>
            </w:r>
          </w:p>
        </w:tc>
        <w:tc>
          <w:tcPr>
            <w:tcW w:w="2960" w:type="dxa"/>
            <w:vAlign w:val="center"/>
          </w:tcPr>
          <w:p w14:paraId="7649D34E">
            <w:pPr>
              <w:jc w:val="center"/>
              <w:rPr>
                <w:rFonts w:ascii="Times New Roman" w:hAnsi="Times New Roman" w:cs="Times New Roman"/>
                <w:color w:val="000000"/>
                <w:sz w:val="21"/>
                <w:szCs w:val="21"/>
              </w:rPr>
            </w:pPr>
            <w:r>
              <w:rPr>
                <w:rFonts w:ascii="Times New Roman" w:hAnsi="Times New Roman" w:cs="Times New Roman"/>
                <w:color w:val="000000"/>
                <w:sz w:val="21"/>
                <w:szCs w:val="21"/>
              </w:rPr>
              <w:t>是否接受联合体投标</w:t>
            </w:r>
          </w:p>
        </w:tc>
        <w:tc>
          <w:tcPr>
            <w:tcW w:w="5639" w:type="dxa"/>
            <w:vAlign w:val="center"/>
          </w:tcPr>
          <w:p w14:paraId="60DB193F">
            <w:pPr>
              <w:jc w:val="both"/>
              <w:rPr>
                <w:rFonts w:ascii="Times New Roman" w:hAnsi="Times New Roman" w:cs="Times New Roman"/>
                <w:color w:val="000000"/>
                <w:sz w:val="21"/>
                <w:szCs w:val="21"/>
              </w:rPr>
            </w:pPr>
            <w:r>
              <w:rPr>
                <w:rFonts w:ascii="Times New Roman" w:hAnsi="Times New Roman" w:cs="Times New Roman"/>
                <w:color w:val="000000"/>
                <w:sz w:val="21"/>
                <w:szCs w:val="21"/>
              </w:rPr>
              <w:t>不接受</w:t>
            </w:r>
          </w:p>
        </w:tc>
      </w:tr>
      <w:tr w14:paraId="45292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7F879890">
            <w:pPr>
              <w:jc w:val="center"/>
              <w:rPr>
                <w:rFonts w:ascii="Times New Roman" w:hAnsi="Times New Roman" w:cs="Times New Roman"/>
                <w:color w:val="000000"/>
                <w:sz w:val="21"/>
                <w:szCs w:val="21"/>
              </w:rPr>
            </w:pPr>
            <w:r>
              <w:rPr>
                <w:rFonts w:ascii="Times New Roman" w:hAnsi="Times New Roman" w:cs="Times New Roman"/>
                <w:color w:val="000000"/>
                <w:sz w:val="21"/>
                <w:szCs w:val="21"/>
              </w:rPr>
              <w:t>1.9.1</w:t>
            </w:r>
          </w:p>
        </w:tc>
        <w:tc>
          <w:tcPr>
            <w:tcW w:w="2960" w:type="dxa"/>
            <w:vAlign w:val="center"/>
          </w:tcPr>
          <w:p w14:paraId="4E041641">
            <w:pPr>
              <w:spacing w:line="360" w:lineRule="auto"/>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踏勘现场</w:t>
            </w:r>
          </w:p>
        </w:tc>
        <w:tc>
          <w:tcPr>
            <w:tcW w:w="5639" w:type="dxa"/>
            <w:vAlign w:val="center"/>
          </w:tcPr>
          <w:p w14:paraId="6C1BD2F5">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本项目不组织，投标人如认为有必要，可自行踏勘，现场踏勘所发生的一切费用由投标人自行承担。</w:t>
            </w:r>
          </w:p>
        </w:tc>
      </w:tr>
      <w:tr w14:paraId="7EDA8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1A2F808A">
            <w:pPr>
              <w:jc w:val="center"/>
              <w:rPr>
                <w:rFonts w:ascii="Times New Roman" w:hAnsi="Times New Roman" w:cs="Times New Roman"/>
                <w:color w:val="000000"/>
                <w:sz w:val="21"/>
                <w:szCs w:val="21"/>
              </w:rPr>
            </w:pPr>
            <w:r>
              <w:rPr>
                <w:rFonts w:ascii="Times New Roman" w:hAnsi="Times New Roman" w:cs="Times New Roman"/>
                <w:color w:val="000000"/>
                <w:sz w:val="21"/>
                <w:szCs w:val="21"/>
              </w:rPr>
              <w:t>1.10.1</w:t>
            </w:r>
          </w:p>
        </w:tc>
        <w:tc>
          <w:tcPr>
            <w:tcW w:w="2960" w:type="dxa"/>
            <w:vAlign w:val="center"/>
          </w:tcPr>
          <w:p w14:paraId="635B1CCC">
            <w:pPr>
              <w:spacing w:line="360" w:lineRule="auto"/>
              <w:jc w:val="center"/>
              <w:rPr>
                <w:rFonts w:ascii="Times New Roman" w:hAnsi="Times New Roman" w:cs="Times New Roman"/>
                <w:color w:val="000000"/>
                <w:sz w:val="21"/>
                <w:szCs w:val="21"/>
              </w:rPr>
            </w:pPr>
            <w:r>
              <w:rPr>
                <w:rFonts w:ascii="Times New Roman" w:hAnsi="Times New Roman" w:cs="Times New Roman"/>
                <w:color w:val="000000"/>
                <w:sz w:val="21"/>
                <w:szCs w:val="21"/>
              </w:rPr>
              <w:t>投标答疑会</w:t>
            </w:r>
          </w:p>
        </w:tc>
        <w:tc>
          <w:tcPr>
            <w:tcW w:w="5639" w:type="dxa"/>
            <w:vAlign w:val="center"/>
          </w:tcPr>
          <w:p w14:paraId="767F5D0E">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不召开，招标代理机构将对投标单位所提出的问题予以解答，并出具书面答疑纪要。答疑纪要为招标文件的组成部分，与招标文件具有同等法律效力。</w:t>
            </w:r>
          </w:p>
        </w:tc>
      </w:tr>
      <w:tr w14:paraId="680AF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7B1584A6">
            <w:pPr>
              <w:jc w:val="center"/>
              <w:rPr>
                <w:rFonts w:ascii="Times New Roman" w:hAnsi="Times New Roman" w:cs="Times New Roman"/>
                <w:color w:val="000000"/>
                <w:sz w:val="21"/>
                <w:szCs w:val="21"/>
              </w:rPr>
            </w:pPr>
            <w:r>
              <w:rPr>
                <w:rFonts w:hint="eastAsia" w:ascii="Times New Roman" w:hAnsi="Times New Roman" w:cs="Times New Roman"/>
                <w:color w:val="000000"/>
                <w:sz w:val="21"/>
                <w:szCs w:val="21"/>
              </w:rPr>
              <w:t>1.11</w:t>
            </w:r>
          </w:p>
        </w:tc>
        <w:tc>
          <w:tcPr>
            <w:tcW w:w="2960" w:type="dxa"/>
            <w:vAlign w:val="center"/>
          </w:tcPr>
          <w:p w14:paraId="5F8B8C34">
            <w:pPr>
              <w:spacing w:line="360" w:lineRule="auto"/>
              <w:jc w:val="center"/>
              <w:rPr>
                <w:rFonts w:ascii="Times New Roman" w:hAnsi="Times New Roman" w:cs="Times New Roman"/>
                <w:color w:val="000000"/>
                <w:sz w:val="21"/>
                <w:szCs w:val="21"/>
              </w:rPr>
            </w:pPr>
            <w:r>
              <w:rPr>
                <w:rFonts w:hint="eastAsia" w:ascii="Times New Roman" w:hAnsi="Times New Roman" w:cs="Times New Roman"/>
                <w:color w:val="000000"/>
                <w:sz w:val="21"/>
                <w:szCs w:val="21"/>
              </w:rPr>
              <w:t>分包</w:t>
            </w:r>
          </w:p>
        </w:tc>
        <w:tc>
          <w:tcPr>
            <w:tcW w:w="5639" w:type="dxa"/>
            <w:vAlign w:val="center"/>
          </w:tcPr>
          <w:p w14:paraId="06F2BD51">
            <w:pPr>
              <w:jc w:val="both"/>
              <w:rPr>
                <w:rFonts w:ascii="Times New Roman" w:hAnsi="Times New Roman" w:cs="Times New Roman"/>
                <w:color w:val="000000"/>
                <w:sz w:val="21"/>
                <w:szCs w:val="21"/>
              </w:rPr>
            </w:pPr>
            <w:bookmarkStart w:id="23" w:name="_Hlk230098195"/>
            <w:r>
              <w:rPr>
                <w:rFonts w:hint="eastAsia" w:ascii="Times New Roman" w:hAnsi="Times New Roman" w:cs="Times New Roman"/>
                <w:color w:val="000000"/>
                <w:sz w:val="21"/>
                <w:szCs w:val="21"/>
              </w:rPr>
              <w:t>主体结构、关键性工作不允许分包，禁止违法分包、转包。</w:t>
            </w:r>
          </w:p>
          <w:p w14:paraId="6958C8D7">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相关专业工程，经发包人确认后，可由承包人依法发包</w:t>
            </w:r>
            <w:bookmarkEnd w:id="23"/>
          </w:p>
        </w:tc>
      </w:tr>
      <w:tr w14:paraId="0739D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2C228D99">
            <w:pPr>
              <w:jc w:val="center"/>
              <w:rPr>
                <w:rFonts w:ascii="Times New Roman" w:hAnsi="Times New Roman" w:cs="Times New Roman"/>
                <w:color w:val="000000"/>
                <w:sz w:val="21"/>
                <w:szCs w:val="21"/>
              </w:rPr>
            </w:pPr>
            <w:r>
              <w:rPr>
                <w:rFonts w:ascii="Times New Roman" w:hAnsi="Times New Roman" w:cs="Times New Roman"/>
                <w:color w:val="000000"/>
                <w:sz w:val="21"/>
                <w:szCs w:val="21"/>
              </w:rPr>
              <w:t>1.1</w:t>
            </w:r>
            <w:r>
              <w:rPr>
                <w:rFonts w:hint="eastAsia" w:ascii="Times New Roman" w:hAnsi="Times New Roman" w:cs="Times New Roman"/>
                <w:color w:val="000000"/>
                <w:sz w:val="21"/>
                <w:szCs w:val="21"/>
              </w:rPr>
              <w:t>2</w:t>
            </w:r>
          </w:p>
        </w:tc>
        <w:tc>
          <w:tcPr>
            <w:tcW w:w="2960" w:type="dxa"/>
            <w:vAlign w:val="center"/>
          </w:tcPr>
          <w:p w14:paraId="46062610">
            <w:pPr>
              <w:jc w:val="center"/>
              <w:rPr>
                <w:rFonts w:ascii="Times New Roman" w:hAnsi="Times New Roman" w:cs="Times New Roman"/>
                <w:color w:val="000000"/>
                <w:sz w:val="21"/>
                <w:szCs w:val="21"/>
              </w:rPr>
            </w:pPr>
            <w:r>
              <w:rPr>
                <w:rFonts w:ascii="Times New Roman" w:hAnsi="Times New Roman" w:cs="Times New Roman"/>
                <w:color w:val="000000"/>
                <w:sz w:val="21"/>
                <w:szCs w:val="21"/>
              </w:rPr>
              <w:t>偏离</w:t>
            </w:r>
          </w:p>
        </w:tc>
        <w:tc>
          <w:tcPr>
            <w:tcW w:w="5639" w:type="dxa"/>
            <w:vAlign w:val="center"/>
          </w:tcPr>
          <w:p w14:paraId="3D53D667">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允许细微偏离</w:t>
            </w:r>
          </w:p>
          <w:p w14:paraId="3B4C1F7F">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未能对实质性要求进行响应的属于重大偏离，投标文件发生重大偏离，否决其投标。实质性要求包括招标范围和内容、总工期、质量标准、发包人要求、投标保证金、投标有效期、合同主要条款等；</w:t>
            </w:r>
          </w:p>
          <w:p w14:paraId="6E9F90F8">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投标文件发生细微偏离的，评标委员会可书面通知投标人对细微偏离进行澄清或说明。细微偏离是指投标文件在实质上响应招标文件要求，但在个别地方存在漏项或者提供了不完整的技术信息和数据等情况，并且补正这些遗漏或者不完整不会对其他投标人造成不公平的结果。细微偏离不影响投标文件的有效性。</w:t>
            </w:r>
          </w:p>
        </w:tc>
      </w:tr>
      <w:tr w14:paraId="01C15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002C26A6">
            <w:pPr>
              <w:jc w:val="center"/>
              <w:rPr>
                <w:rFonts w:ascii="Times New Roman" w:hAnsi="Times New Roman" w:cs="Times New Roman"/>
                <w:color w:val="000000"/>
                <w:sz w:val="21"/>
                <w:szCs w:val="21"/>
              </w:rPr>
            </w:pPr>
            <w:r>
              <w:rPr>
                <w:rFonts w:hint="eastAsia" w:ascii="Times New Roman" w:hAnsi="Times New Roman" w:cs="Times New Roman"/>
                <w:color w:val="000000"/>
                <w:sz w:val="21"/>
                <w:szCs w:val="21"/>
              </w:rPr>
              <w:t>1.13</w:t>
            </w:r>
          </w:p>
        </w:tc>
        <w:tc>
          <w:tcPr>
            <w:tcW w:w="2960" w:type="dxa"/>
            <w:vAlign w:val="center"/>
          </w:tcPr>
          <w:p w14:paraId="173ECEB2">
            <w:pPr>
              <w:jc w:val="center"/>
              <w:rPr>
                <w:rFonts w:ascii="Times New Roman" w:hAnsi="Times New Roman" w:cs="Times New Roman"/>
                <w:color w:val="000000"/>
                <w:sz w:val="21"/>
                <w:szCs w:val="21"/>
              </w:rPr>
            </w:pPr>
            <w:r>
              <w:rPr>
                <w:rFonts w:hint="eastAsia" w:ascii="Times New Roman" w:hAnsi="Times New Roman" w:cs="Times New Roman"/>
                <w:color w:val="000000"/>
                <w:sz w:val="21"/>
                <w:szCs w:val="21"/>
              </w:rPr>
              <w:t>评标办法</w:t>
            </w:r>
          </w:p>
        </w:tc>
        <w:tc>
          <w:tcPr>
            <w:tcW w:w="5639" w:type="dxa"/>
            <w:vAlign w:val="center"/>
          </w:tcPr>
          <w:p w14:paraId="1A577BFB">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综合评估法</w:t>
            </w:r>
          </w:p>
        </w:tc>
      </w:tr>
      <w:tr w14:paraId="4E947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4257333D">
            <w:pPr>
              <w:jc w:val="center"/>
              <w:rPr>
                <w:rFonts w:ascii="Times New Roman" w:hAnsi="Times New Roman" w:cs="Times New Roman"/>
                <w:color w:val="000000"/>
                <w:sz w:val="21"/>
                <w:szCs w:val="21"/>
              </w:rPr>
            </w:pPr>
            <w:r>
              <w:rPr>
                <w:rFonts w:ascii="Times New Roman" w:hAnsi="Times New Roman" w:cs="Times New Roman"/>
                <w:color w:val="000000"/>
                <w:sz w:val="21"/>
                <w:szCs w:val="21"/>
              </w:rPr>
              <w:t>2.1</w:t>
            </w:r>
          </w:p>
        </w:tc>
        <w:tc>
          <w:tcPr>
            <w:tcW w:w="2960" w:type="dxa"/>
            <w:vAlign w:val="center"/>
          </w:tcPr>
          <w:p w14:paraId="5F289903">
            <w:pPr>
              <w:jc w:val="center"/>
              <w:rPr>
                <w:rFonts w:ascii="Times New Roman" w:hAnsi="Times New Roman" w:cs="Times New Roman"/>
                <w:color w:val="000000"/>
                <w:sz w:val="21"/>
                <w:szCs w:val="21"/>
              </w:rPr>
            </w:pPr>
            <w:r>
              <w:rPr>
                <w:rFonts w:ascii="Times New Roman" w:hAnsi="Times New Roman" w:cs="Times New Roman"/>
                <w:color w:val="000000"/>
                <w:sz w:val="21"/>
                <w:szCs w:val="21"/>
              </w:rPr>
              <w:t>构成招标文件的其他材料</w:t>
            </w:r>
          </w:p>
        </w:tc>
        <w:tc>
          <w:tcPr>
            <w:tcW w:w="5639" w:type="dxa"/>
            <w:vAlign w:val="center"/>
          </w:tcPr>
          <w:p w14:paraId="035E817F">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根据招标文件相应条款对招标文件所作的答疑、修改及通知，构成招标文件的组成部分。</w:t>
            </w:r>
          </w:p>
        </w:tc>
      </w:tr>
      <w:tr w14:paraId="438A4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41502D06">
            <w:pPr>
              <w:jc w:val="center"/>
              <w:rPr>
                <w:rFonts w:ascii="Times New Roman" w:hAnsi="Times New Roman" w:cs="Times New Roman"/>
                <w:color w:val="000000"/>
                <w:sz w:val="21"/>
                <w:szCs w:val="21"/>
              </w:rPr>
            </w:pPr>
            <w:r>
              <w:rPr>
                <w:rFonts w:ascii="Times New Roman" w:hAnsi="Times New Roman" w:cs="Times New Roman"/>
                <w:color w:val="000000"/>
                <w:sz w:val="21"/>
                <w:szCs w:val="21"/>
              </w:rPr>
              <w:t>2.2.1</w:t>
            </w:r>
          </w:p>
        </w:tc>
        <w:tc>
          <w:tcPr>
            <w:tcW w:w="2960" w:type="dxa"/>
            <w:vAlign w:val="center"/>
          </w:tcPr>
          <w:p w14:paraId="5752FFEE">
            <w:pPr>
              <w:tabs>
                <w:tab w:val="center" w:pos="4153"/>
                <w:tab w:val="right" w:pos="8306"/>
              </w:tabs>
              <w:snapToGrid w:val="0"/>
              <w:jc w:val="center"/>
              <w:rPr>
                <w:rFonts w:ascii="Times New Roman" w:hAnsi="Times New Roman" w:cs="Times New Roman"/>
                <w:sz w:val="21"/>
                <w:szCs w:val="21"/>
              </w:rPr>
            </w:pPr>
            <w:r>
              <w:rPr>
                <w:rFonts w:ascii="Times New Roman" w:hAnsi="Times New Roman" w:cs="Times New Roman"/>
                <w:sz w:val="21"/>
                <w:szCs w:val="21"/>
              </w:rPr>
              <w:t>投标人要求答疑招标文件的截止时间</w:t>
            </w:r>
          </w:p>
        </w:tc>
        <w:tc>
          <w:tcPr>
            <w:tcW w:w="5639" w:type="dxa"/>
            <w:vAlign w:val="center"/>
          </w:tcPr>
          <w:p w14:paraId="6E0D7243">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投标截止日起10日前递交疑问，过期不予受理。招标人投标截止日起7日前予以回复。</w:t>
            </w:r>
          </w:p>
          <w:p w14:paraId="0A5845AD">
            <w:pPr>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投标人以书面形式送至招标代理机构，同时须将此书面文件电子版（word版及盖章扫描件）各一份发送至招标代理机构电子邮箱。（电子邮件：szjyb15@163.com）</w:t>
            </w:r>
          </w:p>
        </w:tc>
      </w:tr>
      <w:tr w14:paraId="37ED0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44B1B541">
            <w:pPr>
              <w:jc w:val="center"/>
              <w:rPr>
                <w:rFonts w:ascii="Times New Roman" w:hAnsi="Times New Roman" w:cs="Times New Roman"/>
                <w:color w:val="000000"/>
                <w:sz w:val="21"/>
                <w:szCs w:val="21"/>
              </w:rPr>
            </w:pPr>
            <w:r>
              <w:rPr>
                <w:rFonts w:ascii="Times New Roman" w:hAnsi="Times New Roman" w:cs="Times New Roman"/>
                <w:color w:val="000000"/>
                <w:sz w:val="21"/>
                <w:szCs w:val="21"/>
              </w:rPr>
              <w:t>2.2.2</w:t>
            </w:r>
          </w:p>
        </w:tc>
        <w:tc>
          <w:tcPr>
            <w:tcW w:w="2960" w:type="dxa"/>
            <w:vAlign w:val="center"/>
          </w:tcPr>
          <w:p w14:paraId="714E3517">
            <w:pPr>
              <w:tabs>
                <w:tab w:val="center" w:pos="4153"/>
                <w:tab w:val="right" w:pos="8306"/>
              </w:tabs>
              <w:snapToGrid w:val="0"/>
              <w:jc w:val="center"/>
              <w:rPr>
                <w:rFonts w:ascii="Times New Roman" w:hAnsi="Times New Roman" w:cs="Times New Roman"/>
                <w:sz w:val="21"/>
                <w:szCs w:val="21"/>
              </w:rPr>
            </w:pPr>
            <w:r>
              <w:rPr>
                <w:rFonts w:ascii="Times New Roman" w:hAnsi="Times New Roman" w:cs="Times New Roman"/>
                <w:sz w:val="21"/>
                <w:szCs w:val="21"/>
              </w:rPr>
              <w:t>投标截止时间</w:t>
            </w:r>
          </w:p>
        </w:tc>
        <w:tc>
          <w:tcPr>
            <w:tcW w:w="5639" w:type="dxa"/>
            <w:vAlign w:val="center"/>
          </w:tcPr>
          <w:p w14:paraId="3DAD7784">
            <w:pPr>
              <w:tabs>
                <w:tab w:val="center" w:pos="4153"/>
                <w:tab w:val="right" w:pos="8306"/>
              </w:tabs>
              <w:snapToGrid w:val="0"/>
              <w:jc w:val="both"/>
              <w:rPr>
                <w:rFonts w:ascii="Times New Roman" w:hAnsi="Times New Roman" w:cs="Times New Roman"/>
                <w:sz w:val="21"/>
                <w:szCs w:val="21"/>
              </w:rPr>
            </w:pPr>
            <w:r>
              <w:rPr>
                <w:rFonts w:hint="eastAsia" w:ascii="Times New Roman" w:hAnsi="Times New Roman" w:cs="Times New Roman"/>
                <w:sz w:val="21"/>
                <w:szCs w:val="21"/>
              </w:rPr>
              <w:t>2026</w:t>
            </w:r>
            <w:r>
              <w:rPr>
                <w:rFonts w:ascii="Times New Roman" w:hAnsi="Times New Roman" w:cs="Times New Roman"/>
                <w:sz w:val="21"/>
                <w:szCs w:val="21"/>
              </w:rPr>
              <w:t>年</w:t>
            </w:r>
            <w:r>
              <w:rPr>
                <w:rFonts w:hint="eastAsia" w:ascii="Times New Roman" w:hAnsi="Times New Roman" w:cs="Times New Roman"/>
                <w:sz w:val="21"/>
                <w:szCs w:val="21"/>
                <w:lang w:val="en-US" w:eastAsia="zh-CN"/>
              </w:rPr>
              <w:t>7</w:t>
            </w:r>
            <w:r>
              <w:rPr>
                <w:rFonts w:ascii="Times New Roman" w:hAnsi="Times New Roman" w:cs="Times New Roman"/>
                <w:sz w:val="21"/>
                <w:szCs w:val="21"/>
              </w:rPr>
              <w:t>月</w:t>
            </w:r>
            <w:r>
              <w:rPr>
                <w:rFonts w:hint="eastAsia" w:ascii="Times New Roman" w:hAnsi="Times New Roman" w:cs="Times New Roman"/>
                <w:sz w:val="21"/>
                <w:szCs w:val="21"/>
                <w:lang w:val="en-US" w:eastAsia="zh-CN"/>
              </w:rPr>
              <w:t>7</w:t>
            </w:r>
            <w:r>
              <w:rPr>
                <w:rFonts w:ascii="Times New Roman" w:hAnsi="Times New Roman" w:cs="Times New Roman"/>
                <w:sz w:val="21"/>
                <w:szCs w:val="21"/>
              </w:rPr>
              <w:t>日</w:t>
            </w:r>
            <w:r>
              <w:rPr>
                <w:rFonts w:hint="eastAsia" w:ascii="Times New Roman" w:hAnsi="Times New Roman" w:cs="Times New Roman"/>
                <w:sz w:val="21"/>
                <w:szCs w:val="21"/>
              </w:rPr>
              <w:t>9</w:t>
            </w:r>
            <w:r>
              <w:rPr>
                <w:rFonts w:ascii="Times New Roman" w:hAnsi="Times New Roman" w:cs="Times New Roman"/>
                <w:sz w:val="21"/>
                <w:szCs w:val="21"/>
              </w:rPr>
              <w:t>时</w:t>
            </w:r>
            <w:r>
              <w:rPr>
                <w:rFonts w:hint="eastAsia" w:ascii="Times New Roman" w:hAnsi="Times New Roman" w:cs="Times New Roman"/>
                <w:sz w:val="21"/>
                <w:szCs w:val="21"/>
              </w:rPr>
              <w:t>30</w:t>
            </w:r>
            <w:r>
              <w:rPr>
                <w:rFonts w:ascii="Times New Roman" w:hAnsi="Times New Roman" w:cs="Times New Roman"/>
                <w:sz w:val="21"/>
                <w:szCs w:val="21"/>
              </w:rPr>
              <w:t>分</w:t>
            </w:r>
          </w:p>
        </w:tc>
      </w:tr>
      <w:tr w14:paraId="21053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61FC16EC">
            <w:pPr>
              <w:jc w:val="center"/>
              <w:rPr>
                <w:rFonts w:ascii="Times New Roman" w:hAnsi="Times New Roman" w:cs="Times New Roman"/>
                <w:color w:val="000000"/>
                <w:sz w:val="21"/>
                <w:szCs w:val="21"/>
              </w:rPr>
            </w:pPr>
            <w:r>
              <w:rPr>
                <w:rFonts w:ascii="Times New Roman" w:hAnsi="Times New Roman" w:cs="Times New Roman"/>
                <w:color w:val="000000"/>
                <w:sz w:val="21"/>
                <w:szCs w:val="21"/>
              </w:rPr>
              <w:t>2.2.3</w:t>
            </w:r>
          </w:p>
        </w:tc>
        <w:tc>
          <w:tcPr>
            <w:tcW w:w="2960" w:type="dxa"/>
            <w:vAlign w:val="center"/>
          </w:tcPr>
          <w:p w14:paraId="74A55FAD">
            <w:pPr>
              <w:tabs>
                <w:tab w:val="center" w:pos="4153"/>
                <w:tab w:val="right" w:pos="8306"/>
              </w:tabs>
              <w:snapToGrid w:val="0"/>
              <w:jc w:val="center"/>
              <w:rPr>
                <w:rFonts w:ascii="Times New Roman" w:hAnsi="Times New Roman" w:cs="Times New Roman"/>
                <w:sz w:val="21"/>
                <w:szCs w:val="21"/>
              </w:rPr>
            </w:pPr>
            <w:r>
              <w:rPr>
                <w:rFonts w:ascii="Times New Roman" w:hAnsi="Times New Roman" w:cs="Times New Roman"/>
                <w:sz w:val="21"/>
                <w:szCs w:val="21"/>
              </w:rPr>
              <w:t>投标人确认收到招标文件答疑的时间</w:t>
            </w:r>
          </w:p>
        </w:tc>
        <w:tc>
          <w:tcPr>
            <w:tcW w:w="5639" w:type="dxa"/>
            <w:vAlign w:val="center"/>
          </w:tcPr>
          <w:p w14:paraId="0A2AC2F7">
            <w:pPr>
              <w:tabs>
                <w:tab w:val="center" w:pos="4153"/>
                <w:tab w:val="right" w:pos="8306"/>
              </w:tabs>
              <w:snapToGrid w:val="0"/>
              <w:jc w:val="both"/>
              <w:rPr>
                <w:rFonts w:ascii="Times New Roman" w:hAnsi="Times New Roman" w:cs="Times New Roman"/>
                <w:sz w:val="21"/>
                <w:szCs w:val="21"/>
              </w:rPr>
            </w:pPr>
            <w:r>
              <w:rPr>
                <w:rFonts w:ascii="Times New Roman" w:hAnsi="Times New Roman" w:cs="Times New Roman"/>
                <w:sz w:val="21"/>
                <w:szCs w:val="21"/>
              </w:rPr>
              <w:t>在收到相应答疑文件后24小时内</w:t>
            </w:r>
          </w:p>
        </w:tc>
      </w:tr>
      <w:tr w14:paraId="1714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3D3BF5E4">
            <w:pPr>
              <w:jc w:val="center"/>
              <w:rPr>
                <w:rFonts w:ascii="Times New Roman" w:hAnsi="Times New Roman" w:cs="Times New Roman"/>
                <w:color w:val="000000"/>
                <w:sz w:val="21"/>
                <w:szCs w:val="21"/>
              </w:rPr>
            </w:pPr>
            <w:r>
              <w:rPr>
                <w:rFonts w:ascii="Times New Roman" w:hAnsi="Times New Roman" w:cs="Times New Roman"/>
                <w:color w:val="000000"/>
                <w:sz w:val="21"/>
                <w:szCs w:val="21"/>
              </w:rPr>
              <w:t>2.3.2</w:t>
            </w:r>
          </w:p>
        </w:tc>
        <w:tc>
          <w:tcPr>
            <w:tcW w:w="2960" w:type="dxa"/>
            <w:vAlign w:val="center"/>
          </w:tcPr>
          <w:p w14:paraId="3FCD526B">
            <w:pPr>
              <w:jc w:val="center"/>
              <w:rPr>
                <w:rFonts w:ascii="Times New Roman" w:hAnsi="Times New Roman" w:cs="Times New Roman"/>
                <w:color w:val="000000"/>
                <w:sz w:val="21"/>
                <w:szCs w:val="21"/>
              </w:rPr>
            </w:pPr>
            <w:r>
              <w:rPr>
                <w:rFonts w:ascii="Times New Roman" w:hAnsi="Times New Roman" w:cs="Times New Roman"/>
                <w:color w:val="000000"/>
                <w:sz w:val="21"/>
                <w:szCs w:val="21"/>
              </w:rPr>
              <w:t>投标人确认收到招标</w:t>
            </w:r>
          </w:p>
          <w:p w14:paraId="0ED3D36E">
            <w:pPr>
              <w:jc w:val="center"/>
              <w:rPr>
                <w:rFonts w:ascii="Times New Roman" w:hAnsi="Times New Roman" w:cs="Times New Roman"/>
                <w:color w:val="000000"/>
                <w:sz w:val="21"/>
                <w:szCs w:val="21"/>
              </w:rPr>
            </w:pPr>
            <w:r>
              <w:rPr>
                <w:rFonts w:ascii="Times New Roman" w:hAnsi="Times New Roman" w:cs="Times New Roman"/>
                <w:color w:val="000000"/>
                <w:sz w:val="21"/>
                <w:szCs w:val="21"/>
              </w:rPr>
              <w:t>文件修改的时间</w:t>
            </w:r>
          </w:p>
        </w:tc>
        <w:tc>
          <w:tcPr>
            <w:tcW w:w="5639" w:type="dxa"/>
            <w:vAlign w:val="center"/>
          </w:tcPr>
          <w:p w14:paraId="33FCCB88">
            <w:pPr>
              <w:jc w:val="both"/>
              <w:rPr>
                <w:rFonts w:ascii="Times New Roman" w:hAnsi="Times New Roman" w:cs="Times New Roman"/>
                <w:color w:val="000000"/>
                <w:sz w:val="21"/>
                <w:szCs w:val="21"/>
              </w:rPr>
            </w:pPr>
            <w:r>
              <w:rPr>
                <w:rFonts w:ascii="Times New Roman" w:hAnsi="Times New Roman" w:cs="Times New Roman"/>
                <w:color w:val="000000"/>
                <w:sz w:val="21"/>
                <w:szCs w:val="21"/>
              </w:rPr>
              <w:t>在收到相应修改文件后24小时内</w:t>
            </w:r>
          </w:p>
        </w:tc>
      </w:tr>
      <w:tr w14:paraId="1CFB4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143" w:type="dxa"/>
            <w:vAlign w:val="center"/>
          </w:tcPr>
          <w:p w14:paraId="144390E5">
            <w:pPr>
              <w:jc w:val="center"/>
              <w:rPr>
                <w:rFonts w:ascii="Times New Roman" w:hAnsi="Times New Roman" w:cs="Times New Roman"/>
                <w:color w:val="000000"/>
                <w:sz w:val="21"/>
                <w:szCs w:val="21"/>
              </w:rPr>
            </w:pPr>
            <w:r>
              <w:rPr>
                <w:rFonts w:ascii="Times New Roman" w:hAnsi="Times New Roman" w:cs="Times New Roman"/>
                <w:color w:val="000000"/>
                <w:sz w:val="21"/>
                <w:szCs w:val="21"/>
              </w:rPr>
              <w:t>3.1.1</w:t>
            </w:r>
          </w:p>
        </w:tc>
        <w:tc>
          <w:tcPr>
            <w:tcW w:w="2960" w:type="dxa"/>
            <w:vAlign w:val="center"/>
          </w:tcPr>
          <w:p w14:paraId="2168B30E">
            <w:pPr>
              <w:jc w:val="center"/>
              <w:rPr>
                <w:rFonts w:ascii="Times New Roman" w:hAnsi="Times New Roman" w:cs="Times New Roman"/>
                <w:color w:val="000000"/>
                <w:sz w:val="21"/>
                <w:szCs w:val="21"/>
              </w:rPr>
            </w:pPr>
            <w:r>
              <w:rPr>
                <w:rFonts w:ascii="Times New Roman" w:hAnsi="Times New Roman" w:cs="Times New Roman"/>
                <w:color w:val="000000"/>
                <w:sz w:val="21"/>
                <w:szCs w:val="21"/>
              </w:rPr>
              <w:t>构成投标文件的其他材料</w:t>
            </w:r>
          </w:p>
        </w:tc>
        <w:tc>
          <w:tcPr>
            <w:tcW w:w="5639" w:type="dxa"/>
            <w:vAlign w:val="center"/>
          </w:tcPr>
          <w:p w14:paraId="6C4E8812">
            <w:pPr>
              <w:jc w:val="both"/>
              <w:rPr>
                <w:rFonts w:ascii="Times New Roman" w:hAnsi="Times New Roman" w:cs="Times New Roman"/>
                <w:color w:val="000000"/>
                <w:sz w:val="21"/>
                <w:szCs w:val="21"/>
              </w:rPr>
            </w:pPr>
            <w:r>
              <w:rPr>
                <w:rFonts w:ascii="Times New Roman" w:hAnsi="Times New Roman" w:cs="Times New Roman"/>
                <w:color w:val="000000"/>
                <w:sz w:val="21"/>
                <w:szCs w:val="21"/>
              </w:rPr>
              <w:t>/</w:t>
            </w:r>
          </w:p>
        </w:tc>
      </w:tr>
      <w:tr w14:paraId="75DC3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143" w:type="dxa"/>
            <w:vAlign w:val="center"/>
          </w:tcPr>
          <w:p w14:paraId="6FEDB740">
            <w:pPr>
              <w:jc w:val="center"/>
              <w:rPr>
                <w:rFonts w:ascii="Times New Roman" w:hAnsi="Times New Roman" w:cs="Times New Roman"/>
                <w:color w:val="000000"/>
                <w:sz w:val="21"/>
                <w:szCs w:val="21"/>
              </w:rPr>
            </w:pPr>
            <w:r>
              <w:rPr>
                <w:rFonts w:ascii="Times New Roman" w:hAnsi="Times New Roman" w:cs="Times New Roman"/>
                <w:color w:val="000000"/>
                <w:sz w:val="21"/>
                <w:szCs w:val="21"/>
              </w:rPr>
              <w:t>3.3.1</w:t>
            </w:r>
          </w:p>
        </w:tc>
        <w:tc>
          <w:tcPr>
            <w:tcW w:w="2960" w:type="dxa"/>
            <w:vAlign w:val="center"/>
          </w:tcPr>
          <w:p w14:paraId="3A8A16A5">
            <w:pPr>
              <w:jc w:val="center"/>
              <w:rPr>
                <w:rFonts w:ascii="Times New Roman" w:hAnsi="Times New Roman" w:cs="Times New Roman"/>
                <w:color w:val="000000"/>
                <w:sz w:val="21"/>
                <w:szCs w:val="21"/>
              </w:rPr>
            </w:pPr>
            <w:r>
              <w:rPr>
                <w:rFonts w:ascii="Times New Roman" w:hAnsi="Times New Roman" w:cs="Times New Roman"/>
                <w:color w:val="000000"/>
                <w:sz w:val="21"/>
                <w:szCs w:val="21"/>
              </w:rPr>
              <w:t>投标有效期</w:t>
            </w:r>
          </w:p>
        </w:tc>
        <w:tc>
          <w:tcPr>
            <w:tcW w:w="5639" w:type="dxa"/>
            <w:vAlign w:val="center"/>
          </w:tcPr>
          <w:p w14:paraId="501C855C">
            <w:pPr>
              <w:jc w:val="both"/>
              <w:rPr>
                <w:rFonts w:ascii="Times New Roman" w:hAnsi="Times New Roman" w:cs="Times New Roman"/>
                <w:color w:val="000000"/>
                <w:sz w:val="21"/>
                <w:szCs w:val="21"/>
              </w:rPr>
            </w:pPr>
            <w:r>
              <w:rPr>
                <w:rFonts w:hint="eastAsia"/>
                <w:sz w:val="21"/>
                <w:szCs w:val="21"/>
              </w:rPr>
              <w:t>90天</w:t>
            </w:r>
          </w:p>
        </w:tc>
      </w:tr>
      <w:tr w14:paraId="49910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5C3B08D7">
            <w:pPr>
              <w:jc w:val="center"/>
              <w:rPr>
                <w:rFonts w:ascii="Times New Roman" w:hAnsi="Times New Roman" w:cs="Times New Roman"/>
                <w:color w:val="000000"/>
                <w:sz w:val="21"/>
                <w:szCs w:val="21"/>
              </w:rPr>
            </w:pPr>
            <w:r>
              <w:rPr>
                <w:rFonts w:ascii="Times New Roman" w:hAnsi="Times New Roman" w:cs="Times New Roman"/>
                <w:color w:val="000000"/>
                <w:sz w:val="21"/>
                <w:szCs w:val="21"/>
              </w:rPr>
              <w:t>3.4.1</w:t>
            </w:r>
          </w:p>
        </w:tc>
        <w:tc>
          <w:tcPr>
            <w:tcW w:w="2960" w:type="dxa"/>
            <w:vAlign w:val="center"/>
          </w:tcPr>
          <w:p w14:paraId="58E4147A">
            <w:pPr>
              <w:jc w:val="center"/>
              <w:rPr>
                <w:rFonts w:ascii="Times New Roman" w:hAnsi="Times New Roman" w:cs="Times New Roman"/>
                <w:color w:val="000000"/>
                <w:sz w:val="21"/>
                <w:szCs w:val="21"/>
              </w:rPr>
            </w:pPr>
            <w:r>
              <w:rPr>
                <w:rFonts w:ascii="Times New Roman" w:hAnsi="Times New Roman" w:cs="Times New Roman"/>
                <w:color w:val="000000"/>
                <w:sz w:val="21"/>
                <w:szCs w:val="21"/>
              </w:rPr>
              <w:t>投标保证金</w:t>
            </w:r>
          </w:p>
        </w:tc>
        <w:tc>
          <w:tcPr>
            <w:tcW w:w="5639" w:type="dxa"/>
            <w:vAlign w:val="center"/>
          </w:tcPr>
          <w:p w14:paraId="4211E122">
            <w:pPr>
              <w:numPr>
                <w:ilvl w:val="0"/>
                <w:numId w:val="1"/>
              </w:numPr>
              <w:kinsoku w:val="0"/>
              <w:jc w:val="both"/>
              <w:rPr>
                <w:rFonts w:hint="eastAsia"/>
                <w:sz w:val="21"/>
                <w:szCs w:val="21"/>
              </w:rPr>
            </w:pPr>
            <w:r>
              <w:rPr>
                <w:rFonts w:hint="eastAsia"/>
                <w:sz w:val="21"/>
                <w:szCs w:val="21"/>
              </w:rPr>
              <w:t>本次投标活动须交纳保证金：</w:t>
            </w:r>
            <w:r>
              <w:rPr>
                <w:rFonts w:hint="eastAsia"/>
                <w:sz w:val="21"/>
                <w:szCs w:val="21"/>
                <w:lang w:val="en-US" w:eastAsia="zh-CN"/>
              </w:rPr>
              <w:t>贰</w:t>
            </w:r>
            <w:r>
              <w:rPr>
                <w:rFonts w:hint="eastAsia"/>
                <w:sz w:val="21"/>
                <w:szCs w:val="21"/>
              </w:rPr>
              <w:t>万元</w:t>
            </w:r>
            <w:r>
              <w:rPr>
                <w:rFonts w:hint="eastAsia"/>
                <w:sz w:val="21"/>
                <w:szCs w:val="21"/>
                <w:lang w:val="en-US" w:eastAsia="zh-CN"/>
              </w:rPr>
              <w:t>整</w:t>
            </w:r>
            <w:r>
              <w:rPr>
                <w:rFonts w:hint="eastAsia"/>
                <w:sz w:val="21"/>
                <w:szCs w:val="21"/>
              </w:rPr>
              <w:t>。</w:t>
            </w:r>
          </w:p>
          <w:p w14:paraId="3B305445">
            <w:pPr>
              <w:pStyle w:val="16"/>
              <w:rPr>
                <w:rFonts w:hint="eastAsia" w:ascii="宋体" w:hAnsi="宋体" w:eastAsia="宋体" w:cs="宋体"/>
                <w:szCs w:val="21"/>
              </w:rPr>
            </w:pPr>
            <w:r>
              <w:rPr>
                <w:rFonts w:hint="eastAsia" w:ascii="宋体" w:hAnsi="宋体" w:eastAsia="宋体" w:cs="宋体"/>
                <w:szCs w:val="21"/>
              </w:rPr>
              <w:t>2、投标保证金应为人民币，采用银行转账或电汇，从投标人基本账户转出</w:t>
            </w:r>
            <w:r>
              <w:rPr>
                <w:rFonts w:hint="eastAsia" w:cs="宋体"/>
                <w:b/>
                <w:bCs/>
                <w:szCs w:val="21"/>
              </w:rPr>
              <w:t>。</w:t>
            </w:r>
          </w:p>
          <w:p w14:paraId="14E91421">
            <w:pPr>
              <w:jc w:val="both"/>
              <w:rPr>
                <w:rFonts w:hint="eastAsia"/>
                <w:sz w:val="21"/>
                <w:szCs w:val="21"/>
              </w:rPr>
            </w:pPr>
            <w:r>
              <w:rPr>
                <w:rFonts w:hint="eastAsia"/>
                <w:sz w:val="21"/>
                <w:szCs w:val="21"/>
              </w:rPr>
              <w:t>3、保证金汇款账号：</w:t>
            </w:r>
          </w:p>
          <w:p w14:paraId="120DBB02">
            <w:pPr>
              <w:adjustRightInd w:val="0"/>
              <w:ind w:firstLine="420" w:firstLineChars="200"/>
              <w:jc w:val="both"/>
              <w:rPr>
                <w:rFonts w:hint="eastAsia"/>
                <w:sz w:val="21"/>
                <w:szCs w:val="21"/>
              </w:rPr>
            </w:pPr>
            <w:r>
              <w:rPr>
                <w:rFonts w:hint="eastAsia"/>
                <w:sz w:val="21"/>
                <w:szCs w:val="21"/>
              </w:rPr>
              <w:t>户  名：陕西省招标有限责任公司</w:t>
            </w:r>
          </w:p>
          <w:p w14:paraId="2B57B3FB">
            <w:pPr>
              <w:adjustRightInd w:val="0"/>
              <w:ind w:firstLine="420" w:firstLineChars="200"/>
              <w:jc w:val="both"/>
              <w:rPr>
                <w:rFonts w:hint="eastAsia"/>
                <w:sz w:val="21"/>
                <w:szCs w:val="21"/>
              </w:rPr>
            </w:pPr>
            <w:r>
              <w:rPr>
                <w:rFonts w:hint="eastAsia"/>
                <w:sz w:val="21"/>
                <w:szCs w:val="21"/>
              </w:rPr>
              <w:t>开户行：中国民生银行股份有限公司西安雁塔路支行</w:t>
            </w:r>
          </w:p>
          <w:p w14:paraId="42599AEC">
            <w:pPr>
              <w:adjustRightInd w:val="0"/>
              <w:ind w:firstLine="420" w:firstLineChars="200"/>
              <w:jc w:val="both"/>
              <w:rPr>
                <w:rFonts w:hint="eastAsia"/>
                <w:sz w:val="21"/>
                <w:szCs w:val="21"/>
              </w:rPr>
            </w:pPr>
            <w:r>
              <w:rPr>
                <w:rFonts w:hint="eastAsia"/>
                <w:sz w:val="21"/>
                <w:szCs w:val="21"/>
              </w:rPr>
              <w:t>账  号：9902001766572554</w:t>
            </w:r>
          </w:p>
          <w:p w14:paraId="5FEC9241">
            <w:pPr>
              <w:ind w:firstLine="308" w:firstLineChars="147"/>
              <w:jc w:val="both"/>
              <w:rPr>
                <w:rFonts w:hint="eastAsia"/>
                <w:sz w:val="21"/>
                <w:szCs w:val="21"/>
              </w:rPr>
            </w:pPr>
            <w:r>
              <w:rPr>
                <w:rFonts w:hint="eastAsia"/>
                <w:sz w:val="21"/>
                <w:szCs w:val="21"/>
              </w:rPr>
              <w:t>（请在备注栏填写项目编号或项目名称简称）</w:t>
            </w:r>
          </w:p>
          <w:p w14:paraId="7CF82DC9">
            <w:pPr>
              <w:pStyle w:val="25"/>
              <w:rPr>
                <w:rFonts w:hint="eastAsia" w:hAnsi="宋体" w:cs="宋体"/>
              </w:rPr>
            </w:pPr>
            <w:r>
              <w:rPr>
                <w:rFonts w:hint="eastAsia" w:hAnsi="宋体" w:cs="宋体"/>
              </w:rPr>
              <w:t>4、投标保证金到账（保函提交）截止时间与投标截止时间一致。</w:t>
            </w:r>
          </w:p>
          <w:p w14:paraId="46C281B9">
            <w:pPr>
              <w:pStyle w:val="25"/>
              <w:rPr>
                <w:rFonts w:hint="eastAsia" w:hAnsi="宋体" w:cs="宋体"/>
              </w:rPr>
            </w:pPr>
            <w:r>
              <w:rPr>
                <w:rFonts w:hint="eastAsia" w:hAnsi="宋体" w:cs="宋体"/>
              </w:rPr>
              <w:t>（温馨提示：由于转账当天不一定能够到账，为避免因保证金未到账或延迟到账而导致投标文件被拒绝，建议至少提前1个工作日到账；如提交支票、汇票、本票、保函等，建议至少提前一个工作日将支票、汇票、本票、保函等正本送至招标代理机构，保函须由财政部门指定合作的专业担保机构出具，需提供指定合作证明资料。）</w:t>
            </w:r>
          </w:p>
          <w:p w14:paraId="4560A0D5">
            <w:pPr>
              <w:pStyle w:val="25"/>
              <w:rPr>
                <w:rFonts w:hint="eastAsia" w:hAnsi="宋体" w:cs="宋体"/>
              </w:rPr>
            </w:pPr>
            <w:r>
              <w:rPr>
                <w:rFonts w:hint="eastAsia" w:hAnsi="宋体" w:cs="宋体"/>
              </w:rPr>
              <w:t>备注：</w:t>
            </w:r>
          </w:p>
          <w:p w14:paraId="163F5444">
            <w:pPr>
              <w:pStyle w:val="25"/>
              <w:rPr>
                <w:rFonts w:hint="eastAsia" w:hAnsi="宋体" w:cs="宋体"/>
              </w:rPr>
            </w:pPr>
            <w:r>
              <w:rPr>
                <w:rFonts w:hint="eastAsia" w:hAnsi="宋体" w:cs="宋体"/>
              </w:rPr>
              <w:t>（1）投标保证金以投标人名称汇款,如以个人汇款，视为无效。</w:t>
            </w:r>
          </w:p>
          <w:p w14:paraId="0CF0E538">
            <w:pPr>
              <w:pStyle w:val="25"/>
              <w:rPr>
                <w:rFonts w:hint="eastAsia" w:hAnsi="宋体" w:cs="宋体"/>
              </w:rPr>
            </w:pPr>
            <w:r>
              <w:rPr>
                <w:rFonts w:hint="eastAsia" w:hAnsi="宋体" w:cs="宋体"/>
              </w:rPr>
              <w:t>（2）保证金交纳凭证/保函</w:t>
            </w:r>
            <w:r>
              <w:rPr>
                <w:rFonts w:hint="eastAsia" w:hAnsi="宋体" w:cs="宋体"/>
                <w:lang w:val="en-US" w:eastAsia="zh-CN"/>
              </w:rPr>
              <w:t>/担保</w:t>
            </w:r>
            <w:r>
              <w:rPr>
                <w:rFonts w:hint="eastAsia" w:hAnsi="宋体" w:cs="宋体"/>
              </w:rPr>
              <w:t>须标明项目名称或编号。</w:t>
            </w:r>
          </w:p>
          <w:p w14:paraId="17C5D904">
            <w:pPr>
              <w:jc w:val="both"/>
              <w:rPr>
                <w:rFonts w:ascii="Times New Roman" w:hAnsi="Times New Roman" w:cs="Times New Roman"/>
                <w:color w:val="000000"/>
                <w:sz w:val="21"/>
                <w:szCs w:val="21"/>
              </w:rPr>
            </w:pPr>
            <w:r>
              <w:rPr>
                <w:rFonts w:hint="eastAsia"/>
                <w:sz w:val="21"/>
                <w:szCs w:val="21"/>
              </w:rPr>
              <w:t>（3）投标保证金的交付单位和投标人的名称必须一致，否则将视为投标无效。</w:t>
            </w:r>
          </w:p>
        </w:tc>
      </w:tr>
      <w:tr w14:paraId="7C7B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143" w:type="dxa"/>
            <w:vAlign w:val="center"/>
          </w:tcPr>
          <w:p w14:paraId="3255E0B6">
            <w:pPr>
              <w:jc w:val="center"/>
              <w:rPr>
                <w:rFonts w:ascii="Times New Roman" w:hAnsi="Times New Roman" w:cs="Times New Roman"/>
                <w:color w:val="000000"/>
                <w:sz w:val="21"/>
                <w:szCs w:val="21"/>
              </w:rPr>
            </w:pPr>
            <w:r>
              <w:rPr>
                <w:rFonts w:ascii="Times New Roman" w:hAnsi="Times New Roman" w:cs="Times New Roman"/>
                <w:color w:val="000000"/>
                <w:sz w:val="21"/>
                <w:szCs w:val="21"/>
              </w:rPr>
              <w:t>3.6</w:t>
            </w:r>
          </w:p>
        </w:tc>
        <w:tc>
          <w:tcPr>
            <w:tcW w:w="2960" w:type="dxa"/>
            <w:vAlign w:val="center"/>
          </w:tcPr>
          <w:p w14:paraId="1D892F06">
            <w:pPr>
              <w:jc w:val="center"/>
              <w:rPr>
                <w:rFonts w:ascii="Times New Roman" w:hAnsi="Times New Roman" w:cs="Times New Roman"/>
                <w:color w:val="000000"/>
                <w:sz w:val="21"/>
                <w:szCs w:val="21"/>
              </w:rPr>
            </w:pPr>
            <w:r>
              <w:rPr>
                <w:rFonts w:ascii="Times New Roman" w:hAnsi="Times New Roman" w:cs="Times New Roman"/>
                <w:color w:val="000000"/>
                <w:sz w:val="21"/>
                <w:szCs w:val="21"/>
              </w:rPr>
              <w:t>是否允许递交备选投标方案</w:t>
            </w:r>
          </w:p>
        </w:tc>
        <w:tc>
          <w:tcPr>
            <w:tcW w:w="5639" w:type="dxa"/>
            <w:vAlign w:val="center"/>
          </w:tcPr>
          <w:p w14:paraId="1DC42351">
            <w:pPr>
              <w:jc w:val="both"/>
              <w:rPr>
                <w:rFonts w:ascii="Times New Roman" w:hAnsi="Times New Roman" w:cs="Times New Roman"/>
                <w:color w:val="000000"/>
                <w:sz w:val="21"/>
                <w:szCs w:val="21"/>
              </w:rPr>
            </w:pPr>
            <w:r>
              <w:rPr>
                <w:rFonts w:ascii="Times New Roman" w:hAnsi="Times New Roman" w:cs="Times New Roman"/>
                <w:color w:val="000000"/>
                <w:sz w:val="21"/>
                <w:szCs w:val="21"/>
              </w:rPr>
              <w:t>不允许</w:t>
            </w:r>
          </w:p>
        </w:tc>
      </w:tr>
      <w:tr w14:paraId="521F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143" w:type="dxa"/>
            <w:vAlign w:val="center"/>
          </w:tcPr>
          <w:p w14:paraId="6A1AC789">
            <w:pPr>
              <w:jc w:val="center"/>
              <w:rPr>
                <w:rFonts w:ascii="Times New Roman" w:hAnsi="Times New Roman" w:cs="Times New Roman"/>
                <w:color w:val="000000"/>
                <w:sz w:val="21"/>
                <w:szCs w:val="21"/>
              </w:rPr>
            </w:pPr>
            <w:r>
              <w:rPr>
                <w:rFonts w:ascii="Times New Roman" w:hAnsi="Times New Roman" w:cs="Times New Roman"/>
                <w:color w:val="000000"/>
                <w:sz w:val="21"/>
                <w:szCs w:val="21"/>
              </w:rPr>
              <w:t>3.7.3</w:t>
            </w:r>
          </w:p>
        </w:tc>
        <w:tc>
          <w:tcPr>
            <w:tcW w:w="2960" w:type="dxa"/>
            <w:vAlign w:val="center"/>
          </w:tcPr>
          <w:p w14:paraId="0DD0F184">
            <w:pPr>
              <w:jc w:val="center"/>
              <w:rPr>
                <w:rFonts w:ascii="Times New Roman" w:hAnsi="Times New Roman" w:cs="Times New Roman"/>
                <w:color w:val="000000"/>
                <w:sz w:val="21"/>
                <w:szCs w:val="21"/>
              </w:rPr>
            </w:pPr>
            <w:r>
              <w:rPr>
                <w:rFonts w:ascii="Times New Roman" w:hAnsi="Times New Roman" w:cs="Times New Roman"/>
                <w:color w:val="000000"/>
                <w:sz w:val="21"/>
                <w:szCs w:val="21"/>
              </w:rPr>
              <w:t>签字和（或）盖章要求</w:t>
            </w:r>
          </w:p>
        </w:tc>
        <w:tc>
          <w:tcPr>
            <w:tcW w:w="5639" w:type="dxa"/>
            <w:vAlign w:val="center"/>
          </w:tcPr>
          <w:p w14:paraId="7A71092E">
            <w:pPr>
              <w:jc w:val="both"/>
              <w:rPr>
                <w:rFonts w:ascii="Times New Roman" w:hAnsi="Times New Roman" w:cs="Times New Roman"/>
                <w:color w:val="000000"/>
                <w:sz w:val="21"/>
                <w:szCs w:val="21"/>
              </w:rPr>
            </w:pPr>
            <w:r>
              <w:rPr>
                <w:rFonts w:ascii="Times New Roman" w:hAnsi="Times New Roman" w:cs="Times New Roman"/>
                <w:color w:val="000000"/>
                <w:sz w:val="21"/>
                <w:szCs w:val="21"/>
              </w:rPr>
              <w:t>签字和（或）盖章应符合本招标文件的要求</w:t>
            </w:r>
            <w:r>
              <w:rPr>
                <w:rFonts w:hint="eastAsia" w:ascii="Times New Roman" w:hAnsi="Times New Roman" w:cs="Times New Roman"/>
                <w:color w:val="000000"/>
                <w:sz w:val="21"/>
                <w:szCs w:val="21"/>
              </w:rPr>
              <w:t>。</w:t>
            </w:r>
          </w:p>
        </w:tc>
      </w:tr>
      <w:tr w14:paraId="2CEF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2C30845E">
            <w:pPr>
              <w:jc w:val="center"/>
              <w:rPr>
                <w:rFonts w:ascii="Times New Roman" w:hAnsi="Times New Roman" w:cs="Times New Roman"/>
                <w:color w:val="000000"/>
                <w:sz w:val="21"/>
                <w:szCs w:val="21"/>
              </w:rPr>
            </w:pPr>
            <w:r>
              <w:rPr>
                <w:rFonts w:ascii="Times New Roman" w:hAnsi="Times New Roman" w:cs="Times New Roman"/>
                <w:color w:val="000000"/>
                <w:sz w:val="21"/>
                <w:szCs w:val="21"/>
              </w:rPr>
              <w:t>3.7.4</w:t>
            </w:r>
          </w:p>
        </w:tc>
        <w:tc>
          <w:tcPr>
            <w:tcW w:w="2960" w:type="dxa"/>
            <w:vAlign w:val="center"/>
          </w:tcPr>
          <w:p w14:paraId="68451473">
            <w:pPr>
              <w:jc w:val="center"/>
              <w:rPr>
                <w:rFonts w:ascii="Times New Roman" w:hAnsi="Times New Roman" w:cs="Times New Roman"/>
                <w:color w:val="000000"/>
                <w:sz w:val="21"/>
                <w:szCs w:val="21"/>
              </w:rPr>
            </w:pPr>
            <w:r>
              <w:rPr>
                <w:rFonts w:ascii="Times New Roman" w:hAnsi="Times New Roman" w:cs="Times New Roman"/>
                <w:color w:val="000000"/>
                <w:sz w:val="21"/>
                <w:szCs w:val="21"/>
              </w:rPr>
              <w:t>投标文件份数</w:t>
            </w:r>
          </w:p>
        </w:tc>
        <w:tc>
          <w:tcPr>
            <w:tcW w:w="5639" w:type="dxa"/>
            <w:vAlign w:val="center"/>
          </w:tcPr>
          <w:p w14:paraId="4BCB6AE1">
            <w:p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正本1份；副本2份；电子版</w:t>
            </w:r>
            <w:r>
              <w:rPr>
                <w:rFonts w:hint="eastAsia" w:ascii="Times New Roman" w:hAnsi="Times New Roman" w:cs="Times New Roman"/>
                <w:color w:val="000000"/>
                <w:sz w:val="21"/>
                <w:szCs w:val="21"/>
                <w:lang w:val="en-US" w:eastAsia="zh-CN"/>
              </w:rPr>
              <w:t>2</w:t>
            </w:r>
            <w:r>
              <w:rPr>
                <w:rFonts w:hint="eastAsia" w:ascii="Times New Roman" w:hAnsi="Times New Roman" w:cs="Times New Roman"/>
                <w:color w:val="000000"/>
                <w:sz w:val="21"/>
                <w:szCs w:val="21"/>
              </w:rPr>
              <w:t>份（</w:t>
            </w:r>
            <w:r>
              <w:rPr>
                <w:rFonts w:hint="eastAsia" w:ascii="Times New Roman" w:hAnsi="Times New Roman" w:cs="Times New Roman"/>
                <w:color w:val="000000"/>
                <w:sz w:val="21"/>
                <w:szCs w:val="21"/>
                <w:lang w:val="en-US" w:eastAsia="zh-CN"/>
              </w:rPr>
              <w:t>光盘1份、</w:t>
            </w:r>
            <w:r>
              <w:rPr>
                <w:rFonts w:hint="eastAsia" w:ascii="Times New Roman" w:hAnsi="Times New Roman" w:cs="Times New Roman"/>
                <w:color w:val="000000"/>
                <w:sz w:val="21"/>
                <w:szCs w:val="21"/>
              </w:rPr>
              <w:t>U盘1份）。</w:t>
            </w:r>
          </w:p>
          <w:p w14:paraId="6F7BE8C5">
            <w:p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电子版包含工程量清单广联达计价软件生成的投标书及其生成的excel表格以及投标文件PDF（PDF文件为软件生成的完整签字或盖章的投标文件正本电子版）。电子版存储在U盘内，单独密封。</w:t>
            </w:r>
          </w:p>
        </w:tc>
      </w:tr>
      <w:tr w14:paraId="6FD4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5F267104">
            <w:pPr>
              <w:jc w:val="center"/>
              <w:rPr>
                <w:rFonts w:ascii="Times New Roman" w:hAnsi="Times New Roman" w:cs="Times New Roman"/>
                <w:color w:val="000000"/>
                <w:sz w:val="21"/>
                <w:szCs w:val="21"/>
              </w:rPr>
            </w:pPr>
            <w:r>
              <w:rPr>
                <w:rFonts w:ascii="Times New Roman" w:hAnsi="Times New Roman" w:cs="Times New Roman"/>
                <w:color w:val="000000"/>
                <w:sz w:val="21"/>
                <w:szCs w:val="21"/>
              </w:rPr>
              <w:t>3.7.5</w:t>
            </w:r>
          </w:p>
        </w:tc>
        <w:tc>
          <w:tcPr>
            <w:tcW w:w="2960" w:type="dxa"/>
            <w:vAlign w:val="center"/>
          </w:tcPr>
          <w:p w14:paraId="2AF94F46">
            <w:pPr>
              <w:jc w:val="center"/>
              <w:rPr>
                <w:rFonts w:ascii="Times New Roman" w:hAnsi="Times New Roman" w:cs="Times New Roman"/>
                <w:color w:val="000000"/>
                <w:sz w:val="21"/>
                <w:szCs w:val="21"/>
              </w:rPr>
            </w:pPr>
            <w:r>
              <w:rPr>
                <w:rFonts w:ascii="Times New Roman" w:hAnsi="Times New Roman" w:cs="Times New Roman"/>
                <w:color w:val="000000"/>
                <w:sz w:val="21"/>
                <w:szCs w:val="21"/>
              </w:rPr>
              <w:t>装订要求</w:t>
            </w:r>
          </w:p>
        </w:tc>
        <w:tc>
          <w:tcPr>
            <w:tcW w:w="5639" w:type="dxa"/>
            <w:vAlign w:val="center"/>
          </w:tcPr>
          <w:p w14:paraId="0E9859BB">
            <w:pPr>
              <w:adjustRightInd w:val="0"/>
              <w:snapToGrid w:val="0"/>
              <w:jc w:val="both"/>
              <w:rPr>
                <w:rFonts w:ascii="Times New Roman" w:hAnsi="Times New Roman" w:cs="Times New Roman"/>
                <w:color w:val="000000"/>
                <w:sz w:val="21"/>
                <w:szCs w:val="21"/>
                <w:u w:val="single"/>
              </w:rPr>
            </w:pPr>
            <w:r>
              <w:rPr>
                <w:rFonts w:ascii="Times New Roman" w:hAnsi="Times New Roman" w:cs="Times New Roman"/>
                <w:color w:val="000000"/>
                <w:sz w:val="21"/>
                <w:szCs w:val="21"/>
              </w:rPr>
              <w:t>按照投标人须知第4.1.1项规定的投标文件组成内容，投标文件应</w:t>
            </w:r>
            <w:r>
              <w:rPr>
                <w:rFonts w:hint="eastAsia" w:ascii="Times New Roman" w:hAnsi="Times New Roman" w:cs="Times New Roman"/>
                <w:color w:val="000000"/>
                <w:sz w:val="21"/>
                <w:szCs w:val="21"/>
              </w:rPr>
              <w:t>装订成册</w:t>
            </w:r>
            <w:r>
              <w:rPr>
                <w:rFonts w:ascii="Times New Roman" w:hAnsi="Times New Roman" w:cs="Times New Roman"/>
                <w:color w:val="000000"/>
                <w:sz w:val="21"/>
                <w:szCs w:val="21"/>
              </w:rPr>
              <w:t>，装订应牢固、不易拆散和换页，不得采用活页装订。</w:t>
            </w:r>
          </w:p>
        </w:tc>
      </w:tr>
      <w:tr w14:paraId="004E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707C5947">
            <w:pPr>
              <w:jc w:val="center"/>
              <w:rPr>
                <w:rFonts w:ascii="Times New Roman" w:hAnsi="Times New Roman" w:cs="Times New Roman"/>
                <w:color w:val="000000"/>
                <w:sz w:val="21"/>
                <w:szCs w:val="21"/>
              </w:rPr>
            </w:pPr>
            <w:r>
              <w:rPr>
                <w:rFonts w:ascii="Times New Roman" w:hAnsi="Times New Roman" w:cs="Times New Roman"/>
                <w:color w:val="000000"/>
                <w:sz w:val="21"/>
                <w:szCs w:val="21"/>
              </w:rPr>
              <w:t>4.1.2</w:t>
            </w:r>
          </w:p>
        </w:tc>
        <w:tc>
          <w:tcPr>
            <w:tcW w:w="2960" w:type="dxa"/>
            <w:vAlign w:val="center"/>
          </w:tcPr>
          <w:p w14:paraId="3FEC0F3B">
            <w:pPr>
              <w:jc w:val="center"/>
              <w:rPr>
                <w:rFonts w:ascii="Times New Roman" w:hAnsi="Times New Roman" w:cs="Times New Roman"/>
                <w:color w:val="000000"/>
                <w:sz w:val="21"/>
                <w:szCs w:val="21"/>
              </w:rPr>
            </w:pPr>
            <w:r>
              <w:rPr>
                <w:rFonts w:ascii="Times New Roman" w:hAnsi="Times New Roman" w:cs="Times New Roman"/>
                <w:color w:val="000000"/>
                <w:sz w:val="21"/>
                <w:szCs w:val="21"/>
              </w:rPr>
              <w:t>封套上写明</w:t>
            </w:r>
          </w:p>
        </w:tc>
        <w:tc>
          <w:tcPr>
            <w:tcW w:w="5639" w:type="dxa"/>
            <w:vAlign w:val="center"/>
          </w:tcPr>
          <w:p w14:paraId="023EA851">
            <w:pPr>
              <w:spacing w:line="360" w:lineRule="auto"/>
              <w:ind w:left="1050" w:hanging="1050" w:hangingChars="500"/>
              <w:jc w:val="both"/>
              <w:rPr>
                <w:rFonts w:ascii="Times New Roman" w:hAnsi="Times New Roman" w:cs="Times New Roman"/>
                <w:sz w:val="21"/>
                <w:szCs w:val="21"/>
              </w:rPr>
            </w:pPr>
            <w:r>
              <w:rPr>
                <w:rFonts w:hint="eastAsia" w:ascii="Times New Roman" w:hAnsi="Times New Roman" w:cs="Times New Roman"/>
                <w:sz w:val="21"/>
                <w:szCs w:val="21"/>
              </w:rPr>
              <w:t>项目编号</w:t>
            </w:r>
            <w:r>
              <w:rPr>
                <w:rFonts w:ascii="Times New Roman" w:hAnsi="Times New Roman" w:cs="Times New Roman"/>
                <w:sz w:val="21"/>
                <w:szCs w:val="21"/>
              </w:rPr>
              <w:t>：</w:t>
            </w:r>
          </w:p>
          <w:p w14:paraId="19C83BC0">
            <w:pPr>
              <w:spacing w:line="360" w:lineRule="auto"/>
              <w:ind w:left="1050" w:hanging="1050" w:hangingChars="500"/>
              <w:jc w:val="both"/>
              <w:rPr>
                <w:rFonts w:ascii="Times New Roman" w:hAnsi="Times New Roman" w:cs="Times New Roman"/>
                <w:sz w:val="21"/>
                <w:szCs w:val="21"/>
              </w:rPr>
            </w:pPr>
            <w:r>
              <w:rPr>
                <w:rFonts w:ascii="Times New Roman" w:hAnsi="Times New Roman" w:cs="Times New Roman"/>
                <w:sz w:val="21"/>
                <w:szCs w:val="21"/>
              </w:rPr>
              <w:t>项目名称：</w:t>
            </w:r>
          </w:p>
          <w:p w14:paraId="4F310298">
            <w:pPr>
              <w:spacing w:line="360" w:lineRule="auto"/>
              <w:jc w:val="both"/>
              <w:rPr>
                <w:rFonts w:ascii="Times New Roman" w:hAnsi="Times New Roman" w:cs="Times New Roman"/>
                <w:sz w:val="21"/>
                <w:szCs w:val="21"/>
              </w:rPr>
            </w:pPr>
            <w:r>
              <w:rPr>
                <w:rFonts w:ascii="Times New Roman" w:hAnsi="Times New Roman" w:cs="Times New Roman"/>
                <w:sz w:val="21"/>
                <w:szCs w:val="21"/>
              </w:rPr>
              <w:t>投标文件（正本/副本</w:t>
            </w:r>
            <w:r>
              <w:rPr>
                <w:rFonts w:hint="eastAsia" w:ascii="Times New Roman" w:hAnsi="Times New Roman" w:cs="Times New Roman"/>
                <w:sz w:val="21"/>
                <w:szCs w:val="21"/>
              </w:rPr>
              <w:t>/电子版</w:t>
            </w:r>
            <w:r>
              <w:rPr>
                <w:rFonts w:ascii="Times New Roman" w:hAnsi="Times New Roman" w:cs="Times New Roman"/>
                <w:sz w:val="21"/>
                <w:szCs w:val="21"/>
              </w:rPr>
              <w:t>）</w:t>
            </w:r>
          </w:p>
          <w:p w14:paraId="0CE75358">
            <w:pPr>
              <w:spacing w:line="360" w:lineRule="auto"/>
              <w:jc w:val="both"/>
              <w:rPr>
                <w:rFonts w:ascii="Times New Roman" w:hAnsi="Times New Roman" w:cs="Times New Roman"/>
                <w:sz w:val="21"/>
                <w:szCs w:val="21"/>
              </w:rPr>
            </w:pPr>
            <w:r>
              <w:rPr>
                <w:rFonts w:ascii="Times New Roman" w:hAnsi="Times New Roman" w:cs="Times New Roman"/>
                <w:sz w:val="21"/>
                <w:szCs w:val="21"/>
              </w:rPr>
              <w:t>投标人单位名称：</w:t>
            </w:r>
            <w:r>
              <w:rPr>
                <w:rFonts w:ascii="Times New Roman" w:hAnsi="Times New Roman" w:cs="Times New Roman"/>
                <w:sz w:val="21"/>
                <w:szCs w:val="21"/>
                <w:u w:val="single"/>
              </w:rPr>
              <w:t xml:space="preserve">                            </w:t>
            </w:r>
          </w:p>
          <w:p w14:paraId="7C89CA39">
            <w:pPr>
              <w:jc w:val="both"/>
              <w:rPr>
                <w:rFonts w:ascii="Times New Roman" w:hAnsi="Times New Roman" w:cs="Times New Roman"/>
                <w:color w:val="000000"/>
                <w:sz w:val="21"/>
                <w:szCs w:val="21"/>
              </w:rPr>
            </w:pPr>
            <w:r>
              <w:rPr>
                <w:rFonts w:ascii="Times New Roman" w:hAnsi="Times New Roman" w:cs="Times New Roman"/>
                <w:sz w:val="21"/>
                <w:szCs w:val="21"/>
              </w:rPr>
              <w:t>投标文件在</w:t>
            </w:r>
            <w:r>
              <w:rPr>
                <w:rFonts w:ascii="Times New Roman" w:hAnsi="Times New Roman" w:cs="Times New Roman"/>
                <w:sz w:val="21"/>
                <w:szCs w:val="21"/>
                <w:u w:val="single"/>
              </w:rPr>
              <w:t xml:space="preserve">    </w:t>
            </w:r>
            <w:r>
              <w:rPr>
                <w:rFonts w:ascii="Times New Roman" w:hAnsi="Times New Roman" w:cs="Times New Roman"/>
                <w:sz w:val="21"/>
                <w:szCs w:val="21"/>
              </w:rPr>
              <w:t>年 月</w:t>
            </w:r>
            <w:r>
              <w:rPr>
                <w:rFonts w:ascii="Times New Roman" w:hAnsi="Times New Roman" w:cs="Times New Roman"/>
                <w:sz w:val="21"/>
                <w:szCs w:val="21"/>
                <w:u w:val="single"/>
              </w:rPr>
              <w:t xml:space="preserve">   </w:t>
            </w:r>
            <w:r>
              <w:rPr>
                <w:rFonts w:ascii="Times New Roman" w:hAnsi="Times New Roman" w:cs="Times New Roman"/>
                <w:sz w:val="21"/>
                <w:szCs w:val="21"/>
              </w:rPr>
              <w:t>日</w:t>
            </w:r>
            <w:r>
              <w:rPr>
                <w:rFonts w:ascii="Times New Roman" w:hAnsi="Times New Roman" w:cs="Times New Roman"/>
                <w:sz w:val="21"/>
                <w:szCs w:val="21"/>
                <w:u w:val="single"/>
              </w:rPr>
              <w:t xml:space="preserve">     </w:t>
            </w:r>
            <w:r>
              <w:rPr>
                <w:rFonts w:ascii="Times New Roman" w:hAnsi="Times New Roman" w:cs="Times New Roman"/>
                <w:sz w:val="21"/>
                <w:szCs w:val="21"/>
              </w:rPr>
              <w:t>时前不得开启</w:t>
            </w:r>
            <w:r>
              <w:rPr>
                <w:rFonts w:hint="eastAsia" w:ascii="Times New Roman" w:hAnsi="Times New Roman" w:cs="Times New Roman"/>
                <w:sz w:val="21"/>
                <w:szCs w:val="21"/>
              </w:rPr>
              <w:t>（投标截止日期）</w:t>
            </w:r>
          </w:p>
        </w:tc>
      </w:tr>
      <w:tr w14:paraId="45F41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143" w:type="dxa"/>
            <w:vAlign w:val="center"/>
          </w:tcPr>
          <w:p w14:paraId="76596475">
            <w:pPr>
              <w:jc w:val="center"/>
              <w:rPr>
                <w:rFonts w:ascii="Times New Roman" w:hAnsi="Times New Roman" w:cs="Times New Roman"/>
                <w:color w:val="000000"/>
                <w:sz w:val="21"/>
                <w:szCs w:val="21"/>
              </w:rPr>
            </w:pPr>
            <w:r>
              <w:rPr>
                <w:rFonts w:ascii="Times New Roman" w:hAnsi="Times New Roman" w:cs="Times New Roman"/>
                <w:color w:val="000000"/>
                <w:sz w:val="21"/>
                <w:szCs w:val="21"/>
              </w:rPr>
              <w:t>4.2.2</w:t>
            </w:r>
          </w:p>
        </w:tc>
        <w:tc>
          <w:tcPr>
            <w:tcW w:w="2960" w:type="dxa"/>
            <w:vAlign w:val="center"/>
          </w:tcPr>
          <w:p w14:paraId="4BBD7650">
            <w:pPr>
              <w:jc w:val="center"/>
              <w:rPr>
                <w:rFonts w:ascii="Times New Roman" w:hAnsi="Times New Roman" w:cs="Times New Roman"/>
                <w:color w:val="000000"/>
                <w:sz w:val="21"/>
                <w:szCs w:val="21"/>
              </w:rPr>
            </w:pPr>
            <w:r>
              <w:rPr>
                <w:rFonts w:ascii="Times New Roman" w:hAnsi="Times New Roman" w:cs="Times New Roman"/>
                <w:color w:val="000000"/>
                <w:sz w:val="21"/>
                <w:szCs w:val="21"/>
              </w:rPr>
              <w:t>递交投标文件地点</w:t>
            </w:r>
          </w:p>
        </w:tc>
        <w:tc>
          <w:tcPr>
            <w:tcW w:w="5639" w:type="dxa"/>
            <w:vAlign w:val="center"/>
          </w:tcPr>
          <w:p w14:paraId="6B3BD6CB">
            <w:pPr>
              <w:jc w:val="both"/>
              <w:rPr>
                <w:rFonts w:ascii="Times New Roman" w:hAnsi="Times New Roman" w:cs="Times New Roman"/>
                <w:color w:val="000000"/>
                <w:sz w:val="21"/>
                <w:szCs w:val="21"/>
              </w:rPr>
            </w:pPr>
            <w:r>
              <w:rPr>
                <w:rFonts w:ascii="Times New Roman" w:hAnsi="Times New Roman" w:cs="Times New Roman"/>
                <w:color w:val="000000"/>
                <w:sz w:val="21"/>
                <w:szCs w:val="21"/>
              </w:rPr>
              <w:t>陕西省西安市和平路108号佳腾大厦</w:t>
            </w:r>
            <w:r>
              <w:rPr>
                <w:rFonts w:hint="eastAsia" w:ascii="Times New Roman" w:hAnsi="Times New Roman" w:cs="Times New Roman"/>
                <w:color w:val="000000"/>
                <w:sz w:val="21"/>
                <w:szCs w:val="21"/>
              </w:rPr>
              <w:t>7</w:t>
            </w:r>
            <w:r>
              <w:rPr>
                <w:rFonts w:ascii="Times New Roman" w:hAnsi="Times New Roman" w:cs="Times New Roman"/>
                <w:color w:val="000000"/>
                <w:sz w:val="21"/>
                <w:szCs w:val="21"/>
              </w:rPr>
              <w:t>层会议室</w:t>
            </w:r>
          </w:p>
        </w:tc>
      </w:tr>
      <w:tr w14:paraId="16B19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1CAF3DCD">
            <w:pPr>
              <w:ind w:firstLine="37"/>
              <w:jc w:val="center"/>
              <w:rPr>
                <w:rFonts w:ascii="Times New Roman" w:hAnsi="Times New Roman" w:cs="Times New Roman"/>
                <w:color w:val="000000"/>
                <w:sz w:val="21"/>
                <w:szCs w:val="21"/>
              </w:rPr>
            </w:pPr>
            <w:r>
              <w:rPr>
                <w:rFonts w:ascii="Times New Roman" w:hAnsi="Times New Roman" w:cs="Times New Roman"/>
                <w:color w:val="000000"/>
                <w:sz w:val="21"/>
                <w:szCs w:val="21"/>
              </w:rPr>
              <w:t>4.2.3</w:t>
            </w:r>
          </w:p>
        </w:tc>
        <w:tc>
          <w:tcPr>
            <w:tcW w:w="2960" w:type="dxa"/>
            <w:vAlign w:val="center"/>
          </w:tcPr>
          <w:p w14:paraId="7D965D0C">
            <w:pPr>
              <w:jc w:val="center"/>
              <w:rPr>
                <w:rFonts w:ascii="Times New Roman" w:hAnsi="Times New Roman" w:cs="Times New Roman"/>
                <w:color w:val="000000"/>
                <w:sz w:val="21"/>
                <w:szCs w:val="21"/>
              </w:rPr>
            </w:pPr>
            <w:r>
              <w:rPr>
                <w:rFonts w:ascii="Times New Roman" w:hAnsi="Times New Roman" w:cs="Times New Roman"/>
                <w:color w:val="000000"/>
                <w:sz w:val="21"/>
                <w:szCs w:val="21"/>
              </w:rPr>
              <w:t>是否退还投标文件</w:t>
            </w:r>
          </w:p>
        </w:tc>
        <w:tc>
          <w:tcPr>
            <w:tcW w:w="5639" w:type="dxa"/>
            <w:vAlign w:val="center"/>
          </w:tcPr>
          <w:p w14:paraId="765ECDEB">
            <w:pPr>
              <w:jc w:val="both"/>
              <w:rPr>
                <w:rFonts w:ascii="Times New Roman" w:hAnsi="Times New Roman" w:cs="Times New Roman"/>
                <w:color w:val="000000"/>
                <w:sz w:val="21"/>
                <w:szCs w:val="21"/>
                <w:u w:val="single"/>
              </w:rPr>
            </w:pPr>
            <w:r>
              <w:rPr>
                <w:rFonts w:ascii="Times New Roman" w:hAnsi="Times New Roman" w:cs="Times New Roman"/>
                <w:color w:val="000000"/>
                <w:sz w:val="21"/>
                <w:szCs w:val="21"/>
              </w:rPr>
              <w:t>否</w:t>
            </w:r>
          </w:p>
        </w:tc>
      </w:tr>
      <w:tr w14:paraId="41BA7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3" w:type="dxa"/>
            <w:vAlign w:val="center"/>
          </w:tcPr>
          <w:p w14:paraId="2E31437F">
            <w:pPr>
              <w:jc w:val="center"/>
              <w:rPr>
                <w:rFonts w:ascii="Times New Roman" w:hAnsi="Times New Roman" w:cs="Times New Roman"/>
                <w:color w:val="000000"/>
                <w:sz w:val="21"/>
                <w:szCs w:val="21"/>
              </w:rPr>
            </w:pPr>
            <w:r>
              <w:rPr>
                <w:rFonts w:ascii="Times New Roman" w:hAnsi="Times New Roman" w:cs="Times New Roman"/>
                <w:color w:val="000000"/>
                <w:sz w:val="21"/>
                <w:szCs w:val="21"/>
              </w:rPr>
              <w:t>5.1</w:t>
            </w:r>
          </w:p>
        </w:tc>
        <w:tc>
          <w:tcPr>
            <w:tcW w:w="2960" w:type="dxa"/>
            <w:vAlign w:val="center"/>
          </w:tcPr>
          <w:p w14:paraId="29591503">
            <w:pPr>
              <w:jc w:val="center"/>
              <w:rPr>
                <w:rFonts w:ascii="Times New Roman" w:hAnsi="Times New Roman" w:cs="Times New Roman"/>
                <w:color w:val="000000"/>
                <w:sz w:val="21"/>
                <w:szCs w:val="21"/>
              </w:rPr>
            </w:pPr>
            <w:r>
              <w:rPr>
                <w:rFonts w:ascii="Times New Roman" w:hAnsi="Times New Roman" w:cs="Times New Roman"/>
                <w:color w:val="000000"/>
                <w:sz w:val="21"/>
                <w:szCs w:val="21"/>
              </w:rPr>
              <w:t>开标时间和地点</w:t>
            </w:r>
          </w:p>
        </w:tc>
        <w:tc>
          <w:tcPr>
            <w:tcW w:w="5639" w:type="dxa"/>
            <w:vAlign w:val="center"/>
          </w:tcPr>
          <w:p w14:paraId="62069ADD">
            <w:pPr>
              <w:jc w:val="both"/>
              <w:rPr>
                <w:rFonts w:ascii="Times New Roman" w:hAnsi="Times New Roman" w:cs="Times New Roman"/>
                <w:color w:val="000000"/>
                <w:sz w:val="21"/>
                <w:szCs w:val="21"/>
              </w:rPr>
            </w:pPr>
            <w:r>
              <w:rPr>
                <w:rFonts w:ascii="Times New Roman" w:hAnsi="Times New Roman" w:cs="Times New Roman"/>
                <w:color w:val="000000"/>
                <w:sz w:val="21"/>
                <w:szCs w:val="21"/>
              </w:rPr>
              <w:t>开标时间：同投标截止时间</w:t>
            </w:r>
          </w:p>
          <w:p w14:paraId="7B1F581F">
            <w:pPr>
              <w:jc w:val="both"/>
              <w:rPr>
                <w:rFonts w:ascii="Times New Roman" w:hAnsi="Times New Roman" w:cs="Times New Roman"/>
                <w:color w:val="000000"/>
                <w:sz w:val="21"/>
                <w:szCs w:val="21"/>
              </w:rPr>
            </w:pPr>
            <w:r>
              <w:rPr>
                <w:rFonts w:ascii="Times New Roman" w:hAnsi="Times New Roman" w:cs="Times New Roman"/>
                <w:color w:val="000000"/>
                <w:sz w:val="21"/>
                <w:szCs w:val="21"/>
              </w:rPr>
              <w:t>开标地点：同递交投标文件地点</w:t>
            </w:r>
          </w:p>
        </w:tc>
      </w:tr>
      <w:tr w14:paraId="00374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2D444E61">
            <w:pPr>
              <w:jc w:val="center"/>
              <w:rPr>
                <w:rFonts w:ascii="Times New Roman" w:hAnsi="Times New Roman" w:cs="Times New Roman"/>
                <w:color w:val="000000"/>
                <w:sz w:val="21"/>
                <w:szCs w:val="21"/>
              </w:rPr>
            </w:pPr>
            <w:r>
              <w:rPr>
                <w:rFonts w:hint="eastAsia" w:ascii="Times New Roman" w:hAnsi="Times New Roman" w:cs="Times New Roman"/>
                <w:color w:val="000000"/>
                <w:sz w:val="21"/>
                <w:szCs w:val="21"/>
              </w:rPr>
              <w:t>5.2</w:t>
            </w:r>
          </w:p>
        </w:tc>
        <w:tc>
          <w:tcPr>
            <w:tcW w:w="2960" w:type="dxa"/>
            <w:vAlign w:val="center"/>
          </w:tcPr>
          <w:p w14:paraId="4771244B">
            <w:pPr>
              <w:jc w:val="center"/>
              <w:rPr>
                <w:highlight w:val="none"/>
              </w:rPr>
            </w:pPr>
            <w:r>
              <w:rPr>
                <w:rFonts w:hint="eastAsia" w:ascii="Times New Roman" w:hAnsi="Times New Roman" w:cs="Times New Roman"/>
                <w:color w:val="000000"/>
                <w:sz w:val="21"/>
                <w:szCs w:val="21"/>
                <w:highlight w:val="none"/>
              </w:rPr>
              <w:t>开标顺序</w:t>
            </w:r>
          </w:p>
        </w:tc>
        <w:tc>
          <w:tcPr>
            <w:tcW w:w="5639" w:type="dxa"/>
            <w:vAlign w:val="center"/>
          </w:tcPr>
          <w:p w14:paraId="6035563C">
            <w:pPr>
              <w:jc w:val="both"/>
              <w:rPr>
                <w:rFonts w:hint="default" w:ascii="Times New Roman" w:hAnsi="Times New Roman" w:cs="Times New Roman"/>
                <w:color w:val="000000"/>
                <w:sz w:val="21"/>
                <w:szCs w:val="21"/>
                <w:highlight w:val="none"/>
                <w:lang w:val="en-US"/>
              </w:rPr>
            </w:pPr>
            <w:r>
              <w:rPr>
                <w:rFonts w:hint="eastAsia" w:ascii="Times New Roman" w:hAnsi="Times New Roman" w:cs="Times New Roman"/>
                <w:color w:val="000000"/>
                <w:sz w:val="21"/>
                <w:szCs w:val="21"/>
                <w:highlight w:val="none"/>
                <w:lang w:val="en-US" w:eastAsia="zh-CN"/>
              </w:rPr>
              <w:t>投标文件递交时间逆顺序</w:t>
            </w:r>
          </w:p>
        </w:tc>
      </w:tr>
      <w:tr w14:paraId="59C69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67E40C54">
            <w:pPr>
              <w:jc w:val="center"/>
              <w:rPr>
                <w:rFonts w:ascii="Times New Roman" w:hAnsi="Times New Roman" w:cs="Times New Roman"/>
                <w:color w:val="000000"/>
                <w:sz w:val="21"/>
                <w:szCs w:val="21"/>
              </w:rPr>
            </w:pPr>
            <w:r>
              <w:rPr>
                <w:rFonts w:ascii="Times New Roman" w:hAnsi="Times New Roman" w:cs="Times New Roman"/>
                <w:color w:val="000000"/>
                <w:sz w:val="21"/>
                <w:szCs w:val="21"/>
              </w:rPr>
              <w:t>6.1.1</w:t>
            </w:r>
          </w:p>
        </w:tc>
        <w:tc>
          <w:tcPr>
            <w:tcW w:w="2960" w:type="dxa"/>
            <w:vAlign w:val="center"/>
          </w:tcPr>
          <w:p w14:paraId="7456227C">
            <w:pPr>
              <w:jc w:val="center"/>
              <w:rPr>
                <w:rFonts w:ascii="Times New Roman" w:hAnsi="Times New Roman" w:cs="Times New Roman"/>
                <w:color w:val="000000"/>
                <w:sz w:val="21"/>
                <w:szCs w:val="21"/>
              </w:rPr>
            </w:pPr>
            <w:r>
              <w:rPr>
                <w:rFonts w:ascii="Times New Roman" w:hAnsi="Times New Roman" w:cs="Times New Roman"/>
                <w:color w:val="000000"/>
                <w:sz w:val="21"/>
                <w:szCs w:val="21"/>
              </w:rPr>
              <w:t>评标委员会人数</w:t>
            </w:r>
          </w:p>
        </w:tc>
        <w:tc>
          <w:tcPr>
            <w:tcW w:w="5639" w:type="dxa"/>
            <w:vAlign w:val="center"/>
          </w:tcPr>
          <w:p w14:paraId="0A4973E5">
            <w:pPr>
              <w:rPr>
                <w:rFonts w:ascii="Times New Roman" w:hAnsi="Times New Roman" w:cs="Times New Roman"/>
                <w:color w:val="000000"/>
                <w:sz w:val="21"/>
                <w:szCs w:val="21"/>
              </w:rPr>
            </w:pPr>
            <w:r>
              <w:rPr>
                <w:rFonts w:ascii="Times New Roman" w:hAnsi="Times New Roman" w:cs="Times New Roman"/>
                <w:color w:val="000000"/>
                <w:sz w:val="21"/>
                <w:szCs w:val="21"/>
              </w:rPr>
              <w:t>评标委员会构成：</w:t>
            </w:r>
            <w:r>
              <w:rPr>
                <w:rFonts w:hint="eastAsia" w:ascii="Times New Roman" w:hAnsi="Times New Roman" w:cs="Times New Roman"/>
                <w:color w:val="000000"/>
                <w:sz w:val="21"/>
                <w:szCs w:val="21"/>
              </w:rPr>
              <w:t>由经济、技术类专家组成，</w:t>
            </w:r>
            <w:r>
              <w:rPr>
                <w:rFonts w:ascii="Times New Roman" w:hAnsi="Times New Roman" w:cs="Times New Roman"/>
                <w:color w:val="000000"/>
                <w:sz w:val="21"/>
                <w:szCs w:val="21"/>
              </w:rPr>
              <w:t>其中招标人代表</w:t>
            </w:r>
            <w:r>
              <w:rPr>
                <w:rFonts w:hint="eastAsia" w:ascii="Times New Roman" w:hAnsi="Times New Roman" w:cs="Times New Roman"/>
                <w:color w:val="000000"/>
                <w:sz w:val="21"/>
                <w:szCs w:val="21"/>
                <w:u w:val="single"/>
                <w:lang w:val="en-US" w:eastAsia="zh-CN"/>
              </w:rPr>
              <w:t>0</w:t>
            </w:r>
            <w:r>
              <w:rPr>
                <w:rFonts w:ascii="Times New Roman" w:hAnsi="Times New Roman" w:cs="Times New Roman"/>
                <w:color w:val="000000"/>
                <w:sz w:val="21"/>
                <w:szCs w:val="21"/>
              </w:rPr>
              <w:t>人，专家</w:t>
            </w:r>
            <w:r>
              <w:rPr>
                <w:rFonts w:hint="eastAsia" w:ascii="Times New Roman" w:hAnsi="Times New Roman" w:cs="Times New Roman"/>
                <w:color w:val="000000"/>
                <w:sz w:val="21"/>
                <w:szCs w:val="21"/>
                <w:u w:val="single"/>
                <w:lang w:val="en-US" w:eastAsia="zh-CN"/>
              </w:rPr>
              <w:t>5</w:t>
            </w:r>
            <w:r>
              <w:rPr>
                <w:rFonts w:ascii="Times New Roman" w:hAnsi="Times New Roman" w:cs="Times New Roman"/>
                <w:color w:val="000000"/>
                <w:sz w:val="21"/>
                <w:szCs w:val="21"/>
              </w:rPr>
              <w:t>人；</w:t>
            </w:r>
          </w:p>
          <w:p w14:paraId="7FA152E1">
            <w:pPr>
              <w:jc w:val="both"/>
              <w:rPr>
                <w:rFonts w:ascii="Times New Roman" w:hAnsi="Times New Roman" w:cs="Times New Roman"/>
                <w:color w:val="000000"/>
                <w:sz w:val="21"/>
                <w:szCs w:val="21"/>
                <w:u w:val="single"/>
              </w:rPr>
            </w:pPr>
            <w:r>
              <w:rPr>
                <w:rFonts w:ascii="Times New Roman" w:hAnsi="Times New Roman" w:cs="Times New Roman"/>
                <w:color w:val="000000"/>
                <w:sz w:val="21"/>
                <w:szCs w:val="21"/>
              </w:rPr>
              <w:t>评标专家确定方式：</w:t>
            </w:r>
            <w:r>
              <w:rPr>
                <w:rFonts w:ascii="Times New Roman" w:hAnsi="Times New Roman" w:cs="Times New Roman"/>
                <w:sz w:val="21"/>
                <w:szCs w:val="21"/>
              </w:rPr>
              <w:t>评标前在</w:t>
            </w:r>
            <w:r>
              <w:rPr>
                <w:rFonts w:hint="eastAsia" w:ascii="Times New Roman" w:hAnsi="Times New Roman" w:cs="Times New Roman"/>
                <w:sz w:val="21"/>
                <w:szCs w:val="21"/>
              </w:rPr>
              <w:t>相关</w:t>
            </w:r>
            <w:r>
              <w:rPr>
                <w:rFonts w:ascii="Times New Roman" w:hAnsi="Times New Roman" w:cs="Times New Roman"/>
                <w:sz w:val="21"/>
                <w:szCs w:val="21"/>
              </w:rPr>
              <w:t>专家库中随机抽取确定</w:t>
            </w:r>
            <w:r>
              <w:rPr>
                <w:rFonts w:ascii="Times New Roman" w:hAnsi="Times New Roman" w:cs="Times New Roman"/>
                <w:color w:val="000000"/>
                <w:sz w:val="21"/>
                <w:szCs w:val="21"/>
              </w:rPr>
              <w:t>。</w:t>
            </w:r>
          </w:p>
        </w:tc>
      </w:tr>
      <w:tr w14:paraId="49283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5340EE9B">
            <w:pPr>
              <w:jc w:val="center"/>
              <w:rPr>
                <w:rFonts w:ascii="Times New Roman" w:hAnsi="Times New Roman" w:cs="Times New Roman"/>
                <w:color w:val="000000"/>
                <w:sz w:val="21"/>
                <w:szCs w:val="21"/>
              </w:rPr>
            </w:pPr>
            <w:r>
              <w:rPr>
                <w:rFonts w:ascii="Times New Roman" w:hAnsi="Times New Roman" w:cs="Times New Roman"/>
                <w:color w:val="000000"/>
                <w:sz w:val="21"/>
                <w:szCs w:val="21"/>
              </w:rPr>
              <w:t>7.1</w:t>
            </w:r>
          </w:p>
        </w:tc>
        <w:tc>
          <w:tcPr>
            <w:tcW w:w="2960" w:type="dxa"/>
            <w:vAlign w:val="center"/>
          </w:tcPr>
          <w:p w14:paraId="4195AAA0">
            <w:pPr>
              <w:jc w:val="center"/>
              <w:rPr>
                <w:rFonts w:ascii="Times New Roman" w:hAnsi="Times New Roman" w:cs="Times New Roman"/>
                <w:color w:val="000000"/>
                <w:sz w:val="21"/>
                <w:szCs w:val="21"/>
              </w:rPr>
            </w:pPr>
            <w:r>
              <w:rPr>
                <w:rFonts w:ascii="Times New Roman" w:hAnsi="Times New Roman" w:cs="Times New Roman"/>
                <w:color w:val="000000"/>
                <w:sz w:val="21"/>
                <w:szCs w:val="21"/>
              </w:rPr>
              <w:t>是否授权评标委员会</w:t>
            </w:r>
          </w:p>
          <w:p w14:paraId="53796ADF">
            <w:pPr>
              <w:jc w:val="center"/>
              <w:rPr>
                <w:rFonts w:ascii="Times New Roman" w:hAnsi="Times New Roman" w:cs="Times New Roman"/>
                <w:color w:val="000000"/>
                <w:sz w:val="21"/>
                <w:szCs w:val="21"/>
              </w:rPr>
            </w:pPr>
            <w:r>
              <w:rPr>
                <w:rFonts w:ascii="Times New Roman" w:hAnsi="Times New Roman" w:cs="Times New Roman"/>
                <w:color w:val="000000"/>
                <w:sz w:val="21"/>
                <w:szCs w:val="21"/>
              </w:rPr>
              <w:t>确定中标人</w:t>
            </w:r>
          </w:p>
        </w:tc>
        <w:tc>
          <w:tcPr>
            <w:tcW w:w="5639" w:type="dxa"/>
            <w:vAlign w:val="center"/>
          </w:tcPr>
          <w:p w14:paraId="1824841A">
            <w:pPr>
              <w:jc w:val="both"/>
              <w:rPr>
                <w:rFonts w:ascii="Times New Roman" w:hAnsi="Times New Roman" w:cs="Times New Roman"/>
                <w:color w:val="000000"/>
                <w:sz w:val="21"/>
                <w:szCs w:val="21"/>
              </w:rPr>
            </w:pPr>
            <w:r>
              <w:rPr>
                <w:rFonts w:ascii="Times New Roman" w:hAnsi="Times New Roman" w:cs="Times New Roman"/>
                <w:color w:val="000000"/>
                <w:sz w:val="21"/>
                <w:szCs w:val="21"/>
              </w:rPr>
              <w:t>否，推荐的中标候选人数：</w:t>
            </w:r>
            <w:r>
              <w:rPr>
                <w:rFonts w:ascii="Times New Roman" w:hAnsi="Times New Roman" w:cs="Times New Roman"/>
                <w:color w:val="000000"/>
                <w:sz w:val="21"/>
                <w:szCs w:val="21"/>
                <w:u w:val="single"/>
              </w:rPr>
              <w:t>3名</w:t>
            </w:r>
          </w:p>
        </w:tc>
      </w:tr>
      <w:tr w14:paraId="774A7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5D340727">
            <w:pPr>
              <w:jc w:val="center"/>
              <w:rPr>
                <w:rFonts w:ascii="Times New Roman" w:hAnsi="Times New Roman" w:cs="Times New Roman"/>
                <w:color w:val="000000"/>
                <w:sz w:val="21"/>
                <w:szCs w:val="21"/>
              </w:rPr>
            </w:pPr>
            <w:r>
              <w:rPr>
                <w:rFonts w:ascii="Times New Roman" w:hAnsi="Times New Roman" w:cs="Times New Roman"/>
                <w:color w:val="000000"/>
                <w:sz w:val="21"/>
                <w:szCs w:val="21"/>
              </w:rPr>
              <w:t>7.2.1</w:t>
            </w:r>
          </w:p>
        </w:tc>
        <w:tc>
          <w:tcPr>
            <w:tcW w:w="2960" w:type="dxa"/>
            <w:vAlign w:val="center"/>
          </w:tcPr>
          <w:p w14:paraId="282A0185">
            <w:pPr>
              <w:autoSpaceDE w:val="0"/>
              <w:autoSpaceDN w:val="0"/>
              <w:spacing w:line="360" w:lineRule="exact"/>
              <w:jc w:val="center"/>
              <w:rPr>
                <w:rFonts w:ascii="Times New Roman" w:hAnsi="Times New Roman" w:cs="Times New Roman"/>
                <w:sz w:val="21"/>
                <w:szCs w:val="21"/>
              </w:rPr>
            </w:pPr>
            <w:r>
              <w:rPr>
                <w:rFonts w:ascii="Times New Roman" w:hAnsi="Times New Roman" w:cs="Times New Roman"/>
                <w:sz w:val="21"/>
                <w:szCs w:val="21"/>
              </w:rPr>
              <w:t>中标</w:t>
            </w:r>
            <w:r>
              <w:rPr>
                <w:rFonts w:hint="eastAsia" w:ascii="Times New Roman" w:hAnsi="Times New Roman" w:cs="Times New Roman"/>
                <w:sz w:val="21"/>
                <w:szCs w:val="21"/>
              </w:rPr>
              <w:t>公告</w:t>
            </w:r>
            <w:r>
              <w:rPr>
                <w:rFonts w:ascii="Times New Roman" w:hAnsi="Times New Roman" w:cs="Times New Roman"/>
                <w:sz w:val="21"/>
                <w:szCs w:val="21"/>
              </w:rPr>
              <w:t>媒介</w:t>
            </w:r>
          </w:p>
        </w:tc>
        <w:tc>
          <w:tcPr>
            <w:tcW w:w="5639" w:type="dxa"/>
            <w:vAlign w:val="center"/>
          </w:tcPr>
          <w:p w14:paraId="0E19F13F">
            <w:pPr>
              <w:autoSpaceDE w:val="0"/>
              <w:autoSpaceDN w:val="0"/>
              <w:spacing w:line="360" w:lineRule="exact"/>
              <w:jc w:val="both"/>
              <w:rPr>
                <w:rFonts w:ascii="Times New Roman" w:hAnsi="Times New Roman" w:cs="Times New Roman"/>
                <w:sz w:val="21"/>
                <w:szCs w:val="21"/>
              </w:rPr>
            </w:pPr>
            <w:r>
              <w:rPr>
                <w:rFonts w:hint="eastAsia" w:ascii="Times New Roman" w:hAnsi="Times New Roman" w:cs="Times New Roman"/>
                <w:sz w:val="21"/>
                <w:szCs w:val="21"/>
              </w:rPr>
              <w:t>中国政府采购网</w:t>
            </w:r>
          </w:p>
        </w:tc>
      </w:tr>
      <w:tr w14:paraId="7A38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307D141C">
            <w:pPr>
              <w:jc w:val="center"/>
              <w:rPr>
                <w:rFonts w:ascii="Times New Roman" w:hAnsi="Times New Roman" w:cs="Times New Roman"/>
                <w:color w:val="000000"/>
                <w:sz w:val="21"/>
                <w:szCs w:val="21"/>
              </w:rPr>
            </w:pPr>
            <w:r>
              <w:rPr>
                <w:rFonts w:hint="eastAsia" w:ascii="Times New Roman" w:hAnsi="Times New Roman" w:cs="Times New Roman"/>
                <w:color w:val="000000"/>
                <w:sz w:val="21"/>
                <w:szCs w:val="21"/>
              </w:rPr>
              <w:t>7.4</w:t>
            </w:r>
          </w:p>
        </w:tc>
        <w:tc>
          <w:tcPr>
            <w:tcW w:w="2960" w:type="dxa"/>
            <w:vAlign w:val="center"/>
          </w:tcPr>
          <w:p w14:paraId="570E677C">
            <w:pPr>
              <w:autoSpaceDE w:val="0"/>
              <w:autoSpaceDN w:val="0"/>
              <w:spacing w:line="360" w:lineRule="exact"/>
              <w:jc w:val="center"/>
              <w:rPr>
                <w:rFonts w:ascii="Times New Roman" w:hAnsi="Times New Roman" w:cs="Times New Roman"/>
                <w:sz w:val="21"/>
                <w:szCs w:val="21"/>
              </w:rPr>
            </w:pPr>
            <w:r>
              <w:rPr>
                <w:rFonts w:hint="eastAsia" w:ascii="Times New Roman" w:hAnsi="Times New Roman" w:cs="Times New Roman"/>
                <w:sz w:val="21"/>
                <w:szCs w:val="21"/>
              </w:rPr>
              <w:t>履约保证金</w:t>
            </w:r>
          </w:p>
        </w:tc>
        <w:tc>
          <w:tcPr>
            <w:tcW w:w="5639" w:type="dxa"/>
            <w:vAlign w:val="center"/>
          </w:tcPr>
          <w:p w14:paraId="6B6A59ED">
            <w:pPr>
              <w:autoSpaceDE w:val="0"/>
              <w:autoSpaceDN w:val="0"/>
              <w:spacing w:line="360" w:lineRule="exact"/>
              <w:jc w:val="both"/>
              <w:rPr>
                <w:rFonts w:ascii="Times New Roman" w:hAnsi="Times New Roman" w:cs="Times New Roman"/>
                <w:sz w:val="21"/>
                <w:szCs w:val="21"/>
              </w:rPr>
            </w:pPr>
            <w:r>
              <w:rPr>
                <w:rFonts w:hint="eastAsia" w:ascii="Times New Roman" w:hAnsi="Times New Roman" w:cs="Times New Roman"/>
                <w:sz w:val="21"/>
                <w:szCs w:val="21"/>
              </w:rPr>
              <w:t>要求</w:t>
            </w:r>
          </w:p>
          <w:p w14:paraId="6A08CBF6">
            <w:pPr>
              <w:autoSpaceDE w:val="0"/>
              <w:autoSpaceDN w:val="0"/>
              <w:spacing w:line="360" w:lineRule="exact"/>
              <w:jc w:val="both"/>
              <w:rPr>
                <w:rFonts w:ascii="Times New Roman" w:hAnsi="Times New Roman" w:cs="Times New Roman"/>
                <w:sz w:val="21"/>
                <w:szCs w:val="21"/>
              </w:rPr>
            </w:pPr>
            <w:r>
              <w:rPr>
                <w:rFonts w:hint="eastAsia" w:ascii="Times New Roman" w:hAnsi="Times New Roman" w:cs="Times New Roman"/>
                <w:sz w:val="21"/>
                <w:szCs w:val="21"/>
              </w:rPr>
              <w:t>履约保证金的金额：签约合同价的</w:t>
            </w:r>
            <w:r>
              <w:rPr>
                <w:rFonts w:hint="eastAsia" w:ascii="Times New Roman" w:hAnsi="Times New Roman" w:cs="Times New Roman"/>
                <w:sz w:val="21"/>
                <w:szCs w:val="21"/>
                <w:lang w:val="en-US" w:eastAsia="zh-CN"/>
              </w:rPr>
              <w:t>10</w:t>
            </w:r>
            <w:r>
              <w:rPr>
                <w:rFonts w:hint="eastAsia" w:ascii="Times New Roman" w:hAnsi="Times New Roman" w:cs="Times New Roman"/>
                <w:sz w:val="21"/>
                <w:szCs w:val="21"/>
              </w:rPr>
              <w:t>%。</w:t>
            </w:r>
          </w:p>
          <w:p w14:paraId="1DF25C0C">
            <w:pPr>
              <w:autoSpaceDE w:val="0"/>
              <w:autoSpaceDN w:val="0"/>
              <w:spacing w:line="360" w:lineRule="exact"/>
              <w:jc w:val="both"/>
              <w:rPr>
                <w:rFonts w:ascii="Times New Roman" w:hAnsi="Times New Roman" w:cs="Times New Roman"/>
                <w:sz w:val="21"/>
                <w:szCs w:val="21"/>
              </w:rPr>
            </w:pPr>
            <w:r>
              <w:rPr>
                <w:rFonts w:hint="eastAsia" w:ascii="Times New Roman" w:hAnsi="Times New Roman" w:cs="Times New Roman"/>
                <w:sz w:val="21"/>
                <w:szCs w:val="21"/>
              </w:rPr>
              <w:t>履约保证金的形式：可采取银行转账或履约担保等方式提交。</w:t>
            </w:r>
          </w:p>
        </w:tc>
      </w:tr>
      <w:tr w14:paraId="52B14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321782F2">
            <w:pPr>
              <w:jc w:val="center"/>
              <w:rPr>
                <w:rFonts w:ascii="Times New Roman" w:hAnsi="Times New Roman" w:cs="Times New Roman"/>
                <w:color w:val="000000"/>
                <w:sz w:val="21"/>
                <w:szCs w:val="21"/>
                <w:highlight w:val="yellow"/>
              </w:rPr>
            </w:pPr>
            <w:r>
              <w:rPr>
                <w:rFonts w:ascii="Times New Roman" w:hAnsi="Times New Roman" w:cs="Times New Roman"/>
                <w:color w:val="000000"/>
                <w:sz w:val="21"/>
                <w:szCs w:val="21"/>
              </w:rPr>
              <w:t>10</w:t>
            </w:r>
          </w:p>
        </w:tc>
        <w:tc>
          <w:tcPr>
            <w:tcW w:w="8599" w:type="dxa"/>
            <w:gridSpan w:val="2"/>
            <w:vAlign w:val="center"/>
          </w:tcPr>
          <w:p w14:paraId="1D8DD644">
            <w:pPr>
              <w:autoSpaceDE w:val="0"/>
              <w:autoSpaceDN w:val="0"/>
              <w:spacing w:line="360" w:lineRule="exact"/>
              <w:jc w:val="both"/>
              <w:rPr>
                <w:rFonts w:ascii="Times New Roman" w:hAnsi="Times New Roman" w:cs="Times New Roman"/>
                <w:sz w:val="21"/>
                <w:szCs w:val="21"/>
              </w:rPr>
            </w:pPr>
            <w:r>
              <w:rPr>
                <w:rFonts w:ascii="Times New Roman" w:hAnsi="Times New Roman" w:cs="Times New Roman"/>
                <w:color w:val="000000"/>
                <w:sz w:val="21"/>
                <w:szCs w:val="21"/>
              </w:rPr>
              <w:t>需要补充的其他内容</w:t>
            </w:r>
          </w:p>
        </w:tc>
      </w:tr>
      <w:tr w14:paraId="6F0AC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1BFD7C4D">
            <w:pPr>
              <w:autoSpaceDE w:val="0"/>
              <w:autoSpaceDN w:val="0"/>
              <w:spacing w:line="360" w:lineRule="exact"/>
              <w:jc w:val="center"/>
              <w:rPr>
                <w:rFonts w:ascii="Times New Roman" w:hAnsi="Times New Roman" w:cs="Times New Roman"/>
                <w:sz w:val="21"/>
                <w:szCs w:val="21"/>
              </w:rPr>
            </w:pPr>
            <w:r>
              <w:rPr>
                <w:rFonts w:hint="eastAsia" w:ascii="Times New Roman" w:hAnsi="Times New Roman" w:cs="Times New Roman"/>
                <w:sz w:val="21"/>
                <w:szCs w:val="21"/>
              </w:rPr>
              <w:t>10.1</w:t>
            </w:r>
          </w:p>
        </w:tc>
        <w:tc>
          <w:tcPr>
            <w:tcW w:w="2960" w:type="dxa"/>
            <w:vAlign w:val="center"/>
          </w:tcPr>
          <w:p w14:paraId="2D174BCF">
            <w:pPr>
              <w:autoSpaceDE w:val="0"/>
              <w:autoSpaceDN w:val="0"/>
              <w:spacing w:line="360" w:lineRule="exact"/>
              <w:jc w:val="center"/>
              <w:rPr>
                <w:rFonts w:ascii="Times New Roman" w:hAnsi="Times New Roman" w:cs="Times New Roman"/>
                <w:sz w:val="21"/>
                <w:szCs w:val="21"/>
              </w:rPr>
            </w:pPr>
            <w:r>
              <w:rPr>
                <w:rFonts w:hint="eastAsia" w:ascii="Times New Roman" w:hAnsi="Times New Roman" w:cs="Times New Roman"/>
                <w:sz w:val="21"/>
                <w:szCs w:val="21"/>
              </w:rPr>
              <w:t>招标最高限价</w:t>
            </w:r>
          </w:p>
        </w:tc>
        <w:tc>
          <w:tcPr>
            <w:tcW w:w="5639" w:type="dxa"/>
            <w:vAlign w:val="center"/>
          </w:tcPr>
          <w:p w14:paraId="47F6287C">
            <w:pPr>
              <w:autoSpaceDE w:val="0"/>
              <w:autoSpaceDN w:val="0"/>
              <w:spacing w:line="360" w:lineRule="exact"/>
              <w:jc w:val="both"/>
              <w:rPr>
                <w:rFonts w:ascii="Times New Roman" w:hAnsi="Times New Roman" w:cs="Times New Roman"/>
                <w:sz w:val="21"/>
                <w:szCs w:val="21"/>
                <w:highlight w:val="none"/>
              </w:rPr>
            </w:pPr>
            <w:r>
              <w:rPr>
                <w:rFonts w:hint="eastAsia" w:ascii="Times New Roman" w:hAnsi="Times New Roman" w:cs="Times New Roman"/>
                <w:sz w:val="21"/>
                <w:szCs w:val="21"/>
                <w:highlight w:val="none"/>
              </w:rPr>
              <w:t>设置招标最高限价</w:t>
            </w:r>
          </w:p>
          <w:p w14:paraId="4713A319">
            <w:pPr>
              <w:autoSpaceDE w:val="0"/>
              <w:autoSpaceDN w:val="0"/>
              <w:spacing w:line="360" w:lineRule="exact"/>
              <w:jc w:val="both"/>
              <w:rPr>
                <w:rFonts w:ascii="Times New Roman" w:hAnsi="Times New Roman" w:cs="Times New Roman"/>
                <w:sz w:val="21"/>
                <w:szCs w:val="21"/>
                <w:highlight w:val="none"/>
              </w:rPr>
            </w:pPr>
            <w:r>
              <w:rPr>
                <w:rFonts w:hint="eastAsia" w:ascii="Times New Roman" w:hAnsi="Times New Roman" w:cs="Times New Roman"/>
                <w:sz w:val="21"/>
                <w:szCs w:val="21"/>
                <w:highlight w:val="none"/>
              </w:rPr>
              <w:t>招标最高限价编制依据见招标文件第2.4条款</w:t>
            </w:r>
          </w:p>
          <w:p w14:paraId="20E60BCD">
            <w:pPr>
              <w:autoSpaceDE w:val="0"/>
              <w:autoSpaceDN w:val="0"/>
              <w:spacing w:line="360" w:lineRule="exact"/>
              <w:jc w:val="both"/>
              <w:rPr>
                <w:rFonts w:ascii="Times New Roman" w:hAnsi="Times New Roman" w:cs="Times New Roman"/>
                <w:sz w:val="21"/>
                <w:szCs w:val="21"/>
                <w:highlight w:val="none"/>
              </w:rPr>
            </w:pPr>
            <w:r>
              <w:rPr>
                <w:rFonts w:hint="eastAsia" w:ascii="Times New Roman" w:hAnsi="Times New Roman" w:cs="Times New Roman"/>
                <w:sz w:val="21"/>
                <w:szCs w:val="21"/>
                <w:highlight w:val="none"/>
              </w:rPr>
              <w:t>招标最高限价随招标文件同时发布：</w:t>
            </w:r>
          </w:p>
          <w:p w14:paraId="660AF4BE">
            <w:pPr>
              <w:autoSpaceDE w:val="0"/>
              <w:autoSpaceDN w:val="0"/>
              <w:spacing w:line="360" w:lineRule="exact"/>
              <w:jc w:val="both"/>
              <w:rPr>
                <w:rFonts w:ascii="Times New Roman" w:hAnsi="Times New Roman" w:cs="Times New Roman"/>
                <w:sz w:val="21"/>
                <w:szCs w:val="21"/>
                <w:highlight w:val="none"/>
              </w:rPr>
            </w:pPr>
            <w:r>
              <w:rPr>
                <w:rFonts w:hint="eastAsia" w:ascii="Times New Roman" w:hAnsi="Times New Roman" w:cs="Times New Roman"/>
                <w:sz w:val="21"/>
                <w:szCs w:val="21"/>
                <w:highlight w:val="none"/>
              </w:rPr>
              <w:t>招标最高限价：</w:t>
            </w:r>
            <w:r>
              <w:rPr>
                <w:rFonts w:hint="eastAsia" w:ascii="Times New Roman" w:hAnsi="Times New Roman" w:cs="Times New Roman"/>
                <w:sz w:val="21"/>
                <w:szCs w:val="21"/>
                <w:highlight w:val="none"/>
                <w:lang w:val="en-US" w:eastAsia="zh-CN"/>
              </w:rPr>
              <w:t>7399515.53</w:t>
            </w:r>
            <w:r>
              <w:rPr>
                <w:rFonts w:hint="eastAsia" w:ascii="Times New Roman" w:hAnsi="Times New Roman" w:cs="Times New Roman"/>
                <w:sz w:val="21"/>
                <w:szCs w:val="21"/>
                <w:highlight w:val="none"/>
              </w:rPr>
              <w:t>元</w:t>
            </w:r>
          </w:p>
        </w:tc>
      </w:tr>
      <w:tr w14:paraId="76E55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588B7C24">
            <w:pPr>
              <w:autoSpaceDE w:val="0"/>
              <w:autoSpaceDN w:val="0"/>
              <w:spacing w:line="360" w:lineRule="exact"/>
              <w:jc w:val="center"/>
              <w:rPr>
                <w:rFonts w:ascii="Times New Roman" w:hAnsi="Times New Roman" w:cs="Times New Roman"/>
                <w:sz w:val="21"/>
                <w:szCs w:val="21"/>
              </w:rPr>
            </w:pPr>
            <w:r>
              <w:rPr>
                <w:rFonts w:hint="eastAsia" w:ascii="Times New Roman" w:hAnsi="Times New Roman" w:cs="Times New Roman"/>
                <w:sz w:val="21"/>
                <w:szCs w:val="21"/>
              </w:rPr>
              <w:t>10.2</w:t>
            </w:r>
          </w:p>
        </w:tc>
        <w:tc>
          <w:tcPr>
            <w:tcW w:w="2960" w:type="dxa"/>
            <w:vAlign w:val="center"/>
          </w:tcPr>
          <w:p w14:paraId="5432209D">
            <w:pPr>
              <w:adjustRightInd w:val="0"/>
              <w:snapToGrid w:val="0"/>
              <w:rPr>
                <w:rFonts w:ascii="Times New Roman" w:hAnsi="Times New Roman" w:cs="Times New Roman"/>
                <w:color w:val="000000"/>
                <w:sz w:val="21"/>
                <w:szCs w:val="21"/>
              </w:rPr>
            </w:pPr>
            <w:r>
              <w:rPr>
                <w:rFonts w:hint="eastAsia" w:ascii="Times New Roman" w:hAnsi="Times New Roman" w:cs="Times New Roman"/>
                <w:color w:val="000000"/>
                <w:sz w:val="21"/>
                <w:szCs w:val="21"/>
              </w:rPr>
              <w:t>暂列金额及专业工程暂估价</w:t>
            </w:r>
          </w:p>
        </w:tc>
        <w:tc>
          <w:tcPr>
            <w:tcW w:w="5639" w:type="dxa"/>
            <w:vAlign w:val="center"/>
          </w:tcPr>
          <w:p w14:paraId="294EC136">
            <w:pPr>
              <w:autoSpaceDE w:val="0"/>
              <w:autoSpaceDN w:val="0"/>
              <w:spacing w:line="360" w:lineRule="exact"/>
              <w:jc w:val="both"/>
              <w:rPr>
                <w:rFonts w:ascii="Times New Roman" w:hAnsi="Times New Roman" w:cs="Times New Roman"/>
                <w:sz w:val="21"/>
                <w:szCs w:val="21"/>
                <w:highlight w:val="none"/>
              </w:rPr>
            </w:pPr>
            <w:r>
              <w:rPr>
                <w:rFonts w:hint="eastAsia" w:ascii="Times New Roman" w:hAnsi="Times New Roman" w:cs="Times New Roman"/>
                <w:sz w:val="21"/>
                <w:szCs w:val="21"/>
                <w:highlight w:val="none"/>
              </w:rPr>
              <w:t>本工程设置：暂列金额：</w:t>
            </w:r>
            <w:r>
              <w:rPr>
                <w:rFonts w:hint="eastAsia" w:ascii="Times New Roman" w:hAnsi="Times New Roman" w:cs="Times New Roman"/>
                <w:sz w:val="21"/>
                <w:szCs w:val="21"/>
                <w:highlight w:val="none"/>
                <w:lang w:val="en-US" w:eastAsia="zh-CN"/>
              </w:rPr>
              <w:t>25</w:t>
            </w:r>
            <w:r>
              <w:rPr>
                <w:rFonts w:hint="eastAsia" w:ascii="Times New Roman" w:hAnsi="Times New Roman" w:cs="Times New Roman"/>
                <w:sz w:val="21"/>
                <w:szCs w:val="21"/>
                <w:highlight w:val="none"/>
              </w:rPr>
              <w:t>0000.0</w:t>
            </w:r>
            <w:r>
              <w:rPr>
                <w:rFonts w:hint="eastAsia" w:ascii="Times New Roman" w:hAnsi="Times New Roman" w:cs="Times New Roman"/>
                <w:sz w:val="21"/>
                <w:szCs w:val="21"/>
                <w:highlight w:val="none"/>
                <w:lang w:val="en-US" w:eastAsia="zh-CN"/>
              </w:rPr>
              <w:t>0</w:t>
            </w:r>
            <w:r>
              <w:rPr>
                <w:rFonts w:hint="eastAsia" w:ascii="Times New Roman" w:hAnsi="Times New Roman" w:cs="Times New Roman"/>
                <w:sz w:val="21"/>
                <w:szCs w:val="21"/>
                <w:highlight w:val="none"/>
              </w:rPr>
              <w:t>元</w:t>
            </w:r>
          </w:p>
          <w:p w14:paraId="394A3199">
            <w:pPr>
              <w:autoSpaceDE w:val="0"/>
              <w:autoSpaceDN w:val="0"/>
              <w:spacing w:line="360" w:lineRule="exact"/>
              <w:jc w:val="both"/>
              <w:rPr>
                <w:rFonts w:hint="eastAsia" w:ascii="Times New Roman" w:hAnsi="Times New Roman" w:cs="Times New Roman"/>
                <w:sz w:val="21"/>
                <w:szCs w:val="21"/>
                <w:highlight w:val="none"/>
              </w:rPr>
            </w:pPr>
            <w:r>
              <w:rPr>
                <w:rFonts w:hint="eastAsia" w:ascii="Times New Roman" w:hAnsi="Times New Roman" w:cs="Times New Roman"/>
                <w:sz w:val="21"/>
                <w:szCs w:val="21"/>
                <w:highlight w:val="none"/>
              </w:rPr>
              <w:t>专业工程暂估价：50000.00元</w:t>
            </w:r>
          </w:p>
        </w:tc>
      </w:tr>
      <w:tr w14:paraId="7DC96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7396D33D">
            <w:pPr>
              <w:autoSpaceDE w:val="0"/>
              <w:autoSpaceDN w:val="0"/>
              <w:spacing w:line="360" w:lineRule="exact"/>
              <w:jc w:val="center"/>
              <w:rPr>
                <w:rFonts w:ascii="Times New Roman" w:hAnsi="Times New Roman" w:cs="Times New Roman"/>
                <w:sz w:val="21"/>
                <w:szCs w:val="21"/>
              </w:rPr>
            </w:pPr>
            <w:r>
              <w:rPr>
                <w:rFonts w:hint="eastAsia" w:ascii="Times New Roman" w:hAnsi="Times New Roman" w:cs="Times New Roman"/>
                <w:sz w:val="21"/>
                <w:szCs w:val="21"/>
              </w:rPr>
              <w:t>10.3</w:t>
            </w:r>
          </w:p>
        </w:tc>
        <w:tc>
          <w:tcPr>
            <w:tcW w:w="2960" w:type="dxa"/>
            <w:vAlign w:val="center"/>
          </w:tcPr>
          <w:p w14:paraId="244AE132">
            <w:pPr>
              <w:adjustRightInd w:val="0"/>
              <w:snapToGrid w:val="0"/>
              <w:rPr>
                <w:rFonts w:ascii="Times New Roman" w:hAnsi="Times New Roman" w:cs="Times New Roman"/>
                <w:color w:val="000000"/>
                <w:sz w:val="21"/>
                <w:szCs w:val="21"/>
              </w:rPr>
            </w:pPr>
            <w:r>
              <w:rPr>
                <w:rFonts w:hint="eastAsia" w:ascii="Times New Roman" w:hAnsi="Times New Roman" w:cs="Times New Roman"/>
                <w:color w:val="000000"/>
                <w:sz w:val="21"/>
                <w:szCs w:val="21"/>
              </w:rPr>
              <w:t>其他补充内容</w:t>
            </w:r>
          </w:p>
        </w:tc>
        <w:tc>
          <w:tcPr>
            <w:tcW w:w="5639" w:type="dxa"/>
            <w:vAlign w:val="center"/>
          </w:tcPr>
          <w:p w14:paraId="31CAA317">
            <w:p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1.本工程发包方式为包工包料。采用工程量清单计价模式下的固定综合单价合同。按《陕西省建设工程工程量清单计价标准（2025）》计价，安全及文明施工措施费属不可竞争费用，按规定费率计入报价。</w:t>
            </w:r>
          </w:p>
          <w:p w14:paraId="733E0CA0">
            <w:pPr>
              <w:adjustRightInd w:val="0"/>
              <w:snapToGrid w:val="0"/>
              <w:jc w:val="both"/>
              <w:rPr>
                <w:rFonts w:hint="eastAsia" w:ascii="Times New Roman" w:hAnsi="Times New Roman" w:cs="Times New Roman"/>
                <w:color w:val="000000"/>
                <w:sz w:val="21"/>
                <w:szCs w:val="21"/>
              </w:rPr>
            </w:pPr>
            <w:r>
              <w:rPr>
                <w:rFonts w:hint="eastAsia" w:ascii="Times New Roman" w:hAnsi="Times New Roman" w:cs="Times New Roman"/>
                <w:color w:val="000000"/>
                <w:sz w:val="21"/>
                <w:szCs w:val="21"/>
              </w:rPr>
              <w:t>2.评标办法采用综合评估法。</w:t>
            </w:r>
          </w:p>
          <w:p w14:paraId="2320F2D6">
            <w:pPr>
              <w:adjustRightInd w:val="0"/>
              <w:snapToGrid w:val="0"/>
              <w:jc w:val="both"/>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3.</w:t>
            </w:r>
            <w:r>
              <w:rPr>
                <w:rFonts w:hint="eastAsia" w:ascii="Times New Roman" w:hAnsi="Times New Roman" w:cs="Times New Roman"/>
                <w:sz w:val="21"/>
                <w:szCs w:val="21"/>
              </w:rPr>
              <w:t>暂列金额、专业工程暂估价应按照要求计入“已标价工程量清单”不得调整，否则按照否决投标处理。</w:t>
            </w:r>
          </w:p>
        </w:tc>
      </w:tr>
      <w:tr w14:paraId="6355A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140D1330">
            <w:pPr>
              <w:autoSpaceDE w:val="0"/>
              <w:autoSpaceDN w:val="0"/>
              <w:spacing w:line="360" w:lineRule="exact"/>
              <w:jc w:val="center"/>
              <w:rPr>
                <w:rFonts w:ascii="Times New Roman" w:hAnsi="Times New Roman" w:cs="Times New Roman"/>
                <w:sz w:val="21"/>
                <w:szCs w:val="21"/>
              </w:rPr>
            </w:pPr>
            <w:r>
              <w:rPr>
                <w:rFonts w:hint="eastAsia" w:ascii="Times New Roman" w:hAnsi="Times New Roman" w:cs="Times New Roman"/>
                <w:sz w:val="21"/>
                <w:szCs w:val="21"/>
              </w:rPr>
              <w:t>10.4</w:t>
            </w:r>
          </w:p>
        </w:tc>
        <w:tc>
          <w:tcPr>
            <w:tcW w:w="2960" w:type="dxa"/>
            <w:vAlign w:val="center"/>
          </w:tcPr>
          <w:p w14:paraId="2417B92B">
            <w:pPr>
              <w:adjustRightInd w:val="0"/>
              <w:snapToGrid w:val="0"/>
              <w:rPr>
                <w:rFonts w:ascii="Times New Roman" w:hAnsi="Times New Roman" w:cs="Times New Roman"/>
                <w:color w:val="000000"/>
                <w:sz w:val="21"/>
                <w:szCs w:val="21"/>
              </w:rPr>
            </w:pPr>
            <w:r>
              <w:rPr>
                <w:rFonts w:hint="eastAsia" w:ascii="Times New Roman" w:hAnsi="Times New Roman" w:cs="Times New Roman"/>
                <w:color w:val="000000"/>
                <w:sz w:val="21"/>
                <w:szCs w:val="21"/>
              </w:rPr>
              <w:t>缺陷责任期</w:t>
            </w:r>
          </w:p>
        </w:tc>
        <w:tc>
          <w:tcPr>
            <w:tcW w:w="5639" w:type="dxa"/>
            <w:vAlign w:val="center"/>
          </w:tcPr>
          <w:p w14:paraId="0B046A36">
            <w:p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2年</w:t>
            </w:r>
          </w:p>
        </w:tc>
      </w:tr>
      <w:tr w14:paraId="41947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1A3137C7">
            <w:pPr>
              <w:autoSpaceDE w:val="0"/>
              <w:autoSpaceDN w:val="0"/>
              <w:spacing w:line="360" w:lineRule="exact"/>
              <w:jc w:val="center"/>
              <w:rPr>
                <w:rFonts w:ascii="Times New Roman" w:hAnsi="Times New Roman" w:cs="Times New Roman"/>
                <w:sz w:val="21"/>
                <w:szCs w:val="21"/>
              </w:rPr>
            </w:pPr>
            <w:r>
              <w:rPr>
                <w:rFonts w:hint="eastAsia" w:ascii="Times New Roman" w:hAnsi="Times New Roman" w:cs="Times New Roman"/>
                <w:sz w:val="21"/>
                <w:szCs w:val="21"/>
              </w:rPr>
              <w:t>10.5</w:t>
            </w:r>
          </w:p>
        </w:tc>
        <w:tc>
          <w:tcPr>
            <w:tcW w:w="2960" w:type="dxa"/>
            <w:vAlign w:val="center"/>
          </w:tcPr>
          <w:p w14:paraId="3AD0F4D8">
            <w:pPr>
              <w:adjustRightInd w:val="0"/>
              <w:snapToGrid w:val="0"/>
              <w:rPr>
                <w:rFonts w:ascii="Times New Roman" w:hAnsi="Times New Roman" w:cs="Times New Roman"/>
                <w:color w:val="000000"/>
                <w:sz w:val="21"/>
                <w:szCs w:val="21"/>
              </w:rPr>
            </w:pPr>
            <w:r>
              <w:rPr>
                <w:rFonts w:hint="eastAsia" w:ascii="Times New Roman" w:hAnsi="Times New Roman" w:cs="Times New Roman"/>
                <w:color w:val="000000"/>
                <w:sz w:val="21"/>
                <w:szCs w:val="21"/>
              </w:rPr>
              <w:t>中小企业政策的说明（监狱企业、残疾人福利性单位视同小微企业）</w:t>
            </w:r>
          </w:p>
        </w:tc>
        <w:tc>
          <w:tcPr>
            <w:tcW w:w="5639" w:type="dxa"/>
            <w:vAlign w:val="center"/>
          </w:tcPr>
          <w:p w14:paraId="235D2E4F">
            <w:p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本项目专门面向中小企业或者小型、微型企业采购。</w:t>
            </w:r>
          </w:p>
          <w:p w14:paraId="06EF78E4">
            <w:p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本项目施工采购标的对应的中小企业划分标准所属行业为：“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14:paraId="2D9A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0AE8A5D3">
            <w:pPr>
              <w:autoSpaceDE w:val="0"/>
              <w:autoSpaceDN w:val="0"/>
              <w:spacing w:line="360" w:lineRule="exact"/>
              <w:jc w:val="center"/>
              <w:rPr>
                <w:rFonts w:ascii="Times New Roman" w:hAnsi="Times New Roman" w:cs="Times New Roman"/>
                <w:sz w:val="21"/>
                <w:szCs w:val="21"/>
              </w:rPr>
            </w:pPr>
            <w:r>
              <w:rPr>
                <w:rFonts w:hint="eastAsia" w:ascii="Times New Roman" w:hAnsi="Times New Roman" w:cs="Times New Roman"/>
                <w:sz w:val="21"/>
                <w:szCs w:val="21"/>
              </w:rPr>
              <w:t>10.6</w:t>
            </w:r>
          </w:p>
        </w:tc>
        <w:tc>
          <w:tcPr>
            <w:tcW w:w="2960" w:type="dxa"/>
            <w:vAlign w:val="center"/>
          </w:tcPr>
          <w:p w14:paraId="6A2AAFD3">
            <w:pPr>
              <w:adjustRightInd w:val="0"/>
              <w:snapToGrid w:val="0"/>
              <w:rPr>
                <w:rFonts w:ascii="Times New Roman" w:hAnsi="Times New Roman" w:cs="Times New Roman"/>
                <w:color w:val="000000"/>
                <w:sz w:val="21"/>
                <w:szCs w:val="21"/>
              </w:rPr>
            </w:pPr>
            <w:r>
              <w:rPr>
                <w:rFonts w:hint="eastAsia" w:ascii="Times New Roman" w:hAnsi="Times New Roman" w:cs="Times New Roman"/>
                <w:color w:val="000000"/>
                <w:sz w:val="21"/>
                <w:szCs w:val="21"/>
              </w:rPr>
              <w:t>招标代理服务费、造价咨询服务费</w:t>
            </w:r>
          </w:p>
        </w:tc>
        <w:tc>
          <w:tcPr>
            <w:tcW w:w="5639" w:type="dxa"/>
            <w:vAlign w:val="center"/>
          </w:tcPr>
          <w:p w14:paraId="0B3606BF">
            <w:pPr>
              <w:numPr>
                <w:ilvl w:val="0"/>
                <w:numId w:val="2"/>
              </w:numPr>
              <w:adjustRightInd w:val="0"/>
              <w:snapToGrid w:val="0"/>
              <w:jc w:val="both"/>
              <w:rPr>
                <w:rFonts w:hint="eastAsia" w:ascii="Times New Roman" w:hAnsi="Times New Roman" w:cs="Times New Roman"/>
                <w:color w:val="000000"/>
                <w:sz w:val="21"/>
                <w:szCs w:val="21"/>
              </w:rPr>
            </w:pPr>
            <w:r>
              <w:rPr>
                <w:rFonts w:hint="eastAsia" w:ascii="Times New Roman" w:hAnsi="Times New Roman" w:cs="Times New Roman"/>
                <w:color w:val="000000"/>
                <w:sz w:val="21"/>
                <w:szCs w:val="21"/>
              </w:rPr>
              <w:t>招标代理服务费：以中标（成交）价为基数，参照国家计委关于印发《招标代理服务收费管理暂行办法的通知》（计价格[2002]1980号）文件及国家发改价格[2011]534号文件规定的标准收取。由中标单位在领取中标通知书前向代理人支付。</w:t>
            </w:r>
          </w:p>
          <w:p w14:paraId="11C97BDB">
            <w:pPr>
              <w:numPr>
                <w:ilvl w:val="0"/>
                <w:numId w:val="2"/>
              </w:num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造价咨询服务费：依据陕价行发【2014】88号文件规定收费标准计取，由中标单位在领取中标通知书前向代理人支付。此两项费用含于报价中。</w:t>
            </w:r>
          </w:p>
          <w:p w14:paraId="3A08C9C4">
            <w:p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招标代理服务费、造价咨询服务费缴纳账户信息：</w:t>
            </w:r>
          </w:p>
          <w:p w14:paraId="723E587C">
            <w:p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开户名称：陕西省招标有限责任公司 </w:t>
            </w:r>
          </w:p>
          <w:p w14:paraId="613F8425">
            <w:p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开户行：招商银行西安朝阳门支行</w:t>
            </w:r>
          </w:p>
          <w:p w14:paraId="0DA474BA">
            <w:p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账号：1299 0424 2010 801</w:t>
            </w:r>
          </w:p>
        </w:tc>
      </w:tr>
      <w:tr w14:paraId="7C60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23F6EA60">
            <w:pPr>
              <w:autoSpaceDE w:val="0"/>
              <w:autoSpaceDN w:val="0"/>
              <w:spacing w:line="360" w:lineRule="exact"/>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10.7</w:t>
            </w:r>
          </w:p>
        </w:tc>
        <w:tc>
          <w:tcPr>
            <w:tcW w:w="2960" w:type="dxa"/>
            <w:vAlign w:val="center"/>
          </w:tcPr>
          <w:p w14:paraId="33C484D1">
            <w:pPr>
              <w:adjustRightInd w:val="0"/>
              <w:snapToGrid w:val="0"/>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报价说明</w:t>
            </w:r>
          </w:p>
        </w:tc>
        <w:tc>
          <w:tcPr>
            <w:tcW w:w="5639" w:type="dxa"/>
            <w:vAlign w:val="center"/>
          </w:tcPr>
          <w:p w14:paraId="23B0F59B">
            <w:pPr>
              <w:adjustRightInd w:val="0"/>
              <w:snapToGrid w:val="0"/>
              <w:jc w:val="both"/>
              <w:rPr>
                <w:rFonts w:hint="eastAsia" w:ascii="Times New Roman" w:hAnsi="Times New Roman" w:cs="Times New Roman"/>
                <w:color w:val="000000"/>
                <w:sz w:val="21"/>
                <w:szCs w:val="21"/>
              </w:rPr>
            </w:pPr>
            <w:r>
              <w:rPr>
                <w:rFonts w:hint="eastAsia" w:ascii="Times New Roman" w:hAnsi="Times New Roman" w:cs="Times New Roman"/>
                <w:color w:val="000000"/>
                <w:sz w:val="21"/>
                <w:szCs w:val="21"/>
              </w:rPr>
              <w:t>供应商报价应充分考虑国家现行技术标准、规范要求、招标文件中明示或暗示的各项费用和支出，按照“工程量清单”给出的报价方式计算并填写报价文件。响应报价应是采购范围内全部工作内容的价格体现。响应报价一经提交，则将被视为发包内容的全部费用已经包含在响应报价内，供应商没有填报的费用，采购人将不予支付，并认为此项费用已包括在响应报价的其他综合单价或合价中。供应商亦不得以任何理由在响应报价中重复计价。除合同另有约定外，对成交人提出的任何追加报价，采购人将不予考虑。</w:t>
            </w:r>
          </w:p>
          <w:p w14:paraId="2530BE70">
            <w:pPr>
              <w:adjustRightInd w:val="0"/>
              <w:snapToGrid w:val="0"/>
              <w:jc w:val="both"/>
              <w:rPr>
                <w:rFonts w:hint="eastAsia" w:ascii="Times New Roman" w:hAnsi="Times New Roman" w:cs="Times New Roman"/>
                <w:color w:val="000000"/>
                <w:sz w:val="21"/>
                <w:szCs w:val="21"/>
              </w:rPr>
            </w:pPr>
            <w:r>
              <w:rPr>
                <w:rFonts w:hint="eastAsia" w:ascii="Times New Roman" w:hAnsi="Times New Roman" w:cs="Times New Roman"/>
                <w:color w:val="000000"/>
                <w:sz w:val="21"/>
                <w:szCs w:val="21"/>
              </w:rPr>
              <w:t xml:space="preserve">报价中应包括：办理施工许可证、城管卫生等报建手续和垃圾排放、消防验收手续等工作费用，招标人不单独支付。 </w:t>
            </w:r>
          </w:p>
        </w:tc>
      </w:tr>
      <w:tr w14:paraId="5DB2E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43" w:type="dxa"/>
            <w:vAlign w:val="center"/>
          </w:tcPr>
          <w:p w14:paraId="4296A514">
            <w:pPr>
              <w:autoSpaceDE w:val="0"/>
              <w:autoSpaceDN w:val="0"/>
              <w:spacing w:line="360" w:lineRule="exact"/>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rPr>
              <w:t>10.</w:t>
            </w:r>
            <w:r>
              <w:rPr>
                <w:rFonts w:hint="eastAsia" w:ascii="Times New Roman" w:hAnsi="Times New Roman" w:cs="Times New Roman"/>
                <w:sz w:val="21"/>
                <w:szCs w:val="21"/>
                <w:lang w:val="en-US" w:eastAsia="zh-CN"/>
              </w:rPr>
              <w:t>8</w:t>
            </w:r>
          </w:p>
        </w:tc>
        <w:tc>
          <w:tcPr>
            <w:tcW w:w="2960" w:type="dxa"/>
            <w:vAlign w:val="center"/>
          </w:tcPr>
          <w:p w14:paraId="69223102">
            <w:pPr>
              <w:adjustRightInd w:val="0"/>
              <w:snapToGrid w:val="0"/>
              <w:rPr>
                <w:rFonts w:ascii="Times New Roman" w:hAnsi="Times New Roman" w:cs="Times New Roman"/>
                <w:color w:val="000000"/>
                <w:sz w:val="21"/>
                <w:szCs w:val="21"/>
              </w:rPr>
            </w:pPr>
            <w:r>
              <w:rPr>
                <w:rFonts w:hint="eastAsia" w:ascii="Times New Roman" w:hAnsi="Times New Roman" w:cs="Times New Roman"/>
                <w:color w:val="000000"/>
                <w:sz w:val="21"/>
                <w:szCs w:val="21"/>
              </w:rPr>
              <w:t>其他</w:t>
            </w:r>
          </w:p>
        </w:tc>
        <w:tc>
          <w:tcPr>
            <w:tcW w:w="5639" w:type="dxa"/>
            <w:vAlign w:val="center"/>
          </w:tcPr>
          <w:p w14:paraId="30A650F3">
            <w:p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构成本招标文件的各个组成文件应互为解释，互为说明；如有不明确或不一致，由招标人负责解释。</w:t>
            </w:r>
          </w:p>
          <w:p w14:paraId="721D2519">
            <w:pPr>
              <w:adjustRightInd w:val="0"/>
              <w:snapToGrid w:val="0"/>
              <w:jc w:val="both"/>
              <w:rPr>
                <w:rFonts w:ascii="Times New Roman" w:hAnsi="Times New Roman" w:cs="Times New Roman"/>
                <w:color w:val="000000"/>
                <w:sz w:val="21"/>
                <w:szCs w:val="21"/>
              </w:rPr>
            </w:pPr>
            <w:r>
              <w:rPr>
                <w:rFonts w:hint="eastAsia" w:ascii="Times New Roman" w:hAnsi="Times New Roman" w:cs="Times New Roman"/>
                <w:color w:val="000000"/>
                <w:sz w:val="21"/>
                <w:szCs w:val="21"/>
              </w:rPr>
              <w:t>本招标文件未明确的其他事项，按照有关法律、法规或省市有关规定执行。</w:t>
            </w:r>
          </w:p>
        </w:tc>
      </w:tr>
    </w:tbl>
    <w:p w14:paraId="5A62F7ED">
      <w:pPr>
        <w:pStyle w:val="4"/>
        <w:spacing w:before="0" w:after="0" w:line="480" w:lineRule="exact"/>
        <w:rPr>
          <w:rFonts w:hint="eastAsia" w:ascii="宋体" w:hAnsi="宋体" w:cs="宋体"/>
          <w:color w:val="000000"/>
          <w:sz w:val="21"/>
          <w:szCs w:val="21"/>
        </w:rPr>
      </w:pPr>
      <w:r>
        <w:rPr>
          <w:rFonts w:ascii="Times New Roman" w:hAnsi="Times New Roman"/>
          <w:color w:val="000000"/>
        </w:rPr>
        <w:br w:type="page"/>
      </w:r>
      <w:bookmarkStart w:id="24" w:name="_Toc290389698"/>
      <w:bookmarkStart w:id="25" w:name="_Toc184635071"/>
      <w:bookmarkStart w:id="26" w:name="_Toc8638"/>
      <w:bookmarkStart w:id="27" w:name="_Toc4497829"/>
      <w:bookmarkStart w:id="28" w:name="_Toc4497882"/>
      <w:r>
        <w:rPr>
          <w:rFonts w:hint="eastAsia" w:ascii="宋体" w:hAnsi="宋体" w:cs="宋体"/>
          <w:color w:val="000000"/>
          <w:sz w:val="21"/>
          <w:szCs w:val="21"/>
        </w:rPr>
        <w:t>1.总则</w:t>
      </w:r>
      <w:bookmarkEnd w:id="24"/>
      <w:bookmarkEnd w:id="25"/>
      <w:bookmarkEnd w:id="26"/>
      <w:bookmarkEnd w:id="27"/>
      <w:bookmarkEnd w:id="28"/>
    </w:p>
    <w:p w14:paraId="7F41CDE6">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1.1 项目概况</w:t>
      </w:r>
    </w:p>
    <w:p w14:paraId="5ADBA427">
      <w:pPr>
        <w:spacing w:line="480" w:lineRule="exact"/>
        <w:ind w:firstLine="420" w:firstLineChars="200"/>
        <w:rPr>
          <w:rFonts w:hint="eastAsia"/>
          <w:color w:val="000000"/>
          <w:sz w:val="21"/>
          <w:szCs w:val="21"/>
        </w:rPr>
      </w:pPr>
      <w:r>
        <w:rPr>
          <w:rFonts w:hint="eastAsia"/>
          <w:color w:val="000000"/>
          <w:sz w:val="21"/>
          <w:szCs w:val="21"/>
        </w:rPr>
        <w:t>1.1.1根据《中华人民共和国招标投标法》等有关法律、法规和规章的规定，本招标项目已具备招标条件，现对本标段施工进行招标。本项目专门面向中小企业采购，仅适用承建工程的投标人为中小企业（包含残疾人福利性单位、监狱企业）参加的政府采购活动。</w:t>
      </w:r>
    </w:p>
    <w:p w14:paraId="17D1785B">
      <w:pPr>
        <w:spacing w:line="480" w:lineRule="exact"/>
        <w:ind w:firstLine="420" w:firstLineChars="200"/>
        <w:rPr>
          <w:rFonts w:hint="eastAsia"/>
          <w:color w:val="000000"/>
          <w:sz w:val="21"/>
          <w:szCs w:val="21"/>
        </w:rPr>
      </w:pPr>
      <w:r>
        <w:rPr>
          <w:rFonts w:hint="eastAsia"/>
          <w:color w:val="000000"/>
          <w:sz w:val="21"/>
          <w:szCs w:val="21"/>
        </w:rPr>
        <w:t>1.1.2 本招标项目招标人：见投标人须知前附表。</w:t>
      </w:r>
    </w:p>
    <w:p w14:paraId="42D9EF00">
      <w:pPr>
        <w:spacing w:line="480" w:lineRule="exact"/>
        <w:ind w:firstLine="420" w:firstLineChars="200"/>
        <w:rPr>
          <w:rFonts w:hint="eastAsia"/>
          <w:color w:val="000000"/>
          <w:sz w:val="21"/>
          <w:szCs w:val="21"/>
        </w:rPr>
      </w:pPr>
      <w:r>
        <w:rPr>
          <w:rFonts w:hint="eastAsia"/>
          <w:color w:val="000000"/>
          <w:sz w:val="21"/>
          <w:szCs w:val="21"/>
        </w:rPr>
        <w:t>1.1.3 本标段招标代理机构：见投标人须知前附表。</w:t>
      </w:r>
    </w:p>
    <w:p w14:paraId="3B938428">
      <w:pPr>
        <w:spacing w:line="480" w:lineRule="exact"/>
        <w:ind w:firstLine="420" w:firstLineChars="200"/>
        <w:rPr>
          <w:rFonts w:hint="eastAsia"/>
          <w:color w:val="000000"/>
          <w:sz w:val="21"/>
          <w:szCs w:val="21"/>
        </w:rPr>
      </w:pPr>
      <w:r>
        <w:rPr>
          <w:rFonts w:hint="eastAsia"/>
          <w:color w:val="000000"/>
          <w:sz w:val="21"/>
          <w:szCs w:val="21"/>
        </w:rPr>
        <w:t>1.1.4 本招标项目名称：见投标人须知前附表。</w:t>
      </w:r>
    </w:p>
    <w:p w14:paraId="1AF00A2B">
      <w:pPr>
        <w:spacing w:line="480" w:lineRule="exact"/>
        <w:ind w:firstLine="420" w:firstLineChars="200"/>
        <w:rPr>
          <w:rFonts w:hint="eastAsia"/>
          <w:color w:val="000000"/>
          <w:sz w:val="21"/>
          <w:szCs w:val="21"/>
        </w:rPr>
      </w:pPr>
      <w:r>
        <w:rPr>
          <w:rFonts w:hint="eastAsia"/>
          <w:color w:val="000000"/>
          <w:sz w:val="21"/>
          <w:szCs w:val="21"/>
        </w:rPr>
        <w:t>1.1.5 本标段建设地点：见投标人须知前附表。</w:t>
      </w:r>
    </w:p>
    <w:p w14:paraId="0AD84C7B">
      <w:pPr>
        <w:spacing w:line="480" w:lineRule="exact"/>
        <w:ind w:firstLine="420" w:firstLineChars="200"/>
        <w:rPr>
          <w:rFonts w:hint="eastAsia"/>
          <w:color w:val="000000"/>
          <w:sz w:val="21"/>
          <w:szCs w:val="21"/>
        </w:rPr>
      </w:pPr>
      <w:r>
        <w:rPr>
          <w:rFonts w:hint="eastAsia"/>
          <w:color w:val="000000"/>
          <w:sz w:val="21"/>
          <w:szCs w:val="21"/>
        </w:rPr>
        <w:t>1.1.6本招标项目工程概况：见投标人须知前附表。</w:t>
      </w:r>
    </w:p>
    <w:p w14:paraId="605FB96E">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1.2 资金来源和落实情况</w:t>
      </w:r>
    </w:p>
    <w:p w14:paraId="588F2CB2">
      <w:pPr>
        <w:spacing w:line="480" w:lineRule="exact"/>
        <w:ind w:firstLine="420" w:firstLineChars="200"/>
        <w:rPr>
          <w:rFonts w:hint="eastAsia"/>
          <w:color w:val="000000"/>
          <w:sz w:val="21"/>
          <w:szCs w:val="21"/>
        </w:rPr>
      </w:pPr>
      <w:r>
        <w:rPr>
          <w:rFonts w:hint="eastAsia"/>
          <w:color w:val="000000"/>
          <w:sz w:val="21"/>
          <w:szCs w:val="21"/>
        </w:rPr>
        <w:t>1.2.1 本招标项目的资金来源：见投标人须知前附表。</w:t>
      </w:r>
    </w:p>
    <w:p w14:paraId="6E43A6F7">
      <w:pPr>
        <w:spacing w:line="480" w:lineRule="exact"/>
        <w:ind w:firstLine="420" w:firstLineChars="200"/>
        <w:rPr>
          <w:rFonts w:hint="eastAsia"/>
          <w:color w:val="000000"/>
          <w:sz w:val="21"/>
          <w:szCs w:val="21"/>
        </w:rPr>
      </w:pPr>
      <w:r>
        <w:rPr>
          <w:rFonts w:hint="eastAsia"/>
          <w:color w:val="000000"/>
          <w:sz w:val="21"/>
          <w:szCs w:val="21"/>
        </w:rPr>
        <w:t>1.2.2 本招标项目的资金落实情况：见投标人须知前附表。</w:t>
      </w:r>
    </w:p>
    <w:p w14:paraId="37507BF5">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1.3 招标范围、计划工期和质量要求</w:t>
      </w:r>
    </w:p>
    <w:p w14:paraId="59F5891F">
      <w:pPr>
        <w:spacing w:line="480" w:lineRule="exact"/>
        <w:ind w:firstLine="420" w:firstLineChars="200"/>
        <w:rPr>
          <w:rFonts w:hint="eastAsia"/>
          <w:color w:val="000000"/>
          <w:sz w:val="21"/>
          <w:szCs w:val="21"/>
        </w:rPr>
      </w:pPr>
      <w:r>
        <w:rPr>
          <w:rFonts w:hint="eastAsia"/>
          <w:color w:val="000000"/>
          <w:sz w:val="21"/>
          <w:szCs w:val="21"/>
        </w:rPr>
        <w:t>1.3.1 本次招标范围：见投标人须知前附表。</w:t>
      </w:r>
    </w:p>
    <w:p w14:paraId="1D1A78C7">
      <w:pPr>
        <w:spacing w:line="480" w:lineRule="exact"/>
        <w:ind w:firstLine="420" w:firstLineChars="200"/>
        <w:rPr>
          <w:rFonts w:hint="eastAsia"/>
          <w:color w:val="000000"/>
          <w:sz w:val="21"/>
          <w:szCs w:val="21"/>
        </w:rPr>
      </w:pPr>
      <w:r>
        <w:rPr>
          <w:rFonts w:hint="eastAsia"/>
          <w:color w:val="000000"/>
          <w:sz w:val="21"/>
          <w:szCs w:val="21"/>
        </w:rPr>
        <w:t>1.3.2 本标段的计划工期：见投标人须知前附表。</w:t>
      </w:r>
    </w:p>
    <w:p w14:paraId="0C5AE6DB">
      <w:pPr>
        <w:spacing w:line="480" w:lineRule="exact"/>
        <w:ind w:firstLine="420" w:firstLineChars="200"/>
        <w:rPr>
          <w:rFonts w:hint="eastAsia"/>
          <w:color w:val="000000"/>
          <w:sz w:val="21"/>
          <w:szCs w:val="21"/>
        </w:rPr>
      </w:pPr>
      <w:r>
        <w:rPr>
          <w:rFonts w:hint="eastAsia"/>
          <w:color w:val="000000"/>
          <w:sz w:val="21"/>
          <w:szCs w:val="21"/>
        </w:rPr>
        <w:t>1.3.3 本标段的质量要求：见投标人须知前附表。</w:t>
      </w:r>
    </w:p>
    <w:p w14:paraId="3145E228">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1.4 投标人资格要求</w:t>
      </w:r>
    </w:p>
    <w:p w14:paraId="166CE03F">
      <w:pPr>
        <w:spacing w:line="480" w:lineRule="exact"/>
        <w:ind w:firstLine="420" w:firstLineChars="200"/>
        <w:rPr>
          <w:rFonts w:hint="eastAsia"/>
          <w:color w:val="000000"/>
          <w:sz w:val="21"/>
          <w:szCs w:val="21"/>
        </w:rPr>
      </w:pPr>
      <w:r>
        <w:rPr>
          <w:rFonts w:hint="eastAsia"/>
          <w:color w:val="000000"/>
          <w:sz w:val="21"/>
          <w:szCs w:val="21"/>
        </w:rPr>
        <w:t>1.4.1 投标人应具备承担本标段施工的资质条件、能力和信誉：见投标人须知前附表；</w:t>
      </w:r>
    </w:p>
    <w:p w14:paraId="6B6462C1">
      <w:pPr>
        <w:spacing w:line="480" w:lineRule="exact"/>
        <w:ind w:firstLine="420" w:firstLineChars="200"/>
        <w:rPr>
          <w:rFonts w:hint="eastAsia"/>
          <w:color w:val="000000"/>
          <w:sz w:val="21"/>
          <w:szCs w:val="21"/>
        </w:rPr>
      </w:pPr>
      <w:r>
        <w:rPr>
          <w:rFonts w:hint="eastAsia"/>
          <w:color w:val="000000"/>
          <w:sz w:val="21"/>
          <w:szCs w:val="21"/>
        </w:rPr>
        <w:t>1.4.2 投标人不得存在下列情形之一：</w:t>
      </w:r>
    </w:p>
    <w:p w14:paraId="7A7F8FD0">
      <w:pPr>
        <w:spacing w:line="480" w:lineRule="exact"/>
        <w:ind w:firstLine="420" w:firstLineChars="200"/>
        <w:rPr>
          <w:rFonts w:hint="eastAsia"/>
          <w:color w:val="000000"/>
          <w:sz w:val="21"/>
          <w:szCs w:val="21"/>
        </w:rPr>
      </w:pPr>
      <w:r>
        <w:rPr>
          <w:rFonts w:hint="eastAsia"/>
          <w:color w:val="000000"/>
          <w:sz w:val="21"/>
          <w:szCs w:val="21"/>
        </w:rPr>
        <w:t xml:space="preserve">(l)为招标人不具有独立法人资格的附属机构（单位）； </w:t>
      </w:r>
    </w:p>
    <w:p w14:paraId="1158F383">
      <w:pPr>
        <w:spacing w:line="480" w:lineRule="exact"/>
        <w:ind w:firstLine="420" w:firstLineChars="200"/>
        <w:rPr>
          <w:rFonts w:hint="eastAsia"/>
          <w:color w:val="000000"/>
          <w:sz w:val="21"/>
          <w:szCs w:val="21"/>
        </w:rPr>
      </w:pPr>
      <w:r>
        <w:rPr>
          <w:rFonts w:hint="eastAsia"/>
          <w:color w:val="000000"/>
          <w:sz w:val="21"/>
          <w:szCs w:val="21"/>
        </w:rPr>
        <w:t>(2)为本标段前期准备提供设计或咨询服务的，但设计施工总承包的除外；</w:t>
      </w:r>
    </w:p>
    <w:p w14:paraId="6B16B3F2">
      <w:pPr>
        <w:spacing w:line="480" w:lineRule="exact"/>
        <w:ind w:firstLine="420" w:firstLineChars="200"/>
        <w:rPr>
          <w:rFonts w:hint="eastAsia"/>
          <w:color w:val="000000"/>
          <w:sz w:val="21"/>
          <w:szCs w:val="21"/>
        </w:rPr>
      </w:pPr>
      <w:r>
        <w:rPr>
          <w:rFonts w:hint="eastAsia"/>
          <w:color w:val="000000"/>
          <w:sz w:val="21"/>
          <w:szCs w:val="21"/>
        </w:rPr>
        <w:t>(3)为本标段的监理人；</w:t>
      </w:r>
    </w:p>
    <w:p w14:paraId="21B08889">
      <w:pPr>
        <w:spacing w:line="480" w:lineRule="exact"/>
        <w:ind w:firstLine="420" w:firstLineChars="200"/>
        <w:rPr>
          <w:rFonts w:hint="eastAsia"/>
          <w:color w:val="000000"/>
          <w:sz w:val="21"/>
          <w:szCs w:val="21"/>
        </w:rPr>
      </w:pPr>
      <w:r>
        <w:rPr>
          <w:rFonts w:hint="eastAsia"/>
          <w:color w:val="000000"/>
          <w:sz w:val="21"/>
          <w:szCs w:val="21"/>
        </w:rPr>
        <w:t>(4)为本标段的代建人；</w:t>
      </w:r>
    </w:p>
    <w:p w14:paraId="4EC18A9A">
      <w:pPr>
        <w:spacing w:line="480" w:lineRule="exact"/>
        <w:ind w:firstLine="420" w:firstLineChars="200"/>
        <w:rPr>
          <w:rFonts w:hint="eastAsia"/>
          <w:color w:val="000000"/>
          <w:sz w:val="21"/>
          <w:szCs w:val="21"/>
        </w:rPr>
      </w:pPr>
      <w:r>
        <w:rPr>
          <w:rFonts w:hint="eastAsia"/>
          <w:color w:val="000000"/>
          <w:sz w:val="21"/>
          <w:szCs w:val="21"/>
        </w:rPr>
        <w:t>(5)为本标段提供招标代理服务的；</w:t>
      </w:r>
    </w:p>
    <w:p w14:paraId="68130DCB">
      <w:pPr>
        <w:spacing w:line="480" w:lineRule="exact"/>
        <w:ind w:firstLine="420" w:firstLineChars="200"/>
        <w:rPr>
          <w:rFonts w:hint="eastAsia"/>
          <w:color w:val="000000"/>
          <w:sz w:val="21"/>
          <w:szCs w:val="21"/>
        </w:rPr>
      </w:pPr>
      <w:r>
        <w:rPr>
          <w:rFonts w:hint="eastAsia"/>
          <w:color w:val="000000"/>
          <w:sz w:val="21"/>
          <w:szCs w:val="21"/>
        </w:rPr>
        <w:t>(6)与本标段的监理人或代建人或招标代理机构同为一个法定代表人的；</w:t>
      </w:r>
    </w:p>
    <w:p w14:paraId="29E33730">
      <w:pPr>
        <w:spacing w:line="480" w:lineRule="exact"/>
        <w:ind w:firstLine="420" w:firstLineChars="200"/>
        <w:rPr>
          <w:rFonts w:hint="eastAsia"/>
          <w:color w:val="000000"/>
          <w:sz w:val="21"/>
          <w:szCs w:val="21"/>
        </w:rPr>
      </w:pPr>
      <w:r>
        <w:rPr>
          <w:rFonts w:hint="eastAsia"/>
          <w:color w:val="000000"/>
          <w:sz w:val="21"/>
          <w:szCs w:val="21"/>
        </w:rPr>
        <w:t>(7)与本标段的监理人或代建人或招标代理机构相互控股或参股的；</w:t>
      </w:r>
    </w:p>
    <w:p w14:paraId="558A3904">
      <w:pPr>
        <w:spacing w:line="480" w:lineRule="exact"/>
        <w:ind w:firstLine="420" w:firstLineChars="200"/>
        <w:rPr>
          <w:rFonts w:hint="eastAsia"/>
          <w:color w:val="000000"/>
          <w:sz w:val="21"/>
          <w:szCs w:val="21"/>
        </w:rPr>
      </w:pPr>
      <w:r>
        <w:rPr>
          <w:rFonts w:hint="eastAsia"/>
          <w:color w:val="000000"/>
          <w:sz w:val="21"/>
          <w:szCs w:val="21"/>
        </w:rPr>
        <w:t>(8)与本标段的监理人或代建人或招标代理机构相互任职或工作的；</w:t>
      </w:r>
    </w:p>
    <w:p w14:paraId="68FDE8F1">
      <w:pPr>
        <w:spacing w:line="480" w:lineRule="exact"/>
        <w:ind w:firstLine="420" w:firstLineChars="200"/>
        <w:rPr>
          <w:rFonts w:hint="eastAsia"/>
          <w:color w:val="000000"/>
          <w:sz w:val="21"/>
          <w:szCs w:val="21"/>
        </w:rPr>
      </w:pPr>
      <w:r>
        <w:rPr>
          <w:rFonts w:hint="eastAsia"/>
          <w:color w:val="000000"/>
          <w:sz w:val="21"/>
          <w:szCs w:val="21"/>
        </w:rPr>
        <w:t>(9)被责令停业的；</w:t>
      </w:r>
    </w:p>
    <w:p w14:paraId="77D995D1">
      <w:pPr>
        <w:spacing w:line="480" w:lineRule="exact"/>
        <w:ind w:firstLine="420" w:firstLineChars="200"/>
        <w:rPr>
          <w:rFonts w:hint="eastAsia"/>
          <w:color w:val="000000"/>
          <w:sz w:val="21"/>
          <w:szCs w:val="21"/>
        </w:rPr>
      </w:pPr>
      <w:r>
        <w:rPr>
          <w:rFonts w:hint="eastAsia"/>
          <w:color w:val="000000"/>
          <w:sz w:val="21"/>
          <w:szCs w:val="21"/>
        </w:rPr>
        <w:t>(10)被暂停或取消投标资格的；</w:t>
      </w:r>
    </w:p>
    <w:p w14:paraId="0616F6AB">
      <w:pPr>
        <w:spacing w:line="480" w:lineRule="exact"/>
        <w:ind w:firstLine="420" w:firstLineChars="200"/>
        <w:rPr>
          <w:rFonts w:hint="eastAsia"/>
          <w:color w:val="000000"/>
          <w:sz w:val="21"/>
          <w:szCs w:val="21"/>
        </w:rPr>
      </w:pPr>
      <w:r>
        <w:rPr>
          <w:rFonts w:hint="eastAsia"/>
          <w:color w:val="000000"/>
          <w:sz w:val="21"/>
          <w:szCs w:val="21"/>
        </w:rPr>
        <w:t>(11)财产被接管或冻结的；</w:t>
      </w:r>
    </w:p>
    <w:p w14:paraId="17AF5C8E">
      <w:pPr>
        <w:spacing w:line="480" w:lineRule="exact"/>
        <w:ind w:firstLine="420" w:firstLineChars="200"/>
        <w:rPr>
          <w:rFonts w:hint="eastAsia"/>
          <w:color w:val="000000"/>
          <w:sz w:val="21"/>
          <w:szCs w:val="21"/>
        </w:rPr>
      </w:pPr>
      <w:r>
        <w:rPr>
          <w:rFonts w:hint="eastAsia"/>
          <w:color w:val="000000"/>
          <w:sz w:val="21"/>
          <w:szCs w:val="21"/>
        </w:rPr>
        <w:t>(12)在最近三年内有骗取中标或严重违约或重大工程质量问题的。</w:t>
      </w:r>
    </w:p>
    <w:p w14:paraId="2BC7E5C2">
      <w:pPr>
        <w:spacing w:line="480" w:lineRule="exact"/>
        <w:ind w:firstLine="315" w:firstLineChars="150"/>
        <w:rPr>
          <w:rFonts w:hint="eastAsia"/>
          <w:color w:val="000000"/>
          <w:sz w:val="21"/>
          <w:szCs w:val="21"/>
        </w:rPr>
      </w:pPr>
      <w:r>
        <w:rPr>
          <w:rFonts w:hint="eastAsia"/>
          <w:color w:val="000000"/>
          <w:sz w:val="21"/>
          <w:szCs w:val="21"/>
        </w:rPr>
        <w:t>（13）与招标人存在利害关系可能影响招标公正性的法人、其他组织或者个人，不得参加投标。</w:t>
      </w:r>
    </w:p>
    <w:p w14:paraId="2E01A66D">
      <w:pPr>
        <w:spacing w:line="480" w:lineRule="exact"/>
        <w:ind w:firstLine="315" w:firstLineChars="150"/>
        <w:rPr>
          <w:rFonts w:hint="eastAsia"/>
          <w:color w:val="000000"/>
          <w:sz w:val="21"/>
          <w:szCs w:val="21"/>
        </w:rPr>
      </w:pPr>
      <w:r>
        <w:rPr>
          <w:rFonts w:hint="eastAsia"/>
          <w:color w:val="000000"/>
          <w:sz w:val="21"/>
          <w:szCs w:val="21"/>
        </w:rPr>
        <w:t>（14）单位负责人为同一人或者存在控股、管理关系的不同单位，不得参加同一标段投标或者未划分标段的同一招标项目投标。</w:t>
      </w:r>
    </w:p>
    <w:p w14:paraId="45B56EDC">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1.5 费用承担</w:t>
      </w:r>
    </w:p>
    <w:p w14:paraId="5311CB95">
      <w:pPr>
        <w:spacing w:line="480" w:lineRule="exact"/>
        <w:ind w:firstLine="420" w:firstLineChars="200"/>
        <w:rPr>
          <w:rFonts w:hint="eastAsia"/>
          <w:color w:val="000000"/>
          <w:sz w:val="21"/>
          <w:szCs w:val="21"/>
        </w:rPr>
      </w:pPr>
      <w:r>
        <w:rPr>
          <w:rFonts w:hint="eastAsia"/>
          <w:color w:val="000000"/>
          <w:sz w:val="21"/>
          <w:szCs w:val="21"/>
        </w:rPr>
        <w:t>投标人准备和参加投标活动发生的费用自理。</w:t>
      </w:r>
    </w:p>
    <w:p w14:paraId="699780A1">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1.6 保密</w:t>
      </w:r>
    </w:p>
    <w:p w14:paraId="5BF2EEC9">
      <w:pPr>
        <w:spacing w:line="480" w:lineRule="exact"/>
        <w:ind w:firstLine="420" w:firstLineChars="200"/>
        <w:rPr>
          <w:rFonts w:hint="eastAsia"/>
          <w:color w:val="000000"/>
          <w:sz w:val="21"/>
          <w:szCs w:val="21"/>
        </w:rPr>
      </w:pPr>
      <w:r>
        <w:rPr>
          <w:rFonts w:hint="eastAsia"/>
          <w:color w:val="000000"/>
          <w:sz w:val="21"/>
          <w:szCs w:val="21"/>
        </w:rPr>
        <w:t>参与招标投标活动的各方应对招标文件和投标文件中的商业和技术等秘密保密，违者应对由此造成的后果承担法律责任。</w:t>
      </w:r>
    </w:p>
    <w:p w14:paraId="347A35A6">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1.7 语言文字</w:t>
      </w:r>
    </w:p>
    <w:p w14:paraId="1A2FCFCC">
      <w:pPr>
        <w:spacing w:line="480" w:lineRule="exact"/>
        <w:ind w:firstLine="420" w:firstLineChars="200"/>
        <w:rPr>
          <w:rFonts w:hint="eastAsia"/>
          <w:color w:val="000000"/>
          <w:sz w:val="21"/>
          <w:szCs w:val="21"/>
        </w:rPr>
      </w:pPr>
      <w:r>
        <w:rPr>
          <w:rFonts w:hint="eastAsia"/>
          <w:color w:val="000000"/>
          <w:sz w:val="21"/>
          <w:szCs w:val="21"/>
        </w:rPr>
        <w:t>除专用术语外，与招标投标有关的语言均使用中文。必要时专用术语应附有中文注释。</w:t>
      </w:r>
    </w:p>
    <w:p w14:paraId="31DCF5C7">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1.8 计量单位</w:t>
      </w:r>
    </w:p>
    <w:p w14:paraId="5B79A180">
      <w:pPr>
        <w:spacing w:line="480" w:lineRule="exact"/>
        <w:ind w:firstLine="420" w:firstLineChars="200"/>
        <w:rPr>
          <w:rFonts w:hint="eastAsia"/>
          <w:color w:val="000000"/>
          <w:sz w:val="21"/>
          <w:szCs w:val="21"/>
        </w:rPr>
      </w:pPr>
      <w:r>
        <w:rPr>
          <w:rFonts w:hint="eastAsia"/>
          <w:color w:val="000000"/>
          <w:sz w:val="21"/>
          <w:szCs w:val="21"/>
        </w:rPr>
        <w:t>所有计量均采用中华人民共和国法定计量单位。</w:t>
      </w:r>
    </w:p>
    <w:p w14:paraId="7CDC4DBF">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1.9 踏勘现场</w:t>
      </w:r>
    </w:p>
    <w:p w14:paraId="67A5639A">
      <w:pPr>
        <w:spacing w:line="480" w:lineRule="exact"/>
        <w:ind w:firstLine="420" w:firstLineChars="200"/>
        <w:rPr>
          <w:rFonts w:hint="eastAsia"/>
          <w:color w:val="000000"/>
          <w:sz w:val="21"/>
          <w:szCs w:val="21"/>
        </w:rPr>
      </w:pPr>
      <w:r>
        <w:rPr>
          <w:rFonts w:hint="eastAsia"/>
          <w:color w:val="000000"/>
          <w:sz w:val="21"/>
          <w:szCs w:val="21"/>
        </w:rPr>
        <w:t>1.9.1 投标人须知前附表规定组织踏勘现场的，招标人按投标人须知前附表规定的时间、地点组织投标人踏勘项目现场。</w:t>
      </w:r>
    </w:p>
    <w:p w14:paraId="32EEF44B">
      <w:pPr>
        <w:spacing w:line="480" w:lineRule="exact"/>
        <w:ind w:firstLine="420" w:firstLineChars="200"/>
        <w:rPr>
          <w:rFonts w:hint="eastAsia"/>
          <w:color w:val="000000"/>
          <w:sz w:val="21"/>
          <w:szCs w:val="21"/>
        </w:rPr>
      </w:pPr>
      <w:r>
        <w:rPr>
          <w:rFonts w:hint="eastAsia"/>
          <w:color w:val="000000"/>
          <w:sz w:val="21"/>
          <w:szCs w:val="21"/>
        </w:rPr>
        <w:t>1.9.2 投标人踏勘现场发生的费用自理。</w:t>
      </w:r>
    </w:p>
    <w:p w14:paraId="751ACAF9">
      <w:pPr>
        <w:spacing w:line="480" w:lineRule="exact"/>
        <w:ind w:firstLine="420" w:firstLineChars="200"/>
        <w:rPr>
          <w:rFonts w:hint="eastAsia"/>
          <w:color w:val="000000"/>
          <w:sz w:val="21"/>
          <w:szCs w:val="21"/>
        </w:rPr>
      </w:pPr>
      <w:r>
        <w:rPr>
          <w:rFonts w:hint="eastAsia"/>
          <w:color w:val="000000"/>
          <w:sz w:val="21"/>
          <w:szCs w:val="21"/>
        </w:rPr>
        <w:t>1.9.3 除招标人的原因外，投标人自行负责在踏勘现场中所发生的人员伤亡和财产损失。</w:t>
      </w:r>
    </w:p>
    <w:p w14:paraId="16A4B15C">
      <w:pPr>
        <w:spacing w:line="480" w:lineRule="exact"/>
        <w:ind w:firstLine="420" w:firstLineChars="200"/>
        <w:rPr>
          <w:rFonts w:hint="eastAsia"/>
          <w:color w:val="000000"/>
          <w:sz w:val="21"/>
          <w:szCs w:val="21"/>
        </w:rPr>
      </w:pPr>
      <w:r>
        <w:rPr>
          <w:rFonts w:hint="eastAsia"/>
          <w:color w:val="000000"/>
          <w:sz w:val="21"/>
          <w:szCs w:val="21"/>
        </w:rPr>
        <w:t>1.9.4 招标人在踏勘现场中介绍的工程场地和相关的周边环境情况，供投标人在编制投标文件时参考，招标人不对投标人据此作出的判断和决策负责。</w:t>
      </w:r>
    </w:p>
    <w:p w14:paraId="16CF63E5">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1.10 投标答疑会</w:t>
      </w:r>
    </w:p>
    <w:p w14:paraId="69698AF1">
      <w:pPr>
        <w:spacing w:line="480" w:lineRule="exact"/>
        <w:ind w:firstLine="420" w:firstLineChars="200"/>
        <w:rPr>
          <w:rFonts w:hint="eastAsia"/>
          <w:color w:val="000000"/>
          <w:sz w:val="21"/>
          <w:szCs w:val="21"/>
        </w:rPr>
      </w:pPr>
      <w:r>
        <w:rPr>
          <w:rFonts w:hint="eastAsia"/>
          <w:color w:val="000000"/>
          <w:sz w:val="21"/>
          <w:szCs w:val="21"/>
        </w:rPr>
        <w:t>1.10.1 投标人须知前附表规定召开投标答疑会的，招标人按投标人须知前附表规定的时间和地点召开投标答疑会，解答投标人提出的问题。</w:t>
      </w:r>
    </w:p>
    <w:p w14:paraId="23291897">
      <w:pPr>
        <w:spacing w:line="480" w:lineRule="exact"/>
        <w:ind w:firstLine="420" w:firstLineChars="200"/>
        <w:rPr>
          <w:rFonts w:hint="eastAsia"/>
          <w:color w:val="000000"/>
          <w:sz w:val="21"/>
          <w:szCs w:val="21"/>
        </w:rPr>
      </w:pPr>
      <w:r>
        <w:rPr>
          <w:rFonts w:hint="eastAsia"/>
          <w:color w:val="000000"/>
          <w:sz w:val="21"/>
          <w:szCs w:val="21"/>
        </w:rPr>
        <w:t>1.10.2 投标人应在投标人须知前附表规定的时间前，以书面形式将提出的问题送达招标人，以便招标人在会议期间解答。</w:t>
      </w:r>
    </w:p>
    <w:p w14:paraId="7A132639">
      <w:pPr>
        <w:spacing w:line="480" w:lineRule="exact"/>
        <w:ind w:firstLine="420" w:firstLineChars="200"/>
        <w:rPr>
          <w:rFonts w:hint="eastAsia"/>
          <w:color w:val="000000"/>
          <w:sz w:val="21"/>
          <w:szCs w:val="21"/>
        </w:rPr>
      </w:pPr>
      <w:r>
        <w:rPr>
          <w:rFonts w:hint="eastAsia"/>
          <w:color w:val="000000"/>
          <w:sz w:val="21"/>
          <w:szCs w:val="21"/>
        </w:rPr>
        <w:t>1.10.3 投标答疑会后，招标人在投标人须知前附表规定的时间内，将对投标人所提问题的解答，以书面方式通知所有购买招标文件的投标人。该内容为招标文件的组成部分。</w:t>
      </w:r>
    </w:p>
    <w:p w14:paraId="3B795A8C">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1.11 分包</w:t>
      </w:r>
    </w:p>
    <w:p w14:paraId="44D759E4">
      <w:pPr>
        <w:spacing w:line="480" w:lineRule="exact"/>
        <w:ind w:firstLine="420" w:firstLineChars="200"/>
        <w:rPr>
          <w:rFonts w:hint="eastAsia"/>
          <w:color w:val="000000"/>
          <w:sz w:val="21"/>
          <w:szCs w:val="21"/>
        </w:rPr>
      </w:pPr>
      <w:r>
        <w:rPr>
          <w:rFonts w:hint="eastAsia"/>
          <w:color w:val="000000"/>
          <w:sz w:val="21"/>
          <w:szCs w:val="21"/>
        </w:rPr>
        <w:t>主体结构、关键性工作不允许分包，禁止违法分包、转包。中标人不得向他人转让中标项目，接受分包的人不得再次分包。中标人应当就分包项目向招标人负责，接受分包的人就分包项目承担连带责任。以暂估价形式包括在总承包范围内的专业分包工程、货物属于依法必须进行招标的项目范围且达到国家规定规模标准的，应当依法进行招标。</w:t>
      </w:r>
    </w:p>
    <w:p w14:paraId="495BF8A7">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1.12 偏离</w:t>
      </w:r>
    </w:p>
    <w:p w14:paraId="5097FBB6">
      <w:pPr>
        <w:spacing w:line="480" w:lineRule="exact"/>
        <w:ind w:firstLine="420" w:firstLineChars="200"/>
        <w:rPr>
          <w:rFonts w:hint="eastAsia"/>
          <w:color w:val="000000"/>
          <w:sz w:val="21"/>
          <w:szCs w:val="21"/>
        </w:rPr>
      </w:pPr>
      <w:r>
        <w:rPr>
          <w:rFonts w:hint="eastAsia"/>
          <w:color w:val="000000"/>
          <w:sz w:val="21"/>
          <w:szCs w:val="21"/>
        </w:rPr>
        <w:t>投标人须知前附表允许投标文件偏离招标文件某些要求的，偏离应当符合招标文件规定的偏离范围和幅度。有以下情形之一的视为重大偏离，若发生重大偏离，则否决其投标:</w:t>
      </w:r>
    </w:p>
    <w:p w14:paraId="0A1147A7">
      <w:pPr>
        <w:spacing w:line="480" w:lineRule="exact"/>
        <w:ind w:firstLine="420" w:firstLineChars="200"/>
        <w:rPr>
          <w:rFonts w:hint="eastAsia"/>
          <w:color w:val="000000"/>
          <w:sz w:val="21"/>
          <w:szCs w:val="21"/>
        </w:rPr>
      </w:pPr>
      <w:r>
        <w:rPr>
          <w:rFonts w:hint="eastAsia"/>
          <w:color w:val="000000"/>
          <w:sz w:val="21"/>
          <w:szCs w:val="21"/>
        </w:rPr>
        <w:t>(1)招标范围:投标人须知前附表。</w:t>
      </w:r>
    </w:p>
    <w:p w14:paraId="23E3AB49">
      <w:pPr>
        <w:spacing w:line="480" w:lineRule="exact"/>
        <w:ind w:firstLine="420" w:firstLineChars="200"/>
        <w:rPr>
          <w:rFonts w:hint="eastAsia"/>
          <w:color w:val="000000"/>
          <w:sz w:val="21"/>
          <w:szCs w:val="21"/>
        </w:rPr>
      </w:pPr>
      <w:r>
        <w:rPr>
          <w:rFonts w:hint="eastAsia"/>
          <w:color w:val="000000"/>
          <w:sz w:val="21"/>
          <w:szCs w:val="21"/>
        </w:rPr>
        <w:t>(2)工期：投标人须知前附表。</w:t>
      </w:r>
    </w:p>
    <w:p w14:paraId="56CFED90">
      <w:pPr>
        <w:spacing w:line="480" w:lineRule="exact"/>
        <w:ind w:firstLine="420" w:firstLineChars="200"/>
        <w:rPr>
          <w:rFonts w:hint="eastAsia"/>
          <w:color w:val="000000"/>
          <w:sz w:val="21"/>
          <w:szCs w:val="21"/>
        </w:rPr>
      </w:pPr>
      <w:r>
        <w:rPr>
          <w:rFonts w:hint="eastAsia"/>
          <w:color w:val="000000"/>
          <w:sz w:val="21"/>
          <w:szCs w:val="21"/>
        </w:rPr>
        <w:t>(3)质量要求:投标人须知前附表。</w:t>
      </w:r>
    </w:p>
    <w:p w14:paraId="6FC6EF36">
      <w:pPr>
        <w:spacing w:line="480" w:lineRule="exact"/>
        <w:ind w:firstLine="420" w:firstLineChars="200"/>
        <w:rPr>
          <w:rFonts w:hint="eastAsia"/>
          <w:color w:val="000000"/>
          <w:sz w:val="21"/>
          <w:szCs w:val="21"/>
        </w:rPr>
      </w:pPr>
      <w:r>
        <w:rPr>
          <w:rFonts w:hint="eastAsia"/>
          <w:color w:val="000000"/>
          <w:sz w:val="21"/>
          <w:szCs w:val="21"/>
        </w:rPr>
        <w:t>(4)投标保证金：投标人须知前附表。</w:t>
      </w:r>
    </w:p>
    <w:p w14:paraId="6AA4EE2F">
      <w:pPr>
        <w:spacing w:line="480" w:lineRule="exact"/>
        <w:ind w:firstLine="420" w:firstLineChars="200"/>
        <w:rPr>
          <w:rFonts w:hint="eastAsia"/>
          <w:color w:val="000000"/>
          <w:sz w:val="21"/>
          <w:szCs w:val="21"/>
        </w:rPr>
      </w:pPr>
      <w:r>
        <w:rPr>
          <w:rFonts w:hint="eastAsia"/>
          <w:color w:val="000000"/>
          <w:sz w:val="21"/>
          <w:szCs w:val="21"/>
        </w:rPr>
        <w:t>(5)投标有效期:投标人须知前附表。</w:t>
      </w:r>
    </w:p>
    <w:p w14:paraId="6B3DD3EA">
      <w:pPr>
        <w:spacing w:line="480" w:lineRule="exact"/>
        <w:ind w:firstLine="420" w:firstLineChars="200"/>
        <w:rPr>
          <w:rFonts w:hint="eastAsia"/>
          <w:color w:val="000000"/>
          <w:sz w:val="21"/>
          <w:szCs w:val="21"/>
        </w:rPr>
      </w:pPr>
      <w:r>
        <w:rPr>
          <w:rFonts w:hint="eastAsia"/>
          <w:color w:val="000000"/>
          <w:sz w:val="21"/>
          <w:szCs w:val="21"/>
        </w:rPr>
        <w:t>(6)权利义务:劣于招标文件的相关实质性规定。</w:t>
      </w:r>
    </w:p>
    <w:p w14:paraId="1BE90EE7">
      <w:pPr>
        <w:spacing w:line="480" w:lineRule="exact"/>
        <w:ind w:firstLine="420" w:firstLineChars="200"/>
        <w:rPr>
          <w:rFonts w:hint="eastAsia"/>
          <w:color w:val="000000"/>
          <w:sz w:val="21"/>
          <w:szCs w:val="21"/>
          <w:highlight w:val="yellow"/>
        </w:rPr>
      </w:pPr>
      <w:r>
        <w:rPr>
          <w:rFonts w:hint="eastAsia"/>
          <w:color w:val="000000"/>
          <w:sz w:val="21"/>
          <w:szCs w:val="21"/>
        </w:rPr>
        <w:t>细微偏离是指投标文件在实质上响应招标文件要求，但在个别地方存在漏项或者提供了不完整的技术信息和数据等情况，并且补正这些遗漏或者不完整不会对其他投标人造成不公平的结果。细微偏离不影响投标文件的有效性。同时，正副本不一致，以正本为主仅限于细微偏离。如报价前后不一致则视为无效报价，取消投标资格。</w:t>
      </w:r>
    </w:p>
    <w:p w14:paraId="1FB9E74E">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1.13 评标办法</w:t>
      </w:r>
    </w:p>
    <w:p w14:paraId="031F75E4">
      <w:pPr>
        <w:spacing w:line="480" w:lineRule="exact"/>
        <w:ind w:firstLine="420" w:firstLineChars="200"/>
        <w:rPr>
          <w:rFonts w:hint="eastAsia"/>
          <w:color w:val="000000"/>
          <w:sz w:val="21"/>
          <w:szCs w:val="21"/>
        </w:rPr>
      </w:pPr>
      <w:r>
        <w:rPr>
          <w:rFonts w:hint="eastAsia"/>
          <w:color w:val="000000"/>
          <w:sz w:val="21"/>
          <w:szCs w:val="21"/>
        </w:rPr>
        <w:t>见投标人须知前附表。</w:t>
      </w:r>
    </w:p>
    <w:p w14:paraId="7C2C5B07">
      <w:pPr>
        <w:pStyle w:val="4"/>
        <w:spacing w:before="0" w:after="0" w:line="480" w:lineRule="exact"/>
        <w:rPr>
          <w:rFonts w:hint="eastAsia" w:ascii="宋体" w:hAnsi="宋体" w:cs="宋体"/>
          <w:color w:val="000000"/>
          <w:sz w:val="21"/>
          <w:szCs w:val="21"/>
        </w:rPr>
      </w:pPr>
      <w:bookmarkStart w:id="29" w:name="_Toc290389699"/>
      <w:bookmarkStart w:id="30" w:name="_Toc4497883"/>
      <w:bookmarkStart w:id="31" w:name="_Toc4497830"/>
      <w:bookmarkStart w:id="32" w:name="_Toc184635072"/>
      <w:bookmarkStart w:id="33" w:name="_Toc17965"/>
      <w:r>
        <w:rPr>
          <w:rFonts w:hint="eastAsia" w:ascii="宋体" w:hAnsi="宋体" w:cs="宋体"/>
          <w:color w:val="000000"/>
          <w:sz w:val="21"/>
          <w:szCs w:val="21"/>
        </w:rPr>
        <w:t>2.招标文件</w:t>
      </w:r>
      <w:bookmarkEnd w:id="29"/>
      <w:bookmarkEnd w:id="30"/>
      <w:bookmarkEnd w:id="31"/>
      <w:bookmarkEnd w:id="32"/>
      <w:bookmarkEnd w:id="33"/>
    </w:p>
    <w:p w14:paraId="44C4044A">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2.1 招标文件的组成</w:t>
      </w:r>
    </w:p>
    <w:p w14:paraId="5F5DFE0A">
      <w:pPr>
        <w:spacing w:line="480" w:lineRule="exact"/>
        <w:ind w:firstLine="420" w:firstLineChars="200"/>
        <w:rPr>
          <w:rFonts w:hint="eastAsia"/>
          <w:color w:val="000000"/>
          <w:sz w:val="21"/>
          <w:szCs w:val="21"/>
        </w:rPr>
      </w:pPr>
      <w:r>
        <w:rPr>
          <w:rFonts w:hint="eastAsia"/>
          <w:color w:val="000000"/>
          <w:sz w:val="21"/>
          <w:szCs w:val="21"/>
        </w:rPr>
        <w:t>本招标文件包括：</w:t>
      </w:r>
    </w:p>
    <w:p w14:paraId="2530C62B">
      <w:pPr>
        <w:spacing w:line="480" w:lineRule="exact"/>
        <w:ind w:firstLine="420" w:firstLineChars="200"/>
        <w:rPr>
          <w:rFonts w:hint="eastAsia"/>
          <w:color w:val="000000"/>
          <w:sz w:val="21"/>
          <w:szCs w:val="21"/>
        </w:rPr>
      </w:pPr>
      <w:r>
        <w:rPr>
          <w:rFonts w:hint="eastAsia"/>
          <w:color w:val="000000"/>
          <w:sz w:val="21"/>
          <w:szCs w:val="21"/>
        </w:rPr>
        <w:t xml:space="preserve">(1)招标公告； </w:t>
      </w:r>
    </w:p>
    <w:p w14:paraId="240D325D">
      <w:pPr>
        <w:spacing w:line="480" w:lineRule="exact"/>
        <w:ind w:firstLine="420" w:firstLineChars="200"/>
        <w:rPr>
          <w:rFonts w:hint="eastAsia"/>
          <w:color w:val="000000"/>
          <w:sz w:val="21"/>
          <w:szCs w:val="21"/>
        </w:rPr>
      </w:pPr>
      <w:r>
        <w:rPr>
          <w:rFonts w:hint="eastAsia"/>
          <w:color w:val="000000"/>
          <w:sz w:val="21"/>
          <w:szCs w:val="21"/>
        </w:rPr>
        <w:t>(2)投标人须知；</w:t>
      </w:r>
    </w:p>
    <w:p w14:paraId="539602CC">
      <w:pPr>
        <w:spacing w:line="480" w:lineRule="exact"/>
        <w:ind w:firstLine="420" w:firstLineChars="200"/>
        <w:rPr>
          <w:rFonts w:hint="eastAsia"/>
          <w:color w:val="000000"/>
          <w:sz w:val="21"/>
          <w:szCs w:val="21"/>
        </w:rPr>
      </w:pPr>
      <w:r>
        <w:rPr>
          <w:rFonts w:hint="eastAsia"/>
          <w:color w:val="000000"/>
          <w:sz w:val="21"/>
          <w:szCs w:val="21"/>
        </w:rPr>
        <w:t>(3)评标办法；</w:t>
      </w:r>
    </w:p>
    <w:p w14:paraId="150D32B7">
      <w:pPr>
        <w:spacing w:line="480" w:lineRule="exact"/>
        <w:ind w:firstLine="420" w:firstLineChars="200"/>
        <w:rPr>
          <w:rFonts w:hint="eastAsia"/>
          <w:color w:val="000000"/>
          <w:sz w:val="21"/>
          <w:szCs w:val="21"/>
        </w:rPr>
      </w:pPr>
      <w:r>
        <w:rPr>
          <w:rFonts w:hint="eastAsia"/>
          <w:color w:val="000000"/>
          <w:sz w:val="21"/>
          <w:szCs w:val="21"/>
        </w:rPr>
        <w:t>(4)主要合同条款；</w:t>
      </w:r>
    </w:p>
    <w:p w14:paraId="35CA23CF">
      <w:pPr>
        <w:spacing w:line="480" w:lineRule="exact"/>
        <w:ind w:firstLine="420" w:firstLineChars="200"/>
        <w:rPr>
          <w:rFonts w:hint="eastAsia"/>
          <w:color w:val="000000"/>
          <w:sz w:val="21"/>
          <w:szCs w:val="21"/>
        </w:rPr>
      </w:pPr>
      <w:r>
        <w:rPr>
          <w:rFonts w:hint="eastAsia"/>
          <w:color w:val="000000"/>
          <w:sz w:val="21"/>
          <w:szCs w:val="21"/>
        </w:rPr>
        <w:t>(5)工程量清单及图纸；</w:t>
      </w:r>
    </w:p>
    <w:p w14:paraId="203F024D">
      <w:pPr>
        <w:spacing w:line="480" w:lineRule="exact"/>
        <w:ind w:firstLine="420" w:firstLineChars="200"/>
        <w:rPr>
          <w:rFonts w:hint="eastAsia"/>
          <w:color w:val="000000"/>
          <w:sz w:val="21"/>
          <w:szCs w:val="21"/>
        </w:rPr>
      </w:pPr>
      <w:r>
        <w:rPr>
          <w:rFonts w:hint="eastAsia"/>
          <w:color w:val="000000"/>
          <w:sz w:val="21"/>
          <w:szCs w:val="21"/>
        </w:rPr>
        <w:t>(6)技术标准和要求；</w:t>
      </w:r>
    </w:p>
    <w:p w14:paraId="49628CDB">
      <w:pPr>
        <w:spacing w:line="480" w:lineRule="exact"/>
        <w:ind w:firstLine="420" w:firstLineChars="200"/>
        <w:rPr>
          <w:rFonts w:hint="eastAsia"/>
          <w:color w:val="000000"/>
          <w:sz w:val="21"/>
          <w:szCs w:val="21"/>
        </w:rPr>
      </w:pPr>
      <w:r>
        <w:rPr>
          <w:rFonts w:hint="eastAsia"/>
          <w:color w:val="000000"/>
          <w:sz w:val="21"/>
          <w:szCs w:val="21"/>
        </w:rPr>
        <w:t xml:space="preserve">(7)投标文件格式； </w:t>
      </w:r>
    </w:p>
    <w:p w14:paraId="54515924">
      <w:pPr>
        <w:spacing w:line="480" w:lineRule="exact"/>
        <w:ind w:firstLine="420" w:firstLineChars="200"/>
        <w:rPr>
          <w:rFonts w:hint="eastAsia"/>
          <w:color w:val="000000"/>
          <w:sz w:val="21"/>
          <w:szCs w:val="21"/>
        </w:rPr>
      </w:pPr>
      <w:r>
        <w:rPr>
          <w:rFonts w:hint="eastAsia"/>
          <w:color w:val="000000"/>
          <w:sz w:val="21"/>
          <w:szCs w:val="21"/>
        </w:rPr>
        <w:t>根据本章第1.10 款、第2.2 款和第2.3 款对招标文件所作的澄清、修改，构成招标文件的组成部分。</w:t>
      </w:r>
    </w:p>
    <w:p w14:paraId="7829F86A">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2.2 招标文件的澄清、质疑与答复</w:t>
      </w:r>
    </w:p>
    <w:p w14:paraId="72123B19">
      <w:pPr>
        <w:spacing w:line="480" w:lineRule="exact"/>
        <w:ind w:firstLine="420" w:firstLineChars="200"/>
        <w:rPr>
          <w:rFonts w:hint="eastAsia"/>
          <w:sz w:val="21"/>
          <w:szCs w:val="21"/>
        </w:rPr>
      </w:pPr>
      <w:r>
        <w:rPr>
          <w:rFonts w:hint="eastAsia"/>
          <w:sz w:val="21"/>
          <w:szCs w:val="21"/>
        </w:rPr>
        <w:t>2.2.1 投标人应仔细阅读和检查招标文件的全部内容。如发现缺页或附件不全，应及时向招标人提出，以便补齐。如有疑问，应在投标人须知前附表规定的时间前以书面形式，要求招标人对招标文件予以答复。</w:t>
      </w:r>
    </w:p>
    <w:p w14:paraId="5DD02457">
      <w:pPr>
        <w:spacing w:line="480" w:lineRule="exact"/>
        <w:ind w:firstLine="420" w:firstLineChars="200"/>
        <w:rPr>
          <w:rFonts w:hint="eastAsia"/>
          <w:sz w:val="21"/>
          <w:szCs w:val="21"/>
        </w:rPr>
      </w:pPr>
      <w:r>
        <w:rPr>
          <w:rFonts w:hint="eastAsia"/>
          <w:sz w:val="21"/>
          <w:szCs w:val="21"/>
        </w:rPr>
        <w:t>2.2.2 招标文件的答疑将在投标人须知前附表规定的投标截止时间七天前以书面形式发给所有购买招标文件的投标人，但不指明澄清问题的来源。如果答疑发出的时间距投标截止时间不足七天，相应延长投标截止时间。</w:t>
      </w:r>
    </w:p>
    <w:p w14:paraId="1FD5112F">
      <w:pPr>
        <w:spacing w:line="480" w:lineRule="exact"/>
        <w:ind w:firstLine="420" w:firstLineChars="200"/>
        <w:rPr>
          <w:rFonts w:hint="eastAsia"/>
          <w:color w:val="000000"/>
          <w:sz w:val="21"/>
          <w:szCs w:val="21"/>
        </w:rPr>
      </w:pPr>
      <w:r>
        <w:rPr>
          <w:rFonts w:hint="eastAsia"/>
          <w:sz w:val="21"/>
          <w:szCs w:val="21"/>
        </w:rPr>
        <w:t>2.2.3 投标人在收到答疑后，应在投标人须知前附表规定的时间内以书面形式通知招标人，确认己收到该澄清。</w:t>
      </w:r>
    </w:p>
    <w:p w14:paraId="2E2893DD">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2.3 招标文件的修改</w:t>
      </w:r>
    </w:p>
    <w:p w14:paraId="6A125019">
      <w:pPr>
        <w:spacing w:line="480" w:lineRule="exact"/>
        <w:ind w:firstLine="420" w:firstLineChars="200"/>
        <w:rPr>
          <w:rFonts w:hint="eastAsia"/>
          <w:color w:val="000000"/>
          <w:sz w:val="21"/>
          <w:szCs w:val="21"/>
        </w:rPr>
      </w:pPr>
      <w:r>
        <w:rPr>
          <w:rFonts w:hint="eastAsia"/>
          <w:color w:val="000000"/>
          <w:sz w:val="21"/>
          <w:szCs w:val="21"/>
        </w:rPr>
        <w:t>2.3.1 在投标截止时间15天前，招标人可以书面形式修改招标文件，并通知所有已购买招标文件的投标人。如果修改招标文件的时间距投标截止时间不足15天，相应延长投标截止时间。</w:t>
      </w:r>
    </w:p>
    <w:p w14:paraId="0D860FF0">
      <w:pPr>
        <w:spacing w:line="480" w:lineRule="exact"/>
        <w:ind w:firstLine="420" w:firstLineChars="200"/>
        <w:rPr>
          <w:rFonts w:hint="eastAsia"/>
          <w:color w:val="000000"/>
          <w:sz w:val="21"/>
          <w:szCs w:val="21"/>
        </w:rPr>
      </w:pPr>
      <w:r>
        <w:rPr>
          <w:rFonts w:hint="eastAsia"/>
          <w:color w:val="000000"/>
          <w:sz w:val="21"/>
          <w:szCs w:val="21"/>
        </w:rPr>
        <w:t>2.3.2 投标人收到修改内容后，应在投标人须知前附表规定的时间内以书面形式通知招标人，确认己收到该修改。</w:t>
      </w:r>
    </w:p>
    <w:p w14:paraId="6598B6DB">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2.4招标最高限价</w:t>
      </w:r>
    </w:p>
    <w:p w14:paraId="157E4413">
      <w:pPr>
        <w:spacing w:line="480" w:lineRule="exact"/>
        <w:ind w:firstLine="420" w:firstLineChars="200"/>
        <w:jc w:val="both"/>
        <w:rPr>
          <w:rFonts w:hint="eastAsia"/>
          <w:color w:val="000000"/>
          <w:sz w:val="21"/>
          <w:szCs w:val="21"/>
          <w:highlight w:val="none"/>
        </w:rPr>
      </w:pPr>
      <w:r>
        <w:rPr>
          <w:rFonts w:hint="eastAsia"/>
          <w:color w:val="000000"/>
          <w:sz w:val="21"/>
          <w:szCs w:val="21"/>
          <w:highlight w:val="none"/>
        </w:rPr>
        <w:t>招标最高限价编制依据：</w:t>
      </w:r>
    </w:p>
    <w:p w14:paraId="47A83815">
      <w:pPr>
        <w:spacing w:line="480" w:lineRule="exact"/>
        <w:ind w:firstLine="420" w:firstLineChars="200"/>
        <w:jc w:val="both"/>
        <w:rPr>
          <w:rFonts w:hint="eastAsia"/>
          <w:color w:val="000000"/>
          <w:sz w:val="21"/>
          <w:szCs w:val="21"/>
          <w:highlight w:val="none"/>
        </w:rPr>
      </w:pPr>
      <w:r>
        <w:rPr>
          <w:rFonts w:hint="eastAsia"/>
          <w:color w:val="000000"/>
          <w:sz w:val="21"/>
          <w:szCs w:val="21"/>
          <w:highlight w:val="none"/>
          <w:lang w:val="en-US" w:eastAsia="zh-CN"/>
        </w:rPr>
        <w:t>2.4.</w:t>
      </w:r>
      <w:r>
        <w:rPr>
          <w:rFonts w:hint="eastAsia"/>
          <w:color w:val="000000"/>
          <w:sz w:val="21"/>
          <w:szCs w:val="21"/>
          <w:highlight w:val="none"/>
        </w:rPr>
        <w:t>1《陕西省建设工程工程量清单计价标准及计算标准》（2025）、《陕西省建设工程费用规则》（2025）；</w:t>
      </w:r>
    </w:p>
    <w:p w14:paraId="53EE6DF6">
      <w:pPr>
        <w:spacing w:line="480" w:lineRule="exact"/>
        <w:ind w:firstLine="420" w:firstLineChars="200"/>
        <w:jc w:val="both"/>
        <w:rPr>
          <w:rFonts w:hint="eastAsia"/>
          <w:color w:val="000000"/>
          <w:sz w:val="21"/>
          <w:szCs w:val="21"/>
          <w:highlight w:val="none"/>
        </w:rPr>
      </w:pPr>
      <w:r>
        <w:rPr>
          <w:rFonts w:hint="eastAsia"/>
          <w:color w:val="000000"/>
          <w:sz w:val="21"/>
          <w:szCs w:val="21"/>
          <w:highlight w:val="none"/>
        </w:rPr>
        <w:t>2</w:t>
      </w:r>
      <w:r>
        <w:rPr>
          <w:rFonts w:hint="eastAsia"/>
          <w:color w:val="000000"/>
          <w:sz w:val="21"/>
          <w:szCs w:val="21"/>
          <w:highlight w:val="none"/>
          <w:lang w:val="en-US" w:eastAsia="zh-CN"/>
        </w:rPr>
        <w:t>.4.2</w:t>
      </w:r>
      <w:r>
        <w:rPr>
          <w:rFonts w:hint="eastAsia"/>
          <w:color w:val="000000"/>
          <w:sz w:val="21"/>
          <w:szCs w:val="21"/>
          <w:highlight w:val="none"/>
        </w:rPr>
        <w:t>《陕西省房屋建筑与装饰工程消耗量定额》（2025）、《陕西省通用安装工程消耗量定额》（2025）、《陕西省房屋建筑与装饰工程基价表》（2025）、《陕西省通用安装工程基价表》（2025）及配套的参考费率；</w:t>
      </w:r>
    </w:p>
    <w:p w14:paraId="48BBE959">
      <w:pPr>
        <w:spacing w:line="480" w:lineRule="exact"/>
        <w:ind w:firstLine="420" w:firstLineChars="200"/>
        <w:jc w:val="both"/>
        <w:rPr>
          <w:rFonts w:hint="eastAsia"/>
          <w:color w:val="000000"/>
          <w:sz w:val="21"/>
          <w:szCs w:val="21"/>
          <w:highlight w:val="none"/>
        </w:rPr>
      </w:pPr>
      <w:r>
        <w:rPr>
          <w:rFonts w:hint="eastAsia"/>
          <w:color w:val="000000"/>
          <w:sz w:val="21"/>
          <w:szCs w:val="21"/>
          <w:highlight w:val="none"/>
          <w:lang w:val="en-US" w:eastAsia="zh-CN"/>
        </w:rPr>
        <w:t>2.4.3</w:t>
      </w:r>
      <w:r>
        <w:rPr>
          <w:rFonts w:hint="eastAsia"/>
          <w:color w:val="000000"/>
          <w:sz w:val="21"/>
          <w:szCs w:val="21"/>
          <w:highlight w:val="none"/>
        </w:rPr>
        <w:t>招标文件、正常施工组织设计及施工方法；</w:t>
      </w:r>
    </w:p>
    <w:p w14:paraId="4D752792">
      <w:pPr>
        <w:spacing w:line="480" w:lineRule="exact"/>
        <w:ind w:firstLine="420" w:firstLineChars="200"/>
        <w:jc w:val="both"/>
        <w:rPr>
          <w:rFonts w:hint="eastAsia"/>
          <w:color w:val="000000"/>
          <w:sz w:val="21"/>
          <w:szCs w:val="21"/>
          <w:highlight w:val="none"/>
        </w:rPr>
      </w:pPr>
      <w:r>
        <w:rPr>
          <w:rFonts w:hint="eastAsia"/>
          <w:color w:val="000000"/>
          <w:sz w:val="21"/>
          <w:szCs w:val="21"/>
          <w:highlight w:val="none"/>
          <w:lang w:val="en-US" w:eastAsia="zh-CN"/>
        </w:rPr>
        <w:t>2.4.4</w:t>
      </w:r>
      <w:r>
        <w:rPr>
          <w:rFonts w:hint="eastAsia"/>
          <w:color w:val="000000"/>
          <w:sz w:val="21"/>
          <w:szCs w:val="21"/>
          <w:highlight w:val="none"/>
        </w:rPr>
        <w:t>现行的施工规范及验收规范；</w:t>
      </w:r>
    </w:p>
    <w:p w14:paraId="73D8EFE5">
      <w:pPr>
        <w:spacing w:line="480" w:lineRule="exact"/>
        <w:ind w:firstLine="420" w:firstLineChars="200"/>
        <w:jc w:val="both"/>
        <w:rPr>
          <w:rFonts w:hint="eastAsia"/>
          <w:color w:val="000000"/>
          <w:sz w:val="21"/>
          <w:szCs w:val="21"/>
          <w:highlight w:val="none"/>
        </w:rPr>
      </w:pPr>
      <w:r>
        <w:rPr>
          <w:rFonts w:hint="eastAsia"/>
          <w:color w:val="000000"/>
          <w:sz w:val="21"/>
          <w:szCs w:val="21"/>
          <w:highlight w:val="none"/>
          <w:lang w:val="en-US" w:eastAsia="zh-CN"/>
        </w:rPr>
        <w:t>2.4.5</w:t>
      </w:r>
      <w:r>
        <w:rPr>
          <w:rFonts w:hint="eastAsia"/>
          <w:color w:val="000000"/>
          <w:sz w:val="21"/>
          <w:szCs w:val="21"/>
          <w:highlight w:val="none"/>
        </w:rPr>
        <w:t>国家及省市的相关规范、标准;</w:t>
      </w:r>
    </w:p>
    <w:p w14:paraId="59AEE4B8">
      <w:pPr>
        <w:spacing w:line="480" w:lineRule="exact"/>
        <w:ind w:firstLine="420" w:firstLineChars="200"/>
        <w:jc w:val="both"/>
        <w:rPr>
          <w:rFonts w:hint="eastAsia"/>
          <w:color w:val="000000"/>
          <w:sz w:val="21"/>
          <w:szCs w:val="21"/>
          <w:highlight w:val="none"/>
        </w:rPr>
      </w:pPr>
      <w:r>
        <w:rPr>
          <w:rFonts w:hint="eastAsia"/>
          <w:color w:val="000000"/>
          <w:sz w:val="21"/>
          <w:szCs w:val="21"/>
          <w:highlight w:val="none"/>
          <w:lang w:val="en-US" w:eastAsia="zh-CN"/>
        </w:rPr>
        <w:t>2.4.6</w:t>
      </w:r>
      <w:r>
        <w:rPr>
          <w:rFonts w:hint="eastAsia"/>
          <w:color w:val="000000"/>
          <w:sz w:val="21"/>
          <w:szCs w:val="21"/>
          <w:highlight w:val="none"/>
        </w:rPr>
        <w:t>施工图纸及图纸答疑；</w:t>
      </w:r>
    </w:p>
    <w:p w14:paraId="03CC671C">
      <w:pPr>
        <w:spacing w:line="480" w:lineRule="exact"/>
        <w:ind w:firstLine="420" w:firstLineChars="200"/>
        <w:jc w:val="both"/>
        <w:rPr>
          <w:rFonts w:hint="eastAsia"/>
          <w:color w:val="000000"/>
          <w:sz w:val="21"/>
          <w:szCs w:val="21"/>
          <w:highlight w:val="none"/>
        </w:rPr>
      </w:pPr>
      <w:r>
        <w:rPr>
          <w:rFonts w:hint="eastAsia"/>
          <w:color w:val="000000"/>
          <w:sz w:val="21"/>
          <w:szCs w:val="21"/>
          <w:highlight w:val="none"/>
          <w:lang w:val="en-US" w:eastAsia="zh-CN"/>
        </w:rPr>
        <w:t>2.4.7</w:t>
      </w:r>
      <w:r>
        <w:rPr>
          <w:rFonts w:hint="eastAsia"/>
          <w:color w:val="000000"/>
          <w:sz w:val="21"/>
          <w:szCs w:val="21"/>
          <w:highlight w:val="none"/>
        </w:rPr>
        <w:t>材料价格依据陕西信息价（2026年05月）及市场价计入。</w:t>
      </w:r>
    </w:p>
    <w:p w14:paraId="50D16EDB">
      <w:pPr>
        <w:spacing w:line="480" w:lineRule="exact"/>
        <w:ind w:firstLine="420" w:firstLineChars="200"/>
        <w:jc w:val="both"/>
        <w:rPr>
          <w:rFonts w:hint="eastAsia"/>
          <w:color w:val="000000"/>
          <w:sz w:val="21"/>
          <w:szCs w:val="21"/>
          <w:highlight w:val="none"/>
        </w:rPr>
      </w:pPr>
      <w:r>
        <w:rPr>
          <w:rFonts w:hint="eastAsia"/>
          <w:color w:val="000000"/>
          <w:sz w:val="21"/>
          <w:szCs w:val="21"/>
          <w:highlight w:val="none"/>
        </w:rPr>
        <w:t>2.4.</w:t>
      </w:r>
      <w:r>
        <w:rPr>
          <w:rFonts w:hint="eastAsia"/>
          <w:color w:val="000000"/>
          <w:sz w:val="21"/>
          <w:szCs w:val="21"/>
          <w:highlight w:val="none"/>
          <w:lang w:val="en-US" w:eastAsia="zh-CN"/>
        </w:rPr>
        <w:t>8</w:t>
      </w:r>
      <w:r>
        <w:rPr>
          <w:rFonts w:hint="eastAsia"/>
          <w:color w:val="000000"/>
          <w:sz w:val="21"/>
          <w:szCs w:val="21"/>
          <w:highlight w:val="none"/>
        </w:rPr>
        <w:t>其他说明</w:t>
      </w:r>
    </w:p>
    <w:p w14:paraId="4CF58756">
      <w:pPr>
        <w:spacing w:line="480" w:lineRule="exact"/>
        <w:ind w:firstLine="420" w:firstLineChars="200"/>
        <w:jc w:val="both"/>
        <w:rPr>
          <w:rFonts w:hint="eastAsia" w:ascii="宋体" w:hAnsi="宋体" w:eastAsia="宋体" w:cs="宋体"/>
          <w:color w:val="000000"/>
          <w:sz w:val="21"/>
          <w:szCs w:val="21"/>
          <w:highlight w:val="none"/>
        </w:rPr>
      </w:pPr>
      <w:bookmarkStart w:id="34" w:name="_Toc6363"/>
      <w:bookmarkStart w:id="35" w:name="_Toc184635073"/>
      <w:bookmarkStart w:id="36" w:name="_Toc290389700"/>
      <w:bookmarkStart w:id="37" w:name="_Toc4497884"/>
      <w:bookmarkStart w:id="38" w:name="_Toc4497831"/>
      <w:r>
        <w:rPr>
          <w:rFonts w:hint="eastAsia" w:ascii="宋体" w:hAnsi="宋体" w:eastAsia="宋体" w:cs="宋体"/>
          <w:color w:val="000000"/>
          <w:sz w:val="21"/>
          <w:szCs w:val="21"/>
          <w:highlight w:val="none"/>
          <w:lang w:val="en-US" w:eastAsia="zh-CN"/>
        </w:rPr>
        <w:t>2.4.8.1</w:t>
      </w:r>
      <w:r>
        <w:rPr>
          <w:rFonts w:hint="eastAsia" w:ascii="宋体" w:hAnsi="宋体" w:eastAsia="宋体" w:cs="宋体"/>
          <w:color w:val="000000"/>
          <w:sz w:val="21"/>
          <w:szCs w:val="21"/>
          <w:highlight w:val="none"/>
        </w:rPr>
        <w:t>暂列金额25万元（不含取费）计入建筑与装饰工程其他项目费；</w:t>
      </w:r>
    </w:p>
    <w:p w14:paraId="38C5CCE7">
      <w:pPr>
        <w:spacing w:line="480" w:lineRule="exact"/>
        <w:ind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.4.8.2</w:t>
      </w:r>
      <w:r>
        <w:rPr>
          <w:rFonts w:hint="eastAsia" w:ascii="宋体" w:hAnsi="宋体" w:eastAsia="宋体" w:cs="宋体"/>
          <w:color w:val="000000"/>
          <w:sz w:val="21"/>
          <w:szCs w:val="21"/>
          <w:highlight w:val="none"/>
        </w:rPr>
        <w:t>屋顶花园软装专业暂估价5万元（不含取费）计入建筑与装饰工程其他项目费；</w:t>
      </w:r>
    </w:p>
    <w:p w14:paraId="7CD83963">
      <w:pPr>
        <w:spacing w:line="480" w:lineRule="exact"/>
        <w:ind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2.4.8.3</w:t>
      </w:r>
      <w:r>
        <w:rPr>
          <w:rFonts w:hint="eastAsia" w:ascii="宋体" w:hAnsi="宋体" w:eastAsia="宋体" w:cs="宋体"/>
          <w:color w:val="000000"/>
          <w:sz w:val="21"/>
          <w:szCs w:val="21"/>
          <w:highlight w:val="none"/>
        </w:rPr>
        <w:t>广联达云计价平台GCCP7.0（7.5000.23.2）版本。</w:t>
      </w:r>
    </w:p>
    <w:p w14:paraId="77564BCC">
      <w:pPr>
        <w:pStyle w:val="4"/>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3.投标文件</w:t>
      </w:r>
      <w:bookmarkEnd w:id="34"/>
      <w:bookmarkEnd w:id="35"/>
      <w:bookmarkEnd w:id="36"/>
      <w:bookmarkEnd w:id="37"/>
      <w:bookmarkEnd w:id="38"/>
    </w:p>
    <w:p w14:paraId="567D07C3">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3.1 投标文件的组成</w:t>
      </w:r>
    </w:p>
    <w:p w14:paraId="68B70437">
      <w:pPr>
        <w:tabs>
          <w:tab w:val="left" w:pos="645"/>
          <w:tab w:val="left" w:pos="851"/>
          <w:tab w:val="left" w:pos="1075"/>
          <w:tab w:val="left" w:pos="1276"/>
          <w:tab w:val="left" w:pos="1418"/>
          <w:tab w:val="left" w:pos="1841"/>
          <w:tab w:val="left" w:pos="2411"/>
        </w:tabs>
        <w:spacing w:line="480" w:lineRule="exact"/>
        <w:ind w:firstLine="424" w:firstLineChars="202"/>
        <w:rPr>
          <w:rFonts w:hint="eastAsia"/>
          <w:sz w:val="21"/>
          <w:szCs w:val="21"/>
        </w:rPr>
      </w:pPr>
      <w:r>
        <w:rPr>
          <w:rFonts w:hint="eastAsia"/>
          <w:sz w:val="21"/>
          <w:szCs w:val="21"/>
        </w:rPr>
        <w:t>3.1.1 投标函</w:t>
      </w:r>
    </w:p>
    <w:p w14:paraId="1AF16B9C">
      <w:pPr>
        <w:tabs>
          <w:tab w:val="left" w:pos="645"/>
          <w:tab w:val="left" w:pos="851"/>
          <w:tab w:val="left" w:pos="1075"/>
          <w:tab w:val="left" w:pos="1276"/>
          <w:tab w:val="left" w:pos="1418"/>
          <w:tab w:val="left" w:pos="1841"/>
          <w:tab w:val="left" w:pos="2411"/>
        </w:tabs>
        <w:spacing w:line="480" w:lineRule="exact"/>
        <w:ind w:firstLine="424" w:firstLineChars="202"/>
        <w:rPr>
          <w:rFonts w:hint="eastAsia"/>
          <w:sz w:val="21"/>
          <w:szCs w:val="21"/>
        </w:rPr>
      </w:pPr>
      <w:r>
        <w:rPr>
          <w:rFonts w:hint="eastAsia"/>
          <w:sz w:val="21"/>
          <w:szCs w:val="21"/>
        </w:rPr>
        <w:t>3.1.2 开标一览表</w:t>
      </w:r>
    </w:p>
    <w:p w14:paraId="331FAB41">
      <w:pPr>
        <w:tabs>
          <w:tab w:val="left" w:pos="645"/>
          <w:tab w:val="left" w:pos="851"/>
          <w:tab w:val="left" w:pos="1075"/>
          <w:tab w:val="left" w:pos="1276"/>
          <w:tab w:val="left" w:pos="1418"/>
          <w:tab w:val="left" w:pos="1841"/>
          <w:tab w:val="left" w:pos="2411"/>
        </w:tabs>
        <w:spacing w:line="480" w:lineRule="exact"/>
        <w:ind w:firstLine="424" w:firstLineChars="202"/>
        <w:rPr>
          <w:rFonts w:hint="eastAsia"/>
          <w:sz w:val="21"/>
          <w:szCs w:val="21"/>
        </w:rPr>
      </w:pPr>
      <w:r>
        <w:rPr>
          <w:rFonts w:hint="eastAsia"/>
          <w:sz w:val="21"/>
          <w:szCs w:val="21"/>
        </w:rPr>
        <w:t>3.1.3 法定代表人身份证明书</w:t>
      </w:r>
    </w:p>
    <w:p w14:paraId="52458487">
      <w:pPr>
        <w:tabs>
          <w:tab w:val="left" w:pos="645"/>
          <w:tab w:val="left" w:pos="851"/>
          <w:tab w:val="left" w:pos="1075"/>
          <w:tab w:val="left" w:pos="1276"/>
          <w:tab w:val="left" w:pos="1418"/>
          <w:tab w:val="left" w:pos="1841"/>
          <w:tab w:val="left" w:pos="2411"/>
        </w:tabs>
        <w:spacing w:line="480" w:lineRule="exact"/>
        <w:ind w:firstLine="424" w:firstLineChars="202"/>
        <w:rPr>
          <w:rFonts w:hint="eastAsia"/>
          <w:sz w:val="21"/>
          <w:szCs w:val="21"/>
        </w:rPr>
      </w:pPr>
      <w:r>
        <w:rPr>
          <w:rFonts w:hint="eastAsia"/>
          <w:sz w:val="21"/>
          <w:szCs w:val="21"/>
        </w:rPr>
        <w:t>3.1.4 法定代表人授权委托书</w:t>
      </w:r>
    </w:p>
    <w:p w14:paraId="3D0B6B4D">
      <w:pPr>
        <w:tabs>
          <w:tab w:val="left" w:pos="645"/>
          <w:tab w:val="left" w:pos="851"/>
          <w:tab w:val="left" w:pos="1075"/>
          <w:tab w:val="left" w:pos="1276"/>
          <w:tab w:val="left" w:pos="1418"/>
          <w:tab w:val="left" w:pos="1841"/>
          <w:tab w:val="left" w:pos="2411"/>
        </w:tabs>
        <w:spacing w:line="480" w:lineRule="exact"/>
        <w:ind w:firstLine="424" w:firstLineChars="202"/>
        <w:rPr>
          <w:rFonts w:hint="eastAsia"/>
          <w:sz w:val="21"/>
          <w:szCs w:val="21"/>
        </w:rPr>
      </w:pPr>
      <w:r>
        <w:rPr>
          <w:rFonts w:hint="eastAsia"/>
          <w:sz w:val="21"/>
          <w:szCs w:val="21"/>
        </w:rPr>
        <w:t>3.1.5 投标人资格证明文件</w:t>
      </w:r>
    </w:p>
    <w:p w14:paraId="1AEAADAD">
      <w:pPr>
        <w:tabs>
          <w:tab w:val="left" w:pos="645"/>
          <w:tab w:val="left" w:pos="851"/>
          <w:tab w:val="left" w:pos="1075"/>
          <w:tab w:val="left" w:pos="1276"/>
          <w:tab w:val="left" w:pos="1418"/>
          <w:tab w:val="left" w:pos="1841"/>
          <w:tab w:val="left" w:pos="2411"/>
        </w:tabs>
        <w:spacing w:line="480" w:lineRule="exact"/>
        <w:ind w:firstLine="424" w:firstLineChars="202"/>
        <w:rPr>
          <w:rFonts w:hint="eastAsia"/>
          <w:sz w:val="21"/>
          <w:szCs w:val="21"/>
        </w:rPr>
      </w:pPr>
      <w:r>
        <w:rPr>
          <w:rFonts w:hint="eastAsia"/>
          <w:sz w:val="21"/>
          <w:szCs w:val="21"/>
        </w:rPr>
        <w:t>3.1.6 投标保证金交存凭证复印件</w:t>
      </w:r>
    </w:p>
    <w:p w14:paraId="031B4301">
      <w:pPr>
        <w:tabs>
          <w:tab w:val="left" w:pos="645"/>
          <w:tab w:val="left" w:pos="851"/>
          <w:tab w:val="left" w:pos="1075"/>
          <w:tab w:val="left" w:pos="1276"/>
          <w:tab w:val="left" w:pos="1418"/>
          <w:tab w:val="left" w:pos="1841"/>
          <w:tab w:val="left" w:pos="2411"/>
        </w:tabs>
        <w:spacing w:line="480" w:lineRule="exact"/>
        <w:ind w:firstLine="424" w:firstLineChars="202"/>
        <w:rPr>
          <w:rFonts w:hint="eastAsia"/>
          <w:sz w:val="21"/>
          <w:szCs w:val="21"/>
        </w:rPr>
      </w:pPr>
      <w:r>
        <w:rPr>
          <w:rFonts w:hint="eastAsia"/>
          <w:sz w:val="21"/>
          <w:szCs w:val="21"/>
        </w:rPr>
        <w:t>3.1.7 已标价工程量清单</w:t>
      </w:r>
    </w:p>
    <w:p w14:paraId="66F4060A">
      <w:pPr>
        <w:tabs>
          <w:tab w:val="left" w:pos="645"/>
          <w:tab w:val="left" w:pos="851"/>
          <w:tab w:val="left" w:pos="1075"/>
          <w:tab w:val="left" w:pos="1276"/>
          <w:tab w:val="left" w:pos="1418"/>
          <w:tab w:val="left" w:pos="1841"/>
          <w:tab w:val="left" w:pos="2411"/>
        </w:tabs>
        <w:spacing w:line="480" w:lineRule="exact"/>
        <w:ind w:firstLine="424" w:firstLineChars="202"/>
        <w:rPr>
          <w:rFonts w:hint="eastAsia"/>
          <w:sz w:val="21"/>
          <w:szCs w:val="21"/>
        </w:rPr>
      </w:pPr>
      <w:r>
        <w:rPr>
          <w:rFonts w:hint="eastAsia"/>
          <w:sz w:val="21"/>
          <w:szCs w:val="21"/>
        </w:rPr>
        <w:t>3.1.8 评标响应资料</w:t>
      </w:r>
    </w:p>
    <w:p w14:paraId="036A6C6E">
      <w:pPr>
        <w:tabs>
          <w:tab w:val="left" w:pos="645"/>
          <w:tab w:val="left" w:pos="851"/>
          <w:tab w:val="left" w:pos="1075"/>
          <w:tab w:val="left" w:pos="1276"/>
          <w:tab w:val="left" w:pos="1418"/>
          <w:tab w:val="left" w:pos="1841"/>
          <w:tab w:val="left" w:pos="2411"/>
        </w:tabs>
        <w:spacing w:line="480" w:lineRule="exact"/>
        <w:ind w:firstLine="424" w:firstLineChars="202"/>
        <w:rPr>
          <w:rFonts w:hint="eastAsia"/>
          <w:sz w:val="21"/>
          <w:szCs w:val="21"/>
          <w:highlight w:val="yellow"/>
        </w:rPr>
      </w:pPr>
      <w:r>
        <w:rPr>
          <w:rFonts w:hint="eastAsia"/>
          <w:sz w:val="21"/>
          <w:szCs w:val="21"/>
        </w:rPr>
        <w:t>3.1.9 投标人认为需要提供的其他材料（格式自拟）</w:t>
      </w:r>
    </w:p>
    <w:p w14:paraId="56739F8E">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3.2 投标报价</w:t>
      </w:r>
    </w:p>
    <w:p w14:paraId="15818660">
      <w:pPr>
        <w:autoSpaceDE w:val="0"/>
        <w:autoSpaceDN w:val="0"/>
        <w:adjustRightInd w:val="0"/>
        <w:spacing w:line="360" w:lineRule="auto"/>
        <w:ind w:firstLine="420" w:firstLineChars="200"/>
        <w:jc w:val="both"/>
        <w:rPr>
          <w:rFonts w:hint="eastAsia"/>
          <w:sz w:val="21"/>
          <w:szCs w:val="21"/>
        </w:rPr>
      </w:pPr>
      <w:r>
        <w:rPr>
          <w:rFonts w:hint="eastAsia"/>
          <w:sz w:val="21"/>
          <w:szCs w:val="21"/>
        </w:rPr>
        <w:t>3.2.1 工程量清单按照陕西省工程建设标准</w:t>
      </w:r>
      <w:r>
        <w:rPr>
          <w:rFonts w:hint="eastAsia"/>
          <w:sz w:val="21"/>
          <w:szCs w:val="21"/>
          <w:highlight w:val="none"/>
        </w:rPr>
        <w:t>《建设工程工程量清单计价标准》DB61/T 5126-2025</w:t>
      </w:r>
      <w:r>
        <w:rPr>
          <w:rFonts w:hint="eastAsia"/>
          <w:sz w:val="21"/>
          <w:szCs w:val="21"/>
        </w:rPr>
        <w:t>编制，投标人应根据招标范围、施工图纸等文件，核对招标工程量清单；未对工程量清单提出质疑的，视为认可招标人提出的工程量清单并据此报价。</w:t>
      </w:r>
    </w:p>
    <w:p w14:paraId="040601FC">
      <w:pPr>
        <w:autoSpaceDE w:val="0"/>
        <w:autoSpaceDN w:val="0"/>
        <w:adjustRightInd w:val="0"/>
        <w:spacing w:line="360" w:lineRule="auto"/>
        <w:ind w:firstLine="420" w:firstLineChars="200"/>
        <w:jc w:val="both"/>
        <w:rPr>
          <w:rFonts w:hint="eastAsia"/>
          <w:sz w:val="21"/>
          <w:szCs w:val="21"/>
        </w:rPr>
      </w:pPr>
      <w:r>
        <w:rPr>
          <w:rFonts w:hint="eastAsia"/>
          <w:sz w:val="21"/>
          <w:szCs w:val="21"/>
        </w:rPr>
        <w:t>3.2.2</w:t>
      </w:r>
      <w:r>
        <w:rPr>
          <w:rFonts w:hint="eastAsia"/>
          <w:sz w:val="21"/>
          <w:szCs w:val="21"/>
          <w:lang w:val="en-US" w:eastAsia="zh-CN"/>
        </w:rPr>
        <w:t xml:space="preserve"> </w:t>
      </w:r>
      <w:r>
        <w:rPr>
          <w:rFonts w:hint="eastAsia"/>
          <w:sz w:val="21"/>
          <w:szCs w:val="21"/>
        </w:rPr>
        <w:t>投标报价应由投标人根据招标文件工程量清单的全部内容和要求的格式及陕西省建设行政管理部门规定的陕西省工程建设标准《建设工程工程量清单计价标准》DB61/T 5126-2025，按照企业定额，并参照现行计价依据、文件以及工程造价管理机构发布的市场价格信息，结合企业自身技术力量、设备装备水平、企业管理水平、市场价格行情并考虑招标文件中约定的风险范围内的责任、义务、风险因素涉及的费用自主编制。</w:t>
      </w:r>
    </w:p>
    <w:p w14:paraId="65E7A21C">
      <w:pPr>
        <w:autoSpaceDE w:val="0"/>
        <w:autoSpaceDN w:val="0"/>
        <w:adjustRightInd w:val="0"/>
        <w:spacing w:line="360" w:lineRule="auto"/>
        <w:ind w:firstLine="420" w:firstLineChars="200"/>
        <w:jc w:val="both"/>
        <w:rPr>
          <w:rFonts w:hint="eastAsia"/>
          <w:sz w:val="21"/>
          <w:szCs w:val="21"/>
        </w:rPr>
      </w:pPr>
      <w:r>
        <w:rPr>
          <w:rFonts w:hint="eastAsia"/>
          <w:sz w:val="21"/>
          <w:szCs w:val="21"/>
        </w:rPr>
        <w:t>3.2.3</w:t>
      </w:r>
      <w:r>
        <w:rPr>
          <w:rFonts w:hint="eastAsia"/>
          <w:sz w:val="21"/>
          <w:szCs w:val="21"/>
          <w:lang w:val="en-US" w:eastAsia="zh-CN"/>
        </w:rPr>
        <w:t xml:space="preserve"> </w:t>
      </w:r>
      <w:r>
        <w:rPr>
          <w:rFonts w:hint="eastAsia"/>
          <w:sz w:val="21"/>
          <w:szCs w:val="21"/>
        </w:rPr>
        <w:t>投标人不得更改工程量清单计价表中的序号、项目编码、项目名称、计量单位、工程数量，必须按工程量清单中的相应内容填写。投标人未报出或未填单价或合价的工程量清单项目，在实施后，招标人将不予以支付，并视为该项费用已包括在其他有价款的单价或合价内。本工程只允许有一种报价方案和报价，且投标报价为投标人在投标文件中提出的各项支付金额的总和。各类报价均以人民币表示，保留两位小数，第三位四舍五入。报价前后不一致则视为无效投标。</w:t>
      </w:r>
    </w:p>
    <w:p w14:paraId="2FD76C44">
      <w:pPr>
        <w:autoSpaceDE w:val="0"/>
        <w:autoSpaceDN w:val="0"/>
        <w:adjustRightInd w:val="0"/>
        <w:spacing w:line="360" w:lineRule="auto"/>
        <w:ind w:firstLine="420" w:firstLineChars="200"/>
        <w:jc w:val="both"/>
        <w:rPr>
          <w:rFonts w:hint="eastAsia"/>
          <w:sz w:val="21"/>
          <w:szCs w:val="21"/>
        </w:rPr>
      </w:pPr>
      <w:r>
        <w:rPr>
          <w:rFonts w:hint="eastAsia"/>
          <w:sz w:val="21"/>
          <w:szCs w:val="21"/>
        </w:rPr>
        <w:t>3.2.4</w:t>
      </w:r>
      <w:r>
        <w:rPr>
          <w:rFonts w:hint="eastAsia"/>
          <w:sz w:val="21"/>
          <w:szCs w:val="21"/>
          <w:lang w:val="en-US" w:eastAsia="zh-CN"/>
        </w:rPr>
        <w:t xml:space="preserve"> </w:t>
      </w:r>
      <w:r>
        <w:rPr>
          <w:rFonts w:hint="eastAsia"/>
          <w:sz w:val="21"/>
          <w:szCs w:val="21"/>
        </w:rPr>
        <w:t>投标人可到工地踏勘以充分了解工地位置、情况、道路、储存空间、装卸限制及任何其他足以影响投标报价的情况，任何因忽视或误解工地情况而导致的索赔或工期延长申请将不被批准。</w:t>
      </w:r>
    </w:p>
    <w:p w14:paraId="0E790074">
      <w:pPr>
        <w:autoSpaceDE w:val="0"/>
        <w:autoSpaceDN w:val="0"/>
        <w:adjustRightInd w:val="0"/>
        <w:spacing w:line="360" w:lineRule="auto"/>
        <w:ind w:firstLine="420" w:firstLineChars="200"/>
        <w:jc w:val="both"/>
        <w:rPr>
          <w:rFonts w:hint="eastAsia"/>
          <w:sz w:val="21"/>
          <w:szCs w:val="21"/>
        </w:rPr>
      </w:pPr>
      <w:r>
        <w:rPr>
          <w:rFonts w:hint="eastAsia"/>
          <w:sz w:val="21"/>
          <w:szCs w:val="21"/>
        </w:rPr>
        <w:t>3.2.5</w:t>
      </w:r>
      <w:r>
        <w:rPr>
          <w:rFonts w:hint="eastAsia"/>
          <w:sz w:val="21"/>
          <w:szCs w:val="21"/>
          <w:lang w:val="en-US" w:eastAsia="zh-CN"/>
        </w:rPr>
        <w:t xml:space="preserve"> </w:t>
      </w:r>
      <w:r>
        <w:rPr>
          <w:rFonts w:hint="eastAsia"/>
          <w:sz w:val="21"/>
          <w:szCs w:val="21"/>
        </w:rPr>
        <w:t>投标人未填报单价或合价的工程量清单项目，视为该项费用已包括在其他已报单价或合价内，结算时不予补偿。</w:t>
      </w:r>
    </w:p>
    <w:p w14:paraId="6B810704">
      <w:pPr>
        <w:autoSpaceDE w:val="0"/>
        <w:autoSpaceDN w:val="0"/>
        <w:adjustRightInd w:val="0"/>
        <w:spacing w:line="360" w:lineRule="auto"/>
        <w:ind w:firstLine="420" w:firstLineChars="200"/>
        <w:jc w:val="both"/>
        <w:rPr>
          <w:rFonts w:hint="eastAsia"/>
          <w:sz w:val="21"/>
          <w:szCs w:val="21"/>
        </w:rPr>
      </w:pPr>
      <w:r>
        <w:rPr>
          <w:rFonts w:hint="eastAsia"/>
          <w:sz w:val="21"/>
          <w:szCs w:val="21"/>
        </w:rPr>
        <w:t>3.2.6</w:t>
      </w:r>
      <w:r>
        <w:rPr>
          <w:rFonts w:hint="eastAsia"/>
          <w:sz w:val="21"/>
          <w:szCs w:val="21"/>
          <w:lang w:val="en-US" w:eastAsia="zh-CN"/>
        </w:rPr>
        <w:t xml:space="preserve"> </w:t>
      </w:r>
      <w:r>
        <w:rPr>
          <w:rFonts w:hint="eastAsia"/>
          <w:sz w:val="21"/>
          <w:szCs w:val="21"/>
        </w:rPr>
        <w:t>暂列金额</w:t>
      </w:r>
    </w:p>
    <w:p w14:paraId="4706DC2E">
      <w:pPr>
        <w:autoSpaceDE w:val="0"/>
        <w:autoSpaceDN w:val="0"/>
        <w:adjustRightInd w:val="0"/>
        <w:spacing w:line="360" w:lineRule="auto"/>
        <w:ind w:firstLine="420" w:firstLineChars="200"/>
        <w:jc w:val="both"/>
        <w:rPr>
          <w:rFonts w:hint="eastAsia"/>
          <w:sz w:val="21"/>
          <w:szCs w:val="21"/>
        </w:rPr>
      </w:pPr>
      <w:r>
        <w:rPr>
          <w:rFonts w:hint="eastAsia"/>
          <w:sz w:val="21"/>
          <w:szCs w:val="21"/>
        </w:rPr>
        <w:t>本工程项目设置暂列金额及专业工程暂估价，投标报价时必须按招标工程量清单或招标文件的金额填写，不得修改。由于投标人修改造成投标无效的任何风险均由投标人承担。</w:t>
      </w:r>
    </w:p>
    <w:p w14:paraId="1F84CBA2">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3.3 投标有效期</w:t>
      </w:r>
    </w:p>
    <w:p w14:paraId="5C958A8C">
      <w:pPr>
        <w:spacing w:line="480" w:lineRule="exact"/>
        <w:ind w:firstLine="420" w:firstLineChars="200"/>
        <w:rPr>
          <w:rFonts w:hint="eastAsia"/>
          <w:color w:val="000000"/>
          <w:sz w:val="21"/>
          <w:szCs w:val="21"/>
        </w:rPr>
      </w:pPr>
      <w:r>
        <w:rPr>
          <w:rFonts w:hint="eastAsia"/>
          <w:color w:val="000000"/>
          <w:sz w:val="21"/>
          <w:szCs w:val="21"/>
        </w:rPr>
        <w:t>3.3.1 在投标人须知前附表规定的投标有效期内，投标人不得要求撤销或修改其投标文件。</w:t>
      </w:r>
    </w:p>
    <w:p w14:paraId="75C33C46">
      <w:pPr>
        <w:spacing w:line="480" w:lineRule="exact"/>
        <w:ind w:firstLine="420" w:firstLineChars="200"/>
        <w:rPr>
          <w:rFonts w:hint="eastAsia"/>
          <w:color w:val="000000"/>
          <w:sz w:val="21"/>
          <w:szCs w:val="21"/>
        </w:rPr>
      </w:pPr>
      <w:r>
        <w:rPr>
          <w:rFonts w:hint="eastAsia"/>
          <w:color w:val="000000"/>
          <w:sz w:val="21"/>
          <w:szCs w:val="21"/>
        </w:rPr>
        <w:t>3.3.2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8B2E8B6">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3.4 投标保证金</w:t>
      </w:r>
    </w:p>
    <w:p w14:paraId="6B30F702">
      <w:pPr>
        <w:spacing w:line="360" w:lineRule="auto"/>
        <w:ind w:firstLine="420" w:firstLineChars="200"/>
        <w:rPr>
          <w:rFonts w:hint="eastAsia"/>
          <w:sz w:val="21"/>
          <w:szCs w:val="21"/>
        </w:rPr>
      </w:pPr>
      <w:r>
        <w:rPr>
          <w:rFonts w:hint="eastAsia"/>
          <w:sz w:val="21"/>
          <w:szCs w:val="21"/>
        </w:rPr>
        <w:t>3.4.1 投标人在购买招标文件后，应按投标人须知前附表规定的金额递交投标保证金，将汇款凭证复印件将放入投标文件中，并作为其投标文件的组成部分。根据投标人的选择，投标保证金可以采用电汇、转账或支票等非现金形式支付。</w:t>
      </w:r>
    </w:p>
    <w:p w14:paraId="4BA9ABEC">
      <w:pPr>
        <w:spacing w:line="360" w:lineRule="auto"/>
        <w:ind w:firstLine="420" w:firstLineChars="200"/>
        <w:rPr>
          <w:rFonts w:hint="eastAsia"/>
          <w:sz w:val="21"/>
          <w:szCs w:val="21"/>
        </w:rPr>
      </w:pPr>
      <w:r>
        <w:rPr>
          <w:rFonts w:hint="eastAsia"/>
          <w:sz w:val="21"/>
          <w:szCs w:val="21"/>
        </w:rPr>
        <w:t>3.4.2 投标人不按要求提交投标保证金的，其投标文件不予受理。</w:t>
      </w:r>
    </w:p>
    <w:p w14:paraId="56C77FAC">
      <w:pPr>
        <w:spacing w:line="360" w:lineRule="auto"/>
        <w:ind w:firstLine="420" w:firstLineChars="200"/>
        <w:rPr>
          <w:rFonts w:hint="eastAsia"/>
          <w:sz w:val="21"/>
          <w:szCs w:val="21"/>
        </w:rPr>
      </w:pPr>
      <w:r>
        <w:rPr>
          <w:rFonts w:hint="eastAsia"/>
          <w:sz w:val="21"/>
          <w:szCs w:val="21"/>
        </w:rPr>
        <w:t>3.4.3未中标的投标人的投标保证金将于中标通知书发出后5个工作日内予以退还（不计利息）。</w:t>
      </w:r>
    </w:p>
    <w:p w14:paraId="4A8FD015">
      <w:pPr>
        <w:spacing w:line="360" w:lineRule="auto"/>
        <w:ind w:firstLine="420" w:firstLineChars="200"/>
        <w:rPr>
          <w:rFonts w:hint="eastAsia"/>
          <w:sz w:val="21"/>
          <w:szCs w:val="21"/>
        </w:rPr>
      </w:pPr>
      <w:r>
        <w:rPr>
          <w:rFonts w:hint="eastAsia"/>
          <w:sz w:val="21"/>
          <w:szCs w:val="21"/>
        </w:rPr>
        <w:t>3.4.4 中标人的投标保证金，在中标人与招标人签订合同后5个工作日内退还。</w:t>
      </w:r>
    </w:p>
    <w:p w14:paraId="06F9678E">
      <w:pPr>
        <w:spacing w:line="360" w:lineRule="auto"/>
        <w:ind w:firstLine="420" w:firstLineChars="200"/>
        <w:rPr>
          <w:rFonts w:hint="eastAsia"/>
          <w:sz w:val="21"/>
          <w:szCs w:val="21"/>
        </w:rPr>
      </w:pPr>
      <w:r>
        <w:rPr>
          <w:rFonts w:hint="eastAsia"/>
          <w:sz w:val="21"/>
          <w:szCs w:val="21"/>
        </w:rPr>
        <w:t>3.4.5 有下列情形之一的，投标保证金将不予退还：</w:t>
      </w:r>
    </w:p>
    <w:p w14:paraId="0FE23DF5">
      <w:pPr>
        <w:spacing w:line="360" w:lineRule="auto"/>
        <w:ind w:firstLine="420" w:firstLineChars="200"/>
        <w:rPr>
          <w:rFonts w:hint="eastAsia"/>
          <w:sz w:val="21"/>
          <w:szCs w:val="21"/>
        </w:rPr>
      </w:pPr>
      <w:r>
        <w:rPr>
          <w:rFonts w:hint="eastAsia"/>
          <w:sz w:val="21"/>
          <w:szCs w:val="21"/>
        </w:rPr>
        <w:t>3.4.5.1投标人在规定的投标有效期内撤回或修改其投标文件；</w:t>
      </w:r>
    </w:p>
    <w:p w14:paraId="60C2AFD3">
      <w:pPr>
        <w:spacing w:line="360" w:lineRule="auto"/>
        <w:ind w:firstLine="420" w:firstLineChars="200"/>
        <w:rPr>
          <w:rFonts w:hint="eastAsia"/>
          <w:sz w:val="21"/>
          <w:szCs w:val="21"/>
        </w:rPr>
      </w:pPr>
      <w:r>
        <w:rPr>
          <w:rFonts w:hint="eastAsia"/>
          <w:sz w:val="21"/>
          <w:szCs w:val="21"/>
        </w:rPr>
        <w:t>3.4.5.2中标人在收到中标通知书后，无正当理由拒签合同协议书或未按招标文件规定提交履约担保。</w:t>
      </w:r>
    </w:p>
    <w:p w14:paraId="2C15E0A5">
      <w:pPr>
        <w:spacing w:line="360" w:lineRule="auto"/>
        <w:ind w:firstLine="420" w:firstLineChars="200"/>
        <w:rPr>
          <w:rFonts w:hint="eastAsia"/>
          <w:sz w:val="21"/>
          <w:szCs w:val="21"/>
        </w:rPr>
      </w:pPr>
      <w:r>
        <w:rPr>
          <w:rFonts w:hint="eastAsia"/>
          <w:sz w:val="21"/>
          <w:szCs w:val="21"/>
        </w:rPr>
        <w:t>3.4.5.3提交了投标保证金而未提交投标文件且未提前告知弃标的（投标文件递交迟到并经招标代理机构在递交现场确认为迟到的除外）。</w:t>
      </w:r>
    </w:p>
    <w:p w14:paraId="177D8E15">
      <w:pPr>
        <w:spacing w:line="360" w:lineRule="auto"/>
        <w:ind w:firstLine="420" w:firstLineChars="200"/>
        <w:rPr>
          <w:rFonts w:hint="eastAsia"/>
          <w:sz w:val="21"/>
          <w:szCs w:val="21"/>
        </w:rPr>
      </w:pPr>
      <w:r>
        <w:rPr>
          <w:rFonts w:hint="eastAsia"/>
          <w:sz w:val="21"/>
          <w:szCs w:val="21"/>
        </w:rPr>
        <w:t>3.4.5.4在确定中标人身份后拒不办理中标手续的。</w:t>
      </w:r>
    </w:p>
    <w:p w14:paraId="0A31422C">
      <w:pPr>
        <w:autoSpaceDE w:val="0"/>
        <w:autoSpaceDN w:val="0"/>
        <w:adjustRightInd w:val="0"/>
        <w:spacing w:line="360" w:lineRule="auto"/>
        <w:ind w:firstLine="420" w:firstLineChars="200"/>
        <w:rPr>
          <w:rFonts w:hint="eastAsia"/>
          <w:sz w:val="21"/>
          <w:szCs w:val="21"/>
        </w:rPr>
      </w:pPr>
      <w:r>
        <w:rPr>
          <w:rFonts w:hint="eastAsia"/>
          <w:sz w:val="21"/>
          <w:szCs w:val="21"/>
        </w:rPr>
        <w:t>3.4.5.5投标人出现本章9.2条情形的。</w:t>
      </w:r>
    </w:p>
    <w:p w14:paraId="71219C6A">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3.5 资格审查资料</w:t>
      </w:r>
    </w:p>
    <w:p w14:paraId="6B9AAE59">
      <w:pPr>
        <w:spacing w:line="480" w:lineRule="exact"/>
        <w:ind w:firstLine="420" w:firstLineChars="200"/>
        <w:rPr>
          <w:rFonts w:hint="eastAsia"/>
          <w:color w:val="000000"/>
          <w:sz w:val="21"/>
          <w:szCs w:val="21"/>
        </w:rPr>
      </w:pPr>
      <w:r>
        <w:rPr>
          <w:rFonts w:hint="eastAsia"/>
          <w:color w:val="000000"/>
          <w:sz w:val="21"/>
          <w:szCs w:val="21"/>
        </w:rPr>
        <w:t>见投标人须知前附表1.4.1项。</w:t>
      </w:r>
    </w:p>
    <w:p w14:paraId="250DE5E4">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3.6 备选投标方案</w:t>
      </w:r>
    </w:p>
    <w:p w14:paraId="78CC3377">
      <w:pPr>
        <w:spacing w:line="480" w:lineRule="exact"/>
        <w:ind w:firstLine="420" w:firstLineChars="200"/>
        <w:rPr>
          <w:rFonts w:hint="eastAsia"/>
          <w:color w:val="000000"/>
          <w:sz w:val="21"/>
          <w:szCs w:val="21"/>
        </w:rPr>
      </w:pPr>
      <w:r>
        <w:rPr>
          <w:rFonts w:hint="eastAsia"/>
          <w:color w:val="000000"/>
          <w:sz w:val="21"/>
          <w:szCs w:val="21"/>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3B9F0754">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3.7 投标文件的编制</w:t>
      </w:r>
    </w:p>
    <w:p w14:paraId="6CEB7389">
      <w:pPr>
        <w:spacing w:line="480" w:lineRule="exact"/>
        <w:ind w:firstLine="420" w:firstLineChars="200"/>
        <w:rPr>
          <w:rFonts w:hint="eastAsia"/>
          <w:color w:val="000000"/>
          <w:sz w:val="21"/>
          <w:szCs w:val="21"/>
        </w:rPr>
      </w:pPr>
      <w:r>
        <w:rPr>
          <w:rFonts w:hint="eastAsia"/>
          <w:color w:val="000000"/>
          <w:sz w:val="21"/>
          <w:szCs w:val="21"/>
        </w:rPr>
        <w:t>3.7.1 投标文件应按第七部分“投标文件格式”进行编写，如有必要，可以增加附页，作为投标文件的组成部分。其中，投标函附录（如有）在满足招标文件实质性要求的基础上，可以提出比招标文件要求更有利于招标人的承诺。</w:t>
      </w:r>
    </w:p>
    <w:p w14:paraId="3DB678A7">
      <w:pPr>
        <w:spacing w:line="480" w:lineRule="exact"/>
        <w:ind w:firstLine="420" w:firstLineChars="200"/>
        <w:rPr>
          <w:rFonts w:hint="eastAsia"/>
          <w:color w:val="000000"/>
          <w:sz w:val="21"/>
          <w:szCs w:val="21"/>
        </w:rPr>
      </w:pPr>
      <w:r>
        <w:rPr>
          <w:rFonts w:hint="eastAsia"/>
          <w:color w:val="000000"/>
          <w:sz w:val="21"/>
          <w:szCs w:val="21"/>
        </w:rPr>
        <w:t>3.7.2 投标文件应当对招标文件有关工期、投标有效期、质量要求、技术标准和要求、招标范围等实质性内容作出响应。</w:t>
      </w:r>
    </w:p>
    <w:p w14:paraId="52A673A6">
      <w:pPr>
        <w:spacing w:line="480" w:lineRule="exact"/>
        <w:ind w:firstLine="420" w:firstLineChars="200"/>
        <w:rPr>
          <w:rFonts w:hint="eastAsia"/>
          <w:color w:val="000000"/>
          <w:sz w:val="21"/>
          <w:szCs w:val="21"/>
        </w:rPr>
      </w:pPr>
      <w:r>
        <w:rPr>
          <w:rFonts w:hint="eastAsia"/>
          <w:color w:val="000000"/>
          <w:sz w:val="21"/>
          <w:szCs w:val="21"/>
        </w:rPr>
        <w:t>3.7.3 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14:paraId="773EF28A">
      <w:pPr>
        <w:spacing w:line="480" w:lineRule="exact"/>
        <w:ind w:firstLine="420" w:firstLineChars="200"/>
        <w:rPr>
          <w:rFonts w:hint="eastAsia"/>
          <w:color w:val="000000"/>
          <w:sz w:val="21"/>
          <w:szCs w:val="21"/>
        </w:rPr>
      </w:pPr>
      <w:r>
        <w:rPr>
          <w:rFonts w:hint="eastAsia"/>
          <w:color w:val="000000"/>
          <w:sz w:val="21"/>
          <w:szCs w:val="21"/>
        </w:rPr>
        <w:t>3.7.4 投标文件正本一份，副本份数见投标人须知前附表。正本和副本的封面上应清楚地标记“正本”或“副本”的字样，正本和副本如有不一致之处，以正本为准。</w:t>
      </w:r>
    </w:p>
    <w:p w14:paraId="0FBA4852">
      <w:pPr>
        <w:spacing w:line="480" w:lineRule="exact"/>
        <w:ind w:firstLine="420" w:firstLineChars="200"/>
        <w:rPr>
          <w:rFonts w:hint="eastAsia"/>
          <w:color w:val="000000"/>
          <w:sz w:val="21"/>
          <w:szCs w:val="21"/>
        </w:rPr>
      </w:pPr>
      <w:r>
        <w:rPr>
          <w:rFonts w:hint="eastAsia"/>
          <w:color w:val="000000"/>
          <w:sz w:val="21"/>
          <w:szCs w:val="21"/>
        </w:rPr>
        <w:t>3.7.5 投标文件的正本与副本应分别装订成册，并编制目录，具体装订要求见投标人须知前附表规定。</w:t>
      </w:r>
      <w:bookmarkStart w:id="39" w:name="_Toc290389701"/>
      <w:bookmarkStart w:id="40" w:name="_Toc184635074"/>
    </w:p>
    <w:p w14:paraId="134A8E14">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3.8享受的政府采购政策</w:t>
      </w:r>
    </w:p>
    <w:p w14:paraId="4A83D1C2">
      <w:pPr>
        <w:spacing w:line="480" w:lineRule="exact"/>
        <w:ind w:firstLine="420" w:firstLineChars="200"/>
        <w:jc w:val="both"/>
        <w:rPr>
          <w:rFonts w:hint="eastAsia"/>
          <w:color w:val="000000"/>
          <w:sz w:val="21"/>
          <w:szCs w:val="21"/>
        </w:rPr>
      </w:pPr>
      <w:r>
        <w:rPr>
          <w:rFonts w:hint="eastAsia"/>
          <w:color w:val="000000"/>
          <w:sz w:val="21"/>
          <w:szCs w:val="21"/>
        </w:rPr>
        <w:t>3.8.1 根据《政府采购促进中小企业发展管理办法》（财库〔2020〕46 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享受中小企业扶持政策。在货物采购项目中，供应商提供的货物既有中小企业制造货物，也有大型企业制造货物的，不享受本办法规定的中小企业扶持政策。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 2%-3%的扣除，工程项目为 1%-2%的扣除。联合体各方均为小型、微型企业的，联合体视同为小型、微型企业。组成联合体或者接受分包的小微企业与联合体内其他企业、分包企业之间存在直接控股、管理关系的，不享受价格扣除优惠政策。</w:t>
      </w:r>
    </w:p>
    <w:p w14:paraId="6D7D7551">
      <w:pPr>
        <w:spacing w:line="480" w:lineRule="exact"/>
        <w:ind w:firstLine="420" w:firstLineChars="200"/>
        <w:jc w:val="both"/>
        <w:rPr>
          <w:rFonts w:hint="eastAsia"/>
          <w:color w:val="000000"/>
          <w:sz w:val="21"/>
          <w:szCs w:val="21"/>
        </w:rPr>
      </w:pPr>
      <w:r>
        <w:rPr>
          <w:rFonts w:hint="eastAsia"/>
          <w:color w:val="000000"/>
          <w:sz w:val="21"/>
          <w:szCs w:val="21"/>
        </w:rPr>
        <w:t>根据《关于进一步加大政府采购支持中小企业力度的通知》（财库〔2022〕19号）的有关规定，货物服务采购项目给予小微企业的价格扣除优惠，由财库〔2020〕46 号文件规定的 6%—10%提高至 10%—20%。大中型企业与小微企业组成联合体或者大中型企业向小微企业分包的，评审优惠幅度由 2%—3%提高至 4%—6%。政府采购工程的价格评审优惠按照财库〔2020〕46 号文件的规定执行（工程项目为 3%—5%）。</w:t>
      </w:r>
    </w:p>
    <w:p w14:paraId="001DFE8A">
      <w:pPr>
        <w:spacing w:line="480" w:lineRule="exact"/>
        <w:ind w:firstLine="420" w:firstLineChars="200"/>
        <w:jc w:val="both"/>
        <w:rPr>
          <w:rFonts w:hint="eastAsia"/>
          <w:color w:val="000000"/>
          <w:sz w:val="21"/>
          <w:szCs w:val="21"/>
        </w:rPr>
      </w:pPr>
      <w:r>
        <w:rPr>
          <w:rFonts w:hint="eastAsia"/>
          <w:color w:val="000000"/>
          <w:sz w:val="21"/>
          <w:szCs w:val="21"/>
        </w:rPr>
        <w:t xml:space="preserve">3.8.2 监狱企业应符合《财政部 司法部关于政府采购支持监狱企业发展 </w:t>
      </w:r>
    </w:p>
    <w:p w14:paraId="2E7B5F75">
      <w:pPr>
        <w:spacing w:line="480" w:lineRule="exact"/>
        <w:ind w:firstLine="420" w:firstLineChars="200"/>
        <w:jc w:val="both"/>
        <w:rPr>
          <w:rFonts w:hint="eastAsia"/>
          <w:color w:val="000000"/>
          <w:sz w:val="21"/>
          <w:szCs w:val="21"/>
        </w:rPr>
      </w:pPr>
      <w:r>
        <w:rPr>
          <w:rFonts w:hint="eastAsia"/>
          <w:color w:val="000000"/>
          <w:sz w:val="21"/>
          <w:szCs w:val="21"/>
        </w:rPr>
        <w:t xml:space="preserve">有关问题的通知》（财库〔2014〕68 号）文件规定，并提供由省级以上监狱管理局、戒毒管理局(含新疆生产建设兵团)出具的属于监狱企业的证明文件复印件，监狱和戒毒企业视同小型、微型企业，不重复享受政策。 </w:t>
      </w:r>
    </w:p>
    <w:p w14:paraId="0A12DDC0">
      <w:pPr>
        <w:spacing w:line="480" w:lineRule="exact"/>
        <w:ind w:firstLine="420" w:firstLineChars="200"/>
        <w:jc w:val="both"/>
        <w:rPr>
          <w:rFonts w:hint="eastAsia"/>
          <w:color w:val="000000"/>
          <w:sz w:val="21"/>
          <w:szCs w:val="21"/>
        </w:rPr>
      </w:pPr>
      <w:r>
        <w:rPr>
          <w:rFonts w:hint="eastAsia"/>
          <w:color w:val="000000"/>
          <w:sz w:val="21"/>
          <w:szCs w:val="21"/>
        </w:rPr>
        <w:t xml:space="preserve">3.8.3 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 </w:t>
      </w:r>
    </w:p>
    <w:p w14:paraId="3FD1B153">
      <w:pPr>
        <w:spacing w:line="480" w:lineRule="exact"/>
        <w:ind w:firstLine="420" w:firstLineChars="200"/>
        <w:jc w:val="both"/>
        <w:rPr>
          <w:rFonts w:hint="eastAsia"/>
          <w:color w:val="000000"/>
          <w:sz w:val="21"/>
          <w:szCs w:val="21"/>
        </w:rPr>
      </w:pPr>
      <w:r>
        <w:rPr>
          <w:rFonts w:hint="eastAsia"/>
          <w:color w:val="000000"/>
          <w:sz w:val="21"/>
          <w:szCs w:val="21"/>
        </w:rPr>
        <w:t>3.8.4 根据财政部、国家发改委、生态环境部、市场监管总局联合印发《关于调整优化节能产品、环境标志产品政府采购执行机制的通知》（财库〔2019〕9 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属于节能产品政府采购品目清单中应强制采购的产品范围，供应商应当提供国家确定的认证机构出具的、处于有效期之内的节能产品认证证书，否则作无效投标处理。</w:t>
      </w:r>
    </w:p>
    <w:p w14:paraId="5BEB407F">
      <w:pPr>
        <w:spacing w:line="480" w:lineRule="exact"/>
        <w:ind w:firstLine="420" w:firstLineChars="200"/>
        <w:jc w:val="both"/>
        <w:rPr>
          <w:rFonts w:hint="eastAsia"/>
          <w:color w:val="000000"/>
          <w:sz w:val="21"/>
          <w:szCs w:val="21"/>
        </w:rPr>
      </w:pPr>
      <w:r>
        <w:rPr>
          <w:rFonts w:hint="eastAsia"/>
          <w:color w:val="000000"/>
          <w:sz w:val="21"/>
          <w:szCs w:val="21"/>
        </w:rPr>
        <w:t xml:space="preserve">3.8.5 根据国务院办公厅《关于建立政府强制采购节能产品制度的通知》 </w:t>
      </w:r>
    </w:p>
    <w:p w14:paraId="1EFA365B">
      <w:pPr>
        <w:spacing w:line="480" w:lineRule="exact"/>
        <w:ind w:firstLine="420" w:firstLineChars="200"/>
        <w:jc w:val="both"/>
        <w:rPr>
          <w:rFonts w:hint="eastAsia"/>
          <w:color w:val="000000"/>
          <w:sz w:val="21"/>
          <w:szCs w:val="21"/>
        </w:rPr>
      </w:pPr>
      <w:r>
        <w:rPr>
          <w:rFonts w:hint="eastAsia"/>
          <w:color w:val="000000"/>
          <w:sz w:val="21"/>
          <w:szCs w:val="21"/>
        </w:rPr>
        <w:t xml:space="preserve">（国办发〔2007〕51 号）有关要求，采购人需购买的产品属于政府强制采购节能产品范围应当在清单之内采购。节能清单中无对应细化分类且节能清单中的产品确实无法满足工作需要的，允许在节能清单之外采购。 </w:t>
      </w:r>
    </w:p>
    <w:p w14:paraId="3A23BC78">
      <w:pPr>
        <w:spacing w:line="480" w:lineRule="exact"/>
        <w:ind w:firstLine="420" w:firstLineChars="200"/>
        <w:jc w:val="both"/>
        <w:rPr>
          <w:rFonts w:hint="eastAsia"/>
          <w:color w:val="000000"/>
          <w:sz w:val="21"/>
          <w:szCs w:val="21"/>
        </w:rPr>
      </w:pPr>
      <w:r>
        <w:rPr>
          <w:rFonts w:hint="eastAsia"/>
          <w:color w:val="000000"/>
          <w:sz w:val="21"/>
          <w:szCs w:val="21"/>
        </w:rPr>
        <w:t>3.8.6 国务院办公厅《关于建立政府强制采购节能产品制度的通知》（国办发〔2007〕51号）。</w:t>
      </w:r>
    </w:p>
    <w:p w14:paraId="44986BCB">
      <w:pPr>
        <w:spacing w:line="480" w:lineRule="exact"/>
        <w:ind w:firstLine="420" w:firstLineChars="200"/>
        <w:jc w:val="both"/>
        <w:rPr>
          <w:rFonts w:hint="eastAsia"/>
          <w:color w:val="000000"/>
          <w:sz w:val="21"/>
          <w:szCs w:val="21"/>
        </w:rPr>
      </w:pPr>
      <w:r>
        <w:rPr>
          <w:rFonts w:hint="eastAsia"/>
          <w:color w:val="000000"/>
          <w:sz w:val="21"/>
          <w:szCs w:val="21"/>
        </w:rPr>
        <w:t xml:space="preserve">3.8.7 节能产品政府采购品目清单详见财政部、发展改革委《关于印发节能产品政府采购品目清单的通知》（财库〔2019〕19 号）。 </w:t>
      </w:r>
    </w:p>
    <w:p w14:paraId="5FFB034A">
      <w:pPr>
        <w:spacing w:line="480" w:lineRule="exact"/>
        <w:ind w:firstLine="420" w:firstLineChars="200"/>
        <w:jc w:val="both"/>
        <w:rPr>
          <w:rFonts w:hint="eastAsia"/>
          <w:color w:val="000000"/>
          <w:sz w:val="21"/>
          <w:szCs w:val="21"/>
        </w:rPr>
      </w:pPr>
      <w:r>
        <w:rPr>
          <w:rFonts w:hint="eastAsia"/>
          <w:color w:val="000000"/>
          <w:sz w:val="21"/>
          <w:szCs w:val="21"/>
        </w:rPr>
        <w:t xml:space="preserve">3.8.8 环境标志产品政府采购品目清单详见财政部、生态环境部《关于印发环境标志产品政府采购品目清单的通知》（财库〔2019〕18 号）。 </w:t>
      </w:r>
    </w:p>
    <w:p w14:paraId="435EA72D">
      <w:pPr>
        <w:spacing w:line="480" w:lineRule="exact"/>
        <w:ind w:firstLine="420" w:firstLineChars="200"/>
        <w:jc w:val="both"/>
        <w:rPr>
          <w:rFonts w:hint="eastAsia"/>
          <w:color w:val="000000"/>
          <w:sz w:val="21"/>
          <w:szCs w:val="21"/>
        </w:rPr>
      </w:pPr>
      <w:r>
        <w:rPr>
          <w:rFonts w:hint="eastAsia"/>
          <w:color w:val="000000"/>
          <w:sz w:val="21"/>
          <w:szCs w:val="21"/>
        </w:rPr>
        <w:t>3.8.9 《财政部 农业农村部 国家乡村振兴局关于运用政府采购政策支持乡村产业振兴的通知》（财库〔2021〕19号）.</w:t>
      </w:r>
    </w:p>
    <w:p w14:paraId="4B92FBE8">
      <w:pPr>
        <w:spacing w:line="480" w:lineRule="exact"/>
        <w:ind w:firstLine="420" w:firstLineChars="200"/>
        <w:jc w:val="both"/>
        <w:rPr>
          <w:rFonts w:hint="eastAsia"/>
          <w:color w:val="000000"/>
          <w:sz w:val="21"/>
          <w:szCs w:val="21"/>
        </w:rPr>
      </w:pPr>
      <w:r>
        <w:rPr>
          <w:rFonts w:hint="eastAsia"/>
          <w:color w:val="000000"/>
          <w:sz w:val="21"/>
          <w:szCs w:val="21"/>
        </w:rPr>
        <w:t>3.8.10 《财政部农业农村部国家乡村振兴局 中华人民共和国全国供销合作总社关于印发&lt;关于深入开展政府采购脱贫地区农副产品工作推进乡村产业振兴的实施意见&gt;的通知》（财库〔2021〕20号）。</w:t>
      </w:r>
    </w:p>
    <w:p w14:paraId="1556A67E">
      <w:pPr>
        <w:spacing w:line="480" w:lineRule="exact"/>
        <w:ind w:firstLine="420" w:firstLineChars="200"/>
        <w:jc w:val="both"/>
        <w:rPr>
          <w:rFonts w:hint="eastAsia"/>
          <w:color w:val="000000"/>
          <w:sz w:val="21"/>
          <w:szCs w:val="21"/>
        </w:rPr>
      </w:pPr>
      <w:r>
        <w:rPr>
          <w:rFonts w:hint="eastAsia"/>
          <w:color w:val="000000"/>
          <w:sz w:val="21"/>
          <w:szCs w:val="21"/>
        </w:rPr>
        <w:t>3.8.11 《陕西省财政厅关于加快推进我省中小企业政府采购信用融资工作的通知》（陕财办采〔2020〕15号）。</w:t>
      </w:r>
    </w:p>
    <w:p w14:paraId="673DF600">
      <w:pPr>
        <w:spacing w:line="480" w:lineRule="exact"/>
        <w:ind w:firstLine="420" w:firstLineChars="200"/>
        <w:jc w:val="both"/>
        <w:rPr>
          <w:rFonts w:hint="eastAsia"/>
          <w:color w:val="000000"/>
          <w:sz w:val="21"/>
          <w:szCs w:val="21"/>
        </w:rPr>
      </w:pPr>
      <w:r>
        <w:rPr>
          <w:rFonts w:hint="eastAsia"/>
          <w:color w:val="000000"/>
          <w:sz w:val="21"/>
          <w:szCs w:val="21"/>
        </w:rPr>
        <w:t xml:space="preserve">3.8.12 根据陕西省财政厅关于印发《陕西省中小企业政府采购信用融资办法》（陕财办采〔2018〕23 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陕西省政府采购信用融资平台：http://www.ccgp-shaanxi.gov.cn/zcdservice/zcd/shanxi/） </w:t>
      </w:r>
    </w:p>
    <w:p w14:paraId="27143592">
      <w:pPr>
        <w:spacing w:line="480" w:lineRule="exact"/>
        <w:ind w:firstLine="420" w:firstLineChars="200"/>
        <w:jc w:val="both"/>
        <w:rPr>
          <w:rFonts w:hint="eastAsia"/>
          <w:color w:val="000000"/>
          <w:sz w:val="21"/>
          <w:szCs w:val="21"/>
        </w:rPr>
      </w:pPr>
      <w:r>
        <w:rPr>
          <w:rFonts w:hint="eastAsia"/>
          <w:color w:val="000000"/>
          <w:sz w:val="21"/>
          <w:szCs w:val="21"/>
        </w:rPr>
        <w:t>3.8.13 《关于在政府采购活动中查询及使用信用记录有关问题的通知》（财库〔2016〕125号）。</w:t>
      </w:r>
    </w:p>
    <w:p w14:paraId="59738724">
      <w:pPr>
        <w:spacing w:line="480" w:lineRule="exact"/>
        <w:ind w:firstLine="420" w:firstLineChars="200"/>
        <w:jc w:val="both"/>
        <w:rPr>
          <w:rFonts w:hint="eastAsia"/>
          <w:color w:val="000000"/>
          <w:sz w:val="21"/>
          <w:szCs w:val="21"/>
        </w:rPr>
      </w:pPr>
      <w:r>
        <w:rPr>
          <w:rFonts w:hint="eastAsia"/>
          <w:color w:val="000000"/>
          <w:sz w:val="21"/>
          <w:szCs w:val="21"/>
        </w:rPr>
        <w:t>专门面向中小企业的项目（标包），参加政府采购活动的中、小、微企业应提供《中小企业声明函》或提供监狱企业的证明文件或残疾人福利性单位声明函，未提供上述声明函或证明文件的，则响应文件无效；如项目（标包）为专门面向中小企业采购的采购项目（标包），不再执行价格评审优惠扶持政策，如项目（标包）为非专门面向中小企业采购的采购项目（标包），执行价格评审优惠扶持政策，评审优惠幅度按照评审标准进行评审。</w:t>
      </w:r>
    </w:p>
    <w:p w14:paraId="5E858FC3">
      <w:pPr>
        <w:spacing w:line="480" w:lineRule="exact"/>
        <w:ind w:firstLine="420" w:firstLineChars="200"/>
        <w:jc w:val="both"/>
        <w:rPr>
          <w:rFonts w:hint="eastAsia"/>
          <w:color w:val="000000"/>
          <w:sz w:val="21"/>
          <w:szCs w:val="21"/>
        </w:rPr>
      </w:pPr>
      <w:r>
        <w:rPr>
          <w:rFonts w:hint="eastAsia"/>
          <w:color w:val="000000"/>
          <w:sz w:val="21"/>
          <w:szCs w:val="21"/>
        </w:rPr>
        <w:t>3.8.14其他需要落实的政府采购政策：按相关规定执行（如有最新颁布的政府采购政策，按最新的文件执行）。</w:t>
      </w:r>
    </w:p>
    <w:p w14:paraId="3B1D2308">
      <w:pPr>
        <w:pStyle w:val="4"/>
        <w:spacing w:before="0" w:after="0" w:line="480" w:lineRule="exact"/>
        <w:rPr>
          <w:rFonts w:hint="eastAsia" w:ascii="宋体" w:hAnsi="宋体" w:cs="宋体"/>
          <w:color w:val="000000"/>
          <w:sz w:val="21"/>
          <w:szCs w:val="21"/>
        </w:rPr>
      </w:pPr>
      <w:bookmarkStart w:id="41" w:name="_Toc4497832"/>
      <w:bookmarkStart w:id="42" w:name="_Toc4497885"/>
      <w:bookmarkStart w:id="43" w:name="_Toc20686"/>
      <w:r>
        <w:rPr>
          <w:rFonts w:hint="eastAsia" w:ascii="宋体" w:hAnsi="宋体" w:cs="宋体"/>
          <w:color w:val="000000"/>
          <w:sz w:val="21"/>
          <w:szCs w:val="21"/>
        </w:rPr>
        <w:t>4.投标</w:t>
      </w:r>
      <w:bookmarkEnd w:id="39"/>
      <w:bookmarkEnd w:id="40"/>
      <w:bookmarkEnd w:id="41"/>
      <w:bookmarkEnd w:id="42"/>
      <w:bookmarkEnd w:id="43"/>
    </w:p>
    <w:p w14:paraId="4007CB53">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4.1 投标文件的密封和标记</w:t>
      </w:r>
    </w:p>
    <w:p w14:paraId="610724CE">
      <w:pPr>
        <w:spacing w:line="480" w:lineRule="exact"/>
        <w:ind w:firstLine="420" w:firstLineChars="200"/>
        <w:rPr>
          <w:rFonts w:hint="eastAsia"/>
          <w:color w:val="000000"/>
          <w:sz w:val="21"/>
          <w:szCs w:val="21"/>
        </w:rPr>
      </w:pPr>
      <w:r>
        <w:rPr>
          <w:rFonts w:hint="eastAsia"/>
          <w:color w:val="000000"/>
          <w:sz w:val="21"/>
          <w:szCs w:val="21"/>
        </w:rPr>
        <w:t>4.1.1 投标文件的密封：</w:t>
      </w:r>
      <w:r>
        <w:rPr>
          <w:rFonts w:hint="eastAsia"/>
          <w:b/>
          <w:bCs/>
          <w:color w:val="000000"/>
          <w:sz w:val="21"/>
          <w:szCs w:val="21"/>
        </w:rPr>
        <w:t>投标文件需密封。</w:t>
      </w:r>
    </w:p>
    <w:p w14:paraId="674E8302">
      <w:pPr>
        <w:spacing w:line="480" w:lineRule="exact"/>
        <w:ind w:firstLine="420" w:firstLineChars="200"/>
        <w:rPr>
          <w:rFonts w:hint="eastAsia"/>
          <w:color w:val="000000"/>
          <w:sz w:val="21"/>
          <w:szCs w:val="21"/>
        </w:rPr>
      </w:pPr>
      <w:r>
        <w:rPr>
          <w:rFonts w:hint="eastAsia"/>
          <w:color w:val="000000"/>
          <w:sz w:val="21"/>
          <w:szCs w:val="21"/>
        </w:rPr>
        <w:t>4.1.2 投标文件封套的标记：封套上应写明的内容见投标人须知前附表，并在封面加盖投标人单位章。</w:t>
      </w:r>
    </w:p>
    <w:p w14:paraId="453B6B90">
      <w:pPr>
        <w:spacing w:line="480" w:lineRule="exact"/>
        <w:ind w:firstLine="420" w:firstLineChars="200"/>
        <w:rPr>
          <w:rFonts w:hint="eastAsia"/>
          <w:color w:val="000000"/>
          <w:sz w:val="21"/>
          <w:szCs w:val="21"/>
        </w:rPr>
      </w:pPr>
      <w:r>
        <w:rPr>
          <w:rFonts w:hint="eastAsia"/>
          <w:color w:val="000000"/>
          <w:sz w:val="21"/>
          <w:szCs w:val="21"/>
        </w:rPr>
        <w:t>4.1.3 未按本章第4.1.1 项要求密封或未按本章第4.1.2项要求的投标文件，招标人不予受理。</w:t>
      </w:r>
    </w:p>
    <w:p w14:paraId="44D6AA3B">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4.2 投标文件的递交</w:t>
      </w:r>
    </w:p>
    <w:p w14:paraId="37B07E45">
      <w:pPr>
        <w:spacing w:line="480" w:lineRule="exact"/>
        <w:ind w:firstLine="420" w:firstLineChars="200"/>
        <w:rPr>
          <w:rFonts w:hint="eastAsia"/>
          <w:color w:val="000000"/>
          <w:sz w:val="21"/>
          <w:szCs w:val="21"/>
        </w:rPr>
      </w:pPr>
      <w:r>
        <w:rPr>
          <w:rFonts w:hint="eastAsia"/>
          <w:color w:val="000000"/>
          <w:sz w:val="21"/>
          <w:szCs w:val="21"/>
        </w:rPr>
        <w:t>4.2.1 投标人应在投标人须知前附表第2.2.2 项规定的投标截止时间前递交投标文件。</w:t>
      </w:r>
    </w:p>
    <w:p w14:paraId="5BBED6E6">
      <w:pPr>
        <w:spacing w:line="480" w:lineRule="exact"/>
        <w:ind w:firstLine="420" w:firstLineChars="200"/>
        <w:rPr>
          <w:rFonts w:hint="eastAsia"/>
          <w:color w:val="000000"/>
          <w:sz w:val="21"/>
          <w:szCs w:val="21"/>
        </w:rPr>
      </w:pPr>
      <w:r>
        <w:rPr>
          <w:rFonts w:hint="eastAsia"/>
          <w:color w:val="000000"/>
          <w:sz w:val="21"/>
          <w:szCs w:val="21"/>
        </w:rPr>
        <w:t>4.2.2 投标人递交投标文件的地点：见投标人须知前附表。</w:t>
      </w:r>
    </w:p>
    <w:p w14:paraId="5B8D828C">
      <w:pPr>
        <w:spacing w:line="480" w:lineRule="exact"/>
        <w:ind w:firstLine="420" w:firstLineChars="200"/>
        <w:rPr>
          <w:rFonts w:hint="eastAsia"/>
          <w:color w:val="000000"/>
          <w:sz w:val="21"/>
          <w:szCs w:val="21"/>
        </w:rPr>
      </w:pPr>
      <w:r>
        <w:rPr>
          <w:rFonts w:hint="eastAsia"/>
          <w:color w:val="000000"/>
          <w:sz w:val="21"/>
          <w:szCs w:val="21"/>
        </w:rPr>
        <w:t>4.2.3 除投标人须知前附表另有规定外，投标人所递交的投标文件不予退还。</w:t>
      </w:r>
    </w:p>
    <w:p w14:paraId="39421ACF">
      <w:pPr>
        <w:spacing w:line="480" w:lineRule="exact"/>
        <w:ind w:firstLine="420" w:firstLineChars="200"/>
        <w:rPr>
          <w:rFonts w:hint="eastAsia"/>
          <w:color w:val="000000"/>
          <w:sz w:val="21"/>
          <w:szCs w:val="21"/>
        </w:rPr>
      </w:pPr>
      <w:r>
        <w:rPr>
          <w:rFonts w:hint="eastAsia"/>
          <w:color w:val="000000"/>
          <w:sz w:val="21"/>
          <w:szCs w:val="21"/>
        </w:rPr>
        <w:t>4.2.4 招标人收到投标文件后，向投标人出具签收凭证。</w:t>
      </w:r>
    </w:p>
    <w:p w14:paraId="688F9971">
      <w:pPr>
        <w:spacing w:line="480" w:lineRule="exact"/>
        <w:ind w:firstLine="420" w:firstLineChars="200"/>
        <w:rPr>
          <w:rFonts w:hint="eastAsia"/>
          <w:color w:val="000000"/>
          <w:sz w:val="21"/>
          <w:szCs w:val="21"/>
        </w:rPr>
      </w:pPr>
      <w:r>
        <w:rPr>
          <w:rFonts w:hint="eastAsia"/>
          <w:color w:val="000000"/>
          <w:sz w:val="21"/>
          <w:szCs w:val="21"/>
        </w:rPr>
        <w:t>4.2.5 逾期送达的或者未送达指定地点的投标文件，招标人不予受理。</w:t>
      </w:r>
    </w:p>
    <w:p w14:paraId="1C5A1A68">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4.3 投标文件的修改与撤回</w:t>
      </w:r>
    </w:p>
    <w:p w14:paraId="6CE121A0">
      <w:pPr>
        <w:spacing w:line="480" w:lineRule="exact"/>
        <w:ind w:firstLine="420" w:firstLineChars="200"/>
        <w:rPr>
          <w:rFonts w:hint="eastAsia"/>
          <w:color w:val="000000"/>
          <w:sz w:val="21"/>
          <w:szCs w:val="21"/>
        </w:rPr>
      </w:pPr>
      <w:r>
        <w:rPr>
          <w:rFonts w:hint="eastAsia"/>
          <w:color w:val="000000"/>
          <w:sz w:val="21"/>
          <w:szCs w:val="21"/>
        </w:rPr>
        <w:t>4.3.1 在投标人须知前附表第2.2.2 项规定的投标截止时间前，投标人可以修改或撤回已递交的投标文件，但应以书面形式通知招标人。</w:t>
      </w:r>
    </w:p>
    <w:p w14:paraId="0DDB445D">
      <w:pPr>
        <w:spacing w:line="480" w:lineRule="exact"/>
        <w:ind w:firstLine="420" w:firstLineChars="200"/>
        <w:rPr>
          <w:rFonts w:hint="eastAsia"/>
          <w:color w:val="000000"/>
          <w:sz w:val="21"/>
          <w:szCs w:val="21"/>
        </w:rPr>
      </w:pPr>
      <w:r>
        <w:rPr>
          <w:rFonts w:hint="eastAsia"/>
          <w:color w:val="000000"/>
          <w:sz w:val="21"/>
          <w:szCs w:val="21"/>
        </w:rPr>
        <w:t>4.3.2 投标人修改或撤回已递交投标文件的书面通知应按照本章第3.7.3 项的要求签字或盖章。招标人收到书面通知后，向投标人出具签收凭证。</w:t>
      </w:r>
    </w:p>
    <w:p w14:paraId="11463AD7">
      <w:pPr>
        <w:pStyle w:val="4"/>
        <w:spacing w:before="0" w:after="0" w:line="480" w:lineRule="exact"/>
        <w:rPr>
          <w:rFonts w:hint="eastAsia" w:ascii="宋体" w:hAnsi="宋体" w:cs="宋体"/>
          <w:color w:val="000000"/>
          <w:sz w:val="21"/>
          <w:szCs w:val="21"/>
        </w:rPr>
      </w:pPr>
      <w:bookmarkStart w:id="44" w:name="_Toc290389702"/>
      <w:bookmarkStart w:id="45" w:name="_Toc184635075"/>
      <w:bookmarkStart w:id="46" w:name="_Toc4497886"/>
      <w:bookmarkStart w:id="47" w:name="_Toc4497833"/>
      <w:bookmarkStart w:id="48" w:name="_Toc2347"/>
      <w:r>
        <w:rPr>
          <w:rFonts w:hint="eastAsia" w:ascii="宋体" w:hAnsi="宋体" w:cs="宋体"/>
          <w:color w:val="000000"/>
          <w:sz w:val="21"/>
          <w:szCs w:val="21"/>
        </w:rPr>
        <w:t>5.开标</w:t>
      </w:r>
      <w:bookmarkEnd w:id="44"/>
      <w:bookmarkEnd w:id="45"/>
      <w:bookmarkEnd w:id="46"/>
      <w:bookmarkEnd w:id="47"/>
      <w:bookmarkEnd w:id="48"/>
    </w:p>
    <w:p w14:paraId="465BC0AA">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5.1 开标时间和地点</w:t>
      </w:r>
    </w:p>
    <w:p w14:paraId="7D67CEF2">
      <w:pPr>
        <w:spacing w:line="480" w:lineRule="exact"/>
        <w:ind w:firstLine="420" w:firstLineChars="200"/>
        <w:rPr>
          <w:rFonts w:hint="eastAsia"/>
          <w:color w:val="000000"/>
          <w:sz w:val="21"/>
          <w:szCs w:val="21"/>
        </w:rPr>
      </w:pPr>
      <w:r>
        <w:rPr>
          <w:rFonts w:hint="eastAsia"/>
          <w:color w:val="000000"/>
          <w:sz w:val="21"/>
          <w:szCs w:val="21"/>
        </w:rPr>
        <w:t>招标人在投标人须知前附表第2.2.2 项规定的投标截止时间（开标时间）和投标人须知前附表规定的地点公开开标，并邀请所有投标人的法定代表人或其委托代理人准时参加。</w:t>
      </w:r>
    </w:p>
    <w:p w14:paraId="03385CE3">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5.2 开标程序</w:t>
      </w:r>
    </w:p>
    <w:p w14:paraId="0BB64506">
      <w:pPr>
        <w:spacing w:line="480" w:lineRule="exact"/>
        <w:ind w:firstLine="420" w:firstLineChars="200"/>
        <w:rPr>
          <w:rFonts w:hint="eastAsia"/>
          <w:color w:val="000000"/>
          <w:sz w:val="21"/>
          <w:szCs w:val="21"/>
        </w:rPr>
      </w:pPr>
      <w:r>
        <w:rPr>
          <w:rFonts w:hint="eastAsia"/>
          <w:color w:val="000000"/>
          <w:sz w:val="21"/>
          <w:szCs w:val="21"/>
        </w:rPr>
        <w:t>开标会主要程序如下：</w:t>
      </w:r>
    </w:p>
    <w:p w14:paraId="50456765">
      <w:pPr>
        <w:spacing w:line="480" w:lineRule="exact"/>
        <w:ind w:firstLine="420" w:firstLineChars="200"/>
        <w:rPr>
          <w:rFonts w:hint="eastAsia"/>
          <w:color w:val="000000"/>
          <w:sz w:val="21"/>
          <w:szCs w:val="21"/>
        </w:rPr>
      </w:pPr>
      <w:r>
        <w:rPr>
          <w:rFonts w:hint="eastAsia"/>
          <w:color w:val="000000"/>
          <w:sz w:val="21"/>
          <w:szCs w:val="21"/>
        </w:rPr>
        <w:t xml:space="preserve">（1）宣布开标纪律； </w:t>
      </w:r>
    </w:p>
    <w:p w14:paraId="65B3224F">
      <w:pPr>
        <w:spacing w:line="480" w:lineRule="exact"/>
        <w:ind w:firstLine="420" w:firstLineChars="200"/>
        <w:rPr>
          <w:rFonts w:hint="eastAsia"/>
          <w:color w:val="000000"/>
          <w:sz w:val="21"/>
          <w:szCs w:val="21"/>
        </w:rPr>
      </w:pPr>
      <w:r>
        <w:rPr>
          <w:rFonts w:hint="eastAsia"/>
          <w:color w:val="000000"/>
          <w:sz w:val="21"/>
          <w:szCs w:val="21"/>
        </w:rPr>
        <w:t xml:space="preserve">（2）公布在投标截止时间前递交投标文件的投标人名称； </w:t>
      </w:r>
    </w:p>
    <w:p w14:paraId="3DAF7D6C">
      <w:pPr>
        <w:spacing w:line="480" w:lineRule="exact"/>
        <w:ind w:firstLine="420" w:firstLineChars="200"/>
        <w:rPr>
          <w:rFonts w:hint="eastAsia"/>
          <w:color w:val="000000"/>
          <w:sz w:val="21"/>
          <w:szCs w:val="21"/>
        </w:rPr>
      </w:pPr>
      <w:r>
        <w:rPr>
          <w:rFonts w:hint="eastAsia"/>
          <w:color w:val="000000"/>
          <w:sz w:val="21"/>
          <w:szCs w:val="21"/>
        </w:rPr>
        <w:t>（3）介绍招标人、招标代理机构和招标工作人员。唱标员、记标员不得在开标中途离开唱标室和随意更换；</w:t>
      </w:r>
    </w:p>
    <w:p w14:paraId="36236379">
      <w:pPr>
        <w:spacing w:line="480" w:lineRule="exact"/>
        <w:ind w:firstLine="420" w:firstLineChars="200"/>
        <w:rPr>
          <w:rFonts w:hint="eastAsia"/>
          <w:color w:val="000000"/>
          <w:sz w:val="21"/>
          <w:szCs w:val="21"/>
        </w:rPr>
      </w:pPr>
      <w:r>
        <w:rPr>
          <w:rFonts w:hint="eastAsia"/>
          <w:color w:val="000000"/>
          <w:sz w:val="21"/>
          <w:szCs w:val="21"/>
        </w:rPr>
        <w:t>（4）由监标人、投标人法定代表人或授权委托代理人检查投标文件的密封情况，按照投标人须知前附表规定的开标顺序当众开标，公布招标项目名称、投标人名称、投标总报价等内容，并记录在案；</w:t>
      </w:r>
    </w:p>
    <w:p w14:paraId="166C2A29">
      <w:pPr>
        <w:spacing w:line="480" w:lineRule="exact"/>
        <w:ind w:firstLine="420" w:firstLineChars="200"/>
        <w:rPr>
          <w:rFonts w:hint="eastAsia"/>
          <w:color w:val="000000"/>
          <w:sz w:val="21"/>
          <w:szCs w:val="21"/>
        </w:rPr>
      </w:pPr>
      <w:r>
        <w:rPr>
          <w:rFonts w:hint="eastAsia"/>
          <w:color w:val="000000"/>
          <w:sz w:val="21"/>
          <w:szCs w:val="21"/>
        </w:rPr>
        <w:t xml:space="preserve">（5）投标人代表、唱标人、记录人、监标人等有关人员在开标记录上签字确认； </w:t>
      </w:r>
    </w:p>
    <w:p w14:paraId="1E6D7C63">
      <w:pPr>
        <w:spacing w:line="480" w:lineRule="exact"/>
        <w:ind w:firstLine="420" w:firstLineChars="200"/>
        <w:rPr>
          <w:rFonts w:hint="eastAsia"/>
          <w:sz w:val="21"/>
          <w:szCs w:val="21"/>
        </w:rPr>
      </w:pPr>
      <w:r>
        <w:rPr>
          <w:rFonts w:hint="eastAsia"/>
          <w:color w:val="000000"/>
          <w:sz w:val="21"/>
          <w:szCs w:val="21"/>
        </w:rPr>
        <w:t>（6）开标结束。</w:t>
      </w:r>
    </w:p>
    <w:p w14:paraId="40F93A81">
      <w:pPr>
        <w:autoSpaceDE w:val="0"/>
        <w:autoSpaceDN w:val="0"/>
        <w:spacing w:line="480" w:lineRule="exact"/>
        <w:ind w:firstLine="420" w:firstLineChars="200"/>
        <w:rPr>
          <w:rFonts w:hint="eastAsia"/>
          <w:sz w:val="21"/>
          <w:szCs w:val="21"/>
        </w:rPr>
      </w:pPr>
      <w:r>
        <w:rPr>
          <w:rFonts w:hint="eastAsia"/>
          <w:sz w:val="21"/>
          <w:szCs w:val="21"/>
        </w:rPr>
        <w:t>5.2.2 投标文件的有效性</w:t>
      </w:r>
    </w:p>
    <w:p w14:paraId="30BD507F">
      <w:pPr>
        <w:autoSpaceDE w:val="0"/>
        <w:autoSpaceDN w:val="0"/>
        <w:spacing w:line="480" w:lineRule="exact"/>
        <w:ind w:firstLine="420" w:firstLineChars="200"/>
        <w:rPr>
          <w:rFonts w:hint="eastAsia"/>
          <w:sz w:val="21"/>
          <w:szCs w:val="21"/>
        </w:rPr>
      </w:pPr>
      <w:r>
        <w:rPr>
          <w:rFonts w:hint="eastAsia"/>
          <w:sz w:val="21"/>
          <w:szCs w:val="21"/>
        </w:rPr>
        <w:t>开标时，投标文件出现下列情形之一的，应当作为无效投标文件或不予受理：</w:t>
      </w:r>
    </w:p>
    <w:p w14:paraId="4FC1D0E0">
      <w:pPr>
        <w:autoSpaceDE w:val="0"/>
        <w:autoSpaceDN w:val="0"/>
        <w:spacing w:line="480" w:lineRule="exact"/>
        <w:ind w:firstLine="420" w:firstLineChars="200"/>
        <w:rPr>
          <w:rFonts w:hint="eastAsia"/>
          <w:sz w:val="21"/>
          <w:szCs w:val="21"/>
        </w:rPr>
      </w:pPr>
      <w:r>
        <w:rPr>
          <w:rFonts w:hint="eastAsia"/>
          <w:sz w:val="21"/>
          <w:szCs w:val="21"/>
        </w:rPr>
        <w:t>1）投标文件在招标文件规定的投标截止日期规定时间之后送达的；</w:t>
      </w:r>
    </w:p>
    <w:p w14:paraId="5ECDD9EF">
      <w:pPr>
        <w:autoSpaceDE w:val="0"/>
        <w:autoSpaceDN w:val="0"/>
        <w:spacing w:line="480" w:lineRule="exact"/>
        <w:ind w:firstLine="420" w:firstLineChars="200"/>
        <w:rPr>
          <w:rFonts w:hint="eastAsia"/>
          <w:sz w:val="21"/>
          <w:szCs w:val="21"/>
        </w:rPr>
      </w:pPr>
      <w:r>
        <w:rPr>
          <w:rFonts w:hint="eastAsia"/>
          <w:sz w:val="21"/>
          <w:szCs w:val="21"/>
        </w:rPr>
        <w:t>2）投标文件未按照本须知第4.1条的要求装订、密封和标记的；</w:t>
      </w:r>
    </w:p>
    <w:p w14:paraId="3B81731B">
      <w:pPr>
        <w:autoSpaceDE w:val="0"/>
        <w:autoSpaceDN w:val="0"/>
        <w:spacing w:line="480" w:lineRule="exact"/>
        <w:ind w:firstLine="420" w:firstLineChars="200"/>
        <w:rPr>
          <w:rFonts w:hint="eastAsia"/>
          <w:sz w:val="21"/>
          <w:szCs w:val="21"/>
        </w:rPr>
      </w:pPr>
      <w:r>
        <w:rPr>
          <w:rFonts w:hint="eastAsia"/>
          <w:sz w:val="21"/>
          <w:szCs w:val="21"/>
        </w:rPr>
        <w:t>3）未按招标文件要求提交投标保证金的；</w:t>
      </w:r>
    </w:p>
    <w:p w14:paraId="61F8F7BB">
      <w:pPr>
        <w:autoSpaceDE w:val="0"/>
        <w:autoSpaceDN w:val="0"/>
        <w:spacing w:line="480" w:lineRule="exact"/>
        <w:ind w:firstLine="420" w:firstLineChars="200"/>
        <w:rPr>
          <w:rFonts w:hint="eastAsia"/>
          <w:sz w:val="21"/>
          <w:szCs w:val="21"/>
        </w:rPr>
      </w:pPr>
      <w:r>
        <w:rPr>
          <w:rFonts w:hint="eastAsia"/>
          <w:sz w:val="21"/>
          <w:szCs w:val="21"/>
        </w:rPr>
        <w:t>4）招标文件中载明的其他无效标情况。</w:t>
      </w:r>
    </w:p>
    <w:p w14:paraId="26AFBF34">
      <w:pPr>
        <w:autoSpaceDE w:val="0"/>
        <w:autoSpaceDN w:val="0"/>
        <w:spacing w:line="480" w:lineRule="exact"/>
        <w:ind w:firstLine="420" w:firstLineChars="200"/>
        <w:rPr>
          <w:rFonts w:hint="eastAsia"/>
          <w:sz w:val="21"/>
          <w:szCs w:val="21"/>
        </w:rPr>
      </w:pPr>
      <w:r>
        <w:rPr>
          <w:rFonts w:hint="eastAsia"/>
          <w:sz w:val="21"/>
          <w:szCs w:val="21"/>
        </w:rPr>
        <w:t>5.2.3 开启标书后，发现投标文件中出现下列情形之一的视为无效投标，不得进入评审：</w:t>
      </w:r>
    </w:p>
    <w:p w14:paraId="37EFFBD2">
      <w:pPr>
        <w:autoSpaceDE w:val="0"/>
        <w:autoSpaceDN w:val="0"/>
        <w:spacing w:line="480" w:lineRule="exact"/>
        <w:ind w:firstLine="420" w:firstLineChars="200"/>
        <w:rPr>
          <w:rFonts w:hint="eastAsia"/>
          <w:sz w:val="21"/>
          <w:szCs w:val="21"/>
        </w:rPr>
      </w:pPr>
      <w:r>
        <w:rPr>
          <w:rFonts w:hint="eastAsia"/>
          <w:sz w:val="21"/>
          <w:szCs w:val="21"/>
        </w:rPr>
        <w:t>1）投标文件未按招标文件规定格式填写，内容不全或关键词字迹模糊、无法辨认的；</w:t>
      </w:r>
    </w:p>
    <w:p w14:paraId="19ACC0EC">
      <w:pPr>
        <w:autoSpaceDE w:val="0"/>
        <w:autoSpaceDN w:val="0"/>
        <w:spacing w:line="480" w:lineRule="exact"/>
        <w:ind w:firstLine="420" w:firstLineChars="200"/>
        <w:rPr>
          <w:rFonts w:hint="eastAsia"/>
          <w:sz w:val="21"/>
          <w:szCs w:val="21"/>
        </w:rPr>
      </w:pPr>
      <w:r>
        <w:rPr>
          <w:rFonts w:hint="eastAsia"/>
          <w:sz w:val="21"/>
          <w:szCs w:val="21"/>
        </w:rPr>
        <w:t>2）投标人递交两份或多份内容不同的投标文件或有多个不同报价的或提交替代投标方案的；</w:t>
      </w:r>
    </w:p>
    <w:p w14:paraId="225054E2">
      <w:pPr>
        <w:autoSpaceDE w:val="0"/>
        <w:autoSpaceDN w:val="0"/>
        <w:spacing w:line="480" w:lineRule="exact"/>
        <w:ind w:firstLine="420" w:firstLineChars="200"/>
        <w:rPr>
          <w:rFonts w:hint="eastAsia"/>
          <w:sz w:val="21"/>
          <w:szCs w:val="21"/>
        </w:rPr>
      </w:pPr>
      <w:r>
        <w:rPr>
          <w:rFonts w:hint="eastAsia"/>
          <w:sz w:val="21"/>
          <w:szCs w:val="21"/>
        </w:rPr>
        <w:t>3）投标人擅自改动招标人提供的工程量清单内容（包括招标人指定的暂定单价）的；</w:t>
      </w:r>
    </w:p>
    <w:p w14:paraId="016C0D1A">
      <w:pPr>
        <w:autoSpaceDE w:val="0"/>
        <w:autoSpaceDN w:val="0"/>
        <w:spacing w:line="480" w:lineRule="exact"/>
        <w:ind w:firstLine="420" w:firstLineChars="200"/>
        <w:rPr>
          <w:rFonts w:hint="eastAsia"/>
          <w:sz w:val="21"/>
          <w:szCs w:val="21"/>
        </w:rPr>
      </w:pPr>
      <w:r>
        <w:rPr>
          <w:rFonts w:hint="eastAsia"/>
          <w:sz w:val="21"/>
          <w:szCs w:val="21"/>
        </w:rPr>
        <w:t>4）投标工期超过招标文件规定期限的或工期过短经评标委员会认定为不合理工期的；</w:t>
      </w:r>
    </w:p>
    <w:p w14:paraId="284BE5CB">
      <w:pPr>
        <w:autoSpaceDE w:val="0"/>
        <w:autoSpaceDN w:val="0"/>
        <w:spacing w:line="480" w:lineRule="exact"/>
        <w:ind w:firstLine="420" w:firstLineChars="200"/>
        <w:rPr>
          <w:rFonts w:hint="eastAsia"/>
          <w:sz w:val="21"/>
          <w:szCs w:val="21"/>
        </w:rPr>
      </w:pPr>
      <w:r>
        <w:rPr>
          <w:rFonts w:hint="eastAsia"/>
          <w:sz w:val="21"/>
          <w:szCs w:val="21"/>
        </w:rPr>
        <w:t>5）投标有效期少于招标文件规定期限的；</w:t>
      </w:r>
    </w:p>
    <w:p w14:paraId="38C25823">
      <w:pPr>
        <w:autoSpaceDE w:val="0"/>
        <w:autoSpaceDN w:val="0"/>
        <w:spacing w:line="480" w:lineRule="exact"/>
        <w:ind w:firstLine="420" w:firstLineChars="200"/>
        <w:rPr>
          <w:rFonts w:hint="eastAsia"/>
          <w:sz w:val="21"/>
          <w:szCs w:val="21"/>
        </w:rPr>
      </w:pPr>
      <w:r>
        <w:rPr>
          <w:rFonts w:hint="eastAsia"/>
          <w:sz w:val="21"/>
          <w:szCs w:val="21"/>
        </w:rPr>
        <w:t>6）未对招标文件的实质性条款做出完全响应的；</w:t>
      </w:r>
    </w:p>
    <w:p w14:paraId="60C9B6BE">
      <w:pPr>
        <w:autoSpaceDE w:val="0"/>
        <w:autoSpaceDN w:val="0"/>
        <w:spacing w:line="480" w:lineRule="exact"/>
        <w:ind w:firstLine="420" w:firstLineChars="200"/>
        <w:rPr>
          <w:rFonts w:hint="eastAsia"/>
          <w:sz w:val="21"/>
          <w:szCs w:val="21"/>
        </w:rPr>
      </w:pPr>
      <w:r>
        <w:rPr>
          <w:rFonts w:hint="eastAsia"/>
          <w:sz w:val="21"/>
          <w:szCs w:val="21"/>
        </w:rPr>
        <w:t>7）安全文明施工费、规费、税金未按相关规定计取的；</w:t>
      </w:r>
    </w:p>
    <w:p w14:paraId="006B7C72">
      <w:pPr>
        <w:autoSpaceDE w:val="0"/>
        <w:autoSpaceDN w:val="0"/>
        <w:spacing w:line="480" w:lineRule="exact"/>
        <w:ind w:firstLine="420" w:firstLineChars="200"/>
        <w:rPr>
          <w:rFonts w:hint="eastAsia"/>
          <w:sz w:val="21"/>
          <w:szCs w:val="21"/>
        </w:rPr>
      </w:pPr>
      <w:r>
        <w:rPr>
          <w:rFonts w:hint="eastAsia"/>
          <w:sz w:val="21"/>
          <w:szCs w:val="21"/>
        </w:rPr>
        <w:t>8）附有招标人不能接受的条件的；</w:t>
      </w:r>
    </w:p>
    <w:p w14:paraId="497BABA3">
      <w:pPr>
        <w:autoSpaceDE w:val="0"/>
        <w:autoSpaceDN w:val="0"/>
        <w:spacing w:line="480" w:lineRule="exact"/>
        <w:ind w:firstLine="420" w:firstLineChars="200"/>
        <w:rPr>
          <w:rFonts w:hint="eastAsia"/>
          <w:sz w:val="21"/>
          <w:szCs w:val="21"/>
        </w:rPr>
      </w:pPr>
      <w:r>
        <w:rPr>
          <w:rFonts w:hint="eastAsia"/>
          <w:sz w:val="21"/>
          <w:szCs w:val="21"/>
        </w:rPr>
        <w:t>9）招标文件中载明的其他无效投标情况的。</w:t>
      </w:r>
    </w:p>
    <w:p w14:paraId="2B20B75F">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5.3开标异议</w:t>
      </w:r>
    </w:p>
    <w:p w14:paraId="36F02BE4">
      <w:pPr>
        <w:autoSpaceDE w:val="0"/>
        <w:autoSpaceDN w:val="0"/>
        <w:spacing w:line="480" w:lineRule="exact"/>
        <w:ind w:firstLine="420" w:firstLineChars="200"/>
        <w:rPr>
          <w:rFonts w:hint="eastAsia"/>
          <w:sz w:val="21"/>
          <w:szCs w:val="21"/>
        </w:rPr>
      </w:pPr>
      <w:r>
        <w:rPr>
          <w:rFonts w:hint="eastAsia"/>
          <w:sz w:val="21"/>
          <w:szCs w:val="21"/>
        </w:rPr>
        <w:t>投标人对开标有异议的，应当在开标现场提出，招标人当场作出答复，并制作记录。</w:t>
      </w:r>
    </w:p>
    <w:p w14:paraId="3EA98624">
      <w:pPr>
        <w:pStyle w:val="4"/>
        <w:spacing w:before="0" w:after="0" w:line="480" w:lineRule="exact"/>
        <w:rPr>
          <w:rFonts w:hint="eastAsia" w:ascii="宋体" w:hAnsi="宋体" w:cs="宋体"/>
          <w:color w:val="000000"/>
          <w:sz w:val="21"/>
          <w:szCs w:val="21"/>
        </w:rPr>
      </w:pPr>
      <w:bookmarkStart w:id="49" w:name="_Toc12006"/>
      <w:bookmarkStart w:id="50" w:name="_Toc4497887"/>
      <w:bookmarkStart w:id="51" w:name="_Toc184635076"/>
      <w:bookmarkStart w:id="52" w:name="_Toc290389703"/>
      <w:bookmarkStart w:id="53" w:name="_Toc4497834"/>
      <w:r>
        <w:rPr>
          <w:rFonts w:hint="eastAsia" w:ascii="宋体" w:hAnsi="宋体" w:cs="宋体"/>
          <w:color w:val="000000"/>
          <w:sz w:val="21"/>
          <w:szCs w:val="21"/>
        </w:rPr>
        <w:t>6.评标</w:t>
      </w:r>
      <w:bookmarkEnd w:id="49"/>
      <w:bookmarkEnd w:id="50"/>
      <w:bookmarkEnd w:id="51"/>
      <w:bookmarkEnd w:id="52"/>
      <w:bookmarkEnd w:id="53"/>
    </w:p>
    <w:p w14:paraId="62CDE89D">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6.1 评标委员会</w:t>
      </w:r>
    </w:p>
    <w:p w14:paraId="399AEFE4">
      <w:pPr>
        <w:spacing w:line="480" w:lineRule="exact"/>
        <w:ind w:firstLine="420" w:firstLineChars="200"/>
        <w:rPr>
          <w:rFonts w:hint="eastAsia"/>
          <w:color w:val="000000"/>
          <w:sz w:val="21"/>
          <w:szCs w:val="21"/>
        </w:rPr>
      </w:pPr>
      <w:r>
        <w:rPr>
          <w:rFonts w:hint="eastAsia"/>
          <w:color w:val="000000"/>
          <w:sz w:val="21"/>
          <w:szCs w:val="21"/>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49629D83">
      <w:pPr>
        <w:spacing w:line="480" w:lineRule="exact"/>
        <w:ind w:firstLine="420" w:firstLineChars="200"/>
        <w:rPr>
          <w:rFonts w:hint="eastAsia"/>
          <w:color w:val="000000"/>
          <w:sz w:val="21"/>
          <w:szCs w:val="21"/>
        </w:rPr>
      </w:pPr>
      <w:r>
        <w:rPr>
          <w:rFonts w:hint="eastAsia"/>
          <w:color w:val="000000"/>
          <w:sz w:val="21"/>
          <w:szCs w:val="21"/>
        </w:rPr>
        <w:t>6.1.2 评标委员会成员有下列情形之一的，应当回避：</w:t>
      </w:r>
    </w:p>
    <w:p w14:paraId="36F45755">
      <w:pPr>
        <w:spacing w:line="480" w:lineRule="exact"/>
        <w:ind w:firstLine="420" w:firstLineChars="200"/>
        <w:rPr>
          <w:rFonts w:hint="eastAsia"/>
          <w:color w:val="000000"/>
          <w:sz w:val="21"/>
          <w:szCs w:val="21"/>
        </w:rPr>
      </w:pPr>
      <w:r>
        <w:rPr>
          <w:rFonts w:hint="eastAsia"/>
          <w:color w:val="000000"/>
          <w:sz w:val="21"/>
          <w:szCs w:val="21"/>
        </w:rPr>
        <w:t>（1）招标人或投标人的主要负责人的近亲属；</w:t>
      </w:r>
    </w:p>
    <w:p w14:paraId="1FF51E04">
      <w:pPr>
        <w:spacing w:line="480" w:lineRule="exact"/>
        <w:ind w:firstLine="420" w:firstLineChars="200"/>
        <w:rPr>
          <w:rFonts w:hint="eastAsia"/>
          <w:color w:val="000000"/>
          <w:sz w:val="21"/>
          <w:szCs w:val="21"/>
        </w:rPr>
      </w:pPr>
      <w:r>
        <w:rPr>
          <w:rFonts w:hint="eastAsia"/>
          <w:color w:val="000000"/>
          <w:sz w:val="21"/>
          <w:szCs w:val="21"/>
        </w:rPr>
        <w:t>（2）项目主管部门或者行政监督部门的人员：</w:t>
      </w:r>
    </w:p>
    <w:p w14:paraId="48C60D5B">
      <w:pPr>
        <w:spacing w:line="480" w:lineRule="exact"/>
        <w:ind w:firstLine="420" w:firstLineChars="200"/>
        <w:rPr>
          <w:rFonts w:hint="eastAsia"/>
          <w:color w:val="000000"/>
          <w:sz w:val="21"/>
          <w:szCs w:val="21"/>
        </w:rPr>
      </w:pPr>
      <w:r>
        <w:rPr>
          <w:rFonts w:hint="eastAsia"/>
          <w:color w:val="000000"/>
          <w:sz w:val="21"/>
          <w:szCs w:val="21"/>
        </w:rPr>
        <w:t>（3）与投标人有经济利益关系，可能影响对投标公正评审的；</w:t>
      </w:r>
    </w:p>
    <w:p w14:paraId="11472490">
      <w:pPr>
        <w:spacing w:line="480" w:lineRule="exact"/>
        <w:ind w:firstLine="420" w:firstLineChars="200"/>
        <w:rPr>
          <w:rFonts w:hint="eastAsia"/>
          <w:color w:val="000000"/>
          <w:sz w:val="21"/>
          <w:szCs w:val="21"/>
        </w:rPr>
      </w:pPr>
      <w:r>
        <w:rPr>
          <w:rFonts w:hint="eastAsia"/>
          <w:color w:val="000000"/>
          <w:sz w:val="21"/>
          <w:szCs w:val="21"/>
        </w:rPr>
        <w:t>（4）曾因在招标、评标以及其他与招标投标有关活动中从事违法行为而受过行政处罚或刑事处罚的。</w:t>
      </w:r>
    </w:p>
    <w:p w14:paraId="66819614">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6.2 评标原则</w:t>
      </w:r>
    </w:p>
    <w:p w14:paraId="613F8E61">
      <w:pPr>
        <w:spacing w:line="480" w:lineRule="exact"/>
        <w:ind w:firstLine="420" w:firstLineChars="200"/>
        <w:rPr>
          <w:rFonts w:hint="eastAsia"/>
          <w:color w:val="000000"/>
          <w:sz w:val="21"/>
          <w:szCs w:val="21"/>
        </w:rPr>
      </w:pPr>
      <w:r>
        <w:rPr>
          <w:rFonts w:hint="eastAsia"/>
          <w:color w:val="000000"/>
          <w:sz w:val="21"/>
          <w:szCs w:val="21"/>
        </w:rPr>
        <w:t>评标活动遵循公平、公正、科学和择优的原则。</w:t>
      </w:r>
    </w:p>
    <w:p w14:paraId="0957C594">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6.3 评标</w:t>
      </w:r>
    </w:p>
    <w:p w14:paraId="5D289C53">
      <w:pPr>
        <w:spacing w:line="480" w:lineRule="exact"/>
        <w:ind w:firstLine="420" w:firstLineChars="200"/>
        <w:rPr>
          <w:rFonts w:hint="eastAsia"/>
          <w:color w:val="000000"/>
          <w:sz w:val="21"/>
          <w:szCs w:val="21"/>
        </w:rPr>
      </w:pPr>
      <w:r>
        <w:rPr>
          <w:rFonts w:hint="eastAsia"/>
          <w:color w:val="000000"/>
          <w:sz w:val="21"/>
          <w:szCs w:val="21"/>
        </w:rPr>
        <w:t>评标委员会按照第三部分“评标办法”规定的方法、评审因素、标准和程序对投标文件进行评审。第三部分“评标办法”没有规定的方法、评审因素和标准，不作为评标依据。</w:t>
      </w:r>
    </w:p>
    <w:p w14:paraId="6AAD270B">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6.4评标过程的保密</w:t>
      </w:r>
    </w:p>
    <w:p w14:paraId="21A4E91D">
      <w:pPr>
        <w:spacing w:line="480" w:lineRule="exact"/>
        <w:ind w:firstLine="420" w:firstLineChars="200"/>
        <w:rPr>
          <w:rFonts w:hint="eastAsia"/>
          <w:color w:val="000000"/>
          <w:sz w:val="21"/>
          <w:szCs w:val="21"/>
        </w:rPr>
      </w:pPr>
      <w:r>
        <w:rPr>
          <w:rFonts w:hint="eastAsia"/>
          <w:color w:val="000000"/>
          <w:sz w:val="21"/>
          <w:szCs w:val="21"/>
        </w:rPr>
        <w:t>6.4.1开标后，直至授予中标人合同为止，凡属于对投标文件的审查、澄清、评价和比较有关的资料以及中标候选人的推荐情况，与评标有关的其他任何情况均属严格保密范围。</w:t>
      </w:r>
    </w:p>
    <w:p w14:paraId="77778AAF">
      <w:pPr>
        <w:spacing w:line="480" w:lineRule="exact"/>
        <w:ind w:firstLine="420" w:firstLineChars="200"/>
        <w:rPr>
          <w:rFonts w:hint="eastAsia"/>
          <w:color w:val="000000"/>
          <w:sz w:val="21"/>
          <w:szCs w:val="21"/>
        </w:rPr>
      </w:pPr>
      <w:r>
        <w:rPr>
          <w:rFonts w:hint="eastAsia"/>
          <w:color w:val="000000"/>
          <w:sz w:val="21"/>
          <w:szCs w:val="21"/>
        </w:rPr>
        <w:t>6.4.2在投标文件的评审和比较、中标候选人推荐以及授予合同的过程中，投标人向招标人和评标委员会施加影响的任何行为，都将会导致其投标被拒绝。</w:t>
      </w:r>
    </w:p>
    <w:p w14:paraId="6D65D03D">
      <w:pPr>
        <w:spacing w:line="480" w:lineRule="exact"/>
        <w:ind w:firstLine="420" w:firstLineChars="200"/>
        <w:rPr>
          <w:rFonts w:hint="eastAsia"/>
          <w:color w:val="000000"/>
          <w:sz w:val="21"/>
          <w:szCs w:val="21"/>
        </w:rPr>
      </w:pPr>
      <w:r>
        <w:rPr>
          <w:rFonts w:hint="eastAsia"/>
          <w:color w:val="000000"/>
          <w:sz w:val="21"/>
          <w:szCs w:val="21"/>
        </w:rPr>
        <w:t>6.4.3中标人确定后，招标人不对未中标人就评标过程以及未能中标原因做出任何解释，亦不退回投标文件。未中标人不得向评标委员会组成人员或其他有关人员索问评标过程的情况和材料。</w:t>
      </w:r>
    </w:p>
    <w:p w14:paraId="601687F9">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6.5投标文件的澄清</w:t>
      </w:r>
    </w:p>
    <w:p w14:paraId="4CA013D6">
      <w:pPr>
        <w:spacing w:line="480" w:lineRule="exact"/>
        <w:ind w:firstLine="500"/>
        <w:rPr>
          <w:rFonts w:hint="eastAsia"/>
          <w:color w:val="000000"/>
          <w:sz w:val="21"/>
          <w:szCs w:val="21"/>
        </w:rPr>
      </w:pPr>
      <w:r>
        <w:rPr>
          <w:rFonts w:hint="eastAsia"/>
          <w:color w:val="000000"/>
          <w:sz w:val="21"/>
          <w:szCs w:val="21"/>
        </w:rPr>
        <w:t>为有助于投标文件的审查、评价和比较，评标委员会可以书面形式要求投标人对投标文件含义不明确的内容作必要的澄清或说明，投标人应采用书面形式进行澄清或说明，并经法定代表人或委托代理人签字盖章，但不得超出投标文件的范围或改变投标文件的实质性内容。根据本须知第6.7条规定，凡属于评标委员会在评标中发现的计算错误并进行核实的修改不在此列。</w:t>
      </w:r>
    </w:p>
    <w:p w14:paraId="12907E78">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6.6投标文件的初步评审</w:t>
      </w:r>
    </w:p>
    <w:p w14:paraId="7E360FB0">
      <w:pPr>
        <w:spacing w:line="480" w:lineRule="exact"/>
        <w:ind w:firstLine="420" w:firstLineChars="200"/>
        <w:rPr>
          <w:rFonts w:hint="eastAsia"/>
          <w:color w:val="000000"/>
          <w:sz w:val="21"/>
          <w:szCs w:val="21"/>
        </w:rPr>
      </w:pPr>
      <w:r>
        <w:rPr>
          <w:rFonts w:hint="eastAsia"/>
          <w:color w:val="000000"/>
          <w:sz w:val="21"/>
          <w:szCs w:val="21"/>
        </w:rPr>
        <w:t>6.6.1开标后，经招标人审查符合本须知第5.3条有关规定的投标文件，才能提交评标委员会进行评审。</w:t>
      </w:r>
    </w:p>
    <w:p w14:paraId="00F67761">
      <w:pPr>
        <w:spacing w:line="480" w:lineRule="exact"/>
        <w:ind w:firstLine="420" w:firstLineChars="200"/>
        <w:rPr>
          <w:rFonts w:hint="eastAsia"/>
          <w:color w:val="000000"/>
          <w:sz w:val="21"/>
          <w:szCs w:val="21"/>
        </w:rPr>
      </w:pPr>
      <w:r>
        <w:rPr>
          <w:rFonts w:hint="eastAsia"/>
          <w:color w:val="000000"/>
          <w:sz w:val="21"/>
          <w:szCs w:val="21"/>
        </w:rPr>
        <w:t>6.6.2评标时，评标委员会将首先评定每份投标文件是否在实质上响应了招标文件的要求。所谓实质上响应，是指投标文件应与招标文件的所有实质性条款、条件和要求相符，无显著差异或保留，或者对合同中约定的招标人的权利和投标人的义务方面造成重大的限制，纠正这些显著差异或保留其重大的限制将会对其他实质上响应招标文件要求的投标文件的投标人的竞争地位产生不公正的影响。</w:t>
      </w:r>
    </w:p>
    <w:p w14:paraId="515FEBD9">
      <w:pPr>
        <w:spacing w:line="480" w:lineRule="exact"/>
        <w:ind w:firstLine="420" w:firstLineChars="200"/>
        <w:rPr>
          <w:rFonts w:hint="eastAsia"/>
          <w:color w:val="000000"/>
          <w:sz w:val="21"/>
          <w:szCs w:val="21"/>
        </w:rPr>
      </w:pPr>
      <w:r>
        <w:rPr>
          <w:rFonts w:hint="eastAsia"/>
          <w:color w:val="000000"/>
          <w:sz w:val="21"/>
          <w:szCs w:val="21"/>
        </w:rPr>
        <w:t>6.6.3如果投标文件实质上不响应招标文件的各项要求，或投标文件的编制、内容及责任与招标文件的要求有重大偏差，经评标委员会2/3以上成员确认后，评标委员会将予以拒绝投标，并且不允许投标人通过修改或撤销其不符合要求的差异或保留，使之成为具有响应性的投标。</w:t>
      </w:r>
    </w:p>
    <w:p w14:paraId="4213A30D">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6.7投标文件计算错误的修正</w:t>
      </w:r>
    </w:p>
    <w:p w14:paraId="6BC07816">
      <w:pPr>
        <w:spacing w:line="360" w:lineRule="auto"/>
        <w:ind w:firstLine="420" w:firstLineChars="200"/>
        <w:jc w:val="both"/>
        <w:rPr>
          <w:rFonts w:hint="eastAsia"/>
          <w:sz w:val="21"/>
          <w:szCs w:val="21"/>
        </w:rPr>
      </w:pPr>
      <w:r>
        <w:rPr>
          <w:rFonts w:hint="eastAsia"/>
          <w:sz w:val="21"/>
          <w:szCs w:val="21"/>
        </w:rPr>
        <w:t>投标文件中开标一览表(报价表)内容与投标文件中相应内容不一致的，以开标一览表(报价表)为准；如有单独密封的开标一览表(报价表)与投标文件正本的开标一览表(报价表)不一致，以单独密封的开标一览表(报价表)为准。</w:t>
      </w:r>
    </w:p>
    <w:p w14:paraId="4CCF9238">
      <w:pPr>
        <w:spacing w:line="360" w:lineRule="auto"/>
        <w:ind w:firstLine="420" w:firstLineChars="200"/>
        <w:rPr>
          <w:rFonts w:hint="eastAsia"/>
          <w:sz w:val="21"/>
          <w:szCs w:val="21"/>
        </w:rPr>
      </w:pPr>
      <w:r>
        <w:rPr>
          <w:rFonts w:hint="eastAsia"/>
          <w:sz w:val="21"/>
          <w:szCs w:val="21"/>
        </w:rPr>
        <w:t>投标文件的大写金额和小写金额不一致的，以大写金额为准；</w:t>
      </w:r>
    </w:p>
    <w:p w14:paraId="310A379E">
      <w:pPr>
        <w:spacing w:line="360" w:lineRule="auto"/>
        <w:ind w:firstLine="420" w:firstLineChars="200"/>
        <w:rPr>
          <w:rFonts w:hint="eastAsia"/>
          <w:sz w:val="21"/>
          <w:szCs w:val="21"/>
        </w:rPr>
      </w:pPr>
      <w:r>
        <w:rPr>
          <w:rFonts w:hint="eastAsia"/>
          <w:sz w:val="21"/>
          <w:szCs w:val="21"/>
        </w:rPr>
        <w:t>单价金额小数点或者百分比有明显错位的，以单独密封的开标一览表的总价为准，并修改单价；</w:t>
      </w:r>
    </w:p>
    <w:p w14:paraId="1888221E">
      <w:pPr>
        <w:spacing w:line="360" w:lineRule="auto"/>
        <w:ind w:firstLine="420" w:firstLineChars="200"/>
        <w:rPr>
          <w:rFonts w:hint="eastAsia"/>
          <w:sz w:val="21"/>
          <w:szCs w:val="21"/>
        </w:rPr>
      </w:pPr>
      <w:r>
        <w:rPr>
          <w:rFonts w:hint="eastAsia"/>
          <w:sz w:val="21"/>
          <w:szCs w:val="21"/>
        </w:rPr>
        <w:t>总价金额与按单价汇总金额不一致的，以单价金额计算结果为准；</w:t>
      </w:r>
    </w:p>
    <w:p w14:paraId="2B518822">
      <w:pPr>
        <w:spacing w:line="360" w:lineRule="auto"/>
        <w:ind w:firstLine="420" w:firstLineChars="200"/>
        <w:rPr>
          <w:rFonts w:hint="eastAsia"/>
          <w:sz w:val="21"/>
          <w:szCs w:val="21"/>
        </w:rPr>
      </w:pPr>
      <w:r>
        <w:rPr>
          <w:rFonts w:hint="eastAsia"/>
          <w:sz w:val="21"/>
          <w:szCs w:val="21"/>
        </w:rPr>
        <w:t>按上述修正的顺序和方法调整的投标报价应对投标人具有约束力。如果投标人不接受修正后的价格，其投标将按无效投标处理。</w:t>
      </w:r>
    </w:p>
    <w:p w14:paraId="55E90381">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6.8投标文件的评审、比较和否决</w:t>
      </w:r>
    </w:p>
    <w:p w14:paraId="7B785777">
      <w:pPr>
        <w:spacing w:line="480" w:lineRule="exact"/>
        <w:ind w:firstLine="500"/>
        <w:rPr>
          <w:rFonts w:hint="eastAsia"/>
          <w:color w:val="000000"/>
          <w:sz w:val="21"/>
          <w:szCs w:val="21"/>
        </w:rPr>
      </w:pPr>
      <w:r>
        <w:rPr>
          <w:rFonts w:hint="eastAsia"/>
          <w:color w:val="000000"/>
          <w:sz w:val="21"/>
          <w:szCs w:val="21"/>
        </w:rPr>
        <w:t>6.8.1评标委员会将按照本须知第6.6条规定，仅对在实质上响应招标文件要求的投标文件进行评估和比较。</w:t>
      </w:r>
    </w:p>
    <w:p w14:paraId="09064DA2">
      <w:pPr>
        <w:spacing w:line="480" w:lineRule="exact"/>
        <w:ind w:firstLine="480"/>
        <w:rPr>
          <w:rFonts w:hint="eastAsia"/>
          <w:i/>
          <w:color w:val="000000"/>
          <w:sz w:val="21"/>
          <w:szCs w:val="21"/>
        </w:rPr>
      </w:pPr>
      <w:r>
        <w:rPr>
          <w:rFonts w:hint="eastAsia"/>
          <w:color w:val="000000"/>
          <w:sz w:val="21"/>
          <w:szCs w:val="21"/>
        </w:rPr>
        <w:t>6.8.2在评审过程中,评标委员会可以以书面形式要求投标人就投标文件中含义不明确的内容进行书面说明并提供相关材料。</w:t>
      </w:r>
    </w:p>
    <w:p w14:paraId="28E7EAF0">
      <w:pPr>
        <w:spacing w:line="480" w:lineRule="exact"/>
        <w:ind w:firstLine="500"/>
        <w:rPr>
          <w:rFonts w:hint="eastAsia"/>
          <w:color w:val="000000"/>
          <w:sz w:val="21"/>
          <w:szCs w:val="21"/>
        </w:rPr>
      </w:pPr>
      <w:r>
        <w:rPr>
          <w:rFonts w:hint="eastAsia"/>
          <w:color w:val="000000"/>
          <w:sz w:val="21"/>
          <w:szCs w:val="21"/>
        </w:rPr>
        <w:t>6.8.3评标委员会依据规定的评标标准和方法，对投标文件进行评审和比较，向招标人提出书面评标报告，并推荐合格的中标候选人。招标人根据评标委员会提出的书面评标报告和推荐的中标候选人确定中标人。</w:t>
      </w:r>
    </w:p>
    <w:p w14:paraId="0E27A655">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6.9禁止投标人相互串通投标</w:t>
      </w:r>
    </w:p>
    <w:p w14:paraId="2D76C022">
      <w:pPr>
        <w:spacing w:line="480" w:lineRule="exact"/>
        <w:ind w:firstLine="420" w:firstLineChars="200"/>
        <w:rPr>
          <w:rFonts w:hint="eastAsia"/>
          <w:color w:val="000000"/>
          <w:sz w:val="21"/>
          <w:szCs w:val="21"/>
        </w:rPr>
      </w:pPr>
      <w:r>
        <w:rPr>
          <w:rFonts w:hint="eastAsia"/>
          <w:color w:val="000000"/>
          <w:sz w:val="21"/>
          <w:szCs w:val="21"/>
        </w:rPr>
        <w:t>6.9.1有下列情形之一的，属于投标人相互串通投标：</w:t>
      </w:r>
    </w:p>
    <w:p w14:paraId="7B71A291">
      <w:pPr>
        <w:spacing w:line="480" w:lineRule="exact"/>
        <w:ind w:firstLine="420" w:firstLineChars="200"/>
        <w:rPr>
          <w:rFonts w:hint="eastAsia"/>
          <w:color w:val="000000"/>
          <w:sz w:val="21"/>
          <w:szCs w:val="21"/>
        </w:rPr>
      </w:pPr>
      <w:r>
        <w:rPr>
          <w:rFonts w:hint="eastAsia"/>
          <w:color w:val="000000"/>
          <w:sz w:val="21"/>
          <w:szCs w:val="21"/>
        </w:rPr>
        <w:t>（1）投标人之间协商投标报价等投标文件的实质性内容；</w:t>
      </w:r>
    </w:p>
    <w:p w14:paraId="254DC661">
      <w:pPr>
        <w:spacing w:line="480" w:lineRule="exact"/>
        <w:ind w:firstLine="420" w:firstLineChars="200"/>
        <w:rPr>
          <w:rFonts w:hint="eastAsia"/>
          <w:color w:val="000000"/>
          <w:sz w:val="21"/>
          <w:szCs w:val="21"/>
        </w:rPr>
      </w:pPr>
      <w:r>
        <w:rPr>
          <w:rFonts w:hint="eastAsia"/>
          <w:color w:val="000000"/>
          <w:sz w:val="21"/>
          <w:szCs w:val="21"/>
        </w:rPr>
        <w:t>（2）投标人之间约定中标人；</w:t>
      </w:r>
    </w:p>
    <w:p w14:paraId="22C0F486">
      <w:pPr>
        <w:spacing w:line="480" w:lineRule="exact"/>
        <w:ind w:firstLine="420" w:firstLineChars="200"/>
        <w:rPr>
          <w:rFonts w:hint="eastAsia"/>
          <w:color w:val="000000"/>
          <w:sz w:val="21"/>
          <w:szCs w:val="21"/>
        </w:rPr>
      </w:pPr>
      <w:r>
        <w:rPr>
          <w:rFonts w:hint="eastAsia"/>
          <w:color w:val="000000"/>
          <w:sz w:val="21"/>
          <w:szCs w:val="21"/>
        </w:rPr>
        <w:t>（3）投标人之间约定部分投标人放弃投标或者中标；</w:t>
      </w:r>
    </w:p>
    <w:p w14:paraId="735BC24F">
      <w:pPr>
        <w:spacing w:line="480" w:lineRule="exact"/>
        <w:ind w:firstLine="420" w:firstLineChars="200"/>
        <w:rPr>
          <w:rFonts w:hint="eastAsia"/>
          <w:color w:val="000000"/>
          <w:sz w:val="21"/>
          <w:szCs w:val="21"/>
        </w:rPr>
      </w:pPr>
      <w:r>
        <w:rPr>
          <w:rFonts w:hint="eastAsia"/>
          <w:color w:val="000000"/>
          <w:sz w:val="21"/>
          <w:szCs w:val="21"/>
        </w:rPr>
        <w:t>（4）属于同一集团、协会、商会等组织成员的投标人按照该组织要求协同投标；</w:t>
      </w:r>
    </w:p>
    <w:p w14:paraId="34FFE723">
      <w:pPr>
        <w:spacing w:line="480" w:lineRule="exact"/>
        <w:ind w:firstLine="420" w:firstLineChars="200"/>
        <w:rPr>
          <w:rFonts w:hint="eastAsia"/>
          <w:color w:val="000000"/>
          <w:sz w:val="21"/>
          <w:szCs w:val="21"/>
        </w:rPr>
      </w:pPr>
      <w:r>
        <w:rPr>
          <w:rFonts w:hint="eastAsia"/>
          <w:color w:val="000000"/>
          <w:sz w:val="21"/>
          <w:szCs w:val="21"/>
        </w:rPr>
        <w:t>（5）投标人之间为谋取中标或者排斥特定投标人而采取的其他联合行动。</w:t>
      </w:r>
    </w:p>
    <w:p w14:paraId="536EA0F6">
      <w:pPr>
        <w:spacing w:line="480" w:lineRule="exact"/>
        <w:ind w:firstLine="420" w:firstLineChars="200"/>
        <w:rPr>
          <w:rFonts w:hint="eastAsia"/>
          <w:color w:val="000000"/>
          <w:sz w:val="21"/>
          <w:szCs w:val="21"/>
        </w:rPr>
      </w:pPr>
      <w:r>
        <w:rPr>
          <w:rFonts w:hint="eastAsia"/>
          <w:color w:val="000000"/>
          <w:sz w:val="21"/>
          <w:szCs w:val="21"/>
        </w:rPr>
        <w:t>6.9.2有下列情形之一的，视为投标人相互串通投标：</w:t>
      </w:r>
    </w:p>
    <w:p w14:paraId="27D17A1A">
      <w:pPr>
        <w:spacing w:line="480" w:lineRule="exact"/>
        <w:ind w:firstLine="420" w:firstLineChars="200"/>
        <w:rPr>
          <w:rFonts w:hint="eastAsia"/>
          <w:color w:val="000000"/>
          <w:sz w:val="21"/>
          <w:szCs w:val="21"/>
        </w:rPr>
      </w:pPr>
      <w:r>
        <w:rPr>
          <w:rFonts w:hint="eastAsia"/>
          <w:color w:val="000000"/>
          <w:sz w:val="21"/>
          <w:szCs w:val="21"/>
        </w:rPr>
        <w:t>（1）不同投标人的投标文件由同一单位或者个人编制；</w:t>
      </w:r>
    </w:p>
    <w:p w14:paraId="3374E4B9">
      <w:pPr>
        <w:spacing w:line="480" w:lineRule="exact"/>
        <w:ind w:firstLine="420" w:firstLineChars="200"/>
        <w:rPr>
          <w:rFonts w:hint="eastAsia"/>
          <w:color w:val="000000"/>
          <w:sz w:val="21"/>
          <w:szCs w:val="21"/>
        </w:rPr>
      </w:pPr>
      <w:r>
        <w:rPr>
          <w:rFonts w:hint="eastAsia"/>
          <w:color w:val="000000"/>
          <w:sz w:val="21"/>
          <w:szCs w:val="21"/>
        </w:rPr>
        <w:t>（2）不同投标人委托同一单位或者个人办理投标事宜；</w:t>
      </w:r>
    </w:p>
    <w:p w14:paraId="2607479E">
      <w:pPr>
        <w:spacing w:line="480" w:lineRule="exact"/>
        <w:ind w:firstLine="420" w:firstLineChars="200"/>
        <w:rPr>
          <w:rFonts w:hint="eastAsia"/>
          <w:color w:val="000000"/>
          <w:sz w:val="21"/>
          <w:szCs w:val="21"/>
        </w:rPr>
      </w:pPr>
      <w:r>
        <w:rPr>
          <w:rFonts w:hint="eastAsia"/>
          <w:color w:val="000000"/>
          <w:sz w:val="21"/>
          <w:szCs w:val="21"/>
        </w:rPr>
        <w:t>（3）不同投标人的投标文件载明的项目管理成员为同一人；</w:t>
      </w:r>
    </w:p>
    <w:p w14:paraId="6F9ACEAC">
      <w:pPr>
        <w:spacing w:line="480" w:lineRule="exact"/>
        <w:ind w:firstLine="420" w:firstLineChars="200"/>
        <w:rPr>
          <w:rFonts w:hint="eastAsia"/>
          <w:color w:val="000000"/>
          <w:sz w:val="21"/>
          <w:szCs w:val="21"/>
        </w:rPr>
      </w:pPr>
      <w:r>
        <w:rPr>
          <w:rFonts w:hint="eastAsia"/>
          <w:color w:val="000000"/>
          <w:sz w:val="21"/>
          <w:szCs w:val="21"/>
        </w:rPr>
        <w:t>（4）不同投标人的投标文件异常一致或者投标报价呈规律性差异；</w:t>
      </w:r>
    </w:p>
    <w:p w14:paraId="689C60DE">
      <w:pPr>
        <w:spacing w:line="480" w:lineRule="exact"/>
        <w:ind w:firstLine="420" w:firstLineChars="200"/>
        <w:rPr>
          <w:rFonts w:hint="eastAsia"/>
          <w:color w:val="000000"/>
          <w:sz w:val="21"/>
          <w:szCs w:val="21"/>
        </w:rPr>
      </w:pPr>
      <w:r>
        <w:rPr>
          <w:rFonts w:hint="eastAsia"/>
          <w:color w:val="000000"/>
          <w:sz w:val="21"/>
          <w:szCs w:val="21"/>
        </w:rPr>
        <w:t>（5）不同投标人的投标文件相互混装；</w:t>
      </w:r>
    </w:p>
    <w:p w14:paraId="67AEB289">
      <w:pPr>
        <w:spacing w:line="480" w:lineRule="exact"/>
        <w:ind w:firstLine="420" w:firstLineChars="200"/>
        <w:rPr>
          <w:rFonts w:hint="eastAsia"/>
          <w:color w:val="000000"/>
          <w:sz w:val="21"/>
          <w:szCs w:val="21"/>
        </w:rPr>
      </w:pPr>
      <w:r>
        <w:rPr>
          <w:rFonts w:hint="eastAsia"/>
          <w:color w:val="000000"/>
          <w:sz w:val="21"/>
          <w:szCs w:val="21"/>
        </w:rPr>
        <w:t>（6）不同投标人的投标保证金从同一账户转出。</w:t>
      </w:r>
    </w:p>
    <w:p w14:paraId="1ED300E6">
      <w:pPr>
        <w:pStyle w:val="4"/>
        <w:spacing w:before="0" w:after="0" w:line="480" w:lineRule="exact"/>
        <w:rPr>
          <w:rFonts w:hint="eastAsia" w:ascii="宋体" w:hAnsi="宋体" w:cs="宋体"/>
          <w:color w:val="000000"/>
          <w:sz w:val="21"/>
          <w:szCs w:val="21"/>
        </w:rPr>
      </w:pPr>
      <w:bookmarkStart w:id="54" w:name="_Toc290389704"/>
      <w:bookmarkStart w:id="55" w:name="_Toc4497888"/>
      <w:bookmarkStart w:id="56" w:name="_Toc184635077"/>
      <w:bookmarkStart w:id="57" w:name="_Toc4497835"/>
      <w:bookmarkStart w:id="58" w:name="_Toc17137"/>
      <w:r>
        <w:rPr>
          <w:rFonts w:hint="eastAsia" w:ascii="宋体" w:hAnsi="宋体" w:cs="宋体"/>
          <w:color w:val="000000"/>
          <w:sz w:val="21"/>
          <w:szCs w:val="21"/>
        </w:rPr>
        <w:t>7.合同授予</w:t>
      </w:r>
      <w:bookmarkEnd w:id="54"/>
      <w:bookmarkEnd w:id="55"/>
      <w:bookmarkEnd w:id="56"/>
      <w:bookmarkEnd w:id="57"/>
      <w:bookmarkEnd w:id="58"/>
    </w:p>
    <w:p w14:paraId="60295D2B">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7.1 定标方式</w:t>
      </w:r>
    </w:p>
    <w:p w14:paraId="24EBF08C">
      <w:pPr>
        <w:spacing w:line="480" w:lineRule="exact"/>
        <w:ind w:firstLine="420" w:firstLineChars="200"/>
        <w:rPr>
          <w:rFonts w:hint="eastAsia"/>
          <w:color w:val="000000"/>
          <w:sz w:val="21"/>
          <w:szCs w:val="21"/>
        </w:rPr>
      </w:pPr>
      <w:r>
        <w:rPr>
          <w:rFonts w:hint="eastAsia"/>
          <w:color w:val="000000"/>
          <w:sz w:val="21"/>
          <w:szCs w:val="21"/>
        </w:rPr>
        <w:t>除投标人须知前附表规定评标委员会直接确定中标人外，招标人依据评标委员会推荐的中标候选人确定中标人，评标委员会推荐中标候选人的人数见投标人须知前附表。</w:t>
      </w:r>
    </w:p>
    <w:p w14:paraId="023413C8">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7.2 中标通知</w:t>
      </w:r>
    </w:p>
    <w:p w14:paraId="6D745F61">
      <w:pPr>
        <w:spacing w:line="480" w:lineRule="exact"/>
        <w:ind w:firstLine="420" w:firstLineChars="200"/>
        <w:rPr>
          <w:rFonts w:hint="eastAsia"/>
          <w:color w:val="000000"/>
          <w:sz w:val="21"/>
          <w:szCs w:val="21"/>
        </w:rPr>
      </w:pPr>
      <w:r>
        <w:rPr>
          <w:rFonts w:hint="eastAsia"/>
          <w:sz w:val="21"/>
          <w:szCs w:val="21"/>
        </w:rPr>
        <w:t>评审结果得出后，将按投标人须知前附表规定的媒体进行公示。</w:t>
      </w:r>
    </w:p>
    <w:p w14:paraId="47577848">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7.3签订合同</w:t>
      </w:r>
    </w:p>
    <w:p w14:paraId="653FFEA5">
      <w:pPr>
        <w:spacing w:line="360" w:lineRule="auto"/>
        <w:ind w:firstLine="420" w:firstLineChars="200"/>
        <w:rPr>
          <w:rFonts w:hint="eastAsia"/>
          <w:sz w:val="21"/>
          <w:szCs w:val="21"/>
        </w:rPr>
      </w:pPr>
      <w:r>
        <w:rPr>
          <w:rFonts w:hint="eastAsia"/>
          <w:sz w:val="21"/>
          <w:szCs w:val="21"/>
        </w:rPr>
        <w:t>7.3.1 招标人和中标人应当自中标通知书发出之日起30 天内，根据招标文件和中标人的投标文件订立书面合同。中标人无正当理由拒签合同的，招标人取消其成交资格，其投标保证金不予退还；给招标人造成的损失超过投标保证金数额的，中标人还应当对超过部分予以赔偿。</w:t>
      </w:r>
    </w:p>
    <w:p w14:paraId="3511C14C">
      <w:pPr>
        <w:spacing w:line="360" w:lineRule="auto"/>
        <w:ind w:firstLine="420" w:firstLineChars="200"/>
        <w:rPr>
          <w:rFonts w:hint="eastAsia"/>
          <w:sz w:val="21"/>
          <w:szCs w:val="21"/>
        </w:rPr>
      </w:pPr>
      <w:r>
        <w:rPr>
          <w:rFonts w:hint="eastAsia"/>
          <w:sz w:val="21"/>
          <w:szCs w:val="21"/>
        </w:rPr>
        <w:t>7.3.2 发出中标通知书后，中标人无正当理由拒签合同的，招标人向中标人不退还投标保证金；给中标人造成损失的，还应当赔偿损失。</w:t>
      </w:r>
    </w:p>
    <w:p w14:paraId="5347FB7F">
      <w:pPr>
        <w:spacing w:line="360" w:lineRule="auto"/>
        <w:ind w:firstLine="420" w:firstLineChars="200"/>
        <w:rPr>
          <w:rFonts w:hint="eastAsia"/>
          <w:sz w:val="21"/>
          <w:szCs w:val="21"/>
        </w:rPr>
      </w:pPr>
      <w:r>
        <w:rPr>
          <w:rFonts w:hint="eastAsia"/>
          <w:sz w:val="21"/>
          <w:szCs w:val="21"/>
        </w:rPr>
        <w:t>7.3.3 招标人和中标人不得再行订立背离合同实质性内容的其他协议。</w:t>
      </w:r>
    </w:p>
    <w:p w14:paraId="214A49D2">
      <w:pPr>
        <w:spacing w:line="360" w:lineRule="auto"/>
        <w:ind w:firstLine="420" w:firstLineChars="200"/>
        <w:rPr>
          <w:rFonts w:hint="eastAsia"/>
          <w:sz w:val="21"/>
          <w:szCs w:val="21"/>
        </w:rPr>
      </w:pPr>
      <w:r>
        <w:rPr>
          <w:rFonts w:hint="eastAsia"/>
          <w:sz w:val="21"/>
          <w:szCs w:val="21"/>
        </w:rPr>
        <w:t>7.3.4 在保留本须知规定权利情况下，招标人将合同授予其投标文件实质上响应招标文件要求的中标人，但该中标人必须具有有效实施本合同的能力和资源；</w:t>
      </w:r>
    </w:p>
    <w:p w14:paraId="26163FDB">
      <w:pPr>
        <w:spacing w:line="360" w:lineRule="auto"/>
        <w:ind w:firstLine="420" w:firstLineChars="200"/>
        <w:rPr>
          <w:rFonts w:hint="eastAsia"/>
          <w:sz w:val="21"/>
          <w:szCs w:val="21"/>
        </w:rPr>
      </w:pPr>
      <w:r>
        <w:rPr>
          <w:rFonts w:hint="eastAsia"/>
          <w:sz w:val="21"/>
          <w:szCs w:val="21"/>
        </w:rPr>
        <w:t>7.3.5 中标人进场后必须组织技术力量会同设计、监理人员进行认真、仔细的图纸会审和设计交底工作，以考虑具有可操作性的实施性的施工方案。否则，在施工过程因交底不详而对设计图纸理解不透所造成的一切损失均由中标人承担。</w:t>
      </w:r>
    </w:p>
    <w:p w14:paraId="72ECFDE5">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7.4 履约保证金或履约担保</w:t>
      </w:r>
    </w:p>
    <w:p w14:paraId="0252D947">
      <w:pPr>
        <w:spacing w:line="360" w:lineRule="auto"/>
        <w:ind w:firstLine="420" w:firstLineChars="200"/>
        <w:rPr>
          <w:rFonts w:hint="eastAsia"/>
          <w:sz w:val="21"/>
          <w:szCs w:val="21"/>
        </w:rPr>
      </w:pPr>
      <w:r>
        <w:rPr>
          <w:rFonts w:hint="eastAsia"/>
          <w:sz w:val="21"/>
          <w:szCs w:val="21"/>
        </w:rPr>
        <w:t>7.4.1 在签订合同前，中标人应按投标人须知前附表规定的形式、金额和招标文件第四章“合同条款及格式”规定的或者事先经过招标人书面认可的履约保证金格式向招标人提交履约保证金。</w:t>
      </w:r>
    </w:p>
    <w:p w14:paraId="4B4ECC09">
      <w:pPr>
        <w:spacing w:line="360" w:lineRule="auto"/>
        <w:ind w:firstLine="420" w:firstLineChars="200"/>
        <w:rPr>
          <w:rFonts w:hint="eastAsia"/>
          <w:sz w:val="21"/>
          <w:szCs w:val="21"/>
        </w:rPr>
      </w:pPr>
      <w:r>
        <w:rPr>
          <w:rFonts w:hint="eastAsia"/>
          <w:sz w:val="21"/>
          <w:szCs w:val="21"/>
        </w:rPr>
        <w:t>7.4.2 中标人不能按本章第7.5.1项要求提交履约保证金的，视为放弃中标，其投标保证金不予退还，给招标人造成的损失超过投标保证金数额的，中标人还应当对超过部分予以赔偿。</w:t>
      </w:r>
    </w:p>
    <w:p w14:paraId="324411E9">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7.5 签订合同</w:t>
      </w:r>
    </w:p>
    <w:p w14:paraId="7C7EF91C">
      <w:pPr>
        <w:spacing w:line="360" w:lineRule="auto"/>
        <w:ind w:firstLine="420" w:firstLineChars="200"/>
        <w:rPr>
          <w:rFonts w:hint="eastAsia"/>
          <w:sz w:val="21"/>
          <w:szCs w:val="21"/>
        </w:rPr>
      </w:pPr>
      <w:r>
        <w:rPr>
          <w:rFonts w:hint="eastAsia"/>
          <w:sz w:val="21"/>
          <w:szCs w:val="21"/>
        </w:rPr>
        <w:t>7.5.1 招标人和中标人应当在中标通知书发出之日起 30 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166BB928">
      <w:pPr>
        <w:spacing w:line="360" w:lineRule="auto"/>
        <w:ind w:firstLine="420" w:firstLineChars="200"/>
        <w:rPr>
          <w:rFonts w:hint="eastAsia"/>
          <w:sz w:val="21"/>
          <w:szCs w:val="21"/>
        </w:rPr>
      </w:pPr>
      <w:r>
        <w:rPr>
          <w:rFonts w:hint="eastAsia"/>
          <w:sz w:val="21"/>
          <w:szCs w:val="21"/>
        </w:rPr>
        <w:t>7.5.2 发出中标通知书后，招标人无正当理由拒签合同，或者在签订合同时向中标人提出附加条件的，招标人向中标人退还投标保证金；给中标人造成损失的，还应当赔偿损失。</w:t>
      </w:r>
    </w:p>
    <w:p w14:paraId="67DD9A97">
      <w:pPr>
        <w:pStyle w:val="4"/>
        <w:spacing w:before="0" w:after="0" w:line="480" w:lineRule="exact"/>
        <w:rPr>
          <w:rFonts w:hint="eastAsia" w:ascii="宋体" w:hAnsi="宋体" w:cs="宋体"/>
          <w:color w:val="000000"/>
          <w:sz w:val="21"/>
          <w:szCs w:val="21"/>
        </w:rPr>
      </w:pPr>
      <w:bookmarkStart w:id="59" w:name="_Toc25096"/>
      <w:bookmarkStart w:id="60" w:name="_Toc184635078"/>
      <w:bookmarkStart w:id="61" w:name="_Toc290389705"/>
      <w:bookmarkStart w:id="62" w:name="_Toc4497836"/>
      <w:bookmarkStart w:id="63" w:name="_Toc4497889"/>
      <w:r>
        <w:rPr>
          <w:rFonts w:hint="eastAsia" w:ascii="宋体" w:hAnsi="宋体" w:cs="宋体"/>
          <w:color w:val="000000"/>
          <w:sz w:val="21"/>
          <w:szCs w:val="21"/>
        </w:rPr>
        <w:t>8.重新招标</w:t>
      </w:r>
      <w:bookmarkEnd w:id="59"/>
      <w:bookmarkEnd w:id="60"/>
      <w:bookmarkEnd w:id="61"/>
      <w:bookmarkEnd w:id="62"/>
      <w:bookmarkEnd w:id="63"/>
      <w:r>
        <w:rPr>
          <w:rFonts w:hint="eastAsia" w:ascii="宋体" w:hAnsi="宋体" w:cs="宋体"/>
          <w:sz w:val="21"/>
          <w:szCs w:val="21"/>
        </w:rPr>
        <w:t xml:space="preserve"> </w:t>
      </w:r>
    </w:p>
    <w:p w14:paraId="541E9367">
      <w:pPr>
        <w:spacing w:line="360" w:lineRule="auto"/>
        <w:ind w:firstLine="420" w:firstLineChars="200"/>
        <w:rPr>
          <w:rFonts w:hint="eastAsia"/>
          <w:sz w:val="21"/>
          <w:szCs w:val="21"/>
        </w:rPr>
      </w:pPr>
      <w:r>
        <w:rPr>
          <w:rFonts w:hint="eastAsia"/>
          <w:sz w:val="21"/>
          <w:szCs w:val="21"/>
        </w:rPr>
        <w:t>8.1.1 有下列情形之一的，招标人将重新招标：</w:t>
      </w:r>
    </w:p>
    <w:p w14:paraId="737E1715">
      <w:pPr>
        <w:spacing w:line="360" w:lineRule="auto"/>
        <w:ind w:firstLine="420" w:firstLineChars="200"/>
        <w:rPr>
          <w:rFonts w:hint="eastAsia"/>
          <w:sz w:val="21"/>
          <w:szCs w:val="21"/>
        </w:rPr>
      </w:pPr>
      <w:r>
        <w:rPr>
          <w:rFonts w:hint="eastAsia"/>
          <w:sz w:val="21"/>
          <w:szCs w:val="21"/>
        </w:rPr>
        <w:t>（l）投标截止时间止，投标人少于3个的；</w:t>
      </w:r>
    </w:p>
    <w:p w14:paraId="52CAC7BD">
      <w:pPr>
        <w:spacing w:line="360" w:lineRule="auto"/>
        <w:ind w:firstLine="420" w:firstLineChars="200"/>
        <w:rPr>
          <w:rFonts w:hint="eastAsia"/>
          <w:sz w:val="21"/>
          <w:szCs w:val="21"/>
        </w:rPr>
      </w:pPr>
      <w:r>
        <w:rPr>
          <w:rFonts w:hint="eastAsia"/>
          <w:sz w:val="21"/>
          <w:szCs w:val="21"/>
        </w:rPr>
        <w:t>（2）经评标委员会评审后否决所有投标的。</w:t>
      </w:r>
    </w:p>
    <w:p w14:paraId="56775B58">
      <w:pPr>
        <w:spacing w:line="360" w:lineRule="auto"/>
        <w:ind w:firstLine="420" w:firstLineChars="200"/>
        <w:rPr>
          <w:rFonts w:hint="eastAsia"/>
          <w:sz w:val="21"/>
          <w:szCs w:val="21"/>
        </w:rPr>
      </w:pPr>
      <w:r>
        <w:rPr>
          <w:rFonts w:hint="eastAsia"/>
          <w:sz w:val="21"/>
          <w:szCs w:val="21"/>
        </w:rPr>
        <w:t>（3）国家法律、法规、规章和行政规范性文件规定的其他条件。</w:t>
      </w:r>
    </w:p>
    <w:p w14:paraId="775B4495">
      <w:pPr>
        <w:spacing w:line="360" w:lineRule="auto"/>
        <w:ind w:firstLine="420" w:firstLineChars="200"/>
        <w:rPr>
          <w:rFonts w:hint="eastAsia"/>
          <w:sz w:val="21"/>
          <w:szCs w:val="21"/>
        </w:rPr>
      </w:pPr>
      <w:r>
        <w:rPr>
          <w:rFonts w:hint="eastAsia"/>
          <w:sz w:val="21"/>
          <w:szCs w:val="21"/>
        </w:rPr>
        <w:t>8.1.2 重新招标后投标人仍少于3个或者所有投标被否决的，属于必须审批或核准的工程建设项目，经原审批或核准部门批准后以其他非采购招标方式进行重新采购。</w:t>
      </w:r>
    </w:p>
    <w:p w14:paraId="5424B258">
      <w:pPr>
        <w:pStyle w:val="4"/>
        <w:spacing w:before="0" w:after="0" w:line="480" w:lineRule="exact"/>
        <w:rPr>
          <w:rFonts w:hint="eastAsia" w:ascii="宋体" w:hAnsi="宋体" w:cs="宋体"/>
          <w:color w:val="000000"/>
          <w:sz w:val="21"/>
          <w:szCs w:val="21"/>
        </w:rPr>
      </w:pPr>
      <w:bookmarkStart w:id="64" w:name="_Toc184635079"/>
      <w:bookmarkStart w:id="65" w:name="_Toc4497837"/>
      <w:bookmarkStart w:id="66" w:name="_Toc290389706"/>
      <w:bookmarkStart w:id="67" w:name="_Toc4497890"/>
      <w:bookmarkStart w:id="68" w:name="_Toc29265"/>
      <w:r>
        <w:rPr>
          <w:rFonts w:hint="eastAsia" w:ascii="宋体" w:hAnsi="宋体" w:cs="宋体"/>
          <w:color w:val="000000"/>
          <w:sz w:val="21"/>
          <w:szCs w:val="21"/>
        </w:rPr>
        <w:t>9.纪律和监督</w:t>
      </w:r>
      <w:bookmarkEnd w:id="64"/>
      <w:bookmarkEnd w:id="65"/>
      <w:bookmarkEnd w:id="66"/>
      <w:bookmarkEnd w:id="67"/>
      <w:bookmarkEnd w:id="68"/>
    </w:p>
    <w:p w14:paraId="4D6B2516">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9.1 对招标人的纪律要求</w:t>
      </w:r>
    </w:p>
    <w:p w14:paraId="165D65EA">
      <w:pPr>
        <w:spacing w:line="480" w:lineRule="exact"/>
        <w:ind w:firstLine="420" w:firstLineChars="200"/>
        <w:rPr>
          <w:rFonts w:hint="eastAsia"/>
          <w:color w:val="000000"/>
          <w:sz w:val="21"/>
          <w:szCs w:val="21"/>
        </w:rPr>
      </w:pPr>
      <w:r>
        <w:rPr>
          <w:rFonts w:hint="eastAsia"/>
          <w:color w:val="000000"/>
          <w:sz w:val="21"/>
          <w:szCs w:val="21"/>
        </w:rPr>
        <w:t>招标人不得泄漏招标投标活动中应当保密的情况和资料，不得与投标人串通损害国家利益、社会公共利益或者他人合法权益。</w:t>
      </w:r>
    </w:p>
    <w:p w14:paraId="3AB996DF">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9.2 对投标人的纪律要求</w:t>
      </w:r>
    </w:p>
    <w:p w14:paraId="00118686">
      <w:pPr>
        <w:spacing w:line="480" w:lineRule="exact"/>
        <w:ind w:firstLine="420" w:firstLineChars="200"/>
        <w:rPr>
          <w:rFonts w:hint="eastAsia"/>
          <w:color w:val="000000"/>
          <w:sz w:val="21"/>
          <w:szCs w:val="21"/>
        </w:rPr>
      </w:pPr>
      <w:r>
        <w:rPr>
          <w:rFonts w:hint="eastAsia"/>
          <w:color w:val="000000"/>
          <w:sz w:val="21"/>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DCDF2D9">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9.3 对评标委员会成员的纪律要求</w:t>
      </w:r>
    </w:p>
    <w:p w14:paraId="79EA5361">
      <w:pPr>
        <w:spacing w:line="480" w:lineRule="exact"/>
        <w:ind w:firstLine="420" w:firstLineChars="200"/>
        <w:rPr>
          <w:rFonts w:hint="eastAsia"/>
          <w:color w:val="000000"/>
          <w:sz w:val="21"/>
          <w:szCs w:val="21"/>
        </w:rPr>
      </w:pPr>
      <w:r>
        <w:rPr>
          <w:rFonts w:hint="eastAsia"/>
          <w:color w:val="000000"/>
          <w:sz w:val="21"/>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部分“评标办法”没有规定的评审因素和标准进行评标。</w:t>
      </w:r>
    </w:p>
    <w:p w14:paraId="09360EB7">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9.4 对与评标活动有关的工作人员的纪律要求</w:t>
      </w:r>
    </w:p>
    <w:p w14:paraId="29B48586">
      <w:pPr>
        <w:spacing w:line="480" w:lineRule="exact"/>
        <w:ind w:firstLine="420" w:firstLineChars="200"/>
        <w:rPr>
          <w:rFonts w:hint="eastAsia"/>
          <w:color w:val="000000"/>
          <w:sz w:val="21"/>
          <w:szCs w:val="21"/>
        </w:rPr>
      </w:pPr>
      <w:r>
        <w:rPr>
          <w:rFonts w:hint="eastAsia"/>
          <w:color w:val="000000"/>
          <w:sz w:val="21"/>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CAF63F1">
      <w:pPr>
        <w:pStyle w:val="6"/>
        <w:spacing w:before="0" w:after="0" w:line="480" w:lineRule="exact"/>
        <w:rPr>
          <w:rFonts w:hint="eastAsia" w:ascii="宋体" w:hAnsi="宋体" w:eastAsia="宋体" w:cs="宋体"/>
          <w:sz w:val="21"/>
          <w:szCs w:val="21"/>
        </w:rPr>
      </w:pPr>
      <w:r>
        <w:rPr>
          <w:rFonts w:hint="eastAsia" w:ascii="宋体" w:hAnsi="宋体" w:eastAsia="宋体" w:cs="宋体"/>
          <w:sz w:val="21"/>
          <w:szCs w:val="21"/>
        </w:rPr>
        <w:t>9.5 质疑和投诉</w:t>
      </w:r>
    </w:p>
    <w:p w14:paraId="5ECD39FA">
      <w:pPr>
        <w:spacing w:line="480" w:lineRule="exact"/>
        <w:ind w:firstLine="420" w:firstLineChars="200"/>
        <w:rPr>
          <w:rFonts w:hint="eastAsia"/>
          <w:color w:val="000000"/>
          <w:sz w:val="21"/>
          <w:szCs w:val="21"/>
        </w:rPr>
      </w:pPr>
      <w:r>
        <w:rPr>
          <w:rFonts w:hint="eastAsia"/>
          <w:color w:val="000000"/>
          <w:sz w:val="21"/>
          <w:szCs w:val="21"/>
        </w:rPr>
        <w:t xml:space="preserve">质疑、投诉的接收和处理严格按照《中华人民共和国政府采购法》、《政府采购质疑和投诉办法》财政部令第94号、《财政部关于加强政府采购供应商投诉受理审查工作的通知》等的相关规定办理。 </w:t>
      </w:r>
    </w:p>
    <w:p w14:paraId="3623A622">
      <w:pPr>
        <w:spacing w:line="480" w:lineRule="exact"/>
        <w:ind w:firstLine="420" w:firstLineChars="200"/>
        <w:rPr>
          <w:rFonts w:hint="eastAsia"/>
          <w:color w:val="000000"/>
          <w:sz w:val="21"/>
          <w:szCs w:val="21"/>
        </w:rPr>
      </w:pPr>
      <w:r>
        <w:rPr>
          <w:rFonts w:hint="eastAsia"/>
          <w:color w:val="000000"/>
          <w:sz w:val="21"/>
          <w:szCs w:val="21"/>
        </w:rPr>
        <w:t>9.5.1 投标人认为招标文件、采购过程和中标和成交结果使自己的权益受到损害的，可以在知道或者应知其权益受到损害之日起七个工作日内，以书面原件形式向招标代理机构提出质疑，逾期质疑无效。质疑、投诉的接收和处理严格按照《中华人民共和国政府采购法》、《政府采购供应商投诉处理办法》、《财政部关于加强政府采购供应商投诉受理审查工作的通知》等的相关规定办理。</w:t>
      </w:r>
    </w:p>
    <w:p w14:paraId="2B6BE3C7">
      <w:pPr>
        <w:spacing w:line="480" w:lineRule="exact"/>
        <w:ind w:firstLine="420" w:firstLineChars="200"/>
        <w:rPr>
          <w:rFonts w:hint="eastAsia"/>
          <w:color w:val="000000"/>
          <w:sz w:val="21"/>
          <w:szCs w:val="21"/>
        </w:rPr>
      </w:pPr>
      <w:r>
        <w:rPr>
          <w:rFonts w:hint="eastAsia"/>
          <w:color w:val="000000"/>
          <w:sz w:val="21"/>
          <w:szCs w:val="21"/>
        </w:rPr>
        <w:t>投标人应知其权益受到损害之日是指：</w:t>
      </w:r>
    </w:p>
    <w:p w14:paraId="14573CA6">
      <w:pPr>
        <w:spacing w:line="480" w:lineRule="exact"/>
        <w:ind w:firstLine="420" w:firstLineChars="200"/>
        <w:rPr>
          <w:rFonts w:hint="eastAsia"/>
          <w:color w:val="000000"/>
          <w:sz w:val="21"/>
          <w:szCs w:val="21"/>
        </w:rPr>
      </w:pPr>
      <w:r>
        <w:rPr>
          <w:rFonts w:hint="eastAsia"/>
          <w:color w:val="000000"/>
          <w:sz w:val="21"/>
          <w:szCs w:val="21"/>
        </w:rPr>
        <w:t>1）对招标文件提出质疑的，为收到招标文件之日；</w:t>
      </w:r>
    </w:p>
    <w:p w14:paraId="1BABF7D5">
      <w:pPr>
        <w:spacing w:line="480" w:lineRule="exact"/>
        <w:ind w:firstLine="420" w:firstLineChars="200"/>
        <w:rPr>
          <w:rFonts w:hint="eastAsia"/>
          <w:color w:val="000000"/>
          <w:sz w:val="21"/>
          <w:szCs w:val="21"/>
        </w:rPr>
      </w:pPr>
      <w:r>
        <w:rPr>
          <w:rFonts w:hint="eastAsia"/>
          <w:color w:val="000000"/>
          <w:sz w:val="21"/>
          <w:szCs w:val="21"/>
        </w:rPr>
        <w:t>2）对采购过程提出质疑的，为各采购程序环节结束之日；</w:t>
      </w:r>
    </w:p>
    <w:p w14:paraId="0F657799">
      <w:pPr>
        <w:spacing w:line="480" w:lineRule="exact"/>
        <w:ind w:firstLine="420" w:firstLineChars="200"/>
        <w:rPr>
          <w:rFonts w:hint="eastAsia"/>
          <w:color w:val="000000"/>
          <w:sz w:val="21"/>
          <w:szCs w:val="21"/>
        </w:rPr>
      </w:pPr>
      <w:r>
        <w:rPr>
          <w:rFonts w:hint="eastAsia"/>
          <w:color w:val="000000"/>
          <w:sz w:val="21"/>
          <w:szCs w:val="21"/>
        </w:rPr>
        <w:t>3）对中标和成交结果提出质疑的，为中标和成交结果公告发布之日。</w:t>
      </w:r>
    </w:p>
    <w:p w14:paraId="58B76341">
      <w:pPr>
        <w:spacing w:line="480" w:lineRule="exact"/>
        <w:ind w:firstLine="420" w:firstLineChars="200"/>
        <w:rPr>
          <w:rFonts w:hint="eastAsia"/>
          <w:color w:val="000000"/>
          <w:sz w:val="21"/>
          <w:szCs w:val="21"/>
        </w:rPr>
      </w:pPr>
      <w:r>
        <w:rPr>
          <w:rFonts w:hint="eastAsia"/>
          <w:color w:val="000000"/>
          <w:sz w:val="21"/>
          <w:szCs w:val="21"/>
        </w:rPr>
        <w:t>9.5.2 质疑文件应当包括下列主要内容：</w:t>
      </w:r>
    </w:p>
    <w:p w14:paraId="48DD09BC">
      <w:pPr>
        <w:spacing w:line="480" w:lineRule="exact"/>
        <w:ind w:firstLine="420" w:firstLineChars="200"/>
        <w:rPr>
          <w:rFonts w:hint="eastAsia"/>
          <w:color w:val="000000"/>
          <w:sz w:val="21"/>
          <w:szCs w:val="21"/>
        </w:rPr>
      </w:pPr>
      <w:r>
        <w:rPr>
          <w:rFonts w:hint="eastAsia"/>
          <w:color w:val="000000"/>
          <w:sz w:val="21"/>
          <w:szCs w:val="21"/>
        </w:rPr>
        <w:t>1）质疑投标人和相关投标人的名称、地址、联系人及联系电话等；</w:t>
      </w:r>
    </w:p>
    <w:p w14:paraId="4F5EA516">
      <w:pPr>
        <w:spacing w:line="480" w:lineRule="exact"/>
        <w:ind w:firstLine="420" w:firstLineChars="200"/>
        <w:rPr>
          <w:rFonts w:hint="eastAsia"/>
          <w:color w:val="000000"/>
          <w:sz w:val="21"/>
          <w:szCs w:val="21"/>
        </w:rPr>
      </w:pPr>
      <w:r>
        <w:rPr>
          <w:rFonts w:hint="eastAsia"/>
          <w:color w:val="000000"/>
          <w:sz w:val="21"/>
          <w:szCs w:val="21"/>
        </w:rPr>
        <w:t>2）质疑项目及编号、质疑事项；</w:t>
      </w:r>
    </w:p>
    <w:p w14:paraId="0089CAA2">
      <w:pPr>
        <w:spacing w:line="480" w:lineRule="exact"/>
        <w:ind w:firstLine="420" w:firstLineChars="200"/>
        <w:rPr>
          <w:rFonts w:hint="eastAsia"/>
          <w:color w:val="000000"/>
          <w:sz w:val="21"/>
          <w:szCs w:val="21"/>
        </w:rPr>
      </w:pPr>
      <w:r>
        <w:rPr>
          <w:rFonts w:hint="eastAsia"/>
          <w:color w:val="000000"/>
          <w:sz w:val="21"/>
          <w:szCs w:val="21"/>
        </w:rPr>
        <w:t>3）认为招标文件、采购过程、中标和成交结果使自己的合法权益受到损害的法律依据、事实依据、相关证明材料及证据来源；</w:t>
      </w:r>
    </w:p>
    <w:p w14:paraId="1B8E19D9">
      <w:pPr>
        <w:spacing w:line="480" w:lineRule="exact"/>
        <w:ind w:firstLine="420" w:firstLineChars="200"/>
        <w:rPr>
          <w:rFonts w:hint="eastAsia"/>
          <w:color w:val="000000"/>
          <w:sz w:val="21"/>
          <w:szCs w:val="21"/>
        </w:rPr>
      </w:pPr>
      <w:r>
        <w:rPr>
          <w:rFonts w:hint="eastAsia"/>
          <w:color w:val="000000"/>
          <w:sz w:val="21"/>
          <w:szCs w:val="21"/>
        </w:rPr>
        <w:t>4）提出质疑的日期。</w:t>
      </w:r>
    </w:p>
    <w:p w14:paraId="11A63993">
      <w:pPr>
        <w:spacing w:line="480" w:lineRule="exact"/>
        <w:ind w:firstLine="420" w:firstLineChars="200"/>
        <w:rPr>
          <w:rFonts w:hint="eastAsia"/>
          <w:color w:val="000000"/>
          <w:sz w:val="21"/>
          <w:szCs w:val="21"/>
        </w:rPr>
      </w:pPr>
      <w:r>
        <w:rPr>
          <w:rFonts w:hint="eastAsia"/>
          <w:color w:val="000000"/>
          <w:sz w:val="21"/>
          <w:szCs w:val="21"/>
        </w:rPr>
        <w:t>9.5.3质疑函应当署名。质疑投标人为自然人的，应当由本人签字；质疑投标人为法人或者其他组织的，应当由法定代表人或者主要负责人签字盖章并加盖公章。</w:t>
      </w:r>
    </w:p>
    <w:p w14:paraId="15F71201">
      <w:pPr>
        <w:spacing w:line="480" w:lineRule="exact"/>
        <w:ind w:firstLine="420" w:firstLineChars="200"/>
        <w:rPr>
          <w:rFonts w:hint="eastAsia"/>
          <w:color w:val="000000"/>
          <w:sz w:val="21"/>
          <w:szCs w:val="21"/>
        </w:rPr>
      </w:pPr>
      <w:r>
        <w:rPr>
          <w:rFonts w:hint="eastAsia"/>
          <w:color w:val="000000"/>
          <w:sz w:val="21"/>
          <w:szCs w:val="21"/>
        </w:rPr>
        <w:t>9.5.4投标人质疑应当有明确的请求和必要的证明材料。质疑内容不得含有虚假、恶意成份。依照谁主张谁举证的原则，提出质疑者必须同时提交相关确凿的证据材料和注明证据的确切来源，证据来源必须合法，招标代理机构有权将质疑函转发质疑事项各关联方，请其作出解释说明。对捏造事实、滥用维权扰乱采购秩序的恶意质疑者，将依法处理。</w:t>
      </w:r>
    </w:p>
    <w:p w14:paraId="39EB61C9">
      <w:pPr>
        <w:spacing w:line="480" w:lineRule="exact"/>
        <w:ind w:firstLine="420" w:firstLineChars="200"/>
        <w:rPr>
          <w:rFonts w:hint="eastAsia"/>
          <w:color w:val="000000"/>
          <w:sz w:val="21"/>
          <w:szCs w:val="21"/>
        </w:rPr>
      </w:pPr>
      <w:r>
        <w:rPr>
          <w:rFonts w:hint="eastAsia"/>
          <w:color w:val="000000"/>
          <w:sz w:val="21"/>
          <w:szCs w:val="21"/>
        </w:rPr>
        <w:t xml:space="preserve">9.5.5质疑文件提交方式：由自然人本人或法定代表人或者主要负责人携带书面原件及身份证明原件到现场提交（自然人本人或法定代表人或者主要负责人不能到达现场的，可以委托他人到现场代交，但必须出具授权委托书原件，明确委托事宜。同时被委托人须携带身份证明原件），否则不予受理，并将质疑文件的可编辑电子版发送至366231304@qq.com电子邮箱中。 </w:t>
      </w:r>
    </w:p>
    <w:p w14:paraId="7E834976">
      <w:pPr>
        <w:spacing w:line="480" w:lineRule="exact"/>
        <w:ind w:firstLine="420" w:firstLineChars="200"/>
        <w:rPr>
          <w:rFonts w:hint="eastAsia"/>
          <w:color w:val="000000"/>
          <w:sz w:val="21"/>
          <w:szCs w:val="21"/>
        </w:rPr>
      </w:pPr>
      <w:r>
        <w:rPr>
          <w:rFonts w:hint="eastAsia"/>
          <w:color w:val="000000"/>
          <w:sz w:val="21"/>
          <w:szCs w:val="21"/>
        </w:rPr>
        <w:t>9.5.6投标人在法定质疑期内一次性提出针对同一采购程序环节的质疑。</w:t>
      </w:r>
    </w:p>
    <w:p w14:paraId="02D5EAAA">
      <w:pPr>
        <w:spacing w:line="480" w:lineRule="exact"/>
        <w:ind w:firstLine="420" w:firstLineChars="200"/>
        <w:rPr>
          <w:rFonts w:hint="eastAsia"/>
          <w:color w:val="000000"/>
          <w:sz w:val="21"/>
          <w:szCs w:val="21"/>
        </w:rPr>
      </w:pPr>
      <w:r>
        <w:rPr>
          <w:rFonts w:hint="eastAsia"/>
          <w:color w:val="000000"/>
          <w:sz w:val="21"/>
          <w:szCs w:val="21"/>
        </w:rPr>
        <w:t>9.5.7 潜在投标人已依法获取其可质疑的招标文件的（必须为从合法渠道购买招标文件的投标人），可以对该文件提出质疑。</w:t>
      </w:r>
    </w:p>
    <w:p w14:paraId="01EAAA0F">
      <w:pPr>
        <w:spacing w:line="480" w:lineRule="exact"/>
        <w:ind w:firstLine="420" w:firstLineChars="200"/>
        <w:rPr>
          <w:rFonts w:hint="eastAsia"/>
          <w:color w:val="000000"/>
          <w:sz w:val="21"/>
          <w:szCs w:val="21"/>
        </w:rPr>
      </w:pPr>
      <w:r>
        <w:rPr>
          <w:rFonts w:hint="eastAsia"/>
          <w:color w:val="000000"/>
          <w:sz w:val="21"/>
          <w:szCs w:val="21"/>
        </w:rPr>
        <w:t>9.5.8质疑受理部门：陕西省招标有限责任公司</w:t>
      </w:r>
    </w:p>
    <w:p w14:paraId="418741C3">
      <w:pPr>
        <w:spacing w:line="480" w:lineRule="exact"/>
        <w:ind w:firstLine="420" w:firstLineChars="200"/>
        <w:rPr>
          <w:rFonts w:hint="eastAsia"/>
          <w:color w:val="000000"/>
          <w:sz w:val="21"/>
          <w:szCs w:val="21"/>
        </w:rPr>
      </w:pPr>
      <w:r>
        <w:rPr>
          <w:rFonts w:hint="eastAsia"/>
          <w:color w:val="000000"/>
          <w:sz w:val="21"/>
          <w:szCs w:val="21"/>
        </w:rPr>
        <w:t>9.5.9 提交质疑文件地点：陕西省招标有限责任公司</w:t>
      </w:r>
    </w:p>
    <w:p w14:paraId="2788E0DB">
      <w:pPr>
        <w:spacing w:line="480" w:lineRule="exact"/>
        <w:ind w:firstLine="420" w:firstLineChars="200"/>
        <w:rPr>
          <w:rFonts w:hint="eastAsia"/>
          <w:color w:val="000000"/>
          <w:sz w:val="21"/>
          <w:szCs w:val="21"/>
        </w:rPr>
      </w:pPr>
      <w:r>
        <w:rPr>
          <w:rFonts w:hint="eastAsia"/>
          <w:color w:val="000000"/>
          <w:sz w:val="21"/>
          <w:szCs w:val="21"/>
        </w:rPr>
        <w:t>9.5.10联系人及联系电话：胡蕊  029-87517633</w:t>
      </w:r>
    </w:p>
    <w:p w14:paraId="73713852">
      <w:pPr>
        <w:spacing w:line="480" w:lineRule="exact"/>
        <w:ind w:firstLine="420" w:firstLineChars="200"/>
        <w:rPr>
          <w:rFonts w:hint="eastAsia"/>
          <w:color w:val="000000"/>
          <w:sz w:val="21"/>
          <w:szCs w:val="21"/>
        </w:rPr>
      </w:pPr>
      <w:r>
        <w:rPr>
          <w:rFonts w:hint="eastAsia"/>
          <w:color w:val="000000"/>
          <w:sz w:val="21"/>
          <w:szCs w:val="21"/>
        </w:rPr>
        <w:t>9.5.11 招标人、招标代理机构不得拒收质疑投标人在法定质疑期内发出的质疑函，应当在收到质疑函后7个工作日内作出答复，并以书面形式通知质疑投标人和其他有关投标人。本次采购活动中，招标代理机构对质疑回复等文件的送达方式为现场取件或电子邮件。</w:t>
      </w:r>
    </w:p>
    <w:p w14:paraId="6D384541">
      <w:pPr>
        <w:spacing w:line="480" w:lineRule="exact"/>
        <w:ind w:firstLine="420" w:firstLineChars="200"/>
        <w:rPr>
          <w:rFonts w:hint="eastAsia"/>
          <w:color w:val="000000"/>
          <w:sz w:val="21"/>
          <w:szCs w:val="21"/>
        </w:rPr>
      </w:pPr>
      <w:r>
        <w:rPr>
          <w:rFonts w:hint="eastAsia"/>
          <w:color w:val="000000"/>
          <w:sz w:val="21"/>
          <w:szCs w:val="21"/>
        </w:rPr>
        <w:t>9.5.12 质疑函应当使用中文。质疑函范本详见财政部制定的范本即文件格式附件3。</w:t>
      </w:r>
    </w:p>
    <w:p w14:paraId="7C709632">
      <w:pPr>
        <w:spacing w:line="480" w:lineRule="exact"/>
        <w:ind w:firstLine="420" w:firstLineChars="200"/>
        <w:rPr>
          <w:rFonts w:hint="eastAsia"/>
          <w:color w:val="000000"/>
          <w:sz w:val="21"/>
          <w:szCs w:val="21"/>
        </w:rPr>
      </w:pPr>
      <w:r>
        <w:rPr>
          <w:rFonts w:hint="eastAsia"/>
          <w:color w:val="000000"/>
          <w:sz w:val="21"/>
          <w:szCs w:val="21"/>
        </w:rPr>
        <w:t>9.5.13质疑投标人对招标代理机构的质疑答复不满意，或者招标代理机构未在规定期限内作出答复的，可以在答复期满后15个工作日内向招标人的同级监督管理部门提起投诉。</w:t>
      </w:r>
    </w:p>
    <w:p w14:paraId="56D2A36D">
      <w:pPr>
        <w:spacing w:line="480" w:lineRule="exact"/>
        <w:ind w:firstLine="420" w:firstLineChars="200"/>
        <w:rPr>
          <w:rFonts w:hint="eastAsia"/>
          <w:color w:val="000000"/>
          <w:sz w:val="21"/>
          <w:szCs w:val="21"/>
        </w:rPr>
      </w:pPr>
      <w:r>
        <w:rPr>
          <w:rFonts w:hint="eastAsia"/>
          <w:color w:val="000000"/>
          <w:sz w:val="21"/>
          <w:szCs w:val="21"/>
        </w:rPr>
        <w:t>9.5.14 投诉的事项不得超出已质疑事项的范围。</w:t>
      </w:r>
    </w:p>
    <w:p w14:paraId="7035DBE4">
      <w:pPr>
        <w:spacing w:line="480" w:lineRule="exact"/>
        <w:ind w:firstLine="420" w:firstLineChars="200"/>
        <w:rPr>
          <w:rFonts w:hint="eastAsia"/>
          <w:color w:val="000000"/>
          <w:sz w:val="21"/>
          <w:szCs w:val="21"/>
        </w:rPr>
      </w:pPr>
      <w:r>
        <w:rPr>
          <w:rFonts w:hint="eastAsia"/>
          <w:color w:val="000000"/>
          <w:sz w:val="21"/>
          <w:szCs w:val="21"/>
        </w:rPr>
        <w:t>9.5.15投标人在全国范围12个月内三次以上投诉查无实据的，由财政部门列入不良行为记录名单。投标人捏造事实、提供虚假材料或者以非法手段取得证明材料进行投诉的，由财政部门列入不良行为记录名单，禁止其1至3年内参加政府采购活动。</w:t>
      </w:r>
    </w:p>
    <w:p w14:paraId="4171481E">
      <w:pPr>
        <w:spacing w:line="480" w:lineRule="exact"/>
        <w:ind w:firstLine="420" w:firstLineChars="200"/>
        <w:rPr>
          <w:rFonts w:hint="eastAsia"/>
          <w:color w:val="000000"/>
          <w:sz w:val="21"/>
          <w:szCs w:val="21"/>
        </w:rPr>
      </w:pPr>
      <w:r>
        <w:rPr>
          <w:rFonts w:hint="eastAsia"/>
          <w:color w:val="000000"/>
          <w:sz w:val="21"/>
          <w:szCs w:val="21"/>
        </w:rPr>
        <w:t>9.5.16对捏造事实、提供虚假材料进行质疑的行为予以严肃处理：</w:t>
      </w:r>
    </w:p>
    <w:p w14:paraId="2AC16BBF">
      <w:pPr>
        <w:spacing w:line="480" w:lineRule="exact"/>
        <w:ind w:firstLine="420" w:firstLineChars="200"/>
        <w:rPr>
          <w:rFonts w:hint="eastAsia"/>
          <w:color w:val="000000"/>
          <w:sz w:val="21"/>
          <w:szCs w:val="21"/>
        </w:rPr>
      </w:pPr>
      <w:r>
        <w:rPr>
          <w:rFonts w:hint="eastAsia"/>
          <w:color w:val="000000"/>
          <w:sz w:val="21"/>
          <w:szCs w:val="21"/>
        </w:rPr>
        <w:t>依据《中华人民共和国政府采购法》及其实施条例、《中华人民共和国招标投标法》及其实施条例、《政府采购供应商投诉处理办法》等法律法规的规定，投标人质疑应当有明确的请求和必要的证明材料。对于捏造事实、提供虚假材料或者以非法手段取得证明材料进行质疑的，应上报同级财政部门予以处理，并将其列入不良行为记录名单，禁止其一至三年内参加政府采购活动。</w:t>
      </w:r>
    </w:p>
    <w:p w14:paraId="47452DC7">
      <w:pPr>
        <w:spacing w:line="480" w:lineRule="exact"/>
        <w:ind w:firstLine="420" w:firstLineChars="200"/>
        <w:rPr>
          <w:rFonts w:hint="eastAsia"/>
          <w:color w:val="000000"/>
          <w:sz w:val="21"/>
          <w:szCs w:val="21"/>
        </w:rPr>
      </w:pPr>
      <w:r>
        <w:rPr>
          <w:rFonts w:hint="eastAsia"/>
          <w:color w:val="000000"/>
          <w:sz w:val="21"/>
          <w:szCs w:val="21"/>
        </w:rPr>
        <w:t>9.5.17 对捏造事实诬告陷害他人、诽谤他人的法律适用：</w:t>
      </w:r>
    </w:p>
    <w:p w14:paraId="6F6AB7AB">
      <w:pPr>
        <w:spacing w:line="480" w:lineRule="exact"/>
        <w:ind w:firstLine="420" w:firstLineChars="200"/>
        <w:rPr>
          <w:rFonts w:hint="eastAsia"/>
          <w:color w:val="000000"/>
          <w:sz w:val="21"/>
          <w:szCs w:val="21"/>
        </w:rPr>
      </w:pPr>
      <w:r>
        <w:rPr>
          <w:rFonts w:hint="eastAsia"/>
          <w:color w:val="000000"/>
          <w:sz w:val="21"/>
          <w:szCs w:val="21"/>
        </w:rPr>
        <w:t>《中华人民共和国刑法》第243条【诬告陷害罪】捏造事实诬告陷害他人，意图使他人受刑事追究，情节严重的，处三年以下有期徒刑、拘役或者管制；造成严重后果的，处三年以上十年以下有期徒刑。</w:t>
      </w:r>
    </w:p>
    <w:p w14:paraId="28414D9E">
      <w:pPr>
        <w:spacing w:line="480" w:lineRule="exact"/>
        <w:ind w:firstLine="420" w:firstLineChars="200"/>
        <w:rPr>
          <w:rFonts w:hint="eastAsia"/>
          <w:color w:val="000000"/>
          <w:sz w:val="21"/>
          <w:szCs w:val="21"/>
        </w:rPr>
      </w:pPr>
      <w:r>
        <w:rPr>
          <w:rFonts w:hint="eastAsia"/>
          <w:color w:val="000000"/>
          <w:sz w:val="21"/>
          <w:szCs w:val="21"/>
        </w:rPr>
        <w:t>《中华人民共和国刑法》第246条【侮辱罪、诽谤罪】以暴力或者其他方法公然侮辱他人或者捏造事实诽谤他人，情节严重的，处三年以下有期徒刑、拘役、管制或者剥夺政治权利。</w:t>
      </w:r>
    </w:p>
    <w:p w14:paraId="27F83574">
      <w:pPr>
        <w:spacing w:line="480" w:lineRule="exact"/>
        <w:ind w:firstLine="420" w:firstLineChars="200"/>
        <w:rPr>
          <w:rFonts w:hint="eastAsia"/>
          <w:color w:val="000000"/>
          <w:sz w:val="21"/>
          <w:szCs w:val="21"/>
        </w:rPr>
      </w:pPr>
      <w:r>
        <w:rPr>
          <w:rFonts w:hint="eastAsia"/>
          <w:color w:val="000000"/>
          <w:sz w:val="21"/>
          <w:szCs w:val="21"/>
        </w:rPr>
        <w:t>9.5.18监督部门：陕西测绘地理信息局劳动就业服务中心</w:t>
      </w:r>
    </w:p>
    <w:p w14:paraId="3055A7F6">
      <w:pPr>
        <w:spacing w:line="480" w:lineRule="exact"/>
        <w:ind w:firstLine="420" w:firstLineChars="200"/>
        <w:rPr>
          <w:rFonts w:hint="eastAsia"/>
          <w:color w:val="000000"/>
          <w:sz w:val="21"/>
          <w:szCs w:val="21"/>
        </w:rPr>
      </w:pPr>
      <w:r>
        <w:rPr>
          <w:rFonts w:hint="eastAsia"/>
          <w:color w:val="000000"/>
          <w:sz w:val="21"/>
          <w:szCs w:val="21"/>
        </w:rPr>
        <w:t>采购人监督电话：029-87604262</w:t>
      </w:r>
    </w:p>
    <w:p w14:paraId="3720BC30">
      <w:pPr>
        <w:pStyle w:val="4"/>
        <w:spacing w:before="0" w:after="0" w:line="480" w:lineRule="exact"/>
        <w:rPr>
          <w:rFonts w:hint="eastAsia" w:ascii="宋体" w:hAnsi="宋体" w:cs="宋体"/>
          <w:sz w:val="21"/>
          <w:szCs w:val="21"/>
        </w:rPr>
      </w:pPr>
      <w:bookmarkStart w:id="69" w:name="_Toc290389707"/>
      <w:bookmarkStart w:id="70" w:name="_Toc184635080"/>
      <w:bookmarkStart w:id="71" w:name="_Toc4497838"/>
      <w:bookmarkStart w:id="72" w:name="_Toc15164"/>
      <w:bookmarkStart w:id="73" w:name="_Toc4497891"/>
      <w:r>
        <w:rPr>
          <w:rFonts w:hint="eastAsia" w:ascii="宋体" w:hAnsi="宋体" w:cs="宋体"/>
          <w:sz w:val="21"/>
          <w:szCs w:val="21"/>
        </w:rPr>
        <w:t>10.</w:t>
      </w:r>
      <w:bookmarkEnd w:id="69"/>
      <w:bookmarkEnd w:id="70"/>
      <w:r>
        <w:rPr>
          <w:rFonts w:hint="eastAsia" w:ascii="宋体" w:hAnsi="宋体" w:cs="宋体"/>
          <w:sz w:val="21"/>
          <w:szCs w:val="21"/>
        </w:rPr>
        <w:t xml:space="preserve"> 需要补充的其他内容</w:t>
      </w:r>
      <w:bookmarkEnd w:id="71"/>
      <w:bookmarkEnd w:id="72"/>
      <w:bookmarkEnd w:id="73"/>
    </w:p>
    <w:p w14:paraId="0AB44A9D">
      <w:pPr>
        <w:spacing w:line="480" w:lineRule="exact"/>
        <w:ind w:firstLine="420" w:firstLineChars="200"/>
        <w:jc w:val="both"/>
        <w:rPr>
          <w:rFonts w:hint="eastAsia"/>
          <w:sz w:val="21"/>
          <w:szCs w:val="21"/>
        </w:rPr>
      </w:pPr>
      <w:r>
        <w:rPr>
          <w:rFonts w:hint="eastAsia"/>
          <w:sz w:val="21"/>
          <w:szCs w:val="21"/>
        </w:rPr>
        <w:t>其他需要补充的其他内容：见投标人须知前附表。</w:t>
      </w:r>
    </w:p>
    <w:p w14:paraId="6306AF20">
      <w:pPr>
        <w:pStyle w:val="3"/>
        <w:jc w:val="center"/>
        <w:rPr>
          <w:rFonts w:ascii="Times New Roman" w:hAnsi="Times New Roman" w:cs="Times New Roman"/>
        </w:rPr>
      </w:pPr>
      <w:r>
        <w:rPr>
          <w:rFonts w:ascii="Times New Roman" w:hAnsi="Times New Roman" w:cs="Times New Roman"/>
          <w:color w:val="000000"/>
        </w:rPr>
        <w:br w:type="page"/>
      </w:r>
      <w:bookmarkStart w:id="74" w:name="_Toc446319635"/>
      <w:bookmarkStart w:id="75" w:name="_Toc4497839"/>
      <w:bookmarkStart w:id="76" w:name="_Toc501717077"/>
      <w:bookmarkStart w:id="77" w:name="_Toc27607"/>
      <w:bookmarkStart w:id="78" w:name="_Toc283035184"/>
      <w:bookmarkStart w:id="79" w:name="_Toc283035097"/>
      <w:bookmarkStart w:id="80" w:name="_Toc283035580"/>
      <w:bookmarkStart w:id="81" w:name="_Toc290389731"/>
      <w:bookmarkStart w:id="82" w:name="_Toc283304120"/>
      <w:r>
        <w:t xml:space="preserve">第三部分 </w:t>
      </w:r>
      <w:r>
        <w:rPr>
          <w:rFonts w:hint="eastAsia"/>
          <w:lang w:val="en-US" w:eastAsia="zh-CN"/>
        </w:rPr>
        <w:t xml:space="preserve"> </w:t>
      </w:r>
      <w:r>
        <w:t>评标办法</w:t>
      </w:r>
      <w:bookmarkEnd w:id="74"/>
      <w:bookmarkEnd w:id="75"/>
      <w:bookmarkEnd w:id="76"/>
      <w:bookmarkEnd w:id="77"/>
    </w:p>
    <w:bookmarkEnd w:id="78"/>
    <w:bookmarkEnd w:id="79"/>
    <w:bookmarkEnd w:id="80"/>
    <w:bookmarkEnd w:id="81"/>
    <w:bookmarkEnd w:id="82"/>
    <w:p w14:paraId="37B87AFA">
      <w:pPr>
        <w:spacing w:after="0" w:line="360" w:lineRule="auto"/>
        <w:jc w:val="center"/>
        <w:rPr>
          <w:rFonts w:hint="eastAsia" w:ascii="仿宋" w:hAnsi="仿宋" w:eastAsia="仿宋"/>
          <w:b/>
          <w:bCs/>
          <w:sz w:val="28"/>
          <w:szCs w:val="28"/>
        </w:rPr>
      </w:pPr>
      <w:bookmarkStart w:id="83" w:name="_Toc522703315"/>
      <w:bookmarkStart w:id="84" w:name="_Toc330326679"/>
      <w:bookmarkStart w:id="85" w:name="_Toc290389757"/>
      <w:bookmarkStart w:id="86" w:name="_Toc283035185"/>
      <w:bookmarkStart w:id="87" w:name="_Toc283035581"/>
      <w:bookmarkStart w:id="88" w:name="_Toc283035098"/>
      <w:bookmarkStart w:id="89" w:name="_Toc283304121"/>
      <w:r>
        <w:rPr>
          <w:rFonts w:hint="eastAsia" w:ascii="仿宋" w:hAnsi="仿宋" w:eastAsia="仿宋"/>
          <w:b/>
          <w:bCs/>
          <w:sz w:val="28"/>
          <w:szCs w:val="28"/>
          <w:lang w:val="en-US" w:eastAsia="zh-CN"/>
        </w:rPr>
        <w:t>一、</w:t>
      </w:r>
      <w:r>
        <w:rPr>
          <w:rFonts w:hint="eastAsia" w:ascii="仿宋" w:hAnsi="仿宋" w:eastAsia="仿宋"/>
          <w:b/>
          <w:bCs/>
          <w:sz w:val="28"/>
          <w:szCs w:val="28"/>
        </w:rPr>
        <w:t>初步评审</w:t>
      </w:r>
    </w:p>
    <w:p w14:paraId="4825569A">
      <w:pPr>
        <w:spacing w:after="0" w:line="240" w:lineRule="auto"/>
        <w:ind w:firstLine="723" w:firstLineChars="300"/>
        <w:jc w:val="both"/>
        <w:rPr>
          <w:rFonts w:hint="eastAsia" w:ascii="仿宋" w:hAnsi="仿宋" w:eastAsia="仿宋" w:cs="Times New Roman"/>
          <w:b/>
          <w:bCs/>
          <w:sz w:val="24"/>
          <w14:ligatures w14:val="none"/>
        </w:rPr>
      </w:pPr>
      <w:r>
        <w:rPr>
          <w:rFonts w:ascii="仿宋" w:hAnsi="仿宋" w:eastAsia="仿宋" w:cs="Times New Roman"/>
          <w:b/>
          <w:bCs/>
          <w:sz w:val="24"/>
          <w14:ligatures w14:val="none"/>
        </w:rPr>
        <w:t>资格性审查</w:t>
      </w:r>
    </w:p>
    <w:tbl>
      <w:tblPr>
        <w:tblStyle w:val="50"/>
        <w:tblW w:w="839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5"/>
        <w:gridCol w:w="1828"/>
        <w:gridCol w:w="5834"/>
      </w:tblGrid>
      <w:tr w14:paraId="0FB3C5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19629A08">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28DF2460">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评审因素</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1C5BCC98">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评审标准</w:t>
            </w:r>
          </w:p>
        </w:tc>
      </w:tr>
      <w:tr w14:paraId="294A93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46CC74A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4EE7C50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营业执照等主体资格证明文件</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1FC5E2EA">
            <w:pPr>
              <w:spacing w:line="360" w:lineRule="auto"/>
              <w:jc w:val="both"/>
              <w:rPr>
                <w:rFonts w:hint="eastAsia" w:ascii="宋体" w:hAnsi="宋体" w:eastAsia="宋体" w:cs="宋体"/>
                <w:sz w:val="21"/>
                <w:szCs w:val="21"/>
                <w:highlight w:val="none"/>
              </w:rPr>
            </w:pPr>
            <w:r>
              <w:rPr>
                <w:rFonts w:hint="eastAsia" w:ascii="宋体" w:hAnsi="宋体" w:eastAsia="宋体" w:cs="宋体"/>
                <w:kern w:val="0"/>
                <w:sz w:val="21"/>
                <w:szCs w:val="21"/>
              </w:rPr>
              <w:t>具有独立承担民事责任能力的法人、其他组织或自然人，</w:t>
            </w:r>
            <w:r>
              <w:rPr>
                <w:rFonts w:hint="eastAsia"/>
                <w:sz w:val="21"/>
                <w:szCs w:val="21"/>
              </w:rPr>
              <w:t>提供统一社会信用代码的营业执照或其他组织经营的合法凭证或自然人的提供身份证明文件；</w:t>
            </w:r>
          </w:p>
        </w:tc>
      </w:tr>
      <w:tr w14:paraId="115AE5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75C6D718">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73B87617">
            <w:pPr>
              <w:spacing w:line="36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w:t>
            </w:r>
            <w:r>
              <w:rPr>
                <w:rFonts w:hint="eastAsia" w:ascii="宋体" w:hAnsi="宋体" w:eastAsia="宋体" w:cs="宋体"/>
                <w:sz w:val="21"/>
                <w:szCs w:val="21"/>
                <w:highlight w:val="none"/>
              </w:rPr>
              <w:t>资质</w:t>
            </w:r>
            <w:r>
              <w:rPr>
                <w:rFonts w:hint="eastAsia" w:ascii="宋体" w:hAnsi="宋体" w:eastAsia="宋体" w:cs="宋体"/>
                <w:sz w:val="21"/>
                <w:szCs w:val="21"/>
                <w:highlight w:val="none"/>
                <w:lang w:val="en-US" w:eastAsia="zh-CN"/>
              </w:rPr>
              <w:t>和</w:t>
            </w:r>
            <w:r>
              <w:rPr>
                <w:rFonts w:hint="eastAsia" w:ascii="宋体" w:hAnsi="宋体" w:eastAsia="宋体" w:cs="宋体"/>
                <w:sz w:val="21"/>
                <w:szCs w:val="21"/>
                <w:highlight w:val="none"/>
              </w:rPr>
              <w:t>拟派项目负责人要求</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6B423ACA">
            <w:pPr>
              <w:spacing w:line="360" w:lineRule="auto"/>
              <w:jc w:val="both"/>
              <w:rPr>
                <w:rFonts w:hint="eastAsia" w:ascii="宋体" w:hAnsi="宋体" w:eastAsia="宋体" w:cs="宋体"/>
                <w:kern w:val="0"/>
                <w:sz w:val="21"/>
                <w:szCs w:val="21"/>
              </w:rPr>
            </w:pPr>
            <w:r>
              <w:rPr>
                <w:rFonts w:hint="eastAsia"/>
                <w:sz w:val="21"/>
                <w:szCs w:val="21"/>
              </w:rPr>
              <w:t>投标人须具备建设部门颁发的建筑工程施工总承包三级及以上资质，具备有效的安全生产许可证；拟派项目经理须具备建筑工程专业二级及以上注册建造师证，具备有效的安全生产考核合格证书（建安B证），在本单位注册，无不良信用记录，且未担任其他在建工程的项目经理（提供无在建承诺）；</w:t>
            </w:r>
          </w:p>
        </w:tc>
      </w:tr>
      <w:tr w14:paraId="2C2307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376C76BB">
            <w:pPr>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4827C308">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财务状况报告</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30DE6548">
            <w:pPr>
              <w:spacing w:line="360" w:lineRule="auto"/>
              <w:jc w:val="both"/>
              <w:rPr>
                <w:rFonts w:hint="eastAsia" w:ascii="宋体" w:hAnsi="宋体" w:eastAsia="宋体" w:cs="宋体"/>
                <w:sz w:val="21"/>
                <w:szCs w:val="21"/>
                <w:highlight w:val="none"/>
              </w:rPr>
            </w:pPr>
            <w:r>
              <w:rPr>
                <w:rFonts w:hint="eastAsia"/>
                <w:sz w:val="21"/>
                <w:szCs w:val="21"/>
                <w:highlight w:val="none"/>
              </w:rPr>
              <w:t>提供2024年或2025年任意一个年度经审计的审计报告</w:t>
            </w:r>
            <w:r>
              <w:rPr>
                <w:rFonts w:hint="eastAsia"/>
                <w:sz w:val="21"/>
                <w:szCs w:val="21"/>
                <w:highlight w:val="none"/>
                <w:lang w:eastAsia="zh-CN"/>
              </w:rPr>
              <w:t>，</w:t>
            </w:r>
            <w:r>
              <w:rPr>
                <w:rFonts w:hint="eastAsia"/>
                <w:sz w:val="21"/>
                <w:szCs w:val="21"/>
                <w:highlight w:val="none"/>
              </w:rPr>
              <w:t>符合《中小企业划型标准规定》的小型企业按照《小企业会计准则》执行</w:t>
            </w:r>
            <w:r>
              <w:rPr>
                <w:rFonts w:hint="eastAsia"/>
                <w:sz w:val="21"/>
                <w:szCs w:val="21"/>
                <w:highlight w:val="none"/>
                <w:lang w:eastAsia="zh-CN"/>
              </w:rPr>
              <w:t>，</w:t>
            </w:r>
            <w:r>
              <w:rPr>
                <w:rFonts w:hint="eastAsia"/>
                <w:sz w:val="21"/>
                <w:szCs w:val="21"/>
                <w:highlight w:val="none"/>
              </w:rPr>
              <w:t>成立时间至提交投标文件截止时间不足一年的可提供成立后任意时段的资产负债表；或其开标前三个月内基本开户银行出具的资信证明或政府采购信用担保机构出具的担保函（以上三种形式的资料提供任何一种即可）；</w:t>
            </w:r>
          </w:p>
        </w:tc>
      </w:tr>
      <w:tr w14:paraId="1BA3EA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156CDD93">
            <w:pPr>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687BC939">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税收缴纳证明</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3F042E99">
            <w:pPr>
              <w:spacing w:line="360" w:lineRule="auto"/>
              <w:jc w:val="both"/>
              <w:rPr>
                <w:rFonts w:hint="eastAsia" w:ascii="宋体" w:hAnsi="宋体" w:eastAsia="宋体" w:cs="宋体"/>
                <w:sz w:val="21"/>
                <w:szCs w:val="21"/>
                <w:highlight w:val="none"/>
              </w:rPr>
            </w:pPr>
            <w:r>
              <w:rPr>
                <w:rFonts w:hint="eastAsia"/>
                <w:sz w:val="21"/>
                <w:szCs w:val="21"/>
                <w:highlight w:val="none"/>
              </w:rPr>
              <w:t>提供自2025年1月1日至投标文件提交截止时间任意连续六个月的纳税证明或完税证明，纳税证明或完税证明上应有代收机构或税务机关的公章或业务专用章；依法免税的供应商应提供相关文件证明；</w:t>
            </w:r>
          </w:p>
        </w:tc>
      </w:tr>
      <w:tr w14:paraId="7AEA26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4A6940B8">
            <w:pPr>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69DFB4A7">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社保缴纳证明</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6757C232">
            <w:pPr>
              <w:spacing w:line="360" w:lineRule="auto"/>
              <w:jc w:val="both"/>
              <w:rPr>
                <w:rFonts w:hint="eastAsia" w:ascii="宋体" w:hAnsi="宋体" w:eastAsia="宋体" w:cs="宋体"/>
                <w:sz w:val="21"/>
                <w:szCs w:val="21"/>
                <w:highlight w:val="none"/>
              </w:rPr>
            </w:pPr>
            <w:r>
              <w:rPr>
                <w:rFonts w:hint="eastAsia"/>
                <w:sz w:val="21"/>
                <w:szCs w:val="21"/>
              </w:rPr>
              <w:t>提供自</w:t>
            </w:r>
            <w:r>
              <w:rPr>
                <w:rFonts w:hint="eastAsia"/>
                <w:sz w:val="21"/>
                <w:szCs w:val="21"/>
                <w:highlight w:val="none"/>
              </w:rPr>
              <w:t>2025年1月1日至投标文件提交截止时间任意连续六个月的已缴纳的社会保障资金的证明，社会</w:t>
            </w:r>
            <w:r>
              <w:rPr>
                <w:rFonts w:hint="eastAsia"/>
                <w:sz w:val="21"/>
                <w:szCs w:val="21"/>
              </w:rPr>
              <w:t>保障资金缴存单据或社保机构开具的社会保险参保缴费情况证明或提供其它相关证明资料，单据或证明上应有社保机构或代收机构的公章。依法不需要缴纳社会保障资金的供应商应提供相关文件证明；</w:t>
            </w:r>
          </w:p>
        </w:tc>
      </w:tr>
      <w:tr w14:paraId="6D543C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7E56BFDA">
            <w:pPr>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6</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458109D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信用记录</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0F454A6B">
            <w:pPr>
              <w:spacing w:line="360" w:lineRule="auto"/>
              <w:jc w:val="both"/>
              <w:rPr>
                <w:rFonts w:hint="eastAsia" w:ascii="宋体" w:hAnsi="宋体" w:eastAsia="宋体" w:cs="宋体"/>
                <w:sz w:val="21"/>
                <w:szCs w:val="21"/>
                <w:highlight w:val="none"/>
              </w:rPr>
            </w:pPr>
            <w:r>
              <w:rPr>
                <w:rFonts w:hint="eastAsia"/>
                <w:sz w:val="21"/>
                <w:szCs w:val="21"/>
              </w:rPr>
              <w:t>参加本次招标采购活动前3年内在经营活动中没有重大违法，以及未被列入《信用中国》（https://www.creditchina.gov.cn）“重大税收违法失信主体名单”和“政府采购严重违法失信行为记录名单”和“失信被执行人”（页面跳转至《中国执行信息公开网》http://zxgk.court.gov.cn/shixin）及不处于《中国政府采购网》（http://www.ccgp.gov.cn）记录的“政府采购严重违法失信行为记录名单”中的禁止参加政府采购活动期间，提供书面信用承诺函；</w:t>
            </w:r>
          </w:p>
        </w:tc>
      </w:tr>
      <w:tr w14:paraId="3D7920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72B4A6A3">
            <w:pPr>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7</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50DF361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p>
          <w:p w14:paraId="62FF101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（单位负责人）</w:t>
            </w:r>
          </w:p>
          <w:p w14:paraId="0A1B69F4">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授权委托书</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0483D44D">
            <w:pPr>
              <w:spacing w:line="360" w:lineRule="auto"/>
              <w:jc w:val="both"/>
              <w:rPr>
                <w:rFonts w:hint="eastAsia" w:ascii="宋体" w:hAnsi="宋体" w:eastAsia="宋体" w:cs="宋体"/>
                <w:sz w:val="21"/>
                <w:szCs w:val="21"/>
                <w:highlight w:val="none"/>
              </w:rPr>
            </w:pPr>
            <w:r>
              <w:rPr>
                <w:rFonts w:hint="eastAsia"/>
                <w:sz w:val="21"/>
                <w:szCs w:val="21"/>
              </w:rPr>
              <w:t>提供法定代表人（单位负责人）授权委托书及被授权人身份证，法定代表人（单位负责人）直接参与只</w:t>
            </w:r>
            <w:r>
              <w:rPr>
                <w:rFonts w:hint="eastAsia"/>
                <w:sz w:val="21"/>
                <w:szCs w:val="21"/>
                <w:lang w:eastAsia="zh-CN"/>
              </w:rPr>
              <w:t>需提交</w:t>
            </w:r>
            <w:r>
              <w:rPr>
                <w:rFonts w:hint="eastAsia"/>
                <w:sz w:val="21"/>
                <w:szCs w:val="21"/>
              </w:rPr>
              <w:t>其身份证；</w:t>
            </w:r>
          </w:p>
        </w:tc>
      </w:tr>
      <w:tr w14:paraId="0D4D32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703E4C72">
            <w:pPr>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8</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5B60F210">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书面声明</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6D146305">
            <w:pPr>
              <w:spacing w:line="360" w:lineRule="auto"/>
              <w:rPr>
                <w:rFonts w:hint="eastAsia" w:ascii="宋体" w:hAnsi="宋体" w:eastAsia="宋体" w:cs="宋体"/>
                <w:sz w:val="21"/>
                <w:szCs w:val="21"/>
                <w:highlight w:val="none"/>
              </w:rPr>
            </w:pPr>
            <w:r>
              <w:rPr>
                <w:rFonts w:hint="eastAsia"/>
                <w:sz w:val="21"/>
                <w:szCs w:val="21"/>
              </w:rPr>
              <w:t>提供具有履行合同所必需的设备和专业技术能力的承诺函；</w:t>
            </w:r>
          </w:p>
        </w:tc>
      </w:tr>
      <w:tr w14:paraId="14B349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41DD3DA1">
            <w:pPr>
              <w:spacing w:line="360"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9</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3EB4372E">
            <w:pPr>
              <w:spacing w:line="360" w:lineRule="auto"/>
              <w:jc w:val="center"/>
              <w:rPr>
                <w:rFonts w:hint="eastAsia" w:ascii="宋体" w:hAnsi="宋体" w:eastAsia="宋体" w:cs="宋体"/>
                <w:sz w:val="21"/>
                <w:szCs w:val="21"/>
                <w:highlight w:val="none"/>
              </w:rPr>
            </w:pPr>
            <w:r>
              <w:rPr>
                <w:rFonts w:hint="eastAsia" w:ascii="宋体" w:hAnsi="宋体" w:eastAsia="宋体" w:cs="宋体"/>
                <w:color w:val="auto"/>
                <w:kern w:val="0"/>
                <w:sz w:val="21"/>
                <w:szCs w:val="21"/>
                <w:highlight w:val="none"/>
                <w:lang w:eastAsia="zh-CN"/>
              </w:rPr>
              <w:t>投标人及其拟派项目负责人</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6A9784D1">
            <w:pPr>
              <w:spacing w:line="360" w:lineRule="auto"/>
              <w:jc w:val="both"/>
              <w:rPr>
                <w:rFonts w:hint="eastAsia"/>
                <w:sz w:val="21"/>
                <w:szCs w:val="21"/>
              </w:rPr>
            </w:pPr>
            <w:r>
              <w:rPr>
                <w:rFonts w:hint="eastAsia"/>
                <w:sz w:val="21"/>
                <w:szCs w:val="21"/>
              </w:rPr>
              <w:t>投标人及其拟派项目经理须在“陕西省住房和城乡建设厅（http://js.shaanxi.gov.cn/ ）”可查询；（提供加盖公章查询截图的复印件或扫描件）</w:t>
            </w:r>
          </w:p>
        </w:tc>
      </w:tr>
      <w:tr w14:paraId="1DC3AA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489DC40D">
            <w:pPr>
              <w:spacing w:line="360"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10</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3ABB80B1">
            <w:pPr>
              <w:spacing w:line="360" w:lineRule="auto"/>
              <w:jc w:val="center"/>
              <w:rPr>
                <w:rFonts w:hint="eastAsia" w:ascii="宋体" w:hAnsi="宋体" w:eastAsia="宋体" w:cs="宋体"/>
                <w:sz w:val="21"/>
                <w:szCs w:val="21"/>
                <w:highlight w:val="none"/>
              </w:rPr>
            </w:pPr>
            <w:r>
              <w:rPr>
                <w:rFonts w:hint="eastAsia" w:ascii="宋体" w:hAnsi="宋体" w:eastAsia="宋体" w:cs="宋体"/>
                <w:color w:val="auto"/>
                <w:kern w:val="0"/>
                <w:sz w:val="21"/>
                <w:szCs w:val="21"/>
                <w:highlight w:val="none"/>
                <w:lang w:eastAsia="zh-CN"/>
              </w:rPr>
              <w:t>参与政府采购要求</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43E402CA">
            <w:pPr>
              <w:spacing w:line="360" w:lineRule="auto"/>
              <w:jc w:val="both"/>
              <w:rPr>
                <w:rFonts w:hint="eastAsia"/>
                <w:sz w:val="21"/>
                <w:szCs w:val="21"/>
              </w:rPr>
            </w:pPr>
            <w:r>
              <w:rPr>
                <w:rFonts w:hint="eastAsia"/>
                <w:sz w:val="21"/>
                <w:szCs w:val="21"/>
              </w:rPr>
              <w:t>本项目为专门面向中小企业项目，供应商应为中型企业、小型企业、微型企业或监狱企业或残疾人福利性单位。供应商为中小企业的，提供《中小企业声明函》，且中小企业的划分标准所属行业为建筑业；供应商为监狱企业的，应提供监狱企业的证明文件；供应商为残疾人福利性单位的，应提供《残疾人福利性单位声明函》（监狱企业或残疾人福利性单位视同小型、微型企业）。</w:t>
            </w:r>
          </w:p>
        </w:tc>
      </w:tr>
      <w:tr w14:paraId="632B6D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1A849FAC">
            <w:pPr>
              <w:spacing w:line="360"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11</w:t>
            </w:r>
          </w:p>
        </w:tc>
        <w:tc>
          <w:tcPr>
            <w:tcW w:w="1828" w:type="dxa"/>
            <w:tcBorders>
              <w:top w:val="single" w:color="auto" w:sz="4" w:space="0"/>
              <w:left w:val="single" w:color="auto" w:sz="4" w:space="0"/>
              <w:bottom w:val="single" w:color="auto" w:sz="4" w:space="0"/>
              <w:right w:val="single" w:color="auto" w:sz="4" w:space="0"/>
            </w:tcBorders>
            <w:noWrap w:val="0"/>
            <w:vAlign w:val="center"/>
          </w:tcPr>
          <w:p w14:paraId="0E6C333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是否接受联合体投标</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203A4567">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本项目不接受联合体投标</w:t>
            </w:r>
          </w:p>
        </w:tc>
      </w:tr>
      <w:tr w14:paraId="7AD24F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2563" w:type="dxa"/>
            <w:gridSpan w:val="2"/>
            <w:tcBorders>
              <w:top w:val="single" w:color="auto" w:sz="4" w:space="0"/>
              <w:left w:val="single" w:color="auto" w:sz="4" w:space="0"/>
              <w:bottom w:val="single" w:color="auto" w:sz="4" w:space="0"/>
              <w:right w:val="single" w:color="auto" w:sz="4" w:space="0"/>
            </w:tcBorders>
            <w:noWrap w:val="0"/>
            <w:vAlign w:val="center"/>
          </w:tcPr>
          <w:p w14:paraId="0BC6E8A7">
            <w:pPr>
              <w:snapToGrid w:val="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最终结论</w:t>
            </w:r>
          </w:p>
          <w:p w14:paraId="2D6C198B">
            <w:pPr>
              <w:snapToGrid w:val="0"/>
              <w:jc w:val="center"/>
              <w:rPr>
                <w:rFonts w:hint="eastAsia" w:ascii="宋体" w:hAnsi="宋体" w:eastAsia="宋体" w:cs="宋体"/>
                <w:sz w:val="21"/>
                <w:szCs w:val="21"/>
                <w:highlight w:val="none"/>
              </w:rPr>
            </w:pPr>
            <w:r>
              <w:rPr>
                <w:rFonts w:hint="eastAsia" w:ascii="宋体" w:hAnsi="宋体" w:eastAsia="宋体" w:cs="宋体"/>
                <w:b/>
                <w:sz w:val="21"/>
                <w:szCs w:val="21"/>
                <w:highlight w:val="none"/>
              </w:rPr>
              <w:t>（合格/不合格）</w:t>
            </w:r>
          </w:p>
        </w:tc>
        <w:tc>
          <w:tcPr>
            <w:tcW w:w="5834" w:type="dxa"/>
            <w:tcBorders>
              <w:top w:val="single" w:color="auto" w:sz="4" w:space="0"/>
              <w:left w:val="single" w:color="auto" w:sz="4" w:space="0"/>
              <w:bottom w:val="single" w:color="auto" w:sz="4" w:space="0"/>
              <w:right w:val="single" w:color="auto" w:sz="4" w:space="0"/>
            </w:tcBorders>
            <w:noWrap w:val="0"/>
            <w:vAlign w:val="center"/>
          </w:tcPr>
          <w:p w14:paraId="57908642">
            <w:pPr>
              <w:snapToGrid w:val="0"/>
              <w:jc w:val="center"/>
              <w:rPr>
                <w:rFonts w:hint="eastAsia" w:ascii="宋体" w:hAnsi="宋体" w:eastAsia="宋体" w:cs="宋体"/>
                <w:sz w:val="21"/>
                <w:szCs w:val="21"/>
                <w:highlight w:val="none"/>
              </w:rPr>
            </w:pPr>
          </w:p>
        </w:tc>
      </w:tr>
    </w:tbl>
    <w:p w14:paraId="336D294F">
      <w:pPr>
        <w:widowControl/>
        <w:spacing w:after="0" w:line="240" w:lineRule="auto"/>
        <w:rPr>
          <w:rFonts w:ascii="仿宋" w:hAnsi="仿宋" w:eastAsia="仿宋" w:cs="Times New Roman"/>
          <w:b/>
          <w:bCs/>
          <w:kern w:val="0"/>
          <w:sz w:val="24"/>
          <w14:ligatures w14:val="none"/>
        </w:rPr>
      </w:pPr>
    </w:p>
    <w:p w14:paraId="648955ED">
      <w:pPr>
        <w:widowControl/>
        <w:spacing w:after="0" w:line="240" w:lineRule="auto"/>
        <w:rPr>
          <w:rFonts w:ascii="仿宋" w:hAnsi="仿宋" w:eastAsia="仿宋" w:cs="Times New Roman"/>
          <w:b/>
          <w:bCs/>
          <w:kern w:val="0"/>
          <w:sz w:val="24"/>
          <w14:ligatures w14:val="none"/>
        </w:rPr>
      </w:pPr>
      <w:r>
        <w:rPr>
          <w:rFonts w:ascii="仿宋" w:hAnsi="仿宋" w:eastAsia="仿宋" w:cs="Times New Roman"/>
          <w:b/>
          <w:bCs/>
          <w:kern w:val="0"/>
          <w:sz w:val="24"/>
          <w14:ligatures w14:val="none"/>
        </w:rPr>
        <w:t>注：资格审查不合格的投标人不进行后续评</w:t>
      </w:r>
    </w:p>
    <w:p w14:paraId="3D79E81B">
      <w:pPr>
        <w:pStyle w:val="28"/>
        <w:rPr>
          <w:rFonts w:ascii="仿宋" w:hAnsi="仿宋" w:eastAsia="仿宋" w:cs="Times New Roman"/>
          <w:b/>
          <w:bCs/>
          <w:kern w:val="0"/>
          <w:sz w:val="24"/>
          <w14:ligatures w14:val="none"/>
        </w:rPr>
      </w:pPr>
    </w:p>
    <w:p w14:paraId="30B2A516">
      <w:pPr>
        <w:pStyle w:val="28"/>
        <w:rPr>
          <w:rFonts w:ascii="仿宋" w:hAnsi="仿宋" w:eastAsia="仿宋" w:cs="Times New Roman"/>
          <w:b/>
          <w:bCs/>
          <w:kern w:val="0"/>
          <w:sz w:val="24"/>
          <w14:ligatures w14:val="none"/>
        </w:rPr>
        <w:sectPr>
          <w:footerReference r:id="rId8" w:type="first"/>
          <w:footerReference r:id="rId7" w:type="default"/>
          <w:pgSz w:w="11906" w:h="16838"/>
          <w:pgMar w:top="1440" w:right="1083" w:bottom="1440" w:left="1083" w:header="720" w:footer="720" w:gutter="0"/>
          <w:pgNumType w:fmt="decimal"/>
          <w:cols w:space="0" w:num="1"/>
          <w:titlePg/>
          <w:docGrid w:linePitch="299" w:charSpace="0"/>
        </w:sectPr>
      </w:pPr>
    </w:p>
    <w:p w14:paraId="03B24755">
      <w:pPr>
        <w:spacing w:after="0" w:line="360" w:lineRule="auto"/>
        <w:rPr>
          <w:rFonts w:hint="eastAsia" w:ascii="仿宋" w:hAnsi="仿宋" w:eastAsia="仿宋"/>
          <w:b/>
          <w:bCs/>
          <w:vanish/>
          <w:sz w:val="28"/>
          <w:szCs w:val="28"/>
        </w:rPr>
      </w:pPr>
    </w:p>
    <w:p w14:paraId="6967405F">
      <w:pPr>
        <w:spacing w:after="0" w:line="240" w:lineRule="auto"/>
        <w:jc w:val="both"/>
        <w:rPr>
          <w:rFonts w:ascii="Times New Roman" w:hAnsi="Times New Roman" w:eastAsia="仿宋" w:cs="Times New Roman"/>
          <w:b/>
          <w:bCs/>
          <w:sz w:val="24"/>
          <w:highlight w:val="none"/>
          <w14:ligatures w14:val="none"/>
        </w:rPr>
      </w:pPr>
      <w:r>
        <w:rPr>
          <w:rFonts w:ascii="仿宋" w:hAnsi="仿宋" w:eastAsia="仿宋" w:cs="Times New Roman"/>
          <w:b/>
          <w:bCs/>
          <w:sz w:val="24"/>
          <w:highlight w:val="none"/>
          <w14:ligatures w14:val="none"/>
        </w:rPr>
        <w:t>符合性评审</w:t>
      </w:r>
    </w:p>
    <w:tbl>
      <w:tblPr>
        <w:tblStyle w:val="50"/>
        <w:tblW w:w="50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324"/>
        <w:gridCol w:w="6512"/>
      </w:tblGrid>
      <w:tr w14:paraId="188A7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327" w:type="dxa"/>
            <w:tcBorders>
              <w:top w:val="single" w:color="auto" w:sz="4" w:space="0"/>
              <w:left w:val="single" w:color="auto" w:sz="4" w:space="0"/>
              <w:bottom w:val="single" w:color="auto" w:sz="4" w:space="0"/>
              <w:right w:val="single" w:color="auto" w:sz="4" w:space="0"/>
            </w:tcBorders>
            <w:vAlign w:val="center"/>
          </w:tcPr>
          <w:p w14:paraId="391D7B11">
            <w:pPr>
              <w:spacing w:after="0" w:line="240" w:lineRule="auto"/>
              <w:jc w:val="center"/>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评审因素</w:t>
            </w:r>
          </w:p>
        </w:tc>
        <w:tc>
          <w:tcPr>
            <w:tcW w:w="6521" w:type="dxa"/>
            <w:tcBorders>
              <w:top w:val="single" w:color="auto" w:sz="4" w:space="0"/>
              <w:left w:val="single" w:color="auto" w:sz="4" w:space="0"/>
              <w:bottom w:val="single" w:color="auto" w:sz="4" w:space="0"/>
              <w:right w:val="single" w:color="auto" w:sz="4" w:space="0"/>
            </w:tcBorders>
            <w:vAlign w:val="center"/>
          </w:tcPr>
          <w:p w14:paraId="3B070D00">
            <w:pPr>
              <w:spacing w:after="0" w:line="240" w:lineRule="auto"/>
              <w:jc w:val="center"/>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评审标准</w:t>
            </w:r>
          </w:p>
        </w:tc>
      </w:tr>
      <w:tr w14:paraId="67D70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4" w:hRule="atLeast"/>
        </w:trPr>
        <w:tc>
          <w:tcPr>
            <w:tcW w:w="2327" w:type="dxa"/>
            <w:tcBorders>
              <w:top w:val="single" w:color="auto" w:sz="4" w:space="0"/>
              <w:left w:val="single" w:color="auto" w:sz="4" w:space="0"/>
              <w:bottom w:val="single" w:color="auto" w:sz="4" w:space="0"/>
              <w:right w:val="single" w:color="auto" w:sz="4" w:space="0"/>
            </w:tcBorders>
            <w:vAlign w:val="center"/>
          </w:tcPr>
          <w:p w14:paraId="1375BEB7">
            <w:pPr>
              <w:spacing w:after="0" w:line="240" w:lineRule="auto"/>
              <w:jc w:val="center"/>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投标人名称</w:t>
            </w:r>
          </w:p>
        </w:tc>
        <w:tc>
          <w:tcPr>
            <w:tcW w:w="6521" w:type="dxa"/>
            <w:tcBorders>
              <w:top w:val="single" w:color="auto" w:sz="4" w:space="0"/>
              <w:left w:val="single" w:color="auto" w:sz="4" w:space="0"/>
              <w:bottom w:val="single" w:color="auto" w:sz="4" w:space="0"/>
              <w:right w:val="single" w:color="auto" w:sz="4" w:space="0"/>
            </w:tcBorders>
            <w:vAlign w:val="center"/>
          </w:tcPr>
          <w:p w14:paraId="27223EFC">
            <w:pPr>
              <w:spacing w:after="0" w:line="240" w:lineRule="auto"/>
              <w:jc w:val="both"/>
              <w:rPr>
                <w:rFonts w:hint="eastAsia" w:ascii="宋体" w:hAnsi="宋体" w:eastAsia="宋体" w:cs="宋体"/>
                <w:sz w:val="21"/>
                <w:szCs w:val="21"/>
                <w14:ligatures w14:val="none"/>
              </w:rPr>
            </w:pPr>
            <w:r>
              <w:rPr>
                <w:rFonts w:hint="eastAsia" w:ascii="宋体" w:hAnsi="宋体" w:eastAsia="宋体" w:cs="宋体"/>
                <w:sz w:val="21"/>
                <w:szCs w:val="21"/>
                <w14:ligatures w14:val="none"/>
              </w:rPr>
              <w:t>与营业执照一致</w:t>
            </w:r>
          </w:p>
        </w:tc>
      </w:tr>
      <w:tr w14:paraId="2773D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327" w:type="dxa"/>
            <w:tcBorders>
              <w:top w:val="single" w:color="auto" w:sz="4" w:space="0"/>
              <w:left w:val="single" w:color="auto" w:sz="4" w:space="0"/>
              <w:bottom w:val="single" w:color="auto" w:sz="4" w:space="0"/>
              <w:right w:val="single" w:color="auto" w:sz="4" w:space="0"/>
            </w:tcBorders>
            <w:vAlign w:val="center"/>
          </w:tcPr>
          <w:p w14:paraId="405362B8">
            <w:pPr>
              <w:spacing w:after="0" w:line="240" w:lineRule="auto"/>
              <w:jc w:val="center"/>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投标文件签字盖章</w:t>
            </w:r>
          </w:p>
        </w:tc>
        <w:tc>
          <w:tcPr>
            <w:tcW w:w="6521" w:type="dxa"/>
            <w:tcBorders>
              <w:top w:val="single" w:color="auto" w:sz="4" w:space="0"/>
              <w:left w:val="single" w:color="auto" w:sz="4" w:space="0"/>
              <w:bottom w:val="single" w:color="auto" w:sz="4" w:space="0"/>
              <w:right w:val="single" w:color="auto" w:sz="4" w:space="0"/>
            </w:tcBorders>
            <w:vAlign w:val="center"/>
          </w:tcPr>
          <w:p w14:paraId="59FF051C">
            <w:pPr>
              <w:spacing w:after="0" w:line="240" w:lineRule="auto"/>
              <w:jc w:val="both"/>
              <w:rPr>
                <w:rFonts w:hint="eastAsia" w:ascii="宋体" w:hAnsi="宋体" w:eastAsia="宋体" w:cs="宋体"/>
                <w:sz w:val="21"/>
                <w:szCs w:val="21"/>
                <w14:ligatures w14:val="none"/>
              </w:rPr>
            </w:pPr>
            <w:r>
              <w:rPr>
                <w:rFonts w:hint="eastAsia" w:ascii="宋体" w:hAnsi="宋体" w:eastAsia="宋体" w:cs="宋体"/>
                <w:sz w:val="21"/>
                <w:szCs w:val="21"/>
                <w14:ligatures w14:val="none"/>
              </w:rPr>
              <w:t>符合投标文件格式要求</w:t>
            </w:r>
          </w:p>
        </w:tc>
      </w:tr>
      <w:tr w14:paraId="3F67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327" w:type="dxa"/>
            <w:tcBorders>
              <w:top w:val="single" w:color="auto" w:sz="4" w:space="0"/>
              <w:left w:val="single" w:color="auto" w:sz="4" w:space="0"/>
              <w:bottom w:val="single" w:color="auto" w:sz="4" w:space="0"/>
              <w:right w:val="single" w:color="auto" w:sz="4" w:space="0"/>
            </w:tcBorders>
            <w:vAlign w:val="center"/>
          </w:tcPr>
          <w:p w14:paraId="22CA4F93">
            <w:pPr>
              <w:spacing w:after="0" w:line="240" w:lineRule="auto"/>
              <w:jc w:val="center"/>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投标报价</w:t>
            </w:r>
          </w:p>
        </w:tc>
        <w:tc>
          <w:tcPr>
            <w:tcW w:w="6521" w:type="dxa"/>
            <w:tcBorders>
              <w:top w:val="single" w:color="auto" w:sz="4" w:space="0"/>
              <w:left w:val="single" w:color="auto" w:sz="4" w:space="0"/>
              <w:bottom w:val="single" w:color="auto" w:sz="4" w:space="0"/>
              <w:right w:val="single" w:color="auto" w:sz="4" w:space="0"/>
            </w:tcBorders>
            <w:vAlign w:val="center"/>
          </w:tcPr>
          <w:p w14:paraId="465B80C3">
            <w:pPr>
              <w:spacing w:after="0" w:line="240" w:lineRule="auto"/>
              <w:jc w:val="both"/>
              <w:rPr>
                <w:rFonts w:hint="eastAsia" w:ascii="宋体" w:hAnsi="宋体" w:eastAsia="宋体" w:cs="宋体"/>
                <w:sz w:val="21"/>
                <w:szCs w:val="21"/>
                <w14:ligatures w14:val="none"/>
              </w:rPr>
            </w:pPr>
            <w:r>
              <w:rPr>
                <w:rFonts w:hint="eastAsia" w:ascii="宋体" w:hAnsi="宋体" w:eastAsia="宋体" w:cs="宋体"/>
                <w:sz w:val="21"/>
                <w:szCs w:val="21"/>
                <w14:ligatures w14:val="none"/>
              </w:rPr>
              <w:t>投标报价不超过招标文件中规定最高限价</w:t>
            </w:r>
          </w:p>
        </w:tc>
      </w:tr>
      <w:tr w14:paraId="2522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327" w:type="dxa"/>
            <w:tcBorders>
              <w:top w:val="single" w:color="auto" w:sz="4" w:space="0"/>
              <w:left w:val="single" w:color="auto" w:sz="4" w:space="0"/>
              <w:bottom w:val="single" w:color="auto" w:sz="4" w:space="0"/>
              <w:right w:val="single" w:color="auto" w:sz="4" w:space="0"/>
            </w:tcBorders>
            <w:vAlign w:val="center"/>
          </w:tcPr>
          <w:p w14:paraId="00EC2BFC">
            <w:pPr>
              <w:spacing w:after="0" w:line="240" w:lineRule="auto"/>
              <w:jc w:val="center"/>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工期</w:t>
            </w:r>
          </w:p>
        </w:tc>
        <w:tc>
          <w:tcPr>
            <w:tcW w:w="6521" w:type="dxa"/>
            <w:tcBorders>
              <w:top w:val="single" w:color="auto" w:sz="4" w:space="0"/>
              <w:left w:val="single" w:color="auto" w:sz="4" w:space="0"/>
              <w:bottom w:val="single" w:color="auto" w:sz="4" w:space="0"/>
              <w:right w:val="single" w:color="auto" w:sz="4" w:space="0"/>
            </w:tcBorders>
            <w:vAlign w:val="center"/>
          </w:tcPr>
          <w:p w14:paraId="7F601C17">
            <w:pPr>
              <w:spacing w:after="0" w:line="240" w:lineRule="auto"/>
              <w:jc w:val="both"/>
              <w:rPr>
                <w:rFonts w:hint="eastAsia" w:ascii="宋体" w:hAnsi="宋体" w:eastAsia="宋体" w:cs="宋体"/>
                <w:sz w:val="21"/>
                <w:szCs w:val="21"/>
                <w14:ligatures w14:val="none"/>
              </w:rPr>
            </w:pPr>
            <w:r>
              <w:rPr>
                <w:rFonts w:hint="eastAsia" w:ascii="宋体" w:hAnsi="宋体" w:eastAsia="宋体" w:cs="宋体"/>
                <w:sz w:val="21"/>
                <w:szCs w:val="21"/>
                <w14:ligatures w14:val="none"/>
              </w:rPr>
              <w:t>符合招标文件要求</w:t>
            </w:r>
          </w:p>
        </w:tc>
      </w:tr>
      <w:tr w14:paraId="77E8F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327" w:type="dxa"/>
            <w:tcBorders>
              <w:top w:val="single" w:color="auto" w:sz="4" w:space="0"/>
              <w:left w:val="single" w:color="auto" w:sz="4" w:space="0"/>
              <w:bottom w:val="single" w:color="auto" w:sz="4" w:space="0"/>
              <w:right w:val="single" w:color="auto" w:sz="4" w:space="0"/>
            </w:tcBorders>
            <w:vAlign w:val="center"/>
          </w:tcPr>
          <w:p w14:paraId="3949D258">
            <w:pPr>
              <w:spacing w:after="0" w:line="240" w:lineRule="auto"/>
              <w:jc w:val="center"/>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质量</w:t>
            </w:r>
          </w:p>
        </w:tc>
        <w:tc>
          <w:tcPr>
            <w:tcW w:w="6521" w:type="dxa"/>
            <w:tcBorders>
              <w:top w:val="single" w:color="auto" w:sz="4" w:space="0"/>
              <w:left w:val="single" w:color="auto" w:sz="4" w:space="0"/>
              <w:bottom w:val="single" w:color="auto" w:sz="4" w:space="0"/>
              <w:right w:val="single" w:color="auto" w:sz="4" w:space="0"/>
            </w:tcBorders>
            <w:vAlign w:val="center"/>
          </w:tcPr>
          <w:p w14:paraId="60174618">
            <w:pPr>
              <w:spacing w:after="0" w:line="240" w:lineRule="auto"/>
              <w:jc w:val="both"/>
              <w:rPr>
                <w:rFonts w:hint="eastAsia" w:ascii="宋体" w:hAnsi="宋体" w:eastAsia="宋体" w:cs="宋体"/>
                <w:sz w:val="21"/>
                <w:szCs w:val="21"/>
                <w14:ligatures w14:val="none"/>
              </w:rPr>
            </w:pPr>
            <w:r>
              <w:rPr>
                <w:rFonts w:hint="eastAsia" w:ascii="宋体" w:hAnsi="宋体" w:eastAsia="宋体" w:cs="宋体"/>
                <w:sz w:val="21"/>
                <w:szCs w:val="21"/>
                <w14:ligatures w14:val="none"/>
              </w:rPr>
              <w:t>符合招标文件要求</w:t>
            </w:r>
          </w:p>
        </w:tc>
      </w:tr>
      <w:tr w14:paraId="0283C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327" w:type="dxa"/>
            <w:tcBorders>
              <w:top w:val="single" w:color="auto" w:sz="4" w:space="0"/>
              <w:left w:val="single" w:color="auto" w:sz="4" w:space="0"/>
              <w:bottom w:val="single" w:color="auto" w:sz="4" w:space="0"/>
              <w:right w:val="single" w:color="auto" w:sz="4" w:space="0"/>
            </w:tcBorders>
            <w:vAlign w:val="center"/>
          </w:tcPr>
          <w:p w14:paraId="3F207B69">
            <w:pPr>
              <w:spacing w:after="0" w:line="240" w:lineRule="auto"/>
              <w:jc w:val="center"/>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缺陷责任期</w:t>
            </w:r>
          </w:p>
        </w:tc>
        <w:tc>
          <w:tcPr>
            <w:tcW w:w="6521" w:type="dxa"/>
            <w:tcBorders>
              <w:top w:val="single" w:color="auto" w:sz="4" w:space="0"/>
              <w:left w:val="single" w:color="auto" w:sz="4" w:space="0"/>
              <w:bottom w:val="single" w:color="auto" w:sz="4" w:space="0"/>
              <w:right w:val="single" w:color="auto" w:sz="4" w:space="0"/>
            </w:tcBorders>
            <w:vAlign w:val="center"/>
          </w:tcPr>
          <w:p w14:paraId="5C2B41AF">
            <w:pPr>
              <w:spacing w:after="0" w:line="240" w:lineRule="auto"/>
              <w:jc w:val="both"/>
              <w:rPr>
                <w:rFonts w:hint="eastAsia" w:ascii="宋体" w:hAnsi="宋体" w:eastAsia="宋体" w:cs="宋体"/>
                <w:sz w:val="21"/>
                <w:szCs w:val="21"/>
                <w14:ligatures w14:val="none"/>
              </w:rPr>
            </w:pPr>
            <w:r>
              <w:rPr>
                <w:rFonts w:hint="eastAsia" w:ascii="宋体" w:hAnsi="宋体" w:eastAsia="宋体" w:cs="宋体"/>
                <w:sz w:val="21"/>
                <w:szCs w:val="21"/>
                <w14:ligatures w14:val="none"/>
              </w:rPr>
              <w:t>符合招标文件要求</w:t>
            </w:r>
          </w:p>
        </w:tc>
      </w:tr>
      <w:tr w14:paraId="60C08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0" w:hRule="atLeast"/>
        </w:trPr>
        <w:tc>
          <w:tcPr>
            <w:tcW w:w="2327" w:type="dxa"/>
            <w:tcBorders>
              <w:top w:val="single" w:color="auto" w:sz="4" w:space="0"/>
              <w:left w:val="single" w:color="auto" w:sz="4" w:space="0"/>
              <w:bottom w:val="single" w:color="auto" w:sz="4" w:space="0"/>
              <w:right w:val="single" w:color="auto" w:sz="4" w:space="0"/>
            </w:tcBorders>
            <w:vAlign w:val="center"/>
          </w:tcPr>
          <w:p w14:paraId="0E79EA0E">
            <w:pPr>
              <w:spacing w:after="0" w:line="240" w:lineRule="auto"/>
              <w:jc w:val="center"/>
              <w:rPr>
                <w:rFonts w:hint="default" w:ascii="宋体" w:hAnsi="宋体" w:eastAsia="宋体" w:cs="宋体"/>
                <w:b/>
                <w:bCs/>
                <w:sz w:val="21"/>
                <w:szCs w:val="21"/>
                <w:lang w:val="en-US" w:eastAsia="zh-CN"/>
                <w14:ligatures w14:val="none"/>
              </w:rPr>
            </w:pPr>
            <w:r>
              <w:rPr>
                <w:rFonts w:hint="eastAsia" w:cs="宋体"/>
                <w:b/>
                <w:bCs/>
                <w:sz w:val="21"/>
                <w:szCs w:val="21"/>
                <w:lang w:val="en-US" w:eastAsia="zh-CN"/>
                <w14:ligatures w14:val="none"/>
              </w:rPr>
              <w:t>强制节能产品</w:t>
            </w:r>
          </w:p>
        </w:tc>
        <w:tc>
          <w:tcPr>
            <w:tcW w:w="6521" w:type="dxa"/>
            <w:tcBorders>
              <w:top w:val="single" w:color="auto" w:sz="4" w:space="0"/>
              <w:left w:val="single" w:color="auto" w:sz="4" w:space="0"/>
              <w:bottom w:val="single" w:color="auto" w:sz="4" w:space="0"/>
              <w:right w:val="single" w:color="auto" w:sz="4" w:space="0"/>
            </w:tcBorders>
            <w:vAlign w:val="center"/>
          </w:tcPr>
          <w:p w14:paraId="1100417F">
            <w:pPr>
              <w:spacing w:after="0" w:line="240" w:lineRule="auto"/>
              <w:jc w:val="both"/>
              <w:rPr>
                <w:rFonts w:hint="eastAsia" w:ascii="宋体" w:hAnsi="宋体" w:eastAsia="宋体" w:cs="宋体"/>
                <w:sz w:val="21"/>
                <w:szCs w:val="21"/>
                <w14:ligatures w14:val="none"/>
              </w:rPr>
            </w:pPr>
            <w:r>
              <w:rPr>
                <w:rFonts w:hint="eastAsia" w:ascii="宋体" w:hAnsi="宋体" w:eastAsia="宋体" w:cs="宋体"/>
                <w:sz w:val="21"/>
                <w:szCs w:val="21"/>
                <w:lang w:val="en-US" w:eastAsia="zh-CN"/>
                <w14:ligatures w14:val="none"/>
              </w:rPr>
              <w:t>带“</w:t>
            </w:r>
            <w:r>
              <w:rPr>
                <w:rFonts w:hint="eastAsia" w:ascii="宋体" w:hAnsi="宋体" w:eastAsia="宋体" w:cs="宋体"/>
                <w:sz w:val="21"/>
                <w:szCs w:val="21"/>
                <w14:ligatures w14:val="none"/>
              </w:rPr>
              <w:t>★</w:t>
            </w:r>
            <w:r>
              <w:rPr>
                <w:rFonts w:hint="eastAsia" w:ascii="宋体" w:hAnsi="宋体" w:eastAsia="宋体" w:cs="宋体"/>
                <w:sz w:val="21"/>
                <w:szCs w:val="21"/>
                <w:lang w:eastAsia="zh-CN"/>
                <w14:ligatures w14:val="none"/>
              </w:rPr>
              <w:t>”项</w:t>
            </w:r>
            <w:r>
              <w:rPr>
                <w:rFonts w:hint="eastAsia" w:ascii="宋体" w:hAnsi="宋体" w:eastAsia="宋体" w:cs="宋体"/>
                <w:sz w:val="21"/>
                <w:szCs w:val="21"/>
                <w14:ligatures w14:val="none"/>
              </w:rPr>
              <w:t>属于强制节能产品</w:t>
            </w:r>
            <w:r>
              <w:rPr>
                <w:rFonts w:hint="eastAsia" w:ascii="宋体" w:hAnsi="宋体" w:eastAsia="宋体" w:cs="宋体"/>
                <w:sz w:val="21"/>
                <w:szCs w:val="21"/>
                <w:lang w:val="en-US" w:eastAsia="zh-CN"/>
                <w14:ligatures w14:val="none"/>
              </w:rPr>
              <w:t>的</w:t>
            </w:r>
            <w:r>
              <w:rPr>
                <w:rFonts w:hint="eastAsia" w:ascii="宋体" w:hAnsi="宋体" w:eastAsia="宋体" w:cs="宋体"/>
                <w:sz w:val="21"/>
                <w:szCs w:val="21"/>
                <w14:ligatures w14:val="none"/>
              </w:rPr>
              <w:t>，</w:t>
            </w:r>
            <w:r>
              <w:rPr>
                <w:rFonts w:hint="eastAsia" w:ascii="宋体" w:hAnsi="宋体" w:eastAsia="宋体" w:cs="宋体"/>
                <w:sz w:val="21"/>
                <w:szCs w:val="21"/>
                <w:lang w:val="zh-CN"/>
                <w14:ligatures w14:val="none"/>
              </w:rPr>
              <w:t>需提供所投产品经国家确定的认证机构出具的、处于有效期内的节能产品认证证书</w:t>
            </w:r>
            <w:r>
              <w:rPr>
                <w:rFonts w:hint="eastAsia" w:ascii="宋体" w:hAnsi="宋体" w:eastAsia="宋体" w:cs="宋体"/>
                <w:sz w:val="21"/>
                <w:szCs w:val="21"/>
                <w14:ligatures w14:val="none"/>
              </w:rPr>
              <w:t>（★项为实质性响应条款，不满足则为无效响应）</w:t>
            </w:r>
          </w:p>
        </w:tc>
      </w:tr>
      <w:tr w14:paraId="52881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327" w:type="dxa"/>
            <w:tcBorders>
              <w:top w:val="single" w:color="auto" w:sz="4" w:space="0"/>
              <w:left w:val="single" w:color="auto" w:sz="4" w:space="0"/>
              <w:bottom w:val="single" w:color="auto" w:sz="4" w:space="0"/>
              <w:right w:val="single" w:color="auto" w:sz="4" w:space="0"/>
            </w:tcBorders>
            <w:vAlign w:val="center"/>
          </w:tcPr>
          <w:p w14:paraId="30102B63">
            <w:pPr>
              <w:spacing w:after="0" w:line="240" w:lineRule="auto"/>
              <w:jc w:val="center"/>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其他</w:t>
            </w:r>
          </w:p>
        </w:tc>
        <w:tc>
          <w:tcPr>
            <w:tcW w:w="6521" w:type="dxa"/>
            <w:tcBorders>
              <w:top w:val="single" w:color="auto" w:sz="4" w:space="0"/>
              <w:left w:val="single" w:color="auto" w:sz="4" w:space="0"/>
              <w:bottom w:val="single" w:color="auto" w:sz="4" w:space="0"/>
              <w:right w:val="single" w:color="auto" w:sz="4" w:space="0"/>
            </w:tcBorders>
            <w:vAlign w:val="center"/>
          </w:tcPr>
          <w:p w14:paraId="775D54B8">
            <w:pPr>
              <w:spacing w:after="0" w:line="240" w:lineRule="auto"/>
              <w:jc w:val="both"/>
              <w:rPr>
                <w:rFonts w:hint="eastAsia" w:ascii="宋体" w:hAnsi="宋体" w:eastAsia="宋体" w:cs="宋体"/>
                <w:sz w:val="21"/>
                <w:szCs w:val="21"/>
                <w14:ligatures w14:val="none"/>
              </w:rPr>
            </w:pPr>
            <w:r>
              <w:rPr>
                <w:rFonts w:hint="eastAsia" w:ascii="宋体" w:hAnsi="宋体" w:eastAsia="宋体" w:cs="宋体"/>
                <w:sz w:val="21"/>
                <w:szCs w:val="21"/>
                <w14:ligatures w14:val="none"/>
              </w:rPr>
              <w:t>未附加招标人不能接受的其他条件</w:t>
            </w:r>
          </w:p>
        </w:tc>
      </w:tr>
    </w:tbl>
    <w:p w14:paraId="5A591E50">
      <w:pPr>
        <w:spacing w:line="600" w:lineRule="exact"/>
        <w:rPr>
          <w:rFonts w:hint="eastAsia" w:ascii="宋体" w:hAnsi="宋体" w:eastAsia="宋体" w:cs="宋体"/>
          <w:b/>
          <w:bCs/>
          <w:sz w:val="21"/>
          <w:szCs w:val="21"/>
        </w:rPr>
      </w:pPr>
      <w:r>
        <w:rPr>
          <w:rFonts w:hint="eastAsia" w:ascii="宋体" w:hAnsi="宋体" w:eastAsia="宋体" w:cs="宋体"/>
          <w:b/>
          <w:bCs/>
          <w:sz w:val="21"/>
          <w:szCs w:val="21"/>
        </w:rPr>
        <w:t>说明：以上各项有1项不合格，评审不予通过，作为未实质性响应招标文件。</w:t>
      </w:r>
    </w:p>
    <w:p w14:paraId="65C45611">
      <w:pPr>
        <w:rPr>
          <w:rFonts w:hint="eastAsia" w:ascii="宋体" w:hAnsi="宋体" w:eastAsia="宋体" w:cs="宋体"/>
          <w:b/>
          <w:bCs/>
          <w:sz w:val="21"/>
          <w:szCs w:val="21"/>
        </w:rPr>
      </w:pPr>
      <w:r>
        <w:rPr>
          <w:rFonts w:hint="eastAsia" w:ascii="宋体" w:hAnsi="宋体" w:eastAsia="宋体" w:cs="宋体"/>
          <w:b/>
          <w:bCs/>
          <w:sz w:val="21"/>
          <w:szCs w:val="21"/>
        </w:rPr>
        <w:br w:type="page"/>
      </w:r>
    </w:p>
    <w:p w14:paraId="0B80AB9B">
      <w:pPr>
        <w:numPr>
          <w:ilvl w:val="0"/>
          <w:numId w:val="0"/>
        </w:numPr>
        <w:spacing w:after="0" w:line="240" w:lineRule="auto"/>
        <w:ind w:leftChars="0"/>
        <w:jc w:val="center"/>
        <w:rPr>
          <w:rFonts w:ascii="仿宋" w:hAnsi="仿宋" w:eastAsia="仿宋" w:cs="Times New Roman"/>
          <w:b/>
          <w:bCs/>
          <w:sz w:val="28"/>
          <w:szCs w:val="28"/>
          <w14:ligatures w14:val="none"/>
        </w:rPr>
      </w:pPr>
      <w:r>
        <w:rPr>
          <w:rFonts w:hint="eastAsia" w:ascii="仿宋" w:hAnsi="仿宋" w:eastAsia="仿宋" w:cs="Times New Roman"/>
          <w:b/>
          <w:bCs/>
          <w:sz w:val="28"/>
          <w:szCs w:val="28"/>
          <w:lang w:val="en-US" w:eastAsia="zh-CN"/>
          <w14:ligatures w14:val="none"/>
        </w:rPr>
        <w:t>二、</w:t>
      </w:r>
      <w:r>
        <w:rPr>
          <w:rFonts w:ascii="仿宋" w:hAnsi="仿宋" w:eastAsia="仿宋" w:cs="Times New Roman"/>
          <w:b/>
          <w:bCs/>
          <w:sz w:val="28"/>
          <w:szCs w:val="28"/>
          <w14:ligatures w14:val="none"/>
        </w:rPr>
        <w:t>详细评审</w:t>
      </w:r>
    </w:p>
    <w:tbl>
      <w:tblPr>
        <w:tblStyle w:val="51"/>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2"/>
        <w:gridCol w:w="1658"/>
        <w:gridCol w:w="2506"/>
        <w:gridCol w:w="3592"/>
      </w:tblGrid>
      <w:tr w14:paraId="447D9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Align w:val="center"/>
          </w:tcPr>
          <w:p w14:paraId="749DB528">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2.2.1</w:t>
            </w:r>
          </w:p>
        </w:tc>
        <w:tc>
          <w:tcPr>
            <w:tcW w:w="957" w:type="pct"/>
            <w:vAlign w:val="center"/>
          </w:tcPr>
          <w:p w14:paraId="08133FBB">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分值构成</w:t>
            </w:r>
          </w:p>
        </w:tc>
        <w:tc>
          <w:tcPr>
            <w:tcW w:w="3520" w:type="pct"/>
            <w:gridSpan w:val="2"/>
            <w:vAlign w:val="center"/>
          </w:tcPr>
          <w:p w14:paraId="7680C11E">
            <w:pPr>
              <w:wordWrap w:val="0"/>
              <w:spacing w:line="360" w:lineRule="auto"/>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商务标</w:t>
            </w:r>
            <w:r>
              <w:rPr>
                <w:rFonts w:hint="eastAsia" w:cs="宋体"/>
                <w:sz w:val="21"/>
                <w:szCs w:val="21"/>
                <w:lang w:val="en-US" w:eastAsia="zh-CN"/>
              </w:rPr>
              <w:t>90</w:t>
            </w:r>
            <w:r>
              <w:rPr>
                <w:rFonts w:hint="eastAsia" w:ascii="宋体" w:hAnsi="宋体" w:eastAsia="宋体" w:cs="宋体"/>
                <w:sz w:val="21"/>
                <w:szCs w:val="21"/>
                <w:lang w:val="en-US" w:eastAsia="zh-CN"/>
              </w:rPr>
              <w:t>分（</w:t>
            </w:r>
            <w:r>
              <w:rPr>
                <w:rFonts w:hint="eastAsia" w:ascii="宋体" w:hAnsi="宋体" w:eastAsia="宋体" w:cs="宋体"/>
                <w:sz w:val="21"/>
                <w:szCs w:val="21"/>
              </w:rPr>
              <w:t>投标报价总价30分，分部分项工程量清单项目综合单价报价得分40分，措施项目费报价得分10分，业绩</w:t>
            </w:r>
            <w:r>
              <w:rPr>
                <w:rFonts w:hint="eastAsia" w:cs="宋体"/>
                <w:sz w:val="21"/>
                <w:szCs w:val="21"/>
                <w:lang w:val="en-US" w:eastAsia="zh-CN"/>
              </w:rPr>
              <w:t>10</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7C410716">
            <w:pPr>
              <w:wordWrap w:val="0"/>
              <w:spacing w:line="360" w:lineRule="auto"/>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技术标1</w:t>
            </w:r>
            <w:r>
              <w:rPr>
                <w:rFonts w:hint="eastAsia" w:cs="宋体"/>
                <w:sz w:val="21"/>
                <w:szCs w:val="21"/>
                <w:lang w:val="en-US" w:eastAsia="zh-CN"/>
              </w:rPr>
              <w:t>0</w:t>
            </w:r>
            <w:r>
              <w:rPr>
                <w:rFonts w:hint="eastAsia" w:ascii="宋体" w:hAnsi="宋体" w:eastAsia="宋体" w:cs="宋体"/>
                <w:sz w:val="21"/>
                <w:szCs w:val="21"/>
                <w:lang w:val="en-US" w:eastAsia="zh-CN"/>
              </w:rPr>
              <w:t>分</w:t>
            </w:r>
          </w:p>
        </w:tc>
      </w:tr>
      <w:tr w14:paraId="680B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Align w:val="center"/>
          </w:tcPr>
          <w:p w14:paraId="5E996168">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2.2.2</w:t>
            </w:r>
          </w:p>
        </w:tc>
        <w:tc>
          <w:tcPr>
            <w:tcW w:w="957" w:type="pct"/>
            <w:vAlign w:val="center"/>
          </w:tcPr>
          <w:p w14:paraId="3D3ACC3E">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评标基准价计算方式</w:t>
            </w:r>
          </w:p>
        </w:tc>
        <w:tc>
          <w:tcPr>
            <w:tcW w:w="3520" w:type="pct"/>
            <w:gridSpan w:val="2"/>
            <w:vAlign w:val="center"/>
          </w:tcPr>
          <w:p w14:paraId="13BA2ADC">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基准价=对各有效投标报价进行算术平均值计算，以算术平均值下浮 3 % 为评标基准价。</w:t>
            </w:r>
          </w:p>
        </w:tc>
      </w:tr>
      <w:tr w14:paraId="55DC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Align w:val="center"/>
          </w:tcPr>
          <w:p w14:paraId="555E3F6B">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2.2.3</w:t>
            </w:r>
          </w:p>
        </w:tc>
        <w:tc>
          <w:tcPr>
            <w:tcW w:w="957" w:type="pct"/>
            <w:vAlign w:val="center"/>
          </w:tcPr>
          <w:p w14:paraId="1BB3C6D6">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投标报价偏差率计算公式</w:t>
            </w:r>
          </w:p>
        </w:tc>
        <w:tc>
          <w:tcPr>
            <w:tcW w:w="3520" w:type="pct"/>
            <w:gridSpan w:val="2"/>
            <w:vAlign w:val="center"/>
          </w:tcPr>
          <w:p w14:paraId="5ADFC6D9">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偏差率=100%*（投标人报价-评标基准价）/评标基准价</w:t>
            </w:r>
          </w:p>
        </w:tc>
      </w:tr>
      <w:tr w14:paraId="6827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Merge w:val="restart"/>
            <w:vAlign w:val="center"/>
          </w:tcPr>
          <w:p w14:paraId="1DA4A169">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2.2.4详细评分标准</w:t>
            </w:r>
          </w:p>
        </w:tc>
        <w:tc>
          <w:tcPr>
            <w:tcW w:w="957" w:type="pct"/>
            <w:vMerge w:val="restart"/>
            <w:vAlign w:val="center"/>
          </w:tcPr>
          <w:p w14:paraId="17E74674">
            <w:pPr>
              <w:wordWrap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技术标</w:t>
            </w:r>
          </w:p>
          <w:p w14:paraId="4FD0FCF4">
            <w:pPr>
              <w:wordWrap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cs="宋体"/>
                <w:sz w:val="21"/>
                <w:szCs w:val="21"/>
                <w:lang w:val="en-US" w:eastAsia="zh-CN"/>
              </w:rPr>
              <w:t>0</w:t>
            </w:r>
            <w:r>
              <w:rPr>
                <w:rFonts w:hint="eastAsia" w:ascii="宋体" w:hAnsi="宋体" w:eastAsia="宋体" w:cs="宋体"/>
                <w:sz w:val="21"/>
                <w:szCs w:val="21"/>
                <w:lang w:val="en-US" w:eastAsia="zh-CN"/>
              </w:rPr>
              <w:t>分</w:t>
            </w:r>
            <w:r>
              <w:rPr>
                <w:rFonts w:hint="eastAsia" w:ascii="宋体" w:hAnsi="宋体" w:eastAsia="宋体" w:cs="宋体"/>
                <w:sz w:val="21"/>
                <w:szCs w:val="21"/>
                <w:lang w:eastAsia="zh-CN"/>
              </w:rPr>
              <w:t>）</w:t>
            </w:r>
          </w:p>
        </w:tc>
        <w:tc>
          <w:tcPr>
            <w:tcW w:w="1447" w:type="pct"/>
            <w:vAlign w:val="center"/>
          </w:tcPr>
          <w:p w14:paraId="1F85053E">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施工方案（</w:t>
            </w:r>
            <w:r>
              <w:rPr>
                <w:rFonts w:hint="eastAsia" w:cs="宋体"/>
                <w:sz w:val="21"/>
                <w:szCs w:val="21"/>
                <w:lang w:val="en-US" w:eastAsia="zh-CN"/>
              </w:rPr>
              <w:t>1</w:t>
            </w:r>
            <w:r>
              <w:rPr>
                <w:rFonts w:hint="eastAsia" w:ascii="宋体" w:hAnsi="宋体" w:eastAsia="宋体" w:cs="宋体"/>
                <w:sz w:val="21"/>
                <w:szCs w:val="21"/>
              </w:rPr>
              <w:t>分）</w:t>
            </w:r>
          </w:p>
        </w:tc>
        <w:tc>
          <w:tcPr>
            <w:tcW w:w="2073" w:type="pct"/>
            <w:vAlign w:val="center"/>
          </w:tcPr>
          <w:p w14:paraId="4D26E4E1">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施工方案完整全面，结合工程特点编制的总体施工部署与流程科学合理，现场组织架构清晰、职责明确，保证措施针对性强且切实可行的[0</w:t>
            </w:r>
            <w:r>
              <w:rPr>
                <w:rFonts w:hint="eastAsia" w:ascii="宋体" w:hAnsi="宋体" w:eastAsia="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rPr>
              <w:t>施工方案内容较简单，施工部署与流程存在不足，现场组织架构不完整，保证措施针对性不强的，得[0-</w:t>
            </w:r>
            <w:r>
              <w:rPr>
                <w:rFonts w:hint="eastAsia" w:ascii="宋体" w:hAnsi="宋体" w:eastAsia="宋体" w:cs="宋体"/>
                <w:sz w:val="21"/>
                <w:szCs w:val="21"/>
                <w:lang w:val="en-US" w:eastAsia="zh-CN"/>
              </w:rPr>
              <w:t>0.5）</w:t>
            </w:r>
            <w:r>
              <w:rPr>
                <w:rFonts w:hint="eastAsia" w:ascii="宋体" w:hAnsi="宋体" w:eastAsia="宋体" w:cs="宋体"/>
                <w:sz w:val="21"/>
                <w:szCs w:val="21"/>
              </w:rPr>
              <w:t>分。</w:t>
            </w:r>
          </w:p>
        </w:tc>
      </w:tr>
      <w:tr w14:paraId="2B786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Merge w:val="continue"/>
            <w:vAlign w:val="center"/>
          </w:tcPr>
          <w:p w14:paraId="4970DBF2">
            <w:pPr>
              <w:wordWrap w:val="0"/>
              <w:spacing w:line="360" w:lineRule="auto"/>
              <w:rPr>
                <w:rFonts w:hint="eastAsia" w:ascii="宋体" w:hAnsi="宋体" w:eastAsia="宋体" w:cs="宋体"/>
                <w:sz w:val="21"/>
                <w:szCs w:val="21"/>
              </w:rPr>
            </w:pPr>
          </w:p>
        </w:tc>
        <w:tc>
          <w:tcPr>
            <w:tcW w:w="957" w:type="pct"/>
            <w:vMerge w:val="continue"/>
            <w:vAlign w:val="center"/>
          </w:tcPr>
          <w:p w14:paraId="09B2C1D0">
            <w:pPr>
              <w:wordWrap w:val="0"/>
              <w:spacing w:line="360" w:lineRule="auto"/>
              <w:rPr>
                <w:rFonts w:hint="eastAsia" w:ascii="宋体" w:hAnsi="宋体" w:eastAsia="宋体" w:cs="宋体"/>
                <w:sz w:val="21"/>
                <w:szCs w:val="21"/>
              </w:rPr>
            </w:pPr>
          </w:p>
        </w:tc>
        <w:tc>
          <w:tcPr>
            <w:tcW w:w="1447" w:type="pct"/>
            <w:vAlign w:val="center"/>
          </w:tcPr>
          <w:p w14:paraId="29C1F572">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确保工程质量的技术组织措施（</w:t>
            </w:r>
            <w:r>
              <w:rPr>
                <w:rFonts w:hint="eastAsia" w:cs="宋体"/>
                <w:sz w:val="21"/>
                <w:szCs w:val="21"/>
                <w:lang w:val="en-US" w:eastAsia="zh-CN"/>
              </w:rPr>
              <w:t>1</w:t>
            </w:r>
            <w:r>
              <w:rPr>
                <w:rFonts w:hint="eastAsia" w:ascii="宋体" w:hAnsi="宋体" w:eastAsia="宋体" w:cs="宋体"/>
                <w:sz w:val="21"/>
                <w:szCs w:val="21"/>
              </w:rPr>
              <w:t>分）</w:t>
            </w:r>
          </w:p>
        </w:tc>
        <w:tc>
          <w:tcPr>
            <w:tcW w:w="2073" w:type="pct"/>
            <w:vAlign w:val="center"/>
          </w:tcPr>
          <w:p w14:paraId="10F1E8B0">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针对本项目工程质量的组织措施方案科学合理、先进，可操作性强，针对性强</w:t>
            </w:r>
            <w:r>
              <w:rPr>
                <w:rFonts w:hint="eastAsia" w:ascii="宋体" w:hAnsi="宋体" w:eastAsia="宋体" w:cs="宋体"/>
                <w:sz w:val="21"/>
                <w:szCs w:val="21"/>
                <w:lang w:val="en-US" w:eastAsia="zh-CN"/>
              </w:rPr>
              <w:t>得</w:t>
            </w:r>
            <w:r>
              <w:rPr>
                <w:rFonts w:hint="eastAsia" w:ascii="宋体" w:hAnsi="宋体" w:eastAsia="宋体" w:cs="宋体"/>
                <w:sz w:val="21"/>
                <w:szCs w:val="21"/>
              </w:rPr>
              <w:t>[0</w:t>
            </w:r>
            <w:r>
              <w:rPr>
                <w:rFonts w:hint="eastAsia" w:ascii="宋体" w:hAnsi="宋体" w:eastAsia="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cs="宋体"/>
                <w:sz w:val="21"/>
                <w:szCs w:val="21"/>
                <w:lang w:eastAsia="zh-CN"/>
              </w:rPr>
              <w:t>；</w:t>
            </w:r>
            <w:r>
              <w:rPr>
                <w:rFonts w:hint="eastAsia" w:ascii="宋体" w:hAnsi="宋体" w:eastAsia="宋体" w:cs="宋体"/>
                <w:sz w:val="21"/>
                <w:szCs w:val="21"/>
              </w:rPr>
              <w:t>针对本项目工程质量的组织措施方案基本明确，可操作性一般，能基本满足本项目需求[0-</w:t>
            </w:r>
            <w:r>
              <w:rPr>
                <w:rFonts w:hint="eastAsia" w:ascii="宋体" w:hAnsi="宋体" w:eastAsia="宋体" w:cs="宋体"/>
                <w:sz w:val="21"/>
                <w:szCs w:val="21"/>
                <w:lang w:val="en-US" w:eastAsia="zh-CN"/>
              </w:rPr>
              <w:t>0.5）</w:t>
            </w:r>
            <w:r>
              <w:rPr>
                <w:rFonts w:hint="eastAsia" w:ascii="宋体" w:hAnsi="宋体" w:eastAsia="宋体" w:cs="宋体"/>
                <w:sz w:val="21"/>
                <w:szCs w:val="21"/>
              </w:rPr>
              <w:t>分。</w:t>
            </w:r>
          </w:p>
        </w:tc>
      </w:tr>
      <w:tr w14:paraId="7543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Merge w:val="continue"/>
            <w:vAlign w:val="center"/>
          </w:tcPr>
          <w:p w14:paraId="45E165F4">
            <w:pPr>
              <w:wordWrap w:val="0"/>
              <w:spacing w:line="360" w:lineRule="auto"/>
              <w:rPr>
                <w:rFonts w:hint="eastAsia" w:ascii="宋体" w:hAnsi="宋体" w:eastAsia="宋体" w:cs="宋体"/>
                <w:sz w:val="21"/>
                <w:szCs w:val="21"/>
              </w:rPr>
            </w:pPr>
          </w:p>
        </w:tc>
        <w:tc>
          <w:tcPr>
            <w:tcW w:w="957" w:type="pct"/>
            <w:vMerge w:val="continue"/>
            <w:vAlign w:val="center"/>
          </w:tcPr>
          <w:p w14:paraId="73111063">
            <w:pPr>
              <w:wordWrap w:val="0"/>
              <w:spacing w:line="360" w:lineRule="auto"/>
              <w:rPr>
                <w:rFonts w:hint="eastAsia" w:ascii="宋体" w:hAnsi="宋体" w:eastAsia="宋体" w:cs="宋体"/>
                <w:sz w:val="21"/>
                <w:szCs w:val="21"/>
              </w:rPr>
            </w:pPr>
          </w:p>
        </w:tc>
        <w:tc>
          <w:tcPr>
            <w:tcW w:w="1447" w:type="pct"/>
            <w:vAlign w:val="center"/>
          </w:tcPr>
          <w:p w14:paraId="70AEA27E">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确保安全生产的技术组织措施（</w:t>
            </w:r>
            <w:r>
              <w:rPr>
                <w:rFonts w:hint="eastAsia" w:cs="宋体"/>
                <w:sz w:val="21"/>
                <w:szCs w:val="21"/>
                <w:lang w:val="en-US" w:eastAsia="zh-CN"/>
              </w:rPr>
              <w:t>1</w:t>
            </w:r>
            <w:r>
              <w:rPr>
                <w:rFonts w:hint="eastAsia" w:ascii="宋体" w:hAnsi="宋体" w:eastAsia="宋体" w:cs="宋体"/>
                <w:sz w:val="21"/>
                <w:szCs w:val="21"/>
              </w:rPr>
              <w:t>分）</w:t>
            </w:r>
          </w:p>
        </w:tc>
        <w:tc>
          <w:tcPr>
            <w:tcW w:w="2073" w:type="pct"/>
            <w:vAlign w:val="center"/>
          </w:tcPr>
          <w:p w14:paraId="769CB7C7">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有健全的安全施工保证体系，各项保证措施合理、可行，特别是在典型位置的安全措施可靠性具有强针对性方案</w:t>
            </w:r>
            <w:r>
              <w:rPr>
                <w:rFonts w:hint="eastAsia" w:ascii="宋体" w:hAnsi="宋体" w:eastAsia="宋体" w:cs="宋体"/>
                <w:sz w:val="21"/>
                <w:szCs w:val="21"/>
                <w:lang w:val="en-US" w:eastAsia="zh-CN"/>
              </w:rPr>
              <w:t>得</w:t>
            </w:r>
            <w:r>
              <w:rPr>
                <w:rFonts w:hint="eastAsia" w:ascii="宋体" w:hAnsi="宋体" w:eastAsia="宋体" w:cs="宋体"/>
                <w:sz w:val="21"/>
                <w:szCs w:val="21"/>
              </w:rPr>
              <w:t>[0</w:t>
            </w:r>
            <w:r>
              <w:rPr>
                <w:rFonts w:hint="eastAsia" w:ascii="宋体" w:hAnsi="宋体" w:eastAsia="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rPr>
              <w:t>有基本健全的安全施工保证体系及保证措施，在典型位置的安全措施具有一定可靠性及针对性方案</w:t>
            </w:r>
            <w:r>
              <w:rPr>
                <w:rFonts w:hint="eastAsia" w:ascii="宋体" w:hAnsi="宋体" w:eastAsia="宋体" w:cs="宋体"/>
                <w:sz w:val="21"/>
                <w:szCs w:val="21"/>
                <w:lang w:val="en-US" w:eastAsia="zh-CN"/>
              </w:rPr>
              <w:t>得</w:t>
            </w:r>
            <w:r>
              <w:rPr>
                <w:rFonts w:hint="eastAsia" w:ascii="宋体" w:hAnsi="宋体" w:eastAsia="宋体" w:cs="宋体"/>
                <w:sz w:val="21"/>
                <w:szCs w:val="21"/>
              </w:rPr>
              <w:t>[0-</w:t>
            </w:r>
            <w:r>
              <w:rPr>
                <w:rFonts w:hint="eastAsia" w:ascii="宋体" w:hAnsi="宋体" w:eastAsia="宋体" w:cs="宋体"/>
                <w:sz w:val="21"/>
                <w:szCs w:val="21"/>
                <w:lang w:val="en-US" w:eastAsia="zh-CN"/>
              </w:rPr>
              <w:t>0.5）</w:t>
            </w:r>
            <w:r>
              <w:rPr>
                <w:rFonts w:hint="eastAsia" w:ascii="宋体" w:hAnsi="宋体" w:eastAsia="宋体" w:cs="宋体"/>
                <w:sz w:val="21"/>
                <w:szCs w:val="21"/>
              </w:rPr>
              <w:t>分。</w:t>
            </w:r>
          </w:p>
        </w:tc>
      </w:tr>
      <w:tr w14:paraId="608DA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Merge w:val="continue"/>
            <w:vAlign w:val="center"/>
          </w:tcPr>
          <w:p w14:paraId="2FCD6C3C">
            <w:pPr>
              <w:wordWrap w:val="0"/>
              <w:spacing w:line="360" w:lineRule="auto"/>
              <w:rPr>
                <w:rFonts w:hint="eastAsia" w:ascii="宋体" w:hAnsi="宋体" w:eastAsia="宋体" w:cs="宋体"/>
                <w:sz w:val="21"/>
                <w:szCs w:val="21"/>
              </w:rPr>
            </w:pPr>
          </w:p>
        </w:tc>
        <w:tc>
          <w:tcPr>
            <w:tcW w:w="957" w:type="pct"/>
            <w:vMerge w:val="continue"/>
            <w:vAlign w:val="center"/>
          </w:tcPr>
          <w:p w14:paraId="76BDF5F6">
            <w:pPr>
              <w:wordWrap w:val="0"/>
              <w:spacing w:line="360" w:lineRule="auto"/>
              <w:rPr>
                <w:rFonts w:hint="eastAsia" w:ascii="宋体" w:hAnsi="宋体" w:eastAsia="宋体" w:cs="宋体"/>
                <w:sz w:val="21"/>
                <w:szCs w:val="21"/>
              </w:rPr>
            </w:pPr>
          </w:p>
        </w:tc>
        <w:tc>
          <w:tcPr>
            <w:tcW w:w="1447" w:type="pct"/>
            <w:vAlign w:val="center"/>
          </w:tcPr>
          <w:p w14:paraId="7091D919">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确保文明施工的技术措施及环境保护措施（</w:t>
            </w:r>
            <w:r>
              <w:rPr>
                <w:rFonts w:hint="eastAsia" w:cs="宋体"/>
                <w:sz w:val="21"/>
                <w:szCs w:val="21"/>
                <w:lang w:val="en-US" w:eastAsia="zh-CN"/>
              </w:rPr>
              <w:t>1</w:t>
            </w:r>
            <w:r>
              <w:rPr>
                <w:rFonts w:hint="eastAsia" w:ascii="宋体" w:hAnsi="宋体" w:eastAsia="宋体" w:cs="宋体"/>
                <w:sz w:val="21"/>
                <w:szCs w:val="21"/>
              </w:rPr>
              <w:t>分）</w:t>
            </w:r>
          </w:p>
        </w:tc>
        <w:tc>
          <w:tcPr>
            <w:tcW w:w="2073" w:type="pct"/>
            <w:vAlign w:val="center"/>
          </w:tcPr>
          <w:p w14:paraId="2642824E">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有健全的</w:t>
            </w:r>
            <w:r>
              <w:rPr>
                <w:rFonts w:hint="eastAsia" w:cs="宋体"/>
                <w:sz w:val="21"/>
                <w:szCs w:val="21"/>
                <w:lang w:val="en-US" w:eastAsia="zh-CN"/>
              </w:rPr>
              <w:t>文明及环境</w:t>
            </w:r>
            <w:r>
              <w:rPr>
                <w:rFonts w:hint="eastAsia" w:ascii="宋体" w:hAnsi="宋体" w:eastAsia="宋体" w:cs="宋体"/>
                <w:sz w:val="21"/>
                <w:szCs w:val="21"/>
              </w:rPr>
              <w:t>施工保证体系，各项保证措施合理、可行</w:t>
            </w:r>
            <w:r>
              <w:rPr>
                <w:rFonts w:hint="eastAsia" w:ascii="宋体" w:hAnsi="宋体" w:eastAsia="宋体" w:cs="宋体"/>
                <w:sz w:val="21"/>
                <w:szCs w:val="21"/>
                <w:lang w:val="en-US" w:eastAsia="zh-CN"/>
              </w:rPr>
              <w:t>得</w:t>
            </w:r>
            <w:r>
              <w:rPr>
                <w:rFonts w:hint="eastAsia" w:ascii="宋体" w:hAnsi="宋体" w:eastAsia="宋体" w:cs="宋体"/>
                <w:sz w:val="21"/>
                <w:szCs w:val="21"/>
              </w:rPr>
              <w:t>[0</w:t>
            </w:r>
            <w:r>
              <w:rPr>
                <w:rFonts w:hint="eastAsia" w:ascii="宋体" w:hAnsi="宋体" w:eastAsia="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rPr>
              <w:t>有基本健全的</w:t>
            </w:r>
            <w:r>
              <w:rPr>
                <w:rFonts w:hint="eastAsia" w:cs="宋体"/>
                <w:sz w:val="21"/>
                <w:szCs w:val="21"/>
                <w:lang w:val="en-US" w:eastAsia="zh-CN"/>
              </w:rPr>
              <w:t>文明及环境</w:t>
            </w:r>
            <w:r>
              <w:rPr>
                <w:rFonts w:hint="eastAsia" w:ascii="宋体" w:hAnsi="宋体" w:eastAsia="宋体" w:cs="宋体"/>
                <w:sz w:val="21"/>
                <w:szCs w:val="21"/>
              </w:rPr>
              <w:t>施工保证体系及保证措施，具有一定可靠性及针对性方案</w:t>
            </w:r>
            <w:r>
              <w:rPr>
                <w:rFonts w:hint="eastAsia" w:ascii="宋体" w:hAnsi="宋体" w:eastAsia="宋体" w:cs="宋体"/>
                <w:sz w:val="21"/>
                <w:szCs w:val="21"/>
                <w:lang w:val="en-US" w:eastAsia="zh-CN"/>
              </w:rPr>
              <w:t>得</w:t>
            </w:r>
            <w:r>
              <w:rPr>
                <w:rFonts w:hint="eastAsia" w:ascii="宋体" w:hAnsi="宋体" w:eastAsia="宋体" w:cs="宋体"/>
                <w:sz w:val="21"/>
                <w:szCs w:val="21"/>
              </w:rPr>
              <w:t>[0-</w:t>
            </w:r>
            <w:r>
              <w:rPr>
                <w:rFonts w:hint="eastAsia" w:ascii="宋体" w:hAnsi="宋体" w:eastAsia="宋体" w:cs="宋体"/>
                <w:sz w:val="21"/>
                <w:szCs w:val="21"/>
                <w:lang w:val="en-US" w:eastAsia="zh-CN"/>
              </w:rPr>
              <w:t>0.5）</w:t>
            </w:r>
            <w:r>
              <w:rPr>
                <w:rFonts w:hint="eastAsia" w:ascii="宋体" w:hAnsi="宋体" w:eastAsia="宋体" w:cs="宋体"/>
                <w:sz w:val="21"/>
                <w:szCs w:val="21"/>
              </w:rPr>
              <w:t>分。</w:t>
            </w:r>
          </w:p>
        </w:tc>
      </w:tr>
      <w:tr w14:paraId="1BADF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Merge w:val="continue"/>
            <w:vAlign w:val="center"/>
          </w:tcPr>
          <w:p w14:paraId="350B794E">
            <w:pPr>
              <w:wordWrap w:val="0"/>
              <w:spacing w:line="360" w:lineRule="auto"/>
              <w:rPr>
                <w:rFonts w:hint="eastAsia" w:ascii="宋体" w:hAnsi="宋体" w:eastAsia="宋体" w:cs="宋体"/>
                <w:sz w:val="21"/>
                <w:szCs w:val="21"/>
              </w:rPr>
            </w:pPr>
          </w:p>
        </w:tc>
        <w:tc>
          <w:tcPr>
            <w:tcW w:w="957" w:type="pct"/>
            <w:vMerge w:val="continue"/>
            <w:vAlign w:val="center"/>
          </w:tcPr>
          <w:p w14:paraId="14396241">
            <w:pPr>
              <w:wordWrap w:val="0"/>
              <w:spacing w:line="360" w:lineRule="auto"/>
              <w:rPr>
                <w:rFonts w:hint="eastAsia" w:ascii="宋体" w:hAnsi="宋体" w:eastAsia="宋体" w:cs="宋体"/>
                <w:sz w:val="21"/>
                <w:szCs w:val="21"/>
              </w:rPr>
            </w:pPr>
          </w:p>
        </w:tc>
        <w:tc>
          <w:tcPr>
            <w:tcW w:w="1447" w:type="pct"/>
            <w:vAlign w:val="center"/>
          </w:tcPr>
          <w:p w14:paraId="787B24F0">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确保工期的技术组织措施（</w:t>
            </w:r>
            <w:r>
              <w:rPr>
                <w:rFonts w:hint="eastAsia" w:cs="宋体"/>
                <w:sz w:val="21"/>
                <w:szCs w:val="21"/>
                <w:lang w:val="en-US" w:eastAsia="zh-CN"/>
              </w:rPr>
              <w:t>1</w:t>
            </w:r>
            <w:r>
              <w:rPr>
                <w:rFonts w:hint="eastAsia" w:ascii="宋体" w:hAnsi="宋体" w:eastAsia="宋体" w:cs="宋体"/>
                <w:sz w:val="21"/>
                <w:szCs w:val="21"/>
              </w:rPr>
              <w:t>分）</w:t>
            </w:r>
          </w:p>
        </w:tc>
        <w:tc>
          <w:tcPr>
            <w:tcW w:w="2073" w:type="pct"/>
            <w:vAlign w:val="center"/>
          </w:tcPr>
          <w:p w14:paraId="6CEC50F7">
            <w:pPr>
              <w:wordWrap w:val="0"/>
              <w:spacing w:line="360" w:lineRule="auto"/>
              <w:jc w:val="both"/>
              <w:rPr>
                <w:rFonts w:hint="eastAsia" w:ascii="宋体" w:hAnsi="宋体" w:eastAsia="宋体" w:cs="宋体"/>
                <w:sz w:val="21"/>
                <w:szCs w:val="21"/>
                <w:lang w:val="en-US" w:eastAsia="zh-CN"/>
              </w:rPr>
            </w:pPr>
            <w:r>
              <w:rPr>
                <w:rFonts w:hint="eastAsia" w:ascii="宋体" w:hAnsi="宋体" w:eastAsia="宋体" w:cs="宋体"/>
                <w:sz w:val="21"/>
                <w:szCs w:val="21"/>
              </w:rPr>
              <w:t>针对本项目工期保证的组织措施方案科学合理，提供清晰的施工进度管理文件，可操作性强，针对性强，完全满足本项目需求，得[0</w:t>
            </w:r>
            <w:r>
              <w:rPr>
                <w:rFonts w:hint="eastAsia" w:ascii="宋体" w:hAnsi="宋体" w:eastAsia="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sz w:val="21"/>
                <w:szCs w:val="21"/>
                <w:lang w:val="en-US" w:eastAsia="zh-CN"/>
              </w:rPr>
              <w:t>1</w:t>
            </w:r>
            <w:r>
              <w:rPr>
                <w:rFonts w:hint="eastAsia" w:ascii="宋体" w:hAnsi="宋体" w:eastAsia="宋体" w:cs="宋体"/>
                <w:sz w:val="21"/>
                <w:szCs w:val="21"/>
              </w:rPr>
              <w:t>]分；针对本项目工期保证的组织措施方案基本明确，可操作性一般，能基本满足本项目需求，得[0-</w:t>
            </w:r>
            <w:r>
              <w:rPr>
                <w:rFonts w:hint="eastAsia" w:ascii="宋体" w:hAnsi="宋体" w:eastAsia="宋体" w:cs="宋体"/>
                <w:sz w:val="21"/>
                <w:szCs w:val="21"/>
                <w:lang w:val="en-US" w:eastAsia="zh-CN"/>
              </w:rPr>
              <w:t>0.5）</w:t>
            </w:r>
            <w:r>
              <w:rPr>
                <w:rFonts w:hint="eastAsia" w:ascii="宋体" w:hAnsi="宋体" w:eastAsia="宋体" w:cs="宋体"/>
                <w:sz w:val="21"/>
                <w:szCs w:val="21"/>
              </w:rPr>
              <w:t>分</w:t>
            </w:r>
            <w:r>
              <w:rPr>
                <w:rFonts w:hint="eastAsia" w:cs="宋体"/>
                <w:sz w:val="21"/>
                <w:szCs w:val="21"/>
                <w:lang w:eastAsia="zh-CN"/>
              </w:rPr>
              <w:t>。</w:t>
            </w:r>
          </w:p>
        </w:tc>
      </w:tr>
      <w:tr w14:paraId="4DC3C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Merge w:val="continue"/>
            <w:vAlign w:val="center"/>
          </w:tcPr>
          <w:p w14:paraId="7B0E60DF">
            <w:pPr>
              <w:wordWrap w:val="0"/>
              <w:spacing w:line="360" w:lineRule="auto"/>
              <w:rPr>
                <w:rFonts w:hint="eastAsia" w:ascii="宋体" w:hAnsi="宋体" w:eastAsia="宋体" w:cs="宋体"/>
                <w:sz w:val="21"/>
                <w:szCs w:val="21"/>
              </w:rPr>
            </w:pPr>
          </w:p>
        </w:tc>
        <w:tc>
          <w:tcPr>
            <w:tcW w:w="957" w:type="pct"/>
            <w:vMerge w:val="continue"/>
            <w:vAlign w:val="center"/>
          </w:tcPr>
          <w:p w14:paraId="71A745AB">
            <w:pPr>
              <w:wordWrap w:val="0"/>
              <w:spacing w:line="360" w:lineRule="auto"/>
              <w:rPr>
                <w:rFonts w:hint="eastAsia" w:ascii="宋体" w:hAnsi="宋体" w:eastAsia="宋体" w:cs="宋体"/>
                <w:sz w:val="21"/>
                <w:szCs w:val="21"/>
              </w:rPr>
            </w:pPr>
          </w:p>
        </w:tc>
        <w:tc>
          <w:tcPr>
            <w:tcW w:w="1447" w:type="pct"/>
            <w:vAlign w:val="center"/>
          </w:tcPr>
          <w:p w14:paraId="3928984C">
            <w:pPr>
              <w:wordWrap w:val="0"/>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项目部人员组成（</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tc>
        <w:tc>
          <w:tcPr>
            <w:tcW w:w="2073" w:type="pct"/>
            <w:vAlign w:val="center"/>
          </w:tcPr>
          <w:p w14:paraId="798176AD">
            <w:pPr>
              <w:wordWrap w:val="0"/>
              <w:spacing w:line="360" w:lineRule="auto"/>
              <w:jc w:val="both"/>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项目部机构</w:t>
            </w:r>
            <w:r>
              <w:rPr>
                <w:rFonts w:hint="eastAsia" w:ascii="宋体" w:hAnsi="宋体" w:eastAsia="宋体" w:cs="宋体"/>
                <w:sz w:val="21"/>
                <w:szCs w:val="21"/>
              </w:rPr>
              <w:t>设置完整，各岗位配置齐全，岗位职责划分清晰，持证上岗要求规范，劳动力安排科学合理、贴合项目施工需求的，得[</w:t>
            </w: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项目部</w:t>
            </w:r>
            <w:r>
              <w:rPr>
                <w:rFonts w:hint="eastAsia" w:ascii="宋体" w:hAnsi="宋体" w:eastAsia="宋体" w:cs="宋体"/>
                <w:sz w:val="21"/>
                <w:szCs w:val="21"/>
              </w:rPr>
              <w:t>机构配置不完善，岗位职责缺失，无持证上岗要求，劳动力安排不合理或缺失的</w:t>
            </w:r>
            <w:r>
              <w:rPr>
                <w:rFonts w:hint="eastAsia" w:ascii="宋体" w:hAnsi="宋体" w:eastAsia="宋体" w:cs="宋体"/>
                <w:sz w:val="21"/>
                <w:szCs w:val="21"/>
                <w:lang w:val="en-US" w:eastAsia="zh-CN"/>
              </w:rPr>
              <w:t>得</w:t>
            </w:r>
            <w:r>
              <w:rPr>
                <w:rFonts w:hint="eastAsia" w:ascii="宋体" w:hAnsi="宋体" w:eastAsia="宋体" w:cs="宋体"/>
                <w:sz w:val="21"/>
                <w:szCs w:val="21"/>
              </w:rPr>
              <w:t>[0-</w:t>
            </w:r>
            <w:r>
              <w:rPr>
                <w:rFonts w:hint="eastAsia" w:ascii="宋体" w:hAnsi="宋体" w:eastAsia="宋体" w:cs="宋体"/>
                <w:sz w:val="21"/>
                <w:szCs w:val="21"/>
                <w:lang w:val="en-US" w:eastAsia="zh-CN"/>
              </w:rPr>
              <w:t>1）。</w:t>
            </w:r>
          </w:p>
        </w:tc>
      </w:tr>
      <w:tr w14:paraId="1A207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Merge w:val="continue"/>
            <w:vAlign w:val="center"/>
          </w:tcPr>
          <w:p w14:paraId="6AA05063">
            <w:pPr>
              <w:wordWrap w:val="0"/>
              <w:spacing w:line="360" w:lineRule="auto"/>
              <w:rPr>
                <w:rFonts w:hint="eastAsia" w:ascii="宋体" w:hAnsi="宋体" w:eastAsia="宋体" w:cs="宋体"/>
                <w:sz w:val="21"/>
                <w:szCs w:val="21"/>
              </w:rPr>
            </w:pPr>
          </w:p>
        </w:tc>
        <w:tc>
          <w:tcPr>
            <w:tcW w:w="957" w:type="pct"/>
            <w:vMerge w:val="continue"/>
            <w:vAlign w:val="center"/>
          </w:tcPr>
          <w:p w14:paraId="2338CB6B">
            <w:pPr>
              <w:wordWrap w:val="0"/>
              <w:spacing w:line="360" w:lineRule="auto"/>
              <w:rPr>
                <w:rFonts w:hint="eastAsia" w:ascii="宋体" w:hAnsi="宋体" w:eastAsia="宋体" w:cs="宋体"/>
                <w:sz w:val="21"/>
                <w:szCs w:val="21"/>
              </w:rPr>
            </w:pPr>
          </w:p>
        </w:tc>
        <w:tc>
          <w:tcPr>
            <w:tcW w:w="1447" w:type="pct"/>
            <w:vAlign w:val="center"/>
          </w:tcPr>
          <w:p w14:paraId="54E09F76">
            <w:pPr>
              <w:wordWrap w:val="0"/>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施工机械配备和材料投入计划（</w:t>
            </w:r>
            <w:r>
              <w:rPr>
                <w:rFonts w:hint="eastAsia" w:cs="宋体"/>
                <w:sz w:val="21"/>
                <w:szCs w:val="21"/>
                <w:highlight w:val="none"/>
                <w:lang w:val="en-US" w:eastAsia="zh-CN"/>
              </w:rPr>
              <w:t>1</w:t>
            </w:r>
            <w:r>
              <w:rPr>
                <w:rFonts w:hint="eastAsia" w:ascii="宋体" w:hAnsi="宋体" w:eastAsia="宋体" w:cs="宋体"/>
                <w:sz w:val="21"/>
                <w:szCs w:val="21"/>
                <w:highlight w:val="none"/>
              </w:rPr>
              <w:t>分）</w:t>
            </w:r>
          </w:p>
        </w:tc>
        <w:tc>
          <w:tcPr>
            <w:tcW w:w="2073" w:type="pct"/>
            <w:vAlign w:val="center"/>
          </w:tcPr>
          <w:p w14:paraId="485258AB">
            <w:pPr>
              <w:wordWrap w:val="0"/>
              <w:spacing w:line="360" w:lineRule="auto"/>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施工机械配备</w:t>
            </w:r>
            <w:r>
              <w:rPr>
                <w:rFonts w:hint="eastAsia" w:cs="宋体"/>
                <w:sz w:val="21"/>
                <w:szCs w:val="21"/>
                <w:highlight w:val="none"/>
                <w:lang w:val="en-US" w:eastAsia="zh-CN"/>
              </w:rPr>
              <w:t>完全满足本项目需要，配置材料先进、主流产品得</w:t>
            </w:r>
            <w:r>
              <w:rPr>
                <w:rFonts w:hint="eastAsia" w:ascii="宋体" w:hAnsi="宋体" w:eastAsia="宋体" w:cs="宋体"/>
                <w:sz w:val="21"/>
                <w:szCs w:val="21"/>
              </w:rPr>
              <w:t>[0</w:t>
            </w:r>
            <w:r>
              <w:rPr>
                <w:rFonts w:hint="eastAsia" w:ascii="宋体" w:hAnsi="宋体" w:eastAsia="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sz w:val="21"/>
                <w:szCs w:val="21"/>
                <w:highlight w:val="none"/>
              </w:rPr>
              <w:t>施工机械配备和材料投入计划</w:t>
            </w:r>
            <w:r>
              <w:rPr>
                <w:rFonts w:hint="eastAsia" w:cs="宋体"/>
                <w:sz w:val="21"/>
                <w:szCs w:val="21"/>
                <w:highlight w:val="none"/>
                <w:lang w:val="en-US" w:eastAsia="zh-CN"/>
              </w:rPr>
              <w:t>未贴合实际得</w:t>
            </w:r>
            <w:r>
              <w:rPr>
                <w:rFonts w:hint="eastAsia" w:ascii="宋体" w:hAnsi="宋体" w:eastAsia="宋体" w:cs="宋体"/>
                <w:sz w:val="21"/>
                <w:szCs w:val="21"/>
              </w:rPr>
              <w:t>[0-</w:t>
            </w:r>
            <w:r>
              <w:rPr>
                <w:rFonts w:hint="eastAsia" w:ascii="宋体" w:hAnsi="宋体" w:eastAsia="宋体" w:cs="宋体"/>
                <w:sz w:val="21"/>
                <w:szCs w:val="21"/>
                <w:lang w:val="en-US" w:eastAsia="zh-CN"/>
              </w:rPr>
              <w:t>0.5）</w:t>
            </w:r>
            <w:r>
              <w:rPr>
                <w:rFonts w:hint="eastAsia" w:ascii="宋体" w:hAnsi="宋体" w:eastAsia="宋体" w:cs="宋体"/>
                <w:sz w:val="21"/>
                <w:szCs w:val="21"/>
              </w:rPr>
              <w:t>分</w:t>
            </w:r>
            <w:r>
              <w:rPr>
                <w:rFonts w:hint="eastAsia" w:cs="宋体"/>
                <w:sz w:val="21"/>
                <w:szCs w:val="21"/>
                <w:lang w:eastAsia="zh-CN"/>
              </w:rPr>
              <w:t>。</w:t>
            </w:r>
          </w:p>
        </w:tc>
      </w:tr>
      <w:tr w14:paraId="45B4C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Merge w:val="continue"/>
            <w:vAlign w:val="center"/>
          </w:tcPr>
          <w:p w14:paraId="6AF72E12">
            <w:pPr>
              <w:wordWrap w:val="0"/>
              <w:spacing w:line="360" w:lineRule="auto"/>
              <w:rPr>
                <w:rFonts w:hint="eastAsia" w:ascii="宋体" w:hAnsi="宋体" w:eastAsia="宋体" w:cs="宋体"/>
                <w:sz w:val="21"/>
                <w:szCs w:val="21"/>
              </w:rPr>
            </w:pPr>
          </w:p>
        </w:tc>
        <w:tc>
          <w:tcPr>
            <w:tcW w:w="957" w:type="pct"/>
            <w:vMerge w:val="continue"/>
            <w:vAlign w:val="center"/>
          </w:tcPr>
          <w:p w14:paraId="27AF5137">
            <w:pPr>
              <w:wordWrap w:val="0"/>
              <w:spacing w:line="360" w:lineRule="auto"/>
              <w:rPr>
                <w:rFonts w:hint="eastAsia" w:ascii="宋体" w:hAnsi="宋体" w:eastAsia="宋体" w:cs="宋体"/>
                <w:sz w:val="21"/>
                <w:szCs w:val="21"/>
              </w:rPr>
            </w:pPr>
          </w:p>
        </w:tc>
        <w:tc>
          <w:tcPr>
            <w:tcW w:w="1447" w:type="pct"/>
            <w:vAlign w:val="center"/>
          </w:tcPr>
          <w:p w14:paraId="0BCB7B62">
            <w:pPr>
              <w:wordWrap w:val="0"/>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rPr>
              <w:t>节能环保产品及新技术、新产品、新工艺、新材料应用（2分）</w:t>
            </w:r>
          </w:p>
        </w:tc>
        <w:tc>
          <w:tcPr>
            <w:tcW w:w="2073" w:type="pct"/>
            <w:vAlign w:val="center"/>
          </w:tcPr>
          <w:p w14:paraId="04A2C2C1">
            <w:pPr>
              <w:widowControl w:val="0"/>
              <w:wordWrap w:val="0"/>
              <w:spacing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节能环保产品（</w:t>
            </w:r>
            <w:r>
              <w:rPr>
                <w:rFonts w:hint="eastAsia" w:cs="宋体"/>
                <w:sz w:val="21"/>
                <w:szCs w:val="21"/>
                <w:highlight w:val="none"/>
                <w:lang w:val="en-US" w:eastAsia="zh-CN"/>
              </w:rPr>
              <w:t>1分</w:t>
            </w:r>
            <w:r>
              <w:rPr>
                <w:rFonts w:hint="eastAsia" w:ascii="宋体" w:hAnsi="宋体" w:eastAsia="宋体" w:cs="宋体"/>
                <w:sz w:val="21"/>
                <w:szCs w:val="21"/>
                <w:highlight w:val="none"/>
              </w:rPr>
              <w:t>）：</w:t>
            </w:r>
          </w:p>
          <w:p w14:paraId="0145BDBD">
            <w:pPr>
              <w:widowControl w:val="0"/>
              <w:wordWrap w:val="0"/>
              <w:spacing w:line="360" w:lineRule="auto"/>
              <w:jc w:val="both"/>
              <w:rPr>
                <w:rFonts w:hint="eastAsia" w:ascii="宋体" w:hAnsi="宋体" w:eastAsia="宋体" w:cs="宋体"/>
                <w:sz w:val="21"/>
                <w:szCs w:val="21"/>
                <w:highlight w:val="none"/>
              </w:rPr>
            </w:pPr>
            <w:r>
              <w:rPr>
                <w:rFonts w:hint="eastAsia" w:cs="宋体"/>
                <w:sz w:val="21"/>
                <w:szCs w:val="21"/>
                <w:highlight w:val="none"/>
                <w:lang w:val="en-US" w:eastAsia="zh-CN"/>
              </w:rPr>
              <w:t>除强制采购产品外，</w:t>
            </w:r>
            <w:r>
              <w:rPr>
                <w:rFonts w:hint="eastAsia" w:ascii="宋体" w:hAnsi="宋体" w:eastAsia="宋体" w:cs="宋体"/>
                <w:sz w:val="21"/>
                <w:szCs w:val="21"/>
                <w:highlight w:val="none"/>
              </w:rPr>
              <w:t>主要材料与设备为节能产品</w:t>
            </w:r>
            <w:r>
              <w:rPr>
                <w:rFonts w:hint="eastAsia" w:cs="宋体"/>
                <w:sz w:val="21"/>
                <w:szCs w:val="21"/>
                <w:highlight w:val="none"/>
                <w:lang w:val="en-US" w:eastAsia="zh-CN"/>
              </w:rPr>
              <w:t>或</w:t>
            </w:r>
            <w:r>
              <w:rPr>
                <w:rFonts w:hint="eastAsia" w:ascii="宋体" w:hAnsi="宋体" w:eastAsia="宋体" w:cs="宋体"/>
                <w:sz w:val="21"/>
                <w:szCs w:val="21"/>
                <w:highlight w:val="none"/>
              </w:rPr>
              <w:t>环境标志产品的，每种产品得0.5分，最高得1分，没有不得分。</w:t>
            </w:r>
          </w:p>
          <w:p w14:paraId="7D6B602E">
            <w:pPr>
              <w:widowControl w:val="0"/>
              <w:wordWrap w:val="0"/>
              <w:spacing w:line="360" w:lineRule="auto"/>
              <w:jc w:val="both"/>
              <w:rPr>
                <w:rFonts w:hint="eastAsia" w:ascii="宋体" w:hAnsi="宋体" w:eastAsia="宋体" w:cs="宋体"/>
                <w:sz w:val="21"/>
                <w:szCs w:val="21"/>
                <w:highlight w:val="none"/>
              </w:rPr>
            </w:pPr>
            <w:r>
              <w:rPr>
                <w:rFonts w:hint="eastAsia" w:cs="宋体"/>
                <w:sz w:val="21"/>
                <w:szCs w:val="21"/>
                <w:highlight w:val="none"/>
                <w:lang w:val="en-US" w:eastAsia="zh-CN"/>
              </w:rPr>
              <w:t>注：</w:t>
            </w:r>
            <w:r>
              <w:rPr>
                <w:rFonts w:hint="eastAsia" w:ascii="宋体" w:hAnsi="宋体" w:eastAsia="宋体" w:cs="宋体"/>
                <w:sz w:val="21"/>
                <w:szCs w:val="21"/>
                <w:highlight w:val="none"/>
              </w:rPr>
              <w:t>节能产品、环境标志产品为品目清单中产品并取得认证证书；属于强制采购的产品，不再给予加分。</w:t>
            </w:r>
          </w:p>
          <w:p w14:paraId="35DBA348">
            <w:pPr>
              <w:widowControl w:val="0"/>
              <w:wordWrap w:val="0"/>
              <w:spacing w:line="36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既是节能产品又是环保产品可同时得分</w:t>
            </w:r>
            <w:r>
              <w:rPr>
                <w:rFonts w:hint="eastAsia" w:cs="宋体"/>
                <w:sz w:val="21"/>
                <w:szCs w:val="21"/>
                <w:highlight w:val="none"/>
                <w:lang w:eastAsia="zh-CN"/>
              </w:rPr>
              <w:t>。</w:t>
            </w:r>
          </w:p>
          <w:p w14:paraId="7817C015">
            <w:pPr>
              <w:wordWrap w:val="0"/>
              <w:spacing w:line="36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新技术、新产品、新工艺、新材料应用（1分）：评审委员会依据投标文件内容自主赋分[</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w:t>
            </w:r>
          </w:p>
        </w:tc>
      </w:tr>
      <w:tr w14:paraId="0C19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Merge w:val="continue"/>
            <w:vAlign w:val="center"/>
          </w:tcPr>
          <w:p w14:paraId="58F89AA0">
            <w:pPr>
              <w:wordWrap w:val="0"/>
              <w:spacing w:line="360" w:lineRule="auto"/>
              <w:rPr>
                <w:rFonts w:hint="eastAsia" w:ascii="宋体" w:hAnsi="宋体" w:eastAsia="宋体" w:cs="宋体"/>
                <w:sz w:val="21"/>
                <w:szCs w:val="21"/>
              </w:rPr>
            </w:pPr>
          </w:p>
        </w:tc>
        <w:tc>
          <w:tcPr>
            <w:tcW w:w="957" w:type="pct"/>
            <w:vMerge w:val="restart"/>
            <w:vAlign w:val="center"/>
          </w:tcPr>
          <w:p w14:paraId="2039F66E">
            <w:pPr>
              <w:wordWrap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商务标</w:t>
            </w:r>
          </w:p>
          <w:p w14:paraId="5450E163">
            <w:pPr>
              <w:wordWrap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cs="宋体"/>
                <w:sz w:val="21"/>
                <w:szCs w:val="21"/>
                <w:lang w:val="en-US" w:eastAsia="zh-CN"/>
              </w:rPr>
              <w:t>90</w:t>
            </w:r>
            <w:r>
              <w:rPr>
                <w:rFonts w:hint="eastAsia" w:ascii="宋体" w:hAnsi="宋体" w:eastAsia="宋体" w:cs="宋体"/>
                <w:sz w:val="21"/>
                <w:szCs w:val="21"/>
                <w:lang w:val="en-US" w:eastAsia="zh-CN"/>
              </w:rPr>
              <w:t>分</w:t>
            </w:r>
            <w:r>
              <w:rPr>
                <w:rFonts w:hint="eastAsia" w:ascii="宋体" w:hAnsi="宋体" w:eastAsia="宋体" w:cs="宋体"/>
                <w:sz w:val="21"/>
                <w:szCs w:val="21"/>
                <w:lang w:eastAsia="zh-CN"/>
              </w:rPr>
              <w:t>）</w:t>
            </w:r>
          </w:p>
        </w:tc>
        <w:tc>
          <w:tcPr>
            <w:tcW w:w="1447" w:type="pct"/>
            <w:vAlign w:val="center"/>
          </w:tcPr>
          <w:p w14:paraId="4FF9274B">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投标报价（总价）</w:t>
            </w:r>
          </w:p>
          <w:p w14:paraId="3DE37712">
            <w:pPr>
              <w:wordWrap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eastAsia="宋体" w:cs="宋体"/>
                <w:sz w:val="21"/>
                <w:szCs w:val="21"/>
              </w:rPr>
              <w:t>30分</w:t>
            </w:r>
            <w:r>
              <w:rPr>
                <w:rFonts w:hint="eastAsia" w:ascii="宋体" w:hAnsi="宋体" w:eastAsia="宋体" w:cs="宋体"/>
                <w:sz w:val="21"/>
                <w:szCs w:val="21"/>
                <w:lang w:eastAsia="zh-CN"/>
              </w:rPr>
              <w:t>）</w:t>
            </w:r>
          </w:p>
        </w:tc>
        <w:tc>
          <w:tcPr>
            <w:tcW w:w="2073" w:type="pct"/>
            <w:vAlign w:val="center"/>
          </w:tcPr>
          <w:p w14:paraId="06AB3D83">
            <w:pPr>
              <w:wordWrap w:val="0"/>
              <w:spacing w:line="360" w:lineRule="auto"/>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rPr>
              <w:t>投标人的投标总报价高出招标最高限价的将被否决投标。</w:t>
            </w:r>
          </w:p>
          <w:p w14:paraId="7EC58F5B">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对各有效投标报价（总价）进行算术平均值计算，以算术平均值下浮 3 % 为评标基准价。</w:t>
            </w:r>
          </w:p>
          <w:p w14:paraId="5A5BBACA">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有效投标报价（总价）每高于评标基准价1%扣 2 分，每低于评标基准价1%扣 1分，扣完为止。具体得分按插入法计算。</w:t>
            </w:r>
          </w:p>
        </w:tc>
      </w:tr>
      <w:tr w14:paraId="2C8F3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Merge w:val="continue"/>
            <w:vAlign w:val="center"/>
          </w:tcPr>
          <w:p w14:paraId="52403767">
            <w:pPr>
              <w:wordWrap w:val="0"/>
              <w:spacing w:line="360" w:lineRule="auto"/>
              <w:rPr>
                <w:rFonts w:hint="eastAsia" w:ascii="宋体" w:hAnsi="宋体" w:eastAsia="宋体" w:cs="宋体"/>
                <w:sz w:val="21"/>
                <w:szCs w:val="21"/>
              </w:rPr>
            </w:pPr>
          </w:p>
        </w:tc>
        <w:tc>
          <w:tcPr>
            <w:tcW w:w="957" w:type="pct"/>
            <w:vMerge w:val="continue"/>
            <w:vAlign w:val="center"/>
          </w:tcPr>
          <w:p w14:paraId="049A466F">
            <w:pPr>
              <w:wordWrap w:val="0"/>
              <w:spacing w:line="360" w:lineRule="auto"/>
              <w:rPr>
                <w:rFonts w:hint="eastAsia" w:ascii="宋体" w:hAnsi="宋体" w:eastAsia="宋体" w:cs="宋体"/>
                <w:sz w:val="21"/>
                <w:szCs w:val="21"/>
              </w:rPr>
            </w:pPr>
          </w:p>
        </w:tc>
        <w:tc>
          <w:tcPr>
            <w:tcW w:w="1447" w:type="pct"/>
            <w:vAlign w:val="center"/>
          </w:tcPr>
          <w:p w14:paraId="5C108434">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分部分项工程量清单项目综合单价报价得分</w:t>
            </w:r>
          </w:p>
          <w:p w14:paraId="2D8CC5E6">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(40分）</w:t>
            </w:r>
          </w:p>
        </w:tc>
        <w:tc>
          <w:tcPr>
            <w:tcW w:w="2073" w:type="pct"/>
            <w:vAlign w:val="center"/>
          </w:tcPr>
          <w:p w14:paraId="38DA9748">
            <w:pPr>
              <w:widowControl w:val="0"/>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由监标人随机抽取 40 项分部分项工程量清单项目，评审各投标人的综合单价项目，每个单项满分为 1分。</w:t>
            </w:r>
          </w:p>
          <w:p w14:paraId="1049011A">
            <w:pPr>
              <w:widowControl w:val="0"/>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计算评标基准价：对各有效报价进行算术平均值计算，以算术平均值下浮 3% 为评标基准价。</w:t>
            </w:r>
          </w:p>
          <w:p w14:paraId="7969111B">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等于基准价的工程量清单综合单价得满分1分，每高于基准价 1％扣 0.05 分，每低于基准价1%扣 0.025分，单项分值扣完为止，具体得分按插入法计算。本项总得分为所评清单项单项合计值。</w:t>
            </w:r>
          </w:p>
        </w:tc>
      </w:tr>
      <w:tr w14:paraId="781F6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Merge w:val="continue"/>
            <w:vAlign w:val="center"/>
          </w:tcPr>
          <w:p w14:paraId="0D34FC49">
            <w:pPr>
              <w:wordWrap w:val="0"/>
              <w:spacing w:line="360" w:lineRule="auto"/>
              <w:rPr>
                <w:rFonts w:hint="eastAsia" w:ascii="宋体" w:hAnsi="宋体" w:eastAsia="宋体" w:cs="宋体"/>
                <w:sz w:val="21"/>
                <w:szCs w:val="21"/>
              </w:rPr>
            </w:pPr>
          </w:p>
        </w:tc>
        <w:tc>
          <w:tcPr>
            <w:tcW w:w="957" w:type="pct"/>
            <w:vMerge w:val="continue"/>
            <w:vAlign w:val="center"/>
          </w:tcPr>
          <w:p w14:paraId="44BF3265">
            <w:pPr>
              <w:wordWrap w:val="0"/>
              <w:spacing w:line="360" w:lineRule="auto"/>
              <w:rPr>
                <w:rFonts w:hint="eastAsia" w:ascii="宋体" w:hAnsi="宋体" w:eastAsia="宋体" w:cs="宋体"/>
                <w:sz w:val="21"/>
                <w:szCs w:val="21"/>
              </w:rPr>
            </w:pPr>
          </w:p>
        </w:tc>
        <w:tc>
          <w:tcPr>
            <w:tcW w:w="1447" w:type="pct"/>
            <w:vAlign w:val="center"/>
          </w:tcPr>
          <w:p w14:paraId="756ACD21">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措施项目费报价得分</w:t>
            </w:r>
          </w:p>
          <w:p w14:paraId="75FD172B">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（10分）</w:t>
            </w:r>
          </w:p>
        </w:tc>
        <w:tc>
          <w:tcPr>
            <w:tcW w:w="2073" w:type="pct"/>
            <w:vAlign w:val="center"/>
          </w:tcPr>
          <w:p w14:paraId="02613922">
            <w:pPr>
              <w:widowControl w:val="0"/>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计算评标基准价：对各有效报价进行算术平均值计算，以算术平均值下浮 3% 为评标基准价。</w:t>
            </w:r>
          </w:p>
          <w:p w14:paraId="43E26E7D">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等于基准价的措施项目费得满分10分，每高于基准价1％扣 0.2 分，每低于基准价1%扣 0.1 分，本项扣完为止，具体得分按插入法计算。</w:t>
            </w:r>
          </w:p>
        </w:tc>
      </w:tr>
      <w:tr w14:paraId="5F711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pct"/>
            <w:vMerge w:val="continue"/>
            <w:vAlign w:val="center"/>
          </w:tcPr>
          <w:p w14:paraId="6837E28F">
            <w:pPr>
              <w:wordWrap w:val="0"/>
              <w:spacing w:line="360" w:lineRule="auto"/>
              <w:rPr>
                <w:rFonts w:hint="eastAsia" w:ascii="宋体" w:hAnsi="宋体" w:eastAsia="宋体" w:cs="宋体"/>
                <w:sz w:val="21"/>
                <w:szCs w:val="21"/>
              </w:rPr>
            </w:pPr>
          </w:p>
        </w:tc>
        <w:tc>
          <w:tcPr>
            <w:tcW w:w="957" w:type="pct"/>
            <w:vMerge w:val="continue"/>
            <w:vAlign w:val="center"/>
          </w:tcPr>
          <w:p w14:paraId="42FB6EFA">
            <w:pPr>
              <w:wordWrap w:val="0"/>
              <w:spacing w:line="360" w:lineRule="auto"/>
              <w:rPr>
                <w:rFonts w:hint="eastAsia" w:ascii="宋体" w:hAnsi="宋体" w:eastAsia="宋体" w:cs="宋体"/>
                <w:sz w:val="21"/>
                <w:szCs w:val="21"/>
              </w:rPr>
            </w:pPr>
          </w:p>
        </w:tc>
        <w:tc>
          <w:tcPr>
            <w:tcW w:w="1447" w:type="pct"/>
            <w:vAlign w:val="center"/>
          </w:tcPr>
          <w:p w14:paraId="32E5F328">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类似业绩</w:t>
            </w:r>
          </w:p>
          <w:p w14:paraId="42DD3D4B">
            <w:pPr>
              <w:wordWrap w:val="0"/>
              <w:spacing w:line="360" w:lineRule="auto"/>
              <w:rPr>
                <w:rFonts w:hint="eastAsia" w:ascii="宋体" w:hAnsi="宋体" w:eastAsia="宋体" w:cs="宋体"/>
                <w:sz w:val="21"/>
                <w:szCs w:val="21"/>
              </w:rPr>
            </w:pPr>
            <w:r>
              <w:rPr>
                <w:rFonts w:hint="eastAsia" w:ascii="宋体" w:hAnsi="宋体" w:eastAsia="宋体" w:cs="宋体"/>
                <w:sz w:val="21"/>
                <w:szCs w:val="21"/>
              </w:rPr>
              <w:t>（</w:t>
            </w:r>
            <w:r>
              <w:rPr>
                <w:rFonts w:hint="eastAsia" w:cs="宋体"/>
                <w:sz w:val="21"/>
                <w:szCs w:val="21"/>
                <w:lang w:val="en-US" w:eastAsia="zh-CN"/>
              </w:rPr>
              <w:t>10</w:t>
            </w:r>
            <w:r>
              <w:rPr>
                <w:rFonts w:hint="eastAsia" w:ascii="宋体" w:hAnsi="宋体" w:eastAsia="宋体" w:cs="宋体"/>
                <w:sz w:val="21"/>
                <w:szCs w:val="21"/>
              </w:rPr>
              <w:t>分）</w:t>
            </w:r>
          </w:p>
        </w:tc>
        <w:tc>
          <w:tcPr>
            <w:tcW w:w="2073" w:type="pct"/>
            <w:vAlign w:val="center"/>
          </w:tcPr>
          <w:p w14:paraId="3C85433C">
            <w:pPr>
              <w:wordWrap w:val="0"/>
              <w:spacing w:line="360" w:lineRule="auto"/>
              <w:jc w:val="both"/>
              <w:rPr>
                <w:rFonts w:hint="eastAsia" w:ascii="宋体" w:hAnsi="宋体" w:eastAsia="宋体" w:cs="宋体"/>
                <w:sz w:val="21"/>
                <w:szCs w:val="21"/>
              </w:rPr>
            </w:pPr>
            <w:r>
              <w:rPr>
                <w:rFonts w:hint="eastAsia" w:ascii="宋体" w:hAnsi="宋体" w:eastAsia="宋体" w:cs="宋体"/>
                <w:sz w:val="21"/>
                <w:szCs w:val="21"/>
              </w:rPr>
              <w:t>提供2023年</w:t>
            </w:r>
            <w:r>
              <w:rPr>
                <w:rFonts w:hint="eastAsia" w:ascii="宋体" w:hAnsi="宋体" w:eastAsia="宋体" w:cs="宋体"/>
                <w:sz w:val="21"/>
                <w:szCs w:val="21"/>
                <w:lang w:val="en-US" w:eastAsia="zh-CN"/>
              </w:rPr>
              <w:t>1月1日</w:t>
            </w:r>
            <w:r>
              <w:rPr>
                <w:rFonts w:hint="eastAsia" w:ascii="宋体" w:hAnsi="宋体" w:eastAsia="宋体" w:cs="宋体"/>
                <w:sz w:val="21"/>
                <w:szCs w:val="21"/>
              </w:rPr>
              <w:t>至今的类似</w:t>
            </w:r>
            <w:r>
              <w:rPr>
                <w:rFonts w:hint="eastAsia" w:ascii="宋体" w:hAnsi="宋体" w:eastAsia="宋体" w:cs="宋体"/>
                <w:sz w:val="21"/>
                <w:szCs w:val="21"/>
                <w:lang w:val="en-US" w:eastAsia="zh-CN"/>
              </w:rPr>
              <w:t>项目</w:t>
            </w:r>
            <w:r>
              <w:rPr>
                <w:rFonts w:hint="eastAsia" w:ascii="宋体" w:hAnsi="宋体" w:eastAsia="宋体" w:cs="宋体"/>
                <w:sz w:val="21"/>
                <w:szCs w:val="21"/>
              </w:rPr>
              <w:t>业绩，每份得</w:t>
            </w:r>
            <w:r>
              <w:rPr>
                <w:rFonts w:hint="eastAsia" w:cs="宋体"/>
                <w:sz w:val="21"/>
                <w:szCs w:val="21"/>
                <w:lang w:val="en-US" w:eastAsia="zh-CN"/>
              </w:rPr>
              <w:t>2</w:t>
            </w:r>
            <w:r>
              <w:rPr>
                <w:rFonts w:hint="eastAsia" w:ascii="宋体" w:hAnsi="宋体" w:eastAsia="宋体" w:cs="宋体"/>
                <w:sz w:val="21"/>
                <w:szCs w:val="21"/>
              </w:rPr>
              <w:t>分，最高不超过</w:t>
            </w:r>
            <w:r>
              <w:rPr>
                <w:rFonts w:hint="eastAsia" w:cs="宋体"/>
                <w:sz w:val="21"/>
                <w:szCs w:val="21"/>
                <w:lang w:val="en-US" w:eastAsia="zh-CN"/>
              </w:rPr>
              <w:t>10</w:t>
            </w:r>
            <w:r>
              <w:rPr>
                <w:rFonts w:hint="eastAsia" w:ascii="宋体" w:hAnsi="宋体" w:eastAsia="宋体" w:cs="宋体"/>
                <w:sz w:val="21"/>
                <w:szCs w:val="21"/>
              </w:rPr>
              <w:t>分。（</w:t>
            </w:r>
            <w:r>
              <w:rPr>
                <w:rFonts w:hint="eastAsia" w:ascii="宋体" w:hAnsi="宋体" w:eastAsia="宋体" w:cs="宋体"/>
                <w:sz w:val="21"/>
                <w:szCs w:val="21"/>
                <w:lang w:val="en-US" w:eastAsia="zh-CN"/>
              </w:rPr>
              <w:t>业绩证明材料以合同复印件为准。时间以合同签订时间为准。</w:t>
            </w:r>
            <w:r>
              <w:rPr>
                <w:rFonts w:hint="eastAsia" w:ascii="宋体" w:hAnsi="宋体" w:eastAsia="宋体" w:cs="宋体"/>
                <w:sz w:val="21"/>
                <w:szCs w:val="21"/>
              </w:rPr>
              <w:t>）</w:t>
            </w:r>
          </w:p>
        </w:tc>
      </w:tr>
    </w:tbl>
    <w:p w14:paraId="52151F2B"/>
    <w:p w14:paraId="353A43AE">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一、评标原则</w:t>
      </w:r>
    </w:p>
    <w:p w14:paraId="17432D93">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工程评定标工作坚持公平、公正、科学，择优的原则，对投标人的投标文件进行评审，依据综合得分由高至低的顺序确定中标候选人。</w:t>
      </w:r>
    </w:p>
    <w:p w14:paraId="07381F32">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二、评标委员会组成</w:t>
      </w:r>
    </w:p>
    <w:p w14:paraId="0F117CE3">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根据有关规定成立本工程评标委员会，评标委员会构成：5人，其中评标专家5人，评标专家确定方式：在中国政府采购网财政部评标专家库中随机抽取技术、经济方面的5名专家。</w:t>
      </w:r>
    </w:p>
    <w:p w14:paraId="2CF0BB07">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三、评标须知</w:t>
      </w:r>
    </w:p>
    <w:p w14:paraId="2A43B59D">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1、开标后至中标人签订合同为止，凡属于对投标文件的审查、澄清、评价和比较的有关资料、中标候选人的推荐情况以及与评标有关的其他任何情况均严格保密。</w:t>
      </w:r>
    </w:p>
    <w:p w14:paraId="029B191D">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2、在投标文件的评审和比较、中标候选人的确定以及合同的签订过程中，投标人向招标人和评标委员会施加影响的任何行为，都将导致其投标被拒绝。</w:t>
      </w:r>
    </w:p>
    <w:p w14:paraId="131F0F2E">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3、中标人确定后，未中标人不得向评标委员会人员或其他有关人员询问评标过程。</w:t>
      </w:r>
    </w:p>
    <w:p w14:paraId="2996208C">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4、为有助于投标文件的审查、评价和比较，评标委员会可以书面形式要求投标人对投标文件含义不明确的内容做必要的澄清与说明，投标人应采用书面形式进行澄清与说明，但不得超出投标文件的范围或改变投标文件的实质性内容。</w:t>
      </w:r>
    </w:p>
    <w:p w14:paraId="7F6B5440">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凡属于评标委员会在评标中发现计算错误进行核实的修改不在此列。</w:t>
      </w:r>
    </w:p>
    <w:p w14:paraId="538C20B2">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四、评审内容及标准：</w:t>
      </w:r>
    </w:p>
    <w:p w14:paraId="41CF39D6">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1.评审内容：技术标（1</w:t>
      </w:r>
      <w:r>
        <w:rPr>
          <w:rFonts w:hint="eastAsia" w:ascii="宋体" w:hAnsi="宋体" w:eastAsia="宋体" w:cs="宋体"/>
          <w:sz w:val="21"/>
          <w:szCs w:val="21"/>
          <w:lang w:val="en-US" w:eastAsia="zh-CN"/>
        </w:rPr>
        <w:t>0</w:t>
      </w:r>
      <w:r>
        <w:rPr>
          <w:rFonts w:hint="eastAsia" w:ascii="宋体" w:hAnsi="宋体" w:eastAsia="宋体" w:cs="宋体"/>
          <w:sz w:val="21"/>
          <w:szCs w:val="21"/>
        </w:rPr>
        <w:t>分）、商务标（</w:t>
      </w:r>
      <w:r>
        <w:rPr>
          <w:rFonts w:hint="eastAsia" w:ascii="宋体" w:hAnsi="宋体" w:eastAsia="宋体" w:cs="宋体"/>
          <w:sz w:val="21"/>
          <w:szCs w:val="21"/>
          <w:lang w:val="en-US" w:eastAsia="zh-CN"/>
        </w:rPr>
        <w:t>90</w:t>
      </w:r>
      <w:r>
        <w:rPr>
          <w:rFonts w:hint="eastAsia" w:ascii="宋体" w:hAnsi="宋体" w:eastAsia="宋体" w:cs="宋体"/>
          <w:sz w:val="21"/>
          <w:szCs w:val="21"/>
        </w:rPr>
        <w:t>分）。</w:t>
      </w:r>
    </w:p>
    <w:p w14:paraId="2059147C">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技术标得分高的确定。</w:t>
      </w:r>
    </w:p>
    <w:p w14:paraId="14738DE0">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2.评审标准</w:t>
      </w:r>
    </w:p>
    <w:p w14:paraId="30168006">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2.1 初步评审标准</w:t>
      </w:r>
    </w:p>
    <w:p w14:paraId="58074DDE">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2.1.</w:t>
      </w:r>
      <w:r>
        <w:rPr>
          <w:rFonts w:hint="eastAsia" w:ascii="宋体" w:hAnsi="宋体" w:eastAsia="宋体" w:cs="宋体"/>
          <w:sz w:val="21"/>
          <w:szCs w:val="21"/>
          <w:lang w:val="en-US" w:eastAsia="zh-CN"/>
        </w:rPr>
        <w:t>1</w:t>
      </w:r>
      <w:r>
        <w:rPr>
          <w:rFonts w:hint="eastAsia" w:ascii="宋体" w:hAnsi="宋体" w:eastAsia="宋体" w:cs="宋体"/>
          <w:sz w:val="21"/>
          <w:szCs w:val="21"/>
        </w:rPr>
        <w:t xml:space="preserve"> 资格</w:t>
      </w:r>
      <w:r>
        <w:rPr>
          <w:rFonts w:hint="eastAsia" w:ascii="宋体" w:hAnsi="宋体" w:eastAsia="宋体" w:cs="宋体"/>
          <w:sz w:val="21"/>
          <w:szCs w:val="21"/>
          <w:lang w:val="en-US" w:eastAsia="zh-CN"/>
        </w:rPr>
        <w:t>性</w:t>
      </w:r>
      <w:r>
        <w:rPr>
          <w:rFonts w:hint="eastAsia" w:ascii="宋体" w:hAnsi="宋体" w:eastAsia="宋体" w:cs="宋体"/>
          <w:sz w:val="21"/>
          <w:szCs w:val="21"/>
        </w:rPr>
        <w:t>评审标准：见评标办法前附表</w:t>
      </w:r>
    </w:p>
    <w:p w14:paraId="47CC2960">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2.1.</w:t>
      </w:r>
      <w:r>
        <w:rPr>
          <w:rFonts w:hint="eastAsia" w:ascii="宋体" w:hAnsi="宋体" w:eastAsia="宋体" w:cs="宋体"/>
          <w:sz w:val="21"/>
          <w:szCs w:val="21"/>
          <w:lang w:val="en-US" w:eastAsia="zh-CN"/>
        </w:rPr>
        <w:t>2</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符合性</w:t>
      </w:r>
      <w:r>
        <w:rPr>
          <w:rFonts w:hint="eastAsia" w:ascii="宋体" w:hAnsi="宋体" w:eastAsia="宋体" w:cs="宋体"/>
          <w:sz w:val="21"/>
          <w:szCs w:val="21"/>
        </w:rPr>
        <w:t>评审标准：见评标办法前附表。</w:t>
      </w:r>
    </w:p>
    <w:p w14:paraId="7E5C241C">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2.2 分值构成与评分标准</w:t>
      </w:r>
    </w:p>
    <w:p w14:paraId="2FE23704">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2.2.1 分值构成</w:t>
      </w:r>
    </w:p>
    <w:p w14:paraId="14655D36">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（1）技术标：见评标办法前附表；</w:t>
      </w:r>
    </w:p>
    <w:p w14:paraId="462435B0">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（2）商务标：见评标办法前附表；</w:t>
      </w:r>
    </w:p>
    <w:p w14:paraId="2623B6CD">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2.2.2 评标基准价计算</w:t>
      </w:r>
    </w:p>
    <w:p w14:paraId="43288DD8">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评标基准价计算方法：见评标办法前附表。</w:t>
      </w:r>
    </w:p>
    <w:p w14:paraId="05D67A3A">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2.2.3 投标报价的偏差率计算</w:t>
      </w:r>
    </w:p>
    <w:p w14:paraId="101BC5FC">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投标报价的偏差率计算公式：见评标办法前附表。</w:t>
      </w:r>
    </w:p>
    <w:p w14:paraId="14870FE5">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2.2.4 详细评分标准</w:t>
      </w:r>
    </w:p>
    <w:p w14:paraId="1C797246">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（1）技术标：见评标办法前附表；</w:t>
      </w:r>
    </w:p>
    <w:p w14:paraId="7A21B61A">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（2）商务标：见评标办法前附表；</w:t>
      </w:r>
    </w:p>
    <w:p w14:paraId="344B1BAF">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3.评标程序</w:t>
      </w:r>
    </w:p>
    <w:p w14:paraId="4071CAD0">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3.1 初步评审</w:t>
      </w:r>
    </w:p>
    <w:p w14:paraId="687E6DEB">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3.1.1</w:t>
      </w:r>
      <w:r>
        <w:rPr>
          <w:rFonts w:hint="eastAsia" w:cs="宋体"/>
          <w:sz w:val="21"/>
          <w:szCs w:val="21"/>
          <w:lang w:val="en-US" w:eastAsia="zh-CN"/>
        </w:rPr>
        <w:t xml:space="preserve"> </w:t>
      </w:r>
      <w:r>
        <w:rPr>
          <w:rFonts w:hint="eastAsia" w:ascii="宋体" w:hAnsi="宋体" w:eastAsia="宋体" w:cs="宋体"/>
          <w:sz w:val="21"/>
          <w:szCs w:val="21"/>
        </w:rPr>
        <w:t>评标委员会依据本章第2.1款规定的标准对投标文件进行初步评审。有一项不符合评审标准的，作废标处理。</w:t>
      </w:r>
    </w:p>
    <w:p w14:paraId="5631C43B">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3.1.2</w:t>
      </w:r>
      <w:r>
        <w:rPr>
          <w:rFonts w:hint="eastAsia" w:cs="宋体"/>
          <w:sz w:val="21"/>
          <w:szCs w:val="21"/>
          <w:lang w:val="en-US" w:eastAsia="zh-CN"/>
        </w:rPr>
        <w:t xml:space="preserve"> </w:t>
      </w:r>
      <w:r>
        <w:rPr>
          <w:rFonts w:hint="eastAsia" w:ascii="宋体" w:hAnsi="宋体" w:eastAsia="宋体" w:cs="宋体"/>
          <w:sz w:val="21"/>
          <w:szCs w:val="21"/>
        </w:rPr>
        <w:t>投标人有以下情形之一的，其投标作废标处理：</w:t>
      </w:r>
    </w:p>
    <w:p w14:paraId="4E41FA41">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（1）第二部分“投标人须知”第1.4.</w:t>
      </w:r>
      <w:r>
        <w:rPr>
          <w:rFonts w:hint="eastAsia" w:ascii="宋体" w:hAnsi="宋体" w:eastAsia="宋体" w:cs="宋体"/>
          <w:sz w:val="21"/>
          <w:szCs w:val="21"/>
          <w:lang w:val="en-US" w:eastAsia="zh-CN"/>
        </w:rPr>
        <w:t>2</w:t>
      </w:r>
      <w:r>
        <w:rPr>
          <w:rFonts w:hint="eastAsia" w:ascii="宋体" w:hAnsi="宋体" w:eastAsia="宋体" w:cs="宋体"/>
          <w:sz w:val="21"/>
          <w:szCs w:val="21"/>
        </w:rPr>
        <w:t>项规定的任何一种情形的；</w:t>
      </w:r>
    </w:p>
    <w:p w14:paraId="542A5BE4">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（2）串通投标或弄虚作假或有其他违法行为的；</w:t>
      </w:r>
    </w:p>
    <w:p w14:paraId="78141038">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（3）不按评标委员会要求澄清、说明或补正的。</w:t>
      </w:r>
    </w:p>
    <w:p w14:paraId="34BF1EBE">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3.1.3</w:t>
      </w:r>
      <w:r>
        <w:rPr>
          <w:rFonts w:hint="eastAsia" w:cs="宋体"/>
          <w:sz w:val="21"/>
          <w:szCs w:val="21"/>
          <w:lang w:val="en-US" w:eastAsia="zh-CN"/>
        </w:rPr>
        <w:t xml:space="preserve"> </w:t>
      </w:r>
      <w:r>
        <w:rPr>
          <w:rFonts w:hint="eastAsia" w:ascii="宋体" w:hAnsi="宋体" w:eastAsia="宋体" w:cs="宋体"/>
          <w:sz w:val="21"/>
          <w:szCs w:val="21"/>
        </w:rPr>
        <w:t>投标报价有算术错误的，评标委员会按以下原则对投标报价进行修正，修正的价格经投标人书面确认后具有约束力。投标人不接受修正价格的，其投标作废标处理。</w:t>
      </w:r>
    </w:p>
    <w:p w14:paraId="230B362B">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（1）投标文件中的大写金额与小写金额不一致的，以大写金额为准；</w:t>
      </w:r>
    </w:p>
    <w:p w14:paraId="0029CC9E">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（2）总价金额与依据单价计算出的结果不一致的，以单价金额为准修正总价，但单价金额小数点有明显错误的除外。</w:t>
      </w:r>
    </w:p>
    <w:p w14:paraId="5E9B7754">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3.2 详细评审</w:t>
      </w:r>
    </w:p>
    <w:p w14:paraId="0D3DB89F">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3.2.1 评标委员会按本章第2.2款规定的量化因素和分值进行打分，并计算出综合评估得分。</w:t>
      </w:r>
    </w:p>
    <w:p w14:paraId="13E06B3B">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（1）按本章第2.2.4（1）目规定的评审因素和分值对技术标计算出得分A；</w:t>
      </w:r>
    </w:p>
    <w:p w14:paraId="237E6424">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（2）按本章第2.2.4（2）目规定的评审因素和分值对商务标计算出得分B；</w:t>
      </w:r>
    </w:p>
    <w:p w14:paraId="037A358B">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3.2.2 评分分值计算保留小数点后两位，小数点后第三位“四舍五入”。</w:t>
      </w:r>
    </w:p>
    <w:p w14:paraId="0264BD96">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3.2.3 投标人得分=A+B。</w:t>
      </w:r>
    </w:p>
    <w:p w14:paraId="6DC9DDC9">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3.2.4 评标委员会发现投标人的报价明显低于其他投标报价，应当要求该投标人作出书面说明并提供相应的证明材料。投标人不能合理说明或者不能提供相应证明材料的，由评标委员会认定该投标人以低于成本报价竞标，其投标作废标处理。</w:t>
      </w:r>
    </w:p>
    <w:p w14:paraId="744E4DFF">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3.3 投标文件的澄清和补正</w:t>
      </w:r>
    </w:p>
    <w:p w14:paraId="7B1328A5">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3.3.1在评标过程中，评标委员会可以书面形式要求投标人对所提交投标文件中不明确的内容进行书面澄清或说明，或者对细微偏差进行补正。评标委员会不接受投标人主动提出的澄清、说明或补正。</w:t>
      </w:r>
    </w:p>
    <w:p w14:paraId="290B2945">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3.3.2 澄清、说明和补正不得改变投标文件的实质性内容（算术性错误修正的除外）。投标人的书面澄清、说明和补正属于投标文件的组成部分。</w:t>
      </w:r>
    </w:p>
    <w:p w14:paraId="2C3B0220">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3.3.3 评标委员会对投标人提交的澄清、说明或补正有疑问的，可以要求投标人进一步澄清、说明或补正，直至满足评标委员会的要求。</w:t>
      </w:r>
    </w:p>
    <w:p w14:paraId="6ECD5918">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3.4 评标结果</w:t>
      </w:r>
    </w:p>
    <w:p w14:paraId="56DFD4E5">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3.4.1除第二章“投标人须知”前附表授权直接确定中标人外，评标委员会按照得分由高到低的顺序推荐中标候选人。</w:t>
      </w:r>
    </w:p>
    <w:p w14:paraId="292D918F">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3.4.2 评标委员会完成评标后，应当向招标人提交书面评标报告。</w:t>
      </w:r>
    </w:p>
    <w:p w14:paraId="0BE1E6B3">
      <w:pPr>
        <w:spacing w:line="360" w:lineRule="auto"/>
        <w:ind w:firstLine="420" w:firstLineChars="200"/>
        <w:jc w:val="both"/>
        <w:rPr>
          <w:rFonts w:ascii="仿宋" w:hAnsi="仿宋" w:eastAsia="仿宋"/>
          <w:b/>
          <w:bCs/>
        </w:rPr>
      </w:pPr>
      <w:r>
        <w:rPr>
          <w:rFonts w:hint="eastAsia" w:ascii="宋体" w:hAnsi="宋体" w:eastAsia="宋体" w:cs="宋体"/>
          <w:sz w:val="21"/>
          <w:szCs w:val="21"/>
        </w:rPr>
        <w:t>五、评标过程中，出现本评标办法以外的特殊情况时，将暂停评标，有关情况待评标委员会确定后，再进行评定。</w:t>
      </w:r>
      <w:r>
        <w:rPr>
          <w:rFonts w:hint="eastAsia" w:ascii="宋体" w:hAnsi="宋体" w:eastAsia="宋体" w:cs="宋体"/>
        </w:rPr>
        <w:t> </w:t>
      </w:r>
      <w:r>
        <w:rPr>
          <w:rFonts w:ascii="仿宋" w:hAnsi="仿宋" w:eastAsia="仿宋"/>
          <w:b/>
          <w:bCs/>
        </w:rPr>
        <w:t> </w:t>
      </w:r>
    </w:p>
    <w:p w14:paraId="1F78D19F">
      <w:pPr>
        <w:spacing w:line="360" w:lineRule="auto"/>
        <w:ind w:firstLine="480" w:firstLineChars="200"/>
        <w:jc w:val="both"/>
      </w:pPr>
      <w:r>
        <w:br w:type="page"/>
      </w:r>
    </w:p>
    <w:p w14:paraId="76413693">
      <w:pPr>
        <w:pStyle w:val="28"/>
        <w:ind w:left="0" w:leftChars="0" w:firstLine="0" w:firstLineChars="0"/>
      </w:pPr>
    </w:p>
    <w:p w14:paraId="30F24968">
      <w:pPr>
        <w:pStyle w:val="3"/>
        <w:jc w:val="center"/>
        <w:rPr>
          <w:rFonts w:ascii="Times New Roman" w:hAnsi="Times New Roman" w:cs="Times New Roman"/>
          <w:b w:val="0"/>
        </w:rPr>
      </w:pPr>
      <w:bookmarkStart w:id="90" w:name="_Toc3553"/>
      <w:r>
        <w:rPr>
          <w:rFonts w:ascii="Times New Roman" w:hAnsi="Times New Roman" w:cs="Times New Roman"/>
          <w:bCs w:val="0"/>
        </w:rPr>
        <w:t xml:space="preserve">第四部分 </w:t>
      </w:r>
      <w:r>
        <w:rPr>
          <w:rFonts w:hint="eastAsia" w:ascii="Times New Roman" w:hAnsi="Times New Roman" w:cs="Times New Roman"/>
          <w:bCs w:val="0"/>
        </w:rPr>
        <w:t xml:space="preserve"> </w:t>
      </w:r>
      <w:r>
        <w:rPr>
          <w:rFonts w:ascii="Times New Roman" w:hAnsi="Times New Roman" w:cs="Times New Roman"/>
          <w:bCs w:val="0"/>
        </w:rPr>
        <w:t>合同</w:t>
      </w:r>
      <w:bookmarkEnd w:id="83"/>
      <w:bookmarkEnd w:id="90"/>
    </w:p>
    <w:p w14:paraId="4C0B8BB2">
      <w:pPr>
        <w:rPr>
          <w:rFonts w:hint="eastAsia" w:ascii="仿宋" w:hAnsi="仿宋" w:eastAsia="仿宋"/>
          <w:bCs/>
          <w:color w:val="000000"/>
          <w:sz w:val="28"/>
          <w:szCs w:val="28"/>
        </w:rPr>
      </w:pPr>
      <w:bookmarkStart w:id="91" w:name="_Toc145583333"/>
      <w:bookmarkStart w:id="92" w:name="_Toc351203480"/>
      <w:r>
        <w:rPr>
          <w:rFonts w:hint="eastAsia" w:ascii="仿宋" w:hAnsi="仿宋" w:eastAsia="仿宋"/>
          <w:bCs/>
          <w:color w:val="000000"/>
          <w:sz w:val="28"/>
          <w:szCs w:val="28"/>
        </w:rPr>
        <w:t>合同编号：</w:t>
      </w:r>
      <w:r>
        <w:rPr>
          <w:rFonts w:hint="eastAsia" w:ascii="仿宋" w:hAnsi="仿宋" w:eastAsia="仿宋"/>
          <w:bCs/>
          <w:color w:val="000000"/>
          <w:sz w:val="28"/>
          <w:szCs w:val="28"/>
          <w:u w:val="single"/>
        </w:rPr>
        <w:t xml:space="preserve">          </w:t>
      </w:r>
    </w:p>
    <w:p w14:paraId="6DFB677A">
      <w:pPr>
        <w:jc w:val="center"/>
        <w:rPr>
          <w:rFonts w:hint="eastAsia" w:eastAsia="华文中宋"/>
          <w:b/>
          <w:color w:val="000000"/>
          <w:sz w:val="50"/>
          <w:szCs w:val="50"/>
        </w:rPr>
      </w:pPr>
    </w:p>
    <w:p w14:paraId="323F090A">
      <w:pPr>
        <w:jc w:val="center"/>
        <w:rPr>
          <w:rFonts w:hint="eastAsia" w:eastAsia="华文中宋"/>
          <w:b/>
          <w:color w:val="000000"/>
          <w:sz w:val="50"/>
          <w:szCs w:val="50"/>
        </w:rPr>
      </w:pPr>
    </w:p>
    <w:p w14:paraId="701D7453">
      <w:pPr>
        <w:jc w:val="center"/>
        <w:rPr>
          <w:rFonts w:hint="eastAsia"/>
          <w:b/>
          <w:color w:val="000000"/>
          <w:sz w:val="50"/>
          <w:szCs w:val="50"/>
        </w:rPr>
      </w:pPr>
    </w:p>
    <w:p w14:paraId="581E915C">
      <w:pPr>
        <w:jc w:val="center"/>
        <w:rPr>
          <w:rFonts w:hint="eastAsia" w:ascii="微软雅黑" w:hAnsi="微软雅黑" w:eastAsia="微软雅黑"/>
          <w:bCs/>
          <w:color w:val="000000"/>
          <w:sz w:val="52"/>
          <w:szCs w:val="52"/>
        </w:rPr>
      </w:pPr>
      <w:r>
        <w:rPr>
          <w:rFonts w:hint="eastAsia" w:ascii="微软雅黑" w:hAnsi="微软雅黑" w:eastAsia="微软雅黑"/>
          <w:bCs/>
          <w:color w:val="000000"/>
          <w:sz w:val="52"/>
          <w:szCs w:val="52"/>
        </w:rPr>
        <w:t>建设工程施工合同</w:t>
      </w:r>
    </w:p>
    <w:p w14:paraId="2856B3F2">
      <w:pPr>
        <w:pStyle w:val="28"/>
      </w:pPr>
    </w:p>
    <w:p w14:paraId="023C09DB">
      <w:pPr>
        <w:jc w:val="center"/>
        <w:rPr>
          <w:rFonts w:hint="eastAsia" w:eastAsia="楷体_GB2312"/>
          <w:b/>
          <w:color w:val="000000"/>
          <w:sz w:val="70"/>
          <w:szCs w:val="70"/>
        </w:rPr>
      </w:pPr>
    </w:p>
    <w:p w14:paraId="309217FE">
      <w:pPr>
        <w:jc w:val="center"/>
        <w:rPr>
          <w:rFonts w:hint="eastAsia" w:eastAsia="黑体"/>
          <w:b/>
          <w:color w:val="000000"/>
          <w:sz w:val="50"/>
          <w:szCs w:val="50"/>
        </w:rPr>
      </w:pPr>
    </w:p>
    <w:p w14:paraId="1CD88DB0">
      <w:pPr>
        <w:rPr>
          <w:rFonts w:hint="eastAsia"/>
          <w:b/>
          <w:color w:val="000000"/>
          <w:sz w:val="26"/>
          <w:szCs w:val="26"/>
        </w:rPr>
      </w:pPr>
    </w:p>
    <w:p w14:paraId="45B5D547">
      <w:pPr>
        <w:rPr>
          <w:rFonts w:hint="eastAsia"/>
          <w:b/>
          <w:color w:val="000000"/>
          <w:sz w:val="26"/>
          <w:szCs w:val="26"/>
        </w:rPr>
      </w:pPr>
    </w:p>
    <w:p w14:paraId="266A262D">
      <w:pPr>
        <w:rPr>
          <w:rFonts w:hint="eastAsia"/>
          <w:b/>
          <w:color w:val="000000"/>
          <w:sz w:val="26"/>
          <w:szCs w:val="26"/>
        </w:rPr>
      </w:pPr>
    </w:p>
    <w:p w14:paraId="4DBB51A4">
      <w:pPr>
        <w:rPr>
          <w:rFonts w:hint="eastAsia"/>
          <w:b/>
          <w:color w:val="000000"/>
          <w:sz w:val="26"/>
          <w:szCs w:val="26"/>
        </w:rPr>
      </w:pPr>
    </w:p>
    <w:p w14:paraId="18925208">
      <w:pPr>
        <w:rPr>
          <w:rFonts w:hint="eastAsia"/>
          <w:b/>
          <w:color w:val="000000"/>
          <w:sz w:val="26"/>
          <w:szCs w:val="26"/>
        </w:rPr>
      </w:pPr>
    </w:p>
    <w:p w14:paraId="399573AA">
      <w:pPr>
        <w:ind w:right="3108" w:rightChars="1295" w:firstLine="3129" w:firstLineChars="1304"/>
        <w:jc w:val="distribute"/>
        <w:rPr>
          <w:rFonts w:hint="eastAsia" w:ascii="仿宋" w:hAnsi="仿宋" w:eastAsia="仿宋"/>
          <w:b/>
          <w:color w:val="000000"/>
          <w:sz w:val="30"/>
          <w:szCs w:val="26"/>
        </w:rPr>
      </w:pPr>
      <w: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cmpd="sng">
                          <a:solidFill>
                            <a:srgbClr val="FFFFFF"/>
                          </a:solidFill>
                          <a:miter lim="800000"/>
                        </a:ln>
                        <a:effectLst/>
                      </wps:spPr>
                      <wps:txbx>
                        <w:txbxContent>
                          <w:p w14:paraId="5872B393">
                            <w:pPr>
                              <w:rPr>
                                <w:rFonts w:hint="eastAsia"/>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BzS1x2AAAAAkBAAAPAAAAAAAAAAEA&#10;IAAAACIAAABkcnMvZG93bnJldi54bWxQSwECFAAUAAAACACHTuJAoTKNpkgCAAB2BAAADgAAAAAA&#10;AAABACAAAAAnAQAAZHJzL2Uyb0RvYy54bWxQSwUGAAAAAAYABgBZAQAA4QUAAAAA&#10;">
                <v:fill on="f" focussize="0,0"/>
                <v:stroke color="#FFFFFF" miterlimit="8" joinstyle="miter"/>
                <v:imagedata o:title=""/>
                <o:lock v:ext="edit" aspectratio="f"/>
                <v:textbox>
                  <w:txbxContent>
                    <w:p w14:paraId="5872B393">
                      <w:pPr>
                        <w:rPr>
                          <w:rFonts w:hint="eastAsia"/>
                          <w:b/>
                          <w:bCs/>
                          <w:sz w:val="32"/>
                        </w:rPr>
                      </w:pPr>
                      <w:r>
                        <w:rPr>
                          <w:rFonts w:hint="eastAsia"/>
                          <w:b/>
                          <w:bCs/>
                          <w:sz w:val="32"/>
                        </w:rPr>
                        <w:t>制定</w:t>
                      </w:r>
                    </w:p>
                  </w:txbxContent>
                </v:textbox>
              </v:shape>
            </w:pict>
          </mc:Fallback>
        </mc:AlternateContent>
      </w:r>
      <w:r>
        <w:rPr>
          <w:rFonts w:hint="eastAsia" w:ascii="仿宋" w:hAnsi="仿宋" w:eastAsia="仿宋"/>
          <w:b/>
          <w:color w:val="000000"/>
          <w:sz w:val="30"/>
          <w:szCs w:val="26"/>
        </w:rPr>
        <w:t>住房城乡建设部</w:t>
      </w:r>
    </w:p>
    <w:p w14:paraId="5C67DE73">
      <w:pPr>
        <w:ind w:right="3108" w:rightChars="1295" w:firstLine="2578" w:firstLineChars="856"/>
        <w:jc w:val="distribute"/>
        <w:rPr>
          <w:rFonts w:hint="eastAsia" w:ascii="仿宋" w:hAnsi="仿宋" w:eastAsia="仿宋"/>
          <w:b/>
          <w:color w:val="000000"/>
          <w:sz w:val="30"/>
          <w:szCs w:val="26"/>
        </w:rPr>
      </w:pPr>
      <w:r>
        <w:rPr>
          <w:rFonts w:hint="eastAsia" w:ascii="仿宋" w:hAnsi="仿宋" w:eastAsia="仿宋"/>
          <w:b/>
          <w:color w:val="000000"/>
          <w:sz w:val="30"/>
          <w:szCs w:val="26"/>
        </w:rPr>
        <w:t>国家工商行政管理总局</w:t>
      </w:r>
      <w:r>
        <w:rPr>
          <w:rFonts w:hint="eastAsia" w:ascii="仿宋_GB2312" w:eastAsia="仿宋_GB2312"/>
          <w:sz w:val="28"/>
          <w:szCs w:val="28"/>
        </w:rPr>
        <w:t xml:space="preserve"> </w:t>
      </w:r>
    </w:p>
    <w:p w14:paraId="235A1FE1">
      <w:pPr>
        <w:spacing w:beforeAutospacing="1" w:afterAutospacing="1"/>
        <w:rPr>
          <w:rFonts w:hint="eastAsia" w:ascii="仿宋_GB2312" w:eastAsia="仿宋_GB2312"/>
          <w:sz w:val="28"/>
          <w:szCs w:val="28"/>
        </w:rPr>
        <w:sectPr>
          <w:footerReference r:id="rId9" w:type="default"/>
          <w:pgSz w:w="11906" w:h="16838"/>
          <w:pgMar w:top="1418" w:right="1555" w:bottom="1418" w:left="1531" w:header="851" w:footer="992" w:gutter="0"/>
          <w:pgNumType w:fmt="decimal"/>
          <w:cols w:space="720" w:num="1"/>
          <w:docGrid w:type="lines" w:linePitch="312" w:charSpace="0"/>
        </w:sectPr>
      </w:pPr>
    </w:p>
    <w:bookmarkEnd w:id="91"/>
    <w:bookmarkEnd w:id="92"/>
    <w:p w14:paraId="73EF1FEE">
      <w:pPr>
        <w:pStyle w:val="4"/>
        <w:jc w:val="center"/>
      </w:pPr>
      <w:bookmarkStart w:id="93" w:name="_Toc19046"/>
      <w:r>
        <w:rPr>
          <w:rFonts w:hint="eastAsia"/>
        </w:rPr>
        <w:t>第一部分  合同协议书</w:t>
      </w:r>
      <w:bookmarkEnd w:id="93"/>
    </w:p>
    <w:p w14:paraId="37A8DB02">
      <w:pPr>
        <w:spacing w:line="360" w:lineRule="auto"/>
        <w:ind w:firstLine="482" w:firstLineChars="200"/>
        <w:rPr>
          <w:rFonts w:hint="eastAsia" w:ascii="宋体" w:hAnsi="宋体" w:eastAsia="宋体" w:cs="宋体"/>
        </w:rPr>
      </w:pPr>
      <w:r>
        <w:rPr>
          <w:rFonts w:hint="eastAsia" w:ascii="宋体" w:hAnsi="宋体" w:eastAsia="宋体" w:cs="宋体"/>
          <w:b/>
          <w:bCs/>
        </w:rPr>
        <w:t>发包人（全称）：</w:t>
      </w:r>
      <w:r>
        <w:rPr>
          <w:rFonts w:hint="eastAsia" w:ascii="宋体" w:hAnsi="宋体" w:eastAsia="宋体" w:cs="宋体"/>
          <w:u w:val="single"/>
        </w:rPr>
        <w:t>陕西测绘地理信息局劳动就业服务中心</w:t>
      </w:r>
    </w:p>
    <w:p w14:paraId="63E6A4C8">
      <w:pPr>
        <w:spacing w:line="360" w:lineRule="auto"/>
        <w:ind w:firstLine="482" w:firstLineChars="200"/>
        <w:rPr>
          <w:rFonts w:hint="eastAsia" w:ascii="宋体" w:hAnsi="宋体" w:eastAsia="宋体" w:cs="宋体"/>
          <w:u w:val="single"/>
        </w:rPr>
      </w:pPr>
      <w:r>
        <w:rPr>
          <w:rFonts w:hint="eastAsia" w:ascii="宋体" w:hAnsi="宋体" w:eastAsia="宋体" w:cs="宋体"/>
          <w:b/>
          <w:bCs/>
        </w:rPr>
        <w:t>承包人（全称）：</w:t>
      </w:r>
      <w:r>
        <w:rPr>
          <w:rFonts w:hint="eastAsia" w:ascii="宋体" w:hAnsi="宋体" w:eastAsia="宋体" w:cs="宋体"/>
        </w:rPr>
        <w:t xml:space="preserve"> </w:t>
      </w:r>
      <w:r>
        <w:rPr>
          <w:rFonts w:hint="eastAsia" w:ascii="宋体" w:hAnsi="宋体" w:eastAsia="宋体" w:cs="宋体"/>
          <w:u w:val="single"/>
        </w:rPr>
        <w:t xml:space="preserve">                                </w:t>
      </w:r>
    </w:p>
    <w:p w14:paraId="224C6A52">
      <w:pPr>
        <w:spacing w:line="360" w:lineRule="auto"/>
        <w:ind w:firstLine="480" w:firstLineChars="200"/>
        <w:rPr>
          <w:rFonts w:hint="eastAsia" w:ascii="宋体" w:hAnsi="宋体" w:eastAsia="宋体" w:cs="宋体"/>
        </w:rPr>
      </w:pPr>
      <w:r>
        <w:rPr>
          <w:rFonts w:hint="eastAsia" w:ascii="宋体" w:hAnsi="宋体" w:eastAsia="宋体" w:cs="宋体"/>
        </w:rPr>
        <w:t>根据《中华人民共和国民法典》、《中华人民共和国建筑法》及有关法律规定，遵循平等、自愿、公平和诚实信用的原则，双方就</w:t>
      </w:r>
      <w:r>
        <w:rPr>
          <w:rFonts w:hint="eastAsia" w:ascii="宋体" w:hAnsi="宋体" w:eastAsia="宋体" w:cs="宋体"/>
          <w:u w:val="single"/>
        </w:rPr>
        <w:t>陕西测绘地理信息局测绘综合楼六层修缮改造</w:t>
      </w:r>
      <w:r>
        <w:rPr>
          <w:rFonts w:hint="eastAsia" w:ascii="宋体" w:hAnsi="宋体" w:eastAsia="宋体" w:cs="宋体"/>
        </w:rPr>
        <w:t>施工及有关事项协商一致，共同达成如下协议：</w:t>
      </w:r>
    </w:p>
    <w:p w14:paraId="68978136">
      <w:pPr>
        <w:spacing w:line="360" w:lineRule="auto"/>
        <w:ind w:firstLine="482" w:firstLineChars="200"/>
        <w:rPr>
          <w:rFonts w:hint="eastAsia" w:ascii="宋体" w:hAnsi="宋体" w:eastAsia="宋体" w:cs="宋体"/>
          <w:b/>
          <w:bCs/>
        </w:rPr>
      </w:pPr>
      <w:r>
        <w:rPr>
          <w:rFonts w:hint="eastAsia" w:ascii="宋体" w:hAnsi="宋体" w:eastAsia="宋体" w:cs="宋体"/>
          <w:b/>
          <w:bCs/>
        </w:rPr>
        <w:t>一、工程概况</w:t>
      </w:r>
    </w:p>
    <w:p w14:paraId="1744E204">
      <w:pPr>
        <w:spacing w:line="360" w:lineRule="auto"/>
        <w:ind w:firstLine="480" w:firstLineChars="200"/>
        <w:rPr>
          <w:rFonts w:hint="eastAsia" w:ascii="宋体" w:hAnsi="宋体" w:eastAsia="宋体" w:cs="宋体"/>
        </w:rPr>
      </w:pPr>
      <w:r>
        <w:rPr>
          <w:rFonts w:hint="eastAsia" w:ascii="宋体" w:hAnsi="宋体" w:eastAsia="宋体" w:cs="宋体"/>
        </w:rPr>
        <w:t>1.工程名称：</w:t>
      </w:r>
      <w:r>
        <w:rPr>
          <w:rFonts w:hint="eastAsia" w:ascii="宋体" w:hAnsi="宋体" w:eastAsia="宋体" w:cs="宋体"/>
          <w:u w:val="single"/>
        </w:rPr>
        <w:t>陕西测绘地理信息局测绘综合楼六层修缮改造</w:t>
      </w:r>
    </w:p>
    <w:p w14:paraId="489F6E6C">
      <w:pPr>
        <w:spacing w:line="360" w:lineRule="auto"/>
        <w:ind w:firstLine="480" w:firstLineChars="200"/>
        <w:rPr>
          <w:rFonts w:hint="eastAsia" w:ascii="宋体" w:hAnsi="宋体" w:eastAsia="宋体" w:cs="宋体"/>
        </w:rPr>
      </w:pPr>
      <w:r>
        <w:rPr>
          <w:rFonts w:hint="eastAsia" w:ascii="宋体" w:hAnsi="宋体" w:eastAsia="宋体" w:cs="宋体"/>
        </w:rPr>
        <w:t>2.工程地点：</w:t>
      </w:r>
      <w:r>
        <w:rPr>
          <w:rFonts w:hint="eastAsia" w:ascii="宋体" w:hAnsi="宋体" w:eastAsia="宋体" w:cs="宋体"/>
          <w:u w:val="single"/>
        </w:rPr>
        <w:t>西安市碑林区友谊东路334号</w:t>
      </w:r>
      <w:r>
        <w:rPr>
          <w:rFonts w:hint="eastAsia" w:ascii="宋体" w:hAnsi="宋体" w:eastAsia="宋体" w:cs="宋体"/>
        </w:rPr>
        <w:t xml:space="preserve"> 。</w:t>
      </w:r>
    </w:p>
    <w:p w14:paraId="275BFD34">
      <w:pPr>
        <w:spacing w:line="360" w:lineRule="auto"/>
        <w:ind w:firstLine="480" w:firstLineChars="200"/>
        <w:rPr>
          <w:rFonts w:hint="eastAsia" w:ascii="宋体" w:hAnsi="宋体" w:eastAsia="宋体" w:cs="宋体"/>
        </w:rPr>
      </w:pPr>
      <w:r>
        <w:rPr>
          <w:rFonts w:hint="eastAsia" w:ascii="宋体" w:hAnsi="宋体" w:eastAsia="宋体" w:cs="宋体"/>
        </w:rPr>
        <w:t>3.工程审批、核准或备案文号：</w:t>
      </w:r>
      <w:r>
        <w:rPr>
          <w:rFonts w:hint="eastAsia" w:ascii="宋体" w:hAnsi="宋体" w:eastAsia="宋体" w:cs="宋体"/>
          <w:u w:val="single"/>
        </w:rPr>
        <w:t xml:space="preserve">   \   </w:t>
      </w:r>
      <w:r>
        <w:rPr>
          <w:rFonts w:hint="eastAsia" w:ascii="宋体" w:hAnsi="宋体" w:eastAsia="宋体" w:cs="宋体"/>
        </w:rPr>
        <w:t>。</w:t>
      </w:r>
    </w:p>
    <w:p w14:paraId="0F0D70D0">
      <w:pPr>
        <w:spacing w:line="360" w:lineRule="auto"/>
        <w:ind w:firstLine="480" w:firstLineChars="200"/>
        <w:rPr>
          <w:rFonts w:hint="eastAsia" w:ascii="宋体" w:hAnsi="宋体" w:eastAsia="宋体" w:cs="宋体"/>
        </w:rPr>
      </w:pPr>
      <w:r>
        <w:rPr>
          <w:rFonts w:hint="eastAsia" w:ascii="宋体" w:hAnsi="宋体" w:eastAsia="宋体" w:cs="宋体"/>
        </w:rPr>
        <w:t>4.资金来源：</w:t>
      </w:r>
      <w:r>
        <w:rPr>
          <w:rFonts w:hint="eastAsia" w:ascii="宋体" w:hAnsi="宋体" w:eastAsia="宋体" w:cs="宋体"/>
          <w:u w:val="single"/>
        </w:rPr>
        <w:t xml:space="preserve">   单位自筹    </w:t>
      </w:r>
      <w:r>
        <w:rPr>
          <w:rFonts w:hint="eastAsia" w:ascii="宋体" w:hAnsi="宋体" w:eastAsia="宋体" w:cs="宋体"/>
        </w:rPr>
        <w:t xml:space="preserve"> 。</w:t>
      </w:r>
    </w:p>
    <w:p w14:paraId="11AD8287">
      <w:pPr>
        <w:spacing w:line="360" w:lineRule="auto"/>
        <w:ind w:firstLine="480" w:firstLineChars="200"/>
        <w:rPr>
          <w:rFonts w:hint="eastAsia" w:ascii="宋体" w:hAnsi="宋体" w:eastAsia="宋体" w:cs="宋体"/>
        </w:rPr>
      </w:pPr>
      <w:r>
        <w:rPr>
          <w:rFonts w:hint="eastAsia" w:ascii="宋体" w:hAnsi="宋体" w:eastAsia="宋体" w:cs="宋体"/>
        </w:rPr>
        <w:t>5.工程内容及规模：</w:t>
      </w:r>
      <w:r>
        <w:rPr>
          <w:rFonts w:hint="eastAsia" w:ascii="宋体" w:hAnsi="宋体" w:eastAsia="宋体" w:cs="宋体"/>
          <w:u w:val="single"/>
        </w:rPr>
        <w:t xml:space="preserve">                          </w:t>
      </w:r>
      <w:r>
        <w:rPr>
          <w:rFonts w:hint="eastAsia" w:ascii="宋体" w:hAnsi="宋体" w:eastAsia="宋体" w:cs="宋体"/>
        </w:rPr>
        <w:t>。</w:t>
      </w:r>
    </w:p>
    <w:p w14:paraId="487539E7">
      <w:pPr>
        <w:spacing w:line="360" w:lineRule="auto"/>
        <w:ind w:firstLine="480" w:firstLineChars="200"/>
        <w:rPr>
          <w:rFonts w:hint="eastAsia" w:ascii="宋体" w:hAnsi="宋体" w:eastAsia="宋体" w:cs="宋体"/>
        </w:rPr>
      </w:pPr>
      <w:r>
        <w:rPr>
          <w:rFonts w:hint="eastAsia" w:ascii="宋体" w:hAnsi="宋体" w:eastAsia="宋体" w:cs="宋体"/>
        </w:rPr>
        <w:t>6.工程承包范围：</w:t>
      </w:r>
      <w:r>
        <w:rPr>
          <w:rFonts w:hint="eastAsia" w:ascii="宋体" w:hAnsi="宋体" w:eastAsia="宋体" w:cs="宋体"/>
          <w:u w:val="single"/>
        </w:rPr>
        <w:t xml:space="preserve">                             </w:t>
      </w:r>
      <w:r>
        <w:rPr>
          <w:rFonts w:hint="eastAsia" w:ascii="宋体" w:hAnsi="宋体" w:eastAsia="宋体" w:cs="宋体"/>
        </w:rPr>
        <w:t>。</w:t>
      </w:r>
    </w:p>
    <w:p w14:paraId="543B29FC">
      <w:pPr>
        <w:spacing w:line="360" w:lineRule="auto"/>
        <w:ind w:firstLine="482" w:firstLineChars="200"/>
        <w:rPr>
          <w:rFonts w:hint="eastAsia" w:ascii="宋体" w:hAnsi="宋体" w:eastAsia="宋体" w:cs="宋体"/>
          <w:b/>
          <w:bCs/>
        </w:rPr>
      </w:pPr>
      <w:r>
        <w:rPr>
          <w:rFonts w:hint="eastAsia" w:ascii="宋体" w:hAnsi="宋体" w:eastAsia="宋体" w:cs="宋体"/>
          <w:b/>
          <w:bCs/>
        </w:rPr>
        <w:t>二、合同工期</w:t>
      </w:r>
    </w:p>
    <w:p w14:paraId="7CC684EE">
      <w:pPr>
        <w:spacing w:line="360" w:lineRule="auto"/>
        <w:ind w:firstLine="480" w:firstLineChars="200"/>
        <w:rPr>
          <w:rFonts w:hint="eastAsia" w:ascii="宋体" w:hAnsi="宋体" w:eastAsia="宋体" w:cs="宋体"/>
        </w:rPr>
      </w:pPr>
      <w:r>
        <w:rPr>
          <w:rFonts w:hint="eastAsia" w:ascii="宋体" w:hAnsi="宋体" w:eastAsia="宋体" w:cs="宋体"/>
        </w:rPr>
        <w:t>计划开工日期：</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66E69D3D">
      <w:pPr>
        <w:spacing w:line="360" w:lineRule="auto"/>
        <w:ind w:firstLine="480" w:firstLineChars="200"/>
        <w:rPr>
          <w:rFonts w:hint="eastAsia" w:ascii="宋体" w:hAnsi="宋体" w:eastAsia="宋体" w:cs="宋体"/>
        </w:rPr>
      </w:pPr>
      <w:r>
        <w:rPr>
          <w:rFonts w:hint="eastAsia" w:ascii="宋体" w:hAnsi="宋体" w:eastAsia="宋体" w:cs="宋体"/>
        </w:rPr>
        <w:t>计划竣工日期：</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382B13E3">
      <w:pPr>
        <w:spacing w:line="360" w:lineRule="auto"/>
        <w:ind w:firstLine="480" w:firstLineChars="200"/>
        <w:rPr>
          <w:rFonts w:hint="eastAsia" w:ascii="宋体" w:hAnsi="宋体" w:eastAsia="宋体" w:cs="宋体"/>
        </w:rPr>
      </w:pPr>
      <w:r>
        <w:rPr>
          <w:rFonts w:hint="eastAsia" w:ascii="宋体" w:hAnsi="宋体" w:eastAsia="宋体" w:cs="宋体"/>
        </w:rPr>
        <w:t>工期总日历天数：</w:t>
      </w:r>
      <w:r>
        <w:rPr>
          <w:rFonts w:hint="eastAsia" w:ascii="宋体" w:hAnsi="宋体" w:eastAsia="宋体" w:cs="宋体"/>
          <w:u w:val="single"/>
        </w:rPr>
        <w:t xml:space="preserve">     </w:t>
      </w:r>
      <w:r>
        <w:rPr>
          <w:rFonts w:hint="eastAsia" w:ascii="宋体" w:hAnsi="宋体" w:eastAsia="宋体" w:cs="宋体"/>
        </w:rPr>
        <w:t>天。工期总日历天数与根据前述计划开竣工日期计算的工期天数不一致的，以工期总日历天数为准。</w:t>
      </w:r>
    </w:p>
    <w:p w14:paraId="67A6C66D">
      <w:pPr>
        <w:spacing w:line="360" w:lineRule="auto"/>
        <w:ind w:firstLine="482" w:firstLineChars="200"/>
        <w:rPr>
          <w:rFonts w:hint="eastAsia" w:ascii="宋体" w:hAnsi="宋体" w:eastAsia="宋体" w:cs="宋体"/>
          <w:b/>
          <w:bCs/>
        </w:rPr>
      </w:pPr>
      <w:r>
        <w:rPr>
          <w:rFonts w:hint="eastAsia" w:ascii="宋体" w:hAnsi="宋体" w:eastAsia="宋体" w:cs="宋体"/>
          <w:b/>
          <w:bCs/>
        </w:rPr>
        <w:t>三、质量标准</w:t>
      </w:r>
    </w:p>
    <w:p w14:paraId="04173112">
      <w:pPr>
        <w:spacing w:line="360" w:lineRule="auto"/>
        <w:ind w:firstLine="480" w:firstLineChars="200"/>
        <w:rPr>
          <w:rFonts w:hint="eastAsia" w:ascii="宋体" w:hAnsi="宋体" w:eastAsia="宋体" w:cs="宋体"/>
        </w:rPr>
      </w:pPr>
      <w:r>
        <w:rPr>
          <w:rFonts w:hint="eastAsia" w:ascii="宋体" w:hAnsi="宋体" w:eastAsia="宋体" w:cs="宋体"/>
        </w:rPr>
        <w:t>工程质量符合</w:t>
      </w:r>
      <w:r>
        <w:rPr>
          <w:rFonts w:hint="eastAsia" w:ascii="宋体" w:hAnsi="宋体" w:eastAsia="宋体" w:cs="宋体"/>
          <w:u w:val="single"/>
        </w:rPr>
        <w:t xml:space="preserve"> 合格 </w:t>
      </w:r>
      <w:r>
        <w:rPr>
          <w:rFonts w:hint="eastAsia" w:ascii="宋体" w:hAnsi="宋体" w:eastAsia="宋体" w:cs="宋体"/>
        </w:rPr>
        <w:t>标准。</w:t>
      </w:r>
    </w:p>
    <w:p w14:paraId="08C2417B">
      <w:pPr>
        <w:spacing w:line="360" w:lineRule="auto"/>
        <w:ind w:firstLine="482" w:firstLineChars="200"/>
        <w:rPr>
          <w:rFonts w:hint="eastAsia" w:ascii="宋体" w:hAnsi="宋体" w:eastAsia="宋体" w:cs="宋体"/>
        </w:rPr>
      </w:pPr>
      <w:r>
        <w:rPr>
          <w:rFonts w:hint="eastAsia" w:ascii="宋体" w:hAnsi="宋体" w:eastAsia="宋体" w:cs="宋体"/>
          <w:b/>
          <w:bCs/>
        </w:rPr>
        <w:t>四、签约合同价与合同价格形式</w:t>
      </w:r>
      <w:r>
        <w:rPr>
          <w:rFonts w:hint="eastAsia" w:ascii="宋体" w:hAnsi="宋体" w:eastAsia="宋体" w:cs="宋体"/>
        </w:rPr>
        <w:tab/>
      </w:r>
    </w:p>
    <w:p w14:paraId="1F56B92B">
      <w:pPr>
        <w:spacing w:line="360" w:lineRule="auto"/>
        <w:ind w:firstLine="480" w:firstLineChars="200"/>
        <w:rPr>
          <w:rFonts w:hint="eastAsia" w:ascii="宋体" w:hAnsi="宋体" w:eastAsia="宋体" w:cs="宋体"/>
        </w:rPr>
      </w:pPr>
      <w:r>
        <w:rPr>
          <w:rFonts w:hint="eastAsia" w:ascii="宋体" w:hAnsi="宋体" w:eastAsia="宋体" w:cs="宋体"/>
        </w:rPr>
        <w:t>1.签约合同价为：</w:t>
      </w:r>
    </w:p>
    <w:p w14:paraId="5D0A63E9">
      <w:pPr>
        <w:spacing w:line="360" w:lineRule="auto"/>
        <w:ind w:firstLine="480" w:firstLineChars="200"/>
        <w:rPr>
          <w:rFonts w:hint="eastAsia" w:ascii="宋体" w:hAnsi="宋体" w:eastAsia="宋体" w:cs="宋体"/>
        </w:rPr>
      </w:pPr>
      <w:r>
        <w:rPr>
          <w:rFonts w:hint="eastAsia" w:ascii="宋体" w:hAnsi="宋体" w:eastAsia="宋体" w:cs="宋体"/>
        </w:rPr>
        <w:t>人民币（大写）</w:t>
      </w:r>
      <w:r>
        <w:rPr>
          <w:rFonts w:hint="eastAsia" w:ascii="宋体" w:hAnsi="宋体" w:eastAsia="宋体" w:cs="宋体"/>
          <w:u w:val="single"/>
        </w:rPr>
        <w:t xml:space="preserve">             </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rPr>
        <w:t>；</w:t>
      </w:r>
    </w:p>
    <w:p w14:paraId="72A7D1CF">
      <w:pPr>
        <w:spacing w:line="360" w:lineRule="auto"/>
        <w:ind w:firstLine="480" w:firstLineChars="200"/>
        <w:rPr>
          <w:rFonts w:hint="eastAsia" w:ascii="宋体" w:hAnsi="宋体" w:eastAsia="宋体" w:cs="宋体"/>
        </w:rPr>
      </w:pPr>
      <w:r>
        <w:rPr>
          <w:rFonts w:hint="eastAsia" w:ascii="宋体" w:hAnsi="宋体" w:eastAsia="宋体" w:cs="宋体"/>
        </w:rPr>
        <w:t xml:space="preserve">其中：   </w:t>
      </w:r>
    </w:p>
    <w:p w14:paraId="2B28EF2E">
      <w:pPr>
        <w:spacing w:line="360" w:lineRule="auto"/>
        <w:ind w:firstLine="480" w:firstLineChars="200"/>
        <w:rPr>
          <w:rFonts w:hint="eastAsia" w:ascii="宋体" w:hAnsi="宋体" w:eastAsia="宋体" w:cs="宋体"/>
        </w:rPr>
      </w:pPr>
      <w:r>
        <w:rPr>
          <w:rFonts w:hint="eastAsia" w:ascii="宋体" w:hAnsi="宋体" w:eastAsia="宋体" w:cs="宋体"/>
        </w:rPr>
        <w:t>（1）安全文明施工费：</w:t>
      </w:r>
    </w:p>
    <w:p w14:paraId="5C6C90A6">
      <w:pPr>
        <w:spacing w:line="360" w:lineRule="auto"/>
        <w:ind w:firstLine="480" w:firstLineChars="200"/>
        <w:rPr>
          <w:rFonts w:hint="eastAsia" w:ascii="宋体" w:hAnsi="宋体" w:eastAsia="宋体" w:cs="宋体"/>
        </w:rPr>
      </w:pPr>
      <w:r>
        <w:rPr>
          <w:rFonts w:hint="eastAsia" w:ascii="宋体" w:hAnsi="宋体" w:eastAsia="宋体" w:cs="宋体"/>
        </w:rPr>
        <w:t>人民币（大写）</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元）；</w:t>
      </w:r>
    </w:p>
    <w:p w14:paraId="4BF62172">
      <w:pPr>
        <w:spacing w:line="360" w:lineRule="auto"/>
        <w:ind w:firstLine="480" w:firstLineChars="200"/>
        <w:rPr>
          <w:rFonts w:hint="eastAsia" w:ascii="宋体" w:hAnsi="宋体" w:eastAsia="宋体" w:cs="宋体"/>
        </w:rPr>
      </w:pPr>
      <w:r>
        <w:rPr>
          <w:rFonts w:hint="eastAsia" w:ascii="宋体" w:hAnsi="宋体" w:eastAsia="宋体" w:cs="宋体"/>
        </w:rPr>
        <w:t>（2）暂估价：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rPr>
        <w:t xml:space="preserve"> 。</w:t>
      </w:r>
    </w:p>
    <w:p w14:paraId="3C6DF6E5">
      <w:pPr>
        <w:spacing w:line="360" w:lineRule="auto"/>
        <w:ind w:firstLine="480" w:firstLineChars="200"/>
        <w:rPr>
          <w:rFonts w:hint="eastAsia" w:ascii="宋体" w:hAnsi="宋体" w:eastAsia="宋体" w:cs="宋体"/>
        </w:rPr>
      </w:pPr>
      <w:r>
        <w:rPr>
          <w:rFonts w:hint="eastAsia" w:ascii="宋体" w:hAnsi="宋体" w:eastAsia="宋体" w:cs="宋体"/>
        </w:rPr>
        <w:t>（3）暂列金：</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rPr>
        <w:t xml:space="preserve">。                    </w:t>
      </w:r>
    </w:p>
    <w:p w14:paraId="61A578EB">
      <w:pPr>
        <w:spacing w:line="360" w:lineRule="auto"/>
        <w:ind w:firstLine="480" w:firstLineChars="200"/>
        <w:rPr>
          <w:rFonts w:hint="eastAsia" w:ascii="宋体" w:hAnsi="宋体" w:eastAsia="宋体" w:cs="宋体"/>
        </w:rPr>
      </w:pPr>
      <w:r>
        <w:rPr>
          <w:rFonts w:hint="eastAsia" w:ascii="宋体" w:hAnsi="宋体" w:eastAsia="宋体" w:cs="宋体"/>
        </w:rPr>
        <w:t>（4）合同当事人对合同价格形式的其他约定：</w:t>
      </w:r>
      <w:r>
        <w:rPr>
          <w:rFonts w:hint="eastAsia" w:ascii="宋体" w:hAnsi="宋体" w:eastAsia="宋体" w:cs="宋体"/>
          <w:u w:val="single"/>
        </w:rPr>
        <w:t xml:space="preserve">                </w:t>
      </w:r>
      <w:r>
        <w:rPr>
          <w:rFonts w:hint="eastAsia" w:ascii="宋体" w:hAnsi="宋体" w:eastAsia="宋体" w:cs="宋体"/>
        </w:rPr>
        <w:t>。</w:t>
      </w:r>
    </w:p>
    <w:p w14:paraId="241CC563">
      <w:pPr>
        <w:spacing w:line="360" w:lineRule="auto"/>
        <w:ind w:firstLine="480" w:firstLineChars="200"/>
        <w:rPr>
          <w:rFonts w:hint="eastAsia" w:ascii="宋体" w:hAnsi="宋体" w:eastAsia="宋体" w:cs="宋体"/>
        </w:rPr>
      </w:pPr>
      <w:r>
        <w:rPr>
          <w:rFonts w:hint="eastAsia" w:ascii="宋体" w:hAnsi="宋体" w:eastAsia="宋体" w:cs="宋体"/>
        </w:rPr>
        <w:t>2.合同价格形式：</w:t>
      </w:r>
      <w:r>
        <w:rPr>
          <w:rFonts w:hint="eastAsia" w:ascii="宋体" w:hAnsi="宋体" w:eastAsia="宋体" w:cs="宋体"/>
          <w:u w:val="single"/>
        </w:rPr>
        <w:t xml:space="preserve"> 固定单价合同  </w:t>
      </w:r>
      <w:r>
        <w:rPr>
          <w:rFonts w:hint="eastAsia" w:ascii="宋体" w:hAnsi="宋体" w:eastAsia="宋体" w:cs="宋体"/>
        </w:rPr>
        <w:t>。</w:t>
      </w:r>
    </w:p>
    <w:p w14:paraId="7ECD1DA9">
      <w:pPr>
        <w:spacing w:line="360" w:lineRule="auto"/>
        <w:ind w:firstLine="482" w:firstLineChars="200"/>
        <w:rPr>
          <w:rFonts w:hint="eastAsia" w:ascii="宋体" w:hAnsi="宋体" w:eastAsia="宋体" w:cs="宋体"/>
          <w:b/>
          <w:bCs/>
        </w:rPr>
      </w:pPr>
      <w:r>
        <w:rPr>
          <w:rFonts w:hint="eastAsia" w:ascii="宋体" w:hAnsi="宋体" w:eastAsia="宋体" w:cs="宋体"/>
          <w:b/>
          <w:bCs/>
        </w:rPr>
        <w:t>五、项目经理</w:t>
      </w:r>
    </w:p>
    <w:p w14:paraId="1DF7CD2A">
      <w:pPr>
        <w:spacing w:line="360" w:lineRule="auto"/>
        <w:ind w:firstLine="480" w:firstLineChars="200"/>
        <w:rPr>
          <w:rFonts w:hint="eastAsia" w:ascii="宋体" w:hAnsi="宋体" w:eastAsia="宋体" w:cs="宋体"/>
        </w:rPr>
      </w:pPr>
      <w:r>
        <w:rPr>
          <w:rFonts w:hint="eastAsia" w:ascii="宋体" w:hAnsi="宋体" w:eastAsia="宋体" w:cs="宋体"/>
        </w:rPr>
        <w:t>承包人项目经理：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rPr>
        <w:t>。</w:t>
      </w:r>
    </w:p>
    <w:p w14:paraId="468685F8">
      <w:pPr>
        <w:spacing w:line="360" w:lineRule="auto"/>
        <w:ind w:firstLine="482" w:firstLineChars="200"/>
        <w:rPr>
          <w:rFonts w:hint="eastAsia" w:ascii="宋体" w:hAnsi="宋体" w:eastAsia="宋体" w:cs="宋体"/>
          <w:b/>
          <w:bCs/>
        </w:rPr>
      </w:pPr>
      <w:r>
        <w:rPr>
          <w:rFonts w:hint="eastAsia" w:ascii="宋体" w:hAnsi="宋体" w:eastAsia="宋体" w:cs="宋体"/>
          <w:b/>
          <w:bCs/>
        </w:rPr>
        <w:t>六、合同文件构成</w:t>
      </w:r>
    </w:p>
    <w:p w14:paraId="31CE6066">
      <w:pPr>
        <w:spacing w:line="360" w:lineRule="auto"/>
        <w:ind w:firstLine="480" w:firstLineChars="200"/>
        <w:rPr>
          <w:rFonts w:hint="eastAsia" w:ascii="宋体" w:hAnsi="宋体" w:eastAsia="宋体" w:cs="宋体"/>
        </w:rPr>
      </w:pPr>
      <w:r>
        <w:rPr>
          <w:rFonts w:hint="eastAsia" w:ascii="宋体" w:hAnsi="宋体" w:eastAsia="宋体" w:cs="宋体"/>
        </w:rPr>
        <w:t>本协议书与下列文件一起构成合同文件：</w:t>
      </w:r>
    </w:p>
    <w:p w14:paraId="5554F2B5">
      <w:pPr>
        <w:spacing w:line="360" w:lineRule="auto"/>
        <w:ind w:firstLine="480" w:firstLineChars="200"/>
        <w:rPr>
          <w:rFonts w:hint="eastAsia" w:ascii="宋体" w:hAnsi="宋体" w:eastAsia="宋体" w:cs="宋体"/>
        </w:rPr>
      </w:pPr>
      <w:r>
        <w:rPr>
          <w:rFonts w:hint="eastAsia" w:ascii="宋体" w:hAnsi="宋体" w:eastAsia="宋体" w:cs="宋体"/>
        </w:rPr>
        <w:t>（1）中标通知书；</w:t>
      </w:r>
    </w:p>
    <w:p w14:paraId="36EFF8CC">
      <w:pPr>
        <w:spacing w:line="360" w:lineRule="auto"/>
        <w:ind w:firstLine="480" w:firstLineChars="200"/>
        <w:rPr>
          <w:rFonts w:hint="eastAsia" w:ascii="宋体" w:hAnsi="宋体" w:eastAsia="宋体" w:cs="宋体"/>
        </w:rPr>
      </w:pPr>
      <w:r>
        <w:rPr>
          <w:rFonts w:hint="eastAsia" w:ascii="宋体" w:hAnsi="宋体" w:eastAsia="宋体" w:cs="宋体"/>
        </w:rPr>
        <w:t>（2）合同协议书</w:t>
      </w:r>
    </w:p>
    <w:p w14:paraId="2F288B4B">
      <w:pPr>
        <w:spacing w:line="360" w:lineRule="auto"/>
        <w:ind w:firstLine="480" w:firstLineChars="200"/>
        <w:rPr>
          <w:rFonts w:hint="eastAsia" w:ascii="宋体" w:hAnsi="宋体" w:eastAsia="宋体" w:cs="宋体"/>
        </w:rPr>
      </w:pPr>
      <w:r>
        <w:rPr>
          <w:rFonts w:hint="eastAsia" w:ascii="宋体" w:hAnsi="宋体" w:eastAsia="宋体" w:cs="宋体"/>
        </w:rPr>
        <w:t>（3）专用合同条件；</w:t>
      </w:r>
    </w:p>
    <w:p w14:paraId="41748647">
      <w:pPr>
        <w:spacing w:line="360" w:lineRule="auto"/>
        <w:ind w:firstLine="480" w:firstLineChars="200"/>
        <w:rPr>
          <w:rFonts w:hint="eastAsia" w:ascii="宋体" w:hAnsi="宋体" w:eastAsia="宋体" w:cs="宋体"/>
        </w:rPr>
      </w:pPr>
      <w:r>
        <w:rPr>
          <w:rFonts w:hint="eastAsia" w:ascii="宋体" w:hAnsi="宋体" w:eastAsia="宋体" w:cs="宋体"/>
        </w:rPr>
        <w:t>（4）通用合同条件；</w:t>
      </w:r>
    </w:p>
    <w:p w14:paraId="2E5016F4">
      <w:pPr>
        <w:spacing w:line="360" w:lineRule="auto"/>
        <w:ind w:firstLine="480" w:firstLineChars="200"/>
        <w:rPr>
          <w:rFonts w:hint="eastAsia" w:ascii="宋体" w:hAnsi="宋体" w:eastAsia="宋体" w:cs="宋体"/>
        </w:rPr>
      </w:pPr>
      <w:r>
        <w:rPr>
          <w:rFonts w:hint="eastAsia" w:ascii="宋体" w:hAnsi="宋体" w:eastAsia="宋体" w:cs="宋体"/>
        </w:rPr>
        <w:t>（5）招标文件；</w:t>
      </w:r>
    </w:p>
    <w:p w14:paraId="518D5B37">
      <w:pPr>
        <w:spacing w:line="360" w:lineRule="auto"/>
        <w:ind w:firstLine="480" w:firstLineChars="200"/>
        <w:rPr>
          <w:rFonts w:hint="eastAsia" w:ascii="宋体" w:hAnsi="宋体" w:eastAsia="宋体" w:cs="宋体"/>
        </w:rPr>
      </w:pPr>
      <w:r>
        <w:rPr>
          <w:rFonts w:hint="eastAsia" w:ascii="宋体" w:hAnsi="宋体" w:eastAsia="宋体" w:cs="宋体"/>
        </w:rPr>
        <w:t>（6）投标文件；</w:t>
      </w:r>
    </w:p>
    <w:p w14:paraId="36F13F3F">
      <w:pPr>
        <w:spacing w:line="360" w:lineRule="auto"/>
        <w:ind w:firstLine="480" w:firstLineChars="200"/>
        <w:rPr>
          <w:rFonts w:hint="eastAsia" w:ascii="宋体" w:hAnsi="宋体" w:eastAsia="宋体" w:cs="宋体"/>
        </w:rPr>
      </w:pPr>
      <w:r>
        <w:rPr>
          <w:rFonts w:hint="eastAsia" w:ascii="宋体" w:hAnsi="宋体" w:eastAsia="宋体" w:cs="宋体"/>
        </w:rPr>
        <w:t>（7）其他合同文件。</w:t>
      </w:r>
    </w:p>
    <w:p w14:paraId="60142DCD">
      <w:pPr>
        <w:spacing w:line="360" w:lineRule="auto"/>
        <w:ind w:firstLine="480" w:firstLineChars="200"/>
        <w:rPr>
          <w:rFonts w:hint="eastAsia" w:ascii="宋体" w:hAnsi="宋体" w:eastAsia="宋体" w:cs="宋体"/>
        </w:rPr>
      </w:pPr>
      <w:r>
        <w:rPr>
          <w:rFonts w:hint="eastAsia" w:ascii="宋体" w:hAnsi="宋体" w:eastAsia="宋体" w:cs="宋体"/>
        </w:rPr>
        <w:t>在合同订立及履行过程中形成的与合同有关的文件均构成合同文件组成部分。</w:t>
      </w:r>
    </w:p>
    <w:p w14:paraId="012DEA1E">
      <w:pPr>
        <w:spacing w:line="360" w:lineRule="auto"/>
        <w:ind w:firstLine="480" w:firstLineChars="200"/>
        <w:rPr>
          <w:rFonts w:hint="eastAsia" w:ascii="宋体" w:hAnsi="宋体" w:eastAsia="宋体" w:cs="宋体"/>
        </w:rPr>
      </w:pPr>
      <w:r>
        <w:rPr>
          <w:rFonts w:hint="eastAsia" w:ascii="宋体" w:hAnsi="宋体" w:eastAsia="宋体" w:cs="宋体"/>
        </w:rPr>
        <w:t>上述各项合同文件包括合同当事人就该项合同文件所作出的补充和修改，属于同一类内容的文件，应以最新签署的为准。专用合同条款及其附件须经合同当事人签字或盖章。</w:t>
      </w:r>
    </w:p>
    <w:p w14:paraId="597B2FCD">
      <w:pPr>
        <w:spacing w:line="360" w:lineRule="auto"/>
        <w:ind w:firstLine="482" w:firstLineChars="200"/>
        <w:rPr>
          <w:rFonts w:hint="eastAsia" w:ascii="宋体" w:hAnsi="宋体" w:eastAsia="宋体" w:cs="宋体"/>
          <w:b/>
          <w:bCs/>
        </w:rPr>
      </w:pPr>
      <w:r>
        <w:rPr>
          <w:rFonts w:hint="eastAsia" w:ascii="宋体" w:hAnsi="宋体" w:eastAsia="宋体" w:cs="宋体"/>
          <w:b/>
          <w:bCs/>
        </w:rPr>
        <w:t>七、承诺</w:t>
      </w:r>
    </w:p>
    <w:p w14:paraId="65E5C06F">
      <w:pPr>
        <w:spacing w:line="360" w:lineRule="auto"/>
        <w:ind w:firstLine="480" w:firstLineChars="200"/>
        <w:rPr>
          <w:rFonts w:hint="eastAsia" w:ascii="宋体" w:hAnsi="宋体" w:eastAsia="宋体" w:cs="宋体"/>
        </w:rPr>
      </w:pPr>
      <w:r>
        <w:rPr>
          <w:rFonts w:hint="eastAsia" w:ascii="宋体" w:hAnsi="宋体" w:eastAsia="宋体" w:cs="宋体"/>
        </w:rPr>
        <w:t>1.发包人承诺按照法律规定履行项目审批手续、筹集工程建设资金并按照合同约定的期限和方式支付合同价款。</w:t>
      </w:r>
    </w:p>
    <w:p w14:paraId="3A145C62">
      <w:pPr>
        <w:spacing w:line="360" w:lineRule="auto"/>
        <w:ind w:firstLine="480" w:firstLineChars="200"/>
        <w:rPr>
          <w:rFonts w:hint="eastAsia" w:ascii="宋体" w:hAnsi="宋体" w:eastAsia="宋体" w:cs="宋体"/>
        </w:rPr>
      </w:pPr>
      <w:r>
        <w:rPr>
          <w:rFonts w:hint="eastAsia" w:ascii="宋体" w:hAnsi="宋体" w:eastAsia="宋体" w:cs="宋体"/>
        </w:rPr>
        <w:t>2.承包人承诺按照法律规定及合同约定组织完成工程施工，确保工程质量和安全，不进行转包及违法分包，并在缺陷责任期及保修期内承担相应的工程维修责任。</w:t>
      </w:r>
    </w:p>
    <w:p w14:paraId="3A28F152">
      <w:pPr>
        <w:spacing w:line="360" w:lineRule="auto"/>
        <w:ind w:firstLine="480" w:firstLineChars="200"/>
        <w:rPr>
          <w:rFonts w:hint="eastAsia" w:ascii="宋体" w:hAnsi="宋体" w:eastAsia="宋体" w:cs="宋体"/>
        </w:rPr>
      </w:pPr>
      <w:r>
        <w:rPr>
          <w:rFonts w:hint="eastAsia" w:ascii="宋体" w:hAnsi="宋体" w:eastAsia="宋体" w:cs="宋体"/>
        </w:rPr>
        <w:t>3.发包人和承包人通过招投标形式签订合同的，双方理解并承诺不再就同一工程另行签订与合同实质性内容相背离的协议。</w:t>
      </w:r>
    </w:p>
    <w:p w14:paraId="4FBEA8D6">
      <w:pPr>
        <w:spacing w:line="360" w:lineRule="auto"/>
        <w:ind w:firstLine="482" w:firstLineChars="200"/>
        <w:rPr>
          <w:rFonts w:hint="eastAsia" w:ascii="宋体" w:hAnsi="宋体" w:eastAsia="宋体" w:cs="宋体"/>
          <w:b/>
          <w:bCs/>
        </w:rPr>
      </w:pPr>
      <w:r>
        <w:rPr>
          <w:rFonts w:hint="eastAsia" w:ascii="宋体" w:hAnsi="宋体" w:eastAsia="宋体" w:cs="宋体"/>
          <w:b/>
          <w:bCs/>
        </w:rPr>
        <w:t>八、词语含义</w:t>
      </w:r>
    </w:p>
    <w:p w14:paraId="605FEF9C">
      <w:pPr>
        <w:spacing w:line="360" w:lineRule="auto"/>
        <w:ind w:firstLine="480" w:firstLineChars="200"/>
        <w:rPr>
          <w:rFonts w:hint="eastAsia" w:ascii="宋体" w:hAnsi="宋体" w:eastAsia="宋体" w:cs="宋体"/>
        </w:rPr>
      </w:pPr>
      <w:r>
        <w:rPr>
          <w:rFonts w:hint="eastAsia" w:ascii="宋体" w:hAnsi="宋体" w:eastAsia="宋体" w:cs="宋体"/>
        </w:rPr>
        <w:t>本协议书中词语含义与第二部分通用合同条款中赋予的含义相同。</w:t>
      </w:r>
    </w:p>
    <w:p w14:paraId="5B7813A7">
      <w:pPr>
        <w:spacing w:line="360" w:lineRule="auto"/>
        <w:ind w:firstLine="482" w:firstLineChars="200"/>
        <w:rPr>
          <w:rFonts w:hint="eastAsia" w:ascii="宋体" w:hAnsi="宋体" w:eastAsia="宋体" w:cs="宋体"/>
          <w:b/>
          <w:bCs/>
        </w:rPr>
      </w:pPr>
      <w:r>
        <w:rPr>
          <w:rFonts w:hint="eastAsia" w:ascii="宋体" w:hAnsi="宋体" w:eastAsia="宋体" w:cs="宋体"/>
          <w:b/>
          <w:bCs/>
        </w:rPr>
        <w:t>九、签订时间</w:t>
      </w:r>
    </w:p>
    <w:p w14:paraId="2896E1A9">
      <w:pPr>
        <w:spacing w:line="360" w:lineRule="auto"/>
        <w:ind w:firstLine="480" w:firstLineChars="200"/>
        <w:rPr>
          <w:rFonts w:hint="eastAsia" w:ascii="宋体" w:hAnsi="宋体" w:eastAsia="宋体" w:cs="宋体"/>
        </w:rPr>
      </w:pPr>
      <w:r>
        <w:rPr>
          <w:rFonts w:hint="eastAsia" w:ascii="宋体" w:hAnsi="宋体" w:eastAsia="宋体" w:cs="宋体"/>
        </w:rPr>
        <w:t>本合同于</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日签订。</w:t>
      </w:r>
    </w:p>
    <w:p w14:paraId="3F5BCAC4">
      <w:pPr>
        <w:spacing w:line="360" w:lineRule="auto"/>
        <w:ind w:firstLine="482" w:firstLineChars="200"/>
        <w:rPr>
          <w:rFonts w:hint="eastAsia" w:ascii="宋体" w:hAnsi="宋体" w:eastAsia="宋体" w:cs="宋体"/>
          <w:b/>
          <w:bCs/>
        </w:rPr>
      </w:pPr>
      <w:r>
        <w:rPr>
          <w:rFonts w:hint="eastAsia" w:ascii="宋体" w:hAnsi="宋体" w:eastAsia="宋体" w:cs="宋体"/>
          <w:b/>
          <w:bCs/>
        </w:rPr>
        <w:t>十、签订地点</w:t>
      </w:r>
    </w:p>
    <w:p w14:paraId="3F7E87C9">
      <w:pPr>
        <w:spacing w:line="360" w:lineRule="auto"/>
        <w:ind w:firstLine="480" w:firstLineChars="200"/>
        <w:rPr>
          <w:rFonts w:hint="eastAsia" w:ascii="宋体" w:hAnsi="宋体" w:eastAsia="宋体" w:cs="宋体"/>
        </w:rPr>
      </w:pPr>
      <w:r>
        <w:rPr>
          <w:rFonts w:hint="eastAsia" w:ascii="宋体" w:hAnsi="宋体" w:eastAsia="宋体" w:cs="宋体"/>
        </w:rPr>
        <w:t>本合同在</w:t>
      </w:r>
      <w:r>
        <w:rPr>
          <w:rFonts w:hint="eastAsia" w:ascii="宋体" w:hAnsi="宋体" w:eastAsia="宋体" w:cs="宋体"/>
          <w:u w:val="single"/>
        </w:rPr>
        <w:t xml:space="preserve">          </w:t>
      </w:r>
      <w:r>
        <w:rPr>
          <w:rFonts w:hint="eastAsia" w:ascii="宋体" w:hAnsi="宋体" w:eastAsia="宋体" w:cs="宋体"/>
        </w:rPr>
        <w:t>签订。</w:t>
      </w:r>
    </w:p>
    <w:p w14:paraId="742C07E7">
      <w:pPr>
        <w:spacing w:line="360" w:lineRule="auto"/>
        <w:ind w:firstLine="482" w:firstLineChars="200"/>
        <w:rPr>
          <w:rFonts w:hint="eastAsia" w:ascii="宋体" w:hAnsi="宋体" w:eastAsia="宋体" w:cs="宋体"/>
          <w:b/>
          <w:bCs/>
        </w:rPr>
      </w:pPr>
      <w:r>
        <w:rPr>
          <w:rFonts w:hint="eastAsia" w:ascii="宋体" w:hAnsi="宋体" w:eastAsia="宋体" w:cs="宋体"/>
          <w:b/>
          <w:bCs/>
        </w:rPr>
        <w:t>十一、补充协议</w:t>
      </w:r>
    </w:p>
    <w:p w14:paraId="5838199C">
      <w:pPr>
        <w:spacing w:line="360" w:lineRule="auto"/>
        <w:ind w:firstLine="480" w:firstLineChars="200"/>
        <w:rPr>
          <w:rFonts w:hint="eastAsia" w:ascii="宋体" w:hAnsi="宋体" w:eastAsia="宋体" w:cs="宋体"/>
        </w:rPr>
      </w:pPr>
      <w:r>
        <w:rPr>
          <w:rFonts w:hint="eastAsia" w:ascii="宋体" w:hAnsi="宋体" w:eastAsia="宋体" w:cs="宋体"/>
        </w:rPr>
        <w:t>合同未尽事宜，合同当事人另行签订补充协议，补充协议是合同的组成部分。</w:t>
      </w:r>
    </w:p>
    <w:p w14:paraId="7B3B56B3">
      <w:pPr>
        <w:spacing w:line="360" w:lineRule="auto"/>
        <w:ind w:firstLine="482" w:firstLineChars="200"/>
        <w:rPr>
          <w:rFonts w:hint="eastAsia" w:ascii="宋体" w:hAnsi="宋体" w:eastAsia="宋体" w:cs="宋体"/>
          <w:b/>
          <w:bCs/>
        </w:rPr>
      </w:pPr>
      <w:r>
        <w:rPr>
          <w:rFonts w:hint="eastAsia" w:ascii="宋体" w:hAnsi="宋体" w:eastAsia="宋体" w:cs="宋体"/>
          <w:b/>
          <w:bCs/>
        </w:rPr>
        <w:t>十二、合同生效</w:t>
      </w:r>
    </w:p>
    <w:p w14:paraId="2E7A19D9">
      <w:pPr>
        <w:spacing w:line="360" w:lineRule="auto"/>
        <w:ind w:firstLine="480" w:firstLineChars="200"/>
        <w:rPr>
          <w:rFonts w:hint="eastAsia" w:ascii="宋体" w:hAnsi="宋体" w:eastAsia="宋体" w:cs="宋体"/>
        </w:rPr>
      </w:pPr>
      <w:r>
        <w:rPr>
          <w:rFonts w:hint="eastAsia" w:ascii="宋体" w:hAnsi="宋体" w:eastAsia="宋体" w:cs="宋体"/>
        </w:rPr>
        <w:t>本合同自</w:t>
      </w:r>
      <w:r>
        <w:rPr>
          <w:rFonts w:hint="eastAsia" w:ascii="宋体" w:hAnsi="宋体" w:eastAsia="宋体" w:cs="宋体"/>
          <w:u w:val="single"/>
        </w:rPr>
        <w:t xml:space="preserve">  双方签字盖章后  </w:t>
      </w:r>
      <w:r>
        <w:rPr>
          <w:rFonts w:hint="eastAsia" w:ascii="宋体" w:hAnsi="宋体" w:eastAsia="宋体" w:cs="宋体"/>
        </w:rPr>
        <w:t>生效。</w:t>
      </w:r>
    </w:p>
    <w:p w14:paraId="1D3E6763">
      <w:pPr>
        <w:spacing w:line="360" w:lineRule="auto"/>
        <w:ind w:firstLine="482" w:firstLineChars="200"/>
        <w:rPr>
          <w:rFonts w:hint="eastAsia" w:ascii="宋体" w:hAnsi="宋体" w:eastAsia="宋体" w:cs="宋体"/>
          <w:b/>
          <w:bCs/>
        </w:rPr>
      </w:pPr>
      <w:r>
        <w:rPr>
          <w:rFonts w:hint="eastAsia" w:ascii="宋体" w:hAnsi="宋体" w:eastAsia="宋体" w:cs="宋体"/>
          <w:b/>
          <w:bCs/>
        </w:rPr>
        <w:t>十三、合同份数</w:t>
      </w:r>
    </w:p>
    <w:p w14:paraId="7E10F45D">
      <w:pPr>
        <w:spacing w:line="360" w:lineRule="auto"/>
        <w:ind w:firstLine="480" w:firstLineChars="200"/>
        <w:rPr>
          <w:rFonts w:hint="eastAsia" w:ascii="宋体" w:hAnsi="宋体" w:eastAsia="宋体" w:cs="宋体"/>
        </w:rPr>
      </w:pPr>
      <w:r>
        <w:rPr>
          <w:rFonts w:hint="eastAsia" w:ascii="宋体" w:hAnsi="宋体" w:eastAsia="宋体" w:cs="宋体"/>
        </w:rPr>
        <w:t>本合同一式</w:t>
      </w:r>
      <w:r>
        <w:rPr>
          <w:rFonts w:hint="eastAsia" w:ascii="宋体" w:hAnsi="宋体" w:eastAsia="宋体" w:cs="宋体"/>
          <w:u w:val="single"/>
        </w:rPr>
        <w:t>捌</w:t>
      </w:r>
      <w:r>
        <w:rPr>
          <w:rFonts w:hint="eastAsia" w:ascii="宋体" w:hAnsi="宋体" w:eastAsia="宋体" w:cs="宋体"/>
        </w:rPr>
        <w:t>份，均具有同等法律效力，发包人执</w:t>
      </w:r>
      <w:r>
        <w:rPr>
          <w:rFonts w:hint="eastAsia" w:ascii="宋体" w:hAnsi="宋体" w:eastAsia="宋体" w:cs="宋体"/>
          <w:u w:val="single"/>
        </w:rPr>
        <w:t>伍</w:t>
      </w:r>
      <w:r>
        <w:rPr>
          <w:rFonts w:hint="eastAsia" w:ascii="宋体" w:hAnsi="宋体" w:eastAsia="宋体" w:cs="宋体"/>
        </w:rPr>
        <w:t>份，承包人执</w:t>
      </w:r>
      <w:r>
        <w:rPr>
          <w:rFonts w:hint="eastAsia" w:ascii="宋体" w:hAnsi="宋体" w:eastAsia="宋体" w:cs="宋体"/>
          <w:u w:val="single"/>
        </w:rPr>
        <w:t>贰</w:t>
      </w:r>
      <w:r>
        <w:rPr>
          <w:rFonts w:hint="eastAsia" w:ascii="宋体" w:hAnsi="宋体" w:eastAsia="宋体" w:cs="宋体"/>
        </w:rPr>
        <w:t>份，见证方执</w:t>
      </w:r>
      <w:r>
        <w:rPr>
          <w:rFonts w:hint="eastAsia" w:ascii="宋体" w:hAnsi="宋体" w:eastAsia="宋体" w:cs="宋体"/>
          <w:u w:val="single"/>
        </w:rPr>
        <w:t>壹</w:t>
      </w:r>
      <w:r>
        <w:rPr>
          <w:rFonts w:hint="eastAsia" w:ascii="宋体" w:hAnsi="宋体" w:eastAsia="宋体" w:cs="宋体"/>
        </w:rPr>
        <w:t>份。</w:t>
      </w:r>
    </w:p>
    <w:p w14:paraId="6B7B84DA">
      <w:pPr>
        <w:spacing w:line="360" w:lineRule="auto"/>
        <w:ind w:firstLine="480" w:firstLineChars="200"/>
        <w:rPr>
          <w:rFonts w:hint="eastAsia" w:ascii="宋体" w:hAnsi="宋体" w:eastAsia="宋体" w:cs="宋体"/>
        </w:rPr>
      </w:pPr>
    </w:p>
    <w:p w14:paraId="7CA47CC7">
      <w:pPr>
        <w:spacing w:line="360" w:lineRule="auto"/>
        <w:ind w:firstLine="480" w:firstLineChars="200"/>
        <w:rPr>
          <w:rFonts w:hint="eastAsia" w:ascii="宋体" w:hAnsi="宋体" w:eastAsia="宋体" w:cs="宋体"/>
        </w:rPr>
      </w:pPr>
    </w:p>
    <w:p w14:paraId="4D53D98D">
      <w:pPr>
        <w:spacing w:line="360" w:lineRule="auto"/>
        <w:ind w:firstLine="480" w:firstLineChars="200"/>
        <w:rPr>
          <w:rFonts w:hint="eastAsia" w:ascii="宋体" w:hAnsi="宋体" w:eastAsia="宋体" w:cs="宋体"/>
        </w:rPr>
        <w:sectPr>
          <w:footerReference r:id="rId11" w:type="first"/>
          <w:footerReference r:id="rId10" w:type="default"/>
          <w:pgSz w:w="11906" w:h="16838"/>
          <w:pgMar w:top="1440" w:right="1083" w:bottom="1440" w:left="1083" w:header="720" w:footer="720" w:gutter="0"/>
          <w:pgNumType w:fmt="decimal"/>
          <w:cols w:space="0" w:num="1"/>
          <w:titlePg/>
          <w:docGrid w:linePitch="299" w:charSpace="0"/>
        </w:sectPr>
      </w:pPr>
    </w:p>
    <w:p w14:paraId="24CDC86C">
      <w:pPr>
        <w:spacing w:line="360" w:lineRule="auto"/>
        <w:rPr>
          <w:rFonts w:hint="eastAsia" w:ascii="宋体" w:hAnsi="宋体" w:eastAsia="宋体" w:cs="宋体"/>
        </w:rPr>
      </w:pPr>
      <w:r>
        <w:rPr>
          <w:rFonts w:hint="eastAsia" w:ascii="宋体" w:hAnsi="宋体" w:eastAsia="宋体" w:cs="宋体"/>
        </w:rPr>
        <w:t>发包人：</w:t>
      </w:r>
      <w:r>
        <w:rPr>
          <w:rFonts w:hint="eastAsia" w:ascii="宋体" w:hAnsi="宋体" w:eastAsia="宋体" w:cs="宋体"/>
          <w:sz w:val="21"/>
          <w:szCs w:val="21"/>
        </w:rPr>
        <w:t>陕西测绘地理信息局劳动就业服务中心</w:t>
      </w:r>
    </w:p>
    <w:p w14:paraId="058E94AE">
      <w:pPr>
        <w:spacing w:line="360" w:lineRule="auto"/>
        <w:rPr>
          <w:rFonts w:hint="eastAsia" w:ascii="宋体" w:hAnsi="宋体" w:eastAsia="宋体" w:cs="宋体"/>
        </w:rPr>
      </w:pPr>
      <w:r>
        <w:rPr>
          <w:rFonts w:hint="eastAsia" w:ascii="宋体" w:hAnsi="宋体" w:eastAsia="宋体" w:cs="宋体"/>
        </w:rPr>
        <w:t>法定代表人或其委托代理人（签字）：</w:t>
      </w:r>
    </w:p>
    <w:p w14:paraId="49EA8897">
      <w:pPr>
        <w:spacing w:line="360" w:lineRule="auto"/>
        <w:rPr>
          <w:rFonts w:hint="eastAsia" w:ascii="宋体" w:hAnsi="宋体" w:eastAsia="宋体" w:cs="宋体"/>
        </w:rPr>
      </w:pPr>
      <w:r>
        <w:rPr>
          <w:rFonts w:hint="eastAsia" w:ascii="宋体" w:hAnsi="宋体" w:eastAsia="宋体" w:cs="宋体"/>
        </w:rPr>
        <w:t>组织机构代码：</w:t>
      </w:r>
    </w:p>
    <w:p w14:paraId="4586D73B">
      <w:pPr>
        <w:spacing w:line="360" w:lineRule="auto"/>
        <w:rPr>
          <w:rFonts w:hint="eastAsia" w:ascii="宋体" w:hAnsi="宋体" w:eastAsia="宋体" w:cs="宋体"/>
        </w:rPr>
      </w:pPr>
      <w:r>
        <w:rPr>
          <w:rFonts w:hint="eastAsia" w:ascii="宋体" w:hAnsi="宋体" w:eastAsia="宋体" w:cs="宋体"/>
        </w:rPr>
        <w:t>地  址：</w:t>
      </w:r>
    </w:p>
    <w:p w14:paraId="60FBCC1F">
      <w:pPr>
        <w:spacing w:line="360" w:lineRule="auto"/>
        <w:rPr>
          <w:rFonts w:hint="eastAsia" w:ascii="宋体" w:hAnsi="宋体" w:eastAsia="宋体" w:cs="宋体"/>
        </w:rPr>
      </w:pPr>
      <w:r>
        <w:rPr>
          <w:rFonts w:hint="eastAsia" w:ascii="宋体" w:hAnsi="宋体" w:eastAsia="宋体" w:cs="宋体"/>
        </w:rPr>
        <w:t>邮政编码：</w:t>
      </w:r>
    </w:p>
    <w:p w14:paraId="36D2AB5C">
      <w:pPr>
        <w:spacing w:line="360" w:lineRule="auto"/>
        <w:rPr>
          <w:rFonts w:hint="eastAsia" w:ascii="宋体" w:hAnsi="宋体" w:eastAsia="宋体" w:cs="宋体"/>
        </w:rPr>
      </w:pPr>
      <w:r>
        <w:rPr>
          <w:rFonts w:hint="eastAsia" w:ascii="宋体" w:hAnsi="宋体" w:eastAsia="宋体" w:cs="宋体"/>
        </w:rPr>
        <w:t>法定代表人：</w:t>
      </w:r>
    </w:p>
    <w:p w14:paraId="4B04CA0E">
      <w:pPr>
        <w:spacing w:line="360" w:lineRule="auto"/>
        <w:rPr>
          <w:rFonts w:hint="eastAsia" w:ascii="宋体" w:hAnsi="宋体" w:eastAsia="宋体" w:cs="宋体"/>
        </w:rPr>
      </w:pPr>
      <w:r>
        <w:rPr>
          <w:rFonts w:hint="eastAsia" w:ascii="宋体" w:hAnsi="宋体" w:eastAsia="宋体" w:cs="宋体"/>
        </w:rPr>
        <w:t>委托代理人：</w:t>
      </w:r>
    </w:p>
    <w:p w14:paraId="11C84891">
      <w:pPr>
        <w:spacing w:line="360" w:lineRule="auto"/>
        <w:rPr>
          <w:rFonts w:hint="eastAsia" w:ascii="宋体" w:hAnsi="宋体" w:eastAsia="宋体" w:cs="宋体"/>
        </w:rPr>
      </w:pPr>
      <w:r>
        <w:rPr>
          <w:rFonts w:hint="eastAsia" w:ascii="宋体" w:hAnsi="宋体" w:eastAsia="宋体" w:cs="宋体"/>
        </w:rPr>
        <w:t>电  话：</w:t>
      </w:r>
    </w:p>
    <w:p w14:paraId="4B948F1C">
      <w:pPr>
        <w:spacing w:line="360" w:lineRule="auto"/>
        <w:rPr>
          <w:rFonts w:hint="eastAsia" w:ascii="宋体" w:hAnsi="宋体" w:eastAsia="宋体" w:cs="宋体"/>
        </w:rPr>
      </w:pPr>
      <w:r>
        <w:rPr>
          <w:rFonts w:hint="eastAsia" w:ascii="宋体" w:hAnsi="宋体" w:eastAsia="宋体" w:cs="宋体"/>
        </w:rPr>
        <w:t>传  真：</w:t>
      </w:r>
    </w:p>
    <w:p w14:paraId="1D42F400">
      <w:pPr>
        <w:spacing w:line="360" w:lineRule="auto"/>
        <w:rPr>
          <w:rFonts w:hint="eastAsia" w:ascii="宋体" w:hAnsi="宋体" w:eastAsia="宋体" w:cs="宋体"/>
        </w:rPr>
      </w:pPr>
      <w:r>
        <w:rPr>
          <w:rFonts w:hint="eastAsia" w:ascii="宋体" w:hAnsi="宋体" w:eastAsia="宋体" w:cs="宋体"/>
        </w:rPr>
        <w:t>电子信箱：</w:t>
      </w:r>
    </w:p>
    <w:p w14:paraId="2C975AC6">
      <w:pPr>
        <w:spacing w:line="360" w:lineRule="auto"/>
        <w:rPr>
          <w:rFonts w:hint="eastAsia" w:ascii="宋体" w:hAnsi="宋体" w:eastAsia="宋体" w:cs="宋体"/>
        </w:rPr>
      </w:pPr>
      <w:r>
        <w:rPr>
          <w:rFonts w:hint="eastAsia" w:ascii="宋体" w:hAnsi="宋体" w:eastAsia="宋体" w:cs="宋体"/>
        </w:rPr>
        <w:t xml:space="preserve">开户银行： </w:t>
      </w:r>
    </w:p>
    <w:p w14:paraId="45822F4D">
      <w:pPr>
        <w:spacing w:line="360" w:lineRule="auto"/>
        <w:rPr>
          <w:rFonts w:hint="eastAsia" w:ascii="宋体" w:hAnsi="宋体" w:eastAsia="宋体" w:cs="宋体"/>
        </w:rPr>
      </w:pPr>
      <w:r>
        <w:rPr>
          <w:rFonts w:hint="eastAsia" w:ascii="宋体" w:hAnsi="宋体" w:eastAsia="宋体" w:cs="宋体"/>
        </w:rPr>
        <w:t xml:space="preserve">账  号： </w:t>
      </w:r>
    </w:p>
    <w:p w14:paraId="2E5D80DA">
      <w:pPr>
        <w:spacing w:line="360" w:lineRule="auto"/>
        <w:rPr>
          <w:rFonts w:hint="eastAsia" w:ascii="宋体" w:hAnsi="宋体" w:eastAsia="宋体" w:cs="宋体"/>
        </w:rPr>
      </w:pPr>
      <w:r>
        <w:rPr>
          <w:rFonts w:hint="eastAsia" w:ascii="宋体" w:hAnsi="宋体" w:eastAsia="宋体" w:cs="宋体"/>
        </w:rPr>
        <w:t>发包人：</w:t>
      </w:r>
    </w:p>
    <w:p w14:paraId="542509E7">
      <w:pPr>
        <w:spacing w:line="360" w:lineRule="auto"/>
        <w:rPr>
          <w:rFonts w:hint="eastAsia" w:ascii="宋体" w:hAnsi="宋体" w:eastAsia="宋体" w:cs="宋体"/>
        </w:rPr>
      </w:pPr>
      <w:r>
        <w:rPr>
          <w:rFonts w:hint="eastAsia" w:ascii="宋体" w:hAnsi="宋体" w:eastAsia="宋体" w:cs="宋体"/>
        </w:rPr>
        <w:t>法定代表人或其委托代理人（签字）：</w:t>
      </w:r>
    </w:p>
    <w:p w14:paraId="2BF9D389">
      <w:pPr>
        <w:spacing w:line="360" w:lineRule="auto"/>
        <w:rPr>
          <w:rFonts w:hint="eastAsia" w:ascii="宋体" w:hAnsi="宋体" w:eastAsia="宋体" w:cs="宋体"/>
        </w:rPr>
      </w:pPr>
      <w:r>
        <w:rPr>
          <w:rFonts w:hint="eastAsia" w:ascii="宋体" w:hAnsi="宋体" w:eastAsia="宋体" w:cs="宋体"/>
        </w:rPr>
        <w:t>组织机构代码：</w:t>
      </w:r>
    </w:p>
    <w:p w14:paraId="2A3508D6">
      <w:pPr>
        <w:spacing w:line="360" w:lineRule="auto"/>
        <w:rPr>
          <w:rFonts w:hint="eastAsia" w:ascii="宋体" w:hAnsi="宋体" w:eastAsia="宋体" w:cs="宋体"/>
        </w:rPr>
      </w:pPr>
      <w:r>
        <w:rPr>
          <w:rFonts w:hint="eastAsia" w:ascii="宋体" w:hAnsi="宋体" w:eastAsia="宋体" w:cs="宋体"/>
        </w:rPr>
        <w:t>地  址：</w:t>
      </w:r>
    </w:p>
    <w:p w14:paraId="4FA0B9F5">
      <w:pPr>
        <w:spacing w:line="360" w:lineRule="auto"/>
        <w:rPr>
          <w:rFonts w:hint="eastAsia" w:ascii="宋体" w:hAnsi="宋体" w:eastAsia="宋体" w:cs="宋体"/>
        </w:rPr>
      </w:pPr>
      <w:r>
        <w:rPr>
          <w:rFonts w:hint="eastAsia" w:ascii="宋体" w:hAnsi="宋体" w:eastAsia="宋体" w:cs="宋体"/>
        </w:rPr>
        <w:t>邮政编码：</w:t>
      </w:r>
    </w:p>
    <w:p w14:paraId="640AB907">
      <w:pPr>
        <w:spacing w:line="360" w:lineRule="auto"/>
        <w:rPr>
          <w:rFonts w:hint="eastAsia" w:ascii="宋体" w:hAnsi="宋体" w:eastAsia="宋体" w:cs="宋体"/>
        </w:rPr>
      </w:pPr>
      <w:r>
        <w:rPr>
          <w:rFonts w:hint="eastAsia" w:ascii="宋体" w:hAnsi="宋体" w:eastAsia="宋体" w:cs="宋体"/>
        </w:rPr>
        <w:t>法定代表人：</w:t>
      </w:r>
    </w:p>
    <w:p w14:paraId="0A693742">
      <w:pPr>
        <w:spacing w:line="360" w:lineRule="auto"/>
        <w:rPr>
          <w:rFonts w:hint="eastAsia" w:ascii="宋体" w:hAnsi="宋体" w:eastAsia="宋体" w:cs="宋体"/>
        </w:rPr>
      </w:pPr>
      <w:r>
        <w:rPr>
          <w:rFonts w:hint="eastAsia" w:ascii="宋体" w:hAnsi="宋体" w:eastAsia="宋体" w:cs="宋体"/>
        </w:rPr>
        <w:t>委托代理人：</w:t>
      </w:r>
    </w:p>
    <w:p w14:paraId="0179A02B">
      <w:pPr>
        <w:spacing w:line="360" w:lineRule="auto"/>
        <w:rPr>
          <w:rFonts w:hint="eastAsia" w:ascii="宋体" w:hAnsi="宋体" w:eastAsia="宋体" w:cs="宋体"/>
        </w:rPr>
      </w:pPr>
      <w:r>
        <w:rPr>
          <w:rFonts w:hint="eastAsia" w:ascii="宋体" w:hAnsi="宋体" w:eastAsia="宋体" w:cs="宋体"/>
        </w:rPr>
        <w:t>电  话：</w:t>
      </w:r>
    </w:p>
    <w:p w14:paraId="32024626">
      <w:pPr>
        <w:spacing w:line="360" w:lineRule="auto"/>
        <w:rPr>
          <w:rFonts w:hint="eastAsia" w:ascii="宋体" w:hAnsi="宋体" w:eastAsia="宋体" w:cs="宋体"/>
        </w:rPr>
      </w:pPr>
      <w:r>
        <w:rPr>
          <w:rFonts w:hint="eastAsia" w:ascii="宋体" w:hAnsi="宋体" w:eastAsia="宋体" w:cs="宋体"/>
        </w:rPr>
        <w:t>传  真：</w:t>
      </w:r>
    </w:p>
    <w:p w14:paraId="1C49DFF2">
      <w:pPr>
        <w:spacing w:line="360" w:lineRule="auto"/>
        <w:rPr>
          <w:rFonts w:hint="eastAsia" w:ascii="宋体" w:hAnsi="宋体" w:eastAsia="宋体" w:cs="宋体"/>
        </w:rPr>
      </w:pPr>
      <w:r>
        <w:rPr>
          <w:rFonts w:hint="eastAsia" w:ascii="宋体" w:hAnsi="宋体" w:eastAsia="宋体" w:cs="宋体"/>
        </w:rPr>
        <w:t>电子信箱：</w:t>
      </w:r>
    </w:p>
    <w:p w14:paraId="59211879">
      <w:pPr>
        <w:spacing w:line="360" w:lineRule="auto"/>
        <w:rPr>
          <w:rFonts w:hint="eastAsia" w:ascii="宋体" w:hAnsi="宋体" w:eastAsia="宋体" w:cs="宋体"/>
        </w:rPr>
      </w:pPr>
      <w:r>
        <w:rPr>
          <w:rFonts w:hint="eastAsia" w:ascii="宋体" w:hAnsi="宋体" w:eastAsia="宋体" w:cs="宋体"/>
        </w:rPr>
        <w:t xml:space="preserve">开户银行： </w:t>
      </w:r>
    </w:p>
    <w:p w14:paraId="65B4BC13">
      <w:pPr>
        <w:spacing w:line="360" w:lineRule="auto"/>
        <w:rPr>
          <w:rFonts w:hint="eastAsia" w:ascii="宋体" w:hAnsi="宋体" w:eastAsia="宋体" w:cs="宋体"/>
        </w:rPr>
        <w:sectPr>
          <w:type w:val="continuous"/>
          <w:pgSz w:w="11906" w:h="16838"/>
          <w:pgMar w:top="1440" w:right="1083" w:bottom="1440" w:left="1083" w:header="720" w:footer="720" w:gutter="0"/>
          <w:pgNumType w:fmt="decimal"/>
          <w:cols w:equalWidth="0" w:num="2">
            <w:col w:w="4657" w:space="425"/>
            <w:col w:w="4657"/>
          </w:cols>
          <w:titlePg/>
          <w:docGrid w:linePitch="299" w:charSpace="0"/>
        </w:sectPr>
      </w:pPr>
      <w:r>
        <w:rPr>
          <w:rFonts w:hint="eastAsia" w:ascii="宋体" w:hAnsi="宋体" w:eastAsia="宋体" w:cs="宋体"/>
        </w:rPr>
        <w:t>账  号：</w:t>
      </w:r>
    </w:p>
    <w:p w14:paraId="61A00C74">
      <w:pPr>
        <w:spacing w:line="360" w:lineRule="auto"/>
        <w:rPr>
          <w:rFonts w:hint="eastAsia" w:ascii="宋体" w:hAnsi="宋体" w:eastAsia="宋体" w:cs="宋体"/>
        </w:rPr>
      </w:pPr>
      <w:r>
        <w:rPr>
          <w:rFonts w:hint="eastAsia" w:ascii="宋体" w:hAnsi="宋体" w:eastAsia="宋体" w:cs="宋体"/>
        </w:rPr>
        <w:t xml:space="preserve"> </w:t>
      </w:r>
    </w:p>
    <w:p w14:paraId="540A9907">
      <w:pPr>
        <w:spacing w:line="360" w:lineRule="auto"/>
        <w:rPr>
          <w:rFonts w:hint="eastAsia" w:ascii="宋体" w:hAnsi="宋体" w:eastAsia="宋体" w:cs="宋体"/>
        </w:rPr>
        <w:sectPr>
          <w:type w:val="continuous"/>
          <w:pgSz w:w="11906" w:h="16838"/>
          <w:pgMar w:top="1440" w:right="1083" w:bottom="1440" w:left="1083" w:header="720" w:footer="720" w:gutter="0"/>
          <w:pgNumType w:fmt="decimal"/>
          <w:cols w:space="0" w:num="1"/>
          <w:titlePg/>
          <w:docGrid w:linePitch="299" w:charSpace="0"/>
        </w:sectPr>
      </w:pPr>
    </w:p>
    <w:p w14:paraId="359D880C">
      <w:pPr>
        <w:spacing w:line="360" w:lineRule="auto"/>
        <w:rPr>
          <w:rFonts w:hint="eastAsia" w:ascii="宋体" w:hAnsi="宋体" w:eastAsia="宋体" w:cs="宋体"/>
        </w:rPr>
        <w:sectPr>
          <w:type w:val="continuous"/>
          <w:pgSz w:w="11906" w:h="16838"/>
          <w:pgMar w:top="1440" w:right="1083" w:bottom="1440" w:left="1083" w:header="720" w:footer="720" w:gutter="0"/>
          <w:pgNumType w:fmt="decimal"/>
          <w:cols w:space="0" w:num="1"/>
          <w:titlePg/>
          <w:docGrid w:linePitch="299" w:charSpace="0"/>
        </w:sectPr>
      </w:pPr>
      <w:r>
        <w:rPr>
          <w:rFonts w:hint="eastAsia" w:ascii="宋体" w:hAnsi="宋体" w:eastAsia="宋体" w:cs="宋体"/>
        </w:rPr>
        <w:br w:type="page"/>
      </w:r>
    </w:p>
    <w:p w14:paraId="7778FA6A">
      <w:pPr>
        <w:pStyle w:val="4"/>
        <w:jc w:val="center"/>
        <w:rPr>
          <w:rFonts w:hint="eastAsia" w:ascii="宋体" w:hAnsi="宋体" w:eastAsia="宋体" w:cs="宋体"/>
        </w:rPr>
      </w:pPr>
      <w:bookmarkStart w:id="94" w:name="_Toc12894"/>
      <w:r>
        <w:rPr>
          <w:rFonts w:hint="eastAsia" w:ascii="宋体" w:hAnsi="宋体" w:eastAsia="宋体" w:cs="宋体"/>
        </w:rPr>
        <w:t>第二部分  通用合同条款</w:t>
      </w:r>
      <w:bookmarkEnd w:id="94"/>
    </w:p>
    <w:p w14:paraId="0599801B">
      <w:pPr>
        <w:spacing w:line="360" w:lineRule="auto"/>
        <w:ind w:firstLine="480" w:firstLineChars="200"/>
        <w:rPr>
          <w:rFonts w:hint="eastAsia" w:ascii="宋体" w:hAnsi="宋体" w:eastAsia="宋体" w:cs="宋体"/>
        </w:rPr>
      </w:pPr>
      <w:bookmarkStart w:id="95" w:name="_Toc351203495"/>
      <w:bookmarkStart w:id="96" w:name="_Toc145583347"/>
      <w:r>
        <w:rPr>
          <w:rFonts w:hint="eastAsia" w:ascii="宋体" w:hAnsi="宋体" w:eastAsia="宋体" w:cs="宋体"/>
        </w:rPr>
        <w:t>1.</w:t>
      </w:r>
      <w:bookmarkStart w:id="97" w:name="_Toc303538972"/>
      <w:bookmarkEnd w:id="97"/>
      <w:bookmarkStart w:id="98" w:name="_Toc303538975"/>
      <w:bookmarkEnd w:id="98"/>
      <w:bookmarkStart w:id="99" w:name="_Toc303538973"/>
      <w:bookmarkEnd w:id="99"/>
      <w:bookmarkStart w:id="100" w:name="_Toc303538974"/>
      <w:bookmarkEnd w:id="100"/>
      <w:bookmarkStart w:id="101" w:name="_Toc303538976"/>
      <w:bookmarkEnd w:id="101"/>
      <w:bookmarkStart w:id="102" w:name="_Toc296503027"/>
      <w:bookmarkStart w:id="103" w:name="_Toc296346528"/>
      <w:r>
        <w:rPr>
          <w:rFonts w:hint="eastAsia" w:ascii="宋体" w:hAnsi="宋体" w:eastAsia="宋体" w:cs="宋体"/>
        </w:rPr>
        <w:t xml:space="preserve"> 一般约定</w:t>
      </w:r>
      <w:bookmarkEnd w:id="95"/>
      <w:bookmarkEnd w:id="96"/>
      <w:bookmarkEnd w:id="102"/>
      <w:bookmarkEnd w:id="103"/>
    </w:p>
    <w:p w14:paraId="65770096">
      <w:pPr>
        <w:spacing w:line="360" w:lineRule="auto"/>
        <w:ind w:firstLine="480" w:firstLineChars="200"/>
        <w:rPr>
          <w:rFonts w:hint="eastAsia" w:ascii="宋体" w:hAnsi="宋体" w:eastAsia="宋体" w:cs="宋体"/>
        </w:rPr>
      </w:pPr>
      <w:bookmarkStart w:id="104" w:name="_Toc337558728"/>
      <w:bookmarkStart w:id="105" w:name="_Toc296346529"/>
      <w:bookmarkStart w:id="106" w:name="_Toc296503028"/>
      <w:bookmarkStart w:id="107" w:name="_Toc351203496"/>
      <w:bookmarkStart w:id="108" w:name="_Toc145583348"/>
      <w:r>
        <w:rPr>
          <w:rFonts w:hint="eastAsia" w:ascii="宋体" w:hAnsi="宋体" w:eastAsia="宋体" w:cs="宋体"/>
        </w:rPr>
        <w:t>1.1词语定义</w:t>
      </w:r>
      <w:bookmarkEnd w:id="104"/>
      <w:bookmarkEnd w:id="105"/>
      <w:bookmarkEnd w:id="106"/>
      <w:r>
        <w:rPr>
          <w:rFonts w:hint="eastAsia" w:ascii="宋体" w:hAnsi="宋体" w:eastAsia="宋体" w:cs="宋体"/>
        </w:rPr>
        <w:t>与解释</w:t>
      </w:r>
      <w:bookmarkEnd w:id="107"/>
      <w:bookmarkEnd w:id="108"/>
    </w:p>
    <w:p w14:paraId="197ABFB5">
      <w:pPr>
        <w:spacing w:line="360" w:lineRule="auto"/>
        <w:ind w:firstLine="480" w:firstLineChars="200"/>
        <w:rPr>
          <w:rFonts w:hint="eastAsia" w:ascii="宋体" w:hAnsi="宋体" w:eastAsia="宋体" w:cs="宋体"/>
        </w:rPr>
      </w:pPr>
      <w:r>
        <w:rPr>
          <w:rFonts w:hint="eastAsia" w:ascii="宋体" w:hAnsi="宋体" w:eastAsia="宋体" w:cs="宋体"/>
        </w:rPr>
        <w:t>合同协议书、通用合同条款、专用合同条款中的下列词语具有本款所赋予的含义：</w:t>
      </w:r>
    </w:p>
    <w:p w14:paraId="2FA6050F">
      <w:pPr>
        <w:spacing w:line="360" w:lineRule="auto"/>
        <w:ind w:firstLine="480" w:firstLineChars="200"/>
        <w:rPr>
          <w:rFonts w:hint="eastAsia" w:ascii="宋体" w:hAnsi="宋体" w:eastAsia="宋体" w:cs="宋体"/>
        </w:rPr>
      </w:pPr>
      <w:r>
        <w:rPr>
          <w:rFonts w:hint="eastAsia" w:ascii="宋体" w:hAnsi="宋体" w:eastAsia="宋体" w:cs="宋体"/>
        </w:rPr>
        <w:t>1.1.1 合同</w:t>
      </w:r>
    </w:p>
    <w:p w14:paraId="503BAF1D">
      <w:pPr>
        <w:spacing w:line="360" w:lineRule="auto"/>
        <w:ind w:firstLine="480" w:firstLineChars="200"/>
        <w:rPr>
          <w:rFonts w:hint="eastAsia" w:ascii="宋体" w:hAnsi="宋体" w:eastAsia="宋体" w:cs="宋体"/>
        </w:rPr>
      </w:pPr>
      <w:r>
        <w:rPr>
          <w:rFonts w:hint="eastAsia" w:ascii="宋体" w:hAnsi="宋体" w:eastAsia="宋体" w:cs="宋体"/>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434D1867">
      <w:pPr>
        <w:spacing w:line="360" w:lineRule="auto"/>
        <w:ind w:firstLine="480" w:firstLineChars="200"/>
        <w:rPr>
          <w:rFonts w:hint="eastAsia" w:ascii="宋体" w:hAnsi="宋体" w:eastAsia="宋体" w:cs="宋体"/>
        </w:rPr>
      </w:pPr>
      <w:r>
        <w:rPr>
          <w:rFonts w:hint="eastAsia" w:ascii="宋体" w:hAnsi="宋体" w:eastAsia="宋体" w:cs="宋体"/>
        </w:rPr>
        <w:t>1.1.1.2 合同协议书：是指构成合同的由发包人和承包人共同签署的称为“合同协议书”的书面文件。</w:t>
      </w:r>
    </w:p>
    <w:p w14:paraId="04025645">
      <w:pPr>
        <w:spacing w:line="360" w:lineRule="auto"/>
        <w:ind w:firstLine="480" w:firstLineChars="200"/>
        <w:rPr>
          <w:rFonts w:hint="eastAsia" w:ascii="宋体" w:hAnsi="宋体" w:eastAsia="宋体" w:cs="宋体"/>
        </w:rPr>
      </w:pPr>
      <w:r>
        <w:rPr>
          <w:rFonts w:hint="eastAsia" w:ascii="宋体" w:hAnsi="宋体" w:eastAsia="宋体" w:cs="宋体"/>
        </w:rPr>
        <w:t>1.1.1.3 中标通知书：是指构成合同的由发包人通知承包人中标的书面文件。</w:t>
      </w:r>
    </w:p>
    <w:p w14:paraId="554C3B44">
      <w:pPr>
        <w:spacing w:line="360" w:lineRule="auto"/>
        <w:ind w:firstLine="480" w:firstLineChars="200"/>
        <w:rPr>
          <w:rFonts w:hint="eastAsia" w:ascii="宋体" w:hAnsi="宋体" w:eastAsia="宋体" w:cs="宋体"/>
        </w:rPr>
      </w:pPr>
      <w:r>
        <w:rPr>
          <w:rFonts w:hint="eastAsia" w:ascii="宋体" w:hAnsi="宋体" w:eastAsia="宋体" w:cs="宋体"/>
        </w:rPr>
        <w:t>1.1.1.4 投标函：是指构成合同的由承包人填写并签署的用于投标的称为“投标函”的文件。</w:t>
      </w:r>
    </w:p>
    <w:p w14:paraId="5B4DECFA">
      <w:pPr>
        <w:spacing w:line="360" w:lineRule="auto"/>
        <w:ind w:firstLine="480" w:firstLineChars="200"/>
        <w:rPr>
          <w:rFonts w:hint="eastAsia" w:ascii="宋体" w:hAnsi="宋体" w:eastAsia="宋体" w:cs="宋体"/>
        </w:rPr>
      </w:pPr>
      <w:r>
        <w:rPr>
          <w:rFonts w:hint="eastAsia" w:ascii="宋体" w:hAnsi="宋体" w:eastAsia="宋体" w:cs="宋体"/>
        </w:rPr>
        <w:t>1.1.1.5 投标函附录：是指构成合同的附在投标函后的称为“投标函附录”的文件。</w:t>
      </w:r>
    </w:p>
    <w:p w14:paraId="647E8953">
      <w:pPr>
        <w:spacing w:line="360" w:lineRule="auto"/>
        <w:ind w:firstLine="480" w:firstLineChars="200"/>
        <w:rPr>
          <w:rFonts w:hint="eastAsia" w:ascii="宋体" w:hAnsi="宋体" w:eastAsia="宋体" w:cs="宋体"/>
        </w:rPr>
      </w:pPr>
      <w:r>
        <w:rPr>
          <w:rFonts w:hint="eastAsia" w:ascii="宋体" w:hAnsi="宋体" w:eastAsia="宋体" w:cs="宋体"/>
        </w:rPr>
        <w:t>1.1.1.6 技术标准和要求：是指构成合同的施工应当遵守的或指导施工的国家、行业或地方的技术标准和要求，以及合同约定的技术标准和要求。</w:t>
      </w:r>
    </w:p>
    <w:p w14:paraId="2778EF72">
      <w:pPr>
        <w:spacing w:line="360" w:lineRule="auto"/>
        <w:ind w:firstLine="480" w:firstLineChars="200"/>
        <w:rPr>
          <w:rFonts w:hint="eastAsia" w:ascii="宋体" w:hAnsi="宋体" w:eastAsia="宋体" w:cs="宋体"/>
        </w:rPr>
      </w:pPr>
      <w:r>
        <w:rPr>
          <w:rFonts w:hint="eastAsia" w:ascii="宋体" w:hAnsi="宋体" w:eastAsia="宋体" w:cs="宋体"/>
        </w:rPr>
        <w:t>1.1.1.7 图纸：是指构成合同的图纸，包括由发包人按照合同约定提供或经发包人批准的设计文件、施工图、鸟瞰图及模型等，以及在合同履行过程中形成的图纸文件。图纸应当按照法律规定审查合格。</w:t>
      </w:r>
    </w:p>
    <w:p w14:paraId="422C994E">
      <w:pPr>
        <w:spacing w:line="360" w:lineRule="auto"/>
        <w:ind w:firstLine="480" w:firstLineChars="200"/>
        <w:rPr>
          <w:rFonts w:hint="eastAsia" w:ascii="宋体" w:hAnsi="宋体" w:eastAsia="宋体" w:cs="宋体"/>
        </w:rPr>
      </w:pPr>
      <w:r>
        <w:rPr>
          <w:rFonts w:hint="eastAsia" w:ascii="宋体" w:hAnsi="宋体" w:eastAsia="宋体" w:cs="宋体"/>
        </w:rPr>
        <w:t>1.1.1.8 已标价工程量清单：是指构成合同的由承包人按照规定的格式和要求填写并标明价格的工程量清单，包括说明和表格。</w:t>
      </w:r>
    </w:p>
    <w:p w14:paraId="4DBC63C0">
      <w:pPr>
        <w:spacing w:line="360" w:lineRule="auto"/>
        <w:ind w:firstLine="480" w:firstLineChars="200"/>
        <w:rPr>
          <w:rFonts w:hint="eastAsia" w:ascii="宋体" w:hAnsi="宋体" w:eastAsia="宋体" w:cs="宋体"/>
        </w:rPr>
      </w:pPr>
      <w:r>
        <w:rPr>
          <w:rFonts w:hint="eastAsia" w:ascii="宋体" w:hAnsi="宋体" w:eastAsia="宋体" w:cs="宋体"/>
        </w:rPr>
        <w:t>1.1.1.9 预算书：是指构成合同的由承包人按照发包人规定的格式和要求编制的工程预算文件。</w:t>
      </w:r>
    </w:p>
    <w:p w14:paraId="415B8D81">
      <w:pPr>
        <w:spacing w:line="360" w:lineRule="auto"/>
        <w:ind w:firstLine="480" w:firstLineChars="200"/>
        <w:rPr>
          <w:rFonts w:hint="eastAsia" w:ascii="宋体" w:hAnsi="宋体" w:eastAsia="宋体" w:cs="宋体"/>
        </w:rPr>
      </w:pPr>
      <w:r>
        <w:rPr>
          <w:rFonts w:hint="eastAsia" w:ascii="宋体" w:hAnsi="宋体" w:eastAsia="宋体" w:cs="宋体"/>
        </w:rPr>
        <w:t>1.1.1.10 其他合同文件：是指经合同当事人约定的与工程施工有关的具有合同约束力的文件或书面协议。合同当事人可以在专用合同条款中进行约定。</w:t>
      </w:r>
    </w:p>
    <w:p w14:paraId="438685B4">
      <w:pPr>
        <w:spacing w:line="360" w:lineRule="auto"/>
        <w:ind w:firstLine="480" w:firstLineChars="200"/>
        <w:rPr>
          <w:rFonts w:hint="eastAsia" w:ascii="宋体" w:hAnsi="宋体" w:eastAsia="宋体" w:cs="宋体"/>
        </w:rPr>
      </w:pPr>
      <w:r>
        <w:rPr>
          <w:rFonts w:hint="eastAsia" w:ascii="宋体" w:hAnsi="宋体" w:eastAsia="宋体" w:cs="宋体"/>
        </w:rPr>
        <w:t>1.1.2 合同当事人及其他相关方</w:t>
      </w:r>
    </w:p>
    <w:p w14:paraId="16E51576">
      <w:pPr>
        <w:spacing w:line="360" w:lineRule="auto"/>
        <w:ind w:firstLine="480" w:firstLineChars="200"/>
        <w:rPr>
          <w:rFonts w:hint="eastAsia" w:ascii="宋体" w:hAnsi="宋体" w:eastAsia="宋体" w:cs="宋体"/>
        </w:rPr>
      </w:pPr>
      <w:r>
        <w:rPr>
          <w:rFonts w:hint="eastAsia" w:ascii="宋体" w:hAnsi="宋体" w:eastAsia="宋体" w:cs="宋体"/>
        </w:rPr>
        <w:t>1.1.2.1 合同当事人：是指发包人和（或）承包人。</w:t>
      </w:r>
    </w:p>
    <w:p w14:paraId="06AF4E17">
      <w:pPr>
        <w:spacing w:line="360" w:lineRule="auto"/>
        <w:ind w:firstLine="480" w:firstLineChars="200"/>
        <w:rPr>
          <w:rFonts w:hint="eastAsia" w:ascii="宋体" w:hAnsi="宋体" w:eastAsia="宋体" w:cs="宋体"/>
        </w:rPr>
      </w:pPr>
      <w:r>
        <w:rPr>
          <w:rFonts w:hint="eastAsia" w:ascii="宋体" w:hAnsi="宋体" w:eastAsia="宋体" w:cs="宋体"/>
        </w:rPr>
        <w:t>1.1.2.2 发包人：是指与承包人签订合同协议书的当事人及取得该当事人资格的合法继承人。</w:t>
      </w:r>
    </w:p>
    <w:p w14:paraId="5531895B">
      <w:pPr>
        <w:spacing w:line="360" w:lineRule="auto"/>
        <w:ind w:firstLine="480" w:firstLineChars="200"/>
        <w:rPr>
          <w:rFonts w:hint="eastAsia" w:ascii="宋体" w:hAnsi="宋体" w:eastAsia="宋体" w:cs="宋体"/>
        </w:rPr>
      </w:pPr>
      <w:r>
        <w:rPr>
          <w:rFonts w:hint="eastAsia" w:ascii="宋体" w:hAnsi="宋体" w:eastAsia="宋体" w:cs="宋体"/>
        </w:rPr>
        <w:t>1.1.2.3 承包人：是指与发包人签订合同协议书的，具有相应工程施工承包资质的当事人及取得该当事人资格的合法继承人。</w:t>
      </w:r>
    </w:p>
    <w:p w14:paraId="25F9D1F7">
      <w:pPr>
        <w:spacing w:line="360" w:lineRule="auto"/>
        <w:ind w:firstLine="480" w:firstLineChars="200"/>
        <w:rPr>
          <w:rFonts w:hint="eastAsia" w:ascii="宋体" w:hAnsi="宋体" w:eastAsia="宋体" w:cs="宋体"/>
        </w:rPr>
      </w:pPr>
      <w:r>
        <w:rPr>
          <w:rFonts w:hint="eastAsia" w:ascii="宋体" w:hAnsi="宋体" w:eastAsia="宋体" w:cs="宋体"/>
        </w:rPr>
        <w:t>1.1.2.4 监理人：是指在专用合同条款中指明的，受发包人委托按照法律规定进行工程监督管理的法人或其他组织。</w:t>
      </w:r>
    </w:p>
    <w:p w14:paraId="7911CB8E">
      <w:pPr>
        <w:spacing w:line="360" w:lineRule="auto"/>
        <w:ind w:firstLine="480" w:firstLineChars="200"/>
        <w:rPr>
          <w:rFonts w:hint="eastAsia" w:ascii="宋体" w:hAnsi="宋体" w:eastAsia="宋体" w:cs="宋体"/>
        </w:rPr>
      </w:pPr>
      <w:r>
        <w:rPr>
          <w:rFonts w:hint="eastAsia" w:ascii="宋体" w:hAnsi="宋体" w:eastAsia="宋体" w:cs="宋体"/>
        </w:rPr>
        <w:t>1.1.2.5 设计人：是指在专用合同条款中指明的，受发包人委托负责工程设计并具备相应工程设计资质的法人或其他组织。</w:t>
      </w:r>
    </w:p>
    <w:p w14:paraId="77B644E7">
      <w:pPr>
        <w:spacing w:line="360" w:lineRule="auto"/>
        <w:ind w:firstLine="480" w:firstLineChars="200"/>
        <w:rPr>
          <w:rFonts w:hint="eastAsia" w:ascii="宋体" w:hAnsi="宋体" w:eastAsia="宋体" w:cs="宋体"/>
        </w:rPr>
      </w:pPr>
      <w:r>
        <w:rPr>
          <w:rFonts w:hint="eastAsia" w:ascii="宋体" w:hAnsi="宋体" w:eastAsia="宋体" w:cs="宋体"/>
        </w:rPr>
        <w:t>1.1.2.6 分包人：</w:t>
      </w:r>
      <w:bookmarkStart w:id="109" w:name="#go5"/>
      <w:bookmarkEnd w:id="109"/>
      <w:r>
        <w:rPr>
          <w:rFonts w:hint="eastAsia" w:ascii="宋体" w:hAnsi="宋体" w:eastAsia="宋体" w:cs="宋体"/>
        </w:rPr>
        <w:t>是指按照法律规定和合同约定，分包部分工程或工作，并与承包人签订分包合同的具有相应资质的法人。</w:t>
      </w:r>
    </w:p>
    <w:p w14:paraId="0BA7A212">
      <w:pPr>
        <w:spacing w:line="360" w:lineRule="auto"/>
        <w:ind w:firstLine="480" w:firstLineChars="200"/>
        <w:rPr>
          <w:rFonts w:hint="eastAsia" w:ascii="宋体" w:hAnsi="宋体" w:eastAsia="宋体" w:cs="宋体"/>
        </w:rPr>
      </w:pPr>
      <w:r>
        <w:rPr>
          <w:rFonts w:hint="eastAsia" w:ascii="宋体" w:hAnsi="宋体" w:eastAsia="宋体" w:cs="宋体"/>
        </w:rPr>
        <w:t>1.1.2.7 发包人代表：是指由发包人任命并派驻施工现场在发包人授权范围内行使发包人权利的人。</w:t>
      </w:r>
    </w:p>
    <w:p w14:paraId="59A5C0F8">
      <w:pPr>
        <w:spacing w:line="360" w:lineRule="auto"/>
        <w:ind w:firstLine="480" w:firstLineChars="200"/>
        <w:rPr>
          <w:rFonts w:hint="eastAsia" w:ascii="宋体" w:hAnsi="宋体" w:eastAsia="宋体" w:cs="宋体"/>
        </w:rPr>
      </w:pPr>
      <w:r>
        <w:rPr>
          <w:rFonts w:hint="eastAsia" w:ascii="宋体" w:hAnsi="宋体" w:eastAsia="宋体" w:cs="宋体"/>
        </w:rPr>
        <w:t>1.1.2.8 项目经理：是指由承包人任命并派驻施工现场，在承包人授权范围内负责合同履行，且按照法律规定具有相应资格的项目负责人。</w:t>
      </w:r>
    </w:p>
    <w:p w14:paraId="16A64553">
      <w:pPr>
        <w:spacing w:line="360" w:lineRule="auto"/>
        <w:ind w:firstLine="480" w:firstLineChars="200"/>
        <w:rPr>
          <w:rFonts w:hint="eastAsia" w:ascii="宋体" w:hAnsi="宋体" w:eastAsia="宋体" w:cs="宋体"/>
        </w:rPr>
      </w:pPr>
      <w:r>
        <w:rPr>
          <w:rFonts w:hint="eastAsia" w:ascii="宋体" w:hAnsi="宋体" w:eastAsia="宋体" w:cs="宋体"/>
        </w:rPr>
        <w:t>1.1.2.9 总监理工程师：是指由监理人任命并派驻施工现场进行工程监理的总负责人。</w:t>
      </w:r>
    </w:p>
    <w:p w14:paraId="585BBB5B">
      <w:pPr>
        <w:spacing w:line="360" w:lineRule="auto"/>
        <w:ind w:firstLine="480" w:firstLineChars="200"/>
        <w:rPr>
          <w:rFonts w:hint="eastAsia" w:ascii="宋体" w:hAnsi="宋体" w:eastAsia="宋体" w:cs="宋体"/>
        </w:rPr>
      </w:pPr>
      <w:r>
        <w:rPr>
          <w:rFonts w:hint="eastAsia" w:ascii="宋体" w:hAnsi="宋体" w:eastAsia="宋体" w:cs="宋体"/>
        </w:rPr>
        <w:t>1.1.3 工程和设备</w:t>
      </w:r>
    </w:p>
    <w:p w14:paraId="01F4EBC6">
      <w:pPr>
        <w:spacing w:line="360" w:lineRule="auto"/>
        <w:ind w:firstLine="480" w:firstLineChars="200"/>
        <w:rPr>
          <w:rFonts w:hint="eastAsia" w:ascii="宋体" w:hAnsi="宋体" w:eastAsia="宋体" w:cs="宋体"/>
        </w:rPr>
      </w:pPr>
      <w:r>
        <w:rPr>
          <w:rFonts w:hint="eastAsia" w:ascii="宋体" w:hAnsi="宋体" w:eastAsia="宋体" w:cs="宋体"/>
        </w:rPr>
        <w:t>1.1.3.1 工程：是指与合同协议书中工程承包范围对应的永久工程和（或）临时工程。</w:t>
      </w:r>
    </w:p>
    <w:p w14:paraId="59DFB1A8">
      <w:pPr>
        <w:spacing w:line="360" w:lineRule="auto"/>
        <w:ind w:firstLine="480" w:firstLineChars="200"/>
        <w:rPr>
          <w:rFonts w:hint="eastAsia" w:ascii="宋体" w:hAnsi="宋体" w:eastAsia="宋体" w:cs="宋体"/>
        </w:rPr>
      </w:pPr>
      <w:r>
        <w:rPr>
          <w:rFonts w:hint="eastAsia" w:ascii="宋体" w:hAnsi="宋体" w:eastAsia="宋体" w:cs="宋体"/>
        </w:rPr>
        <w:t>1.1.3.2 永久工程：是指按合同约定建造并移交给发包人的工程，包括工程设备。</w:t>
      </w:r>
    </w:p>
    <w:p w14:paraId="1361582A">
      <w:pPr>
        <w:spacing w:line="360" w:lineRule="auto"/>
        <w:ind w:firstLine="480" w:firstLineChars="200"/>
        <w:rPr>
          <w:rFonts w:hint="eastAsia" w:ascii="宋体" w:hAnsi="宋体" w:eastAsia="宋体" w:cs="宋体"/>
        </w:rPr>
      </w:pPr>
      <w:r>
        <w:rPr>
          <w:rFonts w:hint="eastAsia" w:ascii="宋体" w:hAnsi="宋体" w:eastAsia="宋体" w:cs="宋体"/>
        </w:rPr>
        <w:t>1.1.3.3 临时工程：是指为完成合同约定的永久工程所修建的各类临时性工程，不包括施工设备。</w:t>
      </w:r>
    </w:p>
    <w:p w14:paraId="6E7B1329">
      <w:pPr>
        <w:spacing w:line="360" w:lineRule="auto"/>
        <w:ind w:firstLine="480" w:firstLineChars="200"/>
        <w:rPr>
          <w:rFonts w:hint="eastAsia" w:ascii="宋体" w:hAnsi="宋体" w:eastAsia="宋体" w:cs="宋体"/>
        </w:rPr>
      </w:pPr>
      <w:r>
        <w:rPr>
          <w:rFonts w:hint="eastAsia" w:ascii="宋体" w:hAnsi="宋体" w:eastAsia="宋体" w:cs="宋体"/>
        </w:rPr>
        <w:t>1.1.3.4 单位工程：是指在合同协议书中指明的，具备独立施工条件并能形成独立使用功能的永久工程。</w:t>
      </w:r>
    </w:p>
    <w:p w14:paraId="28D907BF">
      <w:pPr>
        <w:spacing w:line="360" w:lineRule="auto"/>
        <w:ind w:firstLine="480" w:firstLineChars="200"/>
        <w:rPr>
          <w:rFonts w:hint="eastAsia" w:ascii="宋体" w:hAnsi="宋体" w:eastAsia="宋体" w:cs="宋体"/>
        </w:rPr>
      </w:pPr>
      <w:r>
        <w:rPr>
          <w:rFonts w:hint="eastAsia" w:ascii="宋体" w:hAnsi="宋体" w:eastAsia="宋体" w:cs="宋体"/>
        </w:rPr>
        <w:t>1.1.3.5 工程设备：是指构成永久工程的机电设备、金属结构设备、仪器及其他类似的设备和装置。</w:t>
      </w:r>
    </w:p>
    <w:p w14:paraId="71F3E473">
      <w:pPr>
        <w:spacing w:line="360" w:lineRule="auto"/>
        <w:ind w:firstLine="480" w:firstLineChars="200"/>
        <w:rPr>
          <w:rFonts w:hint="eastAsia" w:ascii="宋体" w:hAnsi="宋体" w:eastAsia="宋体" w:cs="宋体"/>
        </w:rPr>
      </w:pPr>
      <w:r>
        <w:rPr>
          <w:rFonts w:hint="eastAsia" w:ascii="宋体" w:hAnsi="宋体" w:eastAsia="宋体" w:cs="宋体"/>
        </w:rPr>
        <w:t>1.1.3.6 施工设备：是指为完成合同约定的各项工作所需的设备、器具和其他物品，但不包括工程设备、临时工程和材料。</w:t>
      </w:r>
    </w:p>
    <w:p w14:paraId="5C3C9C55">
      <w:pPr>
        <w:spacing w:line="360" w:lineRule="auto"/>
        <w:ind w:firstLine="480" w:firstLineChars="200"/>
        <w:rPr>
          <w:rFonts w:hint="eastAsia" w:ascii="宋体" w:hAnsi="宋体" w:eastAsia="宋体" w:cs="宋体"/>
        </w:rPr>
      </w:pPr>
      <w:r>
        <w:rPr>
          <w:rFonts w:hint="eastAsia" w:ascii="宋体" w:hAnsi="宋体" w:eastAsia="宋体" w:cs="宋体"/>
        </w:rPr>
        <w:t>1.1.3.7 施工现场：是指用于工程施工的场所，以及在专用合同条款中指明作为施工场所组成部分的其他场所，包括永久占地和临时占地。</w:t>
      </w:r>
    </w:p>
    <w:p w14:paraId="6648C55B">
      <w:pPr>
        <w:spacing w:line="360" w:lineRule="auto"/>
        <w:ind w:firstLine="480" w:firstLineChars="200"/>
        <w:rPr>
          <w:rFonts w:hint="eastAsia" w:ascii="宋体" w:hAnsi="宋体" w:eastAsia="宋体" w:cs="宋体"/>
        </w:rPr>
      </w:pPr>
      <w:r>
        <w:rPr>
          <w:rFonts w:hint="eastAsia" w:ascii="宋体" w:hAnsi="宋体" w:eastAsia="宋体" w:cs="宋体"/>
        </w:rPr>
        <w:t>1.1.3.8临时设施：是指为完成合同约定的各项工作所服务的临时性生产和生活设施。</w:t>
      </w:r>
    </w:p>
    <w:p w14:paraId="279194EB">
      <w:pPr>
        <w:spacing w:line="360" w:lineRule="auto"/>
        <w:ind w:firstLine="480" w:firstLineChars="200"/>
        <w:rPr>
          <w:rFonts w:hint="eastAsia" w:ascii="宋体" w:hAnsi="宋体" w:eastAsia="宋体" w:cs="宋体"/>
        </w:rPr>
      </w:pPr>
      <w:r>
        <w:rPr>
          <w:rFonts w:hint="eastAsia" w:ascii="宋体" w:hAnsi="宋体" w:eastAsia="宋体" w:cs="宋体"/>
        </w:rPr>
        <w:t>1.1.3.9 永久占地：是指专用合同条款中指明为实施工程需永久占用的土地。</w:t>
      </w:r>
    </w:p>
    <w:p w14:paraId="4DD4D5BF">
      <w:pPr>
        <w:spacing w:line="360" w:lineRule="auto"/>
        <w:ind w:firstLine="480" w:firstLineChars="200"/>
        <w:rPr>
          <w:rFonts w:hint="eastAsia" w:ascii="宋体" w:hAnsi="宋体" w:eastAsia="宋体" w:cs="宋体"/>
        </w:rPr>
      </w:pPr>
      <w:r>
        <w:rPr>
          <w:rFonts w:hint="eastAsia" w:ascii="宋体" w:hAnsi="宋体" w:eastAsia="宋体" w:cs="宋体"/>
        </w:rPr>
        <w:t>1.1.3.10 临时占地：是指专用合同条款中指明为实施工程需要临时占用的土地。</w:t>
      </w:r>
    </w:p>
    <w:p w14:paraId="286F1EE2">
      <w:pPr>
        <w:spacing w:line="360" w:lineRule="auto"/>
        <w:ind w:firstLine="480" w:firstLineChars="200"/>
        <w:rPr>
          <w:rFonts w:hint="eastAsia" w:ascii="宋体" w:hAnsi="宋体" w:eastAsia="宋体" w:cs="宋体"/>
        </w:rPr>
      </w:pPr>
      <w:r>
        <w:rPr>
          <w:rFonts w:hint="eastAsia" w:ascii="宋体" w:hAnsi="宋体" w:eastAsia="宋体" w:cs="宋体"/>
        </w:rPr>
        <w:t>1.1.4 日期和期限</w:t>
      </w:r>
    </w:p>
    <w:p w14:paraId="17EE76EF">
      <w:pPr>
        <w:spacing w:line="360" w:lineRule="auto"/>
        <w:ind w:firstLine="480" w:firstLineChars="200"/>
        <w:rPr>
          <w:rFonts w:hint="eastAsia" w:ascii="宋体" w:hAnsi="宋体" w:eastAsia="宋体" w:cs="宋体"/>
        </w:rPr>
      </w:pPr>
      <w:r>
        <w:rPr>
          <w:rFonts w:hint="eastAsia" w:ascii="宋体" w:hAnsi="宋体" w:eastAsia="宋体" w:cs="宋体"/>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4D387504">
      <w:pPr>
        <w:spacing w:line="360" w:lineRule="auto"/>
        <w:ind w:firstLine="480" w:firstLineChars="200"/>
        <w:rPr>
          <w:rFonts w:hint="eastAsia" w:ascii="宋体" w:hAnsi="宋体" w:eastAsia="宋体" w:cs="宋体"/>
        </w:rPr>
      </w:pPr>
      <w:r>
        <w:rPr>
          <w:rFonts w:hint="eastAsia" w:ascii="宋体" w:hAnsi="宋体" w:eastAsia="宋体" w:cs="宋体"/>
        </w:rPr>
        <w:t xml:space="preserve">1.1.4.2 竣工日期：包括计划竣工日期和实际竣工日期。计划竣工日期是指合同协议书约定的竣工日期；实际竣工日期按照第13.2.3项〔竣工日期〕的约定确定。 </w:t>
      </w:r>
    </w:p>
    <w:p w14:paraId="1CF617CC">
      <w:pPr>
        <w:spacing w:line="360" w:lineRule="auto"/>
        <w:ind w:firstLine="480" w:firstLineChars="200"/>
        <w:rPr>
          <w:rFonts w:hint="eastAsia" w:ascii="宋体" w:hAnsi="宋体" w:eastAsia="宋体" w:cs="宋体"/>
        </w:rPr>
      </w:pPr>
      <w:r>
        <w:rPr>
          <w:rFonts w:hint="eastAsia" w:ascii="宋体" w:hAnsi="宋体" w:eastAsia="宋体" w:cs="宋体"/>
        </w:rPr>
        <w:t>1.1.4.3 工期：是指在合同协议书约定的承包人完成工程所需的期限，包括按照合同约定所作的期限变更。</w:t>
      </w:r>
    </w:p>
    <w:p w14:paraId="5289D3AD">
      <w:pPr>
        <w:spacing w:line="360" w:lineRule="auto"/>
        <w:ind w:firstLine="480" w:firstLineChars="200"/>
        <w:rPr>
          <w:rFonts w:hint="eastAsia" w:ascii="宋体" w:hAnsi="宋体" w:eastAsia="宋体" w:cs="宋体"/>
        </w:rPr>
      </w:pPr>
      <w:r>
        <w:rPr>
          <w:rFonts w:hint="eastAsia" w:ascii="宋体" w:hAnsi="宋体" w:eastAsia="宋体" w:cs="宋体"/>
        </w:rPr>
        <w:t>1.1.4.4 缺陷责任期：是指承包人按照合同约定承担缺陷修复义务，且发包人预留质量保证金（已缴纳履约保证金的除外）的期限，自工程实际竣工日期起计算。</w:t>
      </w:r>
    </w:p>
    <w:p w14:paraId="03829DE8">
      <w:pPr>
        <w:spacing w:line="360" w:lineRule="auto"/>
        <w:ind w:firstLine="480" w:firstLineChars="200"/>
        <w:rPr>
          <w:rFonts w:hint="eastAsia" w:ascii="宋体" w:hAnsi="宋体" w:eastAsia="宋体" w:cs="宋体"/>
        </w:rPr>
      </w:pPr>
      <w:r>
        <w:rPr>
          <w:rFonts w:hint="eastAsia" w:ascii="宋体" w:hAnsi="宋体" w:eastAsia="宋体" w:cs="宋体"/>
        </w:rPr>
        <w:t>1.1.4.5 保修期：是指承包人按照合同约定对工程承担保修责任的期限，从工程竣工验收合格之日起计算。</w:t>
      </w:r>
    </w:p>
    <w:p w14:paraId="25400DDC">
      <w:pPr>
        <w:spacing w:line="360" w:lineRule="auto"/>
        <w:ind w:firstLine="480" w:firstLineChars="200"/>
        <w:rPr>
          <w:rFonts w:hint="eastAsia" w:ascii="宋体" w:hAnsi="宋体" w:eastAsia="宋体" w:cs="宋体"/>
        </w:rPr>
      </w:pPr>
      <w:r>
        <w:rPr>
          <w:rFonts w:hint="eastAsia" w:ascii="宋体" w:hAnsi="宋体" w:eastAsia="宋体" w:cs="宋体"/>
        </w:rPr>
        <w:t>1.1.4.6 基准日期：招标发包的工程以投标截止日前28天的日期为基准日期，直接发包的工程以合同签订日前28天的日期为基准日期。</w:t>
      </w:r>
    </w:p>
    <w:p w14:paraId="74FEBA70">
      <w:pPr>
        <w:spacing w:line="360" w:lineRule="auto"/>
        <w:ind w:firstLine="480" w:firstLineChars="200"/>
        <w:rPr>
          <w:rFonts w:hint="eastAsia" w:ascii="宋体" w:hAnsi="宋体" w:eastAsia="宋体" w:cs="宋体"/>
        </w:rPr>
      </w:pPr>
      <w:r>
        <w:rPr>
          <w:rFonts w:hint="eastAsia" w:ascii="宋体" w:hAnsi="宋体" w:eastAsia="宋体" w:cs="宋体"/>
        </w:rPr>
        <w:t>1.1.4.7 天：除特别指明外，均指日历天。合同中按天计算时间的，开始当天不计入，从次日开始计算，期限最后一天的截止时间为当天24:00时。</w:t>
      </w:r>
    </w:p>
    <w:p w14:paraId="33DF7CE2">
      <w:pPr>
        <w:spacing w:line="360" w:lineRule="auto"/>
        <w:ind w:firstLine="480" w:firstLineChars="200"/>
        <w:rPr>
          <w:rFonts w:hint="eastAsia" w:ascii="宋体" w:hAnsi="宋体" w:eastAsia="宋体" w:cs="宋体"/>
        </w:rPr>
      </w:pPr>
      <w:r>
        <w:rPr>
          <w:rFonts w:hint="eastAsia" w:ascii="宋体" w:hAnsi="宋体" w:eastAsia="宋体" w:cs="宋体"/>
        </w:rPr>
        <w:t>1.1.5 合同价格和费用</w:t>
      </w:r>
    </w:p>
    <w:p w14:paraId="2BD29AAE">
      <w:pPr>
        <w:spacing w:line="360" w:lineRule="auto"/>
        <w:ind w:firstLine="480" w:firstLineChars="200"/>
        <w:rPr>
          <w:rFonts w:hint="eastAsia" w:ascii="宋体" w:hAnsi="宋体" w:eastAsia="宋体" w:cs="宋体"/>
        </w:rPr>
      </w:pPr>
      <w:r>
        <w:rPr>
          <w:rFonts w:hint="eastAsia" w:ascii="宋体" w:hAnsi="宋体" w:eastAsia="宋体" w:cs="宋体"/>
        </w:rPr>
        <w:t>1.1.5.1 签约合同价：是指发包人和承包人在合同协议书中确定的总金额，包括安全文明施工费、暂估价及暂列金额等。</w:t>
      </w:r>
    </w:p>
    <w:p w14:paraId="65880F62">
      <w:pPr>
        <w:spacing w:line="360" w:lineRule="auto"/>
        <w:ind w:firstLine="480" w:firstLineChars="200"/>
        <w:rPr>
          <w:rFonts w:hint="eastAsia" w:ascii="宋体" w:hAnsi="宋体" w:eastAsia="宋体" w:cs="宋体"/>
        </w:rPr>
      </w:pPr>
      <w:r>
        <w:rPr>
          <w:rFonts w:hint="eastAsia" w:ascii="宋体" w:hAnsi="宋体" w:eastAsia="宋体" w:cs="宋体"/>
        </w:rPr>
        <w:t>1.1.5.2 合同价格：是指发包人用于支付承包人按照合同约定完成承包范围内全部工作的金额，包括合同履行过程中按合同约定发生的价格变化。</w:t>
      </w:r>
    </w:p>
    <w:p w14:paraId="5837C83F">
      <w:pPr>
        <w:spacing w:line="360" w:lineRule="auto"/>
        <w:ind w:firstLine="480" w:firstLineChars="200"/>
        <w:rPr>
          <w:rFonts w:hint="eastAsia" w:ascii="宋体" w:hAnsi="宋体" w:eastAsia="宋体" w:cs="宋体"/>
        </w:rPr>
      </w:pPr>
      <w:r>
        <w:rPr>
          <w:rFonts w:hint="eastAsia" w:ascii="宋体" w:hAnsi="宋体" w:eastAsia="宋体" w:cs="宋体"/>
        </w:rPr>
        <w:t>1.1.5.3 费用：是指为履行合同所发生的或将要发生的所有必需的开支，包括管理费和应分摊的其他费用，但不包括利润。</w:t>
      </w:r>
    </w:p>
    <w:p w14:paraId="722D0AC4">
      <w:pPr>
        <w:spacing w:line="360" w:lineRule="auto"/>
        <w:ind w:firstLine="480" w:firstLineChars="200"/>
        <w:rPr>
          <w:rFonts w:hint="eastAsia" w:ascii="宋体" w:hAnsi="宋体" w:eastAsia="宋体" w:cs="宋体"/>
        </w:rPr>
      </w:pPr>
      <w:r>
        <w:rPr>
          <w:rFonts w:hint="eastAsia" w:ascii="宋体" w:hAnsi="宋体" w:eastAsia="宋体" w:cs="宋体"/>
        </w:rPr>
        <w:t>1.1.5.4 暂估价：是指发包人在工程量清单或预算书中提供的用于支付必然发生但暂时不能确定价格的材料、工程设备的单价、专业工程以及服务工作的金额。</w:t>
      </w:r>
    </w:p>
    <w:p w14:paraId="1B82BD02">
      <w:pPr>
        <w:spacing w:line="360" w:lineRule="auto"/>
        <w:ind w:firstLine="480" w:firstLineChars="200"/>
        <w:rPr>
          <w:rFonts w:hint="eastAsia" w:ascii="宋体" w:hAnsi="宋体" w:eastAsia="宋体" w:cs="宋体"/>
        </w:rPr>
      </w:pPr>
      <w:r>
        <w:rPr>
          <w:rFonts w:hint="eastAsia" w:ascii="宋体" w:hAnsi="宋体" w:eastAsia="宋体" w:cs="宋体"/>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26C07412">
      <w:pPr>
        <w:spacing w:line="360" w:lineRule="auto"/>
        <w:ind w:firstLine="480" w:firstLineChars="200"/>
        <w:rPr>
          <w:rFonts w:hint="eastAsia" w:ascii="宋体" w:hAnsi="宋体" w:eastAsia="宋体" w:cs="宋体"/>
        </w:rPr>
      </w:pPr>
      <w:r>
        <w:rPr>
          <w:rFonts w:hint="eastAsia" w:ascii="宋体" w:hAnsi="宋体" w:eastAsia="宋体" w:cs="宋体"/>
        </w:rPr>
        <w:t>1.1.5.6 计日工：是指合同履行过程中，承包人完成发包人提出的零星工作或需要采用计日工计价的变更工作时，按合同中约定的单价计价的一种方式。</w:t>
      </w:r>
    </w:p>
    <w:p w14:paraId="13B7DE8F">
      <w:pPr>
        <w:spacing w:line="360" w:lineRule="auto"/>
        <w:ind w:firstLine="480" w:firstLineChars="200"/>
        <w:rPr>
          <w:rFonts w:hint="eastAsia" w:ascii="宋体" w:hAnsi="宋体" w:eastAsia="宋体" w:cs="宋体"/>
        </w:rPr>
      </w:pPr>
      <w:r>
        <w:rPr>
          <w:rFonts w:hint="eastAsia" w:ascii="宋体" w:hAnsi="宋体" w:eastAsia="宋体" w:cs="宋体"/>
        </w:rPr>
        <w:t>1.1.5.7 质量保证金</w:t>
      </w:r>
      <w:bookmarkStart w:id="110" w:name="#go2"/>
      <w:bookmarkEnd w:id="110"/>
      <w:r>
        <w:rPr>
          <w:rFonts w:hint="eastAsia" w:ascii="宋体" w:hAnsi="宋体" w:eastAsia="宋体" w:cs="宋体"/>
        </w:rPr>
        <w:t>：是指按照第15.3款〔质量保证金〕约定承包人用于保证其在缺陷责任期内履行缺陷修补义务的担保。</w:t>
      </w:r>
    </w:p>
    <w:p w14:paraId="0CE15BCC">
      <w:pPr>
        <w:spacing w:line="360" w:lineRule="auto"/>
        <w:ind w:firstLine="480" w:firstLineChars="200"/>
        <w:rPr>
          <w:rFonts w:hint="eastAsia" w:ascii="宋体" w:hAnsi="宋体" w:eastAsia="宋体" w:cs="宋体"/>
        </w:rPr>
      </w:pPr>
      <w:r>
        <w:rPr>
          <w:rFonts w:hint="eastAsia" w:ascii="宋体" w:hAnsi="宋体" w:eastAsia="宋体" w:cs="宋体"/>
        </w:rPr>
        <w:t>1.1.5.8 总价项目：是指在现行国家、行业以及地方的计量规则中无工程量计算规则，在已标价工程量清单或预算书中以总价或以费率形式计算的项目。</w:t>
      </w:r>
    </w:p>
    <w:p w14:paraId="0B1A52E5">
      <w:pPr>
        <w:spacing w:line="360" w:lineRule="auto"/>
        <w:ind w:firstLine="480" w:firstLineChars="200"/>
        <w:rPr>
          <w:rFonts w:hint="eastAsia" w:ascii="宋体" w:hAnsi="宋体" w:eastAsia="宋体" w:cs="宋体"/>
        </w:rPr>
      </w:pPr>
      <w:r>
        <w:rPr>
          <w:rFonts w:hint="eastAsia" w:ascii="宋体" w:hAnsi="宋体" w:eastAsia="宋体" w:cs="宋体"/>
        </w:rPr>
        <w:t>1.1.6 其他</w:t>
      </w:r>
    </w:p>
    <w:p w14:paraId="139856D6">
      <w:pPr>
        <w:spacing w:line="360" w:lineRule="auto"/>
        <w:ind w:firstLine="480" w:firstLineChars="200"/>
        <w:rPr>
          <w:rFonts w:hint="eastAsia" w:ascii="宋体" w:hAnsi="宋体" w:eastAsia="宋体" w:cs="宋体"/>
        </w:rPr>
      </w:pPr>
      <w:r>
        <w:rPr>
          <w:rFonts w:hint="eastAsia" w:ascii="宋体" w:hAnsi="宋体" w:eastAsia="宋体" w:cs="宋体"/>
        </w:rPr>
        <w:t>1.1.6.1 书面形式：是指合同文件、信函、电报、传真等可以有形地表现所载内容的形式。</w:t>
      </w:r>
    </w:p>
    <w:p w14:paraId="21FE40D4">
      <w:pPr>
        <w:spacing w:line="360" w:lineRule="auto"/>
        <w:ind w:firstLine="480" w:firstLineChars="200"/>
        <w:rPr>
          <w:rFonts w:hint="eastAsia" w:ascii="宋体" w:hAnsi="宋体" w:eastAsia="宋体" w:cs="宋体"/>
        </w:rPr>
      </w:pPr>
      <w:r>
        <w:rPr>
          <w:rFonts w:hint="eastAsia" w:ascii="宋体" w:hAnsi="宋体" w:eastAsia="宋体" w:cs="宋体"/>
        </w:rPr>
        <w:t xml:space="preserve">    </w:t>
      </w:r>
      <w:bookmarkStart w:id="111" w:name="_Toc145583349"/>
      <w:bookmarkStart w:id="112" w:name="_Toc337558729"/>
      <w:bookmarkStart w:id="113" w:name="_Toc296503029"/>
      <w:bookmarkStart w:id="114" w:name="_Toc351203497"/>
      <w:bookmarkStart w:id="115" w:name="_Toc296346530"/>
      <w:r>
        <w:rPr>
          <w:rFonts w:hint="eastAsia" w:ascii="宋体" w:hAnsi="宋体" w:eastAsia="宋体" w:cs="宋体"/>
        </w:rPr>
        <w:t>1.2语言文字</w:t>
      </w:r>
      <w:bookmarkEnd w:id="111"/>
      <w:bookmarkEnd w:id="112"/>
      <w:bookmarkEnd w:id="113"/>
      <w:bookmarkEnd w:id="114"/>
      <w:bookmarkEnd w:id="115"/>
    </w:p>
    <w:p w14:paraId="142C78FD">
      <w:pPr>
        <w:spacing w:line="360" w:lineRule="auto"/>
        <w:ind w:firstLine="480" w:firstLineChars="200"/>
        <w:rPr>
          <w:rFonts w:hint="eastAsia" w:ascii="宋体" w:hAnsi="宋体" w:eastAsia="宋体" w:cs="宋体"/>
        </w:rPr>
      </w:pPr>
      <w:r>
        <w:rPr>
          <w:rFonts w:hint="eastAsia" w:ascii="宋体" w:hAnsi="宋体" w:eastAsia="宋体" w:cs="宋体"/>
        </w:rPr>
        <w:t>合同以中国的汉语简体文字编写、解释和说明。合同当事人在专用合同条款中约定使用两种以上语言时，汉语为优先解释和说明合同的语言。</w:t>
      </w:r>
    </w:p>
    <w:p w14:paraId="212E2795">
      <w:pPr>
        <w:spacing w:line="360" w:lineRule="auto"/>
        <w:ind w:firstLine="480" w:firstLineChars="200"/>
        <w:rPr>
          <w:rFonts w:hint="eastAsia" w:ascii="宋体" w:hAnsi="宋体" w:eastAsia="宋体" w:cs="宋体"/>
        </w:rPr>
      </w:pPr>
      <w:bookmarkStart w:id="116" w:name="_Toc337558730"/>
      <w:bookmarkStart w:id="117" w:name="_Toc296346531"/>
      <w:bookmarkStart w:id="118" w:name="_Toc296503030"/>
      <w:bookmarkStart w:id="119" w:name="_Toc351203498"/>
      <w:bookmarkStart w:id="120" w:name="_Toc145583350"/>
      <w:r>
        <w:rPr>
          <w:rFonts w:hint="eastAsia" w:ascii="宋体" w:hAnsi="宋体" w:eastAsia="宋体" w:cs="宋体"/>
        </w:rPr>
        <w:t>1.3法律</w:t>
      </w:r>
      <w:bookmarkEnd w:id="116"/>
      <w:bookmarkEnd w:id="117"/>
      <w:bookmarkEnd w:id="118"/>
      <w:bookmarkEnd w:id="119"/>
      <w:bookmarkEnd w:id="120"/>
    </w:p>
    <w:p w14:paraId="38A13178">
      <w:pPr>
        <w:spacing w:line="360" w:lineRule="auto"/>
        <w:ind w:firstLine="480" w:firstLineChars="200"/>
        <w:rPr>
          <w:rFonts w:hint="eastAsia" w:ascii="宋体" w:hAnsi="宋体" w:eastAsia="宋体" w:cs="宋体"/>
        </w:rPr>
      </w:pPr>
      <w:r>
        <w:rPr>
          <w:rFonts w:hint="eastAsia" w:ascii="宋体" w:hAnsi="宋体" w:eastAsia="宋体" w:cs="宋体"/>
        </w:rPr>
        <w:t>合同所称法律是指中华人民共和国法律、行政法规、部门规章，以及工程所在地的地方性法规、自治条例、单行条例和地方政府规章等。</w:t>
      </w:r>
    </w:p>
    <w:p w14:paraId="06B9AA83">
      <w:pPr>
        <w:spacing w:line="360" w:lineRule="auto"/>
        <w:ind w:firstLine="480" w:firstLineChars="200"/>
        <w:rPr>
          <w:rFonts w:hint="eastAsia" w:ascii="宋体" w:hAnsi="宋体" w:eastAsia="宋体" w:cs="宋体"/>
        </w:rPr>
      </w:pPr>
      <w:r>
        <w:rPr>
          <w:rFonts w:hint="eastAsia" w:ascii="宋体" w:hAnsi="宋体" w:eastAsia="宋体" w:cs="宋体"/>
        </w:rPr>
        <w:t>合同当事人可以在专用合同条款中约定合同适用的其他规范性文件。</w:t>
      </w:r>
    </w:p>
    <w:p w14:paraId="73FAC386">
      <w:pPr>
        <w:spacing w:line="360" w:lineRule="auto"/>
        <w:ind w:firstLine="480" w:firstLineChars="200"/>
        <w:rPr>
          <w:rFonts w:hint="eastAsia" w:ascii="宋体" w:hAnsi="宋体" w:eastAsia="宋体" w:cs="宋体"/>
        </w:rPr>
      </w:pPr>
      <w:bookmarkStart w:id="121" w:name="_Toc351203499"/>
      <w:bookmarkStart w:id="122" w:name="_Toc145583351"/>
      <w:r>
        <w:rPr>
          <w:rFonts w:hint="eastAsia" w:ascii="宋体" w:hAnsi="宋体" w:eastAsia="宋体" w:cs="宋体"/>
        </w:rPr>
        <w:t>1.4 标准和规范</w:t>
      </w:r>
      <w:bookmarkEnd w:id="121"/>
      <w:bookmarkEnd w:id="122"/>
    </w:p>
    <w:p w14:paraId="4C944BA1">
      <w:pPr>
        <w:spacing w:line="360" w:lineRule="auto"/>
        <w:ind w:firstLine="480" w:firstLineChars="200"/>
        <w:rPr>
          <w:rFonts w:hint="eastAsia" w:ascii="宋体" w:hAnsi="宋体" w:eastAsia="宋体" w:cs="宋体"/>
        </w:rPr>
      </w:pPr>
      <w:r>
        <w:rPr>
          <w:rFonts w:hint="eastAsia" w:ascii="宋体" w:hAnsi="宋体" w:eastAsia="宋体" w:cs="宋体"/>
        </w:rPr>
        <w:t>1.4.1 适用于工程的国家标准、行业标准、工程所在地的地方性标准，以及相应的规范、规程等，合同当事人有特别要求的，应在专用合同条款中约定。</w:t>
      </w:r>
    </w:p>
    <w:p w14:paraId="5007EF59">
      <w:pPr>
        <w:spacing w:line="360" w:lineRule="auto"/>
        <w:ind w:firstLine="480" w:firstLineChars="200"/>
        <w:rPr>
          <w:rFonts w:hint="eastAsia" w:ascii="宋体" w:hAnsi="宋体" w:eastAsia="宋体" w:cs="宋体"/>
        </w:rPr>
      </w:pPr>
      <w:r>
        <w:rPr>
          <w:rFonts w:hint="eastAsia" w:ascii="宋体" w:hAnsi="宋体" w:eastAsia="宋体" w:cs="宋体"/>
        </w:rPr>
        <w:t>1.4.2 发包人要求使用国外标准、规范的，发包人负责提供原文版本和中文译本，并在专用合同条款中约定提供标准规范的名称、份数和时间。</w:t>
      </w:r>
    </w:p>
    <w:p w14:paraId="7F04D28C">
      <w:pPr>
        <w:spacing w:line="360" w:lineRule="auto"/>
        <w:ind w:firstLine="480" w:firstLineChars="200"/>
        <w:rPr>
          <w:rFonts w:hint="eastAsia" w:ascii="宋体" w:hAnsi="宋体" w:eastAsia="宋体" w:cs="宋体"/>
        </w:rPr>
      </w:pPr>
      <w:r>
        <w:rPr>
          <w:rFonts w:hint="eastAsia" w:ascii="宋体" w:hAnsi="宋体" w:eastAsia="宋体" w:cs="宋体"/>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7B88FDB7">
      <w:pPr>
        <w:spacing w:line="360" w:lineRule="auto"/>
        <w:ind w:firstLine="480" w:firstLineChars="200"/>
        <w:rPr>
          <w:rFonts w:hint="eastAsia" w:ascii="宋体" w:hAnsi="宋体" w:eastAsia="宋体" w:cs="宋体"/>
        </w:rPr>
      </w:pPr>
      <w:bookmarkStart w:id="123" w:name="_Toc351203500"/>
      <w:bookmarkStart w:id="124" w:name="_Toc145583352"/>
      <w:r>
        <w:rPr>
          <w:rFonts w:hint="eastAsia" w:ascii="宋体" w:hAnsi="宋体" w:eastAsia="宋体" w:cs="宋体"/>
        </w:rPr>
        <w:t>1</w:t>
      </w:r>
      <w:bookmarkStart w:id="125" w:name="_Toc337558731"/>
      <w:bookmarkStart w:id="126" w:name="_Toc296346532"/>
      <w:bookmarkStart w:id="127" w:name="_Toc296503031"/>
      <w:r>
        <w:rPr>
          <w:rFonts w:hint="eastAsia" w:ascii="宋体" w:hAnsi="宋体" w:eastAsia="宋体" w:cs="宋体"/>
        </w:rPr>
        <w:t>.5 合同文件的优先顺序</w:t>
      </w:r>
      <w:bookmarkEnd w:id="123"/>
      <w:bookmarkEnd w:id="124"/>
    </w:p>
    <w:bookmarkEnd w:id="125"/>
    <w:bookmarkEnd w:id="126"/>
    <w:bookmarkEnd w:id="127"/>
    <w:p w14:paraId="08F124F7">
      <w:pPr>
        <w:spacing w:line="360" w:lineRule="auto"/>
        <w:ind w:firstLine="480" w:firstLineChars="200"/>
        <w:rPr>
          <w:rFonts w:hint="eastAsia" w:ascii="宋体" w:hAnsi="宋体" w:eastAsia="宋体" w:cs="宋体"/>
        </w:rPr>
      </w:pPr>
      <w:r>
        <w:rPr>
          <w:rFonts w:hint="eastAsia" w:ascii="宋体" w:hAnsi="宋体" w:eastAsia="宋体" w:cs="宋体"/>
        </w:rPr>
        <w:t>组成合同的各项文件应互相解释，互为说明。除专用合同条款另有约定外，解释合同文件的优先顺序如下：</w:t>
      </w:r>
    </w:p>
    <w:p w14:paraId="7C938322">
      <w:pPr>
        <w:spacing w:line="360" w:lineRule="auto"/>
        <w:ind w:firstLine="480" w:firstLineChars="200"/>
        <w:rPr>
          <w:rFonts w:hint="eastAsia" w:ascii="宋体" w:hAnsi="宋体" w:eastAsia="宋体" w:cs="宋体"/>
        </w:rPr>
      </w:pPr>
      <w:r>
        <w:rPr>
          <w:rFonts w:hint="eastAsia" w:ascii="宋体" w:hAnsi="宋体" w:eastAsia="宋体" w:cs="宋体"/>
        </w:rPr>
        <w:t>（1）合同协议书；</w:t>
      </w:r>
    </w:p>
    <w:p w14:paraId="744E75E1">
      <w:pPr>
        <w:spacing w:line="360" w:lineRule="auto"/>
        <w:ind w:firstLine="480" w:firstLineChars="200"/>
        <w:rPr>
          <w:rFonts w:hint="eastAsia" w:ascii="宋体" w:hAnsi="宋体" w:eastAsia="宋体" w:cs="宋体"/>
        </w:rPr>
      </w:pPr>
      <w:r>
        <w:rPr>
          <w:rFonts w:hint="eastAsia" w:ascii="宋体" w:hAnsi="宋体" w:eastAsia="宋体" w:cs="宋体"/>
        </w:rPr>
        <w:t>（2）中标通知书（如果有）；</w:t>
      </w:r>
    </w:p>
    <w:p w14:paraId="440F573F">
      <w:pPr>
        <w:spacing w:line="360" w:lineRule="auto"/>
        <w:ind w:firstLine="480" w:firstLineChars="200"/>
        <w:rPr>
          <w:rFonts w:hint="eastAsia" w:ascii="宋体" w:hAnsi="宋体" w:eastAsia="宋体" w:cs="宋体"/>
        </w:rPr>
      </w:pPr>
      <w:r>
        <w:rPr>
          <w:rFonts w:hint="eastAsia" w:ascii="宋体" w:hAnsi="宋体" w:eastAsia="宋体" w:cs="宋体"/>
        </w:rPr>
        <w:t>（3）投标函及其附录（如果有）；</w:t>
      </w:r>
    </w:p>
    <w:p w14:paraId="3A1D939B">
      <w:pPr>
        <w:spacing w:line="360" w:lineRule="auto"/>
        <w:ind w:firstLine="480" w:firstLineChars="200"/>
        <w:rPr>
          <w:rFonts w:hint="eastAsia" w:ascii="宋体" w:hAnsi="宋体" w:eastAsia="宋体" w:cs="宋体"/>
        </w:rPr>
      </w:pPr>
      <w:r>
        <w:rPr>
          <w:rFonts w:hint="eastAsia" w:ascii="宋体" w:hAnsi="宋体" w:eastAsia="宋体" w:cs="宋体"/>
        </w:rPr>
        <w:t>（4）专用合同条款及其附件；</w:t>
      </w:r>
    </w:p>
    <w:p w14:paraId="57BDF2B3">
      <w:pPr>
        <w:spacing w:line="360" w:lineRule="auto"/>
        <w:ind w:firstLine="480" w:firstLineChars="200"/>
        <w:rPr>
          <w:rFonts w:hint="eastAsia" w:ascii="宋体" w:hAnsi="宋体" w:eastAsia="宋体" w:cs="宋体"/>
        </w:rPr>
      </w:pPr>
      <w:r>
        <w:rPr>
          <w:rFonts w:hint="eastAsia" w:ascii="宋体" w:hAnsi="宋体" w:eastAsia="宋体" w:cs="宋体"/>
        </w:rPr>
        <w:t>（5）通用合同条款；</w:t>
      </w:r>
    </w:p>
    <w:p w14:paraId="70718C7E">
      <w:pPr>
        <w:spacing w:line="360" w:lineRule="auto"/>
        <w:ind w:firstLine="480" w:firstLineChars="200"/>
        <w:rPr>
          <w:rFonts w:hint="eastAsia" w:ascii="宋体" w:hAnsi="宋体" w:eastAsia="宋体" w:cs="宋体"/>
        </w:rPr>
      </w:pPr>
      <w:r>
        <w:rPr>
          <w:rFonts w:hint="eastAsia" w:ascii="宋体" w:hAnsi="宋体" w:eastAsia="宋体" w:cs="宋体"/>
        </w:rPr>
        <w:t>（6）技术标准和要求；</w:t>
      </w:r>
    </w:p>
    <w:p w14:paraId="7D15E370">
      <w:pPr>
        <w:spacing w:line="360" w:lineRule="auto"/>
        <w:ind w:firstLine="480" w:firstLineChars="200"/>
        <w:rPr>
          <w:rFonts w:hint="eastAsia" w:ascii="宋体" w:hAnsi="宋体" w:eastAsia="宋体" w:cs="宋体"/>
        </w:rPr>
      </w:pPr>
      <w:r>
        <w:rPr>
          <w:rFonts w:hint="eastAsia" w:ascii="宋体" w:hAnsi="宋体" w:eastAsia="宋体" w:cs="宋体"/>
        </w:rPr>
        <w:t>（7）图纸；</w:t>
      </w:r>
    </w:p>
    <w:p w14:paraId="6F0178DE">
      <w:pPr>
        <w:spacing w:line="360" w:lineRule="auto"/>
        <w:ind w:firstLine="480" w:firstLineChars="200"/>
        <w:rPr>
          <w:rFonts w:hint="eastAsia" w:ascii="宋体" w:hAnsi="宋体" w:eastAsia="宋体" w:cs="宋体"/>
        </w:rPr>
      </w:pPr>
      <w:r>
        <w:rPr>
          <w:rFonts w:hint="eastAsia" w:ascii="宋体" w:hAnsi="宋体" w:eastAsia="宋体" w:cs="宋体"/>
        </w:rPr>
        <w:t>（8）已标价工程量清单或预算书；</w:t>
      </w:r>
    </w:p>
    <w:p w14:paraId="7D94A114">
      <w:pPr>
        <w:spacing w:line="360" w:lineRule="auto"/>
        <w:ind w:firstLine="480" w:firstLineChars="200"/>
        <w:rPr>
          <w:rFonts w:hint="eastAsia" w:ascii="宋体" w:hAnsi="宋体" w:eastAsia="宋体" w:cs="宋体"/>
        </w:rPr>
      </w:pPr>
      <w:r>
        <w:rPr>
          <w:rFonts w:hint="eastAsia" w:ascii="宋体" w:hAnsi="宋体" w:eastAsia="宋体" w:cs="宋体"/>
        </w:rPr>
        <w:t>（9）其他合同文件。</w:t>
      </w:r>
    </w:p>
    <w:p w14:paraId="71597080">
      <w:pPr>
        <w:spacing w:line="360" w:lineRule="auto"/>
        <w:ind w:firstLine="480" w:firstLineChars="200"/>
        <w:rPr>
          <w:rFonts w:hint="eastAsia" w:ascii="宋体" w:hAnsi="宋体" w:eastAsia="宋体" w:cs="宋体"/>
        </w:rPr>
      </w:pPr>
      <w:r>
        <w:rPr>
          <w:rFonts w:hint="eastAsia" w:ascii="宋体" w:hAnsi="宋体" w:eastAsia="宋体" w:cs="宋体"/>
        </w:rPr>
        <w:t>上述各项合同文件包括合同当事人就该项合同文件所作出的补充和修改，属于同一类内容的文件，应以最新签署的为准。</w:t>
      </w:r>
    </w:p>
    <w:p w14:paraId="0367317A">
      <w:pPr>
        <w:spacing w:line="360" w:lineRule="auto"/>
        <w:ind w:firstLine="480" w:firstLineChars="200"/>
        <w:rPr>
          <w:rFonts w:hint="eastAsia" w:ascii="宋体" w:hAnsi="宋体" w:eastAsia="宋体" w:cs="宋体"/>
        </w:rPr>
      </w:pPr>
      <w:r>
        <w:rPr>
          <w:rFonts w:hint="eastAsia" w:ascii="宋体" w:hAnsi="宋体" w:eastAsia="宋体" w:cs="宋体"/>
        </w:rPr>
        <w:t>在合同订立及履行过程中形成的与合同有关的文件均构成合同文件组成部分，并根据其性质确定优先解释顺序。</w:t>
      </w:r>
    </w:p>
    <w:p w14:paraId="23856114">
      <w:pPr>
        <w:spacing w:line="360" w:lineRule="auto"/>
        <w:ind w:firstLine="480" w:firstLineChars="200"/>
        <w:rPr>
          <w:rFonts w:hint="eastAsia" w:ascii="宋体" w:hAnsi="宋体" w:eastAsia="宋体" w:cs="宋体"/>
        </w:rPr>
      </w:pPr>
      <w:bookmarkStart w:id="128" w:name="_Toc351203501"/>
      <w:bookmarkStart w:id="129" w:name="_Toc145583353"/>
      <w:r>
        <w:rPr>
          <w:rFonts w:hint="eastAsia" w:ascii="宋体" w:hAnsi="宋体" w:eastAsia="宋体" w:cs="宋体"/>
        </w:rPr>
        <w:t>1</w:t>
      </w:r>
      <w:bookmarkStart w:id="130" w:name="_Toc296346533"/>
      <w:bookmarkStart w:id="131" w:name="_Toc337558732"/>
      <w:bookmarkStart w:id="132" w:name="_Toc296503032"/>
      <w:r>
        <w:rPr>
          <w:rFonts w:hint="eastAsia" w:ascii="宋体" w:hAnsi="宋体" w:eastAsia="宋体" w:cs="宋体"/>
        </w:rPr>
        <w:t>.6图纸和承包人文件</w:t>
      </w:r>
      <w:bookmarkEnd w:id="128"/>
      <w:bookmarkEnd w:id="129"/>
    </w:p>
    <w:bookmarkEnd w:id="130"/>
    <w:bookmarkEnd w:id="131"/>
    <w:bookmarkEnd w:id="132"/>
    <w:p w14:paraId="646D8462">
      <w:pPr>
        <w:spacing w:line="360" w:lineRule="auto"/>
        <w:ind w:firstLine="480" w:firstLineChars="200"/>
        <w:rPr>
          <w:rFonts w:hint="eastAsia" w:ascii="宋体" w:hAnsi="宋体" w:eastAsia="宋体" w:cs="宋体"/>
        </w:rPr>
      </w:pPr>
      <w:r>
        <w:rPr>
          <w:rFonts w:hint="eastAsia" w:ascii="宋体" w:hAnsi="宋体" w:eastAsia="宋体" w:cs="宋体"/>
        </w:rPr>
        <w:t>1.6.1 图纸的提供和交底</w:t>
      </w:r>
    </w:p>
    <w:p w14:paraId="259F4E14">
      <w:pPr>
        <w:spacing w:line="360" w:lineRule="auto"/>
        <w:ind w:firstLine="480" w:firstLineChars="200"/>
        <w:rPr>
          <w:rFonts w:hint="eastAsia" w:ascii="宋体" w:hAnsi="宋体" w:eastAsia="宋体" w:cs="宋体"/>
        </w:rPr>
      </w:pPr>
      <w:r>
        <w:rPr>
          <w:rFonts w:hint="eastAsia" w:ascii="宋体" w:hAnsi="宋体" w:eastAsia="宋体" w:cs="宋体"/>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1288D516">
      <w:pPr>
        <w:spacing w:line="360" w:lineRule="auto"/>
        <w:ind w:firstLine="480" w:firstLineChars="200"/>
        <w:rPr>
          <w:rFonts w:hint="eastAsia" w:ascii="宋体" w:hAnsi="宋体" w:eastAsia="宋体" w:cs="宋体"/>
        </w:rPr>
      </w:pPr>
      <w:r>
        <w:rPr>
          <w:rFonts w:hint="eastAsia" w:ascii="宋体" w:hAnsi="宋体" w:eastAsia="宋体" w:cs="宋体"/>
        </w:rPr>
        <w:t>因发包人未按合同约定提供图纸导致承包人费用增加和（或）工期延误的，按照第7.5.1项〔因发包人原因导致工期延误〕约定办理。</w:t>
      </w:r>
    </w:p>
    <w:p w14:paraId="40B70F0D">
      <w:pPr>
        <w:spacing w:line="360" w:lineRule="auto"/>
        <w:ind w:firstLine="480" w:firstLineChars="200"/>
        <w:rPr>
          <w:rFonts w:hint="eastAsia" w:ascii="宋体" w:hAnsi="宋体" w:eastAsia="宋体" w:cs="宋体"/>
        </w:rPr>
      </w:pPr>
      <w:r>
        <w:rPr>
          <w:rFonts w:hint="eastAsia" w:ascii="宋体" w:hAnsi="宋体" w:eastAsia="宋体" w:cs="宋体"/>
        </w:rPr>
        <w:t>1.6.2 图纸的错误</w:t>
      </w:r>
    </w:p>
    <w:p w14:paraId="4830C022">
      <w:pPr>
        <w:spacing w:line="360" w:lineRule="auto"/>
        <w:ind w:firstLine="480" w:firstLineChars="200"/>
        <w:rPr>
          <w:rFonts w:hint="eastAsia" w:ascii="宋体" w:hAnsi="宋体" w:eastAsia="宋体" w:cs="宋体"/>
        </w:rPr>
      </w:pPr>
      <w:r>
        <w:rPr>
          <w:rFonts w:hint="eastAsia" w:ascii="宋体" w:hAnsi="宋体" w:eastAsia="宋体" w:cs="宋体"/>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2C5D5FC9">
      <w:pPr>
        <w:spacing w:line="360" w:lineRule="auto"/>
        <w:ind w:firstLine="480" w:firstLineChars="200"/>
        <w:rPr>
          <w:rFonts w:hint="eastAsia" w:ascii="宋体" w:hAnsi="宋体" w:eastAsia="宋体" w:cs="宋体"/>
        </w:rPr>
      </w:pPr>
      <w:r>
        <w:rPr>
          <w:rFonts w:hint="eastAsia" w:ascii="宋体" w:hAnsi="宋体" w:eastAsia="宋体" w:cs="宋体"/>
        </w:rPr>
        <w:t>1.6.3 图纸的修改和补充</w:t>
      </w:r>
    </w:p>
    <w:p w14:paraId="4267244F">
      <w:pPr>
        <w:spacing w:line="360" w:lineRule="auto"/>
        <w:ind w:firstLine="480" w:firstLineChars="200"/>
        <w:rPr>
          <w:rFonts w:hint="eastAsia" w:ascii="宋体" w:hAnsi="宋体" w:eastAsia="宋体" w:cs="宋体"/>
        </w:rPr>
      </w:pPr>
      <w:r>
        <w:rPr>
          <w:rFonts w:hint="eastAsia" w:ascii="宋体" w:hAnsi="宋体" w:eastAsia="宋体" w:cs="宋体"/>
        </w:rPr>
        <w:t>图纸需要修改和补充的，应经图纸原设计人及审批部门同意，并由监理人在工程或工程相应部位施工前将修改后的图纸或补充图纸提交给承包人，承包人应按修改或补充后的图纸施工。</w:t>
      </w:r>
    </w:p>
    <w:p w14:paraId="50D73572">
      <w:pPr>
        <w:spacing w:line="360" w:lineRule="auto"/>
        <w:ind w:firstLine="480" w:firstLineChars="200"/>
        <w:rPr>
          <w:rFonts w:hint="eastAsia" w:ascii="宋体" w:hAnsi="宋体" w:eastAsia="宋体" w:cs="宋体"/>
        </w:rPr>
      </w:pPr>
      <w:r>
        <w:rPr>
          <w:rFonts w:hint="eastAsia" w:ascii="宋体" w:hAnsi="宋体" w:eastAsia="宋体" w:cs="宋体"/>
        </w:rPr>
        <w:t>1.6.4 承包人文件</w:t>
      </w:r>
    </w:p>
    <w:p w14:paraId="45CCE828">
      <w:pPr>
        <w:spacing w:line="360" w:lineRule="auto"/>
        <w:ind w:firstLine="480" w:firstLineChars="200"/>
        <w:rPr>
          <w:rFonts w:hint="eastAsia" w:ascii="宋体" w:hAnsi="宋体" w:eastAsia="宋体" w:cs="宋体"/>
        </w:rPr>
      </w:pPr>
      <w:r>
        <w:rPr>
          <w:rFonts w:hint="eastAsia" w:ascii="宋体" w:hAnsi="宋体" w:eastAsia="宋体" w:cs="宋体"/>
        </w:rPr>
        <w:t>承包人应按照专用合同条款的约定提供应当由其编制的与工程施工有关的文件，并按照专用合同条款约定的期限、数量和形式提交监理人，并由监理人报送发包人。</w:t>
      </w:r>
    </w:p>
    <w:p w14:paraId="2F4891D8">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3C973C49">
      <w:pPr>
        <w:spacing w:line="360" w:lineRule="auto"/>
        <w:ind w:firstLine="480" w:firstLineChars="200"/>
        <w:rPr>
          <w:rFonts w:hint="eastAsia" w:ascii="宋体" w:hAnsi="宋体" w:eastAsia="宋体" w:cs="宋体"/>
        </w:rPr>
      </w:pPr>
      <w:r>
        <w:rPr>
          <w:rFonts w:hint="eastAsia" w:ascii="宋体" w:hAnsi="宋体" w:eastAsia="宋体" w:cs="宋体"/>
        </w:rPr>
        <w:t>1.6.5 图纸和承包人文件的保管</w:t>
      </w:r>
    </w:p>
    <w:p w14:paraId="24722AB3">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除专用合同条款另有约定外，承包人应在施工现场另外保存一套完整的图纸和承包人文件，供发包人、监理人及有关人员进行工程检查时使用。</w:t>
      </w:r>
    </w:p>
    <w:p w14:paraId="18205E2E">
      <w:pPr>
        <w:spacing w:line="360" w:lineRule="auto"/>
        <w:ind w:firstLine="480" w:firstLineChars="200"/>
        <w:rPr>
          <w:rFonts w:hint="eastAsia" w:ascii="宋体" w:hAnsi="宋体" w:eastAsia="宋体" w:cs="宋体"/>
        </w:rPr>
      </w:pPr>
      <w:bookmarkStart w:id="133" w:name="_Toc145583354"/>
      <w:bookmarkStart w:id="134" w:name="_Toc351203502"/>
      <w:r>
        <w:rPr>
          <w:rFonts w:hint="eastAsia" w:ascii="宋体" w:hAnsi="宋体" w:eastAsia="宋体" w:cs="宋体"/>
        </w:rPr>
        <w:t>1</w:t>
      </w:r>
      <w:bookmarkStart w:id="135" w:name="_Toc296503033"/>
      <w:bookmarkStart w:id="136" w:name="_Toc337558733"/>
      <w:bookmarkStart w:id="137" w:name="_Toc296346534"/>
      <w:r>
        <w:rPr>
          <w:rFonts w:hint="eastAsia" w:ascii="宋体" w:hAnsi="宋体" w:eastAsia="宋体" w:cs="宋体"/>
        </w:rPr>
        <w:t>.7联络</w:t>
      </w:r>
      <w:bookmarkEnd w:id="133"/>
      <w:bookmarkEnd w:id="134"/>
    </w:p>
    <w:bookmarkEnd w:id="135"/>
    <w:bookmarkEnd w:id="136"/>
    <w:bookmarkEnd w:id="137"/>
    <w:p w14:paraId="064FB3B1">
      <w:pPr>
        <w:spacing w:line="360" w:lineRule="auto"/>
        <w:ind w:firstLine="480" w:firstLineChars="200"/>
        <w:rPr>
          <w:rFonts w:hint="eastAsia" w:ascii="宋体" w:hAnsi="宋体" w:eastAsia="宋体" w:cs="宋体"/>
        </w:rPr>
      </w:pPr>
      <w:r>
        <w:rPr>
          <w:rFonts w:hint="eastAsia" w:ascii="宋体" w:hAnsi="宋体" w:eastAsia="宋体" w:cs="宋体"/>
        </w:rPr>
        <w:t>1.7.1 与合同有关的通知、批准、证明、证书、指示、指令、要求、请求、同意、意见、确定和决定等，均应采用书面形式，并应在合同约定的期限内送达接收人和送达地点。</w:t>
      </w:r>
    </w:p>
    <w:p w14:paraId="1A865268">
      <w:pPr>
        <w:spacing w:line="360" w:lineRule="auto"/>
        <w:ind w:firstLine="480" w:firstLineChars="200"/>
        <w:rPr>
          <w:rFonts w:hint="eastAsia" w:ascii="宋体" w:hAnsi="宋体" w:eastAsia="宋体" w:cs="宋体"/>
        </w:rPr>
      </w:pPr>
      <w:r>
        <w:rPr>
          <w:rFonts w:hint="eastAsia" w:ascii="宋体" w:hAnsi="宋体" w:eastAsia="宋体" w:cs="宋体"/>
        </w:rPr>
        <w:t>1.7.2 发包人和承包人应在专用合同条款中约定各自的送达接收人和送达地点。任何一方合同当事人指定的接收人或送达地点发生变动的，应提前3天以书面形式通知对方。</w:t>
      </w:r>
    </w:p>
    <w:p w14:paraId="146AC10F">
      <w:pPr>
        <w:spacing w:line="360" w:lineRule="auto"/>
        <w:ind w:firstLine="480" w:firstLineChars="200"/>
        <w:rPr>
          <w:rFonts w:hint="eastAsia" w:ascii="宋体" w:hAnsi="宋体" w:eastAsia="宋体" w:cs="宋体"/>
        </w:rPr>
      </w:pPr>
      <w:r>
        <w:rPr>
          <w:rFonts w:hint="eastAsia" w:ascii="宋体" w:hAnsi="宋体" w:eastAsia="宋体" w:cs="宋体"/>
        </w:rPr>
        <w:t>1.7.3 发包人和承包人应当及时签收另一方送达至送达地点和指定接收人的来往信函。拒不签收的，由此增加的费用和（或）延误的工期由拒绝接收一方承担。</w:t>
      </w:r>
    </w:p>
    <w:p w14:paraId="555AE858">
      <w:pPr>
        <w:spacing w:line="360" w:lineRule="auto"/>
        <w:ind w:firstLine="480" w:firstLineChars="200"/>
        <w:rPr>
          <w:rFonts w:hint="eastAsia" w:ascii="宋体" w:hAnsi="宋体" w:eastAsia="宋体" w:cs="宋体"/>
        </w:rPr>
      </w:pPr>
      <w:bookmarkStart w:id="138" w:name="_Toc145583355"/>
      <w:bookmarkStart w:id="139" w:name="_Toc351203503"/>
      <w:r>
        <w:rPr>
          <w:rFonts w:hint="eastAsia" w:ascii="宋体" w:hAnsi="宋体" w:eastAsia="宋体" w:cs="宋体"/>
        </w:rPr>
        <w:t>1</w:t>
      </w:r>
      <w:bookmarkStart w:id="140" w:name="_Toc296503035"/>
      <w:bookmarkStart w:id="141" w:name="_Toc337558734"/>
      <w:bookmarkStart w:id="142" w:name="_Toc296346536"/>
      <w:r>
        <w:rPr>
          <w:rFonts w:hint="eastAsia" w:ascii="宋体" w:hAnsi="宋体" w:eastAsia="宋体" w:cs="宋体"/>
        </w:rPr>
        <w:t>.8严禁贿赂</w:t>
      </w:r>
      <w:bookmarkEnd w:id="138"/>
      <w:bookmarkEnd w:id="139"/>
    </w:p>
    <w:bookmarkEnd w:id="140"/>
    <w:bookmarkEnd w:id="141"/>
    <w:bookmarkEnd w:id="142"/>
    <w:p w14:paraId="5202C71B">
      <w:pPr>
        <w:spacing w:line="360" w:lineRule="auto"/>
        <w:ind w:firstLine="480" w:firstLineChars="200"/>
        <w:rPr>
          <w:rFonts w:hint="eastAsia" w:ascii="宋体" w:hAnsi="宋体" w:eastAsia="宋体" w:cs="宋体"/>
        </w:rPr>
      </w:pPr>
      <w:r>
        <w:rPr>
          <w:rFonts w:hint="eastAsia" w:ascii="宋体" w:hAnsi="宋体" w:eastAsia="宋体" w:cs="宋体"/>
        </w:rPr>
        <w:t>合同当事人不得以贿赂或变相贿赂的方式，谋取非法利益或损害对方权益。因一方合同当事人的贿赂造成对方损失的，应赔偿损失，并承担相应的法律责任。</w:t>
      </w:r>
    </w:p>
    <w:p w14:paraId="5A7F0DF3">
      <w:pPr>
        <w:spacing w:line="360" w:lineRule="auto"/>
        <w:ind w:firstLine="480" w:firstLineChars="200"/>
        <w:rPr>
          <w:rFonts w:hint="eastAsia" w:ascii="宋体" w:hAnsi="宋体" w:eastAsia="宋体" w:cs="宋体"/>
        </w:rPr>
      </w:pPr>
      <w:r>
        <w:rPr>
          <w:rFonts w:hint="eastAsia" w:ascii="宋体" w:hAnsi="宋体" w:eastAsia="宋体" w:cs="宋体"/>
        </w:rPr>
        <w:t>承包人不得与监理人或发包人聘请的第三方串通损害发包人利益。未经发包人书面同意，承包人不得为监理人提供合同约定以外的通讯设备、交通工具及其他任何形式的利益，不得向监理人支付报酬。</w:t>
      </w:r>
    </w:p>
    <w:p w14:paraId="174E3DE4">
      <w:pPr>
        <w:spacing w:line="360" w:lineRule="auto"/>
        <w:ind w:firstLine="480" w:firstLineChars="200"/>
        <w:rPr>
          <w:rFonts w:hint="eastAsia" w:ascii="宋体" w:hAnsi="宋体" w:eastAsia="宋体" w:cs="宋体"/>
        </w:rPr>
      </w:pPr>
      <w:bookmarkStart w:id="143" w:name="_Toc145583356"/>
      <w:bookmarkStart w:id="144" w:name="_Toc351203504"/>
      <w:r>
        <w:rPr>
          <w:rFonts w:hint="eastAsia" w:ascii="宋体" w:hAnsi="宋体" w:eastAsia="宋体" w:cs="宋体"/>
        </w:rPr>
        <w:t>1</w:t>
      </w:r>
      <w:bookmarkStart w:id="145" w:name="_Toc296346537"/>
      <w:bookmarkStart w:id="146" w:name="_Toc296503036"/>
      <w:bookmarkStart w:id="147" w:name="_Toc337558735"/>
      <w:r>
        <w:rPr>
          <w:rFonts w:hint="eastAsia" w:ascii="宋体" w:hAnsi="宋体" w:eastAsia="宋体" w:cs="宋体"/>
        </w:rPr>
        <w:t>.9化石、文物</w:t>
      </w:r>
      <w:bookmarkEnd w:id="143"/>
      <w:bookmarkEnd w:id="144"/>
    </w:p>
    <w:bookmarkEnd w:id="145"/>
    <w:bookmarkEnd w:id="146"/>
    <w:bookmarkEnd w:id="147"/>
    <w:p w14:paraId="5631F12C">
      <w:pPr>
        <w:spacing w:line="360" w:lineRule="auto"/>
        <w:ind w:firstLine="480" w:firstLineChars="200"/>
        <w:rPr>
          <w:rFonts w:hint="eastAsia" w:ascii="宋体" w:hAnsi="宋体" w:eastAsia="宋体" w:cs="宋体"/>
        </w:rPr>
      </w:pPr>
      <w:r>
        <w:rPr>
          <w:rFonts w:hint="eastAsia" w:ascii="宋体" w:hAnsi="宋体" w:eastAsia="宋体" w:cs="宋体"/>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02DB7268">
      <w:pPr>
        <w:spacing w:line="360" w:lineRule="auto"/>
        <w:ind w:firstLine="480" w:firstLineChars="200"/>
        <w:rPr>
          <w:rFonts w:hint="eastAsia" w:ascii="宋体" w:hAnsi="宋体" w:eastAsia="宋体" w:cs="宋体"/>
        </w:rPr>
      </w:pPr>
      <w:r>
        <w:rPr>
          <w:rFonts w:hint="eastAsia" w:ascii="宋体" w:hAnsi="宋体" w:eastAsia="宋体" w:cs="宋体"/>
        </w:rPr>
        <w:t>发包人、监理人和承包人应按有关政府行政管理部门要求采取妥善的保护措施，由此增加的费用和（或）延误的工期由发包人承担。</w:t>
      </w:r>
    </w:p>
    <w:p w14:paraId="1D517D0F">
      <w:pPr>
        <w:spacing w:line="360" w:lineRule="auto"/>
        <w:ind w:firstLine="480" w:firstLineChars="200"/>
        <w:rPr>
          <w:rFonts w:hint="eastAsia" w:ascii="宋体" w:hAnsi="宋体" w:eastAsia="宋体" w:cs="宋体"/>
        </w:rPr>
      </w:pPr>
      <w:r>
        <w:rPr>
          <w:rFonts w:hint="eastAsia" w:ascii="宋体" w:hAnsi="宋体" w:eastAsia="宋体" w:cs="宋体"/>
        </w:rPr>
        <w:t>承包人发现文物后不及时报告或隐瞒不报，致使文物丢失或损坏的，应赔偿损失，并承担相应的法律责任。</w:t>
      </w:r>
    </w:p>
    <w:p w14:paraId="435FC9BE">
      <w:pPr>
        <w:spacing w:line="360" w:lineRule="auto"/>
        <w:ind w:firstLine="480" w:firstLineChars="200"/>
        <w:rPr>
          <w:rFonts w:hint="eastAsia" w:ascii="宋体" w:hAnsi="宋体" w:eastAsia="宋体" w:cs="宋体"/>
        </w:rPr>
      </w:pPr>
      <w:bookmarkStart w:id="148" w:name="_Toc351203505"/>
      <w:bookmarkStart w:id="149" w:name="_Toc145583357"/>
      <w:r>
        <w:rPr>
          <w:rFonts w:hint="eastAsia" w:ascii="宋体" w:hAnsi="宋体" w:eastAsia="宋体" w:cs="宋体"/>
        </w:rPr>
        <w:t>1</w:t>
      </w:r>
      <w:bookmarkStart w:id="150" w:name="_Toc337558736"/>
      <w:r>
        <w:rPr>
          <w:rFonts w:hint="eastAsia" w:ascii="宋体" w:hAnsi="宋体" w:eastAsia="宋体" w:cs="宋体"/>
        </w:rPr>
        <w:t>.10交通运输</w:t>
      </w:r>
      <w:bookmarkEnd w:id="148"/>
      <w:bookmarkEnd w:id="149"/>
    </w:p>
    <w:bookmarkEnd w:id="150"/>
    <w:p w14:paraId="7CD717A9">
      <w:pPr>
        <w:spacing w:line="360" w:lineRule="auto"/>
        <w:ind w:firstLine="480" w:firstLineChars="200"/>
        <w:rPr>
          <w:rFonts w:hint="eastAsia" w:ascii="宋体" w:hAnsi="宋体" w:eastAsia="宋体" w:cs="宋体"/>
        </w:rPr>
      </w:pPr>
      <w:r>
        <w:rPr>
          <w:rFonts w:hint="eastAsia" w:ascii="宋体" w:hAnsi="宋体" w:eastAsia="宋体" w:cs="宋体"/>
        </w:rPr>
        <w:t>1.10.1 出入现场的权利</w:t>
      </w:r>
    </w:p>
    <w:p w14:paraId="300E1243">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1462F543">
      <w:pPr>
        <w:spacing w:line="360" w:lineRule="auto"/>
        <w:ind w:firstLine="480" w:firstLineChars="200"/>
        <w:rPr>
          <w:rFonts w:hint="eastAsia" w:ascii="宋体" w:hAnsi="宋体" w:eastAsia="宋体" w:cs="宋体"/>
        </w:rPr>
      </w:pPr>
      <w:r>
        <w:rPr>
          <w:rFonts w:hint="eastAsia" w:ascii="宋体" w:hAnsi="宋体" w:eastAsia="宋体" w:cs="宋体"/>
        </w:rPr>
        <w:t>承包人应在订立合同前查勘施工现场，并根据工程规模及技术参数合理预见工程施工所需的进出施工现场的方式、手段、路径等。因承包人未合理预见所增加的费用和（或）延误的工期由承包人承担。</w:t>
      </w:r>
    </w:p>
    <w:p w14:paraId="5D9A45AA">
      <w:pPr>
        <w:spacing w:line="360" w:lineRule="auto"/>
        <w:ind w:firstLine="480" w:firstLineChars="200"/>
        <w:rPr>
          <w:rFonts w:hint="eastAsia" w:ascii="宋体" w:hAnsi="宋体" w:eastAsia="宋体" w:cs="宋体"/>
        </w:rPr>
      </w:pPr>
      <w:r>
        <w:rPr>
          <w:rFonts w:hint="eastAsia" w:ascii="宋体" w:hAnsi="宋体" w:eastAsia="宋体" w:cs="宋体"/>
        </w:rPr>
        <w:t>1.10.2 场外交通</w:t>
      </w:r>
    </w:p>
    <w:p w14:paraId="0DD1DF05">
      <w:pPr>
        <w:spacing w:line="360" w:lineRule="auto"/>
        <w:ind w:firstLine="480" w:firstLineChars="200"/>
        <w:rPr>
          <w:rFonts w:hint="eastAsia" w:ascii="宋体" w:hAnsi="宋体" w:eastAsia="宋体" w:cs="宋体"/>
        </w:rPr>
      </w:pPr>
      <w:r>
        <w:rPr>
          <w:rFonts w:hint="eastAsia" w:ascii="宋体" w:hAnsi="宋体" w:eastAsia="宋体" w:cs="宋体"/>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16D5D234">
      <w:pPr>
        <w:spacing w:line="360" w:lineRule="auto"/>
        <w:ind w:firstLine="480" w:firstLineChars="200"/>
        <w:rPr>
          <w:rFonts w:hint="eastAsia" w:ascii="宋体" w:hAnsi="宋体" w:eastAsia="宋体" w:cs="宋体"/>
        </w:rPr>
      </w:pPr>
      <w:r>
        <w:rPr>
          <w:rFonts w:hint="eastAsia" w:ascii="宋体" w:hAnsi="宋体" w:eastAsia="宋体" w:cs="宋体"/>
        </w:rPr>
        <w:t>1.10.3场内交通</w:t>
      </w:r>
    </w:p>
    <w:p w14:paraId="331724A0">
      <w:pPr>
        <w:spacing w:line="360" w:lineRule="auto"/>
        <w:ind w:firstLine="480" w:firstLineChars="200"/>
        <w:rPr>
          <w:rFonts w:hint="eastAsia" w:ascii="宋体" w:hAnsi="宋体" w:eastAsia="宋体" w:cs="宋体"/>
        </w:rPr>
      </w:pPr>
      <w:r>
        <w:rPr>
          <w:rFonts w:hint="eastAsia" w:ascii="宋体" w:hAnsi="宋体" w:eastAsia="宋体" w:cs="宋体"/>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60D79CAC">
      <w:pPr>
        <w:spacing w:line="360" w:lineRule="auto"/>
        <w:ind w:firstLine="480" w:firstLineChars="200"/>
        <w:rPr>
          <w:rFonts w:hint="eastAsia" w:ascii="宋体" w:hAnsi="宋体" w:eastAsia="宋体" w:cs="宋体"/>
        </w:rPr>
      </w:pPr>
      <w:r>
        <w:rPr>
          <w:rFonts w:hint="eastAsia" w:ascii="宋体" w:hAnsi="宋体" w:eastAsia="宋体" w:cs="宋体"/>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0C3F2CE8">
      <w:pPr>
        <w:spacing w:line="360" w:lineRule="auto"/>
        <w:ind w:firstLine="480" w:firstLineChars="200"/>
        <w:rPr>
          <w:rFonts w:hint="eastAsia" w:ascii="宋体" w:hAnsi="宋体" w:eastAsia="宋体" w:cs="宋体"/>
        </w:rPr>
      </w:pPr>
      <w:r>
        <w:rPr>
          <w:rFonts w:hint="eastAsia" w:ascii="宋体" w:hAnsi="宋体" w:eastAsia="宋体" w:cs="宋体"/>
        </w:rPr>
        <w:t>场外交通和场内交通的边界由合同当事人在专用合同条款中约定。</w:t>
      </w:r>
    </w:p>
    <w:p w14:paraId="1757F024">
      <w:pPr>
        <w:spacing w:line="360" w:lineRule="auto"/>
        <w:ind w:firstLine="480" w:firstLineChars="200"/>
        <w:rPr>
          <w:rFonts w:hint="eastAsia" w:ascii="宋体" w:hAnsi="宋体" w:eastAsia="宋体" w:cs="宋体"/>
        </w:rPr>
      </w:pPr>
      <w:r>
        <w:rPr>
          <w:rFonts w:hint="eastAsia" w:ascii="宋体" w:hAnsi="宋体" w:eastAsia="宋体" w:cs="宋体"/>
        </w:rPr>
        <w:t>1.10.4 超大件和超重件的运输</w:t>
      </w:r>
    </w:p>
    <w:p w14:paraId="04C4CA65">
      <w:pPr>
        <w:spacing w:line="360" w:lineRule="auto"/>
        <w:ind w:firstLine="480" w:firstLineChars="200"/>
        <w:rPr>
          <w:rFonts w:hint="eastAsia" w:ascii="宋体" w:hAnsi="宋体" w:eastAsia="宋体" w:cs="宋体"/>
        </w:rPr>
      </w:pPr>
      <w:r>
        <w:rPr>
          <w:rFonts w:hint="eastAsia" w:ascii="宋体" w:hAnsi="宋体" w:eastAsia="宋体" w:cs="宋体"/>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3D6513F9">
      <w:pPr>
        <w:spacing w:line="360" w:lineRule="auto"/>
        <w:ind w:firstLine="480" w:firstLineChars="200"/>
        <w:rPr>
          <w:rFonts w:hint="eastAsia" w:ascii="宋体" w:hAnsi="宋体" w:eastAsia="宋体" w:cs="宋体"/>
        </w:rPr>
      </w:pPr>
      <w:r>
        <w:rPr>
          <w:rFonts w:hint="eastAsia" w:ascii="宋体" w:hAnsi="宋体" w:eastAsia="宋体" w:cs="宋体"/>
        </w:rPr>
        <w:t>1.10.5 道路和桥梁的损坏责任</w:t>
      </w:r>
    </w:p>
    <w:p w14:paraId="75CB6BC3">
      <w:pPr>
        <w:spacing w:line="360" w:lineRule="auto"/>
        <w:ind w:firstLine="480" w:firstLineChars="200"/>
        <w:rPr>
          <w:rFonts w:hint="eastAsia" w:ascii="宋体" w:hAnsi="宋体" w:eastAsia="宋体" w:cs="宋体"/>
        </w:rPr>
      </w:pPr>
      <w:r>
        <w:rPr>
          <w:rFonts w:hint="eastAsia" w:ascii="宋体" w:hAnsi="宋体" w:eastAsia="宋体" w:cs="宋体"/>
        </w:rPr>
        <w:t>因承包人运输造成施工场地内外公共道路和桥梁损坏的，由承包人承担修复损坏的全部费用和可能引起的赔偿。</w:t>
      </w:r>
    </w:p>
    <w:p w14:paraId="2A1E0250">
      <w:pPr>
        <w:spacing w:line="360" w:lineRule="auto"/>
        <w:ind w:firstLine="480" w:firstLineChars="200"/>
        <w:rPr>
          <w:rFonts w:hint="eastAsia" w:ascii="宋体" w:hAnsi="宋体" w:eastAsia="宋体" w:cs="宋体"/>
        </w:rPr>
      </w:pPr>
      <w:r>
        <w:rPr>
          <w:rFonts w:hint="eastAsia" w:ascii="宋体" w:hAnsi="宋体" w:eastAsia="宋体" w:cs="宋体"/>
        </w:rPr>
        <w:t>1.10.6 水路和航空运输</w:t>
      </w:r>
    </w:p>
    <w:p w14:paraId="5EEFCD70">
      <w:pPr>
        <w:spacing w:line="360" w:lineRule="auto"/>
        <w:ind w:firstLine="480" w:firstLineChars="200"/>
        <w:rPr>
          <w:rFonts w:hint="eastAsia" w:ascii="宋体" w:hAnsi="宋体" w:eastAsia="宋体" w:cs="宋体"/>
        </w:rPr>
      </w:pPr>
      <w:r>
        <w:rPr>
          <w:rFonts w:hint="eastAsia" w:ascii="宋体" w:hAnsi="宋体" w:eastAsia="宋体" w:cs="宋体"/>
        </w:rPr>
        <w:t>本款前述各项的内容适用于水路运输和航空运输，其中“道路”一词的涵义包括河道、航线、船闸、机场、码头、堤防以及水路或航空运输中其他相似结构物；“车辆”一词的涵义包括船舶和飞机等。</w:t>
      </w:r>
    </w:p>
    <w:p w14:paraId="21E6EB0A">
      <w:pPr>
        <w:spacing w:line="360" w:lineRule="auto"/>
        <w:ind w:firstLine="480" w:firstLineChars="200"/>
        <w:rPr>
          <w:rFonts w:hint="eastAsia" w:ascii="宋体" w:hAnsi="宋体" w:eastAsia="宋体" w:cs="宋体"/>
        </w:rPr>
      </w:pPr>
      <w:bookmarkStart w:id="151" w:name="_Toc351203506"/>
      <w:bookmarkStart w:id="152" w:name="_Toc145583358"/>
      <w:r>
        <w:rPr>
          <w:rFonts w:hint="eastAsia" w:ascii="宋体" w:hAnsi="宋体" w:eastAsia="宋体" w:cs="宋体"/>
        </w:rPr>
        <w:t>1</w:t>
      </w:r>
      <w:bookmarkStart w:id="153" w:name="_Toc337558737"/>
      <w:bookmarkStart w:id="154" w:name="_Toc296346538"/>
      <w:bookmarkStart w:id="155" w:name="_Toc296503037"/>
      <w:r>
        <w:rPr>
          <w:rFonts w:hint="eastAsia" w:ascii="宋体" w:hAnsi="宋体" w:eastAsia="宋体" w:cs="宋体"/>
        </w:rPr>
        <w:t>.11知识产权</w:t>
      </w:r>
      <w:bookmarkEnd w:id="151"/>
      <w:bookmarkEnd w:id="152"/>
      <w:r>
        <w:rPr>
          <w:rFonts w:hint="eastAsia" w:ascii="宋体" w:hAnsi="宋体" w:eastAsia="宋体" w:cs="宋体"/>
        </w:rPr>
        <w:t xml:space="preserve"> </w:t>
      </w:r>
      <w:bookmarkEnd w:id="153"/>
    </w:p>
    <w:bookmarkEnd w:id="154"/>
    <w:bookmarkEnd w:id="155"/>
    <w:p w14:paraId="38C3A02F">
      <w:pPr>
        <w:spacing w:line="360" w:lineRule="auto"/>
        <w:ind w:firstLine="480" w:firstLineChars="200"/>
        <w:rPr>
          <w:rFonts w:hint="eastAsia" w:ascii="宋体" w:hAnsi="宋体" w:eastAsia="宋体" w:cs="宋体"/>
        </w:rPr>
      </w:pPr>
      <w:r>
        <w:rPr>
          <w:rFonts w:hint="eastAsia" w:ascii="宋体" w:hAnsi="宋体" w:eastAsia="宋体" w:cs="宋体"/>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0F794479">
      <w:pPr>
        <w:spacing w:line="360" w:lineRule="auto"/>
        <w:ind w:firstLine="480" w:firstLineChars="200"/>
        <w:rPr>
          <w:rFonts w:hint="eastAsia" w:ascii="宋体" w:hAnsi="宋体" w:eastAsia="宋体" w:cs="宋体"/>
        </w:rPr>
      </w:pPr>
      <w:r>
        <w:rPr>
          <w:rFonts w:hint="eastAsia" w:ascii="宋体" w:hAnsi="宋体" w:eastAsia="宋体" w:cs="宋体"/>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41D009D0">
      <w:pPr>
        <w:spacing w:line="360" w:lineRule="auto"/>
        <w:ind w:firstLine="480" w:firstLineChars="200"/>
        <w:rPr>
          <w:rFonts w:hint="eastAsia" w:ascii="宋体" w:hAnsi="宋体" w:eastAsia="宋体" w:cs="宋体"/>
        </w:rPr>
      </w:pPr>
      <w:r>
        <w:rPr>
          <w:rFonts w:hint="eastAsia" w:ascii="宋体" w:hAnsi="宋体" w:eastAsia="宋体" w:cs="宋体"/>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080F1A3F">
      <w:pPr>
        <w:spacing w:line="360" w:lineRule="auto"/>
        <w:ind w:firstLine="480" w:firstLineChars="200"/>
        <w:rPr>
          <w:rFonts w:hint="eastAsia" w:ascii="宋体" w:hAnsi="宋体" w:eastAsia="宋体" w:cs="宋体"/>
        </w:rPr>
      </w:pPr>
      <w:r>
        <w:rPr>
          <w:rFonts w:hint="eastAsia" w:ascii="宋体" w:hAnsi="宋体" w:eastAsia="宋体" w:cs="宋体"/>
        </w:rPr>
        <w:t xml:space="preserve">    1.11.4 除专用合同条款另有约定外，承包人在合同签订前和签订时已确定采用的专利、专有技术、技术秘密的使用费已包含在签约合同价中。</w:t>
      </w:r>
    </w:p>
    <w:p w14:paraId="4695869A">
      <w:pPr>
        <w:spacing w:line="360" w:lineRule="auto"/>
        <w:ind w:firstLine="480" w:firstLineChars="200"/>
        <w:rPr>
          <w:rFonts w:hint="eastAsia" w:ascii="宋体" w:hAnsi="宋体" w:eastAsia="宋体" w:cs="宋体"/>
        </w:rPr>
      </w:pPr>
      <w:bookmarkStart w:id="156" w:name="_Toc145583359"/>
      <w:bookmarkStart w:id="157" w:name="_Toc351203507"/>
      <w:r>
        <w:rPr>
          <w:rFonts w:hint="eastAsia" w:ascii="宋体" w:hAnsi="宋体" w:eastAsia="宋体" w:cs="宋体"/>
        </w:rPr>
        <w:t>1</w:t>
      </w:r>
      <w:bookmarkStart w:id="158" w:name="_Toc337558738"/>
      <w:r>
        <w:rPr>
          <w:rFonts w:hint="eastAsia" w:ascii="宋体" w:hAnsi="宋体" w:eastAsia="宋体" w:cs="宋体"/>
        </w:rPr>
        <w:t>.12保密</w:t>
      </w:r>
      <w:bookmarkEnd w:id="156"/>
      <w:bookmarkEnd w:id="157"/>
    </w:p>
    <w:bookmarkEnd w:id="158"/>
    <w:p w14:paraId="259F45D7">
      <w:pPr>
        <w:spacing w:line="360" w:lineRule="auto"/>
        <w:ind w:firstLine="480" w:firstLineChars="200"/>
        <w:rPr>
          <w:rFonts w:hint="eastAsia" w:ascii="宋体" w:hAnsi="宋体" w:eastAsia="宋体" w:cs="宋体"/>
        </w:rPr>
      </w:pPr>
      <w:r>
        <w:rPr>
          <w:rFonts w:hint="eastAsia" w:ascii="宋体" w:hAnsi="宋体" w:eastAsia="宋体" w:cs="宋体"/>
        </w:rPr>
        <w:t>除法律规定或合同另有约定外，未经发包人同意，承包人不得将发包人提供的图纸、文件以及声明需要保密的资料信息等商业秘密泄露给第三方。</w:t>
      </w:r>
    </w:p>
    <w:p w14:paraId="3D5E9E78">
      <w:pPr>
        <w:spacing w:line="360" w:lineRule="auto"/>
        <w:ind w:firstLine="480" w:firstLineChars="200"/>
        <w:rPr>
          <w:rFonts w:hint="eastAsia" w:ascii="宋体" w:hAnsi="宋体" w:eastAsia="宋体" w:cs="宋体"/>
        </w:rPr>
      </w:pPr>
      <w:r>
        <w:rPr>
          <w:rFonts w:hint="eastAsia" w:ascii="宋体" w:hAnsi="宋体" w:eastAsia="宋体" w:cs="宋体"/>
        </w:rPr>
        <w:t>除法律规定或合同另有约定外，未经承包人同意，发包人不得将承包人提供的技术秘密及声明需要保密的资料信息等商业秘密泄露给第三方。</w:t>
      </w:r>
    </w:p>
    <w:p w14:paraId="542BED7E">
      <w:pPr>
        <w:spacing w:line="360" w:lineRule="auto"/>
        <w:ind w:firstLine="480" w:firstLineChars="200"/>
        <w:rPr>
          <w:rFonts w:hint="eastAsia" w:ascii="宋体" w:hAnsi="宋体" w:eastAsia="宋体" w:cs="宋体"/>
        </w:rPr>
      </w:pPr>
      <w:bookmarkStart w:id="159" w:name="_Toc351203508"/>
      <w:bookmarkStart w:id="160" w:name="_Toc145583360"/>
      <w:r>
        <w:rPr>
          <w:rFonts w:hint="eastAsia" w:ascii="宋体" w:hAnsi="宋体" w:eastAsia="宋体" w:cs="宋体"/>
        </w:rPr>
        <w:t>1.13工程量清单错误的修正</w:t>
      </w:r>
      <w:bookmarkEnd w:id="159"/>
      <w:bookmarkEnd w:id="160"/>
    </w:p>
    <w:p w14:paraId="11D30190">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除专用合同条款另有约定外，发包人提供的工程量清单，应被认为是准确的和完整的。出现下列情形之一时，发包人应予以修正，并相应调整合同价格：</w:t>
      </w:r>
    </w:p>
    <w:p w14:paraId="19F4423D">
      <w:pPr>
        <w:spacing w:line="360" w:lineRule="auto"/>
        <w:ind w:firstLine="480" w:firstLineChars="200"/>
        <w:rPr>
          <w:rFonts w:hint="eastAsia" w:ascii="宋体" w:hAnsi="宋体" w:eastAsia="宋体" w:cs="宋体"/>
        </w:rPr>
      </w:pPr>
      <w:r>
        <w:rPr>
          <w:rFonts w:hint="eastAsia" w:ascii="宋体" w:hAnsi="宋体" w:eastAsia="宋体" w:cs="宋体"/>
        </w:rPr>
        <w:t>（1）工程量清单存在缺项、漏项的；</w:t>
      </w:r>
    </w:p>
    <w:p w14:paraId="75E4A345">
      <w:pPr>
        <w:spacing w:line="360" w:lineRule="auto"/>
        <w:ind w:firstLine="480" w:firstLineChars="200"/>
        <w:rPr>
          <w:rFonts w:hint="eastAsia" w:ascii="宋体" w:hAnsi="宋体" w:eastAsia="宋体" w:cs="宋体"/>
        </w:rPr>
      </w:pPr>
      <w:r>
        <w:rPr>
          <w:rFonts w:hint="eastAsia" w:ascii="宋体" w:hAnsi="宋体" w:eastAsia="宋体" w:cs="宋体"/>
        </w:rPr>
        <w:t>（2）工程量清单偏差超出专用合同条款约定的工程量偏差范围的；</w:t>
      </w:r>
    </w:p>
    <w:p w14:paraId="47B56C30">
      <w:pPr>
        <w:spacing w:line="360" w:lineRule="auto"/>
        <w:ind w:firstLine="480" w:firstLineChars="200"/>
        <w:rPr>
          <w:rFonts w:hint="eastAsia" w:ascii="宋体" w:hAnsi="宋体" w:eastAsia="宋体" w:cs="宋体"/>
        </w:rPr>
      </w:pPr>
      <w:r>
        <w:rPr>
          <w:rFonts w:hint="eastAsia" w:ascii="宋体" w:hAnsi="宋体" w:eastAsia="宋体" w:cs="宋体"/>
        </w:rPr>
        <w:t>（3）未按照国家现行计量规范强制性规定计量的。</w:t>
      </w:r>
    </w:p>
    <w:p w14:paraId="6263BBC1">
      <w:pPr>
        <w:spacing w:line="360" w:lineRule="auto"/>
        <w:ind w:firstLine="480" w:firstLineChars="200"/>
        <w:rPr>
          <w:rFonts w:hint="eastAsia" w:ascii="宋体" w:hAnsi="宋体" w:eastAsia="宋体" w:cs="宋体"/>
        </w:rPr>
      </w:pPr>
      <w:bookmarkStart w:id="161" w:name="_Toc145583361"/>
      <w:bookmarkStart w:id="162" w:name="_Toc351203509"/>
      <w:r>
        <w:rPr>
          <w:rFonts w:hint="eastAsia" w:ascii="宋体" w:hAnsi="宋体" w:eastAsia="宋体" w:cs="宋体"/>
        </w:rPr>
        <w:t>2</w:t>
      </w:r>
      <w:bookmarkStart w:id="163" w:name="_Toc296503038"/>
      <w:bookmarkStart w:id="164" w:name="_Toc296346539"/>
      <w:bookmarkStart w:id="165" w:name="_Toc337558739"/>
      <w:bookmarkStart w:id="166" w:name="OLE_LINK2"/>
      <w:r>
        <w:rPr>
          <w:rFonts w:hint="eastAsia" w:ascii="宋体" w:hAnsi="宋体" w:eastAsia="宋体" w:cs="宋体"/>
        </w:rPr>
        <w:t>. 发包人</w:t>
      </w:r>
      <w:bookmarkEnd w:id="161"/>
      <w:bookmarkEnd w:id="162"/>
    </w:p>
    <w:bookmarkEnd w:id="163"/>
    <w:bookmarkEnd w:id="164"/>
    <w:bookmarkEnd w:id="165"/>
    <w:p w14:paraId="3D4F7A4C">
      <w:pPr>
        <w:spacing w:line="360" w:lineRule="auto"/>
        <w:ind w:firstLine="480" w:firstLineChars="200"/>
        <w:rPr>
          <w:rFonts w:hint="eastAsia" w:ascii="宋体" w:hAnsi="宋体" w:eastAsia="宋体" w:cs="宋体"/>
        </w:rPr>
      </w:pPr>
      <w:bookmarkStart w:id="167" w:name="_Toc351203510"/>
      <w:bookmarkStart w:id="168" w:name="_Toc145583362"/>
      <w:r>
        <w:rPr>
          <w:rFonts w:hint="eastAsia" w:ascii="宋体" w:hAnsi="宋体" w:eastAsia="宋体" w:cs="宋体"/>
        </w:rPr>
        <w:t>2</w:t>
      </w:r>
      <w:bookmarkStart w:id="169" w:name="_Toc296346540"/>
      <w:bookmarkStart w:id="170" w:name="_Toc296503039"/>
      <w:bookmarkStart w:id="171" w:name="_Toc337558740"/>
      <w:r>
        <w:rPr>
          <w:rFonts w:hint="eastAsia" w:ascii="宋体" w:hAnsi="宋体" w:eastAsia="宋体" w:cs="宋体"/>
        </w:rPr>
        <w:t>.1 许可或批准</w:t>
      </w:r>
      <w:bookmarkEnd w:id="167"/>
      <w:bookmarkEnd w:id="168"/>
    </w:p>
    <w:p w14:paraId="1820FA5F">
      <w:pPr>
        <w:spacing w:line="360" w:lineRule="auto"/>
        <w:ind w:firstLine="480" w:firstLineChars="200"/>
        <w:rPr>
          <w:rFonts w:hint="eastAsia" w:ascii="宋体" w:hAnsi="宋体" w:eastAsia="宋体" w:cs="宋体"/>
        </w:rPr>
      </w:pPr>
      <w:r>
        <w:rPr>
          <w:rFonts w:hint="eastAsia" w:ascii="宋体" w:hAnsi="宋体" w:eastAsia="宋体" w:cs="宋体"/>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5939983B">
      <w:pPr>
        <w:spacing w:line="360" w:lineRule="auto"/>
        <w:ind w:firstLine="480" w:firstLineChars="200"/>
        <w:rPr>
          <w:rFonts w:hint="eastAsia" w:ascii="宋体" w:hAnsi="宋体" w:eastAsia="宋体" w:cs="宋体"/>
        </w:rPr>
      </w:pPr>
      <w:r>
        <w:rPr>
          <w:rFonts w:hint="eastAsia" w:ascii="宋体" w:hAnsi="宋体" w:eastAsia="宋体" w:cs="宋体"/>
        </w:rPr>
        <w:t>因发包人原因未能及时办理完毕前述许可、批准或备案，由发包人承担由此增加的费用和（或）延误的工期，并支付承包人合理的利润。</w:t>
      </w:r>
    </w:p>
    <w:p w14:paraId="0B827A7C">
      <w:pPr>
        <w:spacing w:line="360" w:lineRule="auto"/>
        <w:ind w:firstLine="480" w:firstLineChars="200"/>
        <w:rPr>
          <w:rFonts w:hint="eastAsia" w:ascii="宋体" w:hAnsi="宋体" w:eastAsia="宋体" w:cs="宋体"/>
        </w:rPr>
      </w:pPr>
      <w:bookmarkStart w:id="172" w:name="_Toc145583363"/>
      <w:bookmarkStart w:id="173" w:name="_Toc351203511"/>
      <w:r>
        <w:rPr>
          <w:rFonts w:hint="eastAsia" w:ascii="宋体" w:hAnsi="宋体" w:eastAsia="宋体" w:cs="宋体"/>
        </w:rPr>
        <w:t>2.2 发包人代表</w:t>
      </w:r>
      <w:bookmarkEnd w:id="172"/>
      <w:bookmarkEnd w:id="173"/>
    </w:p>
    <w:p w14:paraId="26A17C67">
      <w:pPr>
        <w:spacing w:line="360" w:lineRule="auto"/>
        <w:ind w:firstLine="480" w:firstLineChars="200"/>
        <w:rPr>
          <w:rFonts w:hint="eastAsia" w:ascii="宋体" w:hAnsi="宋体" w:eastAsia="宋体" w:cs="宋体"/>
        </w:rPr>
      </w:pPr>
      <w:r>
        <w:rPr>
          <w:rFonts w:hint="eastAsia" w:ascii="宋体" w:hAnsi="宋体" w:eastAsia="宋体" w:cs="宋体"/>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5E7AD722">
      <w:pPr>
        <w:spacing w:line="360" w:lineRule="auto"/>
        <w:ind w:firstLine="480" w:firstLineChars="200"/>
        <w:rPr>
          <w:rFonts w:hint="eastAsia" w:ascii="宋体" w:hAnsi="宋体" w:eastAsia="宋体" w:cs="宋体"/>
        </w:rPr>
      </w:pPr>
      <w:r>
        <w:rPr>
          <w:rFonts w:hint="eastAsia" w:ascii="宋体" w:hAnsi="宋体" w:eastAsia="宋体" w:cs="宋体"/>
        </w:rPr>
        <w:t>发包人代表不能按照合同约定履行其职责及义务，并导致合同无法继续正常履行的，承包人可以要求发包人撤换发包人代表。</w:t>
      </w:r>
    </w:p>
    <w:p w14:paraId="27322A1D">
      <w:pPr>
        <w:spacing w:line="360" w:lineRule="auto"/>
        <w:ind w:firstLine="480" w:firstLineChars="200"/>
        <w:rPr>
          <w:rFonts w:hint="eastAsia" w:ascii="宋体" w:hAnsi="宋体" w:eastAsia="宋体" w:cs="宋体"/>
        </w:rPr>
      </w:pPr>
      <w:r>
        <w:rPr>
          <w:rFonts w:hint="eastAsia" w:ascii="宋体" w:hAnsi="宋体" w:eastAsia="宋体" w:cs="宋体"/>
        </w:rPr>
        <w:t>不属于法定必须监理的工程，监理人的职权可以由发包人代表或发包人指定的其他人员行使。</w:t>
      </w:r>
    </w:p>
    <w:p w14:paraId="46D28296">
      <w:pPr>
        <w:spacing w:line="360" w:lineRule="auto"/>
        <w:ind w:firstLine="480" w:firstLineChars="200"/>
        <w:rPr>
          <w:rFonts w:hint="eastAsia" w:ascii="宋体" w:hAnsi="宋体" w:eastAsia="宋体" w:cs="宋体"/>
        </w:rPr>
      </w:pPr>
      <w:bookmarkStart w:id="174" w:name="_Toc145583364"/>
      <w:bookmarkStart w:id="175" w:name="_Toc351203512"/>
      <w:r>
        <w:rPr>
          <w:rFonts w:hint="eastAsia" w:ascii="宋体" w:hAnsi="宋体" w:eastAsia="宋体" w:cs="宋体"/>
        </w:rPr>
        <w:t>2.3 发包人人员</w:t>
      </w:r>
      <w:bookmarkEnd w:id="174"/>
      <w:bookmarkEnd w:id="175"/>
    </w:p>
    <w:p w14:paraId="7FDE9841">
      <w:pPr>
        <w:spacing w:line="360" w:lineRule="auto"/>
        <w:ind w:firstLine="480" w:firstLineChars="200"/>
        <w:rPr>
          <w:rFonts w:hint="eastAsia" w:ascii="宋体" w:hAnsi="宋体" w:eastAsia="宋体" w:cs="宋体"/>
        </w:rPr>
      </w:pPr>
      <w:r>
        <w:rPr>
          <w:rFonts w:hint="eastAsia" w:ascii="宋体" w:hAnsi="宋体" w:eastAsia="宋体" w:cs="宋体"/>
        </w:rPr>
        <w:t>发包人应要求在施工现场的发包人人员遵守法律及有关安全、质量、环境保护、文明施工等规定，并保障承包人免于承受因发包人人员未遵守上述要求给承包人造成的损失和责任。</w:t>
      </w:r>
    </w:p>
    <w:p w14:paraId="43BC8B1C">
      <w:pPr>
        <w:spacing w:line="360" w:lineRule="auto"/>
        <w:ind w:firstLine="480" w:firstLineChars="200"/>
        <w:rPr>
          <w:rFonts w:hint="eastAsia" w:ascii="宋体" w:hAnsi="宋体" w:eastAsia="宋体" w:cs="宋体"/>
        </w:rPr>
      </w:pPr>
      <w:r>
        <w:rPr>
          <w:rFonts w:hint="eastAsia" w:ascii="宋体" w:hAnsi="宋体" w:eastAsia="宋体" w:cs="宋体"/>
        </w:rPr>
        <w:t>发包人人员包括发包人代表及其他由发包人派驻施工现场的人员。</w:t>
      </w:r>
      <w:bookmarkEnd w:id="169"/>
      <w:bookmarkEnd w:id="170"/>
      <w:bookmarkEnd w:id="171"/>
    </w:p>
    <w:p w14:paraId="570600AC">
      <w:pPr>
        <w:spacing w:line="360" w:lineRule="auto"/>
        <w:ind w:firstLine="480" w:firstLineChars="200"/>
        <w:rPr>
          <w:rFonts w:hint="eastAsia" w:ascii="宋体" w:hAnsi="宋体" w:eastAsia="宋体" w:cs="宋体"/>
        </w:rPr>
      </w:pPr>
      <w:bookmarkStart w:id="176" w:name="_Toc351203513"/>
      <w:bookmarkStart w:id="177" w:name="_Toc145583365"/>
      <w:r>
        <w:rPr>
          <w:rFonts w:hint="eastAsia" w:ascii="宋体" w:hAnsi="宋体" w:eastAsia="宋体" w:cs="宋体"/>
        </w:rPr>
        <w:t>2</w:t>
      </w:r>
      <w:bookmarkStart w:id="178" w:name="_Toc337558741"/>
      <w:bookmarkStart w:id="179" w:name="_Toc296346541"/>
      <w:bookmarkStart w:id="180" w:name="_Toc296503040"/>
      <w:r>
        <w:rPr>
          <w:rFonts w:hint="eastAsia" w:ascii="宋体" w:hAnsi="宋体" w:eastAsia="宋体" w:cs="宋体"/>
        </w:rPr>
        <w:t>.4 施工现场、施工条件和基础资料的提供</w:t>
      </w:r>
      <w:bookmarkEnd w:id="176"/>
      <w:bookmarkEnd w:id="177"/>
      <w:r>
        <w:rPr>
          <w:rFonts w:hint="eastAsia" w:ascii="宋体" w:hAnsi="宋体" w:eastAsia="宋体" w:cs="宋体"/>
        </w:rPr>
        <w:t xml:space="preserve"> </w:t>
      </w:r>
      <w:bookmarkEnd w:id="178"/>
      <w:bookmarkEnd w:id="179"/>
      <w:bookmarkEnd w:id="180"/>
      <w:r>
        <w:rPr>
          <w:rFonts w:hint="eastAsia" w:ascii="宋体" w:hAnsi="宋体" w:eastAsia="宋体" w:cs="宋体"/>
        </w:rPr>
        <w:t xml:space="preserve"> </w:t>
      </w:r>
    </w:p>
    <w:p w14:paraId="295D9EFC">
      <w:pPr>
        <w:spacing w:line="360" w:lineRule="auto"/>
        <w:ind w:firstLine="480" w:firstLineChars="200"/>
        <w:rPr>
          <w:rFonts w:hint="eastAsia" w:ascii="宋体" w:hAnsi="宋体" w:eastAsia="宋体" w:cs="宋体"/>
        </w:rPr>
      </w:pPr>
      <w:r>
        <w:rPr>
          <w:rFonts w:hint="eastAsia" w:ascii="宋体" w:hAnsi="宋体" w:eastAsia="宋体" w:cs="宋体"/>
        </w:rPr>
        <w:t>2.4.1 提供施工现场</w:t>
      </w:r>
    </w:p>
    <w:p w14:paraId="7DDD1183">
      <w:pPr>
        <w:spacing w:line="360" w:lineRule="auto"/>
        <w:ind w:firstLine="480" w:firstLineChars="200"/>
        <w:rPr>
          <w:rFonts w:hint="eastAsia" w:ascii="宋体" w:hAnsi="宋体" w:eastAsia="宋体" w:cs="宋体"/>
        </w:rPr>
      </w:pPr>
      <w:r>
        <w:rPr>
          <w:rFonts w:hint="eastAsia" w:ascii="宋体" w:hAnsi="宋体" w:eastAsia="宋体" w:cs="宋体"/>
        </w:rPr>
        <w:t>除</w:t>
      </w:r>
      <w:bookmarkEnd w:id="166"/>
      <w:r>
        <w:rPr>
          <w:rFonts w:hint="eastAsia" w:ascii="宋体" w:hAnsi="宋体" w:eastAsia="宋体" w:cs="宋体"/>
        </w:rPr>
        <w:t>专用合同条款另有约定外，发包人应最迟于开工日期7天前向承包人移交施工现场。</w:t>
      </w:r>
    </w:p>
    <w:p w14:paraId="61AE97CF">
      <w:pPr>
        <w:spacing w:line="360" w:lineRule="auto"/>
        <w:ind w:firstLine="480" w:firstLineChars="200"/>
        <w:rPr>
          <w:rFonts w:hint="eastAsia" w:ascii="宋体" w:hAnsi="宋体" w:eastAsia="宋体" w:cs="宋体"/>
        </w:rPr>
      </w:pPr>
      <w:r>
        <w:rPr>
          <w:rFonts w:hint="eastAsia" w:ascii="宋体" w:hAnsi="宋体" w:eastAsia="宋体" w:cs="宋体"/>
        </w:rPr>
        <w:t>2.4.2 提供施工条件</w:t>
      </w:r>
    </w:p>
    <w:p w14:paraId="3A32BB9E">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除专用合同条款另有约定外，发包人应负责提供施工所需要的条件，包括：</w:t>
      </w:r>
    </w:p>
    <w:p w14:paraId="1E2DC1A3">
      <w:pPr>
        <w:spacing w:line="360" w:lineRule="auto"/>
        <w:ind w:firstLine="480" w:firstLineChars="200"/>
        <w:rPr>
          <w:rFonts w:hint="eastAsia" w:ascii="宋体" w:hAnsi="宋体" w:eastAsia="宋体" w:cs="宋体"/>
        </w:rPr>
      </w:pPr>
      <w:r>
        <w:rPr>
          <w:rFonts w:hint="eastAsia" w:ascii="宋体" w:hAnsi="宋体" w:eastAsia="宋体" w:cs="宋体"/>
        </w:rPr>
        <w:t>（1）将施工用水、电力、通讯线路等施工所必需的条件接至施工现场内；</w:t>
      </w:r>
    </w:p>
    <w:p w14:paraId="1CDF0629">
      <w:pPr>
        <w:spacing w:line="360" w:lineRule="auto"/>
        <w:ind w:firstLine="480" w:firstLineChars="200"/>
        <w:rPr>
          <w:rFonts w:hint="eastAsia" w:ascii="宋体" w:hAnsi="宋体" w:eastAsia="宋体" w:cs="宋体"/>
        </w:rPr>
      </w:pPr>
      <w:r>
        <w:rPr>
          <w:rFonts w:hint="eastAsia" w:ascii="宋体" w:hAnsi="宋体" w:eastAsia="宋体" w:cs="宋体"/>
        </w:rPr>
        <w:t>（2）保证向承包人提供正常施工所需要的进入施工现场的交通条件；</w:t>
      </w:r>
    </w:p>
    <w:p w14:paraId="615FEF5B">
      <w:pPr>
        <w:spacing w:line="360" w:lineRule="auto"/>
        <w:ind w:firstLine="480" w:firstLineChars="200"/>
        <w:rPr>
          <w:rFonts w:hint="eastAsia" w:ascii="宋体" w:hAnsi="宋体" w:eastAsia="宋体" w:cs="宋体"/>
        </w:rPr>
      </w:pPr>
      <w:r>
        <w:rPr>
          <w:rFonts w:hint="eastAsia" w:ascii="宋体" w:hAnsi="宋体" w:eastAsia="宋体" w:cs="宋体"/>
        </w:rPr>
        <w:t>（3）协调处理施工现场周围地下管线和邻近建筑物、构筑物、古树名木的保护工作，并承担相关费用；</w:t>
      </w:r>
    </w:p>
    <w:p w14:paraId="38A0C54E">
      <w:pPr>
        <w:spacing w:line="360" w:lineRule="auto"/>
        <w:ind w:firstLine="480" w:firstLineChars="200"/>
        <w:rPr>
          <w:rFonts w:hint="eastAsia" w:ascii="宋体" w:hAnsi="宋体" w:eastAsia="宋体" w:cs="宋体"/>
        </w:rPr>
      </w:pPr>
      <w:r>
        <w:rPr>
          <w:rFonts w:hint="eastAsia" w:ascii="宋体" w:hAnsi="宋体" w:eastAsia="宋体" w:cs="宋体"/>
        </w:rPr>
        <w:t>（4）按照专用合同条款约定应提供的其他设施和条件。</w:t>
      </w:r>
    </w:p>
    <w:p w14:paraId="4A7D4AC3">
      <w:pPr>
        <w:spacing w:line="360" w:lineRule="auto"/>
        <w:ind w:firstLine="480" w:firstLineChars="200"/>
        <w:rPr>
          <w:rFonts w:hint="eastAsia" w:ascii="宋体" w:hAnsi="宋体" w:eastAsia="宋体" w:cs="宋体"/>
        </w:rPr>
      </w:pPr>
      <w:r>
        <w:rPr>
          <w:rFonts w:hint="eastAsia" w:ascii="宋体" w:hAnsi="宋体" w:eastAsia="宋体" w:cs="宋体"/>
        </w:rPr>
        <w:t>2.4.3 提供基础资料</w:t>
      </w:r>
    </w:p>
    <w:p w14:paraId="0ADE4F9F">
      <w:pPr>
        <w:spacing w:line="360" w:lineRule="auto"/>
        <w:ind w:firstLine="480" w:firstLineChars="200"/>
        <w:rPr>
          <w:rFonts w:hint="eastAsia" w:ascii="宋体" w:hAnsi="宋体" w:eastAsia="宋体" w:cs="宋体"/>
        </w:rPr>
      </w:pPr>
      <w:r>
        <w:rPr>
          <w:rFonts w:hint="eastAsia" w:ascii="宋体" w:hAnsi="宋体" w:eastAsia="宋体" w:cs="宋体"/>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36C647DF">
      <w:pPr>
        <w:spacing w:line="360" w:lineRule="auto"/>
        <w:ind w:firstLine="480" w:firstLineChars="200"/>
        <w:rPr>
          <w:rFonts w:hint="eastAsia" w:ascii="宋体" w:hAnsi="宋体" w:eastAsia="宋体" w:cs="宋体"/>
        </w:rPr>
      </w:pPr>
      <w:r>
        <w:rPr>
          <w:rFonts w:hint="eastAsia" w:ascii="宋体" w:hAnsi="宋体" w:eastAsia="宋体" w:cs="宋体"/>
        </w:rPr>
        <w:t>按照法律规定确需在开工后方能提供的基础资料，发包人应尽其努力及时地在相应工程施工前的合理期限内提供，合理期限应以不影响承包人的正常施工为限。</w:t>
      </w:r>
    </w:p>
    <w:p w14:paraId="0F2CE097">
      <w:pPr>
        <w:spacing w:line="360" w:lineRule="auto"/>
        <w:ind w:firstLine="480" w:firstLineChars="200"/>
        <w:rPr>
          <w:rFonts w:hint="eastAsia" w:ascii="宋体" w:hAnsi="宋体" w:eastAsia="宋体" w:cs="宋体"/>
        </w:rPr>
      </w:pPr>
      <w:r>
        <w:rPr>
          <w:rFonts w:hint="eastAsia" w:ascii="宋体" w:hAnsi="宋体" w:eastAsia="宋体" w:cs="宋体"/>
        </w:rPr>
        <w:t>2.4.4 逾期提供的责任</w:t>
      </w:r>
    </w:p>
    <w:p w14:paraId="75F85DF4">
      <w:pPr>
        <w:spacing w:line="360" w:lineRule="auto"/>
        <w:ind w:firstLine="480" w:firstLineChars="200"/>
        <w:rPr>
          <w:rFonts w:hint="eastAsia" w:ascii="宋体" w:hAnsi="宋体" w:eastAsia="宋体" w:cs="宋体"/>
        </w:rPr>
      </w:pPr>
      <w:r>
        <w:rPr>
          <w:rFonts w:hint="eastAsia" w:ascii="宋体" w:hAnsi="宋体" w:eastAsia="宋体" w:cs="宋体"/>
        </w:rPr>
        <w:t>因发包人原因未能按合同约定及时向承包人提供施工现场、施工条件、基础资料的，由发包人承担由此增加的费用和（或）延误的工期。</w:t>
      </w:r>
    </w:p>
    <w:p w14:paraId="18B29F2D">
      <w:pPr>
        <w:spacing w:line="360" w:lineRule="auto"/>
        <w:ind w:firstLine="480" w:firstLineChars="200"/>
        <w:rPr>
          <w:rFonts w:hint="eastAsia" w:ascii="宋体" w:hAnsi="宋体" w:eastAsia="宋体" w:cs="宋体"/>
        </w:rPr>
      </w:pPr>
      <w:bookmarkStart w:id="181" w:name="_Toc351203514"/>
      <w:bookmarkStart w:id="182" w:name="_Toc145583366"/>
      <w:r>
        <w:rPr>
          <w:rFonts w:hint="eastAsia" w:ascii="宋体" w:hAnsi="宋体" w:eastAsia="宋体" w:cs="宋体"/>
        </w:rPr>
        <w:t>2</w:t>
      </w:r>
      <w:bookmarkStart w:id="183" w:name="_Toc296346543"/>
      <w:bookmarkStart w:id="184" w:name="_Toc296503042"/>
      <w:bookmarkStart w:id="185" w:name="_Toc337558745"/>
      <w:r>
        <w:rPr>
          <w:rFonts w:hint="eastAsia" w:ascii="宋体" w:hAnsi="宋体" w:eastAsia="宋体" w:cs="宋体"/>
        </w:rPr>
        <w:t>.5 资</w:t>
      </w:r>
      <w:bookmarkEnd w:id="183"/>
      <w:bookmarkEnd w:id="184"/>
      <w:bookmarkEnd w:id="185"/>
      <w:r>
        <w:rPr>
          <w:rFonts w:hint="eastAsia" w:ascii="宋体" w:hAnsi="宋体" w:eastAsia="宋体" w:cs="宋体"/>
        </w:rPr>
        <w:t>金来源证明及支付担保</w:t>
      </w:r>
      <w:bookmarkEnd w:id="181"/>
      <w:bookmarkEnd w:id="182"/>
    </w:p>
    <w:p w14:paraId="7884FB83">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除专用合同条款另有约定外，发包人应在收到承包人要求提供资金来源证明的书面通知后28天内，向承包人提供能够按照合同约定支付合同价款的相应资金来源证明。</w:t>
      </w:r>
    </w:p>
    <w:p w14:paraId="70D60AE8">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除专用合同条款另有约定外，发包人要求承包人提供履约担保的，发包人应当向承包人提供支付担保。支付担保可以采用银行保函或担保公司担保等形式，具体由合同当事人在专用合同条款中约定。</w:t>
      </w:r>
    </w:p>
    <w:p w14:paraId="59894545">
      <w:pPr>
        <w:spacing w:line="360" w:lineRule="auto"/>
        <w:ind w:firstLine="480" w:firstLineChars="200"/>
        <w:rPr>
          <w:rFonts w:hint="eastAsia" w:ascii="宋体" w:hAnsi="宋体" w:eastAsia="宋体" w:cs="宋体"/>
        </w:rPr>
      </w:pPr>
      <w:bookmarkStart w:id="186" w:name="_Toc351203515"/>
      <w:bookmarkStart w:id="187" w:name="_Toc145583367"/>
      <w:r>
        <w:rPr>
          <w:rFonts w:hint="eastAsia" w:ascii="宋体" w:hAnsi="宋体" w:eastAsia="宋体" w:cs="宋体"/>
        </w:rPr>
        <w:t>2.6 支付合同价款</w:t>
      </w:r>
      <w:bookmarkEnd w:id="186"/>
      <w:bookmarkEnd w:id="187"/>
    </w:p>
    <w:p w14:paraId="3BC5D7C5">
      <w:pPr>
        <w:spacing w:line="360" w:lineRule="auto"/>
        <w:ind w:firstLine="480" w:firstLineChars="200"/>
        <w:rPr>
          <w:rFonts w:hint="eastAsia" w:ascii="宋体" w:hAnsi="宋体" w:eastAsia="宋体" w:cs="宋体"/>
        </w:rPr>
      </w:pPr>
      <w:r>
        <w:rPr>
          <w:rFonts w:hint="eastAsia" w:ascii="宋体" w:hAnsi="宋体" w:eastAsia="宋体" w:cs="宋体"/>
        </w:rPr>
        <w:t>发包人应按合同约定向承包人及时支付合同价款。</w:t>
      </w:r>
    </w:p>
    <w:p w14:paraId="6EB19F53">
      <w:pPr>
        <w:spacing w:line="360" w:lineRule="auto"/>
        <w:ind w:firstLine="480" w:firstLineChars="200"/>
        <w:rPr>
          <w:rFonts w:hint="eastAsia" w:ascii="宋体" w:hAnsi="宋体" w:eastAsia="宋体" w:cs="宋体"/>
        </w:rPr>
      </w:pPr>
      <w:bookmarkStart w:id="188" w:name="_Toc351203516"/>
      <w:bookmarkStart w:id="189" w:name="_Toc145583368"/>
      <w:r>
        <w:rPr>
          <w:rFonts w:hint="eastAsia" w:ascii="宋体" w:hAnsi="宋体" w:eastAsia="宋体" w:cs="宋体"/>
        </w:rPr>
        <w:t>2.7 组织竣工验收</w:t>
      </w:r>
      <w:bookmarkEnd w:id="188"/>
      <w:bookmarkEnd w:id="189"/>
    </w:p>
    <w:p w14:paraId="1F1AFFE2">
      <w:pPr>
        <w:spacing w:line="360" w:lineRule="auto"/>
        <w:ind w:firstLine="480" w:firstLineChars="200"/>
        <w:rPr>
          <w:rFonts w:hint="eastAsia" w:ascii="宋体" w:hAnsi="宋体" w:eastAsia="宋体" w:cs="宋体"/>
        </w:rPr>
      </w:pPr>
      <w:r>
        <w:rPr>
          <w:rFonts w:hint="eastAsia" w:ascii="宋体" w:hAnsi="宋体" w:eastAsia="宋体" w:cs="宋体"/>
        </w:rPr>
        <w:t>发包人应按合同约定及时组织竣工验收。</w:t>
      </w:r>
    </w:p>
    <w:p w14:paraId="4C6F1BFC">
      <w:pPr>
        <w:spacing w:line="360" w:lineRule="auto"/>
        <w:ind w:firstLine="480" w:firstLineChars="200"/>
        <w:rPr>
          <w:rFonts w:hint="eastAsia" w:ascii="宋体" w:hAnsi="宋体" w:eastAsia="宋体" w:cs="宋体"/>
        </w:rPr>
      </w:pPr>
      <w:bookmarkStart w:id="190" w:name="_Toc145583369"/>
      <w:bookmarkStart w:id="191" w:name="_Toc351203517"/>
      <w:r>
        <w:rPr>
          <w:rFonts w:hint="eastAsia" w:ascii="宋体" w:hAnsi="宋体" w:eastAsia="宋体" w:cs="宋体"/>
        </w:rPr>
        <w:t>2.8 现场统一管理协议</w:t>
      </w:r>
      <w:bookmarkEnd w:id="190"/>
      <w:bookmarkEnd w:id="191"/>
    </w:p>
    <w:p w14:paraId="0A912D2C">
      <w:pPr>
        <w:spacing w:line="360" w:lineRule="auto"/>
        <w:ind w:firstLine="480" w:firstLineChars="200"/>
        <w:rPr>
          <w:rFonts w:hint="eastAsia" w:ascii="宋体" w:hAnsi="宋体" w:eastAsia="宋体" w:cs="宋体"/>
        </w:rPr>
      </w:pPr>
      <w:r>
        <w:rPr>
          <w:rFonts w:hint="eastAsia" w:ascii="宋体" w:hAnsi="宋体" w:eastAsia="宋体" w:cs="宋体"/>
        </w:rPr>
        <w:t>发包人应与承包人、由发包人直接发包的专业工程的承包人签订施工现场统一管理协议，明确各方的权利义务。施工现场统一管理协议作为专用合同条款的附件。</w:t>
      </w:r>
    </w:p>
    <w:p w14:paraId="16D47DA7">
      <w:pPr>
        <w:spacing w:line="360" w:lineRule="auto"/>
        <w:ind w:firstLine="480" w:firstLineChars="200"/>
        <w:rPr>
          <w:rFonts w:hint="eastAsia" w:ascii="宋体" w:hAnsi="宋体" w:eastAsia="宋体" w:cs="宋体"/>
        </w:rPr>
      </w:pPr>
      <w:bookmarkStart w:id="192" w:name="_Toc351203518"/>
      <w:bookmarkStart w:id="193" w:name="_Toc145583370"/>
      <w:r>
        <w:rPr>
          <w:rFonts w:hint="eastAsia" w:ascii="宋体" w:hAnsi="宋体" w:eastAsia="宋体" w:cs="宋体"/>
        </w:rPr>
        <w:t>3</w:t>
      </w:r>
      <w:bookmarkStart w:id="194" w:name="_Toc337558746"/>
      <w:bookmarkStart w:id="195" w:name="_Toc296346546"/>
      <w:bookmarkStart w:id="196" w:name="_Toc296503045"/>
      <w:r>
        <w:rPr>
          <w:rFonts w:hint="eastAsia" w:ascii="宋体" w:hAnsi="宋体" w:eastAsia="宋体" w:cs="宋体"/>
        </w:rPr>
        <w:t>. 承包人</w:t>
      </w:r>
      <w:bookmarkEnd w:id="192"/>
      <w:bookmarkEnd w:id="193"/>
    </w:p>
    <w:bookmarkEnd w:id="194"/>
    <w:bookmarkEnd w:id="195"/>
    <w:bookmarkEnd w:id="196"/>
    <w:p w14:paraId="22DDC548">
      <w:pPr>
        <w:spacing w:line="360" w:lineRule="auto"/>
        <w:ind w:firstLine="480" w:firstLineChars="200"/>
        <w:rPr>
          <w:rFonts w:hint="eastAsia" w:ascii="宋体" w:hAnsi="宋体" w:eastAsia="宋体" w:cs="宋体"/>
        </w:rPr>
      </w:pPr>
      <w:bookmarkStart w:id="197" w:name="_Toc145583371"/>
      <w:bookmarkStart w:id="198" w:name="_Toc351203519"/>
      <w:r>
        <w:rPr>
          <w:rFonts w:hint="eastAsia" w:ascii="宋体" w:hAnsi="宋体" w:eastAsia="宋体" w:cs="宋体"/>
        </w:rPr>
        <w:t>3</w:t>
      </w:r>
      <w:bookmarkStart w:id="199" w:name="_Toc337558747"/>
      <w:bookmarkStart w:id="200" w:name="_Toc296346547"/>
      <w:bookmarkStart w:id="201" w:name="_Toc296503046"/>
      <w:r>
        <w:rPr>
          <w:rFonts w:hint="eastAsia" w:ascii="宋体" w:hAnsi="宋体" w:eastAsia="宋体" w:cs="宋体"/>
        </w:rPr>
        <w:t>.1 承包人的一般义务</w:t>
      </w:r>
      <w:bookmarkEnd w:id="197"/>
      <w:bookmarkEnd w:id="198"/>
    </w:p>
    <w:bookmarkEnd w:id="199"/>
    <w:bookmarkEnd w:id="200"/>
    <w:bookmarkEnd w:id="201"/>
    <w:p w14:paraId="6BC3ADC4">
      <w:pPr>
        <w:spacing w:line="360" w:lineRule="auto"/>
        <w:ind w:firstLine="480" w:firstLineChars="200"/>
        <w:rPr>
          <w:rFonts w:hint="eastAsia" w:ascii="宋体" w:hAnsi="宋体" w:eastAsia="宋体" w:cs="宋体"/>
        </w:rPr>
      </w:pPr>
      <w:r>
        <w:rPr>
          <w:rFonts w:hint="eastAsia" w:ascii="宋体" w:hAnsi="宋体" w:eastAsia="宋体" w:cs="宋体"/>
        </w:rPr>
        <w:t>承包人在履行合同过程中应遵守法律和工程建设标准规范，并履行以下义务：</w:t>
      </w:r>
    </w:p>
    <w:p w14:paraId="1B6ABEF4">
      <w:pPr>
        <w:spacing w:line="360" w:lineRule="auto"/>
        <w:ind w:firstLine="480" w:firstLineChars="200"/>
        <w:rPr>
          <w:rFonts w:hint="eastAsia" w:ascii="宋体" w:hAnsi="宋体" w:eastAsia="宋体" w:cs="宋体"/>
        </w:rPr>
      </w:pPr>
      <w:r>
        <w:rPr>
          <w:rFonts w:hint="eastAsia" w:ascii="宋体" w:hAnsi="宋体" w:eastAsia="宋体" w:cs="宋体"/>
        </w:rPr>
        <w:t>办理法律规定应由承包人办理的许可和批准，并将办理结果书面报送发包人留存；</w:t>
      </w:r>
    </w:p>
    <w:p w14:paraId="146D71BF">
      <w:pPr>
        <w:spacing w:line="360" w:lineRule="auto"/>
        <w:ind w:firstLine="480" w:firstLineChars="200"/>
        <w:rPr>
          <w:rFonts w:hint="eastAsia" w:ascii="宋体" w:hAnsi="宋体" w:eastAsia="宋体" w:cs="宋体"/>
        </w:rPr>
      </w:pPr>
      <w:r>
        <w:rPr>
          <w:rFonts w:hint="eastAsia" w:ascii="宋体" w:hAnsi="宋体" w:eastAsia="宋体" w:cs="宋体"/>
        </w:rPr>
        <w:t>（2）按法律规定和合同约定完成工程，并在保修期内承担保修义务；</w:t>
      </w:r>
    </w:p>
    <w:p w14:paraId="3B7612B0">
      <w:pPr>
        <w:spacing w:line="360" w:lineRule="auto"/>
        <w:ind w:firstLine="480" w:firstLineChars="200"/>
        <w:rPr>
          <w:rFonts w:hint="eastAsia" w:ascii="宋体" w:hAnsi="宋体" w:eastAsia="宋体" w:cs="宋体"/>
        </w:rPr>
      </w:pPr>
      <w:r>
        <w:rPr>
          <w:rFonts w:hint="eastAsia" w:ascii="宋体" w:hAnsi="宋体" w:eastAsia="宋体" w:cs="宋体"/>
        </w:rPr>
        <w:t>（3）按法律规定和合同约定采取施工安全和环境保护措施，办理工伤保险，确保工程及人员、材料、设备和设施的安全；</w:t>
      </w:r>
    </w:p>
    <w:p w14:paraId="4315F252">
      <w:pPr>
        <w:spacing w:line="360" w:lineRule="auto"/>
        <w:ind w:firstLine="480" w:firstLineChars="200"/>
        <w:rPr>
          <w:rFonts w:hint="eastAsia" w:ascii="宋体" w:hAnsi="宋体" w:eastAsia="宋体" w:cs="宋体"/>
        </w:rPr>
      </w:pPr>
      <w:r>
        <w:rPr>
          <w:rFonts w:hint="eastAsia" w:ascii="宋体" w:hAnsi="宋体" w:eastAsia="宋体" w:cs="宋体"/>
        </w:rPr>
        <w:t>（4）按合同约定的工作内容和施工进度要求，编制施工组织设计和施工措施计划，并对所有施工作业和施工方法的完备性和安全可靠性负责；</w:t>
      </w:r>
    </w:p>
    <w:p w14:paraId="5589CAF2">
      <w:pPr>
        <w:spacing w:line="360" w:lineRule="auto"/>
        <w:ind w:firstLine="480" w:firstLineChars="200"/>
        <w:rPr>
          <w:rFonts w:hint="eastAsia" w:ascii="宋体" w:hAnsi="宋体" w:eastAsia="宋体" w:cs="宋体"/>
        </w:rPr>
      </w:pPr>
      <w:r>
        <w:rPr>
          <w:rFonts w:hint="eastAsia" w:ascii="宋体" w:hAnsi="宋体" w:eastAsia="宋体" w:cs="宋体"/>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8C358EE">
      <w:pPr>
        <w:spacing w:line="360" w:lineRule="auto"/>
        <w:ind w:firstLine="480" w:firstLineChars="200"/>
        <w:rPr>
          <w:rFonts w:hint="eastAsia" w:ascii="宋体" w:hAnsi="宋体" w:eastAsia="宋体" w:cs="宋体"/>
        </w:rPr>
      </w:pPr>
      <w:r>
        <w:rPr>
          <w:rFonts w:hint="eastAsia" w:ascii="宋体" w:hAnsi="宋体" w:eastAsia="宋体" w:cs="宋体"/>
        </w:rPr>
        <w:t>（6）按照第6.3款〔环境保护〕约定负责施工场地及其周边环境与生态的保护工作；</w:t>
      </w:r>
    </w:p>
    <w:p w14:paraId="29EEA3DE">
      <w:pPr>
        <w:spacing w:line="360" w:lineRule="auto"/>
        <w:ind w:firstLine="480" w:firstLineChars="200"/>
        <w:rPr>
          <w:rFonts w:hint="eastAsia" w:ascii="宋体" w:hAnsi="宋体" w:eastAsia="宋体" w:cs="宋体"/>
        </w:rPr>
      </w:pPr>
      <w:r>
        <w:rPr>
          <w:rFonts w:hint="eastAsia" w:ascii="宋体" w:hAnsi="宋体" w:eastAsia="宋体" w:cs="宋体"/>
        </w:rPr>
        <w:t>（7）按第6.1款〔安全文明施工〕约定采取施工安全措施，确保工程及其人员、材料、设备和设施的安全，防止因工程施工造成的人身伤害和财产损失；</w:t>
      </w:r>
    </w:p>
    <w:p w14:paraId="64B48DCF">
      <w:pPr>
        <w:spacing w:line="360" w:lineRule="auto"/>
        <w:ind w:firstLine="480" w:firstLineChars="200"/>
        <w:rPr>
          <w:rFonts w:hint="eastAsia" w:ascii="宋体" w:hAnsi="宋体" w:eastAsia="宋体" w:cs="宋体"/>
        </w:rPr>
      </w:pPr>
      <w:r>
        <w:rPr>
          <w:rFonts w:hint="eastAsia" w:ascii="宋体" w:hAnsi="宋体" w:eastAsia="宋体" w:cs="宋体"/>
        </w:rPr>
        <w:t>（8）将发包人按合同约定支付的各项价款专用于合同工程，且应及时支付其雇用人员工资，并及时向分包人支付合同价款；</w:t>
      </w:r>
    </w:p>
    <w:p w14:paraId="0D464403">
      <w:pPr>
        <w:spacing w:line="360" w:lineRule="auto"/>
        <w:ind w:firstLine="480" w:firstLineChars="200"/>
        <w:rPr>
          <w:rFonts w:hint="eastAsia" w:ascii="宋体" w:hAnsi="宋体" w:eastAsia="宋体" w:cs="宋体"/>
        </w:rPr>
      </w:pPr>
      <w:r>
        <w:rPr>
          <w:rFonts w:hint="eastAsia" w:ascii="宋体" w:hAnsi="宋体" w:eastAsia="宋体" w:cs="宋体"/>
        </w:rPr>
        <w:t>（9）按照法律规定和合同约定编制竣工资料，完成竣工资料立卷及归档，并按专用合同条款约定的竣工资料的套数、内容、时间等要求移交发包人；</w:t>
      </w:r>
    </w:p>
    <w:p w14:paraId="7539B943">
      <w:pPr>
        <w:spacing w:line="360" w:lineRule="auto"/>
        <w:ind w:firstLine="480" w:firstLineChars="200"/>
        <w:rPr>
          <w:rFonts w:hint="eastAsia" w:ascii="宋体" w:hAnsi="宋体" w:eastAsia="宋体" w:cs="宋体"/>
        </w:rPr>
      </w:pPr>
      <w:r>
        <w:rPr>
          <w:rFonts w:hint="eastAsia" w:ascii="宋体" w:hAnsi="宋体" w:eastAsia="宋体" w:cs="宋体"/>
        </w:rPr>
        <w:t>（10）应履行的其他义务。</w:t>
      </w:r>
    </w:p>
    <w:p w14:paraId="32025F4A">
      <w:pPr>
        <w:spacing w:line="360" w:lineRule="auto"/>
        <w:ind w:firstLine="480" w:firstLineChars="200"/>
        <w:rPr>
          <w:rFonts w:hint="eastAsia" w:ascii="宋体" w:hAnsi="宋体" w:eastAsia="宋体" w:cs="宋体"/>
        </w:rPr>
      </w:pPr>
      <w:bookmarkStart w:id="202" w:name="_Toc351203520"/>
      <w:bookmarkStart w:id="203" w:name="_Toc145583372"/>
      <w:r>
        <w:rPr>
          <w:rFonts w:hint="eastAsia" w:ascii="宋体" w:hAnsi="宋体" w:eastAsia="宋体" w:cs="宋体"/>
        </w:rPr>
        <w:t>3</w:t>
      </w:r>
      <w:bookmarkStart w:id="204" w:name="_Toc337558748"/>
      <w:bookmarkStart w:id="205" w:name="_Toc296503047"/>
      <w:bookmarkStart w:id="206" w:name="_Toc296346548"/>
      <w:r>
        <w:rPr>
          <w:rFonts w:hint="eastAsia" w:ascii="宋体" w:hAnsi="宋体" w:eastAsia="宋体" w:cs="宋体"/>
        </w:rPr>
        <w:t xml:space="preserve">.2 </w:t>
      </w:r>
      <w:bookmarkEnd w:id="202"/>
      <w:r>
        <w:rPr>
          <w:rFonts w:hint="eastAsia" w:ascii="宋体" w:hAnsi="宋体" w:eastAsia="宋体" w:cs="宋体"/>
        </w:rPr>
        <w:t>项目经理</w:t>
      </w:r>
      <w:bookmarkEnd w:id="203"/>
    </w:p>
    <w:bookmarkEnd w:id="204"/>
    <w:bookmarkEnd w:id="205"/>
    <w:bookmarkEnd w:id="206"/>
    <w:p w14:paraId="201C687F">
      <w:pPr>
        <w:spacing w:line="360" w:lineRule="auto"/>
        <w:ind w:firstLine="480" w:firstLineChars="200"/>
        <w:rPr>
          <w:rFonts w:hint="eastAsia" w:ascii="宋体" w:hAnsi="宋体" w:eastAsia="宋体" w:cs="宋体"/>
        </w:rPr>
      </w:pPr>
      <w:r>
        <w:rPr>
          <w:rFonts w:hint="eastAsia" w:ascii="宋体" w:hAnsi="宋体" w:eastAsia="宋体" w:cs="宋体"/>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5865FC52">
      <w:pPr>
        <w:spacing w:line="360" w:lineRule="auto"/>
        <w:ind w:firstLine="480" w:firstLineChars="200"/>
        <w:rPr>
          <w:rFonts w:hint="eastAsia" w:ascii="宋体" w:hAnsi="宋体" w:eastAsia="宋体" w:cs="宋体"/>
        </w:rPr>
      </w:pPr>
      <w:r>
        <w:rPr>
          <w:rFonts w:hint="eastAsia" w:ascii="宋体" w:hAnsi="宋体" w:eastAsia="宋体" w:cs="宋体"/>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37EF9E25">
      <w:pPr>
        <w:spacing w:line="360" w:lineRule="auto"/>
        <w:ind w:firstLine="480" w:firstLineChars="200"/>
        <w:rPr>
          <w:rFonts w:hint="eastAsia" w:ascii="宋体" w:hAnsi="宋体" w:eastAsia="宋体" w:cs="宋体"/>
        </w:rPr>
      </w:pPr>
      <w:r>
        <w:rPr>
          <w:rFonts w:hint="eastAsia" w:ascii="宋体" w:hAnsi="宋体" w:eastAsia="宋体" w:cs="宋体"/>
        </w:rPr>
        <w:t>承包人违反上述约定的，应按照专用合同条款的约定，承担违约责任。</w:t>
      </w:r>
    </w:p>
    <w:p w14:paraId="196D732C">
      <w:pPr>
        <w:spacing w:line="360" w:lineRule="auto"/>
        <w:ind w:firstLine="480" w:firstLineChars="200"/>
        <w:rPr>
          <w:rFonts w:hint="eastAsia" w:ascii="宋体" w:hAnsi="宋体" w:eastAsia="宋体" w:cs="宋体"/>
        </w:rPr>
      </w:pPr>
      <w:r>
        <w:rPr>
          <w:rFonts w:hint="eastAsia" w:ascii="宋体" w:hAnsi="宋体" w:eastAsia="宋体" w:cs="宋体"/>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6DEDBD1F">
      <w:pPr>
        <w:spacing w:line="360" w:lineRule="auto"/>
        <w:ind w:firstLine="480" w:firstLineChars="200"/>
        <w:rPr>
          <w:rFonts w:hint="eastAsia" w:ascii="宋体" w:hAnsi="宋体" w:eastAsia="宋体" w:cs="宋体"/>
        </w:rPr>
      </w:pPr>
      <w:r>
        <w:rPr>
          <w:rFonts w:hint="eastAsia" w:ascii="宋体" w:hAnsi="宋体" w:eastAsia="宋体" w:cs="宋体"/>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43DFB47A">
      <w:pPr>
        <w:spacing w:line="360" w:lineRule="auto"/>
        <w:ind w:firstLine="480" w:firstLineChars="200"/>
        <w:rPr>
          <w:rFonts w:hint="eastAsia" w:ascii="宋体" w:hAnsi="宋体" w:eastAsia="宋体" w:cs="宋体"/>
        </w:rPr>
      </w:pPr>
      <w:r>
        <w:rPr>
          <w:rFonts w:hint="eastAsia" w:ascii="宋体" w:hAnsi="宋体" w:eastAsia="宋体" w:cs="宋体"/>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5B6AE309">
      <w:pPr>
        <w:spacing w:line="360" w:lineRule="auto"/>
        <w:ind w:firstLine="480" w:firstLineChars="200"/>
        <w:rPr>
          <w:rFonts w:hint="eastAsia" w:ascii="宋体" w:hAnsi="宋体" w:eastAsia="宋体" w:cs="宋体"/>
        </w:rPr>
      </w:pPr>
      <w:r>
        <w:rPr>
          <w:rFonts w:hint="eastAsia" w:ascii="宋体" w:hAnsi="宋体" w:eastAsia="宋体" w:cs="宋体"/>
        </w:rPr>
        <w:t>3.2.5 项目经理因特殊情况授权其下属人员履行其某项工作职责的，该下属人员应具备履行相应职责的能力，并应提前7天将上述人员的姓名和授权范围书面通知监理人，并征得发包人书面同意。</w:t>
      </w:r>
    </w:p>
    <w:p w14:paraId="52720132">
      <w:pPr>
        <w:spacing w:line="360" w:lineRule="auto"/>
        <w:ind w:firstLine="480" w:firstLineChars="200"/>
        <w:rPr>
          <w:rFonts w:hint="eastAsia" w:ascii="宋体" w:hAnsi="宋体" w:eastAsia="宋体" w:cs="宋体"/>
        </w:rPr>
      </w:pPr>
      <w:bookmarkStart w:id="207" w:name="_Toc145583373"/>
      <w:bookmarkStart w:id="208" w:name="_Toc351203521"/>
      <w:r>
        <w:rPr>
          <w:rFonts w:hint="eastAsia" w:ascii="宋体" w:hAnsi="宋体" w:eastAsia="宋体" w:cs="宋体"/>
        </w:rPr>
        <w:t>3</w:t>
      </w:r>
      <w:bookmarkStart w:id="209" w:name="_Toc296346549"/>
      <w:bookmarkStart w:id="210" w:name="_Toc296503048"/>
      <w:bookmarkStart w:id="211" w:name="_Toc337558749"/>
      <w:r>
        <w:rPr>
          <w:rFonts w:hint="eastAsia" w:ascii="宋体" w:hAnsi="宋体" w:eastAsia="宋体" w:cs="宋体"/>
        </w:rPr>
        <w:t xml:space="preserve">.3 </w:t>
      </w:r>
      <w:bookmarkEnd w:id="209"/>
      <w:bookmarkEnd w:id="210"/>
      <w:r>
        <w:rPr>
          <w:rFonts w:hint="eastAsia" w:ascii="宋体" w:hAnsi="宋体" w:eastAsia="宋体" w:cs="宋体"/>
        </w:rPr>
        <w:t>承包人人员</w:t>
      </w:r>
      <w:bookmarkEnd w:id="207"/>
      <w:bookmarkEnd w:id="208"/>
    </w:p>
    <w:bookmarkEnd w:id="211"/>
    <w:p w14:paraId="00DA9321">
      <w:pPr>
        <w:spacing w:line="360" w:lineRule="auto"/>
        <w:ind w:firstLine="480" w:firstLineChars="200"/>
        <w:rPr>
          <w:rFonts w:hint="eastAsia" w:ascii="宋体" w:hAnsi="宋体" w:eastAsia="宋体" w:cs="宋体"/>
        </w:rPr>
      </w:pPr>
      <w:r>
        <w:rPr>
          <w:rFonts w:hint="eastAsia" w:ascii="宋体" w:hAnsi="宋体" w:eastAsia="宋体" w:cs="宋体"/>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44A50C27">
      <w:pPr>
        <w:spacing w:line="360" w:lineRule="auto"/>
        <w:ind w:firstLine="480" w:firstLineChars="200"/>
        <w:rPr>
          <w:rFonts w:hint="eastAsia" w:ascii="宋体" w:hAnsi="宋体" w:eastAsia="宋体" w:cs="宋体"/>
        </w:rPr>
      </w:pPr>
      <w:r>
        <w:rPr>
          <w:rFonts w:hint="eastAsia" w:ascii="宋体" w:hAnsi="宋体" w:eastAsia="宋体" w:cs="宋体"/>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2BEA3FAD">
      <w:pPr>
        <w:spacing w:line="360" w:lineRule="auto"/>
        <w:ind w:firstLine="480" w:firstLineChars="200"/>
        <w:rPr>
          <w:rFonts w:hint="eastAsia" w:ascii="宋体" w:hAnsi="宋体" w:eastAsia="宋体" w:cs="宋体"/>
        </w:rPr>
      </w:pPr>
      <w:r>
        <w:rPr>
          <w:rFonts w:hint="eastAsia" w:ascii="宋体" w:hAnsi="宋体" w:eastAsia="宋体" w:cs="宋体"/>
        </w:rPr>
        <w:t>特殊工种作业人员均应持有相应的资格证明，监理人可以随时检查。</w:t>
      </w:r>
    </w:p>
    <w:p w14:paraId="4457ABCB">
      <w:pPr>
        <w:spacing w:line="360" w:lineRule="auto"/>
        <w:ind w:firstLine="480" w:firstLineChars="200"/>
        <w:rPr>
          <w:rFonts w:hint="eastAsia" w:ascii="宋体" w:hAnsi="宋体" w:eastAsia="宋体" w:cs="宋体"/>
        </w:rPr>
      </w:pPr>
      <w:r>
        <w:rPr>
          <w:rFonts w:hint="eastAsia" w:ascii="宋体" w:hAnsi="宋体" w:eastAsia="宋体" w:cs="宋体"/>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0EB7FF65">
      <w:pPr>
        <w:spacing w:line="360" w:lineRule="auto"/>
        <w:ind w:firstLine="480" w:firstLineChars="200"/>
        <w:rPr>
          <w:rFonts w:hint="eastAsia" w:ascii="宋体" w:hAnsi="宋体" w:eastAsia="宋体" w:cs="宋体"/>
        </w:rPr>
      </w:pPr>
      <w:r>
        <w:rPr>
          <w:rFonts w:hint="eastAsia" w:ascii="宋体" w:hAnsi="宋体" w:eastAsia="宋体" w:cs="宋体"/>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09C4A837">
      <w:pPr>
        <w:spacing w:line="360" w:lineRule="auto"/>
        <w:ind w:firstLine="480" w:firstLineChars="200"/>
        <w:rPr>
          <w:rFonts w:hint="eastAsia" w:ascii="宋体" w:hAnsi="宋体" w:eastAsia="宋体" w:cs="宋体"/>
        </w:rPr>
      </w:pPr>
      <w:r>
        <w:rPr>
          <w:rFonts w:hint="eastAsia" w:ascii="宋体" w:hAnsi="宋体" w:eastAsia="宋体" w:cs="宋体"/>
        </w:rPr>
        <w:t>3.3.5 承包人擅自更换主要施工管理人员，或前述人员未经监理人或发包人同意擅自离开施工现场的，应按照专用合同条款约定承担违约责任。</w:t>
      </w:r>
    </w:p>
    <w:p w14:paraId="77BEF68F">
      <w:pPr>
        <w:spacing w:line="360" w:lineRule="auto"/>
        <w:ind w:firstLine="480" w:firstLineChars="200"/>
        <w:rPr>
          <w:rFonts w:hint="eastAsia" w:ascii="宋体" w:hAnsi="宋体" w:eastAsia="宋体" w:cs="宋体"/>
        </w:rPr>
      </w:pPr>
      <w:bookmarkStart w:id="212" w:name="_Toc145583374"/>
      <w:bookmarkStart w:id="213" w:name="_Toc351203522"/>
      <w:r>
        <w:rPr>
          <w:rFonts w:hint="eastAsia" w:ascii="宋体" w:hAnsi="宋体" w:eastAsia="宋体" w:cs="宋体"/>
        </w:rPr>
        <w:t>3</w:t>
      </w:r>
      <w:bookmarkStart w:id="214" w:name="_Toc296503050"/>
      <w:bookmarkStart w:id="215" w:name="_Toc337558750"/>
      <w:bookmarkStart w:id="216" w:name="_Toc296346551"/>
      <w:r>
        <w:rPr>
          <w:rFonts w:hint="eastAsia" w:ascii="宋体" w:hAnsi="宋体" w:eastAsia="宋体" w:cs="宋体"/>
        </w:rPr>
        <w:t>.4 承包人现场查勘</w:t>
      </w:r>
      <w:bookmarkEnd w:id="212"/>
      <w:bookmarkEnd w:id="213"/>
    </w:p>
    <w:bookmarkEnd w:id="214"/>
    <w:bookmarkEnd w:id="215"/>
    <w:bookmarkEnd w:id="216"/>
    <w:p w14:paraId="5E20FC58">
      <w:pPr>
        <w:spacing w:line="360" w:lineRule="auto"/>
        <w:ind w:firstLine="480" w:firstLineChars="200"/>
        <w:rPr>
          <w:rFonts w:hint="eastAsia" w:ascii="宋体" w:hAnsi="宋体" w:eastAsia="宋体" w:cs="宋体"/>
        </w:rPr>
      </w:pPr>
      <w:r>
        <w:rPr>
          <w:rFonts w:hint="eastAsia" w:ascii="宋体" w:hAnsi="宋体" w:eastAsia="宋体" w:cs="宋体"/>
        </w:rPr>
        <w:t>承包人应对基于发包人按照第2.4.3项〔提供基础资料〕提交的基础资料所做出的解释和推断负责，但因基础资料存在错误、遗漏导致承包人解释或推断失实的，由发包人承担责任。</w:t>
      </w:r>
    </w:p>
    <w:p w14:paraId="669829F7">
      <w:pPr>
        <w:spacing w:line="360" w:lineRule="auto"/>
        <w:ind w:firstLine="480" w:firstLineChars="200"/>
        <w:rPr>
          <w:rFonts w:hint="eastAsia" w:ascii="宋体" w:hAnsi="宋体" w:eastAsia="宋体" w:cs="宋体"/>
        </w:rPr>
      </w:pPr>
      <w:r>
        <w:rPr>
          <w:rFonts w:hint="eastAsia" w:ascii="宋体" w:hAnsi="宋体" w:eastAsia="宋体" w:cs="宋体"/>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16F627F1">
      <w:pPr>
        <w:spacing w:line="360" w:lineRule="auto"/>
        <w:ind w:firstLine="480" w:firstLineChars="200"/>
        <w:rPr>
          <w:rFonts w:hint="eastAsia" w:ascii="宋体" w:hAnsi="宋体" w:eastAsia="宋体" w:cs="宋体"/>
        </w:rPr>
      </w:pPr>
      <w:bookmarkStart w:id="217" w:name="_Toc351203523"/>
      <w:bookmarkStart w:id="218" w:name="_Toc145583375"/>
      <w:r>
        <w:rPr>
          <w:rFonts w:hint="eastAsia" w:ascii="宋体" w:hAnsi="宋体" w:eastAsia="宋体" w:cs="宋体"/>
        </w:rPr>
        <w:t>3</w:t>
      </w:r>
      <w:bookmarkStart w:id="219" w:name="_Toc296503051"/>
      <w:bookmarkStart w:id="220" w:name="_Toc337558751"/>
      <w:bookmarkStart w:id="221" w:name="_Toc296346552"/>
      <w:r>
        <w:rPr>
          <w:rFonts w:hint="eastAsia" w:ascii="宋体" w:hAnsi="宋体" w:eastAsia="宋体" w:cs="宋体"/>
        </w:rPr>
        <w:t>.5 分包</w:t>
      </w:r>
      <w:bookmarkEnd w:id="217"/>
      <w:bookmarkEnd w:id="218"/>
    </w:p>
    <w:bookmarkEnd w:id="219"/>
    <w:bookmarkEnd w:id="220"/>
    <w:bookmarkEnd w:id="221"/>
    <w:p w14:paraId="303BDD4F">
      <w:pPr>
        <w:spacing w:line="360" w:lineRule="auto"/>
        <w:ind w:firstLine="480" w:firstLineChars="200"/>
        <w:rPr>
          <w:rFonts w:hint="eastAsia" w:ascii="宋体" w:hAnsi="宋体" w:eastAsia="宋体" w:cs="宋体"/>
        </w:rPr>
      </w:pPr>
      <w:r>
        <w:rPr>
          <w:rFonts w:hint="eastAsia" w:ascii="宋体" w:hAnsi="宋体" w:eastAsia="宋体" w:cs="宋体"/>
        </w:rPr>
        <w:t>3.5.1 分包的一般约定</w:t>
      </w:r>
    </w:p>
    <w:p w14:paraId="196A96D1">
      <w:pPr>
        <w:spacing w:line="360" w:lineRule="auto"/>
        <w:ind w:firstLine="480" w:firstLineChars="200"/>
        <w:rPr>
          <w:rFonts w:hint="eastAsia" w:ascii="宋体" w:hAnsi="宋体" w:eastAsia="宋体" w:cs="宋体"/>
        </w:rPr>
      </w:pPr>
      <w:r>
        <w:rPr>
          <w:rFonts w:hint="eastAsia" w:ascii="宋体" w:hAnsi="宋体" w:eastAsia="宋体" w:cs="宋体"/>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5A510BFC">
      <w:pPr>
        <w:spacing w:line="360" w:lineRule="auto"/>
        <w:ind w:firstLine="480" w:firstLineChars="200"/>
        <w:rPr>
          <w:rFonts w:hint="eastAsia" w:ascii="宋体" w:hAnsi="宋体" w:eastAsia="宋体" w:cs="宋体"/>
        </w:rPr>
      </w:pPr>
      <w:r>
        <w:rPr>
          <w:rFonts w:hint="eastAsia" w:ascii="宋体" w:hAnsi="宋体" w:eastAsia="宋体" w:cs="宋体"/>
        </w:rPr>
        <w:t>承包人不得以劳务分包的名义转包或违法分包工程。</w:t>
      </w:r>
    </w:p>
    <w:p w14:paraId="2FCD91EE">
      <w:pPr>
        <w:spacing w:line="360" w:lineRule="auto"/>
        <w:ind w:firstLine="480" w:firstLineChars="200"/>
        <w:rPr>
          <w:rFonts w:hint="eastAsia" w:ascii="宋体" w:hAnsi="宋体" w:eastAsia="宋体" w:cs="宋体"/>
        </w:rPr>
      </w:pPr>
      <w:r>
        <w:rPr>
          <w:rFonts w:hint="eastAsia" w:ascii="宋体" w:hAnsi="宋体" w:eastAsia="宋体" w:cs="宋体"/>
        </w:rPr>
        <w:t>3.5.2 分包的确定</w:t>
      </w:r>
    </w:p>
    <w:p w14:paraId="38105E08">
      <w:pPr>
        <w:spacing w:line="360" w:lineRule="auto"/>
        <w:ind w:firstLine="480" w:firstLineChars="200"/>
        <w:rPr>
          <w:rFonts w:hint="eastAsia" w:ascii="宋体" w:hAnsi="宋体" w:eastAsia="宋体" w:cs="宋体"/>
        </w:rPr>
      </w:pPr>
      <w:r>
        <w:rPr>
          <w:rFonts w:hint="eastAsia" w:ascii="宋体" w:hAnsi="宋体" w:eastAsia="宋体" w:cs="宋体"/>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599C3383">
      <w:pPr>
        <w:spacing w:line="360" w:lineRule="auto"/>
        <w:ind w:firstLine="480" w:firstLineChars="200"/>
        <w:rPr>
          <w:rFonts w:hint="eastAsia" w:ascii="宋体" w:hAnsi="宋体" w:eastAsia="宋体" w:cs="宋体"/>
        </w:rPr>
      </w:pPr>
      <w:r>
        <w:rPr>
          <w:rFonts w:hint="eastAsia" w:ascii="宋体" w:hAnsi="宋体" w:eastAsia="宋体" w:cs="宋体"/>
        </w:rPr>
        <w:t>3.5.3 分包管理</w:t>
      </w:r>
    </w:p>
    <w:p w14:paraId="4B536E43">
      <w:pPr>
        <w:spacing w:line="360" w:lineRule="auto"/>
        <w:ind w:firstLine="480" w:firstLineChars="200"/>
        <w:rPr>
          <w:rFonts w:hint="eastAsia" w:ascii="宋体" w:hAnsi="宋体" w:eastAsia="宋体" w:cs="宋体"/>
        </w:rPr>
      </w:pPr>
      <w:r>
        <w:rPr>
          <w:rFonts w:hint="eastAsia" w:ascii="宋体" w:hAnsi="宋体" w:eastAsia="宋体" w:cs="宋体"/>
        </w:rPr>
        <w:t>承包人应向监理人提交分包人的主要施工管理人员表，并对分包人的施工人员进行实名制管理，包括但不限于进出场管理、登记造册以及各种证照的办理。</w:t>
      </w:r>
    </w:p>
    <w:p w14:paraId="78FBD310">
      <w:pPr>
        <w:spacing w:line="360" w:lineRule="auto"/>
        <w:ind w:firstLine="480" w:firstLineChars="200"/>
        <w:rPr>
          <w:rFonts w:hint="eastAsia" w:ascii="宋体" w:hAnsi="宋体" w:eastAsia="宋体" w:cs="宋体"/>
        </w:rPr>
      </w:pPr>
      <w:r>
        <w:rPr>
          <w:rFonts w:hint="eastAsia" w:ascii="宋体" w:hAnsi="宋体" w:eastAsia="宋体" w:cs="宋体"/>
        </w:rPr>
        <w:t>3.5.4 分包合同价款</w:t>
      </w:r>
    </w:p>
    <w:p w14:paraId="5A737FCF">
      <w:pPr>
        <w:spacing w:line="360" w:lineRule="auto"/>
        <w:ind w:firstLine="480" w:firstLineChars="200"/>
        <w:rPr>
          <w:rFonts w:hint="eastAsia" w:ascii="宋体" w:hAnsi="宋体" w:eastAsia="宋体" w:cs="宋体"/>
        </w:rPr>
      </w:pPr>
      <w:r>
        <w:rPr>
          <w:rFonts w:hint="eastAsia" w:ascii="宋体" w:hAnsi="宋体" w:eastAsia="宋体" w:cs="宋体"/>
        </w:rPr>
        <w:t>（1）除本项第（2）目约定的情况或专用合同条款另有约定外，分包合同价款由承包人与分包人结算，未经承包人同意，发包人不得向分包人支付分包工程价款；</w:t>
      </w:r>
    </w:p>
    <w:p w14:paraId="754B729E">
      <w:pPr>
        <w:spacing w:line="360" w:lineRule="auto"/>
        <w:ind w:firstLine="480" w:firstLineChars="200"/>
        <w:rPr>
          <w:rFonts w:hint="eastAsia" w:ascii="宋体" w:hAnsi="宋体" w:eastAsia="宋体" w:cs="宋体"/>
        </w:rPr>
      </w:pPr>
      <w:r>
        <w:rPr>
          <w:rFonts w:hint="eastAsia" w:ascii="宋体" w:hAnsi="宋体" w:eastAsia="宋体" w:cs="宋体"/>
        </w:rPr>
        <w:t>（2）生效法律文书要求发包人向分包人支付分包合同价款的，发包人有权从应付承包人工程款中扣除该部分款项。</w:t>
      </w:r>
    </w:p>
    <w:p w14:paraId="6C041BB4">
      <w:pPr>
        <w:spacing w:line="360" w:lineRule="auto"/>
        <w:ind w:firstLine="480" w:firstLineChars="200"/>
        <w:rPr>
          <w:rFonts w:hint="eastAsia" w:ascii="宋体" w:hAnsi="宋体" w:eastAsia="宋体" w:cs="宋体"/>
        </w:rPr>
      </w:pPr>
      <w:r>
        <w:rPr>
          <w:rFonts w:hint="eastAsia" w:ascii="宋体" w:hAnsi="宋体" w:eastAsia="宋体" w:cs="宋体"/>
        </w:rPr>
        <w:t>3.5.5 分包合同权益的转让</w:t>
      </w:r>
    </w:p>
    <w:p w14:paraId="1E63EF20">
      <w:pPr>
        <w:spacing w:line="360" w:lineRule="auto"/>
        <w:ind w:firstLine="480" w:firstLineChars="200"/>
        <w:rPr>
          <w:rFonts w:hint="eastAsia" w:ascii="宋体" w:hAnsi="宋体" w:eastAsia="宋体" w:cs="宋体"/>
        </w:rPr>
      </w:pPr>
      <w:r>
        <w:rPr>
          <w:rFonts w:hint="eastAsia" w:ascii="宋体" w:hAnsi="宋体" w:eastAsia="宋体" w:cs="宋体"/>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22" w:name="_Toc351203524"/>
    </w:p>
    <w:p w14:paraId="7663F0B5">
      <w:pPr>
        <w:spacing w:line="360" w:lineRule="auto"/>
        <w:ind w:firstLine="480" w:firstLineChars="200"/>
        <w:rPr>
          <w:rFonts w:hint="eastAsia" w:ascii="宋体" w:hAnsi="宋体" w:eastAsia="宋体" w:cs="宋体"/>
        </w:rPr>
      </w:pPr>
      <w:bookmarkStart w:id="223" w:name="_Toc145583376"/>
      <w:r>
        <w:rPr>
          <w:rFonts w:hint="eastAsia" w:ascii="宋体" w:hAnsi="宋体" w:eastAsia="宋体" w:cs="宋体"/>
        </w:rPr>
        <w:t>3.6 工程照管与成品、半成品保护</w:t>
      </w:r>
      <w:bookmarkEnd w:id="222"/>
      <w:bookmarkEnd w:id="223"/>
    </w:p>
    <w:p w14:paraId="4CA69863">
      <w:pPr>
        <w:spacing w:line="360" w:lineRule="auto"/>
        <w:ind w:firstLine="480" w:firstLineChars="200"/>
        <w:rPr>
          <w:rFonts w:hint="eastAsia" w:ascii="宋体" w:hAnsi="宋体" w:eastAsia="宋体" w:cs="宋体"/>
        </w:rPr>
      </w:pPr>
      <w:r>
        <w:rPr>
          <w:rFonts w:hint="eastAsia" w:ascii="宋体" w:hAnsi="宋体" w:eastAsia="宋体" w:cs="宋体"/>
        </w:rPr>
        <w:t>（1）除专用合同条款另有约定外，自发包人向承包人移交施工现场之日起，承包人应负责照管工程及工程相关的材料、工程设备，</w:t>
      </w:r>
      <w:r>
        <w:rPr>
          <w:rFonts w:hint="eastAsia" w:ascii="宋体" w:hAnsi="宋体" w:eastAsia="宋体" w:cs="宋体"/>
          <w:lang w:eastAsia="zh-CN"/>
        </w:rPr>
        <w:t>工作面范围内半成品、成品的保护工作，并承担修复责任，</w:t>
      </w:r>
      <w:r>
        <w:rPr>
          <w:rFonts w:hint="eastAsia" w:ascii="宋体" w:hAnsi="宋体" w:eastAsia="宋体" w:cs="宋体"/>
        </w:rPr>
        <w:t>直到颁发工程接收证书之日止。</w:t>
      </w:r>
    </w:p>
    <w:p w14:paraId="3D85375D">
      <w:pPr>
        <w:spacing w:line="360" w:lineRule="auto"/>
        <w:ind w:firstLine="480" w:firstLineChars="200"/>
        <w:rPr>
          <w:rFonts w:hint="eastAsia" w:ascii="宋体" w:hAnsi="宋体" w:eastAsia="宋体" w:cs="宋体"/>
        </w:rPr>
      </w:pPr>
      <w:r>
        <w:rPr>
          <w:rFonts w:hint="eastAsia" w:ascii="宋体" w:hAnsi="宋体" w:eastAsia="宋体" w:cs="宋体"/>
        </w:rPr>
        <w:t>（2）在承包人负责照管期间，因承包人原因造成工程、材料、工程设备损坏的，由承包人负责修复或更换，并承担由此增加的费用和（或）延误的工期。</w:t>
      </w:r>
    </w:p>
    <w:p w14:paraId="2EAB8CFC">
      <w:pPr>
        <w:spacing w:line="360" w:lineRule="auto"/>
        <w:ind w:firstLine="480" w:firstLineChars="200"/>
        <w:rPr>
          <w:rFonts w:hint="eastAsia" w:ascii="宋体" w:hAnsi="宋体" w:eastAsia="宋体" w:cs="宋体"/>
        </w:rPr>
      </w:pPr>
      <w:r>
        <w:rPr>
          <w:rFonts w:hint="eastAsia" w:ascii="宋体" w:hAnsi="宋体" w:eastAsia="宋体" w:cs="宋体"/>
        </w:rPr>
        <w:t>（3）对合同内分期完成的成品和半成品，在工程接收证书颁发前，由承包人承担保护责任。因承包人原因造成成品或半成品损坏的，由承包人负责修复或更换，并承担由此增加的费用和（或）延误的工期。</w:t>
      </w:r>
    </w:p>
    <w:p w14:paraId="519F7D50">
      <w:pPr>
        <w:spacing w:line="360" w:lineRule="auto"/>
        <w:ind w:firstLine="480" w:firstLineChars="200"/>
        <w:rPr>
          <w:rFonts w:hint="eastAsia" w:ascii="宋体" w:hAnsi="宋体" w:eastAsia="宋体" w:cs="宋体"/>
        </w:rPr>
      </w:pPr>
      <w:bookmarkStart w:id="224" w:name="_Toc351203525"/>
      <w:bookmarkStart w:id="225" w:name="_Toc145583377"/>
      <w:r>
        <w:rPr>
          <w:rFonts w:hint="eastAsia" w:ascii="宋体" w:hAnsi="宋体" w:eastAsia="宋体" w:cs="宋体"/>
        </w:rPr>
        <w:t>3</w:t>
      </w:r>
      <w:bookmarkStart w:id="226" w:name="_Toc337558752"/>
      <w:bookmarkStart w:id="227" w:name="_Toc296346553"/>
      <w:bookmarkStart w:id="228" w:name="_Toc296503052"/>
      <w:r>
        <w:rPr>
          <w:rFonts w:hint="eastAsia" w:ascii="宋体" w:hAnsi="宋体" w:eastAsia="宋体" w:cs="宋体"/>
        </w:rPr>
        <w:t>.7 履约担保</w:t>
      </w:r>
      <w:bookmarkEnd w:id="224"/>
      <w:bookmarkEnd w:id="225"/>
    </w:p>
    <w:bookmarkEnd w:id="226"/>
    <w:bookmarkEnd w:id="227"/>
    <w:bookmarkEnd w:id="228"/>
    <w:p w14:paraId="118CA3EF">
      <w:pPr>
        <w:spacing w:line="360" w:lineRule="auto"/>
        <w:ind w:firstLine="480" w:firstLineChars="200"/>
        <w:rPr>
          <w:rFonts w:hint="eastAsia" w:ascii="宋体" w:hAnsi="宋体" w:eastAsia="宋体" w:cs="宋体"/>
        </w:rPr>
      </w:pPr>
      <w:r>
        <w:rPr>
          <w:rFonts w:hint="eastAsia" w:ascii="宋体" w:hAnsi="宋体" w:eastAsia="宋体" w:cs="宋体"/>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0A459AFE">
      <w:pPr>
        <w:spacing w:line="360" w:lineRule="auto"/>
        <w:ind w:firstLine="480" w:firstLineChars="200"/>
        <w:rPr>
          <w:rFonts w:hint="eastAsia" w:ascii="宋体" w:hAnsi="宋体" w:eastAsia="宋体" w:cs="宋体"/>
        </w:rPr>
      </w:pPr>
      <w:r>
        <w:rPr>
          <w:rFonts w:hint="eastAsia" w:ascii="宋体" w:hAnsi="宋体" w:eastAsia="宋体" w:cs="宋体"/>
        </w:rPr>
        <w:t>因承包人原因导致工期延长的，继续提供履约担保所增加的费用由承包人承担；非因承包人原因导致工期延长的，继续提供履约担保所增加的费用由发包人承担。</w:t>
      </w:r>
    </w:p>
    <w:p w14:paraId="68E29662">
      <w:pPr>
        <w:spacing w:line="360" w:lineRule="auto"/>
        <w:ind w:firstLine="480" w:firstLineChars="200"/>
        <w:rPr>
          <w:rFonts w:hint="eastAsia" w:ascii="宋体" w:hAnsi="宋体" w:eastAsia="宋体" w:cs="宋体"/>
        </w:rPr>
      </w:pPr>
      <w:bookmarkStart w:id="229" w:name="_Toc351203526"/>
      <w:bookmarkStart w:id="230" w:name="_Toc145583378"/>
      <w:r>
        <w:rPr>
          <w:rFonts w:hint="eastAsia" w:ascii="宋体" w:hAnsi="宋体" w:eastAsia="宋体" w:cs="宋体"/>
        </w:rPr>
        <w:t>3.8 联合体</w:t>
      </w:r>
      <w:bookmarkEnd w:id="229"/>
      <w:bookmarkEnd w:id="230"/>
    </w:p>
    <w:p w14:paraId="7CEC9077">
      <w:pPr>
        <w:spacing w:line="360" w:lineRule="auto"/>
        <w:ind w:firstLine="480" w:firstLineChars="200"/>
        <w:rPr>
          <w:rFonts w:hint="eastAsia" w:ascii="宋体" w:hAnsi="宋体" w:eastAsia="宋体" w:cs="宋体"/>
        </w:rPr>
      </w:pPr>
      <w:r>
        <w:rPr>
          <w:rFonts w:hint="eastAsia" w:ascii="宋体" w:hAnsi="宋体" w:eastAsia="宋体" w:cs="宋体"/>
        </w:rPr>
        <w:t>3.8.1 联合体各方应共同与发包人签订合同协议书。联合体各方应为履行合同向发包人承担连带责任。</w:t>
      </w:r>
    </w:p>
    <w:p w14:paraId="29A3E158">
      <w:pPr>
        <w:spacing w:line="360" w:lineRule="auto"/>
        <w:ind w:firstLine="480" w:firstLineChars="200"/>
        <w:rPr>
          <w:rFonts w:hint="eastAsia" w:ascii="宋体" w:hAnsi="宋体" w:eastAsia="宋体" w:cs="宋体"/>
        </w:rPr>
      </w:pPr>
      <w:r>
        <w:rPr>
          <w:rFonts w:hint="eastAsia" w:ascii="宋体" w:hAnsi="宋体" w:eastAsia="宋体" w:cs="宋体"/>
        </w:rPr>
        <w:t>3.8.2 联合体协议经发包人确认后作为合同附件。在履行合同过程中，未经发包人同意，不得修改联合体协议。</w:t>
      </w:r>
    </w:p>
    <w:p w14:paraId="05993904">
      <w:pPr>
        <w:spacing w:line="360" w:lineRule="auto"/>
        <w:ind w:firstLine="480" w:firstLineChars="200"/>
        <w:rPr>
          <w:rFonts w:hint="eastAsia" w:ascii="宋体" w:hAnsi="宋体" w:eastAsia="宋体" w:cs="宋体"/>
        </w:rPr>
      </w:pPr>
      <w:r>
        <w:rPr>
          <w:rFonts w:hint="eastAsia" w:ascii="宋体" w:hAnsi="宋体" w:eastAsia="宋体" w:cs="宋体"/>
        </w:rPr>
        <w:t>3.8.3 联合体牵头人负责与发包人和监理人联系，并接受指示，负责组织联合体各成员全面履行合同。</w:t>
      </w:r>
    </w:p>
    <w:p w14:paraId="2458FB9A">
      <w:pPr>
        <w:spacing w:line="360" w:lineRule="auto"/>
        <w:ind w:firstLine="480" w:firstLineChars="200"/>
        <w:rPr>
          <w:rFonts w:hint="eastAsia" w:ascii="宋体" w:hAnsi="宋体" w:eastAsia="宋体" w:cs="宋体"/>
        </w:rPr>
      </w:pPr>
      <w:bookmarkStart w:id="231" w:name="_Toc351203527"/>
      <w:bookmarkStart w:id="232" w:name="_Toc145583379"/>
      <w:r>
        <w:rPr>
          <w:rFonts w:hint="eastAsia" w:ascii="宋体" w:hAnsi="宋体" w:eastAsia="宋体" w:cs="宋体"/>
        </w:rPr>
        <w:t>4</w:t>
      </w:r>
      <w:bookmarkStart w:id="233" w:name="_Toc296503053"/>
      <w:bookmarkStart w:id="234" w:name="_Toc296346554"/>
      <w:bookmarkStart w:id="235" w:name="_Toc337558753"/>
      <w:r>
        <w:rPr>
          <w:rFonts w:hint="eastAsia" w:ascii="宋体" w:hAnsi="宋体" w:eastAsia="宋体" w:cs="宋体"/>
        </w:rPr>
        <w:t>. 监</w:t>
      </w:r>
      <w:bookmarkEnd w:id="233"/>
      <w:bookmarkEnd w:id="234"/>
      <w:r>
        <w:rPr>
          <w:rFonts w:hint="eastAsia" w:ascii="宋体" w:hAnsi="宋体" w:eastAsia="宋体" w:cs="宋体"/>
        </w:rPr>
        <w:t>理人</w:t>
      </w:r>
      <w:bookmarkEnd w:id="231"/>
      <w:bookmarkEnd w:id="232"/>
    </w:p>
    <w:bookmarkEnd w:id="235"/>
    <w:p w14:paraId="5D72DBA3">
      <w:pPr>
        <w:spacing w:line="360" w:lineRule="auto"/>
        <w:ind w:firstLine="480" w:firstLineChars="200"/>
        <w:rPr>
          <w:rFonts w:hint="eastAsia" w:ascii="宋体" w:hAnsi="宋体" w:eastAsia="宋体" w:cs="宋体"/>
        </w:rPr>
      </w:pPr>
      <w:bookmarkStart w:id="236" w:name="_Toc145583380"/>
      <w:bookmarkStart w:id="237" w:name="_Toc351203528"/>
      <w:r>
        <w:rPr>
          <w:rFonts w:hint="eastAsia" w:ascii="宋体" w:hAnsi="宋体" w:eastAsia="宋体" w:cs="宋体"/>
        </w:rPr>
        <w:t>4</w:t>
      </w:r>
      <w:bookmarkStart w:id="238" w:name="_Toc296346555"/>
      <w:bookmarkStart w:id="239" w:name="_Toc337558754"/>
      <w:bookmarkStart w:id="240" w:name="_Toc296503054"/>
      <w:r>
        <w:rPr>
          <w:rFonts w:hint="eastAsia" w:ascii="宋体" w:hAnsi="宋体" w:eastAsia="宋体" w:cs="宋体"/>
        </w:rPr>
        <w:t>.1监理人的一般规定</w:t>
      </w:r>
      <w:bookmarkEnd w:id="236"/>
      <w:bookmarkEnd w:id="237"/>
    </w:p>
    <w:bookmarkEnd w:id="238"/>
    <w:bookmarkEnd w:id="239"/>
    <w:bookmarkEnd w:id="240"/>
    <w:p w14:paraId="46561CDE">
      <w:pPr>
        <w:spacing w:line="360" w:lineRule="auto"/>
        <w:ind w:firstLine="480" w:firstLineChars="200"/>
        <w:rPr>
          <w:rFonts w:hint="eastAsia" w:ascii="宋体" w:hAnsi="宋体" w:eastAsia="宋体" w:cs="宋体"/>
        </w:rPr>
      </w:pPr>
      <w:r>
        <w:rPr>
          <w:rFonts w:hint="eastAsia" w:ascii="宋体" w:hAnsi="宋体" w:eastAsia="宋体" w:cs="宋体"/>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355FA3BF">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除专用合同条款另有约定外，监理人在施工现场的办公场所、生活场所由承包人提供，所发生的费用由发包人承担。</w:t>
      </w:r>
    </w:p>
    <w:p w14:paraId="2A577B44">
      <w:pPr>
        <w:spacing w:line="360" w:lineRule="auto"/>
        <w:ind w:firstLine="480" w:firstLineChars="200"/>
        <w:rPr>
          <w:rFonts w:hint="eastAsia" w:ascii="宋体" w:hAnsi="宋体" w:eastAsia="宋体" w:cs="宋体"/>
        </w:rPr>
      </w:pPr>
      <w:bookmarkStart w:id="241" w:name="_Toc145583381"/>
      <w:bookmarkStart w:id="242" w:name="_Toc351203529"/>
      <w:r>
        <w:rPr>
          <w:rFonts w:hint="eastAsia" w:ascii="宋体" w:hAnsi="宋体" w:eastAsia="宋体" w:cs="宋体"/>
        </w:rPr>
        <w:t>4</w:t>
      </w:r>
      <w:bookmarkStart w:id="243" w:name="_Toc337558755"/>
      <w:r>
        <w:rPr>
          <w:rFonts w:hint="eastAsia" w:ascii="宋体" w:hAnsi="宋体" w:eastAsia="宋体" w:cs="宋体"/>
        </w:rPr>
        <w:t>.2监理人员</w:t>
      </w:r>
      <w:bookmarkEnd w:id="241"/>
      <w:bookmarkEnd w:id="242"/>
    </w:p>
    <w:bookmarkEnd w:id="243"/>
    <w:p w14:paraId="78AF1561">
      <w:pPr>
        <w:spacing w:line="360" w:lineRule="auto"/>
        <w:ind w:firstLine="480" w:firstLineChars="200"/>
        <w:rPr>
          <w:rFonts w:hint="eastAsia" w:ascii="宋体" w:hAnsi="宋体" w:eastAsia="宋体" w:cs="宋体"/>
        </w:rPr>
      </w:pPr>
      <w:r>
        <w:rPr>
          <w:rFonts w:hint="eastAsia" w:ascii="宋体" w:hAnsi="宋体" w:eastAsia="宋体" w:cs="宋体"/>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01C9E72A">
      <w:pPr>
        <w:spacing w:line="360" w:lineRule="auto"/>
        <w:ind w:firstLine="480" w:firstLineChars="200"/>
        <w:rPr>
          <w:rFonts w:hint="eastAsia" w:ascii="宋体" w:hAnsi="宋体" w:eastAsia="宋体" w:cs="宋体"/>
        </w:rPr>
      </w:pPr>
      <w:bookmarkStart w:id="244" w:name="_Toc351203530"/>
      <w:bookmarkStart w:id="245" w:name="_Toc145583382"/>
      <w:r>
        <w:rPr>
          <w:rFonts w:hint="eastAsia" w:ascii="宋体" w:hAnsi="宋体" w:eastAsia="宋体" w:cs="宋体"/>
        </w:rPr>
        <w:t>4</w:t>
      </w:r>
      <w:bookmarkStart w:id="246" w:name="_Toc296503055"/>
      <w:bookmarkStart w:id="247" w:name="_Toc296346556"/>
      <w:bookmarkStart w:id="248" w:name="_Toc337558756"/>
      <w:r>
        <w:rPr>
          <w:rFonts w:hint="eastAsia" w:ascii="宋体" w:hAnsi="宋体" w:eastAsia="宋体" w:cs="宋体"/>
        </w:rPr>
        <w:t>.3</w:t>
      </w:r>
      <w:bookmarkEnd w:id="246"/>
      <w:bookmarkEnd w:id="247"/>
      <w:r>
        <w:rPr>
          <w:rFonts w:hint="eastAsia" w:ascii="宋体" w:hAnsi="宋体" w:eastAsia="宋体" w:cs="宋体"/>
        </w:rPr>
        <w:t>监理人的指</w:t>
      </w:r>
      <w:bookmarkEnd w:id="248"/>
      <w:r>
        <w:rPr>
          <w:rFonts w:hint="eastAsia" w:ascii="宋体" w:hAnsi="宋体" w:eastAsia="宋体" w:cs="宋体"/>
        </w:rPr>
        <w:t>示</w:t>
      </w:r>
      <w:bookmarkEnd w:id="244"/>
      <w:bookmarkEnd w:id="245"/>
    </w:p>
    <w:p w14:paraId="50CF444C">
      <w:pPr>
        <w:spacing w:line="360" w:lineRule="auto"/>
        <w:ind w:firstLine="480" w:firstLineChars="200"/>
        <w:rPr>
          <w:rFonts w:hint="eastAsia" w:ascii="宋体" w:hAnsi="宋体" w:eastAsia="宋体" w:cs="宋体"/>
        </w:rPr>
      </w:pPr>
      <w:r>
        <w:rPr>
          <w:rFonts w:hint="eastAsia" w:ascii="宋体" w:hAnsi="宋体" w:eastAsia="宋体" w:cs="宋体"/>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5F60CA90">
      <w:pPr>
        <w:spacing w:line="360" w:lineRule="auto"/>
        <w:ind w:firstLine="480" w:firstLineChars="200"/>
        <w:rPr>
          <w:rFonts w:hint="eastAsia" w:ascii="宋体" w:hAnsi="宋体" w:eastAsia="宋体" w:cs="宋体"/>
        </w:rPr>
      </w:pPr>
      <w:r>
        <w:rPr>
          <w:rFonts w:hint="eastAsia" w:ascii="宋体" w:hAnsi="宋体" w:eastAsia="宋体" w:cs="宋体"/>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025F5CFA">
      <w:pPr>
        <w:spacing w:line="360" w:lineRule="auto"/>
        <w:ind w:firstLine="480" w:firstLineChars="200"/>
        <w:rPr>
          <w:rFonts w:hint="eastAsia" w:ascii="宋体" w:hAnsi="宋体" w:eastAsia="宋体" w:cs="宋体"/>
        </w:rPr>
      </w:pPr>
      <w:r>
        <w:rPr>
          <w:rFonts w:hint="eastAsia" w:ascii="宋体" w:hAnsi="宋体" w:eastAsia="宋体" w:cs="宋体"/>
        </w:rPr>
        <w:t>承包人对监理人发出的指示有疑问的，应向监理人提出书面异议，监理人应在48小时内对该指示予以确认、更改或撤销，监理人逾期未回复的，承包人有权拒绝执行上述指示。</w:t>
      </w:r>
    </w:p>
    <w:p w14:paraId="7064CE8B">
      <w:pPr>
        <w:spacing w:line="360" w:lineRule="auto"/>
        <w:ind w:firstLine="480" w:firstLineChars="200"/>
        <w:rPr>
          <w:rFonts w:hint="eastAsia" w:ascii="宋体" w:hAnsi="宋体" w:eastAsia="宋体" w:cs="宋体"/>
        </w:rPr>
      </w:pPr>
      <w:r>
        <w:rPr>
          <w:rFonts w:hint="eastAsia" w:ascii="宋体" w:hAnsi="宋体" w:eastAsia="宋体" w:cs="宋体"/>
        </w:rPr>
        <w:t>监理人对承包人的任何工作、工程或其采用的材料和工程设备未在约定的或合理期限内提出意见的，视为批准，但不免除或减轻承包人对该工作、工程、材料、工程设备等应承担的责任和义务。</w:t>
      </w:r>
    </w:p>
    <w:p w14:paraId="69C82BD9">
      <w:pPr>
        <w:spacing w:line="360" w:lineRule="auto"/>
        <w:ind w:firstLine="480" w:firstLineChars="200"/>
        <w:rPr>
          <w:rFonts w:hint="eastAsia" w:ascii="宋体" w:hAnsi="宋体" w:eastAsia="宋体" w:cs="宋体"/>
        </w:rPr>
      </w:pPr>
      <w:bookmarkStart w:id="249" w:name="_Toc145583383"/>
      <w:bookmarkStart w:id="250" w:name="_Toc351203531"/>
      <w:r>
        <w:rPr>
          <w:rFonts w:hint="eastAsia" w:ascii="宋体" w:hAnsi="宋体" w:eastAsia="宋体" w:cs="宋体"/>
        </w:rPr>
        <w:t>4</w:t>
      </w:r>
      <w:bookmarkStart w:id="251" w:name="_Toc296346558"/>
      <w:bookmarkStart w:id="252" w:name="_Toc296503057"/>
      <w:bookmarkStart w:id="253" w:name="_Toc337558757"/>
      <w:r>
        <w:rPr>
          <w:rFonts w:hint="eastAsia" w:ascii="宋体" w:hAnsi="宋体" w:eastAsia="宋体" w:cs="宋体"/>
        </w:rPr>
        <w:t>.4 商定或确定</w:t>
      </w:r>
      <w:bookmarkEnd w:id="249"/>
      <w:bookmarkEnd w:id="250"/>
    </w:p>
    <w:bookmarkEnd w:id="251"/>
    <w:bookmarkEnd w:id="252"/>
    <w:bookmarkEnd w:id="253"/>
    <w:p w14:paraId="5FF95735">
      <w:pPr>
        <w:spacing w:line="360" w:lineRule="auto"/>
        <w:ind w:firstLine="480" w:firstLineChars="200"/>
        <w:rPr>
          <w:rFonts w:hint="eastAsia" w:ascii="宋体" w:hAnsi="宋体" w:eastAsia="宋体" w:cs="宋体"/>
        </w:rPr>
      </w:pPr>
      <w:r>
        <w:rPr>
          <w:rFonts w:hint="eastAsia" w:ascii="宋体" w:hAnsi="宋体" w:eastAsia="宋体" w:cs="宋体"/>
        </w:rPr>
        <w:t>合同当事人进行商定或确定时，总监理工程师应当会同合同当事人尽量通过协商达成一致，不能达成一致的，由总监理工程师按照合同约定审慎做出公正的确定。</w:t>
      </w:r>
    </w:p>
    <w:p w14:paraId="244FB1E2">
      <w:pPr>
        <w:spacing w:line="360" w:lineRule="auto"/>
        <w:ind w:firstLine="480" w:firstLineChars="200"/>
        <w:rPr>
          <w:rFonts w:hint="eastAsia" w:ascii="宋体" w:hAnsi="宋体" w:eastAsia="宋体" w:cs="宋体"/>
        </w:rPr>
      </w:pPr>
      <w:r>
        <w:rPr>
          <w:rFonts w:hint="eastAsia" w:ascii="宋体" w:hAnsi="宋体" w:eastAsia="宋体" w:cs="宋体"/>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26D2B48A">
      <w:pPr>
        <w:spacing w:line="360" w:lineRule="auto"/>
        <w:ind w:firstLine="480" w:firstLineChars="200"/>
        <w:rPr>
          <w:rFonts w:hint="eastAsia" w:ascii="宋体" w:hAnsi="宋体" w:eastAsia="宋体" w:cs="宋体"/>
        </w:rPr>
      </w:pPr>
      <w:bookmarkStart w:id="254" w:name="_Toc351203532"/>
      <w:bookmarkStart w:id="255" w:name="_Toc145583384"/>
      <w:r>
        <w:rPr>
          <w:rFonts w:hint="eastAsia" w:ascii="宋体" w:hAnsi="宋体" w:eastAsia="宋体" w:cs="宋体"/>
        </w:rPr>
        <w:t>5</w:t>
      </w:r>
      <w:bookmarkStart w:id="256" w:name="_Toc337558758"/>
      <w:r>
        <w:rPr>
          <w:rFonts w:hint="eastAsia" w:ascii="宋体" w:hAnsi="宋体" w:eastAsia="宋体" w:cs="宋体"/>
        </w:rPr>
        <w:t>. 工程质量</w:t>
      </w:r>
      <w:bookmarkEnd w:id="254"/>
      <w:bookmarkEnd w:id="255"/>
    </w:p>
    <w:bookmarkEnd w:id="256"/>
    <w:p w14:paraId="3D91C18D">
      <w:pPr>
        <w:spacing w:line="360" w:lineRule="auto"/>
        <w:ind w:firstLine="480" w:firstLineChars="200"/>
        <w:rPr>
          <w:rFonts w:hint="eastAsia" w:ascii="宋体" w:hAnsi="宋体" w:eastAsia="宋体" w:cs="宋体"/>
        </w:rPr>
      </w:pPr>
      <w:bookmarkStart w:id="257" w:name="_Toc145583385"/>
      <w:bookmarkStart w:id="258" w:name="_Toc351203533"/>
      <w:r>
        <w:rPr>
          <w:rFonts w:hint="eastAsia" w:ascii="宋体" w:hAnsi="宋体" w:eastAsia="宋体" w:cs="宋体"/>
        </w:rPr>
        <w:t>5</w:t>
      </w:r>
      <w:bookmarkStart w:id="259" w:name="_Toc337558759"/>
      <w:r>
        <w:rPr>
          <w:rFonts w:hint="eastAsia" w:ascii="宋体" w:hAnsi="宋体" w:eastAsia="宋体" w:cs="宋体"/>
        </w:rPr>
        <w:t>.1质量要求</w:t>
      </w:r>
      <w:bookmarkEnd w:id="257"/>
      <w:bookmarkEnd w:id="258"/>
    </w:p>
    <w:bookmarkEnd w:id="259"/>
    <w:p w14:paraId="3C0C134B">
      <w:pPr>
        <w:spacing w:line="360" w:lineRule="auto"/>
        <w:ind w:firstLine="480" w:firstLineChars="200"/>
        <w:rPr>
          <w:rFonts w:hint="eastAsia" w:ascii="宋体" w:hAnsi="宋体" w:eastAsia="宋体" w:cs="宋体"/>
        </w:rPr>
      </w:pPr>
      <w:r>
        <w:rPr>
          <w:rFonts w:hint="eastAsia" w:ascii="宋体" w:hAnsi="宋体" w:eastAsia="宋体" w:cs="宋体"/>
        </w:rPr>
        <w:t>5.1.1 工程质量标准必须符合现行国家有关工程施工质量验收规范和标准的要求。有关工程质量的特殊标准或要求由合同当事人在专用合同条款中约定。</w:t>
      </w:r>
    </w:p>
    <w:p w14:paraId="2A0D8A0B">
      <w:pPr>
        <w:spacing w:line="360" w:lineRule="auto"/>
        <w:ind w:firstLine="480" w:firstLineChars="200"/>
        <w:rPr>
          <w:rFonts w:hint="eastAsia" w:ascii="宋体" w:hAnsi="宋体" w:eastAsia="宋体" w:cs="宋体"/>
        </w:rPr>
      </w:pPr>
      <w:r>
        <w:rPr>
          <w:rFonts w:hint="eastAsia" w:ascii="宋体" w:hAnsi="宋体" w:eastAsia="宋体" w:cs="宋体"/>
        </w:rPr>
        <w:t>5.1.2 因发包人原因造成工程质量未达到合同约定标准的，由发包人承担由此增加的费用和（或）延误的工期。</w:t>
      </w:r>
    </w:p>
    <w:p w14:paraId="734AA98C">
      <w:pPr>
        <w:spacing w:line="360" w:lineRule="auto"/>
        <w:ind w:firstLine="480" w:firstLineChars="200"/>
        <w:rPr>
          <w:rFonts w:hint="eastAsia" w:ascii="宋体" w:hAnsi="宋体" w:eastAsia="宋体" w:cs="宋体"/>
        </w:rPr>
      </w:pPr>
      <w:r>
        <w:rPr>
          <w:rFonts w:hint="eastAsia" w:ascii="宋体" w:hAnsi="宋体" w:eastAsia="宋体" w:cs="宋体"/>
        </w:rPr>
        <w:t>5.1.3 因承包人原因造成工程质量未达到合同约定标准的，发包人有权要求承包人返工直至工程质量达到合同约定的标准为止，并由承包人承担由此增加的费用和（或）延误的工期。</w:t>
      </w:r>
    </w:p>
    <w:p w14:paraId="5BDDCF51">
      <w:pPr>
        <w:spacing w:line="360" w:lineRule="auto"/>
        <w:ind w:firstLine="480" w:firstLineChars="200"/>
        <w:rPr>
          <w:rFonts w:hint="eastAsia" w:ascii="宋体" w:hAnsi="宋体" w:eastAsia="宋体" w:cs="宋体"/>
        </w:rPr>
      </w:pPr>
      <w:bookmarkStart w:id="260" w:name="_Toc145583386"/>
      <w:bookmarkStart w:id="261" w:name="_Toc351203534"/>
      <w:r>
        <w:rPr>
          <w:rFonts w:hint="eastAsia" w:ascii="宋体" w:hAnsi="宋体" w:eastAsia="宋体" w:cs="宋体"/>
        </w:rPr>
        <w:t>5</w:t>
      </w:r>
      <w:bookmarkStart w:id="262" w:name="_Toc337558760"/>
      <w:r>
        <w:rPr>
          <w:rFonts w:hint="eastAsia" w:ascii="宋体" w:hAnsi="宋体" w:eastAsia="宋体" w:cs="宋体"/>
        </w:rPr>
        <w:t>.2质量保证措施</w:t>
      </w:r>
      <w:bookmarkEnd w:id="260"/>
      <w:bookmarkEnd w:id="261"/>
    </w:p>
    <w:bookmarkEnd w:id="262"/>
    <w:p w14:paraId="4308EFB9">
      <w:pPr>
        <w:spacing w:line="360" w:lineRule="auto"/>
        <w:ind w:firstLine="480" w:firstLineChars="200"/>
        <w:rPr>
          <w:rFonts w:hint="eastAsia" w:ascii="宋体" w:hAnsi="宋体" w:eastAsia="宋体" w:cs="宋体"/>
        </w:rPr>
      </w:pPr>
      <w:bookmarkStart w:id="263" w:name="_Toc145583387"/>
      <w:r>
        <w:rPr>
          <w:rFonts w:hint="eastAsia" w:ascii="宋体" w:hAnsi="宋体" w:eastAsia="宋体" w:cs="宋体"/>
        </w:rPr>
        <w:t>5.2.1 发包人的质量管理</w:t>
      </w:r>
      <w:bookmarkEnd w:id="263"/>
    </w:p>
    <w:p w14:paraId="4C451122">
      <w:pPr>
        <w:spacing w:line="360" w:lineRule="auto"/>
        <w:ind w:firstLine="480" w:firstLineChars="200"/>
        <w:rPr>
          <w:rFonts w:hint="eastAsia" w:ascii="宋体" w:hAnsi="宋体" w:eastAsia="宋体" w:cs="宋体"/>
        </w:rPr>
      </w:pPr>
      <w:r>
        <w:rPr>
          <w:rFonts w:hint="eastAsia" w:ascii="宋体" w:hAnsi="宋体" w:eastAsia="宋体" w:cs="宋体"/>
        </w:rPr>
        <w:t>发包人应按照法律规定及合同约定完成与工程质量有关的各项工作。</w:t>
      </w:r>
    </w:p>
    <w:p w14:paraId="6AE87AE7">
      <w:pPr>
        <w:spacing w:line="360" w:lineRule="auto"/>
        <w:ind w:firstLine="480" w:firstLineChars="200"/>
        <w:rPr>
          <w:rFonts w:hint="eastAsia" w:ascii="宋体" w:hAnsi="宋体" w:eastAsia="宋体" w:cs="宋体"/>
        </w:rPr>
      </w:pPr>
      <w:r>
        <w:rPr>
          <w:rFonts w:hint="eastAsia" w:ascii="宋体" w:hAnsi="宋体" w:eastAsia="宋体" w:cs="宋体"/>
        </w:rPr>
        <w:t>5.2.2 承包人的质量管理</w:t>
      </w:r>
    </w:p>
    <w:p w14:paraId="2AC14D1D">
      <w:pPr>
        <w:spacing w:line="360" w:lineRule="auto"/>
        <w:ind w:firstLine="480" w:firstLineChars="200"/>
        <w:rPr>
          <w:rFonts w:hint="eastAsia" w:ascii="宋体" w:hAnsi="宋体" w:eastAsia="宋体" w:cs="宋体"/>
        </w:rPr>
      </w:pPr>
      <w:r>
        <w:rPr>
          <w:rFonts w:hint="eastAsia" w:ascii="宋体" w:hAnsi="宋体" w:eastAsia="宋体" w:cs="宋体"/>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76B79E28">
      <w:pPr>
        <w:spacing w:line="360" w:lineRule="auto"/>
        <w:ind w:firstLine="480" w:firstLineChars="200"/>
        <w:rPr>
          <w:rFonts w:hint="eastAsia" w:ascii="宋体" w:hAnsi="宋体" w:eastAsia="宋体" w:cs="宋体"/>
        </w:rPr>
      </w:pPr>
      <w:r>
        <w:rPr>
          <w:rFonts w:hint="eastAsia" w:ascii="宋体" w:hAnsi="宋体" w:eastAsia="宋体" w:cs="宋体"/>
        </w:rPr>
        <w:t>承包人应对施工人员进行质量教育和技术培训，定期考核施工人员的劳动技能，严格执行施工规范和操作规程。</w:t>
      </w:r>
    </w:p>
    <w:p w14:paraId="0DBFB04B">
      <w:pPr>
        <w:spacing w:line="360" w:lineRule="auto"/>
        <w:ind w:firstLine="480" w:firstLineChars="200"/>
        <w:rPr>
          <w:rFonts w:hint="eastAsia" w:ascii="宋体" w:hAnsi="宋体" w:eastAsia="宋体" w:cs="宋体"/>
        </w:rPr>
      </w:pPr>
      <w:r>
        <w:rPr>
          <w:rFonts w:hint="eastAsia" w:ascii="宋体" w:hAnsi="宋体" w:eastAsia="宋体" w:cs="宋体"/>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2CE971E2">
      <w:pPr>
        <w:spacing w:line="360" w:lineRule="auto"/>
        <w:ind w:firstLine="480" w:firstLineChars="200"/>
        <w:rPr>
          <w:rFonts w:hint="eastAsia" w:ascii="宋体" w:hAnsi="宋体" w:eastAsia="宋体" w:cs="宋体"/>
        </w:rPr>
      </w:pPr>
      <w:bookmarkStart w:id="264" w:name="_Toc145583388"/>
      <w:r>
        <w:rPr>
          <w:rFonts w:hint="eastAsia" w:ascii="宋体" w:hAnsi="宋体" w:eastAsia="宋体" w:cs="宋体"/>
        </w:rPr>
        <w:t>5.2.3 监理人的质量检查和检验</w:t>
      </w:r>
      <w:bookmarkEnd w:id="264"/>
    </w:p>
    <w:p w14:paraId="5151916F">
      <w:pPr>
        <w:spacing w:line="360" w:lineRule="auto"/>
        <w:ind w:firstLine="480" w:firstLineChars="200"/>
        <w:rPr>
          <w:rFonts w:hint="eastAsia" w:ascii="宋体" w:hAnsi="宋体" w:eastAsia="宋体" w:cs="宋体"/>
        </w:rPr>
      </w:pPr>
      <w:r>
        <w:rPr>
          <w:rFonts w:hint="eastAsia" w:ascii="宋体" w:hAnsi="宋体" w:eastAsia="宋体" w:cs="宋体"/>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23F01DFC">
      <w:pPr>
        <w:spacing w:line="360" w:lineRule="auto"/>
        <w:ind w:firstLine="480" w:firstLineChars="200"/>
        <w:rPr>
          <w:rFonts w:hint="eastAsia" w:ascii="宋体" w:hAnsi="宋体" w:eastAsia="宋体" w:cs="宋体"/>
        </w:rPr>
      </w:pPr>
      <w:r>
        <w:rPr>
          <w:rFonts w:hint="eastAsia" w:ascii="宋体" w:hAnsi="宋体" w:eastAsia="宋体" w:cs="宋体"/>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09B1B0EC">
      <w:pPr>
        <w:spacing w:line="360" w:lineRule="auto"/>
        <w:ind w:firstLine="480" w:firstLineChars="200"/>
        <w:rPr>
          <w:rFonts w:hint="eastAsia" w:ascii="宋体" w:hAnsi="宋体" w:eastAsia="宋体" w:cs="宋体"/>
        </w:rPr>
      </w:pPr>
      <w:bookmarkStart w:id="265" w:name="_Toc351203535"/>
      <w:bookmarkStart w:id="266" w:name="_Toc145583389"/>
      <w:r>
        <w:rPr>
          <w:rFonts w:hint="eastAsia" w:ascii="宋体" w:hAnsi="宋体" w:eastAsia="宋体" w:cs="宋体"/>
        </w:rPr>
        <w:t>5</w:t>
      </w:r>
      <w:bookmarkStart w:id="267" w:name="_Toc337558761"/>
      <w:r>
        <w:rPr>
          <w:rFonts w:hint="eastAsia" w:ascii="宋体" w:hAnsi="宋体" w:eastAsia="宋体" w:cs="宋体"/>
        </w:rPr>
        <w:t>.3 隐蔽工程检查</w:t>
      </w:r>
      <w:bookmarkEnd w:id="265"/>
      <w:bookmarkEnd w:id="266"/>
    </w:p>
    <w:bookmarkEnd w:id="267"/>
    <w:p w14:paraId="6A9B4059">
      <w:pPr>
        <w:spacing w:line="360" w:lineRule="auto"/>
        <w:ind w:firstLine="480" w:firstLineChars="200"/>
        <w:rPr>
          <w:rFonts w:hint="eastAsia" w:ascii="宋体" w:hAnsi="宋体" w:eastAsia="宋体" w:cs="宋体"/>
        </w:rPr>
      </w:pPr>
      <w:r>
        <w:rPr>
          <w:rFonts w:hint="eastAsia" w:ascii="宋体" w:hAnsi="宋体" w:eastAsia="宋体" w:cs="宋体"/>
        </w:rPr>
        <w:t>5.3.1承包人自检</w:t>
      </w:r>
    </w:p>
    <w:p w14:paraId="056B4980">
      <w:pPr>
        <w:spacing w:line="360" w:lineRule="auto"/>
        <w:ind w:firstLine="480" w:firstLineChars="200"/>
        <w:rPr>
          <w:rFonts w:hint="eastAsia" w:ascii="宋体" w:hAnsi="宋体" w:eastAsia="宋体" w:cs="宋体"/>
        </w:rPr>
      </w:pPr>
      <w:r>
        <w:rPr>
          <w:rFonts w:hint="eastAsia" w:ascii="宋体" w:hAnsi="宋体" w:eastAsia="宋体" w:cs="宋体"/>
        </w:rPr>
        <w:t>承包人应当对工程隐蔽部位进行自检，并经自检确认是否具备覆盖条件。</w:t>
      </w:r>
    </w:p>
    <w:p w14:paraId="1A04831B">
      <w:pPr>
        <w:spacing w:line="360" w:lineRule="auto"/>
        <w:ind w:firstLine="480" w:firstLineChars="200"/>
        <w:rPr>
          <w:rFonts w:hint="eastAsia" w:ascii="宋体" w:hAnsi="宋体" w:eastAsia="宋体" w:cs="宋体"/>
        </w:rPr>
      </w:pPr>
      <w:r>
        <w:rPr>
          <w:rFonts w:hint="eastAsia" w:ascii="宋体" w:hAnsi="宋体" w:eastAsia="宋体" w:cs="宋体"/>
        </w:rPr>
        <w:t>5.3.2检查程序</w:t>
      </w:r>
    </w:p>
    <w:p w14:paraId="29949227">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6E4246B1">
      <w:pPr>
        <w:spacing w:line="360" w:lineRule="auto"/>
        <w:ind w:firstLine="480" w:firstLineChars="200"/>
        <w:rPr>
          <w:rFonts w:hint="eastAsia" w:ascii="宋体" w:hAnsi="宋体" w:eastAsia="宋体" w:cs="宋体"/>
        </w:rPr>
      </w:pPr>
      <w:r>
        <w:rPr>
          <w:rFonts w:hint="eastAsia" w:ascii="宋体" w:hAnsi="宋体" w:eastAsia="宋体" w:cs="宋体"/>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2F06BA15">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44AC2450">
      <w:pPr>
        <w:spacing w:line="360" w:lineRule="auto"/>
        <w:ind w:firstLine="480" w:firstLineChars="200"/>
        <w:rPr>
          <w:rFonts w:hint="eastAsia" w:ascii="宋体" w:hAnsi="宋体" w:eastAsia="宋体" w:cs="宋体"/>
        </w:rPr>
      </w:pPr>
      <w:r>
        <w:rPr>
          <w:rFonts w:hint="eastAsia" w:ascii="宋体" w:hAnsi="宋体" w:eastAsia="宋体" w:cs="宋体"/>
        </w:rPr>
        <w:t>5.3.3 重新检查</w:t>
      </w:r>
    </w:p>
    <w:p w14:paraId="50619941">
      <w:pPr>
        <w:spacing w:line="360" w:lineRule="auto"/>
        <w:ind w:firstLine="480" w:firstLineChars="200"/>
        <w:rPr>
          <w:rFonts w:hint="eastAsia" w:ascii="宋体" w:hAnsi="宋体" w:eastAsia="宋体" w:cs="宋体"/>
        </w:rPr>
      </w:pPr>
      <w:r>
        <w:rPr>
          <w:rFonts w:hint="eastAsia" w:ascii="宋体" w:hAnsi="宋体" w:eastAsia="宋体" w:cs="宋体"/>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经检查证明工程质量不符合合同要求的，由此增加的费用和（或）延误的工期由承包人承担。</w:t>
      </w:r>
    </w:p>
    <w:p w14:paraId="7A193FAA">
      <w:pPr>
        <w:spacing w:line="360" w:lineRule="auto"/>
        <w:ind w:firstLine="480" w:firstLineChars="200"/>
        <w:rPr>
          <w:rFonts w:hint="eastAsia" w:ascii="宋体" w:hAnsi="宋体" w:eastAsia="宋体" w:cs="宋体"/>
        </w:rPr>
      </w:pPr>
      <w:r>
        <w:rPr>
          <w:rFonts w:hint="eastAsia" w:ascii="宋体" w:hAnsi="宋体" w:eastAsia="宋体" w:cs="宋体"/>
        </w:rPr>
        <w:t>5.3.4 承包人私自覆盖</w:t>
      </w:r>
    </w:p>
    <w:p w14:paraId="45566AB7">
      <w:pPr>
        <w:spacing w:line="360" w:lineRule="auto"/>
        <w:ind w:firstLine="480" w:firstLineChars="200"/>
        <w:rPr>
          <w:rFonts w:hint="eastAsia" w:ascii="宋体" w:hAnsi="宋体" w:eastAsia="宋体" w:cs="宋体"/>
        </w:rPr>
      </w:pPr>
      <w:r>
        <w:rPr>
          <w:rFonts w:hint="eastAsia" w:ascii="宋体" w:hAnsi="宋体" w:eastAsia="宋体" w:cs="宋体"/>
        </w:rPr>
        <w:t>承包人未通知监理人到场检查，私自将工程隐蔽部位覆盖的，监理人有权指示承包人钻孔探测或揭开检查，无论工程隐蔽部位质量是否合格，由此增加的费用和（或）延误的工期均由承包人承担。</w:t>
      </w:r>
    </w:p>
    <w:p w14:paraId="4AF375EC">
      <w:pPr>
        <w:spacing w:line="360" w:lineRule="auto"/>
        <w:ind w:firstLine="480" w:firstLineChars="200"/>
        <w:rPr>
          <w:rFonts w:hint="eastAsia" w:ascii="宋体" w:hAnsi="宋体" w:eastAsia="宋体" w:cs="宋体"/>
        </w:rPr>
      </w:pPr>
      <w:bookmarkStart w:id="268" w:name="_Toc145583390"/>
      <w:bookmarkStart w:id="269" w:name="_Toc351203536"/>
      <w:r>
        <w:rPr>
          <w:rFonts w:hint="eastAsia" w:ascii="宋体" w:hAnsi="宋体" w:eastAsia="宋体" w:cs="宋体"/>
        </w:rPr>
        <w:t>5</w:t>
      </w:r>
      <w:bookmarkStart w:id="270" w:name="_Toc337558762"/>
      <w:r>
        <w:rPr>
          <w:rFonts w:hint="eastAsia" w:ascii="宋体" w:hAnsi="宋体" w:eastAsia="宋体" w:cs="宋体"/>
        </w:rPr>
        <w:t>.4不合格工程的处理</w:t>
      </w:r>
      <w:bookmarkEnd w:id="268"/>
      <w:bookmarkEnd w:id="269"/>
    </w:p>
    <w:bookmarkEnd w:id="270"/>
    <w:p w14:paraId="6CB90C10">
      <w:pPr>
        <w:spacing w:line="360" w:lineRule="auto"/>
        <w:ind w:firstLine="480" w:firstLineChars="200"/>
        <w:rPr>
          <w:rFonts w:hint="eastAsia" w:ascii="宋体" w:hAnsi="宋体" w:eastAsia="宋体" w:cs="宋体"/>
        </w:rPr>
      </w:pPr>
      <w:r>
        <w:rPr>
          <w:rFonts w:hint="eastAsia" w:ascii="宋体" w:hAnsi="宋体" w:eastAsia="宋体" w:cs="宋体"/>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437E06B2">
      <w:pPr>
        <w:spacing w:line="360" w:lineRule="auto"/>
        <w:ind w:firstLine="480" w:firstLineChars="200"/>
        <w:rPr>
          <w:rFonts w:hint="eastAsia" w:ascii="宋体" w:hAnsi="宋体" w:eastAsia="宋体" w:cs="宋体"/>
        </w:rPr>
      </w:pPr>
      <w:r>
        <w:rPr>
          <w:rFonts w:hint="eastAsia" w:ascii="宋体" w:hAnsi="宋体" w:eastAsia="宋体" w:cs="宋体"/>
        </w:rPr>
        <w:t>5.4.2 因发包人原因造成工程不合格的，由此增加的费用和（或）延误的工期由发包人承担。</w:t>
      </w:r>
    </w:p>
    <w:p w14:paraId="094EB2C5">
      <w:pPr>
        <w:spacing w:line="360" w:lineRule="auto"/>
        <w:ind w:firstLine="480" w:firstLineChars="200"/>
        <w:rPr>
          <w:rFonts w:hint="eastAsia" w:ascii="宋体" w:hAnsi="宋体" w:eastAsia="宋体" w:cs="宋体"/>
        </w:rPr>
      </w:pPr>
      <w:bookmarkStart w:id="271" w:name="_Toc351203537"/>
      <w:bookmarkStart w:id="272" w:name="_Toc145583391"/>
      <w:r>
        <w:rPr>
          <w:rFonts w:hint="eastAsia" w:ascii="宋体" w:hAnsi="宋体" w:eastAsia="宋体" w:cs="宋体"/>
        </w:rPr>
        <w:t>5.5 质量争议检测</w:t>
      </w:r>
      <w:bookmarkEnd w:id="271"/>
      <w:bookmarkEnd w:id="272"/>
    </w:p>
    <w:p w14:paraId="50A82E03">
      <w:pPr>
        <w:spacing w:line="360" w:lineRule="auto"/>
        <w:ind w:firstLine="480" w:firstLineChars="200"/>
        <w:rPr>
          <w:rFonts w:hint="eastAsia" w:ascii="宋体" w:hAnsi="宋体" w:eastAsia="宋体" w:cs="宋体"/>
        </w:rPr>
      </w:pPr>
      <w:r>
        <w:rPr>
          <w:rFonts w:hint="eastAsia" w:ascii="宋体" w:hAnsi="宋体" w:eastAsia="宋体" w:cs="宋体"/>
        </w:rPr>
        <w:t>合同当事人对工程质量有争议的，由双方协商确定的工程质量检测机构鉴定，由此产生的费用及因此造成的损失，由责任方承担。</w:t>
      </w:r>
    </w:p>
    <w:p w14:paraId="34B50A71">
      <w:pPr>
        <w:spacing w:line="360" w:lineRule="auto"/>
        <w:ind w:firstLine="480" w:firstLineChars="200"/>
        <w:rPr>
          <w:rFonts w:hint="eastAsia" w:ascii="宋体" w:hAnsi="宋体" w:eastAsia="宋体" w:cs="宋体"/>
        </w:rPr>
      </w:pPr>
      <w:r>
        <w:rPr>
          <w:rFonts w:hint="eastAsia" w:ascii="宋体" w:hAnsi="宋体" w:eastAsia="宋体" w:cs="宋体"/>
        </w:rPr>
        <w:t>合同当事人均有责任的，由双方根据其责任分别承担。合同当事人无法达成一致的，按照第4.4款〔商定或确定〕执行。</w:t>
      </w:r>
    </w:p>
    <w:p w14:paraId="0E4CFEBF">
      <w:pPr>
        <w:spacing w:line="360" w:lineRule="auto"/>
        <w:ind w:firstLine="480" w:firstLineChars="200"/>
        <w:rPr>
          <w:rFonts w:hint="eastAsia" w:ascii="宋体" w:hAnsi="宋体" w:eastAsia="宋体" w:cs="宋体"/>
        </w:rPr>
      </w:pPr>
      <w:bookmarkStart w:id="273" w:name="_Toc145583392"/>
      <w:bookmarkStart w:id="274" w:name="_Toc351203538"/>
      <w:r>
        <w:rPr>
          <w:rFonts w:hint="eastAsia" w:ascii="宋体" w:hAnsi="宋体" w:eastAsia="宋体" w:cs="宋体"/>
        </w:rPr>
        <w:t>6</w:t>
      </w:r>
      <w:bookmarkStart w:id="275" w:name="_Toc337558763"/>
      <w:r>
        <w:rPr>
          <w:rFonts w:hint="eastAsia" w:ascii="宋体" w:hAnsi="宋体" w:eastAsia="宋体" w:cs="宋体"/>
        </w:rPr>
        <w:t>. 安全文明施工与环境保护</w:t>
      </w:r>
      <w:bookmarkEnd w:id="273"/>
      <w:bookmarkEnd w:id="274"/>
    </w:p>
    <w:bookmarkEnd w:id="275"/>
    <w:p w14:paraId="1A25CB62">
      <w:pPr>
        <w:spacing w:line="360" w:lineRule="auto"/>
        <w:ind w:firstLine="480" w:firstLineChars="200"/>
        <w:rPr>
          <w:rFonts w:hint="eastAsia" w:ascii="宋体" w:hAnsi="宋体" w:eastAsia="宋体" w:cs="宋体"/>
        </w:rPr>
      </w:pPr>
      <w:bookmarkStart w:id="276" w:name="_Toc145583393"/>
      <w:bookmarkStart w:id="277" w:name="_Toc351203539"/>
      <w:r>
        <w:rPr>
          <w:rFonts w:hint="eastAsia" w:ascii="宋体" w:hAnsi="宋体" w:eastAsia="宋体" w:cs="宋体"/>
        </w:rPr>
        <w:t>6</w:t>
      </w:r>
      <w:bookmarkStart w:id="278" w:name="_Toc337558764"/>
      <w:r>
        <w:rPr>
          <w:rFonts w:hint="eastAsia" w:ascii="宋体" w:hAnsi="宋体" w:eastAsia="宋体" w:cs="宋体"/>
        </w:rPr>
        <w:t>.1安全文明施工</w:t>
      </w:r>
      <w:bookmarkEnd w:id="276"/>
      <w:bookmarkEnd w:id="277"/>
    </w:p>
    <w:bookmarkEnd w:id="278"/>
    <w:p w14:paraId="2B79C4C6">
      <w:pPr>
        <w:spacing w:line="360" w:lineRule="auto"/>
        <w:ind w:firstLine="480" w:firstLineChars="200"/>
        <w:rPr>
          <w:rFonts w:hint="eastAsia" w:ascii="宋体" w:hAnsi="宋体" w:eastAsia="宋体" w:cs="宋体"/>
        </w:rPr>
      </w:pPr>
      <w:r>
        <w:rPr>
          <w:rFonts w:hint="eastAsia" w:ascii="宋体" w:hAnsi="宋体" w:eastAsia="宋体" w:cs="宋体"/>
        </w:rPr>
        <w:t>6.1.1安全生产要求</w:t>
      </w:r>
    </w:p>
    <w:p w14:paraId="35752DE4">
      <w:pPr>
        <w:spacing w:line="360" w:lineRule="auto"/>
        <w:ind w:firstLine="480" w:firstLineChars="200"/>
        <w:rPr>
          <w:rFonts w:hint="eastAsia" w:ascii="宋体" w:hAnsi="宋体" w:eastAsia="宋体" w:cs="宋体"/>
        </w:rPr>
      </w:pPr>
      <w:r>
        <w:rPr>
          <w:rFonts w:hint="eastAsia" w:ascii="宋体" w:hAnsi="宋体" w:eastAsia="宋体" w:cs="宋体"/>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432D4603">
      <w:pPr>
        <w:spacing w:line="360" w:lineRule="auto"/>
        <w:ind w:firstLine="480" w:firstLineChars="200"/>
        <w:rPr>
          <w:rFonts w:hint="eastAsia" w:ascii="宋体" w:hAnsi="宋体" w:eastAsia="宋体" w:cs="宋体"/>
        </w:rPr>
      </w:pPr>
      <w:r>
        <w:rPr>
          <w:rFonts w:hint="eastAsia" w:ascii="宋体" w:hAnsi="宋体" w:eastAsia="宋体" w:cs="宋体"/>
        </w:rPr>
        <w:t>在施工过程中，如遇到突发的地质变动、事先未知的地下施工障碍等影响施工安全的紧急情况，承包人应及时报告监理人和发包人，发包人应当及时下令停工并报政府有关行政管理部门采取应急措施。</w:t>
      </w:r>
    </w:p>
    <w:p w14:paraId="4C76D79A">
      <w:pPr>
        <w:spacing w:line="360" w:lineRule="auto"/>
        <w:ind w:firstLine="480" w:firstLineChars="200"/>
        <w:rPr>
          <w:rFonts w:hint="eastAsia" w:ascii="宋体" w:hAnsi="宋体" w:eastAsia="宋体" w:cs="宋体"/>
        </w:rPr>
      </w:pPr>
      <w:r>
        <w:rPr>
          <w:rFonts w:hint="eastAsia" w:ascii="宋体" w:hAnsi="宋体" w:eastAsia="宋体" w:cs="宋体"/>
        </w:rPr>
        <w:t>因安全生产需要暂停施工的，按照第7.8款〔暂停施工〕的约定执行。</w:t>
      </w:r>
    </w:p>
    <w:p w14:paraId="1D6F5F93">
      <w:pPr>
        <w:spacing w:line="360" w:lineRule="auto"/>
        <w:ind w:firstLine="480" w:firstLineChars="200"/>
        <w:rPr>
          <w:rFonts w:hint="eastAsia" w:ascii="宋体" w:hAnsi="宋体" w:eastAsia="宋体" w:cs="宋体"/>
        </w:rPr>
      </w:pPr>
      <w:r>
        <w:rPr>
          <w:rFonts w:hint="eastAsia" w:ascii="宋体" w:hAnsi="宋体" w:eastAsia="宋体" w:cs="宋体"/>
        </w:rPr>
        <w:t>6.1.2 安全生产保证措施</w:t>
      </w:r>
    </w:p>
    <w:p w14:paraId="7849DA2D">
      <w:pPr>
        <w:spacing w:line="360" w:lineRule="auto"/>
        <w:ind w:firstLine="480" w:firstLineChars="200"/>
        <w:rPr>
          <w:rFonts w:hint="eastAsia" w:ascii="宋体" w:hAnsi="宋体" w:eastAsia="宋体" w:cs="宋体"/>
        </w:rPr>
      </w:pPr>
      <w:r>
        <w:rPr>
          <w:rFonts w:hint="eastAsia" w:ascii="宋体" w:hAnsi="宋体" w:eastAsia="宋体" w:cs="宋体"/>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489F159F">
      <w:pPr>
        <w:spacing w:line="360" w:lineRule="auto"/>
        <w:ind w:firstLine="480" w:firstLineChars="200"/>
        <w:rPr>
          <w:rFonts w:hint="eastAsia" w:ascii="宋体" w:hAnsi="宋体" w:eastAsia="宋体" w:cs="宋体"/>
        </w:rPr>
      </w:pPr>
      <w:r>
        <w:rPr>
          <w:rFonts w:hint="eastAsia" w:ascii="宋体" w:hAnsi="宋体" w:eastAsia="宋体" w:cs="宋体"/>
        </w:rPr>
        <w:t>6.1.3特别安全生产事项</w:t>
      </w:r>
    </w:p>
    <w:p w14:paraId="0362C5E5">
      <w:pPr>
        <w:spacing w:line="360" w:lineRule="auto"/>
        <w:ind w:firstLine="480" w:firstLineChars="200"/>
        <w:rPr>
          <w:rFonts w:hint="eastAsia" w:ascii="宋体" w:hAnsi="宋体" w:eastAsia="宋体" w:cs="宋体"/>
        </w:rPr>
      </w:pPr>
      <w:r>
        <w:rPr>
          <w:rFonts w:hint="eastAsia" w:ascii="宋体" w:hAnsi="宋体" w:eastAsia="宋体" w:cs="宋体"/>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12FDE957">
      <w:pPr>
        <w:spacing w:line="360" w:lineRule="auto"/>
        <w:ind w:firstLine="480" w:firstLineChars="200"/>
        <w:rPr>
          <w:rFonts w:hint="eastAsia" w:ascii="宋体" w:hAnsi="宋体" w:eastAsia="宋体" w:cs="宋体"/>
        </w:rPr>
      </w:pPr>
      <w:r>
        <w:rPr>
          <w:rFonts w:hint="eastAsia" w:ascii="宋体" w:hAnsi="宋体" w:eastAsia="宋体" w:cs="宋体"/>
        </w:rPr>
        <w:t xml:space="preserve">承包人在动力设备、输电线路、地下管道、密封防震车间、易燃易爆地段以及临街交通要道附近施工时，施工开始前应向发包人和监理人提出安全防护措施，经发包人认可后实施。 </w:t>
      </w:r>
    </w:p>
    <w:p w14:paraId="1750AC71">
      <w:pPr>
        <w:spacing w:line="360" w:lineRule="auto"/>
        <w:ind w:firstLine="480" w:firstLineChars="200"/>
        <w:rPr>
          <w:rFonts w:hint="eastAsia" w:ascii="宋体" w:hAnsi="宋体" w:eastAsia="宋体" w:cs="宋体"/>
        </w:rPr>
      </w:pPr>
      <w:r>
        <w:rPr>
          <w:rFonts w:hint="eastAsia" w:ascii="宋体" w:hAnsi="宋体" w:eastAsia="宋体" w:cs="宋体"/>
        </w:rPr>
        <w:t>实施爆破作业，在放射、毒害性环境中施工（含储存、运输、使用）及使用毒害性、腐蚀性物品施工时，承包人应在施工前7天以书面通知发包人和监理人，并报送相应的安全防护措施，经发包人认可后实施。</w:t>
      </w:r>
    </w:p>
    <w:p w14:paraId="0EE23900">
      <w:pPr>
        <w:spacing w:line="360" w:lineRule="auto"/>
        <w:ind w:firstLine="480" w:firstLineChars="200"/>
        <w:rPr>
          <w:rFonts w:hint="eastAsia" w:ascii="宋体" w:hAnsi="宋体" w:eastAsia="宋体" w:cs="宋体"/>
        </w:rPr>
      </w:pPr>
      <w:r>
        <w:rPr>
          <w:rFonts w:hint="eastAsia" w:ascii="宋体" w:hAnsi="宋体" w:eastAsia="宋体" w:cs="宋体"/>
        </w:rPr>
        <w:t>需单独编制危险性较大分部分项专项工程施工方案的，及要求进行专家论证的超过一定规模的危险性较大的分部分项工程，承包人应及时编制和组织论证。</w:t>
      </w:r>
    </w:p>
    <w:p w14:paraId="6BE539B0">
      <w:pPr>
        <w:spacing w:line="360" w:lineRule="auto"/>
        <w:ind w:firstLine="480" w:firstLineChars="200"/>
        <w:rPr>
          <w:rFonts w:hint="eastAsia" w:ascii="宋体" w:hAnsi="宋体" w:eastAsia="宋体" w:cs="宋体"/>
        </w:rPr>
      </w:pPr>
      <w:r>
        <w:rPr>
          <w:rFonts w:hint="eastAsia" w:ascii="宋体" w:hAnsi="宋体" w:eastAsia="宋体" w:cs="宋体"/>
        </w:rPr>
        <w:t>6.1.4 治安保卫</w:t>
      </w:r>
    </w:p>
    <w:p w14:paraId="6DE5DE45">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除专用合同条款另有约定外，发包人应与当地公安部门协商，在现场建立治安管理机构或联防组织，统一管理施工场地的治安保卫事项，履行合同工程的治安保卫职责。</w:t>
      </w:r>
    </w:p>
    <w:p w14:paraId="38D73CDF">
      <w:pPr>
        <w:spacing w:line="360" w:lineRule="auto"/>
        <w:ind w:firstLine="480" w:firstLineChars="200"/>
        <w:rPr>
          <w:rFonts w:hint="eastAsia" w:ascii="宋体" w:hAnsi="宋体" w:eastAsia="宋体" w:cs="宋体"/>
        </w:rPr>
      </w:pPr>
      <w:r>
        <w:rPr>
          <w:rFonts w:hint="eastAsia" w:ascii="宋体" w:hAnsi="宋体" w:eastAsia="宋体" w:cs="宋体"/>
        </w:rPr>
        <w:t>发包人和承包人除应协助现场治安管理机构或联防组织维护施工场地的社会治安外，还应做好包括生活区在内的各自管辖区的治安保卫工作。</w:t>
      </w:r>
    </w:p>
    <w:p w14:paraId="60272043">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1D3A9936">
      <w:pPr>
        <w:spacing w:line="360" w:lineRule="auto"/>
        <w:ind w:firstLine="480" w:firstLineChars="200"/>
        <w:rPr>
          <w:rFonts w:hint="eastAsia" w:ascii="宋体" w:hAnsi="宋体" w:eastAsia="宋体" w:cs="宋体"/>
        </w:rPr>
      </w:pPr>
      <w:r>
        <w:rPr>
          <w:rFonts w:hint="eastAsia" w:ascii="宋体" w:hAnsi="宋体" w:eastAsia="宋体" w:cs="宋体"/>
        </w:rPr>
        <w:t>6.1.5 文明施工</w:t>
      </w:r>
    </w:p>
    <w:p w14:paraId="7988167D">
      <w:pPr>
        <w:spacing w:line="360" w:lineRule="auto"/>
        <w:ind w:firstLine="480" w:firstLineChars="200"/>
        <w:rPr>
          <w:rFonts w:hint="eastAsia" w:ascii="宋体" w:hAnsi="宋体" w:eastAsia="宋体" w:cs="宋体"/>
        </w:rPr>
      </w:pPr>
      <w:r>
        <w:rPr>
          <w:rFonts w:hint="eastAsia" w:ascii="宋体" w:hAnsi="宋体" w:eastAsia="宋体" w:cs="宋体"/>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4F05F826">
      <w:pPr>
        <w:spacing w:line="360" w:lineRule="auto"/>
        <w:ind w:firstLine="480" w:firstLineChars="200"/>
        <w:rPr>
          <w:rFonts w:hint="eastAsia" w:ascii="宋体" w:hAnsi="宋体" w:eastAsia="宋体" w:cs="宋体"/>
        </w:rPr>
      </w:pPr>
      <w:r>
        <w:rPr>
          <w:rFonts w:hint="eastAsia" w:ascii="宋体" w:hAnsi="宋体" w:eastAsia="宋体" w:cs="宋体"/>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57A7B4D2">
      <w:pPr>
        <w:spacing w:line="360" w:lineRule="auto"/>
        <w:ind w:firstLine="480" w:firstLineChars="200"/>
        <w:rPr>
          <w:rFonts w:hint="eastAsia" w:ascii="宋体" w:hAnsi="宋体" w:eastAsia="宋体" w:cs="宋体"/>
        </w:rPr>
      </w:pPr>
      <w:r>
        <w:rPr>
          <w:rFonts w:hint="eastAsia" w:ascii="宋体" w:hAnsi="宋体" w:eastAsia="宋体" w:cs="宋体"/>
        </w:rPr>
        <w:t>6.1.6 安全文明施工费</w:t>
      </w:r>
    </w:p>
    <w:p w14:paraId="775A3854">
      <w:pPr>
        <w:spacing w:line="360" w:lineRule="auto"/>
        <w:ind w:firstLine="480" w:firstLineChars="200"/>
        <w:rPr>
          <w:rFonts w:hint="eastAsia" w:ascii="宋体" w:hAnsi="宋体" w:eastAsia="宋体" w:cs="宋体"/>
        </w:rPr>
      </w:pPr>
      <w:r>
        <w:rPr>
          <w:rFonts w:hint="eastAsia" w:ascii="宋体" w:hAnsi="宋体" w:eastAsia="宋体" w:cs="宋体"/>
        </w:rPr>
        <w:t>安全文明施工费由发包人承担，发包人不得以任何形式扣减该部分费用。因基准日期后合同所适用的法律或政府有关规定发生变化，增加的安全文明施工费由发包人承担。</w:t>
      </w:r>
    </w:p>
    <w:p w14:paraId="0751387A">
      <w:pPr>
        <w:spacing w:line="360" w:lineRule="auto"/>
        <w:ind w:firstLine="480" w:firstLineChars="200"/>
        <w:rPr>
          <w:rFonts w:hint="eastAsia" w:ascii="宋体" w:hAnsi="宋体" w:eastAsia="宋体" w:cs="宋体"/>
        </w:rPr>
      </w:pPr>
      <w:r>
        <w:rPr>
          <w:rFonts w:hint="eastAsia" w:ascii="宋体" w:hAnsi="宋体" w:eastAsia="宋体" w:cs="宋体"/>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3D2D0B58">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6984DBAF">
      <w:pPr>
        <w:spacing w:line="360" w:lineRule="auto"/>
        <w:ind w:firstLine="480" w:firstLineChars="200"/>
        <w:rPr>
          <w:rFonts w:hint="eastAsia" w:ascii="宋体" w:hAnsi="宋体" w:eastAsia="宋体" w:cs="宋体"/>
        </w:rPr>
      </w:pPr>
      <w:r>
        <w:rPr>
          <w:rFonts w:hint="eastAsia" w:ascii="宋体" w:hAnsi="宋体" w:eastAsia="宋体" w:cs="宋体"/>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7B1388ED">
      <w:pPr>
        <w:spacing w:line="360" w:lineRule="auto"/>
        <w:ind w:firstLine="480" w:firstLineChars="200"/>
        <w:rPr>
          <w:rFonts w:hint="eastAsia" w:ascii="宋体" w:hAnsi="宋体" w:eastAsia="宋体" w:cs="宋体"/>
        </w:rPr>
      </w:pPr>
      <w:r>
        <w:rPr>
          <w:rFonts w:hint="eastAsia" w:ascii="宋体" w:hAnsi="宋体" w:eastAsia="宋体" w:cs="宋体"/>
        </w:rPr>
        <w:t>6.1.7 紧急情况处理</w:t>
      </w:r>
    </w:p>
    <w:p w14:paraId="22C91597">
      <w:pPr>
        <w:spacing w:line="360" w:lineRule="auto"/>
        <w:ind w:firstLine="480" w:firstLineChars="200"/>
        <w:rPr>
          <w:rFonts w:hint="eastAsia" w:ascii="宋体" w:hAnsi="宋体" w:eastAsia="宋体" w:cs="宋体"/>
        </w:rPr>
      </w:pPr>
      <w:r>
        <w:rPr>
          <w:rFonts w:hint="eastAsia" w:ascii="宋体" w:hAnsi="宋体" w:eastAsia="宋体" w:cs="宋体"/>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4AF6554F">
      <w:pPr>
        <w:spacing w:line="360" w:lineRule="auto"/>
        <w:ind w:firstLine="480" w:firstLineChars="200"/>
        <w:rPr>
          <w:rFonts w:hint="eastAsia" w:ascii="宋体" w:hAnsi="宋体" w:eastAsia="宋体" w:cs="宋体"/>
        </w:rPr>
      </w:pPr>
      <w:r>
        <w:rPr>
          <w:rFonts w:hint="eastAsia" w:ascii="宋体" w:hAnsi="宋体" w:eastAsia="宋体" w:cs="宋体"/>
        </w:rPr>
        <w:t>6.1.8 事故处理</w:t>
      </w:r>
    </w:p>
    <w:p w14:paraId="7EDCDB48">
      <w:pPr>
        <w:spacing w:line="360" w:lineRule="auto"/>
        <w:ind w:firstLine="480" w:firstLineChars="200"/>
        <w:rPr>
          <w:rFonts w:hint="eastAsia" w:ascii="宋体" w:hAnsi="宋体" w:eastAsia="宋体" w:cs="宋体"/>
        </w:rPr>
      </w:pPr>
      <w:r>
        <w:rPr>
          <w:rFonts w:hint="eastAsia" w:ascii="宋体" w:hAnsi="宋体" w:eastAsia="宋体" w:cs="宋体"/>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3632064">
      <w:pPr>
        <w:spacing w:line="360" w:lineRule="auto"/>
        <w:ind w:firstLine="480" w:firstLineChars="200"/>
        <w:rPr>
          <w:rFonts w:hint="eastAsia" w:ascii="宋体" w:hAnsi="宋体" w:eastAsia="宋体" w:cs="宋体"/>
        </w:rPr>
      </w:pPr>
      <w:r>
        <w:rPr>
          <w:rFonts w:hint="eastAsia" w:ascii="宋体" w:hAnsi="宋体" w:eastAsia="宋体" w:cs="宋体"/>
        </w:rPr>
        <w:t>6.1.9 安全生产责任</w:t>
      </w:r>
    </w:p>
    <w:p w14:paraId="5EE3F28E">
      <w:pPr>
        <w:spacing w:line="360" w:lineRule="auto"/>
        <w:ind w:firstLine="480" w:firstLineChars="200"/>
        <w:rPr>
          <w:rFonts w:hint="eastAsia" w:ascii="宋体" w:hAnsi="宋体" w:eastAsia="宋体" w:cs="宋体"/>
        </w:rPr>
      </w:pPr>
      <w:r>
        <w:rPr>
          <w:rFonts w:hint="eastAsia" w:ascii="宋体" w:hAnsi="宋体" w:eastAsia="宋体" w:cs="宋体"/>
        </w:rPr>
        <w:t>6.1.9.1 发包人的安全责任</w:t>
      </w:r>
    </w:p>
    <w:p w14:paraId="57FE95BA">
      <w:pPr>
        <w:spacing w:line="360" w:lineRule="auto"/>
        <w:ind w:firstLine="480" w:firstLineChars="200"/>
        <w:rPr>
          <w:rFonts w:hint="eastAsia" w:ascii="宋体" w:hAnsi="宋体" w:eastAsia="宋体" w:cs="宋体"/>
        </w:rPr>
      </w:pPr>
      <w:r>
        <w:rPr>
          <w:rFonts w:hint="eastAsia" w:ascii="宋体" w:hAnsi="宋体" w:eastAsia="宋体" w:cs="宋体"/>
        </w:rPr>
        <w:t>发包人应负责赔偿以下各种情况造成的损失：</w:t>
      </w:r>
    </w:p>
    <w:p w14:paraId="72B5CC3A">
      <w:pPr>
        <w:spacing w:line="360" w:lineRule="auto"/>
        <w:ind w:firstLine="480" w:firstLineChars="200"/>
        <w:rPr>
          <w:rFonts w:hint="eastAsia" w:ascii="宋体" w:hAnsi="宋体" w:eastAsia="宋体" w:cs="宋体"/>
        </w:rPr>
      </w:pPr>
      <w:r>
        <w:rPr>
          <w:rFonts w:hint="eastAsia" w:ascii="宋体" w:hAnsi="宋体" w:eastAsia="宋体" w:cs="宋体"/>
        </w:rPr>
        <w:t>（1）工程或工程的任何部分对土地的占用所造成的第三者财产损失；</w:t>
      </w:r>
    </w:p>
    <w:p w14:paraId="033F6872">
      <w:pPr>
        <w:spacing w:line="360" w:lineRule="auto"/>
        <w:ind w:firstLine="480" w:firstLineChars="200"/>
        <w:rPr>
          <w:rFonts w:hint="eastAsia" w:ascii="宋体" w:hAnsi="宋体" w:eastAsia="宋体" w:cs="宋体"/>
        </w:rPr>
      </w:pPr>
      <w:r>
        <w:rPr>
          <w:rFonts w:hint="eastAsia" w:ascii="宋体" w:hAnsi="宋体" w:eastAsia="宋体" w:cs="宋体"/>
        </w:rPr>
        <w:t>（2）由于发包人原因在施工场地及其毗邻地带造成的第三者人身伤亡和财产损失；</w:t>
      </w:r>
    </w:p>
    <w:p w14:paraId="37188E7F">
      <w:pPr>
        <w:spacing w:line="360" w:lineRule="auto"/>
        <w:ind w:firstLine="480" w:firstLineChars="200"/>
        <w:rPr>
          <w:rFonts w:hint="eastAsia" w:ascii="宋体" w:hAnsi="宋体" w:eastAsia="宋体" w:cs="宋体"/>
        </w:rPr>
      </w:pPr>
      <w:r>
        <w:rPr>
          <w:rFonts w:hint="eastAsia" w:ascii="宋体" w:hAnsi="宋体" w:eastAsia="宋体" w:cs="宋体"/>
        </w:rPr>
        <w:t>（3）由于发包人原因对承包人、监理人造成的人员人身伤亡和财产损失；</w:t>
      </w:r>
    </w:p>
    <w:p w14:paraId="0CADCF83">
      <w:pPr>
        <w:spacing w:line="360" w:lineRule="auto"/>
        <w:ind w:firstLine="480" w:firstLineChars="200"/>
        <w:rPr>
          <w:rFonts w:hint="eastAsia" w:ascii="宋体" w:hAnsi="宋体" w:eastAsia="宋体" w:cs="宋体"/>
        </w:rPr>
      </w:pPr>
      <w:r>
        <w:rPr>
          <w:rFonts w:hint="eastAsia" w:ascii="宋体" w:hAnsi="宋体" w:eastAsia="宋体" w:cs="宋体"/>
        </w:rPr>
        <w:t>（4）由于发包人原因造成的发包人自身人员的人身伤害以及财产损失。</w:t>
      </w:r>
    </w:p>
    <w:p w14:paraId="5CF1D45C">
      <w:pPr>
        <w:spacing w:line="360" w:lineRule="auto"/>
        <w:ind w:firstLine="480" w:firstLineChars="200"/>
        <w:rPr>
          <w:rFonts w:hint="eastAsia" w:ascii="宋体" w:hAnsi="宋体" w:eastAsia="宋体" w:cs="宋体"/>
        </w:rPr>
      </w:pPr>
      <w:r>
        <w:rPr>
          <w:rFonts w:hint="eastAsia" w:ascii="宋体" w:hAnsi="宋体" w:eastAsia="宋体" w:cs="宋体"/>
        </w:rPr>
        <w:t>6.1.9.2 承包人的安全责任</w:t>
      </w:r>
    </w:p>
    <w:p w14:paraId="10B9127C">
      <w:pPr>
        <w:spacing w:line="360" w:lineRule="auto"/>
        <w:ind w:firstLine="480" w:firstLineChars="200"/>
        <w:rPr>
          <w:rFonts w:hint="eastAsia" w:ascii="宋体" w:hAnsi="宋体" w:eastAsia="宋体" w:cs="宋体"/>
        </w:rPr>
      </w:pPr>
      <w:r>
        <w:rPr>
          <w:rFonts w:hint="eastAsia" w:ascii="宋体" w:hAnsi="宋体" w:eastAsia="宋体" w:cs="宋体"/>
        </w:rPr>
        <w:t>由于承包人原因在施工场地内及其毗邻地带造成的发包人、监理人以及第三者人员伤亡和财产损失，由承包人负责赔偿。</w:t>
      </w:r>
    </w:p>
    <w:p w14:paraId="58BA8B53">
      <w:pPr>
        <w:spacing w:line="360" w:lineRule="auto"/>
        <w:ind w:firstLine="480" w:firstLineChars="200"/>
        <w:rPr>
          <w:rFonts w:hint="eastAsia" w:ascii="宋体" w:hAnsi="宋体" w:eastAsia="宋体" w:cs="宋体"/>
        </w:rPr>
      </w:pPr>
      <w:bookmarkStart w:id="279" w:name="_Toc351203540"/>
      <w:bookmarkStart w:id="280" w:name="_Toc145583394"/>
      <w:r>
        <w:rPr>
          <w:rFonts w:hint="eastAsia" w:ascii="宋体" w:hAnsi="宋体" w:eastAsia="宋体" w:cs="宋体"/>
        </w:rPr>
        <w:t>6</w:t>
      </w:r>
      <w:bookmarkStart w:id="281" w:name="_Toc337558765"/>
      <w:r>
        <w:rPr>
          <w:rFonts w:hint="eastAsia" w:ascii="宋体" w:hAnsi="宋体" w:eastAsia="宋体" w:cs="宋体"/>
        </w:rPr>
        <w:t>.2 职业健康</w:t>
      </w:r>
      <w:bookmarkEnd w:id="279"/>
      <w:bookmarkEnd w:id="280"/>
    </w:p>
    <w:bookmarkEnd w:id="281"/>
    <w:p w14:paraId="3180EB98">
      <w:pPr>
        <w:spacing w:line="360" w:lineRule="auto"/>
        <w:ind w:firstLine="480" w:firstLineChars="200"/>
        <w:rPr>
          <w:rFonts w:hint="eastAsia" w:ascii="宋体" w:hAnsi="宋体" w:eastAsia="宋体" w:cs="宋体"/>
        </w:rPr>
      </w:pPr>
      <w:r>
        <w:rPr>
          <w:rFonts w:hint="eastAsia" w:ascii="宋体" w:hAnsi="宋体" w:eastAsia="宋体" w:cs="宋体"/>
        </w:rPr>
        <w:t>6.2.1 劳动保护</w:t>
      </w:r>
    </w:p>
    <w:p w14:paraId="64857592">
      <w:pPr>
        <w:spacing w:line="360" w:lineRule="auto"/>
        <w:ind w:firstLine="480" w:firstLineChars="200"/>
        <w:rPr>
          <w:rFonts w:hint="eastAsia" w:ascii="宋体" w:hAnsi="宋体" w:eastAsia="宋体" w:cs="宋体"/>
        </w:rPr>
      </w:pPr>
      <w:r>
        <w:rPr>
          <w:rFonts w:hint="eastAsia" w:ascii="宋体" w:hAnsi="宋体" w:eastAsia="宋体" w:cs="宋体"/>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5199E98A">
      <w:pPr>
        <w:spacing w:line="360" w:lineRule="auto"/>
        <w:ind w:firstLine="480" w:firstLineChars="200"/>
        <w:rPr>
          <w:rFonts w:hint="eastAsia" w:ascii="宋体" w:hAnsi="宋体" w:eastAsia="宋体" w:cs="宋体"/>
        </w:rPr>
      </w:pPr>
      <w:r>
        <w:rPr>
          <w:rFonts w:hint="eastAsia" w:ascii="宋体" w:hAnsi="宋体" w:eastAsia="宋体" w:cs="宋体"/>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61FE95F0">
      <w:pPr>
        <w:spacing w:line="360" w:lineRule="auto"/>
        <w:ind w:firstLine="480" w:firstLineChars="200"/>
        <w:rPr>
          <w:rFonts w:hint="eastAsia" w:ascii="宋体" w:hAnsi="宋体" w:eastAsia="宋体" w:cs="宋体"/>
        </w:rPr>
      </w:pPr>
      <w:r>
        <w:rPr>
          <w:rFonts w:hint="eastAsia" w:ascii="宋体" w:hAnsi="宋体" w:eastAsia="宋体" w:cs="宋体"/>
        </w:rPr>
        <w:t>承包人应按法律规定安排工作时间，保证其雇佣人员享有休息和休假的权利。因工程施工的特殊需要占用休假日或延长工作时间的，应不超过法律规定的限度，并按法律规定给予补休或付酬。</w:t>
      </w:r>
    </w:p>
    <w:p w14:paraId="1FF83D27">
      <w:pPr>
        <w:spacing w:line="360" w:lineRule="auto"/>
        <w:ind w:firstLine="480" w:firstLineChars="200"/>
        <w:rPr>
          <w:rFonts w:hint="eastAsia" w:ascii="宋体" w:hAnsi="宋体" w:eastAsia="宋体" w:cs="宋体"/>
        </w:rPr>
      </w:pPr>
      <w:r>
        <w:rPr>
          <w:rFonts w:hint="eastAsia" w:ascii="宋体" w:hAnsi="宋体" w:eastAsia="宋体" w:cs="宋体"/>
        </w:rPr>
        <w:t>6.2.2 生活条件</w:t>
      </w:r>
    </w:p>
    <w:p w14:paraId="28EC3ABB">
      <w:pPr>
        <w:spacing w:line="360" w:lineRule="auto"/>
        <w:ind w:firstLine="480" w:firstLineChars="200"/>
        <w:rPr>
          <w:rFonts w:hint="eastAsia" w:ascii="宋体" w:hAnsi="宋体" w:eastAsia="宋体" w:cs="宋体"/>
        </w:rPr>
      </w:pPr>
      <w:r>
        <w:rPr>
          <w:rFonts w:hint="eastAsia" w:ascii="宋体" w:hAnsi="宋体" w:eastAsia="宋体" w:cs="宋体"/>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51845B93">
      <w:pPr>
        <w:spacing w:line="360" w:lineRule="auto"/>
        <w:ind w:firstLine="480" w:firstLineChars="200"/>
        <w:rPr>
          <w:rFonts w:hint="eastAsia" w:ascii="宋体" w:hAnsi="宋体" w:eastAsia="宋体" w:cs="宋体"/>
        </w:rPr>
      </w:pPr>
      <w:bookmarkStart w:id="282" w:name="_Toc145583395"/>
      <w:bookmarkStart w:id="283" w:name="_Toc351203541"/>
      <w:r>
        <w:rPr>
          <w:rFonts w:hint="eastAsia" w:ascii="宋体" w:hAnsi="宋体" w:eastAsia="宋体" w:cs="宋体"/>
        </w:rPr>
        <w:t>6</w:t>
      </w:r>
      <w:bookmarkStart w:id="284" w:name="_Toc337558766"/>
      <w:r>
        <w:rPr>
          <w:rFonts w:hint="eastAsia" w:ascii="宋体" w:hAnsi="宋体" w:eastAsia="宋体" w:cs="宋体"/>
        </w:rPr>
        <w:t>.3 环境保护</w:t>
      </w:r>
      <w:bookmarkEnd w:id="282"/>
      <w:bookmarkEnd w:id="283"/>
    </w:p>
    <w:bookmarkEnd w:id="284"/>
    <w:p w14:paraId="7180FF67">
      <w:pPr>
        <w:spacing w:line="360" w:lineRule="auto"/>
        <w:ind w:firstLine="480" w:firstLineChars="200"/>
        <w:rPr>
          <w:rFonts w:hint="eastAsia" w:ascii="宋体" w:hAnsi="宋体" w:eastAsia="宋体" w:cs="宋体"/>
        </w:rPr>
      </w:pPr>
      <w:r>
        <w:rPr>
          <w:rFonts w:hint="eastAsia" w:ascii="宋体" w:hAnsi="宋体" w:eastAsia="宋体" w:cs="宋体"/>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5805EF2C">
      <w:pPr>
        <w:spacing w:line="360" w:lineRule="auto"/>
        <w:ind w:firstLine="480" w:firstLineChars="200"/>
        <w:rPr>
          <w:rFonts w:hint="eastAsia" w:ascii="宋体" w:hAnsi="宋体" w:eastAsia="宋体" w:cs="宋体"/>
        </w:rPr>
      </w:pPr>
      <w:r>
        <w:rPr>
          <w:rFonts w:hint="eastAsia" w:ascii="宋体" w:hAnsi="宋体" w:eastAsia="宋体" w:cs="宋体"/>
        </w:rPr>
        <w:t>承包人应当承担因其原因引起的环境污染侵权损害赔偿责任，因上述环境污染引起纠纷而导致暂停施工的，由此增加的费用和（或）延误的工期由承包人承担。</w:t>
      </w:r>
    </w:p>
    <w:p w14:paraId="4EFFACA6">
      <w:pPr>
        <w:spacing w:line="360" w:lineRule="auto"/>
        <w:ind w:firstLine="480" w:firstLineChars="200"/>
        <w:rPr>
          <w:rFonts w:hint="eastAsia" w:ascii="宋体" w:hAnsi="宋体" w:eastAsia="宋体" w:cs="宋体"/>
        </w:rPr>
      </w:pPr>
      <w:bookmarkStart w:id="285" w:name="_Toc351203542"/>
      <w:bookmarkStart w:id="286" w:name="_Toc145583396"/>
      <w:r>
        <w:rPr>
          <w:rFonts w:hint="eastAsia" w:ascii="宋体" w:hAnsi="宋体" w:eastAsia="宋体" w:cs="宋体"/>
        </w:rPr>
        <w:t>7</w:t>
      </w:r>
      <w:bookmarkStart w:id="287" w:name="_Toc337558767"/>
      <w:r>
        <w:rPr>
          <w:rFonts w:hint="eastAsia" w:ascii="宋体" w:hAnsi="宋体" w:eastAsia="宋体" w:cs="宋体"/>
        </w:rPr>
        <w:t>. 工期和进度</w:t>
      </w:r>
      <w:bookmarkEnd w:id="285"/>
      <w:bookmarkEnd w:id="286"/>
    </w:p>
    <w:bookmarkEnd w:id="287"/>
    <w:p w14:paraId="6AB85861">
      <w:pPr>
        <w:spacing w:line="360" w:lineRule="auto"/>
        <w:ind w:firstLine="480" w:firstLineChars="200"/>
        <w:rPr>
          <w:rFonts w:hint="eastAsia" w:ascii="宋体" w:hAnsi="宋体" w:eastAsia="宋体" w:cs="宋体"/>
        </w:rPr>
      </w:pPr>
      <w:bookmarkStart w:id="288" w:name="_Toc351203543"/>
      <w:bookmarkStart w:id="289" w:name="_Toc145583397"/>
      <w:r>
        <w:rPr>
          <w:rFonts w:hint="eastAsia" w:ascii="宋体" w:hAnsi="宋体" w:eastAsia="宋体" w:cs="宋体"/>
        </w:rPr>
        <w:t>7</w:t>
      </w:r>
      <w:bookmarkStart w:id="290" w:name="_Toc337558768"/>
      <w:bookmarkStart w:id="291" w:name="_Toc296503066"/>
      <w:bookmarkStart w:id="292" w:name="_Toc296346567"/>
      <w:r>
        <w:rPr>
          <w:rFonts w:hint="eastAsia" w:ascii="宋体" w:hAnsi="宋体" w:eastAsia="宋体" w:cs="宋体"/>
        </w:rPr>
        <w:t>.1施工组织设计</w:t>
      </w:r>
      <w:bookmarkEnd w:id="288"/>
      <w:bookmarkEnd w:id="289"/>
    </w:p>
    <w:bookmarkEnd w:id="290"/>
    <w:p w14:paraId="60481123">
      <w:pPr>
        <w:spacing w:line="360" w:lineRule="auto"/>
        <w:ind w:firstLine="480" w:firstLineChars="200"/>
        <w:rPr>
          <w:rFonts w:hint="eastAsia" w:ascii="宋体" w:hAnsi="宋体" w:eastAsia="宋体" w:cs="宋体"/>
        </w:rPr>
      </w:pPr>
      <w:r>
        <w:rPr>
          <w:rFonts w:hint="eastAsia" w:ascii="宋体" w:hAnsi="宋体" w:eastAsia="宋体" w:cs="宋体"/>
        </w:rPr>
        <w:t>7.1.1 施工组织设计的内容</w:t>
      </w:r>
    </w:p>
    <w:p w14:paraId="00E21F0F">
      <w:pPr>
        <w:spacing w:line="360" w:lineRule="auto"/>
        <w:ind w:firstLine="480" w:firstLineChars="200"/>
        <w:rPr>
          <w:rFonts w:hint="eastAsia" w:ascii="宋体" w:hAnsi="宋体" w:eastAsia="宋体" w:cs="宋体"/>
        </w:rPr>
      </w:pPr>
      <w:r>
        <w:rPr>
          <w:rFonts w:hint="eastAsia" w:ascii="宋体" w:hAnsi="宋体" w:eastAsia="宋体" w:cs="宋体"/>
        </w:rPr>
        <w:t>施工组织设计应包含以下内容：</w:t>
      </w:r>
    </w:p>
    <w:p w14:paraId="4560B17F">
      <w:pPr>
        <w:spacing w:line="360" w:lineRule="auto"/>
        <w:ind w:firstLine="480" w:firstLineChars="200"/>
        <w:rPr>
          <w:rFonts w:hint="eastAsia" w:ascii="宋体" w:hAnsi="宋体" w:eastAsia="宋体" w:cs="宋体"/>
        </w:rPr>
      </w:pPr>
      <w:r>
        <w:rPr>
          <w:rFonts w:hint="eastAsia" w:ascii="宋体" w:hAnsi="宋体" w:eastAsia="宋体" w:cs="宋体"/>
        </w:rPr>
        <w:t xml:space="preserve">（1）施工方案； </w:t>
      </w:r>
    </w:p>
    <w:p w14:paraId="72463CAD">
      <w:pPr>
        <w:spacing w:line="360" w:lineRule="auto"/>
        <w:ind w:firstLine="480" w:firstLineChars="200"/>
        <w:rPr>
          <w:rFonts w:hint="eastAsia" w:ascii="宋体" w:hAnsi="宋体" w:eastAsia="宋体" w:cs="宋体"/>
        </w:rPr>
      </w:pPr>
      <w:r>
        <w:rPr>
          <w:rFonts w:hint="eastAsia" w:ascii="宋体" w:hAnsi="宋体" w:eastAsia="宋体" w:cs="宋体"/>
        </w:rPr>
        <w:t>（2）施工现场平面布置图；</w:t>
      </w:r>
    </w:p>
    <w:p w14:paraId="11F19D15">
      <w:pPr>
        <w:spacing w:line="360" w:lineRule="auto"/>
        <w:ind w:firstLine="480" w:firstLineChars="200"/>
        <w:rPr>
          <w:rFonts w:hint="eastAsia" w:ascii="宋体" w:hAnsi="宋体" w:eastAsia="宋体" w:cs="宋体"/>
        </w:rPr>
      </w:pPr>
      <w:r>
        <w:rPr>
          <w:rFonts w:hint="eastAsia" w:ascii="宋体" w:hAnsi="宋体" w:eastAsia="宋体" w:cs="宋体"/>
        </w:rPr>
        <w:t xml:space="preserve">（3）施工进度计划和保证措施； </w:t>
      </w:r>
    </w:p>
    <w:p w14:paraId="151476B5">
      <w:pPr>
        <w:spacing w:line="360" w:lineRule="auto"/>
        <w:ind w:firstLine="480" w:firstLineChars="200"/>
        <w:rPr>
          <w:rFonts w:hint="eastAsia" w:ascii="宋体" w:hAnsi="宋体" w:eastAsia="宋体" w:cs="宋体"/>
        </w:rPr>
      </w:pPr>
      <w:r>
        <w:rPr>
          <w:rFonts w:hint="eastAsia" w:ascii="宋体" w:hAnsi="宋体" w:eastAsia="宋体" w:cs="宋体"/>
        </w:rPr>
        <w:t>（4）劳动力及材料供应计划；</w:t>
      </w:r>
    </w:p>
    <w:p w14:paraId="0683457A">
      <w:pPr>
        <w:spacing w:line="360" w:lineRule="auto"/>
        <w:ind w:firstLine="480" w:firstLineChars="200"/>
        <w:rPr>
          <w:rFonts w:hint="eastAsia" w:ascii="宋体" w:hAnsi="宋体" w:eastAsia="宋体" w:cs="宋体"/>
        </w:rPr>
      </w:pPr>
      <w:r>
        <w:rPr>
          <w:rFonts w:hint="eastAsia" w:ascii="宋体" w:hAnsi="宋体" w:eastAsia="宋体" w:cs="宋体"/>
        </w:rPr>
        <w:t>（5）施工机械设备的选用；</w:t>
      </w:r>
    </w:p>
    <w:p w14:paraId="6CF78007">
      <w:pPr>
        <w:spacing w:line="360" w:lineRule="auto"/>
        <w:ind w:firstLine="480" w:firstLineChars="200"/>
        <w:rPr>
          <w:rFonts w:hint="eastAsia" w:ascii="宋体" w:hAnsi="宋体" w:eastAsia="宋体" w:cs="宋体"/>
        </w:rPr>
      </w:pPr>
      <w:r>
        <w:rPr>
          <w:rFonts w:hint="eastAsia" w:ascii="宋体" w:hAnsi="宋体" w:eastAsia="宋体" w:cs="宋体"/>
        </w:rPr>
        <w:t>（6）质量保证体系及措施；</w:t>
      </w:r>
    </w:p>
    <w:p w14:paraId="6BE9F4EC">
      <w:pPr>
        <w:spacing w:line="360" w:lineRule="auto"/>
        <w:ind w:firstLine="480" w:firstLineChars="200"/>
        <w:rPr>
          <w:rFonts w:hint="eastAsia" w:ascii="宋体" w:hAnsi="宋体" w:eastAsia="宋体" w:cs="宋体"/>
        </w:rPr>
      </w:pPr>
      <w:r>
        <w:rPr>
          <w:rFonts w:hint="eastAsia" w:ascii="宋体" w:hAnsi="宋体" w:eastAsia="宋体" w:cs="宋体"/>
        </w:rPr>
        <w:t>（7）安全生产、文明施工措施；</w:t>
      </w:r>
    </w:p>
    <w:p w14:paraId="62A7DA53">
      <w:pPr>
        <w:spacing w:line="360" w:lineRule="auto"/>
        <w:ind w:firstLine="480" w:firstLineChars="200"/>
        <w:rPr>
          <w:rFonts w:hint="eastAsia" w:ascii="宋体" w:hAnsi="宋体" w:eastAsia="宋体" w:cs="宋体"/>
        </w:rPr>
      </w:pPr>
      <w:r>
        <w:rPr>
          <w:rFonts w:hint="eastAsia" w:ascii="宋体" w:hAnsi="宋体" w:eastAsia="宋体" w:cs="宋体"/>
        </w:rPr>
        <w:t>（8）环境保护、成本控制措施；</w:t>
      </w:r>
    </w:p>
    <w:p w14:paraId="642352AE">
      <w:pPr>
        <w:spacing w:line="360" w:lineRule="auto"/>
        <w:ind w:firstLine="480" w:firstLineChars="200"/>
        <w:rPr>
          <w:rFonts w:hint="eastAsia" w:ascii="宋体" w:hAnsi="宋体" w:eastAsia="宋体" w:cs="宋体"/>
        </w:rPr>
      </w:pPr>
      <w:r>
        <w:rPr>
          <w:rFonts w:hint="eastAsia" w:ascii="宋体" w:hAnsi="宋体" w:eastAsia="宋体" w:cs="宋体"/>
        </w:rPr>
        <w:t>（9）合同当事人约定的其他内容。</w:t>
      </w:r>
    </w:p>
    <w:p w14:paraId="1E29E562">
      <w:pPr>
        <w:spacing w:line="360" w:lineRule="auto"/>
        <w:ind w:firstLine="480" w:firstLineChars="200"/>
        <w:rPr>
          <w:rFonts w:hint="eastAsia" w:ascii="宋体" w:hAnsi="宋体" w:eastAsia="宋体" w:cs="宋体"/>
        </w:rPr>
      </w:pPr>
      <w:r>
        <w:rPr>
          <w:rFonts w:hint="eastAsia" w:ascii="宋体" w:hAnsi="宋体" w:eastAsia="宋体" w:cs="宋体"/>
        </w:rPr>
        <w:t>7.1.2 施工组织设计的提交和修改</w:t>
      </w:r>
    </w:p>
    <w:p w14:paraId="779DC336">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78D56043">
      <w:pPr>
        <w:spacing w:line="360" w:lineRule="auto"/>
        <w:ind w:firstLine="480" w:firstLineChars="200"/>
        <w:rPr>
          <w:rFonts w:hint="eastAsia" w:ascii="宋体" w:hAnsi="宋体" w:eastAsia="宋体" w:cs="宋体"/>
        </w:rPr>
      </w:pPr>
      <w:r>
        <w:rPr>
          <w:rFonts w:hint="eastAsia" w:ascii="宋体" w:hAnsi="宋体" w:eastAsia="宋体" w:cs="宋体"/>
        </w:rPr>
        <w:t>施工进度计划的编制和修改按照第7.2款〔施工进度计划〕执行。</w:t>
      </w:r>
    </w:p>
    <w:p w14:paraId="60F6B6E3">
      <w:pPr>
        <w:spacing w:line="360" w:lineRule="auto"/>
        <w:ind w:firstLine="480" w:firstLineChars="200"/>
        <w:rPr>
          <w:rFonts w:hint="eastAsia" w:ascii="宋体" w:hAnsi="宋体" w:eastAsia="宋体" w:cs="宋体"/>
        </w:rPr>
      </w:pPr>
      <w:bookmarkStart w:id="293" w:name="_Toc351203544"/>
      <w:bookmarkStart w:id="294" w:name="_Toc145583398"/>
      <w:r>
        <w:rPr>
          <w:rFonts w:hint="eastAsia" w:ascii="宋体" w:hAnsi="宋体" w:eastAsia="宋体" w:cs="宋体"/>
        </w:rPr>
        <w:t>7</w:t>
      </w:r>
      <w:bookmarkStart w:id="295" w:name="_Toc337558769"/>
      <w:r>
        <w:rPr>
          <w:rFonts w:hint="eastAsia" w:ascii="宋体" w:hAnsi="宋体" w:eastAsia="宋体" w:cs="宋体"/>
        </w:rPr>
        <w:t>.2 施工进度计划</w:t>
      </w:r>
      <w:bookmarkEnd w:id="293"/>
      <w:bookmarkEnd w:id="294"/>
    </w:p>
    <w:bookmarkEnd w:id="295"/>
    <w:p w14:paraId="08D1E0EB">
      <w:pPr>
        <w:spacing w:line="360" w:lineRule="auto"/>
        <w:ind w:firstLine="480" w:firstLineChars="200"/>
        <w:rPr>
          <w:rFonts w:hint="eastAsia" w:ascii="宋体" w:hAnsi="宋体" w:eastAsia="宋体" w:cs="宋体"/>
        </w:rPr>
      </w:pPr>
      <w:r>
        <w:rPr>
          <w:rFonts w:hint="eastAsia" w:ascii="宋体" w:hAnsi="宋体" w:eastAsia="宋体" w:cs="宋体"/>
        </w:rPr>
        <w:t>7.2.1 施工进度计划的编制</w:t>
      </w:r>
    </w:p>
    <w:p w14:paraId="4FFE521F">
      <w:pPr>
        <w:spacing w:line="360" w:lineRule="auto"/>
        <w:ind w:firstLine="480" w:firstLineChars="200"/>
        <w:rPr>
          <w:rFonts w:hint="eastAsia" w:ascii="宋体" w:hAnsi="宋体" w:eastAsia="宋体" w:cs="宋体"/>
        </w:rPr>
      </w:pPr>
      <w:r>
        <w:rPr>
          <w:rFonts w:hint="eastAsia" w:ascii="宋体" w:hAnsi="宋体" w:eastAsia="宋体" w:cs="宋体"/>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0CCA4168">
      <w:pPr>
        <w:spacing w:line="360" w:lineRule="auto"/>
        <w:ind w:firstLine="480" w:firstLineChars="200"/>
        <w:rPr>
          <w:rFonts w:hint="eastAsia" w:ascii="宋体" w:hAnsi="宋体" w:eastAsia="宋体" w:cs="宋体"/>
        </w:rPr>
      </w:pPr>
      <w:r>
        <w:rPr>
          <w:rFonts w:hint="eastAsia" w:ascii="宋体" w:hAnsi="宋体" w:eastAsia="宋体" w:cs="宋体"/>
        </w:rPr>
        <w:t>7.2.2 施工进度计划的修订</w:t>
      </w:r>
    </w:p>
    <w:p w14:paraId="08F3AFD5">
      <w:pPr>
        <w:spacing w:line="360" w:lineRule="auto"/>
        <w:ind w:firstLine="480" w:firstLineChars="200"/>
        <w:rPr>
          <w:rFonts w:hint="eastAsia" w:ascii="宋体" w:hAnsi="宋体" w:eastAsia="宋体" w:cs="宋体"/>
        </w:rPr>
      </w:pPr>
      <w:r>
        <w:rPr>
          <w:rFonts w:hint="eastAsia" w:ascii="宋体" w:hAnsi="宋体" w:eastAsia="宋体" w:cs="宋体"/>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75298E35">
      <w:pPr>
        <w:spacing w:line="360" w:lineRule="auto"/>
        <w:ind w:firstLine="480" w:firstLineChars="200"/>
        <w:rPr>
          <w:rFonts w:hint="eastAsia" w:ascii="宋体" w:hAnsi="宋体" w:eastAsia="宋体" w:cs="宋体"/>
        </w:rPr>
      </w:pPr>
      <w:bookmarkStart w:id="296" w:name="_Toc145583399"/>
      <w:bookmarkStart w:id="297" w:name="_Toc351203545"/>
      <w:r>
        <w:rPr>
          <w:rFonts w:hint="eastAsia" w:ascii="宋体" w:hAnsi="宋体" w:eastAsia="宋体" w:cs="宋体"/>
        </w:rPr>
        <w:t>7</w:t>
      </w:r>
      <w:bookmarkStart w:id="298" w:name="_Toc337558770"/>
      <w:r>
        <w:rPr>
          <w:rFonts w:hint="eastAsia" w:ascii="宋体" w:hAnsi="宋体" w:eastAsia="宋体" w:cs="宋体"/>
        </w:rPr>
        <w:t>.3 开工</w:t>
      </w:r>
      <w:bookmarkEnd w:id="296"/>
      <w:bookmarkEnd w:id="297"/>
    </w:p>
    <w:p w14:paraId="71DAB157">
      <w:pPr>
        <w:spacing w:line="360" w:lineRule="auto"/>
        <w:ind w:firstLine="480" w:firstLineChars="200"/>
        <w:rPr>
          <w:rFonts w:hint="eastAsia" w:ascii="宋体" w:hAnsi="宋体" w:eastAsia="宋体" w:cs="宋体"/>
        </w:rPr>
      </w:pPr>
      <w:r>
        <w:rPr>
          <w:rFonts w:hint="eastAsia" w:ascii="宋体" w:hAnsi="宋体" w:eastAsia="宋体" w:cs="宋体"/>
        </w:rPr>
        <w:t>7.3.1 开工准备</w:t>
      </w:r>
    </w:p>
    <w:p w14:paraId="009A38BA">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551ADEB3">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除专用合同条款另有约定外，合同当事人应按约定完成开工准备工作。</w:t>
      </w:r>
    </w:p>
    <w:p w14:paraId="1BEF82D8">
      <w:pPr>
        <w:spacing w:line="360" w:lineRule="auto"/>
        <w:ind w:firstLine="480" w:firstLineChars="200"/>
        <w:rPr>
          <w:rFonts w:hint="eastAsia" w:ascii="宋体" w:hAnsi="宋体" w:eastAsia="宋体" w:cs="宋体"/>
        </w:rPr>
      </w:pPr>
      <w:r>
        <w:rPr>
          <w:rFonts w:hint="eastAsia" w:ascii="宋体" w:hAnsi="宋体" w:eastAsia="宋体" w:cs="宋体"/>
        </w:rPr>
        <w:t>7.3.2 开工通知</w:t>
      </w:r>
    </w:p>
    <w:bookmarkEnd w:id="298"/>
    <w:p w14:paraId="3E066121">
      <w:pPr>
        <w:spacing w:line="360" w:lineRule="auto"/>
        <w:ind w:firstLine="480" w:firstLineChars="200"/>
        <w:rPr>
          <w:rFonts w:hint="eastAsia" w:ascii="宋体" w:hAnsi="宋体" w:eastAsia="宋体" w:cs="宋体"/>
        </w:rPr>
      </w:pPr>
      <w:r>
        <w:rPr>
          <w:rFonts w:hint="eastAsia" w:ascii="宋体" w:hAnsi="宋体" w:eastAsia="宋体" w:cs="宋体"/>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285EF1E2">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4F3C415C">
      <w:pPr>
        <w:spacing w:line="360" w:lineRule="auto"/>
        <w:ind w:firstLine="480" w:firstLineChars="200"/>
        <w:rPr>
          <w:rFonts w:hint="eastAsia" w:ascii="宋体" w:hAnsi="宋体" w:eastAsia="宋体" w:cs="宋体"/>
        </w:rPr>
      </w:pPr>
      <w:bookmarkStart w:id="299" w:name="_Toc351203546"/>
      <w:bookmarkStart w:id="300" w:name="_Toc145583400"/>
      <w:r>
        <w:rPr>
          <w:rFonts w:hint="eastAsia" w:ascii="宋体" w:hAnsi="宋体" w:eastAsia="宋体" w:cs="宋体"/>
        </w:rPr>
        <w:t>7.4测量放线</w:t>
      </w:r>
      <w:bookmarkEnd w:id="299"/>
      <w:bookmarkEnd w:id="300"/>
    </w:p>
    <w:p w14:paraId="1BF35E3A">
      <w:pPr>
        <w:spacing w:line="360" w:lineRule="auto"/>
        <w:ind w:firstLine="480" w:firstLineChars="200"/>
        <w:rPr>
          <w:rFonts w:hint="eastAsia" w:ascii="宋体" w:hAnsi="宋体" w:eastAsia="宋体" w:cs="宋体"/>
        </w:rPr>
      </w:pPr>
      <w:r>
        <w:rPr>
          <w:rFonts w:hint="eastAsia" w:ascii="宋体" w:hAnsi="宋体" w:eastAsia="宋体" w:cs="宋体"/>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76C8816B">
      <w:pPr>
        <w:spacing w:line="360" w:lineRule="auto"/>
        <w:ind w:firstLine="480" w:firstLineChars="200"/>
        <w:rPr>
          <w:rFonts w:hint="eastAsia" w:ascii="宋体" w:hAnsi="宋体" w:eastAsia="宋体" w:cs="宋体"/>
        </w:rPr>
      </w:pPr>
      <w:r>
        <w:rPr>
          <w:rFonts w:hint="eastAsia" w:ascii="宋体" w:hAnsi="宋体" w:eastAsia="宋体" w:cs="宋体"/>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1E0CAAC7">
      <w:pPr>
        <w:spacing w:line="360" w:lineRule="auto"/>
        <w:ind w:firstLine="480" w:firstLineChars="200"/>
        <w:rPr>
          <w:rFonts w:hint="eastAsia" w:ascii="宋体" w:hAnsi="宋体" w:eastAsia="宋体" w:cs="宋体"/>
        </w:rPr>
      </w:pPr>
      <w:r>
        <w:rPr>
          <w:rFonts w:hint="eastAsia" w:ascii="宋体" w:hAnsi="宋体" w:eastAsia="宋体" w:cs="宋体"/>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1B17D776">
      <w:pPr>
        <w:spacing w:line="360" w:lineRule="auto"/>
        <w:ind w:firstLine="480" w:firstLineChars="200"/>
        <w:rPr>
          <w:rFonts w:hint="eastAsia" w:ascii="宋体" w:hAnsi="宋体" w:eastAsia="宋体" w:cs="宋体"/>
        </w:rPr>
      </w:pPr>
      <w:r>
        <w:rPr>
          <w:rFonts w:hint="eastAsia" w:ascii="宋体" w:hAnsi="宋体" w:eastAsia="宋体" w:cs="宋体"/>
        </w:rPr>
        <w:t>施工过程中对施工现场内水准点等测量标志物的保护工作由承包人负责。</w:t>
      </w:r>
      <w:bookmarkStart w:id="301" w:name="_Toc351203547"/>
    </w:p>
    <w:p w14:paraId="58FBF875">
      <w:pPr>
        <w:spacing w:line="360" w:lineRule="auto"/>
        <w:ind w:firstLine="480" w:firstLineChars="200"/>
        <w:rPr>
          <w:rFonts w:hint="eastAsia" w:ascii="宋体" w:hAnsi="宋体" w:eastAsia="宋体" w:cs="宋体"/>
        </w:rPr>
      </w:pPr>
      <w:bookmarkStart w:id="302" w:name="_Toc145583401"/>
      <w:r>
        <w:rPr>
          <w:rFonts w:hint="eastAsia" w:ascii="宋体" w:hAnsi="宋体" w:eastAsia="宋体" w:cs="宋体"/>
        </w:rPr>
        <w:t>7</w:t>
      </w:r>
      <w:bookmarkEnd w:id="291"/>
      <w:bookmarkEnd w:id="292"/>
      <w:bookmarkStart w:id="303" w:name="_Toc296503073"/>
      <w:bookmarkStart w:id="304" w:name="_Toc296346574"/>
      <w:bookmarkStart w:id="305" w:name="_Toc337558772"/>
      <w:r>
        <w:rPr>
          <w:rFonts w:hint="eastAsia" w:ascii="宋体" w:hAnsi="宋体" w:eastAsia="宋体" w:cs="宋体"/>
        </w:rPr>
        <w:t>.5 工期延误</w:t>
      </w:r>
      <w:bookmarkEnd w:id="301"/>
      <w:bookmarkEnd w:id="302"/>
    </w:p>
    <w:bookmarkEnd w:id="303"/>
    <w:bookmarkEnd w:id="304"/>
    <w:bookmarkEnd w:id="305"/>
    <w:p w14:paraId="2DABABE8">
      <w:pPr>
        <w:spacing w:line="360" w:lineRule="auto"/>
        <w:ind w:firstLine="480" w:firstLineChars="200"/>
        <w:rPr>
          <w:rFonts w:hint="eastAsia" w:ascii="宋体" w:hAnsi="宋体" w:eastAsia="宋体" w:cs="宋体"/>
        </w:rPr>
      </w:pPr>
      <w:r>
        <w:rPr>
          <w:rFonts w:hint="eastAsia" w:ascii="宋体" w:hAnsi="宋体" w:eastAsia="宋体" w:cs="宋体"/>
        </w:rPr>
        <w:t>7.5.1 因发包人原因导致工期延误</w:t>
      </w:r>
    </w:p>
    <w:p w14:paraId="21143316">
      <w:pPr>
        <w:spacing w:line="360" w:lineRule="auto"/>
        <w:ind w:firstLine="480" w:firstLineChars="200"/>
        <w:rPr>
          <w:rFonts w:hint="eastAsia" w:ascii="宋体" w:hAnsi="宋体" w:eastAsia="宋体" w:cs="宋体"/>
        </w:rPr>
      </w:pPr>
      <w:r>
        <w:rPr>
          <w:rFonts w:hint="eastAsia" w:ascii="宋体" w:hAnsi="宋体" w:eastAsia="宋体" w:cs="宋体"/>
        </w:rPr>
        <w:t xml:space="preserve">在合同履行过程中，因下列情况导致工期延误和（或）费用增加的，由发包人承担由此延误的工期和（或）增加的费用，且发包人应支付承包人合理的利润： </w:t>
      </w:r>
    </w:p>
    <w:p w14:paraId="5D76AA24">
      <w:pPr>
        <w:spacing w:line="360" w:lineRule="auto"/>
        <w:ind w:firstLine="480" w:firstLineChars="200"/>
        <w:rPr>
          <w:rFonts w:hint="eastAsia" w:ascii="宋体" w:hAnsi="宋体" w:eastAsia="宋体" w:cs="宋体"/>
        </w:rPr>
      </w:pPr>
      <w:r>
        <w:rPr>
          <w:rFonts w:hint="eastAsia" w:ascii="宋体" w:hAnsi="宋体" w:eastAsia="宋体" w:cs="宋体"/>
        </w:rPr>
        <w:t>（1）发包人未能按合同约定提供图纸或所提供图纸不符合合同约定的；</w:t>
      </w:r>
    </w:p>
    <w:p w14:paraId="682B378F">
      <w:pPr>
        <w:spacing w:line="360" w:lineRule="auto"/>
        <w:ind w:firstLine="480" w:firstLineChars="200"/>
        <w:rPr>
          <w:rFonts w:hint="eastAsia" w:ascii="宋体" w:hAnsi="宋体" w:eastAsia="宋体" w:cs="宋体"/>
        </w:rPr>
      </w:pPr>
      <w:r>
        <w:rPr>
          <w:rFonts w:hint="eastAsia" w:ascii="宋体" w:hAnsi="宋体" w:eastAsia="宋体" w:cs="宋体"/>
        </w:rPr>
        <w:t>（2）发包人未能按合同约定提供施工现场、施工条件、基础资料、许可、批准等开工条件的；</w:t>
      </w:r>
    </w:p>
    <w:p w14:paraId="06855B9E">
      <w:pPr>
        <w:spacing w:line="360" w:lineRule="auto"/>
        <w:ind w:firstLine="480" w:firstLineChars="200"/>
        <w:rPr>
          <w:rFonts w:hint="eastAsia" w:ascii="宋体" w:hAnsi="宋体" w:eastAsia="宋体" w:cs="宋体"/>
        </w:rPr>
      </w:pPr>
      <w:r>
        <w:rPr>
          <w:rFonts w:hint="eastAsia" w:ascii="宋体" w:hAnsi="宋体" w:eastAsia="宋体" w:cs="宋体"/>
        </w:rPr>
        <w:t>（3）发包人提供的测量基准点、基准线和水准点及其书面资料存在错误或疏漏的；</w:t>
      </w:r>
    </w:p>
    <w:p w14:paraId="78F22D0D">
      <w:pPr>
        <w:spacing w:line="360" w:lineRule="auto"/>
        <w:ind w:firstLine="480" w:firstLineChars="200"/>
        <w:rPr>
          <w:rFonts w:hint="eastAsia" w:ascii="宋体" w:hAnsi="宋体" w:eastAsia="宋体" w:cs="宋体"/>
        </w:rPr>
      </w:pPr>
      <w:r>
        <w:rPr>
          <w:rFonts w:hint="eastAsia" w:ascii="宋体" w:hAnsi="宋体" w:eastAsia="宋体" w:cs="宋体"/>
        </w:rPr>
        <w:t>（4）发包人未能在计划开工日期之日起7天内同意下达开工通知的；</w:t>
      </w:r>
    </w:p>
    <w:p w14:paraId="6D6325AC">
      <w:pPr>
        <w:spacing w:line="360" w:lineRule="auto"/>
        <w:ind w:firstLine="480" w:firstLineChars="200"/>
        <w:rPr>
          <w:rFonts w:hint="eastAsia" w:ascii="宋体" w:hAnsi="宋体" w:eastAsia="宋体" w:cs="宋体"/>
        </w:rPr>
      </w:pPr>
      <w:r>
        <w:rPr>
          <w:rFonts w:hint="eastAsia" w:ascii="宋体" w:hAnsi="宋体" w:eastAsia="宋体" w:cs="宋体"/>
        </w:rPr>
        <w:t>（5）发包人未能按合同约定日期支付工程预付款、进度款或竣工结算款的；</w:t>
      </w:r>
    </w:p>
    <w:p w14:paraId="68D3ED10">
      <w:pPr>
        <w:spacing w:line="360" w:lineRule="auto"/>
        <w:ind w:firstLine="480" w:firstLineChars="200"/>
        <w:rPr>
          <w:rFonts w:hint="eastAsia" w:ascii="宋体" w:hAnsi="宋体" w:eastAsia="宋体" w:cs="宋体"/>
        </w:rPr>
      </w:pPr>
      <w:r>
        <w:rPr>
          <w:rFonts w:hint="eastAsia" w:ascii="宋体" w:hAnsi="宋体" w:eastAsia="宋体" w:cs="宋体"/>
        </w:rPr>
        <w:t>（6）监理人未按合同约定发出指示、批准等文件的；</w:t>
      </w:r>
    </w:p>
    <w:p w14:paraId="3C3C5ED8">
      <w:pPr>
        <w:spacing w:line="360" w:lineRule="auto"/>
        <w:ind w:firstLine="480" w:firstLineChars="200"/>
        <w:rPr>
          <w:rFonts w:hint="eastAsia" w:ascii="宋体" w:hAnsi="宋体" w:eastAsia="宋体" w:cs="宋体"/>
        </w:rPr>
      </w:pPr>
      <w:r>
        <w:rPr>
          <w:rFonts w:hint="eastAsia" w:ascii="宋体" w:hAnsi="宋体" w:eastAsia="宋体" w:cs="宋体"/>
        </w:rPr>
        <w:t>（7）专用合同条款中约定的其他情形。</w:t>
      </w:r>
    </w:p>
    <w:p w14:paraId="6449B9F2">
      <w:pPr>
        <w:spacing w:line="360" w:lineRule="auto"/>
        <w:ind w:firstLine="480" w:firstLineChars="200"/>
        <w:rPr>
          <w:rFonts w:hint="eastAsia" w:ascii="宋体" w:hAnsi="宋体" w:eastAsia="宋体" w:cs="宋体"/>
        </w:rPr>
      </w:pPr>
      <w:r>
        <w:rPr>
          <w:rFonts w:hint="eastAsia" w:ascii="宋体" w:hAnsi="宋体" w:eastAsia="宋体" w:cs="宋体"/>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4851A599">
      <w:pPr>
        <w:spacing w:line="360" w:lineRule="auto"/>
        <w:ind w:firstLine="480" w:firstLineChars="200"/>
        <w:rPr>
          <w:rFonts w:hint="eastAsia" w:ascii="宋体" w:hAnsi="宋体" w:eastAsia="宋体" w:cs="宋体"/>
        </w:rPr>
      </w:pPr>
      <w:r>
        <w:rPr>
          <w:rFonts w:hint="eastAsia" w:ascii="宋体" w:hAnsi="宋体" w:eastAsia="宋体" w:cs="宋体"/>
        </w:rPr>
        <w:t>7.5.2 因承包人原因导致工期延误</w:t>
      </w:r>
    </w:p>
    <w:p w14:paraId="6F4946DF">
      <w:pPr>
        <w:spacing w:line="360" w:lineRule="auto"/>
        <w:ind w:firstLine="480" w:firstLineChars="200"/>
        <w:rPr>
          <w:rFonts w:hint="eastAsia" w:ascii="宋体" w:hAnsi="宋体" w:eastAsia="宋体" w:cs="宋体"/>
        </w:rPr>
      </w:pPr>
      <w:bookmarkStart w:id="306" w:name="_Toc296503076"/>
      <w:bookmarkStart w:id="307" w:name="_Toc296346577"/>
      <w:r>
        <w:rPr>
          <w:rFonts w:hint="eastAsia" w:ascii="宋体" w:hAnsi="宋体" w:eastAsia="宋体" w:cs="宋体"/>
        </w:rPr>
        <w:t>因</w:t>
      </w:r>
      <w:bookmarkEnd w:id="306"/>
      <w:bookmarkEnd w:id="307"/>
      <w:r>
        <w:rPr>
          <w:rFonts w:hint="eastAsia" w:ascii="宋体" w:hAnsi="宋体" w:eastAsia="宋体" w:cs="宋体"/>
        </w:rPr>
        <w:t>承包人原因造成工期延误的，可以在专用合同条款中约定逾期竣工违约金的计算方法和逾期竣工违约金的上限。承包人支付逾期竣工违约金后，不免除承包人继续完成工程及修补缺陷的义务。</w:t>
      </w:r>
    </w:p>
    <w:p w14:paraId="78E41F19">
      <w:pPr>
        <w:spacing w:line="360" w:lineRule="auto"/>
        <w:ind w:firstLine="480" w:firstLineChars="200"/>
        <w:rPr>
          <w:rFonts w:hint="eastAsia" w:ascii="宋体" w:hAnsi="宋体" w:eastAsia="宋体" w:cs="宋体"/>
        </w:rPr>
      </w:pPr>
      <w:bookmarkStart w:id="308" w:name="_Toc145583402"/>
      <w:bookmarkStart w:id="309" w:name="_Toc351203548"/>
      <w:r>
        <w:rPr>
          <w:rFonts w:hint="eastAsia" w:ascii="宋体" w:hAnsi="宋体" w:eastAsia="宋体" w:cs="宋体"/>
        </w:rPr>
        <w:t>7</w:t>
      </w:r>
      <w:bookmarkStart w:id="310" w:name="_Toc296503074"/>
      <w:bookmarkStart w:id="311" w:name="_Toc337558773"/>
      <w:bookmarkStart w:id="312" w:name="_Toc296346575"/>
      <w:bookmarkStart w:id="313" w:name="_Toc296346578"/>
      <w:bookmarkStart w:id="314" w:name="_Toc296503077"/>
      <w:r>
        <w:rPr>
          <w:rFonts w:hint="eastAsia" w:ascii="宋体" w:hAnsi="宋体" w:eastAsia="宋体" w:cs="宋体"/>
        </w:rPr>
        <w:t>.6 不利物质条件</w:t>
      </w:r>
      <w:bookmarkEnd w:id="308"/>
      <w:bookmarkEnd w:id="309"/>
    </w:p>
    <w:bookmarkEnd w:id="310"/>
    <w:bookmarkEnd w:id="311"/>
    <w:bookmarkEnd w:id="312"/>
    <w:p w14:paraId="61EC2C8D">
      <w:pPr>
        <w:spacing w:line="360" w:lineRule="auto"/>
        <w:ind w:firstLine="480" w:firstLineChars="200"/>
        <w:rPr>
          <w:rFonts w:hint="eastAsia" w:ascii="宋体" w:hAnsi="宋体" w:eastAsia="宋体" w:cs="宋体"/>
        </w:rPr>
      </w:pPr>
      <w:r>
        <w:rPr>
          <w:rFonts w:hint="eastAsia" w:ascii="宋体" w:hAnsi="宋体" w:eastAsia="宋体" w:cs="宋体"/>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0A2B1C71">
      <w:pPr>
        <w:spacing w:line="360" w:lineRule="auto"/>
        <w:ind w:firstLine="480" w:firstLineChars="200"/>
        <w:rPr>
          <w:rFonts w:hint="eastAsia" w:ascii="宋体" w:hAnsi="宋体" w:eastAsia="宋体" w:cs="宋体"/>
        </w:rPr>
      </w:pPr>
      <w:r>
        <w:rPr>
          <w:rFonts w:hint="eastAsia" w:ascii="宋体" w:hAnsi="宋体" w:eastAsia="宋体" w:cs="宋体"/>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5C0FF09D">
      <w:pPr>
        <w:spacing w:line="360" w:lineRule="auto"/>
        <w:ind w:firstLine="480" w:firstLineChars="200"/>
        <w:rPr>
          <w:rFonts w:hint="eastAsia" w:ascii="宋体" w:hAnsi="宋体" w:eastAsia="宋体" w:cs="宋体"/>
        </w:rPr>
      </w:pPr>
      <w:bookmarkStart w:id="315" w:name="_Toc145583403"/>
      <w:bookmarkStart w:id="316" w:name="_Toc351203549"/>
      <w:r>
        <w:rPr>
          <w:rFonts w:hint="eastAsia" w:ascii="宋体" w:hAnsi="宋体" w:eastAsia="宋体" w:cs="宋体"/>
        </w:rPr>
        <w:t>7</w:t>
      </w:r>
      <w:bookmarkStart w:id="317" w:name="_Toc337558774"/>
      <w:bookmarkStart w:id="318" w:name="_Toc296503075"/>
      <w:bookmarkStart w:id="319" w:name="_Toc296346576"/>
      <w:r>
        <w:rPr>
          <w:rFonts w:hint="eastAsia" w:ascii="宋体" w:hAnsi="宋体" w:eastAsia="宋体" w:cs="宋体"/>
        </w:rPr>
        <w:t>.7 异常恶劣的气候条件</w:t>
      </w:r>
      <w:bookmarkEnd w:id="315"/>
      <w:bookmarkEnd w:id="316"/>
    </w:p>
    <w:bookmarkEnd w:id="317"/>
    <w:bookmarkEnd w:id="318"/>
    <w:bookmarkEnd w:id="319"/>
    <w:p w14:paraId="3A8B71D0">
      <w:pPr>
        <w:spacing w:line="360" w:lineRule="auto"/>
        <w:ind w:firstLine="480" w:firstLineChars="200"/>
        <w:rPr>
          <w:rFonts w:hint="eastAsia" w:ascii="宋体" w:hAnsi="宋体" w:eastAsia="宋体" w:cs="宋体"/>
        </w:rPr>
      </w:pPr>
      <w:r>
        <w:rPr>
          <w:rFonts w:hint="eastAsia" w:ascii="宋体" w:hAnsi="宋体" w:eastAsia="宋体" w:cs="宋体"/>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6F5CDA92">
      <w:pPr>
        <w:spacing w:line="360" w:lineRule="auto"/>
        <w:ind w:firstLine="480" w:firstLineChars="200"/>
        <w:rPr>
          <w:rFonts w:hint="eastAsia" w:ascii="宋体" w:hAnsi="宋体" w:eastAsia="宋体" w:cs="宋体"/>
        </w:rPr>
      </w:pPr>
      <w:r>
        <w:rPr>
          <w:rFonts w:hint="eastAsia" w:ascii="宋体" w:hAnsi="宋体" w:eastAsia="宋体" w:cs="宋体"/>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20" w:name="_Toc351203550"/>
    </w:p>
    <w:p w14:paraId="41F99352">
      <w:pPr>
        <w:spacing w:line="360" w:lineRule="auto"/>
        <w:ind w:firstLine="480" w:firstLineChars="200"/>
        <w:rPr>
          <w:rFonts w:hint="eastAsia" w:ascii="宋体" w:hAnsi="宋体" w:eastAsia="宋体" w:cs="宋体"/>
        </w:rPr>
      </w:pPr>
      <w:bookmarkStart w:id="321" w:name="_Toc145583404"/>
      <w:r>
        <w:rPr>
          <w:rFonts w:hint="eastAsia" w:ascii="宋体" w:hAnsi="宋体" w:eastAsia="宋体" w:cs="宋体"/>
        </w:rPr>
        <w:t>7</w:t>
      </w:r>
      <w:bookmarkStart w:id="322" w:name="_Toc337558775"/>
      <w:r>
        <w:rPr>
          <w:rFonts w:hint="eastAsia" w:ascii="宋体" w:hAnsi="宋体" w:eastAsia="宋体" w:cs="宋体"/>
        </w:rPr>
        <w:t>.8 暂停施工</w:t>
      </w:r>
      <w:bookmarkEnd w:id="320"/>
      <w:bookmarkEnd w:id="321"/>
    </w:p>
    <w:bookmarkEnd w:id="313"/>
    <w:bookmarkEnd w:id="314"/>
    <w:bookmarkEnd w:id="322"/>
    <w:p w14:paraId="7C180083">
      <w:pPr>
        <w:spacing w:line="360" w:lineRule="auto"/>
        <w:ind w:firstLine="480" w:firstLineChars="200"/>
        <w:rPr>
          <w:rFonts w:hint="eastAsia" w:ascii="宋体" w:hAnsi="宋体" w:eastAsia="宋体" w:cs="宋体"/>
        </w:rPr>
      </w:pPr>
      <w:r>
        <w:rPr>
          <w:rFonts w:hint="eastAsia" w:ascii="宋体" w:hAnsi="宋体" w:eastAsia="宋体" w:cs="宋体"/>
        </w:rPr>
        <w:t>7.8.1发包人原因引起的暂停施工</w:t>
      </w:r>
    </w:p>
    <w:p w14:paraId="6F1E43DC">
      <w:pPr>
        <w:spacing w:line="360" w:lineRule="auto"/>
        <w:ind w:firstLine="480" w:firstLineChars="200"/>
        <w:rPr>
          <w:rFonts w:hint="eastAsia" w:ascii="宋体" w:hAnsi="宋体" w:eastAsia="宋体" w:cs="宋体"/>
        </w:rPr>
      </w:pPr>
      <w:r>
        <w:rPr>
          <w:rFonts w:hint="eastAsia" w:ascii="宋体" w:hAnsi="宋体" w:eastAsia="宋体" w:cs="宋体"/>
        </w:rPr>
        <w:t>因发包人原因引起暂停施工的，监理人经发包人同意后，应及时下达暂停施工指示。情况紧急且监理人未及时下达暂停施工指示的，按照第7.8.4项〔紧急情况下的暂停施工〕执行。</w:t>
      </w:r>
    </w:p>
    <w:p w14:paraId="5F525CAB">
      <w:pPr>
        <w:spacing w:line="360" w:lineRule="auto"/>
        <w:ind w:firstLine="480" w:firstLineChars="200"/>
        <w:rPr>
          <w:rFonts w:hint="eastAsia" w:ascii="宋体" w:hAnsi="宋体" w:eastAsia="宋体" w:cs="宋体"/>
        </w:rPr>
      </w:pPr>
      <w:r>
        <w:rPr>
          <w:rFonts w:hint="eastAsia" w:ascii="宋体" w:hAnsi="宋体" w:eastAsia="宋体" w:cs="宋体"/>
        </w:rPr>
        <w:t>因发包人原因引起的暂停施工，发包人应承担由此增加的费用和（或）延误的工期，并支付承包人合理的利润。</w:t>
      </w:r>
    </w:p>
    <w:p w14:paraId="0935D590">
      <w:pPr>
        <w:spacing w:line="360" w:lineRule="auto"/>
        <w:ind w:firstLine="480" w:firstLineChars="200"/>
        <w:rPr>
          <w:rFonts w:hint="eastAsia" w:ascii="宋体" w:hAnsi="宋体" w:eastAsia="宋体" w:cs="宋体"/>
        </w:rPr>
      </w:pPr>
      <w:r>
        <w:rPr>
          <w:rFonts w:hint="eastAsia" w:ascii="宋体" w:hAnsi="宋体" w:eastAsia="宋体" w:cs="宋体"/>
        </w:rPr>
        <w:t>7.8.2 承包人原因引起的暂停施工</w:t>
      </w:r>
    </w:p>
    <w:p w14:paraId="154BD403">
      <w:pPr>
        <w:spacing w:line="360" w:lineRule="auto"/>
        <w:ind w:firstLine="480" w:firstLineChars="200"/>
        <w:rPr>
          <w:rFonts w:hint="eastAsia" w:ascii="宋体" w:hAnsi="宋体" w:eastAsia="宋体" w:cs="宋体"/>
        </w:rPr>
      </w:pPr>
      <w:r>
        <w:rPr>
          <w:rFonts w:hint="eastAsia" w:ascii="宋体" w:hAnsi="宋体" w:eastAsia="宋体" w:cs="宋体"/>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6BD317EB">
      <w:pPr>
        <w:spacing w:line="360" w:lineRule="auto"/>
        <w:ind w:firstLine="480" w:firstLineChars="200"/>
        <w:rPr>
          <w:rFonts w:hint="eastAsia" w:ascii="宋体" w:hAnsi="宋体" w:eastAsia="宋体" w:cs="宋体"/>
        </w:rPr>
      </w:pPr>
      <w:r>
        <w:rPr>
          <w:rFonts w:hint="eastAsia" w:ascii="宋体" w:hAnsi="宋体" w:eastAsia="宋体" w:cs="宋体"/>
        </w:rPr>
        <w:t>7.8.3 指示暂停施工</w:t>
      </w:r>
    </w:p>
    <w:p w14:paraId="3DA1C92A">
      <w:pPr>
        <w:spacing w:line="360" w:lineRule="auto"/>
        <w:ind w:firstLine="480" w:firstLineChars="200"/>
        <w:rPr>
          <w:rFonts w:hint="eastAsia" w:ascii="宋体" w:hAnsi="宋体" w:eastAsia="宋体" w:cs="宋体"/>
        </w:rPr>
      </w:pPr>
      <w:r>
        <w:rPr>
          <w:rFonts w:hint="eastAsia" w:ascii="宋体" w:hAnsi="宋体" w:eastAsia="宋体" w:cs="宋体"/>
        </w:rPr>
        <w:t>监理人认为有必要时，并经发包人批准后，可向承包人作出暂停施工的指示，承包人应按监理人指示暂停施工。</w:t>
      </w:r>
    </w:p>
    <w:p w14:paraId="53D64C0F">
      <w:pPr>
        <w:spacing w:line="360" w:lineRule="auto"/>
        <w:ind w:firstLine="480" w:firstLineChars="200"/>
        <w:rPr>
          <w:rFonts w:hint="eastAsia" w:ascii="宋体" w:hAnsi="宋体" w:eastAsia="宋体" w:cs="宋体"/>
        </w:rPr>
      </w:pPr>
      <w:r>
        <w:rPr>
          <w:rFonts w:hint="eastAsia" w:ascii="宋体" w:hAnsi="宋体" w:eastAsia="宋体" w:cs="宋体"/>
        </w:rPr>
        <w:t>7.8.4 紧急情况下的暂停施工</w:t>
      </w:r>
    </w:p>
    <w:p w14:paraId="571AA506">
      <w:pPr>
        <w:spacing w:line="360" w:lineRule="auto"/>
        <w:ind w:firstLine="480" w:firstLineChars="200"/>
        <w:rPr>
          <w:rFonts w:hint="eastAsia" w:ascii="宋体" w:hAnsi="宋体" w:eastAsia="宋体" w:cs="宋体"/>
        </w:rPr>
      </w:pPr>
      <w:r>
        <w:rPr>
          <w:rFonts w:hint="eastAsia" w:ascii="宋体" w:hAnsi="宋体" w:eastAsia="宋体" w:cs="宋体"/>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14B6790B">
      <w:pPr>
        <w:spacing w:line="360" w:lineRule="auto"/>
        <w:ind w:firstLine="480" w:firstLineChars="200"/>
        <w:rPr>
          <w:rFonts w:hint="eastAsia" w:ascii="宋体" w:hAnsi="宋体" w:eastAsia="宋体" w:cs="宋体"/>
        </w:rPr>
      </w:pPr>
      <w:r>
        <w:rPr>
          <w:rFonts w:hint="eastAsia" w:ascii="宋体" w:hAnsi="宋体" w:eastAsia="宋体" w:cs="宋体"/>
        </w:rPr>
        <w:t>7.8.5 暂停施工后的复工</w:t>
      </w:r>
    </w:p>
    <w:p w14:paraId="011D027D">
      <w:pPr>
        <w:spacing w:line="360" w:lineRule="auto"/>
        <w:ind w:firstLine="480" w:firstLineChars="200"/>
        <w:rPr>
          <w:rFonts w:hint="eastAsia" w:ascii="宋体" w:hAnsi="宋体" w:eastAsia="宋体" w:cs="宋体"/>
        </w:rPr>
      </w:pPr>
      <w:r>
        <w:rPr>
          <w:rFonts w:hint="eastAsia" w:ascii="宋体" w:hAnsi="宋体" w:eastAsia="宋体" w:cs="宋体"/>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497E5E64">
      <w:pPr>
        <w:spacing w:line="360" w:lineRule="auto"/>
        <w:ind w:firstLine="480" w:firstLineChars="200"/>
        <w:rPr>
          <w:rFonts w:hint="eastAsia" w:ascii="宋体" w:hAnsi="宋体" w:eastAsia="宋体" w:cs="宋体"/>
        </w:rPr>
      </w:pPr>
      <w:r>
        <w:rPr>
          <w:rFonts w:hint="eastAsia" w:ascii="宋体" w:hAnsi="宋体" w:eastAsia="宋体" w:cs="宋体"/>
        </w:rPr>
        <w:t>承包人无故拖延和拒绝复工的，承包人承担由此增加的费用和（或）延误的工期；因发包人原因无法按时复工的，按照第7.5.1项〔因发包人原因导致工期延误〕约定办理。</w:t>
      </w:r>
    </w:p>
    <w:p w14:paraId="49685B0A">
      <w:pPr>
        <w:spacing w:line="360" w:lineRule="auto"/>
        <w:ind w:firstLine="480" w:firstLineChars="200"/>
        <w:rPr>
          <w:rFonts w:hint="eastAsia" w:ascii="宋体" w:hAnsi="宋体" w:eastAsia="宋体" w:cs="宋体"/>
        </w:rPr>
      </w:pPr>
      <w:r>
        <w:rPr>
          <w:rFonts w:hint="eastAsia" w:ascii="宋体" w:hAnsi="宋体" w:eastAsia="宋体" w:cs="宋体"/>
        </w:rPr>
        <w:t>7.8.6 暂停施工持续56天以上</w:t>
      </w:r>
    </w:p>
    <w:p w14:paraId="6775D385">
      <w:pPr>
        <w:spacing w:line="360" w:lineRule="auto"/>
        <w:ind w:firstLine="480" w:firstLineChars="200"/>
        <w:rPr>
          <w:rFonts w:hint="eastAsia" w:ascii="宋体" w:hAnsi="宋体" w:eastAsia="宋体" w:cs="宋体"/>
        </w:rPr>
      </w:pPr>
      <w:r>
        <w:rPr>
          <w:rFonts w:hint="eastAsia" w:ascii="宋体" w:hAnsi="宋体" w:eastAsia="宋体" w:cs="宋体"/>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46F00705">
      <w:pPr>
        <w:spacing w:line="360" w:lineRule="auto"/>
        <w:ind w:firstLine="480" w:firstLineChars="200"/>
        <w:rPr>
          <w:rFonts w:hint="eastAsia" w:ascii="宋体" w:hAnsi="宋体" w:eastAsia="宋体" w:cs="宋体"/>
        </w:rPr>
      </w:pPr>
      <w:r>
        <w:rPr>
          <w:rFonts w:hint="eastAsia" w:ascii="宋体" w:hAnsi="宋体" w:eastAsia="宋体" w:cs="宋体"/>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7B87DE79">
      <w:pPr>
        <w:spacing w:line="360" w:lineRule="auto"/>
        <w:ind w:firstLine="480" w:firstLineChars="200"/>
        <w:rPr>
          <w:rFonts w:hint="eastAsia" w:ascii="宋体" w:hAnsi="宋体" w:eastAsia="宋体" w:cs="宋体"/>
        </w:rPr>
      </w:pPr>
      <w:r>
        <w:rPr>
          <w:rFonts w:hint="eastAsia" w:ascii="宋体" w:hAnsi="宋体" w:eastAsia="宋体" w:cs="宋体"/>
        </w:rPr>
        <w:t>7.8.7 暂停施工期间的工程照管</w:t>
      </w:r>
    </w:p>
    <w:p w14:paraId="10DEBB50">
      <w:pPr>
        <w:spacing w:line="360" w:lineRule="auto"/>
        <w:ind w:firstLine="480" w:firstLineChars="200"/>
        <w:rPr>
          <w:rFonts w:hint="eastAsia" w:ascii="宋体" w:hAnsi="宋体" w:eastAsia="宋体" w:cs="宋体"/>
        </w:rPr>
      </w:pPr>
      <w:r>
        <w:rPr>
          <w:rFonts w:hint="eastAsia" w:ascii="宋体" w:hAnsi="宋体" w:eastAsia="宋体" w:cs="宋体"/>
        </w:rPr>
        <w:t>暂停施工期间，承包人应负责妥善照管工程并提供安全保障，由此增加的费用由责任方承担。</w:t>
      </w:r>
    </w:p>
    <w:p w14:paraId="49B71A66">
      <w:pPr>
        <w:spacing w:line="360" w:lineRule="auto"/>
        <w:ind w:firstLine="480" w:firstLineChars="200"/>
        <w:rPr>
          <w:rFonts w:hint="eastAsia" w:ascii="宋体" w:hAnsi="宋体" w:eastAsia="宋体" w:cs="宋体"/>
        </w:rPr>
      </w:pPr>
      <w:r>
        <w:rPr>
          <w:rFonts w:hint="eastAsia" w:ascii="宋体" w:hAnsi="宋体" w:eastAsia="宋体" w:cs="宋体"/>
        </w:rPr>
        <w:t>7.8.8 暂停施工的措施</w:t>
      </w:r>
    </w:p>
    <w:p w14:paraId="6AC987FC">
      <w:pPr>
        <w:spacing w:line="360" w:lineRule="auto"/>
        <w:ind w:firstLine="480" w:firstLineChars="200"/>
        <w:rPr>
          <w:rFonts w:hint="eastAsia" w:ascii="宋体" w:hAnsi="宋体" w:eastAsia="宋体" w:cs="宋体"/>
        </w:rPr>
      </w:pPr>
      <w:r>
        <w:rPr>
          <w:rFonts w:hint="eastAsia" w:ascii="宋体" w:hAnsi="宋体" w:eastAsia="宋体" w:cs="宋体"/>
        </w:rPr>
        <w:t>暂停施工期间，发包人和承包人均应采取必要的措施确保工程质量及安全，防止因暂停施工扩大损失。</w:t>
      </w:r>
    </w:p>
    <w:p w14:paraId="1307322D">
      <w:pPr>
        <w:spacing w:line="360" w:lineRule="auto"/>
        <w:ind w:firstLine="480" w:firstLineChars="200"/>
        <w:rPr>
          <w:rFonts w:hint="eastAsia" w:ascii="宋体" w:hAnsi="宋体" w:eastAsia="宋体" w:cs="宋体"/>
        </w:rPr>
      </w:pPr>
      <w:bookmarkStart w:id="323" w:name="_Toc351203551"/>
      <w:bookmarkStart w:id="324" w:name="_Toc145583405"/>
      <w:r>
        <w:rPr>
          <w:rFonts w:hint="eastAsia" w:ascii="宋体" w:hAnsi="宋体" w:eastAsia="宋体" w:cs="宋体"/>
        </w:rPr>
        <w:t>7.9提前竣工</w:t>
      </w:r>
      <w:bookmarkEnd w:id="323"/>
      <w:bookmarkEnd w:id="324"/>
    </w:p>
    <w:p w14:paraId="5F872BBB">
      <w:pPr>
        <w:spacing w:line="360" w:lineRule="auto"/>
        <w:ind w:firstLine="480" w:firstLineChars="200"/>
        <w:rPr>
          <w:rFonts w:hint="eastAsia" w:ascii="宋体" w:hAnsi="宋体" w:eastAsia="宋体" w:cs="宋体"/>
        </w:rPr>
      </w:pPr>
      <w:r>
        <w:rPr>
          <w:rFonts w:hint="eastAsia" w:ascii="宋体" w:hAnsi="宋体" w:eastAsia="宋体" w:cs="宋体"/>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79A2F873">
      <w:pPr>
        <w:spacing w:line="360" w:lineRule="auto"/>
        <w:ind w:firstLine="480" w:firstLineChars="200"/>
        <w:rPr>
          <w:rFonts w:hint="eastAsia" w:ascii="宋体" w:hAnsi="宋体" w:eastAsia="宋体" w:cs="宋体"/>
        </w:rPr>
      </w:pPr>
      <w:r>
        <w:rPr>
          <w:rFonts w:hint="eastAsia" w:ascii="宋体" w:hAnsi="宋体" w:eastAsia="宋体" w:cs="宋体"/>
        </w:rPr>
        <w:t>7.9.2 发包人要求承包人提前竣工，或承包人提出提前竣工的建议能够给发包人带来效益的，合同当事人可以在专用合同条款中约定提前竣工的奖励。</w:t>
      </w:r>
    </w:p>
    <w:p w14:paraId="10D5D9C1">
      <w:pPr>
        <w:spacing w:line="360" w:lineRule="auto"/>
        <w:ind w:firstLine="480" w:firstLineChars="200"/>
        <w:rPr>
          <w:rFonts w:hint="eastAsia" w:ascii="宋体" w:hAnsi="宋体" w:eastAsia="宋体" w:cs="宋体"/>
        </w:rPr>
      </w:pPr>
      <w:bookmarkStart w:id="325" w:name="_Toc351203552"/>
      <w:bookmarkStart w:id="326" w:name="_Toc145583406"/>
      <w:r>
        <w:rPr>
          <w:rFonts w:hint="eastAsia" w:ascii="宋体" w:hAnsi="宋体" w:eastAsia="宋体" w:cs="宋体"/>
        </w:rPr>
        <w:t>8</w:t>
      </w:r>
      <w:bookmarkStart w:id="327" w:name="_Toc296346559"/>
      <w:bookmarkStart w:id="328" w:name="_Toc296503058"/>
      <w:bookmarkStart w:id="329" w:name="_Toc337558776"/>
      <w:r>
        <w:rPr>
          <w:rFonts w:hint="eastAsia" w:ascii="宋体" w:hAnsi="宋体" w:eastAsia="宋体" w:cs="宋体"/>
        </w:rPr>
        <w:t>. 材料与设备</w:t>
      </w:r>
      <w:bookmarkEnd w:id="325"/>
      <w:bookmarkEnd w:id="326"/>
    </w:p>
    <w:bookmarkEnd w:id="327"/>
    <w:bookmarkEnd w:id="328"/>
    <w:bookmarkEnd w:id="329"/>
    <w:p w14:paraId="1727F358">
      <w:pPr>
        <w:spacing w:line="360" w:lineRule="auto"/>
        <w:ind w:firstLine="480" w:firstLineChars="200"/>
        <w:rPr>
          <w:rFonts w:hint="eastAsia" w:ascii="宋体" w:hAnsi="宋体" w:eastAsia="宋体" w:cs="宋体"/>
        </w:rPr>
      </w:pPr>
      <w:bookmarkStart w:id="330" w:name="_Toc145583407"/>
      <w:bookmarkStart w:id="331" w:name="_Toc351203553"/>
      <w:r>
        <w:rPr>
          <w:rFonts w:hint="eastAsia" w:ascii="宋体" w:hAnsi="宋体" w:eastAsia="宋体" w:cs="宋体"/>
        </w:rPr>
        <w:t>8</w:t>
      </w:r>
      <w:bookmarkStart w:id="332" w:name="_Toc337558777"/>
      <w:bookmarkStart w:id="333" w:name="_Toc296346560"/>
      <w:bookmarkStart w:id="334" w:name="_Toc296503059"/>
      <w:bookmarkStart w:id="335" w:name="_Toc468936960"/>
      <w:r>
        <w:rPr>
          <w:rFonts w:hint="eastAsia" w:ascii="宋体" w:hAnsi="宋体" w:eastAsia="宋体" w:cs="宋体"/>
        </w:rPr>
        <w:t>.1发包人供应材料与工程设备</w:t>
      </w:r>
      <w:bookmarkEnd w:id="330"/>
      <w:bookmarkEnd w:id="331"/>
    </w:p>
    <w:bookmarkEnd w:id="332"/>
    <w:bookmarkEnd w:id="333"/>
    <w:bookmarkEnd w:id="334"/>
    <w:p w14:paraId="10955B40">
      <w:pPr>
        <w:spacing w:line="360" w:lineRule="auto"/>
        <w:ind w:firstLine="480" w:firstLineChars="200"/>
        <w:rPr>
          <w:rFonts w:hint="eastAsia" w:ascii="宋体" w:hAnsi="宋体" w:eastAsia="宋体" w:cs="宋体"/>
        </w:rPr>
      </w:pPr>
      <w:r>
        <w:rPr>
          <w:rFonts w:hint="eastAsia" w:ascii="宋体" w:hAnsi="宋体" w:eastAsia="宋体" w:cs="宋体"/>
        </w:rPr>
        <w:t>发包人自行供应材料、工程设备的，应在签订合同时在专用合同条款的附件《发包人供应材料设备一览表》中明确材料、工程设备的品种、规格、型号、数量、单价、质量等级和送达地点。</w:t>
      </w:r>
    </w:p>
    <w:p w14:paraId="046078E6">
      <w:pPr>
        <w:spacing w:line="360" w:lineRule="auto"/>
        <w:ind w:firstLine="480" w:firstLineChars="200"/>
        <w:rPr>
          <w:rFonts w:hint="eastAsia" w:ascii="宋体" w:hAnsi="宋体" w:eastAsia="宋体" w:cs="宋体"/>
        </w:rPr>
      </w:pPr>
      <w:r>
        <w:rPr>
          <w:rFonts w:hint="eastAsia" w:ascii="宋体" w:hAnsi="宋体" w:eastAsia="宋体" w:cs="宋体"/>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6E7FBE46">
      <w:pPr>
        <w:spacing w:line="360" w:lineRule="auto"/>
        <w:ind w:firstLine="480" w:firstLineChars="200"/>
        <w:rPr>
          <w:rFonts w:hint="eastAsia" w:ascii="宋体" w:hAnsi="宋体" w:eastAsia="宋体" w:cs="宋体"/>
        </w:rPr>
      </w:pPr>
      <w:bookmarkStart w:id="336" w:name="_Toc145583408"/>
      <w:bookmarkStart w:id="337" w:name="_Toc351203554"/>
      <w:r>
        <w:rPr>
          <w:rFonts w:hint="eastAsia" w:ascii="宋体" w:hAnsi="宋体" w:eastAsia="宋体" w:cs="宋体"/>
        </w:rPr>
        <w:t>8</w:t>
      </w:r>
      <w:bookmarkStart w:id="338" w:name="_Toc296503060"/>
      <w:bookmarkStart w:id="339" w:name="_Toc296346561"/>
      <w:bookmarkStart w:id="340" w:name="_Toc337558778"/>
      <w:r>
        <w:rPr>
          <w:rFonts w:hint="eastAsia" w:ascii="宋体" w:hAnsi="宋体" w:eastAsia="宋体" w:cs="宋体"/>
        </w:rPr>
        <w:t>.2承包人采购材料与工程设备</w:t>
      </w:r>
      <w:bookmarkEnd w:id="336"/>
      <w:bookmarkEnd w:id="337"/>
    </w:p>
    <w:bookmarkEnd w:id="338"/>
    <w:bookmarkEnd w:id="339"/>
    <w:bookmarkEnd w:id="340"/>
    <w:p w14:paraId="1840A025">
      <w:pPr>
        <w:spacing w:line="360" w:lineRule="auto"/>
        <w:ind w:firstLine="480" w:firstLineChars="200"/>
        <w:rPr>
          <w:rFonts w:hint="eastAsia" w:ascii="宋体" w:hAnsi="宋体" w:eastAsia="宋体" w:cs="宋体"/>
        </w:rPr>
      </w:pPr>
      <w:r>
        <w:rPr>
          <w:rFonts w:hint="eastAsia" w:ascii="宋体" w:hAnsi="宋体" w:eastAsia="宋体" w:cs="宋体"/>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72321E29">
      <w:pPr>
        <w:spacing w:line="360" w:lineRule="auto"/>
        <w:ind w:firstLine="480" w:firstLineChars="200"/>
        <w:rPr>
          <w:rFonts w:hint="eastAsia" w:ascii="宋体" w:hAnsi="宋体" w:eastAsia="宋体" w:cs="宋体"/>
        </w:rPr>
      </w:pPr>
      <w:r>
        <w:rPr>
          <w:rFonts w:hint="eastAsia" w:ascii="宋体" w:hAnsi="宋体" w:eastAsia="宋体" w:cs="宋体"/>
        </w:rPr>
        <w:t>承包人采购的主要材料应在采购前 7 个工作日将材料品牌、规格、型号、生产厂家、质量证明文件等资料报送发包人及监理人审核，经发包人书面同意后方可采购。若承包人未经审核擅自采购，发包人有权要求承包人将该材料清退出场，因此产生的费用及工期延误由承包人承担。若不合格材料导致工程质量隐患或后续使用故障，承包人需承担全部修复责任及由此造成的人身、财产损失赔偿责任。</w:t>
      </w:r>
    </w:p>
    <w:p w14:paraId="70C37BED">
      <w:pPr>
        <w:spacing w:line="360" w:lineRule="auto"/>
        <w:ind w:firstLine="480" w:firstLineChars="200"/>
        <w:rPr>
          <w:rFonts w:hint="eastAsia" w:ascii="宋体" w:hAnsi="宋体" w:eastAsia="宋体" w:cs="宋体"/>
        </w:rPr>
      </w:pPr>
      <w:r>
        <w:rPr>
          <w:rFonts w:hint="eastAsia" w:ascii="宋体" w:hAnsi="宋体" w:eastAsia="宋体" w:cs="宋体"/>
        </w:rPr>
        <w:t>环保材料要求1. 乙方（装修方）所用全部材料须符合国家强制环保标准， 须向甲方（业主）提供每批次材料的</w:t>
      </w:r>
      <w:r>
        <w:rPr>
          <w:rFonts w:hint="eastAsia" w:ascii="宋体" w:hAnsi="宋体" w:eastAsia="宋体" w:cs="宋体"/>
          <w:lang w:eastAsia="zh-CN"/>
        </w:rPr>
        <w:t>质检</w:t>
      </w:r>
      <w:r>
        <w:rPr>
          <w:rFonts w:hint="eastAsia" w:ascii="宋体" w:hAnsi="宋体" w:eastAsia="宋体" w:cs="宋体"/>
        </w:rPr>
        <w:t>报告，未提供或检测不合格的材料不得进场；禁止使用国家明令淘汰的高污染材料，否则甲方有权要求无偿更换，且乙方承担工期延误损失。</w:t>
      </w:r>
    </w:p>
    <w:p w14:paraId="12DADA84">
      <w:pPr>
        <w:spacing w:line="360" w:lineRule="auto"/>
        <w:ind w:firstLine="480" w:firstLineChars="200"/>
        <w:rPr>
          <w:rFonts w:hint="eastAsia" w:ascii="宋体" w:hAnsi="宋体" w:eastAsia="宋体" w:cs="宋体"/>
        </w:rPr>
      </w:pPr>
      <w:bookmarkStart w:id="341" w:name="_Toc145583409"/>
      <w:bookmarkStart w:id="342" w:name="_Toc351203555"/>
      <w:r>
        <w:rPr>
          <w:rFonts w:hint="eastAsia" w:ascii="宋体" w:hAnsi="宋体" w:eastAsia="宋体" w:cs="宋体"/>
        </w:rPr>
        <w:t>8</w:t>
      </w:r>
      <w:bookmarkStart w:id="343" w:name="_Toc337558779"/>
      <w:bookmarkStart w:id="344" w:name="_Toc296346562"/>
      <w:bookmarkStart w:id="345" w:name="_Toc296503061"/>
      <w:r>
        <w:rPr>
          <w:rFonts w:hint="eastAsia" w:ascii="宋体" w:hAnsi="宋体" w:eastAsia="宋体" w:cs="宋体"/>
        </w:rPr>
        <w:t>.3材料与工程设备的接收与拒收</w:t>
      </w:r>
      <w:bookmarkEnd w:id="341"/>
      <w:bookmarkEnd w:id="342"/>
    </w:p>
    <w:bookmarkEnd w:id="343"/>
    <w:bookmarkEnd w:id="344"/>
    <w:bookmarkEnd w:id="345"/>
    <w:p w14:paraId="3E25CB84">
      <w:pPr>
        <w:spacing w:line="360" w:lineRule="auto"/>
        <w:ind w:firstLine="480" w:firstLineChars="200"/>
        <w:rPr>
          <w:rFonts w:hint="eastAsia" w:ascii="宋体" w:hAnsi="宋体" w:eastAsia="宋体" w:cs="宋体"/>
        </w:rPr>
      </w:pPr>
      <w:r>
        <w:rPr>
          <w:rFonts w:hint="eastAsia" w:ascii="宋体" w:hAnsi="宋体" w:eastAsia="宋体" w:cs="宋体"/>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41818548">
      <w:pPr>
        <w:spacing w:line="360" w:lineRule="auto"/>
        <w:ind w:firstLine="480" w:firstLineChars="200"/>
        <w:rPr>
          <w:rFonts w:hint="eastAsia" w:ascii="宋体" w:hAnsi="宋体" w:eastAsia="宋体" w:cs="宋体"/>
        </w:rPr>
      </w:pPr>
      <w:r>
        <w:rPr>
          <w:rFonts w:hint="eastAsia" w:ascii="宋体" w:hAnsi="宋体" w:eastAsia="宋体" w:cs="宋体"/>
        </w:rPr>
        <w:t>发包人提供的材料和工程设备的规格、数量或质量不符合合同约定的，或因发包人原因导致交货日期延误或交货地点变更等情况的，按照第16.1款〔发包人违约〕约定办理。</w:t>
      </w:r>
    </w:p>
    <w:p w14:paraId="31680470">
      <w:pPr>
        <w:spacing w:line="360" w:lineRule="auto"/>
        <w:ind w:firstLine="480" w:firstLineChars="200"/>
        <w:rPr>
          <w:rFonts w:hint="eastAsia" w:ascii="宋体" w:hAnsi="宋体" w:eastAsia="宋体" w:cs="宋体"/>
        </w:rPr>
      </w:pPr>
      <w:r>
        <w:rPr>
          <w:rFonts w:hint="eastAsia" w:ascii="宋体" w:hAnsi="宋体" w:eastAsia="宋体" w:cs="宋体"/>
        </w:rPr>
        <w:t>8.3.2 承包人采购的材料和工程设备，应保证产品质量合格，承包人应在材料和工程设备到货前24小时通知监理人检验。承</w:t>
      </w:r>
      <w:bookmarkStart w:id="346" w:name="_Toc250655469"/>
      <w:r>
        <w:rPr>
          <w:rFonts w:hint="eastAsia" w:ascii="宋体" w:hAnsi="宋体" w:eastAsia="宋体" w:cs="宋体"/>
        </w:rPr>
        <w:t>包人进行永久设备、材料的制造和生产的，应符合相关质量标准，并向监理人提交材料的样本以及有关资料，并应在使用该材料或工程设备之前获得监理人同意。</w:t>
      </w:r>
    </w:p>
    <w:bookmarkEnd w:id="346"/>
    <w:p w14:paraId="5F7A9EF0">
      <w:pPr>
        <w:spacing w:line="360" w:lineRule="auto"/>
        <w:ind w:firstLine="480" w:firstLineChars="200"/>
        <w:rPr>
          <w:rFonts w:hint="eastAsia" w:ascii="宋体" w:hAnsi="宋体" w:eastAsia="宋体" w:cs="宋体"/>
        </w:rPr>
      </w:pPr>
      <w:r>
        <w:rPr>
          <w:rFonts w:hint="eastAsia" w:ascii="宋体" w:hAnsi="宋体" w:eastAsia="宋体" w:cs="宋体"/>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47908345">
      <w:pPr>
        <w:spacing w:line="360" w:lineRule="auto"/>
        <w:ind w:firstLine="480" w:firstLineChars="200"/>
        <w:rPr>
          <w:rFonts w:hint="eastAsia" w:ascii="宋体" w:hAnsi="宋体" w:eastAsia="宋体" w:cs="宋体"/>
        </w:rPr>
      </w:pPr>
      <w:bookmarkStart w:id="347" w:name="_Toc145583410"/>
      <w:bookmarkStart w:id="348" w:name="_Toc351203556"/>
      <w:r>
        <w:rPr>
          <w:rFonts w:hint="eastAsia" w:ascii="宋体" w:hAnsi="宋体" w:eastAsia="宋体" w:cs="宋体"/>
        </w:rPr>
        <w:t>8</w:t>
      </w:r>
      <w:bookmarkStart w:id="349" w:name="_Toc337558780"/>
      <w:bookmarkStart w:id="350" w:name="_Toc296503062"/>
      <w:bookmarkStart w:id="351" w:name="_Toc296346563"/>
      <w:r>
        <w:rPr>
          <w:rFonts w:hint="eastAsia" w:ascii="宋体" w:hAnsi="宋体" w:eastAsia="宋体" w:cs="宋体"/>
        </w:rPr>
        <w:t>.4材料与工程设备的保管与使用</w:t>
      </w:r>
      <w:bookmarkEnd w:id="347"/>
      <w:bookmarkEnd w:id="348"/>
    </w:p>
    <w:bookmarkEnd w:id="349"/>
    <w:bookmarkEnd w:id="350"/>
    <w:bookmarkEnd w:id="351"/>
    <w:p w14:paraId="1E1EBBD0">
      <w:pPr>
        <w:spacing w:line="360" w:lineRule="auto"/>
        <w:ind w:firstLine="480" w:firstLineChars="200"/>
        <w:rPr>
          <w:rFonts w:hint="eastAsia" w:ascii="宋体" w:hAnsi="宋体" w:eastAsia="宋体" w:cs="宋体"/>
        </w:rPr>
      </w:pPr>
      <w:r>
        <w:rPr>
          <w:rFonts w:hint="eastAsia" w:ascii="宋体" w:hAnsi="宋体" w:eastAsia="宋体" w:cs="宋体"/>
        </w:rPr>
        <w:t>8.4.1 发包人供应材料与工程设备的保管与使用</w:t>
      </w:r>
    </w:p>
    <w:p w14:paraId="65E6A9E6">
      <w:pPr>
        <w:spacing w:line="360" w:lineRule="auto"/>
        <w:ind w:firstLine="480" w:firstLineChars="200"/>
        <w:rPr>
          <w:rFonts w:hint="eastAsia" w:ascii="宋体" w:hAnsi="宋体" w:eastAsia="宋体" w:cs="宋体"/>
        </w:rPr>
      </w:pPr>
      <w:r>
        <w:rPr>
          <w:rFonts w:hint="eastAsia" w:ascii="宋体" w:hAnsi="宋体" w:eastAsia="宋体" w:cs="宋体"/>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5942C696">
      <w:pPr>
        <w:spacing w:line="360" w:lineRule="auto"/>
        <w:ind w:firstLine="480" w:firstLineChars="200"/>
        <w:rPr>
          <w:rFonts w:hint="eastAsia" w:ascii="宋体" w:hAnsi="宋体" w:eastAsia="宋体" w:cs="宋体"/>
        </w:rPr>
      </w:pPr>
      <w:r>
        <w:rPr>
          <w:rFonts w:hint="eastAsia" w:ascii="宋体" w:hAnsi="宋体" w:eastAsia="宋体" w:cs="宋体"/>
        </w:rPr>
        <w:t>发包人供应的材料和工程设备使用前，由承包人负责检验，检验费用由发包人承担，不合格的不得使用。</w:t>
      </w:r>
    </w:p>
    <w:p w14:paraId="7D3F7C19">
      <w:pPr>
        <w:spacing w:line="360" w:lineRule="auto"/>
        <w:ind w:firstLine="480" w:firstLineChars="200"/>
        <w:rPr>
          <w:rFonts w:hint="eastAsia" w:ascii="宋体" w:hAnsi="宋体" w:eastAsia="宋体" w:cs="宋体"/>
        </w:rPr>
      </w:pPr>
      <w:r>
        <w:rPr>
          <w:rFonts w:hint="eastAsia" w:ascii="宋体" w:hAnsi="宋体" w:eastAsia="宋体" w:cs="宋体"/>
        </w:rPr>
        <w:t>8.4.2 承包人采购材料与工程设备的保管与使用</w:t>
      </w:r>
    </w:p>
    <w:p w14:paraId="388D3F62">
      <w:pPr>
        <w:spacing w:line="360" w:lineRule="auto"/>
        <w:ind w:firstLine="480" w:firstLineChars="200"/>
        <w:rPr>
          <w:rFonts w:hint="eastAsia" w:ascii="宋体" w:hAnsi="宋体" w:eastAsia="宋体" w:cs="宋体"/>
        </w:rPr>
      </w:pPr>
      <w:r>
        <w:rPr>
          <w:rFonts w:hint="eastAsia" w:ascii="宋体" w:hAnsi="宋体" w:eastAsia="宋体" w:cs="宋体"/>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55E0F7E9">
      <w:pPr>
        <w:spacing w:line="360" w:lineRule="auto"/>
        <w:ind w:firstLine="480" w:firstLineChars="200"/>
        <w:rPr>
          <w:rFonts w:hint="eastAsia" w:ascii="宋体" w:hAnsi="宋体" w:eastAsia="宋体" w:cs="宋体"/>
        </w:rPr>
      </w:pPr>
      <w:r>
        <w:rPr>
          <w:rFonts w:hint="eastAsia" w:ascii="宋体" w:hAnsi="宋体" w:eastAsia="宋体" w:cs="宋体"/>
        </w:rPr>
        <w:t>发包人或监理人发现承包人使用不符合设计或有关标准要求的材料和工程设备时，有权要求承包人进行修复、拆除或重新采购，由此增加的费用和（或）延误的工期，由承包人承担。</w:t>
      </w:r>
    </w:p>
    <w:p w14:paraId="7DBCEB27">
      <w:pPr>
        <w:spacing w:line="360" w:lineRule="auto"/>
        <w:ind w:firstLine="480" w:firstLineChars="200"/>
        <w:rPr>
          <w:rFonts w:hint="eastAsia" w:ascii="宋体" w:hAnsi="宋体" w:eastAsia="宋体" w:cs="宋体"/>
        </w:rPr>
      </w:pPr>
      <w:bookmarkStart w:id="352" w:name="_Toc145583411"/>
      <w:bookmarkStart w:id="353" w:name="_Toc351203557"/>
      <w:r>
        <w:rPr>
          <w:rFonts w:hint="eastAsia" w:ascii="宋体" w:hAnsi="宋体" w:eastAsia="宋体" w:cs="宋体"/>
        </w:rPr>
        <w:t>8.5禁止使用不合格的材料和工程设备</w:t>
      </w:r>
      <w:bookmarkEnd w:id="352"/>
      <w:bookmarkEnd w:id="353"/>
    </w:p>
    <w:p w14:paraId="2CE0C3D8">
      <w:pPr>
        <w:spacing w:line="360" w:lineRule="auto"/>
        <w:ind w:firstLine="480" w:firstLineChars="200"/>
        <w:rPr>
          <w:rFonts w:hint="eastAsia" w:ascii="宋体" w:hAnsi="宋体" w:eastAsia="宋体" w:cs="宋体"/>
        </w:rPr>
      </w:pPr>
      <w:r>
        <w:rPr>
          <w:rFonts w:hint="eastAsia" w:ascii="宋体" w:hAnsi="宋体" w:eastAsia="宋体" w:cs="宋体"/>
        </w:rPr>
        <w:t>8.5.1 监理人有权拒绝承包人提供的不合格材料或工程设备，并要求承包人立即进行更换。监理人应在更换后再次进行检查和检验，由此增加的费用和（或）延误的工期由承包人承担。</w:t>
      </w:r>
    </w:p>
    <w:p w14:paraId="320A9CB3">
      <w:pPr>
        <w:spacing w:line="360" w:lineRule="auto"/>
        <w:ind w:firstLine="480" w:firstLineChars="200"/>
        <w:rPr>
          <w:rFonts w:hint="eastAsia" w:ascii="宋体" w:hAnsi="宋体" w:eastAsia="宋体" w:cs="宋体"/>
        </w:rPr>
      </w:pPr>
      <w:r>
        <w:rPr>
          <w:rFonts w:hint="eastAsia" w:ascii="宋体" w:hAnsi="宋体" w:eastAsia="宋体" w:cs="宋体"/>
        </w:rPr>
        <w:t>8.5.2 监理人发现承包人使用了不合格的材料和工程设备，承包人应按照监理人的指示立即改正，并禁止在工程中继续使用不合格的材料和工程设备。</w:t>
      </w:r>
    </w:p>
    <w:p w14:paraId="1EB96A40">
      <w:pPr>
        <w:spacing w:line="360" w:lineRule="auto"/>
        <w:ind w:firstLine="480" w:firstLineChars="200"/>
        <w:rPr>
          <w:rFonts w:hint="eastAsia" w:ascii="宋体" w:hAnsi="宋体" w:eastAsia="宋体" w:cs="宋体"/>
        </w:rPr>
      </w:pPr>
      <w:r>
        <w:rPr>
          <w:rFonts w:hint="eastAsia" w:ascii="宋体" w:hAnsi="宋体" w:eastAsia="宋体" w:cs="宋体"/>
        </w:rPr>
        <w:t>8.5.3 发包人提供的材料或工程设备不符合合同要求的，承包人有权拒绝，并可要求发包人更换，由此增加的费用和（或）延误的工期由发包人承担，并支付承包人合理的利润。</w:t>
      </w:r>
    </w:p>
    <w:p w14:paraId="6C46A95B">
      <w:pPr>
        <w:spacing w:line="360" w:lineRule="auto"/>
        <w:ind w:firstLine="480" w:firstLineChars="200"/>
        <w:rPr>
          <w:rFonts w:hint="eastAsia" w:ascii="宋体" w:hAnsi="宋体" w:eastAsia="宋体" w:cs="宋体"/>
        </w:rPr>
      </w:pPr>
      <w:bookmarkStart w:id="354" w:name="_Toc145583412"/>
      <w:bookmarkStart w:id="355" w:name="_Toc351203558"/>
      <w:r>
        <w:rPr>
          <w:rFonts w:hint="eastAsia" w:ascii="宋体" w:hAnsi="宋体" w:eastAsia="宋体" w:cs="宋体"/>
        </w:rPr>
        <w:t>8.6 样品</w:t>
      </w:r>
      <w:bookmarkEnd w:id="354"/>
      <w:bookmarkEnd w:id="355"/>
    </w:p>
    <w:p w14:paraId="48F210FF">
      <w:pPr>
        <w:spacing w:line="360" w:lineRule="auto"/>
        <w:ind w:firstLine="480" w:firstLineChars="200"/>
        <w:rPr>
          <w:rFonts w:hint="eastAsia" w:ascii="宋体" w:hAnsi="宋体" w:eastAsia="宋体" w:cs="宋体"/>
        </w:rPr>
      </w:pPr>
      <w:r>
        <w:rPr>
          <w:rFonts w:hint="eastAsia" w:ascii="宋体" w:hAnsi="宋体" w:eastAsia="宋体" w:cs="宋体"/>
        </w:rPr>
        <w:t>8.6.1</w:t>
      </w:r>
      <w:r>
        <w:rPr>
          <w:rFonts w:hint="eastAsia" w:ascii="宋体" w:hAnsi="宋体" w:eastAsia="宋体" w:cs="宋体"/>
        </w:rPr>
        <w:tab/>
      </w:r>
      <w:r>
        <w:rPr>
          <w:rFonts w:hint="eastAsia" w:ascii="宋体" w:hAnsi="宋体" w:eastAsia="宋体" w:cs="宋体"/>
        </w:rPr>
        <w:t>样品的报送与封存</w:t>
      </w:r>
    </w:p>
    <w:p w14:paraId="7236BDEA">
      <w:pPr>
        <w:spacing w:line="360" w:lineRule="auto"/>
        <w:ind w:firstLine="480" w:firstLineChars="200"/>
        <w:rPr>
          <w:rFonts w:hint="eastAsia" w:ascii="宋体" w:hAnsi="宋体" w:eastAsia="宋体" w:cs="宋体"/>
        </w:rPr>
      </w:pPr>
      <w:r>
        <w:rPr>
          <w:rFonts w:hint="eastAsia" w:ascii="宋体" w:hAnsi="宋体" w:eastAsia="宋体" w:cs="宋体"/>
        </w:rPr>
        <w:t>需要承包人报送样品的材料或工程设备，样品的种类、名称、规格、数量等要求均应在专用合同条款中约定。样品的报送程序如下：</w:t>
      </w:r>
    </w:p>
    <w:p w14:paraId="585B316F">
      <w:pPr>
        <w:spacing w:line="360" w:lineRule="auto"/>
        <w:ind w:firstLine="480" w:firstLineChars="200"/>
        <w:rPr>
          <w:rFonts w:hint="eastAsia" w:ascii="宋体" w:hAnsi="宋体" w:eastAsia="宋体" w:cs="宋体"/>
        </w:rPr>
      </w:pPr>
      <w:r>
        <w:rPr>
          <w:rFonts w:hint="eastAsia" w:ascii="宋体" w:hAnsi="宋体" w:eastAsia="宋体" w:cs="宋体"/>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15A484DA">
      <w:pPr>
        <w:spacing w:line="360" w:lineRule="auto"/>
        <w:ind w:firstLine="480" w:firstLineChars="200"/>
        <w:rPr>
          <w:rFonts w:hint="eastAsia" w:ascii="宋体" w:hAnsi="宋体" w:eastAsia="宋体" w:cs="宋体"/>
        </w:rPr>
      </w:pPr>
      <w:r>
        <w:rPr>
          <w:rFonts w:hint="eastAsia" w:ascii="宋体" w:hAnsi="宋体" w:eastAsia="宋体" w:cs="宋体"/>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6880F262">
      <w:pPr>
        <w:spacing w:line="360" w:lineRule="auto"/>
        <w:ind w:firstLine="480" w:firstLineChars="200"/>
        <w:rPr>
          <w:rFonts w:hint="eastAsia" w:ascii="宋体" w:hAnsi="宋体" w:eastAsia="宋体" w:cs="宋体"/>
        </w:rPr>
      </w:pPr>
      <w:r>
        <w:rPr>
          <w:rFonts w:hint="eastAsia" w:ascii="宋体" w:hAnsi="宋体" w:eastAsia="宋体" w:cs="宋体"/>
        </w:rPr>
        <w:t>（3）经发包人和监理人审批确认的样品应按约定的方法封样，封存的样品作为检验工程相关部分的标准之一。承包人在施工过程中不得使用与样品不符的材料或工程设备。</w:t>
      </w:r>
    </w:p>
    <w:p w14:paraId="7139E77D">
      <w:pPr>
        <w:spacing w:line="360" w:lineRule="auto"/>
        <w:ind w:firstLine="480" w:firstLineChars="200"/>
        <w:rPr>
          <w:rFonts w:hint="eastAsia" w:ascii="宋体" w:hAnsi="宋体" w:eastAsia="宋体" w:cs="宋体"/>
        </w:rPr>
      </w:pPr>
      <w:r>
        <w:rPr>
          <w:rFonts w:hint="eastAsia" w:ascii="宋体" w:hAnsi="宋体" w:eastAsia="宋体" w:cs="宋体"/>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3F2995C1">
      <w:pPr>
        <w:spacing w:line="360" w:lineRule="auto"/>
        <w:ind w:firstLine="480" w:firstLineChars="200"/>
        <w:rPr>
          <w:rFonts w:hint="eastAsia" w:ascii="宋体" w:hAnsi="宋体" w:eastAsia="宋体" w:cs="宋体"/>
        </w:rPr>
      </w:pPr>
      <w:r>
        <w:rPr>
          <w:rFonts w:hint="eastAsia" w:ascii="宋体" w:hAnsi="宋体" w:eastAsia="宋体" w:cs="宋体"/>
        </w:rPr>
        <w:t>8.6.2 样品的保管</w:t>
      </w:r>
    </w:p>
    <w:p w14:paraId="50D06DB4">
      <w:pPr>
        <w:spacing w:line="360" w:lineRule="auto"/>
        <w:ind w:firstLine="480" w:firstLineChars="200"/>
        <w:rPr>
          <w:rFonts w:hint="eastAsia" w:ascii="宋体" w:hAnsi="宋体" w:eastAsia="宋体" w:cs="宋体"/>
        </w:rPr>
      </w:pPr>
      <w:r>
        <w:rPr>
          <w:rFonts w:hint="eastAsia" w:ascii="宋体" w:hAnsi="宋体" w:eastAsia="宋体" w:cs="宋体"/>
        </w:rPr>
        <w:t>经批准的样品应由监理人负责封存于现场，承包人应在现场为保存样品提供适当和固定的场所并保持适当和良好的存储环境条件。</w:t>
      </w:r>
    </w:p>
    <w:p w14:paraId="67087406">
      <w:pPr>
        <w:spacing w:line="360" w:lineRule="auto"/>
        <w:ind w:firstLine="480" w:firstLineChars="200"/>
        <w:rPr>
          <w:rFonts w:hint="eastAsia" w:ascii="宋体" w:hAnsi="宋体" w:eastAsia="宋体" w:cs="宋体"/>
        </w:rPr>
      </w:pPr>
      <w:bookmarkStart w:id="356" w:name="_Toc145583413"/>
      <w:bookmarkStart w:id="357" w:name="_Toc351203559"/>
      <w:r>
        <w:rPr>
          <w:rFonts w:hint="eastAsia" w:ascii="宋体" w:hAnsi="宋体" w:eastAsia="宋体" w:cs="宋体"/>
        </w:rPr>
        <w:t>8.7材料与工程设备的替代</w:t>
      </w:r>
      <w:bookmarkEnd w:id="356"/>
      <w:bookmarkEnd w:id="357"/>
    </w:p>
    <w:p w14:paraId="658EF116">
      <w:pPr>
        <w:spacing w:line="360" w:lineRule="auto"/>
        <w:ind w:firstLine="480" w:firstLineChars="200"/>
        <w:rPr>
          <w:rFonts w:hint="eastAsia" w:ascii="宋体" w:hAnsi="宋体" w:eastAsia="宋体" w:cs="宋体"/>
        </w:rPr>
      </w:pPr>
      <w:r>
        <w:rPr>
          <w:rFonts w:hint="eastAsia" w:ascii="宋体" w:hAnsi="宋体" w:eastAsia="宋体" w:cs="宋体"/>
        </w:rPr>
        <w:t>8.7.1 出现下列情况需要使用替代材料和工程设备的，承包人应按照第8.7.2项约定的程序执行：</w:t>
      </w:r>
    </w:p>
    <w:p w14:paraId="565B8A1E">
      <w:pPr>
        <w:spacing w:line="360" w:lineRule="auto"/>
        <w:ind w:firstLine="480" w:firstLineChars="200"/>
        <w:rPr>
          <w:rFonts w:hint="eastAsia" w:ascii="宋体" w:hAnsi="宋体" w:eastAsia="宋体" w:cs="宋体"/>
        </w:rPr>
      </w:pPr>
      <w:r>
        <w:rPr>
          <w:rFonts w:hint="eastAsia" w:ascii="宋体" w:hAnsi="宋体" w:eastAsia="宋体" w:cs="宋体"/>
        </w:rPr>
        <w:t>（1）基准日期后生效的法律规定禁止使用的；</w:t>
      </w:r>
    </w:p>
    <w:p w14:paraId="1BEC715F">
      <w:pPr>
        <w:spacing w:line="360" w:lineRule="auto"/>
        <w:ind w:firstLine="480" w:firstLineChars="200"/>
        <w:rPr>
          <w:rFonts w:hint="eastAsia" w:ascii="宋体" w:hAnsi="宋体" w:eastAsia="宋体" w:cs="宋体"/>
        </w:rPr>
      </w:pPr>
      <w:r>
        <w:rPr>
          <w:rFonts w:hint="eastAsia" w:ascii="宋体" w:hAnsi="宋体" w:eastAsia="宋体" w:cs="宋体"/>
        </w:rPr>
        <w:t>（2）发包人要求使用替代品的；</w:t>
      </w:r>
    </w:p>
    <w:p w14:paraId="73089DEC">
      <w:pPr>
        <w:spacing w:line="360" w:lineRule="auto"/>
        <w:ind w:firstLine="480" w:firstLineChars="200"/>
        <w:rPr>
          <w:rFonts w:hint="eastAsia" w:ascii="宋体" w:hAnsi="宋体" w:eastAsia="宋体" w:cs="宋体"/>
        </w:rPr>
      </w:pPr>
      <w:r>
        <w:rPr>
          <w:rFonts w:hint="eastAsia" w:ascii="宋体" w:hAnsi="宋体" w:eastAsia="宋体" w:cs="宋体"/>
        </w:rPr>
        <w:t>（3）因其他原因必须使用替代品的。</w:t>
      </w:r>
    </w:p>
    <w:p w14:paraId="6987FACA">
      <w:pPr>
        <w:spacing w:line="360" w:lineRule="auto"/>
        <w:ind w:firstLine="480" w:firstLineChars="200"/>
        <w:rPr>
          <w:rFonts w:hint="eastAsia" w:ascii="宋体" w:hAnsi="宋体" w:eastAsia="宋体" w:cs="宋体"/>
        </w:rPr>
      </w:pPr>
      <w:r>
        <w:rPr>
          <w:rFonts w:hint="eastAsia" w:ascii="宋体" w:hAnsi="宋体" w:eastAsia="宋体" w:cs="宋体"/>
        </w:rPr>
        <w:t>8.7.2 承包人应在使用替代材料和工程设备28天前书面通知监理人，并附下列文件：</w:t>
      </w:r>
    </w:p>
    <w:p w14:paraId="1F489998">
      <w:pPr>
        <w:spacing w:line="360" w:lineRule="auto"/>
        <w:ind w:firstLine="480" w:firstLineChars="200"/>
        <w:rPr>
          <w:rFonts w:hint="eastAsia" w:ascii="宋体" w:hAnsi="宋体" w:eastAsia="宋体" w:cs="宋体"/>
        </w:rPr>
      </w:pPr>
      <w:r>
        <w:rPr>
          <w:rFonts w:hint="eastAsia" w:ascii="宋体" w:hAnsi="宋体" w:eastAsia="宋体" w:cs="宋体"/>
        </w:rPr>
        <w:t>（1）被替代的材料和工程设备的名称、数量、规格、型号、品牌、性能、价格及其他相关资料；</w:t>
      </w:r>
    </w:p>
    <w:p w14:paraId="12A906AD">
      <w:pPr>
        <w:spacing w:line="360" w:lineRule="auto"/>
        <w:ind w:firstLine="480" w:firstLineChars="200"/>
        <w:rPr>
          <w:rFonts w:hint="eastAsia" w:ascii="宋体" w:hAnsi="宋体" w:eastAsia="宋体" w:cs="宋体"/>
        </w:rPr>
      </w:pPr>
      <w:r>
        <w:rPr>
          <w:rFonts w:hint="eastAsia" w:ascii="宋体" w:hAnsi="宋体" w:eastAsia="宋体" w:cs="宋体"/>
        </w:rPr>
        <w:t>（2）替代品的名称、数量、规格、型号、品牌、性能、价格及其他相关资料；</w:t>
      </w:r>
    </w:p>
    <w:p w14:paraId="55C7EE11">
      <w:pPr>
        <w:spacing w:line="360" w:lineRule="auto"/>
        <w:ind w:firstLine="480" w:firstLineChars="200"/>
        <w:rPr>
          <w:rFonts w:hint="eastAsia" w:ascii="宋体" w:hAnsi="宋体" w:eastAsia="宋体" w:cs="宋体"/>
        </w:rPr>
      </w:pPr>
      <w:r>
        <w:rPr>
          <w:rFonts w:hint="eastAsia" w:ascii="宋体" w:hAnsi="宋体" w:eastAsia="宋体" w:cs="宋体"/>
        </w:rPr>
        <w:t>（3）替代品与被替代产品之间的差异以及使用替代品可能对工程产生的影响；</w:t>
      </w:r>
    </w:p>
    <w:p w14:paraId="53A37FEA">
      <w:pPr>
        <w:spacing w:line="360" w:lineRule="auto"/>
        <w:ind w:firstLine="480" w:firstLineChars="200"/>
        <w:rPr>
          <w:rFonts w:hint="eastAsia" w:ascii="宋体" w:hAnsi="宋体" w:eastAsia="宋体" w:cs="宋体"/>
        </w:rPr>
      </w:pPr>
      <w:r>
        <w:rPr>
          <w:rFonts w:hint="eastAsia" w:ascii="宋体" w:hAnsi="宋体" w:eastAsia="宋体" w:cs="宋体"/>
        </w:rPr>
        <w:t>（4）替代品与被替代产品的价格差异；</w:t>
      </w:r>
    </w:p>
    <w:p w14:paraId="0FEBE4AF">
      <w:pPr>
        <w:spacing w:line="360" w:lineRule="auto"/>
        <w:ind w:firstLine="480" w:firstLineChars="200"/>
        <w:rPr>
          <w:rFonts w:hint="eastAsia" w:ascii="宋体" w:hAnsi="宋体" w:eastAsia="宋体" w:cs="宋体"/>
        </w:rPr>
      </w:pPr>
      <w:r>
        <w:rPr>
          <w:rFonts w:hint="eastAsia" w:ascii="宋体" w:hAnsi="宋体" w:eastAsia="宋体" w:cs="宋体"/>
        </w:rPr>
        <w:t>（5）使用替代品的理由和原因说明；</w:t>
      </w:r>
    </w:p>
    <w:p w14:paraId="101FE3A3">
      <w:pPr>
        <w:spacing w:line="360" w:lineRule="auto"/>
        <w:ind w:firstLine="480" w:firstLineChars="200"/>
        <w:rPr>
          <w:rFonts w:hint="eastAsia" w:ascii="宋体" w:hAnsi="宋体" w:eastAsia="宋体" w:cs="宋体"/>
        </w:rPr>
      </w:pPr>
      <w:r>
        <w:rPr>
          <w:rFonts w:hint="eastAsia" w:ascii="宋体" w:hAnsi="宋体" w:eastAsia="宋体" w:cs="宋体"/>
        </w:rPr>
        <w:t>（6）监理人要求的其他文件。</w:t>
      </w:r>
    </w:p>
    <w:p w14:paraId="2C3E06FD">
      <w:pPr>
        <w:spacing w:line="360" w:lineRule="auto"/>
        <w:ind w:firstLine="480" w:firstLineChars="200"/>
        <w:rPr>
          <w:rFonts w:hint="eastAsia" w:ascii="宋体" w:hAnsi="宋体" w:eastAsia="宋体" w:cs="宋体"/>
        </w:rPr>
      </w:pPr>
      <w:r>
        <w:rPr>
          <w:rFonts w:hint="eastAsia" w:ascii="宋体" w:hAnsi="宋体" w:eastAsia="宋体" w:cs="宋体"/>
        </w:rPr>
        <w:t>监理人应在收到通知后14天内向承包人发出经发包人签认的书面指示；监理人逾期发出书面指示的，视为发包人和监理人同意使用替代品。</w:t>
      </w:r>
    </w:p>
    <w:p w14:paraId="2A9703C7">
      <w:pPr>
        <w:spacing w:line="360" w:lineRule="auto"/>
        <w:ind w:firstLine="480" w:firstLineChars="200"/>
        <w:rPr>
          <w:rFonts w:hint="eastAsia" w:ascii="宋体" w:hAnsi="宋体" w:eastAsia="宋体" w:cs="宋体"/>
        </w:rPr>
      </w:pPr>
      <w:r>
        <w:rPr>
          <w:rFonts w:hint="eastAsia" w:ascii="宋体" w:hAnsi="宋体" w:eastAsia="宋体" w:cs="宋体"/>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4170D7A3">
      <w:pPr>
        <w:spacing w:line="360" w:lineRule="auto"/>
        <w:ind w:firstLine="480" w:firstLineChars="200"/>
        <w:rPr>
          <w:rFonts w:hint="eastAsia" w:ascii="宋体" w:hAnsi="宋体" w:eastAsia="宋体" w:cs="宋体"/>
        </w:rPr>
      </w:pPr>
      <w:bookmarkStart w:id="358" w:name="_Toc351203560"/>
      <w:bookmarkStart w:id="359" w:name="_Toc145583414"/>
      <w:r>
        <w:rPr>
          <w:rFonts w:hint="eastAsia" w:ascii="宋体" w:hAnsi="宋体" w:eastAsia="宋体" w:cs="宋体"/>
        </w:rPr>
        <w:t>8.8施工设备和临时设施</w:t>
      </w:r>
      <w:bookmarkEnd w:id="358"/>
      <w:bookmarkEnd w:id="359"/>
    </w:p>
    <w:p w14:paraId="11CC08F4">
      <w:pPr>
        <w:spacing w:line="360" w:lineRule="auto"/>
        <w:ind w:firstLine="480" w:firstLineChars="200"/>
        <w:rPr>
          <w:rFonts w:hint="eastAsia" w:ascii="宋体" w:hAnsi="宋体" w:eastAsia="宋体" w:cs="宋体"/>
        </w:rPr>
      </w:pPr>
      <w:r>
        <w:rPr>
          <w:rFonts w:hint="eastAsia" w:ascii="宋体" w:hAnsi="宋体" w:eastAsia="宋体" w:cs="宋体"/>
        </w:rPr>
        <w:t>8.8.1 承包人提供的施工设备和临时设施</w:t>
      </w:r>
    </w:p>
    <w:p w14:paraId="0C425CA8">
      <w:pPr>
        <w:spacing w:line="360" w:lineRule="auto"/>
        <w:ind w:firstLine="480" w:firstLineChars="200"/>
        <w:rPr>
          <w:rFonts w:hint="eastAsia" w:ascii="宋体" w:hAnsi="宋体" w:eastAsia="宋体" w:cs="宋体"/>
        </w:rPr>
      </w:pPr>
      <w:r>
        <w:rPr>
          <w:rFonts w:hint="eastAsia" w:ascii="宋体" w:hAnsi="宋体" w:eastAsia="宋体" w:cs="宋体"/>
        </w:rPr>
        <w:t>承包人应按合同进度计划的要求，及时配置施工设备和修建临时设施。进入施工场地的承包人设备需经监理人核查后才能投入使用。承包人更换合同约定的承包人设备的，应报监理人批准。</w:t>
      </w:r>
    </w:p>
    <w:p w14:paraId="48F8CE91">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除专用合同条款另有约定外，承包人应自行承担修建临时设施的费用，需要临时占地的，应由发包人办理申请手续并承担相应费用。</w:t>
      </w:r>
    </w:p>
    <w:p w14:paraId="06F899B1">
      <w:pPr>
        <w:spacing w:line="360" w:lineRule="auto"/>
        <w:ind w:firstLine="480" w:firstLineChars="200"/>
        <w:rPr>
          <w:rFonts w:hint="eastAsia" w:ascii="宋体" w:hAnsi="宋体" w:eastAsia="宋体" w:cs="宋体"/>
        </w:rPr>
      </w:pPr>
      <w:r>
        <w:rPr>
          <w:rFonts w:hint="eastAsia" w:ascii="宋体" w:hAnsi="宋体" w:eastAsia="宋体" w:cs="宋体"/>
        </w:rPr>
        <w:t>8.8.2发包人提供的施工设备和临时设施</w:t>
      </w:r>
    </w:p>
    <w:p w14:paraId="02C9875B">
      <w:pPr>
        <w:spacing w:line="360" w:lineRule="auto"/>
        <w:ind w:firstLine="480" w:firstLineChars="200"/>
        <w:rPr>
          <w:rFonts w:hint="eastAsia" w:ascii="宋体" w:hAnsi="宋体" w:eastAsia="宋体" w:cs="宋体"/>
        </w:rPr>
      </w:pPr>
      <w:r>
        <w:rPr>
          <w:rFonts w:hint="eastAsia" w:ascii="宋体" w:hAnsi="宋体" w:eastAsia="宋体" w:cs="宋体"/>
        </w:rPr>
        <w:t>发包人提供的施工设备或临时设施在专用合同条款中约定。</w:t>
      </w:r>
    </w:p>
    <w:p w14:paraId="6F0C45C2">
      <w:pPr>
        <w:spacing w:line="360" w:lineRule="auto"/>
        <w:ind w:firstLine="480" w:firstLineChars="200"/>
        <w:rPr>
          <w:rFonts w:hint="eastAsia" w:ascii="宋体" w:hAnsi="宋体" w:eastAsia="宋体" w:cs="宋体"/>
        </w:rPr>
      </w:pPr>
      <w:r>
        <w:rPr>
          <w:rFonts w:hint="eastAsia" w:ascii="宋体" w:hAnsi="宋体" w:eastAsia="宋体" w:cs="宋体"/>
        </w:rPr>
        <w:t>8.8.3要求承包人增加或更换施工设备</w:t>
      </w:r>
    </w:p>
    <w:p w14:paraId="20FA2AFA">
      <w:pPr>
        <w:spacing w:line="360" w:lineRule="auto"/>
        <w:ind w:firstLine="480" w:firstLineChars="200"/>
        <w:rPr>
          <w:rFonts w:hint="eastAsia" w:ascii="宋体" w:hAnsi="宋体" w:eastAsia="宋体" w:cs="宋体"/>
        </w:rPr>
      </w:pPr>
      <w:r>
        <w:rPr>
          <w:rFonts w:hint="eastAsia" w:ascii="宋体" w:hAnsi="宋体" w:eastAsia="宋体" w:cs="宋体"/>
        </w:rPr>
        <w:t>承包人使用的施工设备不能满足合同进度计划和（或）质量要求时，监理人有权要求承包人增加或更换施工设备，承包人应及时增加或更换，由此增加的费用和（或）延误的工期由承包人承担。</w:t>
      </w:r>
    </w:p>
    <w:p w14:paraId="58CC5169">
      <w:pPr>
        <w:spacing w:line="360" w:lineRule="auto"/>
        <w:ind w:firstLine="480" w:firstLineChars="200"/>
        <w:rPr>
          <w:rFonts w:hint="eastAsia" w:ascii="宋体" w:hAnsi="宋体" w:eastAsia="宋体" w:cs="宋体"/>
        </w:rPr>
      </w:pPr>
      <w:bookmarkStart w:id="360" w:name="_Toc351203561"/>
      <w:bookmarkStart w:id="361" w:name="_Toc145583415"/>
      <w:r>
        <w:rPr>
          <w:rFonts w:hint="eastAsia" w:ascii="宋体" w:hAnsi="宋体" w:eastAsia="宋体" w:cs="宋体"/>
        </w:rPr>
        <w:t>8</w:t>
      </w:r>
      <w:bookmarkStart w:id="362" w:name="_Toc337558781"/>
      <w:bookmarkStart w:id="363" w:name="_Toc296503063"/>
      <w:bookmarkStart w:id="364" w:name="_Toc296346564"/>
      <w:r>
        <w:rPr>
          <w:rFonts w:hint="eastAsia" w:ascii="宋体" w:hAnsi="宋体" w:eastAsia="宋体" w:cs="宋体"/>
        </w:rPr>
        <w:t>.9材料与设备专用</w:t>
      </w:r>
      <w:bookmarkEnd w:id="360"/>
      <w:r>
        <w:rPr>
          <w:rFonts w:hint="eastAsia" w:ascii="宋体" w:hAnsi="宋体" w:eastAsia="宋体" w:cs="宋体"/>
        </w:rPr>
        <w:t>要求</w:t>
      </w:r>
      <w:bookmarkEnd w:id="361"/>
    </w:p>
    <w:bookmarkEnd w:id="362"/>
    <w:bookmarkEnd w:id="363"/>
    <w:bookmarkEnd w:id="364"/>
    <w:p w14:paraId="68207C37">
      <w:pPr>
        <w:spacing w:line="360" w:lineRule="auto"/>
        <w:ind w:firstLine="480" w:firstLineChars="200"/>
        <w:rPr>
          <w:rFonts w:hint="eastAsia" w:ascii="宋体" w:hAnsi="宋体" w:eastAsia="宋体" w:cs="宋体"/>
        </w:rPr>
      </w:pPr>
      <w:r>
        <w:rPr>
          <w:rFonts w:hint="eastAsia" w:ascii="宋体" w:hAnsi="宋体" w:eastAsia="宋体" w:cs="宋体"/>
        </w:rPr>
        <w:t>承包人运入施工现场的材料、工程设备、施工设备以及在施工场地建设的临时设施，包括备品备件、安装工具与资料，必须专用于工程。未经发包人批准，承包人不得运出施工现场或挪作他用；</w:t>
      </w:r>
      <w:bookmarkEnd w:id="335"/>
      <w:r>
        <w:rPr>
          <w:rFonts w:hint="eastAsia" w:ascii="宋体" w:hAnsi="宋体" w:eastAsia="宋体" w:cs="宋体"/>
        </w:rPr>
        <w:t>经发包人批准，承包人可以根据施工进度计划撤走闲置的施工设备和其他物品。</w:t>
      </w:r>
    </w:p>
    <w:p w14:paraId="208C9DF5">
      <w:pPr>
        <w:spacing w:line="360" w:lineRule="auto"/>
        <w:ind w:firstLine="480" w:firstLineChars="200"/>
        <w:rPr>
          <w:rFonts w:hint="eastAsia" w:ascii="宋体" w:hAnsi="宋体" w:eastAsia="宋体" w:cs="宋体"/>
        </w:rPr>
      </w:pPr>
      <w:bookmarkStart w:id="365" w:name="_Toc351203562"/>
      <w:bookmarkStart w:id="366" w:name="_Toc145583416"/>
      <w:r>
        <w:rPr>
          <w:rFonts w:hint="eastAsia" w:ascii="宋体" w:hAnsi="宋体" w:eastAsia="宋体" w:cs="宋体"/>
        </w:rPr>
        <w:t>9</w:t>
      </w:r>
      <w:bookmarkStart w:id="367" w:name="_Toc337558782"/>
      <w:bookmarkStart w:id="368" w:name="_Toc296503083"/>
      <w:bookmarkStart w:id="369" w:name="_Toc296346584"/>
      <w:r>
        <w:rPr>
          <w:rFonts w:hint="eastAsia" w:ascii="宋体" w:hAnsi="宋体" w:eastAsia="宋体" w:cs="宋体"/>
        </w:rPr>
        <w:t>. 试验与检验</w:t>
      </w:r>
      <w:bookmarkEnd w:id="365"/>
      <w:bookmarkEnd w:id="366"/>
    </w:p>
    <w:bookmarkEnd w:id="367"/>
    <w:p w14:paraId="3F920DC0">
      <w:pPr>
        <w:spacing w:line="360" w:lineRule="auto"/>
        <w:ind w:firstLine="480" w:firstLineChars="200"/>
        <w:rPr>
          <w:rFonts w:hint="eastAsia" w:ascii="宋体" w:hAnsi="宋体" w:eastAsia="宋体" w:cs="宋体"/>
        </w:rPr>
      </w:pPr>
      <w:bookmarkStart w:id="370" w:name="_Toc351203563"/>
      <w:bookmarkStart w:id="371" w:name="_Toc145583417"/>
      <w:r>
        <w:rPr>
          <w:rFonts w:hint="eastAsia" w:ascii="宋体" w:hAnsi="宋体" w:eastAsia="宋体" w:cs="宋体"/>
        </w:rPr>
        <w:t>9</w:t>
      </w:r>
      <w:bookmarkStart w:id="372" w:name="_Toc337558783"/>
      <w:r>
        <w:rPr>
          <w:rFonts w:hint="eastAsia" w:ascii="宋体" w:hAnsi="宋体" w:eastAsia="宋体" w:cs="宋体"/>
        </w:rPr>
        <w:t>.1试验设备与试验人员</w:t>
      </w:r>
      <w:bookmarkEnd w:id="370"/>
      <w:bookmarkEnd w:id="371"/>
    </w:p>
    <w:bookmarkEnd w:id="372"/>
    <w:p w14:paraId="69A4A6C3">
      <w:pPr>
        <w:spacing w:line="360" w:lineRule="auto"/>
        <w:ind w:firstLine="480" w:firstLineChars="200"/>
        <w:rPr>
          <w:rFonts w:hint="eastAsia" w:ascii="宋体" w:hAnsi="宋体" w:eastAsia="宋体" w:cs="宋体"/>
        </w:rPr>
      </w:pPr>
      <w:r>
        <w:rPr>
          <w:rFonts w:hint="eastAsia" w:ascii="宋体" w:hAnsi="宋体" w:eastAsia="宋体" w:cs="宋体"/>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3B4BEF63">
      <w:pPr>
        <w:spacing w:line="360" w:lineRule="auto"/>
        <w:ind w:firstLine="480" w:firstLineChars="200"/>
        <w:rPr>
          <w:rFonts w:hint="eastAsia" w:ascii="宋体" w:hAnsi="宋体" w:eastAsia="宋体" w:cs="宋体"/>
        </w:rPr>
      </w:pPr>
      <w:r>
        <w:rPr>
          <w:rFonts w:hint="eastAsia" w:ascii="宋体" w:hAnsi="宋体" w:eastAsia="宋体" w:cs="宋体"/>
        </w:rPr>
        <w:t>9.1.2 承包人应按专用合同条款的约定提供试验设备、取样装置、试验场所和试验条件，并向监理人提交相应进场计划表。</w:t>
      </w:r>
    </w:p>
    <w:p w14:paraId="04DD88B5">
      <w:pPr>
        <w:spacing w:line="360" w:lineRule="auto"/>
        <w:ind w:firstLine="480" w:firstLineChars="200"/>
        <w:rPr>
          <w:rFonts w:hint="eastAsia" w:ascii="宋体" w:hAnsi="宋体" w:eastAsia="宋体" w:cs="宋体"/>
        </w:rPr>
      </w:pPr>
      <w:r>
        <w:rPr>
          <w:rFonts w:hint="eastAsia" w:ascii="宋体" w:hAnsi="宋体" w:eastAsia="宋体" w:cs="宋体"/>
        </w:rPr>
        <w:t>承包人配置的试验设备要符合相应试验规程的要求并经过具有资质的检测单位检测，且在正式使用该试验设备前，需要经过监理人与承包人共同校定。</w:t>
      </w:r>
    </w:p>
    <w:p w14:paraId="293D1992">
      <w:pPr>
        <w:spacing w:line="360" w:lineRule="auto"/>
        <w:ind w:firstLine="480" w:firstLineChars="200"/>
        <w:rPr>
          <w:rFonts w:hint="eastAsia" w:ascii="宋体" w:hAnsi="宋体" w:eastAsia="宋体" w:cs="宋体"/>
        </w:rPr>
      </w:pPr>
      <w:r>
        <w:rPr>
          <w:rFonts w:hint="eastAsia" w:ascii="宋体" w:hAnsi="宋体" w:eastAsia="宋体" w:cs="宋体"/>
        </w:rPr>
        <w:t>9.1.3 承包人应向监理人提交试验人员的名单及其岗位、资格等证明资料，试验人员必须能够熟练进行相应的检测试验，承包人对试验人员的试验程序和试验结果的正确性负责。</w:t>
      </w:r>
    </w:p>
    <w:p w14:paraId="5220A3DF">
      <w:pPr>
        <w:spacing w:line="360" w:lineRule="auto"/>
        <w:ind w:firstLine="480" w:firstLineChars="200"/>
        <w:rPr>
          <w:rFonts w:hint="eastAsia" w:ascii="宋体" w:hAnsi="宋体" w:eastAsia="宋体" w:cs="宋体"/>
        </w:rPr>
      </w:pPr>
      <w:bookmarkStart w:id="373" w:name="_Toc351203564"/>
      <w:bookmarkStart w:id="374" w:name="_Toc145583418"/>
      <w:r>
        <w:rPr>
          <w:rFonts w:hint="eastAsia" w:ascii="宋体" w:hAnsi="宋体" w:eastAsia="宋体" w:cs="宋体"/>
        </w:rPr>
        <w:t>9</w:t>
      </w:r>
      <w:bookmarkStart w:id="375" w:name="_Toc337558784"/>
      <w:r>
        <w:rPr>
          <w:rFonts w:hint="eastAsia" w:ascii="宋体" w:hAnsi="宋体" w:eastAsia="宋体" w:cs="宋体"/>
        </w:rPr>
        <w:t>.2取样</w:t>
      </w:r>
      <w:bookmarkEnd w:id="373"/>
      <w:bookmarkEnd w:id="374"/>
    </w:p>
    <w:bookmarkEnd w:id="375"/>
    <w:p w14:paraId="3B856418">
      <w:pPr>
        <w:spacing w:line="360" w:lineRule="auto"/>
        <w:ind w:firstLine="480" w:firstLineChars="200"/>
        <w:rPr>
          <w:rFonts w:hint="eastAsia" w:ascii="宋体" w:hAnsi="宋体" w:eastAsia="宋体" w:cs="宋体"/>
        </w:rPr>
      </w:pPr>
      <w:r>
        <w:rPr>
          <w:rFonts w:hint="eastAsia" w:ascii="宋体" w:hAnsi="宋体" w:eastAsia="宋体" w:cs="宋体"/>
        </w:rPr>
        <w:t>试验属于自检性质的，承包人可以单独取样。试验属于监理人抽检性质的，可由监理人取样，也可由承包人的试验人员在监理人的监督下取样。</w:t>
      </w:r>
    </w:p>
    <w:p w14:paraId="6CDF4C1B">
      <w:pPr>
        <w:spacing w:line="360" w:lineRule="auto"/>
        <w:ind w:firstLine="480" w:firstLineChars="200"/>
        <w:rPr>
          <w:rFonts w:hint="eastAsia" w:ascii="宋体" w:hAnsi="宋体" w:eastAsia="宋体" w:cs="宋体"/>
        </w:rPr>
      </w:pPr>
      <w:bookmarkStart w:id="376" w:name="_Toc351203565"/>
      <w:bookmarkStart w:id="377" w:name="_Toc145583419"/>
      <w:r>
        <w:rPr>
          <w:rFonts w:hint="eastAsia" w:ascii="宋体" w:hAnsi="宋体" w:eastAsia="宋体" w:cs="宋体"/>
        </w:rPr>
        <w:t>9</w:t>
      </w:r>
      <w:bookmarkStart w:id="378" w:name="_Toc337558785"/>
      <w:r>
        <w:rPr>
          <w:rFonts w:hint="eastAsia" w:ascii="宋体" w:hAnsi="宋体" w:eastAsia="宋体" w:cs="宋体"/>
        </w:rPr>
        <w:t>.3材料、工程设备和工程的试验和检验</w:t>
      </w:r>
      <w:bookmarkEnd w:id="376"/>
      <w:bookmarkEnd w:id="377"/>
    </w:p>
    <w:bookmarkEnd w:id="378"/>
    <w:p w14:paraId="4DE23020">
      <w:pPr>
        <w:spacing w:line="360" w:lineRule="auto"/>
        <w:ind w:firstLine="480" w:firstLineChars="200"/>
        <w:rPr>
          <w:rFonts w:hint="eastAsia" w:ascii="宋体" w:hAnsi="宋体" w:eastAsia="宋体" w:cs="宋体"/>
        </w:rPr>
      </w:pPr>
      <w:r>
        <w:rPr>
          <w:rFonts w:hint="eastAsia" w:ascii="宋体" w:hAnsi="宋体" w:eastAsia="宋体" w:cs="宋体"/>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AD5B521">
      <w:pPr>
        <w:spacing w:line="360" w:lineRule="auto"/>
        <w:ind w:firstLine="480" w:firstLineChars="200"/>
        <w:rPr>
          <w:rFonts w:hint="eastAsia" w:ascii="宋体" w:hAnsi="宋体" w:eastAsia="宋体" w:cs="宋体"/>
        </w:rPr>
      </w:pPr>
      <w:r>
        <w:rPr>
          <w:rFonts w:hint="eastAsia" w:ascii="宋体" w:hAnsi="宋体" w:eastAsia="宋体" w:cs="宋体"/>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242E19B0">
      <w:pPr>
        <w:spacing w:line="360" w:lineRule="auto"/>
        <w:ind w:firstLine="480" w:firstLineChars="200"/>
        <w:rPr>
          <w:rFonts w:hint="eastAsia" w:ascii="宋体" w:hAnsi="宋体" w:eastAsia="宋体" w:cs="宋体"/>
        </w:rPr>
      </w:pPr>
      <w:r>
        <w:rPr>
          <w:rFonts w:hint="eastAsia" w:ascii="宋体" w:hAnsi="宋体" w:eastAsia="宋体" w:cs="宋体"/>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8082144">
      <w:pPr>
        <w:spacing w:line="360" w:lineRule="auto"/>
        <w:ind w:firstLine="480" w:firstLineChars="200"/>
        <w:rPr>
          <w:rFonts w:hint="eastAsia" w:ascii="宋体" w:hAnsi="宋体" w:eastAsia="宋体" w:cs="宋体"/>
        </w:rPr>
      </w:pPr>
      <w:bookmarkStart w:id="379" w:name="_Toc351203566"/>
      <w:bookmarkStart w:id="380" w:name="_Toc145583420"/>
      <w:r>
        <w:rPr>
          <w:rFonts w:hint="eastAsia" w:ascii="宋体" w:hAnsi="宋体" w:eastAsia="宋体" w:cs="宋体"/>
        </w:rPr>
        <w:t>9</w:t>
      </w:r>
      <w:bookmarkStart w:id="381" w:name="_Toc337558786"/>
      <w:r>
        <w:rPr>
          <w:rFonts w:hint="eastAsia" w:ascii="宋体" w:hAnsi="宋体" w:eastAsia="宋体" w:cs="宋体"/>
        </w:rPr>
        <w:t>.4现场工艺试验</w:t>
      </w:r>
      <w:bookmarkEnd w:id="379"/>
      <w:bookmarkEnd w:id="380"/>
    </w:p>
    <w:bookmarkEnd w:id="381"/>
    <w:p w14:paraId="29D61584">
      <w:pPr>
        <w:spacing w:line="360" w:lineRule="auto"/>
        <w:ind w:firstLine="480" w:firstLineChars="200"/>
        <w:rPr>
          <w:rFonts w:hint="eastAsia" w:ascii="宋体" w:hAnsi="宋体" w:eastAsia="宋体" w:cs="宋体"/>
        </w:rPr>
      </w:pPr>
      <w:r>
        <w:rPr>
          <w:rFonts w:hint="eastAsia" w:ascii="宋体" w:hAnsi="宋体" w:eastAsia="宋体" w:cs="宋体"/>
        </w:rPr>
        <w:t>承包人应按合同约定或监理人指示进行现场工艺试验。对大型的现场工艺试验，监理人认为必要时，承包人应根据监理人提出的工艺试验要求，编制工艺试验措施计划，报送监理人审查。</w:t>
      </w:r>
    </w:p>
    <w:p w14:paraId="3F38FEAE">
      <w:pPr>
        <w:spacing w:line="360" w:lineRule="auto"/>
        <w:ind w:firstLine="480" w:firstLineChars="200"/>
        <w:rPr>
          <w:rFonts w:hint="eastAsia" w:ascii="宋体" w:hAnsi="宋体" w:eastAsia="宋体" w:cs="宋体"/>
        </w:rPr>
      </w:pPr>
      <w:bookmarkStart w:id="382" w:name="_Toc145583421"/>
      <w:bookmarkStart w:id="383" w:name="_Toc351203567"/>
      <w:r>
        <w:rPr>
          <w:rFonts w:hint="eastAsia" w:ascii="宋体" w:hAnsi="宋体" w:eastAsia="宋体" w:cs="宋体"/>
        </w:rPr>
        <w:t>1</w:t>
      </w:r>
      <w:bookmarkStart w:id="384" w:name="_Toc337558787"/>
      <w:r>
        <w:rPr>
          <w:rFonts w:hint="eastAsia" w:ascii="宋体" w:hAnsi="宋体" w:eastAsia="宋体" w:cs="宋体"/>
        </w:rPr>
        <w:t>0. 变更</w:t>
      </w:r>
      <w:bookmarkEnd w:id="368"/>
      <w:bookmarkEnd w:id="369"/>
      <w:bookmarkEnd w:id="382"/>
      <w:bookmarkEnd w:id="383"/>
    </w:p>
    <w:bookmarkEnd w:id="384"/>
    <w:p w14:paraId="03ADE29B">
      <w:pPr>
        <w:spacing w:line="360" w:lineRule="auto"/>
        <w:ind w:firstLine="480" w:firstLineChars="200"/>
        <w:rPr>
          <w:rFonts w:hint="eastAsia" w:ascii="宋体" w:hAnsi="宋体" w:eastAsia="宋体" w:cs="宋体"/>
        </w:rPr>
      </w:pPr>
      <w:bookmarkStart w:id="385" w:name="_Toc145583422"/>
      <w:bookmarkStart w:id="386" w:name="_Toc351203568"/>
      <w:r>
        <w:rPr>
          <w:rFonts w:hint="eastAsia" w:ascii="宋体" w:hAnsi="宋体" w:eastAsia="宋体" w:cs="宋体"/>
        </w:rPr>
        <w:t>1</w:t>
      </w:r>
      <w:bookmarkStart w:id="387" w:name="_Toc337558788"/>
      <w:bookmarkStart w:id="388" w:name="_Toc296503084"/>
      <w:bookmarkStart w:id="389" w:name="_Toc296346585"/>
      <w:r>
        <w:rPr>
          <w:rFonts w:hint="eastAsia" w:ascii="宋体" w:hAnsi="宋体" w:eastAsia="宋体" w:cs="宋体"/>
        </w:rPr>
        <w:t>0.1变更的范围</w:t>
      </w:r>
      <w:bookmarkEnd w:id="385"/>
      <w:bookmarkEnd w:id="386"/>
    </w:p>
    <w:bookmarkEnd w:id="387"/>
    <w:bookmarkEnd w:id="388"/>
    <w:bookmarkEnd w:id="389"/>
    <w:p w14:paraId="10518913">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除专用合同条款另有约定外，合同履行过程中发生以下情形的，应按照本条约定进行变更：</w:t>
      </w:r>
    </w:p>
    <w:p w14:paraId="6BF0EE3A">
      <w:pPr>
        <w:spacing w:line="360" w:lineRule="auto"/>
        <w:ind w:firstLine="480" w:firstLineChars="200"/>
        <w:rPr>
          <w:rFonts w:hint="eastAsia" w:ascii="宋体" w:hAnsi="宋体" w:eastAsia="宋体" w:cs="宋体"/>
        </w:rPr>
      </w:pPr>
      <w:r>
        <w:rPr>
          <w:rFonts w:hint="eastAsia" w:ascii="宋体" w:hAnsi="宋体" w:eastAsia="宋体" w:cs="宋体"/>
        </w:rPr>
        <w:t>（1）增加或减少合同中任何工作，或追加额外的工作；</w:t>
      </w:r>
    </w:p>
    <w:p w14:paraId="3993EB14">
      <w:pPr>
        <w:spacing w:line="360" w:lineRule="auto"/>
        <w:ind w:firstLine="480" w:firstLineChars="200"/>
        <w:rPr>
          <w:rFonts w:hint="eastAsia" w:ascii="宋体" w:hAnsi="宋体" w:eastAsia="宋体" w:cs="宋体"/>
        </w:rPr>
      </w:pPr>
      <w:r>
        <w:rPr>
          <w:rFonts w:hint="eastAsia" w:ascii="宋体" w:hAnsi="宋体" w:eastAsia="宋体" w:cs="宋体"/>
        </w:rPr>
        <w:t>（2）取消合同中任何工作，但转由他人实施的工作除外；</w:t>
      </w:r>
    </w:p>
    <w:p w14:paraId="0F233B46">
      <w:pPr>
        <w:spacing w:line="360" w:lineRule="auto"/>
        <w:ind w:firstLine="480" w:firstLineChars="200"/>
        <w:rPr>
          <w:rFonts w:hint="eastAsia" w:ascii="宋体" w:hAnsi="宋体" w:eastAsia="宋体" w:cs="宋体"/>
        </w:rPr>
      </w:pPr>
      <w:r>
        <w:rPr>
          <w:rFonts w:hint="eastAsia" w:ascii="宋体" w:hAnsi="宋体" w:eastAsia="宋体" w:cs="宋体"/>
        </w:rPr>
        <w:t>（3）改变合同中任何工作的质量标准或其他特性；</w:t>
      </w:r>
    </w:p>
    <w:p w14:paraId="4C8236EE">
      <w:pPr>
        <w:spacing w:line="360" w:lineRule="auto"/>
        <w:ind w:firstLine="480" w:firstLineChars="200"/>
        <w:rPr>
          <w:rFonts w:hint="eastAsia" w:ascii="宋体" w:hAnsi="宋体" w:eastAsia="宋体" w:cs="宋体"/>
        </w:rPr>
      </w:pPr>
      <w:r>
        <w:rPr>
          <w:rFonts w:hint="eastAsia" w:ascii="宋体" w:hAnsi="宋体" w:eastAsia="宋体" w:cs="宋体"/>
        </w:rPr>
        <w:t>（4）改变工程的基线、标高、位置和尺寸；</w:t>
      </w:r>
    </w:p>
    <w:p w14:paraId="7B195D74">
      <w:pPr>
        <w:spacing w:line="360" w:lineRule="auto"/>
        <w:ind w:firstLine="480" w:firstLineChars="200"/>
        <w:rPr>
          <w:rFonts w:hint="eastAsia" w:ascii="宋体" w:hAnsi="宋体" w:eastAsia="宋体" w:cs="宋体"/>
        </w:rPr>
      </w:pPr>
      <w:r>
        <w:rPr>
          <w:rFonts w:hint="eastAsia" w:ascii="宋体" w:hAnsi="宋体" w:eastAsia="宋体" w:cs="宋体"/>
        </w:rPr>
        <w:t>（5）改变工程的时间安排或实施顺序。</w:t>
      </w:r>
    </w:p>
    <w:p w14:paraId="5F641B8F">
      <w:pPr>
        <w:spacing w:line="360" w:lineRule="auto"/>
        <w:ind w:firstLine="480" w:firstLineChars="200"/>
        <w:rPr>
          <w:rFonts w:hint="eastAsia" w:ascii="宋体" w:hAnsi="宋体" w:eastAsia="宋体" w:cs="宋体"/>
        </w:rPr>
      </w:pPr>
      <w:bookmarkStart w:id="390" w:name="_Toc145583423"/>
      <w:bookmarkStart w:id="391" w:name="_Toc351203569"/>
      <w:r>
        <w:rPr>
          <w:rFonts w:hint="eastAsia" w:ascii="宋体" w:hAnsi="宋体" w:eastAsia="宋体" w:cs="宋体"/>
        </w:rPr>
        <w:t>1</w:t>
      </w:r>
      <w:bookmarkStart w:id="392" w:name="_Toc337558789"/>
      <w:bookmarkStart w:id="393" w:name="_Toc296346586"/>
      <w:bookmarkStart w:id="394" w:name="_Toc296503085"/>
      <w:r>
        <w:rPr>
          <w:rFonts w:hint="eastAsia" w:ascii="宋体" w:hAnsi="宋体" w:eastAsia="宋体" w:cs="宋体"/>
        </w:rPr>
        <w:t>0.2变更权</w:t>
      </w:r>
      <w:bookmarkEnd w:id="390"/>
      <w:bookmarkEnd w:id="391"/>
    </w:p>
    <w:bookmarkEnd w:id="392"/>
    <w:bookmarkEnd w:id="393"/>
    <w:bookmarkEnd w:id="394"/>
    <w:p w14:paraId="0658194F">
      <w:pPr>
        <w:spacing w:line="360" w:lineRule="auto"/>
        <w:ind w:firstLine="480" w:firstLineChars="200"/>
        <w:rPr>
          <w:rFonts w:hint="eastAsia" w:ascii="宋体" w:hAnsi="宋体" w:eastAsia="宋体" w:cs="宋体"/>
        </w:rPr>
      </w:pPr>
      <w:r>
        <w:rPr>
          <w:rFonts w:hint="eastAsia" w:ascii="宋体" w:hAnsi="宋体" w:eastAsia="宋体" w:cs="宋体"/>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10404424">
      <w:pPr>
        <w:spacing w:line="360" w:lineRule="auto"/>
        <w:ind w:firstLine="480" w:firstLineChars="200"/>
        <w:rPr>
          <w:rFonts w:hint="eastAsia" w:ascii="宋体" w:hAnsi="宋体" w:eastAsia="宋体" w:cs="宋体"/>
        </w:rPr>
      </w:pPr>
      <w:r>
        <w:rPr>
          <w:rFonts w:hint="eastAsia" w:ascii="宋体" w:hAnsi="宋体" w:eastAsia="宋体" w:cs="宋体"/>
        </w:rPr>
        <w:t>涉及设计变更的，应由设计人提供变更后的图纸和说明。如变更超过原设计标准或批准的建设规模时，发包人应及时办理规划、设计变更等审批手续。</w:t>
      </w:r>
    </w:p>
    <w:p w14:paraId="2F4F3F45">
      <w:pPr>
        <w:spacing w:line="360" w:lineRule="auto"/>
        <w:ind w:firstLine="480" w:firstLineChars="200"/>
        <w:rPr>
          <w:rFonts w:hint="eastAsia" w:ascii="宋体" w:hAnsi="宋体" w:eastAsia="宋体" w:cs="宋体"/>
        </w:rPr>
      </w:pPr>
      <w:bookmarkStart w:id="395" w:name="_Toc351203570"/>
      <w:bookmarkStart w:id="396" w:name="_Toc145583424"/>
      <w:r>
        <w:rPr>
          <w:rFonts w:hint="eastAsia" w:ascii="宋体" w:hAnsi="宋体" w:eastAsia="宋体" w:cs="宋体"/>
        </w:rPr>
        <w:t>1</w:t>
      </w:r>
      <w:bookmarkStart w:id="397" w:name="_Toc296346587"/>
      <w:bookmarkStart w:id="398" w:name="_Toc296503086"/>
      <w:bookmarkStart w:id="399" w:name="_Toc337558790"/>
      <w:r>
        <w:rPr>
          <w:rFonts w:hint="eastAsia" w:ascii="宋体" w:hAnsi="宋体" w:eastAsia="宋体" w:cs="宋体"/>
        </w:rPr>
        <w:t>0.3变更程序</w:t>
      </w:r>
      <w:bookmarkEnd w:id="395"/>
      <w:bookmarkEnd w:id="396"/>
    </w:p>
    <w:bookmarkEnd w:id="397"/>
    <w:bookmarkEnd w:id="398"/>
    <w:bookmarkEnd w:id="399"/>
    <w:p w14:paraId="2B5D4B81">
      <w:pPr>
        <w:spacing w:line="360" w:lineRule="auto"/>
        <w:ind w:firstLine="480" w:firstLineChars="200"/>
        <w:rPr>
          <w:rFonts w:hint="eastAsia" w:ascii="宋体" w:hAnsi="宋体" w:eastAsia="宋体" w:cs="宋体"/>
        </w:rPr>
      </w:pPr>
      <w:r>
        <w:rPr>
          <w:rFonts w:hint="eastAsia" w:ascii="宋体" w:hAnsi="宋体" w:eastAsia="宋体" w:cs="宋体"/>
        </w:rPr>
        <w:t>10.3.1 发包人提出变更</w:t>
      </w:r>
    </w:p>
    <w:p w14:paraId="3C669FD6">
      <w:pPr>
        <w:spacing w:line="360" w:lineRule="auto"/>
        <w:ind w:firstLine="480" w:firstLineChars="200"/>
        <w:rPr>
          <w:rFonts w:hint="eastAsia" w:ascii="宋体" w:hAnsi="宋体" w:eastAsia="宋体" w:cs="宋体"/>
        </w:rPr>
      </w:pPr>
      <w:r>
        <w:rPr>
          <w:rFonts w:hint="eastAsia" w:ascii="宋体" w:hAnsi="宋体" w:eastAsia="宋体" w:cs="宋体"/>
        </w:rPr>
        <w:t>发包人提出变更的，应通过监理人向承包人发出变更指示，变更指示应说明计划变更的工程范围和变更的内容。</w:t>
      </w:r>
    </w:p>
    <w:p w14:paraId="50574A4B">
      <w:pPr>
        <w:spacing w:line="360" w:lineRule="auto"/>
        <w:ind w:firstLine="480" w:firstLineChars="200"/>
        <w:rPr>
          <w:rFonts w:hint="eastAsia" w:ascii="宋体" w:hAnsi="宋体" w:eastAsia="宋体" w:cs="宋体"/>
        </w:rPr>
      </w:pPr>
      <w:r>
        <w:rPr>
          <w:rFonts w:hint="eastAsia" w:ascii="宋体" w:hAnsi="宋体" w:eastAsia="宋体" w:cs="宋体"/>
        </w:rPr>
        <w:t>10.3.2 监理人提出变更建议</w:t>
      </w:r>
    </w:p>
    <w:p w14:paraId="58907920">
      <w:pPr>
        <w:spacing w:line="360" w:lineRule="auto"/>
        <w:ind w:firstLine="480" w:firstLineChars="200"/>
        <w:rPr>
          <w:rFonts w:hint="eastAsia" w:ascii="宋体" w:hAnsi="宋体" w:eastAsia="宋体" w:cs="宋体"/>
        </w:rPr>
      </w:pPr>
      <w:r>
        <w:rPr>
          <w:rFonts w:hint="eastAsia" w:ascii="宋体" w:hAnsi="宋体" w:eastAsia="宋体" w:cs="宋体"/>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0F97BDAC">
      <w:pPr>
        <w:spacing w:line="360" w:lineRule="auto"/>
        <w:ind w:firstLine="480" w:firstLineChars="200"/>
        <w:rPr>
          <w:rFonts w:hint="eastAsia" w:ascii="宋体" w:hAnsi="宋体" w:eastAsia="宋体" w:cs="宋体"/>
        </w:rPr>
      </w:pPr>
      <w:r>
        <w:rPr>
          <w:rFonts w:hint="eastAsia" w:ascii="宋体" w:hAnsi="宋体" w:eastAsia="宋体" w:cs="宋体"/>
        </w:rPr>
        <w:t>10.3.3 变更执行</w:t>
      </w:r>
    </w:p>
    <w:p w14:paraId="6D1F0AA3">
      <w:pPr>
        <w:spacing w:line="360" w:lineRule="auto"/>
        <w:ind w:firstLine="480" w:firstLineChars="200"/>
        <w:rPr>
          <w:rFonts w:hint="eastAsia" w:ascii="宋体" w:hAnsi="宋体" w:eastAsia="宋体" w:cs="宋体"/>
        </w:rPr>
      </w:pPr>
      <w:r>
        <w:rPr>
          <w:rFonts w:hint="eastAsia" w:ascii="宋体" w:hAnsi="宋体" w:eastAsia="宋体" w:cs="宋体"/>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47C74D67">
      <w:pPr>
        <w:spacing w:line="360" w:lineRule="auto"/>
        <w:ind w:firstLine="480" w:firstLineChars="200"/>
        <w:rPr>
          <w:rFonts w:hint="eastAsia" w:ascii="宋体" w:hAnsi="宋体" w:eastAsia="宋体" w:cs="宋体"/>
        </w:rPr>
      </w:pPr>
      <w:bookmarkStart w:id="400" w:name="_Toc145583425"/>
      <w:bookmarkStart w:id="401" w:name="_Toc351203571"/>
      <w:r>
        <w:rPr>
          <w:rFonts w:hint="eastAsia" w:ascii="宋体" w:hAnsi="宋体" w:eastAsia="宋体" w:cs="宋体"/>
        </w:rPr>
        <w:t>1</w:t>
      </w:r>
      <w:bookmarkStart w:id="402" w:name="_Toc296503087"/>
      <w:bookmarkStart w:id="403" w:name="_Toc337558791"/>
      <w:bookmarkStart w:id="404" w:name="_Toc296346588"/>
      <w:r>
        <w:rPr>
          <w:rFonts w:hint="eastAsia" w:ascii="宋体" w:hAnsi="宋体" w:eastAsia="宋体" w:cs="宋体"/>
        </w:rPr>
        <w:t>0.4变更估价</w:t>
      </w:r>
      <w:bookmarkEnd w:id="400"/>
      <w:bookmarkEnd w:id="401"/>
    </w:p>
    <w:bookmarkEnd w:id="402"/>
    <w:bookmarkEnd w:id="403"/>
    <w:bookmarkEnd w:id="404"/>
    <w:p w14:paraId="2F73CC91">
      <w:pPr>
        <w:spacing w:line="360" w:lineRule="auto"/>
        <w:ind w:firstLine="480" w:firstLineChars="200"/>
        <w:rPr>
          <w:rFonts w:hint="eastAsia" w:ascii="宋体" w:hAnsi="宋体" w:eastAsia="宋体" w:cs="宋体"/>
        </w:rPr>
      </w:pPr>
      <w:r>
        <w:rPr>
          <w:rFonts w:hint="eastAsia" w:ascii="宋体" w:hAnsi="宋体" w:eastAsia="宋体" w:cs="宋体"/>
        </w:rPr>
        <w:t>10.4.1 变更估价原则</w:t>
      </w:r>
    </w:p>
    <w:p w14:paraId="5DB3E128">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除专用合同条款另有约定外，变更估价按照本款约定处理：</w:t>
      </w:r>
    </w:p>
    <w:p w14:paraId="086DFB74">
      <w:pPr>
        <w:spacing w:line="360" w:lineRule="auto"/>
        <w:ind w:firstLine="480" w:firstLineChars="200"/>
        <w:rPr>
          <w:rFonts w:hint="eastAsia" w:ascii="宋体" w:hAnsi="宋体" w:eastAsia="宋体" w:cs="宋体"/>
        </w:rPr>
      </w:pPr>
      <w:r>
        <w:rPr>
          <w:rFonts w:hint="eastAsia" w:ascii="宋体" w:hAnsi="宋体" w:eastAsia="宋体" w:cs="宋体"/>
        </w:rPr>
        <w:t>（1）已标价工程量清单或预算书有相同项目的，按照相同项目单价认定；</w:t>
      </w:r>
    </w:p>
    <w:p w14:paraId="61F36C69">
      <w:pPr>
        <w:spacing w:line="360" w:lineRule="auto"/>
        <w:ind w:firstLine="480" w:firstLineChars="200"/>
        <w:rPr>
          <w:rFonts w:hint="eastAsia" w:ascii="宋体" w:hAnsi="宋体" w:eastAsia="宋体" w:cs="宋体"/>
        </w:rPr>
      </w:pPr>
      <w:r>
        <w:rPr>
          <w:rFonts w:hint="eastAsia" w:ascii="宋体" w:hAnsi="宋体" w:eastAsia="宋体" w:cs="宋体"/>
        </w:rPr>
        <w:t>（2）已标价工程量清单或预算书中无相同项目，但有类似项目的，参照类似项目的单价认定；</w:t>
      </w:r>
    </w:p>
    <w:p w14:paraId="004AE6CC">
      <w:pPr>
        <w:spacing w:line="360" w:lineRule="auto"/>
        <w:ind w:firstLine="480" w:firstLineChars="200"/>
        <w:rPr>
          <w:rFonts w:hint="eastAsia" w:ascii="宋体" w:hAnsi="宋体" w:eastAsia="宋体" w:cs="宋体"/>
        </w:rPr>
      </w:pPr>
      <w:r>
        <w:rPr>
          <w:rFonts w:hint="eastAsia" w:ascii="宋体" w:hAnsi="宋体" w:eastAsia="宋体" w:cs="宋体"/>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24DF8F28">
      <w:pPr>
        <w:spacing w:line="360" w:lineRule="auto"/>
        <w:ind w:firstLine="480" w:firstLineChars="200"/>
        <w:rPr>
          <w:rFonts w:hint="eastAsia" w:ascii="宋体" w:hAnsi="宋体" w:eastAsia="宋体" w:cs="宋体"/>
        </w:rPr>
      </w:pPr>
      <w:r>
        <w:rPr>
          <w:rFonts w:hint="eastAsia" w:ascii="宋体" w:hAnsi="宋体" w:eastAsia="宋体" w:cs="宋体"/>
        </w:rPr>
        <w:t>10.4.2 变更估价程序</w:t>
      </w:r>
    </w:p>
    <w:p w14:paraId="14011A99">
      <w:pPr>
        <w:spacing w:line="360" w:lineRule="auto"/>
        <w:ind w:firstLine="480" w:firstLineChars="200"/>
        <w:rPr>
          <w:rFonts w:hint="eastAsia" w:ascii="宋体" w:hAnsi="宋体" w:eastAsia="宋体" w:cs="宋体"/>
        </w:rPr>
      </w:pPr>
      <w:r>
        <w:rPr>
          <w:rFonts w:hint="eastAsia" w:ascii="宋体" w:hAnsi="宋体" w:eastAsia="宋体" w:cs="宋体"/>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52E918BD">
      <w:pPr>
        <w:spacing w:line="360" w:lineRule="auto"/>
        <w:ind w:firstLine="480" w:firstLineChars="200"/>
        <w:rPr>
          <w:rFonts w:hint="eastAsia" w:ascii="宋体" w:hAnsi="宋体" w:eastAsia="宋体" w:cs="宋体"/>
        </w:rPr>
      </w:pPr>
      <w:r>
        <w:rPr>
          <w:rFonts w:hint="eastAsia" w:ascii="宋体" w:hAnsi="宋体" w:eastAsia="宋体" w:cs="宋体"/>
        </w:rPr>
        <w:t>因变更引起的价格调整应计入最近一期的进度款中支付。</w:t>
      </w:r>
    </w:p>
    <w:p w14:paraId="794E77B3">
      <w:pPr>
        <w:spacing w:line="360" w:lineRule="auto"/>
        <w:ind w:firstLine="480" w:firstLineChars="200"/>
        <w:rPr>
          <w:rFonts w:hint="eastAsia" w:ascii="宋体" w:hAnsi="宋体" w:eastAsia="宋体" w:cs="宋体"/>
        </w:rPr>
      </w:pPr>
      <w:bookmarkStart w:id="405" w:name="_Toc351203572"/>
      <w:bookmarkStart w:id="406" w:name="_Toc145583426"/>
      <w:r>
        <w:rPr>
          <w:rFonts w:hint="eastAsia" w:ascii="宋体" w:hAnsi="宋体" w:eastAsia="宋体" w:cs="宋体"/>
        </w:rPr>
        <w:t>1</w:t>
      </w:r>
      <w:bookmarkStart w:id="407" w:name="_Toc296503094"/>
      <w:bookmarkStart w:id="408" w:name="_Toc337558792"/>
      <w:bookmarkStart w:id="409" w:name="_Toc296346595"/>
      <w:r>
        <w:rPr>
          <w:rFonts w:hint="eastAsia" w:ascii="宋体" w:hAnsi="宋体" w:eastAsia="宋体" w:cs="宋体"/>
        </w:rPr>
        <w:t>0.5承包人的合理化建议</w:t>
      </w:r>
      <w:bookmarkEnd w:id="405"/>
      <w:bookmarkEnd w:id="406"/>
    </w:p>
    <w:bookmarkEnd w:id="407"/>
    <w:bookmarkEnd w:id="408"/>
    <w:bookmarkEnd w:id="409"/>
    <w:p w14:paraId="1EECDD49">
      <w:pPr>
        <w:spacing w:line="360" w:lineRule="auto"/>
        <w:ind w:firstLine="480" w:firstLineChars="200"/>
        <w:rPr>
          <w:rFonts w:hint="eastAsia" w:ascii="宋体" w:hAnsi="宋体" w:eastAsia="宋体" w:cs="宋体"/>
        </w:rPr>
      </w:pPr>
      <w:r>
        <w:rPr>
          <w:rFonts w:hint="eastAsia" w:ascii="宋体" w:hAnsi="宋体" w:eastAsia="宋体" w:cs="宋体"/>
        </w:rPr>
        <w:t>承包人提出合理化建议的，应向监理人提交合理化建议说明，说明建议的内容和理由，以及实施该建议对合同价格和工期的影响。</w:t>
      </w:r>
    </w:p>
    <w:p w14:paraId="76973646">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1E5C25FF">
      <w:pPr>
        <w:spacing w:line="360" w:lineRule="auto"/>
        <w:ind w:firstLine="480" w:firstLineChars="200"/>
        <w:rPr>
          <w:rFonts w:hint="eastAsia" w:ascii="宋体" w:hAnsi="宋体" w:eastAsia="宋体" w:cs="宋体"/>
        </w:rPr>
      </w:pPr>
      <w:r>
        <w:rPr>
          <w:rFonts w:hint="eastAsia" w:ascii="宋体" w:hAnsi="宋体" w:eastAsia="宋体" w:cs="宋体"/>
        </w:rPr>
        <w:t>合理化建议降低了合同价格或者提高了工程经济效益的，发包人可对承包人给予奖励，奖励的方法和金额在专用合同条款中约定。</w:t>
      </w:r>
    </w:p>
    <w:p w14:paraId="5C043229">
      <w:pPr>
        <w:spacing w:line="360" w:lineRule="auto"/>
        <w:ind w:firstLine="480" w:firstLineChars="200"/>
        <w:rPr>
          <w:rFonts w:hint="eastAsia" w:ascii="宋体" w:hAnsi="宋体" w:eastAsia="宋体" w:cs="宋体"/>
        </w:rPr>
      </w:pPr>
      <w:bookmarkStart w:id="410" w:name="_Toc145583427"/>
      <w:bookmarkStart w:id="411" w:name="_Toc351203573"/>
      <w:r>
        <w:rPr>
          <w:rFonts w:hint="eastAsia" w:ascii="宋体" w:hAnsi="宋体" w:eastAsia="宋体" w:cs="宋体"/>
        </w:rPr>
        <w:t>1</w:t>
      </w:r>
      <w:bookmarkStart w:id="412" w:name="_Toc337558793"/>
      <w:r>
        <w:rPr>
          <w:rFonts w:hint="eastAsia" w:ascii="宋体" w:hAnsi="宋体" w:eastAsia="宋体" w:cs="宋体"/>
        </w:rPr>
        <w:t>0.6变更引起的工期调整</w:t>
      </w:r>
      <w:bookmarkEnd w:id="410"/>
      <w:bookmarkEnd w:id="411"/>
      <w:r>
        <w:rPr>
          <w:rFonts w:hint="eastAsia" w:ascii="宋体" w:hAnsi="宋体" w:eastAsia="宋体" w:cs="宋体"/>
        </w:rPr>
        <w:t xml:space="preserve"> </w:t>
      </w:r>
      <w:bookmarkEnd w:id="412"/>
      <w:r>
        <w:rPr>
          <w:rFonts w:hint="eastAsia" w:ascii="宋体" w:hAnsi="宋体" w:eastAsia="宋体" w:cs="宋体"/>
        </w:rPr>
        <w:t xml:space="preserve">  </w:t>
      </w:r>
    </w:p>
    <w:p w14:paraId="617055D9">
      <w:pPr>
        <w:spacing w:line="360" w:lineRule="auto"/>
        <w:ind w:firstLine="480" w:firstLineChars="200"/>
        <w:rPr>
          <w:rFonts w:hint="eastAsia" w:ascii="宋体" w:hAnsi="宋体" w:eastAsia="宋体" w:cs="宋体"/>
        </w:rPr>
      </w:pPr>
      <w:r>
        <w:rPr>
          <w:rFonts w:hint="eastAsia" w:ascii="宋体" w:hAnsi="宋体" w:eastAsia="宋体" w:cs="宋体"/>
        </w:rPr>
        <w:t>因变更引起工期变化的，合同当事人均可要求调整合同工期，由合同当事人按照第4.4款〔商定或确定〕并参考工程所在地的工期定额标准确定增减工期天数。</w:t>
      </w:r>
    </w:p>
    <w:p w14:paraId="259627ED">
      <w:pPr>
        <w:spacing w:line="360" w:lineRule="auto"/>
        <w:ind w:firstLine="480" w:firstLineChars="200"/>
        <w:rPr>
          <w:rFonts w:hint="eastAsia" w:ascii="宋体" w:hAnsi="宋体" w:eastAsia="宋体" w:cs="宋体"/>
        </w:rPr>
      </w:pPr>
      <w:bookmarkStart w:id="413" w:name="_Toc351203574"/>
      <w:bookmarkStart w:id="414" w:name="_Toc145583428"/>
      <w:r>
        <w:rPr>
          <w:rFonts w:hint="eastAsia" w:ascii="宋体" w:hAnsi="宋体" w:eastAsia="宋体" w:cs="宋体"/>
        </w:rPr>
        <w:t>10.7暂估价</w:t>
      </w:r>
      <w:bookmarkEnd w:id="413"/>
      <w:bookmarkEnd w:id="414"/>
    </w:p>
    <w:p w14:paraId="536C0039">
      <w:pPr>
        <w:spacing w:line="360" w:lineRule="auto"/>
        <w:ind w:firstLine="480" w:firstLineChars="200"/>
        <w:rPr>
          <w:rFonts w:hint="eastAsia" w:ascii="宋体" w:hAnsi="宋体" w:eastAsia="宋体" w:cs="宋体"/>
        </w:rPr>
      </w:pPr>
      <w:r>
        <w:rPr>
          <w:rFonts w:hint="eastAsia" w:ascii="宋体" w:hAnsi="宋体" w:eastAsia="宋体" w:cs="宋体"/>
        </w:rPr>
        <w:t>暂估价专业分包工程、服务、材料和工程设备的明细由合同当事人在专用合同条款中约定。</w:t>
      </w:r>
    </w:p>
    <w:p w14:paraId="15C721ED">
      <w:pPr>
        <w:spacing w:line="360" w:lineRule="auto"/>
        <w:ind w:firstLine="480" w:firstLineChars="200"/>
        <w:rPr>
          <w:rFonts w:hint="eastAsia" w:ascii="宋体" w:hAnsi="宋体" w:eastAsia="宋体" w:cs="宋体"/>
        </w:rPr>
      </w:pPr>
      <w:r>
        <w:rPr>
          <w:rFonts w:hint="eastAsia" w:ascii="宋体" w:hAnsi="宋体" w:eastAsia="宋体" w:cs="宋体"/>
        </w:rPr>
        <w:t>10.7.1 依法必须招标的暂估价项目</w:t>
      </w:r>
    </w:p>
    <w:p w14:paraId="7A840A63">
      <w:pPr>
        <w:spacing w:line="360" w:lineRule="auto"/>
        <w:ind w:firstLine="480" w:firstLineChars="200"/>
        <w:rPr>
          <w:rFonts w:hint="eastAsia" w:ascii="宋体" w:hAnsi="宋体" w:eastAsia="宋体" w:cs="宋体"/>
        </w:rPr>
      </w:pPr>
      <w:r>
        <w:rPr>
          <w:rFonts w:hint="eastAsia" w:ascii="宋体" w:hAnsi="宋体" w:eastAsia="宋体" w:cs="宋体"/>
        </w:rPr>
        <w:t>对于依法必须招标的暂估价项目，采取以下第1种方式确定。合同当事人也可以在专用合同条款中选择其他招标方式。</w:t>
      </w:r>
    </w:p>
    <w:p w14:paraId="2828DCE1">
      <w:pPr>
        <w:spacing w:line="360" w:lineRule="auto"/>
        <w:ind w:firstLine="480" w:firstLineChars="200"/>
        <w:rPr>
          <w:rFonts w:hint="eastAsia" w:ascii="宋体" w:hAnsi="宋体" w:eastAsia="宋体" w:cs="宋体"/>
        </w:rPr>
      </w:pPr>
      <w:r>
        <w:rPr>
          <w:rFonts w:hint="eastAsia" w:ascii="宋体" w:hAnsi="宋体" w:eastAsia="宋体" w:cs="宋体"/>
        </w:rPr>
        <w:t>第1种方式：对于依法必须招标的暂估价项目，由承包人招标，对该暂估价项目的确认和批准按照以下约定执行：</w:t>
      </w:r>
    </w:p>
    <w:p w14:paraId="2E210071">
      <w:pPr>
        <w:spacing w:line="360" w:lineRule="auto"/>
        <w:ind w:firstLine="480" w:firstLineChars="200"/>
        <w:rPr>
          <w:rFonts w:hint="eastAsia" w:ascii="宋体" w:hAnsi="宋体" w:eastAsia="宋体" w:cs="宋体"/>
        </w:rPr>
      </w:pPr>
      <w:r>
        <w:rPr>
          <w:rFonts w:hint="eastAsia" w:ascii="宋体" w:hAnsi="宋体" w:eastAsia="宋体" w:cs="宋体"/>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0E3DD23">
      <w:pPr>
        <w:spacing w:line="360" w:lineRule="auto"/>
        <w:ind w:firstLine="480" w:firstLineChars="200"/>
        <w:rPr>
          <w:rFonts w:hint="eastAsia" w:ascii="宋体" w:hAnsi="宋体" w:eastAsia="宋体" w:cs="宋体"/>
        </w:rPr>
      </w:pPr>
      <w:r>
        <w:rPr>
          <w:rFonts w:hint="eastAsia" w:ascii="宋体" w:hAnsi="宋体" w:eastAsia="宋体" w:cs="宋体"/>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17E12A63">
      <w:pPr>
        <w:spacing w:line="360" w:lineRule="auto"/>
        <w:ind w:firstLine="480" w:firstLineChars="200"/>
        <w:rPr>
          <w:rFonts w:hint="eastAsia" w:ascii="宋体" w:hAnsi="宋体" w:eastAsia="宋体" w:cs="宋体"/>
        </w:rPr>
      </w:pPr>
      <w:r>
        <w:rPr>
          <w:rFonts w:hint="eastAsia" w:ascii="宋体" w:hAnsi="宋体" w:eastAsia="宋体" w:cs="宋体"/>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14D4793D">
      <w:pPr>
        <w:spacing w:line="360" w:lineRule="auto"/>
        <w:ind w:firstLine="480" w:firstLineChars="200"/>
        <w:rPr>
          <w:rFonts w:hint="eastAsia" w:ascii="宋体" w:hAnsi="宋体" w:eastAsia="宋体" w:cs="宋体"/>
        </w:rPr>
      </w:pPr>
      <w:r>
        <w:rPr>
          <w:rFonts w:hint="eastAsia" w:ascii="宋体" w:hAnsi="宋体" w:eastAsia="宋体" w:cs="宋体"/>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043EB4BA">
      <w:pPr>
        <w:spacing w:line="360" w:lineRule="auto"/>
        <w:ind w:firstLine="480" w:firstLineChars="200"/>
        <w:rPr>
          <w:rFonts w:hint="eastAsia" w:ascii="宋体" w:hAnsi="宋体" w:eastAsia="宋体" w:cs="宋体"/>
        </w:rPr>
      </w:pPr>
      <w:r>
        <w:rPr>
          <w:rFonts w:hint="eastAsia" w:ascii="宋体" w:hAnsi="宋体" w:eastAsia="宋体" w:cs="宋体"/>
        </w:rPr>
        <w:t>10.7.2不属于依法必须招标的暂估价项目</w:t>
      </w:r>
    </w:p>
    <w:p w14:paraId="10146EA4">
      <w:pPr>
        <w:spacing w:line="360" w:lineRule="auto"/>
        <w:ind w:firstLine="480" w:firstLineChars="200"/>
        <w:rPr>
          <w:rFonts w:hint="eastAsia" w:ascii="宋体" w:hAnsi="宋体" w:eastAsia="宋体" w:cs="宋体"/>
        </w:rPr>
      </w:pPr>
      <w:r>
        <w:rPr>
          <w:rFonts w:hint="eastAsia" w:ascii="宋体" w:hAnsi="宋体" w:eastAsia="宋体" w:cs="宋体"/>
        </w:rPr>
        <w:t xml:space="preserve">除专用合同条款另有约定外，对于不属于依法必须招标的暂估价项目，采取以下第1种方式确定： </w:t>
      </w:r>
    </w:p>
    <w:p w14:paraId="4E47FF39">
      <w:pPr>
        <w:spacing w:line="360" w:lineRule="auto"/>
        <w:ind w:firstLine="480" w:firstLineChars="200"/>
        <w:rPr>
          <w:rFonts w:hint="eastAsia" w:ascii="宋体" w:hAnsi="宋体" w:eastAsia="宋体" w:cs="宋体"/>
        </w:rPr>
      </w:pPr>
      <w:r>
        <w:rPr>
          <w:rFonts w:hint="eastAsia" w:ascii="宋体" w:hAnsi="宋体" w:eastAsia="宋体" w:cs="宋体"/>
        </w:rPr>
        <w:t>第1种方式：对于不属于依法必须招标的暂估价项目，按本项约定确认和批准：</w:t>
      </w:r>
    </w:p>
    <w:p w14:paraId="2FB35889">
      <w:pPr>
        <w:spacing w:line="360" w:lineRule="auto"/>
        <w:ind w:firstLine="480" w:firstLineChars="200"/>
        <w:rPr>
          <w:rFonts w:hint="eastAsia" w:ascii="宋体" w:hAnsi="宋体" w:eastAsia="宋体" w:cs="宋体"/>
        </w:rPr>
      </w:pPr>
      <w:r>
        <w:rPr>
          <w:rFonts w:hint="eastAsia" w:ascii="宋体" w:hAnsi="宋体" w:eastAsia="宋体" w:cs="宋体"/>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34DD199B">
      <w:pPr>
        <w:spacing w:line="360" w:lineRule="auto"/>
        <w:ind w:firstLine="480" w:firstLineChars="200"/>
        <w:rPr>
          <w:rFonts w:hint="eastAsia" w:ascii="宋体" w:hAnsi="宋体" w:eastAsia="宋体" w:cs="宋体"/>
        </w:rPr>
      </w:pPr>
      <w:r>
        <w:rPr>
          <w:rFonts w:hint="eastAsia" w:ascii="宋体" w:hAnsi="宋体" w:eastAsia="宋体" w:cs="宋体"/>
        </w:rPr>
        <w:t>（2）发包人认为承包人确定的供应商、分包人无法满足工程质量或合同要求的，发包人可以要求承包人重新确定暂估价项目的供应商、分包人;</w:t>
      </w:r>
    </w:p>
    <w:p w14:paraId="7C76F031">
      <w:pPr>
        <w:spacing w:line="360" w:lineRule="auto"/>
        <w:ind w:firstLine="480" w:firstLineChars="200"/>
        <w:rPr>
          <w:rFonts w:hint="eastAsia" w:ascii="宋体" w:hAnsi="宋体" w:eastAsia="宋体" w:cs="宋体"/>
        </w:rPr>
      </w:pPr>
      <w:r>
        <w:rPr>
          <w:rFonts w:hint="eastAsia" w:ascii="宋体" w:hAnsi="宋体" w:eastAsia="宋体" w:cs="宋体"/>
        </w:rPr>
        <w:t>（3）承包人应当在签订暂估价合同后7天内，将暂估价合同副本报送发包人留存。</w:t>
      </w:r>
    </w:p>
    <w:p w14:paraId="3066F9F2">
      <w:pPr>
        <w:spacing w:line="360" w:lineRule="auto"/>
        <w:ind w:firstLine="480" w:firstLineChars="200"/>
        <w:rPr>
          <w:rFonts w:hint="eastAsia" w:ascii="宋体" w:hAnsi="宋体" w:eastAsia="宋体" w:cs="宋体"/>
        </w:rPr>
      </w:pPr>
      <w:r>
        <w:rPr>
          <w:rFonts w:hint="eastAsia" w:ascii="宋体" w:hAnsi="宋体" w:eastAsia="宋体" w:cs="宋体"/>
        </w:rPr>
        <w:t>第2种方式：承包人按照第10.7.1项〔依法必须招标的暂估价项目〕约定的第1种方式确定暂估价项目。</w:t>
      </w:r>
    </w:p>
    <w:p w14:paraId="2BAD3E87">
      <w:pPr>
        <w:spacing w:line="360" w:lineRule="auto"/>
        <w:ind w:firstLine="480" w:firstLineChars="200"/>
        <w:rPr>
          <w:rFonts w:hint="eastAsia" w:ascii="宋体" w:hAnsi="宋体" w:eastAsia="宋体" w:cs="宋体"/>
        </w:rPr>
      </w:pPr>
      <w:r>
        <w:rPr>
          <w:rFonts w:hint="eastAsia" w:ascii="宋体" w:hAnsi="宋体" w:eastAsia="宋体" w:cs="宋体"/>
        </w:rPr>
        <w:t>第3种方式：承包人直接实施的暂估价项目</w:t>
      </w:r>
    </w:p>
    <w:p w14:paraId="7622F0C1">
      <w:pPr>
        <w:spacing w:line="360" w:lineRule="auto"/>
        <w:ind w:firstLine="480" w:firstLineChars="200"/>
        <w:rPr>
          <w:rFonts w:hint="eastAsia" w:ascii="宋体" w:hAnsi="宋体" w:eastAsia="宋体" w:cs="宋体"/>
        </w:rPr>
      </w:pPr>
      <w:r>
        <w:rPr>
          <w:rFonts w:hint="eastAsia" w:ascii="宋体" w:hAnsi="宋体" w:eastAsia="宋体" w:cs="宋体"/>
        </w:rPr>
        <w:t>承包人具备实施暂估价项目的资格和条件的，经发包人和承包人协商一致后，可由承包人自行实施暂估价项目，合同当事人可以在专用合同条款约定具体事项。</w:t>
      </w:r>
    </w:p>
    <w:p w14:paraId="26145199">
      <w:pPr>
        <w:spacing w:line="360" w:lineRule="auto"/>
        <w:ind w:firstLine="480" w:firstLineChars="200"/>
        <w:rPr>
          <w:rFonts w:hint="eastAsia" w:ascii="宋体" w:hAnsi="宋体" w:eastAsia="宋体" w:cs="宋体"/>
        </w:rPr>
      </w:pPr>
      <w:r>
        <w:rPr>
          <w:rFonts w:hint="eastAsia" w:ascii="宋体" w:hAnsi="宋体" w:eastAsia="宋体" w:cs="宋体"/>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720000E9">
      <w:pPr>
        <w:spacing w:line="360" w:lineRule="auto"/>
        <w:ind w:firstLine="480" w:firstLineChars="200"/>
        <w:rPr>
          <w:rFonts w:hint="eastAsia" w:ascii="宋体" w:hAnsi="宋体" w:eastAsia="宋体" w:cs="宋体"/>
        </w:rPr>
      </w:pPr>
      <w:bookmarkStart w:id="415" w:name="_Toc145583429"/>
      <w:bookmarkStart w:id="416" w:name="_Toc351203575"/>
      <w:r>
        <w:rPr>
          <w:rFonts w:hint="eastAsia" w:ascii="宋体" w:hAnsi="宋体" w:eastAsia="宋体" w:cs="宋体"/>
        </w:rPr>
        <w:t>1</w:t>
      </w:r>
      <w:bookmarkStart w:id="417" w:name="_Toc337558794"/>
      <w:bookmarkStart w:id="418" w:name="_Toc296346591"/>
      <w:bookmarkStart w:id="419" w:name="_Toc322522561"/>
      <w:bookmarkStart w:id="420" w:name="_Toc296503090"/>
      <w:r>
        <w:rPr>
          <w:rFonts w:hint="eastAsia" w:ascii="宋体" w:hAnsi="宋体" w:eastAsia="宋体" w:cs="宋体"/>
        </w:rPr>
        <w:t>0.8暂列金额</w:t>
      </w:r>
      <w:bookmarkEnd w:id="415"/>
      <w:bookmarkEnd w:id="416"/>
    </w:p>
    <w:bookmarkEnd w:id="417"/>
    <w:p w14:paraId="5316B641">
      <w:pPr>
        <w:spacing w:line="360" w:lineRule="auto"/>
        <w:ind w:firstLine="480" w:firstLineChars="200"/>
        <w:rPr>
          <w:rFonts w:hint="eastAsia" w:ascii="宋体" w:hAnsi="宋体" w:eastAsia="宋体" w:cs="宋体"/>
        </w:rPr>
      </w:pPr>
      <w:r>
        <w:rPr>
          <w:rFonts w:hint="eastAsia" w:ascii="宋体" w:hAnsi="宋体" w:eastAsia="宋体" w:cs="宋体"/>
        </w:rPr>
        <w:t>暂列金额应按照发包人的要求使用，发包人的要求应通过监理人发出。合同当事人可以在专用合同条款中协商确定有关事项。</w:t>
      </w:r>
    </w:p>
    <w:bookmarkEnd w:id="418"/>
    <w:bookmarkEnd w:id="419"/>
    <w:bookmarkEnd w:id="420"/>
    <w:p w14:paraId="7A8C4066">
      <w:pPr>
        <w:spacing w:line="360" w:lineRule="auto"/>
        <w:ind w:firstLine="480" w:firstLineChars="200"/>
        <w:rPr>
          <w:rFonts w:hint="eastAsia" w:ascii="宋体" w:hAnsi="宋体" w:eastAsia="宋体" w:cs="宋体"/>
        </w:rPr>
      </w:pPr>
      <w:bookmarkStart w:id="421" w:name="_Toc351203576"/>
      <w:bookmarkStart w:id="422" w:name="_Toc145583430"/>
      <w:r>
        <w:rPr>
          <w:rFonts w:hint="eastAsia" w:ascii="宋体" w:hAnsi="宋体" w:eastAsia="宋体" w:cs="宋体"/>
        </w:rPr>
        <w:t>1</w:t>
      </w:r>
      <w:bookmarkStart w:id="423" w:name="_Toc296346592"/>
      <w:bookmarkStart w:id="424" w:name="_Toc296503091"/>
      <w:bookmarkStart w:id="425" w:name="_Toc337558796"/>
      <w:r>
        <w:rPr>
          <w:rFonts w:hint="eastAsia" w:ascii="宋体" w:hAnsi="宋体" w:eastAsia="宋体" w:cs="宋体"/>
        </w:rPr>
        <w:t>0.9计日工</w:t>
      </w:r>
      <w:bookmarkEnd w:id="421"/>
      <w:bookmarkEnd w:id="422"/>
      <w:r>
        <w:rPr>
          <w:rFonts w:hint="eastAsia" w:ascii="宋体" w:hAnsi="宋体" w:eastAsia="宋体" w:cs="宋体"/>
        </w:rPr>
        <w:t xml:space="preserve"> </w:t>
      </w:r>
      <w:bookmarkEnd w:id="423"/>
      <w:bookmarkEnd w:id="424"/>
      <w:bookmarkEnd w:id="425"/>
    </w:p>
    <w:p w14:paraId="31AF1801">
      <w:pPr>
        <w:spacing w:line="360" w:lineRule="auto"/>
        <w:ind w:firstLine="480" w:firstLineChars="200"/>
        <w:rPr>
          <w:rFonts w:hint="eastAsia" w:ascii="宋体" w:hAnsi="宋体" w:eastAsia="宋体" w:cs="宋体"/>
        </w:rPr>
      </w:pPr>
      <w:r>
        <w:rPr>
          <w:rFonts w:hint="eastAsia" w:ascii="宋体" w:hAnsi="宋体" w:eastAsia="宋体" w:cs="宋体"/>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55BCB7BB">
      <w:pPr>
        <w:spacing w:line="360" w:lineRule="auto"/>
        <w:ind w:firstLine="480" w:firstLineChars="200"/>
        <w:rPr>
          <w:rFonts w:hint="eastAsia" w:ascii="宋体" w:hAnsi="宋体" w:eastAsia="宋体" w:cs="宋体"/>
        </w:rPr>
      </w:pPr>
      <w:r>
        <w:rPr>
          <w:rFonts w:hint="eastAsia" w:ascii="宋体" w:hAnsi="宋体" w:eastAsia="宋体" w:cs="宋体"/>
        </w:rPr>
        <w:t>采用计日工计价的任何一项工作，承包人应在该项工作实施过程中，每天提交以下报表和有关凭证报送监理人审查：</w:t>
      </w:r>
    </w:p>
    <w:p w14:paraId="6805EA5B">
      <w:pPr>
        <w:spacing w:line="360" w:lineRule="auto"/>
        <w:ind w:firstLine="480" w:firstLineChars="200"/>
        <w:rPr>
          <w:rFonts w:hint="eastAsia" w:ascii="宋体" w:hAnsi="宋体" w:eastAsia="宋体" w:cs="宋体"/>
        </w:rPr>
      </w:pPr>
      <w:r>
        <w:rPr>
          <w:rFonts w:hint="eastAsia" w:ascii="宋体" w:hAnsi="宋体" w:eastAsia="宋体" w:cs="宋体"/>
        </w:rPr>
        <w:t>（1）工作名称、内容和数量；</w:t>
      </w:r>
    </w:p>
    <w:p w14:paraId="4E03E85F">
      <w:pPr>
        <w:spacing w:line="360" w:lineRule="auto"/>
        <w:ind w:firstLine="480" w:firstLineChars="200"/>
        <w:rPr>
          <w:rFonts w:hint="eastAsia" w:ascii="宋体" w:hAnsi="宋体" w:eastAsia="宋体" w:cs="宋体"/>
        </w:rPr>
      </w:pPr>
      <w:r>
        <w:rPr>
          <w:rFonts w:hint="eastAsia" w:ascii="宋体" w:hAnsi="宋体" w:eastAsia="宋体" w:cs="宋体"/>
        </w:rPr>
        <w:t>（2）投入该工作的所有人员的姓名、专业、工种、级别和耗用工时；</w:t>
      </w:r>
    </w:p>
    <w:p w14:paraId="4E6FC009">
      <w:pPr>
        <w:spacing w:line="360" w:lineRule="auto"/>
        <w:ind w:firstLine="480" w:firstLineChars="200"/>
        <w:rPr>
          <w:rFonts w:hint="eastAsia" w:ascii="宋体" w:hAnsi="宋体" w:eastAsia="宋体" w:cs="宋体"/>
        </w:rPr>
      </w:pPr>
      <w:r>
        <w:rPr>
          <w:rFonts w:hint="eastAsia" w:ascii="宋体" w:hAnsi="宋体" w:eastAsia="宋体" w:cs="宋体"/>
        </w:rPr>
        <w:t>（3）投入该工作的材料类别和数量；</w:t>
      </w:r>
    </w:p>
    <w:p w14:paraId="06327811">
      <w:pPr>
        <w:spacing w:line="360" w:lineRule="auto"/>
        <w:ind w:firstLine="480" w:firstLineChars="200"/>
        <w:rPr>
          <w:rFonts w:hint="eastAsia" w:ascii="宋体" w:hAnsi="宋体" w:eastAsia="宋体" w:cs="宋体"/>
        </w:rPr>
      </w:pPr>
      <w:r>
        <w:rPr>
          <w:rFonts w:hint="eastAsia" w:ascii="宋体" w:hAnsi="宋体" w:eastAsia="宋体" w:cs="宋体"/>
        </w:rPr>
        <w:t>（4）投入该工作的施工设备型号、台数和耗用台时；</w:t>
      </w:r>
    </w:p>
    <w:p w14:paraId="73076A0B">
      <w:pPr>
        <w:spacing w:line="360" w:lineRule="auto"/>
        <w:ind w:firstLine="480" w:firstLineChars="200"/>
        <w:rPr>
          <w:rFonts w:hint="eastAsia" w:ascii="宋体" w:hAnsi="宋体" w:eastAsia="宋体" w:cs="宋体"/>
        </w:rPr>
      </w:pPr>
      <w:r>
        <w:rPr>
          <w:rFonts w:hint="eastAsia" w:ascii="宋体" w:hAnsi="宋体" w:eastAsia="宋体" w:cs="宋体"/>
        </w:rPr>
        <w:t>（5）其他有关资料和凭证。</w:t>
      </w:r>
    </w:p>
    <w:p w14:paraId="4BB0C980">
      <w:pPr>
        <w:spacing w:line="360" w:lineRule="auto"/>
        <w:ind w:firstLine="480" w:firstLineChars="200"/>
        <w:rPr>
          <w:rFonts w:hint="eastAsia" w:ascii="宋体" w:hAnsi="宋体" w:eastAsia="宋体" w:cs="宋体"/>
        </w:rPr>
      </w:pPr>
      <w:r>
        <w:rPr>
          <w:rFonts w:hint="eastAsia" w:ascii="宋体" w:hAnsi="宋体" w:eastAsia="宋体" w:cs="宋体"/>
        </w:rPr>
        <w:t xml:space="preserve"> 计日工由承包人汇总后，列入最近一期进度付款申请单，由监理人审查并经发包人批准后列入进度付款。</w:t>
      </w:r>
    </w:p>
    <w:p w14:paraId="58713DB7">
      <w:pPr>
        <w:spacing w:line="360" w:lineRule="auto"/>
        <w:ind w:firstLine="480" w:firstLineChars="200"/>
        <w:rPr>
          <w:rFonts w:hint="eastAsia" w:ascii="宋体" w:hAnsi="宋体" w:eastAsia="宋体" w:cs="宋体"/>
        </w:rPr>
      </w:pPr>
      <w:bookmarkStart w:id="426" w:name="_Toc351203577"/>
      <w:bookmarkStart w:id="427" w:name="_Toc145583431"/>
      <w:r>
        <w:rPr>
          <w:rFonts w:hint="eastAsia" w:ascii="宋体" w:hAnsi="宋体" w:eastAsia="宋体" w:cs="宋体"/>
        </w:rPr>
        <w:t>11. 价格调整</w:t>
      </w:r>
      <w:bookmarkEnd w:id="426"/>
      <w:bookmarkEnd w:id="427"/>
    </w:p>
    <w:p w14:paraId="2D9D1686">
      <w:pPr>
        <w:spacing w:line="360" w:lineRule="auto"/>
        <w:ind w:firstLine="480" w:firstLineChars="200"/>
        <w:rPr>
          <w:rFonts w:hint="eastAsia" w:ascii="宋体" w:hAnsi="宋体" w:eastAsia="宋体" w:cs="宋体"/>
        </w:rPr>
      </w:pPr>
      <w:bookmarkStart w:id="428" w:name="_Toc351203578"/>
      <w:bookmarkStart w:id="429" w:name="_Toc145583432"/>
      <w:bookmarkStart w:id="430" w:name="_Toc337558797"/>
      <w:bookmarkStart w:id="431" w:name="_Toc296503092"/>
      <w:bookmarkStart w:id="432" w:name="_Toc296346593"/>
      <w:r>
        <w:rPr>
          <w:rFonts w:hint="eastAsia" w:ascii="宋体" w:hAnsi="宋体" w:eastAsia="宋体" w:cs="宋体"/>
        </w:rPr>
        <w:t>11.1市场价格波动引起的调整</w:t>
      </w:r>
      <w:bookmarkEnd w:id="428"/>
      <w:bookmarkEnd w:id="429"/>
    </w:p>
    <w:bookmarkEnd w:id="430"/>
    <w:bookmarkEnd w:id="431"/>
    <w:bookmarkEnd w:id="432"/>
    <w:p w14:paraId="18A3BD6D">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除专用合同条款另有约定外，市场价格波动超过合同当事人约定的范围，合同价格应当调整。合同当事人可以在专用合同条款中约定选择以下一种方式对合同价格进行调整：</w:t>
      </w:r>
    </w:p>
    <w:p w14:paraId="46FCA319">
      <w:pPr>
        <w:spacing w:line="360" w:lineRule="auto"/>
        <w:ind w:firstLine="480" w:firstLineChars="200"/>
        <w:rPr>
          <w:rFonts w:hint="eastAsia" w:ascii="宋体" w:hAnsi="宋体" w:eastAsia="宋体" w:cs="宋体"/>
        </w:rPr>
      </w:pPr>
      <w:r>
        <w:rPr>
          <w:rFonts w:hint="eastAsia" w:ascii="宋体" w:hAnsi="宋体" w:eastAsia="宋体" w:cs="宋体"/>
        </w:rPr>
        <w:t>第1种方式：采用价格指数进行价格调整。</w:t>
      </w:r>
    </w:p>
    <w:p w14:paraId="360D0830">
      <w:pPr>
        <w:spacing w:line="360" w:lineRule="auto"/>
        <w:ind w:firstLine="480" w:firstLineChars="200"/>
        <w:rPr>
          <w:rFonts w:hint="eastAsia" w:ascii="宋体" w:hAnsi="宋体" w:eastAsia="宋体" w:cs="宋体"/>
        </w:rPr>
      </w:pPr>
      <w:r>
        <w:rPr>
          <w:rFonts w:hint="eastAsia" w:ascii="宋体" w:hAnsi="宋体" w:eastAsia="宋体" w:cs="宋体"/>
        </w:rPr>
        <w:t>（1）价格调整公式</w:t>
      </w:r>
    </w:p>
    <w:p w14:paraId="46850CE2">
      <w:pPr>
        <w:spacing w:line="360" w:lineRule="auto"/>
        <w:ind w:firstLine="480" w:firstLineChars="200"/>
        <w:rPr>
          <w:rFonts w:hint="eastAsia" w:ascii="宋体" w:hAnsi="宋体" w:eastAsia="宋体" w:cs="宋体"/>
        </w:rPr>
      </w:pPr>
      <w:r>
        <w:rPr>
          <w:rFonts w:hint="eastAsia" w:ascii="宋体" w:hAnsi="宋体" w:eastAsia="宋体" w:cs="宋体"/>
        </w:rPr>
        <w:t>因人工、材料和设备等价格波动影响合同价格时，根据专用合同条款中约定的数据，按以下公式计算差额并调整合同价格：</w:t>
      </w:r>
    </w:p>
    <w:p w14:paraId="2A35A1DA">
      <w:pPr>
        <w:spacing w:line="360" w:lineRule="auto"/>
        <w:ind w:firstLine="480" w:firstLineChars="200"/>
        <w:rPr>
          <w:rFonts w:hint="eastAsia" w:ascii="宋体" w:hAnsi="宋体" w:eastAsia="宋体" w:cs="宋体"/>
        </w:rPr>
      </w:pPr>
      <w:r>
        <w:rPr>
          <w:rFonts w:hint="eastAsia" w:ascii="宋体" w:hAnsi="宋体" w:eastAsia="宋体" w:cs="宋体"/>
        </w:rPr>
        <w:object>
          <v:shape id="_x0000_i1025" o:spt="75" type="#_x0000_t75" style="height:44pt;width:360pt;" o:ole="t" filled="f" o:preferrelative="t" stroked="f" coordsize="21600,21600">
            <v:path/>
            <v:fill on="f" focussize="0,0"/>
            <v:stroke on="f" joinstyle="miter"/>
            <v:imagedata r:id="rId26" o:title=""/>
            <o:lock v:ext="edit" aspectratio="t"/>
            <w10:wrap type="none"/>
            <w10:anchorlock/>
          </v:shape>
          <o:OLEObject Type="Embed" ProgID="Equation.3" ShapeID="_x0000_i1025" DrawAspect="Content" ObjectID="_1468075725" r:id="rId25">
            <o:LockedField>false</o:LockedField>
          </o:OLEObject>
        </w:object>
      </w:r>
    </w:p>
    <w:p w14:paraId="33F429BB">
      <w:pPr>
        <w:spacing w:line="360" w:lineRule="auto"/>
        <w:ind w:firstLine="480" w:firstLineChars="200"/>
        <w:rPr>
          <w:rFonts w:hint="eastAsia" w:ascii="宋体" w:hAnsi="宋体" w:eastAsia="宋体" w:cs="宋体"/>
        </w:rPr>
      </w:pPr>
      <w:r>
        <w:rPr>
          <w:rFonts w:hint="eastAsia" w:ascii="宋体" w:hAnsi="宋体" w:eastAsia="宋体" w:cs="宋体"/>
        </w:rPr>
        <w:t>公式中：ΔP——需调整的价格差额；</w:t>
      </w:r>
    </w:p>
    <w:p w14:paraId="0E468D7F">
      <w:pPr>
        <w:spacing w:line="360" w:lineRule="auto"/>
        <w:ind w:firstLine="480" w:firstLineChars="200"/>
        <w:rPr>
          <w:rFonts w:hint="eastAsia" w:ascii="宋体" w:hAnsi="宋体" w:eastAsia="宋体" w:cs="宋体"/>
        </w:rPr>
      </w:pPr>
      <w:r>
        <w:rPr>
          <w:rFonts w:hint="eastAsia" w:ascii="宋体" w:hAnsi="宋体" w:eastAsia="宋体" w:cs="宋体"/>
        </w:rPr>
        <w:object>
          <v:shape id="_x0000_i1026" o:spt="75" type="#_x0000_t75" style="height:18pt;width:18pt;" o:ole="t" filled="f" o:preferrelative="t" stroked="f" coordsize="21600,21600">
            <v:path/>
            <v:fill on="f" focussize="0,0"/>
            <v:stroke on="f" joinstyle="miter"/>
            <v:imagedata r:id="rId28" o:title=""/>
            <o:lock v:ext="edit" aspectratio="t"/>
            <w10:wrap type="none"/>
            <w10:anchorlock/>
          </v:shape>
          <o:OLEObject Type="Embed" ProgID="Equation.3" ShapeID="_x0000_i1026" DrawAspect="Content" ObjectID="_1468075726" r:id="rId27">
            <o:LockedField>false</o:LockedField>
          </o:OLEObject>
        </w:object>
      </w:r>
      <w:r>
        <w:rPr>
          <w:rFonts w:hint="eastAsia" w:ascii="宋体" w:hAnsi="宋体" w:eastAsia="宋体" w:cs="宋体"/>
        </w:rPr>
        <w:t>——约定的付款证书中承包人应得到的已完成工程量的金额。此项金额应不包括价格调整、不计质量保证金的扣留和支付、预付款的支付和扣回。约定的变更及其他金额已按现行价格计价的，也不计在内；</w:t>
      </w:r>
    </w:p>
    <w:p w14:paraId="61A6527A">
      <w:pPr>
        <w:spacing w:line="360" w:lineRule="auto"/>
        <w:ind w:firstLine="480" w:firstLineChars="200"/>
        <w:rPr>
          <w:rFonts w:hint="eastAsia" w:ascii="宋体" w:hAnsi="宋体" w:eastAsia="宋体" w:cs="宋体"/>
        </w:rPr>
      </w:pPr>
      <w:r>
        <w:rPr>
          <w:rFonts w:hint="eastAsia" w:ascii="宋体" w:hAnsi="宋体" w:eastAsia="宋体" w:cs="宋体"/>
        </w:rPr>
        <w:t>A——定值权重（即不调部分的权重）；</w:t>
      </w:r>
    </w:p>
    <w:p w14:paraId="26C99B1E">
      <w:pPr>
        <w:spacing w:line="360" w:lineRule="auto"/>
        <w:ind w:firstLine="480" w:firstLineChars="200"/>
        <w:rPr>
          <w:rFonts w:hint="eastAsia" w:ascii="宋体" w:hAnsi="宋体" w:eastAsia="宋体" w:cs="宋体"/>
        </w:rPr>
      </w:pPr>
      <w:r>
        <w:rPr>
          <w:rFonts w:hint="eastAsia" w:ascii="宋体" w:hAnsi="宋体" w:eastAsia="宋体" w:cs="宋体"/>
        </w:rPr>
        <w:object>
          <v:shape id="_x0000_i1027" o:spt="75" type="#_x0000_t75" style="height:21.5pt;width:101pt;" o:ole="t" filled="f" o:preferrelative="t" stroked="f" coordsize="21600,21600">
            <v:path/>
            <v:fill on="f" focussize="0,0"/>
            <v:stroke on="f" joinstyle="miter"/>
            <v:imagedata r:id="rId30" o:title=""/>
            <o:lock v:ext="edit" aspectratio="t"/>
            <w10:wrap type="none"/>
            <w10:anchorlock/>
          </v:shape>
          <o:OLEObject Type="Embed" ProgID="Equation.3" ShapeID="_x0000_i1027" DrawAspect="Content" ObjectID="_1468075727" r:id="rId29">
            <o:LockedField>false</o:LockedField>
          </o:OLEObject>
        </w:object>
      </w:r>
      <w:r>
        <w:rPr>
          <w:rFonts w:hint="eastAsia" w:ascii="宋体" w:hAnsi="宋体" w:eastAsia="宋体" w:cs="宋体"/>
        </w:rPr>
        <w:t>——各可调因子的变值权重（即可调部分的权重），为各可调因子在签约合同价中所占的比例；</w:t>
      </w:r>
    </w:p>
    <w:p w14:paraId="682F5E8B">
      <w:pPr>
        <w:spacing w:line="360" w:lineRule="auto"/>
        <w:ind w:firstLine="480" w:firstLineChars="200"/>
        <w:rPr>
          <w:rFonts w:hint="eastAsia" w:ascii="宋体" w:hAnsi="宋体" w:eastAsia="宋体" w:cs="宋体"/>
        </w:rPr>
      </w:pPr>
      <w:r>
        <w:rPr>
          <w:rFonts w:hint="eastAsia" w:ascii="宋体" w:hAnsi="宋体" w:eastAsia="宋体" w:cs="宋体"/>
        </w:rPr>
        <w:object>
          <v:shape id="_x0000_i1028" o:spt="75" type="#_x0000_t75" style="height:20.5pt;width:102pt;" o:ole="t" filled="f" o:preferrelative="t" stroked="f" coordsize="21600,21600">
            <v:path/>
            <v:fill on="f" focussize="0,0"/>
            <v:stroke on="f" joinstyle="miter"/>
            <v:imagedata r:id="rId32" o:title=""/>
            <o:lock v:ext="edit" aspectratio="t"/>
            <w10:wrap type="none"/>
            <w10:anchorlock/>
          </v:shape>
          <o:OLEObject Type="Embed" ProgID="Equation.3" ShapeID="_x0000_i1028" DrawAspect="Content" ObjectID="_1468075728" r:id="rId31">
            <o:LockedField>false</o:LockedField>
          </o:OLEObject>
        </w:object>
      </w:r>
      <w:r>
        <w:rPr>
          <w:rFonts w:hint="eastAsia" w:ascii="宋体" w:hAnsi="宋体" w:eastAsia="宋体" w:cs="宋体"/>
        </w:rPr>
        <w:t>——各可调因子的现行价格指数，指约定的付款证书相关周期最后一天的前42天的各可调因子的价格指数；</w:t>
      </w:r>
    </w:p>
    <w:p w14:paraId="7E8567A9">
      <w:pPr>
        <w:spacing w:line="360" w:lineRule="auto"/>
        <w:ind w:firstLine="480" w:firstLineChars="200"/>
        <w:rPr>
          <w:rFonts w:hint="eastAsia" w:ascii="宋体" w:hAnsi="宋体" w:eastAsia="宋体" w:cs="宋体"/>
        </w:rPr>
      </w:pPr>
      <w:r>
        <w:rPr>
          <w:rFonts w:hint="eastAsia" w:ascii="宋体" w:hAnsi="宋体" w:eastAsia="宋体" w:cs="宋体"/>
        </w:rPr>
        <w:object>
          <v:shape id="_x0000_i1029" o:spt="75" type="#_x0000_t75" style="height:20pt;width:108.5pt;" o:ole="t" filled="f" o:preferrelative="t" stroked="f" coordsize="21600,21600">
            <v:path/>
            <v:fill on="f" focussize="0,0"/>
            <v:stroke on="f" joinstyle="miter"/>
            <v:imagedata r:id="rId34" o:title=""/>
            <o:lock v:ext="edit" aspectratio="t"/>
            <w10:wrap type="none"/>
            <w10:anchorlock/>
          </v:shape>
          <o:OLEObject Type="Embed" ProgID="Equation.3" ShapeID="_x0000_i1029" DrawAspect="Content" ObjectID="_1468075729" r:id="rId33">
            <o:LockedField>false</o:LockedField>
          </o:OLEObject>
        </w:object>
      </w:r>
      <w:r>
        <w:rPr>
          <w:rFonts w:hint="eastAsia" w:ascii="宋体" w:hAnsi="宋体" w:eastAsia="宋体" w:cs="宋体"/>
        </w:rPr>
        <w:t>——各可调因子的基本价格指数，指基准日期的各可调因子的价格指数。</w:t>
      </w:r>
    </w:p>
    <w:p w14:paraId="4FF99E9D">
      <w:pPr>
        <w:spacing w:line="360" w:lineRule="auto"/>
        <w:ind w:firstLine="480" w:firstLineChars="200"/>
        <w:rPr>
          <w:rFonts w:hint="eastAsia" w:ascii="宋体" w:hAnsi="宋体" w:eastAsia="宋体" w:cs="宋体"/>
        </w:rPr>
      </w:pPr>
      <w:r>
        <w:rPr>
          <w:rFonts w:hint="eastAsia" w:ascii="宋体" w:hAnsi="宋体" w:eastAsia="宋体" w:cs="宋体"/>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61D02802">
      <w:pPr>
        <w:spacing w:line="360" w:lineRule="auto"/>
        <w:ind w:firstLine="480" w:firstLineChars="200"/>
        <w:rPr>
          <w:rFonts w:hint="eastAsia" w:ascii="宋体" w:hAnsi="宋体" w:eastAsia="宋体" w:cs="宋体"/>
        </w:rPr>
      </w:pPr>
      <w:r>
        <w:rPr>
          <w:rFonts w:hint="eastAsia" w:ascii="宋体" w:hAnsi="宋体" w:eastAsia="宋体" w:cs="宋体"/>
        </w:rPr>
        <w:t>（2）暂时确定调整差额</w:t>
      </w:r>
    </w:p>
    <w:p w14:paraId="423701BD">
      <w:pPr>
        <w:spacing w:line="360" w:lineRule="auto"/>
        <w:ind w:firstLine="480" w:firstLineChars="200"/>
        <w:rPr>
          <w:rFonts w:hint="eastAsia" w:ascii="宋体" w:hAnsi="宋体" w:eastAsia="宋体" w:cs="宋体"/>
        </w:rPr>
      </w:pPr>
      <w:r>
        <w:rPr>
          <w:rFonts w:hint="eastAsia" w:ascii="宋体" w:hAnsi="宋体" w:eastAsia="宋体" w:cs="宋体"/>
        </w:rPr>
        <w:t>在计算调整差额时无现行价格指数的，合同当事人同意暂用前次价格指数计算。实际价格指数有调整的，合同当事人进行相应调整。</w:t>
      </w:r>
    </w:p>
    <w:p w14:paraId="39E58EE6">
      <w:pPr>
        <w:spacing w:line="360" w:lineRule="auto"/>
        <w:ind w:firstLine="480" w:firstLineChars="200"/>
        <w:rPr>
          <w:rFonts w:hint="eastAsia" w:ascii="宋体" w:hAnsi="宋体" w:eastAsia="宋体" w:cs="宋体"/>
        </w:rPr>
      </w:pPr>
      <w:r>
        <w:rPr>
          <w:rFonts w:hint="eastAsia" w:ascii="宋体" w:hAnsi="宋体" w:eastAsia="宋体" w:cs="宋体"/>
        </w:rPr>
        <w:t>（3）权重的调整</w:t>
      </w:r>
    </w:p>
    <w:p w14:paraId="2D65785D">
      <w:pPr>
        <w:spacing w:line="360" w:lineRule="auto"/>
        <w:ind w:firstLine="480" w:firstLineChars="200"/>
        <w:rPr>
          <w:rFonts w:hint="eastAsia" w:ascii="宋体" w:hAnsi="宋体" w:eastAsia="宋体" w:cs="宋体"/>
        </w:rPr>
      </w:pPr>
      <w:r>
        <w:rPr>
          <w:rFonts w:hint="eastAsia" w:ascii="宋体" w:hAnsi="宋体" w:eastAsia="宋体" w:cs="宋体"/>
        </w:rPr>
        <w:t>因变更导致合同约定的权重不合理时，按照第4.4款〔商定或确定〕执行。</w:t>
      </w:r>
    </w:p>
    <w:p w14:paraId="0E06B3CF">
      <w:pPr>
        <w:spacing w:line="360" w:lineRule="auto"/>
        <w:ind w:firstLine="480" w:firstLineChars="200"/>
        <w:rPr>
          <w:rFonts w:hint="eastAsia" w:ascii="宋体" w:hAnsi="宋体" w:eastAsia="宋体" w:cs="宋体"/>
        </w:rPr>
      </w:pPr>
      <w:r>
        <w:rPr>
          <w:rFonts w:hint="eastAsia" w:ascii="宋体" w:hAnsi="宋体" w:eastAsia="宋体" w:cs="宋体"/>
        </w:rPr>
        <w:t>（4）因承包人原因工期延误后的价格调整</w:t>
      </w:r>
    </w:p>
    <w:p w14:paraId="0CF8933B">
      <w:pPr>
        <w:spacing w:line="360" w:lineRule="auto"/>
        <w:ind w:firstLine="480" w:firstLineChars="200"/>
        <w:rPr>
          <w:rFonts w:hint="eastAsia" w:ascii="宋体" w:hAnsi="宋体" w:eastAsia="宋体" w:cs="宋体"/>
        </w:rPr>
      </w:pPr>
      <w:r>
        <w:rPr>
          <w:rFonts w:hint="eastAsia" w:ascii="宋体" w:hAnsi="宋体" w:eastAsia="宋体" w:cs="宋体"/>
        </w:rPr>
        <w:t>因承包人原因未按期竣工的，对合同约定的竣工日期后继续施工的工程，在使用价格调整公式时，应采用计划竣工日期与实际竣工日期的两个价格指数中较低的一个作为现行价格指数。</w:t>
      </w:r>
    </w:p>
    <w:p w14:paraId="0CCE7D21">
      <w:pPr>
        <w:spacing w:line="360" w:lineRule="auto"/>
        <w:ind w:firstLine="480" w:firstLineChars="200"/>
        <w:rPr>
          <w:rFonts w:hint="eastAsia" w:ascii="宋体" w:hAnsi="宋体" w:eastAsia="宋体" w:cs="宋体"/>
        </w:rPr>
      </w:pPr>
      <w:r>
        <w:rPr>
          <w:rFonts w:hint="eastAsia" w:ascii="宋体" w:hAnsi="宋体" w:eastAsia="宋体" w:cs="宋体"/>
        </w:rPr>
        <w:t>第2种方式：采用造价信息进行价格调整。</w:t>
      </w:r>
    </w:p>
    <w:p w14:paraId="22DE20B3">
      <w:pPr>
        <w:spacing w:line="360" w:lineRule="auto"/>
        <w:ind w:firstLine="480" w:firstLineChars="200"/>
        <w:rPr>
          <w:rFonts w:hint="eastAsia" w:ascii="宋体" w:hAnsi="宋体" w:eastAsia="宋体" w:cs="宋体"/>
        </w:rPr>
      </w:pPr>
      <w:r>
        <w:rPr>
          <w:rFonts w:hint="eastAsia" w:ascii="宋体" w:hAnsi="宋体" w:eastAsia="宋体" w:cs="宋体"/>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42FFDC4A">
      <w:pPr>
        <w:spacing w:line="360" w:lineRule="auto"/>
        <w:ind w:firstLine="480" w:firstLineChars="200"/>
        <w:rPr>
          <w:rFonts w:hint="eastAsia" w:ascii="宋体" w:hAnsi="宋体" w:eastAsia="宋体" w:cs="宋体"/>
        </w:rPr>
      </w:pPr>
      <w:r>
        <w:rPr>
          <w:rFonts w:hint="eastAsia" w:ascii="宋体" w:hAnsi="宋体" w:eastAsia="宋体" w:cs="宋体"/>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4B4DBC70">
      <w:pPr>
        <w:spacing w:line="360" w:lineRule="auto"/>
        <w:ind w:firstLine="480" w:firstLineChars="200"/>
        <w:rPr>
          <w:rFonts w:hint="eastAsia" w:ascii="宋体" w:hAnsi="宋体" w:eastAsia="宋体" w:cs="宋体"/>
        </w:rPr>
      </w:pPr>
      <w:r>
        <w:rPr>
          <w:rFonts w:hint="eastAsia" w:ascii="宋体" w:hAnsi="宋体" w:eastAsia="宋体" w:cs="宋体"/>
        </w:rPr>
        <w:t>（2）材料、工程设备价格变化的价款调整按照发包人提供的基准价格，按以下风险范围规定执行:</w:t>
      </w:r>
    </w:p>
    <w:p w14:paraId="50EDE881">
      <w:pPr>
        <w:spacing w:line="360" w:lineRule="auto"/>
        <w:ind w:firstLine="480" w:firstLineChars="200"/>
        <w:rPr>
          <w:rFonts w:hint="eastAsia" w:ascii="宋体" w:hAnsi="宋体" w:eastAsia="宋体" w:cs="宋体"/>
        </w:rPr>
      </w:pPr>
      <w:r>
        <w:rPr>
          <w:rFonts w:hint="eastAsia" w:ascii="宋体" w:hAnsi="宋体" w:eastAsia="宋体" w:cs="宋体"/>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29D32FD3">
      <w:pPr>
        <w:spacing w:line="360" w:lineRule="auto"/>
        <w:ind w:firstLine="480" w:firstLineChars="200"/>
        <w:rPr>
          <w:rFonts w:hint="eastAsia" w:ascii="宋体" w:hAnsi="宋体" w:eastAsia="宋体" w:cs="宋体"/>
        </w:rPr>
      </w:pPr>
      <w:r>
        <w:rPr>
          <w:rFonts w:hint="eastAsia" w:ascii="宋体" w:hAnsi="宋体" w:eastAsia="宋体" w:cs="宋体"/>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0005A1FE">
      <w:pPr>
        <w:spacing w:line="360" w:lineRule="auto"/>
        <w:ind w:firstLine="480" w:firstLineChars="200"/>
        <w:rPr>
          <w:rFonts w:hint="eastAsia" w:ascii="宋体" w:hAnsi="宋体" w:eastAsia="宋体" w:cs="宋体"/>
        </w:rPr>
      </w:pPr>
      <w:r>
        <w:rPr>
          <w:rFonts w:hint="eastAsia" w:ascii="宋体" w:hAnsi="宋体" w:eastAsia="宋体" w:cs="宋体"/>
        </w:rPr>
        <w:t>③承包人在已标价工程量清单或预算书中载明材料单价等于基准价格的：除专用合同条款另有约定外，合同履行期间材料单价涨跌幅以基准价格为基础超过±5%时，其超过部分据实调整。</w:t>
      </w:r>
    </w:p>
    <w:p w14:paraId="69A9B3F6">
      <w:pPr>
        <w:spacing w:line="360" w:lineRule="auto"/>
        <w:ind w:firstLine="480" w:firstLineChars="200"/>
        <w:rPr>
          <w:rFonts w:hint="eastAsia" w:ascii="宋体" w:hAnsi="宋体" w:eastAsia="宋体" w:cs="宋体"/>
        </w:rPr>
      </w:pPr>
      <w:r>
        <w:rPr>
          <w:rFonts w:hint="eastAsia" w:ascii="宋体" w:hAnsi="宋体" w:eastAsia="宋体" w:cs="宋体"/>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07E29214">
      <w:pPr>
        <w:spacing w:line="360" w:lineRule="auto"/>
        <w:ind w:firstLine="480" w:firstLineChars="200"/>
        <w:rPr>
          <w:rFonts w:hint="eastAsia" w:ascii="宋体" w:hAnsi="宋体" w:eastAsia="宋体" w:cs="宋体"/>
        </w:rPr>
      </w:pPr>
      <w:bookmarkStart w:id="433" w:name="OLE_LINK3"/>
      <w:r>
        <w:rPr>
          <w:rFonts w:hint="eastAsia" w:ascii="宋体" w:hAnsi="宋体" w:eastAsia="宋体" w:cs="宋体"/>
        </w:rPr>
        <w:t>前述基准价格是指由发包人在招标文件或专用合同条款中给定的材料、工程设备的价格，该价格原则上应当按照省级或行业建设主管部门或其授权的工程造价管理机构发布的信息价编制。</w:t>
      </w:r>
    </w:p>
    <w:p w14:paraId="035B2E4F">
      <w:pPr>
        <w:spacing w:line="360" w:lineRule="auto"/>
        <w:ind w:firstLine="480" w:firstLineChars="200"/>
        <w:rPr>
          <w:rFonts w:hint="eastAsia" w:ascii="宋体" w:hAnsi="宋体" w:eastAsia="宋体" w:cs="宋体"/>
        </w:rPr>
      </w:pPr>
      <w:r>
        <w:rPr>
          <w:rFonts w:hint="eastAsia" w:ascii="宋体" w:hAnsi="宋体" w:eastAsia="宋体" w:cs="宋体"/>
        </w:rPr>
        <w:t>（3）施工机械台班单价或施工机械使用费发生变化超过省级或行业建设主管部门或其授权的工程造价管理机构规定的范围时，按规定调整合同价格。</w:t>
      </w:r>
    </w:p>
    <w:p w14:paraId="54A5BABA">
      <w:pPr>
        <w:spacing w:line="360" w:lineRule="auto"/>
        <w:ind w:firstLine="480" w:firstLineChars="200"/>
        <w:rPr>
          <w:rFonts w:hint="eastAsia" w:ascii="宋体" w:hAnsi="宋体" w:eastAsia="宋体" w:cs="宋体"/>
        </w:rPr>
      </w:pPr>
      <w:r>
        <w:rPr>
          <w:rFonts w:hint="eastAsia" w:ascii="宋体" w:hAnsi="宋体" w:eastAsia="宋体" w:cs="宋体"/>
        </w:rPr>
        <w:t>第3种方式：专用合同条款约定的其他方式。</w:t>
      </w:r>
    </w:p>
    <w:p w14:paraId="71F17F90">
      <w:pPr>
        <w:spacing w:line="360" w:lineRule="auto"/>
        <w:ind w:firstLine="480" w:firstLineChars="200"/>
        <w:rPr>
          <w:rFonts w:hint="eastAsia" w:ascii="宋体" w:hAnsi="宋体" w:eastAsia="宋体" w:cs="宋体"/>
        </w:rPr>
      </w:pPr>
      <w:bookmarkStart w:id="434" w:name="_Toc351203579"/>
      <w:bookmarkStart w:id="435" w:name="_Toc145583433"/>
      <w:bookmarkStart w:id="436" w:name="_Toc337558798"/>
      <w:bookmarkStart w:id="437" w:name="_Toc296346594"/>
      <w:bookmarkStart w:id="438" w:name="_Toc296503093"/>
      <w:r>
        <w:rPr>
          <w:rFonts w:hint="eastAsia" w:ascii="宋体" w:hAnsi="宋体" w:eastAsia="宋体" w:cs="宋体"/>
        </w:rPr>
        <w:t>11.2法律变化引起的调整</w:t>
      </w:r>
      <w:bookmarkEnd w:id="434"/>
      <w:bookmarkEnd w:id="435"/>
    </w:p>
    <w:bookmarkEnd w:id="436"/>
    <w:bookmarkEnd w:id="437"/>
    <w:bookmarkEnd w:id="438"/>
    <w:p w14:paraId="0EFD155F">
      <w:pPr>
        <w:spacing w:line="360" w:lineRule="auto"/>
        <w:ind w:firstLine="480" w:firstLineChars="200"/>
        <w:rPr>
          <w:rFonts w:hint="eastAsia" w:ascii="宋体" w:hAnsi="宋体" w:eastAsia="宋体" w:cs="宋体"/>
        </w:rPr>
      </w:pPr>
      <w:r>
        <w:rPr>
          <w:rFonts w:hint="eastAsia" w:ascii="宋体" w:hAnsi="宋体" w:eastAsia="宋体" w:cs="宋体"/>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0D3E1015">
      <w:pPr>
        <w:spacing w:line="360" w:lineRule="auto"/>
        <w:ind w:firstLine="480" w:firstLineChars="200"/>
        <w:rPr>
          <w:rFonts w:hint="eastAsia" w:ascii="宋体" w:hAnsi="宋体" w:eastAsia="宋体" w:cs="宋体"/>
        </w:rPr>
      </w:pPr>
      <w:r>
        <w:rPr>
          <w:rFonts w:hint="eastAsia" w:ascii="宋体" w:hAnsi="宋体" w:eastAsia="宋体" w:cs="宋体"/>
        </w:rPr>
        <w:t>因法律变化引起的合同价格和工期调整，合同当事人无法达成一致的，由总监理工程师按第4.4款〔商定或确定〕的约定处理。</w:t>
      </w:r>
    </w:p>
    <w:p w14:paraId="156B6B3A">
      <w:pPr>
        <w:spacing w:line="360" w:lineRule="auto"/>
        <w:ind w:firstLine="480" w:firstLineChars="200"/>
        <w:rPr>
          <w:rFonts w:hint="eastAsia" w:ascii="宋体" w:hAnsi="宋体" w:eastAsia="宋体" w:cs="宋体"/>
        </w:rPr>
      </w:pPr>
      <w:r>
        <w:rPr>
          <w:rFonts w:hint="eastAsia" w:ascii="宋体" w:hAnsi="宋体" w:eastAsia="宋体" w:cs="宋体"/>
        </w:rPr>
        <w:t>因承包人原因造成工期延误，在工期延误期间出现法律变化的，由此增加的费用和（或）延误的工期由承包人承担。</w:t>
      </w:r>
    </w:p>
    <w:p w14:paraId="313CDD16">
      <w:pPr>
        <w:spacing w:line="360" w:lineRule="auto"/>
        <w:ind w:firstLine="480" w:firstLineChars="200"/>
        <w:rPr>
          <w:rFonts w:hint="eastAsia" w:ascii="宋体" w:hAnsi="宋体" w:eastAsia="宋体" w:cs="宋体"/>
        </w:rPr>
      </w:pPr>
      <w:bookmarkStart w:id="439" w:name="_Toc145583434"/>
      <w:bookmarkStart w:id="440" w:name="_Toc351203580"/>
      <w:bookmarkStart w:id="441" w:name="_Toc337558799"/>
      <w:bookmarkStart w:id="442" w:name="_Toc296346597"/>
      <w:bookmarkStart w:id="443" w:name="_Toc296503096"/>
      <w:r>
        <w:rPr>
          <w:rFonts w:hint="eastAsia" w:ascii="宋体" w:hAnsi="宋体" w:eastAsia="宋体" w:cs="宋体"/>
        </w:rPr>
        <w:t>12. 合同价格、计量与支付</w:t>
      </w:r>
      <w:bookmarkEnd w:id="439"/>
      <w:bookmarkEnd w:id="440"/>
    </w:p>
    <w:bookmarkEnd w:id="441"/>
    <w:p w14:paraId="72DF3EEB">
      <w:pPr>
        <w:spacing w:line="360" w:lineRule="auto"/>
        <w:ind w:firstLine="480" w:firstLineChars="200"/>
        <w:rPr>
          <w:rFonts w:hint="eastAsia" w:ascii="宋体" w:hAnsi="宋体" w:eastAsia="宋体" w:cs="宋体"/>
        </w:rPr>
      </w:pPr>
      <w:bookmarkStart w:id="444" w:name="_Toc145583435"/>
      <w:bookmarkStart w:id="445" w:name="_Toc351203581"/>
      <w:bookmarkStart w:id="446" w:name="_Toc337558800"/>
      <w:r>
        <w:rPr>
          <w:rFonts w:hint="eastAsia" w:ascii="宋体" w:hAnsi="宋体" w:eastAsia="宋体" w:cs="宋体"/>
        </w:rPr>
        <w:t>12.1 合同价</w:t>
      </w:r>
      <w:bookmarkEnd w:id="442"/>
      <w:bookmarkEnd w:id="443"/>
      <w:r>
        <w:rPr>
          <w:rFonts w:hint="eastAsia" w:ascii="宋体" w:hAnsi="宋体" w:eastAsia="宋体" w:cs="宋体"/>
        </w:rPr>
        <w:t>格形式</w:t>
      </w:r>
      <w:bookmarkEnd w:id="444"/>
      <w:bookmarkEnd w:id="445"/>
    </w:p>
    <w:bookmarkEnd w:id="446"/>
    <w:p w14:paraId="6F806461">
      <w:pPr>
        <w:spacing w:line="360" w:lineRule="auto"/>
        <w:ind w:firstLine="480" w:firstLineChars="200"/>
        <w:rPr>
          <w:rFonts w:hint="eastAsia" w:ascii="宋体" w:hAnsi="宋体" w:eastAsia="宋体" w:cs="宋体"/>
        </w:rPr>
      </w:pPr>
      <w:r>
        <w:rPr>
          <w:rFonts w:hint="eastAsia" w:ascii="宋体" w:hAnsi="宋体" w:eastAsia="宋体" w:cs="宋体"/>
        </w:rPr>
        <w:t xml:space="preserve">发包人和承包人应在合同协议书中选择下列一种合同价格形式： </w:t>
      </w:r>
    </w:p>
    <w:p w14:paraId="6E2768A8">
      <w:pPr>
        <w:spacing w:line="360" w:lineRule="auto"/>
        <w:ind w:firstLine="480" w:firstLineChars="200"/>
        <w:rPr>
          <w:rFonts w:hint="eastAsia" w:ascii="宋体" w:hAnsi="宋体" w:eastAsia="宋体" w:cs="宋体"/>
        </w:rPr>
      </w:pPr>
      <w:r>
        <w:rPr>
          <w:rFonts w:hint="eastAsia" w:ascii="宋体" w:hAnsi="宋体" w:eastAsia="宋体" w:cs="宋体"/>
        </w:rPr>
        <w:t>1.单价合同</w:t>
      </w:r>
    </w:p>
    <w:p w14:paraId="678B180D">
      <w:pPr>
        <w:spacing w:line="360" w:lineRule="auto"/>
        <w:ind w:firstLine="480" w:firstLineChars="200"/>
        <w:rPr>
          <w:rFonts w:hint="eastAsia" w:ascii="宋体" w:hAnsi="宋体" w:eastAsia="宋体" w:cs="宋体"/>
        </w:rPr>
      </w:pPr>
      <w:r>
        <w:rPr>
          <w:rFonts w:hint="eastAsia" w:ascii="宋体" w:hAnsi="宋体" w:eastAsia="宋体" w:cs="宋体"/>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6DD079DA">
      <w:pPr>
        <w:spacing w:line="360" w:lineRule="auto"/>
        <w:ind w:firstLine="480" w:firstLineChars="200"/>
        <w:rPr>
          <w:rFonts w:hint="eastAsia" w:ascii="宋体" w:hAnsi="宋体" w:eastAsia="宋体" w:cs="宋体"/>
        </w:rPr>
      </w:pPr>
      <w:r>
        <w:rPr>
          <w:rFonts w:hint="eastAsia" w:ascii="宋体" w:hAnsi="宋体" w:eastAsia="宋体" w:cs="宋体"/>
        </w:rPr>
        <w:t>2.总价合同</w:t>
      </w:r>
    </w:p>
    <w:p w14:paraId="48701959">
      <w:pPr>
        <w:spacing w:line="360" w:lineRule="auto"/>
        <w:ind w:firstLine="480" w:firstLineChars="200"/>
        <w:rPr>
          <w:rFonts w:hint="eastAsia" w:ascii="宋体" w:hAnsi="宋体" w:eastAsia="宋体" w:cs="宋体"/>
        </w:rPr>
      </w:pPr>
      <w:r>
        <w:rPr>
          <w:rFonts w:hint="eastAsia" w:ascii="宋体" w:hAnsi="宋体" w:eastAsia="宋体" w:cs="宋体"/>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24AA5AED">
      <w:pPr>
        <w:spacing w:line="360" w:lineRule="auto"/>
        <w:ind w:firstLine="480" w:firstLineChars="200"/>
        <w:rPr>
          <w:rFonts w:hint="eastAsia" w:ascii="宋体" w:hAnsi="宋体" w:eastAsia="宋体" w:cs="宋体"/>
        </w:rPr>
      </w:pPr>
      <w:r>
        <w:rPr>
          <w:rFonts w:hint="eastAsia" w:ascii="宋体" w:hAnsi="宋体" w:eastAsia="宋体" w:cs="宋体"/>
        </w:rPr>
        <w:t>3.其它价格形式</w:t>
      </w:r>
    </w:p>
    <w:p w14:paraId="4E3B1CCB">
      <w:pPr>
        <w:spacing w:line="360" w:lineRule="auto"/>
        <w:ind w:firstLine="480" w:firstLineChars="200"/>
        <w:rPr>
          <w:rFonts w:hint="eastAsia" w:ascii="宋体" w:hAnsi="宋体" w:eastAsia="宋体" w:cs="宋体"/>
        </w:rPr>
      </w:pPr>
      <w:r>
        <w:rPr>
          <w:rFonts w:hint="eastAsia" w:ascii="宋体" w:hAnsi="宋体" w:eastAsia="宋体" w:cs="宋体"/>
        </w:rPr>
        <w:t>合同当事人可在专用合同条款中约定其他合同价格形式。</w:t>
      </w:r>
    </w:p>
    <w:p w14:paraId="09CA0A6A">
      <w:pPr>
        <w:spacing w:line="360" w:lineRule="auto"/>
        <w:ind w:firstLine="480" w:firstLineChars="200"/>
        <w:rPr>
          <w:rFonts w:hint="eastAsia" w:ascii="宋体" w:hAnsi="宋体" w:eastAsia="宋体" w:cs="宋体"/>
        </w:rPr>
      </w:pPr>
      <w:bookmarkStart w:id="447" w:name="_Toc296346598"/>
      <w:bookmarkStart w:id="448" w:name="_Toc296503097"/>
      <w:bookmarkStart w:id="449" w:name="_Toc351203582"/>
      <w:bookmarkStart w:id="450" w:name="_Toc145583436"/>
      <w:bookmarkStart w:id="451" w:name="_Toc337558801"/>
      <w:r>
        <w:rPr>
          <w:rFonts w:hint="eastAsia" w:ascii="宋体" w:hAnsi="宋体" w:eastAsia="宋体" w:cs="宋体"/>
        </w:rPr>
        <w:t>12.2预</w:t>
      </w:r>
      <w:bookmarkEnd w:id="447"/>
      <w:bookmarkEnd w:id="448"/>
      <w:bookmarkStart w:id="452" w:name="_Toc296503100"/>
      <w:bookmarkStart w:id="453" w:name="_Toc296346601"/>
      <w:r>
        <w:rPr>
          <w:rFonts w:hint="eastAsia" w:ascii="宋体" w:hAnsi="宋体" w:eastAsia="宋体" w:cs="宋体"/>
        </w:rPr>
        <w:t>付款</w:t>
      </w:r>
      <w:bookmarkEnd w:id="449"/>
      <w:bookmarkEnd w:id="450"/>
    </w:p>
    <w:bookmarkEnd w:id="451"/>
    <w:bookmarkEnd w:id="452"/>
    <w:bookmarkEnd w:id="453"/>
    <w:p w14:paraId="60A05456">
      <w:pPr>
        <w:spacing w:line="360" w:lineRule="auto"/>
        <w:ind w:firstLine="480" w:firstLineChars="200"/>
        <w:rPr>
          <w:rFonts w:hint="eastAsia" w:ascii="宋体" w:hAnsi="宋体" w:eastAsia="宋体" w:cs="宋体"/>
        </w:rPr>
      </w:pPr>
      <w:r>
        <w:rPr>
          <w:rFonts w:hint="eastAsia" w:ascii="宋体" w:hAnsi="宋体" w:eastAsia="宋体" w:cs="宋体"/>
        </w:rPr>
        <w:t>12.2.1预付款的支付</w:t>
      </w:r>
    </w:p>
    <w:p w14:paraId="3742F699">
      <w:pPr>
        <w:spacing w:line="360" w:lineRule="auto"/>
        <w:ind w:firstLine="480" w:firstLineChars="200"/>
        <w:rPr>
          <w:rFonts w:hint="eastAsia" w:ascii="宋体" w:hAnsi="宋体" w:eastAsia="宋体" w:cs="宋体"/>
        </w:rPr>
      </w:pPr>
      <w:r>
        <w:rPr>
          <w:rFonts w:hint="eastAsia" w:ascii="宋体" w:hAnsi="宋体" w:eastAsia="宋体" w:cs="宋体"/>
        </w:rPr>
        <w:t>预付款的支付按照专用合同条款约定执行，但至迟应在开工通知载明的开工日期7天前支付。预付款应当用于材料、工程设备、施工设备的采购及修建临时工程、组织施工队伍进场等。</w:t>
      </w:r>
    </w:p>
    <w:p w14:paraId="38B3D78B">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除专用合同条款另有约定外，预付款在进度付款中同比例扣回。</w:t>
      </w:r>
      <w:bookmarkEnd w:id="433"/>
      <w:r>
        <w:rPr>
          <w:rFonts w:hint="eastAsia" w:ascii="宋体" w:hAnsi="宋体" w:eastAsia="宋体" w:cs="宋体"/>
        </w:rPr>
        <w:t>在颁发工程接收证书前，提前解除合同的，尚未扣完的预付款应与合同价款一并结算。</w:t>
      </w:r>
    </w:p>
    <w:p w14:paraId="08C37FC0">
      <w:pPr>
        <w:spacing w:line="360" w:lineRule="auto"/>
        <w:ind w:firstLine="480" w:firstLineChars="200"/>
        <w:rPr>
          <w:rFonts w:hint="eastAsia" w:ascii="宋体" w:hAnsi="宋体" w:eastAsia="宋体" w:cs="宋体"/>
        </w:rPr>
      </w:pPr>
      <w:r>
        <w:rPr>
          <w:rFonts w:hint="eastAsia" w:ascii="宋体" w:hAnsi="宋体" w:eastAsia="宋体" w:cs="宋体"/>
        </w:rPr>
        <w:t>发包人逾期支付预付款超过7天的，承包人有权向发包人发出要求预付的催告通知，发包人收到通知后7天内仍未支付的，承包人有权暂停施工，并按第16.1.1项〔发包人违约的情形〕执行。</w:t>
      </w:r>
    </w:p>
    <w:p w14:paraId="58C58A75">
      <w:pPr>
        <w:spacing w:line="360" w:lineRule="auto"/>
        <w:ind w:firstLine="480" w:firstLineChars="200"/>
        <w:rPr>
          <w:rFonts w:hint="eastAsia" w:ascii="宋体" w:hAnsi="宋体" w:eastAsia="宋体" w:cs="宋体"/>
        </w:rPr>
      </w:pPr>
      <w:r>
        <w:rPr>
          <w:rFonts w:hint="eastAsia" w:ascii="宋体" w:hAnsi="宋体" w:eastAsia="宋体" w:cs="宋体"/>
        </w:rPr>
        <w:t>12.2.2 预付款担保</w:t>
      </w:r>
    </w:p>
    <w:p w14:paraId="6DCD8E85">
      <w:pPr>
        <w:spacing w:line="360" w:lineRule="auto"/>
        <w:ind w:firstLine="480" w:firstLineChars="200"/>
        <w:rPr>
          <w:rFonts w:hint="eastAsia" w:ascii="宋体" w:hAnsi="宋体" w:eastAsia="宋体" w:cs="宋体"/>
        </w:rPr>
      </w:pPr>
      <w:r>
        <w:rPr>
          <w:rFonts w:hint="eastAsia" w:ascii="宋体" w:hAnsi="宋体" w:eastAsia="宋体" w:cs="宋体"/>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77D46097">
      <w:pPr>
        <w:spacing w:line="360" w:lineRule="auto"/>
        <w:ind w:firstLine="480" w:firstLineChars="200"/>
        <w:rPr>
          <w:rFonts w:hint="eastAsia" w:ascii="宋体" w:hAnsi="宋体" w:eastAsia="宋体" w:cs="宋体"/>
        </w:rPr>
      </w:pPr>
      <w:r>
        <w:rPr>
          <w:rFonts w:hint="eastAsia" w:ascii="宋体" w:hAnsi="宋体" w:eastAsia="宋体" w:cs="宋体"/>
        </w:rPr>
        <w:t>发包人在工程款中逐期扣回预付款后，预付款担保额度应相应减少，但剩余的预付款担保金额不得低于未被扣回的预付款金额。</w:t>
      </w:r>
    </w:p>
    <w:p w14:paraId="76268059">
      <w:pPr>
        <w:spacing w:line="360" w:lineRule="auto"/>
        <w:ind w:firstLine="480" w:firstLineChars="200"/>
        <w:rPr>
          <w:rFonts w:hint="eastAsia" w:ascii="宋体" w:hAnsi="宋体" w:eastAsia="宋体" w:cs="宋体"/>
        </w:rPr>
      </w:pPr>
      <w:bookmarkStart w:id="454" w:name="_Toc351203583"/>
      <w:bookmarkStart w:id="455" w:name="_Toc145583437"/>
      <w:bookmarkStart w:id="456" w:name="_Toc337558802"/>
      <w:r>
        <w:rPr>
          <w:rFonts w:hint="eastAsia" w:ascii="宋体" w:hAnsi="宋体" w:eastAsia="宋体" w:cs="宋体"/>
        </w:rPr>
        <w:t>12.3计量</w:t>
      </w:r>
      <w:bookmarkEnd w:id="454"/>
      <w:bookmarkEnd w:id="455"/>
    </w:p>
    <w:bookmarkEnd w:id="456"/>
    <w:p w14:paraId="0AB07960">
      <w:pPr>
        <w:spacing w:line="360" w:lineRule="auto"/>
        <w:ind w:firstLine="480" w:firstLineChars="200"/>
        <w:rPr>
          <w:rFonts w:hint="eastAsia" w:ascii="宋体" w:hAnsi="宋体" w:eastAsia="宋体" w:cs="宋体"/>
        </w:rPr>
      </w:pPr>
      <w:r>
        <w:rPr>
          <w:rFonts w:hint="eastAsia" w:ascii="宋体" w:hAnsi="宋体" w:eastAsia="宋体" w:cs="宋体"/>
        </w:rPr>
        <w:t>12.3.1 计量原则</w:t>
      </w:r>
    </w:p>
    <w:p w14:paraId="70C55620">
      <w:pPr>
        <w:spacing w:line="360" w:lineRule="auto"/>
        <w:ind w:firstLine="480" w:firstLineChars="200"/>
        <w:rPr>
          <w:rFonts w:hint="eastAsia" w:ascii="宋体" w:hAnsi="宋体" w:eastAsia="宋体" w:cs="宋体"/>
        </w:rPr>
      </w:pPr>
      <w:r>
        <w:rPr>
          <w:rFonts w:hint="eastAsia" w:ascii="宋体" w:hAnsi="宋体" w:eastAsia="宋体" w:cs="宋体"/>
        </w:rPr>
        <w:t>工程量计量按照合同约定的工程量计算规则、图纸及变更指示等进行计量。工程量计算规则应以相关的国家标准、行业标准等为依据，由合同当事人在专用合同条款中约定。</w:t>
      </w:r>
    </w:p>
    <w:p w14:paraId="01F01330">
      <w:pPr>
        <w:spacing w:line="360" w:lineRule="auto"/>
        <w:ind w:firstLine="480" w:firstLineChars="200"/>
        <w:rPr>
          <w:rFonts w:hint="eastAsia" w:ascii="宋体" w:hAnsi="宋体" w:eastAsia="宋体" w:cs="宋体"/>
        </w:rPr>
      </w:pPr>
      <w:r>
        <w:rPr>
          <w:rFonts w:hint="eastAsia" w:ascii="宋体" w:hAnsi="宋体" w:eastAsia="宋体" w:cs="宋体"/>
        </w:rPr>
        <w:t>12.3.2 计量周期</w:t>
      </w:r>
    </w:p>
    <w:p w14:paraId="2168BDE8">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除专用合同条款另有约定外，工程量的计量按月进行。</w:t>
      </w:r>
    </w:p>
    <w:p w14:paraId="293BED86">
      <w:pPr>
        <w:spacing w:line="360" w:lineRule="auto"/>
        <w:ind w:firstLine="480" w:firstLineChars="200"/>
        <w:rPr>
          <w:rFonts w:hint="eastAsia" w:ascii="宋体" w:hAnsi="宋体" w:eastAsia="宋体" w:cs="宋体"/>
        </w:rPr>
      </w:pPr>
      <w:r>
        <w:rPr>
          <w:rFonts w:hint="eastAsia" w:ascii="宋体" w:hAnsi="宋体" w:eastAsia="宋体" w:cs="宋体"/>
        </w:rPr>
        <w:t>12.3.3 单价合同的计量</w:t>
      </w:r>
    </w:p>
    <w:p w14:paraId="0DA29502">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除专用合同条款另有约定外，单价合同的计量按照本项约定执行：</w:t>
      </w:r>
    </w:p>
    <w:p w14:paraId="2D8E2A5E">
      <w:pPr>
        <w:spacing w:line="360" w:lineRule="auto"/>
        <w:ind w:firstLine="480" w:firstLineChars="200"/>
        <w:rPr>
          <w:rFonts w:hint="eastAsia" w:ascii="宋体" w:hAnsi="宋体" w:eastAsia="宋体" w:cs="宋体"/>
        </w:rPr>
      </w:pPr>
      <w:r>
        <w:rPr>
          <w:rFonts w:hint="eastAsia" w:ascii="宋体" w:hAnsi="宋体" w:eastAsia="宋体" w:cs="宋体"/>
        </w:rPr>
        <w:t>（1）承包人应于每月25日向监理人报送上月20日至当月19日已完成的工程量报告，并附具进度付款申请单、已完成工程量报表和有关资料。</w:t>
      </w:r>
    </w:p>
    <w:p w14:paraId="6C9D83BD">
      <w:pPr>
        <w:spacing w:line="360" w:lineRule="auto"/>
        <w:ind w:firstLine="480" w:firstLineChars="200"/>
        <w:rPr>
          <w:rFonts w:hint="eastAsia" w:ascii="宋体" w:hAnsi="宋体" w:eastAsia="宋体" w:cs="宋体"/>
        </w:rPr>
      </w:pPr>
      <w:r>
        <w:rPr>
          <w:rFonts w:hint="eastAsia" w:ascii="宋体" w:hAnsi="宋体" w:eastAsia="宋体" w:cs="宋体"/>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4B9672F7">
      <w:pPr>
        <w:spacing w:line="360" w:lineRule="auto"/>
        <w:ind w:firstLine="480" w:firstLineChars="200"/>
        <w:rPr>
          <w:rFonts w:hint="eastAsia" w:ascii="宋体" w:hAnsi="宋体" w:eastAsia="宋体" w:cs="宋体"/>
        </w:rPr>
      </w:pPr>
      <w:r>
        <w:rPr>
          <w:rFonts w:hint="eastAsia" w:ascii="宋体" w:hAnsi="宋体" w:eastAsia="宋体" w:cs="宋体"/>
        </w:rPr>
        <w:t>（3）监理人未在收到承包人提交的工程量报表后的7天内完成审核的，承包人报送的工程量报告中的工程量视为承包人实际完成的工程量，据此计算工程价款。</w:t>
      </w:r>
    </w:p>
    <w:p w14:paraId="2D2C7B8C">
      <w:pPr>
        <w:spacing w:line="360" w:lineRule="auto"/>
        <w:ind w:firstLine="480" w:firstLineChars="200"/>
        <w:rPr>
          <w:rFonts w:hint="eastAsia" w:ascii="宋体" w:hAnsi="宋体" w:eastAsia="宋体" w:cs="宋体"/>
        </w:rPr>
      </w:pPr>
      <w:r>
        <w:rPr>
          <w:rFonts w:hint="eastAsia" w:ascii="宋体" w:hAnsi="宋体" w:eastAsia="宋体" w:cs="宋体"/>
        </w:rPr>
        <w:t>12.3.4 总价合同的计量</w:t>
      </w:r>
    </w:p>
    <w:p w14:paraId="0A575902">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除专用合同条款另有约定外，按月计量支付的总价合同，按照本项约定执行：</w:t>
      </w:r>
    </w:p>
    <w:p w14:paraId="187DDAA0">
      <w:pPr>
        <w:spacing w:line="360" w:lineRule="auto"/>
        <w:ind w:firstLine="480" w:firstLineChars="200"/>
        <w:rPr>
          <w:rFonts w:hint="eastAsia" w:ascii="宋体" w:hAnsi="宋体" w:eastAsia="宋体" w:cs="宋体"/>
        </w:rPr>
      </w:pPr>
      <w:r>
        <w:rPr>
          <w:rFonts w:hint="eastAsia" w:ascii="宋体" w:hAnsi="宋体" w:eastAsia="宋体" w:cs="宋体"/>
        </w:rPr>
        <w:t>（1）承包人应于每月25日向监理人报送上月20日至当月19日已完成的工程量报告，并附具进度付款申请单、已完成工程量报表和有关资料。</w:t>
      </w:r>
    </w:p>
    <w:p w14:paraId="431AC181">
      <w:pPr>
        <w:spacing w:line="360" w:lineRule="auto"/>
        <w:ind w:firstLine="480" w:firstLineChars="200"/>
        <w:rPr>
          <w:rFonts w:hint="eastAsia" w:ascii="宋体" w:hAnsi="宋体" w:eastAsia="宋体" w:cs="宋体"/>
        </w:rPr>
      </w:pPr>
      <w:r>
        <w:rPr>
          <w:rFonts w:hint="eastAsia" w:ascii="宋体" w:hAnsi="宋体" w:eastAsia="宋体" w:cs="宋体"/>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4E923B83">
      <w:pPr>
        <w:spacing w:line="360" w:lineRule="auto"/>
        <w:ind w:firstLine="480" w:firstLineChars="200"/>
        <w:rPr>
          <w:rFonts w:hint="eastAsia" w:ascii="宋体" w:hAnsi="宋体" w:eastAsia="宋体" w:cs="宋体"/>
        </w:rPr>
      </w:pPr>
      <w:r>
        <w:rPr>
          <w:rFonts w:hint="eastAsia" w:ascii="宋体" w:hAnsi="宋体" w:eastAsia="宋体" w:cs="宋体"/>
        </w:rPr>
        <w:t>（3）监理人未在收到承包人提交的工程量报表后的7天内完成复核的，承包人提交的工程量报告中的工程量视为承包人实际完成的工程量。</w:t>
      </w:r>
    </w:p>
    <w:p w14:paraId="35996CCE">
      <w:pPr>
        <w:spacing w:line="360" w:lineRule="auto"/>
        <w:ind w:firstLine="480" w:firstLineChars="200"/>
        <w:rPr>
          <w:rFonts w:hint="eastAsia" w:ascii="宋体" w:hAnsi="宋体" w:eastAsia="宋体" w:cs="宋体"/>
        </w:rPr>
      </w:pPr>
      <w:r>
        <w:rPr>
          <w:rFonts w:hint="eastAsia" w:ascii="宋体" w:hAnsi="宋体" w:eastAsia="宋体" w:cs="宋体"/>
        </w:rPr>
        <w:t>12.3.5 总价合同采用支付分解表计量支付的，可以按照第12.3.4项〔总价合同的计量〕约定进行计量，但合同价款按照支付分解表进行支付。</w:t>
      </w:r>
    </w:p>
    <w:p w14:paraId="5D18C045">
      <w:pPr>
        <w:spacing w:line="360" w:lineRule="auto"/>
        <w:ind w:firstLine="480" w:firstLineChars="200"/>
        <w:rPr>
          <w:rFonts w:hint="eastAsia" w:ascii="宋体" w:hAnsi="宋体" w:eastAsia="宋体" w:cs="宋体"/>
        </w:rPr>
      </w:pPr>
      <w:r>
        <w:rPr>
          <w:rFonts w:hint="eastAsia" w:ascii="宋体" w:hAnsi="宋体" w:eastAsia="宋体" w:cs="宋体"/>
        </w:rPr>
        <w:t>12.3.6 其他价格形式合同的计量</w:t>
      </w:r>
    </w:p>
    <w:p w14:paraId="4394E512">
      <w:pPr>
        <w:spacing w:line="360" w:lineRule="auto"/>
        <w:ind w:firstLine="480" w:firstLineChars="200"/>
        <w:rPr>
          <w:rFonts w:hint="eastAsia" w:ascii="宋体" w:hAnsi="宋体" w:eastAsia="宋体" w:cs="宋体"/>
        </w:rPr>
      </w:pPr>
      <w:r>
        <w:rPr>
          <w:rFonts w:hint="eastAsia" w:ascii="宋体" w:hAnsi="宋体" w:eastAsia="宋体" w:cs="宋体"/>
        </w:rPr>
        <w:t>合同当事人可在专用合同条款中约定其他价格形式合同的计量方式和程序。</w:t>
      </w:r>
    </w:p>
    <w:p w14:paraId="2FA6996B">
      <w:pPr>
        <w:spacing w:line="360" w:lineRule="auto"/>
        <w:ind w:firstLine="480" w:firstLineChars="200"/>
        <w:rPr>
          <w:rFonts w:hint="eastAsia" w:ascii="宋体" w:hAnsi="宋体" w:eastAsia="宋体" w:cs="宋体"/>
        </w:rPr>
      </w:pPr>
      <w:bookmarkStart w:id="457" w:name="_Toc296503101"/>
      <w:bookmarkStart w:id="458" w:name="_Toc296346602"/>
      <w:bookmarkStart w:id="459" w:name="_Toc351203584"/>
      <w:bookmarkStart w:id="460" w:name="_Toc145583438"/>
      <w:bookmarkStart w:id="461" w:name="_Toc337558803"/>
      <w:r>
        <w:rPr>
          <w:rFonts w:hint="eastAsia" w:ascii="宋体" w:hAnsi="宋体" w:eastAsia="宋体" w:cs="宋体"/>
        </w:rPr>
        <w:t>12.4工程进度款支</w:t>
      </w:r>
      <w:bookmarkEnd w:id="457"/>
      <w:bookmarkEnd w:id="458"/>
      <w:r>
        <w:rPr>
          <w:rFonts w:hint="eastAsia" w:ascii="宋体" w:hAnsi="宋体" w:eastAsia="宋体" w:cs="宋体"/>
        </w:rPr>
        <w:t>付</w:t>
      </w:r>
      <w:bookmarkEnd w:id="459"/>
      <w:bookmarkEnd w:id="460"/>
    </w:p>
    <w:bookmarkEnd w:id="461"/>
    <w:p w14:paraId="22DFD691">
      <w:pPr>
        <w:spacing w:line="360" w:lineRule="auto"/>
        <w:ind w:firstLine="480" w:firstLineChars="200"/>
        <w:rPr>
          <w:rFonts w:hint="eastAsia" w:ascii="宋体" w:hAnsi="宋体" w:eastAsia="宋体" w:cs="宋体"/>
        </w:rPr>
      </w:pPr>
      <w:bookmarkStart w:id="462" w:name="_Toc145583439"/>
      <w:r>
        <w:rPr>
          <w:rFonts w:hint="eastAsia" w:ascii="宋体" w:hAnsi="宋体" w:eastAsia="宋体" w:cs="宋体"/>
        </w:rPr>
        <w:t>12.4.1 付款周期</w:t>
      </w:r>
      <w:bookmarkEnd w:id="462"/>
    </w:p>
    <w:p w14:paraId="0500E04A">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除专用合同条款另有约定外，付款周期应按照第12.3.2项〔计量周期〕的约定与计量周期保持一致。</w:t>
      </w:r>
    </w:p>
    <w:p w14:paraId="08745A33">
      <w:pPr>
        <w:spacing w:line="360" w:lineRule="auto"/>
        <w:ind w:firstLine="480" w:firstLineChars="200"/>
        <w:rPr>
          <w:rFonts w:hint="eastAsia" w:ascii="宋体" w:hAnsi="宋体" w:eastAsia="宋体" w:cs="宋体"/>
        </w:rPr>
      </w:pPr>
      <w:r>
        <w:rPr>
          <w:rFonts w:hint="eastAsia" w:ascii="宋体" w:hAnsi="宋体" w:eastAsia="宋体" w:cs="宋体"/>
        </w:rPr>
        <w:t>12.4.2 进度付款申请单的编制</w:t>
      </w:r>
    </w:p>
    <w:p w14:paraId="1560950C">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除专用合同条款另有约定外，进度付款申请单应包括下列内容：</w:t>
      </w:r>
    </w:p>
    <w:p w14:paraId="01E965DA">
      <w:pPr>
        <w:spacing w:line="360" w:lineRule="auto"/>
        <w:ind w:firstLine="480" w:firstLineChars="200"/>
        <w:rPr>
          <w:rFonts w:hint="eastAsia" w:ascii="宋体" w:hAnsi="宋体" w:eastAsia="宋体" w:cs="宋体"/>
        </w:rPr>
      </w:pPr>
      <w:r>
        <w:rPr>
          <w:rFonts w:hint="eastAsia" w:ascii="宋体" w:hAnsi="宋体" w:eastAsia="宋体" w:cs="宋体"/>
        </w:rPr>
        <w:t>（1）截至本次付款周期已完成工作对应的金额；</w:t>
      </w:r>
    </w:p>
    <w:p w14:paraId="3BBD04BC">
      <w:pPr>
        <w:spacing w:line="360" w:lineRule="auto"/>
        <w:ind w:firstLine="480" w:firstLineChars="200"/>
        <w:rPr>
          <w:rFonts w:hint="eastAsia" w:ascii="宋体" w:hAnsi="宋体" w:eastAsia="宋体" w:cs="宋体"/>
        </w:rPr>
      </w:pPr>
      <w:r>
        <w:rPr>
          <w:rFonts w:hint="eastAsia" w:ascii="宋体" w:hAnsi="宋体" w:eastAsia="宋体" w:cs="宋体"/>
        </w:rPr>
        <w:t>（2）根据第10条〔变更〕应增加和扣减的变更金额；</w:t>
      </w:r>
    </w:p>
    <w:p w14:paraId="66E24F93">
      <w:pPr>
        <w:spacing w:line="360" w:lineRule="auto"/>
        <w:ind w:firstLine="480" w:firstLineChars="200"/>
        <w:rPr>
          <w:rFonts w:hint="eastAsia" w:ascii="宋体" w:hAnsi="宋体" w:eastAsia="宋体" w:cs="宋体"/>
        </w:rPr>
      </w:pPr>
      <w:r>
        <w:rPr>
          <w:rFonts w:hint="eastAsia" w:ascii="宋体" w:hAnsi="宋体" w:eastAsia="宋体" w:cs="宋体"/>
        </w:rPr>
        <w:t>（3）根据第12.2款〔预付款〕约定应支付的预付款和扣减的返还预付款；</w:t>
      </w:r>
    </w:p>
    <w:p w14:paraId="06D27F5E">
      <w:pPr>
        <w:spacing w:line="360" w:lineRule="auto"/>
        <w:ind w:firstLine="480" w:firstLineChars="200"/>
        <w:rPr>
          <w:rFonts w:hint="eastAsia" w:ascii="宋体" w:hAnsi="宋体" w:eastAsia="宋体" w:cs="宋体"/>
        </w:rPr>
      </w:pPr>
      <w:r>
        <w:rPr>
          <w:rFonts w:hint="eastAsia" w:ascii="宋体" w:hAnsi="宋体" w:eastAsia="宋体" w:cs="宋体"/>
        </w:rPr>
        <w:t>（4）根据第15.3款〔质量保证金〕约定应扣减的质量保证金；</w:t>
      </w:r>
    </w:p>
    <w:p w14:paraId="0ADC7612">
      <w:pPr>
        <w:spacing w:line="360" w:lineRule="auto"/>
        <w:ind w:firstLine="480" w:firstLineChars="200"/>
        <w:rPr>
          <w:rFonts w:hint="eastAsia" w:ascii="宋体" w:hAnsi="宋体" w:eastAsia="宋体" w:cs="宋体"/>
        </w:rPr>
      </w:pPr>
      <w:r>
        <w:rPr>
          <w:rFonts w:hint="eastAsia" w:ascii="宋体" w:hAnsi="宋体" w:eastAsia="宋体" w:cs="宋体"/>
        </w:rPr>
        <w:t>（5）根据第19条〔索赔〕应增加和扣减的索赔金额；</w:t>
      </w:r>
    </w:p>
    <w:p w14:paraId="649A91DC">
      <w:pPr>
        <w:spacing w:line="360" w:lineRule="auto"/>
        <w:ind w:firstLine="480" w:firstLineChars="200"/>
        <w:rPr>
          <w:rFonts w:hint="eastAsia" w:ascii="宋体" w:hAnsi="宋体" w:eastAsia="宋体" w:cs="宋体"/>
        </w:rPr>
      </w:pPr>
      <w:r>
        <w:rPr>
          <w:rFonts w:hint="eastAsia" w:ascii="宋体" w:hAnsi="宋体" w:eastAsia="宋体" w:cs="宋体"/>
        </w:rPr>
        <w:t>（6）对已签发的进度款支付证书中出现错误的修正，应在本次进度付款中支付或扣除的金额；</w:t>
      </w:r>
    </w:p>
    <w:p w14:paraId="240E4D66">
      <w:pPr>
        <w:spacing w:line="360" w:lineRule="auto"/>
        <w:ind w:firstLine="480" w:firstLineChars="200"/>
        <w:rPr>
          <w:rFonts w:hint="eastAsia" w:ascii="宋体" w:hAnsi="宋体" w:eastAsia="宋体" w:cs="宋体"/>
        </w:rPr>
      </w:pPr>
      <w:r>
        <w:rPr>
          <w:rFonts w:hint="eastAsia" w:ascii="宋体" w:hAnsi="宋体" w:eastAsia="宋体" w:cs="宋体"/>
        </w:rPr>
        <w:t>（7）根据合同约定应增加和扣减的其他金额。</w:t>
      </w:r>
    </w:p>
    <w:p w14:paraId="55F654FB">
      <w:pPr>
        <w:spacing w:line="360" w:lineRule="auto"/>
        <w:ind w:firstLine="480" w:firstLineChars="200"/>
        <w:rPr>
          <w:rFonts w:hint="eastAsia" w:ascii="宋体" w:hAnsi="宋体" w:eastAsia="宋体" w:cs="宋体"/>
        </w:rPr>
      </w:pPr>
      <w:bookmarkStart w:id="463" w:name="_Toc145583440"/>
      <w:r>
        <w:rPr>
          <w:rFonts w:hint="eastAsia" w:ascii="宋体" w:hAnsi="宋体" w:eastAsia="宋体" w:cs="宋体"/>
        </w:rPr>
        <w:t>12.4.3 进度付款申请单的提交</w:t>
      </w:r>
      <w:bookmarkEnd w:id="463"/>
    </w:p>
    <w:p w14:paraId="3C3E97E3">
      <w:pPr>
        <w:spacing w:line="360" w:lineRule="auto"/>
        <w:ind w:firstLine="480" w:firstLineChars="200"/>
        <w:rPr>
          <w:rFonts w:hint="eastAsia" w:ascii="宋体" w:hAnsi="宋体" w:eastAsia="宋体" w:cs="宋体"/>
        </w:rPr>
      </w:pPr>
      <w:r>
        <w:rPr>
          <w:rFonts w:hint="eastAsia" w:ascii="宋体" w:hAnsi="宋体" w:eastAsia="宋体" w:cs="宋体"/>
        </w:rPr>
        <w:t>（1）单价合同进度付款申请单的提交</w:t>
      </w:r>
    </w:p>
    <w:p w14:paraId="61AD4013">
      <w:pPr>
        <w:spacing w:line="360" w:lineRule="auto"/>
        <w:ind w:firstLine="480" w:firstLineChars="200"/>
        <w:rPr>
          <w:rFonts w:hint="eastAsia" w:ascii="宋体" w:hAnsi="宋体" w:eastAsia="宋体" w:cs="宋体"/>
        </w:rPr>
      </w:pPr>
      <w:r>
        <w:rPr>
          <w:rFonts w:hint="eastAsia" w:ascii="宋体" w:hAnsi="宋体" w:eastAsia="宋体" w:cs="宋体"/>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36976B11">
      <w:pPr>
        <w:spacing w:line="360" w:lineRule="auto"/>
        <w:ind w:firstLine="480" w:firstLineChars="200"/>
        <w:rPr>
          <w:rFonts w:hint="eastAsia" w:ascii="宋体" w:hAnsi="宋体" w:eastAsia="宋体" w:cs="宋体"/>
        </w:rPr>
      </w:pPr>
      <w:r>
        <w:rPr>
          <w:rFonts w:hint="eastAsia" w:ascii="宋体" w:hAnsi="宋体" w:eastAsia="宋体" w:cs="宋体"/>
        </w:rPr>
        <w:t>（2）总价合同进度付款申请单的提交</w:t>
      </w:r>
    </w:p>
    <w:p w14:paraId="7A50D8F6">
      <w:pPr>
        <w:spacing w:line="360" w:lineRule="auto"/>
        <w:ind w:firstLine="480" w:firstLineChars="200"/>
        <w:rPr>
          <w:rFonts w:hint="eastAsia" w:ascii="宋体" w:hAnsi="宋体" w:eastAsia="宋体" w:cs="宋体"/>
        </w:rPr>
      </w:pPr>
      <w:r>
        <w:rPr>
          <w:rFonts w:hint="eastAsia" w:ascii="宋体" w:hAnsi="宋体" w:eastAsia="宋体" w:cs="宋体"/>
        </w:rPr>
        <w:t>总价合同按月计量支付的，承包人按照第12.3.4项〔总价合同的计量〕约定的时间按月向监理人提交进度付款申请单，并附上已完成工程量报表和有关资料。</w:t>
      </w:r>
    </w:p>
    <w:p w14:paraId="1BA13804">
      <w:pPr>
        <w:spacing w:line="360" w:lineRule="auto"/>
        <w:ind w:firstLine="480" w:firstLineChars="200"/>
        <w:rPr>
          <w:rFonts w:hint="eastAsia" w:ascii="宋体" w:hAnsi="宋体" w:eastAsia="宋体" w:cs="宋体"/>
        </w:rPr>
      </w:pPr>
      <w:r>
        <w:rPr>
          <w:rFonts w:hint="eastAsia" w:ascii="宋体" w:hAnsi="宋体" w:eastAsia="宋体" w:cs="宋体"/>
        </w:rPr>
        <w:t>总价合同按支付分解表支付的，承包人应按照第12.4.6项〔支付分解表〕及第12.4.2项〔进度付款申请单的编制〕的约定向监理人提交进度付款申请单。</w:t>
      </w:r>
    </w:p>
    <w:p w14:paraId="10380E35">
      <w:pPr>
        <w:spacing w:line="360" w:lineRule="auto"/>
        <w:ind w:firstLine="480" w:firstLineChars="200"/>
        <w:rPr>
          <w:rFonts w:hint="eastAsia" w:ascii="宋体" w:hAnsi="宋体" w:eastAsia="宋体" w:cs="宋体"/>
        </w:rPr>
      </w:pPr>
      <w:r>
        <w:rPr>
          <w:rFonts w:hint="eastAsia" w:ascii="宋体" w:hAnsi="宋体" w:eastAsia="宋体" w:cs="宋体"/>
        </w:rPr>
        <w:t>（3）其他价格形式合同的进度付款申请单的提交</w:t>
      </w:r>
    </w:p>
    <w:p w14:paraId="0B0E451F">
      <w:pPr>
        <w:spacing w:line="360" w:lineRule="auto"/>
        <w:ind w:firstLine="480" w:firstLineChars="200"/>
        <w:rPr>
          <w:rFonts w:hint="eastAsia" w:ascii="宋体" w:hAnsi="宋体" w:eastAsia="宋体" w:cs="宋体"/>
        </w:rPr>
      </w:pPr>
      <w:r>
        <w:rPr>
          <w:rFonts w:hint="eastAsia" w:ascii="宋体" w:hAnsi="宋体" w:eastAsia="宋体" w:cs="宋体"/>
        </w:rPr>
        <w:t>合同当事人可在专用合同条款中约定其他价格形式合同的进度付款申请单的编制和提交程序。</w:t>
      </w:r>
    </w:p>
    <w:p w14:paraId="0A2077AD">
      <w:pPr>
        <w:spacing w:line="360" w:lineRule="auto"/>
        <w:ind w:firstLine="480" w:firstLineChars="200"/>
        <w:rPr>
          <w:rFonts w:hint="eastAsia" w:ascii="宋体" w:hAnsi="宋体" w:eastAsia="宋体" w:cs="宋体"/>
        </w:rPr>
      </w:pPr>
      <w:r>
        <w:rPr>
          <w:rFonts w:hint="eastAsia" w:ascii="宋体" w:hAnsi="宋体" w:eastAsia="宋体" w:cs="宋体"/>
        </w:rPr>
        <w:t>12.4.4 进度款审核和支付</w:t>
      </w:r>
    </w:p>
    <w:p w14:paraId="2F48CC3F">
      <w:pPr>
        <w:spacing w:line="360" w:lineRule="auto"/>
        <w:ind w:firstLine="480" w:firstLineChars="200"/>
        <w:rPr>
          <w:rFonts w:hint="eastAsia" w:ascii="宋体" w:hAnsi="宋体" w:eastAsia="宋体" w:cs="宋体"/>
        </w:rPr>
      </w:pPr>
      <w:r>
        <w:rPr>
          <w:rFonts w:hint="eastAsia" w:ascii="宋体" w:hAnsi="宋体" w:eastAsia="宋体" w:cs="宋体"/>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4D411025">
      <w:pPr>
        <w:spacing w:line="360" w:lineRule="auto"/>
        <w:ind w:firstLine="480" w:firstLineChars="200"/>
        <w:rPr>
          <w:rFonts w:hint="eastAsia" w:ascii="宋体" w:hAnsi="宋体" w:eastAsia="宋体" w:cs="宋体"/>
        </w:rPr>
      </w:pPr>
      <w:r>
        <w:rPr>
          <w:rFonts w:hint="eastAsia" w:ascii="宋体" w:hAnsi="宋体" w:eastAsia="宋体" w:cs="宋体"/>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2E03FA10">
      <w:pPr>
        <w:spacing w:line="360" w:lineRule="auto"/>
        <w:ind w:firstLine="480" w:firstLineChars="200"/>
        <w:rPr>
          <w:rFonts w:hint="eastAsia" w:ascii="宋体" w:hAnsi="宋体" w:eastAsia="宋体" w:cs="宋体"/>
        </w:rPr>
      </w:pPr>
      <w:r>
        <w:rPr>
          <w:rFonts w:hint="eastAsia" w:ascii="宋体" w:hAnsi="宋体" w:eastAsia="宋体" w:cs="宋体"/>
        </w:rPr>
        <w:t>（2）除专用合同条款另有约定外，发包人应在进度款支付证书或临时进度款支付证书签发后14天内完成支付，发包人逾期支付进度款的，应按照中国人民银行发布的同期同类贷款基准利率支付违约金。</w:t>
      </w:r>
    </w:p>
    <w:p w14:paraId="2D3BCAB7">
      <w:pPr>
        <w:spacing w:line="360" w:lineRule="auto"/>
        <w:ind w:firstLine="480" w:firstLineChars="200"/>
        <w:rPr>
          <w:rFonts w:hint="eastAsia" w:ascii="宋体" w:hAnsi="宋体" w:eastAsia="宋体" w:cs="宋体"/>
        </w:rPr>
      </w:pPr>
      <w:r>
        <w:rPr>
          <w:rFonts w:hint="eastAsia" w:ascii="宋体" w:hAnsi="宋体" w:eastAsia="宋体" w:cs="宋体"/>
        </w:rPr>
        <w:t>（3）发包人签发进度款支付证书或临时进度款支付证书，不表明发包人已同意、批准或接受了承包人完成的相应部分的工作。</w:t>
      </w:r>
    </w:p>
    <w:p w14:paraId="3B2AF3F9">
      <w:pPr>
        <w:spacing w:line="360" w:lineRule="auto"/>
        <w:ind w:firstLine="480" w:firstLineChars="200"/>
        <w:rPr>
          <w:rFonts w:hint="eastAsia" w:ascii="宋体" w:hAnsi="宋体" w:eastAsia="宋体" w:cs="宋体"/>
        </w:rPr>
      </w:pPr>
      <w:r>
        <w:rPr>
          <w:rFonts w:hint="eastAsia" w:ascii="宋体" w:hAnsi="宋体" w:eastAsia="宋体" w:cs="宋体"/>
        </w:rPr>
        <w:t>12.4.5 进度付款的修正</w:t>
      </w:r>
    </w:p>
    <w:p w14:paraId="4AABEE7E">
      <w:pPr>
        <w:spacing w:line="360" w:lineRule="auto"/>
        <w:ind w:firstLine="480" w:firstLineChars="200"/>
        <w:rPr>
          <w:rFonts w:hint="eastAsia" w:ascii="宋体" w:hAnsi="宋体" w:eastAsia="宋体" w:cs="宋体"/>
        </w:rPr>
      </w:pPr>
      <w:r>
        <w:rPr>
          <w:rFonts w:hint="eastAsia" w:ascii="宋体" w:hAnsi="宋体" w:eastAsia="宋体" w:cs="宋体"/>
        </w:rPr>
        <w:t>在对已签发的进度款支付证书进行阶段汇总和复核中发现错误、遗漏或重复的，发包人和承包人均有权提出修正申请。经发包人和承包人同意的修正，应在下期进度付款中支付或扣除。</w:t>
      </w:r>
    </w:p>
    <w:p w14:paraId="05EFF825">
      <w:pPr>
        <w:spacing w:line="360" w:lineRule="auto"/>
        <w:ind w:firstLine="480" w:firstLineChars="200"/>
        <w:rPr>
          <w:rFonts w:hint="eastAsia" w:ascii="宋体" w:hAnsi="宋体" w:eastAsia="宋体" w:cs="宋体"/>
        </w:rPr>
      </w:pPr>
      <w:r>
        <w:rPr>
          <w:rFonts w:hint="eastAsia" w:ascii="宋体" w:hAnsi="宋体" w:eastAsia="宋体" w:cs="宋体"/>
        </w:rPr>
        <w:t>12.4.6 支付分解表</w:t>
      </w:r>
    </w:p>
    <w:p w14:paraId="2D39282B">
      <w:pPr>
        <w:spacing w:line="360" w:lineRule="auto"/>
        <w:ind w:firstLine="480" w:firstLineChars="200"/>
        <w:rPr>
          <w:rFonts w:hint="eastAsia" w:ascii="宋体" w:hAnsi="宋体" w:eastAsia="宋体" w:cs="宋体"/>
        </w:rPr>
      </w:pPr>
      <w:r>
        <w:rPr>
          <w:rFonts w:hint="eastAsia" w:ascii="宋体" w:hAnsi="宋体" w:eastAsia="宋体" w:cs="宋体"/>
        </w:rPr>
        <w:t>1.支付分解表的编制要求</w:t>
      </w:r>
    </w:p>
    <w:p w14:paraId="50AA137A">
      <w:pPr>
        <w:spacing w:line="360" w:lineRule="auto"/>
        <w:ind w:firstLine="480" w:firstLineChars="200"/>
        <w:rPr>
          <w:rFonts w:hint="eastAsia" w:ascii="宋体" w:hAnsi="宋体" w:eastAsia="宋体" w:cs="宋体"/>
        </w:rPr>
      </w:pPr>
      <w:r>
        <w:rPr>
          <w:rFonts w:hint="eastAsia" w:ascii="宋体" w:hAnsi="宋体" w:eastAsia="宋体" w:cs="宋体"/>
        </w:rPr>
        <w:t>（1）支付分解表中所列的每期付款金额，应为第12.4.2项〔进度付款申请单的编制〕第（1）目的估算金额；</w:t>
      </w:r>
    </w:p>
    <w:p w14:paraId="3AED2430">
      <w:pPr>
        <w:spacing w:line="360" w:lineRule="auto"/>
        <w:ind w:firstLine="480" w:firstLineChars="200"/>
        <w:rPr>
          <w:rFonts w:hint="eastAsia" w:ascii="宋体" w:hAnsi="宋体" w:eastAsia="宋体" w:cs="宋体"/>
        </w:rPr>
      </w:pPr>
      <w:r>
        <w:rPr>
          <w:rFonts w:hint="eastAsia" w:ascii="宋体" w:hAnsi="宋体" w:eastAsia="宋体" w:cs="宋体"/>
        </w:rPr>
        <w:t>（2）实际进度与施工进度计划不一致的，合同当事人可按照第4.4款〔商定或确定〕修改支付分解表；</w:t>
      </w:r>
    </w:p>
    <w:p w14:paraId="2410A79E">
      <w:pPr>
        <w:spacing w:line="360" w:lineRule="auto"/>
        <w:ind w:firstLine="480" w:firstLineChars="200"/>
        <w:rPr>
          <w:rFonts w:hint="eastAsia" w:ascii="宋体" w:hAnsi="宋体" w:eastAsia="宋体" w:cs="宋体"/>
        </w:rPr>
      </w:pPr>
      <w:r>
        <w:rPr>
          <w:rFonts w:hint="eastAsia" w:ascii="宋体" w:hAnsi="宋体" w:eastAsia="宋体" w:cs="宋体"/>
        </w:rPr>
        <w:t>（3）不采用支付分解表的，承包人应向发包人和监理人提交按季度编制的支付估算分解表，用于支付参考。</w:t>
      </w:r>
    </w:p>
    <w:p w14:paraId="78069E8C">
      <w:pPr>
        <w:spacing w:line="360" w:lineRule="auto"/>
        <w:ind w:firstLine="480" w:firstLineChars="200"/>
        <w:rPr>
          <w:rFonts w:hint="eastAsia" w:ascii="宋体" w:hAnsi="宋体" w:eastAsia="宋体" w:cs="宋体"/>
        </w:rPr>
      </w:pPr>
      <w:r>
        <w:rPr>
          <w:rFonts w:hint="eastAsia" w:ascii="宋体" w:hAnsi="宋体" w:eastAsia="宋体" w:cs="宋体"/>
        </w:rPr>
        <w:t>2.总价合同支付分解表的编制与审批</w:t>
      </w:r>
    </w:p>
    <w:p w14:paraId="5E1BFC77">
      <w:pPr>
        <w:spacing w:line="360" w:lineRule="auto"/>
        <w:ind w:firstLine="480" w:firstLineChars="200"/>
        <w:rPr>
          <w:rFonts w:hint="eastAsia" w:ascii="宋体" w:hAnsi="宋体" w:eastAsia="宋体" w:cs="宋体"/>
        </w:rPr>
      </w:pPr>
      <w:r>
        <w:rPr>
          <w:rFonts w:hint="eastAsia" w:ascii="宋体" w:hAnsi="宋体" w:eastAsia="宋体" w:cs="宋体"/>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3E8AB805">
      <w:pPr>
        <w:spacing w:line="360" w:lineRule="auto"/>
        <w:ind w:firstLine="480" w:firstLineChars="200"/>
        <w:rPr>
          <w:rFonts w:hint="eastAsia" w:ascii="宋体" w:hAnsi="宋体" w:eastAsia="宋体" w:cs="宋体"/>
        </w:rPr>
      </w:pPr>
      <w:r>
        <w:rPr>
          <w:rFonts w:hint="eastAsia" w:ascii="宋体" w:hAnsi="宋体" w:eastAsia="宋体" w:cs="宋体"/>
        </w:rPr>
        <w:t>（2）监理人应在收到支付分解表后7天内完成审核并报送发包人。发包人应在收到经监理人审核的支付分解表后7天内完成审批，经发包人批准的支付分解表为有约束力的支付分解表。</w:t>
      </w:r>
    </w:p>
    <w:p w14:paraId="0A2F1D32">
      <w:pPr>
        <w:spacing w:line="360" w:lineRule="auto"/>
        <w:ind w:firstLine="480" w:firstLineChars="200"/>
        <w:rPr>
          <w:rFonts w:hint="eastAsia" w:ascii="宋体" w:hAnsi="宋体" w:eastAsia="宋体" w:cs="宋体"/>
        </w:rPr>
      </w:pPr>
      <w:r>
        <w:rPr>
          <w:rFonts w:hint="eastAsia" w:ascii="宋体" w:hAnsi="宋体" w:eastAsia="宋体" w:cs="宋体"/>
        </w:rPr>
        <w:t xml:space="preserve">    （3）发包人逾期未完成支付分解表审批的，也未及时要求承包人进行修正和提供补充资料的，则承包人提交的支付分解表视为已经获得发包人批准。</w:t>
      </w:r>
    </w:p>
    <w:p w14:paraId="6C2E7DEA">
      <w:pPr>
        <w:spacing w:line="360" w:lineRule="auto"/>
        <w:ind w:firstLine="480" w:firstLineChars="200"/>
        <w:rPr>
          <w:rFonts w:hint="eastAsia" w:ascii="宋体" w:hAnsi="宋体" w:eastAsia="宋体" w:cs="宋体"/>
        </w:rPr>
      </w:pPr>
      <w:r>
        <w:rPr>
          <w:rFonts w:hint="eastAsia" w:ascii="宋体" w:hAnsi="宋体" w:eastAsia="宋体" w:cs="宋体"/>
        </w:rPr>
        <w:t>3.单价合同的总价项目支付分解表的编制与审批</w:t>
      </w:r>
    </w:p>
    <w:p w14:paraId="64C1223A">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19C0718C">
      <w:pPr>
        <w:spacing w:line="360" w:lineRule="auto"/>
        <w:ind w:firstLine="480" w:firstLineChars="200"/>
        <w:rPr>
          <w:rFonts w:hint="eastAsia" w:ascii="宋体" w:hAnsi="宋体" w:eastAsia="宋体" w:cs="宋体"/>
        </w:rPr>
      </w:pPr>
      <w:bookmarkStart w:id="464" w:name="_Toc351203585"/>
      <w:bookmarkStart w:id="465" w:name="_Toc145583441"/>
      <w:r>
        <w:rPr>
          <w:rFonts w:hint="eastAsia" w:ascii="宋体" w:hAnsi="宋体" w:eastAsia="宋体" w:cs="宋体"/>
        </w:rPr>
        <w:t>12.5支付账户</w:t>
      </w:r>
      <w:bookmarkEnd w:id="464"/>
      <w:bookmarkEnd w:id="465"/>
    </w:p>
    <w:p w14:paraId="3DA09708">
      <w:pPr>
        <w:spacing w:line="360" w:lineRule="auto"/>
        <w:ind w:firstLine="480" w:firstLineChars="200"/>
        <w:rPr>
          <w:rFonts w:hint="eastAsia" w:ascii="宋体" w:hAnsi="宋体" w:eastAsia="宋体" w:cs="宋体"/>
        </w:rPr>
      </w:pPr>
      <w:r>
        <w:rPr>
          <w:rFonts w:hint="eastAsia" w:ascii="宋体" w:hAnsi="宋体" w:eastAsia="宋体" w:cs="宋体"/>
        </w:rPr>
        <w:t>发包人应将合同价款支付至合同协议书中约定的承包人账户。</w:t>
      </w:r>
    </w:p>
    <w:p w14:paraId="2DBA567A">
      <w:pPr>
        <w:spacing w:line="360" w:lineRule="auto"/>
        <w:ind w:firstLine="480" w:firstLineChars="200"/>
        <w:rPr>
          <w:rFonts w:hint="eastAsia" w:ascii="宋体" w:hAnsi="宋体" w:eastAsia="宋体" w:cs="宋体"/>
        </w:rPr>
      </w:pPr>
      <w:bookmarkStart w:id="466" w:name="_Toc351203586"/>
      <w:bookmarkStart w:id="467" w:name="_Toc145583442"/>
      <w:bookmarkStart w:id="468" w:name="_Toc296346607"/>
      <w:bookmarkStart w:id="469" w:name="_Toc337558804"/>
      <w:bookmarkStart w:id="470" w:name="_Toc296503106"/>
      <w:bookmarkStart w:id="471" w:name="_Toc322522574"/>
      <w:r>
        <w:rPr>
          <w:rFonts w:hint="eastAsia" w:ascii="宋体" w:hAnsi="宋体" w:eastAsia="宋体" w:cs="宋体"/>
        </w:rPr>
        <w:t>13. 验收和工程试车</w:t>
      </w:r>
      <w:bookmarkEnd w:id="466"/>
      <w:bookmarkEnd w:id="467"/>
    </w:p>
    <w:bookmarkEnd w:id="468"/>
    <w:bookmarkEnd w:id="469"/>
    <w:bookmarkEnd w:id="470"/>
    <w:bookmarkEnd w:id="471"/>
    <w:p w14:paraId="302E5F40">
      <w:pPr>
        <w:spacing w:line="360" w:lineRule="auto"/>
        <w:ind w:firstLine="480" w:firstLineChars="200"/>
        <w:rPr>
          <w:rFonts w:hint="eastAsia" w:ascii="宋体" w:hAnsi="宋体" w:eastAsia="宋体" w:cs="宋体"/>
        </w:rPr>
      </w:pPr>
      <w:bookmarkStart w:id="472" w:name="_Toc145583443"/>
      <w:bookmarkStart w:id="473" w:name="_Toc351203587"/>
      <w:bookmarkStart w:id="474" w:name="_Toc337558805"/>
      <w:bookmarkStart w:id="475" w:name="_Toc296503110"/>
      <w:bookmarkStart w:id="476" w:name="_Toc296346611"/>
      <w:r>
        <w:rPr>
          <w:rFonts w:hint="eastAsia" w:ascii="宋体" w:hAnsi="宋体" w:eastAsia="宋体" w:cs="宋体"/>
        </w:rPr>
        <w:t>13.1分部分项工程验收</w:t>
      </w:r>
      <w:bookmarkEnd w:id="472"/>
      <w:bookmarkEnd w:id="473"/>
    </w:p>
    <w:bookmarkEnd w:id="474"/>
    <w:p w14:paraId="5F171B92">
      <w:pPr>
        <w:spacing w:line="360" w:lineRule="auto"/>
        <w:ind w:firstLine="480" w:firstLineChars="200"/>
        <w:rPr>
          <w:rFonts w:hint="eastAsia" w:ascii="宋体" w:hAnsi="宋体" w:eastAsia="宋体" w:cs="宋体"/>
        </w:rPr>
      </w:pPr>
      <w:r>
        <w:rPr>
          <w:rFonts w:hint="eastAsia" w:ascii="宋体" w:hAnsi="宋体" w:eastAsia="宋体" w:cs="宋体"/>
        </w:rPr>
        <w:t>13.1.1 分部分项工程质量应符合国家有关工程施工验收规范、标准及合同约定，承包人应按照施工组织设计的要求完成分部分项工程施工。</w:t>
      </w:r>
    </w:p>
    <w:p w14:paraId="33E3D260">
      <w:pPr>
        <w:spacing w:line="360" w:lineRule="auto"/>
        <w:ind w:firstLine="480" w:firstLineChars="200"/>
        <w:rPr>
          <w:rFonts w:hint="eastAsia" w:ascii="宋体" w:hAnsi="宋体" w:eastAsia="宋体" w:cs="宋体"/>
        </w:rPr>
      </w:pPr>
      <w:r>
        <w:rPr>
          <w:rFonts w:hint="eastAsia" w:ascii="宋体" w:hAnsi="宋体" w:eastAsia="宋体" w:cs="宋体"/>
        </w:rPr>
        <w:t>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p>
    <w:p w14:paraId="0F60330B">
      <w:pPr>
        <w:spacing w:line="360" w:lineRule="auto"/>
        <w:ind w:firstLine="480" w:firstLineChars="200"/>
        <w:rPr>
          <w:rFonts w:hint="eastAsia" w:ascii="宋体" w:hAnsi="宋体" w:eastAsia="宋体" w:cs="宋体"/>
        </w:rPr>
      </w:pPr>
      <w:r>
        <w:rPr>
          <w:rFonts w:hint="eastAsia" w:ascii="宋体" w:hAnsi="宋体" w:eastAsia="宋体" w:cs="宋体"/>
        </w:rPr>
        <w:t>分部分项工程的验收资料应当作为竣工资料的组成部分。</w:t>
      </w:r>
    </w:p>
    <w:p w14:paraId="2FD5CD79">
      <w:pPr>
        <w:spacing w:line="360" w:lineRule="auto"/>
        <w:ind w:firstLine="480" w:firstLineChars="200"/>
        <w:rPr>
          <w:rFonts w:hint="eastAsia" w:ascii="宋体" w:hAnsi="宋体" w:eastAsia="宋体" w:cs="宋体"/>
        </w:rPr>
      </w:pPr>
      <w:bookmarkStart w:id="477" w:name="_Toc145583444"/>
      <w:bookmarkStart w:id="478" w:name="_Toc351203588"/>
      <w:bookmarkStart w:id="479" w:name="_Toc337558806"/>
      <w:r>
        <w:rPr>
          <w:rFonts w:hint="eastAsia" w:ascii="宋体" w:hAnsi="宋体" w:eastAsia="宋体" w:cs="宋体"/>
        </w:rPr>
        <w:t>13.2竣工验收</w:t>
      </w:r>
      <w:bookmarkEnd w:id="477"/>
      <w:bookmarkEnd w:id="478"/>
    </w:p>
    <w:bookmarkEnd w:id="475"/>
    <w:bookmarkEnd w:id="476"/>
    <w:bookmarkEnd w:id="479"/>
    <w:p w14:paraId="7AA0C4FD">
      <w:pPr>
        <w:spacing w:line="360" w:lineRule="auto"/>
        <w:ind w:firstLine="480" w:firstLineChars="200"/>
        <w:rPr>
          <w:rFonts w:hint="eastAsia" w:ascii="宋体" w:hAnsi="宋体" w:eastAsia="宋体" w:cs="宋体"/>
        </w:rPr>
      </w:pPr>
      <w:r>
        <w:rPr>
          <w:rFonts w:hint="eastAsia" w:ascii="宋体" w:hAnsi="宋体" w:eastAsia="宋体" w:cs="宋体"/>
        </w:rPr>
        <w:t>13.2.1竣工验收条件</w:t>
      </w:r>
    </w:p>
    <w:p w14:paraId="1019080F">
      <w:pPr>
        <w:spacing w:line="360" w:lineRule="auto"/>
        <w:ind w:firstLine="480" w:firstLineChars="200"/>
        <w:rPr>
          <w:rFonts w:hint="eastAsia" w:ascii="宋体" w:hAnsi="宋体" w:eastAsia="宋体" w:cs="宋体"/>
        </w:rPr>
      </w:pPr>
      <w:r>
        <w:rPr>
          <w:rFonts w:hint="eastAsia" w:ascii="宋体" w:hAnsi="宋体" w:eastAsia="宋体" w:cs="宋体"/>
        </w:rPr>
        <w:t>工程具备以下条件的，承包人可以申请竣工验收：</w:t>
      </w:r>
    </w:p>
    <w:p w14:paraId="5F542D3E">
      <w:pPr>
        <w:spacing w:line="360" w:lineRule="auto"/>
        <w:ind w:firstLine="480" w:firstLineChars="200"/>
        <w:rPr>
          <w:rFonts w:hint="eastAsia" w:ascii="宋体" w:hAnsi="宋体" w:eastAsia="宋体" w:cs="宋体"/>
        </w:rPr>
      </w:pPr>
      <w:r>
        <w:rPr>
          <w:rFonts w:hint="eastAsia" w:ascii="宋体" w:hAnsi="宋体" w:eastAsia="宋体" w:cs="宋体"/>
        </w:rPr>
        <w:t>（1）除发包人同意的甩项工作和缺陷修补工作外，合同范围内的全部工程以及有关工作，包括合同要求的试验、试运行以及检验均已完成，并符合合同要求；</w:t>
      </w:r>
    </w:p>
    <w:p w14:paraId="5609B8B5">
      <w:pPr>
        <w:spacing w:line="360" w:lineRule="auto"/>
        <w:ind w:firstLine="480" w:firstLineChars="200"/>
        <w:rPr>
          <w:rFonts w:hint="eastAsia" w:ascii="宋体" w:hAnsi="宋体" w:eastAsia="宋体" w:cs="宋体"/>
        </w:rPr>
      </w:pPr>
      <w:r>
        <w:rPr>
          <w:rFonts w:hint="eastAsia" w:ascii="宋体" w:hAnsi="宋体" w:eastAsia="宋体" w:cs="宋体"/>
        </w:rPr>
        <w:t>（2）已按合同约定编制了甩项工作和缺陷修补工作清单以及相应的施工计划；</w:t>
      </w:r>
    </w:p>
    <w:p w14:paraId="4BB55AC3">
      <w:pPr>
        <w:spacing w:line="360" w:lineRule="auto"/>
        <w:ind w:firstLine="480" w:firstLineChars="200"/>
        <w:rPr>
          <w:rFonts w:hint="eastAsia" w:ascii="宋体" w:hAnsi="宋体" w:eastAsia="宋体" w:cs="宋体"/>
        </w:rPr>
      </w:pPr>
      <w:r>
        <w:rPr>
          <w:rFonts w:hint="eastAsia" w:ascii="宋体" w:hAnsi="宋体" w:eastAsia="宋体" w:cs="宋体"/>
        </w:rPr>
        <w:t>（3）已按合同约定的内容和份数备齐竣工资料。</w:t>
      </w:r>
    </w:p>
    <w:p w14:paraId="635F56B1">
      <w:pPr>
        <w:spacing w:line="360" w:lineRule="auto"/>
        <w:ind w:firstLine="480" w:firstLineChars="200"/>
        <w:rPr>
          <w:rFonts w:hint="eastAsia" w:ascii="宋体" w:hAnsi="宋体" w:eastAsia="宋体" w:cs="宋体"/>
        </w:rPr>
      </w:pPr>
      <w:r>
        <w:rPr>
          <w:rFonts w:hint="eastAsia" w:ascii="宋体" w:hAnsi="宋体" w:eastAsia="宋体" w:cs="宋体"/>
        </w:rPr>
        <w:t>工程竣工后，</w:t>
      </w:r>
      <w:r>
        <w:rPr>
          <w:rFonts w:hint="eastAsia" w:ascii="宋体" w:hAnsi="宋体" w:eastAsia="宋体" w:cs="宋体"/>
          <w:lang w:eastAsia="zh-CN"/>
        </w:rPr>
        <w:t>如有需要，</w:t>
      </w:r>
      <w:r>
        <w:rPr>
          <w:rFonts w:hint="eastAsia" w:ascii="宋体" w:hAnsi="宋体" w:eastAsia="宋体" w:cs="宋体"/>
        </w:rPr>
        <w:t>乙方须配合甲方委托CMA机构，对室内空气质量进行检测，检测项目至少包含甲醛、苯、甲苯、二甲苯、TVOC五项，结果须符合《室内空气质量标准》（GB/T 18883-2022）。</w:t>
      </w:r>
    </w:p>
    <w:p w14:paraId="4B66ACB9">
      <w:pPr>
        <w:spacing w:line="360" w:lineRule="auto"/>
        <w:ind w:firstLine="480" w:firstLineChars="200"/>
        <w:rPr>
          <w:rFonts w:hint="eastAsia" w:ascii="宋体" w:hAnsi="宋体" w:eastAsia="宋体" w:cs="宋体"/>
        </w:rPr>
      </w:pPr>
      <w:r>
        <w:rPr>
          <w:rFonts w:hint="eastAsia" w:ascii="宋体" w:hAnsi="宋体" w:eastAsia="宋体" w:cs="宋体"/>
        </w:rPr>
        <w:t>13.2.2竣工验收程序</w:t>
      </w:r>
    </w:p>
    <w:p w14:paraId="269BFF0E">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除专用合同条款另有约定外，承包人申请竣工验收的，应当按照以下程序进行：</w:t>
      </w:r>
    </w:p>
    <w:p w14:paraId="7C8FCA28">
      <w:pPr>
        <w:spacing w:line="360" w:lineRule="auto"/>
        <w:ind w:firstLine="480" w:firstLineChars="200"/>
        <w:rPr>
          <w:rFonts w:hint="eastAsia" w:ascii="宋体" w:hAnsi="宋体" w:eastAsia="宋体" w:cs="宋体"/>
        </w:rPr>
      </w:pPr>
      <w:r>
        <w:rPr>
          <w:rFonts w:hint="eastAsia" w:ascii="宋体" w:hAnsi="宋体" w:eastAsia="宋体" w:cs="宋体"/>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178E2ED0">
      <w:pPr>
        <w:spacing w:line="360" w:lineRule="auto"/>
        <w:ind w:firstLine="480" w:firstLineChars="200"/>
        <w:rPr>
          <w:rFonts w:hint="eastAsia" w:ascii="宋体" w:hAnsi="宋体" w:eastAsia="宋体" w:cs="宋体"/>
        </w:rPr>
      </w:pPr>
      <w:r>
        <w:rPr>
          <w:rFonts w:hint="eastAsia" w:ascii="宋体" w:hAnsi="宋体" w:eastAsia="宋体" w:cs="宋体"/>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1A1CEE4E">
      <w:pPr>
        <w:spacing w:line="360" w:lineRule="auto"/>
        <w:ind w:firstLine="480" w:firstLineChars="200"/>
        <w:rPr>
          <w:rFonts w:hint="eastAsia" w:ascii="宋体" w:hAnsi="宋体" w:eastAsia="宋体" w:cs="宋体"/>
        </w:rPr>
      </w:pPr>
      <w:r>
        <w:rPr>
          <w:rFonts w:hint="eastAsia" w:ascii="宋体" w:hAnsi="宋体" w:eastAsia="宋体" w:cs="宋体"/>
        </w:rPr>
        <w:t>（3）竣工验收合格的，发包人应在验收合格后14天内向承包人签发工程接收证书。发包人无正当理由逾期不颁发工程接收证书的，自验收合格后第15天起视为已颁发工程接收证书。</w:t>
      </w:r>
    </w:p>
    <w:p w14:paraId="0FCD505D">
      <w:pPr>
        <w:spacing w:line="360" w:lineRule="auto"/>
        <w:ind w:firstLine="480" w:firstLineChars="200"/>
        <w:rPr>
          <w:rFonts w:hint="eastAsia" w:ascii="宋体" w:hAnsi="宋体" w:eastAsia="宋体" w:cs="宋体"/>
        </w:rPr>
      </w:pPr>
      <w:r>
        <w:rPr>
          <w:rFonts w:hint="eastAsia" w:ascii="宋体" w:hAnsi="宋体" w:eastAsia="宋体" w:cs="宋体"/>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04948242">
      <w:pPr>
        <w:spacing w:line="360" w:lineRule="auto"/>
        <w:ind w:firstLine="480" w:firstLineChars="200"/>
        <w:rPr>
          <w:rFonts w:hint="eastAsia" w:ascii="宋体" w:hAnsi="宋体" w:eastAsia="宋体" w:cs="宋体"/>
        </w:rPr>
      </w:pPr>
      <w:r>
        <w:rPr>
          <w:rFonts w:hint="eastAsia" w:ascii="宋体" w:hAnsi="宋体" w:eastAsia="宋体" w:cs="宋体"/>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2E50FB31">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除专用合同条款另有约定外，发包人不按照本项约定组织竣工验收、颁发工程接收证书的，每逾期一天，应以签约合同价为基数，按照中国人民银行发布的同期同类贷款基准利率支付违约金。</w:t>
      </w:r>
    </w:p>
    <w:p w14:paraId="558AAD77">
      <w:pPr>
        <w:spacing w:line="360" w:lineRule="auto"/>
        <w:ind w:firstLine="480" w:firstLineChars="200"/>
        <w:rPr>
          <w:rFonts w:hint="eastAsia" w:ascii="宋体" w:hAnsi="宋体" w:eastAsia="宋体" w:cs="宋体"/>
        </w:rPr>
      </w:pPr>
      <w:r>
        <w:rPr>
          <w:rFonts w:hint="eastAsia" w:ascii="宋体" w:hAnsi="宋体" w:eastAsia="宋体" w:cs="宋体"/>
        </w:rPr>
        <w:t>13.2.3竣工日期</w:t>
      </w:r>
    </w:p>
    <w:p w14:paraId="3BEA5601">
      <w:pPr>
        <w:spacing w:line="360" w:lineRule="auto"/>
        <w:ind w:firstLine="480" w:firstLineChars="200"/>
        <w:rPr>
          <w:rFonts w:hint="eastAsia" w:ascii="宋体" w:hAnsi="宋体" w:eastAsia="宋体" w:cs="宋体"/>
        </w:rPr>
      </w:pPr>
      <w:r>
        <w:rPr>
          <w:rFonts w:hint="eastAsia" w:ascii="宋体" w:hAnsi="宋体" w:eastAsia="宋体" w:cs="宋体"/>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80" w:name="#go14"/>
      <w:bookmarkEnd w:id="480"/>
      <w:r>
        <w:rPr>
          <w:rFonts w:hint="eastAsia" w:ascii="宋体" w:hAnsi="宋体" w:eastAsia="宋体" w:cs="宋体"/>
        </w:rPr>
        <w:t>收申请报告的日期为实际竣工日期；工程未经竣工验收，发包人擅自使用的，以转移占有工程之日为实际竣工日期。</w:t>
      </w:r>
    </w:p>
    <w:p w14:paraId="12F0AF4F">
      <w:pPr>
        <w:spacing w:line="360" w:lineRule="auto"/>
        <w:ind w:firstLine="480" w:firstLineChars="200"/>
        <w:rPr>
          <w:rFonts w:hint="eastAsia" w:ascii="宋体" w:hAnsi="宋体" w:eastAsia="宋体" w:cs="宋体"/>
        </w:rPr>
      </w:pPr>
      <w:bookmarkStart w:id="481" w:name="_Toc145583445"/>
      <w:r>
        <w:rPr>
          <w:rFonts w:hint="eastAsia" w:ascii="宋体" w:hAnsi="宋体" w:eastAsia="宋体" w:cs="宋体"/>
        </w:rPr>
        <w:t>13.2.4 拒绝接收全部或部分工程</w:t>
      </w:r>
      <w:bookmarkEnd w:id="481"/>
    </w:p>
    <w:p w14:paraId="38EFD3AD">
      <w:pPr>
        <w:spacing w:line="360" w:lineRule="auto"/>
        <w:ind w:firstLine="480" w:firstLineChars="200"/>
        <w:rPr>
          <w:rFonts w:hint="eastAsia" w:ascii="宋体" w:hAnsi="宋体" w:eastAsia="宋体" w:cs="宋体"/>
        </w:rPr>
      </w:pPr>
      <w:r>
        <w:rPr>
          <w:rFonts w:hint="eastAsia" w:ascii="宋体" w:hAnsi="宋体" w:eastAsia="宋体" w:cs="宋体"/>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156723F1">
      <w:pPr>
        <w:spacing w:line="360" w:lineRule="auto"/>
        <w:ind w:firstLine="480" w:firstLineChars="200"/>
        <w:rPr>
          <w:rFonts w:hint="eastAsia" w:ascii="宋体" w:hAnsi="宋体" w:eastAsia="宋体" w:cs="宋体"/>
        </w:rPr>
      </w:pPr>
      <w:r>
        <w:rPr>
          <w:rFonts w:hint="eastAsia" w:ascii="宋体" w:hAnsi="宋体" w:eastAsia="宋体" w:cs="宋体"/>
        </w:rPr>
        <w:t>13.2.5 移交、接收全部与部分工程</w:t>
      </w:r>
    </w:p>
    <w:p w14:paraId="12F32D35">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除专用合同条款另有约定外，合同当事人应当在颁发工程接收证书后7天内完成工程的移交。</w:t>
      </w:r>
    </w:p>
    <w:p w14:paraId="7BE68430">
      <w:pPr>
        <w:spacing w:line="360" w:lineRule="auto"/>
        <w:ind w:firstLine="480" w:firstLineChars="200"/>
        <w:rPr>
          <w:rFonts w:hint="eastAsia" w:ascii="宋体" w:hAnsi="宋体" w:eastAsia="宋体" w:cs="宋体"/>
        </w:rPr>
      </w:pPr>
      <w:r>
        <w:rPr>
          <w:rFonts w:hint="eastAsia" w:ascii="宋体" w:hAnsi="宋体" w:eastAsia="宋体" w:cs="宋体"/>
        </w:rPr>
        <w:t>发包人无正当理由不接收工程的，发包人自应当接收工程之日起，承担工程照管、成品保护、保管等与工程有关的各项费用，合同当事人可以在专用合同条款中另行约定发包人逾期接收工程的违约责任。</w:t>
      </w:r>
    </w:p>
    <w:p w14:paraId="52B39AEC">
      <w:pPr>
        <w:spacing w:line="360" w:lineRule="auto"/>
        <w:ind w:firstLine="480" w:firstLineChars="200"/>
        <w:rPr>
          <w:rFonts w:hint="eastAsia" w:ascii="宋体" w:hAnsi="宋体" w:eastAsia="宋体" w:cs="宋体"/>
        </w:rPr>
      </w:pPr>
      <w:r>
        <w:rPr>
          <w:rFonts w:hint="eastAsia" w:ascii="宋体" w:hAnsi="宋体" w:eastAsia="宋体" w:cs="宋体"/>
        </w:rPr>
        <w:t>承包人无正当理由不移交工程的，承包人应承担工程照管、成品保护、保管等与工程有关的各项费用，合同当事人可以在专用合同条款中另行约定承包人无正当理由不移交工程的违约责任。</w:t>
      </w:r>
    </w:p>
    <w:p w14:paraId="6659AD7E">
      <w:pPr>
        <w:spacing w:line="360" w:lineRule="auto"/>
        <w:ind w:firstLine="480" w:firstLineChars="200"/>
        <w:rPr>
          <w:rFonts w:hint="eastAsia" w:ascii="宋体" w:hAnsi="宋体" w:eastAsia="宋体" w:cs="宋体"/>
        </w:rPr>
      </w:pPr>
      <w:bookmarkStart w:id="482" w:name="_Toc145583446"/>
      <w:bookmarkStart w:id="483" w:name="_Toc351203589"/>
      <w:bookmarkStart w:id="484" w:name="_Toc337558807"/>
      <w:bookmarkStart w:id="485" w:name="_Toc296503111"/>
      <w:bookmarkStart w:id="486" w:name="_Toc296346612"/>
      <w:r>
        <w:rPr>
          <w:rFonts w:hint="eastAsia" w:ascii="宋体" w:hAnsi="宋体" w:eastAsia="宋体" w:cs="宋体"/>
        </w:rPr>
        <w:t>13.3工程试车</w:t>
      </w:r>
      <w:bookmarkEnd w:id="482"/>
      <w:bookmarkEnd w:id="483"/>
    </w:p>
    <w:bookmarkEnd w:id="484"/>
    <w:bookmarkEnd w:id="485"/>
    <w:bookmarkEnd w:id="486"/>
    <w:p w14:paraId="5CF4C4EB">
      <w:pPr>
        <w:spacing w:line="360" w:lineRule="auto"/>
        <w:ind w:firstLine="480" w:firstLineChars="200"/>
        <w:rPr>
          <w:rFonts w:hint="eastAsia" w:ascii="宋体" w:hAnsi="宋体" w:eastAsia="宋体" w:cs="宋体"/>
        </w:rPr>
      </w:pPr>
      <w:r>
        <w:rPr>
          <w:rFonts w:hint="eastAsia" w:ascii="宋体" w:hAnsi="宋体" w:eastAsia="宋体" w:cs="宋体"/>
        </w:rPr>
        <w:t>13.3.1试车程序</w:t>
      </w:r>
    </w:p>
    <w:p w14:paraId="54F77B0E">
      <w:pPr>
        <w:spacing w:line="360" w:lineRule="auto"/>
        <w:ind w:firstLine="480" w:firstLineChars="200"/>
        <w:rPr>
          <w:rFonts w:hint="eastAsia" w:ascii="宋体" w:hAnsi="宋体" w:eastAsia="宋体" w:cs="宋体"/>
        </w:rPr>
      </w:pPr>
      <w:r>
        <w:rPr>
          <w:rFonts w:hint="eastAsia" w:ascii="宋体" w:hAnsi="宋体" w:eastAsia="宋体" w:cs="宋体"/>
        </w:rPr>
        <w:t>工程需要试车的，除专用合同条款另有约定外，试车内容应与承包人承包范围相一致，试车费用由承包人承担。工程试车应按如下程序进行：</w:t>
      </w:r>
    </w:p>
    <w:p w14:paraId="4AA2C540">
      <w:pPr>
        <w:spacing w:line="360" w:lineRule="auto"/>
        <w:ind w:firstLine="480" w:firstLineChars="200"/>
        <w:rPr>
          <w:rFonts w:hint="eastAsia" w:ascii="宋体" w:hAnsi="宋体" w:eastAsia="宋体" w:cs="宋体"/>
        </w:rPr>
      </w:pPr>
      <w:r>
        <w:rPr>
          <w:rFonts w:hint="eastAsia" w:ascii="宋体" w:hAnsi="宋体" w:eastAsia="宋体" w:cs="宋体"/>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1614C4AD">
      <w:pPr>
        <w:spacing w:line="360" w:lineRule="auto"/>
        <w:ind w:firstLine="480" w:firstLineChars="200"/>
        <w:rPr>
          <w:rFonts w:hint="eastAsia" w:ascii="宋体" w:hAnsi="宋体" w:eastAsia="宋体" w:cs="宋体"/>
        </w:rPr>
      </w:pPr>
      <w:r>
        <w:rPr>
          <w:rFonts w:hint="eastAsia" w:ascii="宋体" w:hAnsi="宋体" w:eastAsia="宋体" w:cs="宋体"/>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1F416989">
      <w:pPr>
        <w:spacing w:line="360" w:lineRule="auto"/>
        <w:ind w:firstLine="480" w:firstLineChars="200"/>
        <w:rPr>
          <w:rFonts w:hint="eastAsia" w:ascii="宋体" w:hAnsi="宋体" w:eastAsia="宋体" w:cs="宋体"/>
        </w:rPr>
      </w:pPr>
      <w:r>
        <w:rPr>
          <w:rFonts w:hint="eastAsia" w:ascii="宋体" w:hAnsi="宋体" w:eastAsia="宋体" w:cs="宋体"/>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76852A3C">
      <w:pPr>
        <w:spacing w:line="360" w:lineRule="auto"/>
        <w:ind w:firstLine="480" w:firstLineChars="200"/>
        <w:rPr>
          <w:rFonts w:hint="eastAsia" w:ascii="宋体" w:hAnsi="宋体" w:eastAsia="宋体" w:cs="宋体"/>
        </w:rPr>
      </w:pPr>
      <w:r>
        <w:rPr>
          <w:rFonts w:hint="eastAsia" w:ascii="宋体" w:hAnsi="宋体" w:eastAsia="宋体" w:cs="宋体"/>
        </w:rPr>
        <w:t>13.3.2 试车中的责任</w:t>
      </w:r>
    </w:p>
    <w:p w14:paraId="31D2D4EA">
      <w:pPr>
        <w:spacing w:line="360" w:lineRule="auto"/>
        <w:ind w:firstLine="480" w:firstLineChars="200"/>
        <w:rPr>
          <w:rFonts w:hint="eastAsia" w:ascii="宋体" w:hAnsi="宋体" w:eastAsia="宋体" w:cs="宋体"/>
        </w:rPr>
      </w:pPr>
      <w:r>
        <w:rPr>
          <w:rFonts w:hint="eastAsia" w:ascii="宋体" w:hAnsi="宋体" w:eastAsia="宋体" w:cs="宋体"/>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53F3D01C">
      <w:pPr>
        <w:spacing w:line="360" w:lineRule="auto"/>
        <w:ind w:firstLine="480" w:firstLineChars="200"/>
        <w:rPr>
          <w:rFonts w:hint="eastAsia" w:ascii="宋体" w:hAnsi="宋体" w:eastAsia="宋体" w:cs="宋体"/>
        </w:rPr>
      </w:pPr>
      <w:r>
        <w:rPr>
          <w:rFonts w:hint="eastAsia" w:ascii="宋体" w:hAnsi="宋体" w:eastAsia="宋体" w:cs="宋体"/>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329F4480">
      <w:pPr>
        <w:spacing w:line="360" w:lineRule="auto"/>
        <w:ind w:firstLine="480" w:firstLineChars="200"/>
        <w:rPr>
          <w:rFonts w:hint="eastAsia" w:ascii="宋体" w:hAnsi="宋体" w:eastAsia="宋体" w:cs="宋体"/>
        </w:rPr>
      </w:pPr>
      <w:r>
        <w:rPr>
          <w:rFonts w:hint="eastAsia" w:ascii="宋体" w:hAnsi="宋体" w:eastAsia="宋体" w:cs="宋体"/>
        </w:rPr>
        <w:t>13.3.3 投料试车</w:t>
      </w:r>
    </w:p>
    <w:p w14:paraId="540671B7">
      <w:pPr>
        <w:spacing w:line="360" w:lineRule="auto"/>
        <w:ind w:firstLine="480" w:firstLineChars="200"/>
        <w:rPr>
          <w:rFonts w:hint="eastAsia" w:ascii="宋体" w:hAnsi="宋体" w:eastAsia="宋体" w:cs="宋体"/>
        </w:rPr>
      </w:pPr>
      <w:r>
        <w:rPr>
          <w:rFonts w:hint="eastAsia" w:ascii="宋体" w:hAnsi="宋体" w:eastAsia="宋体" w:cs="宋体"/>
        </w:rPr>
        <w:t>如需进行投料试车的，发包人应在工程竣工验收后组织投料试车。发包人要求在工程竣工验收前进行或需要承包人配合时，应征得承包人同意，并在专用合同条款中约定有关事项。</w:t>
      </w:r>
    </w:p>
    <w:p w14:paraId="5D41AA1E">
      <w:pPr>
        <w:spacing w:line="360" w:lineRule="auto"/>
        <w:ind w:firstLine="480" w:firstLineChars="200"/>
        <w:rPr>
          <w:rFonts w:hint="eastAsia" w:ascii="宋体" w:hAnsi="宋体" w:eastAsia="宋体" w:cs="宋体"/>
        </w:rPr>
      </w:pPr>
      <w:r>
        <w:rPr>
          <w:rFonts w:hint="eastAsia" w:ascii="宋体" w:hAnsi="宋体" w:eastAsia="宋体" w:cs="宋体"/>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23DD9E82">
      <w:pPr>
        <w:spacing w:line="360" w:lineRule="auto"/>
        <w:ind w:firstLine="480" w:firstLineChars="200"/>
        <w:rPr>
          <w:rFonts w:hint="eastAsia" w:ascii="宋体" w:hAnsi="宋体" w:eastAsia="宋体" w:cs="宋体"/>
        </w:rPr>
      </w:pPr>
      <w:bookmarkStart w:id="487" w:name="_Toc337558808"/>
      <w:r>
        <w:rPr>
          <w:rFonts w:hint="eastAsia" w:ascii="宋体" w:hAnsi="宋体" w:eastAsia="宋体" w:cs="宋体"/>
        </w:rPr>
        <w:t xml:space="preserve">    </w:t>
      </w:r>
      <w:bookmarkStart w:id="488" w:name="_Toc351203590"/>
      <w:bookmarkStart w:id="489" w:name="_Toc145583447"/>
      <w:r>
        <w:rPr>
          <w:rFonts w:hint="eastAsia" w:ascii="宋体" w:hAnsi="宋体" w:eastAsia="宋体" w:cs="宋体"/>
        </w:rPr>
        <w:t>13.4提前交付单位工程的验收</w:t>
      </w:r>
      <w:bookmarkEnd w:id="488"/>
      <w:bookmarkEnd w:id="489"/>
    </w:p>
    <w:bookmarkEnd w:id="487"/>
    <w:p w14:paraId="07141C6D">
      <w:pPr>
        <w:spacing w:line="360" w:lineRule="auto"/>
        <w:ind w:firstLine="480" w:firstLineChars="200"/>
        <w:rPr>
          <w:rFonts w:hint="eastAsia" w:ascii="宋体" w:hAnsi="宋体" w:eastAsia="宋体" w:cs="宋体"/>
        </w:rPr>
      </w:pPr>
      <w:r>
        <w:rPr>
          <w:rFonts w:hint="eastAsia" w:ascii="宋体" w:hAnsi="宋体" w:eastAsia="宋体" w:cs="宋体"/>
        </w:rPr>
        <w:t>13.4.1 发包人需要在工程竣工前使用单位工程的，或承包人提出提前交付已经竣工的单位工程且经发包人同意的，可进行单位工程验收，验收的程序按照第13.2款〔竣工验收〕的约定进行。</w:t>
      </w:r>
    </w:p>
    <w:p w14:paraId="5B9ED94F">
      <w:pPr>
        <w:spacing w:line="360" w:lineRule="auto"/>
        <w:ind w:firstLine="480" w:firstLineChars="200"/>
        <w:rPr>
          <w:rFonts w:hint="eastAsia" w:ascii="宋体" w:hAnsi="宋体" w:eastAsia="宋体" w:cs="宋体"/>
        </w:rPr>
      </w:pPr>
      <w:r>
        <w:rPr>
          <w:rFonts w:hint="eastAsia" w:ascii="宋体" w:hAnsi="宋体" w:eastAsia="宋体" w:cs="宋体"/>
        </w:rPr>
        <w:t>验收合格后，由监理人向承包人出具经发包人签认的单位工程接收证书。已签发单位工程接收证书的单位工程由发包人负责照管。单位工程的验收成果和结论作为整体工程竣工验收申请报告的附件。</w:t>
      </w:r>
    </w:p>
    <w:p w14:paraId="3AB28955">
      <w:pPr>
        <w:spacing w:line="360" w:lineRule="auto"/>
        <w:ind w:firstLine="480" w:firstLineChars="200"/>
        <w:rPr>
          <w:rFonts w:hint="eastAsia" w:ascii="宋体" w:hAnsi="宋体" w:eastAsia="宋体" w:cs="宋体"/>
        </w:rPr>
      </w:pPr>
      <w:r>
        <w:rPr>
          <w:rFonts w:hint="eastAsia" w:ascii="宋体" w:hAnsi="宋体" w:eastAsia="宋体" w:cs="宋体"/>
        </w:rPr>
        <w:t>13.4.2 发包人要求在工程竣工前交付单位工程，由此导致承包人费用增加和（或）工期延误的，由发包人承担由此增加的费用和（或）延误的工期，并支付承包人合理的利润。</w:t>
      </w:r>
    </w:p>
    <w:p w14:paraId="39A73CF9">
      <w:pPr>
        <w:spacing w:line="360" w:lineRule="auto"/>
        <w:ind w:firstLine="480" w:firstLineChars="200"/>
        <w:rPr>
          <w:rFonts w:hint="eastAsia" w:ascii="宋体" w:hAnsi="宋体" w:eastAsia="宋体" w:cs="宋体"/>
        </w:rPr>
      </w:pPr>
      <w:bookmarkStart w:id="490" w:name="_Toc351203591"/>
      <w:bookmarkStart w:id="491" w:name="_Toc145583448"/>
      <w:r>
        <w:rPr>
          <w:rFonts w:hint="eastAsia" w:ascii="宋体" w:hAnsi="宋体" w:eastAsia="宋体" w:cs="宋体"/>
        </w:rPr>
        <w:t>13.5 施工期运行</w:t>
      </w:r>
      <w:bookmarkEnd w:id="490"/>
      <w:bookmarkEnd w:id="491"/>
    </w:p>
    <w:p w14:paraId="6A8BFB18">
      <w:pPr>
        <w:spacing w:line="360" w:lineRule="auto"/>
        <w:ind w:firstLine="480" w:firstLineChars="200"/>
        <w:rPr>
          <w:rFonts w:hint="eastAsia" w:ascii="宋体" w:hAnsi="宋体" w:eastAsia="宋体" w:cs="宋体"/>
        </w:rPr>
      </w:pPr>
      <w:r>
        <w:rPr>
          <w:rFonts w:hint="eastAsia" w:ascii="宋体" w:hAnsi="宋体" w:eastAsia="宋体" w:cs="宋体"/>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78ED94ED">
      <w:pPr>
        <w:spacing w:line="360" w:lineRule="auto"/>
        <w:ind w:firstLine="480" w:firstLineChars="200"/>
        <w:rPr>
          <w:rFonts w:hint="eastAsia" w:ascii="宋体" w:hAnsi="宋体" w:eastAsia="宋体" w:cs="宋体"/>
        </w:rPr>
      </w:pPr>
      <w:r>
        <w:rPr>
          <w:rFonts w:hint="eastAsia" w:ascii="宋体" w:hAnsi="宋体" w:eastAsia="宋体" w:cs="宋体"/>
        </w:rPr>
        <w:t>13.5.2 在施工期运行中发现工程或工程设备损坏或存在缺陷的，由承包人按第15.2款〔缺陷责任期〕约定进行修复。</w:t>
      </w:r>
    </w:p>
    <w:p w14:paraId="0C276065">
      <w:pPr>
        <w:spacing w:line="360" w:lineRule="auto"/>
        <w:ind w:firstLine="480" w:firstLineChars="200"/>
        <w:rPr>
          <w:rFonts w:hint="eastAsia" w:ascii="宋体" w:hAnsi="宋体" w:eastAsia="宋体" w:cs="宋体"/>
        </w:rPr>
      </w:pPr>
      <w:bookmarkStart w:id="492" w:name="_Toc296346613"/>
      <w:bookmarkStart w:id="493" w:name="_Toc296503112"/>
      <w:bookmarkStart w:id="494" w:name="_Toc145583449"/>
      <w:bookmarkStart w:id="495" w:name="_Toc351203592"/>
      <w:bookmarkStart w:id="496" w:name="_Toc337558809"/>
      <w:r>
        <w:rPr>
          <w:rFonts w:hint="eastAsia" w:ascii="宋体" w:hAnsi="宋体" w:eastAsia="宋体" w:cs="宋体"/>
        </w:rPr>
        <w:t>13.6 竣工退</w:t>
      </w:r>
      <w:bookmarkEnd w:id="492"/>
      <w:bookmarkEnd w:id="493"/>
      <w:r>
        <w:rPr>
          <w:rFonts w:hint="eastAsia" w:ascii="宋体" w:hAnsi="宋体" w:eastAsia="宋体" w:cs="宋体"/>
        </w:rPr>
        <w:t>场</w:t>
      </w:r>
      <w:bookmarkEnd w:id="494"/>
      <w:bookmarkEnd w:id="495"/>
    </w:p>
    <w:bookmarkEnd w:id="496"/>
    <w:p w14:paraId="040FD842">
      <w:pPr>
        <w:spacing w:line="360" w:lineRule="auto"/>
        <w:ind w:firstLine="480" w:firstLineChars="200"/>
        <w:rPr>
          <w:rFonts w:hint="eastAsia" w:ascii="宋体" w:hAnsi="宋体" w:eastAsia="宋体" w:cs="宋体"/>
        </w:rPr>
      </w:pPr>
      <w:r>
        <w:rPr>
          <w:rFonts w:hint="eastAsia" w:ascii="宋体" w:hAnsi="宋体" w:eastAsia="宋体" w:cs="宋体"/>
        </w:rPr>
        <w:t>13.6.1 竣工退场</w:t>
      </w:r>
    </w:p>
    <w:p w14:paraId="31EAEBF6">
      <w:pPr>
        <w:spacing w:line="360" w:lineRule="auto"/>
        <w:ind w:firstLine="480" w:firstLineChars="200"/>
        <w:rPr>
          <w:rFonts w:hint="eastAsia" w:ascii="宋体" w:hAnsi="宋体" w:eastAsia="宋体" w:cs="宋体"/>
        </w:rPr>
      </w:pPr>
      <w:r>
        <w:rPr>
          <w:rFonts w:hint="eastAsia" w:ascii="宋体" w:hAnsi="宋体" w:eastAsia="宋体" w:cs="宋体"/>
        </w:rPr>
        <w:t>颁发工程接收证书后，承包人应按以下要求对施工现场进行清理：</w:t>
      </w:r>
    </w:p>
    <w:p w14:paraId="1AAE349F">
      <w:pPr>
        <w:spacing w:line="360" w:lineRule="auto"/>
        <w:ind w:firstLine="480" w:firstLineChars="200"/>
        <w:rPr>
          <w:rFonts w:hint="eastAsia" w:ascii="宋体" w:hAnsi="宋体" w:eastAsia="宋体" w:cs="宋体"/>
        </w:rPr>
      </w:pPr>
      <w:r>
        <w:rPr>
          <w:rFonts w:hint="eastAsia" w:ascii="宋体" w:hAnsi="宋体" w:eastAsia="宋体" w:cs="宋体"/>
        </w:rPr>
        <w:t>（1）施工现场内残留的垃圾已全部清除出场；</w:t>
      </w:r>
    </w:p>
    <w:p w14:paraId="75D8F85C">
      <w:pPr>
        <w:spacing w:line="360" w:lineRule="auto"/>
        <w:ind w:firstLine="480" w:firstLineChars="200"/>
        <w:rPr>
          <w:rFonts w:hint="eastAsia" w:ascii="宋体" w:hAnsi="宋体" w:eastAsia="宋体" w:cs="宋体"/>
        </w:rPr>
      </w:pPr>
      <w:r>
        <w:rPr>
          <w:rFonts w:hint="eastAsia" w:ascii="宋体" w:hAnsi="宋体" w:eastAsia="宋体" w:cs="宋体"/>
        </w:rPr>
        <w:t>（2）临时工程已拆除，场地已进行清理、平整或复原；</w:t>
      </w:r>
    </w:p>
    <w:p w14:paraId="71CB2F29">
      <w:pPr>
        <w:spacing w:line="360" w:lineRule="auto"/>
        <w:ind w:firstLine="480" w:firstLineChars="200"/>
        <w:rPr>
          <w:rFonts w:hint="eastAsia" w:ascii="宋体" w:hAnsi="宋体" w:eastAsia="宋体" w:cs="宋体"/>
        </w:rPr>
      </w:pPr>
      <w:r>
        <w:rPr>
          <w:rFonts w:hint="eastAsia" w:ascii="宋体" w:hAnsi="宋体" w:eastAsia="宋体" w:cs="宋体"/>
        </w:rPr>
        <w:t>（3）按合同约定应撤离的人员、承包人施工设备和剩余的材料，包括废弃的施工设备和材料，已按计划撤离施工现场；</w:t>
      </w:r>
    </w:p>
    <w:p w14:paraId="00C0CA6A">
      <w:pPr>
        <w:spacing w:line="360" w:lineRule="auto"/>
        <w:ind w:firstLine="480" w:firstLineChars="200"/>
        <w:rPr>
          <w:rFonts w:hint="eastAsia" w:ascii="宋体" w:hAnsi="宋体" w:eastAsia="宋体" w:cs="宋体"/>
        </w:rPr>
      </w:pPr>
      <w:r>
        <w:rPr>
          <w:rFonts w:hint="eastAsia" w:ascii="宋体" w:hAnsi="宋体" w:eastAsia="宋体" w:cs="宋体"/>
        </w:rPr>
        <w:t>（4）施工现场周边及其附近道路、河道的施工堆积物，已全部清理；</w:t>
      </w:r>
    </w:p>
    <w:p w14:paraId="3F5857DE">
      <w:pPr>
        <w:spacing w:line="360" w:lineRule="auto"/>
        <w:ind w:firstLine="480" w:firstLineChars="200"/>
        <w:rPr>
          <w:rFonts w:hint="eastAsia" w:ascii="宋体" w:hAnsi="宋体" w:eastAsia="宋体" w:cs="宋体"/>
        </w:rPr>
      </w:pPr>
      <w:r>
        <w:rPr>
          <w:rFonts w:hint="eastAsia" w:ascii="宋体" w:hAnsi="宋体" w:eastAsia="宋体" w:cs="宋体"/>
        </w:rPr>
        <w:t>（5）施工现场其他场地清理工作已全部完成。</w:t>
      </w:r>
    </w:p>
    <w:p w14:paraId="0A561F92">
      <w:pPr>
        <w:spacing w:line="360" w:lineRule="auto"/>
        <w:ind w:firstLine="480" w:firstLineChars="200"/>
        <w:rPr>
          <w:rFonts w:hint="eastAsia" w:ascii="宋体" w:hAnsi="宋体" w:eastAsia="宋体" w:cs="宋体"/>
        </w:rPr>
      </w:pPr>
      <w:r>
        <w:rPr>
          <w:rFonts w:hint="eastAsia" w:ascii="宋体" w:hAnsi="宋体" w:eastAsia="宋体" w:cs="宋体"/>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399A0AD7">
      <w:pPr>
        <w:spacing w:line="360" w:lineRule="auto"/>
        <w:ind w:firstLine="480" w:firstLineChars="200"/>
        <w:rPr>
          <w:rFonts w:hint="eastAsia" w:ascii="宋体" w:hAnsi="宋体" w:eastAsia="宋体" w:cs="宋体"/>
        </w:rPr>
      </w:pPr>
      <w:r>
        <w:rPr>
          <w:rFonts w:hint="eastAsia" w:ascii="宋体" w:hAnsi="宋体" w:eastAsia="宋体" w:cs="宋体"/>
        </w:rPr>
        <w:t>13.6.2 地表还原</w:t>
      </w:r>
    </w:p>
    <w:p w14:paraId="2FB3077F">
      <w:pPr>
        <w:spacing w:line="360" w:lineRule="auto"/>
        <w:ind w:firstLine="480" w:firstLineChars="200"/>
        <w:rPr>
          <w:rFonts w:hint="eastAsia" w:ascii="宋体" w:hAnsi="宋体" w:eastAsia="宋体" w:cs="宋体"/>
        </w:rPr>
      </w:pPr>
      <w:r>
        <w:rPr>
          <w:rFonts w:hint="eastAsia" w:ascii="宋体" w:hAnsi="宋体" w:eastAsia="宋体" w:cs="宋体"/>
        </w:rPr>
        <w:t>承包人应按发包人要求恢复临时占地及清理场地，承包人未按发包人的要求恢复临时占地，或者场地清理未达到合同约定要求的，发包人有权委托其他人恢复或清理，所发生的费用由承包人承担。</w:t>
      </w:r>
    </w:p>
    <w:p w14:paraId="26110453">
      <w:pPr>
        <w:spacing w:line="360" w:lineRule="auto"/>
        <w:ind w:firstLine="480" w:firstLineChars="200"/>
        <w:rPr>
          <w:rFonts w:hint="eastAsia" w:ascii="宋体" w:hAnsi="宋体" w:eastAsia="宋体" w:cs="宋体"/>
        </w:rPr>
      </w:pPr>
      <w:bookmarkStart w:id="497" w:name="_Toc145583450"/>
      <w:bookmarkStart w:id="498" w:name="_Toc351203593"/>
      <w:bookmarkStart w:id="499" w:name="_Toc337558810"/>
      <w:bookmarkStart w:id="500" w:name="_Toc296346614"/>
      <w:bookmarkStart w:id="501" w:name="_Toc296503113"/>
      <w:r>
        <w:rPr>
          <w:rFonts w:hint="eastAsia" w:ascii="宋体" w:hAnsi="宋体" w:eastAsia="宋体" w:cs="宋体"/>
        </w:rPr>
        <w:t>14. 竣工结算</w:t>
      </w:r>
      <w:bookmarkEnd w:id="497"/>
      <w:bookmarkEnd w:id="498"/>
    </w:p>
    <w:bookmarkEnd w:id="499"/>
    <w:p w14:paraId="324EA347">
      <w:pPr>
        <w:spacing w:line="360" w:lineRule="auto"/>
        <w:ind w:firstLine="480" w:firstLineChars="200"/>
        <w:rPr>
          <w:rFonts w:hint="eastAsia" w:ascii="宋体" w:hAnsi="宋体" w:eastAsia="宋体" w:cs="宋体"/>
        </w:rPr>
      </w:pPr>
      <w:bookmarkStart w:id="502" w:name="_Toc145583451"/>
      <w:bookmarkStart w:id="503" w:name="_Toc351203594"/>
      <w:bookmarkStart w:id="504" w:name="_Toc337558811"/>
      <w:r>
        <w:rPr>
          <w:rFonts w:hint="eastAsia" w:ascii="宋体" w:hAnsi="宋体" w:eastAsia="宋体" w:cs="宋体"/>
        </w:rPr>
        <w:t>14.1 竣工结算申请</w:t>
      </w:r>
      <w:bookmarkEnd w:id="502"/>
      <w:bookmarkEnd w:id="503"/>
    </w:p>
    <w:bookmarkEnd w:id="504"/>
    <w:p w14:paraId="6B66B50C">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p>
    <w:p w14:paraId="7CD2BC6E">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除专用合同条款另有约定外，竣工结算申请单应包括以下内容：</w:t>
      </w:r>
    </w:p>
    <w:p w14:paraId="4C33BBF1">
      <w:pPr>
        <w:spacing w:line="360" w:lineRule="auto"/>
        <w:ind w:firstLine="480" w:firstLineChars="200"/>
        <w:rPr>
          <w:rFonts w:hint="eastAsia" w:ascii="宋体" w:hAnsi="宋体" w:eastAsia="宋体" w:cs="宋体"/>
        </w:rPr>
      </w:pPr>
      <w:r>
        <w:rPr>
          <w:rFonts w:hint="eastAsia" w:ascii="宋体" w:hAnsi="宋体" w:eastAsia="宋体" w:cs="宋体"/>
        </w:rPr>
        <w:t>（1）竣工结算合同价格；</w:t>
      </w:r>
    </w:p>
    <w:p w14:paraId="14440FD2">
      <w:pPr>
        <w:spacing w:line="360" w:lineRule="auto"/>
        <w:ind w:firstLine="480" w:firstLineChars="200"/>
        <w:rPr>
          <w:rFonts w:hint="eastAsia" w:ascii="宋体" w:hAnsi="宋体" w:eastAsia="宋体" w:cs="宋体"/>
        </w:rPr>
      </w:pPr>
      <w:r>
        <w:rPr>
          <w:rFonts w:hint="eastAsia" w:ascii="宋体" w:hAnsi="宋体" w:eastAsia="宋体" w:cs="宋体"/>
        </w:rPr>
        <w:t>（2）发包人已支付承包人的款项；</w:t>
      </w:r>
    </w:p>
    <w:p w14:paraId="6C519B03">
      <w:pPr>
        <w:spacing w:line="360" w:lineRule="auto"/>
        <w:ind w:firstLine="480" w:firstLineChars="200"/>
        <w:rPr>
          <w:rFonts w:hint="eastAsia" w:ascii="宋体" w:hAnsi="宋体" w:eastAsia="宋体" w:cs="宋体"/>
        </w:rPr>
      </w:pPr>
      <w:r>
        <w:rPr>
          <w:rFonts w:hint="eastAsia" w:ascii="宋体" w:hAnsi="宋体" w:eastAsia="宋体" w:cs="宋体"/>
        </w:rPr>
        <w:t xml:space="preserve">（3）应扣留的质量保证金。已缴纳履约保证金的或提供其他工程质量担保方式的除外； </w:t>
      </w:r>
    </w:p>
    <w:p w14:paraId="0795B6EA">
      <w:pPr>
        <w:spacing w:line="360" w:lineRule="auto"/>
        <w:ind w:firstLine="480" w:firstLineChars="200"/>
        <w:rPr>
          <w:rFonts w:hint="eastAsia" w:ascii="宋体" w:hAnsi="宋体" w:eastAsia="宋体" w:cs="宋体"/>
        </w:rPr>
      </w:pPr>
      <w:r>
        <w:rPr>
          <w:rFonts w:hint="eastAsia" w:ascii="宋体" w:hAnsi="宋体" w:eastAsia="宋体" w:cs="宋体"/>
        </w:rPr>
        <w:t>（4）发包人应支付承包人的合同价款。</w:t>
      </w:r>
    </w:p>
    <w:p w14:paraId="4B261958">
      <w:pPr>
        <w:spacing w:line="360" w:lineRule="auto"/>
        <w:ind w:firstLine="480" w:firstLineChars="200"/>
        <w:rPr>
          <w:rFonts w:hint="eastAsia" w:ascii="宋体" w:hAnsi="宋体" w:eastAsia="宋体" w:cs="宋体"/>
        </w:rPr>
      </w:pPr>
      <w:bookmarkStart w:id="505" w:name="_Toc351203595"/>
      <w:bookmarkStart w:id="506" w:name="_Toc145583452"/>
      <w:bookmarkStart w:id="507" w:name="_Toc337558812"/>
      <w:r>
        <w:rPr>
          <w:rFonts w:hint="eastAsia" w:ascii="宋体" w:hAnsi="宋体" w:eastAsia="宋体" w:cs="宋体"/>
        </w:rPr>
        <w:t>14.2 竣工结算审核</w:t>
      </w:r>
      <w:bookmarkEnd w:id="505"/>
      <w:bookmarkEnd w:id="506"/>
    </w:p>
    <w:bookmarkEnd w:id="507"/>
    <w:p w14:paraId="3DA5BF97">
      <w:pPr>
        <w:spacing w:line="360" w:lineRule="auto"/>
        <w:ind w:firstLine="480" w:firstLineChars="200"/>
        <w:rPr>
          <w:rFonts w:hint="eastAsia" w:ascii="宋体" w:hAnsi="宋体" w:eastAsia="宋体" w:cs="宋体"/>
        </w:rPr>
      </w:pPr>
      <w:r>
        <w:rPr>
          <w:rFonts w:hint="eastAsia" w:ascii="宋体" w:hAnsi="宋体" w:eastAsia="宋体" w:cs="宋体"/>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5BC17F15">
      <w:pPr>
        <w:spacing w:line="360" w:lineRule="auto"/>
        <w:ind w:firstLine="480" w:firstLineChars="200"/>
        <w:rPr>
          <w:rFonts w:hint="eastAsia" w:ascii="宋体" w:hAnsi="宋体" w:eastAsia="宋体" w:cs="宋体"/>
        </w:rPr>
      </w:pPr>
      <w:r>
        <w:rPr>
          <w:rFonts w:hint="eastAsia" w:ascii="宋体" w:hAnsi="宋体" w:eastAsia="宋体" w:cs="宋体"/>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29EFB7FD">
      <w:pPr>
        <w:spacing w:line="360" w:lineRule="auto"/>
        <w:ind w:firstLine="480" w:firstLineChars="200"/>
        <w:rPr>
          <w:rFonts w:hint="eastAsia" w:ascii="宋体" w:hAnsi="宋体" w:eastAsia="宋体" w:cs="宋体"/>
        </w:rPr>
      </w:pPr>
      <w:r>
        <w:rPr>
          <w:rFonts w:hint="eastAsia" w:ascii="宋体" w:hAnsi="宋体" w:eastAsia="宋体" w:cs="宋体"/>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3C9B5955">
      <w:pPr>
        <w:spacing w:line="360" w:lineRule="auto"/>
        <w:ind w:firstLine="480" w:firstLineChars="200"/>
        <w:rPr>
          <w:rFonts w:hint="eastAsia" w:ascii="宋体" w:hAnsi="宋体" w:eastAsia="宋体" w:cs="宋体"/>
        </w:rPr>
      </w:pPr>
      <w:r>
        <w:rPr>
          <w:rFonts w:hint="eastAsia" w:ascii="宋体" w:hAnsi="宋体" w:eastAsia="宋体" w:cs="宋体"/>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71A865FD">
      <w:pPr>
        <w:spacing w:line="360" w:lineRule="auto"/>
        <w:ind w:firstLine="480" w:firstLineChars="200"/>
        <w:rPr>
          <w:rFonts w:hint="eastAsia" w:ascii="宋体" w:hAnsi="宋体" w:eastAsia="宋体" w:cs="宋体"/>
        </w:rPr>
      </w:pPr>
      <w:bookmarkStart w:id="508" w:name="_Toc145583453"/>
      <w:bookmarkStart w:id="509" w:name="_Toc351203596"/>
      <w:bookmarkStart w:id="510" w:name="_Toc337558813"/>
      <w:r>
        <w:rPr>
          <w:rFonts w:hint="eastAsia" w:ascii="宋体" w:hAnsi="宋体" w:eastAsia="宋体" w:cs="宋体"/>
        </w:rPr>
        <w:t>14.3 甩项竣工协议</w:t>
      </w:r>
      <w:bookmarkEnd w:id="508"/>
      <w:bookmarkEnd w:id="509"/>
    </w:p>
    <w:bookmarkEnd w:id="510"/>
    <w:p w14:paraId="6419491A">
      <w:pPr>
        <w:spacing w:line="360" w:lineRule="auto"/>
        <w:ind w:firstLine="480" w:firstLineChars="200"/>
        <w:rPr>
          <w:rFonts w:hint="eastAsia" w:ascii="宋体" w:hAnsi="宋体" w:eastAsia="宋体" w:cs="宋体"/>
        </w:rPr>
      </w:pPr>
      <w:r>
        <w:rPr>
          <w:rFonts w:hint="eastAsia" w:ascii="宋体" w:hAnsi="宋体" w:eastAsia="宋体" w:cs="宋体"/>
        </w:rPr>
        <w:t>发包人要求甩项竣工的，合同当事人应签订甩项竣工协议。在甩项竣工协议中应明确，合同当事人按照第14.1款〔竣工结算申请〕及14.2款〔竣工结算审核〕的约定，对已完合格工程进行结算，并支付相应合同价款。</w:t>
      </w:r>
    </w:p>
    <w:p w14:paraId="352AE5FC">
      <w:pPr>
        <w:spacing w:line="360" w:lineRule="auto"/>
        <w:ind w:firstLine="480" w:firstLineChars="200"/>
        <w:rPr>
          <w:rFonts w:hint="eastAsia" w:ascii="宋体" w:hAnsi="宋体" w:eastAsia="宋体" w:cs="宋体"/>
        </w:rPr>
      </w:pPr>
      <w:bookmarkStart w:id="511" w:name="_Toc351203597"/>
      <w:bookmarkStart w:id="512" w:name="_Toc145583454"/>
      <w:bookmarkStart w:id="513" w:name="_Toc337558814"/>
      <w:r>
        <w:rPr>
          <w:rFonts w:hint="eastAsia" w:ascii="宋体" w:hAnsi="宋体" w:eastAsia="宋体" w:cs="宋体"/>
        </w:rPr>
        <w:t>14.4 最终结清</w:t>
      </w:r>
      <w:bookmarkEnd w:id="511"/>
      <w:bookmarkEnd w:id="512"/>
    </w:p>
    <w:bookmarkEnd w:id="513"/>
    <w:p w14:paraId="0F3A4699">
      <w:pPr>
        <w:spacing w:line="360" w:lineRule="auto"/>
        <w:ind w:firstLine="480" w:firstLineChars="200"/>
        <w:rPr>
          <w:rFonts w:hint="eastAsia" w:ascii="宋体" w:hAnsi="宋体" w:eastAsia="宋体" w:cs="宋体"/>
        </w:rPr>
      </w:pPr>
      <w:r>
        <w:rPr>
          <w:rFonts w:hint="eastAsia" w:ascii="宋体" w:hAnsi="宋体" w:eastAsia="宋体" w:cs="宋体"/>
        </w:rPr>
        <w:t>14.4.1 最终结清申请单</w:t>
      </w:r>
    </w:p>
    <w:p w14:paraId="589896BC">
      <w:pPr>
        <w:spacing w:line="360" w:lineRule="auto"/>
        <w:ind w:firstLine="480" w:firstLineChars="200"/>
        <w:rPr>
          <w:rFonts w:hint="eastAsia" w:ascii="宋体" w:hAnsi="宋体" w:eastAsia="宋体" w:cs="宋体"/>
        </w:rPr>
      </w:pPr>
      <w:r>
        <w:rPr>
          <w:rFonts w:hint="eastAsia" w:ascii="宋体" w:hAnsi="宋体" w:eastAsia="宋体" w:cs="宋体"/>
        </w:rPr>
        <w:t>（1）除专用合同条款另有约定外，承包人应在缺陷责任期终止证书颁发后7天内，按专用合同条款约定的份数向发包人提交最终结清申请单，并提供相关证明材料。</w:t>
      </w:r>
    </w:p>
    <w:p w14:paraId="45349AAF">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除专用合同条款另有约定外，最终结清申请单应列明质量保证金、应扣除的质量保证金、缺陷责任期内发生的增减费用。</w:t>
      </w:r>
    </w:p>
    <w:p w14:paraId="3C2D49BC">
      <w:pPr>
        <w:spacing w:line="360" w:lineRule="auto"/>
        <w:ind w:firstLine="480" w:firstLineChars="200"/>
        <w:rPr>
          <w:rFonts w:hint="eastAsia" w:ascii="宋体" w:hAnsi="宋体" w:eastAsia="宋体" w:cs="宋体"/>
        </w:rPr>
      </w:pPr>
      <w:r>
        <w:rPr>
          <w:rFonts w:hint="eastAsia" w:ascii="宋体" w:hAnsi="宋体" w:eastAsia="宋体" w:cs="宋体"/>
        </w:rPr>
        <w:t>（2）发包人对最终结清申请单内容有异议的，有权要求承包人进行修正和提供补充资料，承包人应向发包人提交修正后的最终结清申请单。</w:t>
      </w:r>
    </w:p>
    <w:p w14:paraId="604923C2">
      <w:pPr>
        <w:spacing w:line="360" w:lineRule="auto"/>
        <w:ind w:firstLine="480" w:firstLineChars="200"/>
        <w:rPr>
          <w:rFonts w:hint="eastAsia" w:ascii="宋体" w:hAnsi="宋体" w:eastAsia="宋体" w:cs="宋体"/>
        </w:rPr>
      </w:pPr>
      <w:r>
        <w:rPr>
          <w:rFonts w:hint="eastAsia" w:ascii="宋体" w:hAnsi="宋体" w:eastAsia="宋体" w:cs="宋体"/>
        </w:rPr>
        <w:t>14.4.2 最终结清证书和支付</w:t>
      </w:r>
    </w:p>
    <w:p w14:paraId="5B28E2EE">
      <w:pPr>
        <w:spacing w:line="360" w:lineRule="auto"/>
        <w:ind w:firstLine="480" w:firstLineChars="200"/>
        <w:rPr>
          <w:rFonts w:hint="eastAsia" w:ascii="宋体" w:hAnsi="宋体" w:eastAsia="宋体" w:cs="宋体"/>
        </w:rPr>
      </w:pPr>
      <w:r>
        <w:rPr>
          <w:rFonts w:hint="eastAsia" w:ascii="宋体" w:hAnsi="宋体" w:eastAsia="宋体" w:cs="宋体"/>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249E4F26">
      <w:pPr>
        <w:spacing w:line="360" w:lineRule="auto"/>
        <w:ind w:firstLine="480" w:firstLineChars="200"/>
        <w:rPr>
          <w:rFonts w:hint="eastAsia" w:ascii="宋体" w:hAnsi="宋体" w:eastAsia="宋体" w:cs="宋体"/>
        </w:rPr>
      </w:pPr>
      <w:r>
        <w:rPr>
          <w:rFonts w:hint="eastAsia" w:ascii="宋体" w:hAnsi="宋体" w:eastAsia="宋体" w:cs="宋体"/>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74C865DF">
      <w:pPr>
        <w:spacing w:line="360" w:lineRule="auto"/>
        <w:ind w:firstLine="480" w:firstLineChars="200"/>
        <w:rPr>
          <w:rFonts w:hint="eastAsia" w:ascii="宋体" w:hAnsi="宋体" w:eastAsia="宋体" w:cs="宋体"/>
        </w:rPr>
      </w:pPr>
      <w:r>
        <w:rPr>
          <w:rFonts w:hint="eastAsia" w:ascii="宋体" w:hAnsi="宋体" w:eastAsia="宋体" w:cs="宋体"/>
        </w:rPr>
        <w:t>（3）承包人对发包人颁发的最终结清证书有异议的，按第20条〔争议解决〕的约定办理。</w:t>
      </w:r>
    </w:p>
    <w:p w14:paraId="0117B4A8">
      <w:pPr>
        <w:spacing w:line="360" w:lineRule="auto"/>
        <w:ind w:firstLine="480" w:firstLineChars="200"/>
        <w:rPr>
          <w:rFonts w:hint="eastAsia" w:ascii="宋体" w:hAnsi="宋体" w:eastAsia="宋体" w:cs="宋体"/>
        </w:rPr>
      </w:pPr>
      <w:bookmarkStart w:id="514" w:name="_Toc145583455"/>
      <w:bookmarkStart w:id="515" w:name="_Toc351203598"/>
      <w:bookmarkStart w:id="516" w:name="_Toc337558815"/>
      <w:r>
        <w:rPr>
          <w:rFonts w:hint="eastAsia" w:ascii="宋体" w:hAnsi="宋体" w:eastAsia="宋体" w:cs="宋体"/>
        </w:rPr>
        <w:t>15. 缺陷责任与保修</w:t>
      </w:r>
      <w:bookmarkEnd w:id="514"/>
      <w:bookmarkEnd w:id="515"/>
    </w:p>
    <w:bookmarkEnd w:id="500"/>
    <w:bookmarkEnd w:id="501"/>
    <w:bookmarkEnd w:id="516"/>
    <w:p w14:paraId="4C98264C">
      <w:pPr>
        <w:spacing w:line="360" w:lineRule="auto"/>
        <w:ind w:firstLine="480" w:firstLineChars="200"/>
        <w:rPr>
          <w:rFonts w:hint="eastAsia" w:ascii="宋体" w:hAnsi="宋体" w:eastAsia="宋体" w:cs="宋体"/>
        </w:rPr>
      </w:pPr>
      <w:bookmarkStart w:id="517" w:name="_Toc145583456"/>
      <w:bookmarkStart w:id="518" w:name="_Toc351203599"/>
      <w:bookmarkStart w:id="519" w:name="_Toc337558816"/>
      <w:bookmarkStart w:id="520" w:name="_Toc296346615"/>
      <w:bookmarkStart w:id="521" w:name="_Toc296503114"/>
      <w:r>
        <w:rPr>
          <w:rFonts w:hint="eastAsia" w:ascii="宋体" w:hAnsi="宋体" w:eastAsia="宋体" w:cs="宋体"/>
        </w:rPr>
        <w:t>15.1 工程保修的原则</w:t>
      </w:r>
      <w:bookmarkEnd w:id="517"/>
      <w:bookmarkEnd w:id="518"/>
    </w:p>
    <w:bookmarkEnd w:id="519"/>
    <w:p w14:paraId="6F241EF9">
      <w:pPr>
        <w:spacing w:line="360" w:lineRule="auto"/>
        <w:ind w:firstLine="480" w:firstLineChars="200"/>
        <w:rPr>
          <w:rFonts w:hint="eastAsia" w:ascii="宋体" w:hAnsi="宋体" w:eastAsia="宋体" w:cs="宋体"/>
        </w:rPr>
      </w:pPr>
      <w:r>
        <w:rPr>
          <w:rFonts w:hint="eastAsia" w:ascii="宋体" w:hAnsi="宋体" w:eastAsia="宋体" w:cs="宋体"/>
        </w:rPr>
        <w:t>在工程移交发包人后，因承包人原因产生的质量缺陷，承包人应承担质量缺陷责任和保修义务。缺陷责任期届满，承包人仍应按合同约定的工程各部位保修年限承担保修义务。</w:t>
      </w:r>
    </w:p>
    <w:p w14:paraId="3DC91F75">
      <w:pPr>
        <w:spacing w:line="360" w:lineRule="auto"/>
        <w:ind w:firstLine="480" w:firstLineChars="200"/>
        <w:rPr>
          <w:rFonts w:hint="eastAsia" w:ascii="宋体" w:hAnsi="宋体" w:eastAsia="宋体" w:cs="宋体"/>
        </w:rPr>
      </w:pPr>
      <w:bookmarkStart w:id="522" w:name="_Toc145583457"/>
      <w:bookmarkStart w:id="523" w:name="_Toc351203600"/>
      <w:bookmarkStart w:id="524" w:name="_Toc337558817"/>
      <w:r>
        <w:rPr>
          <w:rFonts w:hint="eastAsia" w:ascii="宋体" w:hAnsi="宋体" w:eastAsia="宋体" w:cs="宋体"/>
        </w:rPr>
        <w:t>15.2 缺陷责任期</w:t>
      </w:r>
      <w:bookmarkEnd w:id="520"/>
      <w:bookmarkEnd w:id="521"/>
      <w:bookmarkEnd w:id="522"/>
      <w:bookmarkEnd w:id="523"/>
    </w:p>
    <w:bookmarkEnd w:id="524"/>
    <w:p w14:paraId="17473B5D">
      <w:pPr>
        <w:spacing w:line="360" w:lineRule="auto"/>
        <w:ind w:firstLine="480" w:firstLineChars="200"/>
        <w:rPr>
          <w:rFonts w:hint="eastAsia" w:ascii="宋体" w:hAnsi="宋体" w:eastAsia="宋体" w:cs="宋体"/>
        </w:rPr>
      </w:pPr>
      <w:r>
        <w:rPr>
          <w:rFonts w:hint="eastAsia" w:ascii="宋体" w:hAnsi="宋体" w:eastAsia="宋体" w:cs="宋体"/>
        </w:rPr>
        <w:t>15.2.1 缺陷责任期从工程通过竣工验收之日起计算，合同当事人应在专用合同条款约定缺陷责任期的具体期限，但该期限最长不超过24个月。</w:t>
      </w:r>
    </w:p>
    <w:p w14:paraId="798DEF3B">
      <w:pPr>
        <w:spacing w:line="360" w:lineRule="auto"/>
        <w:ind w:firstLine="480" w:firstLineChars="200"/>
        <w:rPr>
          <w:rFonts w:hint="eastAsia" w:ascii="宋体" w:hAnsi="宋体" w:eastAsia="宋体" w:cs="宋体"/>
        </w:rPr>
      </w:pPr>
      <w:r>
        <w:rPr>
          <w:rFonts w:hint="eastAsia" w:ascii="宋体" w:hAnsi="宋体" w:eastAsia="宋体" w:cs="宋体"/>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112BF965">
      <w:pPr>
        <w:spacing w:line="360" w:lineRule="auto"/>
        <w:ind w:firstLine="480" w:firstLineChars="200"/>
        <w:rPr>
          <w:rFonts w:hint="eastAsia" w:ascii="宋体" w:hAnsi="宋体" w:eastAsia="宋体" w:cs="宋体"/>
        </w:rPr>
      </w:pPr>
      <w:r>
        <w:rPr>
          <w:rFonts w:hint="eastAsia" w:ascii="宋体" w:hAnsi="宋体" w:eastAsia="宋体" w:cs="宋体"/>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p>
    <w:p w14:paraId="4811163A">
      <w:pPr>
        <w:spacing w:line="360" w:lineRule="auto"/>
        <w:ind w:firstLine="480" w:firstLineChars="200"/>
        <w:rPr>
          <w:rFonts w:hint="eastAsia" w:ascii="宋体" w:hAnsi="宋体" w:eastAsia="宋体" w:cs="宋体"/>
        </w:rPr>
      </w:pPr>
      <w:r>
        <w:rPr>
          <w:rFonts w:hint="eastAsia" w:ascii="宋体" w:hAnsi="宋体" w:eastAsia="宋体" w:cs="宋体"/>
        </w:rPr>
        <w:t>由他人原因造成的缺陷，发包人负责组织维修，承包人不承担费用，且发包人不得从保证金中扣除费用。</w:t>
      </w:r>
    </w:p>
    <w:p w14:paraId="0F0EB2EC">
      <w:pPr>
        <w:spacing w:line="360" w:lineRule="auto"/>
        <w:ind w:firstLine="480" w:firstLineChars="200"/>
        <w:rPr>
          <w:rFonts w:hint="eastAsia" w:ascii="宋体" w:hAnsi="宋体" w:eastAsia="宋体" w:cs="宋体"/>
        </w:rPr>
      </w:pPr>
      <w:r>
        <w:rPr>
          <w:rFonts w:hint="eastAsia" w:ascii="宋体" w:hAnsi="宋体" w:eastAsia="宋体" w:cs="宋体"/>
        </w:rPr>
        <w:t>15.2.3 任何一项缺陷或损坏修复后，经检查证明其影响了工程或工程设备的使用性能，承包人应重新进行合同约定的试验和试运行，试验和试运行的全部费用应由责任方承担。</w:t>
      </w:r>
    </w:p>
    <w:p w14:paraId="2F346E01">
      <w:pPr>
        <w:spacing w:line="360" w:lineRule="auto"/>
        <w:ind w:firstLine="480" w:firstLineChars="200"/>
        <w:rPr>
          <w:rFonts w:hint="eastAsia" w:ascii="宋体" w:hAnsi="宋体" w:eastAsia="宋体" w:cs="宋体"/>
        </w:rPr>
      </w:pPr>
      <w:r>
        <w:rPr>
          <w:rFonts w:hint="eastAsia" w:ascii="宋体" w:hAnsi="宋体" w:eastAsia="宋体" w:cs="宋体"/>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2BD1FE6C">
      <w:pPr>
        <w:spacing w:line="360" w:lineRule="auto"/>
        <w:ind w:firstLine="480" w:firstLineChars="200"/>
        <w:rPr>
          <w:rFonts w:hint="eastAsia" w:ascii="宋体" w:hAnsi="宋体" w:eastAsia="宋体" w:cs="宋体"/>
        </w:rPr>
      </w:pPr>
      <w:bookmarkStart w:id="525" w:name="_Toc351203601"/>
      <w:bookmarkStart w:id="526" w:name="_Toc145583458"/>
      <w:bookmarkStart w:id="527" w:name="_Toc337558818"/>
      <w:bookmarkStart w:id="528" w:name="_Toc296503115"/>
      <w:bookmarkStart w:id="529" w:name="_Toc296346616"/>
      <w:r>
        <w:rPr>
          <w:rFonts w:hint="eastAsia" w:ascii="宋体" w:hAnsi="宋体" w:eastAsia="宋体" w:cs="宋体"/>
        </w:rPr>
        <w:t>15.3 质量保证金</w:t>
      </w:r>
      <w:bookmarkEnd w:id="525"/>
      <w:bookmarkEnd w:id="526"/>
    </w:p>
    <w:bookmarkEnd w:id="527"/>
    <w:p w14:paraId="14B19E3F">
      <w:pPr>
        <w:spacing w:line="360" w:lineRule="auto"/>
        <w:ind w:firstLine="480" w:firstLineChars="200"/>
        <w:rPr>
          <w:rFonts w:hint="eastAsia" w:ascii="宋体" w:hAnsi="宋体" w:eastAsia="宋体" w:cs="宋体"/>
        </w:rPr>
      </w:pPr>
      <w:r>
        <w:rPr>
          <w:rFonts w:hint="eastAsia" w:ascii="宋体" w:hAnsi="宋体" w:eastAsia="宋体" w:cs="宋体"/>
        </w:rPr>
        <w:t>经合同当事人协商一致扣留质量保证金的，应在专用合同条款中予以明确。</w:t>
      </w:r>
    </w:p>
    <w:p w14:paraId="60C3DD0C">
      <w:pPr>
        <w:spacing w:line="360" w:lineRule="auto"/>
        <w:ind w:firstLine="480" w:firstLineChars="200"/>
        <w:rPr>
          <w:rFonts w:hint="eastAsia" w:ascii="宋体" w:hAnsi="宋体" w:eastAsia="宋体" w:cs="宋体"/>
        </w:rPr>
      </w:pPr>
      <w:r>
        <w:rPr>
          <w:rFonts w:hint="eastAsia" w:ascii="宋体" w:hAnsi="宋体" w:eastAsia="宋体" w:cs="宋体"/>
        </w:rPr>
        <w:t>在工程项目竣工前，承包人已经提供履约担保的，发包人不得同时预留工程质量保证金。</w:t>
      </w:r>
    </w:p>
    <w:p w14:paraId="5D2A2010">
      <w:pPr>
        <w:spacing w:line="360" w:lineRule="auto"/>
        <w:ind w:firstLine="480" w:firstLineChars="200"/>
        <w:rPr>
          <w:rFonts w:hint="eastAsia" w:ascii="宋体" w:hAnsi="宋体" w:eastAsia="宋体" w:cs="宋体"/>
        </w:rPr>
      </w:pPr>
    </w:p>
    <w:p w14:paraId="7E428FF6">
      <w:pPr>
        <w:spacing w:line="360" w:lineRule="auto"/>
        <w:ind w:firstLine="480" w:firstLineChars="200"/>
        <w:rPr>
          <w:rFonts w:hint="eastAsia" w:ascii="宋体" w:hAnsi="宋体" w:eastAsia="宋体" w:cs="宋体"/>
        </w:rPr>
      </w:pPr>
      <w:r>
        <w:rPr>
          <w:rFonts w:hint="eastAsia" w:ascii="宋体" w:hAnsi="宋体" w:eastAsia="宋体" w:cs="宋体"/>
        </w:rPr>
        <w:t>15.3.1 承包人提供质量保证金的方式</w:t>
      </w:r>
    </w:p>
    <w:p w14:paraId="7D660847">
      <w:pPr>
        <w:spacing w:line="360" w:lineRule="auto"/>
        <w:ind w:firstLine="480" w:firstLineChars="200"/>
        <w:rPr>
          <w:rFonts w:hint="eastAsia" w:ascii="宋体" w:hAnsi="宋体" w:eastAsia="宋体" w:cs="宋体"/>
        </w:rPr>
      </w:pPr>
      <w:r>
        <w:rPr>
          <w:rFonts w:hint="eastAsia" w:ascii="宋体" w:hAnsi="宋体" w:eastAsia="宋体" w:cs="宋体"/>
        </w:rPr>
        <w:t>承包人提供质量保证金有以下三种方式：</w:t>
      </w:r>
    </w:p>
    <w:p w14:paraId="383F745C">
      <w:pPr>
        <w:spacing w:line="360" w:lineRule="auto"/>
        <w:ind w:firstLine="480" w:firstLineChars="200"/>
        <w:rPr>
          <w:rFonts w:hint="eastAsia" w:ascii="宋体" w:hAnsi="宋体" w:eastAsia="宋体" w:cs="宋体"/>
        </w:rPr>
      </w:pPr>
      <w:r>
        <w:rPr>
          <w:rFonts w:hint="eastAsia" w:ascii="宋体" w:hAnsi="宋体" w:eastAsia="宋体" w:cs="宋体"/>
        </w:rPr>
        <w:t xml:space="preserve">（1）质量保证金保函； </w:t>
      </w:r>
    </w:p>
    <w:p w14:paraId="3BAE0813">
      <w:pPr>
        <w:spacing w:line="360" w:lineRule="auto"/>
        <w:ind w:firstLine="480" w:firstLineChars="200"/>
        <w:rPr>
          <w:rFonts w:hint="eastAsia" w:ascii="宋体" w:hAnsi="宋体" w:eastAsia="宋体" w:cs="宋体"/>
        </w:rPr>
      </w:pPr>
      <w:r>
        <w:rPr>
          <w:rFonts w:hint="eastAsia" w:ascii="宋体" w:hAnsi="宋体" w:eastAsia="宋体" w:cs="宋体"/>
        </w:rPr>
        <w:t>（2）相应比例的工程款；</w:t>
      </w:r>
    </w:p>
    <w:p w14:paraId="67082D22">
      <w:pPr>
        <w:spacing w:line="360" w:lineRule="auto"/>
        <w:ind w:firstLine="480" w:firstLineChars="200"/>
        <w:rPr>
          <w:rFonts w:hint="eastAsia" w:ascii="宋体" w:hAnsi="宋体" w:eastAsia="宋体" w:cs="宋体"/>
        </w:rPr>
      </w:pPr>
      <w:r>
        <w:rPr>
          <w:rFonts w:hint="eastAsia" w:ascii="宋体" w:hAnsi="宋体" w:eastAsia="宋体" w:cs="宋体"/>
        </w:rPr>
        <w:t>（3）双方约定的其他方式。</w:t>
      </w:r>
    </w:p>
    <w:p w14:paraId="3BFA378B">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除专用合同条款另有约定外，质量保证金原则上采用上述第（1）种方式。</w:t>
      </w:r>
    </w:p>
    <w:p w14:paraId="738CE399">
      <w:pPr>
        <w:spacing w:line="360" w:lineRule="auto"/>
        <w:ind w:firstLine="480" w:firstLineChars="200"/>
        <w:rPr>
          <w:rFonts w:hint="eastAsia" w:ascii="宋体" w:hAnsi="宋体" w:eastAsia="宋体" w:cs="宋体"/>
        </w:rPr>
      </w:pPr>
      <w:r>
        <w:rPr>
          <w:rFonts w:hint="eastAsia" w:ascii="宋体" w:hAnsi="宋体" w:eastAsia="宋体" w:cs="宋体"/>
        </w:rPr>
        <w:t>15.3.2 质量保证金的扣留</w:t>
      </w:r>
    </w:p>
    <w:p w14:paraId="7AE80929">
      <w:pPr>
        <w:spacing w:line="360" w:lineRule="auto"/>
        <w:ind w:firstLine="480" w:firstLineChars="200"/>
        <w:rPr>
          <w:rFonts w:hint="eastAsia" w:ascii="宋体" w:hAnsi="宋体" w:eastAsia="宋体" w:cs="宋体"/>
        </w:rPr>
      </w:pPr>
      <w:r>
        <w:rPr>
          <w:rFonts w:hint="eastAsia" w:ascii="宋体" w:hAnsi="宋体" w:eastAsia="宋体" w:cs="宋体"/>
        </w:rPr>
        <w:t>质量保证金的扣留有以下三种方式：</w:t>
      </w:r>
    </w:p>
    <w:p w14:paraId="7996B719">
      <w:pPr>
        <w:spacing w:line="360" w:lineRule="auto"/>
        <w:ind w:firstLine="480" w:firstLineChars="200"/>
        <w:rPr>
          <w:rFonts w:hint="eastAsia" w:ascii="宋体" w:hAnsi="宋体" w:eastAsia="宋体" w:cs="宋体"/>
        </w:rPr>
      </w:pPr>
      <w:r>
        <w:rPr>
          <w:rFonts w:hint="eastAsia" w:ascii="宋体" w:hAnsi="宋体" w:eastAsia="宋体" w:cs="宋体"/>
        </w:rPr>
        <w:t>（1）在支付工程进度款时逐次扣留，在此情形下，质量保证金的计算基数不包括预付款的支付、扣回以及价格调整的金额；</w:t>
      </w:r>
    </w:p>
    <w:p w14:paraId="3C5DE220">
      <w:pPr>
        <w:spacing w:line="360" w:lineRule="auto"/>
        <w:ind w:firstLine="480" w:firstLineChars="200"/>
        <w:rPr>
          <w:rFonts w:hint="eastAsia" w:ascii="宋体" w:hAnsi="宋体" w:eastAsia="宋体" w:cs="宋体"/>
        </w:rPr>
      </w:pPr>
      <w:r>
        <w:rPr>
          <w:rFonts w:hint="eastAsia" w:ascii="宋体" w:hAnsi="宋体" w:eastAsia="宋体" w:cs="宋体"/>
        </w:rPr>
        <w:t>（2）工</w:t>
      </w:r>
      <w:bookmarkStart w:id="530" w:name="#go6"/>
      <w:bookmarkEnd w:id="530"/>
      <w:r>
        <w:rPr>
          <w:rFonts w:hint="eastAsia" w:ascii="宋体" w:hAnsi="宋体" w:eastAsia="宋体" w:cs="宋体"/>
        </w:rPr>
        <w:t>程竣工结算时一次性扣留质量保证金；</w:t>
      </w:r>
    </w:p>
    <w:p w14:paraId="6C9993D7">
      <w:pPr>
        <w:spacing w:line="360" w:lineRule="auto"/>
        <w:ind w:firstLine="480" w:firstLineChars="200"/>
        <w:rPr>
          <w:rFonts w:hint="eastAsia" w:ascii="宋体" w:hAnsi="宋体" w:eastAsia="宋体" w:cs="宋体"/>
        </w:rPr>
      </w:pPr>
      <w:r>
        <w:rPr>
          <w:rFonts w:hint="eastAsia" w:ascii="宋体" w:hAnsi="宋体" w:eastAsia="宋体" w:cs="宋体"/>
        </w:rPr>
        <w:t>（3）双方约定的其他扣留方式。</w:t>
      </w:r>
    </w:p>
    <w:p w14:paraId="528B199A">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除专用合同条款另有约定外，质量保证金的扣留原则上采用上述第（1）种方式。</w:t>
      </w:r>
    </w:p>
    <w:p w14:paraId="7702E7B1">
      <w:pPr>
        <w:spacing w:line="360" w:lineRule="auto"/>
        <w:ind w:firstLine="480" w:firstLineChars="200"/>
        <w:rPr>
          <w:rFonts w:hint="eastAsia" w:ascii="宋体" w:hAnsi="宋体" w:eastAsia="宋体" w:cs="宋体"/>
        </w:rPr>
      </w:pPr>
      <w:r>
        <w:rPr>
          <w:rFonts w:hint="eastAsia" w:ascii="宋体" w:hAnsi="宋体" w:eastAsia="宋体" w:cs="宋体"/>
        </w:rPr>
        <w:t>发</w:t>
      </w:r>
      <w:bookmarkStart w:id="531" w:name="#go4"/>
      <w:bookmarkEnd w:id="531"/>
      <w:r>
        <w:rPr>
          <w:rFonts w:hint="eastAsia" w:ascii="宋体" w:hAnsi="宋体" w:eastAsia="宋体" w:cs="宋体"/>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5EBE99CE">
      <w:pPr>
        <w:spacing w:line="360" w:lineRule="auto"/>
        <w:ind w:firstLine="480" w:firstLineChars="200"/>
        <w:rPr>
          <w:rFonts w:hint="eastAsia" w:ascii="宋体" w:hAnsi="宋体" w:eastAsia="宋体" w:cs="宋体"/>
        </w:rPr>
      </w:pPr>
      <w:r>
        <w:rPr>
          <w:rFonts w:hint="eastAsia" w:ascii="宋体" w:hAnsi="宋体" w:eastAsia="宋体" w:cs="宋体"/>
        </w:rPr>
        <w:t>发包人在退还质量保证金的同时按照中国人民银行发布的同期同类贷款基准利率支付利息。</w:t>
      </w:r>
    </w:p>
    <w:p w14:paraId="3E0950AD">
      <w:pPr>
        <w:spacing w:line="360" w:lineRule="auto"/>
        <w:ind w:firstLine="480" w:firstLineChars="200"/>
        <w:rPr>
          <w:rFonts w:hint="eastAsia" w:ascii="宋体" w:hAnsi="宋体" w:eastAsia="宋体" w:cs="宋体"/>
        </w:rPr>
      </w:pPr>
      <w:r>
        <w:rPr>
          <w:rFonts w:hint="eastAsia" w:ascii="宋体" w:hAnsi="宋体" w:eastAsia="宋体" w:cs="宋体"/>
        </w:rPr>
        <w:t>15.3.3 质量保证金的退还</w:t>
      </w:r>
    </w:p>
    <w:p w14:paraId="30A4B709">
      <w:pPr>
        <w:spacing w:line="360" w:lineRule="auto"/>
        <w:ind w:firstLine="480" w:firstLineChars="200"/>
        <w:rPr>
          <w:rFonts w:hint="eastAsia" w:ascii="宋体" w:hAnsi="宋体" w:eastAsia="宋体" w:cs="宋体"/>
        </w:rPr>
      </w:pPr>
      <w:r>
        <w:rPr>
          <w:rFonts w:hint="eastAsia" w:ascii="宋体" w:hAnsi="宋体" w:eastAsia="宋体" w:cs="宋体"/>
        </w:rPr>
        <w:t>缺陷责任期内，承包人认真履行合同约定的责任，到期后，承包人可向发包人申请返还保证金。</w:t>
      </w:r>
    </w:p>
    <w:p w14:paraId="78F7791D">
      <w:pPr>
        <w:spacing w:line="360" w:lineRule="auto"/>
        <w:ind w:firstLine="480" w:firstLineChars="200"/>
        <w:rPr>
          <w:rFonts w:hint="eastAsia" w:ascii="宋体" w:hAnsi="宋体" w:eastAsia="宋体" w:cs="宋体"/>
        </w:rPr>
      </w:pPr>
      <w:r>
        <w:rPr>
          <w:rFonts w:hint="eastAsia" w:ascii="宋体" w:hAnsi="宋体" w:eastAsia="宋体" w:cs="宋体"/>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43248703">
      <w:pPr>
        <w:spacing w:line="360" w:lineRule="auto"/>
        <w:ind w:firstLine="480" w:firstLineChars="200"/>
        <w:rPr>
          <w:rFonts w:hint="eastAsia" w:ascii="宋体" w:hAnsi="宋体" w:eastAsia="宋体" w:cs="宋体"/>
        </w:rPr>
      </w:pPr>
      <w:r>
        <w:rPr>
          <w:rFonts w:hint="eastAsia" w:ascii="宋体" w:hAnsi="宋体" w:eastAsia="宋体" w:cs="宋体"/>
        </w:rPr>
        <w:t>发包人和承包人对保证金预留、返还以及工程维修质量、费用有争议的，按本合同第20条约定的争议和纠纷解决程序处理。</w:t>
      </w:r>
    </w:p>
    <w:p w14:paraId="723554BA">
      <w:pPr>
        <w:spacing w:line="360" w:lineRule="auto"/>
        <w:ind w:firstLine="480" w:firstLineChars="200"/>
        <w:rPr>
          <w:rFonts w:hint="eastAsia" w:ascii="宋体" w:hAnsi="宋体" w:eastAsia="宋体" w:cs="宋体"/>
        </w:rPr>
      </w:pPr>
      <w:bookmarkStart w:id="532" w:name="_Toc145583459"/>
      <w:bookmarkStart w:id="533" w:name="_Toc351203602"/>
      <w:bookmarkStart w:id="534" w:name="_Toc337558819"/>
      <w:r>
        <w:rPr>
          <w:rFonts w:hint="eastAsia" w:ascii="宋体" w:hAnsi="宋体" w:eastAsia="宋体" w:cs="宋体"/>
        </w:rPr>
        <w:t>15.4 保修</w:t>
      </w:r>
      <w:bookmarkEnd w:id="532"/>
      <w:bookmarkEnd w:id="533"/>
    </w:p>
    <w:bookmarkEnd w:id="528"/>
    <w:bookmarkEnd w:id="529"/>
    <w:bookmarkEnd w:id="534"/>
    <w:p w14:paraId="5F0E9074">
      <w:pPr>
        <w:spacing w:line="360" w:lineRule="auto"/>
        <w:ind w:firstLine="480" w:firstLineChars="200"/>
        <w:rPr>
          <w:rFonts w:hint="eastAsia" w:ascii="宋体" w:hAnsi="宋体" w:eastAsia="宋体" w:cs="宋体"/>
        </w:rPr>
      </w:pPr>
      <w:r>
        <w:rPr>
          <w:rFonts w:hint="eastAsia" w:ascii="宋体" w:hAnsi="宋体" w:eastAsia="宋体" w:cs="宋体"/>
        </w:rPr>
        <w:t>15.4.1保修责任</w:t>
      </w:r>
    </w:p>
    <w:p w14:paraId="34AB9B93">
      <w:pPr>
        <w:spacing w:line="360" w:lineRule="auto"/>
        <w:ind w:firstLine="480" w:firstLineChars="200"/>
        <w:rPr>
          <w:rFonts w:hint="eastAsia" w:ascii="宋体" w:hAnsi="宋体" w:eastAsia="宋体" w:cs="宋体"/>
        </w:rPr>
      </w:pPr>
      <w:r>
        <w:rPr>
          <w:rFonts w:hint="eastAsia" w:ascii="宋体" w:hAnsi="宋体" w:eastAsia="宋体" w:cs="宋体"/>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663BDC5E">
      <w:pPr>
        <w:spacing w:line="360" w:lineRule="auto"/>
        <w:ind w:firstLine="480" w:firstLineChars="200"/>
        <w:rPr>
          <w:rFonts w:hint="eastAsia" w:ascii="宋体" w:hAnsi="宋体" w:eastAsia="宋体" w:cs="宋体"/>
        </w:rPr>
      </w:pPr>
      <w:r>
        <w:rPr>
          <w:rFonts w:hint="eastAsia" w:ascii="宋体" w:hAnsi="宋体" w:eastAsia="宋体" w:cs="宋体"/>
        </w:rPr>
        <w:t>发包人未经竣工验收擅自使用工程的，保修期自转移占有之日起算。</w:t>
      </w:r>
    </w:p>
    <w:p w14:paraId="34BECE6A">
      <w:pPr>
        <w:spacing w:line="360" w:lineRule="auto"/>
        <w:ind w:firstLine="480" w:firstLineChars="200"/>
        <w:rPr>
          <w:rFonts w:hint="eastAsia" w:ascii="宋体" w:hAnsi="宋体" w:eastAsia="宋体" w:cs="宋体"/>
        </w:rPr>
      </w:pPr>
      <w:r>
        <w:rPr>
          <w:rFonts w:hint="eastAsia" w:ascii="宋体" w:hAnsi="宋体" w:eastAsia="宋体" w:cs="宋体"/>
        </w:rPr>
        <w:t>15.4.2 修复费用</w:t>
      </w:r>
    </w:p>
    <w:p w14:paraId="15E30426">
      <w:pPr>
        <w:spacing w:line="360" w:lineRule="auto"/>
        <w:ind w:firstLine="480" w:firstLineChars="200"/>
        <w:rPr>
          <w:rFonts w:hint="eastAsia" w:ascii="宋体" w:hAnsi="宋体" w:eastAsia="宋体" w:cs="宋体"/>
        </w:rPr>
      </w:pPr>
      <w:r>
        <w:rPr>
          <w:rFonts w:hint="eastAsia" w:ascii="宋体" w:hAnsi="宋体" w:eastAsia="宋体" w:cs="宋体"/>
        </w:rPr>
        <w:t>保修期内，修复的费用按照以下约定处理：</w:t>
      </w:r>
    </w:p>
    <w:p w14:paraId="58033787">
      <w:pPr>
        <w:spacing w:line="360" w:lineRule="auto"/>
        <w:ind w:firstLine="480" w:firstLineChars="200"/>
        <w:rPr>
          <w:rFonts w:hint="eastAsia" w:ascii="宋体" w:hAnsi="宋体" w:eastAsia="宋体" w:cs="宋体"/>
        </w:rPr>
      </w:pPr>
      <w:r>
        <w:rPr>
          <w:rFonts w:hint="eastAsia" w:ascii="宋体" w:hAnsi="宋体" w:eastAsia="宋体" w:cs="宋体"/>
        </w:rPr>
        <w:t>（1）保修期内，因承包人原因造成工程的缺陷、损坏，承包人应负责修复，并承担修复的费用以及因工程的缺陷、损坏造成的人身伤害和财产损失；</w:t>
      </w:r>
    </w:p>
    <w:p w14:paraId="0AD282C6">
      <w:pPr>
        <w:spacing w:line="360" w:lineRule="auto"/>
        <w:ind w:firstLine="480" w:firstLineChars="200"/>
        <w:rPr>
          <w:rFonts w:hint="eastAsia" w:ascii="宋体" w:hAnsi="宋体" w:eastAsia="宋体" w:cs="宋体"/>
        </w:rPr>
      </w:pPr>
      <w:r>
        <w:rPr>
          <w:rFonts w:hint="eastAsia" w:ascii="宋体" w:hAnsi="宋体" w:eastAsia="宋体" w:cs="宋体"/>
        </w:rPr>
        <w:t>（2）保修期内，因发包人使用不当造成工程的缺陷、损坏，可以委托承包人修复，但发包人应承担修复的费用，并支付承包人合理利润；</w:t>
      </w:r>
    </w:p>
    <w:p w14:paraId="4070672D">
      <w:pPr>
        <w:spacing w:line="360" w:lineRule="auto"/>
        <w:ind w:firstLine="480" w:firstLineChars="200"/>
        <w:rPr>
          <w:rFonts w:hint="eastAsia" w:ascii="宋体" w:hAnsi="宋体" w:eastAsia="宋体" w:cs="宋体"/>
        </w:rPr>
      </w:pPr>
      <w:r>
        <w:rPr>
          <w:rFonts w:hint="eastAsia" w:ascii="宋体" w:hAnsi="宋体" w:eastAsia="宋体" w:cs="宋体"/>
        </w:rPr>
        <w:t>（3）因其他原因造成工程的缺陷、损坏，可以委托承包人修复，发包人应承担修复的费用，并支付承包人合理的利润，因工程的缺陷、损坏造成的人身伤害和财产损失由责任方承担。</w:t>
      </w:r>
    </w:p>
    <w:p w14:paraId="4AE339C2">
      <w:pPr>
        <w:spacing w:line="360" w:lineRule="auto"/>
        <w:ind w:firstLine="480" w:firstLineChars="200"/>
        <w:rPr>
          <w:rFonts w:hint="eastAsia" w:ascii="宋体" w:hAnsi="宋体" w:eastAsia="宋体" w:cs="宋体"/>
        </w:rPr>
      </w:pPr>
      <w:r>
        <w:rPr>
          <w:rFonts w:hint="eastAsia" w:ascii="宋体" w:hAnsi="宋体" w:eastAsia="宋体" w:cs="宋体"/>
        </w:rPr>
        <w:t>15.4.3 修复通知</w:t>
      </w:r>
    </w:p>
    <w:p w14:paraId="70159625">
      <w:pPr>
        <w:spacing w:line="360" w:lineRule="auto"/>
        <w:ind w:firstLine="480" w:firstLineChars="200"/>
        <w:rPr>
          <w:rFonts w:hint="eastAsia" w:ascii="宋体" w:hAnsi="宋体" w:eastAsia="宋体" w:cs="宋体"/>
        </w:rPr>
      </w:pPr>
      <w:r>
        <w:rPr>
          <w:rFonts w:hint="eastAsia" w:ascii="宋体" w:hAnsi="宋体" w:eastAsia="宋体" w:cs="宋体"/>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5A3C3473">
      <w:pPr>
        <w:spacing w:line="360" w:lineRule="auto"/>
        <w:ind w:firstLine="480" w:firstLineChars="200"/>
        <w:rPr>
          <w:rFonts w:hint="eastAsia" w:ascii="宋体" w:hAnsi="宋体" w:eastAsia="宋体" w:cs="宋体"/>
        </w:rPr>
      </w:pPr>
      <w:r>
        <w:rPr>
          <w:rFonts w:hint="eastAsia" w:ascii="宋体" w:hAnsi="宋体" w:eastAsia="宋体" w:cs="宋体"/>
        </w:rPr>
        <w:t>15.4.4 未能修复</w:t>
      </w:r>
    </w:p>
    <w:p w14:paraId="687FF4FC">
      <w:pPr>
        <w:spacing w:line="360" w:lineRule="auto"/>
        <w:ind w:firstLine="480" w:firstLineChars="200"/>
        <w:rPr>
          <w:rFonts w:hint="eastAsia" w:ascii="宋体" w:hAnsi="宋体" w:eastAsia="宋体" w:cs="宋体"/>
        </w:rPr>
      </w:pPr>
      <w:r>
        <w:rPr>
          <w:rFonts w:hint="eastAsia" w:ascii="宋体" w:hAnsi="宋体" w:eastAsia="宋体" w:cs="宋体"/>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FE2DFF1">
      <w:pPr>
        <w:spacing w:line="360" w:lineRule="auto"/>
        <w:ind w:firstLine="480" w:firstLineChars="200"/>
        <w:rPr>
          <w:rFonts w:hint="eastAsia" w:ascii="宋体" w:hAnsi="宋体" w:eastAsia="宋体" w:cs="宋体"/>
        </w:rPr>
      </w:pPr>
      <w:r>
        <w:rPr>
          <w:rFonts w:hint="eastAsia" w:ascii="宋体" w:hAnsi="宋体" w:eastAsia="宋体" w:cs="宋体"/>
        </w:rPr>
        <w:t>15.4.5 承包人出入权</w:t>
      </w:r>
    </w:p>
    <w:p w14:paraId="0036316D">
      <w:pPr>
        <w:spacing w:line="360" w:lineRule="auto"/>
        <w:ind w:firstLine="480" w:firstLineChars="200"/>
        <w:rPr>
          <w:rFonts w:hint="eastAsia" w:ascii="宋体" w:hAnsi="宋体" w:eastAsia="宋体" w:cs="宋体"/>
        </w:rPr>
      </w:pPr>
      <w:r>
        <w:rPr>
          <w:rFonts w:hint="eastAsia" w:ascii="宋体" w:hAnsi="宋体" w:eastAsia="宋体" w:cs="宋体"/>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5E171154">
      <w:pPr>
        <w:spacing w:line="360" w:lineRule="auto"/>
        <w:ind w:firstLine="480" w:firstLineChars="200"/>
        <w:rPr>
          <w:rFonts w:hint="eastAsia" w:ascii="宋体" w:hAnsi="宋体" w:eastAsia="宋体" w:cs="宋体"/>
        </w:rPr>
      </w:pPr>
      <w:bookmarkStart w:id="535" w:name="_Toc351203603"/>
      <w:bookmarkStart w:id="536" w:name="_Toc145583460"/>
      <w:bookmarkStart w:id="537" w:name="_Toc337558820"/>
      <w:r>
        <w:rPr>
          <w:rFonts w:hint="eastAsia" w:ascii="宋体" w:hAnsi="宋体" w:eastAsia="宋体" w:cs="宋体"/>
        </w:rPr>
        <w:t>16. 违约</w:t>
      </w:r>
      <w:bookmarkEnd w:id="535"/>
      <w:bookmarkEnd w:id="536"/>
    </w:p>
    <w:bookmarkEnd w:id="537"/>
    <w:p w14:paraId="3538E3EE">
      <w:pPr>
        <w:spacing w:line="360" w:lineRule="auto"/>
        <w:ind w:firstLine="480" w:firstLineChars="200"/>
        <w:rPr>
          <w:rFonts w:hint="eastAsia" w:ascii="宋体" w:hAnsi="宋体" w:eastAsia="宋体" w:cs="宋体"/>
        </w:rPr>
      </w:pPr>
      <w:bookmarkStart w:id="538" w:name="_Toc296346630"/>
      <w:bookmarkStart w:id="539" w:name="_Toc296503129"/>
      <w:bookmarkStart w:id="540" w:name="_Toc145583461"/>
      <w:bookmarkStart w:id="541" w:name="_Toc351203604"/>
      <w:bookmarkStart w:id="542" w:name="_Toc337558821"/>
      <w:r>
        <w:rPr>
          <w:rFonts w:hint="eastAsia" w:ascii="宋体" w:hAnsi="宋体" w:eastAsia="宋体" w:cs="宋体"/>
        </w:rPr>
        <w:t>16.1 发</w:t>
      </w:r>
      <w:bookmarkEnd w:id="538"/>
      <w:bookmarkEnd w:id="539"/>
      <w:r>
        <w:rPr>
          <w:rFonts w:hint="eastAsia" w:ascii="宋体" w:hAnsi="宋体" w:eastAsia="宋体" w:cs="宋体"/>
        </w:rPr>
        <w:t>包人违约</w:t>
      </w:r>
      <w:bookmarkEnd w:id="540"/>
      <w:bookmarkEnd w:id="541"/>
    </w:p>
    <w:bookmarkEnd w:id="542"/>
    <w:p w14:paraId="3BB81824">
      <w:pPr>
        <w:spacing w:line="360" w:lineRule="auto"/>
        <w:ind w:firstLine="480" w:firstLineChars="200"/>
        <w:rPr>
          <w:rFonts w:hint="eastAsia" w:ascii="宋体" w:hAnsi="宋体" w:eastAsia="宋体" w:cs="宋体"/>
        </w:rPr>
      </w:pPr>
      <w:r>
        <w:rPr>
          <w:rFonts w:hint="eastAsia" w:ascii="宋体" w:hAnsi="宋体" w:eastAsia="宋体" w:cs="宋体"/>
        </w:rPr>
        <w:t>16.1.1 发包人违约的情形</w:t>
      </w:r>
    </w:p>
    <w:p w14:paraId="31CDD3A5">
      <w:pPr>
        <w:spacing w:line="360" w:lineRule="auto"/>
        <w:ind w:firstLine="480" w:firstLineChars="200"/>
        <w:rPr>
          <w:rFonts w:hint="eastAsia" w:ascii="宋体" w:hAnsi="宋体" w:eastAsia="宋体" w:cs="宋体"/>
        </w:rPr>
      </w:pPr>
      <w:r>
        <w:rPr>
          <w:rFonts w:hint="eastAsia" w:ascii="宋体" w:hAnsi="宋体" w:eastAsia="宋体" w:cs="宋体"/>
        </w:rPr>
        <w:t>在合同履行过程中发生的下列情形，属于发包人违约：</w:t>
      </w:r>
    </w:p>
    <w:p w14:paraId="519A5ACF">
      <w:pPr>
        <w:spacing w:line="360" w:lineRule="auto"/>
        <w:ind w:firstLine="480" w:firstLineChars="200"/>
        <w:rPr>
          <w:rFonts w:hint="eastAsia" w:ascii="宋体" w:hAnsi="宋体" w:eastAsia="宋体" w:cs="宋体"/>
        </w:rPr>
      </w:pPr>
      <w:r>
        <w:rPr>
          <w:rFonts w:hint="eastAsia" w:ascii="宋体" w:hAnsi="宋体" w:eastAsia="宋体" w:cs="宋体"/>
        </w:rPr>
        <w:t>（1）因发包人原因未能在计划开工日期前7天内下达开工通知的；</w:t>
      </w:r>
    </w:p>
    <w:p w14:paraId="5ADFC599">
      <w:pPr>
        <w:spacing w:line="360" w:lineRule="auto"/>
        <w:ind w:firstLine="480" w:firstLineChars="200"/>
        <w:rPr>
          <w:rFonts w:hint="eastAsia" w:ascii="宋体" w:hAnsi="宋体" w:eastAsia="宋体" w:cs="宋体"/>
        </w:rPr>
      </w:pPr>
      <w:r>
        <w:rPr>
          <w:rFonts w:hint="eastAsia" w:ascii="宋体" w:hAnsi="宋体" w:eastAsia="宋体" w:cs="宋体"/>
        </w:rPr>
        <w:t>（2）因发包人原因未能按合同约定支付合同价款的；</w:t>
      </w:r>
    </w:p>
    <w:p w14:paraId="5B0F99F5">
      <w:pPr>
        <w:spacing w:line="360" w:lineRule="auto"/>
        <w:ind w:firstLine="480" w:firstLineChars="200"/>
        <w:rPr>
          <w:rFonts w:hint="eastAsia" w:ascii="宋体" w:hAnsi="宋体" w:eastAsia="宋体" w:cs="宋体"/>
        </w:rPr>
      </w:pPr>
      <w:r>
        <w:rPr>
          <w:rFonts w:hint="eastAsia" w:ascii="宋体" w:hAnsi="宋体" w:eastAsia="宋体" w:cs="宋体"/>
        </w:rPr>
        <w:t>（3）发包人违反第10.1款〔变更的范围〕第（2）项约定，自行实施被取消的工作或转由他人实施的；</w:t>
      </w:r>
    </w:p>
    <w:p w14:paraId="24F51A63">
      <w:pPr>
        <w:spacing w:line="360" w:lineRule="auto"/>
        <w:ind w:firstLine="480" w:firstLineChars="200"/>
        <w:rPr>
          <w:rFonts w:hint="eastAsia" w:ascii="宋体" w:hAnsi="宋体" w:eastAsia="宋体" w:cs="宋体"/>
        </w:rPr>
      </w:pPr>
      <w:r>
        <w:rPr>
          <w:rFonts w:hint="eastAsia" w:ascii="宋体" w:hAnsi="宋体" w:eastAsia="宋体" w:cs="宋体"/>
        </w:rPr>
        <w:t>（4）发包人提供的材料、工程设备的规格、数量或质量不符合合同约定，或因发包人原因导致交货日期延误或交货地点变更等情况的；</w:t>
      </w:r>
    </w:p>
    <w:p w14:paraId="2A3A8428">
      <w:pPr>
        <w:spacing w:line="360" w:lineRule="auto"/>
        <w:ind w:firstLine="480" w:firstLineChars="200"/>
        <w:rPr>
          <w:rFonts w:hint="eastAsia" w:ascii="宋体" w:hAnsi="宋体" w:eastAsia="宋体" w:cs="宋体"/>
        </w:rPr>
      </w:pPr>
      <w:r>
        <w:rPr>
          <w:rFonts w:hint="eastAsia" w:ascii="宋体" w:hAnsi="宋体" w:eastAsia="宋体" w:cs="宋体"/>
        </w:rPr>
        <w:t>（5）因发包人违反合同约定造成暂停施工的；</w:t>
      </w:r>
    </w:p>
    <w:p w14:paraId="7A751D49">
      <w:pPr>
        <w:spacing w:line="360" w:lineRule="auto"/>
        <w:ind w:firstLine="480" w:firstLineChars="200"/>
        <w:rPr>
          <w:rFonts w:hint="eastAsia" w:ascii="宋体" w:hAnsi="宋体" w:eastAsia="宋体" w:cs="宋体"/>
        </w:rPr>
      </w:pPr>
      <w:r>
        <w:rPr>
          <w:rFonts w:hint="eastAsia" w:ascii="宋体" w:hAnsi="宋体" w:eastAsia="宋体" w:cs="宋体"/>
        </w:rPr>
        <w:t>（6）发包人无正当理由没有在约定期限内发出复工指示，导致承包人无法复工的；</w:t>
      </w:r>
    </w:p>
    <w:p w14:paraId="0928DC17">
      <w:pPr>
        <w:spacing w:line="360" w:lineRule="auto"/>
        <w:ind w:firstLine="480" w:firstLineChars="200"/>
        <w:rPr>
          <w:rFonts w:hint="eastAsia" w:ascii="宋体" w:hAnsi="宋体" w:eastAsia="宋体" w:cs="宋体"/>
        </w:rPr>
      </w:pPr>
      <w:r>
        <w:rPr>
          <w:rFonts w:hint="eastAsia" w:ascii="宋体" w:hAnsi="宋体" w:eastAsia="宋体" w:cs="宋体"/>
        </w:rPr>
        <w:t>（7）发包人明确表示或者以其行为表明不履行合同主要义务的；</w:t>
      </w:r>
    </w:p>
    <w:p w14:paraId="2B1E3210">
      <w:pPr>
        <w:spacing w:line="360" w:lineRule="auto"/>
        <w:ind w:firstLine="480" w:firstLineChars="200"/>
        <w:rPr>
          <w:rFonts w:hint="eastAsia" w:ascii="宋体" w:hAnsi="宋体" w:eastAsia="宋体" w:cs="宋体"/>
        </w:rPr>
      </w:pPr>
      <w:r>
        <w:rPr>
          <w:rFonts w:hint="eastAsia" w:ascii="宋体" w:hAnsi="宋体" w:eastAsia="宋体" w:cs="宋体"/>
        </w:rPr>
        <w:t>（8）发包人未能按照合同约定履行其他义务的。</w:t>
      </w:r>
    </w:p>
    <w:p w14:paraId="7BD72422">
      <w:pPr>
        <w:spacing w:line="360" w:lineRule="auto"/>
        <w:ind w:firstLine="480" w:firstLineChars="200"/>
        <w:rPr>
          <w:rFonts w:hint="eastAsia" w:ascii="宋体" w:hAnsi="宋体" w:eastAsia="宋体" w:cs="宋体"/>
        </w:rPr>
      </w:pPr>
      <w:r>
        <w:rPr>
          <w:rFonts w:hint="eastAsia" w:ascii="宋体" w:hAnsi="宋体" w:eastAsia="宋体" w:cs="宋体"/>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0927B3EA">
      <w:pPr>
        <w:spacing w:line="360" w:lineRule="auto"/>
        <w:ind w:firstLine="480" w:firstLineChars="200"/>
        <w:rPr>
          <w:rFonts w:hint="eastAsia" w:ascii="宋体" w:hAnsi="宋体" w:eastAsia="宋体" w:cs="宋体"/>
        </w:rPr>
      </w:pPr>
      <w:r>
        <w:rPr>
          <w:rFonts w:hint="eastAsia" w:ascii="宋体" w:hAnsi="宋体" w:eastAsia="宋体" w:cs="宋体"/>
        </w:rPr>
        <w:t>16.1.2 发包人违约的责任</w:t>
      </w:r>
    </w:p>
    <w:p w14:paraId="104DB793">
      <w:pPr>
        <w:spacing w:line="360" w:lineRule="auto"/>
        <w:ind w:firstLine="480" w:firstLineChars="200"/>
        <w:rPr>
          <w:rFonts w:hint="eastAsia" w:ascii="宋体" w:hAnsi="宋体" w:eastAsia="宋体" w:cs="宋体"/>
        </w:rPr>
      </w:pPr>
      <w:r>
        <w:rPr>
          <w:rFonts w:hint="eastAsia" w:ascii="宋体" w:hAnsi="宋体" w:eastAsia="宋体" w:cs="宋体"/>
        </w:rPr>
        <w:t>发包人应承担因其违约给承包人增加的费用和（或）延误的工期，并支付承包人合理的利润。此外，合同当事人可在专用合同条款中另行约定发包人违约责任的承担方式和计算方法。</w:t>
      </w:r>
    </w:p>
    <w:p w14:paraId="0E613999">
      <w:pPr>
        <w:spacing w:line="360" w:lineRule="auto"/>
        <w:ind w:firstLine="480" w:firstLineChars="200"/>
        <w:rPr>
          <w:rFonts w:hint="eastAsia" w:ascii="宋体" w:hAnsi="宋体" w:eastAsia="宋体" w:cs="宋体"/>
        </w:rPr>
      </w:pPr>
      <w:r>
        <w:rPr>
          <w:rFonts w:hint="eastAsia" w:ascii="宋体" w:hAnsi="宋体" w:eastAsia="宋体" w:cs="宋体"/>
        </w:rPr>
        <w:t>16.1.3 因发包人违约解除合同</w:t>
      </w:r>
    </w:p>
    <w:p w14:paraId="44986FDE">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55A61D32">
      <w:pPr>
        <w:spacing w:line="360" w:lineRule="auto"/>
        <w:ind w:firstLine="480" w:firstLineChars="200"/>
        <w:rPr>
          <w:rFonts w:hint="eastAsia" w:ascii="宋体" w:hAnsi="宋体" w:eastAsia="宋体" w:cs="宋体"/>
        </w:rPr>
      </w:pPr>
      <w:r>
        <w:rPr>
          <w:rFonts w:hint="eastAsia" w:ascii="宋体" w:hAnsi="宋体" w:eastAsia="宋体" w:cs="宋体"/>
        </w:rPr>
        <w:t>16.1.4 因发包人违约解除合同后的付款</w:t>
      </w:r>
    </w:p>
    <w:p w14:paraId="4A72787A">
      <w:pPr>
        <w:spacing w:line="360" w:lineRule="auto"/>
        <w:ind w:firstLine="480" w:firstLineChars="200"/>
        <w:rPr>
          <w:rFonts w:hint="eastAsia" w:ascii="宋体" w:hAnsi="宋体" w:eastAsia="宋体" w:cs="宋体"/>
        </w:rPr>
      </w:pPr>
      <w:r>
        <w:rPr>
          <w:rFonts w:hint="eastAsia" w:ascii="宋体" w:hAnsi="宋体" w:eastAsia="宋体" w:cs="宋体"/>
        </w:rPr>
        <w:t>承包人按照本款约定解除合同的，发包人应在解除合同后28天内支付下列款项，并解除履约担保：</w:t>
      </w:r>
    </w:p>
    <w:p w14:paraId="3FC35E96">
      <w:pPr>
        <w:spacing w:line="360" w:lineRule="auto"/>
        <w:ind w:firstLine="480" w:firstLineChars="200"/>
        <w:rPr>
          <w:rFonts w:hint="eastAsia" w:ascii="宋体" w:hAnsi="宋体" w:eastAsia="宋体" w:cs="宋体"/>
        </w:rPr>
      </w:pPr>
      <w:r>
        <w:rPr>
          <w:rFonts w:hint="eastAsia" w:ascii="宋体" w:hAnsi="宋体" w:eastAsia="宋体" w:cs="宋体"/>
        </w:rPr>
        <w:t>（1）合同解除前所完成工作的价款；</w:t>
      </w:r>
    </w:p>
    <w:p w14:paraId="4C02C52C">
      <w:pPr>
        <w:spacing w:line="360" w:lineRule="auto"/>
        <w:ind w:firstLine="480" w:firstLineChars="200"/>
        <w:rPr>
          <w:rFonts w:hint="eastAsia" w:ascii="宋体" w:hAnsi="宋体" w:eastAsia="宋体" w:cs="宋体"/>
        </w:rPr>
      </w:pPr>
      <w:r>
        <w:rPr>
          <w:rFonts w:hint="eastAsia" w:ascii="宋体" w:hAnsi="宋体" w:eastAsia="宋体" w:cs="宋体"/>
        </w:rPr>
        <w:t>（2）承包人为工程施工订购并已付款的材料、工程设备和其他物品的价款；</w:t>
      </w:r>
    </w:p>
    <w:p w14:paraId="51B48344">
      <w:pPr>
        <w:spacing w:line="360" w:lineRule="auto"/>
        <w:ind w:firstLine="480" w:firstLineChars="200"/>
        <w:rPr>
          <w:rFonts w:hint="eastAsia" w:ascii="宋体" w:hAnsi="宋体" w:eastAsia="宋体" w:cs="宋体"/>
        </w:rPr>
      </w:pPr>
      <w:r>
        <w:rPr>
          <w:rFonts w:hint="eastAsia" w:ascii="宋体" w:hAnsi="宋体" w:eastAsia="宋体" w:cs="宋体"/>
        </w:rPr>
        <w:t>（3）承包人撤离施工现场以及遣散承包人人员的款项；</w:t>
      </w:r>
    </w:p>
    <w:p w14:paraId="11EF6CAF">
      <w:pPr>
        <w:spacing w:line="360" w:lineRule="auto"/>
        <w:ind w:firstLine="480" w:firstLineChars="200"/>
        <w:rPr>
          <w:rFonts w:hint="eastAsia" w:ascii="宋体" w:hAnsi="宋体" w:eastAsia="宋体" w:cs="宋体"/>
        </w:rPr>
      </w:pPr>
      <w:r>
        <w:rPr>
          <w:rFonts w:hint="eastAsia" w:ascii="宋体" w:hAnsi="宋体" w:eastAsia="宋体" w:cs="宋体"/>
        </w:rPr>
        <w:t>（4）按照合同约定在合同解除前应支付的违约金；</w:t>
      </w:r>
    </w:p>
    <w:p w14:paraId="049BBD2C">
      <w:pPr>
        <w:spacing w:line="360" w:lineRule="auto"/>
        <w:ind w:firstLine="480" w:firstLineChars="200"/>
        <w:rPr>
          <w:rFonts w:hint="eastAsia" w:ascii="宋体" w:hAnsi="宋体" w:eastAsia="宋体" w:cs="宋体"/>
        </w:rPr>
      </w:pPr>
      <w:r>
        <w:rPr>
          <w:rFonts w:hint="eastAsia" w:ascii="宋体" w:hAnsi="宋体" w:eastAsia="宋体" w:cs="宋体"/>
        </w:rPr>
        <w:t>（5）按照合同约定应当支付给承包人的其他款项；</w:t>
      </w:r>
    </w:p>
    <w:p w14:paraId="22FCD1D4">
      <w:pPr>
        <w:spacing w:line="360" w:lineRule="auto"/>
        <w:ind w:firstLine="480" w:firstLineChars="200"/>
        <w:rPr>
          <w:rFonts w:hint="eastAsia" w:ascii="宋体" w:hAnsi="宋体" w:eastAsia="宋体" w:cs="宋体"/>
        </w:rPr>
      </w:pPr>
      <w:r>
        <w:rPr>
          <w:rFonts w:hint="eastAsia" w:ascii="宋体" w:hAnsi="宋体" w:eastAsia="宋体" w:cs="宋体"/>
        </w:rPr>
        <w:t>（6）按照合同约定应退还的质量保证金；</w:t>
      </w:r>
    </w:p>
    <w:p w14:paraId="0FBFD951">
      <w:pPr>
        <w:spacing w:line="360" w:lineRule="auto"/>
        <w:ind w:firstLine="480" w:firstLineChars="200"/>
        <w:rPr>
          <w:rFonts w:hint="eastAsia" w:ascii="宋体" w:hAnsi="宋体" w:eastAsia="宋体" w:cs="宋体"/>
        </w:rPr>
      </w:pPr>
      <w:r>
        <w:rPr>
          <w:rFonts w:hint="eastAsia" w:ascii="宋体" w:hAnsi="宋体" w:eastAsia="宋体" w:cs="宋体"/>
        </w:rPr>
        <w:t>（7）因解除合同给承包人造成的损失。</w:t>
      </w:r>
    </w:p>
    <w:p w14:paraId="4DD5B3F1">
      <w:pPr>
        <w:spacing w:line="360" w:lineRule="auto"/>
        <w:ind w:firstLine="480" w:firstLineChars="200"/>
        <w:rPr>
          <w:rFonts w:hint="eastAsia" w:ascii="宋体" w:hAnsi="宋体" w:eastAsia="宋体" w:cs="宋体"/>
        </w:rPr>
      </w:pPr>
      <w:r>
        <w:rPr>
          <w:rFonts w:hint="eastAsia" w:ascii="宋体" w:hAnsi="宋体" w:eastAsia="宋体" w:cs="宋体"/>
        </w:rPr>
        <w:t>合同当事人未能就解除合同后的结清达成一致的，按照第20条〔争议解决〕的约定处理。</w:t>
      </w:r>
    </w:p>
    <w:p w14:paraId="03571E1B">
      <w:pPr>
        <w:spacing w:line="360" w:lineRule="auto"/>
        <w:ind w:firstLine="480" w:firstLineChars="200"/>
        <w:rPr>
          <w:rFonts w:hint="eastAsia" w:ascii="宋体" w:hAnsi="宋体" w:eastAsia="宋体" w:cs="宋体"/>
        </w:rPr>
      </w:pPr>
      <w:r>
        <w:rPr>
          <w:rFonts w:hint="eastAsia" w:ascii="宋体" w:hAnsi="宋体" w:eastAsia="宋体" w:cs="宋体"/>
        </w:rPr>
        <w:t>承包人应妥善做好已完工程和与工程有关的已购材料、工程设备的保护和移交工作，并将施工设备和人员撤出施工现场，发包人应为承包人撤出提供必要条件。</w:t>
      </w:r>
    </w:p>
    <w:p w14:paraId="10497E4B">
      <w:pPr>
        <w:spacing w:line="360" w:lineRule="auto"/>
        <w:ind w:firstLine="480" w:firstLineChars="200"/>
        <w:rPr>
          <w:rFonts w:hint="eastAsia" w:ascii="宋体" w:hAnsi="宋体" w:eastAsia="宋体" w:cs="宋体"/>
        </w:rPr>
      </w:pPr>
      <w:bookmarkStart w:id="543" w:name="_Toc145583462"/>
      <w:bookmarkStart w:id="544" w:name="_Toc351203605"/>
      <w:bookmarkStart w:id="545" w:name="_Toc296503131"/>
      <w:bookmarkStart w:id="546" w:name="_Toc337558822"/>
      <w:bookmarkStart w:id="547" w:name="_Toc296346632"/>
      <w:r>
        <w:rPr>
          <w:rFonts w:hint="eastAsia" w:ascii="宋体" w:hAnsi="宋体" w:eastAsia="宋体" w:cs="宋体"/>
        </w:rPr>
        <w:t>16.2 承包人违约</w:t>
      </w:r>
      <w:bookmarkEnd w:id="543"/>
      <w:bookmarkEnd w:id="544"/>
    </w:p>
    <w:bookmarkEnd w:id="545"/>
    <w:bookmarkEnd w:id="546"/>
    <w:bookmarkEnd w:id="547"/>
    <w:p w14:paraId="409DA55A">
      <w:pPr>
        <w:spacing w:line="360" w:lineRule="auto"/>
        <w:ind w:firstLine="480" w:firstLineChars="200"/>
        <w:rPr>
          <w:rFonts w:hint="eastAsia" w:ascii="宋体" w:hAnsi="宋体" w:eastAsia="宋体" w:cs="宋体"/>
        </w:rPr>
      </w:pPr>
      <w:r>
        <w:rPr>
          <w:rFonts w:hint="eastAsia" w:ascii="宋体" w:hAnsi="宋体" w:eastAsia="宋体" w:cs="宋体"/>
        </w:rPr>
        <w:t>16.2.1 承包人违约的情形</w:t>
      </w:r>
    </w:p>
    <w:p w14:paraId="7A99E489">
      <w:pPr>
        <w:spacing w:line="360" w:lineRule="auto"/>
        <w:ind w:firstLine="480" w:firstLineChars="200"/>
        <w:rPr>
          <w:rFonts w:hint="eastAsia" w:ascii="宋体" w:hAnsi="宋体" w:eastAsia="宋体" w:cs="宋体"/>
        </w:rPr>
      </w:pPr>
      <w:r>
        <w:rPr>
          <w:rFonts w:hint="eastAsia" w:ascii="宋体" w:hAnsi="宋体" w:eastAsia="宋体" w:cs="宋体"/>
        </w:rPr>
        <w:t>在合同履行过程中发生的下列情形，属于承包人违约：</w:t>
      </w:r>
    </w:p>
    <w:p w14:paraId="3A8B07E1">
      <w:pPr>
        <w:spacing w:line="360" w:lineRule="auto"/>
        <w:ind w:firstLine="480" w:firstLineChars="200"/>
        <w:rPr>
          <w:rFonts w:hint="eastAsia" w:ascii="宋体" w:hAnsi="宋体" w:eastAsia="宋体" w:cs="宋体"/>
        </w:rPr>
      </w:pPr>
      <w:r>
        <w:rPr>
          <w:rFonts w:hint="eastAsia" w:ascii="宋体" w:hAnsi="宋体" w:eastAsia="宋体" w:cs="宋体"/>
        </w:rPr>
        <w:t>（1）承包人违反合同约定进行转包或违法分包的；</w:t>
      </w:r>
    </w:p>
    <w:p w14:paraId="308E320A">
      <w:pPr>
        <w:spacing w:line="360" w:lineRule="auto"/>
        <w:ind w:firstLine="480" w:firstLineChars="200"/>
        <w:rPr>
          <w:rFonts w:hint="eastAsia" w:ascii="宋体" w:hAnsi="宋体" w:eastAsia="宋体" w:cs="宋体"/>
        </w:rPr>
      </w:pPr>
      <w:r>
        <w:rPr>
          <w:rFonts w:hint="eastAsia" w:ascii="宋体" w:hAnsi="宋体" w:eastAsia="宋体" w:cs="宋体"/>
        </w:rPr>
        <w:t>（2）承包人违反合同约定采购和使用不合格的材料和工程设备的；</w:t>
      </w:r>
    </w:p>
    <w:p w14:paraId="3A62B363">
      <w:pPr>
        <w:spacing w:line="360" w:lineRule="auto"/>
        <w:ind w:firstLine="480" w:firstLineChars="200"/>
        <w:rPr>
          <w:rFonts w:hint="eastAsia" w:ascii="宋体" w:hAnsi="宋体" w:eastAsia="宋体" w:cs="宋体"/>
        </w:rPr>
      </w:pPr>
      <w:r>
        <w:rPr>
          <w:rFonts w:hint="eastAsia" w:ascii="宋体" w:hAnsi="宋体" w:eastAsia="宋体" w:cs="宋体"/>
        </w:rPr>
        <w:t xml:space="preserve">（3）因承包人原因导致工程质量不符合合同要求的； </w:t>
      </w:r>
    </w:p>
    <w:p w14:paraId="67352686">
      <w:pPr>
        <w:spacing w:line="360" w:lineRule="auto"/>
        <w:ind w:firstLine="480" w:firstLineChars="200"/>
        <w:rPr>
          <w:rFonts w:hint="eastAsia" w:ascii="宋体" w:hAnsi="宋体" w:eastAsia="宋体" w:cs="宋体"/>
        </w:rPr>
      </w:pPr>
      <w:r>
        <w:rPr>
          <w:rFonts w:hint="eastAsia" w:ascii="宋体" w:hAnsi="宋体" w:eastAsia="宋体" w:cs="宋体"/>
        </w:rPr>
        <w:t>（4）承包人违反第8.9款〔材料与设备专用要求〕的约定，未经批准，私自将已按照合同约定进入施工现场的材料或设备撤离施工现场的；</w:t>
      </w:r>
    </w:p>
    <w:p w14:paraId="35550DEC">
      <w:pPr>
        <w:spacing w:line="360" w:lineRule="auto"/>
        <w:ind w:firstLine="480" w:firstLineChars="200"/>
        <w:rPr>
          <w:rFonts w:hint="eastAsia" w:ascii="宋体" w:hAnsi="宋体" w:eastAsia="宋体" w:cs="宋体"/>
        </w:rPr>
      </w:pPr>
      <w:r>
        <w:rPr>
          <w:rFonts w:hint="eastAsia" w:ascii="宋体" w:hAnsi="宋体" w:eastAsia="宋体" w:cs="宋体"/>
        </w:rPr>
        <w:t>（5）承包人未能按施工进度计划及时完成合同约定的工作，造成工期延误的；</w:t>
      </w:r>
    </w:p>
    <w:p w14:paraId="13CE0AE2">
      <w:pPr>
        <w:spacing w:line="360" w:lineRule="auto"/>
        <w:ind w:firstLine="480" w:firstLineChars="200"/>
        <w:rPr>
          <w:rFonts w:hint="eastAsia" w:ascii="宋体" w:hAnsi="宋体" w:eastAsia="宋体" w:cs="宋体"/>
        </w:rPr>
      </w:pPr>
      <w:r>
        <w:rPr>
          <w:rFonts w:hint="eastAsia" w:ascii="宋体" w:hAnsi="宋体" w:eastAsia="宋体" w:cs="宋体"/>
        </w:rPr>
        <w:t>（6）承包人在缺陷责任期及保修期内，未能在合理期限对工程缺陷进行修复，或拒绝按发包人要求进行修复的；</w:t>
      </w:r>
    </w:p>
    <w:p w14:paraId="053D3365">
      <w:pPr>
        <w:spacing w:line="360" w:lineRule="auto"/>
        <w:ind w:firstLine="480" w:firstLineChars="200"/>
        <w:rPr>
          <w:rFonts w:hint="eastAsia" w:ascii="宋体" w:hAnsi="宋体" w:eastAsia="宋体" w:cs="宋体"/>
        </w:rPr>
      </w:pPr>
      <w:r>
        <w:rPr>
          <w:rFonts w:hint="eastAsia" w:ascii="宋体" w:hAnsi="宋体" w:eastAsia="宋体" w:cs="宋体"/>
        </w:rPr>
        <w:t>（7）承包人明确表示或者以其行为表明不履行合同主要义务的；</w:t>
      </w:r>
    </w:p>
    <w:p w14:paraId="6C696152">
      <w:pPr>
        <w:spacing w:line="360" w:lineRule="auto"/>
        <w:ind w:firstLine="480" w:firstLineChars="200"/>
        <w:rPr>
          <w:rFonts w:hint="eastAsia" w:ascii="宋体" w:hAnsi="宋体" w:eastAsia="宋体" w:cs="宋体"/>
        </w:rPr>
      </w:pPr>
      <w:r>
        <w:rPr>
          <w:rFonts w:hint="eastAsia" w:ascii="宋体" w:hAnsi="宋体" w:eastAsia="宋体" w:cs="宋体"/>
        </w:rPr>
        <w:t>（8）承包人未能按照合同约定履行其他义务的。</w:t>
      </w:r>
    </w:p>
    <w:p w14:paraId="08ED23AE">
      <w:pPr>
        <w:spacing w:line="360" w:lineRule="auto"/>
        <w:ind w:firstLine="480" w:firstLineChars="200"/>
        <w:rPr>
          <w:rFonts w:hint="eastAsia" w:ascii="宋体" w:hAnsi="宋体" w:eastAsia="宋体" w:cs="宋体"/>
        </w:rPr>
      </w:pPr>
      <w:r>
        <w:rPr>
          <w:rFonts w:hint="eastAsia" w:ascii="宋体" w:hAnsi="宋体" w:eastAsia="宋体" w:cs="宋体"/>
        </w:rPr>
        <w:t>承包人发生除本项第（7）目约定以外的其他违约情况时，监理人可向承包人发出整改通知，要求其在指定的期限内改正。</w:t>
      </w:r>
    </w:p>
    <w:p w14:paraId="733317C3">
      <w:pPr>
        <w:spacing w:line="360" w:lineRule="auto"/>
        <w:ind w:firstLine="480" w:firstLineChars="200"/>
        <w:rPr>
          <w:rFonts w:hint="eastAsia" w:ascii="宋体" w:hAnsi="宋体" w:eastAsia="宋体" w:cs="宋体"/>
        </w:rPr>
      </w:pPr>
      <w:r>
        <w:rPr>
          <w:rFonts w:hint="eastAsia" w:ascii="宋体" w:hAnsi="宋体" w:eastAsia="宋体" w:cs="宋体"/>
        </w:rPr>
        <w:t>16.2.2 承包人违约的责任</w:t>
      </w:r>
    </w:p>
    <w:p w14:paraId="280A08B3">
      <w:pPr>
        <w:spacing w:line="360" w:lineRule="auto"/>
        <w:ind w:firstLine="480" w:firstLineChars="200"/>
        <w:rPr>
          <w:rFonts w:hint="eastAsia" w:ascii="宋体" w:hAnsi="宋体" w:eastAsia="宋体" w:cs="宋体"/>
        </w:rPr>
      </w:pPr>
      <w:r>
        <w:rPr>
          <w:rFonts w:hint="eastAsia" w:ascii="宋体" w:hAnsi="宋体" w:eastAsia="宋体" w:cs="宋体"/>
        </w:rPr>
        <w:t>承包人应承担因其违约行为而增加的费用和（或）延误的工期。此外，合同当事人可在专用合同条款中另行约定承包人违约责任的承担方式和计算方法。</w:t>
      </w:r>
    </w:p>
    <w:p w14:paraId="6AE3B5F3">
      <w:pPr>
        <w:spacing w:line="360" w:lineRule="auto"/>
        <w:ind w:firstLine="480" w:firstLineChars="200"/>
        <w:rPr>
          <w:rFonts w:hint="eastAsia" w:ascii="宋体" w:hAnsi="宋体" w:eastAsia="宋体" w:cs="宋体"/>
        </w:rPr>
      </w:pPr>
      <w:r>
        <w:rPr>
          <w:rFonts w:hint="eastAsia" w:ascii="宋体" w:hAnsi="宋体" w:eastAsia="宋体" w:cs="宋体"/>
        </w:rPr>
        <w:t>16.2.3 因承包人违约解除合同</w:t>
      </w:r>
    </w:p>
    <w:p w14:paraId="299E9876">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623EDF7D">
      <w:pPr>
        <w:spacing w:line="360" w:lineRule="auto"/>
        <w:ind w:firstLine="480" w:firstLineChars="200"/>
        <w:rPr>
          <w:rFonts w:hint="eastAsia" w:ascii="宋体" w:hAnsi="宋体" w:eastAsia="宋体" w:cs="宋体"/>
        </w:rPr>
      </w:pPr>
      <w:r>
        <w:rPr>
          <w:rFonts w:hint="eastAsia" w:ascii="宋体" w:hAnsi="宋体" w:eastAsia="宋体" w:cs="宋体"/>
        </w:rPr>
        <w:t>16.2.4因承包人违约解除合同后的处理</w:t>
      </w:r>
    </w:p>
    <w:p w14:paraId="617C61A6">
      <w:pPr>
        <w:spacing w:line="360" w:lineRule="auto"/>
        <w:ind w:firstLine="480" w:firstLineChars="200"/>
        <w:rPr>
          <w:rFonts w:hint="eastAsia" w:ascii="宋体" w:hAnsi="宋体" w:eastAsia="宋体" w:cs="宋体"/>
        </w:rPr>
      </w:pPr>
      <w:r>
        <w:rPr>
          <w:rFonts w:hint="eastAsia" w:ascii="宋体" w:hAnsi="宋体" w:eastAsia="宋体" w:cs="宋体"/>
        </w:rPr>
        <w:t>因承包人原因导致合同解除的，则合同当事人应在合同解除后28天内完成估价、付款和清算，并按以下约定执行：</w:t>
      </w:r>
    </w:p>
    <w:p w14:paraId="196D9DCC">
      <w:pPr>
        <w:spacing w:line="360" w:lineRule="auto"/>
        <w:ind w:firstLine="480" w:firstLineChars="200"/>
        <w:rPr>
          <w:rFonts w:hint="eastAsia" w:ascii="宋体" w:hAnsi="宋体" w:eastAsia="宋体" w:cs="宋体"/>
        </w:rPr>
      </w:pPr>
      <w:r>
        <w:rPr>
          <w:rFonts w:hint="eastAsia" w:ascii="宋体" w:hAnsi="宋体" w:eastAsia="宋体" w:cs="宋体"/>
        </w:rPr>
        <w:t>（1）合同解除后，按第4.4款〔商定或确定〕商定或确定承包人实际完成工作对应的合同价款，以及承包人已提供的材料、工程设备、施工设备和临时工程等的价值；</w:t>
      </w:r>
    </w:p>
    <w:p w14:paraId="78D094B6">
      <w:pPr>
        <w:spacing w:line="360" w:lineRule="auto"/>
        <w:ind w:firstLine="480" w:firstLineChars="200"/>
        <w:rPr>
          <w:rFonts w:hint="eastAsia" w:ascii="宋体" w:hAnsi="宋体" w:eastAsia="宋体" w:cs="宋体"/>
        </w:rPr>
      </w:pPr>
      <w:r>
        <w:rPr>
          <w:rFonts w:hint="eastAsia" w:ascii="宋体" w:hAnsi="宋体" w:eastAsia="宋体" w:cs="宋体"/>
        </w:rPr>
        <w:t>（2）合同解除后，承包人应支付的违约金</w:t>
      </w:r>
      <w:r>
        <w:rPr>
          <w:rFonts w:hint="eastAsia" w:ascii="宋体" w:hAnsi="宋体" w:eastAsia="宋体" w:cs="宋体"/>
          <w:lang w:eastAsia="zh-CN"/>
        </w:rPr>
        <w:t>，</w:t>
      </w:r>
      <w:r>
        <w:rPr>
          <w:rFonts w:hint="eastAsia" w:ascii="宋体" w:hAnsi="宋体" w:eastAsia="宋体" w:cs="宋体"/>
          <w:lang w:val="en-US" w:eastAsia="zh-CN"/>
        </w:rPr>
        <w:t xml:space="preserve">承包人违法转包、分包，发包人解除合同的，违约金数额为合同总金额 30% </w:t>
      </w:r>
      <w:r>
        <w:rPr>
          <w:rFonts w:hint="eastAsia" w:ascii="宋体" w:hAnsi="宋体" w:eastAsia="宋体" w:cs="宋体"/>
        </w:rPr>
        <w:t>；</w:t>
      </w:r>
    </w:p>
    <w:p w14:paraId="5EF32A07">
      <w:pPr>
        <w:spacing w:line="360" w:lineRule="auto"/>
        <w:ind w:firstLine="480" w:firstLineChars="200"/>
        <w:rPr>
          <w:rFonts w:hint="eastAsia" w:ascii="宋体" w:hAnsi="宋体" w:eastAsia="宋体" w:cs="宋体"/>
        </w:rPr>
      </w:pPr>
      <w:r>
        <w:rPr>
          <w:rFonts w:hint="eastAsia" w:ascii="宋体" w:hAnsi="宋体" w:eastAsia="宋体" w:cs="宋体"/>
        </w:rPr>
        <w:t>（3）合同解除后，因解除合同给发包人造成的损失；</w:t>
      </w:r>
    </w:p>
    <w:p w14:paraId="60FC67CE">
      <w:pPr>
        <w:spacing w:line="360" w:lineRule="auto"/>
        <w:ind w:firstLine="480" w:firstLineChars="200"/>
        <w:rPr>
          <w:rFonts w:hint="eastAsia" w:ascii="宋体" w:hAnsi="宋体" w:eastAsia="宋体" w:cs="宋体"/>
        </w:rPr>
      </w:pPr>
      <w:r>
        <w:rPr>
          <w:rFonts w:hint="eastAsia" w:ascii="宋体" w:hAnsi="宋体" w:eastAsia="宋体" w:cs="宋体"/>
        </w:rPr>
        <w:t>（4）合同解除后，承包人应按照发包人要求和监理人的指示完成现场的清理和撤离；</w:t>
      </w:r>
    </w:p>
    <w:p w14:paraId="582D0784">
      <w:pPr>
        <w:spacing w:line="360" w:lineRule="auto"/>
        <w:ind w:firstLine="480" w:firstLineChars="200"/>
        <w:rPr>
          <w:rFonts w:hint="eastAsia" w:ascii="宋体" w:hAnsi="宋体" w:eastAsia="宋体" w:cs="宋体"/>
        </w:rPr>
      </w:pPr>
      <w:r>
        <w:rPr>
          <w:rFonts w:hint="eastAsia" w:ascii="宋体" w:hAnsi="宋体" w:eastAsia="宋体" w:cs="宋体"/>
        </w:rPr>
        <w:t>（5）发包人和承包人应在合同解除后进行清算，出具最终结清付款证书，结清全部款项。</w:t>
      </w:r>
    </w:p>
    <w:p w14:paraId="4AE5C1C6">
      <w:pPr>
        <w:spacing w:line="360" w:lineRule="auto"/>
        <w:ind w:firstLine="480" w:firstLineChars="200"/>
        <w:rPr>
          <w:rFonts w:hint="eastAsia" w:ascii="宋体" w:hAnsi="宋体" w:eastAsia="宋体" w:cs="宋体"/>
        </w:rPr>
      </w:pPr>
      <w:r>
        <w:rPr>
          <w:rFonts w:hint="eastAsia" w:ascii="宋体" w:hAnsi="宋体" w:eastAsia="宋体" w:cs="宋体"/>
        </w:rPr>
        <w:t>因承包人违约解除合同的，发包人有权暂停对承包人的付款，查清各项付款和已扣款项。发包人和承包人未能就合同解除后的清算和款项支付达成一致的，按照第20条〔争议解决〕的约定处理。</w:t>
      </w:r>
    </w:p>
    <w:p w14:paraId="73DF7B8F">
      <w:pPr>
        <w:spacing w:line="360" w:lineRule="auto"/>
        <w:ind w:firstLine="480" w:firstLineChars="200"/>
        <w:rPr>
          <w:rFonts w:hint="eastAsia" w:ascii="宋体" w:hAnsi="宋体" w:eastAsia="宋体" w:cs="宋体"/>
        </w:rPr>
      </w:pPr>
      <w:r>
        <w:rPr>
          <w:rFonts w:hint="eastAsia" w:ascii="宋体" w:hAnsi="宋体" w:eastAsia="宋体" w:cs="宋体"/>
        </w:rPr>
        <w:t>16.2.5采购合同权益转让</w:t>
      </w:r>
    </w:p>
    <w:p w14:paraId="2691F7F0">
      <w:pPr>
        <w:spacing w:line="360" w:lineRule="auto"/>
        <w:ind w:firstLine="480" w:firstLineChars="200"/>
        <w:rPr>
          <w:rFonts w:hint="eastAsia" w:ascii="宋体" w:hAnsi="宋体" w:eastAsia="宋体" w:cs="宋体"/>
        </w:rPr>
      </w:pPr>
      <w:r>
        <w:rPr>
          <w:rFonts w:hint="eastAsia" w:ascii="宋体" w:hAnsi="宋体" w:eastAsia="宋体" w:cs="宋体"/>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5CC1D377">
      <w:pPr>
        <w:spacing w:line="360" w:lineRule="auto"/>
        <w:ind w:firstLine="480" w:firstLineChars="200"/>
        <w:rPr>
          <w:rFonts w:hint="eastAsia" w:ascii="宋体" w:hAnsi="宋体" w:eastAsia="宋体" w:cs="宋体"/>
        </w:rPr>
      </w:pPr>
      <w:bookmarkStart w:id="548" w:name="_Toc351203606"/>
      <w:bookmarkStart w:id="549" w:name="_Toc145583463"/>
      <w:r>
        <w:rPr>
          <w:rFonts w:hint="eastAsia" w:ascii="宋体" w:hAnsi="宋体" w:eastAsia="宋体" w:cs="宋体"/>
        </w:rPr>
        <w:t>16.3 第三人造成的违约</w:t>
      </w:r>
      <w:bookmarkEnd w:id="548"/>
      <w:bookmarkEnd w:id="549"/>
    </w:p>
    <w:p w14:paraId="07E1A464">
      <w:pPr>
        <w:spacing w:line="360" w:lineRule="auto"/>
        <w:ind w:firstLine="480" w:firstLineChars="200"/>
        <w:rPr>
          <w:rFonts w:hint="eastAsia" w:ascii="宋体" w:hAnsi="宋体" w:eastAsia="宋体" w:cs="宋体"/>
        </w:rPr>
      </w:pPr>
      <w:r>
        <w:rPr>
          <w:rFonts w:hint="eastAsia" w:ascii="宋体" w:hAnsi="宋体" w:eastAsia="宋体" w:cs="宋体"/>
        </w:rPr>
        <w:t>在履行合同过程中，一方当事人因第三人的原因造成违约的，应当向对方当事人承担违约责任。一方当事人和第三人之间的纠纷，依照法律规定或者按照约定解决。</w:t>
      </w:r>
    </w:p>
    <w:p w14:paraId="51BBD669">
      <w:pPr>
        <w:spacing w:line="360" w:lineRule="auto"/>
        <w:ind w:firstLine="480" w:firstLineChars="200"/>
        <w:rPr>
          <w:rFonts w:hint="eastAsia" w:ascii="宋体" w:hAnsi="宋体" w:eastAsia="宋体" w:cs="宋体"/>
        </w:rPr>
      </w:pPr>
      <w:bookmarkStart w:id="550" w:name="_Toc145583464"/>
      <w:bookmarkStart w:id="551" w:name="_Toc351203607"/>
      <w:bookmarkStart w:id="552" w:name="_Toc296503116"/>
      <w:bookmarkStart w:id="553" w:name="_Toc337558823"/>
      <w:bookmarkStart w:id="554" w:name="_Toc296346617"/>
      <w:r>
        <w:rPr>
          <w:rFonts w:hint="eastAsia" w:ascii="宋体" w:hAnsi="宋体" w:eastAsia="宋体" w:cs="宋体"/>
        </w:rPr>
        <w:t>17. 不可抗力</w:t>
      </w:r>
      <w:bookmarkEnd w:id="550"/>
      <w:bookmarkEnd w:id="551"/>
      <w:r>
        <w:rPr>
          <w:rFonts w:hint="eastAsia" w:ascii="宋体" w:hAnsi="宋体" w:eastAsia="宋体" w:cs="宋体"/>
        </w:rPr>
        <w:t xml:space="preserve"> </w:t>
      </w:r>
      <w:bookmarkEnd w:id="552"/>
      <w:bookmarkEnd w:id="553"/>
      <w:bookmarkEnd w:id="554"/>
    </w:p>
    <w:p w14:paraId="7336F064">
      <w:pPr>
        <w:spacing w:line="360" w:lineRule="auto"/>
        <w:ind w:firstLine="480" w:firstLineChars="200"/>
        <w:rPr>
          <w:rFonts w:hint="eastAsia" w:ascii="宋体" w:hAnsi="宋体" w:eastAsia="宋体" w:cs="宋体"/>
        </w:rPr>
      </w:pPr>
      <w:bookmarkStart w:id="555" w:name="_Toc351203608"/>
      <w:bookmarkStart w:id="556" w:name="_Toc145583465"/>
      <w:bookmarkStart w:id="557" w:name="_Toc296346618"/>
      <w:bookmarkStart w:id="558" w:name="_Toc296503117"/>
      <w:bookmarkStart w:id="559" w:name="_Toc337558824"/>
      <w:r>
        <w:rPr>
          <w:rFonts w:hint="eastAsia" w:ascii="宋体" w:hAnsi="宋体" w:eastAsia="宋体" w:cs="宋体"/>
        </w:rPr>
        <w:t>17.1 不可抗力的确认</w:t>
      </w:r>
      <w:bookmarkEnd w:id="555"/>
      <w:bookmarkEnd w:id="556"/>
    </w:p>
    <w:bookmarkEnd w:id="557"/>
    <w:bookmarkEnd w:id="558"/>
    <w:bookmarkEnd w:id="559"/>
    <w:p w14:paraId="070BA5ED">
      <w:pPr>
        <w:spacing w:line="360" w:lineRule="auto"/>
        <w:ind w:firstLine="480" w:firstLineChars="200"/>
        <w:rPr>
          <w:rFonts w:hint="eastAsia" w:ascii="宋体" w:hAnsi="宋体" w:eastAsia="宋体" w:cs="宋体"/>
        </w:rPr>
      </w:pPr>
      <w:r>
        <w:rPr>
          <w:rFonts w:hint="eastAsia" w:ascii="宋体" w:hAnsi="宋体" w:eastAsia="宋体" w:cs="宋体"/>
        </w:rPr>
        <w:t>不可抗力是指合同当事人在签订合同时不可预见，在合同履行过程中不可避免且不能克服的自然灾害和社会性突发事件，如地震、海啸、瘟疫、骚乱、戒严、暴动、战争和专用合同条款中约定的其他情形。</w:t>
      </w:r>
    </w:p>
    <w:p w14:paraId="52C65C3A">
      <w:pPr>
        <w:spacing w:line="360" w:lineRule="auto"/>
        <w:ind w:firstLine="480" w:firstLineChars="200"/>
        <w:rPr>
          <w:rFonts w:hint="eastAsia" w:ascii="宋体" w:hAnsi="宋体" w:eastAsia="宋体" w:cs="宋体"/>
        </w:rPr>
      </w:pPr>
      <w:r>
        <w:rPr>
          <w:rFonts w:hint="eastAsia" w:ascii="宋体" w:hAnsi="宋体" w:eastAsia="宋体" w:cs="宋体"/>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3B918695">
      <w:pPr>
        <w:spacing w:line="360" w:lineRule="auto"/>
        <w:ind w:firstLine="480" w:firstLineChars="200"/>
        <w:rPr>
          <w:rFonts w:hint="eastAsia" w:ascii="宋体" w:hAnsi="宋体" w:eastAsia="宋体" w:cs="宋体"/>
        </w:rPr>
      </w:pPr>
      <w:bookmarkStart w:id="560" w:name="_Toc351203609"/>
      <w:bookmarkStart w:id="561" w:name="_Toc145583466"/>
      <w:bookmarkStart w:id="562" w:name="_Toc296346619"/>
      <w:bookmarkStart w:id="563" w:name="_Toc296503118"/>
      <w:bookmarkStart w:id="564" w:name="_Toc337558825"/>
      <w:r>
        <w:rPr>
          <w:rFonts w:hint="eastAsia" w:ascii="宋体" w:hAnsi="宋体" w:eastAsia="宋体" w:cs="宋体"/>
        </w:rPr>
        <w:t>17.2 不可抗力的通知</w:t>
      </w:r>
      <w:bookmarkEnd w:id="560"/>
      <w:bookmarkEnd w:id="561"/>
    </w:p>
    <w:bookmarkEnd w:id="562"/>
    <w:bookmarkEnd w:id="563"/>
    <w:bookmarkEnd w:id="564"/>
    <w:p w14:paraId="436081ED">
      <w:pPr>
        <w:spacing w:line="360" w:lineRule="auto"/>
        <w:ind w:firstLine="480" w:firstLineChars="200"/>
        <w:rPr>
          <w:rFonts w:hint="eastAsia" w:ascii="宋体" w:hAnsi="宋体" w:eastAsia="宋体" w:cs="宋体"/>
        </w:rPr>
      </w:pPr>
      <w:r>
        <w:rPr>
          <w:rFonts w:hint="eastAsia" w:ascii="宋体" w:hAnsi="宋体" w:eastAsia="宋体" w:cs="宋体"/>
        </w:rPr>
        <w:t>合同一方当事人遇到不可抗力事件，使其履行合同义务受到阻碍时，应立即通知合同另一方当事人和监理人，书面说明不可抗力和受阻碍的详细情况，并提供必要的证明。</w:t>
      </w:r>
    </w:p>
    <w:p w14:paraId="0EDE7FD8">
      <w:pPr>
        <w:spacing w:line="360" w:lineRule="auto"/>
        <w:ind w:firstLine="480" w:firstLineChars="200"/>
        <w:rPr>
          <w:rFonts w:hint="eastAsia" w:ascii="宋体" w:hAnsi="宋体" w:eastAsia="宋体" w:cs="宋体"/>
        </w:rPr>
      </w:pPr>
      <w:r>
        <w:rPr>
          <w:rFonts w:hint="eastAsia" w:ascii="宋体" w:hAnsi="宋体" w:eastAsia="宋体" w:cs="宋体"/>
        </w:rPr>
        <w:t>不可抗力持续发生的，合同一方当事人应及时向合同另一方当事人和监理人提交中间报告，说明不可抗力和履行合同受阻的情况，并于不可抗力事件结束后28天内提交最终报告及有关资料。</w:t>
      </w:r>
    </w:p>
    <w:p w14:paraId="3DEC202E">
      <w:pPr>
        <w:spacing w:line="360" w:lineRule="auto"/>
        <w:ind w:firstLine="480" w:firstLineChars="200"/>
        <w:rPr>
          <w:rFonts w:hint="eastAsia" w:ascii="宋体" w:hAnsi="宋体" w:eastAsia="宋体" w:cs="宋体"/>
        </w:rPr>
      </w:pPr>
      <w:bookmarkStart w:id="565" w:name="_Toc145583467"/>
      <w:bookmarkStart w:id="566" w:name="_Toc351203610"/>
      <w:bookmarkStart w:id="567" w:name="_Toc296346620"/>
      <w:bookmarkStart w:id="568" w:name="_Toc337558826"/>
      <w:bookmarkStart w:id="569" w:name="_Toc296503119"/>
      <w:r>
        <w:rPr>
          <w:rFonts w:hint="eastAsia" w:ascii="宋体" w:hAnsi="宋体" w:eastAsia="宋体" w:cs="宋体"/>
        </w:rPr>
        <w:t>17.3 不可抗力后果的承担</w:t>
      </w:r>
      <w:bookmarkEnd w:id="565"/>
      <w:bookmarkEnd w:id="566"/>
    </w:p>
    <w:bookmarkEnd w:id="567"/>
    <w:bookmarkEnd w:id="568"/>
    <w:bookmarkEnd w:id="569"/>
    <w:p w14:paraId="6BC44F99">
      <w:pPr>
        <w:spacing w:line="360" w:lineRule="auto"/>
        <w:ind w:firstLine="480" w:firstLineChars="200"/>
        <w:rPr>
          <w:rFonts w:hint="eastAsia" w:ascii="宋体" w:hAnsi="宋体" w:eastAsia="宋体" w:cs="宋体"/>
        </w:rPr>
      </w:pPr>
      <w:r>
        <w:rPr>
          <w:rFonts w:hint="eastAsia" w:ascii="宋体" w:hAnsi="宋体" w:eastAsia="宋体" w:cs="宋体"/>
        </w:rPr>
        <w:t>17.3.1 不可抗力引起的后果及造成的损失由合同当事人按照法律规定及合同约定各自承担。不可抗力发生前已完成的工程应当按照合同约定进行计量支付。</w:t>
      </w:r>
    </w:p>
    <w:p w14:paraId="5D8771BC">
      <w:pPr>
        <w:spacing w:line="360" w:lineRule="auto"/>
        <w:ind w:firstLine="480" w:firstLineChars="200"/>
        <w:rPr>
          <w:rFonts w:hint="eastAsia" w:ascii="宋体" w:hAnsi="宋体" w:eastAsia="宋体" w:cs="宋体"/>
        </w:rPr>
      </w:pPr>
      <w:r>
        <w:rPr>
          <w:rFonts w:hint="eastAsia" w:ascii="宋体" w:hAnsi="宋体" w:eastAsia="宋体" w:cs="宋体"/>
        </w:rPr>
        <w:t>17.3.2 不可抗力导致的人员伤亡、财产损失、费用增加和（或）工期延误等后果，由合同当事人按以下原则承担：</w:t>
      </w:r>
    </w:p>
    <w:p w14:paraId="6FD1CEC0">
      <w:pPr>
        <w:spacing w:line="360" w:lineRule="auto"/>
        <w:ind w:firstLine="480" w:firstLineChars="200"/>
        <w:rPr>
          <w:rFonts w:hint="eastAsia" w:ascii="宋体" w:hAnsi="宋体" w:eastAsia="宋体" w:cs="宋体"/>
        </w:rPr>
      </w:pPr>
      <w:r>
        <w:rPr>
          <w:rFonts w:hint="eastAsia" w:ascii="宋体" w:hAnsi="宋体" w:eastAsia="宋体" w:cs="宋体"/>
        </w:rPr>
        <w:t>（1）永久工程、已运至施工现场的材料和工程设备的损坏，以及因工程损坏造成的第三人人员伤亡和财产损失由发包人承担；</w:t>
      </w:r>
    </w:p>
    <w:p w14:paraId="2A30F11D">
      <w:pPr>
        <w:spacing w:line="360" w:lineRule="auto"/>
        <w:ind w:firstLine="480" w:firstLineChars="200"/>
        <w:rPr>
          <w:rFonts w:hint="eastAsia" w:ascii="宋体" w:hAnsi="宋体" w:eastAsia="宋体" w:cs="宋体"/>
        </w:rPr>
      </w:pPr>
      <w:r>
        <w:rPr>
          <w:rFonts w:hint="eastAsia" w:ascii="宋体" w:hAnsi="宋体" w:eastAsia="宋体" w:cs="宋体"/>
        </w:rPr>
        <w:t>（2）承包人施工设备的损坏由承包人承担；</w:t>
      </w:r>
    </w:p>
    <w:p w14:paraId="5EAF9373">
      <w:pPr>
        <w:spacing w:line="360" w:lineRule="auto"/>
        <w:ind w:firstLine="480" w:firstLineChars="200"/>
        <w:rPr>
          <w:rFonts w:hint="eastAsia" w:ascii="宋体" w:hAnsi="宋体" w:eastAsia="宋体" w:cs="宋体"/>
        </w:rPr>
      </w:pPr>
      <w:r>
        <w:rPr>
          <w:rFonts w:hint="eastAsia" w:ascii="宋体" w:hAnsi="宋体" w:eastAsia="宋体" w:cs="宋体"/>
        </w:rPr>
        <w:t>（3）发包人和承包人承担各自人员伤亡和财产的损失；</w:t>
      </w:r>
    </w:p>
    <w:p w14:paraId="551E1180">
      <w:pPr>
        <w:spacing w:line="360" w:lineRule="auto"/>
        <w:ind w:firstLine="480" w:firstLineChars="200"/>
        <w:rPr>
          <w:rFonts w:hint="eastAsia" w:ascii="宋体" w:hAnsi="宋体" w:eastAsia="宋体" w:cs="宋体"/>
        </w:rPr>
      </w:pPr>
      <w:r>
        <w:rPr>
          <w:rFonts w:hint="eastAsia" w:ascii="宋体" w:hAnsi="宋体" w:eastAsia="宋体" w:cs="宋体"/>
        </w:rPr>
        <w:t>（4）因不可抗力影响承包人履行合同约定的义务，已经引起或将引起工期延误的，应当顺延工期，由此导致承包人停工的费用损失由发包人和承包人合理分担，停工期间必须支付的工人工资由发包人承担；</w:t>
      </w:r>
    </w:p>
    <w:p w14:paraId="49C3BE9B">
      <w:pPr>
        <w:spacing w:line="360" w:lineRule="auto"/>
        <w:ind w:firstLine="480" w:firstLineChars="200"/>
        <w:rPr>
          <w:rFonts w:hint="eastAsia" w:ascii="宋体" w:hAnsi="宋体" w:eastAsia="宋体" w:cs="宋体"/>
        </w:rPr>
      </w:pPr>
      <w:r>
        <w:rPr>
          <w:rFonts w:hint="eastAsia" w:ascii="宋体" w:hAnsi="宋体" w:eastAsia="宋体" w:cs="宋体"/>
        </w:rPr>
        <w:t>（5）因不可抗力引起或将引起工期延误，发包人要求赶工的，由此增加的赶工费用由发包人承担；</w:t>
      </w:r>
    </w:p>
    <w:p w14:paraId="7705561A">
      <w:pPr>
        <w:spacing w:line="360" w:lineRule="auto"/>
        <w:ind w:firstLine="480" w:firstLineChars="200"/>
        <w:rPr>
          <w:rFonts w:hint="eastAsia" w:ascii="宋体" w:hAnsi="宋体" w:eastAsia="宋体" w:cs="宋体"/>
        </w:rPr>
      </w:pPr>
      <w:r>
        <w:rPr>
          <w:rFonts w:hint="eastAsia" w:ascii="宋体" w:hAnsi="宋体" w:eastAsia="宋体" w:cs="宋体"/>
        </w:rPr>
        <w:t>（6）承包人在停工期间按照发包人要求照管、清理和修复工程的费用由发包人承担。</w:t>
      </w:r>
    </w:p>
    <w:p w14:paraId="3358BDCB">
      <w:pPr>
        <w:spacing w:line="360" w:lineRule="auto"/>
        <w:ind w:firstLine="480" w:firstLineChars="200"/>
        <w:rPr>
          <w:rFonts w:hint="eastAsia" w:ascii="宋体" w:hAnsi="宋体" w:eastAsia="宋体" w:cs="宋体"/>
        </w:rPr>
      </w:pPr>
      <w:r>
        <w:rPr>
          <w:rFonts w:hint="eastAsia" w:ascii="宋体" w:hAnsi="宋体" w:eastAsia="宋体" w:cs="宋体"/>
        </w:rPr>
        <w:t>不可抗力发生后，合同当事人均应采取措施尽量避免和减少损失的扩大，任何一方当事人没有采取有效措施导致损失扩大的，应对扩大的损失承担责任。</w:t>
      </w:r>
    </w:p>
    <w:p w14:paraId="1AEA5391">
      <w:pPr>
        <w:spacing w:line="360" w:lineRule="auto"/>
        <w:ind w:firstLine="480" w:firstLineChars="200"/>
        <w:rPr>
          <w:rFonts w:hint="eastAsia" w:ascii="宋体" w:hAnsi="宋体" w:eastAsia="宋体" w:cs="宋体"/>
        </w:rPr>
      </w:pPr>
      <w:r>
        <w:rPr>
          <w:rFonts w:hint="eastAsia" w:ascii="宋体" w:hAnsi="宋体" w:eastAsia="宋体" w:cs="宋体"/>
        </w:rPr>
        <w:t>因合同一方迟延履行合同义务，在迟延履行期间遭遇不可抗力的，不免除其违约责任。</w:t>
      </w:r>
    </w:p>
    <w:p w14:paraId="064224DF">
      <w:pPr>
        <w:spacing w:line="360" w:lineRule="auto"/>
        <w:ind w:firstLine="480" w:firstLineChars="200"/>
        <w:rPr>
          <w:rFonts w:hint="eastAsia" w:ascii="宋体" w:hAnsi="宋体" w:eastAsia="宋体" w:cs="宋体"/>
        </w:rPr>
      </w:pPr>
      <w:bookmarkStart w:id="570" w:name="_Toc145583468"/>
      <w:bookmarkStart w:id="571" w:name="_Toc351203611"/>
      <w:bookmarkStart w:id="572" w:name="_Toc337558827"/>
      <w:r>
        <w:rPr>
          <w:rFonts w:hint="eastAsia" w:ascii="宋体" w:hAnsi="宋体" w:eastAsia="宋体" w:cs="宋体"/>
        </w:rPr>
        <w:t>17.4 因不可抗力解除合同</w:t>
      </w:r>
      <w:bookmarkEnd w:id="570"/>
      <w:bookmarkEnd w:id="571"/>
    </w:p>
    <w:bookmarkEnd w:id="572"/>
    <w:p w14:paraId="28DF20ED">
      <w:pPr>
        <w:spacing w:line="360" w:lineRule="auto"/>
        <w:ind w:firstLine="480" w:firstLineChars="200"/>
        <w:rPr>
          <w:rFonts w:hint="eastAsia" w:ascii="宋体" w:hAnsi="宋体" w:eastAsia="宋体" w:cs="宋体"/>
        </w:rPr>
      </w:pPr>
      <w:r>
        <w:rPr>
          <w:rFonts w:hint="eastAsia" w:ascii="宋体" w:hAnsi="宋体" w:eastAsia="宋体" w:cs="宋体"/>
        </w:rPr>
        <w:t>因不可抗力导致合同无法履行连续超过84天或累计超过140天的，发包人和承包人均有权解除合同。合同解除后，由双方当事人按照第4.4款〔商定或确定〕商定或确定发包人应支付的款项，该款项包括：</w:t>
      </w:r>
    </w:p>
    <w:p w14:paraId="17882BE0">
      <w:pPr>
        <w:spacing w:line="360" w:lineRule="auto"/>
        <w:ind w:firstLine="480" w:firstLineChars="200"/>
        <w:rPr>
          <w:rFonts w:hint="eastAsia" w:ascii="宋体" w:hAnsi="宋体" w:eastAsia="宋体" w:cs="宋体"/>
        </w:rPr>
      </w:pPr>
      <w:r>
        <w:rPr>
          <w:rFonts w:hint="eastAsia" w:ascii="宋体" w:hAnsi="宋体" w:eastAsia="宋体" w:cs="宋体"/>
        </w:rPr>
        <w:t>（1）合同解除前承包人已完成工作的价款；</w:t>
      </w:r>
    </w:p>
    <w:p w14:paraId="47D96F6C">
      <w:pPr>
        <w:spacing w:line="360" w:lineRule="auto"/>
        <w:ind w:firstLine="480" w:firstLineChars="200"/>
        <w:rPr>
          <w:rFonts w:hint="eastAsia" w:ascii="宋体" w:hAnsi="宋体" w:eastAsia="宋体" w:cs="宋体"/>
        </w:rPr>
      </w:pPr>
      <w:r>
        <w:rPr>
          <w:rFonts w:hint="eastAsia" w:ascii="宋体" w:hAnsi="宋体" w:eastAsia="宋体" w:cs="宋体"/>
        </w:rPr>
        <w:t>（2）承包人为工程订购的并已交付给承包人，或承包人有责任接受交付的材料、工程设备和其他物品的价款；</w:t>
      </w:r>
    </w:p>
    <w:p w14:paraId="082BD31D">
      <w:pPr>
        <w:spacing w:line="360" w:lineRule="auto"/>
        <w:ind w:firstLine="480" w:firstLineChars="200"/>
        <w:rPr>
          <w:rFonts w:hint="eastAsia" w:ascii="宋体" w:hAnsi="宋体" w:eastAsia="宋体" w:cs="宋体"/>
        </w:rPr>
      </w:pPr>
      <w:r>
        <w:rPr>
          <w:rFonts w:hint="eastAsia" w:ascii="宋体" w:hAnsi="宋体" w:eastAsia="宋体" w:cs="宋体"/>
        </w:rPr>
        <w:t>（3）发包人要求承包人退货或解除订货合同而产生的费用，或因不能退货或解除合同而产生的损失；</w:t>
      </w:r>
    </w:p>
    <w:p w14:paraId="7DFB08DA">
      <w:pPr>
        <w:spacing w:line="360" w:lineRule="auto"/>
        <w:ind w:firstLine="480" w:firstLineChars="200"/>
        <w:rPr>
          <w:rFonts w:hint="eastAsia" w:ascii="宋体" w:hAnsi="宋体" w:eastAsia="宋体" w:cs="宋体"/>
        </w:rPr>
      </w:pPr>
      <w:r>
        <w:rPr>
          <w:rFonts w:hint="eastAsia" w:ascii="宋体" w:hAnsi="宋体" w:eastAsia="宋体" w:cs="宋体"/>
        </w:rPr>
        <w:t>（4）承包人撤离施工现场以及遣散承包人人员的费用；</w:t>
      </w:r>
    </w:p>
    <w:p w14:paraId="7385B9EF">
      <w:pPr>
        <w:spacing w:line="360" w:lineRule="auto"/>
        <w:ind w:firstLine="480" w:firstLineChars="200"/>
        <w:rPr>
          <w:rFonts w:hint="eastAsia" w:ascii="宋体" w:hAnsi="宋体" w:eastAsia="宋体" w:cs="宋体"/>
        </w:rPr>
      </w:pPr>
      <w:r>
        <w:rPr>
          <w:rFonts w:hint="eastAsia" w:ascii="宋体" w:hAnsi="宋体" w:eastAsia="宋体" w:cs="宋体"/>
        </w:rPr>
        <w:t>（5）按照合同约定在合同解除前应支付给承包人的其他款项；</w:t>
      </w:r>
    </w:p>
    <w:p w14:paraId="43DDA542">
      <w:pPr>
        <w:spacing w:line="360" w:lineRule="auto"/>
        <w:ind w:firstLine="480" w:firstLineChars="200"/>
        <w:rPr>
          <w:rFonts w:hint="eastAsia" w:ascii="宋体" w:hAnsi="宋体" w:eastAsia="宋体" w:cs="宋体"/>
        </w:rPr>
      </w:pPr>
      <w:r>
        <w:rPr>
          <w:rFonts w:hint="eastAsia" w:ascii="宋体" w:hAnsi="宋体" w:eastAsia="宋体" w:cs="宋体"/>
        </w:rPr>
        <w:t>（6）扣减承包人按照合同约定应向发包人支付的款项；</w:t>
      </w:r>
    </w:p>
    <w:p w14:paraId="552CB592">
      <w:pPr>
        <w:spacing w:line="360" w:lineRule="auto"/>
        <w:ind w:firstLine="480" w:firstLineChars="200"/>
        <w:rPr>
          <w:rFonts w:hint="eastAsia" w:ascii="宋体" w:hAnsi="宋体" w:eastAsia="宋体" w:cs="宋体"/>
        </w:rPr>
      </w:pPr>
      <w:r>
        <w:rPr>
          <w:rFonts w:hint="eastAsia" w:ascii="宋体" w:hAnsi="宋体" w:eastAsia="宋体" w:cs="宋体"/>
        </w:rPr>
        <w:t>（7）双方商定或确定的其他款项。</w:t>
      </w:r>
    </w:p>
    <w:p w14:paraId="39D7C182">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除专用合同条款另有约定外，合同解除后，发包人应在商定或确定上述款项后28天内完成上述款项的支付。</w:t>
      </w:r>
    </w:p>
    <w:p w14:paraId="5ACD8F2A">
      <w:pPr>
        <w:spacing w:line="360" w:lineRule="auto"/>
        <w:ind w:firstLine="480" w:firstLineChars="200"/>
        <w:rPr>
          <w:rFonts w:hint="eastAsia" w:ascii="宋体" w:hAnsi="宋体" w:eastAsia="宋体" w:cs="宋体"/>
        </w:rPr>
      </w:pPr>
      <w:bookmarkStart w:id="573" w:name="_Toc145583469"/>
      <w:bookmarkStart w:id="574" w:name="_Toc351203612"/>
      <w:bookmarkStart w:id="575" w:name="_Toc296503120"/>
      <w:bookmarkStart w:id="576" w:name="_Toc337558828"/>
      <w:bookmarkStart w:id="577" w:name="_Toc296346621"/>
      <w:r>
        <w:rPr>
          <w:rFonts w:hint="eastAsia" w:ascii="宋体" w:hAnsi="宋体" w:eastAsia="宋体" w:cs="宋体"/>
        </w:rPr>
        <w:t>18. 保险</w:t>
      </w:r>
      <w:bookmarkEnd w:id="573"/>
      <w:bookmarkEnd w:id="574"/>
    </w:p>
    <w:bookmarkEnd w:id="575"/>
    <w:bookmarkEnd w:id="576"/>
    <w:bookmarkEnd w:id="577"/>
    <w:p w14:paraId="347D0CE9">
      <w:pPr>
        <w:spacing w:line="360" w:lineRule="auto"/>
        <w:ind w:firstLine="480" w:firstLineChars="200"/>
        <w:rPr>
          <w:rFonts w:hint="eastAsia" w:ascii="宋体" w:hAnsi="宋体" w:eastAsia="宋体" w:cs="宋体"/>
        </w:rPr>
      </w:pPr>
      <w:bookmarkStart w:id="578" w:name="_Toc351203613"/>
      <w:bookmarkStart w:id="579" w:name="_Toc145583470"/>
      <w:bookmarkStart w:id="580" w:name="_Toc296346622"/>
      <w:bookmarkStart w:id="581" w:name="_Toc296503121"/>
      <w:bookmarkStart w:id="582" w:name="_Toc337558829"/>
      <w:r>
        <w:rPr>
          <w:rFonts w:hint="eastAsia" w:ascii="宋体" w:hAnsi="宋体" w:eastAsia="宋体" w:cs="宋体"/>
        </w:rPr>
        <w:t>18.1 工程保险</w:t>
      </w:r>
      <w:bookmarkEnd w:id="578"/>
      <w:bookmarkEnd w:id="579"/>
    </w:p>
    <w:bookmarkEnd w:id="580"/>
    <w:bookmarkEnd w:id="581"/>
    <w:bookmarkEnd w:id="582"/>
    <w:p w14:paraId="1A8B7EDA">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除专用合同条款另有约定外，发包人应投保建筑工程一切险或安装工程一切险；发包人委托承包人投保的，因投保产生的保险费和其他相关费用由发包人承担。</w:t>
      </w:r>
    </w:p>
    <w:p w14:paraId="458DC3F1">
      <w:pPr>
        <w:spacing w:line="360" w:lineRule="auto"/>
        <w:ind w:firstLine="480" w:firstLineChars="200"/>
        <w:rPr>
          <w:rFonts w:hint="eastAsia" w:ascii="宋体" w:hAnsi="宋体" w:eastAsia="宋体" w:cs="宋体"/>
        </w:rPr>
      </w:pPr>
      <w:bookmarkStart w:id="583" w:name="_Toc351203614"/>
      <w:bookmarkStart w:id="584" w:name="_Toc145583471"/>
      <w:bookmarkStart w:id="585" w:name="_Toc296503122"/>
      <w:bookmarkStart w:id="586" w:name="_Toc337558830"/>
      <w:bookmarkStart w:id="587" w:name="_Toc296346623"/>
      <w:r>
        <w:rPr>
          <w:rFonts w:hint="eastAsia" w:ascii="宋体" w:hAnsi="宋体" w:eastAsia="宋体" w:cs="宋体"/>
        </w:rPr>
        <w:t>18.2 工伤保险</w:t>
      </w:r>
      <w:bookmarkEnd w:id="583"/>
      <w:bookmarkEnd w:id="584"/>
    </w:p>
    <w:bookmarkEnd w:id="585"/>
    <w:bookmarkEnd w:id="586"/>
    <w:bookmarkEnd w:id="587"/>
    <w:p w14:paraId="6D1FFE52">
      <w:pPr>
        <w:spacing w:line="360" w:lineRule="auto"/>
        <w:ind w:firstLine="480" w:firstLineChars="200"/>
        <w:rPr>
          <w:rFonts w:hint="eastAsia" w:ascii="宋体" w:hAnsi="宋体" w:eastAsia="宋体" w:cs="宋体"/>
        </w:rPr>
      </w:pPr>
      <w:r>
        <w:rPr>
          <w:rFonts w:hint="eastAsia" w:ascii="宋体" w:hAnsi="宋体" w:eastAsia="宋体" w:cs="宋体"/>
        </w:rPr>
        <w:t>18.2.1 发包人应依照法律规定参加工伤保险，并为在施工现场的全部员工办理工伤保险，缴纳工伤保险费，并要求监理人及由发包人为履行合同聘请的第三方依法参加工伤保险。</w:t>
      </w:r>
    </w:p>
    <w:p w14:paraId="0A85AC95">
      <w:pPr>
        <w:spacing w:line="360" w:lineRule="auto"/>
        <w:ind w:firstLine="480" w:firstLineChars="200"/>
        <w:rPr>
          <w:rFonts w:hint="eastAsia" w:ascii="宋体" w:hAnsi="宋体" w:eastAsia="宋体" w:cs="宋体"/>
        </w:rPr>
      </w:pPr>
      <w:r>
        <w:rPr>
          <w:rFonts w:hint="eastAsia" w:ascii="宋体" w:hAnsi="宋体" w:eastAsia="宋体" w:cs="宋体"/>
        </w:rPr>
        <w:t>18.2.2 承包人应依照法律规定参加工伤保险，并为其履行合同的全部员工办理工伤保险，缴纳工伤保险费，并要求分包人及由承包人为履行合同聘请的第三方依法参加工伤保险。</w:t>
      </w:r>
    </w:p>
    <w:p w14:paraId="0E4D0A79">
      <w:pPr>
        <w:spacing w:line="360" w:lineRule="auto"/>
        <w:ind w:firstLine="480" w:firstLineChars="200"/>
        <w:rPr>
          <w:rFonts w:hint="eastAsia" w:ascii="宋体" w:hAnsi="宋体" w:eastAsia="宋体" w:cs="宋体"/>
        </w:rPr>
      </w:pPr>
      <w:bookmarkStart w:id="588" w:name="_Toc145583472"/>
      <w:bookmarkStart w:id="589" w:name="_Toc351203615"/>
      <w:bookmarkStart w:id="590" w:name="_Toc337558831"/>
      <w:bookmarkStart w:id="591" w:name="_Toc296503125"/>
      <w:bookmarkStart w:id="592" w:name="_Toc296346626"/>
      <w:r>
        <w:rPr>
          <w:rFonts w:hint="eastAsia" w:ascii="宋体" w:hAnsi="宋体" w:eastAsia="宋体" w:cs="宋体"/>
        </w:rPr>
        <w:t>18.3其他保险</w:t>
      </w:r>
      <w:bookmarkEnd w:id="588"/>
      <w:bookmarkEnd w:id="589"/>
    </w:p>
    <w:bookmarkEnd w:id="590"/>
    <w:bookmarkEnd w:id="591"/>
    <w:bookmarkEnd w:id="592"/>
    <w:p w14:paraId="76343410">
      <w:pPr>
        <w:spacing w:line="360" w:lineRule="auto"/>
        <w:ind w:firstLine="480" w:firstLineChars="200"/>
        <w:rPr>
          <w:rFonts w:hint="eastAsia" w:ascii="宋体" w:hAnsi="宋体" w:eastAsia="宋体" w:cs="宋体"/>
        </w:rPr>
      </w:pPr>
      <w:r>
        <w:rPr>
          <w:rFonts w:hint="eastAsia" w:ascii="宋体" w:hAnsi="宋体" w:eastAsia="宋体" w:cs="宋体"/>
        </w:rPr>
        <w:t>发包人和承包人可以为其施工现场的全部人员办理意外伤害保险并支付保险费，包括其员工及为履行合同聘请的第三方的人员，具体事项由合同当事人在专用合同条款约定。</w:t>
      </w:r>
    </w:p>
    <w:p w14:paraId="105C0FE8">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除专用合同条款另有约定外，承包人应为其施工设备等办理财产保险。</w:t>
      </w:r>
    </w:p>
    <w:p w14:paraId="21476EF6">
      <w:pPr>
        <w:spacing w:line="360" w:lineRule="auto"/>
        <w:ind w:firstLine="480" w:firstLineChars="200"/>
        <w:rPr>
          <w:rFonts w:hint="eastAsia" w:ascii="宋体" w:hAnsi="宋体" w:eastAsia="宋体" w:cs="宋体"/>
        </w:rPr>
      </w:pPr>
      <w:bookmarkStart w:id="593" w:name="_Toc145583473"/>
      <w:bookmarkStart w:id="594" w:name="_Toc351203616"/>
      <w:r>
        <w:rPr>
          <w:rFonts w:hint="eastAsia" w:ascii="宋体" w:hAnsi="宋体" w:eastAsia="宋体" w:cs="宋体"/>
        </w:rPr>
        <w:t>18.4持续保险</w:t>
      </w:r>
      <w:bookmarkEnd w:id="593"/>
      <w:bookmarkEnd w:id="594"/>
    </w:p>
    <w:p w14:paraId="58B101DB">
      <w:pPr>
        <w:spacing w:line="360" w:lineRule="auto"/>
        <w:ind w:firstLine="480" w:firstLineChars="200"/>
        <w:rPr>
          <w:rFonts w:hint="eastAsia" w:ascii="宋体" w:hAnsi="宋体" w:eastAsia="宋体" w:cs="宋体"/>
        </w:rPr>
      </w:pPr>
      <w:r>
        <w:rPr>
          <w:rFonts w:hint="eastAsia" w:ascii="宋体" w:hAnsi="宋体" w:eastAsia="宋体" w:cs="宋体"/>
        </w:rPr>
        <w:t>合同当事人应与保险人保持联系，使保险人能够随时了解工程实施中的变动，并确保按保险合同条款要求持续保险。</w:t>
      </w:r>
    </w:p>
    <w:p w14:paraId="0C5BCDFE">
      <w:pPr>
        <w:spacing w:line="360" w:lineRule="auto"/>
        <w:ind w:firstLine="480" w:firstLineChars="200"/>
        <w:rPr>
          <w:rFonts w:hint="eastAsia" w:ascii="宋体" w:hAnsi="宋体" w:eastAsia="宋体" w:cs="宋体"/>
        </w:rPr>
      </w:pPr>
      <w:bookmarkStart w:id="595" w:name="_Toc351203617"/>
      <w:bookmarkStart w:id="596" w:name="_Toc145583474"/>
      <w:bookmarkStart w:id="597" w:name="_Toc296503126"/>
      <w:bookmarkStart w:id="598" w:name="_Toc337558832"/>
      <w:bookmarkStart w:id="599" w:name="_Toc296346627"/>
      <w:r>
        <w:rPr>
          <w:rFonts w:hint="eastAsia" w:ascii="宋体" w:hAnsi="宋体" w:eastAsia="宋体" w:cs="宋体"/>
        </w:rPr>
        <w:t>18.5 保险凭证</w:t>
      </w:r>
      <w:bookmarkEnd w:id="595"/>
      <w:bookmarkEnd w:id="596"/>
    </w:p>
    <w:bookmarkEnd w:id="597"/>
    <w:bookmarkEnd w:id="598"/>
    <w:bookmarkEnd w:id="599"/>
    <w:p w14:paraId="6A854684">
      <w:pPr>
        <w:spacing w:line="360" w:lineRule="auto"/>
        <w:ind w:firstLine="480" w:firstLineChars="200"/>
        <w:rPr>
          <w:rFonts w:hint="eastAsia" w:ascii="宋体" w:hAnsi="宋体" w:eastAsia="宋体" w:cs="宋体"/>
        </w:rPr>
      </w:pPr>
      <w:r>
        <w:rPr>
          <w:rFonts w:hint="eastAsia" w:ascii="宋体" w:hAnsi="宋体" w:eastAsia="宋体" w:cs="宋体"/>
        </w:rPr>
        <w:t>合同当事人应及时向另一方当事人提交其已投保的各项保险的凭证和保险单复印件。</w:t>
      </w:r>
    </w:p>
    <w:p w14:paraId="3B19F9F8">
      <w:pPr>
        <w:spacing w:line="360" w:lineRule="auto"/>
        <w:ind w:firstLine="480" w:firstLineChars="200"/>
        <w:rPr>
          <w:rFonts w:hint="eastAsia" w:ascii="宋体" w:hAnsi="宋体" w:eastAsia="宋体" w:cs="宋体"/>
        </w:rPr>
      </w:pPr>
      <w:bookmarkStart w:id="600" w:name="_Toc145583475"/>
      <w:bookmarkStart w:id="601" w:name="_Toc351203618"/>
      <w:bookmarkStart w:id="602" w:name="_Toc296346628"/>
      <w:bookmarkStart w:id="603" w:name="_Toc296503127"/>
      <w:bookmarkStart w:id="604" w:name="_Toc337558833"/>
      <w:r>
        <w:rPr>
          <w:rFonts w:hint="eastAsia" w:ascii="宋体" w:hAnsi="宋体" w:eastAsia="宋体" w:cs="宋体"/>
        </w:rPr>
        <w:t>18.6 未按约定投保的补救</w:t>
      </w:r>
      <w:bookmarkEnd w:id="600"/>
      <w:bookmarkEnd w:id="601"/>
    </w:p>
    <w:bookmarkEnd w:id="602"/>
    <w:bookmarkEnd w:id="603"/>
    <w:bookmarkEnd w:id="604"/>
    <w:p w14:paraId="6DABEB84">
      <w:pPr>
        <w:spacing w:line="360" w:lineRule="auto"/>
        <w:ind w:firstLine="480" w:firstLineChars="200"/>
        <w:rPr>
          <w:rFonts w:hint="eastAsia" w:ascii="宋体" w:hAnsi="宋体" w:eastAsia="宋体" w:cs="宋体"/>
        </w:rPr>
      </w:pPr>
      <w:r>
        <w:rPr>
          <w:rFonts w:hint="eastAsia" w:ascii="宋体" w:hAnsi="宋体" w:eastAsia="宋体" w:cs="宋体"/>
        </w:rPr>
        <w:t>18.6.1发包人未按合同约定办理保险，或未能使保险持续有效的，则承包人可代为办理，所需费用由发包人承担。发包人未按合同约定办理保险，导致未能得到足额赔偿的，由发包人负责补足。</w:t>
      </w:r>
    </w:p>
    <w:p w14:paraId="27D09629">
      <w:pPr>
        <w:spacing w:line="360" w:lineRule="auto"/>
        <w:ind w:firstLine="480" w:firstLineChars="200"/>
        <w:rPr>
          <w:rFonts w:hint="eastAsia" w:ascii="宋体" w:hAnsi="宋体" w:eastAsia="宋体" w:cs="宋体"/>
        </w:rPr>
      </w:pPr>
      <w:r>
        <w:rPr>
          <w:rFonts w:hint="eastAsia" w:ascii="宋体" w:hAnsi="宋体" w:eastAsia="宋体" w:cs="宋体"/>
        </w:rPr>
        <w:t>18.6.2承包人未按合同约定办理保险，或未能使保险持续有效的，则发包人可代为办理，所需费用由承包人承担。承包人未按合同约定办理保险，导致未能得到足额赔偿的，由承包人负责补足。</w:t>
      </w:r>
    </w:p>
    <w:p w14:paraId="77A5DE8A">
      <w:pPr>
        <w:spacing w:line="360" w:lineRule="auto"/>
        <w:ind w:firstLine="480" w:firstLineChars="200"/>
        <w:rPr>
          <w:rFonts w:hint="eastAsia" w:ascii="宋体" w:hAnsi="宋体" w:eastAsia="宋体" w:cs="宋体"/>
        </w:rPr>
      </w:pPr>
      <w:bookmarkStart w:id="605" w:name="_Toc351203619"/>
      <w:bookmarkStart w:id="606" w:name="_Toc145583476"/>
      <w:bookmarkStart w:id="607" w:name="_Toc337558834"/>
      <w:r>
        <w:rPr>
          <w:rFonts w:hint="eastAsia" w:ascii="宋体" w:hAnsi="宋体" w:eastAsia="宋体" w:cs="宋体"/>
        </w:rPr>
        <w:t>18.7 通知义务</w:t>
      </w:r>
      <w:bookmarkEnd w:id="605"/>
      <w:bookmarkEnd w:id="606"/>
    </w:p>
    <w:bookmarkEnd w:id="607"/>
    <w:p w14:paraId="3069C75A">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除专用合同条款另有约定外，发包人变更除工伤保险之外的保险合同时，应事先征得承包人同意，并通知监理人；承包人变更除工伤保险之外的保险合同时，应事先征得发包人同意，并通知监理人。</w:t>
      </w:r>
    </w:p>
    <w:p w14:paraId="15973C3D">
      <w:pPr>
        <w:spacing w:line="360" w:lineRule="auto"/>
        <w:ind w:firstLine="480" w:firstLineChars="200"/>
        <w:rPr>
          <w:rFonts w:hint="eastAsia" w:ascii="宋体" w:hAnsi="宋体" w:eastAsia="宋体" w:cs="宋体"/>
        </w:rPr>
      </w:pPr>
      <w:r>
        <w:rPr>
          <w:rFonts w:hint="eastAsia" w:ascii="宋体" w:hAnsi="宋体" w:eastAsia="宋体" w:cs="宋体"/>
        </w:rPr>
        <w:t>保险事故发生时，投保人应按照保险合同规定的条件和期限及时向保险人报告。发包人和承包人应当在知道保险事故发生后及时通知对方。</w:t>
      </w:r>
    </w:p>
    <w:p w14:paraId="1C31EBDF">
      <w:pPr>
        <w:spacing w:line="360" w:lineRule="auto"/>
        <w:ind w:firstLine="480" w:firstLineChars="200"/>
        <w:rPr>
          <w:rFonts w:hint="eastAsia" w:ascii="宋体" w:hAnsi="宋体" w:eastAsia="宋体" w:cs="宋体"/>
        </w:rPr>
      </w:pPr>
      <w:bookmarkStart w:id="608" w:name="_Toc351203620"/>
      <w:bookmarkStart w:id="609" w:name="_Toc145583477"/>
      <w:bookmarkStart w:id="610" w:name="_Toc296503140"/>
      <w:bookmarkStart w:id="611" w:name="_Toc296346641"/>
      <w:bookmarkStart w:id="612" w:name="_Toc337558835"/>
      <w:r>
        <w:rPr>
          <w:rFonts w:hint="eastAsia" w:ascii="宋体" w:hAnsi="宋体" w:eastAsia="宋体" w:cs="宋体"/>
        </w:rPr>
        <w:t>19. 索赔</w:t>
      </w:r>
      <w:bookmarkEnd w:id="608"/>
      <w:bookmarkEnd w:id="609"/>
    </w:p>
    <w:bookmarkEnd w:id="610"/>
    <w:bookmarkEnd w:id="611"/>
    <w:bookmarkEnd w:id="612"/>
    <w:p w14:paraId="373FE467">
      <w:pPr>
        <w:spacing w:line="360" w:lineRule="auto"/>
        <w:ind w:firstLine="480" w:firstLineChars="200"/>
        <w:rPr>
          <w:rFonts w:hint="eastAsia" w:ascii="宋体" w:hAnsi="宋体" w:eastAsia="宋体" w:cs="宋体"/>
        </w:rPr>
      </w:pPr>
      <w:bookmarkStart w:id="613" w:name="_Toc145583478"/>
      <w:bookmarkStart w:id="614" w:name="_Toc351203621"/>
      <w:bookmarkStart w:id="615" w:name="_Toc296346642"/>
      <w:bookmarkStart w:id="616" w:name="_Toc337558836"/>
      <w:bookmarkStart w:id="617" w:name="_Toc296503141"/>
      <w:r>
        <w:rPr>
          <w:rFonts w:hint="eastAsia" w:ascii="宋体" w:hAnsi="宋体" w:eastAsia="宋体" w:cs="宋体"/>
        </w:rPr>
        <w:t>19.1承包人的索赔</w:t>
      </w:r>
      <w:bookmarkEnd w:id="613"/>
      <w:bookmarkEnd w:id="614"/>
    </w:p>
    <w:bookmarkEnd w:id="615"/>
    <w:bookmarkEnd w:id="616"/>
    <w:bookmarkEnd w:id="617"/>
    <w:p w14:paraId="7FE43DEA">
      <w:pPr>
        <w:spacing w:line="360" w:lineRule="auto"/>
        <w:ind w:firstLine="480" w:firstLineChars="200"/>
        <w:rPr>
          <w:rFonts w:hint="eastAsia" w:ascii="宋体" w:hAnsi="宋体" w:eastAsia="宋体" w:cs="宋体"/>
        </w:rPr>
      </w:pPr>
      <w:r>
        <w:rPr>
          <w:rFonts w:hint="eastAsia" w:ascii="宋体" w:hAnsi="宋体" w:eastAsia="宋体" w:cs="宋体"/>
        </w:rPr>
        <w:t>根据合同约定，承包人认为有权得到追加付款和（或）延长工期的，应按以下程序向发包人提出索赔：</w:t>
      </w:r>
    </w:p>
    <w:p w14:paraId="142AE1E5">
      <w:pPr>
        <w:spacing w:line="360" w:lineRule="auto"/>
        <w:ind w:firstLine="480" w:firstLineChars="200"/>
        <w:rPr>
          <w:rFonts w:hint="eastAsia" w:ascii="宋体" w:hAnsi="宋体" w:eastAsia="宋体" w:cs="宋体"/>
        </w:rPr>
      </w:pPr>
      <w:r>
        <w:rPr>
          <w:rFonts w:hint="eastAsia" w:ascii="宋体" w:hAnsi="宋体" w:eastAsia="宋体" w:cs="宋体"/>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34669DEB">
      <w:pPr>
        <w:spacing w:line="360" w:lineRule="auto"/>
        <w:ind w:firstLine="480" w:firstLineChars="200"/>
        <w:rPr>
          <w:rFonts w:hint="eastAsia" w:ascii="宋体" w:hAnsi="宋体" w:eastAsia="宋体" w:cs="宋体"/>
        </w:rPr>
      </w:pPr>
      <w:r>
        <w:rPr>
          <w:rFonts w:hint="eastAsia" w:ascii="宋体" w:hAnsi="宋体" w:eastAsia="宋体" w:cs="宋体"/>
        </w:rPr>
        <w:t>（2）承包人应在发出索赔意向通知书后28天内，向监理人正式递交索赔报告；索赔报告应详细说明索赔理由以及要求追加的付款金额和（或）延长的工期，并附必要的记录和证明材料；</w:t>
      </w:r>
    </w:p>
    <w:p w14:paraId="602B1668">
      <w:pPr>
        <w:spacing w:line="360" w:lineRule="auto"/>
        <w:ind w:firstLine="480" w:firstLineChars="200"/>
        <w:rPr>
          <w:rFonts w:hint="eastAsia" w:ascii="宋体" w:hAnsi="宋体" w:eastAsia="宋体" w:cs="宋体"/>
        </w:rPr>
      </w:pPr>
      <w:r>
        <w:rPr>
          <w:rFonts w:hint="eastAsia" w:ascii="宋体" w:hAnsi="宋体" w:eastAsia="宋体" w:cs="宋体"/>
        </w:rPr>
        <w:t>（3）索赔事件具有持续影响的，承包人应按合理时间间隔继续递交延续索赔通知，说明持续影响的实际情况和记录，列出累计的追加付款金额和（或）工期延长天数；</w:t>
      </w:r>
    </w:p>
    <w:p w14:paraId="48B1EC70">
      <w:pPr>
        <w:spacing w:line="360" w:lineRule="auto"/>
        <w:ind w:firstLine="480" w:firstLineChars="200"/>
        <w:rPr>
          <w:rFonts w:hint="eastAsia" w:ascii="宋体" w:hAnsi="宋体" w:eastAsia="宋体" w:cs="宋体"/>
        </w:rPr>
      </w:pPr>
      <w:r>
        <w:rPr>
          <w:rFonts w:hint="eastAsia" w:ascii="宋体" w:hAnsi="宋体" w:eastAsia="宋体" w:cs="宋体"/>
        </w:rPr>
        <w:t>（4）在索赔事件影响结束后28天内，承包人应向监理人递交最终索赔报告，说明最终要求索赔的追加付款金额和（或）延长的工期，并附必要的记录和证明材料。</w:t>
      </w:r>
    </w:p>
    <w:p w14:paraId="58EF7B6E">
      <w:pPr>
        <w:spacing w:line="360" w:lineRule="auto"/>
        <w:ind w:firstLine="480" w:firstLineChars="200"/>
        <w:rPr>
          <w:rFonts w:hint="eastAsia" w:ascii="宋体" w:hAnsi="宋体" w:eastAsia="宋体" w:cs="宋体"/>
        </w:rPr>
      </w:pPr>
      <w:bookmarkStart w:id="618" w:name="_Toc145583479"/>
      <w:bookmarkStart w:id="619" w:name="_Toc351203622"/>
      <w:bookmarkStart w:id="620" w:name="_Toc337558837"/>
      <w:bookmarkStart w:id="621" w:name="_Toc296503142"/>
      <w:bookmarkStart w:id="622" w:name="_Toc296346643"/>
      <w:r>
        <w:rPr>
          <w:rFonts w:hint="eastAsia" w:ascii="宋体" w:hAnsi="宋体" w:eastAsia="宋体" w:cs="宋体"/>
        </w:rPr>
        <w:t>19.2 对承包人索赔的处理</w:t>
      </w:r>
      <w:bookmarkEnd w:id="618"/>
      <w:bookmarkEnd w:id="619"/>
    </w:p>
    <w:bookmarkEnd w:id="620"/>
    <w:bookmarkEnd w:id="621"/>
    <w:bookmarkEnd w:id="622"/>
    <w:p w14:paraId="62820DC6">
      <w:pPr>
        <w:spacing w:line="360" w:lineRule="auto"/>
        <w:ind w:firstLine="480" w:firstLineChars="200"/>
        <w:rPr>
          <w:rFonts w:hint="eastAsia" w:ascii="宋体" w:hAnsi="宋体" w:eastAsia="宋体" w:cs="宋体"/>
        </w:rPr>
      </w:pPr>
      <w:r>
        <w:rPr>
          <w:rFonts w:hint="eastAsia" w:ascii="宋体" w:hAnsi="宋体" w:eastAsia="宋体" w:cs="宋体"/>
        </w:rPr>
        <w:t>对承包人索赔的处理如下：</w:t>
      </w:r>
    </w:p>
    <w:p w14:paraId="5365C77B">
      <w:pPr>
        <w:spacing w:line="360" w:lineRule="auto"/>
        <w:ind w:firstLine="480" w:firstLineChars="200"/>
        <w:rPr>
          <w:rFonts w:hint="eastAsia" w:ascii="宋体" w:hAnsi="宋体" w:eastAsia="宋体" w:cs="宋体"/>
        </w:rPr>
      </w:pPr>
      <w:r>
        <w:rPr>
          <w:rFonts w:hint="eastAsia" w:ascii="宋体" w:hAnsi="宋体" w:eastAsia="宋体" w:cs="宋体"/>
        </w:rPr>
        <w:t>（1）监理人应在收到索赔报告后14天内完成审查并报送发包人。监理人对索赔报告存在异议的，有权要求承包人提交全部原始记录副本；</w:t>
      </w:r>
    </w:p>
    <w:p w14:paraId="68D134CE">
      <w:pPr>
        <w:spacing w:line="360" w:lineRule="auto"/>
        <w:ind w:firstLine="480" w:firstLineChars="200"/>
        <w:rPr>
          <w:rFonts w:hint="eastAsia" w:ascii="宋体" w:hAnsi="宋体" w:eastAsia="宋体" w:cs="宋体"/>
        </w:rPr>
      </w:pPr>
      <w:r>
        <w:rPr>
          <w:rFonts w:hint="eastAsia" w:ascii="宋体" w:hAnsi="宋体" w:eastAsia="宋体" w:cs="宋体"/>
        </w:rPr>
        <w:t>（2）发包人应在监理人收到索赔报告或有关索赔的进一步证明材料后的28天内，由监理人向承包人出具经发包人签认的索赔处理结果。发包人逾期答复的，则视为认可承包人的索赔要求；</w:t>
      </w:r>
    </w:p>
    <w:p w14:paraId="05851211">
      <w:pPr>
        <w:spacing w:line="360" w:lineRule="auto"/>
        <w:ind w:firstLine="480" w:firstLineChars="200"/>
        <w:rPr>
          <w:rFonts w:hint="eastAsia" w:ascii="宋体" w:hAnsi="宋体" w:eastAsia="宋体" w:cs="宋体"/>
        </w:rPr>
      </w:pPr>
      <w:r>
        <w:rPr>
          <w:rFonts w:hint="eastAsia" w:ascii="宋体" w:hAnsi="宋体" w:eastAsia="宋体" w:cs="宋体"/>
        </w:rPr>
        <w:t>（3）承包人接受索赔处理结果的，索赔款项在当期进度款中进行支付；承包人不接受索赔处理结果的，按照第20条〔争议解决〕约定处理。</w:t>
      </w:r>
    </w:p>
    <w:p w14:paraId="4266A1E1">
      <w:pPr>
        <w:spacing w:line="360" w:lineRule="auto"/>
        <w:ind w:firstLine="480" w:firstLineChars="200"/>
        <w:rPr>
          <w:rFonts w:hint="eastAsia" w:ascii="宋体" w:hAnsi="宋体" w:eastAsia="宋体" w:cs="宋体"/>
        </w:rPr>
      </w:pPr>
      <w:bookmarkStart w:id="623" w:name="_Toc351203623"/>
      <w:bookmarkStart w:id="624" w:name="_Toc145583480"/>
      <w:bookmarkStart w:id="625" w:name="_Toc296346644"/>
      <w:bookmarkStart w:id="626" w:name="_Toc337558838"/>
      <w:bookmarkStart w:id="627" w:name="_Toc296503143"/>
      <w:r>
        <w:rPr>
          <w:rFonts w:hint="eastAsia" w:ascii="宋体" w:hAnsi="宋体" w:eastAsia="宋体" w:cs="宋体"/>
        </w:rPr>
        <w:t>19.3发包人的索赔</w:t>
      </w:r>
      <w:bookmarkEnd w:id="623"/>
      <w:bookmarkEnd w:id="624"/>
    </w:p>
    <w:bookmarkEnd w:id="625"/>
    <w:bookmarkEnd w:id="626"/>
    <w:bookmarkEnd w:id="627"/>
    <w:p w14:paraId="1B084CA8">
      <w:pPr>
        <w:spacing w:line="360" w:lineRule="auto"/>
        <w:ind w:firstLine="480" w:firstLineChars="200"/>
        <w:rPr>
          <w:rFonts w:hint="eastAsia" w:ascii="宋体" w:hAnsi="宋体" w:eastAsia="宋体" w:cs="宋体"/>
        </w:rPr>
      </w:pPr>
      <w:r>
        <w:rPr>
          <w:rFonts w:hint="eastAsia" w:ascii="宋体" w:hAnsi="宋体" w:eastAsia="宋体" w:cs="宋体"/>
        </w:rPr>
        <w:t>根据合同约定，发包人认为有权得到赔付金额和（或）延长缺陷责任期的，监理人应向承包人发出通知并附有详细的证明。</w:t>
      </w:r>
    </w:p>
    <w:p w14:paraId="252CEB85">
      <w:pPr>
        <w:spacing w:line="360" w:lineRule="auto"/>
        <w:ind w:firstLine="480" w:firstLineChars="200"/>
        <w:rPr>
          <w:rFonts w:hint="eastAsia" w:ascii="宋体" w:hAnsi="宋体" w:eastAsia="宋体" w:cs="宋体"/>
        </w:rPr>
      </w:pPr>
      <w:r>
        <w:rPr>
          <w:rFonts w:hint="eastAsia" w:ascii="宋体" w:hAnsi="宋体" w:eastAsia="宋体" w:cs="宋体"/>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17797146">
      <w:pPr>
        <w:spacing w:line="360" w:lineRule="auto"/>
        <w:ind w:firstLine="480" w:firstLineChars="200"/>
        <w:rPr>
          <w:rFonts w:hint="eastAsia" w:ascii="宋体" w:hAnsi="宋体" w:eastAsia="宋体" w:cs="宋体"/>
        </w:rPr>
      </w:pPr>
      <w:bookmarkStart w:id="628" w:name="_Toc351203624"/>
      <w:bookmarkStart w:id="629" w:name="_Toc145583481"/>
      <w:bookmarkStart w:id="630" w:name="_Toc296503144"/>
      <w:bookmarkStart w:id="631" w:name="_Toc296346645"/>
      <w:bookmarkStart w:id="632" w:name="_Toc337558839"/>
      <w:r>
        <w:rPr>
          <w:rFonts w:hint="eastAsia" w:ascii="宋体" w:hAnsi="宋体" w:eastAsia="宋体" w:cs="宋体"/>
        </w:rPr>
        <w:t>19.4 对发包人索赔的处理</w:t>
      </w:r>
      <w:bookmarkEnd w:id="628"/>
      <w:bookmarkEnd w:id="629"/>
    </w:p>
    <w:bookmarkEnd w:id="630"/>
    <w:bookmarkEnd w:id="631"/>
    <w:bookmarkEnd w:id="632"/>
    <w:p w14:paraId="2130DBA1">
      <w:pPr>
        <w:spacing w:line="360" w:lineRule="auto"/>
        <w:ind w:firstLine="480" w:firstLineChars="200"/>
        <w:rPr>
          <w:rFonts w:hint="eastAsia" w:ascii="宋体" w:hAnsi="宋体" w:eastAsia="宋体" w:cs="宋体"/>
        </w:rPr>
      </w:pPr>
      <w:r>
        <w:rPr>
          <w:rFonts w:hint="eastAsia" w:ascii="宋体" w:hAnsi="宋体" w:eastAsia="宋体" w:cs="宋体"/>
        </w:rPr>
        <w:t>对发包人索赔的处理如下：</w:t>
      </w:r>
    </w:p>
    <w:p w14:paraId="61BA2B37">
      <w:pPr>
        <w:spacing w:line="360" w:lineRule="auto"/>
        <w:ind w:firstLine="480" w:firstLineChars="200"/>
        <w:rPr>
          <w:rFonts w:hint="eastAsia" w:ascii="宋体" w:hAnsi="宋体" w:eastAsia="宋体" w:cs="宋体"/>
        </w:rPr>
      </w:pPr>
      <w:r>
        <w:rPr>
          <w:rFonts w:hint="eastAsia" w:ascii="宋体" w:hAnsi="宋体" w:eastAsia="宋体" w:cs="宋体"/>
        </w:rPr>
        <w:t>（1）承包人收到发包人提交的索赔报告后，应及时审查索赔报告的内容、查验发包人证明材料；</w:t>
      </w:r>
    </w:p>
    <w:p w14:paraId="3C700EDB">
      <w:pPr>
        <w:spacing w:line="360" w:lineRule="auto"/>
        <w:ind w:firstLine="480" w:firstLineChars="200"/>
        <w:rPr>
          <w:rFonts w:hint="eastAsia" w:ascii="宋体" w:hAnsi="宋体" w:eastAsia="宋体" w:cs="宋体"/>
        </w:rPr>
      </w:pPr>
      <w:r>
        <w:rPr>
          <w:rFonts w:hint="eastAsia" w:ascii="宋体" w:hAnsi="宋体" w:eastAsia="宋体" w:cs="宋体"/>
        </w:rPr>
        <w:t>（2）承包人应在收到索赔报告或有关索赔的进一步证明材料后28天内，将索赔处理结果答复发包人。如果承包人未在上述期限内作出答复的，则视为对发包人索赔要求的认可；</w:t>
      </w:r>
    </w:p>
    <w:p w14:paraId="75636F85">
      <w:pPr>
        <w:spacing w:line="360" w:lineRule="auto"/>
        <w:ind w:firstLine="480" w:firstLineChars="200"/>
        <w:rPr>
          <w:rFonts w:hint="eastAsia" w:ascii="宋体" w:hAnsi="宋体" w:eastAsia="宋体" w:cs="宋体"/>
        </w:rPr>
      </w:pPr>
      <w:r>
        <w:rPr>
          <w:rFonts w:hint="eastAsia" w:ascii="宋体" w:hAnsi="宋体" w:eastAsia="宋体" w:cs="宋体"/>
        </w:rPr>
        <w:t>（3）承包人接受索赔处理结果的，发包人可从应支付给承包人的合同价款中扣除赔付的金额或延长缺陷责任期；发包人不接受索赔处理结果的，按第20条〔争议解决〕约定处理。</w:t>
      </w:r>
    </w:p>
    <w:p w14:paraId="7E11398B">
      <w:pPr>
        <w:spacing w:line="360" w:lineRule="auto"/>
        <w:ind w:firstLine="480" w:firstLineChars="200"/>
        <w:rPr>
          <w:rFonts w:hint="eastAsia" w:ascii="宋体" w:hAnsi="宋体" w:eastAsia="宋体" w:cs="宋体"/>
        </w:rPr>
      </w:pPr>
      <w:bookmarkStart w:id="633" w:name="_Toc351203625"/>
      <w:bookmarkStart w:id="634" w:name="_Toc145583482"/>
      <w:r>
        <w:rPr>
          <w:rFonts w:hint="eastAsia" w:ascii="宋体" w:hAnsi="宋体" w:eastAsia="宋体" w:cs="宋体"/>
        </w:rPr>
        <w:t>19.5 提出索赔的期限</w:t>
      </w:r>
      <w:bookmarkEnd w:id="633"/>
      <w:bookmarkEnd w:id="634"/>
    </w:p>
    <w:p w14:paraId="6B46C40A">
      <w:pPr>
        <w:spacing w:line="360" w:lineRule="auto"/>
        <w:ind w:firstLine="480" w:firstLineChars="200"/>
        <w:rPr>
          <w:rFonts w:hint="eastAsia" w:ascii="宋体" w:hAnsi="宋体" w:eastAsia="宋体" w:cs="宋体"/>
        </w:rPr>
      </w:pPr>
      <w:r>
        <w:rPr>
          <w:rFonts w:hint="eastAsia" w:ascii="宋体" w:hAnsi="宋体" w:eastAsia="宋体" w:cs="宋体"/>
        </w:rPr>
        <w:t>（1）承包人按第14.2款〔竣工结算审核〕约定接收竣工付款证书后，应被视为已无权再提出在工程接收证书颁发前所发生的任何索赔。</w:t>
      </w:r>
    </w:p>
    <w:p w14:paraId="247805A0">
      <w:pPr>
        <w:spacing w:line="360" w:lineRule="auto"/>
        <w:ind w:firstLine="480" w:firstLineChars="200"/>
        <w:rPr>
          <w:rFonts w:hint="eastAsia" w:ascii="宋体" w:hAnsi="宋体" w:eastAsia="宋体" w:cs="宋体"/>
        </w:rPr>
      </w:pPr>
      <w:r>
        <w:rPr>
          <w:rFonts w:hint="eastAsia" w:ascii="宋体" w:hAnsi="宋体" w:eastAsia="宋体" w:cs="宋体"/>
        </w:rPr>
        <w:t>（2）承包人按第14.4款〔最终结清〕提交的最终结清申请单中，只限于提出工程接收证书颁发后发生的索赔。提出索赔的期限自接受最终结清证书时终止。</w:t>
      </w:r>
      <w:r>
        <w:rPr>
          <w:rFonts w:hint="eastAsia" w:ascii="宋体" w:hAnsi="宋体" w:eastAsia="宋体" w:cs="宋体"/>
          <w:lang w:val="en-US" w:eastAsia="zh-CN"/>
        </w:rPr>
        <w:t>逾期提出的，视为放弃索赔权利。</w:t>
      </w:r>
    </w:p>
    <w:p w14:paraId="1A31D4EE">
      <w:pPr>
        <w:spacing w:line="360" w:lineRule="auto"/>
        <w:ind w:firstLine="480" w:firstLineChars="200"/>
        <w:rPr>
          <w:rFonts w:hint="eastAsia" w:ascii="宋体" w:hAnsi="宋体" w:eastAsia="宋体" w:cs="宋体"/>
        </w:rPr>
      </w:pPr>
      <w:bookmarkStart w:id="635" w:name="_Toc351203626"/>
      <w:bookmarkStart w:id="636" w:name="_Toc145583483"/>
      <w:r>
        <w:rPr>
          <w:rFonts w:hint="eastAsia" w:ascii="宋体" w:hAnsi="宋体" w:eastAsia="宋体" w:cs="宋体"/>
        </w:rPr>
        <w:t>20</w:t>
      </w:r>
      <w:bookmarkStart w:id="637" w:name="_Toc296503146"/>
      <w:bookmarkStart w:id="638" w:name="_Toc337558840"/>
      <w:bookmarkStart w:id="639" w:name="_Toc296346647"/>
      <w:r>
        <w:rPr>
          <w:rFonts w:hint="eastAsia" w:ascii="宋体" w:hAnsi="宋体" w:eastAsia="宋体" w:cs="宋体"/>
        </w:rPr>
        <w:t>. 争议解决</w:t>
      </w:r>
      <w:bookmarkEnd w:id="635"/>
      <w:bookmarkEnd w:id="636"/>
    </w:p>
    <w:bookmarkEnd w:id="637"/>
    <w:bookmarkEnd w:id="638"/>
    <w:bookmarkEnd w:id="639"/>
    <w:p w14:paraId="495191A2">
      <w:pPr>
        <w:spacing w:line="360" w:lineRule="auto"/>
        <w:ind w:firstLine="480" w:firstLineChars="200"/>
        <w:rPr>
          <w:rFonts w:hint="eastAsia" w:ascii="宋体" w:hAnsi="宋体" w:eastAsia="宋体" w:cs="宋体"/>
        </w:rPr>
      </w:pPr>
      <w:bookmarkStart w:id="640" w:name="_Toc351203627"/>
      <w:bookmarkStart w:id="641" w:name="_Toc145583484"/>
      <w:bookmarkStart w:id="642" w:name="_Toc296346648"/>
      <w:bookmarkStart w:id="643" w:name="_Toc337558841"/>
      <w:bookmarkStart w:id="644" w:name="_Toc296503147"/>
      <w:r>
        <w:rPr>
          <w:rFonts w:hint="eastAsia" w:ascii="宋体" w:hAnsi="宋体" w:eastAsia="宋体" w:cs="宋体"/>
        </w:rPr>
        <w:t>20.1和解</w:t>
      </w:r>
      <w:bookmarkEnd w:id="640"/>
      <w:bookmarkEnd w:id="641"/>
    </w:p>
    <w:bookmarkEnd w:id="642"/>
    <w:bookmarkEnd w:id="643"/>
    <w:bookmarkEnd w:id="644"/>
    <w:p w14:paraId="21BC9C1C">
      <w:pPr>
        <w:spacing w:line="360" w:lineRule="auto"/>
        <w:ind w:firstLine="480" w:firstLineChars="200"/>
        <w:rPr>
          <w:rFonts w:hint="eastAsia" w:ascii="宋体" w:hAnsi="宋体" w:eastAsia="宋体" w:cs="宋体"/>
        </w:rPr>
      </w:pPr>
      <w:r>
        <w:rPr>
          <w:rFonts w:hint="eastAsia" w:ascii="宋体" w:hAnsi="宋体" w:eastAsia="宋体" w:cs="宋体"/>
        </w:rPr>
        <w:t>合同当事人可以就争议自行和解，自行和解达成协议的经双方签字并盖章后作为合同补充文件，双方均应遵照执行。</w:t>
      </w:r>
    </w:p>
    <w:p w14:paraId="4AFE772F">
      <w:pPr>
        <w:spacing w:line="360" w:lineRule="auto"/>
        <w:ind w:firstLine="480" w:firstLineChars="200"/>
        <w:rPr>
          <w:rFonts w:hint="eastAsia" w:ascii="宋体" w:hAnsi="宋体" w:eastAsia="宋体" w:cs="宋体"/>
        </w:rPr>
      </w:pPr>
      <w:bookmarkStart w:id="645" w:name="_Toc145583485"/>
      <w:bookmarkStart w:id="646" w:name="_Toc351203628"/>
      <w:r>
        <w:rPr>
          <w:rFonts w:hint="eastAsia" w:ascii="宋体" w:hAnsi="宋体" w:eastAsia="宋体" w:cs="宋体"/>
        </w:rPr>
        <w:t>20</w:t>
      </w:r>
      <w:bookmarkStart w:id="647" w:name="_Toc337558842"/>
      <w:bookmarkStart w:id="648" w:name="_Toc296346649"/>
      <w:bookmarkStart w:id="649" w:name="_Toc296503148"/>
      <w:r>
        <w:rPr>
          <w:rFonts w:hint="eastAsia" w:ascii="宋体" w:hAnsi="宋体" w:eastAsia="宋体" w:cs="宋体"/>
        </w:rPr>
        <w:t>.2调解</w:t>
      </w:r>
      <w:bookmarkEnd w:id="645"/>
      <w:bookmarkEnd w:id="646"/>
    </w:p>
    <w:bookmarkEnd w:id="647"/>
    <w:bookmarkEnd w:id="648"/>
    <w:bookmarkEnd w:id="649"/>
    <w:p w14:paraId="3FA379B6">
      <w:pPr>
        <w:spacing w:line="360" w:lineRule="auto"/>
        <w:ind w:firstLine="480" w:firstLineChars="200"/>
        <w:rPr>
          <w:rFonts w:hint="eastAsia" w:ascii="宋体" w:hAnsi="宋体" w:eastAsia="宋体" w:cs="宋体"/>
        </w:rPr>
      </w:pPr>
      <w:r>
        <w:rPr>
          <w:rFonts w:hint="eastAsia" w:ascii="宋体" w:hAnsi="宋体" w:eastAsia="宋体" w:cs="宋体"/>
        </w:rPr>
        <w:t>合同当事人可以就争议请求建设行政主管部门、行业协会或其他第三方进行调解，调解达成协议的，经双方签字并盖章后作为合同补充文件，双方均应遵照执行。</w:t>
      </w:r>
    </w:p>
    <w:p w14:paraId="1291C6BF">
      <w:pPr>
        <w:spacing w:line="360" w:lineRule="auto"/>
        <w:ind w:firstLine="480" w:firstLineChars="200"/>
        <w:rPr>
          <w:rFonts w:hint="eastAsia" w:ascii="宋体" w:hAnsi="宋体" w:eastAsia="宋体" w:cs="宋体"/>
        </w:rPr>
      </w:pPr>
      <w:bookmarkStart w:id="650" w:name="_Toc351203629"/>
      <w:bookmarkStart w:id="651" w:name="_Toc145583486"/>
      <w:bookmarkStart w:id="652" w:name="_Toc296503149"/>
      <w:bookmarkStart w:id="653" w:name="_Toc337558843"/>
      <w:bookmarkStart w:id="654" w:name="_Toc296346650"/>
      <w:r>
        <w:rPr>
          <w:rFonts w:hint="eastAsia" w:ascii="宋体" w:hAnsi="宋体" w:eastAsia="宋体" w:cs="宋体"/>
        </w:rPr>
        <w:t>20.3争议评审</w:t>
      </w:r>
      <w:bookmarkEnd w:id="650"/>
      <w:bookmarkEnd w:id="651"/>
    </w:p>
    <w:bookmarkEnd w:id="652"/>
    <w:bookmarkEnd w:id="653"/>
    <w:bookmarkEnd w:id="654"/>
    <w:p w14:paraId="0454C22F">
      <w:pPr>
        <w:spacing w:line="360" w:lineRule="auto"/>
        <w:ind w:firstLine="480" w:firstLineChars="200"/>
        <w:rPr>
          <w:rFonts w:hint="eastAsia" w:ascii="宋体" w:hAnsi="宋体" w:eastAsia="宋体" w:cs="宋体"/>
        </w:rPr>
      </w:pPr>
      <w:r>
        <w:rPr>
          <w:rFonts w:hint="eastAsia" w:ascii="宋体" w:hAnsi="宋体" w:eastAsia="宋体" w:cs="宋体"/>
        </w:rPr>
        <w:t xml:space="preserve">合同当事人在专用合同条款中约定采取争议评审方式解决争议以及评审规则，并按下列约定执行： </w:t>
      </w:r>
    </w:p>
    <w:p w14:paraId="1D0BF8DC">
      <w:pPr>
        <w:spacing w:line="360" w:lineRule="auto"/>
        <w:ind w:firstLine="480" w:firstLineChars="200"/>
        <w:rPr>
          <w:rFonts w:hint="eastAsia" w:ascii="宋体" w:hAnsi="宋体" w:eastAsia="宋体" w:cs="宋体"/>
        </w:rPr>
      </w:pPr>
      <w:r>
        <w:rPr>
          <w:rFonts w:hint="eastAsia" w:ascii="宋体" w:hAnsi="宋体" w:eastAsia="宋体" w:cs="宋体"/>
        </w:rPr>
        <w:t>20.3.1 争议评审小组的确定</w:t>
      </w:r>
    </w:p>
    <w:p w14:paraId="69C76936">
      <w:pPr>
        <w:spacing w:line="360" w:lineRule="auto"/>
        <w:ind w:firstLine="480" w:firstLineChars="200"/>
        <w:rPr>
          <w:rFonts w:hint="eastAsia" w:ascii="宋体" w:hAnsi="宋体" w:eastAsia="宋体" w:cs="宋体"/>
        </w:rPr>
      </w:pPr>
      <w:r>
        <w:rPr>
          <w:rFonts w:hint="eastAsia" w:ascii="宋体" w:hAnsi="宋体" w:eastAsia="宋体" w:cs="宋体"/>
        </w:rPr>
        <w:t>合同当事人可以共同选择一名或三名争议评审员，组成争议评审小组。除专用合同条款另有约定外，合同当事人应当自合同签订后28天内，或者争议发生后14天内，选定争议评审员。</w:t>
      </w:r>
    </w:p>
    <w:p w14:paraId="3A34269F">
      <w:pPr>
        <w:spacing w:line="360" w:lineRule="auto"/>
        <w:ind w:firstLine="480" w:firstLineChars="200"/>
        <w:rPr>
          <w:rFonts w:hint="eastAsia" w:ascii="宋体" w:hAnsi="宋体" w:eastAsia="宋体" w:cs="宋体"/>
        </w:rPr>
      </w:pPr>
      <w:r>
        <w:rPr>
          <w:rFonts w:hint="eastAsia" w:ascii="宋体" w:hAnsi="宋体" w:eastAsia="宋体" w:cs="宋体"/>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7220DA8C">
      <w:pPr>
        <w:spacing w:line="360" w:lineRule="auto"/>
        <w:ind w:firstLine="480" w:firstLineChars="200"/>
        <w:rPr>
          <w:rFonts w:hint="eastAsia" w:ascii="宋体" w:hAnsi="宋体" w:eastAsia="宋体" w:cs="宋体"/>
        </w:rPr>
      </w:pPr>
      <w:r>
        <w:rPr>
          <w:rFonts w:hint="eastAsia" w:ascii="宋体" w:hAnsi="宋体" w:eastAsia="宋体" w:cs="宋体"/>
        </w:rPr>
        <w:t>除专用合同条款另有约定外，评审员报酬由发包人和承包人各承担一半。</w:t>
      </w:r>
    </w:p>
    <w:p w14:paraId="236445FC">
      <w:pPr>
        <w:spacing w:line="360" w:lineRule="auto"/>
        <w:ind w:firstLine="480" w:firstLineChars="200"/>
        <w:rPr>
          <w:rFonts w:hint="eastAsia" w:ascii="宋体" w:hAnsi="宋体" w:eastAsia="宋体" w:cs="宋体"/>
        </w:rPr>
      </w:pPr>
      <w:r>
        <w:rPr>
          <w:rFonts w:hint="eastAsia" w:ascii="宋体" w:hAnsi="宋体" w:eastAsia="宋体" w:cs="宋体"/>
        </w:rPr>
        <w:t>20.3.2 争议评审小组的决定</w:t>
      </w:r>
    </w:p>
    <w:p w14:paraId="1915B13C">
      <w:pPr>
        <w:spacing w:line="360" w:lineRule="auto"/>
        <w:ind w:firstLine="480" w:firstLineChars="200"/>
        <w:rPr>
          <w:rFonts w:hint="eastAsia" w:ascii="宋体" w:hAnsi="宋体" w:eastAsia="宋体" w:cs="宋体"/>
        </w:rPr>
      </w:pPr>
      <w:r>
        <w:rPr>
          <w:rFonts w:hint="eastAsia" w:ascii="宋体" w:hAnsi="宋体" w:eastAsia="宋体" w:cs="宋体"/>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54FB9852">
      <w:pPr>
        <w:spacing w:line="360" w:lineRule="auto"/>
        <w:ind w:firstLine="480" w:firstLineChars="200"/>
        <w:rPr>
          <w:rFonts w:hint="eastAsia" w:ascii="宋体" w:hAnsi="宋体" w:eastAsia="宋体" w:cs="宋体"/>
        </w:rPr>
      </w:pPr>
      <w:r>
        <w:rPr>
          <w:rFonts w:hint="eastAsia" w:ascii="宋体" w:hAnsi="宋体" w:eastAsia="宋体" w:cs="宋体"/>
        </w:rPr>
        <w:t>20.3.3 争议评审小组决定的效力</w:t>
      </w:r>
    </w:p>
    <w:p w14:paraId="78B8A76A">
      <w:pPr>
        <w:spacing w:line="360" w:lineRule="auto"/>
        <w:ind w:firstLine="480" w:firstLineChars="200"/>
        <w:rPr>
          <w:rFonts w:hint="eastAsia" w:ascii="宋体" w:hAnsi="宋体" w:eastAsia="宋体" w:cs="宋体"/>
        </w:rPr>
      </w:pPr>
      <w:r>
        <w:rPr>
          <w:rFonts w:hint="eastAsia" w:ascii="宋体" w:hAnsi="宋体" w:eastAsia="宋体" w:cs="宋体"/>
        </w:rPr>
        <w:t>争议评审小组作出的书面决定经合同当事人签字确认后，对双方具有约束力，双方应遵照执行。</w:t>
      </w:r>
    </w:p>
    <w:p w14:paraId="32D7AB64">
      <w:pPr>
        <w:spacing w:line="360" w:lineRule="auto"/>
        <w:ind w:firstLine="480" w:firstLineChars="200"/>
        <w:rPr>
          <w:rFonts w:hint="eastAsia" w:ascii="宋体" w:hAnsi="宋体" w:eastAsia="宋体" w:cs="宋体"/>
        </w:rPr>
      </w:pPr>
      <w:r>
        <w:rPr>
          <w:rFonts w:hint="eastAsia" w:ascii="宋体" w:hAnsi="宋体" w:eastAsia="宋体" w:cs="宋体"/>
        </w:rPr>
        <w:t>任何一方当事人不接受争议评审小组决定或不履行争议评审小组决定的，双方可选择采用其他争议解决方式。</w:t>
      </w:r>
    </w:p>
    <w:p w14:paraId="22AF08DC">
      <w:pPr>
        <w:spacing w:line="360" w:lineRule="auto"/>
        <w:ind w:firstLine="480" w:firstLineChars="200"/>
        <w:rPr>
          <w:rFonts w:hint="eastAsia" w:ascii="宋体" w:hAnsi="宋体" w:eastAsia="宋体" w:cs="宋体"/>
        </w:rPr>
      </w:pPr>
      <w:bookmarkStart w:id="655" w:name="_Toc351203630"/>
      <w:bookmarkStart w:id="656" w:name="_Toc145583487"/>
      <w:bookmarkStart w:id="657" w:name="_Toc337558844"/>
      <w:bookmarkStart w:id="658" w:name="_Toc296503150"/>
      <w:bookmarkStart w:id="659" w:name="_Toc296346651"/>
      <w:r>
        <w:rPr>
          <w:rFonts w:hint="eastAsia" w:ascii="宋体" w:hAnsi="宋体" w:eastAsia="宋体" w:cs="宋体"/>
        </w:rPr>
        <w:t>20.4仲裁或诉讼</w:t>
      </w:r>
      <w:bookmarkEnd w:id="655"/>
      <w:bookmarkEnd w:id="656"/>
    </w:p>
    <w:bookmarkEnd w:id="657"/>
    <w:bookmarkEnd w:id="658"/>
    <w:bookmarkEnd w:id="659"/>
    <w:p w14:paraId="2CC62295">
      <w:pPr>
        <w:spacing w:line="360" w:lineRule="auto"/>
        <w:ind w:firstLine="480" w:firstLineChars="200"/>
        <w:rPr>
          <w:rFonts w:hint="eastAsia" w:ascii="宋体" w:hAnsi="宋体" w:eastAsia="宋体" w:cs="宋体"/>
        </w:rPr>
      </w:pPr>
      <w:r>
        <w:rPr>
          <w:rFonts w:hint="eastAsia" w:ascii="宋体" w:hAnsi="宋体" w:eastAsia="宋体" w:cs="宋体"/>
        </w:rPr>
        <w:t>因合同及合同有关事项产生的争议，合同当事人可以在专用合同条款中约定以下一种方式解决争议：</w:t>
      </w:r>
    </w:p>
    <w:p w14:paraId="5CC2ACE6">
      <w:pPr>
        <w:spacing w:line="360" w:lineRule="auto"/>
        <w:ind w:firstLine="480" w:firstLineChars="200"/>
        <w:rPr>
          <w:rFonts w:hint="eastAsia" w:ascii="宋体" w:hAnsi="宋体" w:eastAsia="宋体" w:cs="宋体"/>
        </w:rPr>
      </w:pPr>
      <w:r>
        <w:rPr>
          <w:rFonts w:hint="eastAsia" w:ascii="宋体" w:hAnsi="宋体" w:eastAsia="宋体" w:cs="宋体"/>
        </w:rPr>
        <w:t>（1）向约定的仲裁委员会申请仲裁；</w:t>
      </w:r>
    </w:p>
    <w:p w14:paraId="4A436A54">
      <w:pPr>
        <w:spacing w:line="360" w:lineRule="auto"/>
        <w:ind w:firstLine="480" w:firstLineChars="200"/>
        <w:rPr>
          <w:rFonts w:hint="eastAsia" w:ascii="宋体" w:hAnsi="宋体" w:eastAsia="宋体" w:cs="宋体"/>
        </w:rPr>
      </w:pPr>
      <w:r>
        <w:rPr>
          <w:rFonts w:hint="eastAsia" w:ascii="宋体" w:hAnsi="宋体" w:eastAsia="宋体" w:cs="宋体"/>
        </w:rPr>
        <w:t>（2）向有管辖权的人民法院起诉。</w:t>
      </w:r>
    </w:p>
    <w:p w14:paraId="599F424D">
      <w:pPr>
        <w:spacing w:line="360" w:lineRule="auto"/>
        <w:ind w:firstLine="480" w:firstLineChars="200"/>
        <w:rPr>
          <w:rFonts w:hint="eastAsia" w:ascii="宋体" w:hAnsi="宋体" w:eastAsia="宋体" w:cs="宋体"/>
        </w:rPr>
      </w:pPr>
      <w:bookmarkStart w:id="660" w:name="_Toc145583488"/>
      <w:bookmarkStart w:id="661" w:name="_Toc351203631"/>
      <w:bookmarkStart w:id="662" w:name="_Toc296346653"/>
      <w:bookmarkStart w:id="663" w:name="_Toc296503152"/>
      <w:bookmarkStart w:id="664" w:name="_Toc337558845"/>
      <w:r>
        <w:rPr>
          <w:rFonts w:hint="eastAsia" w:ascii="宋体" w:hAnsi="宋体" w:eastAsia="宋体" w:cs="宋体"/>
        </w:rPr>
        <w:t>20.5争议解决条款效力</w:t>
      </w:r>
      <w:bookmarkEnd w:id="660"/>
      <w:bookmarkEnd w:id="661"/>
    </w:p>
    <w:bookmarkEnd w:id="662"/>
    <w:bookmarkEnd w:id="663"/>
    <w:bookmarkEnd w:id="664"/>
    <w:p w14:paraId="0623C879">
      <w:pPr>
        <w:spacing w:line="360" w:lineRule="auto"/>
        <w:ind w:firstLine="480" w:firstLineChars="200"/>
        <w:rPr>
          <w:rFonts w:hint="eastAsia" w:ascii="宋体" w:hAnsi="宋体" w:eastAsia="宋体" w:cs="宋体"/>
        </w:rPr>
      </w:pPr>
      <w:r>
        <w:rPr>
          <w:rFonts w:hint="eastAsia" w:ascii="宋体" w:hAnsi="宋体" w:eastAsia="宋体" w:cs="宋体"/>
        </w:rPr>
        <w:t xml:space="preserve">合同有关争议解决的条款独立存在，合同的变更、解除、终止、无效或者被撤销均不影响其效力。 </w:t>
      </w:r>
    </w:p>
    <w:p w14:paraId="7E8B1E52">
      <w:pPr>
        <w:rPr>
          <w:rFonts w:hint="eastAsia" w:ascii="宋体" w:hAnsi="宋体" w:eastAsia="宋体" w:cs="宋体"/>
        </w:rPr>
      </w:pPr>
      <w:r>
        <w:rPr>
          <w:rFonts w:hint="eastAsia" w:ascii="宋体" w:hAnsi="宋体" w:eastAsia="宋体" w:cs="宋体"/>
        </w:rPr>
        <w:br w:type="page"/>
      </w:r>
    </w:p>
    <w:p w14:paraId="0D710593">
      <w:pPr>
        <w:pStyle w:val="4"/>
        <w:jc w:val="center"/>
        <w:rPr>
          <w:rFonts w:hint="eastAsia" w:ascii="宋体" w:hAnsi="宋体" w:eastAsia="宋体" w:cs="宋体"/>
        </w:rPr>
      </w:pPr>
      <w:bookmarkStart w:id="665" w:name="_Toc20879"/>
      <w:r>
        <w:rPr>
          <w:rFonts w:hint="eastAsia" w:ascii="宋体" w:hAnsi="宋体" w:eastAsia="宋体" w:cs="宋体"/>
        </w:rPr>
        <w:t>第三部分  专用合同条款</w:t>
      </w:r>
      <w:bookmarkEnd w:id="665"/>
    </w:p>
    <w:p w14:paraId="43EF995E">
      <w:pPr>
        <w:spacing w:line="360" w:lineRule="auto"/>
        <w:ind w:firstLine="480" w:firstLineChars="200"/>
        <w:rPr>
          <w:rFonts w:hint="eastAsia" w:ascii="宋体" w:hAnsi="宋体" w:eastAsia="宋体" w:cs="宋体"/>
        </w:rPr>
      </w:pPr>
      <w:r>
        <w:rPr>
          <w:rFonts w:hint="eastAsia" w:ascii="宋体" w:hAnsi="宋体" w:eastAsia="宋体" w:cs="宋体"/>
        </w:rPr>
        <w:t>1.1词语定义</w:t>
      </w:r>
    </w:p>
    <w:p w14:paraId="59DB7121">
      <w:pPr>
        <w:spacing w:line="360" w:lineRule="auto"/>
        <w:ind w:firstLine="480" w:firstLineChars="200"/>
        <w:rPr>
          <w:rFonts w:hint="eastAsia" w:ascii="宋体" w:hAnsi="宋体" w:eastAsia="宋体" w:cs="宋体"/>
        </w:rPr>
      </w:pPr>
      <w:r>
        <w:rPr>
          <w:rFonts w:hint="eastAsia" w:ascii="宋体" w:hAnsi="宋体" w:eastAsia="宋体" w:cs="宋体"/>
        </w:rPr>
        <w:t>1.1.1合同</w:t>
      </w:r>
    </w:p>
    <w:p w14:paraId="528FF1DA">
      <w:pPr>
        <w:spacing w:line="360" w:lineRule="auto"/>
        <w:ind w:firstLine="480" w:firstLineChars="200"/>
        <w:rPr>
          <w:rFonts w:hint="eastAsia" w:ascii="宋体" w:hAnsi="宋体" w:eastAsia="宋体" w:cs="宋体"/>
        </w:rPr>
      </w:pPr>
      <w:r>
        <w:rPr>
          <w:rFonts w:hint="eastAsia" w:ascii="宋体" w:hAnsi="宋体" w:eastAsia="宋体" w:cs="宋体"/>
        </w:rPr>
        <w:t>1.1.1.10其他合同文件包括：</w:t>
      </w:r>
      <w:r>
        <w:rPr>
          <w:rFonts w:hint="eastAsia" w:ascii="宋体" w:hAnsi="宋体" w:eastAsia="宋体" w:cs="宋体"/>
          <w:u w:val="single"/>
        </w:rPr>
        <w:t>1、合同签署及履行中承发包双方之间澄清、洽商、变更等明确双方权利义务的纪要、补充协议2、本合同协议书3、中标通知书4、本合同专用条款5、本合同通用条款6、施工招标文件及附件7、标准、规范及有关技术文件8、投标文件及附件9、工程量清单10、工程报价单或预算书。</w:t>
      </w:r>
    </w:p>
    <w:p w14:paraId="773E237D">
      <w:pPr>
        <w:spacing w:line="360" w:lineRule="auto"/>
        <w:ind w:firstLine="480" w:firstLineChars="200"/>
        <w:rPr>
          <w:rFonts w:hint="eastAsia" w:ascii="宋体" w:hAnsi="宋体" w:eastAsia="宋体" w:cs="宋体"/>
        </w:rPr>
      </w:pPr>
      <w:r>
        <w:rPr>
          <w:rFonts w:hint="eastAsia" w:ascii="宋体" w:hAnsi="宋体" w:eastAsia="宋体" w:cs="宋体"/>
        </w:rPr>
        <w:t>1.1.3工程和设备</w:t>
      </w:r>
    </w:p>
    <w:p w14:paraId="25E476CF">
      <w:pPr>
        <w:spacing w:line="360" w:lineRule="auto"/>
        <w:ind w:firstLine="480" w:firstLineChars="200"/>
        <w:rPr>
          <w:rFonts w:hint="eastAsia" w:ascii="宋体" w:hAnsi="宋体" w:eastAsia="宋体" w:cs="宋体"/>
        </w:rPr>
      </w:pPr>
      <w:r>
        <w:rPr>
          <w:rFonts w:hint="eastAsia" w:ascii="宋体" w:hAnsi="宋体" w:eastAsia="宋体" w:cs="宋体"/>
        </w:rPr>
        <w:t>1.1.3.7作为施工现场组成部分的其他场所包括：</w:t>
      </w:r>
      <w:r>
        <w:rPr>
          <w:rFonts w:hint="eastAsia" w:ascii="宋体" w:hAnsi="宋体" w:eastAsia="宋体" w:cs="宋体"/>
          <w:u w:val="single"/>
        </w:rPr>
        <w:t xml:space="preserve">     </w:t>
      </w:r>
      <w:r>
        <w:rPr>
          <w:rFonts w:hint="eastAsia" w:ascii="宋体" w:hAnsi="宋体" w:eastAsia="宋体" w:cs="宋体"/>
        </w:rPr>
        <w:t>。</w:t>
      </w:r>
    </w:p>
    <w:p w14:paraId="48AEBB8A">
      <w:pPr>
        <w:spacing w:line="360" w:lineRule="auto"/>
        <w:ind w:firstLine="480" w:firstLineChars="200"/>
        <w:rPr>
          <w:rFonts w:hint="eastAsia" w:ascii="宋体" w:hAnsi="宋体" w:eastAsia="宋体" w:cs="宋体"/>
        </w:rPr>
      </w:pPr>
      <w:r>
        <w:rPr>
          <w:rFonts w:hint="eastAsia" w:ascii="宋体" w:hAnsi="宋体" w:eastAsia="宋体" w:cs="宋体"/>
        </w:rPr>
        <w:t>1.1.3.9永久占地包括：</w:t>
      </w:r>
      <w:r>
        <w:rPr>
          <w:rFonts w:hint="eastAsia" w:ascii="宋体" w:hAnsi="宋体" w:eastAsia="宋体" w:cs="宋体"/>
          <w:u w:val="single"/>
        </w:rPr>
        <w:t xml:space="preserve">        </w:t>
      </w:r>
      <w:r>
        <w:rPr>
          <w:rFonts w:hint="eastAsia" w:ascii="宋体" w:hAnsi="宋体" w:eastAsia="宋体" w:cs="宋体"/>
        </w:rPr>
        <w:t>。</w:t>
      </w:r>
    </w:p>
    <w:p w14:paraId="725D7CE3">
      <w:pPr>
        <w:spacing w:line="360" w:lineRule="auto"/>
        <w:ind w:firstLine="480" w:firstLineChars="200"/>
        <w:rPr>
          <w:rFonts w:hint="eastAsia" w:ascii="宋体" w:hAnsi="宋体" w:eastAsia="宋体" w:cs="宋体"/>
        </w:rPr>
      </w:pPr>
      <w:r>
        <w:rPr>
          <w:rFonts w:hint="eastAsia" w:ascii="宋体" w:hAnsi="宋体" w:eastAsia="宋体" w:cs="宋体"/>
        </w:rPr>
        <w:t>1.1.3.10临时占地包括：</w:t>
      </w:r>
      <w:r>
        <w:rPr>
          <w:rFonts w:hint="eastAsia" w:ascii="宋体" w:hAnsi="宋体" w:eastAsia="宋体" w:cs="宋体"/>
          <w:u w:val="single"/>
        </w:rPr>
        <w:t>施工过程中的临时用房，生产用地等</w:t>
      </w:r>
      <w:r>
        <w:rPr>
          <w:rFonts w:hint="eastAsia" w:ascii="宋体" w:hAnsi="宋体" w:eastAsia="宋体" w:cs="宋体"/>
        </w:rPr>
        <w:t>。</w:t>
      </w:r>
    </w:p>
    <w:p w14:paraId="078D15EA">
      <w:pPr>
        <w:spacing w:line="360" w:lineRule="auto"/>
        <w:ind w:firstLine="480" w:firstLineChars="200"/>
        <w:rPr>
          <w:rFonts w:hint="eastAsia" w:ascii="宋体" w:hAnsi="宋体" w:eastAsia="宋体" w:cs="宋体"/>
        </w:rPr>
      </w:pPr>
      <w:r>
        <w:rPr>
          <w:rFonts w:hint="eastAsia" w:ascii="宋体" w:hAnsi="宋体" w:eastAsia="宋体" w:cs="宋体"/>
        </w:rPr>
        <w:t>1.3法律</w:t>
      </w:r>
    </w:p>
    <w:p w14:paraId="4A8E78D1">
      <w:pPr>
        <w:spacing w:line="360" w:lineRule="auto"/>
        <w:ind w:firstLine="480" w:firstLineChars="200"/>
        <w:rPr>
          <w:rFonts w:hint="eastAsia" w:ascii="宋体" w:hAnsi="宋体" w:eastAsia="宋体" w:cs="宋体"/>
        </w:rPr>
      </w:pPr>
      <w:r>
        <w:rPr>
          <w:rFonts w:hint="eastAsia" w:ascii="宋体" w:hAnsi="宋体" w:eastAsia="宋体" w:cs="宋体"/>
        </w:rPr>
        <w:t>适用于合同的其他规范性文件：</w:t>
      </w:r>
      <w:r>
        <w:rPr>
          <w:rFonts w:hint="eastAsia" w:ascii="宋体" w:hAnsi="宋体" w:eastAsia="宋体" w:cs="宋体"/>
          <w:u w:val="single"/>
        </w:rPr>
        <w:t>《中华人民共和国建筑法》、《中华人民共和国民法典》、《中华人民共和国政府采购法》、国务院《建设工程质量管理条例》、国务院《建设工程安全生产管理条例》、建设部《房屋建筑工程和市政基础设施工程竣工验收备案管理暂行办法》、建设部《房屋建筑工程质量保修办法》、《陕西省建设工程工程量清单计价标准》（2025）、中华人民共和国《工程建设标准强制性条文》、现行《建筑工程质量验收统一标准》、《建筑工程施工及验收规范》等国家、部门及地方现行及后续的有关法律、法规、规章、规范性文件等。</w:t>
      </w:r>
    </w:p>
    <w:p w14:paraId="56BDB65A">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本合同同时适用国家与工程所在地的有关建筑质量安全、环境保护等方面的法律、法规、规章。</w:t>
      </w:r>
    </w:p>
    <w:p w14:paraId="47097F06">
      <w:pPr>
        <w:spacing w:line="360" w:lineRule="auto"/>
        <w:ind w:firstLine="480" w:firstLineChars="200"/>
        <w:rPr>
          <w:rFonts w:hint="eastAsia" w:ascii="宋体" w:hAnsi="宋体" w:eastAsia="宋体" w:cs="宋体"/>
        </w:rPr>
      </w:pPr>
      <w:r>
        <w:rPr>
          <w:rFonts w:hint="eastAsia" w:ascii="宋体" w:hAnsi="宋体" w:eastAsia="宋体" w:cs="宋体"/>
        </w:rPr>
        <w:t>1.4标准和规范</w:t>
      </w:r>
    </w:p>
    <w:p w14:paraId="525AEB56">
      <w:pPr>
        <w:spacing w:line="360" w:lineRule="auto"/>
        <w:ind w:firstLine="480" w:firstLineChars="200"/>
        <w:rPr>
          <w:rFonts w:hint="eastAsia" w:ascii="宋体" w:hAnsi="宋体" w:eastAsia="宋体" w:cs="宋体"/>
          <w:u w:val="single"/>
        </w:rPr>
      </w:pPr>
      <w:r>
        <w:rPr>
          <w:rFonts w:hint="eastAsia" w:ascii="宋体" w:hAnsi="宋体" w:eastAsia="宋体" w:cs="宋体"/>
        </w:rPr>
        <w:t>1.4.1适用于工程的标准规范包括：</w:t>
      </w:r>
      <w:r>
        <w:rPr>
          <w:rFonts w:hint="eastAsia" w:ascii="宋体" w:hAnsi="宋体" w:eastAsia="宋体" w:cs="宋体"/>
          <w:u w:val="single"/>
        </w:rPr>
        <w:t>执行国家现行的技术标准、施工验收规范及质量检验评定标准，以及材料、设备所涉及的现行国家、省、市或行业的工程建设标准、规范的要求。</w:t>
      </w:r>
    </w:p>
    <w:p w14:paraId="05031A23">
      <w:pPr>
        <w:spacing w:line="360" w:lineRule="auto"/>
        <w:ind w:firstLine="480" w:firstLineChars="200"/>
        <w:rPr>
          <w:rFonts w:hint="eastAsia" w:ascii="宋体" w:hAnsi="宋体" w:eastAsia="宋体" w:cs="宋体"/>
        </w:rPr>
      </w:pPr>
      <w:r>
        <w:rPr>
          <w:rFonts w:hint="eastAsia" w:ascii="宋体" w:hAnsi="宋体" w:eastAsia="宋体" w:cs="宋体"/>
        </w:rPr>
        <w:t>1.5合同文件的优先顺序</w:t>
      </w:r>
    </w:p>
    <w:p w14:paraId="630E66A9">
      <w:pPr>
        <w:spacing w:line="360" w:lineRule="auto"/>
        <w:ind w:firstLine="480" w:firstLineChars="200"/>
        <w:rPr>
          <w:rFonts w:hint="eastAsia" w:ascii="宋体" w:hAnsi="宋体" w:eastAsia="宋体" w:cs="宋体"/>
        </w:rPr>
      </w:pPr>
      <w:r>
        <w:rPr>
          <w:rFonts w:hint="eastAsia" w:ascii="宋体" w:hAnsi="宋体" w:eastAsia="宋体" w:cs="宋体"/>
        </w:rPr>
        <w:t>合同文件组成及优先顺序为：</w:t>
      </w:r>
      <w:r>
        <w:rPr>
          <w:rFonts w:hint="eastAsia" w:ascii="宋体" w:hAnsi="宋体" w:eastAsia="宋体" w:cs="宋体"/>
          <w:u w:val="single"/>
        </w:rPr>
        <w:t>1、合同签署及履行中承发包双方之间澄清、洽商、变更等明确双方权利义务的纪要、补充协议；2、本合同协议书；3、中标通知书；4、本合同专用条款及其附件；5、本合同通用条款；6、施工招标文件及附件；7、标准、规范及有关技术文件；8、投标文件及附件；9、工程量清单；10、工程报价单或预算书，以及其他合同文件。</w:t>
      </w:r>
    </w:p>
    <w:p w14:paraId="3A855935">
      <w:pPr>
        <w:spacing w:line="360" w:lineRule="auto"/>
        <w:ind w:firstLine="480" w:firstLineChars="200"/>
        <w:rPr>
          <w:rFonts w:hint="eastAsia" w:ascii="宋体" w:hAnsi="宋体" w:eastAsia="宋体" w:cs="宋体"/>
        </w:rPr>
      </w:pPr>
      <w:r>
        <w:rPr>
          <w:rFonts w:hint="eastAsia" w:ascii="宋体" w:hAnsi="宋体" w:eastAsia="宋体" w:cs="宋体"/>
        </w:rPr>
        <w:t>1.6图纸和承包人文件</w:t>
      </w:r>
      <w:r>
        <w:rPr>
          <w:rFonts w:hint="eastAsia" w:ascii="宋体" w:hAnsi="宋体" w:eastAsia="宋体" w:cs="宋体"/>
        </w:rPr>
        <w:tab/>
      </w:r>
    </w:p>
    <w:p w14:paraId="28BC0ABD">
      <w:pPr>
        <w:spacing w:line="360" w:lineRule="auto"/>
        <w:ind w:firstLine="480" w:firstLineChars="200"/>
        <w:rPr>
          <w:rFonts w:hint="eastAsia" w:ascii="宋体" w:hAnsi="宋体" w:eastAsia="宋体" w:cs="宋体"/>
        </w:rPr>
      </w:pPr>
      <w:r>
        <w:rPr>
          <w:rFonts w:hint="eastAsia" w:ascii="宋体" w:hAnsi="宋体" w:eastAsia="宋体" w:cs="宋体"/>
        </w:rPr>
        <w:t>1.6.1图纸的提供：</w:t>
      </w:r>
    </w:p>
    <w:p w14:paraId="02BF5249">
      <w:pPr>
        <w:spacing w:line="360" w:lineRule="auto"/>
        <w:ind w:firstLine="480" w:firstLineChars="200"/>
        <w:rPr>
          <w:rFonts w:hint="eastAsia" w:ascii="宋体" w:hAnsi="宋体" w:eastAsia="宋体" w:cs="宋体"/>
        </w:rPr>
      </w:pPr>
      <w:r>
        <w:rPr>
          <w:rFonts w:hint="eastAsia" w:ascii="宋体" w:hAnsi="宋体" w:eastAsia="宋体" w:cs="宋体"/>
          <w:u w:val="single"/>
        </w:rPr>
        <w:t>由承包人自备</w:t>
      </w:r>
      <w:r>
        <w:rPr>
          <w:rFonts w:hint="eastAsia" w:ascii="宋体" w:hAnsi="宋体" w:eastAsia="宋体" w:cs="宋体"/>
        </w:rPr>
        <w:t>。</w:t>
      </w:r>
    </w:p>
    <w:p w14:paraId="00C46622">
      <w:pPr>
        <w:spacing w:line="360" w:lineRule="auto"/>
        <w:ind w:firstLine="480" w:firstLineChars="200"/>
        <w:rPr>
          <w:rFonts w:hint="eastAsia" w:ascii="宋体" w:hAnsi="宋体" w:eastAsia="宋体" w:cs="宋体"/>
        </w:rPr>
      </w:pPr>
      <w:r>
        <w:rPr>
          <w:rFonts w:hint="eastAsia" w:ascii="宋体" w:hAnsi="宋体" w:eastAsia="宋体" w:cs="宋体"/>
        </w:rPr>
        <w:t>1.6.4承包人文件</w:t>
      </w:r>
    </w:p>
    <w:p w14:paraId="098ECEE5">
      <w:pPr>
        <w:spacing w:line="360" w:lineRule="auto"/>
        <w:ind w:firstLine="480" w:firstLineChars="200"/>
        <w:rPr>
          <w:rFonts w:hint="eastAsia" w:ascii="宋体" w:hAnsi="宋体" w:eastAsia="宋体" w:cs="宋体"/>
        </w:rPr>
      </w:pPr>
      <w:r>
        <w:rPr>
          <w:rFonts w:hint="eastAsia" w:ascii="宋体" w:hAnsi="宋体" w:eastAsia="宋体" w:cs="宋体"/>
        </w:rPr>
        <w:t>需要由承包人提供的文件，包括：</w:t>
      </w:r>
      <w:r>
        <w:rPr>
          <w:rFonts w:hint="eastAsia" w:ascii="宋体" w:hAnsi="宋体" w:eastAsia="宋体" w:cs="宋体"/>
          <w:u w:val="single"/>
        </w:rPr>
        <w:t>施工组织设计（施工方案）、工期进度计划、安全文明施工措施、人员安排等；</w:t>
      </w:r>
    </w:p>
    <w:p w14:paraId="46A3D591">
      <w:pPr>
        <w:spacing w:line="360" w:lineRule="auto"/>
        <w:ind w:firstLine="480" w:firstLineChars="200"/>
        <w:rPr>
          <w:rFonts w:hint="eastAsia" w:ascii="宋体" w:hAnsi="宋体" w:eastAsia="宋体" w:cs="宋体"/>
        </w:rPr>
      </w:pPr>
      <w:r>
        <w:rPr>
          <w:rFonts w:hint="eastAsia" w:ascii="宋体" w:hAnsi="宋体" w:eastAsia="宋体" w:cs="宋体"/>
        </w:rPr>
        <w:t>承包人提供的文件的期限为：</w:t>
      </w:r>
      <w:r>
        <w:rPr>
          <w:rFonts w:hint="eastAsia" w:ascii="宋体" w:hAnsi="宋体" w:eastAsia="宋体" w:cs="宋体"/>
          <w:u w:val="single"/>
        </w:rPr>
        <w:t>开工前5日内；</w:t>
      </w:r>
    </w:p>
    <w:p w14:paraId="1644F31A">
      <w:pPr>
        <w:spacing w:line="360" w:lineRule="auto"/>
        <w:ind w:firstLine="480" w:firstLineChars="200"/>
        <w:rPr>
          <w:rFonts w:hint="eastAsia" w:ascii="宋体" w:hAnsi="宋体" w:eastAsia="宋体" w:cs="宋体"/>
        </w:rPr>
      </w:pPr>
      <w:r>
        <w:rPr>
          <w:rFonts w:hint="eastAsia" w:ascii="宋体" w:hAnsi="宋体" w:eastAsia="宋体" w:cs="宋体"/>
        </w:rPr>
        <w:t>承包人提供的文件的数量为：</w:t>
      </w:r>
      <w:r>
        <w:rPr>
          <w:rFonts w:hint="eastAsia" w:ascii="宋体" w:hAnsi="宋体" w:eastAsia="宋体" w:cs="宋体"/>
          <w:u w:val="single"/>
        </w:rPr>
        <w:t>不少于5份；</w:t>
      </w:r>
    </w:p>
    <w:p w14:paraId="6E2EE6D0">
      <w:pPr>
        <w:spacing w:line="360" w:lineRule="auto"/>
        <w:ind w:firstLine="480" w:firstLineChars="200"/>
        <w:rPr>
          <w:rFonts w:hint="eastAsia" w:ascii="宋体" w:hAnsi="宋体" w:eastAsia="宋体" w:cs="宋体"/>
        </w:rPr>
      </w:pPr>
      <w:r>
        <w:rPr>
          <w:rFonts w:hint="eastAsia" w:ascii="宋体" w:hAnsi="宋体" w:eastAsia="宋体" w:cs="宋体"/>
        </w:rPr>
        <w:t>承包人提供的文件的形式为：</w:t>
      </w:r>
      <w:r>
        <w:rPr>
          <w:rFonts w:hint="eastAsia" w:ascii="宋体" w:hAnsi="宋体" w:eastAsia="宋体" w:cs="宋体"/>
          <w:u w:val="single"/>
        </w:rPr>
        <w:t>纸质文件及电子文档；</w:t>
      </w:r>
    </w:p>
    <w:p w14:paraId="1859A683">
      <w:pPr>
        <w:spacing w:line="360" w:lineRule="auto"/>
        <w:ind w:firstLine="480" w:firstLineChars="200"/>
        <w:rPr>
          <w:rFonts w:hint="eastAsia" w:ascii="宋体" w:hAnsi="宋体" w:eastAsia="宋体" w:cs="宋体"/>
        </w:rPr>
      </w:pPr>
      <w:r>
        <w:rPr>
          <w:rFonts w:hint="eastAsia" w:ascii="宋体" w:hAnsi="宋体" w:eastAsia="宋体" w:cs="宋体"/>
        </w:rPr>
        <w:t>发包人审批承包人文件的期限：</w:t>
      </w:r>
      <w:r>
        <w:rPr>
          <w:rFonts w:hint="eastAsia" w:ascii="宋体" w:hAnsi="宋体" w:eastAsia="宋体" w:cs="宋体"/>
          <w:u w:val="single"/>
        </w:rPr>
        <w:t>接到承包人文件后7日内。</w:t>
      </w:r>
    </w:p>
    <w:p w14:paraId="4255A743">
      <w:pPr>
        <w:spacing w:line="360" w:lineRule="auto"/>
        <w:ind w:firstLine="480" w:firstLineChars="200"/>
        <w:rPr>
          <w:rFonts w:hint="eastAsia" w:ascii="宋体" w:hAnsi="宋体" w:eastAsia="宋体" w:cs="宋体"/>
        </w:rPr>
      </w:pPr>
      <w:r>
        <w:rPr>
          <w:rFonts w:hint="eastAsia" w:ascii="宋体" w:hAnsi="宋体" w:eastAsia="宋体" w:cs="宋体"/>
        </w:rPr>
        <w:t>1.6.5现场图纸准备</w:t>
      </w:r>
    </w:p>
    <w:p w14:paraId="6AFE8D9A">
      <w:pPr>
        <w:spacing w:line="360" w:lineRule="auto"/>
        <w:ind w:firstLine="480" w:firstLineChars="200"/>
        <w:rPr>
          <w:rFonts w:hint="eastAsia" w:ascii="宋体" w:hAnsi="宋体" w:eastAsia="宋体" w:cs="宋体"/>
        </w:rPr>
      </w:pPr>
      <w:r>
        <w:rPr>
          <w:rFonts w:hint="eastAsia" w:ascii="宋体" w:hAnsi="宋体" w:eastAsia="宋体" w:cs="宋体"/>
        </w:rPr>
        <w:t>关于现场图纸准备的约定：</w:t>
      </w:r>
      <w:r>
        <w:rPr>
          <w:rFonts w:hint="eastAsia" w:ascii="宋体" w:hAnsi="宋体" w:eastAsia="宋体" w:cs="宋体"/>
          <w:u w:val="single"/>
        </w:rPr>
        <w:t>执行通用条款。</w:t>
      </w:r>
    </w:p>
    <w:p w14:paraId="428B4C19">
      <w:pPr>
        <w:spacing w:line="360" w:lineRule="auto"/>
        <w:ind w:firstLine="480" w:firstLineChars="200"/>
        <w:rPr>
          <w:rFonts w:hint="eastAsia" w:ascii="宋体" w:hAnsi="宋体" w:eastAsia="宋体" w:cs="宋体"/>
        </w:rPr>
      </w:pPr>
      <w:r>
        <w:rPr>
          <w:rFonts w:hint="eastAsia" w:ascii="宋体" w:hAnsi="宋体" w:eastAsia="宋体" w:cs="宋体"/>
        </w:rPr>
        <w:t>1.7联络</w:t>
      </w:r>
    </w:p>
    <w:p w14:paraId="74F33E5C">
      <w:pPr>
        <w:spacing w:line="360" w:lineRule="auto"/>
        <w:ind w:firstLine="480" w:firstLineChars="200"/>
        <w:rPr>
          <w:rFonts w:hint="eastAsia" w:ascii="宋体" w:hAnsi="宋体" w:eastAsia="宋体" w:cs="宋体"/>
        </w:rPr>
      </w:pPr>
      <w:r>
        <w:rPr>
          <w:rFonts w:hint="eastAsia" w:ascii="宋体" w:hAnsi="宋体" w:eastAsia="宋体" w:cs="宋体"/>
        </w:rPr>
        <w:t>1.7.1发包人和承包人应当在7天内将与合同有关的通知、批准、证明、证书、指示、指令、要求、请求、同意、意见、确定和决定等书面函件送达对方当事人。</w:t>
      </w:r>
    </w:p>
    <w:p w14:paraId="32AC431D">
      <w:pPr>
        <w:spacing w:line="360" w:lineRule="auto"/>
        <w:ind w:firstLine="480" w:firstLineChars="200"/>
        <w:rPr>
          <w:rFonts w:hint="eastAsia" w:ascii="宋体" w:hAnsi="宋体" w:eastAsia="宋体" w:cs="宋体"/>
        </w:rPr>
      </w:pPr>
      <w:r>
        <w:rPr>
          <w:rFonts w:hint="eastAsia" w:ascii="宋体" w:hAnsi="宋体" w:eastAsia="宋体" w:cs="宋体"/>
        </w:rPr>
        <w:t>1.10交通运输</w:t>
      </w:r>
    </w:p>
    <w:p w14:paraId="15977466">
      <w:pPr>
        <w:spacing w:line="360" w:lineRule="auto"/>
        <w:ind w:firstLine="480" w:firstLineChars="200"/>
        <w:rPr>
          <w:rFonts w:hint="eastAsia" w:ascii="宋体" w:hAnsi="宋体" w:eastAsia="宋体" w:cs="宋体"/>
        </w:rPr>
      </w:pPr>
      <w:r>
        <w:rPr>
          <w:rFonts w:hint="eastAsia" w:ascii="宋体" w:hAnsi="宋体" w:eastAsia="宋体" w:cs="宋体"/>
        </w:rPr>
        <w:t>1</w:t>
      </w:r>
      <w:bookmarkStart w:id="666" w:name="_Toc318581155"/>
      <w:bookmarkStart w:id="667" w:name="_Toc303539100"/>
      <w:bookmarkStart w:id="668" w:name="_Toc312677986"/>
      <w:bookmarkStart w:id="669" w:name="_Toc300934943"/>
      <w:bookmarkStart w:id="670" w:name="_Toc304295521"/>
      <w:r>
        <w:rPr>
          <w:rFonts w:hint="eastAsia" w:ascii="宋体" w:hAnsi="宋体" w:eastAsia="宋体" w:cs="宋体"/>
        </w:rPr>
        <w:t>.10.1出入现场的权利</w:t>
      </w:r>
    </w:p>
    <w:p w14:paraId="6E591DC1">
      <w:pPr>
        <w:spacing w:line="360" w:lineRule="auto"/>
        <w:ind w:firstLine="480" w:firstLineChars="200"/>
        <w:rPr>
          <w:rFonts w:hint="eastAsia" w:ascii="宋体" w:hAnsi="宋体" w:eastAsia="宋体" w:cs="宋体"/>
          <w:u w:val="single"/>
        </w:rPr>
      </w:pPr>
      <w:r>
        <w:rPr>
          <w:rFonts w:hint="eastAsia" w:ascii="宋体" w:hAnsi="宋体" w:eastAsia="宋体" w:cs="宋体"/>
        </w:rPr>
        <w:t>关于出入现场的权利的约定：</w:t>
      </w:r>
      <w:r>
        <w:rPr>
          <w:rFonts w:hint="eastAsia" w:ascii="宋体" w:hAnsi="宋体" w:eastAsia="宋体" w:cs="宋体"/>
          <w:u w:val="single"/>
        </w:rPr>
        <w:t>承包人负责现场管理，发包人遵守承包人现场管理的规定。</w:t>
      </w:r>
    </w:p>
    <w:bookmarkEnd w:id="666"/>
    <w:bookmarkEnd w:id="667"/>
    <w:bookmarkEnd w:id="668"/>
    <w:bookmarkEnd w:id="669"/>
    <w:bookmarkEnd w:id="670"/>
    <w:p w14:paraId="6BD777DC">
      <w:pPr>
        <w:spacing w:line="360" w:lineRule="auto"/>
        <w:ind w:firstLine="480" w:firstLineChars="200"/>
        <w:rPr>
          <w:rFonts w:hint="eastAsia" w:ascii="宋体" w:hAnsi="宋体" w:eastAsia="宋体" w:cs="宋体"/>
        </w:rPr>
      </w:pPr>
      <w:r>
        <w:rPr>
          <w:rFonts w:hint="eastAsia" w:ascii="宋体" w:hAnsi="宋体" w:eastAsia="宋体" w:cs="宋体"/>
        </w:rPr>
        <w:t>1</w:t>
      </w:r>
      <w:bookmarkStart w:id="671" w:name="_Toc312677987"/>
      <w:bookmarkStart w:id="672" w:name="_Toc304295522"/>
      <w:bookmarkStart w:id="673" w:name="_Toc303539101"/>
      <w:bookmarkStart w:id="674" w:name="_Toc318581156"/>
      <w:bookmarkStart w:id="675" w:name="_Toc300934944"/>
      <w:r>
        <w:rPr>
          <w:rFonts w:hint="eastAsia" w:ascii="宋体" w:hAnsi="宋体" w:eastAsia="宋体" w:cs="宋体"/>
        </w:rPr>
        <w:t>.10.3场内交通</w:t>
      </w:r>
    </w:p>
    <w:p w14:paraId="441E31C7">
      <w:pPr>
        <w:spacing w:line="360" w:lineRule="auto"/>
        <w:ind w:firstLine="480" w:firstLineChars="200"/>
        <w:rPr>
          <w:rFonts w:hint="eastAsia" w:ascii="宋体" w:hAnsi="宋体" w:eastAsia="宋体" w:cs="宋体"/>
        </w:rPr>
      </w:pPr>
      <w:r>
        <w:rPr>
          <w:rFonts w:hint="eastAsia" w:ascii="宋体" w:hAnsi="宋体" w:eastAsia="宋体" w:cs="宋体"/>
        </w:rPr>
        <w:t>关于场外交通和场内交通的边界的约定：</w:t>
      </w:r>
      <w:r>
        <w:rPr>
          <w:rFonts w:hint="eastAsia" w:ascii="宋体" w:hAnsi="宋体" w:eastAsia="宋体" w:cs="宋体"/>
          <w:u w:val="single"/>
        </w:rPr>
        <w:t>施工围墙以外为场外交通，施工围墙以内为场内交通，但施工大门至公共道路处为场内交通。</w:t>
      </w:r>
    </w:p>
    <w:p w14:paraId="556866B3">
      <w:pPr>
        <w:spacing w:line="360" w:lineRule="auto"/>
        <w:ind w:firstLine="480" w:firstLineChars="200"/>
        <w:rPr>
          <w:rFonts w:hint="eastAsia" w:ascii="宋体" w:hAnsi="宋体" w:eastAsia="宋体" w:cs="宋体"/>
        </w:rPr>
      </w:pPr>
      <w:r>
        <w:rPr>
          <w:rFonts w:hint="eastAsia" w:ascii="宋体" w:hAnsi="宋体" w:eastAsia="宋体" w:cs="宋体"/>
        </w:rPr>
        <w:t>关于发包人向承包人免费提供满足工程施工需要的场内道路和交通设施的约定：</w:t>
      </w:r>
      <w:r>
        <w:rPr>
          <w:rFonts w:hint="eastAsia" w:ascii="宋体" w:hAnsi="宋体" w:eastAsia="宋体" w:cs="宋体"/>
          <w:u w:val="single"/>
        </w:rPr>
        <w:t>场内道路的施工及交通设施由承包人负责，场外道路设施由发包人承担。</w:t>
      </w:r>
      <w:bookmarkEnd w:id="671"/>
      <w:bookmarkEnd w:id="672"/>
      <w:bookmarkEnd w:id="673"/>
      <w:bookmarkEnd w:id="674"/>
      <w:bookmarkEnd w:id="675"/>
      <w:bookmarkStart w:id="676" w:name="_Toc318581157"/>
    </w:p>
    <w:p w14:paraId="2138BED7">
      <w:pPr>
        <w:spacing w:line="360" w:lineRule="auto"/>
        <w:ind w:firstLine="480" w:firstLineChars="200"/>
        <w:rPr>
          <w:rFonts w:hint="eastAsia" w:ascii="宋体" w:hAnsi="宋体" w:eastAsia="宋体" w:cs="宋体"/>
        </w:rPr>
      </w:pPr>
      <w:r>
        <w:rPr>
          <w:rFonts w:hint="eastAsia" w:ascii="宋体" w:hAnsi="宋体" w:eastAsia="宋体" w:cs="宋体"/>
        </w:rPr>
        <w:t>1.10.4超大件和超重件的运输</w:t>
      </w:r>
    </w:p>
    <w:p w14:paraId="18FE0178">
      <w:pPr>
        <w:spacing w:line="360" w:lineRule="auto"/>
        <w:ind w:firstLine="480" w:firstLineChars="200"/>
        <w:rPr>
          <w:rFonts w:hint="eastAsia" w:ascii="宋体" w:hAnsi="宋体" w:eastAsia="宋体" w:cs="宋体"/>
        </w:rPr>
      </w:pPr>
      <w:r>
        <w:rPr>
          <w:rFonts w:hint="eastAsia" w:ascii="宋体" w:hAnsi="宋体" w:eastAsia="宋体" w:cs="宋体"/>
        </w:rPr>
        <w:t>运输超大件或超重件所需的道路和桥梁临时加固改造费用和其他有关费用由承包人承担。</w:t>
      </w:r>
    </w:p>
    <w:bookmarkEnd w:id="676"/>
    <w:p w14:paraId="638B1762">
      <w:pPr>
        <w:spacing w:line="360" w:lineRule="auto"/>
        <w:ind w:firstLine="480" w:firstLineChars="200"/>
        <w:rPr>
          <w:rFonts w:hint="eastAsia" w:ascii="宋体" w:hAnsi="宋体" w:eastAsia="宋体" w:cs="宋体"/>
        </w:rPr>
      </w:pPr>
      <w:r>
        <w:rPr>
          <w:rFonts w:hint="eastAsia" w:ascii="宋体" w:hAnsi="宋体" w:eastAsia="宋体" w:cs="宋体"/>
        </w:rPr>
        <w:t>1.11知识产权</w:t>
      </w:r>
    </w:p>
    <w:p w14:paraId="6A0CECAE">
      <w:pPr>
        <w:spacing w:line="360" w:lineRule="auto"/>
        <w:ind w:firstLine="480" w:firstLineChars="200"/>
        <w:rPr>
          <w:rFonts w:hint="eastAsia" w:ascii="宋体" w:hAnsi="宋体" w:eastAsia="宋体" w:cs="宋体"/>
        </w:rPr>
      </w:pPr>
      <w:r>
        <w:rPr>
          <w:rFonts w:hint="eastAsia" w:ascii="宋体" w:hAnsi="宋体" w:eastAsia="宋体" w:cs="宋体"/>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u w:val="single"/>
        </w:rPr>
        <w:t>发包人。</w:t>
      </w:r>
    </w:p>
    <w:p w14:paraId="0CE0C680">
      <w:pPr>
        <w:spacing w:line="360" w:lineRule="auto"/>
        <w:ind w:firstLine="480" w:firstLineChars="200"/>
        <w:rPr>
          <w:rFonts w:hint="eastAsia" w:ascii="宋体" w:hAnsi="宋体" w:eastAsia="宋体" w:cs="宋体"/>
        </w:rPr>
      </w:pPr>
      <w:r>
        <w:rPr>
          <w:rFonts w:hint="eastAsia" w:ascii="宋体" w:hAnsi="宋体" w:eastAsia="宋体" w:cs="宋体"/>
        </w:rPr>
        <w:t>关于发包人提供的上述文件的使用限制的要求：</w:t>
      </w:r>
      <w:r>
        <w:rPr>
          <w:rFonts w:hint="eastAsia" w:ascii="宋体" w:hAnsi="宋体" w:eastAsia="宋体" w:cs="宋体"/>
          <w:u w:val="single"/>
        </w:rPr>
        <w:t>承包人对上述文件复制应经发包人同意并记录，按受控文件要求进行管理，不得外传、外借。</w:t>
      </w:r>
    </w:p>
    <w:p w14:paraId="262BD692">
      <w:pPr>
        <w:spacing w:line="360" w:lineRule="auto"/>
        <w:ind w:firstLine="480" w:firstLineChars="200"/>
        <w:rPr>
          <w:rFonts w:hint="eastAsia" w:ascii="宋体" w:hAnsi="宋体" w:eastAsia="宋体" w:cs="宋体"/>
        </w:rPr>
      </w:pPr>
      <w:r>
        <w:rPr>
          <w:rFonts w:hint="eastAsia" w:ascii="宋体" w:hAnsi="宋体" w:eastAsia="宋体" w:cs="宋体"/>
        </w:rPr>
        <w:t>1.11.2关于承包人为实施工程所编制文件的著作权的归属：</w:t>
      </w:r>
      <w:r>
        <w:rPr>
          <w:rFonts w:hint="eastAsia" w:ascii="宋体" w:hAnsi="宋体" w:eastAsia="宋体" w:cs="宋体"/>
          <w:u w:val="single"/>
        </w:rPr>
        <w:t>发包人。</w:t>
      </w:r>
    </w:p>
    <w:p w14:paraId="7AD3701C">
      <w:pPr>
        <w:spacing w:line="360" w:lineRule="auto"/>
        <w:ind w:firstLine="480" w:firstLineChars="200"/>
        <w:rPr>
          <w:rFonts w:hint="eastAsia" w:ascii="宋体" w:hAnsi="宋体" w:eastAsia="宋体" w:cs="宋体"/>
          <w:u w:val="single"/>
        </w:rPr>
      </w:pPr>
      <w:r>
        <w:rPr>
          <w:rFonts w:hint="eastAsia" w:ascii="宋体" w:hAnsi="宋体" w:eastAsia="宋体" w:cs="宋体"/>
        </w:rPr>
        <w:t>关于承包人提供的上述文件的使用限制的要求：</w:t>
      </w:r>
      <w:r>
        <w:rPr>
          <w:rFonts w:hint="eastAsia" w:ascii="宋体" w:hAnsi="宋体" w:eastAsia="宋体" w:cs="宋体"/>
          <w:u w:val="single"/>
        </w:rPr>
        <w:t>承包人对上述文件复制应经发包人同意并记录，按受控文件要求进行管理，不得外传、外借。</w:t>
      </w:r>
    </w:p>
    <w:p w14:paraId="1C80D08B">
      <w:pPr>
        <w:spacing w:line="360" w:lineRule="auto"/>
        <w:ind w:firstLine="480" w:firstLineChars="200"/>
        <w:rPr>
          <w:rFonts w:hint="eastAsia" w:ascii="宋体" w:hAnsi="宋体" w:eastAsia="宋体" w:cs="宋体"/>
        </w:rPr>
      </w:pPr>
      <w:r>
        <w:rPr>
          <w:rFonts w:hint="eastAsia" w:ascii="宋体" w:hAnsi="宋体" w:eastAsia="宋体" w:cs="宋体"/>
        </w:rPr>
        <w:t>1.11.4承包人在施工过程中所采用的专利、专有技术、技术秘密的使用费的承担方式：</w:t>
      </w:r>
      <w:r>
        <w:rPr>
          <w:rFonts w:hint="eastAsia" w:ascii="宋体" w:hAnsi="宋体" w:eastAsia="宋体" w:cs="宋体"/>
          <w:u w:val="single"/>
        </w:rPr>
        <w:t>承包人自行承担。</w:t>
      </w:r>
    </w:p>
    <w:p w14:paraId="14CD2D67">
      <w:pPr>
        <w:spacing w:line="360" w:lineRule="auto"/>
        <w:ind w:firstLine="480" w:firstLineChars="200"/>
        <w:rPr>
          <w:rFonts w:hint="eastAsia" w:ascii="宋体" w:hAnsi="宋体" w:eastAsia="宋体" w:cs="宋体"/>
        </w:rPr>
      </w:pPr>
      <w:r>
        <w:rPr>
          <w:rFonts w:hint="eastAsia" w:ascii="宋体" w:hAnsi="宋体" w:eastAsia="宋体" w:cs="宋体"/>
        </w:rPr>
        <w:t>1.13工程量清单错误的修正</w:t>
      </w:r>
    </w:p>
    <w:p w14:paraId="2BA4DB43">
      <w:pPr>
        <w:spacing w:line="360" w:lineRule="auto"/>
        <w:ind w:firstLine="480" w:firstLineChars="200"/>
        <w:rPr>
          <w:rFonts w:hint="eastAsia" w:ascii="宋体" w:hAnsi="宋体" w:eastAsia="宋体" w:cs="宋体"/>
        </w:rPr>
      </w:pPr>
      <w:r>
        <w:rPr>
          <w:rFonts w:hint="eastAsia" w:ascii="宋体" w:hAnsi="宋体" w:eastAsia="宋体" w:cs="宋体"/>
        </w:rPr>
        <w:t>工程量清单中分部分项工程误差超过10%时据实调整。</w:t>
      </w:r>
    </w:p>
    <w:p w14:paraId="0065977F">
      <w:pPr>
        <w:spacing w:line="360" w:lineRule="auto"/>
        <w:ind w:firstLine="480" w:firstLineChars="200"/>
        <w:rPr>
          <w:rFonts w:hint="eastAsia" w:ascii="宋体" w:hAnsi="宋体" w:eastAsia="宋体" w:cs="宋体"/>
        </w:rPr>
      </w:pPr>
    </w:p>
    <w:p w14:paraId="1665D575">
      <w:pPr>
        <w:spacing w:line="360" w:lineRule="auto"/>
        <w:ind w:firstLine="482" w:firstLineChars="200"/>
        <w:rPr>
          <w:rFonts w:hint="eastAsia" w:ascii="宋体" w:hAnsi="宋体" w:eastAsia="宋体" w:cs="宋体"/>
          <w:b/>
          <w:bCs/>
        </w:rPr>
      </w:pPr>
      <w:bookmarkStart w:id="677" w:name="_Toc351203634"/>
      <w:r>
        <w:rPr>
          <w:rFonts w:hint="eastAsia" w:ascii="宋体" w:hAnsi="宋体" w:eastAsia="宋体" w:cs="宋体"/>
          <w:b/>
          <w:bCs/>
        </w:rPr>
        <w:t>2</w:t>
      </w:r>
      <w:bookmarkStart w:id="678" w:name="_Toc297048343"/>
      <w:bookmarkStart w:id="679" w:name="_Toc296503157"/>
      <w:bookmarkStart w:id="680" w:name="_Toc292559867"/>
      <w:bookmarkStart w:id="681" w:name="_Toc292559362"/>
      <w:bookmarkStart w:id="682" w:name="_Toc296346658"/>
      <w:bookmarkStart w:id="683" w:name="_Toc296347156"/>
      <w:bookmarkStart w:id="684" w:name="_Toc296944496"/>
      <w:bookmarkStart w:id="685" w:name="_Toc296891197"/>
      <w:bookmarkStart w:id="686" w:name="_Toc296890985"/>
      <w:bookmarkStart w:id="687" w:name="_Toc297120457"/>
      <w:r>
        <w:rPr>
          <w:rFonts w:hint="eastAsia" w:ascii="宋体" w:hAnsi="宋体" w:eastAsia="宋体" w:cs="宋体"/>
          <w:b/>
          <w:bCs/>
        </w:rPr>
        <w:t>.发包人</w:t>
      </w:r>
      <w:bookmarkEnd w:id="677"/>
    </w:p>
    <w:bookmarkEnd w:id="678"/>
    <w:bookmarkEnd w:id="679"/>
    <w:bookmarkEnd w:id="680"/>
    <w:bookmarkEnd w:id="681"/>
    <w:bookmarkEnd w:id="682"/>
    <w:bookmarkEnd w:id="683"/>
    <w:bookmarkEnd w:id="684"/>
    <w:bookmarkEnd w:id="685"/>
    <w:bookmarkEnd w:id="686"/>
    <w:bookmarkEnd w:id="687"/>
    <w:p w14:paraId="5BBAAB84">
      <w:pPr>
        <w:spacing w:line="360" w:lineRule="auto"/>
        <w:ind w:firstLine="480" w:firstLineChars="200"/>
        <w:rPr>
          <w:rFonts w:hint="eastAsia" w:ascii="宋体" w:hAnsi="宋体" w:eastAsia="宋体" w:cs="宋体"/>
        </w:rPr>
      </w:pPr>
      <w:r>
        <w:rPr>
          <w:rFonts w:hint="eastAsia" w:ascii="宋体" w:hAnsi="宋体" w:eastAsia="宋体" w:cs="宋体"/>
        </w:rPr>
        <w:t>2.2发包人代表</w:t>
      </w:r>
    </w:p>
    <w:p w14:paraId="2352C1C5">
      <w:pPr>
        <w:spacing w:line="360" w:lineRule="auto"/>
        <w:ind w:firstLine="480" w:firstLineChars="200"/>
        <w:rPr>
          <w:rFonts w:hint="eastAsia" w:ascii="宋体" w:hAnsi="宋体" w:eastAsia="宋体" w:cs="宋体"/>
        </w:rPr>
      </w:pPr>
      <w:r>
        <w:rPr>
          <w:rFonts w:hint="eastAsia" w:ascii="宋体" w:hAnsi="宋体" w:eastAsia="宋体" w:cs="宋体"/>
        </w:rPr>
        <w:t>发包人代表：</w:t>
      </w:r>
    </w:p>
    <w:p w14:paraId="38E05BBD">
      <w:pPr>
        <w:spacing w:line="360" w:lineRule="auto"/>
        <w:ind w:firstLine="480" w:firstLineChars="200"/>
        <w:rPr>
          <w:rFonts w:hint="eastAsia" w:ascii="宋体" w:hAnsi="宋体" w:eastAsia="宋体" w:cs="宋体"/>
        </w:rPr>
      </w:pPr>
      <w:r>
        <w:rPr>
          <w:rFonts w:hint="eastAsia" w:ascii="宋体" w:hAnsi="宋体" w:eastAsia="宋体" w:cs="宋体"/>
        </w:rPr>
        <w:t>姓    名：</w:t>
      </w:r>
      <w:r>
        <w:rPr>
          <w:rFonts w:hint="eastAsia" w:ascii="宋体" w:hAnsi="宋体" w:eastAsia="宋体" w:cs="宋体"/>
          <w:u w:val="single"/>
        </w:rPr>
        <w:t xml:space="preserve">        </w:t>
      </w:r>
      <w:r>
        <w:rPr>
          <w:rFonts w:hint="eastAsia" w:ascii="宋体" w:hAnsi="宋体" w:eastAsia="宋体" w:cs="宋体"/>
        </w:rPr>
        <w:t>；</w:t>
      </w:r>
    </w:p>
    <w:p w14:paraId="122C2BD8">
      <w:pPr>
        <w:spacing w:line="360" w:lineRule="auto"/>
        <w:ind w:firstLine="480" w:firstLineChars="200"/>
        <w:rPr>
          <w:rFonts w:hint="eastAsia" w:ascii="宋体" w:hAnsi="宋体" w:eastAsia="宋体" w:cs="宋体"/>
        </w:rPr>
      </w:pPr>
      <w:r>
        <w:rPr>
          <w:rFonts w:hint="eastAsia" w:ascii="宋体" w:hAnsi="宋体" w:eastAsia="宋体" w:cs="宋体"/>
        </w:rPr>
        <w:t>发包人对发包人代表的授权范围如下：</w:t>
      </w:r>
      <w:r>
        <w:rPr>
          <w:rFonts w:hint="eastAsia" w:ascii="宋体" w:hAnsi="宋体" w:eastAsia="宋体" w:cs="宋体"/>
          <w:u w:val="single"/>
        </w:rPr>
        <w:t>负责施工全过程的安全、进度、质量及现场费用控制管理、协调现场各种关系等。</w:t>
      </w:r>
    </w:p>
    <w:p w14:paraId="439AAA33">
      <w:pPr>
        <w:spacing w:line="360" w:lineRule="auto"/>
        <w:ind w:firstLine="480" w:firstLineChars="200"/>
        <w:rPr>
          <w:rFonts w:hint="eastAsia" w:ascii="宋体" w:hAnsi="宋体" w:eastAsia="宋体" w:cs="宋体"/>
        </w:rPr>
      </w:pPr>
      <w:r>
        <w:rPr>
          <w:rFonts w:hint="eastAsia" w:ascii="宋体" w:hAnsi="宋体" w:eastAsia="宋体" w:cs="宋体"/>
        </w:rPr>
        <w:t>2.4施工现场、施工条件和基础资料的提供</w:t>
      </w:r>
    </w:p>
    <w:p w14:paraId="1F80513A">
      <w:pPr>
        <w:spacing w:line="360" w:lineRule="auto"/>
        <w:ind w:firstLine="480" w:firstLineChars="200"/>
        <w:rPr>
          <w:rFonts w:hint="eastAsia" w:ascii="宋体" w:hAnsi="宋体" w:eastAsia="宋体" w:cs="宋体"/>
        </w:rPr>
      </w:pPr>
      <w:r>
        <w:rPr>
          <w:rFonts w:hint="eastAsia" w:ascii="宋体" w:hAnsi="宋体" w:eastAsia="宋体" w:cs="宋体"/>
        </w:rPr>
        <w:t>2.4.1提供施工现场</w:t>
      </w:r>
    </w:p>
    <w:p w14:paraId="18B8EABA">
      <w:pPr>
        <w:spacing w:line="360" w:lineRule="auto"/>
        <w:ind w:firstLine="480" w:firstLineChars="200"/>
        <w:rPr>
          <w:rFonts w:hint="eastAsia" w:ascii="宋体" w:hAnsi="宋体" w:eastAsia="宋体" w:cs="宋体"/>
        </w:rPr>
      </w:pPr>
      <w:r>
        <w:rPr>
          <w:rFonts w:hint="eastAsia" w:ascii="宋体" w:hAnsi="宋体" w:eastAsia="宋体" w:cs="宋体"/>
        </w:rPr>
        <w:t>关于发包人移交施工现场的期限要求：</w:t>
      </w:r>
      <w:r>
        <w:rPr>
          <w:rFonts w:hint="eastAsia" w:ascii="宋体" w:hAnsi="宋体" w:eastAsia="宋体" w:cs="宋体"/>
          <w:u w:val="single"/>
        </w:rPr>
        <w:t>按通用条款执行。</w:t>
      </w:r>
    </w:p>
    <w:p w14:paraId="09118E15">
      <w:pPr>
        <w:spacing w:line="360" w:lineRule="auto"/>
        <w:ind w:firstLine="480" w:firstLineChars="200"/>
        <w:rPr>
          <w:rFonts w:hint="eastAsia" w:ascii="宋体" w:hAnsi="宋体" w:eastAsia="宋体" w:cs="宋体"/>
        </w:rPr>
      </w:pPr>
      <w:r>
        <w:rPr>
          <w:rFonts w:hint="eastAsia" w:ascii="宋体" w:hAnsi="宋体" w:eastAsia="宋体" w:cs="宋体"/>
        </w:rPr>
        <w:t>2.4.2提供施工条件</w:t>
      </w:r>
    </w:p>
    <w:p w14:paraId="01846B10">
      <w:pPr>
        <w:spacing w:line="360" w:lineRule="auto"/>
        <w:ind w:firstLine="480" w:firstLineChars="200"/>
        <w:rPr>
          <w:rFonts w:hint="eastAsia" w:ascii="宋体" w:hAnsi="宋体" w:eastAsia="宋体" w:cs="宋体"/>
          <w:u w:val="single"/>
        </w:rPr>
      </w:pPr>
      <w:r>
        <w:rPr>
          <w:rFonts w:hint="eastAsia" w:ascii="宋体" w:hAnsi="宋体" w:eastAsia="宋体" w:cs="宋体"/>
        </w:rPr>
        <w:t>关于发包人应负责提供施工所需要的条件，包括：</w:t>
      </w:r>
      <w:r>
        <w:rPr>
          <w:rFonts w:hint="eastAsia" w:ascii="宋体" w:hAnsi="宋体" w:eastAsia="宋体" w:cs="宋体"/>
          <w:u w:val="single"/>
        </w:rPr>
        <w:t>通讯线路和设备由承包人自行解决并承担其费用。</w:t>
      </w:r>
    </w:p>
    <w:p w14:paraId="500BF777">
      <w:pPr>
        <w:spacing w:line="360" w:lineRule="auto"/>
        <w:ind w:firstLine="480" w:firstLineChars="200"/>
        <w:rPr>
          <w:rFonts w:hint="eastAsia" w:ascii="宋体" w:hAnsi="宋体" w:eastAsia="宋体" w:cs="宋体"/>
        </w:rPr>
      </w:pPr>
      <w:r>
        <w:rPr>
          <w:rFonts w:hint="eastAsia" w:ascii="宋体" w:hAnsi="宋体" w:eastAsia="宋体" w:cs="宋体"/>
        </w:rPr>
        <w:t>2.5资金来源证明及支付担保：</w:t>
      </w:r>
      <w:r>
        <w:rPr>
          <w:rFonts w:hint="eastAsia" w:ascii="宋体" w:hAnsi="宋体" w:eastAsia="宋体" w:cs="宋体"/>
          <w:u w:val="single"/>
        </w:rPr>
        <w:t xml:space="preserve">  /  </w:t>
      </w:r>
      <w:r>
        <w:rPr>
          <w:rFonts w:hint="eastAsia" w:ascii="宋体" w:hAnsi="宋体" w:eastAsia="宋体" w:cs="宋体"/>
        </w:rPr>
        <w:t>。</w:t>
      </w:r>
    </w:p>
    <w:p w14:paraId="762161FA">
      <w:pPr>
        <w:spacing w:line="360" w:lineRule="auto"/>
        <w:ind w:firstLine="482" w:firstLineChars="200"/>
        <w:rPr>
          <w:rFonts w:hint="eastAsia" w:ascii="宋体" w:hAnsi="宋体" w:eastAsia="宋体" w:cs="宋体"/>
          <w:b/>
          <w:bCs/>
        </w:rPr>
      </w:pPr>
      <w:bookmarkStart w:id="688" w:name="_Toc351203635"/>
      <w:r>
        <w:rPr>
          <w:rFonts w:hint="eastAsia" w:ascii="宋体" w:hAnsi="宋体" w:eastAsia="宋体" w:cs="宋体"/>
          <w:b/>
          <w:bCs/>
        </w:rPr>
        <w:t>3</w:t>
      </w:r>
      <w:bookmarkStart w:id="689" w:name="_Toc297048344"/>
      <w:bookmarkStart w:id="690" w:name="_Toc296347157"/>
      <w:bookmarkStart w:id="691" w:name="_Toc297120458"/>
      <w:bookmarkStart w:id="692" w:name="_Toc292559363"/>
      <w:bookmarkStart w:id="693" w:name="_Toc296944497"/>
      <w:bookmarkStart w:id="694" w:name="_Toc296890986"/>
      <w:bookmarkStart w:id="695" w:name="_Toc292559868"/>
      <w:bookmarkStart w:id="696" w:name="_Toc296503158"/>
      <w:bookmarkStart w:id="697" w:name="_Toc296891198"/>
      <w:bookmarkStart w:id="698" w:name="_Toc296346659"/>
      <w:r>
        <w:rPr>
          <w:rFonts w:hint="eastAsia" w:ascii="宋体" w:hAnsi="宋体" w:eastAsia="宋体" w:cs="宋体"/>
          <w:b/>
          <w:bCs/>
        </w:rPr>
        <w:t>.承包人</w:t>
      </w:r>
      <w:bookmarkEnd w:id="688"/>
    </w:p>
    <w:bookmarkEnd w:id="689"/>
    <w:bookmarkEnd w:id="690"/>
    <w:bookmarkEnd w:id="691"/>
    <w:bookmarkEnd w:id="692"/>
    <w:bookmarkEnd w:id="693"/>
    <w:bookmarkEnd w:id="694"/>
    <w:bookmarkEnd w:id="695"/>
    <w:bookmarkEnd w:id="696"/>
    <w:bookmarkEnd w:id="697"/>
    <w:bookmarkEnd w:id="698"/>
    <w:p w14:paraId="79B89FA4">
      <w:pPr>
        <w:spacing w:line="360" w:lineRule="auto"/>
        <w:ind w:firstLine="482" w:firstLineChars="200"/>
        <w:rPr>
          <w:rFonts w:hint="eastAsia" w:ascii="宋体" w:hAnsi="宋体" w:eastAsia="宋体" w:cs="宋体"/>
          <w:b/>
          <w:bCs/>
        </w:rPr>
      </w:pPr>
      <w:r>
        <w:rPr>
          <w:rFonts w:hint="eastAsia" w:ascii="宋体" w:hAnsi="宋体" w:eastAsia="宋体" w:cs="宋体"/>
          <w:b/>
          <w:bCs/>
        </w:rPr>
        <w:t>3.1承包人的一般义务</w:t>
      </w:r>
    </w:p>
    <w:p w14:paraId="3AD13F1B">
      <w:pPr>
        <w:spacing w:line="360" w:lineRule="auto"/>
        <w:ind w:firstLine="480" w:firstLineChars="200"/>
        <w:rPr>
          <w:rFonts w:hint="eastAsia" w:ascii="宋体" w:hAnsi="宋体" w:eastAsia="宋体" w:cs="宋体"/>
          <w:u w:val="single"/>
        </w:rPr>
      </w:pPr>
      <w:r>
        <w:rPr>
          <w:rFonts w:hint="eastAsia" w:ascii="宋体" w:hAnsi="宋体" w:eastAsia="宋体" w:cs="宋体"/>
        </w:rPr>
        <w:t>3.1.1承包人提交的竣工资料的内容：</w:t>
      </w:r>
      <w:r>
        <w:rPr>
          <w:rFonts w:hint="eastAsia" w:ascii="宋体" w:hAnsi="宋体" w:eastAsia="宋体" w:cs="宋体"/>
          <w:u w:val="single"/>
        </w:rPr>
        <w:t>竣工验收后一个月内，提交竣工图及完整资料文件。</w:t>
      </w:r>
    </w:p>
    <w:p w14:paraId="086EB146">
      <w:pPr>
        <w:spacing w:line="360" w:lineRule="auto"/>
        <w:ind w:firstLine="480" w:firstLineChars="200"/>
        <w:rPr>
          <w:rFonts w:hint="eastAsia" w:ascii="宋体" w:hAnsi="宋体" w:eastAsia="宋体" w:cs="宋体"/>
        </w:rPr>
      </w:pPr>
      <w:r>
        <w:rPr>
          <w:rFonts w:hint="eastAsia" w:ascii="宋体" w:hAnsi="宋体" w:eastAsia="宋体" w:cs="宋体"/>
        </w:rPr>
        <w:t>承包人需要提交的竣工资料套数：</w:t>
      </w:r>
      <w:r>
        <w:rPr>
          <w:rFonts w:hint="eastAsia" w:ascii="宋体" w:hAnsi="宋体" w:eastAsia="宋体" w:cs="宋体"/>
          <w:u w:val="single"/>
        </w:rPr>
        <w:t>不少于4套。</w:t>
      </w:r>
    </w:p>
    <w:p w14:paraId="19938254">
      <w:pPr>
        <w:spacing w:line="360" w:lineRule="auto"/>
        <w:ind w:firstLine="480" w:firstLineChars="200"/>
        <w:rPr>
          <w:rFonts w:hint="eastAsia" w:ascii="宋体" w:hAnsi="宋体" w:eastAsia="宋体" w:cs="宋体"/>
        </w:rPr>
      </w:pPr>
      <w:r>
        <w:rPr>
          <w:rFonts w:hint="eastAsia" w:ascii="宋体" w:hAnsi="宋体" w:eastAsia="宋体" w:cs="宋体"/>
        </w:rPr>
        <w:t>承包人提交的竣工资料的费用承担：</w:t>
      </w:r>
      <w:r>
        <w:rPr>
          <w:rFonts w:hint="eastAsia" w:ascii="宋体" w:hAnsi="宋体" w:eastAsia="宋体" w:cs="宋体"/>
          <w:u w:val="single"/>
        </w:rPr>
        <w:t>承包人承担。</w:t>
      </w:r>
    </w:p>
    <w:p w14:paraId="4AFB9753">
      <w:pPr>
        <w:spacing w:line="360" w:lineRule="auto"/>
        <w:ind w:firstLine="480" w:firstLineChars="200"/>
        <w:rPr>
          <w:rFonts w:hint="eastAsia" w:ascii="宋体" w:hAnsi="宋体" w:eastAsia="宋体" w:cs="宋体"/>
        </w:rPr>
      </w:pPr>
      <w:r>
        <w:rPr>
          <w:rFonts w:hint="eastAsia" w:ascii="宋体" w:hAnsi="宋体" w:eastAsia="宋体" w:cs="宋体"/>
        </w:rPr>
        <w:t>承包人提交的竣工资料移交时间：</w:t>
      </w:r>
      <w:r>
        <w:rPr>
          <w:rFonts w:hint="eastAsia" w:ascii="宋体" w:hAnsi="宋体" w:eastAsia="宋体" w:cs="宋体"/>
          <w:u w:val="single"/>
        </w:rPr>
        <w:t>竣工验收后一个月内。</w:t>
      </w:r>
    </w:p>
    <w:p w14:paraId="30E91795">
      <w:pPr>
        <w:spacing w:line="360" w:lineRule="auto"/>
        <w:ind w:firstLine="480" w:firstLineChars="200"/>
        <w:rPr>
          <w:rFonts w:hint="eastAsia" w:ascii="宋体" w:hAnsi="宋体" w:eastAsia="宋体" w:cs="宋体"/>
        </w:rPr>
      </w:pPr>
      <w:r>
        <w:rPr>
          <w:rFonts w:hint="eastAsia" w:ascii="宋体" w:hAnsi="宋体" w:eastAsia="宋体" w:cs="宋体"/>
        </w:rPr>
        <w:t>承包人提交的竣工资料形式要求：</w:t>
      </w:r>
      <w:r>
        <w:rPr>
          <w:rFonts w:hint="eastAsia" w:ascii="宋体" w:hAnsi="宋体" w:eastAsia="宋体" w:cs="宋体"/>
          <w:u w:val="single"/>
        </w:rPr>
        <w:t>纸质文件及电子文档。</w:t>
      </w:r>
    </w:p>
    <w:p w14:paraId="793A6D17">
      <w:pPr>
        <w:spacing w:line="360" w:lineRule="auto"/>
        <w:ind w:firstLine="480" w:firstLineChars="200"/>
        <w:rPr>
          <w:rFonts w:hint="eastAsia" w:ascii="宋体" w:hAnsi="宋体" w:eastAsia="宋体" w:cs="宋体"/>
        </w:rPr>
      </w:pPr>
      <w:r>
        <w:rPr>
          <w:rFonts w:hint="eastAsia" w:ascii="宋体" w:hAnsi="宋体" w:eastAsia="宋体" w:cs="宋体"/>
        </w:rPr>
        <w:t>3.1.2承包人应履行的其他义务：</w:t>
      </w:r>
    </w:p>
    <w:p w14:paraId="517813E0">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3.1.2.1承包人自行接入施工及现场办公用水、用电并承担相关费用。水电费计量由承包人自行安装水表、电表并自行按照发包人水电部门现行水电单价每月缴纳，发生水电费用由承包人自行承担。上述费用已包含在本合同价款中。施工场地水电，由发包人指定水源、电源接口位置，由承包人自行接入，并装表计量，电费每度1.1615元；水费每吨7.7504元，由承包人向供应部门缴纳。</w:t>
      </w:r>
    </w:p>
    <w:p w14:paraId="069F506B">
      <w:pPr>
        <w:spacing w:line="360" w:lineRule="auto"/>
        <w:ind w:firstLine="480" w:firstLineChars="200"/>
        <w:rPr>
          <w:rFonts w:hint="eastAsia" w:ascii="宋体" w:hAnsi="宋体" w:eastAsia="宋体" w:cs="宋体"/>
          <w:u w:val="single"/>
        </w:rPr>
      </w:pPr>
      <w:r>
        <w:rPr>
          <w:rFonts w:hint="eastAsia" w:ascii="宋体" w:hAnsi="宋体" w:eastAsia="宋体" w:cs="宋体"/>
        </w:rPr>
        <w:t>3.1.2.2承担施工安全保卫工作及非夜间施工照明的责任和要求：</w:t>
      </w:r>
      <w:r>
        <w:rPr>
          <w:rFonts w:hint="eastAsia" w:ascii="宋体" w:hAnsi="宋体" w:eastAsia="宋体" w:cs="宋体"/>
          <w:u w:val="single"/>
        </w:rPr>
        <w:t>承包人应提供场区的安全保卫及交通、巡查等必要的照明、危险物的警示、围栏设施等，并负责施工现场的防火、防盗及施工安全保卫工作，相关费用已包含在本合同价款中。提供和维修夜间施工使用的照明、围栏设施，负责施工区域内的安全保卫，制定相应的施工安全措施，承担由于自身安全防护措施不力造成的经济损失和责任，费用在措施费已计取。</w:t>
      </w:r>
    </w:p>
    <w:p w14:paraId="28DCDCC2">
      <w:pPr>
        <w:spacing w:line="360" w:lineRule="auto"/>
        <w:ind w:firstLine="480" w:firstLineChars="200"/>
        <w:rPr>
          <w:rFonts w:hint="eastAsia" w:ascii="宋体" w:hAnsi="宋体" w:eastAsia="宋体" w:cs="宋体"/>
          <w:u w:val="single"/>
        </w:rPr>
      </w:pPr>
      <w:r>
        <w:rPr>
          <w:rFonts w:hint="eastAsia" w:ascii="宋体" w:hAnsi="宋体" w:eastAsia="宋体" w:cs="宋体"/>
        </w:rPr>
        <w:t>3.1.2.3需承包人办理的有关施工场地交通、环卫和施工噪音管理等手续：</w:t>
      </w:r>
      <w:r>
        <w:rPr>
          <w:rFonts w:hint="eastAsia" w:ascii="宋体" w:hAnsi="宋体" w:eastAsia="宋体" w:cs="宋体"/>
          <w:u w:val="single"/>
        </w:rPr>
        <w:t>按照政府部门相关规定办理并承担办理手续及政府部门规定由承包人缴纳的费用，发包人提供协助，相关费用已包含在本合同价款中。如因承包人未及时办理上述手续，导致的罚款、费用和法律责任，由承包人自行承担。</w:t>
      </w:r>
    </w:p>
    <w:p w14:paraId="3C0DC7AF">
      <w:pPr>
        <w:spacing w:line="360" w:lineRule="auto"/>
        <w:ind w:firstLine="480" w:firstLineChars="200"/>
        <w:rPr>
          <w:rFonts w:hint="eastAsia" w:ascii="宋体" w:hAnsi="宋体" w:eastAsia="宋体" w:cs="宋体"/>
          <w:u w:val="single"/>
        </w:rPr>
      </w:pPr>
      <w:r>
        <w:rPr>
          <w:rFonts w:hint="eastAsia" w:ascii="宋体" w:hAnsi="宋体" w:eastAsia="宋体" w:cs="宋体"/>
        </w:rPr>
        <w:t>3.1.2.4已完工程成品保护的特殊要求及费用承担：</w:t>
      </w:r>
      <w:r>
        <w:rPr>
          <w:rFonts w:hint="eastAsia" w:ascii="宋体" w:hAnsi="宋体" w:eastAsia="宋体" w:cs="宋体"/>
          <w:u w:val="single"/>
        </w:rPr>
        <w:t>已完成工程未正式向发包人移交之前，承包人应当按照专用条款约定负责对已完工程的保护工作（包括发包人对工程某些特殊部位和部分设施、设备保护提出的特殊要求），费用由承包人承担。在此期间发生的损坏由承包人自费负责予以修复。</w:t>
      </w:r>
    </w:p>
    <w:p w14:paraId="77B249CE">
      <w:pPr>
        <w:spacing w:line="360" w:lineRule="auto"/>
        <w:ind w:firstLine="480" w:firstLineChars="200"/>
        <w:rPr>
          <w:rFonts w:hint="eastAsia" w:ascii="宋体" w:hAnsi="宋体" w:eastAsia="宋体" w:cs="宋体"/>
        </w:rPr>
      </w:pPr>
      <w:r>
        <w:rPr>
          <w:rFonts w:hint="eastAsia" w:ascii="宋体" w:hAnsi="宋体" w:eastAsia="宋体" w:cs="宋体"/>
        </w:rPr>
        <w:t>3.1.2.5施工场地周围以下管线和邻近建筑物、构筑物（含文物保护建筑）、古树名木的保护要求及费用承担：</w:t>
      </w:r>
      <w:r>
        <w:rPr>
          <w:rFonts w:hint="eastAsia" w:ascii="宋体" w:hAnsi="宋体" w:eastAsia="宋体" w:cs="宋体"/>
          <w:u w:val="single"/>
        </w:rPr>
        <w:t>工程竣工移交前由承包人负责。由于施工方法不当造成损失、损坏发生的费用由承包方承担。</w:t>
      </w:r>
    </w:p>
    <w:p w14:paraId="0DC65DBF">
      <w:pPr>
        <w:spacing w:line="360" w:lineRule="auto"/>
        <w:ind w:firstLine="480" w:firstLineChars="200"/>
        <w:rPr>
          <w:rFonts w:hint="eastAsia" w:ascii="宋体" w:hAnsi="宋体" w:eastAsia="宋体" w:cs="宋体"/>
        </w:rPr>
      </w:pPr>
      <w:r>
        <w:rPr>
          <w:rFonts w:hint="eastAsia" w:ascii="宋体" w:hAnsi="宋体" w:eastAsia="宋体" w:cs="宋体"/>
        </w:rPr>
        <w:t>3.1.2.6施工场地清洁卫生的要求：</w:t>
      </w:r>
      <w:r>
        <w:rPr>
          <w:rFonts w:hint="eastAsia" w:ascii="宋体" w:hAnsi="宋体" w:eastAsia="宋体" w:cs="宋体"/>
          <w:u w:val="single"/>
        </w:rPr>
        <w:t>达到文明工地要求并符合创卫标准，做到工完场清、构件、材料、设施分类堆放，做好标志、道路清洁、给排水畅通。</w:t>
      </w:r>
    </w:p>
    <w:p w14:paraId="0E07303F">
      <w:pPr>
        <w:spacing w:line="360" w:lineRule="auto"/>
        <w:ind w:firstLine="480" w:firstLineChars="200"/>
        <w:rPr>
          <w:rFonts w:hint="eastAsia" w:ascii="宋体" w:hAnsi="宋体" w:eastAsia="宋体" w:cs="宋体"/>
          <w:u w:val="single"/>
        </w:rPr>
      </w:pPr>
      <w:r>
        <w:rPr>
          <w:rFonts w:hint="eastAsia" w:ascii="宋体" w:hAnsi="宋体" w:eastAsia="宋体" w:cs="宋体"/>
        </w:rPr>
        <w:t>3.1.2.7双方约定承包人应做的其他工作：</w:t>
      </w:r>
      <w:r>
        <w:rPr>
          <w:rFonts w:hint="eastAsia" w:ascii="宋体" w:hAnsi="宋体" w:eastAsia="宋体" w:cs="宋体"/>
          <w:u w:val="single"/>
        </w:rPr>
        <w:t>办理施工许可证等有关手续的工作。按时足额支付农民工工资。</w:t>
      </w:r>
    </w:p>
    <w:p w14:paraId="44D29BC8">
      <w:pPr>
        <w:spacing w:line="360" w:lineRule="auto"/>
        <w:ind w:firstLine="480" w:firstLineChars="200"/>
        <w:rPr>
          <w:rFonts w:hint="eastAsia" w:ascii="宋体" w:hAnsi="宋体" w:eastAsia="宋体" w:cs="宋体"/>
        </w:rPr>
      </w:pPr>
      <w:r>
        <w:rPr>
          <w:rFonts w:hint="eastAsia" w:ascii="宋体" w:hAnsi="宋体" w:eastAsia="宋体" w:cs="宋体"/>
        </w:rPr>
        <w:t>3.1.2.8承包人应遵守工程所在地政府有关部门的管理规定，做好工程的安全防护、文明施工措施。在执行《通用条款》相关规定时，如由承包人行为给发包人带来的负面影响和经济损失，全部由承包人承担。</w:t>
      </w:r>
    </w:p>
    <w:p w14:paraId="5EAF18A7">
      <w:pPr>
        <w:wordWrap w:val="0"/>
        <w:spacing w:line="360" w:lineRule="auto"/>
        <w:ind w:firstLine="480" w:firstLineChars="200"/>
        <w:rPr>
          <w:rFonts w:hint="eastAsia" w:ascii="宋体" w:hAnsi="宋体" w:eastAsia="宋体" w:cs="宋体"/>
        </w:rPr>
      </w:pPr>
      <w:r>
        <w:rPr>
          <w:rFonts w:hint="eastAsia" w:ascii="宋体" w:hAnsi="宋体" w:eastAsia="宋体" w:cs="宋体"/>
        </w:rPr>
        <w:t>3.1.2.9承包人应严格按照《建筑与市政工程施工现场临时用电安全技术标准JGJ/T46-2024》和《建设工程施工现场供用电安全规范GB50194-2014》组织施工，所产生的相关费用已包含在本合同价款中。</w:t>
      </w:r>
    </w:p>
    <w:p w14:paraId="7E51A611">
      <w:pPr>
        <w:spacing w:line="360" w:lineRule="auto"/>
        <w:ind w:firstLine="480" w:firstLineChars="200"/>
        <w:rPr>
          <w:rFonts w:hint="eastAsia" w:ascii="宋体" w:hAnsi="宋体" w:eastAsia="宋体" w:cs="宋体"/>
        </w:rPr>
      </w:pPr>
      <w:r>
        <w:rPr>
          <w:rFonts w:hint="eastAsia" w:ascii="宋体" w:hAnsi="宋体" w:eastAsia="宋体" w:cs="宋体"/>
        </w:rPr>
        <w:t>3.1.2.10承包人必须充分考虑施工区域内的各种外界干扰因素，包括负责协调解决与相关使用方的关系，不得以使用方阻挠影响施工为由要求顺延工期或增加工程费用。</w:t>
      </w:r>
    </w:p>
    <w:p w14:paraId="1D5CCD7E">
      <w:pPr>
        <w:spacing w:line="360" w:lineRule="auto"/>
        <w:ind w:firstLine="480" w:firstLineChars="200"/>
        <w:rPr>
          <w:rFonts w:hint="eastAsia" w:ascii="宋体" w:hAnsi="宋体" w:eastAsia="宋体" w:cs="宋体"/>
        </w:rPr>
      </w:pPr>
      <w:r>
        <w:rPr>
          <w:rFonts w:hint="eastAsia" w:ascii="宋体" w:hAnsi="宋体" w:eastAsia="宋体" w:cs="宋体"/>
        </w:rPr>
        <w:t>3.1.2.11工程竣工验收交付使用前，现场建筑垃圾及其临建房需全部拆除、做到工完场清，交付完备工程资料，如有违反，发包人可安排第三方实施，费用从承包人工程款中直接予以扣除，同时因承包人未履行本条约定，由此引发的费用、违约金及法律责任均由承包人承担。</w:t>
      </w:r>
    </w:p>
    <w:p w14:paraId="0C44233C">
      <w:pPr>
        <w:spacing w:line="360" w:lineRule="auto"/>
        <w:ind w:firstLine="480" w:firstLineChars="200"/>
        <w:rPr>
          <w:rFonts w:hint="eastAsia" w:ascii="宋体" w:hAnsi="宋体" w:eastAsia="宋体" w:cs="宋体"/>
        </w:rPr>
      </w:pPr>
      <w:r>
        <w:rPr>
          <w:rFonts w:hint="eastAsia" w:ascii="宋体" w:hAnsi="宋体" w:eastAsia="宋体" w:cs="宋体"/>
        </w:rPr>
        <w:t>3.1.2.12双方约定承包人应做的其他工作：</w:t>
      </w:r>
    </w:p>
    <w:p w14:paraId="2D085AB6">
      <w:pPr>
        <w:spacing w:line="360" w:lineRule="auto"/>
        <w:ind w:firstLine="480" w:firstLineChars="200"/>
        <w:rPr>
          <w:rFonts w:hint="eastAsia" w:ascii="宋体" w:hAnsi="宋体" w:eastAsia="宋体" w:cs="宋体"/>
        </w:rPr>
      </w:pPr>
      <w:r>
        <w:rPr>
          <w:rFonts w:hint="eastAsia" w:ascii="宋体" w:hAnsi="宋体" w:eastAsia="宋体" w:cs="宋体"/>
        </w:rPr>
        <w:t>（1）承包人在投标文件中填写的资料，属于合同文本的组成部分，承包人应全面履行其所作的承诺，否则属于承包人违约，承包人应向发包人承担违约责任。</w:t>
      </w:r>
    </w:p>
    <w:p w14:paraId="348CCE83">
      <w:pPr>
        <w:spacing w:line="360" w:lineRule="auto"/>
        <w:ind w:firstLine="480" w:firstLineChars="200"/>
        <w:rPr>
          <w:rFonts w:hint="eastAsia" w:ascii="宋体" w:hAnsi="宋体" w:eastAsia="宋体" w:cs="宋体"/>
        </w:rPr>
      </w:pPr>
      <w:r>
        <w:rPr>
          <w:rFonts w:hint="eastAsia" w:ascii="宋体" w:hAnsi="宋体" w:eastAsia="宋体" w:cs="宋体"/>
        </w:rPr>
        <w:t>（2）承包人应制定相关的门卫制度，人员、车辆、材料等出入应经承包人批准，并做好相关防控措施，否则由此产生的法律和经济责任均由承包人承担。</w:t>
      </w:r>
    </w:p>
    <w:p w14:paraId="18DB3BA1">
      <w:pPr>
        <w:spacing w:line="360" w:lineRule="auto"/>
        <w:ind w:firstLine="480" w:firstLineChars="200"/>
        <w:rPr>
          <w:rFonts w:hint="eastAsia" w:ascii="宋体" w:hAnsi="宋体" w:eastAsia="宋体" w:cs="宋体"/>
        </w:rPr>
      </w:pPr>
      <w:r>
        <w:rPr>
          <w:rFonts w:hint="eastAsia" w:ascii="宋体" w:hAnsi="宋体" w:eastAsia="宋体" w:cs="宋体"/>
        </w:rPr>
        <w:t>（3）遵守发包人制定的各类项目管理制度、办法及发包人单位相关管理制度。</w:t>
      </w:r>
    </w:p>
    <w:p w14:paraId="2D8B4045">
      <w:pPr>
        <w:spacing w:line="360" w:lineRule="auto"/>
        <w:ind w:firstLine="480" w:firstLineChars="200"/>
        <w:rPr>
          <w:rFonts w:hint="eastAsia" w:ascii="宋体" w:hAnsi="宋体" w:eastAsia="宋体" w:cs="宋体"/>
        </w:rPr>
      </w:pPr>
      <w:r>
        <w:rPr>
          <w:rFonts w:hint="eastAsia" w:ascii="宋体" w:hAnsi="宋体" w:eastAsia="宋体" w:cs="宋体"/>
        </w:rPr>
        <w:t>（4）发包人需要时，由于创卫、区内检查及大型庆典活动和政府性规定等对施工做出某些限制和配合要求，承包人应按照要求做出配合，并承担因此而引起工效降低需增加的费用以及工期延误风险。</w:t>
      </w:r>
    </w:p>
    <w:p w14:paraId="522D540F">
      <w:pPr>
        <w:spacing w:line="360" w:lineRule="auto"/>
        <w:ind w:firstLine="480" w:firstLineChars="200"/>
        <w:rPr>
          <w:rFonts w:hint="eastAsia" w:ascii="宋体" w:hAnsi="宋体" w:eastAsia="宋体" w:cs="宋体"/>
        </w:rPr>
      </w:pPr>
      <w:r>
        <w:rPr>
          <w:rFonts w:hint="eastAsia" w:ascii="宋体" w:hAnsi="宋体" w:eastAsia="宋体" w:cs="宋体"/>
        </w:rPr>
        <w:t>（5）图纸交底前及施工过程中，承包人须配齐专业人员仔细阅读图纸，对各专业图纸进行核对，对图纸中存在问题应及时向发包人书面提出，经发包人书面答复后方可施工，否则因此返工而造成的一切损失（包括直接损失、间接损失、律师费、诉讼费、保全费、保函费以及其他实现债权的费用等）均由承包人承担，该费用已包含在合同价款中。</w:t>
      </w:r>
    </w:p>
    <w:p w14:paraId="2FFE97BF">
      <w:pPr>
        <w:spacing w:line="360" w:lineRule="auto"/>
        <w:ind w:firstLine="480" w:firstLineChars="200"/>
        <w:rPr>
          <w:rFonts w:hint="eastAsia" w:ascii="宋体" w:hAnsi="宋体" w:eastAsia="宋体" w:cs="宋体"/>
        </w:rPr>
      </w:pPr>
      <w:r>
        <w:rPr>
          <w:rFonts w:hint="eastAsia" w:ascii="宋体" w:hAnsi="宋体" w:eastAsia="宋体" w:cs="宋体"/>
        </w:rPr>
        <w:t>（6）承包人应对整个现场操作和施工方法的完备性、稳定性和安全性负全责。承包人自行承担施工过程中发生的一切人身、财产纠纷、损失和法律责任。</w:t>
      </w:r>
    </w:p>
    <w:p w14:paraId="55103B20">
      <w:pPr>
        <w:spacing w:line="360" w:lineRule="auto"/>
        <w:ind w:firstLine="480" w:firstLineChars="200"/>
        <w:rPr>
          <w:rFonts w:hint="eastAsia" w:ascii="宋体" w:hAnsi="宋体" w:eastAsia="宋体" w:cs="宋体"/>
        </w:rPr>
      </w:pPr>
      <w:r>
        <w:rPr>
          <w:rFonts w:hint="eastAsia" w:ascii="宋体" w:hAnsi="宋体" w:eastAsia="宋体" w:cs="宋体"/>
        </w:rPr>
        <w:t>（7）承包人、发包人及监管现场产生的建筑垃圾和生活垃圾由承包人负责清运并承担费用，该费用已包含在合同价款中。</w:t>
      </w:r>
    </w:p>
    <w:p w14:paraId="6AB91210">
      <w:pPr>
        <w:spacing w:line="360" w:lineRule="auto"/>
        <w:ind w:firstLine="480" w:firstLineChars="200"/>
        <w:rPr>
          <w:rFonts w:hint="eastAsia" w:ascii="宋体" w:hAnsi="宋体" w:eastAsia="宋体" w:cs="宋体"/>
        </w:rPr>
      </w:pPr>
      <w:r>
        <w:rPr>
          <w:rFonts w:hint="eastAsia" w:ascii="宋体" w:hAnsi="宋体" w:eastAsia="宋体" w:cs="宋体"/>
        </w:rPr>
        <w:t>（8）承包人应在本合同生效后3天内及时调遣人员和调配施工设备、材料进入工地，按施工总进度要求完成施工准备工作。因承包人不及时进场进行施工准备或不办理相关施工手续，发包人将按每延误一天向承包人收取5000元的违约金。</w:t>
      </w:r>
    </w:p>
    <w:p w14:paraId="58F6EF0A">
      <w:pPr>
        <w:spacing w:line="360" w:lineRule="auto"/>
        <w:ind w:firstLine="480" w:firstLineChars="200"/>
        <w:rPr>
          <w:rFonts w:hint="eastAsia" w:ascii="宋体" w:hAnsi="宋体" w:eastAsia="宋体" w:cs="宋体"/>
        </w:rPr>
      </w:pPr>
      <w:r>
        <w:rPr>
          <w:rFonts w:hint="eastAsia" w:ascii="宋体" w:hAnsi="宋体" w:eastAsia="宋体" w:cs="宋体"/>
        </w:rPr>
        <w:t>（9）合同期内，承包人必须保证其项目负责人参加由发包人召集的每周定时举行的工地例会。项目负责人离开工地超过一日的，必须事先以书面形式通知发包人。无故不参加工地例会承包人按2000元/日（次）向发包人支付违约金，否则发包人有权做出扣减承包人管理费的决定，并有权要求撤换项目负责人。</w:t>
      </w:r>
    </w:p>
    <w:p w14:paraId="143D3CCF">
      <w:pPr>
        <w:spacing w:line="360" w:lineRule="auto"/>
        <w:ind w:firstLine="480" w:firstLineChars="200"/>
        <w:rPr>
          <w:rFonts w:hint="eastAsia" w:ascii="宋体" w:hAnsi="宋体" w:eastAsia="宋体" w:cs="宋体"/>
        </w:rPr>
      </w:pPr>
      <w:r>
        <w:rPr>
          <w:rFonts w:hint="eastAsia" w:ascii="宋体" w:hAnsi="宋体" w:eastAsia="宋体" w:cs="宋体"/>
        </w:rPr>
        <w:t>（10）竣工验收时，承包人应从施工现场清除并运出承包人装备、剩余材料、各种临时设施和垃圾等，并保持整个现场及工程整洁。</w:t>
      </w:r>
    </w:p>
    <w:p w14:paraId="0C529370">
      <w:pPr>
        <w:spacing w:line="360" w:lineRule="auto"/>
        <w:ind w:firstLine="480" w:firstLineChars="200"/>
        <w:rPr>
          <w:rFonts w:hint="eastAsia" w:ascii="宋体" w:hAnsi="宋体" w:eastAsia="宋体" w:cs="宋体"/>
        </w:rPr>
      </w:pPr>
      <w:r>
        <w:rPr>
          <w:rFonts w:hint="eastAsia" w:ascii="宋体" w:hAnsi="宋体" w:eastAsia="宋体" w:cs="宋体"/>
        </w:rPr>
        <w:t>（11）承包人应采取一切合理措施保护现场内外的环境，避免由于施工操作引起的粉尘、有害气体、噪声等对环境的污染或其他原因造成的人身伤害或财产损失。因承包人原因造成现场内外的粉尘、有害气体、噪声等环境污染或其他原因造成的人身伤害或财产损失，应由承包人负责解决并承担全部经济、法律责任，并对承包人处以10000元/次的违约金；由此给发包人造成损失的，应由承包人全部承担。</w:t>
      </w:r>
    </w:p>
    <w:p w14:paraId="56EEF90B">
      <w:pPr>
        <w:spacing w:line="360" w:lineRule="auto"/>
        <w:ind w:firstLine="480" w:firstLineChars="200"/>
        <w:rPr>
          <w:rFonts w:hint="eastAsia" w:ascii="宋体" w:hAnsi="宋体" w:eastAsia="宋体" w:cs="宋体"/>
        </w:rPr>
      </w:pPr>
      <w:r>
        <w:rPr>
          <w:rFonts w:hint="eastAsia" w:ascii="宋体" w:hAnsi="宋体" w:eastAsia="宋体" w:cs="宋体"/>
        </w:rPr>
        <w:t>（12）承包人有义务按照相关政策法规及地方要求进行环境、安全、文明施工，未按照要求导致的相关部门罚款或其他形式处罚，由承包人自行承担该部分费用及处罚，且发包</w:t>
      </w:r>
      <w:bookmarkStart w:id="699" w:name="_bookmark505"/>
      <w:bookmarkEnd w:id="699"/>
      <w:bookmarkStart w:id="700" w:name="_bookmark503"/>
      <w:bookmarkEnd w:id="700"/>
      <w:r>
        <w:rPr>
          <w:rFonts w:hint="eastAsia" w:ascii="宋体" w:hAnsi="宋体" w:eastAsia="宋体" w:cs="宋体"/>
        </w:rPr>
        <w:t>人有权利对该行为进行处罚，造成严重社会影响的，发包人有权利单方面终止合同且对造成的影响提出索赔。</w:t>
      </w:r>
    </w:p>
    <w:p w14:paraId="28D4EE2B">
      <w:pPr>
        <w:spacing w:line="360" w:lineRule="auto"/>
        <w:ind w:firstLine="480" w:firstLineChars="200"/>
        <w:rPr>
          <w:rFonts w:hint="eastAsia" w:ascii="宋体" w:hAnsi="宋体" w:eastAsia="宋体" w:cs="宋体"/>
        </w:rPr>
      </w:pPr>
      <w:r>
        <w:rPr>
          <w:rFonts w:hint="eastAsia" w:ascii="宋体" w:hAnsi="宋体" w:eastAsia="宋体" w:cs="宋体"/>
        </w:rPr>
        <w:t>（13）承包人有义务配合发包人全面接受上级单位的审计工作，并遵守政府、发包人上级单位及发包人相关管理制度和规定。</w:t>
      </w:r>
    </w:p>
    <w:p w14:paraId="0BC1B2ED">
      <w:pPr>
        <w:spacing w:line="360" w:lineRule="auto"/>
        <w:ind w:firstLine="480" w:firstLineChars="200"/>
        <w:rPr>
          <w:rFonts w:hint="eastAsia" w:ascii="宋体" w:hAnsi="宋体" w:eastAsia="宋体" w:cs="宋体"/>
        </w:rPr>
      </w:pPr>
      <w:r>
        <w:rPr>
          <w:rFonts w:hint="eastAsia" w:ascii="宋体" w:hAnsi="宋体" w:eastAsia="宋体" w:cs="宋体"/>
        </w:rPr>
        <w:t>（14）承包人负责办理有关施工场地交通、施工噪音、污水排放、环境卫生、垃圾处理、环境保护、扬尘治理、市政绿地占用、安全生产等管理的手续。及办理施工许可证、二次消防审批等有关手续的工作。</w:t>
      </w:r>
    </w:p>
    <w:p w14:paraId="20F9F6A1">
      <w:pPr>
        <w:spacing w:line="360" w:lineRule="auto"/>
        <w:ind w:firstLine="480" w:firstLineChars="200"/>
        <w:rPr>
          <w:rFonts w:hint="eastAsia" w:ascii="宋体" w:hAnsi="宋体" w:eastAsia="宋体" w:cs="宋体"/>
        </w:rPr>
      </w:pPr>
      <w:r>
        <w:rPr>
          <w:rFonts w:hint="eastAsia" w:ascii="宋体" w:hAnsi="宋体" w:eastAsia="宋体" w:cs="宋体"/>
        </w:rPr>
        <w:t>（15）承担施工安全保卫工作及夜间施工照明的责任和要求：提供和维修夜间施工使用的照</w:t>
      </w:r>
      <w:bookmarkStart w:id="701" w:name="_bookmark473"/>
      <w:bookmarkEnd w:id="701"/>
      <w:bookmarkStart w:id="702" w:name="_bookmark475"/>
      <w:bookmarkEnd w:id="702"/>
      <w:bookmarkStart w:id="703" w:name="_bookmark477"/>
      <w:bookmarkEnd w:id="703"/>
      <w:bookmarkStart w:id="704" w:name="_bookmark523"/>
      <w:bookmarkEnd w:id="704"/>
      <w:r>
        <w:rPr>
          <w:rFonts w:hint="eastAsia" w:ascii="宋体" w:hAnsi="宋体" w:eastAsia="宋体" w:cs="宋体"/>
        </w:rPr>
        <w:t>明、围栏设施，负责施工区域内的安全保卫，制定相应的施工安全措施，承担由于自身安全防护措施不力造成的经济损失和责任，费用在措施费已计取。</w:t>
      </w:r>
    </w:p>
    <w:p w14:paraId="307751BC">
      <w:pPr>
        <w:spacing w:line="360" w:lineRule="auto"/>
        <w:ind w:firstLine="482" w:firstLineChars="200"/>
        <w:rPr>
          <w:rFonts w:hint="eastAsia" w:ascii="宋体" w:hAnsi="宋体" w:eastAsia="宋体" w:cs="宋体"/>
          <w:b/>
          <w:bCs/>
        </w:rPr>
      </w:pPr>
      <w:r>
        <w:rPr>
          <w:rFonts w:hint="eastAsia" w:ascii="宋体" w:hAnsi="宋体" w:eastAsia="宋体" w:cs="宋体"/>
          <w:b/>
          <w:bCs/>
        </w:rPr>
        <w:t>3.2项目经理</w:t>
      </w:r>
    </w:p>
    <w:p w14:paraId="6C876B91">
      <w:pPr>
        <w:spacing w:line="360" w:lineRule="auto"/>
        <w:ind w:firstLine="480" w:firstLineChars="200"/>
        <w:rPr>
          <w:rFonts w:hint="eastAsia" w:ascii="宋体" w:hAnsi="宋体" w:eastAsia="宋体" w:cs="宋体"/>
        </w:rPr>
      </w:pPr>
      <w:r>
        <w:rPr>
          <w:rFonts w:hint="eastAsia" w:ascii="宋体" w:hAnsi="宋体" w:eastAsia="宋体" w:cs="宋体"/>
        </w:rPr>
        <w:t>3.2.1项目经理：</w:t>
      </w:r>
    </w:p>
    <w:p w14:paraId="22368473">
      <w:pPr>
        <w:spacing w:line="360" w:lineRule="auto"/>
        <w:ind w:firstLine="480" w:firstLineChars="200"/>
        <w:rPr>
          <w:rFonts w:hint="eastAsia" w:ascii="宋体" w:hAnsi="宋体" w:eastAsia="宋体" w:cs="宋体"/>
        </w:rPr>
      </w:pPr>
      <w:r>
        <w:rPr>
          <w:rFonts w:hint="eastAsia" w:ascii="宋体" w:hAnsi="宋体" w:eastAsia="宋体" w:cs="宋体"/>
        </w:rPr>
        <w:t>姓    名：</w:t>
      </w:r>
      <w:r>
        <w:rPr>
          <w:rFonts w:hint="eastAsia" w:ascii="宋体" w:hAnsi="宋体" w:eastAsia="宋体" w:cs="宋体"/>
          <w:u w:val="single"/>
        </w:rPr>
        <w:t xml:space="preserve">          </w:t>
      </w:r>
      <w:r>
        <w:rPr>
          <w:rFonts w:hint="eastAsia" w:ascii="宋体" w:hAnsi="宋体" w:eastAsia="宋体" w:cs="宋体"/>
        </w:rPr>
        <w:t>；</w:t>
      </w:r>
    </w:p>
    <w:p w14:paraId="20840379">
      <w:pPr>
        <w:spacing w:line="360" w:lineRule="auto"/>
        <w:ind w:firstLine="480" w:firstLineChars="200"/>
        <w:rPr>
          <w:rFonts w:hint="eastAsia" w:ascii="宋体" w:hAnsi="宋体" w:eastAsia="宋体" w:cs="宋体"/>
        </w:rPr>
      </w:pPr>
      <w:r>
        <w:rPr>
          <w:rFonts w:hint="eastAsia" w:ascii="宋体" w:hAnsi="宋体" w:eastAsia="宋体" w:cs="宋体"/>
        </w:rPr>
        <w:t>身份证号：</w:t>
      </w:r>
      <w:r>
        <w:rPr>
          <w:rFonts w:hint="eastAsia" w:ascii="宋体" w:hAnsi="宋体" w:eastAsia="宋体" w:cs="宋体"/>
          <w:u w:val="single"/>
        </w:rPr>
        <w:t xml:space="preserve">                     </w:t>
      </w:r>
      <w:r>
        <w:rPr>
          <w:rFonts w:hint="eastAsia" w:ascii="宋体" w:hAnsi="宋体" w:eastAsia="宋体" w:cs="宋体"/>
        </w:rPr>
        <w:t xml:space="preserve"> ；</w:t>
      </w:r>
    </w:p>
    <w:p w14:paraId="03860EAE">
      <w:pPr>
        <w:spacing w:line="360" w:lineRule="auto"/>
        <w:ind w:firstLine="480" w:firstLineChars="200"/>
        <w:rPr>
          <w:rFonts w:hint="eastAsia" w:ascii="宋体" w:hAnsi="宋体" w:eastAsia="宋体" w:cs="宋体"/>
        </w:rPr>
      </w:pPr>
      <w:r>
        <w:rPr>
          <w:rFonts w:hint="eastAsia" w:ascii="宋体" w:hAnsi="宋体" w:eastAsia="宋体" w:cs="宋体"/>
        </w:rPr>
        <w:t>建造师执业资格等级：</w:t>
      </w:r>
      <w:r>
        <w:rPr>
          <w:rFonts w:hint="eastAsia" w:ascii="宋体" w:hAnsi="宋体" w:eastAsia="宋体" w:cs="宋体"/>
          <w:u w:val="single"/>
        </w:rPr>
        <w:t xml:space="preserve">           </w:t>
      </w:r>
      <w:r>
        <w:rPr>
          <w:rFonts w:hint="eastAsia" w:ascii="宋体" w:hAnsi="宋体" w:eastAsia="宋体" w:cs="宋体"/>
        </w:rPr>
        <w:t>；</w:t>
      </w:r>
    </w:p>
    <w:p w14:paraId="48EDD4E5">
      <w:pPr>
        <w:spacing w:line="360" w:lineRule="auto"/>
        <w:ind w:firstLine="480" w:firstLineChars="200"/>
        <w:rPr>
          <w:rFonts w:hint="eastAsia" w:ascii="宋体" w:hAnsi="宋体" w:eastAsia="宋体" w:cs="宋体"/>
        </w:rPr>
      </w:pPr>
      <w:r>
        <w:rPr>
          <w:rFonts w:hint="eastAsia" w:ascii="宋体" w:hAnsi="宋体" w:eastAsia="宋体" w:cs="宋体"/>
        </w:rPr>
        <w:t>建造师注册证书号：</w:t>
      </w:r>
      <w:r>
        <w:rPr>
          <w:rFonts w:hint="eastAsia" w:ascii="宋体" w:hAnsi="宋体" w:eastAsia="宋体" w:cs="宋体"/>
          <w:u w:val="single"/>
        </w:rPr>
        <w:t xml:space="preserve">                      </w:t>
      </w:r>
      <w:r>
        <w:rPr>
          <w:rFonts w:hint="eastAsia" w:ascii="宋体" w:hAnsi="宋体" w:eastAsia="宋体" w:cs="宋体"/>
        </w:rPr>
        <w:t>；</w:t>
      </w:r>
    </w:p>
    <w:p w14:paraId="670D2B0F">
      <w:pPr>
        <w:spacing w:line="360" w:lineRule="auto"/>
        <w:ind w:firstLine="480" w:firstLineChars="200"/>
        <w:rPr>
          <w:rFonts w:hint="eastAsia" w:ascii="宋体" w:hAnsi="宋体" w:eastAsia="宋体" w:cs="宋体"/>
        </w:rPr>
      </w:pPr>
      <w:r>
        <w:rPr>
          <w:rFonts w:hint="eastAsia" w:ascii="宋体" w:hAnsi="宋体" w:eastAsia="宋体" w:cs="宋体"/>
        </w:rPr>
        <w:t>建造师执业印章号：</w:t>
      </w:r>
      <w:r>
        <w:rPr>
          <w:rFonts w:hint="eastAsia" w:ascii="宋体" w:hAnsi="宋体" w:eastAsia="宋体" w:cs="宋体"/>
          <w:u w:val="single"/>
        </w:rPr>
        <w:t xml:space="preserve">                      </w:t>
      </w:r>
      <w:r>
        <w:rPr>
          <w:rFonts w:hint="eastAsia" w:ascii="宋体" w:hAnsi="宋体" w:eastAsia="宋体" w:cs="宋体"/>
        </w:rPr>
        <w:t>；</w:t>
      </w:r>
    </w:p>
    <w:p w14:paraId="7F39BE6E">
      <w:pPr>
        <w:spacing w:line="360" w:lineRule="auto"/>
        <w:ind w:firstLine="480" w:firstLineChars="200"/>
        <w:rPr>
          <w:rFonts w:hint="eastAsia" w:ascii="宋体" w:hAnsi="宋体" w:eastAsia="宋体" w:cs="宋体"/>
        </w:rPr>
      </w:pPr>
      <w:r>
        <w:rPr>
          <w:rFonts w:hint="eastAsia" w:ascii="宋体" w:hAnsi="宋体" w:eastAsia="宋体" w:cs="宋体"/>
        </w:rPr>
        <w:t>安全生产考核合格证书号：</w:t>
      </w:r>
      <w:r>
        <w:rPr>
          <w:rFonts w:hint="eastAsia" w:ascii="宋体" w:hAnsi="宋体" w:eastAsia="宋体" w:cs="宋体"/>
          <w:u w:val="single"/>
        </w:rPr>
        <w:t xml:space="preserve">                   </w:t>
      </w:r>
      <w:r>
        <w:rPr>
          <w:rFonts w:hint="eastAsia" w:ascii="宋体" w:hAnsi="宋体" w:eastAsia="宋体" w:cs="宋体"/>
        </w:rPr>
        <w:t>；</w:t>
      </w:r>
    </w:p>
    <w:p w14:paraId="654B75F3">
      <w:pPr>
        <w:spacing w:line="360" w:lineRule="auto"/>
        <w:ind w:firstLine="480" w:firstLineChars="200"/>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xml:space="preserve">                 </w:t>
      </w:r>
      <w:r>
        <w:rPr>
          <w:rFonts w:hint="eastAsia" w:ascii="宋体" w:hAnsi="宋体" w:eastAsia="宋体" w:cs="宋体"/>
        </w:rPr>
        <w:t>；</w:t>
      </w:r>
    </w:p>
    <w:p w14:paraId="1AF8CC03">
      <w:pPr>
        <w:spacing w:line="360" w:lineRule="auto"/>
        <w:ind w:firstLine="480" w:firstLineChars="200"/>
        <w:rPr>
          <w:rFonts w:hint="eastAsia" w:ascii="宋体" w:hAnsi="宋体" w:eastAsia="宋体" w:cs="宋体"/>
        </w:rPr>
      </w:pPr>
      <w:r>
        <w:rPr>
          <w:rFonts w:hint="eastAsia" w:ascii="宋体" w:hAnsi="宋体" w:eastAsia="宋体" w:cs="宋体"/>
        </w:rPr>
        <w:t>电子信箱：</w:t>
      </w:r>
      <w:r>
        <w:rPr>
          <w:rFonts w:hint="eastAsia" w:ascii="宋体" w:hAnsi="宋体" w:eastAsia="宋体" w:cs="宋体"/>
          <w:u w:val="single"/>
        </w:rPr>
        <w:t xml:space="preserve">                 </w:t>
      </w:r>
      <w:r>
        <w:rPr>
          <w:rFonts w:hint="eastAsia" w:ascii="宋体" w:hAnsi="宋体" w:eastAsia="宋体" w:cs="宋体"/>
        </w:rPr>
        <w:t>；</w:t>
      </w:r>
    </w:p>
    <w:p w14:paraId="55B755AC">
      <w:pPr>
        <w:spacing w:line="360" w:lineRule="auto"/>
        <w:ind w:firstLine="480" w:firstLineChars="200"/>
        <w:rPr>
          <w:rFonts w:hint="eastAsia" w:ascii="宋体" w:hAnsi="宋体" w:eastAsia="宋体" w:cs="宋体"/>
        </w:rPr>
      </w:pPr>
      <w:r>
        <w:rPr>
          <w:rFonts w:hint="eastAsia" w:ascii="宋体" w:hAnsi="宋体" w:eastAsia="宋体" w:cs="宋体"/>
        </w:rPr>
        <w:t>通信地址：</w:t>
      </w:r>
      <w:r>
        <w:rPr>
          <w:rFonts w:hint="eastAsia" w:ascii="宋体" w:hAnsi="宋体" w:eastAsia="宋体" w:cs="宋体"/>
          <w:u w:val="single"/>
        </w:rPr>
        <w:t xml:space="preserve">                                            </w:t>
      </w:r>
      <w:r>
        <w:rPr>
          <w:rFonts w:hint="eastAsia" w:ascii="宋体" w:hAnsi="宋体" w:eastAsia="宋体" w:cs="宋体"/>
        </w:rPr>
        <w:t>；</w:t>
      </w:r>
    </w:p>
    <w:p w14:paraId="755E855E">
      <w:pPr>
        <w:spacing w:line="360" w:lineRule="auto"/>
        <w:ind w:firstLine="480" w:firstLineChars="200"/>
        <w:rPr>
          <w:rFonts w:hint="eastAsia" w:ascii="宋体" w:hAnsi="宋体" w:eastAsia="宋体" w:cs="宋体"/>
        </w:rPr>
      </w:pPr>
      <w:r>
        <w:rPr>
          <w:rFonts w:hint="eastAsia" w:ascii="宋体" w:hAnsi="宋体" w:eastAsia="宋体" w:cs="宋体"/>
        </w:rPr>
        <w:t>承包人对项目经理的授权范围如下：</w:t>
      </w:r>
      <w:r>
        <w:rPr>
          <w:rFonts w:hint="eastAsia" w:ascii="宋体" w:hAnsi="宋体" w:eastAsia="宋体" w:cs="宋体"/>
          <w:u w:val="single"/>
        </w:rPr>
        <w:t>包括但不限于与本合同执行的有关技术、工程进度、现场质量及安全管理、周围协调工作、质量检验、结算与支付等方面工作。</w:t>
      </w:r>
    </w:p>
    <w:p w14:paraId="462F57D7">
      <w:pPr>
        <w:spacing w:line="360" w:lineRule="auto"/>
        <w:ind w:firstLine="480" w:firstLineChars="200"/>
        <w:rPr>
          <w:rFonts w:hint="eastAsia" w:ascii="宋体" w:hAnsi="宋体" w:eastAsia="宋体" w:cs="宋体"/>
          <w:u w:val="single"/>
        </w:rPr>
      </w:pPr>
      <w:r>
        <w:rPr>
          <w:rFonts w:hint="eastAsia" w:ascii="宋体" w:hAnsi="宋体" w:eastAsia="宋体" w:cs="宋体"/>
        </w:rPr>
        <w:t>关于项目经理每月在施工现场的时间要求：</w:t>
      </w:r>
      <w:r>
        <w:rPr>
          <w:rFonts w:hint="eastAsia" w:ascii="宋体" w:hAnsi="宋体" w:eastAsia="宋体" w:cs="宋体"/>
          <w:u w:val="single"/>
        </w:rPr>
        <w:t>项目经理每月驻场不少于26日，缺勤按2000元/日标准向发包人支付违约金。项目经理需要离开工地时必须向发包人以书面形式请假，获批准后方可离开工地，否则按缺勤处理。每次请假时间不超过1日，施工期间累计离场时间不得超过4日。</w:t>
      </w:r>
    </w:p>
    <w:p w14:paraId="2149B424">
      <w:pPr>
        <w:spacing w:line="360" w:lineRule="auto"/>
        <w:ind w:firstLine="480" w:firstLineChars="200"/>
        <w:rPr>
          <w:rFonts w:hint="eastAsia" w:ascii="宋体" w:hAnsi="宋体" w:eastAsia="宋体" w:cs="宋体"/>
          <w:u w:val="single"/>
        </w:rPr>
      </w:pPr>
      <w:r>
        <w:rPr>
          <w:rFonts w:hint="eastAsia" w:ascii="宋体" w:hAnsi="宋体" w:eastAsia="宋体" w:cs="宋体"/>
        </w:rPr>
        <w:t>承包人未提交劳动合同，以及没有为项目经理缴纳社会保险证明的违约责任：</w:t>
      </w:r>
      <w:r>
        <w:rPr>
          <w:rFonts w:hint="eastAsia" w:ascii="宋体" w:hAnsi="宋体" w:eastAsia="宋体" w:cs="宋体"/>
          <w:u w:val="single"/>
        </w:rPr>
        <w:t>由承包人自行承担。</w:t>
      </w:r>
    </w:p>
    <w:p w14:paraId="2390852C">
      <w:pPr>
        <w:spacing w:line="360" w:lineRule="auto"/>
        <w:ind w:firstLine="480" w:firstLineChars="200"/>
        <w:rPr>
          <w:rFonts w:hint="eastAsia" w:ascii="宋体" w:hAnsi="宋体" w:eastAsia="宋体" w:cs="宋体"/>
        </w:rPr>
      </w:pPr>
      <w:r>
        <w:rPr>
          <w:rFonts w:hint="eastAsia" w:ascii="宋体" w:hAnsi="宋体" w:eastAsia="宋体" w:cs="宋体"/>
        </w:rPr>
        <w:t>项目经理未经批准，擅自离开施工现场的违约责任：</w:t>
      </w:r>
      <w:r>
        <w:rPr>
          <w:rFonts w:hint="eastAsia" w:ascii="宋体" w:hAnsi="宋体" w:eastAsia="宋体" w:cs="宋体"/>
          <w:u w:val="single"/>
        </w:rPr>
        <w:t>发包人有权按照2000元/天进行处罚。</w:t>
      </w:r>
    </w:p>
    <w:p w14:paraId="7A51B662">
      <w:pPr>
        <w:spacing w:line="360" w:lineRule="auto"/>
        <w:ind w:firstLine="480" w:firstLineChars="200"/>
        <w:rPr>
          <w:rFonts w:hint="eastAsia" w:ascii="宋体" w:hAnsi="宋体" w:eastAsia="宋体" w:cs="宋体"/>
        </w:rPr>
      </w:pPr>
      <w:r>
        <w:rPr>
          <w:rFonts w:hint="eastAsia" w:ascii="宋体" w:hAnsi="宋体" w:eastAsia="宋体" w:cs="宋体"/>
        </w:rPr>
        <w:t>3.2.3承包人擅自更换项目经理的违约责任：视为承包人违约，发包人有权取消合同，承包人应向发包人支付合同总价款30%的违约金。</w:t>
      </w:r>
    </w:p>
    <w:p w14:paraId="2BCEBFCB">
      <w:pPr>
        <w:spacing w:line="360" w:lineRule="auto"/>
        <w:ind w:firstLine="480" w:firstLineChars="200"/>
        <w:rPr>
          <w:rFonts w:hint="eastAsia" w:ascii="宋体" w:hAnsi="宋体" w:eastAsia="宋体" w:cs="宋体"/>
          <w:u w:val="single"/>
        </w:rPr>
      </w:pPr>
      <w:r>
        <w:rPr>
          <w:rFonts w:hint="eastAsia" w:ascii="宋体" w:hAnsi="宋体" w:eastAsia="宋体" w:cs="宋体"/>
        </w:rPr>
        <w:t>3.2.4承包人无正当理由拒绝更换项目经理的违约责任：</w:t>
      </w:r>
      <w:r>
        <w:rPr>
          <w:rFonts w:hint="eastAsia" w:ascii="宋体" w:hAnsi="宋体" w:eastAsia="宋体" w:cs="宋体"/>
          <w:u w:val="single"/>
        </w:rPr>
        <w:t>视为承包人违约，发包人有权取消合同，承包人应向发包人支付合同总价款30%的违约金。</w:t>
      </w:r>
    </w:p>
    <w:p w14:paraId="35A0A1B1">
      <w:pPr>
        <w:spacing w:line="360" w:lineRule="auto"/>
        <w:ind w:firstLine="482" w:firstLineChars="200"/>
        <w:rPr>
          <w:rFonts w:hint="eastAsia" w:ascii="宋体" w:hAnsi="宋体" w:eastAsia="宋体" w:cs="宋体"/>
          <w:b/>
          <w:bCs/>
        </w:rPr>
      </w:pPr>
      <w:r>
        <w:rPr>
          <w:rFonts w:hint="eastAsia" w:ascii="宋体" w:hAnsi="宋体" w:eastAsia="宋体" w:cs="宋体"/>
          <w:b/>
          <w:bCs/>
        </w:rPr>
        <w:t>3.3承包人人员</w:t>
      </w:r>
    </w:p>
    <w:p w14:paraId="6E67E00F">
      <w:pPr>
        <w:spacing w:line="360" w:lineRule="auto"/>
        <w:ind w:firstLine="480" w:firstLineChars="200"/>
        <w:rPr>
          <w:rFonts w:hint="eastAsia" w:ascii="宋体" w:hAnsi="宋体" w:eastAsia="宋体" w:cs="宋体"/>
          <w:u w:val="single"/>
        </w:rPr>
      </w:pPr>
      <w:r>
        <w:rPr>
          <w:rFonts w:hint="eastAsia" w:ascii="宋体" w:hAnsi="宋体" w:eastAsia="宋体" w:cs="宋体"/>
        </w:rPr>
        <w:t>3.3.1承包人提交项目管理机构及施工现场管理人员安排报告的期限：</w:t>
      </w:r>
      <w:r>
        <w:rPr>
          <w:rFonts w:hint="eastAsia" w:ascii="宋体" w:hAnsi="宋体" w:eastAsia="宋体" w:cs="宋体"/>
          <w:u w:val="single"/>
        </w:rPr>
        <w:t>合同签订后7日内。</w:t>
      </w:r>
    </w:p>
    <w:p w14:paraId="220B9AB5">
      <w:pPr>
        <w:spacing w:line="360" w:lineRule="auto"/>
        <w:ind w:firstLine="480" w:firstLineChars="200"/>
        <w:rPr>
          <w:rFonts w:hint="eastAsia" w:ascii="宋体" w:hAnsi="宋体" w:eastAsia="宋体" w:cs="宋体"/>
          <w:u w:val="single"/>
        </w:rPr>
      </w:pPr>
      <w:r>
        <w:rPr>
          <w:rFonts w:hint="eastAsia" w:ascii="宋体" w:hAnsi="宋体" w:eastAsia="宋体" w:cs="宋体"/>
        </w:rPr>
        <w:t>3.3.3承包人无正当理由拒绝撤换主要施工管理人员的违约责任：</w:t>
      </w:r>
      <w:r>
        <w:rPr>
          <w:rFonts w:hint="eastAsia" w:ascii="宋体" w:hAnsi="宋体" w:eastAsia="宋体" w:cs="宋体"/>
          <w:u w:val="single"/>
        </w:rPr>
        <w:t>视为承包人违约，发包人有权解除合同，承包人应向发包人支付合同总价款30%的违约金。</w:t>
      </w:r>
    </w:p>
    <w:p w14:paraId="323AE3F4">
      <w:pPr>
        <w:spacing w:line="360" w:lineRule="auto"/>
        <w:ind w:firstLine="480" w:firstLineChars="200"/>
        <w:rPr>
          <w:rFonts w:hint="eastAsia" w:ascii="宋体" w:hAnsi="宋体" w:eastAsia="宋体" w:cs="宋体"/>
          <w:u w:val="single"/>
        </w:rPr>
      </w:pPr>
      <w:r>
        <w:rPr>
          <w:rFonts w:hint="eastAsia" w:ascii="宋体" w:hAnsi="宋体" w:eastAsia="宋体" w:cs="宋体"/>
        </w:rPr>
        <w:t>3.3.4承包人主要施工管理人员离开施工现场的批准要求：</w:t>
      </w:r>
      <w:r>
        <w:rPr>
          <w:rFonts w:hint="eastAsia" w:ascii="宋体" w:hAnsi="宋体" w:eastAsia="宋体" w:cs="宋体"/>
          <w:u w:val="single"/>
        </w:rPr>
        <w:t>必须事先取得发包人的许可。</w:t>
      </w:r>
    </w:p>
    <w:p w14:paraId="1847C516">
      <w:pPr>
        <w:spacing w:line="360" w:lineRule="auto"/>
        <w:ind w:firstLine="480" w:firstLineChars="200"/>
        <w:rPr>
          <w:rFonts w:hint="eastAsia" w:ascii="宋体" w:hAnsi="宋体" w:eastAsia="宋体" w:cs="宋体"/>
          <w:u w:val="single"/>
        </w:rPr>
      </w:pPr>
      <w:r>
        <w:rPr>
          <w:rFonts w:hint="eastAsia" w:ascii="宋体" w:hAnsi="宋体" w:eastAsia="宋体" w:cs="宋体"/>
        </w:rPr>
        <w:t>3.3.5承包人擅自更换主要施工管理人员的违约责任：</w:t>
      </w:r>
      <w:r>
        <w:rPr>
          <w:rFonts w:hint="eastAsia" w:ascii="宋体" w:hAnsi="宋体" w:eastAsia="宋体" w:cs="宋体"/>
          <w:u w:val="single"/>
        </w:rPr>
        <w:t>视为承包人违约，发包人有权根据情况扣除承包人5000元-10000元/人违约金。</w:t>
      </w:r>
    </w:p>
    <w:p w14:paraId="14608E5F">
      <w:pPr>
        <w:spacing w:line="360" w:lineRule="auto"/>
        <w:ind w:firstLine="480" w:firstLineChars="200"/>
        <w:rPr>
          <w:rFonts w:hint="eastAsia" w:ascii="宋体" w:hAnsi="宋体" w:eastAsia="宋体" w:cs="宋体"/>
          <w:u w:val="single"/>
        </w:rPr>
      </w:pPr>
      <w:r>
        <w:rPr>
          <w:rFonts w:hint="eastAsia" w:ascii="宋体" w:hAnsi="宋体" w:eastAsia="宋体" w:cs="宋体"/>
        </w:rPr>
        <w:t>承包人主要施工管理人员擅自离开施工现场的违约责任：</w:t>
      </w:r>
      <w:r>
        <w:rPr>
          <w:rFonts w:hint="eastAsia" w:ascii="宋体" w:hAnsi="宋体" w:eastAsia="宋体" w:cs="宋体"/>
          <w:u w:val="single"/>
        </w:rPr>
        <w:t>发包人有权按照500元/人/天进行处罚。</w:t>
      </w:r>
    </w:p>
    <w:p w14:paraId="5742A0E3">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3.3.6如果发包人（或发包人）认为已委派的项目经理、专业技术人员等主要人员的工作能力和业务水平不称职，经发包人同意而需要撤换时，承包人应在接到通知后，尽快撤回原委派的主要人员，同时委派经发包人与发包人同意的新的相应人选，否则将视为承包人违约，发包人有权解除合同，承包人应向发包人支付合同总价款30%的违约金；因此给发包人造成的损失（包括直接、间接损失、诉讼费、律师费、保全费、保函费以及其他实现债权的费用等）数额高于前述违约金的数额，应按损失数额赔偿。</w:t>
      </w:r>
    </w:p>
    <w:p w14:paraId="3222FE28">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3.3.7承包人原则上在本项目实施期间不得更换项目经理。承包人确实因特殊原因需要更换项目经理的（发包人提出要求更换的情况除外），需符合变更项目经理变更条件，应至少提前10日以书面形式通知发包人，未经发包人书面同意，承包人不得擅自更换；发包人同意的，也应进行全面详细的交接工作，发包人对后任项目经理满意后，才能进行正式更换；同时承包人需进行变更备案，执行西安市《关于进一步加强房屋建筑和市政工程项目经理（总监）变更管理的通知》。否则，发包人有权解除合同，承包人应向发包人支付合同总价款30%的违约金；因此给发包人造成的损失（包括直接、间接损失、诉讼费、律师费、保全费、保函费以及其他实现债权的费用等）数额高于前述违约金的数额，应按损失数额赔偿。</w:t>
      </w:r>
    </w:p>
    <w:p w14:paraId="037D0845">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3.3.8项目经理同时担任两个及以上在建项目负责人的违约责任：</w:t>
      </w:r>
    </w:p>
    <w:p w14:paraId="6EB2FA55">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若在合同执行过程中，发现承包人项目经理同时担任两个及以上在建项目的项目负责人，则承包人违约，应向发包人支付合同总价款10%的违约金。</w:t>
      </w:r>
    </w:p>
    <w:p w14:paraId="633A82B7">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3.3.9承包人应执行国家、地方现行的有关农民工工资的管理规定及发包人关于农民工工资的相关管理办法。如发生因承包人拖欠农民工工资导致农民工到政府部门或发包人处索要工资的情况，则每发生1次，发包人将向承包人收取100,000.00元违约金。</w:t>
      </w:r>
    </w:p>
    <w:p w14:paraId="56B59FCA">
      <w:pPr>
        <w:spacing w:line="360" w:lineRule="auto"/>
        <w:ind w:firstLine="482" w:firstLineChars="200"/>
        <w:rPr>
          <w:rFonts w:hint="eastAsia" w:ascii="宋体" w:hAnsi="宋体" w:eastAsia="宋体" w:cs="宋体"/>
          <w:b/>
          <w:bCs/>
        </w:rPr>
      </w:pPr>
      <w:r>
        <w:rPr>
          <w:rFonts w:hint="eastAsia" w:ascii="宋体" w:hAnsi="宋体" w:eastAsia="宋体" w:cs="宋体"/>
          <w:b/>
          <w:bCs/>
        </w:rPr>
        <w:t>3</w:t>
      </w:r>
      <w:bookmarkStart w:id="705" w:name="_Toc296503159"/>
      <w:bookmarkStart w:id="706" w:name="_Toc297048345"/>
      <w:bookmarkStart w:id="707" w:name="_Toc304295523"/>
      <w:bookmarkStart w:id="708" w:name="_Toc297120459"/>
      <w:bookmarkStart w:id="709" w:name="_Toc312677988"/>
      <w:bookmarkStart w:id="710" w:name="_Toc303539102"/>
      <w:bookmarkStart w:id="711" w:name="_Toc292559869"/>
      <w:bookmarkStart w:id="712" w:name="_Toc297216151"/>
      <w:bookmarkStart w:id="713" w:name="_Toc296891199"/>
      <w:bookmarkStart w:id="714" w:name="_Toc296890987"/>
      <w:bookmarkStart w:id="715" w:name="_Toc292559364"/>
      <w:bookmarkStart w:id="716" w:name="_Toc296347158"/>
      <w:bookmarkStart w:id="717" w:name="_Toc300934945"/>
      <w:bookmarkStart w:id="718" w:name="_Toc296944498"/>
      <w:bookmarkStart w:id="719" w:name="_Toc297123492"/>
      <w:bookmarkStart w:id="720" w:name="_Toc296346660"/>
      <w:r>
        <w:rPr>
          <w:rFonts w:hint="eastAsia" w:ascii="宋体" w:hAnsi="宋体" w:eastAsia="宋体" w:cs="宋体"/>
          <w:b/>
          <w:bCs/>
        </w:rPr>
        <w:t>.5分包</w:t>
      </w:r>
    </w:p>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14:paraId="10BFE526">
      <w:pPr>
        <w:spacing w:line="360" w:lineRule="auto"/>
        <w:ind w:firstLine="480" w:firstLineChars="200"/>
        <w:rPr>
          <w:rFonts w:hint="eastAsia" w:ascii="宋体" w:hAnsi="宋体" w:eastAsia="宋体" w:cs="宋体"/>
        </w:rPr>
      </w:pPr>
      <w:bookmarkStart w:id="721" w:name="_Toc297123494"/>
      <w:bookmarkStart w:id="722" w:name="_Toc296891201"/>
      <w:bookmarkStart w:id="723" w:name="_Toc296890989"/>
      <w:bookmarkStart w:id="724" w:name="_Toc297216153"/>
      <w:bookmarkStart w:id="725" w:name="_Toc297120461"/>
      <w:bookmarkStart w:id="726" w:name="_Toc296347160"/>
      <w:bookmarkStart w:id="727" w:name="_Toc303539104"/>
      <w:bookmarkStart w:id="728" w:name="_Toc296503161"/>
      <w:bookmarkStart w:id="729" w:name="_Toc304295525"/>
      <w:bookmarkStart w:id="730" w:name="_Toc296346662"/>
      <w:bookmarkStart w:id="731" w:name="_Toc296944500"/>
      <w:bookmarkStart w:id="732" w:name="_Toc300934947"/>
      <w:bookmarkStart w:id="733" w:name="_Toc297048347"/>
      <w:r>
        <w:rPr>
          <w:rFonts w:hint="eastAsia" w:ascii="宋体" w:hAnsi="宋体" w:eastAsia="宋体" w:cs="宋体"/>
        </w:rPr>
        <w:t>3</w:t>
      </w:r>
      <w:bookmarkStart w:id="734" w:name="_Toc297123493"/>
      <w:bookmarkStart w:id="735" w:name="_Toc296891200"/>
      <w:bookmarkStart w:id="736" w:name="_Toc296944499"/>
      <w:bookmarkStart w:id="737" w:name="_Toc296347159"/>
      <w:bookmarkStart w:id="738" w:name="_Toc300934946"/>
      <w:bookmarkStart w:id="739" w:name="_Toc303539103"/>
      <w:bookmarkStart w:id="740" w:name="_Toc304295524"/>
      <w:bookmarkStart w:id="741" w:name="_Toc312677989"/>
      <w:bookmarkStart w:id="742" w:name="_Toc292559365"/>
      <w:bookmarkStart w:id="743" w:name="_Toc297120460"/>
      <w:bookmarkStart w:id="744" w:name="_Toc292559870"/>
      <w:bookmarkStart w:id="745" w:name="_Toc296503160"/>
      <w:bookmarkStart w:id="746" w:name="_Toc318581158"/>
      <w:bookmarkStart w:id="747" w:name="_Toc297048346"/>
      <w:bookmarkStart w:id="748" w:name="_Toc296346661"/>
      <w:bookmarkStart w:id="749" w:name="_Toc297216152"/>
      <w:bookmarkStart w:id="750" w:name="_Toc296890988"/>
      <w:r>
        <w:rPr>
          <w:rFonts w:hint="eastAsia" w:ascii="宋体" w:hAnsi="宋体" w:eastAsia="宋体" w:cs="宋体"/>
        </w:rPr>
        <w:t>.5.1分包的一般约定</w:t>
      </w:r>
    </w:p>
    <w:p w14:paraId="2CC69156">
      <w:pPr>
        <w:spacing w:line="360" w:lineRule="auto"/>
        <w:ind w:firstLine="480" w:firstLineChars="200"/>
        <w:rPr>
          <w:rFonts w:hint="eastAsia" w:ascii="宋体" w:hAnsi="宋体" w:eastAsia="宋体" w:cs="宋体"/>
        </w:rPr>
      </w:pPr>
      <w:r>
        <w:rPr>
          <w:rFonts w:hint="eastAsia" w:ascii="宋体" w:hAnsi="宋体" w:eastAsia="宋体" w:cs="宋体"/>
        </w:rPr>
        <w:t>禁止分包的工程包括：</w:t>
      </w:r>
      <w:r>
        <w:rPr>
          <w:rFonts w:hint="eastAsia" w:ascii="宋体" w:hAnsi="宋体" w:eastAsia="宋体" w:cs="宋体"/>
          <w:u w:val="single"/>
        </w:rPr>
        <w:t>执行国家法律法规相关规定。</w:t>
      </w:r>
    </w:p>
    <w:p w14:paraId="58C2625D">
      <w:pPr>
        <w:spacing w:line="360" w:lineRule="auto"/>
        <w:ind w:firstLine="480" w:firstLineChars="200"/>
        <w:rPr>
          <w:rFonts w:hint="eastAsia" w:ascii="宋体" w:hAnsi="宋体" w:eastAsia="宋体" w:cs="宋体"/>
        </w:rPr>
      </w:pPr>
      <w:r>
        <w:rPr>
          <w:rFonts w:hint="eastAsia" w:ascii="宋体" w:hAnsi="宋体" w:eastAsia="宋体" w:cs="宋体"/>
        </w:rPr>
        <w:t>主体结构、关键性工作的范围：</w:t>
      </w:r>
      <w:r>
        <w:rPr>
          <w:rFonts w:hint="eastAsia" w:ascii="宋体" w:hAnsi="宋体" w:eastAsia="宋体" w:cs="宋体"/>
          <w:u w:val="single"/>
        </w:rPr>
        <w:t>以法律法规的规定及现场确定为准。</w:t>
      </w:r>
    </w:p>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14:paraId="3444669F">
      <w:pPr>
        <w:spacing w:line="360" w:lineRule="auto"/>
        <w:ind w:firstLine="480" w:firstLineChars="200"/>
        <w:rPr>
          <w:rFonts w:hint="eastAsia" w:ascii="宋体" w:hAnsi="宋体" w:eastAsia="宋体" w:cs="宋体"/>
        </w:rPr>
      </w:pPr>
      <w:r>
        <w:rPr>
          <w:rFonts w:hint="eastAsia" w:ascii="宋体" w:hAnsi="宋体" w:eastAsia="宋体" w:cs="宋体"/>
        </w:rPr>
        <w:t>3.5.2分包的确定</w:t>
      </w:r>
    </w:p>
    <w:p w14:paraId="3F21BDA0">
      <w:pPr>
        <w:spacing w:line="360" w:lineRule="auto"/>
        <w:ind w:firstLine="480" w:firstLineChars="200"/>
        <w:rPr>
          <w:rFonts w:hint="eastAsia" w:ascii="宋体" w:hAnsi="宋体" w:eastAsia="宋体" w:cs="宋体"/>
        </w:rPr>
      </w:pPr>
      <w:r>
        <w:rPr>
          <w:rFonts w:hint="eastAsia" w:ascii="宋体" w:hAnsi="宋体" w:eastAsia="宋体" w:cs="宋体"/>
        </w:rPr>
        <w:t>允许分包的专业工程包括：</w:t>
      </w:r>
      <w:r>
        <w:rPr>
          <w:rFonts w:hint="eastAsia" w:ascii="宋体" w:hAnsi="宋体" w:eastAsia="宋体" w:cs="宋体"/>
          <w:u w:val="single"/>
        </w:rPr>
        <w:t xml:space="preserve">           </w:t>
      </w:r>
      <w:r>
        <w:rPr>
          <w:rFonts w:hint="eastAsia" w:ascii="宋体" w:hAnsi="宋体" w:eastAsia="宋体" w:cs="宋体"/>
        </w:rPr>
        <w:t>。</w:t>
      </w:r>
    </w:p>
    <w:p w14:paraId="0C747121">
      <w:pPr>
        <w:spacing w:line="360" w:lineRule="auto"/>
        <w:ind w:firstLine="480" w:firstLineChars="200"/>
        <w:rPr>
          <w:rFonts w:hint="eastAsia" w:ascii="宋体" w:hAnsi="宋体" w:eastAsia="宋体" w:cs="宋体"/>
        </w:rPr>
      </w:pPr>
      <w:r>
        <w:rPr>
          <w:rFonts w:hint="eastAsia" w:ascii="宋体" w:hAnsi="宋体" w:eastAsia="宋体" w:cs="宋体"/>
        </w:rPr>
        <w:t>其他关于分包的约定：</w:t>
      </w:r>
      <w:r>
        <w:rPr>
          <w:rFonts w:hint="eastAsia" w:ascii="宋体" w:hAnsi="宋体" w:eastAsia="宋体" w:cs="宋体"/>
          <w:u w:val="single"/>
        </w:rPr>
        <w:t>承包方不得将工程转包给其他施工单位。承包方如对部分单项工程需分包给专业施工单位施工时（专业施工单位须具备相应资质），应事先经发包方书面认可才能签订分包合同，并将分包合同报送发包方一份备案。分包合同不能解除承包方任何义务与责任，承包人和分包人就分包工程向发包人承担连带责任。承包方应派相应监督管理人员，保证分包合同的履行，分包单位的任何违约或疏忽均视为承包方违约或疏忽。</w:t>
      </w:r>
    </w:p>
    <w:p w14:paraId="6A24B5D5">
      <w:pPr>
        <w:spacing w:line="360" w:lineRule="auto"/>
        <w:ind w:firstLine="480" w:firstLineChars="200"/>
        <w:rPr>
          <w:rFonts w:hint="eastAsia" w:ascii="宋体" w:hAnsi="宋体" w:eastAsia="宋体" w:cs="宋体"/>
        </w:rPr>
      </w:pPr>
      <w:r>
        <w:rPr>
          <w:rFonts w:hint="eastAsia" w:ascii="宋体" w:hAnsi="宋体" w:eastAsia="宋体" w:cs="宋体"/>
        </w:rPr>
        <w:t>3.5.4分包合同价款</w:t>
      </w:r>
    </w:p>
    <w:p w14:paraId="1D60AB16">
      <w:pPr>
        <w:spacing w:line="360" w:lineRule="auto"/>
        <w:ind w:firstLine="480" w:firstLineChars="200"/>
        <w:rPr>
          <w:rFonts w:hint="eastAsia" w:ascii="宋体" w:hAnsi="宋体" w:eastAsia="宋体" w:cs="宋体"/>
        </w:rPr>
      </w:pPr>
      <w:r>
        <w:rPr>
          <w:rFonts w:hint="eastAsia" w:ascii="宋体" w:hAnsi="宋体" w:eastAsia="宋体" w:cs="宋体"/>
        </w:rPr>
        <w:t>关于分包合同价款支付的约定：</w:t>
      </w:r>
      <w:r>
        <w:rPr>
          <w:rFonts w:hint="eastAsia" w:ascii="宋体" w:hAnsi="宋体" w:eastAsia="宋体" w:cs="宋体"/>
          <w:u w:val="single"/>
        </w:rPr>
        <w:t>在分包合同中双方另行规定。</w:t>
      </w:r>
    </w:p>
    <w:bookmarkEnd w:id="721"/>
    <w:bookmarkEnd w:id="722"/>
    <w:bookmarkEnd w:id="723"/>
    <w:bookmarkEnd w:id="724"/>
    <w:bookmarkEnd w:id="725"/>
    <w:bookmarkEnd w:id="726"/>
    <w:bookmarkEnd w:id="727"/>
    <w:bookmarkEnd w:id="728"/>
    <w:bookmarkEnd w:id="729"/>
    <w:bookmarkEnd w:id="730"/>
    <w:bookmarkEnd w:id="731"/>
    <w:bookmarkEnd w:id="732"/>
    <w:bookmarkEnd w:id="733"/>
    <w:p w14:paraId="20902464">
      <w:pPr>
        <w:spacing w:line="360" w:lineRule="auto"/>
        <w:ind w:firstLine="480" w:firstLineChars="200"/>
        <w:rPr>
          <w:rFonts w:hint="eastAsia" w:ascii="宋体" w:hAnsi="宋体" w:eastAsia="宋体" w:cs="宋体"/>
        </w:rPr>
      </w:pPr>
      <w:r>
        <w:rPr>
          <w:rFonts w:hint="eastAsia" w:ascii="宋体" w:hAnsi="宋体" w:eastAsia="宋体" w:cs="宋体"/>
        </w:rPr>
        <w:t>3.6工程照管与成品、半成品保护</w:t>
      </w:r>
    </w:p>
    <w:p w14:paraId="54D0C90C">
      <w:pPr>
        <w:spacing w:line="360" w:lineRule="auto"/>
        <w:ind w:firstLine="480" w:firstLineChars="200"/>
        <w:rPr>
          <w:rFonts w:hint="eastAsia" w:ascii="宋体" w:hAnsi="宋体" w:eastAsia="宋体" w:cs="宋体"/>
        </w:rPr>
      </w:pPr>
      <w:r>
        <w:rPr>
          <w:rFonts w:hint="eastAsia" w:ascii="宋体" w:hAnsi="宋体" w:eastAsia="宋体" w:cs="宋体"/>
        </w:rPr>
        <w:t>承包人负责照管工程及工程相关的材料、工程设备的起始时间：</w:t>
      </w:r>
      <w:r>
        <w:rPr>
          <w:rFonts w:hint="eastAsia" w:ascii="宋体" w:hAnsi="宋体" w:eastAsia="宋体" w:cs="宋体"/>
          <w:u w:val="single"/>
        </w:rPr>
        <w:t>项目正式开工至项目移交竣工验收并交付使用。</w:t>
      </w:r>
    </w:p>
    <w:p w14:paraId="68BDBE74">
      <w:pPr>
        <w:spacing w:line="360" w:lineRule="auto"/>
        <w:ind w:firstLine="482" w:firstLineChars="200"/>
        <w:rPr>
          <w:rFonts w:hint="eastAsia" w:ascii="宋体" w:hAnsi="宋体" w:eastAsia="宋体" w:cs="宋体"/>
          <w:b/>
          <w:bCs/>
        </w:rPr>
      </w:pPr>
      <w:r>
        <w:rPr>
          <w:rFonts w:hint="eastAsia" w:ascii="宋体" w:hAnsi="宋体" w:eastAsia="宋体" w:cs="宋体"/>
          <w:b/>
          <w:bCs/>
        </w:rPr>
        <w:t>3.7履约担保</w:t>
      </w:r>
    </w:p>
    <w:p w14:paraId="524053F6">
      <w:pPr>
        <w:spacing w:line="360" w:lineRule="auto"/>
        <w:ind w:firstLine="480" w:firstLineChars="200"/>
        <w:rPr>
          <w:rFonts w:hint="eastAsia" w:ascii="宋体" w:hAnsi="宋体" w:eastAsia="宋体" w:cs="宋体"/>
        </w:rPr>
      </w:pPr>
      <w:r>
        <w:rPr>
          <w:rFonts w:hint="eastAsia" w:ascii="宋体" w:hAnsi="宋体" w:eastAsia="宋体" w:cs="宋体"/>
        </w:rPr>
        <w:t>承包人是否提供履约担保：</w:t>
      </w:r>
      <w:r>
        <w:rPr>
          <w:rFonts w:hint="eastAsia" w:ascii="宋体" w:hAnsi="宋体" w:eastAsia="宋体" w:cs="宋体"/>
          <w:u w:val="single"/>
        </w:rPr>
        <w:t>是</w:t>
      </w:r>
      <w:r>
        <w:rPr>
          <w:rFonts w:hint="eastAsia" w:ascii="宋体" w:hAnsi="宋体" w:eastAsia="宋体" w:cs="宋体"/>
        </w:rPr>
        <w:t>。</w:t>
      </w:r>
    </w:p>
    <w:p w14:paraId="08E1ECD2">
      <w:pPr>
        <w:spacing w:line="360" w:lineRule="auto"/>
        <w:ind w:firstLine="480" w:firstLineChars="200"/>
        <w:rPr>
          <w:rFonts w:hint="eastAsia" w:ascii="宋体" w:hAnsi="宋体" w:eastAsia="宋体" w:cs="宋体"/>
        </w:rPr>
      </w:pPr>
      <w:r>
        <w:rPr>
          <w:rFonts w:hint="eastAsia" w:ascii="宋体" w:hAnsi="宋体" w:eastAsia="宋体" w:cs="宋体"/>
        </w:rPr>
        <w:t>承包人提供履约担保的形式、金额及期限：</w:t>
      </w:r>
      <w:r>
        <w:rPr>
          <w:rFonts w:hint="eastAsia" w:ascii="宋体" w:hAnsi="宋体" w:eastAsia="宋体" w:cs="宋体"/>
          <w:u w:val="single"/>
        </w:rPr>
        <w:t>正式合同签订前5日，中标人向采购人提交合同总价5%的履约担保，提供方式可以银行转账或履约担保等方式提交。</w:t>
      </w:r>
    </w:p>
    <w:p w14:paraId="5E46EFB5">
      <w:pPr>
        <w:spacing w:line="360" w:lineRule="auto"/>
        <w:ind w:firstLine="480" w:firstLineChars="200"/>
        <w:rPr>
          <w:rFonts w:hint="eastAsia" w:ascii="宋体" w:hAnsi="宋体" w:eastAsia="宋体" w:cs="宋体"/>
        </w:rPr>
      </w:pPr>
      <w:r>
        <w:rPr>
          <w:rFonts w:hint="eastAsia" w:ascii="宋体" w:hAnsi="宋体" w:eastAsia="宋体" w:cs="宋体"/>
        </w:rPr>
        <w:t>履约保证金返还：施工服务完成后视履约情况是否良好一次性无息退还。</w:t>
      </w:r>
    </w:p>
    <w:p w14:paraId="6266CE2A">
      <w:pPr>
        <w:spacing w:line="360" w:lineRule="auto"/>
        <w:ind w:firstLine="482" w:firstLineChars="200"/>
        <w:rPr>
          <w:rFonts w:hint="eastAsia" w:ascii="宋体" w:hAnsi="宋体" w:eastAsia="宋体" w:cs="宋体"/>
          <w:b/>
          <w:bCs/>
        </w:rPr>
      </w:pPr>
      <w:bookmarkStart w:id="751" w:name="_Toc351203636"/>
      <w:r>
        <w:rPr>
          <w:rFonts w:hint="eastAsia" w:ascii="宋体" w:hAnsi="宋体" w:eastAsia="宋体" w:cs="宋体"/>
          <w:b/>
          <w:bCs/>
        </w:rPr>
        <w:t>4</w:t>
      </w:r>
      <w:bookmarkStart w:id="752" w:name="_Toc296346663"/>
      <w:bookmarkStart w:id="753" w:name="_Toc297048348"/>
      <w:bookmarkStart w:id="754" w:name="_Toc296347161"/>
      <w:bookmarkStart w:id="755" w:name="_Toc296891202"/>
      <w:bookmarkStart w:id="756" w:name="_Toc296890990"/>
      <w:bookmarkStart w:id="757" w:name="_Toc267251413"/>
      <w:bookmarkStart w:id="758" w:name="_Toc297120462"/>
      <w:bookmarkStart w:id="759" w:name="_Toc296503162"/>
      <w:bookmarkStart w:id="760" w:name="_Toc292559871"/>
      <w:bookmarkStart w:id="761" w:name="_Toc292559366"/>
      <w:bookmarkStart w:id="762" w:name="_Toc296944501"/>
      <w:r>
        <w:rPr>
          <w:rFonts w:hint="eastAsia" w:ascii="宋体" w:hAnsi="宋体" w:eastAsia="宋体" w:cs="宋体"/>
          <w:b/>
          <w:bCs/>
        </w:rPr>
        <w:t>.监</w:t>
      </w:r>
      <w:bookmarkEnd w:id="752"/>
      <w:bookmarkEnd w:id="753"/>
      <w:bookmarkEnd w:id="754"/>
      <w:bookmarkEnd w:id="755"/>
      <w:bookmarkEnd w:id="756"/>
      <w:bookmarkEnd w:id="757"/>
      <w:bookmarkEnd w:id="758"/>
      <w:bookmarkEnd w:id="759"/>
      <w:bookmarkEnd w:id="760"/>
      <w:bookmarkEnd w:id="761"/>
      <w:bookmarkEnd w:id="762"/>
      <w:r>
        <w:rPr>
          <w:rFonts w:hint="eastAsia" w:ascii="宋体" w:hAnsi="宋体" w:eastAsia="宋体" w:cs="宋体"/>
          <w:b/>
          <w:bCs/>
        </w:rPr>
        <w:t>理人</w:t>
      </w:r>
      <w:bookmarkEnd w:id="751"/>
    </w:p>
    <w:p w14:paraId="1D00122D">
      <w:pPr>
        <w:spacing w:line="360" w:lineRule="auto"/>
        <w:ind w:firstLine="480" w:firstLineChars="200"/>
        <w:rPr>
          <w:rFonts w:hint="eastAsia" w:ascii="宋体" w:hAnsi="宋体" w:eastAsia="宋体" w:cs="宋体"/>
        </w:rPr>
      </w:pPr>
      <w:r>
        <w:rPr>
          <w:rFonts w:hint="eastAsia" w:ascii="宋体" w:hAnsi="宋体" w:eastAsia="宋体" w:cs="宋体"/>
        </w:rPr>
        <w:t>4.1监理人的一般规定</w:t>
      </w:r>
    </w:p>
    <w:p w14:paraId="26C617EC">
      <w:pPr>
        <w:spacing w:line="360" w:lineRule="auto"/>
        <w:ind w:firstLine="480" w:firstLineChars="200"/>
        <w:rPr>
          <w:rFonts w:hint="eastAsia" w:ascii="宋体" w:hAnsi="宋体" w:eastAsia="宋体" w:cs="宋体"/>
        </w:rPr>
      </w:pPr>
      <w:r>
        <w:rPr>
          <w:rFonts w:hint="eastAsia" w:ascii="宋体" w:hAnsi="宋体" w:eastAsia="宋体" w:cs="宋体"/>
        </w:rPr>
        <w:t>关于监理人的监理内容：</w:t>
      </w:r>
      <w:r>
        <w:rPr>
          <w:rFonts w:hint="eastAsia" w:ascii="宋体" w:hAnsi="宋体" w:eastAsia="宋体" w:cs="宋体"/>
          <w:u w:val="single"/>
        </w:rPr>
        <w:t xml:space="preserve">  /  </w:t>
      </w:r>
    </w:p>
    <w:p w14:paraId="18908ED4">
      <w:pPr>
        <w:spacing w:line="360" w:lineRule="auto"/>
        <w:ind w:firstLine="480" w:firstLineChars="200"/>
        <w:rPr>
          <w:rFonts w:hint="eastAsia" w:ascii="宋体" w:hAnsi="宋体" w:eastAsia="宋体" w:cs="宋体"/>
        </w:rPr>
      </w:pPr>
      <w:r>
        <w:rPr>
          <w:rFonts w:hint="eastAsia" w:ascii="宋体" w:hAnsi="宋体" w:eastAsia="宋体" w:cs="宋体"/>
        </w:rPr>
        <w:t>关于监理人的监理权限：</w:t>
      </w:r>
      <w:r>
        <w:rPr>
          <w:rFonts w:hint="eastAsia" w:ascii="宋体" w:hAnsi="宋体" w:eastAsia="宋体" w:cs="宋体"/>
          <w:u w:val="single"/>
        </w:rPr>
        <w:t xml:space="preserve">  /  </w:t>
      </w:r>
    </w:p>
    <w:p w14:paraId="7CC42989">
      <w:pPr>
        <w:spacing w:line="360" w:lineRule="auto"/>
        <w:ind w:firstLine="480" w:firstLineChars="200"/>
        <w:rPr>
          <w:rFonts w:hint="eastAsia" w:ascii="宋体" w:hAnsi="宋体" w:eastAsia="宋体" w:cs="宋体"/>
        </w:rPr>
      </w:pPr>
      <w:r>
        <w:rPr>
          <w:rFonts w:hint="eastAsia" w:ascii="宋体" w:hAnsi="宋体" w:eastAsia="宋体" w:cs="宋体"/>
        </w:rPr>
        <w:t>关于监理人在施工现场的办公场所、生活场所的提供和费用承担的约定：</w:t>
      </w:r>
      <w:r>
        <w:rPr>
          <w:rFonts w:hint="eastAsia" w:ascii="宋体" w:hAnsi="宋体" w:eastAsia="宋体" w:cs="宋体"/>
          <w:u w:val="single"/>
        </w:rPr>
        <w:t xml:space="preserve">  /  </w:t>
      </w:r>
    </w:p>
    <w:p w14:paraId="0C7A7AC3">
      <w:pPr>
        <w:spacing w:line="360" w:lineRule="auto"/>
        <w:ind w:firstLine="480" w:firstLineChars="200"/>
        <w:rPr>
          <w:rFonts w:hint="eastAsia" w:ascii="宋体" w:hAnsi="宋体" w:eastAsia="宋体" w:cs="宋体"/>
        </w:rPr>
      </w:pPr>
      <w:r>
        <w:rPr>
          <w:rFonts w:hint="eastAsia" w:ascii="宋体" w:hAnsi="宋体" w:eastAsia="宋体" w:cs="宋体"/>
        </w:rPr>
        <w:t>4.2监理人员：</w:t>
      </w:r>
      <w:r>
        <w:rPr>
          <w:rFonts w:hint="eastAsia" w:ascii="宋体" w:hAnsi="宋体" w:eastAsia="宋体" w:cs="宋体"/>
          <w:u w:val="single"/>
        </w:rPr>
        <w:t xml:space="preserve">  /  </w:t>
      </w:r>
    </w:p>
    <w:p w14:paraId="51C44668">
      <w:pPr>
        <w:spacing w:line="360" w:lineRule="auto"/>
        <w:ind w:firstLine="482" w:firstLineChars="200"/>
        <w:rPr>
          <w:rFonts w:hint="eastAsia" w:ascii="宋体" w:hAnsi="宋体" w:eastAsia="宋体" w:cs="宋体"/>
          <w:b/>
          <w:bCs/>
        </w:rPr>
      </w:pPr>
      <w:bookmarkStart w:id="763" w:name="_Toc267251418"/>
      <w:bookmarkStart w:id="764" w:name="_Toc351203637"/>
      <w:r>
        <w:rPr>
          <w:rFonts w:hint="eastAsia" w:ascii="宋体" w:hAnsi="宋体" w:eastAsia="宋体" w:cs="宋体"/>
          <w:b/>
          <w:bCs/>
        </w:rPr>
        <w:t>5</w:t>
      </w:r>
      <w:bookmarkEnd w:id="763"/>
      <w:bookmarkStart w:id="765" w:name="_Toc296890991"/>
      <w:bookmarkStart w:id="766" w:name="_Toc292559872"/>
      <w:bookmarkStart w:id="767" w:name="_Toc296891203"/>
      <w:bookmarkStart w:id="768" w:name="_Toc292559367"/>
      <w:bookmarkStart w:id="769" w:name="_Toc296503163"/>
      <w:bookmarkStart w:id="770" w:name="_Toc297048349"/>
      <w:bookmarkStart w:id="771" w:name="_Toc296346664"/>
      <w:bookmarkStart w:id="772" w:name="_Toc296944502"/>
      <w:bookmarkStart w:id="773" w:name="_Toc297120463"/>
      <w:bookmarkStart w:id="774" w:name="_Toc296347162"/>
      <w:r>
        <w:rPr>
          <w:rFonts w:hint="eastAsia" w:ascii="宋体" w:hAnsi="宋体" w:eastAsia="宋体" w:cs="宋体"/>
          <w:b/>
          <w:bCs/>
        </w:rPr>
        <w:t>.工程质量</w:t>
      </w:r>
      <w:bookmarkEnd w:id="764"/>
    </w:p>
    <w:p w14:paraId="71CDED21">
      <w:pPr>
        <w:spacing w:line="360" w:lineRule="auto"/>
        <w:ind w:firstLine="480" w:firstLineChars="200"/>
        <w:rPr>
          <w:rFonts w:hint="eastAsia" w:ascii="宋体" w:hAnsi="宋体" w:eastAsia="宋体" w:cs="宋体"/>
        </w:rPr>
      </w:pPr>
      <w:r>
        <w:rPr>
          <w:rFonts w:hint="eastAsia" w:ascii="宋体" w:hAnsi="宋体" w:eastAsia="宋体" w:cs="宋体"/>
        </w:rPr>
        <w:t>5.1质量要求</w:t>
      </w:r>
    </w:p>
    <w:p w14:paraId="040EF3AB">
      <w:pPr>
        <w:spacing w:line="360" w:lineRule="auto"/>
        <w:ind w:firstLine="480" w:firstLineChars="200"/>
        <w:rPr>
          <w:rFonts w:hint="eastAsia" w:ascii="宋体" w:hAnsi="宋体" w:eastAsia="宋体" w:cs="宋体"/>
          <w:u w:val="single"/>
        </w:rPr>
      </w:pPr>
      <w:bookmarkStart w:id="775" w:name="_Toc303539106"/>
      <w:bookmarkStart w:id="776" w:name="_Toc312677997"/>
      <w:bookmarkStart w:id="777" w:name="_Toc304295527"/>
      <w:bookmarkStart w:id="778" w:name="_Toc300934949"/>
      <w:bookmarkStart w:id="779" w:name="_Toc297123496"/>
      <w:bookmarkStart w:id="780" w:name="_Toc297216155"/>
      <w:bookmarkStart w:id="781" w:name="_Toc318581164"/>
      <w:r>
        <w:rPr>
          <w:rFonts w:hint="eastAsia" w:ascii="宋体" w:hAnsi="宋体" w:eastAsia="宋体" w:cs="宋体"/>
        </w:rPr>
        <w:t>5.1.1特殊质量标准和要求：</w:t>
      </w:r>
      <w:r>
        <w:rPr>
          <w:rFonts w:hint="eastAsia" w:ascii="宋体" w:hAnsi="宋体" w:eastAsia="宋体" w:cs="宋体"/>
          <w:u w:val="single"/>
        </w:rPr>
        <w:t>达到国家现行施工验收规范“合格”标准，达到文明工地标准。</w:t>
      </w:r>
    </w:p>
    <w:p w14:paraId="4CA69128">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5.1.1.1双方对工程质量有争议，由双方同意的工程质量检测机构鉴定，所需费用及因此造成的损失，由责任方承担。双方均有责任，由双方根据其责任分别承担。</w:t>
      </w:r>
    </w:p>
    <w:p w14:paraId="2D1B818D">
      <w:pPr>
        <w:spacing w:line="360" w:lineRule="auto"/>
        <w:ind w:firstLine="480" w:firstLineChars="200"/>
        <w:rPr>
          <w:rFonts w:hint="eastAsia" w:ascii="宋体" w:hAnsi="宋体" w:eastAsia="宋体" w:cs="宋体"/>
        </w:rPr>
      </w:pPr>
      <w:r>
        <w:rPr>
          <w:rFonts w:hint="eastAsia" w:ascii="宋体" w:hAnsi="宋体" w:eastAsia="宋体" w:cs="宋体"/>
          <w:u w:val="single"/>
        </w:rPr>
        <w:t>5.1.3因承包人原因出现质量事故，承包人应对工程进行修复。且除按国家、地方有关法律法规处罚外，同时按本合同相关条款进行处罚。若出现重大质量事故，发包人有权终止合同。</w:t>
      </w:r>
    </w:p>
    <w:p w14:paraId="1345C5C8">
      <w:pPr>
        <w:spacing w:line="360" w:lineRule="auto"/>
        <w:ind w:firstLine="480" w:firstLineChars="200"/>
        <w:rPr>
          <w:rFonts w:hint="eastAsia" w:ascii="宋体" w:hAnsi="宋体" w:eastAsia="宋体" w:cs="宋体"/>
        </w:rPr>
      </w:pPr>
      <w:r>
        <w:rPr>
          <w:rFonts w:hint="eastAsia" w:ascii="宋体" w:hAnsi="宋体" w:eastAsia="宋体" w:cs="宋体"/>
        </w:rPr>
        <w:t>5.3.2检查程序</w:t>
      </w:r>
    </w:p>
    <w:p w14:paraId="76C14F09">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需要质检的隐蔽工程和中间验收部位的分类、部位、质检内容、标准、表格和参检方的约定：执行国家现行建设工程施工质量验收规范的规定和要求。除按规定进行正常隐蔽工程验收外，中间验收部分为：若发包人书面通知增加中间验收部分，承包人必须遵守。</w:t>
      </w:r>
    </w:p>
    <w:p w14:paraId="7102141D">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本工程所有隐蔽工程均需要留存影像资料，作为隐蔽工程计价原始资料，如隐蔽工程影像资料丢失，发包人有权不予计价此部分隐蔽工程费用。承包人须提前24小时通知发包人代表隐蔽工程检查。承包人自检并在隐蔽验收前，以书面形式通知发包人代表。防水等重要部位的施工先做样板，经发包人验收后方可进行施工。</w:t>
      </w:r>
    </w:p>
    <w:p w14:paraId="77CA8282">
      <w:pPr>
        <w:spacing w:line="360" w:lineRule="auto"/>
        <w:ind w:firstLine="480" w:firstLineChars="200"/>
        <w:rPr>
          <w:rFonts w:hint="eastAsia" w:ascii="宋体" w:hAnsi="宋体" w:eastAsia="宋体" w:cs="宋体"/>
        </w:rPr>
      </w:pPr>
      <w:r>
        <w:rPr>
          <w:rFonts w:hint="eastAsia" w:ascii="宋体" w:hAnsi="宋体" w:eastAsia="宋体" w:cs="宋体"/>
        </w:rPr>
        <w:t>5.3.3重新检查</w:t>
      </w:r>
    </w:p>
    <w:p w14:paraId="2EFDBDAC">
      <w:pPr>
        <w:spacing w:line="360" w:lineRule="auto"/>
        <w:ind w:firstLine="480" w:firstLineChars="200"/>
        <w:rPr>
          <w:rFonts w:hint="eastAsia" w:ascii="宋体" w:hAnsi="宋体" w:eastAsia="宋体" w:cs="宋体"/>
        </w:rPr>
      </w:pPr>
      <w:r>
        <w:rPr>
          <w:rFonts w:hint="eastAsia" w:ascii="宋体" w:hAnsi="宋体" w:eastAsia="宋体" w:cs="宋体"/>
          <w:u w:val="single"/>
        </w:rPr>
        <w:t>发包人可随意抽选或对工程质量存在异议的隐蔽工程，由发包人委托第三方检测机构对该部分工程质量进行检测，承包人应予以积极配合，检测合格，检测费用由发包人承担；检测不合格，检测费用由承包人承担。（费用标准按照发包人与第三方检测机构签订合同价款为准）。</w:t>
      </w:r>
    </w:p>
    <w:p w14:paraId="5762407B">
      <w:pPr>
        <w:spacing w:line="360" w:lineRule="auto"/>
        <w:ind w:firstLine="482" w:firstLineChars="200"/>
        <w:rPr>
          <w:rFonts w:hint="eastAsia" w:ascii="宋体" w:hAnsi="宋体" w:eastAsia="宋体" w:cs="宋体"/>
          <w:b/>
          <w:bCs/>
        </w:rPr>
      </w:pPr>
      <w:bookmarkStart w:id="782" w:name="_Toc351203638"/>
      <w:r>
        <w:rPr>
          <w:rFonts w:hint="eastAsia" w:ascii="宋体" w:hAnsi="宋体" w:eastAsia="宋体" w:cs="宋体"/>
          <w:b/>
          <w:bCs/>
        </w:rPr>
        <w:t>6.安全文明施工与环境保护</w:t>
      </w:r>
      <w:bookmarkEnd w:id="782"/>
    </w:p>
    <w:p w14:paraId="6F509615">
      <w:pPr>
        <w:spacing w:line="360" w:lineRule="auto"/>
        <w:ind w:firstLine="480" w:firstLineChars="200"/>
        <w:rPr>
          <w:rFonts w:hint="eastAsia" w:ascii="宋体" w:hAnsi="宋体" w:eastAsia="宋体" w:cs="宋体"/>
        </w:rPr>
      </w:pPr>
      <w:r>
        <w:rPr>
          <w:rFonts w:hint="eastAsia" w:ascii="宋体" w:hAnsi="宋体" w:eastAsia="宋体" w:cs="宋体"/>
        </w:rPr>
        <w:t>6.1安全文明施工</w:t>
      </w:r>
    </w:p>
    <w:p w14:paraId="019A96F3">
      <w:pPr>
        <w:spacing w:line="360" w:lineRule="auto"/>
        <w:ind w:firstLine="480" w:firstLineChars="200"/>
        <w:rPr>
          <w:rFonts w:hint="eastAsia" w:ascii="宋体" w:hAnsi="宋体" w:eastAsia="宋体" w:cs="宋体"/>
          <w:u w:val="single"/>
        </w:rPr>
      </w:pPr>
      <w:r>
        <w:rPr>
          <w:rFonts w:hint="eastAsia" w:ascii="宋体" w:hAnsi="宋体" w:eastAsia="宋体" w:cs="宋体"/>
        </w:rPr>
        <w:t>6.1.1项目安全生产的达标目标及相应事项的约定：</w:t>
      </w:r>
      <w:r>
        <w:rPr>
          <w:rFonts w:hint="eastAsia" w:ascii="宋体" w:hAnsi="宋体" w:eastAsia="宋体" w:cs="宋体"/>
          <w:u w:val="single"/>
        </w:rPr>
        <w:t>执行《通用条款》全部条款、达到安全文明施工的要求规定和创卫标准，因承包方原因达不到安全文明施工的要求规定和创卫标准时，承包人应切实整改达到此要求，所需费用均由承包人承担。达到文明工地标准。承包人应建立安全防护和文明施工制度，严格按照安全防护和文明施工的规定组织施工，并做好下列工作：在施工出入口处、临时用电设施、脚手架、出入通道口、楼梯口电梯井口、孔洞口、爆破物及有害危险气体和液体存放处等危险部位，设置明显的安全警示标志；保持现场道路畅通、排水及排水设施通畅，做必要的现场地面硬化处理；妥善存放和处理材料设备和施工机械，水泥和其他易飞扬细颗粒的建筑材料应密闭存放或采取覆盖等措施，易燃易爆和有毒有害气体应分类存放；现场设置消防通道、配置消防设施和灭火器材，保证施工现场安全；施工垃圾、生活垃圾应分类存放，并及时从现场清运。</w:t>
      </w:r>
    </w:p>
    <w:p w14:paraId="229D8A5F">
      <w:pPr>
        <w:spacing w:line="360" w:lineRule="auto"/>
        <w:ind w:firstLine="480" w:firstLineChars="200"/>
        <w:rPr>
          <w:rFonts w:hint="eastAsia" w:ascii="宋体" w:hAnsi="宋体" w:eastAsia="宋体" w:cs="宋体"/>
          <w:u w:val="single"/>
        </w:rPr>
      </w:pPr>
      <w:r>
        <w:rPr>
          <w:rFonts w:hint="eastAsia" w:ascii="宋体" w:hAnsi="宋体" w:eastAsia="宋体" w:cs="宋体"/>
        </w:rPr>
        <w:t>6.1.4关于治安保卫的特别约定：</w:t>
      </w:r>
      <w:r>
        <w:rPr>
          <w:rFonts w:hint="eastAsia" w:ascii="宋体" w:hAnsi="宋体" w:eastAsia="宋体" w:cs="宋体"/>
          <w:u w:val="single"/>
        </w:rPr>
        <w:t>（1）施工现场内外由本项目承包人提供的生产区、办公区、生活区治安保卫工作由承包人全面负责；（2）上述区域内若发生群殴、械斗等群体性突发治安事件的，每发生一起承包人对发包人支付违约金50000元。</w:t>
      </w:r>
    </w:p>
    <w:p w14:paraId="10D22ACB">
      <w:pPr>
        <w:spacing w:line="360" w:lineRule="auto"/>
        <w:ind w:firstLine="480" w:firstLineChars="200"/>
        <w:rPr>
          <w:rFonts w:hint="eastAsia" w:ascii="宋体" w:hAnsi="宋体" w:eastAsia="宋体" w:cs="宋体"/>
          <w:u w:val="single"/>
        </w:rPr>
      </w:pPr>
      <w:r>
        <w:rPr>
          <w:rFonts w:hint="eastAsia" w:ascii="宋体" w:hAnsi="宋体" w:eastAsia="宋体" w:cs="宋体"/>
        </w:rPr>
        <w:t>关于编制施工场地治安管理计划的约定：</w:t>
      </w:r>
      <w:r>
        <w:rPr>
          <w:rFonts w:hint="eastAsia" w:ascii="宋体" w:hAnsi="宋体" w:eastAsia="宋体" w:cs="宋体"/>
          <w:u w:val="single"/>
        </w:rPr>
        <w:t>由承包人在工程开工后3天内编制施工场地治安管理计划。</w:t>
      </w:r>
    </w:p>
    <w:p w14:paraId="69C06946">
      <w:pPr>
        <w:spacing w:line="360" w:lineRule="auto"/>
        <w:ind w:firstLine="480" w:firstLineChars="200"/>
        <w:rPr>
          <w:rFonts w:hint="eastAsia" w:ascii="宋体" w:hAnsi="宋体" w:eastAsia="宋体" w:cs="宋体"/>
        </w:rPr>
      </w:pPr>
      <w:r>
        <w:rPr>
          <w:rFonts w:hint="eastAsia" w:ascii="宋体" w:hAnsi="宋体" w:eastAsia="宋体" w:cs="宋体"/>
        </w:rPr>
        <w:t>6.1.5文明施工</w:t>
      </w:r>
    </w:p>
    <w:p w14:paraId="15939B7B">
      <w:pPr>
        <w:spacing w:line="360" w:lineRule="auto"/>
        <w:ind w:firstLine="480" w:firstLineChars="200"/>
        <w:rPr>
          <w:rFonts w:hint="eastAsia" w:ascii="宋体" w:hAnsi="宋体" w:eastAsia="宋体" w:cs="宋体"/>
        </w:rPr>
      </w:pPr>
      <w:r>
        <w:rPr>
          <w:rFonts w:hint="eastAsia" w:ascii="宋体" w:hAnsi="宋体" w:eastAsia="宋体" w:cs="宋体"/>
        </w:rPr>
        <w:t>合同当事人对文明施工的要求：</w:t>
      </w:r>
      <w:r>
        <w:rPr>
          <w:rFonts w:hint="eastAsia" w:ascii="宋体" w:hAnsi="宋体" w:eastAsia="宋体" w:cs="宋体"/>
          <w:u w:val="single"/>
        </w:rPr>
        <w:t>达到文明工地的要求和创卫标准。</w:t>
      </w:r>
    </w:p>
    <w:p w14:paraId="5AC06ED6">
      <w:pPr>
        <w:spacing w:line="360" w:lineRule="auto"/>
        <w:ind w:firstLine="480" w:firstLineChars="200"/>
        <w:rPr>
          <w:rFonts w:hint="eastAsia" w:ascii="宋体" w:hAnsi="宋体" w:eastAsia="宋体" w:cs="宋体"/>
          <w:u w:val="single"/>
        </w:rPr>
      </w:pPr>
      <w:r>
        <w:rPr>
          <w:rFonts w:hint="eastAsia" w:ascii="宋体" w:hAnsi="宋体" w:eastAsia="宋体" w:cs="宋体"/>
        </w:rPr>
        <w:t>6.1.6关于安全文明施工费支付比例和支付期限的约定：</w:t>
      </w:r>
      <w:r>
        <w:rPr>
          <w:rFonts w:hint="eastAsia" w:ascii="宋体" w:hAnsi="宋体" w:eastAsia="宋体" w:cs="宋体"/>
          <w:u w:val="single"/>
        </w:rPr>
        <w:t>在开工前一次性100%足额给付承包方，承包方应当确保安全文明施工措施费专款专用，在财务管理中单独列出安全文明施工措施项目费用清单，承包方不得挪用安全文明施工措施项目费。</w:t>
      </w:r>
    </w:p>
    <w:p w14:paraId="2368E794">
      <w:pPr>
        <w:spacing w:line="360" w:lineRule="auto"/>
        <w:ind w:firstLine="480" w:firstLineChars="200"/>
        <w:rPr>
          <w:rFonts w:hint="eastAsia" w:ascii="宋体" w:hAnsi="宋体" w:eastAsia="宋体" w:cs="宋体"/>
        </w:rPr>
      </w:pPr>
      <w:r>
        <w:rPr>
          <w:rFonts w:hint="eastAsia" w:ascii="宋体" w:hAnsi="宋体" w:eastAsia="宋体" w:cs="宋体"/>
        </w:rPr>
        <w:t>6.1.9安全生产责任：</w:t>
      </w:r>
      <w:r>
        <w:rPr>
          <w:rFonts w:hint="eastAsia" w:ascii="宋体" w:hAnsi="宋体" w:eastAsia="宋体" w:cs="宋体"/>
          <w:u w:val="single"/>
        </w:rPr>
        <w:t>施工现场发生的一切安全事故由承包人承担全部责任及损失。</w:t>
      </w:r>
    </w:p>
    <w:p w14:paraId="0A88D875">
      <w:pPr>
        <w:spacing w:line="360" w:lineRule="auto"/>
        <w:ind w:firstLine="480" w:firstLineChars="200"/>
        <w:rPr>
          <w:rFonts w:hint="eastAsia" w:ascii="宋体" w:hAnsi="宋体" w:eastAsia="宋体" w:cs="宋体"/>
        </w:rPr>
      </w:pPr>
      <w:r>
        <w:rPr>
          <w:rFonts w:hint="eastAsia" w:ascii="宋体" w:hAnsi="宋体" w:eastAsia="宋体" w:cs="宋体"/>
        </w:rPr>
        <w:t>6.1.10承包人的安全责任增加内容如下：</w:t>
      </w:r>
    </w:p>
    <w:p w14:paraId="3EE4C31E">
      <w:pPr>
        <w:spacing w:line="360" w:lineRule="auto"/>
        <w:ind w:firstLine="480" w:firstLineChars="200"/>
        <w:rPr>
          <w:rFonts w:hint="eastAsia" w:ascii="宋体" w:hAnsi="宋体" w:eastAsia="宋体" w:cs="宋体"/>
        </w:rPr>
      </w:pPr>
      <w:r>
        <w:rPr>
          <w:rFonts w:hint="eastAsia" w:ascii="宋体" w:hAnsi="宋体" w:eastAsia="宋体" w:cs="宋体"/>
        </w:rPr>
        <w:t>6.1.10.1承包人应按合同约定履行安全职责，执行发包人有关安全工作的指示，并接到开工通知3日内，编制施工安全措施计划报送发包人审批。</w:t>
      </w:r>
    </w:p>
    <w:p w14:paraId="691E1BBB">
      <w:pPr>
        <w:spacing w:line="360" w:lineRule="auto"/>
        <w:ind w:firstLine="480" w:firstLineChars="200"/>
        <w:rPr>
          <w:rFonts w:hint="eastAsia" w:ascii="宋体" w:hAnsi="宋体" w:eastAsia="宋体" w:cs="宋体"/>
        </w:rPr>
      </w:pPr>
      <w:r>
        <w:rPr>
          <w:rFonts w:hint="eastAsia" w:ascii="宋体" w:hAnsi="宋体" w:eastAsia="宋体" w:cs="宋体"/>
        </w:rPr>
        <w:t>6.1.11环境保护</w:t>
      </w:r>
    </w:p>
    <w:p w14:paraId="431AB9DD">
      <w:pPr>
        <w:spacing w:line="360" w:lineRule="auto"/>
        <w:ind w:firstLine="480" w:firstLineChars="200"/>
        <w:rPr>
          <w:rFonts w:hint="eastAsia" w:ascii="宋体" w:hAnsi="宋体" w:eastAsia="宋体" w:cs="宋体"/>
        </w:rPr>
      </w:pPr>
      <w:r>
        <w:rPr>
          <w:rFonts w:hint="eastAsia" w:ascii="宋体" w:hAnsi="宋体" w:eastAsia="宋体" w:cs="宋体"/>
        </w:rPr>
        <w:t>6.1.11.1承包人在夜间施工应遵循相关规定。若施工单位违反有关安全文明施工、扬尘治理的有关规定，每发现一次，发包人对承包人收取50,00.00元的违约金。</w:t>
      </w:r>
    </w:p>
    <w:p w14:paraId="73592075">
      <w:pPr>
        <w:spacing w:line="360" w:lineRule="auto"/>
        <w:ind w:firstLine="480" w:firstLineChars="200"/>
        <w:rPr>
          <w:rFonts w:hint="eastAsia" w:ascii="宋体" w:hAnsi="宋体" w:eastAsia="宋体" w:cs="宋体"/>
        </w:rPr>
      </w:pPr>
      <w:r>
        <w:rPr>
          <w:rFonts w:hint="eastAsia" w:ascii="宋体" w:hAnsi="宋体" w:eastAsia="宋体" w:cs="宋体"/>
        </w:rPr>
        <w:t>6.1.11.2承包人应保持施工区和生活区的环境卫生，及时清除垃圾和废弃物，并运至指定的地点堆放和处理。进入现场的材料、设备必须置放有序，防止任意堆放器材、杂物阻塞工作场地周围的通道和破坏环境。</w:t>
      </w:r>
    </w:p>
    <w:p w14:paraId="3D3F2C27">
      <w:pPr>
        <w:spacing w:line="360" w:lineRule="auto"/>
        <w:ind w:firstLine="480" w:firstLineChars="200"/>
        <w:rPr>
          <w:rFonts w:hint="eastAsia" w:ascii="宋体" w:hAnsi="宋体" w:eastAsia="宋体" w:cs="宋体"/>
        </w:rPr>
      </w:pPr>
      <w:r>
        <w:rPr>
          <w:rFonts w:hint="eastAsia" w:ascii="宋体" w:hAnsi="宋体" w:eastAsia="宋体" w:cs="宋体"/>
        </w:rPr>
        <w:t>6.1.11.3废气排放、噪声超标、固体废物排放、危险废物排放等施工期间排污、建筑垃圾处置等承包人应按国家及地方相关部门要求进行排放和处理，该部分费用含在合同总价内。</w:t>
      </w:r>
    </w:p>
    <w:p w14:paraId="3B8DB38D">
      <w:pPr>
        <w:spacing w:line="360" w:lineRule="auto"/>
        <w:ind w:firstLine="480" w:firstLineChars="200"/>
        <w:rPr>
          <w:rFonts w:hint="eastAsia" w:ascii="宋体" w:hAnsi="宋体" w:eastAsia="宋体" w:cs="宋体"/>
        </w:rPr>
      </w:pPr>
      <w:r>
        <w:rPr>
          <w:rFonts w:hint="eastAsia" w:ascii="宋体" w:hAnsi="宋体" w:eastAsia="宋体" w:cs="宋体"/>
        </w:rPr>
        <w:t>6.1.11.4治污减霾措施严格按照《西安市扬尘污染防治条例》、《西安市2016城市治理专项工作实施方案》、《西安市建设工程施工现场围挡及出入口管理规定》、《西安市建设工地和两类企业扬尘治理措施》、《西安市2017年“铁腕治霾•保卫蓝天”“1+1+9”组合方案（办法）的通知》、《西安市2025—2026年秋冬季大气污染治理攻坚行动方案》执行。</w:t>
      </w:r>
    </w:p>
    <w:p w14:paraId="462E0AD4">
      <w:pPr>
        <w:spacing w:line="360" w:lineRule="auto"/>
        <w:ind w:firstLine="480" w:firstLineChars="200"/>
        <w:rPr>
          <w:rFonts w:hint="eastAsia" w:ascii="宋体" w:hAnsi="宋体" w:eastAsia="宋体" w:cs="宋体"/>
        </w:rPr>
      </w:pPr>
      <w:r>
        <w:rPr>
          <w:rFonts w:hint="eastAsia" w:ascii="宋体" w:hAnsi="宋体" w:eastAsia="宋体" w:cs="宋体"/>
        </w:rPr>
        <w:t>6.1.11.5严格执行《绿色建筑评价标准》（GB∕T50378-2019）。</w:t>
      </w:r>
    </w:p>
    <w:p w14:paraId="6F62425A">
      <w:pPr>
        <w:spacing w:line="360" w:lineRule="auto"/>
        <w:ind w:firstLine="480" w:firstLineChars="200"/>
        <w:rPr>
          <w:rFonts w:hint="eastAsia" w:ascii="宋体" w:hAnsi="宋体" w:eastAsia="宋体" w:cs="宋体"/>
        </w:rPr>
      </w:pPr>
      <w:r>
        <w:rPr>
          <w:rFonts w:hint="eastAsia" w:ascii="宋体" w:hAnsi="宋体" w:eastAsia="宋体" w:cs="宋体"/>
        </w:rPr>
        <w:t>6.1.12事故处理</w:t>
      </w:r>
    </w:p>
    <w:p w14:paraId="279860A5">
      <w:pPr>
        <w:spacing w:line="360" w:lineRule="auto"/>
        <w:ind w:firstLine="480" w:firstLineChars="200"/>
        <w:rPr>
          <w:rFonts w:hint="eastAsia" w:ascii="宋体" w:hAnsi="宋体" w:eastAsia="宋体" w:cs="宋体"/>
        </w:rPr>
      </w:pPr>
      <w:r>
        <w:rPr>
          <w:rFonts w:hint="eastAsia" w:ascii="宋体" w:hAnsi="宋体" w:eastAsia="宋体" w:cs="宋体"/>
        </w:rPr>
        <w:t>6.1.12人员工伤事故</w:t>
      </w:r>
    </w:p>
    <w:p w14:paraId="1BC06DCA">
      <w:pPr>
        <w:spacing w:line="360" w:lineRule="auto"/>
        <w:ind w:firstLine="480" w:firstLineChars="200"/>
        <w:rPr>
          <w:rFonts w:hint="eastAsia" w:ascii="宋体" w:hAnsi="宋体" w:eastAsia="宋体" w:cs="宋体"/>
        </w:rPr>
      </w:pPr>
      <w:r>
        <w:rPr>
          <w:rFonts w:hint="eastAsia" w:ascii="宋体" w:hAnsi="宋体" w:eastAsia="宋体" w:cs="宋体"/>
        </w:rPr>
        <w:t>6.1.12.1承包人应为其执行本合同所雇用的全部人员（包括分包人的人员）承担工伤事故责任。承包人可要求其分包人自行承担自己雇用人员的工伤事故责任，但发包人只向承包人追索其工伤事故责任。</w:t>
      </w:r>
    </w:p>
    <w:p w14:paraId="40409BAD">
      <w:pPr>
        <w:spacing w:line="360" w:lineRule="auto"/>
        <w:ind w:firstLine="480" w:firstLineChars="200"/>
        <w:rPr>
          <w:rFonts w:hint="eastAsia" w:ascii="宋体" w:hAnsi="宋体" w:eastAsia="宋体" w:cs="宋体"/>
        </w:rPr>
      </w:pPr>
      <w:r>
        <w:rPr>
          <w:rFonts w:hint="eastAsia" w:ascii="宋体" w:hAnsi="宋体" w:eastAsia="宋体" w:cs="宋体"/>
        </w:rPr>
        <w:t>6.1.12.2发包人应为其现场机构雇用的全部人员（包括发包人员）承担工伤事故责任，但由于承包人过失造成在承包人责任区内工作的发包人的人员伤亡，则应由承包人承担其工伤事故责任。</w:t>
      </w:r>
    </w:p>
    <w:p w14:paraId="09A105A8">
      <w:pPr>
        <w:spacing w:line="360" w:lineRule="auto"/>
        <w:ind w:firstLine="480" w:firstLineChars="200"/>
        <w:rPr>
          <w:rFonts w:hint="eastAsia" w:ascii="宋体" w:hAnsi="宋体" w:eastAsia="宋体" w:cs="宋体"/>
        </w:rPr>
      </w:pPr>
      <w:r>
        <w:rPr>
          <w:rFonts w:hint="eastAsia" w:ascii="宋体" w:hAnsi="宋体" w:eastAsia="宋体" w:cs="宋体"/>
        </w:rPr>
        <w:t>6.1.13文明施工</w:t>
      </w:r>
    </w:p>
    <w:p w14:paraId="0162AE4A">
      <w:pPr>
        <w:spacing w:line="360" w:lineRule="auto"/>
        <w:ind w:firstLine="480" w:firstLineChars="200"/>
        <w:rPr>
          <w:rFonts w:hint="eastAsia" w:ascii="宋体" w:hAnsi="宋体" w:eastAsia="宋体" w:cs="宋体"/>
        </w:rPr>
      </w:pPr>
      <w:r>
        <w:rPr>
          <w:rFonts w:hint="eastAsia" w:ascii="宋体" w:hAnsi="宋体" w:eastAsia="宋体" w:cs="宋体"/>
        </w:rPr>
        <w:t>承包人按照《中华人民共和国安全生产法》，《建设工程安全生产管理条例》和建设部建办[2005]89号《建筑工程安全防护、文明施工措施费用及使用管理规定》及陕西省、项目所在地相关要求中关于创建安全文明施工作业环境的规定执行，所需全部费用已包含在发包人支付的安全防护、文明施工措施费中，发包人无需另行支付。承包人承担由于自身措施不力造成事故的全部责任和费用。</w:t>
      </w:r>
    </w:p>
    <w:p w14:paraId="41C4FF76">
      <w:pPr>
        <w:spacing w:line="360" w:lineRule="auto"/>
        <w:ind w:firstLine="480" w:firstLineChars="200"/>
        <w:rPr>
          <w:rFonts w:hint="eastAsia" w:ascii="宋体" w:hAnsi="宋体" w:eastAsia="宋体" w:cs="宋体"/>
        </w:rPr>
      </w:pPr>
      <w:r>
        <w:rPr>
          <w:rFonts w:hint="eastAsia" w:ascii="宋体" w:hAnsi="宋体" w:eastAsia="宋体" w:cs="宋体"/>
        </w:rPr>
        <w:t>6.1.13.1承包人必须按规定做好工程的安全管理、文明施工工作，落实职业健康管理，必须达到文明工地标准和创卫标准。</w:t>
      </w:r>
    </w:p>
    <w:p w14:paraId="3D891CA6">
      <w:pPr>
        <w:spacing w:line="360" w:lineRule="auto"/>
        <w:ind w:firstLine="480" w:firstLineChars="200"/>
        <w:rPr>
          <w:rFonts w:hint="eastAsia" w:ascii="宋体" w:hAnsi="宋体" w:eastAsia="宋体" w:cs="宋体"/>
        </w:rPr>
      </w:pPr>
      <w:r>
        <w:rPr>
          <w:rFonts w:hint="eastAsia" w:ascii="宋体" w:hAnsi="宋体" w:eastAsia="宋体" w:cs="宋体"/>
        </w:rPr>
        <w:t>6.1.13.2严格按文明工地和创卫标准，设立专用、分类垃圾场（箱），不得在施工区内任意堆放或乱倒垃圾，定期将垃圾清理外运。工程竣工后，所有临建设施（包括现场临建房屋、硬化路面、塔吊基础等）需在接到发包人通知后20日内全部拆除清理，施工现场周围和承包人生活区周围100米范围内施工现场清除干净，应做到无建筑材料、无建筑设备、无临时垃圾、无坑池渠沟、无掩埋的硬化道路和垃圾，场地整洁。以上费用已包含在合同价款中，不另行计取。若承包人不能按发包人要求的时间清理，造成后期工程无法实施，发包人有权委托第三方清理，所有费用均由承包人承担，发包人在工程款中直接扣除支付第三方，承包人无条件接受。</w:t>
      </w:r>
    </w:p>
    <w:p w14:paraId="501CD5E2">
      <w:pPr>
        <w:spacing w:line="360" w:lineRule="auto"/>
        <w:ind w:firstLine="480" w:firstLineChars="200"/>
        <w:rPr>
          <w:rFonts w:hint="eastAsia" w:ascii="宋体" w:hAnsi="宋体" w:eastAsia="宋体" w:cs="宋体"/>
        </w:rPr>
      </w:pPr>
      <w:r>
        <w:rPr>
          <w:rFonts w:hint="eastAsia" w:ascii="宋体" w:hAnsi="宋体" w:eastAsia="宋体" w:cs="宋体"/>
        </w:rPr>
        <w:t>6.1.13.3因承包人原因造成的安全文明施工问题，由承包人承担一切损失。</w:t>
      </w:r>
    </w:p>
    <w:p w14:paraId="7D46272C">
      <w:pPr>
        <w:spacing w:line="360" w:lineRule="auto"/>
        <w:ind w:firstLine="480" w:firstLineChars="200"/>
        <w:rPr>
          <w:rFonts w:hint="eastAsia" w:ascii="宋体" w:hAnsi="宋体" w:eastAsia="宋体" w:cs="宋体"/>
        </w:rPr>
      </w:pPr>
      <w:r>
        <w:rPr>
          <w:rFonts w:hint="eastAsia" w:ascii="宋体" w:hAnsi="宋体" w:eastAsia="宋体" w:cs="宋体"/>
        </w:rPr>
        <w:t>6.1.13.4严格按照绿色施工标准组织施工，最大限度地节约资源与减少对环境负面影响的施工活动，实现四节一环保（节能、节地、节水、节材和环境保护）。</w:t>
      </w:r>
    </w:p>
    <w:p w14:paraId="0759CEA8">
      <w:pPr>
        <w:spacing w:line="360" w:lineRule="auto"/>
        <w:ind w:firstLine="480" w:firstLineChars="200"/>
        <w:rPr>
          <w:rFonts w:hint="eastAsia" w:ascii="宋体" w:hAnsi="宋体" w:eastAsia="宋体" w:cs="宋体"/>
        </w:rPr>
      </w:pPr>
      <w:r>
        <w:rPr>
          <w:rFonts w:hint="eastAsia" w:ascii="宋体" w:hAnsi="宋体" w:eastAsia="宋体" w:cs="宋体"/>
        </w:rPr>
        <w:t>6.1.13.5由于承包人在施工生产过程中违反有关安全规程、消防条例和有关防火设计规范，导致发生安全或火灾事故，承包人应承担由此引发的一切经济损失，并赔偿发包人的损失。</w:t>
      </w:r>
    </w:p>
    <w:p w14:paraId="1B59A653">
      <w:pPr>
        <w:spacing w:line="360" w:lineRule="auto"/>
        <w:ind w:firstLine="480" w:firstLineChars="200"/>
        <w:rPr>
          <w:rFonts w:hint="eastAsia" w:ascii="宋体" w:hAnsi="宋体" w:eastAsia="宋体" w:cs="宋体"/>
        </w:rPr>
      </w:pPr>
      <w:r>
        <w:rPr>
          <w:rFonts w:hint="eastAsia" w:ascii="宋体" w:hAnsi="宋体" w:eastAsia="宋体" w:cs="宋体"/>
        </w:rPr>
        <w:t>6.1.13.6承包人应遵守工程所在地政府有关部门的管理规定，做好工程的安全防护、文明施工措施。在执行《通用条款》相关规定时，如由承包人行为给发包人带来的负面影响和经济损失，全部由承包人承担。</w:t>
      </w:r>
    </w:p>
    <w:p w14:paraId="594E86D5">
      <w:pPr>
        <w:spacing w:line="360" w:lineRule="auto"/>
        <w:ind w:firstLine="480" w:firstLineChars="200"/>
        <w:rPr>
          <w:rFonts w:hint="eastAsia" w:ascii="宋体" w:hAnsi="宋体" w:eastAsia="宋体" w:cs="宋体"/>
        </w:rPr>
      </w:pPr>
      <w:r>
        <w:rPr>
          <w:rFonts w:hint="eastAsia" w:ascii="宋体" w:hAnsi="宋体" w:eastAsia="宋体" w:cs="宋体"/>
        </w:rPr>
        <w:t>6.1.13.7施工期间，施工场地需配置的消防设备由承包人自备（消防机具包括但不限于消防灭火弹/设备）。配量的标准和要求应符合有关规定，若发包人发现不符合标准，则承包人需在3日内整改，同时处1000元违约金。</w:t>
      </w:r>
    </w:p>
    <w:p w14:paraId="34977A90">
      <w:pPr>
        <w:spacing w:line="360" w:lineRule="auto"/>
        <w:ind w:firstLine="480" w:firstLineChars="200"/>
        <w:rPr>
          <w:rFonts w:hint="eastAsia" w:ascii="宋体" w:hAnsi="宋体" w:eastAsia="宋体" w:cs="宋体"/>
        </w:rPr>
      </w:pPr>
      <w:r>
        <w:rPr>
          <w:rFonts w:hint="eastAsia" w:ascii="宋体" w:hAnsi="宋体" w:eastAsia="宋体" w:cs="宋体"/>
        </w:rPr>
        <w:t>6.1.13.8施工期间承包人因自身原因，收到政府部门关于安全文明施工方面相关通报，发包人按照每次对承包人处以扣除2万元的违约金，此违约金在竣工结算扣除。</w:t>
      </w:r>
    </w:p>
    <w:p w14:paraId="3245B058">
      <w:pPr>
        <w:spacing w:line="360" w:lineRule="auto"/>
        <w:ind w:firstLine="480" w:firstLineChars="200"/>
        <w:rPr>
          <w:rFonts w:hint="eastAsia" w:ascii="宋体" w:hAnsi="宋体" w:eastAsia="宋体" w:cs="宋体"/>
        </w:rPr>
      </w:pPr>
      <w:r>
        <w:rPr>
          <w:rFonts w:hint="eastAsia" w:ascii="宋体" w:hAnsi="宋体" w:eastAsia="宋体" w:cs="宋体"/>
        </w:rPr>
        <w:t>6.1.13.9自承包人接收施工现场起，到工程竣工验收合格、移交发包人止。整个施工现场的安全管理及必要的安全投入，均由承包人承担。</w:t>
      </w:r>
    </w:p>
    <w:p w14:paraId="368AE521">
      <w:pPr>
        <w:spacing w:line="360" w:lineRule="auto"/>
        <w:ind w:firstLine="480" w:firstLineChars="200"/>
        <w:rPr>
          <w:rFonts w:hint="eastAsia" w:ascii="宋体" w:hAnsi="宋体" w:eastAsia="宋体" w:cs="宋体"/>
        </w:rPr>
      </w:pPr>
      <w:r>
        <w:rPr>
          <w:rFonts w:hint="eastAsia" w:ascii="宋体" w:hAnsi="宋体" w:eastAsia="宋体" w:cs="宋体"/>
        </w:rPr>
        <w:t>6.1.13.10治污减霾措施严格按照《西安市建筑垃圾管理条例》、《西安市扬尘污染防治条例》、《西安市2016城市治理专项工作实施方案》、《西安市建设工地施工扬尘治理“六个百分百”指导图例》的通知、《西安市建设工程施工现场围挡及出入口管理规定》、《西安市建设工地和两类企业扬尘治理措施》、《西安市2017年“铁腕治霾•保卫蓝天”“1+1+9”组合方案（办法）的通知》、《西安市2025—2026年秋冬季大气污染治理攻坚行动方案》执行，工地“七个到位”标准、西安市建设工程施工现场围挡及出入口图册等要求，承包人要负责承担为达到以上标准所投入的费用。若承包人未按照上述规定执行，则对发包人产生的所有损失及因违反规定产生的费用均由承包人负责承担。</w:t>
      </w:r>
    </w:p>
    <w:p w14:paraId="0984EF92">
      <w:pPr>
        <w:spacing w:line="360" w:lineRule="auto"/>
        <w:ind w:firstLine="480" w:firstLineChars="200"/>
        <w:rPr>
          <w:rFonts w:hint="eastAsia" w:ascii="宋体" w:hAnsi="宋体" w:eastAsia="宋体" w:cs="宋体"/>
        </w:rPr>
      </w:pPr>
      <w:r>
        <w:rPr>
          <w:rFonts w:hint="eastAsia" w:ascii="宋体" w:hAnsi="宋体" w:eastAsia="宋体" w:cs="宋体"/>
        </w:rPr>
        <w:t>6.1.13.11现场用电必须按照施工验收相关规范要求，三相五线制，一机一闸必须带漏电保护，不许用电炉、电热褥、“热得快”等其他影响安全的不合格电器。如施工现场出现用电漏电或短路跳闸，每次由承包人向发包人承担2000元的违约金。</w:t>
      </w:r>
    </w:p>
    <w:p w14:paraId="4BE75994">
      <w:pPr>
        <w:spacing w:line="360" w:lineRule="auto"/>
        <w:ind w:firstLine="480" w:firstLineChars="200"/>
        <w:rPr>
          <w:rFonts w:hint="eastAsia" w:ascii="宋体" w:hAnsi="宋体" w:eastAsia="宋体" w:cs="宋体"/>
        </w:rPr>
      </w:pPr>
      <w:r>
        <w:rPr>
          <w:rFonts w:hint="eastAsia" w:ascii="宋体" w:hAnsi="宋体" w:eastAsia="宋体" w:cs="宋体"/>
        </w:rPr>
        <w:t>6.1.13.12承包人按照《中华人民共和国安全生产法》，《建设工程安全生产管理条例》和建设部建办[2005]89号《建筑工程安全防护、文明施工措施费用及使用管理规定》及陕西省、项目所在地相关要求中关于创建安全文明施工作业环境的规定执行，所需全部费用已包含在发包人支付的安全防护、文明施工措施费中，发包人无需另行支付。承包人承担由于自身措施不力造成事故的全部责任和费用。</w:t>
      </w:r>
    </w:p>
    <w:bookmarkEnd w:id="775"/>
    <w:bookmarkEnd w:id="776"/>
    <w:bookmarkEnd w:id="777"/>
    <w:bookmarkEnd w:id="778"/>
    <w:bookmarkEnd w:id="779"/>
    <w:bookmarkEnd w:id="780"/>
    <w:bookmarkEnd w:id="781"/>
    <w:p w14:paraId="05645CAF">
      <w:pPr>
        <w:spacing w:line="360" w:lineRule="auto"/>
        <w:ind w:firstLine="482" w:firstLineChars="200"/>
        <w:rPr>
          <w:rFonts w:hint="eastAsia" w:ascii="宋体" w:hAnsi="宋体" w:eastAsia="宋体" w:cs="宋体"/>
          <w:b/>
          <w:bCs/>
        </w:rPr>
      </w:pPr>
      <w:bookmarkStart w:id="783" w:name="_Toc351203639"/>
      <w:r>
        <w:rPr>
          <w:rFonts w:hint="eastAsia" w:ascii="宋体" w:hAnsi="宋体" w:eastAsia="宋体" w:cs="宋体"/>
          <w:b/>
          <w:bCs/>
        </w:rPr>
        <w:t>7.工期和进度</w:t>
      </w:r>
      <w:bookmarkEnd w:id="783"/>
    </w:p>
    <w:p w14:paraId="764457D9">
      <w:pPr>
        <w:spacing w:line="360" w:lineRule="auto"/>
        <w:ind w:firstLine="480" w:firstLineChars="200"/>
        <w:rPr>
          <w:rFonts w:hint="eastAsia" w:ascii="宋体" w:hAnsi="宋体" w:eastAsia="宋体" w:cs="宋体"/>
        </w:rPr>
      </w:pPr>
      <w:r>
        <w:rPr>
          <w:rFonts w:hint="eastAsia" w:ascii="宋体" w:hAnsi="宋体" w:eastAsia="宋体" w:cs="宋体"/>
        </w:rPr>
        <w:t>7.1.2施工组织设计的提交和修改</w:t>
      </w:r>
    </w:p>
    <w:p w14:paraId="36EB1B77">
      <w:pPr>
        <w:spacing w:line="360" w:lineRule="auto"/>
        <w:ind w:firstLine="480" w:firstLineChars="200"/>
        <w:rPr>
          <w:rFonts w:hint="eastAsia" w:ascii="宋体" w:hAnsi="宋体" w:eastAsia="宋体" w:cs="宋体"/>
        </w:rPr>
      </w:pPr>
      <w:r>
        <w:rPr>
          <w:rFonts w:hint="eastAsia" w:ascii="宋体" w:hAnsi="宋体" w:eastAsia="宋体" w:cs="宋体"/>
        </w:rPr>
        <w:t>承包人提交详细施工组织设计的期限的约定：</w:t>
      </w:r>
      <w:r>
        <w:rPr>
          <w:rFonts w:hint="eastAsia" w:ascii="宋体" w:hAnsi="宋体" w:eastAsia="宋体" w:cs="宋体"/>
          <w:u w:val="single"/>
        </w:rPr>
        <w:t>合同签订7天内。</w:t>
      </w:r>
    </w:p>
    <w:p w14:paraId="748972FA">
      <w:pPr>
        <w:spacing w:line="360" w:lineRule="auto"/>
        <w:ind w:firstLine="480" w:firstLineChars="200"/>
        <w:rPr>
          <w:rFonts w:hint="eastAsia" w:ascii="宋体" w:hAnsi="宋体" w:eastAsia="宋体" w:cs="宋体"/>
        </w:rPr>
      </w:pPr>
      <w:r>
        <w:rPr>
          <w:rFonts w:hint="eastAsia" w:ascii="宋体" w:hAnsi="宋体" w:eastAsia="宋体" w:cs="宋体"/>
        </w:rPr>
        <w:t>发包人在收到详细的施工组织设计后确认或提出修改意见的期限：</w:t>
      </w:r>
      <w:r>
        <w:rPr>
          <w:rFonts w:hint="eastAsia" w:ascii="宋体" w:hAnsi="宋体" w:eastAsia="宋体" w:cs="宋体"/>
          <w:u w:val="single"/>
        </w:rPr>
        <w:t>执行通用条款。</w:t>
      </w:r>
    </w:p>
    <w:p w14:paraId="580CDD5A">
      <w:pPr>
        <w:spacing w:line="360" w:lineRule="auto"/>
        <w:ind w:firstLine="480" w:firstLineChars="200"/>
        <w:rPr>
          <w:rFonts w:hint="eastAsia" w:ascii="宋体" w:hAnsi="宋体" w:eastAsia="宋体" w:cs="宋体"/>
        </w:rPr>
      </w:pPr>
      <w:r>
        <w:rPr>
          <w:rFonts w:hint="eastAsia" w:ascii="宋体" w:hAnsi="宋体" w:eastAsia="宋体" w:cs="宋体"/>
        </w:rPr>
        <w:t>7</w:t>
      </w:r>
      <w:bookmarkStart w:id="784" w:name="_Toc304295541"/>
      <w:bookmarkStart w:id="785" w:name="_Toc312677479"/>
      <w:bookmarkStart w:id="786" w:name="_Toc297123514"/>
      <w:bookmarkStart w:id="787" w:name="_Toc300934966"/>
      <w:bookmarkStart w:id="788" w:name="_Toc312678005"/>
      <w:bookmarkStart w:id="789" w:name="_Toc303539123"/>
      <w:bookmarkStart w:id="790" w:name="_Toc297216173"/>
      <w:r>
        <w:rPr>
          <w:rFonts w:hint="eastAsia" w:ascii="宋体" w:hAnsi="宋体" w:eastAsia="宋体" w:cs="宋体"/>
        </w:rPr>
        <w:t>.2施工进度计划</w:t>
      </w:r>
    </w:p>
    <w:p w14:paraId="00949B58">
      <w:pPr>
        <w:spacing w:line="360" w:lineRule="auto"/>
        <w:ind w:firstLine="480" w:firstLineChars="200"/>
        <w:rPr>
          <w:rFonts w:hint="eastAsia" w:ascii="宋体" w:hAnsi="宋体" w:eastAsia="宋体" w:cs="宋体"/>
        </w:rPr>
      </w:pPr>
      <w:r>
        <w:rPr>
          <w:rFonts w:hint="eastAsia" w:ascii="宋体" w:hAnsi="宋体" w:eastAsia="宋体" w:cs="宋体"/>
        </w:rPr>
        <w:t>7.2.2施工进度计划的修订</w:t>
      </w:r>
    </w:p>
    <w:p w14:paraId="601823AF">
      <w:pPr>
        <w:spacing w:line="360" w:lineRule="auto"/>
        <w:ind w:firstLine="480" w:firstLineChars="200"/>
        <w:rPr>
          <w:rFonts w:hint="eastAsia" w:ascii="宋体" w:hAnsi="宋体" w:eastAsia="宋体" w:cs="宋体"/>
        </w:rPr>
      </w:pPr>
      <w:r>
        <w:rPr>
          <w:rFonts w:hint="eastAsia" w:ascii="宋体" w:hAnsi="宋体" w:eastAsia="宋体" w:cs="宋体"/>
        </w:rPr>
        <w:t>发包人在收到修订的施工进度计划后确认或提出修改意见的期限：</w:t>
      </w:r>
      <w:r>
        <w:rPr>
          <w:rFonts w:hint="eastAsia" w:ascii="宋体" w:hAnsi="宋体" w:eastAsia="宋体" w:cs="宋体"/>
          <w:u w:val="single"/>
        </w:rPr>
        <w:t>执行通用条款。</w:t>
      </w:r>
    </w:p>
    <w:p w14:paraId="191DCA91">
      <w:pPr>
        <w:spacing w:line="360" w:lineRule="auto"/>
        <w:ind w:firstLine="480" w:firstLineChars="200"/>
        <w:rPr>
          <w:rFonts w:hint="eastAsia" w:ascii="宋体" w:hAnsi="宋体" w:eastAsia="宋体" w:cs="宋体"/>
        </w:rPr>
      </w:pPr>
      <w:r>
        <w:rPr>
          <w:rFonts w:hint="eastAsia" w:ascii="宋体" w:hAnsi="宋体" w:eastAsia="宋体" w:cs="宋体"/>
        </w:rPr>
        <w:t>7.3开工</w:t>
      </w:r>
    </w:p>
    <w:p w14:paraId="26F0E163">
      <w:pPr>
        <w:spacing w:line="360" w:lineRule="auto"/>
        <w:ind w:firstLine="480" w:firstLineChars="200"/>
        <w:rPr>
          <w:rFonts w:hint="eastAsia" w:ascii="宋体" w:hAnsi="宋体" w:eastAsia="宋体" w:cs="宋体"/>
        </w:rPr>
      </w:pPr>
      <w:r>
        <w:rPr>
          <w:rFonts w:hint="eastAsia" w:ascii="宋体" w:hAnsi="宋体" w:eastAsia="宋体" w:cs="宋体"/>
        </w:rPr>
        <w:t>7.3.1开工准备</w:t>
      </w:r>
    </w:p>
    <w:p w14:paraId="02035C19">
      <w:pPr>
        <w:spacing w:line="360" w:lineRule="auto"/>
        <w:ind w:firstLine="480" w:firstLineChars="200"/>
        <w:rPr>
          <w:rFonts w:hint="eastAsia" w:ascii="宋体" w:hAnsi="宋体" w:eastAsia="宋体" w:cs="宋体"/>
          <w:u w:val="single"/>
        </w:rPr>
      </w:pPr>
      <w:r>
        <w:rPr>
          <w:rFonts w:hint="eastAsia" w:ascii="宋体" w:hAnsi="宋体" w:eastAsia="宋体" w:cs="宋体"/>
        </w:rPr>
        <w:t>关于承包人提交工程开工报审表的期限：</w:t>
      </w:r>
      <w:r>
        <w:rPr>
          <w:rFonts w:hint="eastAsia" w:ascii="宋体" w:hAnsi="宋体" w:eastAsia="宋体" w:cs="宋体"/>
          <w:u w:val="single"/>
        </w:rPr>
        <w:t>合同签订后5天内，但不得晚于通用条款7.3.2项[开工通知]载明的开工日期前10天。</w:t>
      </w:r>
    </w:p>
    <w:p w14:paraId="55F0E959">
      <w:pPr>
        <w:spacing w:line="360" w:lineRule="auto"/>
        <w:ind w:firstLine="480" w:firstLineChars="200"/>
        <w:rPr>
          <w:rFonts w:hint="eastAsia" w:ascii="宋体" w:hAnsi="宋体" w:eastAsia="宋体" w:cs="宋体"/>
        </w:rPr>
      </w:pPr>
      <w:r>
        <w:rPr>
          <w:rFonts w:hint="eastAsia" w:ascii="宋体" w:hAnsi="宋体" w:eastAsia="宋体" w:cs="宋体"/>
        </w:rPr>
        <w:t>关于承包人应完成的其他开工准备工作及期限：</w:t>
      </w:r>
      <w:r>
        <w:rPr>
          <w:rFonts w:hint="eastAsia" w:ascii="宋体" w:hAnsi="宋体" w:eastAsia="宋体" w:cs="宋体"/>
          <w:u w:val="single"/>
        </w:rPr>
        <w:t>治污减霾专项方案、安全生产专项方案、文明施工专项方案、突发应急事件处理专项方案等，开工前7天内。</w:t>
      </w:r>
    </w:p>
    <w:bookmarkEnd w:id="784"/>
    <w:bookmarkEnd w:id="785"/>
    <w:bookmarkEnd w:id="786"/>
    <w:bookmarkEnd w:id="787"/>
    <w:bookmarkEnd w:id="788"/>
    <w:bookmarkEnd w:id="789"/>
    <w:bookmarkEnd w:id="790"/>
    <w:p w14:paraId="1634D301">
      <w:pPr>
        <w:spacing w:line="360" w:lineRule="auto"/>
        <w:ind w:firstLine="480" w:firstLineChars="200"/>
        <w:rPr>
          <w:rFonts w:hint="eastAsia" w:ascii="宋体" w:hAnsi="宋体" w:eastAsia="宋体" w:cs="宋体"/>
        </w:rPr>
      </w:pPr>
      <w:r>
        <w:rPr>
          <w:rFonts w:hint="eastAsia" w:ascii="宋体" w:hAnsi="宋体" w:eastAsia="宋体" w:cs="宋体"/>
        </w:rPr>
        <w:t>7</w:t>
      </w:r>
      <w:bookmarkStart w:id="791" w:name="_Toc304295546"/>
      <w:bookmarkStart w:id="792" w:name="_Toc312677484"/>
      <w:bookmarkStart w:id="793" w:name="_Toc303539125"/>
      <w:bookmarkStart w:id="794" w:name="_Toc312678010"/>
      <w:bookmarkStart w:id="795" w:name="_Toc300934968"/>
      <w:bookmarkStart w:id="796" w:name="_Toc297216175"/>
      <w:bookmarkStart w:id="797" w:name="_Toc297123516"/>
      <w:r>
        <w:rPr>
          <w:rFonts w:hint="eastAsia" w:ascii="宋体" w:hAnsi="宋体" w:eastAsia="宋体" w:cs="宋体"/>
        </w:rPr>
        <w:t>.5工期延误</w:t>
      </w:r>
    </w:p>
    <w:bookmarkEnd w:id="791"/>
    <w:bookmarkEnd w:id="792"/>
    <w:bookmarkEnd w:id="793"/>
    <w:bookmarkEnd w:id="794"/>
    <w:bookmarkEnd w:id="795"/>
    <w:bookmarkEnd w:id="796"/>
    <w:bookmarkEnd w:id="797"/>
    <w:p w14:paraId="038F856A">
      <w:pPr>
        <w:spacing w:line="360" w:lineRule="auto"/>
        <w:ind w:firstLine="480" w:firstLineChars="200"/>
        <w:rPr>
          <w:rFonts w:hint="eastAsia" w:ascii="宋体" w:hAnsi="宋体" w:eastAsia="宋体" w:cs="宋体"/>
        </w:rPr>
      </w:pPr>
      <w:bookmarkStart w:id="798" w:name="_Toc312678014"/>
      <w:bookmarkStart w:id="799" w:name="_Toc318581171"/>
      <w:r>
        <w:rPr>
          <w:rFonts w:hint="eastAsia" w:ascii="宋体" w:hAnsi="宋体" w:eastAsia="宋体" w:cs="宋体"/>
        </w:rPr>
        <w:t>7.5.1因发包人原因导致工期延误</w:t>
      </w:r>
    </w:p>
    <w:p w14:paraId="33FDE1E4">
      <w:pPr>
        <w:spacing w:line="360" w:lineRule="auto"/>
        <w:ind w:firstLine="480" w:firstLineChars="200"/>
        <w:rPr>
          <w:rFonts w:hint="eastAsia" w:ascii="宋体" w:hAnsi="宋体" w:eastAsia="宋体" w:cs="宋体"/>
        </w:rPr>
      </w:pPr>
      <w:r>
        <w:rPr>
          <w:rFonts w:hint="eastAsia" w:ascii="宋体" w:hAnsi="宋体" w:eastAsia="宋体" w:cs="宋体"/>
        </w:rPr>
        <w:t>（7）因发包人原因导致工期延误的其他情形：</w:t>
      </w:r>
      <w:r>
        <w:rPr>
          <w:rFonts w:hint="eastAsia" w:ascii="宋体" w:hAnsi="宋体" w:eastAsia="宋体" w:cs="宋体"/>
          <w:u w:val="single"/>
        </w:rPr>
        <w:t>不可抗力，此延误工期须在发生后7天内办理延期申请，逾期不予认可。</w:t>
      </w:r>
    </w:p>
    <w:p w14:paraId="2DCFAC04">
      <w:pPr>
        <w:spacing w:line="360" w:lineRule="auto"/>
        <w:ind w:firstLine="480" w:firstLineChars="200"/>
        <w:rPr>
          <w:rFonts w:hint="eastAsia" w:ascii="宋体" w:hAnsi="宋体" w:eastAsia="宋体" w:cs="宋体"/>
        </w:rPr>
      </w:pPr>
      <w:r>
        <w:rPr>
          <w:rFonts w:hint="eastAsia" w:ascii="宋体" w:hAnsi="宋体" w:eastAsia="宋体" w:cs="宋体"/>
        </w:rPr>
        <w:t>7</w:t>
      </w:r>
      <w:bookmarkStart w:id="800" w:name="_Toc318581169"/>
      <w:bookmarkStart w:id="801" w:name="_Toc312677486"/>
      <w:bookmarkStart w:id="802" w:name="_Toc312678012"/>
      <w:bookmarkStart w:id="803" w:name="_Toc297123518"/>
      <w:bookmarkStart w:id="804" w:name="_Toc303539127"/>
      <w:bookmarkStart w:id="805" w:name="_Toc300934970"/>
      <w:bookmarkStart w:id="806" w:name="_Toc304295548"/>
      <w:bookmarkStart w:id="807" w:name="_Toc297216177"/>
      <w:r>
        <w:rPr>
          <w:rFonts w:hint="eastAsia" w:ascii="宋体" w:hAnsi="宋体" w:eastAsia="宋体" w:cs="宋体"/>
        </w:rPr>
        <w:t>.5.2因承包人原因导致工期延误</w:t>
      </w:r>
    </w:p>
    <w:bookmarkEnd w:id="800"/>
    <w:bookmarkEnd w:id="801"/>
    <w:bookmarkEnd w:id="802"/>
    <w:p w14:paraId="1306D42C">
      <w:pPr>
        <w:spacing w:line="360" w:lineRule="auto"/>
        <w:ind w:firstLine="480" w:firstLineChars="200"/>
        <w:rPr>
          <w:rFonts w:hint="eastAsia" w:ascii="宋体" w:hAnsi="宋体" w:eastAsia="宋体" w:cs="宋体"/>
          <w:u w:val="single"/>
        </w:rPr>
      </w:pPr>
      <w:r>
        <w:rPr>
          <w:rFonts w:hint="eastAsia" w:ascii="宋体" w:hAnsi="宋体" w:eastAsia="宋体" w:cs="宋体"/>
        </w:rPr>
        <w:t>因</w:t>
      </w:r>
      <w:bookmarkStart w:id="808" w:name="_Toc312678013"/>
      <w:bookmarkStart w:id="809" w:name="_Toc312677487"/>
      <w:bookmarkStart w:id="810" w:name="_Toc318581170"/>
      <w:r>
        <w:rPr>
          <w:rFonts w:hint="eastAsia" w:ascii="宋体" w:hAnsi="宋体" w:eastAsia="宋体" w:cs="宋体"/>
        </w:rPr>
        <w:t>承包人原因造成工期延误，逾期竣工违约金的计算方法为：</w:t>
      </w:r>
      <w:bookmarkEnd w:id="803"/>
      <w:bookmarkEnd w:id="804"/>
      <w:bookmarkEnd w:id="805"/>
      <w:bookmarkEnd w:id="806"/>
      <w:bookmarkEnd w:id="807"/>
      <w:bookmarkEnd w:id="808"/>
      <w:bookmarkEnd w:id="809"/>
      <w:r>
        <w:rPr>
          <w:rFonts w:hint="eastAsia" w:ascii="宋体" w:hAnsi="宋体" w:eastAsia="宋体" w:cs="宋体"/>
          <w:u w:val="single"/>
        </w:rPr>
        <w:t>按投标工期提前无奖励。承包人工期每推迟一天除按合同价的万分之二处罚外，若影响发包人使用时，还应按合同总价的5‰向发包人支付使用违约金。</w:t>
      </w:r>
    </w:p>
    <w:bookmarkEnd w:id="810"/>
    <w:p w14:paraId="080650BD">
      <w:pPr>
        <w:spacing w:line="360" w:lineRule="auto"/>
        <w:ind w:firstLine="480" w:firstLineChars="200"/>
        <w:rPr>
          <w:rFonts w:hint="eastAsia" w:ascii="宋体" w:hAnsi="宋体" w:eastAsia="宋体" w:cs="宋体"/>
        </w:rPr>
      </w:pPr>
      <w:r>
        <w:rPr>
          <w:rFonts w:hint="eastAsia" w:ascii="宋体" w:hAnsi="宋体" w:eastAsia="宋体" w:cs="宋体"/>
        </w:rPr>
        <w:t>因承包人原因造成工期延误，逾期竣工违约金的上限：</w:t>
      </w:r>
      <w:r>
        <w:rPr>
          <w:rFonts w:hint="eastAsia" w:ascii="宋体" w:hAnsi="宋体" w:eastAsia="宋体" w:cs="宋体"/>
          <w:u w:val="single"/>
          <w:lang w:eastAsia="zh-CN"/>
        </w:rPr>
        <w:t>合同金额的</w:t>
      </w:r>
      <w:r>
        <w:rPr>
          <w:rFonts w:hint="eastAsia" w:ascii="宋体" w:hAnsi="宋体" w:eastAsia="宋体" w:cs="宋体"/>
          <w:u w:val="single"/>
          <w:lang w:val="en-US" w:eastAsia="zh-CN"/>
        </w:rPr>
        <w:t>20%</w:t>
      </w:r>
      <w:r>
        <w:rPr>
          <w:rFonts w:hint="eastAsia" w:ascii="宋体" w:hAnsi="宋体" w:eastAsia="宋体" w:cs="宋体"/>
          <w:u w:val="single"/>
        </w:rPr>
        <w:t>。</w:t>
      </w:r>
    </w:p>
    <w:bookmarkEnd w:id="798"/>
    <w:bookmarkEnd w:id="799"/>
    <w:p w14:paraId="75541156">
      <w:pPr>
        <w:spacing w:line="360" w:lineRule="auto"/>
        <w:ind w:firstLine="482" w:firstLineChars="200"/>
        <w:rPr>
          <w:rFonts w:hint="eastAsia" w:ascii="宋体" w:hAnsi="宋体" w:eastAsia="宋体" w:cs="宋体"/>
          <w:b/>
          <w:bCs/>
        </w:rPr>
      </w:pPr>
      <w:bookmarkStart w:id="811" w:name="_Toc351203640"/>
      <w:r>
        <w:rPr>
          <w:rFonts w:hint="eastAsia" w:ascii="宋体" w:hAnsi="宋体" w:eastAsia="宋体" w:cs="宋体"/>
          <w:b/>
          <w:bCs/>
        </w:rPr>
        <w:t>8.材料与设备</w:t>
      </w:r>
      <w:bookmarkEnd w:id="811"/>
    </w:p>
    <w:bookmarkEnd w:id="765"/>
    <w:bookmarkEnd w:id="766"/>
    <w:bookmarkEnd w:id="767"/>
    <w:bookmarkEnd w:id="768"/>
    <w:bookmarkEnd w:id="769"/>
    <w:bookmarkEnd w:id="770"/>
    <w:bookmarkEnd w:id="771"/>
    <w:bookmarkEnd w:id="772"/>
    <w:bookmarkEnd w:id="773"/>
    <w:bookmarkEnd w:id="774"/>
    <w:p w14:paraId="352A16AA">
      <w:pPr>
        <w:spacing w:line="360" w:lineRule="auto"/>
        <w:ind w:firstLine="480" w:firstLineChars="200"/>
        <w:rPr>
          <w:rFonts w:hint="eastAsia" w:ascii="宋体" w:hAnsi="宋体" w:eastAsia="宋体" w:cs="宋体"/>
        </w:rPr>
      </w:pPr>
      <w:bookmarkStart w:id="812" w:name="_Toc318581173"/>
      <w:bookmarkStart w:id="813" w:name="_Toc297123528"/>
      <w:bookmarkStart w:id="814" w:name="_Toc297120468"/>
      <w:bookmarkStart w:id="815" w:name="_Toc280868655"/>
      <w:bookmarkStart w:id="816" w:name="_Toc296891208"/>
      <w:bookmarkStart w:id="817" w:name="_Toc297048354"/>
      <w:bookmarkStart w:id="818" w:name="_Toc300934980"/>
      <w:bookmarkStart w:id="819" w:name="_Toc312677494"/>
      <w:bookmarkStart w:id="820" w:name="_Toc267251424"/>
      <w:bookmarkStart w:id="821" w:name="_Toc296346669"/>
      <w:bookmarkStart w:id="822" w:name="_Toc312678020"/>
      <w:bookmarkStart w:id="823" w:name="_Toc296347167"/>
      <w:bookmarkStart w:id="824" w:name="_Toc280868656"/>
      <w:bookmarkStart w:id="825" w:name="_Toc303539137"/>
      <w:bookmarkStart w:id="826" w:name="_Toc304295557"/>
      <w:bookmarkStart w:id="827" w:name="_Toc297216187"/>
      <w:bookmarkStart w:id="828" w:name="_Toc296944507"/>
      <w:bookmarkStart w:id="829" w:name="_Toc296503168"/>
      <w:bookmarkStart w:id="830" w:name="_Toc296890996"/>
      <w:r>
        <w:rPr>
          <w:rFonts w:hint="eastAsia" w:ascii="宋体" w:hAnsi="宋体" w:eastAsia="宋体" w:cs="宋体"/>
        </w:rPr>
        <w:t>8.2承包人采购材料与工程设备：</w:t>
      </w:r>
    </w:p>
    <w:p w14:paraId="2AB44C81">
      <w:pPr>
        <w:spacing w:line="360" w:lineRule="auto"/>
        <w:ind w:firstLine="480" w:firstLineChars="200"/>
        <w:rPr>
          <w:rFonts w:hint="eastAsia" w:ascii="宋体" w:hAnsi="宋体" w:eastAsia="宋体" w:cs="宋体"/>
          <w:u w:val="single"/>
        </w:rPr>
      </w:pPr>
      <w:r>
        <w:rPr>
          <w:rFonts w:hint="eastAsia" w:ascii="宋体" w:hAnsi="宋体" w:eastAsia="宋体" w:cs="宋体"/>
          <w:u w:val="single"/>
          <w:lang w:val="en-US" w:eastAsia="zh-CN"/>
        </w:rPr>
        <w:t>8.2.1由招标文件中的暂定价材料设备，承包人在采购前必须经发包人认质认价，发包人认定的价格与暂定价差额计算材料价差，其差价部分只计取税金。发包人暂定价或需认质认价的材料设备单价已包含全部费用（为工地出库价）</w:t>
      </w:r>
      <w:r>
        <w:rPr>
          <w:rFonts w:hint="eastAsia" w:ascii="宋体" w:hAnsi="宋体" w:eastAsia="宋体" w:cs="宋体"/>
          <w:u w:val="single"/>
        </w:rPr>
        <w:t>。</w:t>
      </w:r>
    </w:p>
    <w:p w14:paraId="61E7B50C">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8.2.2承包人采购的所有材料、设备，除满足招标文件要求外，且应达到国家规范或设计要求的“合格”及以上标准，且应符合国家、省市关于健康、节能、环保以及强制性认证等要求。由承包人自购的主要材料、设备必须经发包方认质审批后，方可采购。如因材料、设备质量造成的工程损失由承包人负全部责任。</w:t>
      </w:r>
    </w:p>
    <w:p w14:paraId="11197271">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8.2.3承包人应在施工前所需材料的采购计划（包括材料品种、数量和采购时间）以书面形式提交给发包人。由于承包人未按时提供材料采购计划而造成的一切后果均应由承包人自行承担。</w:t>
      </w:r>
    </w:p>
    <w:p w14:paraId="18480DCE">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8.2.4发包人对承包人提供的主要材料和工程设备或认为有必要的材料和工程设备，有权进行质量抽检，材料、设备等质量抽检的费用由承包人承担。</w:t>
      </w:r>
    </w:p>
    <w:p w14:paraId="1F464685">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8.2.5发包人或发包人发现承包人使用不合格的材料，每发现1次，承包人将向发包人支付10,000.00元整的违约金。</w:t>
      </w:r>
    </w:p>
    <w:p w14:paraId="660C1602">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8.2.6招标文件和方案设计中未明确的材料、设备等参数要求，承包人所提供所有材料和设备不低于国标要求，其质量等级按照一线品牌确定；特种材料和设备按照发包人要求确定；最终按照施工图设计要求执行。</w:t>
      </w:r>
    </w:p>
    <w:p w14:paraId="4C3EBAC1">
      <w:pPr>
        <w:spacing w:line="360" w:lineRule="auto"/>
        <w:ind w:firstLine="480" w:firstLineChars="200"/>
        <w:jc w:val="both"/>
        <w:rPr>
          <w:rFonts w:hint="eastAsia" w:ascii="宋体" w:hAnsi="宋体" w:eastAsia="宋体" w:cs="宋体"/>
          <w:highlight w:val="none"/>
          <w:u w:val="single"/>
        </w:rPr>
      </w:pPr>
      <w:r>
        <w:rPr>
          <w:rFonts w:hint="eastAsia" w:ascii="宋体" w:hAnsi="宋体" w:eastAsia="宋体" w:cs="宋体"/>
          <w:highlight w:val="none"/>
          <w:u w:val="single"/>
        </w:rPr>
        <w:t>8.2.7本工程地面瓷砖、中央空调全套设备实行甲方认质认价制度，属于暂估价材料设备。承包人须采购前报送合同主要品牌中的3家及以上品牌样品、资质文件、报价单，经甲方封样、书面确认品牌规格及单价后方可采购施工；无甲方盖章认质认价单，结算不予计价。承包人擅自使用未经确认材料设备的，甲方可要求拆除返工并由承包人承担全部损失，若偷换封样产品，甲方扣除该分项20%工程款作为违约金。认价单单价为全费用包干价，作为最终结算唯一单价依据。</w:t>
      </w:r>
    </w:p>
    <w:p w14:paraId="5D3F272F">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8.2.8承包人采购材料设备的约定：</w:t>
      </w:r>
    </w:p>
    <w:p w14:paraId="5ACF2365">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（1）承包人在施工阶段严格按照所送样本施工，如发包人发现有质量问题导致返工、延误工期，一切后果及费用由承包人承担，发包人有要求整改、赔偿等权利。</w:t>
      </w:r>
    </w:p>
    <w:p w14:paraId="578DB40E">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2）若在现场由发包人或工程师发现不合格材料或假冒伪劣产品，出现货不对板、以次充好、实际供货与封样材料不一致等问题时，承包人应按发包人要求的时间运出施工场地，重新采购符合要求的产品，发包人有权按材料款的3倍进行索赔，由此延误的工期不予顺延。</w:t>
      </w:r>
    </w:p>
    <w:p w14:paraId="7241592C">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（3）所有的材料设备应符合国家民用建筑室内环境污染控制的有关规范要求，因不符合要求而造成发包人损失，由承包人承担一切损失，期限不限于质量保修期。</w:t>
      </w:r>
    </w:p>
    <w:p w14:paraId="5006CFE4">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4）本工程严禁使用一切有毒材料（包括但不限于含铅、油漆、石棉、甲醛或含多氯聚苯的物料等）进行施工。承包人必须确保所使用的设备材料符合环境卫生有关规定；禁止使用含铅油漆、含易碎石棉或含多氯聚苯等任何对人有害的设备材料。</w:t>
      </w:r>
    </w:p>
    <w:p w14:paraId="30622EAD">
      <w:pPr>
        <w:spacing w:line="360" w:lineRule="auto"/>
        <w:ind w:firstLine="480" w:firstLineChars="200"/>
        <w:rPr>
          <w:rFonts w:hint="eastAsia" w:ascii="宋体" w:hAnsi="宋体" w:eastAsia="宋体" w:cs="宋体"/>
        </w:rPr>
      </w:pPr>
      <w:r>
        <w:rPr>
          <w:rFonts w:hint="eastAsia" w:ascii="宋体" w:hAnsi="宋体" w:eastAsia="宋体" w:cs="宋体"/>
        </w:rPr>
        <w:t>其他主要材料价格调整约定：</w:t>
      </w:r>
    </w:p>
    <w:p w14:paraId="41A57C50">
      <w:pPr>
        <w:spacing w:line="360" w:lineRule="auto"/>
        <w:ind w:firstLine="480" w:firstLineChars="200"/>
        <w:rPr>
          <w:rFonts w:hint="eastAsia" w:ascii="宋体" w:hAnsi="宋体" w:eastAsia="宋体" w:cs="宋体"/>
        </w:rPr>
      </w:pPr>
      <w:r>
        <w:rPr>
          <w:rFonts w:hint="eastAsia" w:ascii="宋体" w:hAnsi="宋体" w:eastAsia="宋体" w:cs="宋体"/>
          <w:u w:val="single"/>
        </w:rPr>
        <w:t>商品砼市场价中已含运费、泵送费、抗渗费及其它所需添加剂等一切费用。</w:t>
      </w:r>
    </w:p>
    <w:p w14:paraId="049EDE43">
      <w:pPr>
        <w:spacing w:line="360" w:lineRule="auto"/>
        <w:ind w:firstLine="480" w:firstLineChars="200"/>
        <w:rPr>
          <w:rFonts w:hint="eastAsia" w:ascii="宋体" w:hAnsi="宋体" w:eastAsia="宋体" w:cs="宋体"/>
          <w:u w:val="single"/>
        </w:rPr>
      </w:pPr>
      <w:r>
        <w:rPr>
          <w:rFonts w:hint="eastAsia" w:ascii="宋体" w:hAnsi="宋体" w:eastAsia="宋体" w:cs="宋体"/>
        </w:rPr>
        <w:t>8</w:t>
      </w:r>
      <w:bookmarkStart w:id="831" w:name="_Toc296347166"/>
      <w:bookmarkStart w:id="832" w:name="_Toc296346668"/>
      <w:bookmarkStart w:id="833" w:name="_Toc296944506"/>
      <w:bookmarkStart w:id="834" w:name="_Toc292559877"/>
      <w:bookmarkStart w:id="835" w:name="_Toc300934979"/>
      <w:bookmarkStart w:id="836" w:name="_Toc297048353"/>
      <w:bookmarkStart w:id="837" w:name="_Toc312677493"/>
      <w:bookmarkStart w:id="838" w:name="_Toc280868654"/>
      <w:bookmarkStart w:id="839" w:name="_Toc312678019"/>
      <w:bookmarkStart w:id="840" w:name="_Toc297123527"/>
      <w:bookmarkStart w:id="841" w:name="_Toc296503167"/>
      <w:bookmarkStart w:id="842" w:name="_Toc297216186"/>
      <w:bookmarkStart w:id="843" w:name="_Toc296891207"/>
      <w:bookmarkStart w:id="844" w:name="_Toc296890995"/>
      <w:bookmarkStart w:id="845" w:name="_Toc297120467"/>
      <w:bookmarkStart w:id="846" w:name="_Toc304295556"/>
      <w:bookmarkStart w:id="847" w:name="_Toc303539136"/>
      <w:bookmarkStart w:id="848" w:name="_Toc292559372"/>
      <w:r>
        <w:rPr>
          <w:rFonts w:hint="eastAsia" w:ascii="宋体" w:hAnsi="宋体" w:eastAsia="宋体" w:cs="宋体"/>
        </w:rPr>
        <w:t>.4材料与工程设备的保管与使用：</w:t>
      </w:r>
      <w:r>
        <w:rPr>
          <w:rFonts w:hint="eastAsia" w:ascii="宋体" w:hAnsi="宋体" w:eastAsia="宋体" w:cs="宋体"/>
          <w:u w:val="single"/>
        </w:rPr>
        <w:t>本项目采购材料与工程设备由承包人保管。</w:t>
      </w:r>
    </w:p>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14:paraId="5DC1519B">
      <w:pPr>
        <w:spacing w:line="360" w:lineRule="auto"/>
        <w:ind w:firstLine="480" w:firstLineChars="200"/>
        <w:rPr>
          <w:rFonts w:hint="eastAsia" w:ascii="宋体" w:hAnsi="宋体" w:eastAsia="宋体" w:cs="宋体"/>
        </w:rPr>
      </w:pPr>
      <w:bookmarkStart w:id="849" w:name="_Toc292559878"/>
      <w:bookmarkStart w:id="850" w:name="_Toc292559373"/>
      <w:r>
        <w:rPr>
          <w:rFonts w:hint="eastAsia" w:ascii="宋体" w:hAnsi="宋体" w:eastAsia="宋体" w:cs="宋体"/>
        </w:rPr>
        <w:t>8.4.2承包人采购材料与工程设备的保管与使用：</w:t>
      </w:r>
      <w:bookmarkEnd w:id="849"/>
      <w:bookmarkEnd w:id="850"/>
      <w:r>
        <w:rPr>
          <w:rFonts w:hint="eastAsia" w:ascii="宋体" w:hAnsi="宋体" w:eastAsia="宋体" w:cs="宋体"/>
          <w:u w:val="single"/>
        </w:rPr>
        <w:t>执行通用条款。</w:t>
      </w:r>
    </w:p>
    <w:p w14:paraId="5C649A06">
      <w:pPr>
        <w:spacing w:line="360" w:lineRule="auto"/>
        <w:ind w:firstLine="482" w:firstLineChars="200"/>
        <w:rPr>
          <w:rFonts w:hint="eastAsia" w:ascii="宋体" w:hAnsi="宋体" w:eastAsia="宋体" w:cs="宋体"/>
          <w:b/>
          <w:bCs/>
        </w:rPr>
      </w:pPr>
      <w:bookmarkStart w:id="851" w:name="_Toc351203641"/>
      <w:r>
        <w:rPr>
          <w:rFonts w:hint="eastAsia" w:ascii="宋体" w:hAnsi="宋体" w:eastAsia="宋体" w:cs="宋体"/>
          <w:b/>
          <w:bCs/>
        </w:rPr>
        <w:t>9</w:t>
      </w:r>
      <w:bookmarkStart w:id="852" w:name="_Toc297123533"/>
      <w:bookmarkStart w:id="853" w:name="_Toc300934982"/>
      <w:bookmarkStart w:id="854" w:name="_Toc312678021"/>
      <w:bookmarkStart w:id="855" w:name="_Toc312677495"/>
      <w:bookmarkStart w:id="856" w:name="_Toc297216192"/>
      <w:bookmarkStart w:id="857" w:name="_Toc303539139"/>
      <w:bookmarkStart w:id="858" w:name="_Toc304295559"/>
      <w:r>
        <w:rPr>
          <w:rFonts w:hint="eastAsia" w:ascii="宋体" w:hAnsi="宋体" w:eastAsia="宋体" w:cs="宋体"/>
          <w:b/>
          <w:bCs/>
        </w:rPr>
        <w:t>.试验与检验</w:t>
      </w:r>
      <w:bookmarkEnd w:id="851"/>
    </w:p>
    <w:bookmarkEnd w:id="852"/>
    <w:bookmarkEnd w:id="853"/>
    <w:bookmarkEnd w:id="854"/>
    <w:bookmarkEnd w:id="855"/>
    <w:bookmarkEnd w:id="856"/>
    <w:bookmarkEnd w:id="857"/>
    <w:bookmarkEnd w:id="858"/>
    <w:p w14:paraId="1A75B58B">
      <w:pPr>
        <w:spacing w:line="360" w:lineRule="auto"/>
        <w:ind w:firstLine="480" w:firstLineChars="200"/>
        <w:rPr>
          <w:rFonts w:hint="eastAsia" w:ascii="宋体" w:hAnsi="宋体" w:eastAsia="宋体" w:cs="宋体"/>
        </w:rPr>
      </w:pPr>
      <w:r>
        <w:rPr>
          <w:rFonts w:hint="eastAsia" w:ascii="宋体" w:hAnsi="宋体" w:eastAsia="宋体" w:cs="宋体"/>
        </w:rPr>
        <w:t>9.1试验设备与试验人员</w:t>
      </w:r>
    </w:p>
    <w:p w14:paraId="30C25569">
      <w:pPr>
        <w:spacing w:line="360" w:lineRule="auto"/>
        <w:ind w:firstLine="480" w:firstLineChars="200"/>
        <w:rPr>
          <w:rFonts w:hint="eastAsia" w:ascii="宋体" w:hAnsi="宋体" w:eastAsia="宋体" w:cs="宋体"/>
        </w:rPr>
      </w:pPr>
      <w:r>
        <w:rPr>
          <w:rFonts w:hint="eastAsia" w:ascii="宋体" w:hAnsi="宋体" w:eastAsia="宋体" w:cs="宋体"/>
        </w:rPr>
        <w:t>9.1.2试验设备</w:t>
      </w:r>
    </w:p>
    <w:p w14:paraId="2A5374AA">
      <w:pPr>
        <w:spacing w:line="360" w:lineRule="auto"/>
        <w:ind w:firstLine="480" w:firstLineChars="200"/>
        <w:rPr>
          <w:rFonts w:hint="eastAsia" w:ascii="宋体" w:hAnsi="宋体" w:eastAsia="宋体" w:cs="宋体"/>
        </w:rPr>
      </w:pPr>
      <w:r>
        <w:rPr>
          <w:rFonts w:hint="eastAsia" w:ascii="宋体" w:hAnsi="宋体" w:eastAsia="宋体" w:cs="宋体"/>
        </w:rPr>
        <w:t>施工现场需要配置的试验场所：</w:t>
      </w:r>
      <w:r>
        <w:rPr>
          <w:rFonts w:hint="eastAsia" w:ascii="宋体" w:hAnsi="宋体" w:eastAsia="宋体" w:cs="宋体"/>
          <w:u w:val="single"/>
        </w:rPr>
        <w:t>按照发包人的指示配置，费用由承包人自行承担。</w:t>
      </w:r>
    </w:p>
    <w:p w14:paraId="5EAF573A">
      <w:pPr>
        <w:spacing w:line="360" w:lineRule="auto"/>
        <w:ind w:firstLine="480" w:firstLineChars="200"/>
        <w:rPr>
          <w:rFonts w:hint="eastAsia" w:ascii="宋体" w:hAnsi="宋体" w:eastAsia="宋体" w:cs="宋体"/>
        </w:rPr>
      </w:pPr>
      <w:r>
        <w:rPr>
          <w:rFonts w:hint="eastAsia" w:ascii="宋体" w:hAnsi="宋体" w:eastAsia="宋体" w:cs="宋体"/>
        </w:rPr>
        <w:t>施工现场需要配备的试验设备：</w:t>
      </w:r>
      <w:r>
        <w:rPr>
          <w:rFonts w:hint="eastAsia" w:ascii="宋体" w:hAnsi="宋体" w:eastAsia="宋体" w:cs="宋体"/>
          <w:u w:val="single"/>
        </w:rPr>
        <w:t>按照发包人的指示配置，费用由承包人自行承担。</w:t>
      </w:r>
    </w:p>
    <w:p w14:paraId="07B23220">
      <w:pPr>
        <w:spacing w:line="360" w:lineRule="auto"/>
        <w:ind w:firstLine="480" w:firstLineChars="200"/>
        <w:rPr>
          <w:rFonts w:hint="eastAsia" w:ascii="宋体" w:hAnsi="宋体" w:eastAsia="宋体" w:cs="宋体"/>
        </w:rPr>
      </w:pPr>
      <w:r>
        <w:rPr>
          <w:rFonts w:hint="eastAsia" w:ascii="宋体" w:hAnsi="宋体" w:eastAsia="宋体" w:cs="宋体"/>
        </w:rPr>
        <w:t>施工现场需要具备的其他试验条件：</w:t>
      </w:r>
      <w:r>
        <w:rPr>
          <w:rFonts w:hint="eastAsia" w:ascii="宋体" w:hAnsi="宋体" w:eastAsia="宋体" w:cs="宋体"/>
          <w:u w:val="single"/>
        </w:rPr>
        <w:t>按照发包人的指示配置，费用由承包人自行承担。</w:t>
      </w:r>
    </w:p>
    <w:p w14:paraId="5A39B83C">
      <w:pPr>
        <w:spacing w:line="360" w:lineRule="auto"/>
        <w:ind w:firstLine="480" w:firstLineChars="200"/>
        <w:rPr>
          <w:rFonts w:hint="eastAsia" w:ascii="宋体" w:hAnsi="宋体" w:eastAsia="宋体" w:cs="宋体"/>
        </w:rPr>
      </w:pPr>
      <w:r>
        <w:rPr>
          <w:rFonts w:hint="eastAsia" w:ascii="宋体" w:hAnsi="宋体" w:eastAsia="宋体" w:cs="宋体"/>
        </w:rPr>
        <w:t>9.3材料、工程设备和工程的试验和检验</w:t>
      </w:r>
    </w:p>
    <w:p w14:paraId="735DC1FE">
      <w:pPr>
        <w:spacing w:line="360" w:lineRule="auto"/>
        <w:ind w:firstLine="480" w:firstLineChars="200"/>
        <w:rPr>
          <w:rFonts w:hint="eastAsia" w:ascii="宋体" w:hAnsi="宋体" w:eastAsia="宋体" w:cs="宋体"/>
        </w:rPr>
      </w:pPr>
      <w:r>
        <w:rPr>
          <w:rFonts w:hint="eastAsia" w:ascii="宋体" w:hAnsi="宋体" w:eastAsia="宋体" w:cs="宋体"/>
        </w:rPr>
        <w:t>承包人负责采购的材料和工程设备到达施工现场后，承包人应通知发包人共同进行检验和开箱验收，验收时应同时查验材质证明和产品合格证书。</w:t>
      </w:r>
    </w:p>
    <w:p w14:paraId="6EE81233">
      <w:pPr>
        <w:spacing w:line="360" w:lineRule="auto"/>
        <w:ind w:firstLine="480" w:firstLineChars="200"/>
        <w:rPr>
          <w:rFonts w:hint="eastAsia" w:ascii="宋体" w:hAnsi="宋体" w:eastAsia="宋体" w:cs="宋体"/>
        </w:rPr>
      </w:pPr>
      <w:r>
        <w:rPr>
          <w:rFonts w:hint="eastAsia" w:ascii="宋体" w:hAnsi="宋体" w:eastAsia="宋体" w:cs="宋体"/>
        </w:rPr>
        <w:t>承包人还应按国家规范的规定进行材料的抽样检验和工程设备的检验测试，并将检验结果提交发包人，其所需费用由承包人承担。发包人应按合同规定参加交货验收，承包人应为发包人进行交货验收的监督检查提供一切方便。发包人参加交货验收不免除承包人在检验和交货验收中应负的责任。</w:t>
      </w:r>
    </w:p>
    <w:p w14:paraId="580F2224">
      <w:pPr>
        <w:spacing w:line="360" w:lineRule="auto"/>
        <w:ind w:firstLine="480" w:firstLineChars="200"/>
        <w:rPr>
          <w:rFonts w:hint="eastAsia" w:ascii="宋体" w:hAnsi="宋体" w:eastAsia="宋体" w:cs="宋体"/>
        </w:rPr>
      </w:pPr>
      <w:r>
        <w:rPr>
          <w:rFonts w:hint="eastAsia" w:ascii="宋体" w:hAnsi="宋体" w:eastAsia="宋体" w:cs="宋体"/>
        </w:rPr>
        <w:t>9.4现场工艺试验</w:t>
      </w:r>
    </w:p>
    <w:p w14:paraId="579DA368">
      <w:pPr>
        <w:spacing w:line="360" w:lineRule="auto"/>
        <w:ind w:firstLine="480" w:firstLineChars="200"/>
        <w:rPr>
          <w:rFonts w:hint="eastAsia" w:ascii="宋体" w:hAnsi="宋体" w:eastAsia="宋体" w:cs="宋体"/>
        </w:rPr>
      </w:pPr>
      <w:r>
        <w:rPr>
          <w:rFonts w:hint="eastAsia" w:ascii="宋体" w:hAnsi="宋体" w:eastAsia="宋体" w:cs="宋体"/>
        </w:rPr>
        <w:t>现场工艺试验的有关约定：</w:t>
      </w:r>
      <w:r>
        <w:rPr>
          <w:rFonts w:hint="eastAsia" w:ascii="宋体" w:hAnsi="宋体" w:eastAsia="宋体" w:cs="宋体"/>
          <w:u w:val="single"/>
        </w:rPr>
        <w:t>钢结构焊接、通水、防雷接地、设备调试以及根据规范要求和试验方案所做的一切现场工艺试验运行调试均由承包人自行解决。</w:t>
      </w:r>
    </w:p>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14:paraId="5592AEF0">
      <w:pPr>
        <w:spacing w:line="360" w:lineRule="auto"/>
        <w:ind w:firstLine="482" w:firstLineChars="200"/>
        <w:rPr>
          <w:rFonts w:hint="eastAsia" w:ascii="宋体" w:hAnsi="宋体" w:eastAsia="宋体" w:cs="宋体"/>
          <w:b/>
          <w:bCs/>
        </w:rPr>
      </w:pPr>
      <w:bookmarkStart w:id="859" w:name="_Toc296346674"/>
      <w:bookmarkStart w:id="860" w:name="_Toc296891213"/>
      <w:bookmarkStart w:id="861" w:name="_Toc296944512"/>
      <w:bookmarkStart w:id="862" w:name="_Toc292559378"/>
      <w:bookmarkStart w:id="863" w:name="_Toc267251427"/>
      <w:bookmarkStart w:id="864" w:name="_Toc297048359"/>
      <w:bookmarkStart w:id="865" w:name="_Toc267251428"/>
      <w:bookmarkStart w:id="866" w:name="_Toc296503173"/>
      <w:bookmarkStart w:id="867" w:name="_Toc296347172"/>
      <w:bookmarkStart w:id="868" w:name="_Toc292559883"/>
      <w:bookmarkStart w:id="869" w:name="_Toc296891001"/>
      <w:bookmarkStart w:id="870" w:name="_Toc297120473"/>
      <w:bookmarkStart w:id="871" w:name="_Toc351203642"/>
      <w:r>
        <w:rPr>
          <w:rFonts w:hint="eastAsia" w:ascii="宋体" w:hAnsi="宋体" w:eastAsia="宋体" w:cs="宋体"/>
          <w:b/>
          <w:bCs/>
        </w:rPr>
        <w:t>1</w:t>
      </w:r>
      <w:bookmarkEnd w:id="859"/>
      <w:bookmarkEnd w:id="860"/>
      <w:bookmarkEnd w:id="861"/>
      <w:bookmarkEnd w:id="862"/>
      <w:bookmarkEnd w:id="863"/>
      <w:bookmarkEnd w:id="864"/>
      <w:bookmarkEnd w:id="865"/>
      <w:bookmarkEnd w:id="866"/>
      <w:bookmarkEnd w:id="867"/>
      <w:bookmarkEnd w:id="868"/>
      <w:bookmarkEnd w:id="869"/>
      <w:bookmarkEnd w:id="870"/>
      <w:bookmarkStart w:id="872" w:name="_Toc296347192"/>
      <w:bookmarkStart w:id="873" w:name="_Toc304295566"/>
      <w:bookmarkStart w:id="874" w:name="_Toc303539146"/>
      <w:bookmarkStart w:id="875" w:name="_Toc292559903"/>
      <w:bookmarkStart w:id="876" w:name="_Toc296346694"/>
      <w:bookmarkStart w:id="877" w:name="_Toc296944532"/>
      <w:bookmarkStart w:id="878" w:name="_Toc297216199"/>
      <w:bookmarkStart w:id="879" w:name="_Toc297120493"/>
      <w:bookmarkStart w:id="880" w:name="_Toc292559398"/>
      <w:bookmarkStart w:id="881" w:name="_Toc296891233"/>
      <w:bookmarkStart w:id="882" w:name="_Toc296503193"/>
      <w:bookmarkStart w:id="883" w:name="_Toc300934989"/>
      <w:bookmarkStart w:id="884" w:name="_Toc296891021"/>
      <w:bookmarkStart w:id="885" w:name="_Toc297123540"/>
      <w:bookmarkStart w:id="886" w:name="_Toc297048379"/>
      <w:bookmarkStart w:id="887" w:name="_Toc312678025"/>
      <w:bookmarkStart w:id="888" w:name="_Toc312677499"/>
      <w:bookmarkStart w:id="889" w:name="_Toc267251435"/>
      <w:bookmarkStart w:id="890" w:name="_Toc267251439"/>
      <w:bookmarkStart w:id="891" w:name="_Toc267251437"/>
      <w:bookmarkStart w:id="892" w:name="_Toc267251441"/>
      <w:bookmarkStart w:id="893" w:name="_Toc267251433"/>
      <w:bookmarkStart w:id="894" w:name="_Toc267251440"/>
      <w:bookmarkStart w:id="895" w:name="_Toc267251442"/>
      <w:r>
        <w:rPr>
          <w:rFonts w:hint="eastAsia" w:ascii="宋体" w:hAnsi="宋体" w:eastAsia="宋体" w:cs="宋体"/>
          <w:b/>
          <w:bCs/>
        </w:rPr>
        <w:t>0.变更</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p>
    <w:bookmarkEnd w:id="887"/>
    <w:bookmarkEnd w:id="888"/>
    <w:p w14:paraId="774E0513">
      <w:pPr>
        <w:spacing w:line="360" w:lineRule="auto"/>
        <w:ind w:firstLine="480" w:firstLineChars="200"/>
        <w:rPr>
          <w:rFonts w:hint="eastAsia" w:ascii="宋体" w:hAnsi="宋体" w:eastAsia="宋体" w:cs="宋体"/>
        </w:rPr>
      </w:pPr>
      <w:bookmarkStart w:id="896" w:name="_Toc296891022"/>
      <w:bookmarkStart w:id="897" w:name="_Toc297120494"/>
      <w:bookmarkStart w:id="898" w:name="_Toc296944533"/>
      <w:bookmarkStart w:id="899" w:name="_Toc312677500"/>
      <w:bookmarkStart w:id="900" w:name="_Toc312678026"/>
      <w:bookmarkStart w:id="901" w:name="_Toc297048380"/>
      <w:bookmarkStart w:id="902" w:name="_Toc296503194"/>
      <w:bookmarkStart w:id="903" w:name="_Toc300934990"/>
      <w:bookmarkStart w:id="904" w:name="_Toc292559399"/>
      <w:bookmarkStart w:id="905" w:name="_Toc292559904"/>
      <w:bookmarkStart w:id="906" w:name="_Toc297216200"/>
      <w:bookmarkStart w:id="907" w:name="_Toc296347193"/>
      <w:bookmarkStart w:id="908" w:name="_Toc304295567"/>
      <w:bookmarkStart w:id="909" w:name="_Toc296346695"/>
      <w:bookmarkStart w:id="910" w:name="_Toc297123541"/>
      <w:bookmarkStart w:id="911" w:name="_Toc303539147"/>
      <w:bookmarkStart w:id="912" w:name="_Toc296891234"/>
      <w:r>
        <w:rPr>
          <w:rFonts w:hint="eastAsia" w:ascii="宋体" w:hAnsi="宋体" w:eastAsia="宋体" w:cs="宋体"/>
        </w:rPr>
        <w:t>10.1变更的范围</w:t>
      </w:r>
    </w:p>
    <w:p w14:paraId="0725AC95">
      <w:pPr>
        <w:spacing w:line="360" w:lineRule="auto"/>
        <w:ind w:firstLine="480" w:firstLineChars="200"/>
        <w:rPr>
          <w:rFonts w:hint="eastAsia" w:ascii="宋体" w:hAnsi="宋体" w:eastAsia="宋体" w:cs="宋体"/>
          <w:u w:val="single"/>
        </w:rPr>
      </w:pPr>
      <w:r>
        <w:rPr>
          <w:rFonts w:hint="eastAsia" w:ascii="宋体" w:hAnsi="宋体" w:eastAsia="宋体" w:cs="宋体"/>
        </w:rPr>
        <w:t>关于变更的范围的约定：</w:t>
      </w:r>
      <w:r>
        <w:rPr>
          <w:rFonts w:hint="eastAsia" w:ascii="宋体" w:hAnsi="宋体" w:eastAsia="宋体" w:cs="宋体"/>
          <w:u w:val="single"/>
        </w:rPr>
        <w:t>除通用条款外，承包人在施工中提出的合理化建议涉及到对设计图纸或施工组织设计的更改及对材料、设备的换用，须经报发包人批准后以设计变更单的形式通知承包人实施，否则不作为工程设计变更对待。</w:t>
      </w:r>
    </w:p>
    <w:p w14:paraId="4B5A7B36">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任何变更的提出都应当依据合同或国家有关规范和标准提出。任何变更都必须取得发包人的确认。</w:t>
      </w:r>
    </w:p>
    <w:p w14:paraId="6935B176">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本工程如确需工程变更及签证时，应提前10天报送发包人履行审批程序，未经发包人批准的工程变更及签证不得施工，乙方擅自施工的工程变更及签证发包人不予认可，属于承包人免费施工不得进入工程结算。</w:t>
      </w:r>
    </w:p>
    <w:p w14:paraId="4BE5FCD2">
      <w:pPr>
        <w:spacing w:line="360" w:lineRule="auto"/>
        <w:ind w:firstLine="480" w:firstLineChars="200"/>
        <w:rPr>
          <w:rFonts w:hint="eastAsia" w:ascii="宋体" w:hAnsi="宋体" w:eastAsia="宋体" w:cs="宋体"/>
        </w:rPr>
      </w:pPr>
      <w:r>
        <w:rPr>
          <w:rFonts w:hint="eastAsia" w:ascii="宋体" w:hAnsi="宋体" w:eastAsia="宋体" w:cs="宋体"/>
        </w:rPr>
        <w:t>10.4变更估价</w:t>
      </w:r>
    </w:p>
    <w:p w14:paraId="5120CEEB">
      <w:pPr>
        <w:spacing w:line="360" w:lineRule="auto"/>
        <w:ind w:firstLine="480" w:firstLineChars="200"/>
        <w:rPr>
          <w:rFonts w:hint="eastAsia" w:ascii="宋体" w:hAnsi="宋体" w:eastAsia="宋体" w:cs="宋体"/>
        </w:rPr>
      </w:pPr>
      <w:r>
        <w:rPr>
          <w:rFonts w:hint="eastAsia" w:ascii="宋体" w:hAnsi="宋体" w:eastAsia="宋体" w:cs="宋体"/>
        </w:rPr>
        <w:t>10.4.1变更估价原则</w:t>
      </w:r>
    </w:p>
    <w:p w14:paraId="72AEE3E9">
      <w:pPr>
        <w:spacing w:line="360" w:lineRule="auto"/>
        <w:ind w:firstLine="480" w:firstLineChars="200"/>
        <w:rPr>
          <w:rFonts w:hint="eastAsia" w:ascii="宋体" w:hAnsi="宋体" w:eastAsia="宋体" w:cs="宋体"/>
        </w:rPr>
      </w:pPr>
      <w:r>
        <w:rPr>
          <w:rFonts w:hint="eastAsia" w:ascii="宋体" w:hAnsi="宋体" w:eastAsia="宋体" w:cs="宋体"/>
        </w:rPr>
        <w:t>关于变更估价的约定：</w:t>
      </w:r>
    </w:p>
    <w:p w14:paraId="3A6A59FB">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（1）为避免不平衡报价，本项目同一类型的工程量清单投标报价应基本一致，若出现偏离，在施工过程中，发包人有权按照报价低的投标报价进行调整。</w:t>
      </w:r>
    </w:p>
    <w:p w14:paraId="1D0AC13C">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（2）在本工程施工过程中，若发生设计变更，清单中工程量偏差，漏项及新增变更项目发生时，工程量以实际签证量为准，所发生的工程量按合同授予时双方确认的综合单价进行结算。</w:t>
      </w:r>
    </w:p>
    <w:p w14:paraId="40A3E67A">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（3）变更合同价款其对应的综合单价按下列方法进行调整：</w:t>
      </w:r>
    </w:p>
    <w:p w14:paraId="6ACD9B54">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①合同中已有适用于变更工程的价格，按相应项目合同已确认的综合单价办理结算；</w:t>
      </w:r>
    </w:p>
    <w:p w14:paraId="6CCCCA84">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②合同中只有类似于变更工程的价格，只调整相应的主材费，主材单价按投标文件主材价格计算，若投标文件中无相同主材单价时，按当期信息价执行，差价</w:t>
      </w:r>
      <w:r>
        <w:rPr>
          <w:rFonts w:hint="eastAsia" w:ascii="宋体" w:hAnsi="宋体" w:eastAsia="宋体" w:cs="宋体"/>
          <w:u w:val="single"/>
          <w:lang w:eastAsia="zh-CN"/>
        </w:rPr>
        <w:t>即为结算价。</w:t>
      </w:r>
    </w:p>
    <w:p w14:paraId="07822477">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③合同中没有适用或类似于工程变更的价格，按招标文件编制招标最高投标限价综合单价的原则组价，并按原中标价同原最高投标限价相比下浮相同比例确定结算单价，按确认的结算单价办理结算。</w:t>
      </w:r>
    </w:p>
    <w:p w14:paraId="26BD9C1C">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4）新增工程量相应措施项目费按以下办法调整：除原合同承包价中所含已完工程及设备保护费、大型机械安拆及进出场费不变外，承包人原中标价以综合单价计算的措施项目按上述第（2）条综合单价调整方法办理；承包人原中标价以系数计算的措施项目，按原中标系数计算。</w:t>
      </w:r>
    </w:p>
    <w:p w14:paraId="531A9E76">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（5）发包人认可的变更项目的工程量以及新增工程量超过原工程量15％时，在经过发包人审核确认后，依据合同约定的支付原则按已完成工程量支付至该部分款项的60％，其余部分待工程竣工审计完成后支付。</w:t>
      </w:r>
    </w:p>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14:paraId="3F3DE8DD">
      <w:pPr>
        <w:spacing w:line="360" w:lineRule="auto"/>
        <w:ind w:firstLine="480" w:firstLineChars="200"/>
        <w:rPr>
          <w:rFonts w:hint="eastAsia" w:ascii="宋体" w:hAnsi="宋体" w:eastAsia="宋体" w:cs="宋体"/>
        </w:rPr>
      </w:pPr>
      <w:bookmarkStart w:id="913" w:name="_Toc297120504"/>
      <w:bookmarkStart w:id="914" w:name="_Toc318581175"/>
      <w:bookmarkStart w:id="915" w:name="_Toc296891244"/>
      <w:bookmarkStart w:id="916" w:name="_Toc296503204"/>
      <w:bookmarkStart w:id="917" w:name="_Toc292559914"/>
      <w:bookmarkStart w:id="918" w:name="_Toc296891032"/>
      <w:bookmarkStart w:id="919" w:name="_Toc292559409"/>
      <w:bookmarkStart w:id="920" w:name="_Toc296346705"/>
      <w:bookmarkStart w:id="921" w:name="_Toc297216205"/>
      <w:bookmarkStart w:id="922" w:name="_Toc296347203"/>
      <w:bookmarkStart w:id="923" w:name="_Toc304295571"/>
      <w:bookmarkStart w:id="924" w:name="_Toc300934995"/>
      <w:bookmarkStart w:id="925" w:name="_Toc312678030"/>
      <w:bookmarkStart w:id="926" w:name="_Toc297048390"/>
      <w:bookmarkStart w:id="927" w:name="_Toc303539152"/>
      <w:bookmarkStart w:id="928" w:name="_Toc296944543"/>
      <w:bookmarkStart w:id="929" w:name="_Toc297123546"/>
      <w:bookmarkStart w:id="930" w:name="_Toc312677504"/>
      <w:r>
        <w:rPr>
          <w:rFonts w:hint="eastAsia" w:ascii="宋体" w:hAnsi="宋体" w:eastAsia="宋体" w:cs="宋体"/>
        </w:rPr>
        <w:t>10.7.2不属于依法必须招标的暂估价项目</w:t>
      </w:r>
    </w:p>
    <w:p w14:paraId="3F475684">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对于不属于依法必须招标的暂估价项目，按本项约定确认和批准：</w:t>
      </w:r>
    </w:p>
    <w:p w14:paraId="2ECEDD52">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1）承包人应根据施工进度计划，在签订暂估价项目的采购合同、分包合同前7天向发包人提出书面申请。发包人应当在收到申请后7天内给予批准或提出修改意见，发包人逾期未予批准或提出修改意见的，视为该书面申请已获得同意；</w:t>
      </w:r>
    </w:p>
    <w:p w14:paraId="510D64AF">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（2）发包人认为承包人确定的供应商、分包人无法满足工程质量或合同要求的，发包人可以要求承包人重新确定暂估价项目的供应商、分包人；</w:t>
      </w:r>
    </w:p>
    <w:p w14:paraId="09DC7BDF">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（3）承包人应当在签订暂估价合同后7天内，将暂估价合同副本报送发包人留存。</w:t>
      </w:r>
    </w:p>
    <w:p w14:paraId="7EA60DF8">
      <w:pPr>
        <w:spacing w:line="360" w:lineRule="auto"/>
        <w:ind w:firstLine="480" w:firstLineChars="200"/>
        <w:rPr>
          <w:rFonts w:hint="eastAsia" w:ascii="宋体" w:hAnsi="宋体" w:eastAsia="宋体" w:cs="宋体"/>
        </w:rPr>
      </w:pPr>
      <w:r>
        <w:rPr>
          <w:rFonts w:hint="eastAsia" w:ascii="宋体" w:hAnsi="宋体" w:eastAsia="宋体" w:cs="宋体"/>
        </w:rPr>
        <w:t>10.7.3因发包人原因导致暂估价合同订立和履行迟延的，由此增加的费用和（或）延误的工期由发包人承担。因承包人原因导致暂估价合同订立和履行迟延的，由此增加的费用和（或）延误的工期由承包人承担。</w:t>
      </w:r>
    </w:p>
    <w:p w14:paraId="4372E399">
      <w:pPr>
        <w:spacing w:line="360" w:lineRule="auto"/>
        <w:ind w:firstLine="480" w:firstLineChars="200"/>
        <w:rPr>
          <w:rFonts w:hint="eastAsia" w:ascii="宋体" w:hAnsi="宋体" w:eastAsia="宋体" w:cs="宋体"/>
        </w:rPr>
      </w:pPr>
      <w:r>
        <w:rPr>
          <w:rFonts w:hint="eastAsia" w:ascii="宋体" w:hAnsi="宋体" w:eastAsia="宋体" w:cs="宋体"/>
        </w:rPr>
        <w:t>10.8暂列金额</w:t>
      </w:r>
    </w:p>
    <w:p w14:paraId="29922BD7">
      <w:pPr>
        <w:spacing w:line="360" w:lineRule="auto"/>
        <w:ind w:firstLine="480" w:firstLineChars="200"/>
        <w:rPr>
          <w:rFonts w:hint="eastAsia" w:ascii="宋体" w:hAnsi="宋体" w:eastAsia="宋体" w:cs="宋体"/>
          <w:u w:val="single"/>
        </w:rPr>
      </w:pPr>
      <w:r>
        <w:rPr>
          <w:rFonts w:hint="eastAsia" w:ascii="宋体" w:hAnsi="宋体" w:eastAsia="宋体" w:cs="宋体"/>
        </w:rPr>
        <w:t>合同当事人关于暂列金额使用的约定：</w:t>
      </w:r>
      <w:r>
        <w:rPr>
          <w:rFonts w:hint="eastAsia" w:ascii="宋体" w:hAnsi="宋体" w:eastAsia="宋体" w:cs="宋体"/>
          <w:u w:val="single"/>
        </w:rPr>
        <w:t>暂列金额是发包人为工程实施过程中的不可预见的变更和索赔、调价、材料采购等所设，不应视为承包人所有，当工程发生以上事项时，依据合同相关条款据实结算。</w:t>
      </w:r>
    </w:p>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14:paraId="67A8A6FA">
      <w:pPr>
        <w:spacing w:line="360" w:lineRule="auto"/>
        <w:ind w:firstLine="482" w:firstLineChars="200"/>
        <w:rPr>
          <w:rFonts w:hint="eastAsia" w:ascii="宋体" w:hAnsi="宋体" w:eastAsia="宋体" w:cs="宋体"/>
          <w:b/>
          <w:bCs/>
        </w:rPr>
      </w:pPr>
      <w:bookmarkStart w:id="931" w:name="_Toc351203643"/>
      <w:r>
        <w:rPr>
          <w:rFonts w:hint="eastAsia" w:ascii="宋体" w:hAnsi="宋体" w:eastAsia="宋体" w:cs="宋体"/>
          <w:b/>
          <w:bCs/>
        </w:rPr>
        <w:t>11.价格调整</w:t>
      </w:r>
      <w:bookmarkEnd w:id="931"/>
    </w:p>
    <w:bookmarkEnd w:id="889"/>
    <w:bookmarkEnd w:id="890"/>
    <w:bookmarkEnd w:id="891"/>
    <w:bookmarkEnd w:id="892"/>
    <w:bookmarkEnd w:id="893"/>
    <w:bookmarkEnd w:id="894"/>
    <w:p w14:paraId="4C1AB6C9">
      <w:pPr>
        <w:spacing w:line="360" w:lineRule="auto"/>
        <w:ind w:firstLine="480" w:firstLineChars="200"/>
        <w:rPr>
          <w:rFonts w:hint="eastAsia" w:ascii="宋体" w:hAnsi="宋体" w:eastAsia="宋体" w:cs="宋体"/>
        </w:rPr>
      </w:pPr>
      <w:bookmarkStart w:id="932" w:name="_Toc297048387"/>
      <w:bookmarkStart w:id="933" w:name="_Toc297123550"/>
      <w:bookmarkStart w:id="934" w:name="_Toc296346702"/>
      <w:bookmarkStart w:id="935" w:name="_Toc304295577"/>
      <w:bookmarkStart w:id="936" w:name="_Toc296891029"/>
      <w:bookmarkStart w:id="937" w:name="_Toc312678039"/>
      <w:bookmarkStart w:id="938" w:name="_Toc296347200"/>
      <w:bookmarkStart w:id="939" w:name="_Toc296944540"/>
      <w:bookmarkStart w:id="940" w:name="_Toc296891241"/>
      <w:bookmarkStart w:id="941" w:name="_Toc292559911"/>
      <w:bookmarkStart w:id="942" w:name="_Toc292559406"/>
      <w:bookmarkStart w:id="943" w:name="_Toc296503201"/>
      <w:bookmarkStart w:id="944" w:name="_Toc300935000"/>
      <w:bookmarkStart w:id="945" w:name="_Toc297120501"/>
      <w:bookmarkStart w:id="946" w:name="_Toc303539157"/>
      <w:bookmarkStart w:id="947" w:name="_Toc297216209"/>
      <w:bookmarkStart w:id="948" w:name="_Toc297120505"/>
      <w:bookmarkStart w:id="949" w:name="_Toc296891245"/>
      <w:bookmarkStart w:id="950" w:name="_Toc296346706"/>
      <w:bookmarkStart w:id="951" w:name="_Toc296944544"/>
      <w:bookmarkStart w:id="952" w:name="_Toc296347204"/>
      <w:bookmarkStart w:id="953" w:name="_Toc292559410"/>
      <w:bookmarkStart w:id="954" w:name="_Toc292559915"/>
      <w:bookmarkStart w:id="955" w:name="_Toc297048391"/>
      <w:bookmarkStart w:id="956" w:name="_Toc296503205"/>
      <w:bookmarkStart w:id="957" w:name="_Toc296891033"/>
      <w:bookmarkStart w:id="958" w:name="_Toc351203644"/>
      <w:bookmarkStart w:id="959" w:name="_Toc297123552"/>
      <w:bookmarkStart w:id="960" w:name="_Toc300935002"/>
      <w:bookmarkStart w:id="961" w:name="_Toc303539159"/>
      <w:bookmarkStart w:id="962" w:name="_Toc312678040"/>
      <w:bookmarkStart w:id="963" w:name="_Toc304295579"/>
      <w:bookmarkStart w:id="964" w:name="_Toc297216211"/>
      <w:r>
        <w:rPr>
          <w:rFonts w:hint="eastAsia" w:ascii="宋体" w:hAnsi="宋体" w:eastAsia="宋体" w:cs="宋体"/>
        </w:rPr>
        <w:t>11.1市场价格波动引起的调整</w:t>
      </w:r>
    </w:p>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p w14:paraId="37E3216D">
      <w:pPr>
        <w:spacing w:line="360" w:lineRule="auto"/>
        <w:ind w:firstLine="480" w:firstLineChars="200"/>
        <w:rPr>
          <w:rFonts w:hint="eastAsia" w:ascii="宋体" w:hAnsi="宋体" w:eastAsia="宋体" w:cs="宋体"/>
        </w:rPr>
      </w:pPr>
      <w:r>
        <w:rPr>
          <w:rFonts w:hint="eastAsia" w:ascii="宋体" w:hAnsi="宋体" w:eastAsia="宋体" w:cs="宋体"/>
        </w:rPr>
        <w:t>市场价格波动是否调整合同价格的约定：</w:t>
      </w:r>
      <w:r>
        <w:rPr>
          <w:rFonts w:hint="eastAsia" w:ascii="宋体" w:hAnsi="宋体" w:eastAsia="宋体" w:cs="宋体"/>
          <w:u w:val="single"/>
        </w:rPr>
        <w:t>不调整。</w:t>
      </w:r>
    </w:p>
    <w:bookmarkEnd w:id="948"/>
    <w:bookmarkEnd w:id="949"/>
    <w:bookmarkEnd w:id="950"/>
    <w:bookmarkEnd w:id="951"/>
    <w:bookmarkEnd w:id="952"/>
    <w:bookmarkEnd w:id="953"/>
    <w:bookmarkEnd w:id="954"/>
    <w:bookmarkEnd w:id="955"/>
    <w:bookmarkEnd w:id="956"/>
    <w:bookmarkEnd w:id="957"/>
    <w:p w14:paraId="1F86155C">
      <w:pPr>
        <w:spacing w:line="360" w:lineRule="auto"/>
        <w:ind w:firstLine="480" w:firstLineChars="200"/>
        <w:rPr>
          <w:rFonts w:hint="eastAsia" w:ascii="宋体" w:hAnsi="宋体" w:eastAsia="宋体" w:cs="宋体"/>
        </w:rPr>
      </w:pPr>
      <w:r>
        <w:rPr>
          <w:rFonts w:hint="eastAsia" w:ascii="宋体" w:hAnsi="宋体" w:eastAsia="宋体" w:cs="宋体"/>
        </w:rPr>
        <w:t>12.合同价格、计量与支付</w:t>
      </w:r>
      <w:bookmarkEnd w:id="958"/>
    </w:p>
    <w:p w14:paraId="75EE3E30">
      <w:pPr>
        <w:spacing w:line="360" w:lineRule="auto"/>
        <w:ind w:firstLine="480" w:firstLineChars="200"/>
        <w:rPr>
          <w:rFonts w:hint="eastAsia" w:ascii="宋体" w:hAnsi="宋体" w:eastAsia="宋体" w:cs="宋体"/>
        </w:rPr>
      </w:pPr>
      <w:bookmarkStart w:id="965" w:name="_Toc267251461"/>
      <w:bookmarkStart w:id="966" w:name="_Toc292559411"/>
      <w:bookmarkStart w:id="967" w:name="_Toc292559916"/>
      <w:bookmarkStart w:id="968" w:name="_Toc297120506"/>
      <w:bookmarkStart w:id="969" w:name="_Toc296347205"/>
      <w:bookmarkStart w:id="970" w:name="_Toc296346707"/>
      <w:bookmarkStart w:id="971" w:name="_Toc297048392"/>
      <w:bookmarkStart w:id="972" w:name="_Toc296891034"/>
      <w:bookmarkStart w:id="973" w:name="_Toc296503206"/>
      <w:bookmarkStart w:id="974" w:name="_Toc296891246"/>
      <w:bookmarkStart w:id="975" w:name="_Toc296944545"/>
      <w:r>
        <w:rPr>
          <w:rFonts w:hint="eastAsia" w:ascii="宋体" w:hAnsi="宋体" w:eastAsia="宋体" w:cs="宋体"/>
        </w:rPr>
        <w:t>12.1合</w:t>
      </w:r>
      <w:bookmarkEnd w:id="965"/>
      <w:bookmarkEnd w:id="966"/>
      <w:bookmarkEnd w:id="967"/>
      <w:r>
        <w:rPr>
          <w:rFonts w:hint="eastAsia" w:ascii="宋体" w:hAnsi="宋体" w:eastAsia="宋体" w:cs="宋体"/>
        </w:rPr>
        <w:t>同价</w:t>
      </w:r>
      <w:bookmarkEnd w:id="968"/>
      <w:bookmarkEnd w:id="969"/>
      <w:bookmarkEnd w:id="970"/>
      <w:bookmarkEnd w:id="971"/>
      <w:bookmarkEnd w:id="972"/>
      <w:bookmarkEnd w:id="973"/>
      <w:bookmarkEnd w:id="974"/>
      <w:bookmarkEnd w:id="975"/>
      <w:r>
        <w:rPr>
          <w:rFonts w:hint="eastAsia" w:ascii="宋体" w:hAnsi="宋体" w:eastAsia="宋体" w:cs="宋体"/>
        </w:rPr>
        <w:t>格形式</w:t>
      </w:r>
    </w:p>
    <w:bookmarkEnd w:id="895"/>
    <w:bookmarkEnd w:id="959"/>
    <w:bookmarkEnd w:id="960"/>
    <w:bookmarkEnd w:id="961"/>
    <w:bookmarkEnd w:id="962"/>
    <w:bookmarkEnd w:id="963"/>
    <w:bookmarkEnd w:id="964"/>
    <w:p w14:paraId="4FD4BA7D">
      <w:pPr>
        <w:spacing w:line="360" w:lineRule="auto"/>
        <w:ind w:firstLine="480" w:firstLineChars="200"/>
        <w:rPr>
          <w:rFonts w:hint="eastAsia" w:ascii="宋体" w:hAnsi="宋体" w:eastAsia="宋体" w:cs="宋体"/>
        </w:rPr>
      </w:pPr>
      <w:bookmarkStart w:id="976" w:name="_Toc296346708"/>
      <w:bookmarkStart w:id="977" w:name="_Toc296347206"/>
      <w:bookmarkStart w:id="978" w:name="_Toc297048393"/>
      <w:bookmarkStart w:id="979" w:name="_Toc296891035"/>
      <w:bookmarkStart w:id="980" w:name="_Toc292559412"/>
      <w:bookmarkStart w:id="981" w:name="_Toc297120507"/>
      <w:bookmarkStart w:id="982" w:name="_Toc296503207"/>
      <w:bookmarkStart w:id="983" w:name="_Toc292559917"/>
      <w:bookmarkStart w:id="984" w:name="_Toc296944546"/>
      <w:bookmarkStart w:id="985" w:name="_Toc296891247"/>
      <w:bookmarkStart w:id="986" w:name="_Toc351203645"/>
      <w:bookmarkStart w:id="987" w:name="_Toc292559424"/>
      <w:bookmarkStart w:id="988" w:name="_Toc303539172"/>
      <w:bookmarkStart w:id="989" w:name="_Toc296891259"/>
      <w:bookmarkStart w:id="990" w:name="_Toc292559929"/>
      <w:bookmarkStart w:id="991" w:name="_Toc296944558"/>
      <w:bookmarkStart w:id="992" w:name="_Toc296503219"/>
      <w:bookmarkStart w:id="993" w:name="_Toc297048405"/>
      <w:bookmarkStart w:id="994" w:name="_Toc297216223"/>
      <w:bookmarkStart w:id="995" w:name="_Toc297120519"/>
      <w:bookmarkStart w:id="996" w:name="_Toc312678053"/>
      <w:bookmarkStart w:id="997" w:name="_Toc297123564"/>
      <w:bookmarkStart w:id="998" w:name="_Toc296347218"/>
      <w:bookmarkStart w:id="999" w:name="_Toc304295593"/>
      <w:bookmarkStart w:id="1000" w:name="_Toc296891047"/>
      <w:bookmarkStart w:id="1001" w:name="_Toc300935015"/>
      <w:bookmarkStart w:id="1002" w:name="_Toc296346720"/>
      <w:r>
        <w:rPr>
          <w:rFonts w:hint="eastAsia" w:ascii="宋体" w:hAnsi="宋体" w:eastAsia="宋体" w:cs="宋体"/>
        </w:rPr>
        <w:t>12.1.1单价合同。</w:t>
      </w:r>
    </w:p>
    <w:p w14:paraId="2F031B69">
      <w:pPr>
        <w:spacing w:line="360" w:lineRule="auto"/>
        <w:ind w:firstLine="480" w:firstLineChars="200"/>
        <w:rPr>
          <w:rFonts w:hint="eastAsia" w:ascii="宋体" w:hAnsi="宋体" w:eastAsia="宋体" w:cs="宋体"/>
        </w:rPr>
      </w:pPr>
      <w:r>
        <w:rPr>
          <w:rFonts w:hint="eastAsia" w:ascii="宋体" w:hAnsi="宋体" w:eastAsia="宋体" w:cs="宋体"/>
        </w:rPr>
        <w:t>综合单价包含的风险范围：</w:t>
      </w:r>
      <w:r>
        <w:rPr>
          <w:rFonts w:hint="eastAsia" w:ascii="宋体" w:hAnsi="宋体" w:eastAsia="宋体" w:cs="宋体"/>
          <w:u w:val="single"/>
        </w:rPr>
        <w:t>除国家政策及不可抗力以外的所有风险。</w:t>
      </w:r>
    </w:p>
    <w:p w14:paraId="253F685B">
      <w:pPr>
        <w:spacing w:line="360" w:lineRule="auto"/>
        <w:ind w:firstLine="480" w:firstLineChars="200"/>
        <w:rPr>
          <w:rFonts w:hint="eastAsia" w:ascii="宋体" w:hAnsi="宋体" w:eastAsia="宋体" w:cs="宋体"/>
        </w:rPr>
      </w:pPr>
      <w:r>
        <w:rPr>
          <w:rFonts w:hint="eastAsia" w:ascii="宋体" w:hAnsi="宋体" w:eastAsia="宋体" w:cs="宋体"/>
        </w:rPr>
        <w:t>风险费用的计算方法：</w:t>
      </w:r>
      <w:r>
        <w:rPr>
          <w:rFonts w:hint="eastAsia" w:ascii="宋体" w:hAnsi="宋体" w:eastAsia="宋体" w:cs="宋体"/>
          <w:u w:val="single"/>
        </w:rPr>
        <w:t>应由承包人承担的风险费用已由承包人根据自身经验作了充分估计并已计入合同协议确定的合同价款中，风险费用未单独计列的，应认为已经包含在合同价款中。</w:t>
      </w:r>
    </w:p>
    <w:p w14:paraId="0C934367">
      <w:pPr>
        <w:spacing w:line="360" w:lineRule="auto"/>
        <w:ind w:firstLine="480" w:firstLineChars="200"/>
        <w:rPr>
          <w:rFonts w:hint="eastAsia" w:ascii="宋体" w:hAnsi="宋体" w:eastAsia="宋体" w:cs="宋体"/>
        </w:rPr>
      </w:pPr>
      <w:r>
        <w:rPr>
          <w:rFonts w:hint="eastAsia" w:ascii="宋体" w:hAnsi="宋体" w:eastAsia="宋体" w:cs="宋体"/>
        </w:rPr>
        <w:t>风险范围以外合同价格的调整方法：</w:t>
      </w:r>
      <w:r>
        <w:rPr>
          <w:rFonts w:hint="eastAsia" w:ascii="宋体" w:hAnsi="宋体" w:eastAsia="宋体" w:cs="宋体"/>
          <w:u w:val="single"/>
        </w:rPr>
        <w:t>1、暂定价材料按实际购买价与暂定价的差价据实调整；2、本合同实施期间因招标文件分部分项工程量清单漏项或工程量偏差、设计变更及相关签证等非承包人原因引起工程项目、工程量变化，其工程量按实际发生并经发包人签证认可，变更合同价款按下列方法进行：（1）清单或合同中已有适用于新工程量清单项目的价格，按已有价格变更合同价款；（2）清单或合同中只有类似（施工工艺相同）于新工程量清单项目的价格，可以参照类似价格变更合同价款；（3）清单或合同中没有类似于新工程量清单项目的价格，由承包人按招标最高投标限价计算办法计算的价格乘以中标价与最高投标限价的比率进行计价（其中主要材料按当期信息价执行），并报发包人审核，经承、发包双方确认后执行。</w:t>
      </w:r>
    </w:p>
    <w:p w14:paraId="088D7FD1">
      <w:pPr>
        <w:spacing w:line="360" w:lineRule="auto"/>
        <w:ind w:firstLine="480" w:firstLineChars="200"/>
        <w:rPr>
          <w:rFonts w:hint="eastAsia" w:ascii="宋体" w:hAnsi="宋体" w:eastAsia="宋体" w:cs="宋体"/>
        </w:rPr>
      </w:pPr>
      <w:r>
        <w:rPr>
          <w:rFonts w:hint="eastAsia" w:ascii="宋体" w:hAnsi="宋体" w:eastAsia="宋体" w:cs="宋体"/>
        </w:rPr>
        <w:t>12.1.2合同价款调整：</w:t>
      </w:r>
    </w:p>
    <w:p w14:paraId="376D2DA6">
      <w:pPr>
        <w:spacing w:line="360" w:lineRule="auto"/>
        <w:ind w:firstLine="480" w:firstLineChars="200"/>
        <w:rPr>
          <w:rFonts w:hint="eastAsia" w:ascii="宋体" w:hAnsi="宋体" w:eastAsia="宋体" w:cs="宋体"/>
        </w:rPr>
      </w:pPr>
      <w:r>
        <w:rPr>
          <w:rFonts w:hint="eastAsia" w:ascii="宋体" w:hAnsi="宋体" w:eastAsia="宋体" w:cs="宋体"/>
        </w:rPr>
        <w:t>（1）双方约定合同价款的其他调整因素：以按中标条件签订的施工合同为依据进行结算。</w:t>
      </w:r>
    </w:p>
    <w:p w14:paraId="727D0009">
      <w:pPr>
        <w:spacing w:line="360" w:lineRule="auto"/>
        <w:ind w:firstLine="480" w:firstLineChars="200"/>
        <w:rPr>
          <w:rFonts w:hint="eastAsia" w:ascii="宋体" w:hAnsi="宋体" w:eastAsia="宋体" w:cs="宋体"/>
        </w:rPr>
      </w:pPr>
      <w:r>
        <w:rPr>
          <w:rFonts w:hint="eastAsia" w:ascii="宋体" w:hAnsi="宋体" w:eastAsia="宋体" w:cs="宋体"/>
        </w:rPr>
        <w:t>（2）在本工程施工过程中，若发生变更，以设计变更、签证为依据，发包人审核为准，价款调整办法参照12.1.1条。</w:t>
      </w:r>
    </w:p>
    <w:p w14:paraId="40774517">
      <w:pPr>
        <w:spacing w:line="360" w:lineRule="auto"/>
        <w:ind w:firstLine="480" w:firstLineChars="200"/>
        <w:rPr>
          <w:rFonts w:hint="eastAsia" w:ascii="宋体" w:hAnsi="宋体" w:eastAsia="宋体" w:cs="宋体"/>
        </w:rPr>
      </w:pPr>
      <w:r>
        <w:rPr>
          <w:rFonts w:hint="eastAsia" w:ascii="宋体" w:hAnsi="宋体" w:eastAsia="宋体" w:cs="宋体"/>
        </w:rPr>
        <w:t>（3）本工程量按实结算。</w:t>
      </w:r>
    </w:p>
    <w:p w14:paraId="3AA26BE2">
      <w:pPr>
        <w:spacing w:line="360" w:lineRule="auto"/>
        <w:ind w:firstLine="480" w:firstLineChars="200"/>
        <w:rPr>
          <w:rFonts w:hint="eastAsia" w:ascii="宋体" w:hAnsi="宋体" w:eastAsia="宋体" w:cs="宋体"/>
        </w:rPr>
      </w:pPr>
      <w:r>
        <w:rPr>
          <w:rFonts w:hint="eastAsia" w:ascii="宋体" w:hAnsi="宋体" w:eastAsia="宋体" w:cs="宋体"/>
        </w:rPr>
        <w:t>（4）材料市场价格波动引起的价款调整：</w:t>
      </w:r>
      <w:r>
        <w:rPr>
          <w:rFonts w:hint="eastAsia" w:ascii="宋体" w:hAnsi="宋体" w:eastAsia="宋体" w:cs="宋体"/>
          <w:u w:val="single"/>
        </w:rPr>
        <w:t>不予调整。</w:t>
      </w:r>
    </w:p>
    <w:p w14:paraId="04117F7E">
      <w:pPr>
        <w:spacing w:line="360" w:lineRule="auto"/>
        <w:ind w:firstLine="480" w:firstLineChars="200"/>
        <w:rPr>
          <w:rFonts w:hint="eastAsia" w:ascii="宋体" w:hAnsi="宋体" w:eastAsia="宋体" w:cs="宋体"/>
        </w:rPr>
      </w:pPr>
      <w:r>
        <w:rPr>
          <w:rFonts w:hint="eastAsia" w:ascii="宋体" w:hAnsi="宋体" w:eastAsia="宋体" w:cs="宋体"/>
        </w:rPr>
        <w:t>（5）暂定价的材料由发包人认质认价，差额以差价形式调整总价，暂定单价的材料或设备由发、承包人协商确认实际单价，实际单价与暂定价的差额以差价形式调整总价。</w:t>
      </w:r>
    </w:p>
    <w:p w14:paraId="2E54B5B4">
      <w:pPr>
        <w:spacing w:line="360" w:lineRule="auto"/>
        <w:ind w:firstLine="480" w:firstLineChars="200"/>
        <w:rPr>
          <w:rFonts w:hint="eastAsia" w:ascii="宋体" w:hAnsi="宋体" w:eastAsia="宋体" w:cs="宋体"/>
        </w:rPr>
      </w:pPr>
      <w:r>
        <w:rPr>
          <w:rFonts w:hint="eastAsia" w:ascii="宋体" w:hAnsi="宋体" w:eastAsia="宋体" w:cs="宋体"/>
        </w:rPr>
        <w:t>（6）人工费根据政府部门公布的最新文件进行调整，调整办法：最新文件工日单价与最高投标限价编制工日单价进行调差计入。</w:t>
      </w:r>
    </w:p>
    <w:p w14:paraId="02CB8553">
      <w:pPr>
        <w:spacing w:line="360" w:lineRule="auto"/>
        <w:ind w:firstLine="480" w:firstLineChars="200"/>
        <w:rPr>
          <w:rFonts w:hint="eastAsia" w:ascii="宋体" w:hAnsi="宋体" w:eastAsia="宋体" w:cs="宋体"/>
        </w:rPr>
      </w:pPr>
      <w:r>
        <w:rPr>
          <w:rFonts w:hint="eastAsia" w:ascii="宋体" w:hAnsi="宋体" w:eastAsia="宋体" w:cs="宋体"/>
        </w:rPr>
        <w:t>（7）其他项目费用以现场签证的事项和金额结算。</w:t>
      </w:r>
    </w:p>
    <w:p w14:paraId="54C666D7">
      <w:pPr>
        <w:spacing w:line="360" w:lineRule="auto"/>
        <w:ind w:firstLine="480" w:firstLineChars="200"/>
        <w:rPr>
          <w:rFonts w:hint="eastAsia" w:ascii="宋体" w:hAnsi="宋体" w:eastAsia="宋体" w:cs="宋体"/>
        </w:rPr>
      </w:pPr>
      <w:r>
        <w:rPr>
          <w:rFonts w:hint="eastAsia" w:ascii="宋体" w:hAnsi="宋体" w:eastAsia="宋体" w:cs="宋体"/>
        </w:rPr>
        <w:t>（8）工程结算价＝合同价±设计变更价款±现场签证±</w:t>
      </w:r>
      <w:r>
        <w:rPr>
          <w:rFonts w:hint="eastAsia" w:ascii="宋体" w:hAnsi="宋体" w:eastAsia="宋体" w:cs="宋体"/>
          <w:sz w:val="24"/>
        </w:rPr>
        <w:t>合同中约定的其他调价（罚款）</w:t>
      </w:r>
      <w:r>
        <w:rPr>
          <w:rFonts w:hint="eastAsia" w:ascii="宋体" w:hAnsi="宋体" w:eastAsia="宋体" w:cs="宋体"/>
        </w:rPr>
        <w:t>。</w:t>
      </w:r>
    </w:p>
    <w:p w14:paraId="5A642DF5">
      <w:pPr>
        <w:spacing w:line="360" w:lineRule="auto"/>
        <w:ind w:firstLine="480" w:firstLineChars="200"/>
        <w:rPr>
          <w:rFonts w:hint="eastAsia" w:ascii="宋体" w:hAnsi="宋体" w:eastAsia="宋体" w:cs="宋体"/>
        </w:rPr>
      </w:pPr>
      <w:r>
        <w:rPr>
          <w:rFonts w:hint="eastAsia" w:ascii="宋体" w:hAnsi="宋体" w:eastAsia="宋体" w:cs="宋体"/>
        </w:rPr>
        <w:t>12.1.3合同价款中包含以下费用：</w:t>
      </w:r>
    </w:p>
    <w:p w14:paraId="5043F767">
      <w:pPr>
        <w:spacing w:line="360" w:lineRule="auto"/>
        <w:ind w:firstLine="480" w:firstLineChars="200"/>
        <w:rPr>
          <w:rFonts w:hint="eastAsia" w:ascii="宋体" w:hAnsi="宋体" w:eastAsia="宋体" w:cs="宋体"/>
        </w:rPr>
      </w:pPr>
      <w:r>
        <w:rPr>
          <w:rFonts w:hint="eastAsia" w:ascii="宋体" w:hAnsi="宋体" w:eastAsia="宋体" w:cs="宋体"/>
        </w:rPr>
        <w:t>12.1.3.1劳保统筹基金计入合同价款中。</w:t>
      </w:r>
    </w:p>
    <w:p w14:paraId="5A771DBB">
      <w:pPr>
        <w:spacing w:line="360" w:lineRule="auto"/>
        <w:ind w:firstLine="480" w:firstLineChars="200"/>
        <w:rPr>
          <w:rFonts w:hint="eastAsia" w:ascii="宋体" w:hAnsi="宋体" w:eastAsia="宋体" w:cs="宋体"/>
        </w:rPr>
      </w:pPr>
      <w:r>
        <w:rPr>
          <w:rFonts w:hint="eastAsia" w:ascii="宋体" w:hAnsi="宋体" w:eastAsia="宋体" w:cs="宋体"/>
        </w:rPr>
        <w:t>12.1.3.2不可竞争的</w:t>
      </w:r>
      <w:r>
        <w:rPr>
          <w:rFonts w:hint="eastAsia" w:ascii="宋体" w:hAnsi="宋体" w:eastAsia="宋体" w:cs="宋体"/>
          <w:lang w:val="en-US" w:eastAsia="zh-CN"/>
        </w:rPr>
        <w:t>暂列金额、暂估价、增值税</w:t>
      </w:r>
      <w:r>
        <w:rPr>
          <w:rFonts w:hint="eastAsia" w:ascii="宋体" w:hAnsi="宋体" w:eastAsia="宋体" w:cs="宋体"/>
        </w:rPr>
        <w:t>、安全文明施工费等费用，必须按照计价规则的规定计取，不得优惠，不得浮动。</w:t>
      </w:r>
    </w:p>
    <w:p w14:paraId="26BC7DAE">
      <w:pPr>
        <w:spacing w:line="360" w:lineRule="auto"/>
        <w:ind w:firstLine="480" w:firstLineChars="200"/>
        <w:rPr>
          <w:rFonts w:hint="eastAsia" w:ascii="宋体" w:hAnsi="宋体" w:eastAsia="宋体" w:cs="宋体"/>
        </w:rPr>
      </w:pPr>
      <w:r>
        <w:rPr>
          <w:rFonts w:hint="eastAsia" w:ascii="宋体" w:hAnsi="宋体" w:eastAsia="宋体" w:cs="宋体"/>
        </w:rPr>
        <w:t>12.1.3.3施工场地水电，由发包人指定水源、电源接口位置，由承包人自行接入，并装表计量，电费每度1.1615元；水费每吨7.7504元，由承包人向供应部门缴纳。</w:t>
      </w:r>
    </w:p>
    <w:p w14:paraId="282E4185">
      <w:pPr>
        <w:spacing w:line="360" w:lineRule="auto"/>
        <w:ind w:firstLine="480" w:firstLineChars="200"/>
        <w:rPr>
          <w:rFonts w:hint="eastAsia" w:ascii="宋体" w:hAnsi="宋体" w:eastAsia="宋体" w:cs="宋体"/>
        </w:rPr>
      </w:pPr>
      <w:r>
        <w:rPr>
          <w:rFonts w:hint="eastAsia" w:ascii="宋体" w:hAnsi="宋体" w:eastAsia="宋体" w:cs="宋体"/>
        </w:rPr>
        <w:t>12.1.3.4本工程工期最终以发包人要求为准，不因政府部门及发包人原因对工期要求所产生赶工费用或相关的费用不予增加，发包人视同综合考虑在合同价款中。</w:t>
      </w:r>
    </w:p>
    <w:p w14:paraId="119465D5">
      <w:pPr>
        <w:spacing w:line="360" w:lineRule="auto"/>
        <w:ind w:firstLine="480" w:firstLineChars="200"/>
        <w:rPr>
          <w:rFonts w:hint="eastAsia" w:ascii="宋体" w:hAnsi="宋体" w:eastAsia="宋体" w:cs="宋体"/>
        </w:rPr>
      </w:pPr>
      <w:r>
        <w:rPr>
          <w:rFonts w:hint="eastAsia" w:ascii="宋体" w:hAnsi="宋体" w:eastAsia="宋体" w:cs="宋体"/>
        </w:rPr>
        <w:t>12.1.3.5自行解决与其他专业穿插施工引起的人员机械停滞窝工费用，各专业穿插施工引起的修复、损毁、返工等费用。</w:t>
      </w:r>
    </w:p>
    <w:p w14:paraId="0513600B">
      <w:pPr>
        <w:spacing w:line="360" w:lineRule="auto"/>
        <w:ind w:firstLine="480" w:firstLineChars="200"/>
        <w:rPr>
          <w:rFonts w:hint="eastAsia" w:ascii="宋体" w:hAnsi="宋体" w:eastAsia="宋体" w:cs="宋体"/>
        </w:rPr>
      </w:pPr>
      <w:r>
        <w:rPr>
          <w:rFonts w:hint="eastAsia" w:ascii="宋体" w:hAnsi="宋体" w:eastAsia="宋体" w:cs="宋体"/>
        </w:rPr>
        <w:t>12.1.3.6若工地现场不具备设置工人宿舍或生活区的条件，在场外集中租住的费用以及场外租用堆放材料场地的所有费用由承包方承担。</w:t>
      </w:r>
    </w:p>
    <w:p w14:paraId="53583A4C">
      <w:pPr>
        <w:spacing w:line="360" w:lineRule="auto"/>
        <w:ind w:firstLine="480" w:firstLineChars="200"/>
        <w:rPr>
          <w:rFonts w:hint="eastAsia" w:ascii="宋体" w:hAnsi="宋体" w:eastAsia="宋体" w:cs="宋体"/>
        </w:rPr>
      </w:pPr>
      <w:r>
        <w:rPr>
          <w:rFonts w:hint="eastAsia" w:ascii="宋体" w:hAnsi="宋体" w:eastAsia="宋体" w:cs="宋体"/>
        </w:rPr>
        <w:t>12.1.3.7承包人应充分考虑停电、停水、二次搬运或多次搬运、施工场地不足、赶工措施、成品保护等所需措施的一切费用和工期，并已考虑了各种可能因素影响施工所增加的费用</w:t>
      </w:r>
    </w:p>
    <w:p w14:paraId="7AC14734">
      <w:pPr>
        <w:spacing w:line="360" w:lineRule="auto"/>
        <w:ind w:firstLine="480" w:firstLineChars="200"/>
        <w:rPr>
          <w:rFonts w:hint="eastAsia" w:ascii="宋体" w:hAnsi="宋体" w:eastAsia="宋体" w:cs="宋体"/>
        </w:rPr>
      </w:pPr>
      <w:r>
        <w:rPr>
          <w:rFonts w:hint="eastAsia" w:ascii="宋体" w:hAnsi="宋体" w:eastAsia="宋体" w:cs="宋体"/>
        </w:rPr>
        <w:t>12.1.3.8遵守地方政府和有关部门对环境治理、扬尘控制、治污减霾、施工噪音等的管理规定，按规定承担相应的费用。</w:t>
      </w:r>
    </w:p>
    <w:p w14:paraId="63D58EAC">
      <w:pPr>
        <w:spacing w:line="360" w:lineRule="auto"/>
        <w:ind w:firstLine="480" w:firstLineChars="200"/>
        <w:rPr>
          <w:rFonts w:hint="eastAsia" w:ascii="宋体" w:hAnsi="宋体" w:eastAsia="宋体" w:cs="宋体"/>
        </w:rPr>
      </w:pPr>
      <w:r>
        <w:rPr>
          <w:rFonts w:hint="eastAsia" w:ascii="宋体" w:hAnsi="宋体" w:eastAsia="宋体" w:cs="宋体"/>
        </w:rPr>
        <w:t>12.1.3.9承担已完工项目交验前的成品保护费及保护措施包括但不限于特殊保护措施，竣工验收之前及交付使用前的多次保洁、清洁、开荒、打蜡、饰面层防护等费用支出，包括但不限于外立面、室内装修、设备、管道等部位的清洁。</w:t>
      </w:r>
    </w:p>
    <w:p w14:paraId="12CF5532">
      <w:pPr>
        <w:spacing w:line="360" w:lineRule="auto"/>
        <w:ind w:firstLine="480" w:firstLineChars="200"/>
        <w:rPr>
          <w:rFonts w:hint="eastAsia" w:ascii="宋体" w:hAnsi="宋体" w:eastAsia="宋体" w:cs="宋体"/>
        </w:rPr>
      </w:pPr>
      <w:r>
        <w:rPr>
          <w:rFonts w:hint="eastAsia" w:ascii="宋体" w:hAnsi="宋体" w:eastAsia="宋体" w:cs="宋体"/>
        </w:rPr>
        <w:t>12.1.3.10材料试验检验费等包含于本次合同范围，费用由承包人承担。除了国家强制规定由建设单位自行委托的各种检测，其他均在本次合同中包含。</w:t>
      </w:r>
    </w:p>
    <w:p w14:paraId="37042A8B">
      <w:pPr>
        <w:spacing w:line="360" w:lineRule="auto"/>
        <w:ind w:firstLine="480" w:firstLineChars="200"/>
        <w:rPr>
          <w:rFonts w:hint="eastAsia" w:ascii="宋体" w:hAnsi="宋体" w:eastAsia="宋体" w:cs="宋体"/>
        </w:rPr>
      </w:pPr>
      <w:r>
        <w:rPr>
          <w:rFonts w:hint="eastAsia" w:ascii="宋体" w:hAnsi="宋体" w:eastAsia="宋体" w:cs="宋体"/>
        </w:rPr>
        <w:t>12.2预付款</w:t>
      </w:r>
    </w:p>
    <w:bookmarkEnd w:id="976"/>
    <w:bookmarkEnd w:id="977"/>
    <w:bookmarkEnd w:id="978"/>
    <w:bookmarkEnd w:id="979"/>
    <w:bookmarkEnd w:id="980"/>
    <w:bookmarkEnd w:id="981"/>
    <w:bookmarkEnd w:id="982"/>
    <w:bookmarkEnd w:id="983"/>
    <w:bookmarkEnd w:id="984"/>
    <w:bookmarkEnd w:id="985"/>
    <w:p w14:paraId="35E0E5FF">
      <w:pPr>
        <w:spacing w:line="360" w:lineRule="auto"/>
        <w:ind w:firstLine="480" w:firstLineChars="200"/>
        <w:rPr>
          <w:rFonts w:hint="eastAsia" w:ascii="宋体" w:hAnsi="宋体" w:eastAsia="宋体" w:cs="宋体"/>
        </w:rPr>
      </w:pPr>
      <w:r>
        <w:rPr>
          <w:rFonts w:hint="eastAsia" w:ascii="宋体" w:hAnsi="宋体" w:eastAsia="宋体" w:cs="宋体"/>
        </w:rPr>
        <w:t>12.2.1预付款的支付</w:t>
      </w:r>
    </w:p>
    <w:p w14:paraId="0FE436C4">
      <w:pPr>
        <w:spacing w:line="360" w:lineRule="auto"/>
        <w:ind w:firstLine="480" w:firstLineChars="200"/>
        <w:rPr>
          <w:rFonts w:hint="eastAsia" w:ascii="宋体" w:hAnsi="宋体" w:eastAsia="宋体" w:cs="宋体"/>
          <w:u w:val="single"/>
        </w:rPr>
      </w:pPr>
      <w:r>
        <w:rPr>
          <w:rFonts w:hint="eastAsia" w:ascii="宋体" w:hAnsi="宋体" w:eastAsia="宋体" w:cs="宋体"/>
        </w:rPr>
        <w:t>预付款支付比例或金额：</w:t>
      </w:r>
      <w:r>
        <w:rPr>
          <w:rFonts w:hint="eastAsia" w:ascii="宋体" w:hAnsi="宋体" w:eastAsia="宋体" w:cs="宋体"/>
          <w:u w:val="single"/>
        </w:rPr>
        <w:t>本合同签订后承包人提供正规等额发票，发包人向承包人支付合同总价（扣除暂列金额和安全文明措施费）10%的工程预付款，承包人不得将该预付款用于与本工程无关的支付，发包人有权监督承包人对该项费用的使用，如经查实承包人滥用工程预付款，发包人有权立即收回工程预付款。</w:t>
      </w:r>
    </w:p>
    <w:p w14:paraId="4115A97C">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安全及文明施工措施费开工前一次性支付100%，即      元。施工单位应当确保安全防护、文明施工措施费专款专用，不得挪用安全防护、文明施工措施费。在财务管理中应单独核算列出安全防护、文明施工措施费用。</w:t>
      </w:r>
    </w:p>
    <w:p w14:paraId="7713E14C">
      <w:pPr>
        <w:spacing w:line="360" w:lineRule="auto"/>
        <w:ind w:firstLine="480" w:firstLineChars="200"/>
        <w:rPr>
          <w:rFonts w:hint="eastAsia" w:ascii="宋体" w:hAnsi="宋体" w:eastAsia="宋体" w:cs="宋体"/>
        </w:rPr>
      </w:pPr>
      <w:r>
        <w:rPr>
          <w:rFonts w:hint="eastAsia" w:ascii="宋体" w:hAnsi="宋体" w:eastAsia="宋体" w:cs="宋体"/>
        </w:rPr>
        <w:t>预付款支付期限：</w:t>
      </w:r>
      <w:r>
        <w:rPr>
          <w:rFonts w:hint="eastAsia" w:ascii="宋体" w:hAnsi="宋体" w:eastAsia="宋体" w:cs="宋体"/>
          <w:u w:val="single"/>
        </w:rPr>
        <w:t>合同签订后7个工作日内或不迟于约定的开工日期前7天、待承包人进场后。</w:t>
      </w:r>
    </w:p>
    <w:p w14:paraId="50B705FD">
      <w:pPr>
        <w:spacing w:line="360" w:lineRule="auto"/>
        <w:ind w:firstLine="480" w:firstLineChars="200"/>
        <w:rPr>
          <w:rFonts w:hint="eastAsia" w:ascii="宋体" w:hAnsi="宋体" w:eastAsia="宋体" w:cs="宋体"/>
        </w:rPr>
      </w:pPr>
      <w:r>
        <w:rPr>
          <w:rFonts w:hint="eastAsia" w:ascii="宋体" w:hAnsi="宋体" w:eastAsia="宋体" w:cs="宋体"/>
        </w:rPr>
        <w:t>预付款扣回的方式：</w:t>
      </w:r>
      <w:r>
        <w:rPr>
          <w:rFonts w:hint="eastAsia" w:ascii="宋体" w:hAnsi="宋体" w:eastAsia="宋体" w:cs="宋体"/>
          <w:u w:val="single"/>
        </w:rPr>
        <w:t>开工后即从进度款中扣回工程预付款，直至扣完为止。</w:t>
      </w:r>
    </w:p>
    <w:p w14:paraId="186D8B9C">
      <w:pPr>
        <w:spacing w:line="360" w:lineRule="auto"/>
        <w:ind w:firstLine="480" w:firstLineChars="200"/>
        <w:rPr>
          <w:rFonts w:hint="eastAsia" w:ascii="宋体" w:hAnsi="宋体" w:eastAsia="宋体" w:cs="宋体"/>
        </w:rPr>
      </w:pPr>
      <w:r>
        <w:rPr>
          <w:rFonts w:hint="eastAsia" w:ascii="宋体" w:hAnsi="宋体" w:eastAsia="宋体" w:cs="宋体"/>
        </w:rPr>
        <w:t>12.2.2预付款担保</w:t>
      </w:r>
    </w:p>
    <w:p w14:paraId="3D91AB33">
      <w:pPr>
        <w:spacing w:line="360" w:lineRule="auto"/>
        <w:ind w:firstLine="480" w:firstLineChars="200"/>
        <w:rPr>
          <w:rFonts w:hint="eastAsia" w:ascii="宋体" w:hAnsi="宋体" w:eastAsia="宋体" w:cs="宋体"/>
        </w:rPr>
      </w:pPr>
      <w:r>
        <w:rPr>
          <w:rFonts w:hint="eastAsia" w:ascii="宋体" w:hAnsi="宋体" w:eastAsia="宋体" w:cs="宋体"/>
        </w:rPr>
        <w:t>承包人提交预付款担保的期限及比例：</w:t>
      </w:r>
      <w:r>
        <w:rPr>
          <w:rFonts w:hint="eastAsia" w:ascii="宋体" w:hAnsi="宋体" w:eastAsia="宋体" w:cs="宋体"/>
          <w:u w:val="single"/>
        </w:rPr>
        <w:t xml:space="preserve">  /  </w:t>
      </w:r>
      <w:r>
        <w:rPr>
          <w:rFonts w:hint="eastAsia" w:ascii="宋体" w:hAnsi="宋体" w:eastAsia="宋体" w:cs="宋体"/>
        </w:rPr>
        <w:t>。</w:t>
      </w:r>
    </w:p>
    <w:p w14:paraId="1861A0F7">
      <w:pPr>
        <w:spacing w:line="360" w:lineRule="auto"/>
        <w:ind w:firstLine="480" w:firstLineChars="200"/>
        <w:rPr>
          <w:rFonts w:hint="eastAsia" w:ascii="宋体" w:hAnsi="宋体" w:eastAsia="宋体" w:cs="宋体"/>
        </w:rPr>
      </w:pPr>
      <w:r>
        <w:rPr>
          <w:rFonts w:hint="eastAsia" w:ascii="宋体" w:hAnsi="宋体" w:eastAsia="宋体" w:cs="宋体"/>
        </w:rPr>
        <w:t>担保时效：</w:t>
      </w:r>
      <w:r>
        <w:rPr>
          <w:rFonts w:hint="eastAsia" w:ascii="宋体" w:hAnsi="宋体" w:eastAsia="宋体" w:cs="宋体"/>
          <w:u w:val="single"/>
        </w:rPr>
        <w:t xml:space="preserve">  / </w:t>
      </w:r>
      <w:r>
        <w:rPr>
          <w:rFonts w:hint="eastAsia" w:ascii="宋体" w:hAnsi="宋体" w:eastAsia="宋体" w:cs="宋体"/>
        </w:rPr>
        <w:t xml:space="preserve"> 。</w:t>
      </w:r>
    </w:p>
    <w:p w14:paraId="7468EA9C">
      <w:pPr>
        <w:spacing w:line="360" w:lineRule="auto"/>
        <w:ind w:firstLine="480" w:firstLineChars="200"/>
        <w:rPr>
          <w:rFonts w:hint="eastAsia" w:ascii="宋体" w:hAnsi="宋体" w:eastAsia="宋体" w:cs="宋体"/>
        </w:rPr>
      </w:pPr>
      <w:r>
        <w:rPr>
          <w:rFonts w:hint="eastAsia" w:ascii="宋体" w:hAnsi="宋体" w:eastAsia="宋体" w:cs="宋体"/>
        </w:rPr>
        <w:t>预付款担保的形式为：</w:t>
      </w:r>
      <w:r>
        <w:rPr>
          <w:rFonts w:hint="eastAsia" w:ascii="宋体" w:hAnsi="宋体" w:eastAsia="宋体" w:cs="宋体"/>
          <w:u w:val="single"/>
        </w:rPr>
        <w:t xml:space="preserve">  /  </w:t>
      </w:r>
      <w:r>
        <w:rPr>
          <w:rFonts w:hint="eastAsia" w:ascii="宋体" w:hAnsi="宋体" w:eastAsia="宋体" w:cs="宋体"/>
        </w:rPr>
        <w:t>。</w:t>
      </w:r>
    </w:p>
    <w:p w14:paraId="77FD5C6D">
      <w:pPr>
        <w:spacing w:line="360" w:lineRule="auto"/>
        <w:ind w:firstLine="480" w:firstLineChars="200"/>
        <w:rPr>
          <w:rFonts w:hint="eastAsia" w:ascii="宋体" w:hAnsi="宋体" w:eastAsia="宋体" w:cs="宋体"/>
        </w:rPr>
      </w:pPr>
      <w:r>
        <w:rPr>
          <w:rFonts w:hint="eastAsia" w:ascii="宋体" w:hAnsi="宋体" w:eastAsia="宋体" w:cs="宋体"/>
        </w:rPr>
        <w:t>12.3计量</w:t>
      </w:r>
    </w:p>
    <w:p w14:paraId="4DCFC83E">
      <w:pPr>
        <w:spacing w:line="360" w:lineRule="auto"/>
        <w:ind w:firstLine="480" w:firstLineChars="200"/>
        <w:rPr>
          <w:rFonts w:hint="eastAsia" w:ascii="宋体" w:hAnsi="宋体" w:eastAsia="宋体" w:cs="宋体"/>
        </w:rPr>
      </w:pPr>
      <w:r>
        <w:rPr>
          <w:rFonts w:hint="eastAsia" w:ascii="宋体" w:hAnsi="宋体" w:eastAsia="宋体" w:cs="宋体"/>
        </w:rPr>
        <w:t>12.3.1计量原则</w:t>
      </w:r>
    </w:p>
    <w:p w14:paraId="3741DC19">
      <w:pPr>
        <w:wordWrap w:val="0"/>
        <w:spacing w:line="360" w:lineRule="auto"/>
        <w:ind w:firstLine="480" w:firstLineChars="200"/>
        <w:rPr>
          <w:rFonts w:hint="eastAsia" w:ascii="宋体" w:hAnsi="宋体" w:eastAsia="宋体" w:cs="宋体"/>
          <w:u w:val="single"/>
        </w:rPr>
      </w:pPr>
      <w:r>
        <w:rPr>
          <w:rFonts w:hint="eastAsia" w:ascii="宋体" w:hAnsi="宋体" w:eastAsia="宋体" w:cs="宋体"/>
        </w:rPr>
        <w:t>工程量计算规则：</w:t>
      </w:r>
      <w:r>
        <w:rPr>
          <w:rFonts w:hint="eastAsia" w:ascii="宋体" w:hAnsi="宋体" w:eastAsia="宋体" w:cs="宋体"/>
          <w:u w:val="single"/>
        </w:rPr>
        <w:t>《陕西省建设工程工程量清单计价标准》（2025）、《陕西省建筑、装饰工程消耗量定额》（2025）、《陕西省建设工程费用规则》（2025）；《陕西省房屋建筑与装饰工程基价表》（2025）；《陕西省通用安装工程基价表》（2025）；《陕西省市政工程基价表》（2025）；《陕西省园林绿化工程基价表》（2025）；《陕西省房屋建筑与装饰工程消耗量定额》（2025）；《陕西省通用安装工程消耗量定额》（2025）；《陕西省市政工程消耗量定额》（2025）；《陕西省园林绿化工程消耗量定额》（2025）；《陕西省建筑工程施工机械台班费用定额》（2025）；《陕西省建设工程施工仪器仪表台班费用定额》（2025）</w:t>
      </w:r>
    </w:p>
    <w:p w14:paraId="74A5824C">
      <w:pPr>
        <w:spacing w:line="360" w:lineRule="auto"/>
        <w:ind w:firstLine="480" w:firstLineChars="200"/>
        <w:rPr>
          <w:rFonts w:hint="eastAsia" w:ascii="宋体" w:hAnsi="宋体" w:eastAsia="宋体" w:cs="宋体"/>
        </w:rPr>
      </w:pPr>
      <w:r>
        <w:rPr>
          <w:rFonts w:hint="eastAsia" w:ascii="宋体" w:hAnsi="宋体" w:eastAsia="宋体" w:cs="宋体"/>
        </w:rPr>
        <w:t>12.3.2计量周期</w:t>
      </w:r>
    </w:p>
    <w:p w14:paraId="0C8487F0">
      <w:pPr>
        <w:spacing w:line="360" w:lineRule="auto"/>
        <w:ind w:firstLine="480" w:firstLineChars="200"/>
        <w:rPr>
          <w:rFonts w:hint="eastAsia" w:ascii="宋体" w:hAnsi="宋体" w:eastAsia="宋体" w:cs="宋体"/>
        </w:rPr>
      </w:pPr>
      <w:r>
        <w:rPr>
          <w:rFonts w:hint="eastAsia" w:ascii="宋体" w:hAnsi="宋体" w:eastAsia="宋体" w:cs="宋体"/>
        </w:rPr>
        <w:t>关于计量周期的约定：</w:t>
      </w:r>
      <w:r>
        <w:rPr>
          <w:rFonts w:hint="eastAsia" w:ascii="宋体" w:hAnsi="宋体" w:eastAsia="宋体" w:cs="宋体"/>
          <w:u w:val="single"/>
        </w:rPr>
        <w:t>按</w:t>
      </w:r>
      <w:r>
        <w:rPr>
          <w:rFonts w:hint="eastAsia" w:ascii="宋体" w:hAnsi="宋体" w:eastAsia="宋体" w:cs="宋体"/>
          <w:u w:val="single"/>
          <w:lang w:val="en-US" w:eastAsia="zh-CN"/>
        </w:rPr>
        <w:t>月</w:t>
      </w:r>
      <w:r>
        <w:rPr>
          <w:rFonts w:hint="eastAsia" w:ascii="宋体" w:hAnsi="宋体" w:eastAsia="宋体" w:cs="宋体"/>
          <w:u w:val="single"/>
        </w:rPr>
        <w:t>计量。</w:t>
      </w:r>
    </w:p>
    <w:p w14:paraId="535FAC12">
      <w:pPr>
        <w:spacing w:line="360" w:lineRule="auto"/>
        <w:ind w:firstLine="480" w:firstLineChars="200"/>
        <w:rPr>
          <w:rFonts w:hint="eastAsia" w:ascii="宋体" w:hAnsi="宋体" w:eastAsia="宋体" w:cs="宋体"/>
        </w:rPr>
      </w:pPr>
      <w:r>
        <w:rPr>
          <w:rFonts w:hint="eastAsia" w:ascii="宋体" w:hAnsi="宋体" w:eastAsia="宋体" w:cs="宋体"/>
        </w:rPr>
        <w:t>12.3.3单价合同的计量</w:t>
      </w:r>
    </w:p>
    <w:p w14:paraId="18591CFC">
      <w:pPr>
        <w:spacing w:line="360" w:lineRule="auto"/>
        <w:ind w:firstLine="480" w:firstLineChars="200"/>
        <w:rPr>
          <w:rFonts w:hint="eastAsia" w:ascii="宋体" w:hAnsi="宋体" w:eastAsia="宋体" w:cs="宋体"/>
        </w:rPr>
      </w:pPr>
      <w:r>
        <w:rPr>
          <w:rFonts w:hint="eastAsia" w:ascii="宋体" w:hAnsi="宋体" w:eastAsia="宋体" w:cs="宋体"/>
        </w:rPr>
        <w:t>关于单价合同计量的约定：</w:t>
      </w:r>
      <w:r>
        <w:rPr>
          <w:rFonts w:hint="eastAsia" w:ascii="宋体" w:hAnsi="宋体" w:eastAsia="宋体" w:cs="宋体"/>
          <w:u w:val="single"/>
        </w:rPr>
        <w:t>执行通用条款。</w:t>
      </w:r>
    </w:p>
    <w:p w14:paraId="2DB9BF59">
      <w:pPr>
        <w:spacing w:line="360" w:lineRule="auto"/>
        <w:ind w:firstLine="480" w:firstLineChars="200"/>
        <w:rPr>
          <w:rFonts w:hint="eastAsia" w:ascii="宋体" w:hAnsi="宋体" w:eastAsia="宋体" w:cs="宋体"/>
        </w:rPr>
      </w:pPr>
      <w:bookmarkStart w:id="1003" w:name="_Toc297048397"/>
      <w:bookmarkStart w:id="1004" w:name="_Toc296944550"/>
      <w:bookmarkStart w:id="1005" w:name="_Toc300935006"/>
      <w:bookmarkStart w:id="1006" w:name="_Toc296891251"/>
      <w:bookmarkStart w:id="1007" w:name="_Toc296346712"/>
      <w:bookmarkStart w:id="1008" w:name="_Toc292559416"/>
      <w:bookmarkStart w:id="1009" w:name="_Toc297216215"/>
      <w:bookmarkStart w:id="1010" w:name="_Toc297123556"/>
      <w:bookmarkStart w:id="1011" w:name="_Toc297120511"/>
      <w:bookmarkStart w:id="1012" w:name="_Toc303539163"/>
      <w:bookmarkStart w:id="1013" w:name="_Toc296891039"/>
      <w:bookmarkStart w:id="1014" w:name="_Toc296347210"/>
      <w:bookmarkStart w:id="1015" w:name="_Toc296503211"/>
      <w:bookmarkStart w:id="1016" w:name="_Toc292559921"/>
      <w:r>
        <w:rPr>
          <w:rFonts w:hint="eastAsia" w:ascii="宋体" w:hAnsi="宋体" w:eastAsia="宋体" w:cs="宋体"/>
        </w:rPr>
        <w:t>12.4工程进度款支付</w:t>
      </w:r>
    </w:p>
    <w:p w14:paraId="49EE7DF7">
      <w:pPr>
        <w:spacing w:line="360" w:lineRule="auto"/>
        <w:ind w:firstLine="480" w:firstLineChars="200"/>
        <w:rPr>
          <w:rFonts w:hint="eastAsia" w:ascii="宋体" w:hAnsi="宋体" w:eastAsia="宋体" w:cs="宋体"/>
        </w:rPr>
      </w:pPr>
      <w:r>
        <w:rPr>
          <w:rFonts w:hint="eastAsia" w:ascii="宋体" w:hAnsi="宋体" w:eastAsia="宋体" w:cs="宋体"/>
        </w:rPr>
        <w:t>12.4.1付款周期</w:t>
      </w:r>
    </w:p>
    <w:p w14:paraId="5D635541">
      <w:pPr>
        <w:spacing w:line="360" w:lineRule="auto"/>
        <w:ind w:firstLine="480" w:firstLineChars="200"/>
        <w:rPr>
          <w:rFonts w:hint="eastAsia" w:ascii="宋体" w:hAnsi="宋体" w:eastAsia="宋体" w:cs="宋体"/>
        </w:rPr>
      </w:pPr>
      <w:r>
        <w:rPr>
          <w:rFonts w:hint="eastAsia" w:ascii="宋体" w:hAnsi="宋体" w:eastAsia="宋体" w:cs="宋体"/>
        </w:rPr>
        <w:t>关于付款周期的约定：</w:t>
      </w:r>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p>
    <w:p w14:paraId="77402C94">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（1）预付款支付比例或金额：预付款支付比例或金额：</w:t>
      </w:r>
    </w:p>
    <w:p w14:paraId="36E8AD8E">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本合同签订生效后，承包人提供等额合规发票，发包人按合同总价扣除暂列金额、安全文明施工费后的金额作为计算基数，向承包人支付该基数10%的工程预付款。预付款仅限本工程使用，严禁挪用，发包人有权核查资金用途，一经查实挪用，发包人有权收回预付款并追究违约责任。</w:t>
      </w:r>
    </w:p>
    <w:p w14:paraId="0D3BC409">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（2）每个阶段计划付款日前5日，承包人完成当期施工内容自检合格后，编制已完工程量清单、进度款支付申请表，先行报送监理单位审核。</w:t>
      </w:r>
    </w:p>
    <w:p w14:paraId="57087983">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监理单位收到申报资料后，须在7个工作日内完成现场核验、工程量复核与资料审查，出具审核意见；审核无误后报送发包人复核审批。</w:t>
      </w:r>
    </w:p>
    <w:p w14:paraId="7A5C007B">
      <w:pPr>
        <w:spacing w:line="360" w:lineRule="auto"/>
        <w:ind w:firstLine="480" w:firstLineChars="200"/>
        <w:rPr>
          <w:rFonts w:hint="eastAsia" w:ascii="宋体" w:hAnsi="宋体" w:eastAsia="宋体" w:cs="宋体"/>
          <w:u w:val="single"/>
          <w:lang w:eastAsia="zh-CN"/>
        </w:rPr>
      </w:pPr>
      <w:r>
        <w:rPr>
          <w:rFonts w:hint="eastAsia" w:ascii="宋体" w:hAnsi="宋体" w:eastAsia="宋体" w:cs="宋体"/>
          <w:u w:val="single"/>
        </w:rPr>
        <w:t>按照</w:t>
      </w:r>
      <w:r>
        <w:rPr>
          <w:rFonts w:hint="eastAsia" w:ascii="宋体" w:hAnsi="宋体" w:eastAsia="宋体" w:cs="宋体"/>
          <w:u w:val="single"/>
          <w:lang w:eastAsia="zh-CN"/>
        </w:rPr>
        <w:t>每个阶段</w:t>
      </w:r>
      <w:r>
        <w:rPr>
          <w:rFonts w:hint="eastAsia" w:ascii="宋体" w:hAnsi="宋体" w:eastAsia="宋体" w:cs="宋体"/>
          <w:u w:val="single"/>
        </w:rPr>
        <w:t>形象进度付款</w:t>
      </w:r>
      <w:r>
        <w:rPr>
          <w:rFonts w:hint="eastAsia" w:ascii="宋体" w:hAnsi="宋体" w:eastAsia="宋体" w:cs="宋体"/>
          <w:u w:val="single"/>
          <w:lang w:eastAsia="zh-CN"/>
        </w:rPr>
        <w:t>时</w:t>
      </w:r>
      <w:r>
        <w:rPr>
          <w:rFonts w:hint="eastAsia" w:ascii="宋体" w:hAnsi="宋体" w:eastAsia="宋体" w:cs="宋体"/>
          <w:u w:val="single"/>
        </w:rPr>
        <w:t>，每次支付</w:t>
      </w:r>
      <w:r>
        <w:rPr>
          <w:rFonts w:hint="eastAsia" w:ascii="宋体" w:hAnsi="宋体" w:eastAsia="宋体" w:cs="宋体"/>
          <w:u w:val="single"/>
          <w:lang w:eastAsia="zh-CN"/>
        </w:rPr>
        <w:t>审核后</w:t>
      </w:r>
      <w:r>
        <w:rPr>
          <w:rFonts w:hint="eastAsia" w:ascii="宋体" w:hAnsi="宋体" w:eastAsia="宋体" w:cs="宋体"/>
          <w:u w:val="single"/>
        </w:rPr>
        <w:t>产值的75%，</w:t>
      </w:r>
      <w:r>
        <w:rPr>
          <w:rFonts w:hint="eastAsia" w:ascii="宋体" w:hAnsi="宋体" w:eastAsia="宋体" w:cs="宋体"/>
          <w:u w:val="single"/>
          <w:lang w:eastAsia="zh-CN"/>
        </w:rPr>
        <w:t>当本项目整体</w:t>
      </w:r>
      <w:r>
        <w:rPr>
          <w:rFonts w:hint="eastAsia" w:ascii="宋体" w:hAnsi="宋体" w:eastAsia="宋体" w:cs="宋体"/>
          <w:u w:val="single"/>
        </w:rPr>
        <w:t>支付</w:t>
      </w:r>
      <w:r>
        <w:rPr>
          <w:rFonts w:hint="eastAsia" w:ascii="宋体" w:hAnsi="宋体" w:eastAsia="宋体" w:cs="宋体"/>
          <w:u w:val="single"/>
          <w:lang w:eastAsia="zh-CN"/>
        </w:rPr>
        <w:t>至</w:t>
      </w:r>
      <w:r>
        <w:rPr>
          <w:rFonts w:hint="eastAsia" w:ascii="宋体" w:hAnsi="宋体" w:eastAsia="宋体" w:cs="宋体"/>
          <w:u w:val="single"/>
        </w:rPr>
        <w:t>合同金额的80%</w:t>
      </w:r>
      <w:r>
        <w:rPr>
          <w:rFonts w:hint="eastAsia" w:ascii="宋体" w:hAnsi="宋体" w:eastAsia="宋体" w:cs="宋体"/>
          <w:u w:val="single"/>
          <w:lang w:eastAsia="zh-CN"/>
        </w:rPr>
        <w:t>时</w:t>
      </w:r>
      <w:r>
        <w:rPr>
          <w:rFonts w:hint="eastAsia" w:ascii="宋体" w:hAnsi="宋体" w:eastAsia="宋体" w:cs="宋体"/>
          <w:u w:val="single"/>
        </w:rPr>
        <w:t>暂停支付，</w:t>
      </w:r>
      <w:r>
        <w:rPr>
          <w:rFonts w:hint="eastAsia" w:ascii="宋体" w:hAnsi="宋体" w:eastAsia="宋体" w:cs="宋体"/>
          <w:u w:val="single"/>
          <w:lang w:eastAsia="zh-CN"/>
        </w:rPr>
        <w:t>待</w:t>
      </w:r>
      <w:r>
        <w:rPr>
          <w:rFonts w:hint="eastAsia" w:ascii="宋体" w:hAnsi="宋体" w:eastAsia="宋体" w:cs="宋体"/>
          <w:u w:val="single"/>
        </w:rPr>
        <w:t>竣工验收合格后支付至合同金额的85%</w:t>
      </w:r>
      <w:r>
        <w:rPr>
          <w:rFonts w:hint="eastAsia" w:ascii="宋体" w:hAnsi="宋体" w:eastAsia="宋体" w:cs="宋体"/>
          <w:u w:val="single"/>
          <w:lang w:eastAsia="zh-CN"/>
        </w:rPr>
        <w:t>。</w:t>
      </w:r>
    </w:p>
    <w:p w14:paraId="205B4641">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（3）竣工结算尾款支付</w:t>
      </w:r>
    </w:p>
    <w:p w14:paraId="5CB41D5C">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工程整体完工且竣工验收合格后，承包人整理全套完整结算资料，提交监理单位初审；监理完成审核并出具初审意见后，移交发包人开展审计工作。</w:t>
      </w:r>
    </w:p>
    <w:p w14:paraId="588CF9FC">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发包人自收到监理初审完毕的结算资料之日起，上报进行审计，最终结算价款以正式审计报告结论为准。</w:t>
      </w:r>
    </w:p>
    <w:p w14:paraId="46A5A02F">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结算完成后，扣除审定结算总价3%作为工程质量保证金，</w:t>
      </w:r>
      <w:r>
        <w:rPr>
          <w:rFonts w:hint="eastAsia" w:ascii="宋体" w:hAnsi="宋体" w:eastAsia="宋体" w:cs="宋体"/>
          <w:u w:val="single"/>
          <w:lang w:eastAsia="zh-CN"/>
        </w:rPr>
        <w:t>按结算金额扣除已支付的款项后</w:t>
      </w:r>
      <w:r>
        <w:rPr>
          <w:rFonts w:hint="eastAsia" w:ascii="宋体" w:hAnsi="宋体" w:eastAsia="宋体" w:cs="宋体"/>
          <w:u w:val="single"/>
        </w:rPr>
        <w:t>剩余尾款在承包人开具足额合规发票后一次性付清。</w:t>
      </w:r>
    </w:p>
    <w:p w14:paraId="151569E3">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（4）工程质量保证金</w:t>
      </w:r>
    </w:p>
    <w:p w14:paraId="5E2BD30D">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质保期限按照国家现行规范及合同约定执行。质保期满，经发包人核查工程无质量缺陷、承包人全面履行维保义务后，无息返还质保金；质保期内出现维修事项，可据实扣除维修费用后返还剩余款项。</w:t>
      </w:r>
    </w:p>
    <w:p w14:paraId="41031432">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（5）在施工过程中出现的零用工，乙方以签证单形式递交甲方签字，人工价格为：大工280元每天，小工200元每天。</w:t>
      </w:r>
    </w:p>
    <w:p w14:paraId="2E2A8E38">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（6）承包人每次支付进度款前，承包人应按经发包人审核确认后的工程款全额开具增值税发票。</w:t>
      </w:r>
    </w:p>
    <w:p w14:paraId="319EBBD5">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（7）支付方式为：银行转账、电汇或支票。</w:t>
      </w:r>
    </w:p>
    <w:p w14:paraId="3198AAC7">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8）承包人应按照发包人要求尽快进行工程量与预算核对工作，否则发包人有权按照有利于发包人的原则进行定量定价。承包人应书面出具授权委派专人进行预算核对工作，若调整人员需经发包人同意批准，核对时间要求应按照发包人要求执行。</w:t>
      </w:r>
    </w:p>
    <w:p w14:paraId="48DC6A4F">
      <w:pPr>
        <w:spacing w:line="360" w:lineRule="auto"/>
        <w:ind w:firstLine="480" w:firstLineChars="200"/>
        <w:rPr>
          <w:rFonts w:hint="eastAsia" w:ascii="宋体" w:hAnsi="宋体" w:eastAsia="宋体" w:cs="宋体"/>
        </w:rPr>
      </w:pPr>
      <w:r>
        <w:rPr>
          <w:rFonts w:hint="eastAsia" w:ascii="宋体" w:hAnsi="宋体" w:eastAsia="宋体" w:cs="宋体"/>
        </w:rPr>
        <w:t>13.验收和工程试车</w:t>
      </w:r>
      <w:bookmarkEnd w:id="986"/>
    </w:p>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p w14:paraId="4AE7469E">
      <w:pPr>
        <w:spacing w:line="360" w:lineRule="auto"/>
        <w:ind w:firstLine="480" w:firstLineChars="200"/>
        <w:rPr>
          <w:rFonts w:hint="eastAsia" w:ascii="宋体" w:hAnsi="宋体" w:eastAsia="宋体" w:cs="宋体"/>
        </w:rPr>
      </w:pPr>
      <w:bookmarkStart w:id="1017" w:name="_Toc300935016"/>
      <w:bookmarkStart w:id="1018" w:name="_Toc296503223"/>
      <w:bookmarkStart w:id="1019" w:name="_Toc296891051"/>
      <w:bookmarkStart w:id="1020" w:name="_Toc292559933"/>
      <w:bookmarkStart w:id="1021" w:name="_Toc292559428"/>
      <w:bookmarkStart w:id="1022" w:name="_Toc303539173"/>
      <w:bookmarkStart w:id="1023" w:name="_Toc296944562"/>
      <w:bookmarkStart w:id="1024" w:name="_Toc312678056"/>
      <w:bookmarkStart w:id="1025" w:name="_Toc297048409"/>
      <w:bookmarkStart w:id="1026" w:name="_Toc296346724"/>
      <w:bookmarkStart w:id="1027" w:name="_Toc296347222"/>
      <w:bookmarkStart w:id="1028" w:name="_Toc296891263"/>
      <w:bookmarkStart w:id="1029" w:name="_Toc304295596"/>
      <w:bookmarkStart w:id="1030" w:name="_Toc297120523"/>
      <w:bookmarkStart w:id="1031" w:name="_Toc297216224"/>
      <w:bookmarkStart w:id="1032" w:name="_Toc297123565"/>
      <w:bookmarkStart w:id="1033" w:name="_Toc267251471"/>
      <w:bookmarkStart w:id="1034" w:name="_Toc267251475"/>
      <w:bookmarkStart w:id="1035" w:name="_Toc267251476"/>
      <w:bookmarkStart w:id="1036" w:name="_Toc267251472"/>
      <w:bookmarkStart w:id="1037" w:name="_Toc267251470"/>
      <w:bookmarkStart w:id="1038" w:name="_Toc267251474"/>
      <w:bookmarkStart w:id="1039" w:name="_Toc267251473"/>
      <w:r>
        <w:rPr>
          <w:rFonts w:hint="eastAsia" w:ascii="宋体" w:hAnsi="宋体" w:eastAsia="宋体" w:cs="宋体"/>
        </w:rPr>
        <w:t>13.2竣工验收</w:t>
      </w:r>
    </w:p>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p w14:paraId="258D0726">
      <w:pPr>
        <w:spacing w:line="360" w:lineRule="auto"/>
        <w:ind w:firstLine="480" w:firstLineChars="200"/>
        <w:rPr>
          <w:rFonts w:hint="eastAsia" w:ascii="宋体" w:hAnsi="宋体" w:eastAsia="宋体" w:cs="宋体"/>
        </w:rPr>
      </w:pPr>
      <w:bookmarkStart w:id="1040" w:name="_Toc280868704"/>
      <w:bookmarkStart w:id="1041" w:name="_Toc280868705"/>
      <w:bookmarkStart w:id="1042" w:name="_Toc280868706"/>
      <w:bookmarkStart w:id="1043" w:name="_Toc280868707"/>
      <w:bookmarkStart w:id="1044" w:name="_Toc280868708"/>
      <w:bookmarkStart w:id="1045" w:name="_Toc280868709"/>
      <w:r>
        <w:rPr>
          <w:rFonts w:hint="eastAsia" w:ascii="宋体" w:hAnsi="宋体" w:eastAsia="宋体" w:cs="宋体"/>
        </w:rPr>
        <w:t>13.2.2竣工验收程序</w:t>
      </w:r>
    </w:p>
    <w:bookmarkEnd w:id="1040"/>
    <w:p w14:paraId="2E57F7ED">
      <w:pPr>
        <w:spacing w:line="360" w:lineRule="auto"/>
        <w:ind w:firstLine="480" w:firstLineChars="200"/>
        <w:rPr>
          <w:rFonts w:hint="eastAsia" w:ascii="宋体" w:hAnsi="宋体" w:eastAsia="宋体" w:cs="宋体"/>
          <w:u w:val="single"/>
        </w:rPr>
      </w:pPr>
      <w:r>
        <w:rPr>
          <w:rFonts w:hint="eastAsia" w:ascii="宋体" w:hAnsi="宋体" w:eastAsia="宋体" w:cs="宋体"/>
        </w:rPr>
        <w:t>关于竣工验收程序的约定：</w:t>
      </w:r>
      <w:r>
        <w:rPr>
          <w:rFonts w:hint="eastAsia" w:ascii="宋体" w:hAnsi="宋体" w:eastAsia="宋体" w:cs="宋体"/>
          <w:u w:val="single"/>
        </w:rPr>
        <w:t>承包人按国家、陕西省、西安市相关规定，完成验收后，进行工程竣工验收。竣工验收后一个月内，提交竣工图及完整资料文件四套。</w:t>
      </w:r>
    </w:p>
    <w:p w14:paraId="7FCEFEA2">
      <w:pPr>
        <w:spacing w:line="360" w:lineRule="auto"/>
        <w:ind w:firstLine="480" w:firstLineChars="200"/>
        <w:rPr>
          <w:rFonts w:hint="eastAsia" w:ascii="宋体" w:hAnsi="宋体" w:eastAsia="宋体" w:cs="宋体"/>
        </w:rPr>
      </w:pPr>
      <w:r>
        <w:rPr>
          <w:rFonts w:hint="eastAsia" w:ascii="宋体" w:hAnsi="宋体" w:eastAsia="宋体" w:cs="宋体"/>
        </w:rPr>
        <w:t>发包人不按照本项约定组织竣工验收、颁发工程接收证书的违约金的计算方法：无。</w:t>
      </w:r>
    </w:p>
    <w:bookmarkEnd w:id="1041"/>
    <w:p w14:paraId="430B8E41">
      <w:pPr>
        <w:spacing w:line="360" w:lineRule="auto"/>
        <w:ind w:firstLine="480" w:firstLineChars="200"/>
        <w:rPr>
          <w:rFonts w:hint="eastAsia" w:ascii="宋体" w:hAnsi="宋体" w:eastAsia="宋体" w:cs="宋体"/>
        </w:rPr>
      </w:pPr>
      <w:r>
        <w:rPr>
          <w:rFonts w:hint="eastAsia" w:ascii="宋体" w:hAnsi="宋体" w:eastAsia="宋体" w:cs="宋体"/>
        </w:rPr>
        <w:t>13.2.5移交、接收全部与部分工程</w:t>
      </w:r>
    </w:p>
    <w:bookmarkEnd w:id="1042"/>
    <w:p w14:paraId="2D5D21C4">
      <w:pPr>
        <w:spacing w:line="360" w:lineRule="auto"/>
        <w:ind w:firstLine="480" w:firstLineChars="200"/>
        <w:rPr>
          <w:rFonts w:hint="eastAsia" w:ascii="宋体" w:hAnsi="宋体" w:eastAsia="宋体" w:cs="宋体"/>
        </w:rPr>
      </w:pPr>
      <w:r>
        <w:rPr>
          <w:rFonts w:hint="eastAsia" w:ascii="宋体" w:hAnsi="宋体" w:eastAsia="宋体" w:cs="宋体"/>
        </w:rPr>
        <w:t>承包人向发包人移交工程的期限：</w:t>
      </w:r>
      <w:r>
        <w:rPr>
          <w:rFonts w:hint="eastAsia" w:ascii="宋体" w:hAnsi="宋体" w:eastAsia="宋体" w:cs="宋体"/>
          <w:u w:val="single"/>
        </w:rPr>
        <w:t>颁发工程接收证书后7天内。</w:t>
      </w:r>
    </w:p>
    <w:p w14:paraId="68E520FC">
      <w:pPr>
        <w:spacing w:line="360" w:lineRule="auto"/>
        <w:ind w:firstLine="480" w:firstLineChars="200"/>
        <w:rPr>
          <w:rFonts w:hint="eastAsia" w:ascii="宋体" w:hAnsi="宋体" w:eastAsia="宋体" w:cs="宋体"/>
        </w:rPr>
      </w:pPr>
      <w:r>
        <w:rPr>
          <w:rFonts w:hint="eastAsia" w:ascii="宋体" w:hAnsi="宋体" w:eastAsia="宋体" w:cs="宋体"/>
        </w:rPr>
        <w:t>发包人未按本合同约定接收全部或部分工程的，违约金的计算方法为：</w:t>
      </w:r>
      <w:r>
        <w:rPr>
          <w:rFonts w:hint="eastAsia" w:ascii="宋体" w:hAnsi="宋体" w:eastAsia="宋体" w:cs="宋体"/>
          <w:u w:val="single"/>
        </w:rPr>
        <w:t>无。</w:t>
      </w:r>
    </w:p>
    <w:bookmarkEnd w:id="1043"/>
    <w:p w14:paraId="392F5A02">
      <w:pPr>
        <w:spacing w:line="360" w:lineRule="auto"/>
        <w:ind w:firstLine="480" w:firstLineChars="200"/>
        <w:rPr>
          <w:rFonts w:hint="eastAsia" w:ascii="宋体" w:hAnsi="宋体" w:eastAsia="宋体" w:cs="宋体"/>
        </w:rPr>
      </w:pPr>
      <w:r>
        <w:rPr>
          <w:rFonts w:hint="eastAsia" w:ascii="宋体" w:hAnsi="宋体" w:eastAsia="宋体" w:cs="宋体"/>
        </w:rPr>
        <w:t>承包人未按时移交工程的，违约金的计算方法为：</w:t>
      </w:r>
      <w:r>
        <w:rPr>
          <w:rFonts w:hint="eastAsia" w:ascii="宋体" w:hAnsi="宋体" w:eastAsia="宋体" w:cs="宋体"/>
          <w:u w:val="single"/>
        </w:rPr>
        <w:t>按专用条款7.5.2条执行。</w:t>
      </w:r>
    </w:p>
    <w:bookmarkEnd w:id="1044"/>
    <w:p w14:paraId="689CDF3B">
      <w:pPr>
        <w:spacing w:line="360" w:lineRule="auto"/>
        <w:ind w:firstLine="480" w:firstLineChars="200"/>
        <w:rPr>
          <w:rFonts w:hint="eastAsia" w:ascii="宋体" w:hAnsi="宋体" w:eastAsia="宋体" w:cs="宋体"/>
        </w:rPr>
      </w:pPr>
      <w:r>
        <w:rPr>
          <w:rFonts w:hint="eastAsia" w:ascii="宋体" w:hAnsi="宋体" w:eastAsia="宋体" w:cs="宋体"/>
        </w:rPr>
        <w:t>13.6竣工退场</w:t>
      </w:r>
    </w:p>
    <w:p w14:paraId="652CD8D6">
      <w:pPr>
        <w:spacing w:line="360" w:lineRule="auto"/>
        <w:ind w:firstLine="480" w:firstLineChars="200"/>
        <w:rPr>
          <w:rFonts w:hint="eastAsia" w:ascii="宋体" w:hAnsi="宋体" w:eastAsia="宋体" w:cs="宋体"/>
        </w:rPr>
      </w:pPr>
      <w:r>
        <w:rPr>
          <w:rFonts w:hint="eastAsia" w:ascii="宋体" w:hAnsi="宋体" w:eastAsia="宋体" w:cs="宋体"/>
        </w:rPr>
        <w:t>13.6.1竣工退场</w:t>
      </w:r>
    </w:p>
    <w:p w14:paraId="048773FF">
      <w:pPr>
        <w:spacing w:line="360" w:lineRule="auto"/>
        <w:ind w:firstLine="480" w:firstLineChars="200"/>
        <w:rPr>
          <w:rFonts w:hint="eastAsia" w:ascii="宋体" w:hAnsi="宋体" w:eastAsia="宋体" w:cs="宋体"/>
        </w:rPr>
      </w:pPr>
      <w:r>
        <w:rPr>
          <w:rFonts w:hint="eastAsia" w:ascii="宋体" w:hAnsi="宋体" w:eastAsia="宋体" w:cs="宋体"/>
        </w:rPr>
        <w:t>承包人完成竣工退场的期限：</w:t>
      </w:r>
      <w:r>
        <w:rPr>
          <w:rFonts w:hint="eastAsia" w:ascii="宋体" w:hAnsi="宋体" w:eastAsia="宋体" w:cs="宋体"/>
          <w:u w:val="single"/>
        </w:rPr>
        <w:t>工程竣工移交后，以发包人书面指令为准。</w:t>
      </w:r>
    </w:p>
    <w:p w14:paraId="5B79A07A">
      <w:pPr>
        <w:spacing w:line="360" w:lineRule="auto"/>
        <w:ind w:firstLine="482" w:firstLineChars="200"/>
        <w:rPr>
          <w:rFonts w:hint="eastAsia" w:ascii="宋体" w:hAnsi="宋体" w:eastAsia="宋体" w:cs="宋体"/>
          <w:b/>
          <w:bCs/>
        </w:rPr>
      </w:pPr>
      <w:bookmarkStart w:id="1046" w:name="_Toc351203646"/>
      <w:r>
        <w:rPr>
          <w:rFonts w:hint="eastAsia" w:ascii="宋体" w:hAnsi="宋体" w:eastAsia="宋体" w:cs="宋体"/>
          <w:b/>
          <w:bCs/>
        </w:rPr>
        <w:t>14.竣工结算</w:t>
      </w:r>
      <w:bookmarkEnd w:id="1046"/>
    </w:p>
    <w:p w14:paraId="640E53EA">
      <w:pPr>
        <w:spacing w:line="360" w:lineRule="auto"/>
        <w:ind w:firstLine="480" w:firstLineChars="200"/>
        <w:rPr>
          <w:rFonts w:hint="eastAsia" w:ascii="宋体" w:hAnsi="宋体" w:eastAsia="宋体" w:cs="宋体"/>
        </w:rPr>
      </w:pPr>
      <w:r>
        <w:rPr>
          <w:rFonts w:hint="eastAsia" w:ascii="宋体" w:hAnsi="宋体" w:eastAsia="宋体" w:cs="宋体"/>
        </w:rPr>
        <w:t>14.1工程竣工验收合格、出具验收证书后30天内，承包人向发包人递交全部工程结算报告及完整的结算资料报送发包人，发包人应在15日内对所送结算资料的完整性、正确性审核无误并对价款进行初审后报送审计部门，审计部门自接收完整结算资料之日起180天内（不包括因发生异议双方咨询相关主管部门的时间）审核完毕，或提出审核意见；并按照本专用条款中第12条约定支付结算款；若承包人未按规定将已完工程整体移交给发包人，则发包人有权拒绝结算。</w:t>
      </w:r>
    </w:p>
    <w:p w14:paraId="14B631EB">
      <w:pPr>
        <w:spacing w:line="360" w:lineRule="auto"/>
        <w:ind w:firstLine="480" w:firstLineChars="200"/>
        <w:rPr>
          <w:rFonts w:hint="eastAsia" w:ascii="宋体" w:hAnsi="宋体" w:eastAsia="宋体" w:cs="宋体"/>
        </w:rPr>
      </w:pPr>
      <w:r>
        <w:rPr>
          <w:rFonts w:hint="eastAsia" w:ascii="宋体" w:hAnsi="宋体" w:eastAsia="宋体" w:cs="宋体"/>
        </w:rPr>
        <w:t>14.2承包人在竣工后90天内不报送结算，发包人有权要求承包人承担违约责任。</w:t>
      </w:r>
    </w:p>
    <w:p w14:paraId="2CA5CC27">
      <w:pPr>
        <w:spacing w:line="360" w:lineRule="auto"/>
        <w:ind w:firstLine="480" w:firstLineChars="200"/>
        <w:rPr>
          <w:rFonts w:hint="eastAsia" w:ascii="宋体" w:hAnsi="宋体" w:eastAsia="宋体" w:cs="宋体"/>
        </w:rPr>
      </w:pPr>
      <w:r>
        <w:rPr>
          <w:rFonts w:hint="eastAsia" w:ascii="宋体" w:hAnsi="宋体" w:eastAsia="宋体" w:cs="宋体"/>
        </w:rPr>
        <w:t>14.3承包人应认真编制工程结算书，不得高估冒算，为了避免给发包人造成不必要的额外损失，工程审计的审减率超出5%时，将按发包人与审计单位签订合同规定，超额部分的基础审计费和审减审计费由承包人向审计单位另行支付。（注：审减率=（送审额-审定额）/送审额*100%，此项是为了约束承包方夸大的上报项目送审金额而给发包人带来不必要的损失。）</w:t>
      </w:r>
    </w:p>
    <w:bookmarkEnd w:id="1033"/>
    <w:bookmarkEnd w:id="1034"/>
    <w:bookmarkEnd w:id="1035"/>
    <w:bookmarkEnd w:id="1036"/>
    <w:bookmarkEnd w:id="1037"/>
    <w:bookmarkEnd w:id="1038"/>
    <w:bookmarkEnd w:id="1039"/>
    <w:bookmarkEnd w:id="1045"/>
    <w:p w14:paraId="6F95CE74">
      <w:pPr>
        <w:spacing w:line="360" w:lineRule="auto"/>
        <w:ind w:firstLine="482" w:firstLineChars="200"/>
        <w:rPr>
          <w:rFonts w:hint="eastAsia" w:ascii="宋体" w:hAnsi="宋体" w:eastAsia="宋体" w:cs="宋体"/>
          <w:b/>
          <w:bCs/>
        </w:rPr>
      </w:pPr>
      <w:bookmarkStart w:id="1047" w:name="_Toc351203647"/>
      <w:bookmarkStart w:id="1048" w:name="_Toc267251490"/>
      <w:bookmarkStart w:id="1049" w:name="_Toc267251482"/>
      <w:bookmarkStart w:id="1050" w:name="_Toc267251485"/>
      <w:bookmarkStart w:id="1051" w:name="_Toc267251486"/>
      <w:bookmarkStart w:id="1052" w:name="_Toc267251489"/>
      <w:bookmarkStart w:id="1053" w:name="_Toc267251484"/>
      <w:bookmarkStart w:id="1054" w:name="_Toc267251488"/>
      <w:bookmarkStart w:id="1055" w:name="_Toc267251483"/>
      <w:bookmarkStart w:id="1056" w:name="_Toc267251496"/>
      <w:bookmarkStart w:id="1057" w:name="_Toc267251503"/>
      <w:bookmarkStart w:id="1058" w:name="_Toc267251492"/>
      <w:bookmarkStart w:id="1059" w:name="_Toc267251491"/>
      <w:bookmarkStart w:id="1060" w:name="_Toc267251494"/>
      <w:bookmarkStart w:id="1061" w:name="_Toc267251501"/>
      <w:bookmarkStart w:id="1062" w:name="_Toc267251498"/>
      <w:bookmarkStart w:id="1063" w:name="_Toc267251493"/>
      <w:bookmarkStart w:id="1064" w:name="_Toc267251495"/>
      <w:bookmarkStart w:id="1065" w:name="_Toc267251497"/>
      <w:bookmarkStart w:id="1066" w:name="_Toc267251499"/>
      <w:bookmarkStart w:id="1067" w:name="_Toc267251502"/>
      <w:bookmarkStart w:id="1068" w:name="_Toc267251506"/>
      <w:bookmarkStart w:id="1069" w:name="_Toc267251507"/>
      <w:bookmarkStart w:id="1070" w:name="_Toc267251504"/>
      <w:bookmarkStart w:id="1071" w:name="_Toc267251508"/>
      <w:bookmarkStart w:id="1072" w:name="_Toc267251509"/>
      <w:bookmarkStart w:id="1073" w:name="_Toc267251510"/>
      <w:bookmarkStart w:id="1074" w:name="_Toc267251511"/>
      <w:bookmarkStart w:id="1075" w:name="_Toc267251513"/>
      <w:bookmarkStart w:id="1076" w:name="_Toc267251514"/>
      <w:bookmarkStart w:id="1077" w:name="_Toc267251515"/>
      <w:r>
        <w:rPr>
          <w:rFonts w:hint="eastAsia" w:ascii="宋体" w:hAnsi="宋体" w:eastAsia="宋体" w:cs="宋体"/>
          <w:b/>
          <w:bCs/>
        </w:rPr>
        <w:t>15.缺陷责任期与保修</w:t>
      </w:r>
      <w:bookmarkEnd w:id="1047"/>
    </w:p>
    <w:bookmarkEnd w:id="1048"/>
    <w:bookmarkEnd w:id="1049"/>
    <w:bookmarkEnd w:id="1050"/>
    <w:bookmarkEnd w:id="1051"/>
    <w:bookmarkEnd w:id="1052"/>
    <w:bookmarkEnd w:id="1053"/>
    <w:bookmarkEnd w:id="1054"/>
    <w:bookmarkEnd w:id="1055"/>
    <w:p w14:paraId="611E339F">
      <w:pPr>
        <w:spacing w:line="360" w:lineRule="auto"/>
        <w:ind w:firstLine="480" w:firstLineChars="200"/>
        <w:rPr>
          <w:rFonts w:hint="eastAsia" w:ascii="宋体" w:hAnsi="宋体" w:eastAsia="宋体" w:cs="宋体"/>
        </w:rPr>
      </w:pPr>
      <w:bookmarkStart w:id="1078" w:name="_Toc351203648"/>
      <w:bookmarkStart w:id="1079" w:name="_Toc280868717"/>
      <w:bookmarkStart w:id="1080" w:name="_Toc280868718"/>
      <w:r>
        <w:rPr>
          <w:rFonts w:hint="eastAsia" w:ascii="宋体" w:hAnsi="宋体" w:eastAsia="宋体" w:cs="宋体"/>
        </w:rPr>
        <w:t>15.2缺陷责任期</w:t>
      </w:r>
    </w:p>
    <w:p w14:paraId="5EAF41C9">
      <w:pPr>
        <w:spacing w:line="360" w:lineRule="auto"/>
        <w:ind w:firstLine="480" w:firstLineChars="200"/>
        <w:rPr>
          <w:rFonts w:hint="eastAsia" w:ascii="宋体" w:hAnsi="宋体" w:eastAsia="宋体" w:cs="宋体"/>
        </w:rPr>
      </w:pPr>
      <w:r>
        <w:rPr>
          <w:rFonts w:hint="eastAsia" w:ascii="宋体" w:hAnsi="宋体" w:eastAsia="宋体" w:cs="宋体"/>
        </w:rPr>
        <w:t>缺陷责任期的具体期限：</w:t>
      </w:r>
      <w:r>
        <w:rPr>
          <w:rFonts w:hint="eastAsia" w:ascii="宋体" w:hAnsi="宋体" w:eastAsia="宋体" w:cs="宋体"/>
          <w:u w:val="single"/>
        </w:rPr>
        <w:t>2年。</w:t>
      </w:r>
    </w:p>
    <w:p w14:paraId="047BB2DC">
      <w:pPr>
        <w:spacing w:line="360" w:lineRule="auto"/>
        <w:ind w:firstLine="480" w:firstLineChars="200"/>
        <w:rPr>
          <w:rFonts w:hint="eastAsia" w:ascii="宋体" w:hAnsi="宋体" w:eastAsia="宋体" w:cs="宋体"/>
        </w:rPr>
      </w:pPr>
      <w:r>
        <w:rPr>
          <w:rFonts w:hint="eastAsia" w:ascii="宋体" w:hAnsi="宋体" w:eastAsia="宋体" w:cs="宋体"/>
        </w:rPr>
        <w:t>15.3质量保证金</w:t>
      </w:r>
    </w:p>
    <w:p w14:paraId="1889588C">
      <w:pPr>
        <w:spacing w:line="360" w:lineRule="auto"/>
        <w:ind w:firstLine="480" w:firstLineChars="200"/>
        <w:rPr>
          <w:rFonts w:hint="eastAsia" w:ascii="宋体" w:hAnsi="宋体" w:eastAsia="宋体" w:cs="宋体"/>
        </w:rPr>
      </w:pPr>
      <w:r>
        <w:rPr>
          <w:rFonts w:hint="eastAsia" w:ascii="宋体" w:hAnsi="宋体" w:eastAsia="宋体" w:cs="宋体"/>
        </w:rPr>
        <w:t>关于是否扣留质量保证金的约定：</w:t>
      </w:r>
      <w:r>
        <w:rPr>
          <w:rFonts w:hint="eastAsia" w:ascii="宋体" w:hAnsi="宋体" w:eastAsia="宋体" w:cs="宋体"/>
          <w:u w:val="single"/>
        </w:rPr>
        <w:t>承包人向发包人缴纳审计的结算价3%作为工程质量保证金。待项目质保期结束后，向乙方无息退还。</w:t>
      </w:r>
    </w:p>
    <w:p w14:paraId="6816B64B">
      <w:pPr>
        <w:spacing w:line="360" w:lineRule="auto"/>
        <w:ind w:firstLine="480" w:firstLineChars="200"/>
        <w:rPr>
          <w:rFonts w:hint="eastAsia" w:ascii="宋体" w:hAnsi="宋体" w:eastAsia="宋体" w:cs="宋体"/>
        </w:rPr>
      </w:pPr>
      <w:r>
        <w:rPr>
          <w:rFonts w:hint="eastAsia" w:ascii="宋体" w:hAnsi="宋体" w:eastAsia="宋体" w:cs="宋体"/>
        </w:rPr>
        <w:t>15.4保修</w:t>
      </w:r>
    </w:p>
    <w:p w14:paraId="4A5C475E">
      <w:pPr>
        <w:spacing w:line="360" w:lineRule="auto"/>
        <w:ind w:firstLine="480" w:firstLineChars="200"/>
        <w:rPr>
          <w:rFonts w:hint="eastAsia" w:ascii="宋体" w:hAnsi="宋体" w:eastAsia="宋体" w:cs="宋体"/>
        </w:rPr>
      </w:pPr>
      <w:r>
        <w:rPr>
          <w:rFonts w:hint="eastAsia" w:ascii="宋体" w:hAnsi="宋体" w:eastAsia="宋体" w:cs="宋体"/>
        </w:rPr>
        <w:t>15.4.1保修责任</w:t>
      </w:r>
    </w:p>
    <w:p w14:paraId="512ABF1C">
      <w:pPr>
        <w:spacing w:line="360" w:lineRule="auto"/>
        <w:ind w:firstLine="480" w:firstLineChars="200"/>
        <w:rPr>
          <w:rFonts w:hint="eastAsia" w:ascii="宋体" w:hAnsi="宋体" w:eastAsia="宋体" w:cs="宋体"/>
        </w:rPr>
      </w:pPr>
      <w:r>
        <w:rPr>
          <w:rFonts w:hint="eastAsia" w:ascii="宋体" w:hAnsi="宋体" w:eastAsia="宋体" w:cs="宋体"/>
        </w:rPr>
        <w:t>工程保修期为：</w:t>
      </w:r>
      <w:r>
        <w:rPr>
          <w:rFonts w:hint="eastAsia" w:ascii="宋体" w:hAnsi="宋体" w:eastAsia="宋体" w:cs="宋体"/>
          <w:u w:val="single"/>
        </w:rPr>
        <w:t>2年。</w:t>
      </w:r>
    </w:p>
    <w:p w14:paraId="6FF26677">
      <w:pPr>
        <w:spacing w:line="360" w:lineRule="auto"/>
        <w:ind w:firstLine="480" w:firstLineChars="200"/>
        <w:rPr>
          <w:rFonts w:hint="eastAsia" w:ascii="宋体" w:hAnsi="宋体" w:eastAsia="宋体" w:cs="宋体"/>
        </w:rPr>
      </w:pPr>
      <w:r>
        <w:rPr>
          <w:rFonts w:hint="eastAsia" w:ascii="宋体" w:hAnsi="宋体" w:eastAsia="宋体" w:cs="宋体"/>
        </w:rPr>
        <w:t>部分工程的质量保修期根据《建设工程质量管理条例》及有关规定执行。</w:t>
      </w:r>
    </w:p>
    <w:p w14:paraId="4151E681">
      <w:pPr>
        <w:spacing w:line="360" w:lineRule="auto"/>
        <w:ind w:firstLine="480" w:firstLineChars="200"/>
        <w:rPr>
          <w:rFonts w:hint="eastAsia" w:ascii="宋体" w:hAnsi="宋体" w:eastAsia="宋体" w:cs="宋体"/>
        </w:rPr>
      </w:pPr>
      <w:r>
        <w:rPr>
          <w:rFonts w:hint="eastAsia" w:ascii="宋体" w:hAnsi="宋体" w:eastAsia="宋体" w:cs="宋体"/>
        </w:rPr>
        <w:t>15.4.3修复通知</w:t>
      </w:r>
    </w:p>
    <w:p w14:paraId="7E04C5B1">
      <w:pPr>
        <w:spacing w:line="360" w:lineRule="auto"/>
        <w:ind w:firstLine="480" w:firstLineChars="200"/>
        <w:rPr>
          <w:rFonts w:hint="eastAsia" w:ascii="宋体" w:hAnsi="宋体" w:eastAsia="宋体" w:cs="宋体"/>
          <w:u w:val="single"/>
        </w:rPr>
      </w:pPr>
      <w:r>
        <w:rPr>
          <w:rFonts w:hint="eastAsia" w:ascii="宋体" w:hAnsi="宋体" w:eastAsia="宋体" w:cs="宋体"/>
        </w:rPr>
        <w:t>承包人收到保修通知并到达工程现场的合理时间：</w:t>
      </w:r>
      <w:r>
        <w:rPr>
          <w:rFonts w:hint="eastAsia" w:ascii="宋体" w:hAnsi="宋体" w:eastAsia="宋体" w:cs="宋体"/>
          <w:u w:val="single"/>
        </w:rPr>
        <w:t>响应时间为正常工作日2小时内答复，12小时内到现场处理。节假日及法定休息日6小时内答复，24小时内到现场处理。如果承包人未能及时响应，发包人有权另行委托第三方进行修复，并按照发包人与第三方商定修复费用在保证金中扣除，承包人不得有任何异议，该费用超出保证金额的，发包人可向承包人进行索赔。</w:t>
      </w:r>
    </w:p>
    <w:p w14:paraId="1821078C">
      <w:pPr>
        <w:spacing w:line="360" w:lineRule="auto"/>
        <w:ind w:firstLine="482" w:firstLineChars="200"/>
        <w:rPr>
          <w:rFonts w:hint="eastAsia" w:ascii="宋体" w:hAnsi="宋体" w:eastAsia="宋体" w:cs="宋体"/>
          <w:b/>
          <w:bCs/>
        </w:rPr>
      </w:pPr>
      <w:r>
        <w:rPr>
          <w:rFonts w:hint="eastAsia" w:ascii="宋体" w:hAnsi="宋体" w:eastAsia="宋体" w:cs="宋体"/>
          <w:b/>
          <w:bCs/>
        </w:rPr>
        <w:t>16.违约</w:t>
      </w:r>
      <w:bookmarkEnd w:id="1078"/>
    </w:p>
    <w:p w14:paraId="462B3D3B">
      <w:pPr>
        <w:spacing w:line="360" w:lineRule="auto"/>
        <w:ind w:firstLine="480" w:firstLineChars="200"/>
        <w:rPr>
          <w:rFonts w:hint="eastAsia" w:ascii="宋体" w:hAnsi="宋体" w:eastAsia="宋体" w:cs="宋体"/>
        </w:rPr>
      </w:pPr>
      <w:r>
        <w:rPr>
          <w:rFonts w:hint="eastAsia" w:ascii="宋体" w:hAnsi="宋体" w:eastAsia="宋体" w:cs="宋体"/>
        </w:rPr>
        <w:t>16.1发包人违约</w:t>
      </w:r>
    </w:p>
    <w:p w14:paraId="03D8E331">
      <w:pPr>
        <w:spacing w:line="360" w:lineRule="auto"/>
        <w:ind w:firstLine="480" w:firstLineChars="200"/>
        <w:rPr>
          <w:rFonts w:hint="eastAsia" w:ascii="宋体" w:hAnsi="宋体" w:eastAsia="宋体" w:cs="宋体"/>
        </w:rPr>
      </w:pPr>
      <w:r>
        <w:rPr>
          <w:rFonts w:hint="eastAsia" w:ascii="宋体" w:hAnsi="宋体" w:eastAsia="宋体" w:cs="宋体"/>
        </w:rPr>
        <w:t>16.1.1发包人违约的情形</w:t>
      </w:r>
    </w:p>
    <w:p w14:paraId="329091B7">
      <w:pPr>
        <w:spacing w:line="360" w:lineRule="auto"/>
        <w:ind w:firstLine="480" w:firstLineChars="200"/>
        <w:rPr>
          <w:rFonts w:hint="eastAsia" w:ascii="宋体" w:hAnsi="宋体" w:eastAsia="宋体" w:cs="宋体"/>
        </w:rPr>
      </w:pPr>
      <w:r>
        <w:rPr>
          <w:rFonts w:hint="eastAsia" w:ascii="宋体" w:hAnsi="宋体" w:eastAsia="宋体" w:cs="宋体"/>
        </w:rPr>
        <w:t>发包人违约的其他情形：</w:t>
      </w:r>
      <w:r>
        <w:rPr>
          <w:rFonts w:hint="eastAsia" w:ascii="宋体" w:hAnsi="宋体" w:eastAsia="宋体" w:cs="宋体"/>
          <w:u w:val="single"/>
        </w:rPr>
        <w:t xml:space="preserve">  /  。</w:t>
      </w:r>
    </w:p>
    <w:p w14:paraId="6F32D4D2">
      <w:pPr>
        <w:spacing w:line="360" w:lineRule="auto"/>
        <w:ind w:firstLine="480" w:firstLineChars="200"/>
        <w:rPr>
          <w:rFonts w:hint="eastAsia" w:ascii="宋体" w:hAnsi="宋体" w:eastAsia="宋体" w:cs="宋体"/>
        </w:rPr>
      </w:pPr>
      <w:r>
        <w:rPr>
          <w:rFonts w:hint="eastAsia" w:ascii="宋体" w:hAnsi="宋体" w:eastAsia="宋体" w:cs="宋体"/>
        </w:rPr>
        <w:t>16.1.2发包人违约的责任</w:t>
      </w:r>
    </w:p>
    <w:p w14:paraId="0C1B771A">
      <w:pPr>
        <w:spacing w:line="360" w:lineRule="auto"/>
        <w:ind w:firstLine="480" w:firstLineChars="200"/>
        <w:rPr>
          <w:rFonts w:hint="eastAsia" w:ascii="宋体" w:hAnsi="宋体" w:eastAsia="宋体" w:cs="宋体"/>
        </w:rPr>
      </w:pPr>
      <w:r>
        <w:rPr>
          <w:rFonts w:hint="eastAsia" w:ascii="宋体" w:hAnsi="宋体" w:eastAsia="宋体" w:cs="宋体"/>
        </w:rPr>
        <w:t>发包人违约责任的承担方式和计算方法：</w:t>
      </w:r>
    </w:p>
    <w:p w14:paraId="14B4C8D6">
      <w:pPr>
        <w:spacing w:line="360" w:lineRule="auto"/>
        <w:ind w:firstLine="480" w:firstLineChars="200"/>
        <w:rPr>
          <w:rFonts w:hint="eastAsia" w:ascii="宋体" w:hAnsi="宋体" w:eastAsia="宋体" w:cs="宋体"/>
        </w:rPr>
      </w:pPr>
      <w:r>
        <w:rPr>
          <w:rFonts w:hint="eastAsia" w:ascii="宋体" w:hAnsi="宋体" w:eastAsia="宋体" w:cs="宋体"/>
        </w:rPr>
        <w:t>（1）因发包人原因未能在计划开工日期前7天内下达开工通知的违约责任：</w:t>
      </w:r>
      <w:r>
        <w:rPr>
          <w:rFonts w:hint="eastAsia" w:ascii="宋体" w:hAnsi="宋体" w:eastAsia="宋体" w:cs="宋体"/>
          <w:u w:val="single"/>
        </w:rPr>
        <w:t>工期顺延。</w:t>
      </w:r>
    </w:p>
    <w:p w14:paraId="7689698B">
      <w:pPr>
        <w:spacing w:line="360" w:lineRule="auto"/>
        <w:ind w:firstLine="480" w:firstLineChars="200"/>
        <w:rPr>
          <w:rFonts w:hint="eastAsia" w:ascii="宋体" w:hAnsi="宋体" w:eastAsia="宋体" w:cs="宋体"/>
        </w:rPr>
      </w:pPr>
      <w:r>
        <w:rPr>
          <w:rFonts w:hint="eastAsia" w:ascii="宋体" w:hAnsi="宋体" w:eastAsia="宋体" w:cs="宋体"/>
        </w:rPr>
        <w:t>（2）因发包人原因未能按合同约定支付合同价款的违约责任：</w:t>
      </w:r>
      <w:r>
        <w:rPr>
          <w:rFonts w:hint="eastAsia" w:ascii="宋体" w:hAnsi="宋体" w:eastAsia="宋体" w:cs="宋体"/>
          <w:u w:val="single"/>
        </w:rPr>
        <w:t>双方另行协商。</w:t>
      </w:r>
    </w:p>
    <w:p w14:paraId="10A2F55B">
      <w:pPr>
        <w:spacing w:line="360" w:lineRule="auto"/>
        <w:ind w:firstLine="480" w:firstLineChars="200"/>
        <w:rPr>
          <w:rFonts w:hint="eastAsia" w:ascii="宋体" w:hAnsi="宋体" w:eastAsia="宋体" w:cs="宋体"/>
        </w:rPr>
      </w:pPr>
      <w:r>
        <w:rPr>
          <w:rFonts w:hint="eastAsia" w:ascii="宋体" w:hAnsi="宋体" w:eastAsia="宋体" w:cs="宋体"/>
        </w:rPr>
        <w:t>（3）发包人违反第10.1款〔变更的范围〕第（2）项约定，自行实施被取消的工作或转由他人实施的违约责任：</w:t>
      </w:r>
      <w:r>
        <w:rPr>
          <w:rFonts w:hint="eastAsia" w:ascii="宋体" w:hAnsi="宋体" w:eastAsia="宋体" w:cs="宋体"/>
          <w:u w:val="single"/>
        </w:rPr>
        <w:t>双方另行协商。</w:t>
      </w:r>
    </w:p>
    <w:p w14:paraId="56AB6146">
      <w:pPr>
        <w:spacing w:line="360" w:lineRule="auto"/>
        <w:ind w:firstLine="480" w:firstLineChars="200"/>
        <w:rPr>
          <w:rFonts w:hint="eastAsia" w:ascii="宋体" w:hAnsi="宋体" w:eastAsia="宋体" w:cs="宋体"/>
        </w:rPr>
      </w:pPr>
      <w:r>
        <w:rPr>
          <w:rFonts w:hint="eastAsia" w:ascii="宋体" w:hAnsi="宋体" w:eastAsia="宋体" w:cs="宋体"/>
        </w:rPr>
        <w:t>（4）因发包人违反合同约定造成暂停施工的违约责任：</w:t>
      </w:r>
      <w:r>
        <w:rPr>
          <w:rFonts w:hint="eastAsia" w:ascii="宋体" w:hAnsi="宋体" w:eastAsia="宋体" w:cs="宋体"/>
          <w:u w:val="single"/>
        </w:rPr>
        <w:t>若影响工期的，工期予以顺延。</w:t>
      </w:r>
    </w:p>
    <w:p w14:paraId="07BFA3A2">
      <w:pPr>
        <w:spacing w:line="360" w:lineRule="auto"/>
        <w:ind w:firstLine="480" w:firstLineChars="200"/>
        <w:rPr>
          <w:rFonts w:hint="eastAsia" w:ascii="宋体" w:hAnsi="宋体" w:eastAsia="宋体" w:cs="宋体"/>
        </w:rPr>
      </w:pPr>
      <w:r>
        <w:rPr>
          <w:rFonts w:hint="eastAsia" w:ascii="宋体" w:hAnsi="宋体" w:eastAsia="宋体" w:cs="宋体"/>
        </w:rPr>
        <w:t>（5）发包人无正当理由没有在约定期限内发出复工指示，导致承包人无法复工的违约责任：若影响工期的，工期予以顺延。</w:t>
      </w:r>
    </w:p>
    <w:p w14:paraId="5DF5323A">
      <w:pPr>
        <w:spacing w:line="360" w:lineRule="auto"/>
        <w:ind w:firstLine="480" w:firstLineChars="200"/>
        <w:rPr>
          <w:rFonts w:hint="eastAsia" w:ascii="宋体" w:hAnsi="宋体" w:eastAsia="宋体" w:cs="宋体"/>
          <w:lang w:val="zh-CN"/>
        </w:rPr>
      </w:pPr>
      <w:r>
        <w:rPr>
          <w:rFonts w:hint="eastAsia" w:ascii="宋体" w:hAnsi="宋体" w:eastAsia="宋体" w:cs="宋体"/>
        </w:rPr>
        <w:t>（6）</w:t>
      </w:r>
      <w:r>
        <w:rPr>
          <w:rFonts w:hint="eastAsia" w:ascii="宋体" w:hAnsi="宋体" w:eastAsia="宋体" w:cs="宋体"/>
          <w:lang w:val="zh-CN"/>
        </w:rPr>
        <w:t>发包人不履行合同义务或不按合同约定履行义务的其他情况。</w:t>
      </w:r>
    </w:p>
    <w:p w14:paraId="2294B3A3">
      <w:pPr>
        <w:spacing w:line="360" w:lineRule="auto"/>
        <w:ind w:firstLine="480" w:firstLineChars="200"/>
        <w:rPr>
          <w:rFonts w:hint="eastAsia" w:ascii="宋体" w:hAnsi="宋体" w:eastAsia="宋体" w:cs="宋体"/>
        </w:rPr>
      </w:pPr>
      <w:r>
        <w:rPr>
          <w:rFonts w:hint="eastAsia" w:ascii="宋体" w:hAnsi="宋体" w:eastAsia="宋体" w:cs="宋体"/>
          <w:lang w:val="zh-CN"/>
        </w:rPr>
        <w:t>发包人承担违约责任，赔偿因其违约给承包人造成的经济损失，顺延延误的工期。双方在专用条款内约定发包人赔偿承包人损失的计算方法或者发包人应当支付违约金的数额和计算方法。</w:t>
      </w:r>
    </w:p>
    <w:p w14:paraId="3DBC4284">
      <w:pPr>
        <w:spacing w:line="360" w:lineRule="auto"/>
        <w:ind w:firstLine="480" w:firstLineChars="200"/>
        <w:rPr>
          <w:rFonts w:hint="eastAsia" w:ascii="宋体" w:hAnsi="宋体" w:eastAsia="宋体" w:cs="宋体"/>
        </w:rPr>
      </w:pPr>
      <w:r>
        <w:rPr>
          <w:rFonts w:hint="eastAsia" w:ascii="宋体" w:hAnsi="宋体" w:eastAsia="宋体" w:cs="宋体"/>
        </w:rPr>
        <w:t>16.1.3因发包人违约解除合同</w:t>
      </w:r>
    </w:p>
    <w:p w14:paraId="7A5094AC">
      <w:pPr>
        <w:spacing w:line="360" w:lineRule="auto"/>
        <w:ind w:firstLine="480" w:firstLineChars="200"/>
        <w:rPr>
          <w:rFonts w:hint="eastAsia" w:ascii="宋体" w:hAnsi="宋体" w:eastAsia="宋体" w:cs="宋体"/>
        </w:rPr>
      </w:pPr>
      <w:r>
        <w:rPr>
          <w:rFonts w:hint="eastAsia" w:ascii="宋体" w:hAnsi="宋体" w:eastAsia="宋体" w:cs="宋体"/>
        </w:rPr>
        <w:t>承包人按16.1.1项〔发包人违约的情形〕约定暂停施工满/天后发包人仍不纠正其违约行为并致使合同目的不能实现的，承包人有权解除合同。</w:t>
      </w:r>
    </w:p>
    <w:p w14:paraId="006478B5">
      <w:pPr>
        <w:spacing w:line="360" w:lineRule="auto"/>
        <w:ind w:firstLine="480" w:firstLineChars="200"/>
        <w:rPr>
          <w:rFonts w:hint="eastAsia" w:ascii="宋体" w:hAnsi="宋体" w:eastAsia="宋体" w:cs="宋体"/>
        </w:rPr>
      </w:pPr>
      <w:r>
        <w:rPr>
          <w:rFonts w:hint="eastAsia" w:ascii="宋体" w:hAnsi="宋体" w:eastAsia="宋体" w:cs="宋体"/>
        </w:rPr>
        <w:t>16.2承包人违约</w:t>
      </w:r>
    </w:p>
    <w:p w14:paraId="297772B9">
      <w:pPr>
        <w:spacing w:line="360" w:lineRule="auto"/>
        <w:ind w:firstLine="480" w:firstLineChars="200"/>
        <w:rPr>
          <w:rFonts w:hint="eastAsia" w:ascii="宋体" w:hAnsi="宋体" w:eastAsia="宋体" w:cs="宋体"/>
        </w:rPr>
      </w:pPr>
      <w:r>
        <w:rPr>
          <w:rFonts w:hint="eastAsia" w:ascii="宋体" w:hAnsi="宋体" w:eastAsia="宋体" w:cs="宋体"/>
        </w:rPr>
        <w:t>16.2.1承包人违约的情形</w:t>
      </w:r>
    </w:p>
    <w:p w14:paraId="6678FB2C">
      <w:pPr>
        <w:spacing w:line="360" w:lineRule="auto"/>
        <w:ind w:firstLine="480" w:firstLineChars="200"/>
        <w:rPr>
          <w:rFonts w:hint="eastAsia" w:ascii="宋体" w:hAnsi="宋体" w:eastAsia="宋体" w:cs="宋体"/>
          <w:u w:val="single"/>
        </w:rPr>
      </w:pPr>
      <w:r>
        <w:rPr>
          <w:rFonts w:hint="eastAsia" w:ascii="宋体" w:hAnsi="宋体" w:eastAsia="宋体" w:cs="宋体"/>
        </w:rPr>
        <w:t>承包人违约的其他情形：</w:t>
      </w:r>
      <w:r>
        <w:rPr>
          <w:rFonts w:hint="eastAsia" w:ascii="宋体" w:hAnsi="宋体" w:eastAsia="宋体" w:cs="宋体"/>
          <w:u w:val="single"/>
        </w:rPr>
        <w:t>1）擅自更换项目经理的；2）未经发包人许可，擅自采购材料设备表以外设备及材料的或未经准用批准使用的。</w:t>
      </w:r>
    </w:p>
    <w:p w14:paraId="4A48B8A6">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在履行合同过程中发生的下列情况属承包人违约：</w:t>
      </w:r>
    </w:p>
    <w:p w14:paraId="62E0A732">
      <w:pPr>
        <w:spacing w:line="360" w:lineRule="auto"/>
        <w:ind w:firstLine="480" w:firstLineChars="200"/>
        <w:rPr>
          <w:rFonts w:hint="eastAsia" w:ascii="宋体" w:hAnsi="宋体" w:eastAsia="宋体" w:cs="宋体"/>
          <w:lang w:val="zh-CN"/>
        </w:rPr>
      </w:pPr>
      <w:r>
        <w:rPr>
          <w:rFonts w:hint="eastAsia" w:ascii="宋体" w:hAnsi="宋体" w:eastAsia="宋体" w:cs="宋体"/>
        </w:rPr>
        <w:t>16.2</w:t>
      </w:r>
      <w:r>
        <w:rPr>
          <w:rFonts w:hint="eastAsia" w:ascii="宋体" w:hAnsi="宋体" w:eastAsia="宋体" w:cs="宋体"/>
          <w:lang w:val="zh-CN"/>
        </w:rPr>
        <w:t>.1.1.项目部管理制度</w:t>
      </w:r>
    </w:p>
    <w:p w14:paraId="5F7B22C5">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1</w:t>
      </w:r>
      <w:r>
        <w:rPr>
          <w:rFonts w:hint="eastAsia" w:ascii="宋体" w:hAnsi="宋体" w:eastAsia="宋体" w:cs="宋体"/>
          <w:lang w:val="zh-CN"/>
        </w:rPr>
        <w:t>）投标文件或合同文件约定的项目负责人必须驻场，且每周不少于6天，缺勤一天者处罚</w:t>
      </w:r>
      <w:r>
        <w:rPr>
          <w:rFonts w:hint="eastAsia" w:ascii="宋体" w:hAnsi="宋体" w:eastAsia="宋体" w:cs="宋体"/>
        </w:rPr>
        <w:t>2</w:t>
      </w:r>
      <w:r>
        <w:rPr>
          <w:rFonts w:hint="eastAsia" w:ascii="宋体" w:hAnsi="宋体" w:eastAsia="宋体" w:cs="宋体"/>
          <w:lang w:val="zh-CN"/>
        </w:rPr>
        <w:t>,000.00元；项目经理外出的必须向业主请假，经同意后方可离开，擅自脱岗每次处罚2,000.00元。</w:t>
      </w:r>
    </w:p>
    <w:p w14:paraId="11F1D834">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2</w:t>
      </w:r>
      <w:r>
        <w:rPr>
          <w:rFonts w:hint="eastAsia" w:ascii="宋体" w:hAnsi="宋体" w:eastAsia="宋体" w:cs="宋体"/>
          <w:lang w:val="zh-CN"/>
        </w:rPr>
        <w:t>）每次例会参加人员必须按时到会并签名（有事提前向业主请假），无故不到者罚款200.00元，迟到、早退者罚款100.00元。</w:t>
      </w:r>
    </w:p>
    <w:p w14:paraId="0600074E">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3</w:t>
      </w:r>
      <w:r>
        <w:rPr>
          <w:rFonts w:hint="eastAsia" w:ascii="宋体" w:hAnsi="宋体" w:eastAsia="宋体" w:cs="宋体"/>
          <w:lang w:val="zh-CN"/>
        </w:rPr>
        <w:t>）业主发出的整改通知单，施工方必须在3日内书面回复整改情况，书面回复每超过一日处罚1,000.00-2,000.00元。</w:t>
      </w:r>
    </w:p>
    <w:p w14:paraId="4A24E898">
      <w:pPr>
        <w:spacing w:line="360" w:lineRule="auto"/>
        <w:ind w:firstLine="480" w:firstLineChars="200"/>
        <w:rPr>
          <w:rFonts w:hint="eastAsia" w:ascii="宋体" w:hAnsi="宋体" w:eastAsia="宋体" w:cs="宋体"/>
          <w:lang w:val="zh-CN"/>
        </w:rPr>
      </w:pPr>
      <w:r>
        <w:rPr>
          <w:rFonts w:hint="eastAsia" w:ascii="宋体" w:hAnsi="宋体" w:eastAsia="宋体" w:cs="宋体"/>
        </w:rPr>
        <w:t>16.2.1.2</w:t>
      </w:r>
      <w:r>
        <w:rPr>
          <w:rFonts w:hint="eastAsia" w:ascii="宋体" w:hAnsi="宋体" w:eastAsia="宋体" w:cs="宋体"/>
          <w:lang w:val="zh-CN"/>
        </w:rPr>
        <w:t>文明施工管理制度</w:t>
      </w:r>
    </w:p>
    <w:p w14:paraId="04FBDDF9">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1</w:t>
      </w:r>
      <w:r>
        <w:rPr>
          <w:rFonts w:hint="eastAsia" w:ascii="宋体" w:hAnsi="宋体" w:eastAsia="宋体" w:cs="宋体"/>
          <w:lang w:val="zh-CN"/>
        </w:rPr>
        <w:t>）承包人安全文明施工、扬尘治理等未达到省、市的有关规定要求，发包人有权暂不支付安全文明施工增加费，并按国家、地方有关安全法规处罚；上述行为被行政主管部门查处，或被市民、媒体举报属实，每发现一次，承包人须向发包人支付违约金10,000-20,000元。</w:t>
      </w:r>
    </w:p>
    <w:p w14:paraId="4D7F4943">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2</w:t>
      </w:r>
      <w:r>
        <w:rPr>
          <w:rFonts w:hint="eastAsia" w:ascii="宋体" w:hAnsi="宋体" w:eastAsia="宋体" w:cs="宋体"/>
          <w:lang w:val="zh-CN"/>
        </w:rPr>
        <w:t>）施工现场没有设置封闭式垃圾站，随意倾倒生产、生活垃圾，愿接受每次罚款500.00-2,000.00元。</w:t>
      </w:r>
    </w:p>
    <w:p w14:paraId="272A64D6">
      <w:pPr>
        <w:spacing w:line="360" w:lineRule="auto"/>
        <w:ind w:firstLine="480" w:firstLineChars="200"/>
        <w:rPr>
          <w:rFonts w:hint="eastAsia" w:ascii="宋体" w:hAnsi="宋体" w:eastAsia="宋体" w:cs="宋体"/>
          <w:lang w:val="zh-CN"/>
        </w:rPr>
      </w:pPr>
      <w:r>
        <w:rPr>
          <w:rFonts w:hint="eastAsia" w:ascii="宋体" w:hAnsi="宋体" w:eastAsia="宋体" w:cs="宋体"/>
        </w:rPr>
        <w:t>16.2.1.3</w:t>
      </w:r>
      <w:r>
        <w:rPr>
          <w:rFonts w:hint="eastAsia" w:ascii="宋体" w:hAnsi="宋体" w:eastAsia="宋体" w:cs="宋体"/>
          <w:lang w:val="zh-CN"/>
        </w:rPr>
        <w:t>进度控制</w:t>
      </w:r>
    </w:p>
    <w:p w14:paraId="206B22E3">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1</w:t>
      </w:r>
      <w:r>
        <w:rPr>
          <w:rFonts w:hint="eastAsia" w:ascii="宋体" w:hAnsi="宋体" w:eastAsia="宋体" w:cs="宋体"/>
          <w:lang w:val="zh-CN"/>
        </w:rPr>
        <w:t>）施工进度的周计划由于施工方原因没有完成的给予5,000.00元罚款，连续两周没有完成计划的罚款10,000.00元，同时，由施工单位负责查明原因，拿出切实可行的措施，报甲方备案，若在下一节点时间赶上进度计划，经发包人同意，则取消罚款。</w:t>
      </w:r>
    </w:p>
    <w:p w14:paraId="49261A55">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2</w:t>
      </w:r>
      <w:r>
        <w:rPr>
          <w:rFonts w:hint="eastAsia" w:ascii="宋体" w:hAnsi="宋体" w:eastAsia="宋体" w:cs="宋体"/>
          <w:lang w:val="zh-CN"/>
        </w:rPr>
        <w:t>）施工单位制定的下周计划应当在本周五之前报甲方，否则，每延误一天，罚款2000.00元。</w:t>
      </w:r>
    </w:p>
    <w:p w14:paraId="55CD0DBD">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4</w:t>
      </w:r>
      <w:r>
        <w:rPr>
          <w:rFonts w:hint="eastAsia" w:ascii="宋体" w:hAnsi="宋体" w:eastAsia="宋体" w:cs="宋体"/>
          <w:lang w:val="zh-CN"/>
        </w:rPr>
        <w:t>）工程例会所要求报的报验资料、计划不能按时完成，拖后一天，罚款2,000.00元。</w:t>
      </w:r>
    </w:p>
    <w:p w14:paraId="3694E3DA">
      <w:pPr>
        <w:spacing w:line="360" w:lineRule="auto"/>
        <w:ind w:firstLine="480" w:firstLineChars="200"/>
        <w:rPr>
          <w:rFonts w:hint="eastAsia" w:ascii="宋体" w:hAnsi="宋体" w:eastAsia="宋体" w:cs="宋体"/>
          <w:lang w:val="zh-CN"/>
        </w:rPr>
      </w:pPr>
      <w:r>
        <w:rPr>
          <w:rFonts w:hint="eastAsia" w:ascii="宋体" w:hAnsi="宋体" w:eastAsia="宋体" w:cs="宋体"/>
        </w:rPr>
        <w:t>16.2.1.4</w:t>
      </w:r>
      <w:r>
        <w:rPr>
          <w:rFonts w:hint="eastAsia" w:ascii="宋体" w:hAnsi="宋体" w:eastAsia="宋体" w:cs="宋体"/>
          <w:lang w:val="zh-CN"/>
        </w:rPr>
        <w:t>质量管理</w:t>
      </w:r>
    </w:p>
    <w:p w14:paraId="08F5F405">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1</w:t>
      </w:r>
      <w:r>
        <w:rPr>
          <w:rFonts w:hint="eastAsia" w:ascii="宋体" w:hAnsi="宋体" w:eastAsia="宋体" w:cs="宋体"/>
          <w:lang w:val="zh-CN"/>
        </w:rPr>
        <w:t>）上道工序未经验收而进行下道工序施工的给予5,000.00元罚款。并责令重做。</w:t>
      </w:r>
    </w:p>
    <w:p w14:paraId="5E9F24C7">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2</w:t>
      </w:r>
      <w:r>
        <w:rPr>
          <w:rFonts w:hint="eastAsia" w:ascii="宋体" w:hAnsi="宋体" w:eastAsia="宋体" w:cs="宋体"/>
          <w:lang w:val="zh-CN"/>
        </w:rPr>
        <w:t>）建设单位与发包人员巡视现场时，发现施工中偷工减料的，要求其立即返工和停工整改，并给予每次20,000.00元罚款。</w:t>
      </w:r>
    </w:p>
    <w:p w14:paraId="1A52D2A4">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3</w:t>
      </w:r>
      <w:r>
        <w:rPr>
          <w:rFonts w:hint="eastAsia" w:ascii="宋体" w:hAnsi="宋体" w:eastAsia="宋体" w:cs="宋体"/>
          <w:lang w:val="zh-CN"/>
        </w:rPr>
        <w:t>）施工单位专职质检人员要认真履行职责，分项工程必须自检合格后方能报发包人员检查验收，未经检查验收的，未经施工方“三检”合格或达不到合同要求的，每次罚款2,000.00元。</w:t>
      </w:r>
    </w:p>
    <w:p w14:paraId="7667AA14">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4</w:t>
      </w:r>
      <w:r>
        <w:rPr>
          <w:rFonts w:hint="eastAsia" w:ascii="宋体" w:hAnsi="宋体" w:eastAsia="宋体" w:cs="宋体"/>
          <w:lang w:val="zh-CN"/>
        </w:rPr>
        <w:t>）对甲方下达的通知，置之不理或不执行、不回复的，给予2,000.00-5,000.00元罚款。</w:t>
      </w:r>
    </w:p>
    <w:p w14:paraId="01F4AC91">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5</w:t>
      </w:r>
      <w:r>
        <w:rPr>
          <w:rFonts w:hint="eastAsia" w:ascii="宋体" w:hAnsi="宋体" w:eastAsia="宋体" w:cs="宋体"/>
          <w:lang w:val="zh-CN"/>
        </w:rPr>
        <w:t>）承包人在施工中偷工减料，使用不合格的建筑材料，建筑构配件和设备的，或者未按照工程设计图纸或者施工技术标准施工的，处罚10,000.00元-20,000元。</w:t>
      </w:r>
    </w:p>
    <w:p w14:paraId="228CEE5A">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6</w:t>
      </w:r>
      <w:r>
        <w:rPr>
          <w:rFonts w:hint="eastAsia" w:ascii="宋体" w:hAnsi="宋体" w:eastAsia="宋体" w:cs="宋体"/>
          <w:lang w:val="zh-CN"/>
        </w:rPr>
        <w:t>）未按照约定使用材料，处以合同约定材料与自行变更材料价差的10倍罚款，且不少于10,000.00元以上的经济处罚。必须进行重新检测，承包人承担全部检测费用。</w:t>
      </w:r>
    </w:p>
    <w:p w14:paraId="13A0A49A">
      <w:pPr>
        <w:spacing w:line="360" w:lineRule="auto"/>
        <w:ind w:firstLine="480" w:firstLineChars="200"/>
        <w:rPr>
          <w:rFonts w:hint="eastAsia" w:ascii="宋体" w:hAnsi="宋体" w:eastAsia="宋体" w:cs="宋体"/>
          <w:lang w:val="zh-CN"/>
        </w:rPr>
      </w:pPr>
      <w:r>
        <w:rPr>
          <w:rFonts w:hint="eastAsia" w:ascii="宋体" w:hAnsi="宋体" w:eastAsia="宋体" w:cs="宋体"/>
        </w:rPr>
        <w:t>16.2.1.5</w:t>
      </w:r>
      <w:r>
        <w:rPr>
          <w:rFonts w:hint="eastAsia" w:ascii="宋体" w:hAnsi="宋体" w:eastAsia="宋体" w:cs="宋体"/>
          <w:lang w:val="zh-CN"/>
        </w:rPr>
        <w:t>安全管理制度</w:t>
      </w:r>
    </w:p>
    <w:p w14:paraId="14D77161">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1</w:t>
      </w:r>
      <w:r>
        <w:rPr>
          <w:rFonts w:hint="eastAsia" w:ascii="宋体" w:hAnsi="宋体" w:eastAsia="宋体" w:cs="宋体"/>
          <w:lang w:val="zh-CN"/>
        </w:rPr>
        <w:t>）无安全保证体系或保证体系不健全的罚款5,000.00元。</w:t>
      </w:r>
    </w:p>
    <w:p w14:paraId="28254A04">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2</w:t>
      </w:r>
      <w:r>
        <w:rPr>
          <w:rFonts w:hint="eastAsia" w:ascii="宋体" w:hAnsi="宋体" w:eastAsia="宋体" w:cs="宋体"/>
          <w:lang w:val="zh-CN"/>
        </w:rPr>
        <w:t>）无安全管理制度，制度不上墙的罚款3,000.00元。</w:t>
      </w:r>
    </w:p>
    <w:p w14:paraId="399542A3">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3</w:t>
      </w:r>
      <w:r>
        <w:rPr>
          <w:rFonts w:hint="eastAsia" w:ascii="宋体" w:hAnsi="宋体" w:eastAsia="宋体" w:cs="宋体"/>
          <w:lang w:val="zh-CN"/>
        </w:rPr>
        <w:t>）工人进场无安全交底，无书面材料报甲方的，罚款5,000.00元。</w:t>
      </w:r>
    </w:p>
    <w:p w14:paraId="2E2A301F">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4</w:t>
      </w:r>
      <w:r>
        <w:rPr>
          <w:rFonts w:hint="eastAsia" w:ascii="宋体" w:hAnsi="宋体" w:eastAsia="宋体" w:cs="宋体"/>
          <w:lang w:val="zh-CN"/>
        </w:rPr>
        <w:t>）特殊岗位无操作证，罚款10,000.00元。</w:t>
      </w:r>
    </w:p>
    <w:p w14:paraId="2384E4FD">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6</w:t>
      </w:r>
      <w:r>
        <w:rPr>
          <w:rFonts w:hint="eastAsia" w:ascii="宋体" w:hAnsi="宋体" w:eastAsia="宋体" w:cs="宋体"/>
          <w:lang w:val="zh-CN"/>
        </w:rPr>
        <w:t>）例会纪要中要求施工单位完成的有关事项必须按期完成，否则，每延误一天罚款1,000.00元-5,000.00元。</w:t>
      </w:r>
    </w:p>
    <w:p w14:paraId="3C517B94">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7</w:t>
      </w:r>
      <w:r>
        <w:rPr>
          <w:rFonts w:hint="eastAsia" w:ascii="宋体" w:hAnsi="宋体" w:eastAsia="宋体" w:cs="宋体"/>
          <w:lang w:val="zh-CN"/>
        </w:rPr>
        <w:t>）下列情况之一者，从重处罚：</w:t>
      </w:r>
    </w:p>
    <w:p w14:paraId="1CFEA30D">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①有5处及其以上一般安全隐患或有1处及以上重大安全隐患，罚款5,000.00元，每发生一人重伤事故，罚款50,000.00元，发生一人死亡事故负责交纳上级有关部门的处罚，和包括但不限于事故处理费用，伤亡赔偿费用等其他与事故有关的费用。</w:t>
      </w:r>
    </w:p>
    <w:p w14:paraId="6FC1EBBB">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②不进行三级安全教育的项目经理部，罚款2,000.00元-5,000.00元，造成安全事故的，要加倍处罚。</w:t>
      </w:r>
    </w:p>
    <w:p w14:paraId="7D7D661B">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③发生重伤以上安全事故不保护事故现场，隐瞒不报或不按“四不放过”原则处理的，给予罚款5,000.00元-100,000.00元；</w:t>
      </w:r>
    </w:p>
    <w:p w14:paraId="4EC31FB4">
      <w:pPr>
        <w:spacing w:line="360" w:lineRule="auto"/>
        <w:ind w:firstLine="480" w:firstLineChars="200"/>
        <w:rPr>
          <w:rFonts w:hint="eastAsia" w:ascii="宋体" w:hAnsi="宋体" w:eastAsia="宋体" w:cs="宋体"/>
          <w:lang w:val="zh-CN"/>
        </w:rPr>
      </w:pPr>
      <w:r>
        <w:rPr>
          <w:rFonts w:hint="eastAsia" w:ascii="宋体" w:hAnsi="宋体" w:eastAsia="宋体" w:cs="宋体"/>
        </w:rPr>
        <w:t>16.2.1.6</w:t>
      </w:r>
      <w:r>
        <w:rPr>
          <w:rFonts w:hint="eastAsia" w:ascii="宋体" w:hAnsi="宋体" w:eastAsia="宋体" w:cs="宋体"/>
          <w:lang w:val="zh-CN"/>
        </w:rPr>
        <w:t>治污减霾</w:t>
      </w:r>
    </w:p>
    <w:p w14:paraId="2EA42D02">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1</w:t>
      </w:r>
      <w:r>
        <w:rPr>
          <w:rFonts w:hint="eastAsia" w:ascii="宋体" w:hAnsi="宋体" w:eastAsia="宋体" w:cs="宋体"/>
          <w:lang w:val="zh-CN"/>
        </w:rPr>
        <w:t>）未按规定设置各类环境保护牌（建筑垃圾监管公示牌、扬尘防治包抓监管公示牌、重污染天气应急响应公告牌）或设置不规范，在要求时间内整改不达标的处罚2,000.00-5,000.00元；</w:t>
      </w:r>
    </w:p>
    <w:p w14:paraId="6B5F7FCA">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2</w:t>
      </w:r>
      <w:r>
        <w:rPr>
          <w:rFonts w:hint="eastAsia" w:ascii="宋体" w:hAnsi="宋体" w:eastAsia="宋体" w:cs="宋体"/>
          <w:lang w:val="zh-CN"/>
        </w:rPr>
        <w:t>）施工区域未按要求100%标准围挡的，围挡有安全隐患、破损、不完整、围挡擦洗不到位、脏乱差（含贴有小广告未清理）等在要求时间内整改不达标的处罚2,000.00-5,000.00元；</w:t>
      </w:r>
    </w:p>
    <w:p w14:paraId="49B64EF6">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3</w:t>
      </w:r>
      <w:r>
        <w:rPr>
          <w:rFonts w:hint="eastAsia" w:ascii="宋体" w:hAnsi="宋体" w:eastAsia="宋体" w:cs="宋体"/>
          <w:lang w:val="zh-CN"/>
        </w:rPr>
        <w:t>）坚持施工便道洒水降尘，气温在30℃以上，每2～3小时洒水一次，气温在30℃以下，每天洒水不少于三次，冬季气温在5℃以下及雨雪天不洒水。未按要求洒水作业或无洒水作业记录的处罚1,000.00-5,000.00元；</w:t>
      </w:r>
    </w:p>
    <w:p w14:paraId="72000077">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4</w:t>
      </w:r>
      <w:r>
        <w:rPr>
          <w:rFonts w:hint="eastAsia" w:ascii="宋体" w:hAnsi="宋体" w:eastAsia="宋体" w:cs="宋体"/>
          <w:lang w:val="zh-CN"/>
        </w:rPr>
        <w:t>）其他未达到六个百分百、七个到位要求的，在要求时间内整改不到位的处罚2,000.00-5,000.00元；</w:t>
      </w:r>
    </w:p>
    <w:p w14:paraId="051ED1EA">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5</w:t>
      </w:r>
      <w:r>
        <w:rPr>
          <w:rFonts w:hint="eastAsia" w:ascii="宋体" w:hAnsi="宋体" w:eastAsia="宋体" w:cs="宋体"/>
          <w:lang w:val="zh-CN"/>
        </w:rPr>
        <w:t>）对于省、市、区等上级单位检查发现问题给予通报、督办、处罚等情况的考核施工单位2,000.00~5,000.00元（与上级单位下达的处罚不冲突）；</w:t>
      </w:r>
    </w:p>
    <w:p w14:paraId="0A67BB14">
      <w:pPr>
        <w:spacing w:line="360" w:lineRule="auto"/>
        <w:ind w:firstLine="480" w:firstLineChars="200"/>
        <w:rPr>
          <w:rFonts w:hint="eastAsia" w:ascii="宋体" w:hAnsi="宋体" w:eastAsia="宋体" w:cs="宋体"/>
          <w:lang w:val="zh-CN"/>
        </w:rPr>
      </w:pPr>
      <w:r>
        <w:rPr>
          <w:rFonts w:hint="eastAsia" w:ascii="宋体" w:hAnsi="宋体" w:eastAsia="宋体" w:cs="宋体"/>
        </w:rPr>
        <w:t>16.2.1.7</w:t>
      </w:r>
      <w:r>
        <w:rPr>
          <w:rFonts w:hint="eastAsia" w:ascii="宋体" w:hAnsi="宋体" w:eastAsia="宋体" w:cs="宋体"/>
          <w:lang w:val="zh-CN"/>
        </w:rPr>
        <w:t>突发事件配合与管控责任</w:t>
      </w:r>
    </w:p>
    <w:p w14:paraId="4880A32A">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承包人在本项目实施期间，如遇像SAS、新型冠状病毒或者其他不可预见的突发事件，应立即建立健全的管理制度、制定严格的管控方案，并按照政府及发包人（包括发包人关联单位）的要求进行开工、施工、复工、停工，并做好相应的宣传教育工作；否则，承包人及其工作人员或关联方一旦因非发包人原因被政府及相关单位点名、批评、处罚或要求整改（含口头、书面、新闻媒体）的，视为违约，承包人须向发包人支付每人次100000元的违约金，给发包人造成的损失（包括直接、间接损失以及实现债权的费用）数额高于前述违约金，应按损失数额赔偿。</w:t>
      </w:r>
    </w:p>
    <w:p w14:paraId="0A00653E">
      <w:pPr>
        <w:spacing w:line="360" w:lineRule="auto"/>
        <w:ind w:firstLine="480" w:firstLineChars="200"/>
        <w:rPr>
          <w:rFonts w:hint="eastAsia" w:ascii="宋体" w:hAnsi="宋体" w:eastAsia="宋体" w:cs="宋体"/>
          <w:lang w:val="zh-CN"/>
        </w:rPr>
      </w:pPr>
      <w:r>
        <w:rPr>
          <w:rFonts w:hint="eastAsia" w:ascii="宋体" w:hAnsi="宋体" w:eastAsia="宋体" w:cs="宋体"/>
        </w:rPr>
        <w:t>16.2.1.8</w:t>
      </w:r>
      <w:r>
        <w:rPr>
          <w:rFonts w:hint="eastAsia" w:ascii="宋体" w:hAnsi="宋体" w:eastAsia="宋体" w:cs="宋体"/>
          <w:lang w:val="zh-CN"/>
        </w:rPr>
        <w:t>农民工工资</w:t>
      </w:r>
    </w:p>
    <w:p w14:paraId="4C38ACFA">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在发包人按时向承包人支付工程款的情况下，如因承包人延迟或推迟支付工人的工资而导致下列事件：工人要求发包人支付工资；媒体披露欠薪的情况；工人因欠薪而有组织的上访；工人因欠薪而引起的有组织的集会以及其他事件。则承包人应立即向工人支付工资，并承担处理上述事件的责任和费用，以及赔偿发包人；对发包人的最低赔偿限额为：20万元人民币。如果类似事件不止一次发生，除支付处理事件的费用以及赔偿发包人20万元的最低赔偿额外，发包人有权解除合同，并取消承包人承接发包人以后其他工程的资格。以上处罚即时生效，罚款于支付当期工程进度款时扣除。</w:t>
      </w:r>
    </w:p>
    <w:p w14:paraId="3550C82A">
      <w:pPr>
        <w:spacing w:line="360" w:lineRule="auto"/>
        <w:ind w:firstLine="480" w:firstLineChars="200"/>
        <w:rPr>
          <w:rFonts w:hint="eastAsia" w:ascii="宋体" w:hAnsi="宋体" w:eastAsia="宋体" w:cs="宋体"/>
          <w:lang w:val="zh-CN"/>
        </w:rPr>
      </w:pPr>
      <w:r>
        <w:rPr>
          <w:rFonts w:hint="eastAsia" w:ascii="宋体" w:hAnsi="宋体" w:eastAsia="宋体" w:cs="宋体"/>
        </w:rPr>
        <w:t>16.2.1.9</w:t>
      </w:r>
      <w:r>
        <w:rPr>
          <w:rFonts w:hint="eastAsia" w:ascii="宋体" w:hAnsi="宋体" w:eastAsia="宋体" w:cs="宋体"/>
          <w:lang w:val="zh-CN"/>
        </w:rPr>
        <w:t>组织机构人员违约</w:t>
      </w:r>
    </w:p>
    <w:p w14:paraId="771BC8D3">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1</w:t>
      </w:r>
      <w:r>
        <w:rPr>
          <w:rFonts w:hint="eastAsia" w:ascii="宋体" w:hAnsi="宋体" w:eastAsia="宋体" w:cs="宋体"/>
          <w:lang w:val="zh-CN"/>
        </w:rPr>
        <w:t>）如果承包人未经发包人同意，任意更换项目</w:t>
      </w:r>
      <w:r>
        <w:rPr>
          <w:rFonts w:hint="eastAsia" w:ascii="宋体" w:hAnsi="宋体" w:eastAsia="宋体" w:cs="宋体"/>
        </w:rPr>
        <w:t>经理</w:t>
      </w:r>
      <w:r>
        <w:rPr>
          <w:rFonts w:hint="eastAsia" w:ascii="宋体" w:hAnsi="宋体" w:eastAsia="宋体" w:cs="宋体"/>
          <w:lang w:val="zh-CN"/>
        </w:rPr>
        <w:t>视为违约。承包人须向发包人支付每人次30,000元的违约金。</w:t>
      </w:r>
    </w:p>
    <w:p w14:paraId="7FF4311F">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2</w:t>
      </w:r>
      <w:r>
        <w:rPr>
          <w:rFonts w:hint="eastAsia" w:ascii="宋体" w:hAnsi="宋体" w:eastAsia="宋体" w:cs="宋体"/>
          <w:lang w:val="zh-CN"/>
        </w:rPr>
        <w:t>）如承包人安排在工地的主要管理人员和专业技术骨干被发包人要求更换，承包人必须在24小时以内将被要求更换的人员调离本工程范围，并在48小时以内用发包人批准的合格人员更换。否则，承包人须向发包人支付每人次20,000元的违约金。</w:t>
      </w:r>
    </w:p>
    <w:p w14:paraId="560D76CF">
      <w:pPr>
        <w:spacing w:line="360" w:lineRule="auto"/>
        <w:ind w:firstLine="480" w:firstLineChars="200"/>
        <w:rPr>
          <w:rFonts w:hint="eastAsia" w:ascii="宋体" w:hAnsi="宋体" w:eastAsia="宋体" w:cs="宋体"/>
        </w:rPr>
      </w:pPr>
      <w:r>
        <w:rPr>
          <w:rFonts w:hint="eastAsia" w:ascii="宋体" w:hAnsi="宋体" w:eastAsia="宋体" w:cs="宋体"/>
        </w:rPr>
        <w:t>16.2.2承包人违约的责任</w:t>
      </w:r>
    </w:p>
    <w:p w14:paraId="5D93C97A">
      <w:pPr>
        <w:spacing w:line="360" w:lineRule="auto"/>
        <w:ind w:firstLine="480" w:firstLineChars="200"/>
        <w:rPr>
          <w:rFonts w:hint="eastAsia" w:ascii="宋体" w:hAnsi="宋体" w:eastAsia="宋体" w:cs="宋体"/>
          <w:u w:val="single"/>
        </w:rPr>
      </w:pPr>
      <w:r>
        <w:rPr>
          <w:rFonts w:hint="eastAsia" w:ascii="宋体" w:hAnsi="宋体" w:eastAsia="宋体" w:cs="宋体"/>
        </w:rPr>
        <w:t>承包人违约责任的承担方式和计算方法：</w:t>
      </w:r>
      <w:r>
        <w:rPr>
          <w:rFonts w:hint="eastAsia" w:ascii="宋体" w:hAnsi="宋体" w:eastAsia="宋体" w:cs="宋体"/>
          <w:u w:val="single"/>
        </w:rPr>
        <w:t>（1）建设过程中分部分项工程质量若达不到合格标准，承包人应按要求整改至合格（整改费用由承包人自行承担），并承担1000-5000元/次的违约金。</w:t>
      </w:r>
    </w:p>
    <w:p w14:paraId="09A524D7">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（2）确保现场劳务人员基本权益，保证劳务工资按月发放，若发生讨薪投诉事件，承包人承担30000元/次的违约金。</w:t>
      </w:r>
    </w:p>
    <w:p w14:paraId="1F830594">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（3）工程建设过程中，承包人没有按照发包人要求进度实施工程建设的，发包人有权对承包人收取1000-5000元/天的违约金。</w:t>
      </w:r>
    </w:p>
    <w:p w14:paraId="0079BE75">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（4）以上违约金应在承包人当期进度款中扣除。</w:t>
      </w:r>
    </w:p>
    <w:p w14:paraId="598C511D">
      <w:pPr>
        <w:spacing w:line="360" w:lineRule="auto"/>
        <w:ind w:firstLine="480" w:firstLineChars="200"/>
        <w:rPr>
          <w:rFonts w:hint="eastAsia" w:ascii="宋体" w:hAnsi="宋体" w:eastAsia="宋体" w:cs="宋体"/>
          <w:u w:val="single"/>
        </w:rPr>
      </w:pPr>
      <w:r>
        <w:rPr>
          <w:rFonts w:hint="eastAsia" w:ascii="宋体" w:hAnsi="宋体" w:eastAsia="宋体" w:cs="宋体"/>
          <w:u w:val="single"/>
        </w:rPr>
        <w:t>（5）本工程要求工程质量达到国家规定的合格标准，竣工验收达不到合格标准的，除按国家规定对承包人予以处罚外，承包方按合同价的20%向发包人支付质量违约金并修复至达到验收合格标准。中间验收时如果出现局部或分部或分项质量不合格，承包人除免费立即纠正、修复外，还要按该局部或分部或分项工程的合同价的20%向发包人支付质量违约金。</w:t>
      </w:r>
    </w:p>
    <w:p w14:paraId="7710B1BB">
      <w:pPr>
        <w:spacing w:line="360" w:lineRule="auto"/>
        <w:ind w:firstLine="480" w:firstLineChars="200"/>
        <w:rPr>
          <w:rFonts w:hint="eastAsia" w:ascii="宋体" w:hAnsi="宋体" w:eastAsia="宋体" w:cs="宋体"/>
          <w:lang w:val="zh-CN"/>
        </w:rPr>
      </w:pPr>
      <w:r>
        <w:rPr>
          <w:rFonts w:hint="eastAsia" w:ascii="宋体" w:hAnsi="宋体" w:eastAsia="宋体" w:cs="宋体"/>
        </w:rPr>
        <w:t>（6）</w:t>
      </w:r>
      <w:r>
        <w:rPr>
          <w:rFonts w:hint="eastAsia" w:ascii="宋体" w:hAnsi="宋体" w:eastAsia="宋体" w:cs="宋体"/>
          <w:lang w:val="zh-CN"/>
        </w:rPr>
        <w:t>因承包人原因不能按照协议书约定的竣工日期或工程师同意顺延的工期竣工；</w:t>
      </w:r>
    </w:p>
    <w:p w14:paraId="567F4353">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w:t>
      </w:r>
      <w:r>
        <w:rPr>
          <w:rFonts w:hint="eastAsia" w:ascii="宋体" w:hAnsi="宋体" w:eastAsia="宋体" w:cs="宋体"/>
        </w:rPr>
        <w:t>7</w:t>
      </w:r>
      <w:r>
        <w:rPr>
          <w:rFonts w:hint="eastAsia" w:ascii="宋体" w:hAnsi="宋体" w:eastAsia="宋体" w:cs="宋体"/>
          <w:lang w:val="zh-CN"/>
        </w:rPr>
        <w:t>）承包人不履行合同义务或不按合同约定履行义务的其他情况。承包人承担违约责任，赔偿因其违约给发包人造成的损失。双方在专用条款内约定承包人赔偿发包人损失的计算方法或者承包人应当支付违约金的数额和计算方法。</w:t>
      </w:r>
    </w:p>
    <w:p w14:paraId="6B46B2AC">
      <w:pPr>
        <w:spacing w:line="360" w:lineRule="auto"/>
        <w:ind w:firstLine="480" w:firstLineChars="200"/>
        <w:rPr>
          <w:rFonts w:hint="eastAsia" w:ascii="宋体" w:hAnsi="宋体" w:eastAsia="宋体" w:cs="宋体"/>
        </w:rPr>
      </w:pPr>
      <w:r>
        <w:rPr>
          <w:rFonts w:hint="eastAsia" w:ascii="宋体" w:hAnsi="宋体" w:eastAsia="宋体" w:cs="宋体"/>
        </w:rPr>
        <w:t>16.2.3因承包人违约解除合同</w:t>
      </w:r>
    </w:p>
    <w:p w14:paraId="1241636D">
      <w:pPr>
        <w:spacing w:line="360" w:lineRule="auto"/>
        <w:ind w:firstLine="480" w:firstLineChars="200"/>
        <w:rPr>
          <w:rFonts w:hint="eastAsia" w:ascii="宋体" w:hAnsi="宋体" w:eastAsia="宋体" w:cs="宋体"/>
          <w:u w:val="single"/>
        </w:rPr>
      </w:pPr>
      <w:r>
        <w:rPr>
          <w:rFonts w:hint="eastAsia" w:ascii="宋体" w:hAnsi="宋体" w:eastAsia="宋体" w:cs="宋体"/>
        </w:rPr>
        <w:t>关于承包人违约解除合同的特别约定：</w:t>
      </w:r>
      <w:r>
        <w:rPr>
          <w:rFonts w:hint="eastAsia" w:ascii="宋体" w:hAnsi="宋体" w:eastAsia="宋体" w:cs="宋体"/>
          <w:u w:val="single"/>
        </w:rPr>
        <w:t>（1）承包人未按双方确认的施工计划组织施工；（2）承包人所施工的分部分项工程经两次验收均不合格；（3）承包人擅自更换本工程项目经理；（4）承包人未按照本合同约定及时移交工程和满足备案要求的完整竣工资料，逾期超过30天；（5）承包人欠付农民工工资、劳务费、材料款等，导致相关人员围堵发包人工地5天或办公经营场所3次或办公经营场所单次一天以上；（6）项目经理不胜任本职工作，发包人和工程师可提前7天以书面形式通知承包人更换合格的项目经理，如更换后的项目经理仍旧不能胜任本职工作，发包人有解除合同的权利；（7）承包人违反本合同约定义务，经发包人催告后在限期内未改正的。</w:t>
      </w:r>
    </w:p>
    <w:p w14:paraId="719018A6">
      <w:pPr>
        <w:spacing w:line="360" w:lineRule="auto"/>
        <w:ind w:firstLine="480" w:firstLineChars="200"/>
        <w:rPr>
          <w:rFonts w:hint="eastAsia" w:ascii="宋体" w:hAnsi="宋体" w:eastAsia="宋体" w:cs="宋体"/>
          <w:u w:val="single"/>
        </w:rPr>
      </w:pPr>
      <w:r>
        <w:rPr>
          <w:rFonts w:hint="eastAsia" w:ascii="宋体" w:hAnsi="宋体" w:eastAsia="宋体" w:cs="宋体"/>
        </w:rPr>
        <w:t>发包人继续使用承包人在施工现场的材料、设备、临时工程、承包人文件和由承包人或以其名义编制的其他文件的费用承担方式：</w:t>
      </w:r>
      <w:r>
        <w:rPr>
          <w:rFonts w:hint="eastAsia" w:ascii="宋体" w:hAnsi="宋体" w:eastAsia="宋体" w:cs="宋体"/>
          <w:u w:val="single"/>
        </w:rPr>
        <w:t>工程材料设备由发包人按照承包人的采购价使用，但不得高于承包人投标报价中的材料单价；施工设备、临时工程、承包人文件和由承包人或以其名义编制的其他文件的由发包人免费使用，由承包人负责维护、拆除及退场并承担费用。</w:t>
      </w:r>
    </w:p>
    <w:p w14:paraId="400E8028">
      <w:pPr>
        <w:spacing w:line="360" w:lineRule="auto"/>
        <w:ind w:firstLine="480" w:firstLineChars="200"/>
        <w:rPr>
          <w:rFonts w:hint="eastAsia" w:ascii="宋体" w:hAnsi="宋体" w:eastAsia="宋体" w:cs="宋体"/>
        </w:rPr>
      </w:pPr>
      <w:r>
        <w:rPr>
          <w:rFonts w:hint="eastAsia" w:ascii="宋体" w:hAnsi="宋体" w:eastAsia="宋体" w:cs="宋体"/>
        </w:rPr>
        <w:t>16.3一方违约后，另一方要求违约方继续履行合同时，违约方承担上述违约责任后仍应继续履行合同。</w:t>
      </w:r>
    </w:p>
    <w:p w14:paraId="07574F15">
      <w:pPr>
        <w:spacing w:line="360" w:lineRule="auto"/>
        <w:ind w:firstLine="482" w:firstLineChars="200"/>
        <w:rPr>
          <w:rFonts w:hint="eastAsia" w:ascii="宋体" w:hAnsi="宋体" w:eastAsia="宋体" w:cs="宋体"/>
          <w:b/>
          <w:bCs/>
        </w:rPr>
      </w:pPr>
      <w:bookmarkStart w:id="1081" w:name="_Toc351203649"/>
      <w:r>
        <w:rPr>
          <w:rFonts w:hint="eastAsia" w:ascii="宋体" w:hAnsi="宋体" w:eastAsia="宋体" w:cs="宋体"/>
          <w:b/>
          <w:bCs/>
        </w:rPr>
        <w:t>17.不可抗力</w:t>
      </w:r>
      <w:bookmarkEnd w:id="1079"/>
      <w:bookmarkEnd w:id="1081"/>
    </w:p>
    <w:p w14:paraId="3B819638">
      <w:pPr>
        <w:spacing w:line="360" w:lineRule="auto"/>
        <w:ind w:firstLine="480" w:firstLineChars="200"/>
        <w:rPr>
          <w:rFonts w:hint="eastAsia" w:ascii="宋体" w:hAnsi="宋体" w:eastAsia="宋体" w:cs="宋体"/>
        </w:rPr>
      </w:pPr>
      <w:r>
        <w:rPr>
          <w:rFonts w:hint="eastAsia" w:ascii="宋体" w:hAnsi="宋体" w:eastAsia="宋体" w:cs="宋体"/>
        </w:rPr>
        <w:t>17.1不可抗力的确认</w:t>
      </w:r>
    </w:p>
    <w:p w14:paraId="756CC805">
      <w:pPr>
        <w:spacing w:line="360" w:lineRule="auto"/>
        <w:ind w:firstLine="480" w:firstLineChars="200"/>
        <w:rPr>
          <w:rFonts w:hint="eastAsia" w:ascii="宋体" w:hAnsi="宋体" w:eastAsia="宋体" w:cs="宋体"/>
          <w:u w:val="single"/>
        </w:rPr>
      </w:pPr>
      <w:r>
        <w:rPr>
          <w:rFonts w:hint="eastAsia" w:ascii="宋体" w:hAnsi="宋体" w:eastAsia="宋体" w:cs="宋体"/>
        </w:rPr>
        <w:t>除通用合同条款约定的不可抗力事件之外，视为不可抗力的其他情形：</w:t>
      </w:r>
      <w:r>
        <w:rPr>
          <w:rFonts w:hint="eastAsia" w:ascii="宋体" w:hAnsi="宋体" w:eastAsia="宋体" w:cs="宋体"/>
          <w:u w:val="single"/>
        </w:rPr>
        <w:t>按通用条款执行。其中正常年份的风、雨、雪、雾天气不属于不可抗力；承包人应当能够估计到的自然气候、环境（制约）变化的影响原则上也不作为不可抗力事件对待；高考、中考、运动会以及政府部门发出的有碍于施工的临时性指令均不作为不可抗力事件对待。由于发生30年以上一遇的降雨引起的洪水灾害、雪灾造成对工程的影响，经国家有关部门鉴定后可按不可抗力对待；发生破坏性地震的属于不可抗力事件。</w:t>
      </w:r>
    </w:p>
    <w:p w14:paraId="6942544F">
      <w:pPr>
        <w:spacing w:line="360" w:lineRule="auto"/>
        <w:ind w:firstLine="480" w:firstLineChars="200"/>
        <w:rPr>
          <w:rFonts w:hint="eastAsia" w:ascii="宋体" w:hAnsi="宋体" w:eastAsia="宋体" w:cs="宋体"/>
        </w:rPr>
      </w:pPr>
      <w:r>
        <w:rPr>
          <w:rFonts w:hint="eastAsia" w:ascii="宋体" w:hAnsi="宋体" w:eastAsia="宋体" w:cs="宋体"/>
        </w:rPr>
        <w:t>17.4因不可抗力解除合同</w:t>
      </w:r>
    </w:p>
    <w:p w14:paraId="30A95B81">
      <w:pPr>
        <w:spacing w:line="360" w:lineRule="auto"/>
        <w:ind w:firstLine="480" w:firstLineChars="200"/>
        <w:rPr>
          <w:rFonts w:hint="eastAsia" w:ascii="宋体" w:hAnsi="宋体" w:eastAsia="宋体" w:cs="宋体"/>
        </w:rPr>
      </w:pPr>
      <w:r>
        <w:rPr>
          <w:rFonts w:hint="eastAsia" w:ascii="宋体" w:hAnsi="宋体" w:eastAsia="宋体" w:cs="宋体"/>
        </w:rPr>
        <w:t>合同解除后，发包人应在商定或确定发包人应支付款项后</w:t>
      </w:r>
      <w:r>
        <w:rPr>
          <w:rFonts w:hint="eastAsia" w:ascii="宋体" w:hAnsi="宋体" w:eastAsia="宋体" w:cs="宋体"/>
          <w:u w:val="single"/>
        </w:rPr>
        <w:t>100</w:t>
      </w:r>
      <w:r>
        <w:rPr>
          <w:rFonts w:hint="eastAsia" w:ascii="宋体" w:hAnsi="宋体" w:eastAsia="宋体" w:cs="宋体"/>
        </w:rPr>
        <w:t>天内完成款项的支付。</w:t>
      </w:r>
    </w:p>
    <w:bookmarkEnd w:id="1056"/>
    <w:bookmarkEnd w:id="1057"/>
    <w:bookmarkEnd w:id="1058"/>
    <w:bookmarkEnd w:id="1059"/>
    <w:bookmarkEnd w:id="1060"/>
    <w:bookmarkEnd w:id="1061"/>
    <w:bookmarkEnd w:id="1062"/>
    <w:bookmarkEnd w:id="1063"/>
    <w:bookmarkEnd w:id="1064"/>
    <w:bookmarkEnd w:id="1065"/>
    <w:bookmarkEnd w:id="1066"/>
    <w:bookmarkEnd w:id="1067"/>
    <w:bookmarkEnd w:id="1080"/>
    <w:p w14:paraId="6C28208E">
      <w:pPr>
        <w:spacing w:line="360" w:lineRule="auto"/>
        <w:ind w:firstLine="482" w:firstLineChars="200"/>
        <w:rPr>
          <w:rFonts w:hint="eastAsia" w:ascii="宋体" w:hAnsi="宋体" w:eastAsia="宋体" w:cs="宋体"/>
          <w:b/>
          <w:bCs/>
        </w:rPr>
      </w:pPr>
      <w:bookmarkStart w:id="1082" w:name="_Toc351203651"/>
      <w:r>
        <w:rPr>
          <w:rFonts w:hint="eastAsia" w:ascii="宋体" w:hAnsi="宋体" w:eastAsia="宋体" w:cs="宋体"/>
          <w:b/>
          <w:bCs/>
        </w:rPr>
        <w:t>20.争议解决</w:t>
      </w:r>
      <w:bookmarkEnd w:id="1082"/>
    </w:p>
    <w:bookmarkEnd w:id="1068"/>
    <w:bookmarkEnd w:id="1069"/>
    <w:bookmarkEnd w:id="1070"/>
    <w:p w14:paraId="5A75C65E">
      <w:pPr>
        <w:spacing w:line="360" w:lineRule="auto"/>
        <w:ind w:firstLine="480" w:firstLineChars="200"/>
        <w:rPr>
          <w:rFonts w:hint="eastAsia" w:ascii="宋体" w:hAnsi="宋体" w:eastAsia="宋体" w:cs="宋体"/>
        </w:rPr>
      </w:pPr>
      <w:r>
        <w:rPr>
          <w:rFonts w:hint="eastAsia" w:ascii="宋体" w:hAnsi="宋体" w:eastAsia="宋体" w:cs="宋体"/>
        </w:rPr>
        <w:t>20.4仲裁或诉讼</w:t>
      </w:r>
      <w:bookmarkEnd w:id="1071"/>
    </w:p>
    <w:p w14:paraId="7347FBCE">
      <w:pPr>
        <w:spacing w:line="360" w:lineRule="auto"/>
        <w:ind w:firstLine="480" w:firstLineChars="200"/>
        <w:rPr>
          <w:rFonts w:hint="eastAsia" w:ascii="宋体" w:hAnsi="宋体" w:eastAsia="宋体" w:cs="宋体"/>
        </w:rPr>
      </w:pPr>
      <w:r>
        <w:rPr>
          <w:rFonts w:hint="eastAsia" w:ascii="宋体" w:hAnsi="宋体" w:eastAsia="宋体" w:cs="宋体"/>
        </w:rPr>
        <w:t>因合同及合同有关事项发生的争议，按下列第</w:t>
      </w:r>
      <w:r>
        <w:rPr>
          <w:rFonts w:hint="eastAsia" w:ascii="宋体" w:hAnsi="宋体" w:eastAsia="宋体" w:cs="宋体"/>
          <w:u w:val="single"/>
        </w:rPr>
        <w:t>2</w:t>
      </w:r>
      <w:r>
        <w:rPr>
          <w:rFonts w:hint="eastAsia" w:ascii="宋体" w:hAnsi="宋体" w:eastAsia="宋体" w:cs="宋体"/>
        </w:rPr>
        <w:t>种方式解决：</w:t>
      </w:r>
    </w:p>
    <w:p w14:paraId="2B94111D">
      <w:pPr>
        <w:spacing w:line="360" w:lineRule="auto"/>
        <w:ind w:firstLine="480" w:firstLineChars="200"/>
        <w:rPr>
          <w:rFonts w:hint="eastAsia" w:ascii="宋体" w:hAnsi="宋体" w:eastAsia="宋体" w:cs="宋体"/>
        </w:rPr>
      </w:pPr>
      <w:r>
        <w:rPr>
          <w:rFonts w:hint="eastAsia" w:ascii="宋体" w:hAnsi="宋体" w:eastAsia="宋体" w:cs="宋体"/>
        </w:rPr>
        <w:t>（1）向</w:t>
      </w:r>
      <w:r>
        <w:rPr>
          <w:rFonts w:hint="eastAsia" w:ascii="宋体" w:hAnsi="宋体" w:eastAsia="宋体" w:cs="宋体"/>
          <w:u w:val="single"/>
        </w:rPr>
        <w:t>西安</w:t>
      </w:r>
      <w:r>
        <w:rPr>
          <w:rFonts w:hint="eastAsia" w:ascii="宋体" w:hAnsi="宋体" w:eastAsia="宋体" w:cs="宋体"/>
        </w:rPr>
        <w:t>仲裁委员会申请仲裁；</w:t>
      </w:r>
    </w:p>
    <w:p w14:paraId="6A614200">
      <w:pPr>
        <w:spacing w:line="360" w:lineRule="auto"/>
        <w:ind w:firstLine="480" w:firstLineChars="200"/>
        <w:rPr>
          <w:rFonts w:hint="eastAsia" w:ascii="宋体" w:hAnsi="宋体" w:eastAsia="宋体" w:cs="宋体"/>
        </w:rPr>
      </w:pPr>
      <w:r>
        <w:rPr>
          <w:rFonts w:hint="eastAsia" w:ascii="宋体" w:hAnsi="宋体" w:eastAsia="宋体" w:cs="宋体"/>
        </w:rPr>
        <w:t>（2）向</w:t>
      </w:r>
      <w:r>
        <w:rPr>
          <w:rFonts w:hint="eastAsia" w:ascii="宋体" w:hAnsi="宋体" w:eastAsia="宋体" w:cs="宋体"/>
          <w:u w:val="single"/>
        </w:rPr>
        <w:t>工程所在地</w:t>
      </w:r>
      <w:r>
        <w:rPr>
          <w:rFonts w:hint="eastAsia" w:ascii="宋体" w:hAnsi="宋体" w:eastAsia="宋体" w:cs="宋体"/>
        </w:rPr>
        <w:t>人民法院起诉。</w:t>
      </w:r>
      <w:bookmarkEnd w:id="1072"/>
      <w:bookmarkEnd w:id="1073"/>
      <w:bookmarkEnd w:id="1074"/>
      <w:bookmarkEnd w:id="1075"/>
      <w:bookmarkEnd w:id="1076"/>
      <w:bookmarkEnd w:id="1077"/>
    </w:p>
    <w:p w14:paraId="302DEA3E">
      <w:pPr>
        <w:spacing w:line="360" w:lineRule="auto"/>
        <w:ind w:firstLine="482" w:firstLineChars="200"/>
        <w:rPr>
          <w:rFonts w:hint="eastAsia" w:ascii="宋体" w:hAnsi="宋体" w:eastAsia="宋体" w:cs="宋体"/>
          <w:b/>
          <w:bCs/>
        </w:rPr>
      </w:pPr>
      <w:r>
        <w:rPr>
          <w:rFonts w:hint="eastAsia" w:ascii="宋体" w:hAnsi="宋体" w:eastAsia="宋体" w:cs="宋体"/>
          <w:b/>
          <w:bCs/>
        </w:rPr>
        <w:t>21.补充条款：</w:t>
      </w:r>
    </w:p>
    <w:p w14:paraId="6C802A1B">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1承包人在施工期间应服从、遵守发包人和当地政府职能部门的管理制度。</w:t>
      </w:r>
    </w:p>
    <w:p w14:paraId="0BDC48FF">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2关于安全防护、文明施工措施费的其他约定如下：</w:t>
      </w:r>
    </w:p>
    <w:p w14:paraId="1CE9036E">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①承包人需提供安全防护、文明施工措施费的支付计划和落实情况，不得挪用。否则发包人有权扣除相应费用。</w:t>
      </w:r>
    </w:p>
    <w:p w14:paraId="32354D8E">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②发包人对承包人落实安全防护、文明施工措施情况进行现场监管。若发现承包人未落实安全防护、文明施工措施的，有权责令其立即整改。</w:t>
      </w:r>
    </w:p>
    <w:p w14:paraId="41ED1C13">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3严格按文明工地施工，设立专用垃圾场，不得在施工区内任意堆放或乱倒垃圾，定期将建筑垃圾清理外运。</w:t>
      </w:r>
    </w:p>
    <w:p w14:paraId="405AD66D">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4现场用电必须按照施工验收相关规范要求，三相五线制，一机一闸必须带漏电保护，不许用电炉、电热褥、“热得快”等其他影响安全的不合格电器。如施工现场出现用电漏电或短路跳闸，每次由承包人向发包人支付5000元的违约金。</w:t>
      </w:r>
    </w:p>
    <w:p w14:paraId="77E0DF0C">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5承包人必须按照国务院第724号《保障农民工工资支付条例》、《西安市农民工工资保障办法》及《工程建设领域农民工工资专用账户管理暂行办法》（人社部2021-53号文）《西安市农民工工资支付保证金实施细则》规定及时支付缴纳保证金并按合同约定支付工资。如承包人未按上述要求执行，发包人有权要求承包人按照不高于合同价款的20%向发包人支付违约金。</w:t>
      </w:r>
    </w:p>
    <w:p w14:paraId="08D9CC32">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6暂列金额属于发包人发生的预估费用，归发包人所有，在工程付款和结算时扣除。</w:t>
      </w:r>
    </w:p>
    <w:p w14:paraId="267B3EF5">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7施工过程中，资料和工程进度必须同步。每月发包人管理人员对施工进度和资料进行检查，出现问题限期整改，否则由承包人向发包人支付1000元的违约金。</w:t>
      </w:r>
    </w:p>
    <w:p w14:paraId="612AF799">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8承包人须遵守地方政府和有关部门对施工扬尘治霾、施工噪音等的管理规定，切实做好现场裸露地面覆盖工作，降尘措施到位，并配备专门的清洗设备和人员，承包人负责承担违反上述规定所发生的费用。因承包人治污减霾工作不力，受到地方政府职能部门通报，视为承包人违约，支付违约金3万元/次，并从当期进度款中扣除。因治污减霾、施工降噪等受到政府职能部门的任何处罚，后果均由承包人承担。</w:t>
      </w:r>
    </w:p>
    <w:p w14:paraId="48698412">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9对于发包人发出的工作通知单，承包人必须于整改完成后书面回复，并经甲方确认其整改结果，若不能满足质量验收规范或施工规范的，将继续整改直至满足规范要求，必要时通报发包人，否则，发包人有权对承包人进行罚款。</w:t>
      </w:r>
    </w:p>
    <w:p w14:paraId="12FC7810">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10承包人对发包人的安全部门所发出的安全隐患整改指令必须无条件服从，并进行整改，整改完成后报安全主管或甲方工程师复查。</w:t>
      </w:r>
    </w:p>
    <w:p w14:paraId="7A96C943">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11承包人承担在其承包工程正式交付发包人前的成品保护责任。</w:t>
      </w:r>
    </w:p>
    <w:p w14:paraId="05B40C2D">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12承包人必须按投标文件进度时间要求节点完成施工，若承包人未能按节点时间完成，每延迟一日，承包人向发包人支付1万元违约金。</w:t>
      </w:r>
    </w:p>
    <w:p w14:paraId="6743BF23">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13未经发包人同意，承包人不得将工程的任何部分进行转包或分包。发包人发现承包人违法规定转包或者分包，有权立即解除合同。承包人除比照本合同质量、工期相应处罚条款承担责任外，还应当承担不少于合同价款30%的违约金。造成发包人损失的，承包人还应承担由于解除合同迫使发包人重新招标引起的信誉受损带来的直接、间接经济、名誉赔偿责任。</w:t>
      </w:r>
    </w:p>
    <w:p w14:paraId="2D0882AC">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14承包人按照建设部门或发包人要求，在施工中采用新技术、新工艺时，不得另行向发包人提出增加费用的要求，由此产生的经济效益也不在合同价款调整范围内。承包人也不得据此提出变更设计。</w:t>
      </w:r>
    </w:p>
    <w:p w14:paraId="3A89DBF9">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15承包人安全管理人员必须持证上岗，严格按照“三标”管理体系运行管理，负责检查现场和施工人员安全情况。如发包人管理人员发现有不安全因素存在且未采取预防保护的，支付违约金5000元/项。</w:t>
      </w:r>
    </w:p>
    <w:p w14:paraId="55C8B0FA">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16承包人进场后应承担办理有关环保、卫生、城管、噪声等有关手续，并承担相应费用。</w:t>
      </w:r>
    </w:p>
    <w:p w14:paraId="0F3A58A4">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17承包人所采购的材料必须符合认价单规定的各项要求，每批次材料都应附上合格证书，经发包人确认后方可使用，如果在检查中发现以次充好等情况，除了按要求调换之外，由承包人向发包人支付10000元/次的违约金。</w:t>
      </w:r>
    </w:p>
    <w:p w14:paraId="4C673BAF">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18承包人不得以任何理由拒绝或拖延发包人指派的新增任务（包括变更和合同外项目），否则发包人另行安排，且承包人向发包人支付合同价款1%的违约金。</w:t>
      </w:r>
    </w:p>
    <w:p w14:paraId="2F697394">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19如发包人或使用方要求提前投入使用，承包人应该予以配合，并不排除承包人承担的保修维护责任。</w:t>
      </w:r>
    </w:p>
    <w:p w14:paraId="7B83C7C8">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20承包人不因施工组织设计调整或为了赶工采取的相关补救措施或发包人为保证合同要求提出的达到既定质量及进度要求而另行增加费用。</w:t>
      </w:r>
    </w:p>
    <w:p w14:paraId="09944DC1">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21承包人在工程进度、质量、安全等方面出现下列情况时，发包人有权终止合同：</w:t>
      </w:r>
    </w:p>
    <w:p w14:paraId="19778F9A">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（1）进度方面：工程关键节点进度不能按计划完成。延误工期超过该节点计划工期的10%时，并且不能采取令发包人信服的赶工补救措施。</w:t>
      </w:r>
    </w:p>
    <w:p w14:paraId="1ACCBA0D">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（2）质量方面：①出现重大质量问题，经发包人单位提出，没有采取有效措施进行补救；②被建设行政主管部门因为质量问题通报两次者。</w:t>
      </w:r>
    </w:p>
    <w:p w14:paraId="3B0A338E">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（3）安全问题：①出现重大隐患，经发包人提出，在限期内没有得到整改；②被建设行政部门因为安全问题进行通报两次者。</w:t>
      </w:r>
    </w:p>
    <w:p w14:paraId="11689638">
      <w:pPr>
        <w:spacing w:line="360" w:lineRule="auto"/>
        <w:ind w:firstLine="480" w:firstLineChars="200"/>
        <w:rPr>
          <w:rFonts w:hint="eastAsia" w:ascii="宋体" w:hAnsi="宋体" w:eastAsia="宋体" w:cs="宋体"/>
          <w:lang w:val="zh-CN"/>
        </w:rPr>
      </w:pPr>
      <w:r>
        <w:rPr>
          <w:rFonts w:hint="eastAsia" w:ascii="宋体" w:hAnsi="宋体" w:eastAsia="宋体" w:cs="宋体"/>
          <w:lang w:val="zh-CN"/>
        </w:rPr>
        <w:t>因以上原因，除终止合同外，承包人还应按合同价款的20%向发包人支付违约金。由于终止合同对发包人造成的损失由承包人承担。</w:t>
      </w:r>
    </w:p>
    <w:p w14:paraId="7457AEB1">
      <w:pPr>
        <w:spacing w:line="360" w:lineRule="auto"/>
        <w:ind w:firstLine="480" w:firstLineChars="200"/>
        <w:rPr>
          <w:rFonts w:hint="eastAsia" w:ascii="宋体" w:hAnsi="宋体" w:eastAsia="宋体" w:cs="宋体"/>
        </w:rPr>
      </w:pPr>
      <w:r>
        <w:rPr>
          <w:rFonts w:hint="eastAsia" w:ascii="宋体" w:hAnsi="宋体" w:eastAsia="宋体" w:cs="宋体"/>
        </w:rPr>
        <w:t>21.</w:t>
      </w:r>
      <w:r>
        <w:rPr>
          <w:rFonts w:hint="eastAsia" w:ascii="宋体" w:hAnsi="宋体" w:eastAsia="宋体" w:cs="宋体"/>
          <w:lang w:val="zh-CN"/>
        </w:rPr>
        <w:t>22遵守地方政府和有关部门对施工现场扬尘污染问题的规定，工地出入口道路必须硬化，必须进行净化处理，负责清除驶出施工工地运输车体和车轮的泥土，车体和车轮不带泥土驶出工地。承包人负责承担违反上述规定所发生的费用。</w:t>
      </w:r>
    </w:p>
    <w:p w14:paraId="62D5C006">
      <w:pPr>
        <w:spacing w:line="360" w:lineRule="auto"/>
        <w:ind w:firstLine="480" w:firstLineChars="200"/>
        <w:rPr>
          <w:rFonts w:hint="eastAsia" w:ascii="宋体" w:hAnsi="宋体" w:eastAsia="宋体" w:cs="宋体"/>
          <w:lang w:val="zh-CN"/>
        </w:rPr>
      </w:pPr>
      <w:r>
        <w:rPr>
          <w:rFonts w:hint="eastAsia" w:ascii="宋体" w:hAnsi="宋体" w:eastAsia="宋体" w:cs="宋体"/>
        </w:rPr>
        <w:t>21.</w:t>
      </w:r>
      <w:r>
        <w:rPr>
          <w:rFonts w:hint="eastAsia" w:ascii="宋体" w:hAnsi="宋体" w:eastAsia="宋体" w:cs="宋体"/>
          <w:lang w:val="zh-CN"/>
        </w:rPr>
        <w:t>23招标文件、投标文件、答疑纪要及承包人的承诺为合同的组成部分，与合同具有同等法律效力。若通用条款与专用条款不一致时，执行专用条款，若专用条款与补充条款或者合同中两处对同一问题描述有冲突时，按照最有利于发包人的条款执行。</w:t>
      </w:r>
    </w:p>
    <w:p w14:paraId="3D348C9B">
      <w:pPr>
        <w:spacing w:line="360" w:lineRule="auto"/>
        <w:ind w:firstLine="480" w:firstLineChars="200"/>
        <w:rPr>
          <w:rFonts w:hint="eastAsia" w:ascii="宋体" w:hAnsi="宋体" w:eastAsia="宋体" w:cs="宋体"/>
        </w:rPr>
      </w:pPr>
      <w:r>
        <w:rPr>
          <w:rFonts w:hint="eastAsia" w:ascii="宋体" w:hAnsi="宋体" w:eastAsia="宋体" w:cs="宋体"/>
        </w:rPr>
        <w:t>21.24承包人的报批义务</w:t>
      </w:r>
    </w:p>
    <w:p w14:paraId="2402FBC3">
      <w:pPr>
        <w:spacing w:line="360" w:lineRule="auto"/>
        <w:ind w:firstLine="480" w:firstLineChars="200"/>
        <w:rPr>
          <w:rFonts w:hint="eastAsia" w:ascii="宋体" w:hAnsi="宋体" w:eastAsia="宋体" w:cs="宋体"/>
        </w:rPr>
      </w:pPr>
      <w:r>
        <w:rPr>
          <w:rFonts w:hint="eastAsia" w:ascii="宋体" w:hAnsi="宋体" w:eastAsia="宋体" w:cs="宋体"/>
        </w:rPr>
        <w:t>（1）项目竣工后，承包人应提供给发包人正式竣工蓝图4套，与竣工图内容相同的电子文件2套。</w:t>
      </w:r>
    </w:p>
    <w:p w14:paraId="21813F6F">
      <w:pPr>
        <w:spacing w:line="360" w:lineRule="auto"/>
        <w:ind w:firstLine="480" w:firstLineChars="200"/>
        <w:rPr>
          <w:rFonts w:hint="eastAsia" w:ascii="宋体" w:hAnsi="宋体" w:eastAsia="宋体" w:cs="宋体"/>
        </w:rPr>
      </w:pPr>
      <w:r>
        <w:rPr>
          <w:rFonts w:hint="eastAsia" w:ascii="宋体" w:hAnsi="宋体" w:eastAsia="宋体" w:cs="宋体"/>
        </w:rPr>
        <w:t>（2）承包人有义务参加配合项目的各项验收工作。在施工的各阶段，承包人应积极配合发包人完成因质检和消防等相关部门进行工程验收引起的与设计有关的技术工作，并配合完成后续验收资料的完善工作。</w:t>
      </w:r>
    </w:p>
    <w:p w14:paraId="766B45C2">
      <w:pPr>
        <w:spacing w:line="360" w:lineRule="auto"/>
        <w:ind w:firstLine="480" w:firstLineChars="200"/>
        <w:rPr>
          <w:rFonts w:hint="eastAsia" w:ascii="宋体" w:hAnsi="宋体" w:eastAsia="宋体" w:cs="宋体"/>
        </w:rPr>
      </w:pPr>
      <w:r>
        <w:rPr>
          <w:rFonts w:hint="eastAsia" w:ascii="宋体" w:hAnsi="宋体" w:eastAsia="宋体" w:cs="宋体"/>
        </w:rPr>
        <w:t>（3）承包人需配备项目进行消防二次报批的专职人员，负责与相关部门对接，按照合同要求按时完成项目的消防报批手续。</w:t>
      </w:r>
    </w:p>
    <w:p w14:paraId="0C602BC6">
      <w:pPr>
        <w:spacing w:line="360" w:lineRule="auto"/>
        <w:ind w:firstLine="480" w:firstLineChars="200"/>
        <w:rPr>
          <w:rFonts w:hint="eastAsia" w:ascii="宋体" w:hAnsi="宋体" w:eastAsia="宋体" w:cs="宋体"/>
        </w:rPr>
      </w:pPr>
      <w:r>
        <w:rPr>
          <w:rFonts w:hint="eastAsia" w:ascii="宋体" w:hAnsi="宋体" w:eastAsia="宋体" w:cs="宋体"/>
        </w:rPr>
        <w:t>（4）报批阶段相关专家评审费、咨询费已包含在合同价款中。</w:t>
      </w:r>
    </w:p>
    <w:p w14:paraId="607C0DFD">
      <w:pPr>
        <w:spacing w:line="360" w:lineRule="auto"/>
        <w:ind w:firstLine="480" w:firstLineChars="200"/>
        <w:rPr>
          <w:rFonts w:hint="eastAsia" w:ascii="宋体" w:hAnsi="宋体" w:eastAsia="宋体" w:cs="宋体"/>
        </w:rPr>
      </w:pPr>
      <w:r>
        <w:rPr>
          <w:rFonts w:hint="eastAsia" w:ascii="宋体" w:hAnsi="宋体" w:eastAsia="宋体" w:cs="宋体"/>
        </w:rPr>
        <w:t>21.25承包人为实施和完成本合同工程及缺陷修复工作中一切施工作业所需的施工场内的道路、施工临时道路（由承包人自行修建）由承包人负责养护和恢复，破坏的部分应由承包人修复至原有的等级和通行要求，由此引起的一切费用自理，并应保证发包人免于承担因上述临时道路的使用所引起的补偿费、诉讼费、损害赔偿、指控费及其它开支。</w:t>
      </w:r>
    </w:p>
    <w:p w14:paraId="1231928E">
      <w:pPr>
        <w:spacing w:line="360" w:lineRule="auto"/>
        <w:ind w:firstLine="480" w:firstLineChars="200"/>
        <w:rPr>
          <w:rFonts w:hint="eastAsia" w:ascii="宋体" w:hAnsi="宋体" w:eastAsia="宋体" w:cs="宋体"/>
        </w:rPr>
      </w:pPr>
      <w:r>
        <w:rPr>
          <w:rFonts w:hint="eastAsia" w:ascii="宋体" w:hAnsi="宋体" w:eastAsia="宋体" w:cs="宋体"/>
        </w:rPr>
        <w:t>21.26承包人修建的临时道路应免费提供发包人和发包人指定的第三方使用。</w:t>
      </w:r>
    </w:p>
    <w:p w14:paraId="12D01DCB">
      <w:pPr>
        <w:spacing w:line="360" w:lineRule="auto"/>
        <w:ind w:firstLine="480" w:firstLineChars="200"/>
        <w:rPr>
          <w:rFonts w:hint="eastAsia" w:ascii="宋体" w:hAnsi="宋体" w:eastAsia="宋体" w:cs="宋体"/>
        </w:rPr>
      </w:pPr>
      <w:r>
        <w:rPr>
          <w:rFonts w:hint="eastAsia" w:ascii="宋体" w:hAnsi="宋体" w:eastAsia="宋体" w:cs="宋体"/>
        </w:rPr>
        <w:t>21.27本工程消防改造工程需要与原厂家兼容；施工完成后，承包方应及时办理二次消防审批手续并通过消防专项工程验收（相关费用由施工方负责）。</w:t>
      </w:r>
    </w:p>
    <w:p w14:paraId="55139DCE">
      <w:pPr>
        <w:spacing w:line="360" w:lineRule="auto"/>
        <w:ind w:firstLine="480" w:firstLineChars="200"/>
        <w:rPr>
          <w:rFonts w:hint="eastAsia" w:ascii="宋体" w:hAnsi="宋体" w:eastAsia="宋体" w:cs="宋体"/>
        </w:rPr>
      </w:pPr>
      <w:r>
        <w:rPr>
          <w:rFonts w:hint="eastAsia" w:ascii="宋体" w:hAnsi="宋体" w:eastAsia="宋体" w:cs="宋体"/>
        </w:rPr>
        <w:t>21.28乙方必须无偿配合甲方弱电等专业工程施工。</w:t>
      </w:r>
    </w:p>
    <w:p w14:paraId="6C99D65A">
      <w:pPr>
        <w:spacing w:line="360" w:lineRule="auto"/>
        <w:rPr>
          <w:rFonts w:hint="eastAsia" w:ascii="宋体" w:hAnsi="宋体" w:eastAsia="宋体" w:cs="宋体"/>
          <w:b/>
          <w:bCs/>
          <w:sz w:val="22"/>
          <w:szCs w:val="22"/>
        </w:rPr>
      </w:pPr>
      <w:r>
        <w:rPr>
          <w:rFonts w:hint="eastAsia" w:ascii="宋体" w:hAnsi="宋体" w:eastAsia="宋体" w:cs="宋体"/>
          <w:b/>
          <w:bCs/>
          <w:sz w:val="22"/>
          <w:szCs w:val="22"/>
        </w:rPr>
        <w:t>附件</w:t>
      </w:r>
    </w:p>
    <w:p w14:paraId="64C137D3">
      <w:pPr>
        <w:spacing w:line="360" w:lineRule="auto"/>
        <w:ind w:firstLine="480" w:firstLineChars="200"/>
        <w:rPr>
          <w:rFonts w:hint="eastAsia" w:ascii="宋体" w:hAnsi="宋体" w:eastAsia="宋体" w:cs="宋体"/>
        </w:rPr>
      </w:pPr>
      <w:r>
        <w:rPr>
          <w:rFonts w:hint="eastAsia" w:ascii="宋体" w:hAnsi="宋体" w:eastAsia="宋体" w:cs="宋体"/>
        </w:rPr>
        <w:t>协议书附件：</w:t>
      </w:r>
    </w:p>
    <w:p w14:paraId="638780AD">
      <w:pPr>
        <w:spacing w:line="360" w:lineRule="auto"/>
        <w:ind w:firstLine="480" w:firstLineChars="200"/>
        <w:rPr>
          <w:rFonts w:hint="eastAsia" w:ascii="宋体" w:hAnsi="宋体" w:eastAsia="宋体" w:cs="宋体"/>
        </w:rPr>
      </w:pPr>
      <w:r>
        <w:rPr>
          <w:rFonts w:hint="eastAsia" w:ascii="宋体" w:hAnsi="宋体" w:eastAsia="宋体" w:cs="宋体"/>
        </w:rPr>
        <w:t>专用合同条款附件：</w:t>
      </w:r>
    </w:p>
    <w:p w14:paraId="606063AF">
      <w:pPr>
        <w:spacing w:line="360" w:lineRule="auto"/>
        <w:ind w:firstLine="480" w:firstLineChars="200"/>
        <w:rPr>
          <w:rFonts w:hint="eastAsia" w:ascii="宋体" w:hAnsi="宋体" w:eastAsia="宋体" w:cs="宋体"/>
        </w:rPr>
      </w:pPr>
      <w:r>
        <w:rPr>
          <w:rFonts w:hint="eastAsia" w:ascii="宋体" w:hAnsi="宋体" w:eastAsia="宋体" w:cs="宋体"/>
        </w:rPr>
        <w:t>附件1：安全生产责任书</w:t>
      </w:r>
    </w:p>
    <w:p w14:paraId="6CDD0D8F">
      <w:pPr>
        <w:spacing w:line="360" w:lineRule="auto"/>
        <w:ind w:firstLine="480" w:firstLineChars="200"/>
        <w:rPr>
          <w:rFonts w:hint="eastAsia" w:ascii="宋体" w:hAnsi="宋体" w:eastAsia="宋体" w:cs="宋体"/>
        </w:rPr>
      </w:pPr>
      <w:r>
        <w:rPr>
          <w:rFonts w:hint="eastAsia" w:ascii="宋体" w:hAnsi="宋体" w:eastAsia="宋体" w:cs="宋体"/>
        </w:rPr>
        <w:t>附件2：工程质量保修书</w:t>
      </w:r>
    </w:p>
    <w:p w14:paraId="775E10BF">
      <w:pPr>
        <w:spacing w:line="360" w:lineRule="auto"/>
        <w:ind w:firstLine="480" w:firstLineChars="200"/>
        <w:rPr>
          <w:rFonts w:hint="eastAsia" w:ascii="宋体" w:hAnsi="宋体" w:eastAsia="宋体" w:cs="宋体"/>
        </w:rPr>
      </w:pPr>
      <w:r>
        <w:rPr>
          <w:rFonts w:hint="eastAsia" w:ascii="宋体" w:hAnsi="宋体" w:eastAsia="宋体" w:cs="宋体"/>
        </w:rPr>
        <w:t>附件3：主要材料、设备品牌要求</w:t>
      </w:r>
    </w:p>
    <w:p w14:paraId="6EB55B81">
      <w:pPr>
        <w:spacing w:line="360" w:lineRule="auto"/>
        <w:ind w:firstLine="480" w:firstLineChars="200"/>
        <w:rPr>
          <w:rFonts w:hint="eastAsia" w:ascii="宋体" w:hAnsi="宋体" w:eastAsia="宋体" w:cs="宋体"/>
        </w:rPr>
      </w:pPr>
      <w:r>
        <w:rPr>
          <w:rFonts w:hint="eastAsia" w:ascii="宋体" w:hAnsi="宋体" w:eastAsia="宋体" w:cs="宋体"/>
        </w:rPr>
        <w:t>附件4：廉政协议书</w:t>
      </w:r>
    </w:p>
    <w:p w14:paraId="3E846843">
      <w:pPr>
        <w:spacing w:line="360" w:lineRule="auto"/>
        <w:ind w:firstLine="480" w:firstLineChars="200"/>
        <w:rPr>
          <w:rFonts w:hint="eastAsia" w:ascii="宋体" w:hAnsi="宋体" w:eastAsia="宋体" w:cs="宋体"/>
        </w:rPr>
        <w:sectPr>
          <w:footerReference r:id="rId13" w:type="first"/>
          <w:footerReference r:id="rId12" w:type="default"/>
          <w:pgSz w:w="11906" w:h="16838"/>
          <w:pgMar w:top="1440" w:right="1083" w:bottom="1440" w:left="1083" w:header="720" w:footer="720" w:gutter="0"/>
          <w:pgNumType w:fmt="decimal"/>
          <w:cols w:space="0" w:num="1"/>
          <w:titlePg/>
          <w:docGrid w:linePitch="299" w:charSpace="0"/>
        </w:sectPr>
      </w:pPr>
    </w:p>
    <w:p w14:paraId="78A0AAAD">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附件1：</w:t>
      </w:r>
    </w:p>
    <w:p w14:paraId="46C0B4F8">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安全生产责任书</w:t>
      </w:r>
    </w:p>
    <w:p w14:paraId="69EB6D53">
      <w:pPr>
        <w:spacing w:line="360" w:lineRule="auto"/>
        <w:ind w:firstLine="480" w:firstLineChars="200"/>
        <w:rPr>
          <w:rFonts w:hint="eastAsia" w:ascii="宋体" w:hAnsi="宋体" w:eastAsia="宋体" w:cs="宋体"/>
        </w:rPr>
      </w:pPr>
    </w:p>
    <w:p w14:paraId="07CE0430">
      <w:pPr>
        <w:spacing w:line="360" w:lineRule="auto"/>
        <w:ind w:firstLine="482" w:firstLineChars="200"/>
        <w:rPr>
          <w:rFonts w:hint="eastAsia" w:ascii="宋体" w:hAnsi="宋体" w:eastAsia="宋体" w:cs="宋体"/>
        </w:rPr>
      </w:pPr>
      <w:r>
        <w:rPr>
          <w:rFonts w:hint="eastAsia" w:ascii="宋体" w:hAnsi="宋体" w:eastAsia="宋体" w:cs="宋体"/>
          <w:b/>
          <w:bCs/>
        </w:rPr>
        <w:t>发包人：</w:t>
      </w:r>
      <w:r>
        <w:rPr>
          <w:rFonts w:hint="eastAsia" w:ascii="宋体" w:hAnsi="宋体" w:eastAsia="宋体" w:cs="宋体"/>
          <w:u w:val="single"/>
        </w:rPr>
        <w:t>陕西测绘地理信息局劳动就业服务中心</w:t>
      </w:r>
    </w:p>
    <w:p w14:paraId="058362A8">
      <w:pPr>
        <w:spacing w:line="360" w:lineRule="auto"/>
        <w:ind w:firstLine="482" w:firstLineChars="200"/>
        <w:rPr>
          <w:rFonts w:hint="eastAsia" w:ascii="宋体" w:hAnsi="宋体" w:eastAsia="宋体" w:cs="宋体"/>
        </w:rPr>
      </w:pPr>
      <w:r>
        <w:rPr>
          <w:rFonts w:hint="eastAsia" w:ascii="宋体" w:hAnsi="宋体" w:eastAsia="宋体" w:cs="宋体"/>
          <w:b/>
          <w:bCs/>
        </w:rPr>
        <w:t>承包人：</w:t>
      </w:r>
      <w:r>
        <w:rPr>
          <w:rFonts w:hint="eastAsia" w:ascii="宋体" w:hAnsi="宋体" w:eastAsia="宋体" w:cs="宋体"/>
          <w:u w:val="single"/>
        </w:rPr>
        <w:t xml:space="preserve">                           </w:t>
      </w:r>
      <w:r>
        <w:rPr>
          <w:rFonts w:hint="eastAsia" w:ascii="宋体" w:hAnsi="宋体" w:eastAsia="宋体" w:cs="宋体"/>
        </w:rPr>
        <w:t xml:space="preserve"> </w:t>
      </w:r>
    </w:p>
    <w:p w14:paraId="1C6C89DF">
      <w:pPr>
        <w:spacing w:line="360" w:lineRule="auto"/>
        <w:ind w:firstLine="480" w:firstLineChars="200"/>
        <w:rPr>
          <w:rFonts w:hint="eastAsia" w:ascii="宋体" w:hAnsi="宋体" w:eastAsia="宋体" w:cs="宋体"/>
        </w:rPr>
      </w:pPr>
      <w:r>
        <w:rPr>
          <w:rFonts w:hint="eastAsia" w:ascii="宋体" w:hAnsi="宋体" w:eastAsia="宋体" w:cs="宋体"/>
        </w:rPr>
        <w:t>为加强施工安全生产管理，提高施工现场管理水平，明确和落实各级安全生产责任制，根据《中华人民共和国建筑法》、《中华人民共和国安全生产法》、《中华人民共和国劳动法》、《建设工程安全生产管理条例》、《建设工程质量管理条例》、《生产安全事故报告和调查处理条例》、《工程建设标准强制性条文》、《陕西省建设工程质量和安全生产管理条例》等相关法律法规，签订本责任书。</w:t>
      </w:r>
    </w:p>
    <w:p w14:paraId="0AF1E464">
      <w:pPr>
        <w:spacing w:line="360" w:lineRule="auto"/>
        <w:ind w:firstLine="482" w:firstLineChars="200"/>
        <w:rPr>
          <w:rFonts w:hint="eastAsia" w:ascii="宋体" w:hAnsi="宋体" w:eastAsia="宋体" w:cs="宋体"/>
          <w:b/>
          <w:bCs/>
        </w:rPr>
      </w:pPr>
      <w:r>
        <w:rPr>
          <w:rFonts w:hint="eastAsia" w:ascii="宋体" w:hAnsi="宋体" w:eastAsia="宋体" w:cs="宋体"/>
          <w:b/>
          <w:bCs/>
        </w:rPr>
        <w:t>一、责任范围</w:t>
      </w:r>
    </w:p>
    <w:p w14:paraId="7CD38287">
      <w:pPr>
        <w:spacing w:line="360" w:lineRule="auto"/>
        <w:ind w:firstLine="480" w:firstLineChars="200"/>
        <w:rPr>
          <w:rFonts w:hint="eastAsia" w:ascii="宋体" w:hAnsi="宋体" w:eastAsia="宋体" w:cs="宋体"/>
        </w:rPr>
      </w:pPr>
      <w:r>
        <w:rPr>
          <w:rFonts w:hint="eastAsia" w:ascii="宋体" w:hAnsi="宋体" w:eastAsia="宋体" w:cs="宋体"/>
        </w:rPr>
        <w:t>承包人所承建工程的全部施工生产作业及其辅助性相关工作。</w:t>
      </w:r>
    </w:p>
    <w:p w14:paraId="594369B5">
      <w:pPr>
        <w:spacing w:line="360" w:lineRule="auto"/>
        <w:ind w:firstLine="482" w:firstLineChars="200"/>
        <w:rPr>
          <w:rFonts w:hint="eastAsia" w:ascii="宋体" w:hAnsi="宋体" w:eastAsia="宋体" w:cs="宋体"/>
          <w:b/>
          <w:bCs/>
        </w:rPr>
      </w:pPr>
      <w:r>
        <w:rPr>
          <w:rFonts w:hint="eastAsia" w:ascii="宋体" w:hAnsi="宋体" w:eastAsia="宋体" w:cs="宋体"/>
          <w:b/>
          <w:bCs/>
        </w:rPr>
        <w:t>二、责任目标</w:t>
      </w:r>
    </w:p>
    <w:p w14:paraId="0A3B178E">
      <w:pPr>
        <w:spacing w:line="360" w:lineRule="auto"/>
        <w:ind w:firstLine="480" w:firstLineChars="200"/>
        <w:rPr>
          <w:rFonts w:hint="eastAsia" w:ascii="宋体" w:hAnsi="宋体" w:eastAsia="宋体" w:cs="宋体"/>
        </w:rPr>
      </w:pPr>
      <w:r>
        <w:rPr>
          <w:rFonts w:hint="eastAsia" w:ascii="宋体" w:hAnsi="宋体" w:eastAsia="宋体" w:cs="宋体"/>
        </w:rPr>
        <w:t>1、杜绝死亡及重伤（含交通责任）事故，轻伤事故率控制在5‰以内。</w:t>
      </w:r>
    </w:p>
    <w:p w14:paraId="18034B0D">
      <w:pPr>
        <w:spacing w:line="360" w:lineRule="auto"/>
        <w:ind w:firstLine="480" w:firstLineChars="200"/>
        <w:rPr>
          <w:rFonts w:hint="eastAsia" w:ascii="宋体" w:hAnsi="宋体" w:eastAsia="宋体" w:cs="宋体"/>
        </w:rPr>
      </w:pPr>
      <w:r>
        <w:rPr>
          <w:rFonts w:hint="eastAsia" w:ascii="宋体" w:hAnsi="宋体" w:eastAsia="宋体" w:cs="宋体"/>
        </w:rPr>
        <w:t>2、杜绝火灾、爆炸及灾害性天气造成的一般及以上责任事故。</w:t>
      </w:r>
    </w:p>
    <w:p w14:paraId="5162E87F">
      <w:pPr>
        <w:spacing w:line="360" w:lineRule="auto"/>
        <w:ind w:firstLine="480" w:firstLineChars="200"/>
        <w:rPr>
          <w:rFonts w:hint="eastAsia" w:ascii="宋体" w:hAnsi="宋体" w:eastAsia="宋体" w:cs="宋体"/>
        </w:rPr>
      </w:pPr>
      <w:r>
        <w:rPr>
          <w:rFonts w:hint="eastAsia" w:ascii="宋体" w:hAnsi="宋体" w:eastAsia="宋体" w:cs="宋体"/>
        </w:rPr>
        <w:t>3、杜绝交通、中毒和中暑一般及以上责任事故。</w:t>
      </w:r>
    </w:p>
    <w:p w14:paraId="5A7E2182">
      <w:pPr>
        <w:spacing w:line="360" w:lineRule="auto"/>
        <w:ind w:firstLine="480" w:firstLineChars="200"/>
        <w:rPr>
          <w:rFonts w:hint="eastAsia" w:ascii="宋体" w:hAnsi="宋体" w:eastAsia="宋体" w:cs="宋体"/>
        </w:rPr>
      </w:pPr>
      <w:r>
        <w:rPr>
          <w:rFonts w:hint="eastAsia" w:ascii="宋体" w:hAnsi="宋体" w:eastAsia="宋体" w:cs="宋体"/>
        </w:rPr>
        <w:t>4、杜绝机械设备和特种设备一般及以上责任安全事故。</w:t>
      </w:r>
    </w:p>
    <w:p w14:paraId="33D85C1B">
      <w:pPr>
        <w:spacing w:line="360" w:lineRule="auto"/>
        <w:ind w:firstLine="480" w:firstLineChars="200"/>
        <w:rPr>
          <w:rFonts w:hint="eastAsia" w:ascii="宋体" w:hAnsi="宋体" w:eastAsia="宋体" w:cs="宋体"/>
        </w:rPr>
      </w:pPr>
      <w:r>
        <w:rPr>
          <w:rFonts w:hint="eastAsia" w:ascii="宋体" w:hAnsi="宋体" w:eastAsia="宋体" w:cs="宋体"/>
        </w:rPr>
        <w:t>5、杜绝环境污染事故。</w:t>
      </w:r>
    </w:p>
    <w:p w14:paraId="0E525685">
      <w:pPr>
        <w:spacing w:line="360" w:lineRule="auto"/>
        <w:ind w:firstLine="480" w:firstLineChars="200"/>
        <w:rPr>
          <w:rFonts w:hint="eastAsia" w:ascii="宋体" w:hAnsi="宋体" w:eastAsia="宋体" w:cs="宋体"/>
        </w:rPr>
      </w:pPr>
      <w:r>
        <w:rPr>
          <w:rFonts w:hint="eastAsia" w:ascii="宋体" w:hAnsi="宋体" w:eastAsia="宋体" w:cs="宋体"/>
        </w:rPr>
        <w:t>6、杜绝职工职业病责任事故。</w:t>
      </w:r>
    </w:p>
    <w:p w14:paraId="07CDF693">
      <w:pPr>
        <w:spacing w:line="360" w:lineRule="auto"/>
        <w:ind w:firstLine="480" w:firstLineChars="200"/>
        <w:rPr>
          <w:rFonts w:hint="eastAsia" w:ascii="宋体" w:hAnsi="宋体" w:eastAsia="宋体" w:cs="宋体"/>
        </w:rPr>
      </w:pPr>
      <w:r>
        <w:rPr>
          <w:rFonts w:hint="eastAsia" w:ascii="宋体" w:hAnsi="宋体" w:eastAsia="宋体" w:cs="宋体"/>
        </w:rPr>
        <w:t>7、人员安全教育培训100%，持有效证件上岗率100%。</w:t>
      </w:r>
    </w:p>
    <w:p w14:paraId="0379191B">
      <w:pPr>
        <w:spacing w:line="360" w:lineRule="auto"/>
        <w:ind w:firstLine="482" w:firstLineChars="200"/>
        <w:rPr>
          <w:rFonts w:hint="eastAsia" w:ascii="宋体" w:hAnsi="宋体" w:eastAsia="宋体" w:cs="宋体"/>
          <w:b/>
          <w:bCs/>
        </w:rPr>
      </w:pPr>
      <w:r>
        <w:rPr>
          <w:rFonts w:hint="eastAsia" w:ascii="宋体" w:hAnsi="宋体" w:eastAsia="宋体" w:cs="宋体"/>
          <w:b/>
          <w:bCs/>
        </w:rPr>
        <w:t>三、责任内容</w:t>
      </w:r>
    </w:p>
    <w:p w14:paraId="57C4E105">
      <w:pPr>
        <w:spacing w:line="360" w:lineRule="auto"/>
        <w:ind w:firstLine="480" w:firstLineChars="200"/>
        <w:rPr>
          <w:rFonts w:hint="eastAsia" w:ascii="宋体" w:hAnsi="宋体" w:eastAsia="宋体" w:cs="宋体"/>
        </w:rPr>
      </w:pPr>
      <w:r>
        <w:rPr>
          <w:rFonts w:hint="eastAsia" w:ascii="宋体" w:hAnsi="宋体" w:eastAsia="宋体" w:cs="宋体"/>
        </w:rPr>
        <w:t>1、施工单位应履行安全文明施工管理职责，严格执行建设工程安全生产法律、法规和工程建设强制性标准，对保护施工现场环境质量、施工人员身体健康、生命安全直接负责。</w:t>
      </w:r>
    </w:p>
    <w:p w14:paraId="36F97035">
      <w:pPr>
        <w:spacing w:line="360" w:lineRule="auto"/>
        <w:ind w:firstLine="480" w:firstLineChars="200"/>
        <w:rPr>
          <w:rFonts w:hint="eastAsia" w:ascii="宋体" w:hAnsi="宋体" w:eastAsia="宋体" w:cs="宋体"/>
        </w:rPr>
      </w:pPr>
      <w:r>
        <w:rPr>
          <w:rFonts w:hint="eastAsia" w:ascii="宋体" w:hAnsi="宋体" w:eastAsia="宋体" w:cs="宋体"/>
        </w:rPr>
        <w:t>2、建立健全施工安全文明管理体系和各项规章制度及操作规程，落实安全文明施工责任制。对施工人员进行必要的安全教育、安全施工要求，记录完整。</w:t>
      </w:r>
    </w:p>
    <w:p w14:paraId="1A52709B">
      <w:pPr>
        <w:spacing w:line="360" w:lineRule="auto"/>
        <w:ind w:firstLine="480" w:firstLineChars="200"/>
        <w:rPr>
          <w:rFonts w:hint="eastAsia" w:ascii="宋体" w:hAnsi="宋体" w:eastAsia="宋体" w:cs="宋体"/>
        </w:rPr>
      </w:pPr>
      <w:r>
        <w:rPr>
          <w:rFonts w:hint="eastAsia" w:ascii="宋体" w:hAnsi="宋体" w:eastAsia="宋体" w:cs="宋体"/>
        </w:rPr>
        <w:t>3、为施工人员提供符合标准的生活、生产工具及个人劳动保护用品、作业环境和安全文明施工条件，施工现场有必要的安全防范提示。</w:t>
      </w:r>
    </w:p>
    <w:p w14:paraId="67B6AB7E">
      <w:pPr>
        <w:spacing w:line="360" w:lineRule="auto"/>
        <w:ind w:firstLine="480" w:firstLineChars="200"/>
        <w:rPr>
          <w:rFonts w:hint="eastAsia" w:ascii="宋体" w:hAnsi="宋体" w:eastAsia="宋体" w:cs="宋体"/>
        </w:rPr>
      </w:pPr>
      <w:r>
        <w:rPr>
          <w:rFonts w:hint="eastAsia" w:ascii="宋体" w:hAnsi="宋体" w:eastAsia="宋体" w:cs="宋体"/>
        </w:rPr>
        <w:t>4、采取的安全技术措施符合建设工程强制性标准，使用的特种设备及辅助性工程设施，使用前必须验收合格。</w:t>
      </w:r>
    </w:p>
    <w:p w14:paraId="65DE0206">
      <w:pPr>
        <w:spacing w:line="360" w:lineRule="auto"/>
        <w:ind w:firstLine="480" w:firstLineChars="200"/>
        <w:rPr>
          <w:rFonts w:hint="eastAsia" w:ascii="宋体" w:hAnsi="宋体" w:eastAsia="宋体" w:cs="宋体"/>
        </w:rPr>
      </w:pPr>
      <w:r>
        <w:rPr>
          <w:rFonts w:hint="eastAsia" w:ascii="宋体" w:hAnsi="宋体" w:eastAsia="宋体" w:cs="宋体"/>
        </w:rPr>
        <w:t>5、实施生产安全事故和环境质量破坏事件零目标管理，采取危险源识别和控制管理措施。</w:t>
      </w:r>
    </w:p>
    <w:p w14:paraId="110086AF">
      <w:pPr>
        <w:spacing w:line="360" w:lineRule="auto"/>
        <w:ind w:firstLine="480" w:firstLineChars="200"/>
        <w:rPr>
          <w:rFonts w:hint="eastAsia" w:ascii="宋体" w:hAnsi="宋体" w:eastAsia="宋体" w:cs="宋体"/>
        </w:rPr>
      </w:pPr>
      <w:r>
        <w:rPr>
          <w:rFonts w:hint="eastAsia" w:ascii="宋体" w:hAnsi="宋体" w:eastAsia="宋体" w:cs="宋体"/>
        </w:rPr>
        <w:t>6、施工作业前勘察作业环境和安全生产条件，符合条件方可施工；对操作人员进行安全技术交底；对存在重大安全风险的施工作业编制专项安全施工方案，按方案严格组织实施，重大施工方案必须经专家论证。</w:t>
      </w:r>
    </w:p>
    <w:p w14:paraId="5C3BADA1">
      <w:pPr>
        <w:spacing w:line="360" w:lineRule="auto"/>
        <w:ind w:firstLine="480" w:firstLineChars="200"/>
        <w:rPr>
          <w:rFonts w:hint="eastAsia" w:ascii="宋体" w:hAnsi="宋体" w:eastAsia="宋体" w:cs="宋体"/>
        </w:rPr>
      </w:pPr>
      <w:r>
        <w:rPr>
          <w:rFonts w:hint="eastAsia" w:ascii="宋体" w:hAnsi="宋体" w:eastAsia="宋体" w:cs="宋体"/>
        </w:rPr>
        <w:t>7、建立检查巡视制度，组织开展安全检查活动，施工中设专人进行巡查，发现违章指挥和违章作业、事故隐患和环境质量破坏事件及时纠正制止，消除生产安全事故隐患；巡视、检查、整改进行书面记录，建立隐患台账、整改记录登记表。</w:t>
      </w:r>
    </w:p>
    <w:p w14:paraId="7880F352">
      <w:pPr>
        <w:spacing w:line="360" w:lineRule="auto"/>
        <w:ind w:firstLine="480" w:firstLineChars="200"/>
        <w:rPr>
          <w:rFonts w:hint="eastAsia" w:ascii="宋体" w:hAnsi="宋体" w:eastAsia="宋体" w:cs="宋体"/>
        </w:rPr>
      </w:pPr>
      <w:r>
        <w:rPr>
          <w:rFonts w:hint="eastAsia" w:ascii="宋体" w:hAnsi="宋体" w:eastAsia="宋体" w:cs="宋体"/>
        </w:rPr>
        <w:t>8、组织落实安全生产活动，宣传安全生产法规，增强全体员工安全生产意识。</w:t>
      </w:r>
    </w:p>
    <w:p w14:paraId="060377F8">
      <w:pPr>
        <w:spacing w:line="360" w:lineRule="auto"/>
        <w:ind w:firstLine="480" w:firstLineChars="200"/>
        <w:rPr>
          <w:rFonts w:hint="eastAsia" w:ascii="宋体" w:hAnsi="宋体" w:eastAsia="宋体" w:cs="宋体"/>
        </w:rPr>
      </w:pPr>
      <w:r>
        <w:rPr>
          <w:rFonts w:hint="eastAsia" w:ascii="宋体" w:hAnsi="宋体" w:eastAsia="宋体" w:cs="宋体"/>
        </w:rPr>
        <w:t>9、组织参建人员进行安全教育和特种工教育培训工作，确保从业人员教育培训合格，特种工持证上岗，管理人员资质符合要求。</w:t>
      </w:r>
    </w:p>
    <w:p w14:paraId="4E1E1D37">
      <w:pPr>
        <w:spacing w:line="360" w:lineRule="auto"/>
        <w:ind w:firstLine="480" w:firstLineChars="200"/>
        <w:rPr>
          <w:rFonts w:hint="eastAsia" w:ascii="宋体" w:hAnsi="宋体" w:eastAsia="宋体" w:cs="宋体"/>
        </w:rPr>
      </w:pPr>
      <w:r>
        <w:rPr>
          <w:rFonts w:hint="eastAsia" w:ascii="宋体" w:hAnsi="宋体" w:eastAsia="宋体" w:cs="宋体"/>
        </w:rPr>
        <w:t>10、制定生产安全事故应急救援预案，建立应急救援组织、配备应急救援人员、配备必要的应急救援器材和设备，并组织进行演练。</w:t>
      </w:r>
    </w:p>
    <w:p w14:paraId="7453A2B1">
      <w:pPr>
        <w:spacing w:line="360" w:lineRule="auto"/>
        <w:ind w:firstLine="480" w:firstLineChars="200"/>
        <w:rPr>
          <w:rFonts w:hint="eastAsia" w:ascii="宋体" w:hAnsi="宋体" w:eastAsia="宋体" w:cs="宋体"/>
        </w:rPr>
      </w:pPr>
      <w:r>
        <w:rPr>
          <w:rFonts w:hint="eastAsia" w:ascii="宋体" w:hAnsi="宋体" w:eastAsia="宋体" w:cs="宋体"/>
        </w:rPr>
        <w:t>11、落实安全生产事故上报制度，及时、如实上报发生的安全生产事故，并组织进行救援，配合进行安全生产事故的调查处理。</w:t>
      </w:r>
    </w:p>
    <w:p w14:paraId="479546BA">
      <w:pPr>
        <w:spacing w:line="360" w:lineRule="auto"/>
        <w:ind w:firstLine="480" w:firstLineChars="200"/>
        <w:rPr>
          <w:rFonts w:hint="eastAsia" w:ascii="宋体" w:hAnsi="宋体" w:eastAsia="宋体" w:cs="宋体"/>
        </w:rPr>
      </w:pPr>
      <w:r>
        <w:rPr>
          <w:rFonts w:hint="eastAsia" w:ascii="宋体" w:hAnsi="宋体" w:eastAsia="宋体" w:cs="宋体"/>
        </w:rPr>
        <w:t>12、保证安全生产措施经费及时到位，专款专用，安全经费使用符合《中华人民共和国安全生产法》等有关法律法规及财政部和安全监管总局联合下发的“关于印发《企业安全生产费用提取和使用管理办法》的通知”（财企〔2012〕16号）要求。</w:t>
      </w:r>
    </w:p>
    <w:p w14:paraId="44C73319">
      <w:pPr>
        <w:spacing w:line="360" w:lineRule="auto"/>
        <w:ind w:firstLine="480" w:firstLineChars="200"/>
        <w:rPr>
          <w:rFonts w:hint="eastAsia" w:ascii="宋体" w:hAnsi="宋体" w:eastAsia="宋体" w:cs="宋体"/>
        </w:rPr>
      </w:pPr>
      <w:r>
        <w:rPr>
          <w:rFonts w:hint="eastAsia" w:ascii="宋体" w:hAnsi="宋体" w:eastAsia="宋体" w:cs="宋体"/>
        </w:rPr>
        <w:t>13、建立健全职业病管理制度，落实职业病防治措施。</w:t>
      </w:r>
    </w:p>
    <w:p w14:paraId="290024A5">
      <w:pPr>
        <w:spacing w:line="360" w:lineRule="auto"/>
        <w:ind w:firstLine="480" w:firstLineChars="200"/>
        <w:rPr>
          <w:rFonts w:hint="eastAsia" w:ascii="宋体" w:hAnsi="宋体" w:eastAsia="宋体" w:cs="宋体"/>
        </w:rPr>
      </w:pPr>
      <w:r>
        <w:rPr>
          <w:rFonts w:hint="eastAsia" w:ascii="宋体" w:hAnsi="宋体" w:eastAsia="宋体" w:cs="宋体"/>
        </w:rPr>
        <w:t>14、履行落实承包合同中其他相关条款。</w:t>
      </w:r>
    </w:p>
    <w:p w14:paraId="058A8A43">
      <w:pPr>
        <w:spacing w:line="360" w:lineRule="auto"/>
        <w:ind w:firstLine="482" w:firstLineChars="200"/>
        <w:rPr>
          <w:rFonts w:hint="eastAsia" w:ascii="宋体" w:hAnsi="宋体" w:eastAsia="宋体" w:cs="宋体"/>
          <w:b/>
          <w:bCs/>
        </w:rPr>
      </w:pPr>
      <w:r>
        <w:rPr>
          <w:rFonts w:hint="eastAsia" w:ascii="宋体" w:hAnsi="宋体" w:eastAsia="宋体" w:cs="宋体"/>
          <w:b/>
          <w:bCs/>
        </w:rPr>
        <w:t>四、处罚办法</w:t>
      </w:r>
    </w:p>
    <w:p w14:paraId="2EE6E849">
      <w:pPr>
        <w:spacing w:line="360" w:lineRule="auto"/>
        <w:ind w:firstLine="480" w:firstLineChars="200"/>
        <w:rPr>
          <w:rFonts w:hint="eastAsia" w:ascii="宋体" w:hAnsi="宋体" w:eastAsia="宋体" w:cs="宋体"/>
        </w:rPr>
      </w:pPr>
      <w:r>
        <w:rPr>
          <w:rFonts w:hint="eastAsia" w:ascii="宋体" w:hAnsi="宋体" w:eastAsia="宋体" w:cs="宋体"/>
        </w:rPr>
        <w:t>1、发生安全事故虽未造成人员伤亡但造成5万元以上30万元以下直接经济损失或足以导致重大伤亡后果的，约谈事故单位企业法人，并责成事故单位主管领导现场落实整改。</w:t>
      </w:r>
    </w:p>
    <w:p w14:paraId="6B69F7FB">
      <w:pPr>
        <w:spacing w:line="360" w:lineRule="auto"/>
        <w:ind w:firstLine="480" w:firstLineChars="200"/>
        <w:rPr>
          <w:rFonts w:hint="eastAsia" w:ascii="宋体" w:hAnsi="宋体" w:eastAsia="宋体" w:cs="宋体"/>
        </w:rPr>
      </w:pPr>
      <w:r>
        <w:rPr>
          <w:rFonts w:hint="eastAsia" w:ascii="宋体" w:hAnsi="宋体" w:eastAsia="宋体" w:cs="宋体"/>
        </w:rPr>
        <w:t>2、发生一般及以上事故的（一般事故指造成3人以下死亡，或者10人以下重伤，或者1000万元以下直接经济损失的事故），同时进行如下处理：</w:t>
      </w:r>
    </w:p>
    <w:p w14:paraId="5B5B529D">
      <w:pPr>
        <w:spacing w:line="360" w:lineRule="auto"/>
        <w:ind w:firstLine="480" w:firstLineChars="200"/>
        <w:rPr>
          <w:rFonts w:hint="eastAsia" w:ascii="宋体" w:hAnsi="宋体" w:eastAsia="宋体" w:cs="宋体"/>
        </w:rPr>
      </w:pPr>
      <w:r>
        <w:rPr>
          <w:rFonts w:hint="eastAsia" w:ascii="宋体" w:hAnsi="宋体" w:eastAsia="宋体" w:cs="宋体"/>
        </w:rPr>
        <w:t>（1）将事故单位报建设工程质量安全监督站及相关建设管理部门，列入施工单位诚信系统黑名单，禁止企业在本区域内再次承揽工程。</w:t>
      </w:r>
    </w:p>
    <w:p w14:paraId="597D49BE">
      <w:pPr>
        <w:spacing w:line="360" w:lineRule="auto"/>
        <w:ind w:firstLine="480" w:firstLineChars="200"/>
        <w:rPr>
          <w:rFonts w:hint="eastAsia" w:ascii="宋体" w:hAnsi="宋体" w:eastAsia="宋体" w:cs="宋体"/>
        </w:rPr>
      </w:pPr>
      <w:r>
        <w:rPr>
          <w:rFonts w:hint="eastAsia" w:ascii="宋体" w:hAnsi="宋体" w:eastAsia="宋体" w:cs="宋体"/>
        </w:rPr>
        <w:t>（2）更换事故单位项目经理。</w:t>
      </w:r>
    </w:p>
    <w:p w14:paraId="3682EFC4">
      <w:pPr>
        <w:spacing w:line="360" w:lineRule="auto"/>
        <w:ind w:firstLine="480" w:firstLineChars="200"/>
        <w:rPr>
          <w:rFonts w:hint="eastAsia" w:ascii="宋体" w:hAnsi="宋体" w:eastAsia="宋体" w:cs="宋体"/>
        </w:rPr>
      </w:pPr>
      <w:r>
        <w:rPr>
          <w:rFonts w:hint="eastAsia" w:ascii="宋体" w:hAnsi="宋体" w:eastAsia="宋体" w:cs="宋体"/>
        </w:rPr>
        <w:t>3、本责任书未涉及的其他有关安全质量责任追究和处罚内容按国家《建设工程安全生产管理条例》、《生产安全事故报告和调查处理条例》、《建设工程质量管理条例》、《陕西省建设工程质量和安全生产管理条例》等相关法律法规执行。</w:t>
      </w:r>
    </w:p>
    <w:p w14:paraId="583501B3">
      <w:pPr>
        <w:spacing w:line="360" w:lineRule="auto"/>
        <w:ind w:firstLine="482" w:firstLineChars="200"/>
        <w:rPr>
          <w:rFonts w:hint="eastAsia" w:ascii="宋体" w:hAnsi="宋体" w:eastAsia="宋体" w:cs="宋体"/>
          <w:b/>
          <w:bCs/>
        </w:rPr>
      </w:pPr>
      <w:r>
        <w:rPr>
          <w:rFonts w:hint="eastAsia" w:ascii="宋体" w:hAnsi="宋体" w:eastAsia="宋体" w:cs="宋体"/>
          <w:b/>
          <w:bCs/>
        </w:rPr>
        <w:t>五、责任期限</w:t>
      </w:r>
    </w:p>
    <w:p w14:paraId="048F2585">
      <w:pPr>
        <w:spacing w:line="360" w:lineRule="auto"/>
        <w:ind w:firstLine="480" w:firstLineChars="200"/>
        <w:rPr>
          <w:rFonts w:hint="eastAsia" w:ascii="宋体" w:hAnsi="宋体" w:eastAsia="宋体" w:cs="宋体"/>
        </w:rPr>
      </w:pPr>
      <w:r>
        <w:rPr>
          <w:rFonts w:hint="eastAsia" w:ascii="宋体" w:hAnsi="宋体" w:eastAsia="宋体" w:cs="宋体"/>
        </w:rPr>
        <w:t>本责任书有效期自签订之日起至工程竣工验收合格之日止。</w:t>
      </w:r>
    </w:p>
    <w:p w14:paraId="029F0B9A">
      <w:pPr>
        <w:spacing w:line="360" w:lineRule="auto"/>
        <w:ind w:firstLine="482" w:firstLineChars="200"/>
        <w:rPr>
          <w:rFonts w:hint="eastAsia" w:ascii="宋体" w:hAnsi="宋体" w:eastAsia="宋体" w:cs="宋体"/>
          <w:b/>
          <w:bCs/>
        </w:rPr>
      </w:pPr>
      <w:r>
        <w:rPr>
          <w:rFonts w:hint="eastAsia" w:ascii="宋体" w:hAnsi="宋体" w:eastAsia="宋体" w:cs="宋体"/>
          <w:b/>
          <w:bCs/>
        </w:rPr>
        <w:t>六、其他内容</w:t>
      </w:r>
    </w:p>
    <w:p w14:paraId="2A8CD3D6">
      <w:pPr>
        <w:spacing w:line="360" w:lineRule="auto"/>
        <w:ind w:firstLine="480" w:firstLineChars="200"/>
        <w:rPr>
          <w:rFonts w:hint="eastAsia" w:ascii="宋体" w:hAnsi="宋体" w:eastAsia="宋体" w:cs="宋体"/>
        </w:rPr>
      </w:pPr>
      <w:r>
        <w:rPr>
          <w:rFonts w:hint="eastAsia" w:ascii="宋体" w:hAnsi="宋体" w:eastAsia="宋体" w:cs="宋体"/>
        </w:rPr>
        <w:t>因不可抗拒自然灾害造成的事故不追究责任。</w:t>
      </w:r>
    </w:p>
    <w:p w14:paraId="77A777C2">
      <w:pPr>
        <w:spacing w:line="360" w:lineRule="auto"/>
        <w:rPr>
          <w:rFonts w:hint="eastAsia" w:ascii="宋体" w:hAnsi="宋体" w:eastAsia="宋体" w:cs="宋体"/>
        </w:rPr>
      </w:pPr>
    </w:p>
    <w:p w14:paraId="6EAA351A">
      <w:pPr>
        <w:spacing w:line="360" w:lineRule="auto"/>
        <w:rPr>
          <w:rFonts w:hint="eastAsia" w:ascii="宋体" w:hAnsi="宋体" w:eastAsia="宋体" w:cs="宋体"/>
        </w:rPr>
        <w:sectPr>
          <w:footerReference r:id="rId15" w:type="first"/>
          <w:footerReference r:id="rId14" w:type="default"/>
          <w:pgSz w:w="11906" w:h="16838"/>
          <w:pgMar w:top="1440" w:right="1083" w:bottom="1440" w:left="1083" w:header="720" w:footer="720" w:gutter="0"/>
          <w:pgNumType w:fmt="decimal"/>
          <w:cols w:space="0" w:num="1"/>
          <w:titlePg/>
          <w:docGrid w:linePitch="299" w:charSpace="0"/>
        </w:sectPr>
      </w:pPr>
    </w:p>
    <w:p w14:paraId="12C40861">
      <w:pPr>
        <w:spacing w:line="360" w:lineRule="auto"/>
        <w:rPr>
          <w:rFonts w:hint="eastAsia" w:ascii="宋体" w:hAnsi="宋体" w:eastAsia="宋体" w:cs="宋体"/>
        </w:rPr>
      </w:pPr>
      <w:r>
        <w:rPr>
          <w:rFonts w:hint="eastAsia" w:ascii="宋体" w:hAnsi="宋体" w:eastAsia="宋体" w:cs="宋体"/>
        </w:rPr>
        <w:t>发包人：</w:t>
      </w:r>
      <w:r>
        <w:rPr>
          <w:rFonts w:hint="eastAsia" w:ascii="宋体" w:hAnsi="宋体" w:eastAsia="宋体" w:cs="宋体"/>
          <w:sz w:val="21"/>
          <w:szCs w:val="21"/>
        </w:rPr>
        <w:t>陕西测绘地理信息局劳动就业服务中心</w:t>
      </w:r>
    </w:p>
    <w:p w14:paraId="0582344E">
      <w:pPr>
        <w:spacing w:line="360" w:lineRule="auto"/>
        <w:rPr>
          <w:rFonts w:hint="eastAsia" w:ascii="宋体" w:hAnsi="宋体" w:eastAsia="宋体" w:cs="宋体"/>
        </w:rPr>
      </w:pPr>
      <w:r>
        <w:rPr>
          <w:rFonts w:hint="eastAsia" w:ascii="宋体" w:hAnsi="宋体" w:eastAsia="宋体" w:cs="宋体"/>
        </w:rPr>
        <w:t>发包人代表：</w:t>
      </w:r>
    </w:p>
    <w:p w14:paraId="6F1D3740">
      <w:pPr>
        <w:spacing w:line="360" w:lineRule="auto"/>
        <w:rPr>
          <w:rFonts w:hint="eastAsia" w:ascii="宋体" w:hAnsi="宋体" w:eastAsia="宋体" w:cs="宋体"/>
        </w:rPr>
      </w:pPr>
      <w:r>
        <w:rPr>
          <w:rFonts w:hint="eastAsia" w:ascii="宋体" w:hAnsi="宋体" w:eastAsia="宋体" w:cs="宋体"/>
        </w:rPr>
        <w:t>时间：</w:t>
      </w:r>
    </w:p>
    <w:p w14:paraId="4EDD84D1">
      <w:pPr>
        <w:spacing w:line="360" w:lineRule="auto"/>
        <w:rPr>
          <w:rFonts w:hint="eastAsia" w:ascii="宋体" w:hAnsi="宋体" w:eastAsia="宋体" w:cs="宋体"/>
        </w:rPr>
      </w:pPr>
      <w:r>
        <w:rPr>
          <w:rFonts w:hint="eastAsia" w:ascii="宋体" w:hAnsi="宋体" w:eastAsia="宋体" w:cs="宋体"/>
        </w:rPr>
        <w:t>承包人：</w:t>
      </w:r>
    </w:p>
    <w:p w14:paraId="233D156D">
      <w:pPr>
        <w:spacing w:line="360" w:lineRule="auto"/>
        <w:rPr>
          <w:rFonts w:hint="eastAsia" w:ascii="宋体" w:hAnsi="宋体" w:eastAsia="宋体" w:cs="宋体"/>
        </w:rPr>
      </w:pPr>
      <w:r>
        <w:rPr>
          <w:rFonts w:hint="eastAsia" w:ascii="宋体" w:hAnsi="宋体" w:eastAsia="宋体" w:cs="宋体"/>
        </w:rPr>
        <w:t>承包人代表：</w:t>
      </w:r>
    </w:p>
    <w:p w14:paraId="796BC5B8">
      <w:pPr>
        <w:spacing w:line="360" w:lineRule="auto"/>
        <w:rPr>
          <w:rFonts w:hint="eastAsia" w:ascii="宋体" w:hAnsi="宋体" w:eastAsia="宋体" w:cs="宋体"/>
        </w:rPr>
        <w:sectPr>
          <w:type w:val="continuous"/>
          <w:pgSz w:w="11906" w:h="16838"/>
          <w:pgMar w:top="1440" w:right="1083" w:bottom="1440" w:left="1083" w:header="720" w:footer="720" w:gutter="0"/>
          <w:pgNumType w:fmt="decimal"/>
          <w:cols w:equalWidth="0" w:num="2">
            <w:col w:w="4657" w:space="425"/>
            <w:col w:w="4657"/>
          </w:cols>
          <w:titlePg/>
          <w:docGrid w:linePitch="299" w:charSpace="0"/>
        </w:sectPr>
      </w:pPr>
      <w:r>
        <w:rPr>
          <w:rFonts w:hint="eastAsia" w:ascii="宋体" w:hAnsi="宋体" w:eastAsia="宋体" w:cs="宋体"/>
        </w:rPr>
        <w:t>时间：</w:t>
      </w:r>
    </w:p>
    <w:p w14:paraId="368D1CDB">
      <w:pPr>
        <w:pStyle w:val="28"/>
        <w:ind w:left="440"/>
        <w:rPr>
          <w:rFonts w:hint="eastAsia" w:ascii="宋体" w:hAnsi="宋体" w:eastAsia="宋体" w:cs="宋体"/>
        </w:rPr>
      </w:pPr>
    </w:p>
    <w:p w14:paraId="5E98BE85">
      <w:pPr>
        <w:pStyle w:val="3"/>
        <w:jc w:val="center"/>
        <w:rPr>
          <w:rFonts w:hint="eastAsia" w:ascii="宋体" w:hAnsi="宋体" w:eastAsia="宋体" w:cs="宋体"/>
          <w:sz w:val="28"/>
          <w:szCs w:val="28"/>
        </w:rPr>
        <w:sectPr>
          <w:type w:val="continuous"/>
          <w:pgSz w:w="11906" w:h="16838"/>
          <w:pgMar w:top="1440" w:right="1083" w:bottom="1440" w:left="1083" w:header="720" w:footer="720" w:gutter="0"/>
          <w:pgNumType w:fmt="decimal"/>
          <w:cols w:space="0" w:num="1"/>
          <w:titlePg/>
          <w:docGrid w:linePitch="299" w:charSpace="0"/>
        </w:sectPr>
      </w:pPr>
    </w:p>
    <w:p w14:paraId="24D1E0AA">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附件2：</w:t>
      </w:r>
    </w:p>
    <w:p w14:paraId="22A4A643">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工程质量保修书</w:t>
      </w:r>
    </w:p>
    <w:p w14:paraId="218B1D47">
      <w:pPr>
        <w:spacing w:line="360" w:lineRule="auto"/>
        <w:ind w:firstLine="482" w:firstLineChars="200"/>
        <w:rPr>
          <w:rFonts w:hint="eastAsia" w:ascii="宋体" w:hAnsi="宋体" w:eastAsia="宋体" w:cs="宋体"/>
        </w:rPr>
      </w:pPr>
      <w:r>
        <w:rPr>
          <w:rFonts w:hint="eastAsia" w:ascii="宋体" w:hAnsi="宋体" w:eastAsia="宋体" w:cs="宋体"/>
          <w:b/>
          <w:bCs/>
        </w:rPr>
        <w:t>发包人：</w:t>
      </w:r>
      <w:r>
        <w:rPr>
          <w:rFonts w:hint="eastAsia" w:ascii="宋体" w:hAnsi="宋体" w:eastAsia="宋体" w:cs="宋体"/>
        </w:rPr>
        <w:t>（招标人）</w:t>
      </w:r>
      <w:r>
        <w:rPr>
          <w:rFonts w:hint="eastAsia" w:ascii="宋体" w:hAnsi="宋体" w:eastAsia="宋体" w:cs="宋体"/>
          <w:u w:val="single"/>
        </w:rPr>
        <w:t>陕西测绘地理信息局劳动就业服务中心</w:t>
      </w:r>
      <w:r>
        <w:rPr>
          <w:rFonts w:hint="eastAsia" w:ascii="宋体" w:hAnsi="宋体" w:eastAsia="宋体" w:cs="宋体"/>
        </w:rPr>
        <w:t xml:space="preserve">  </w:t>
      </w:r>
    </w:p>
    <w:p w14:paraId="70EEE476">
      <w:pPr>
        <w:spacing w:line="360" w:lineRule="auto"/>
        <w:ind w:firstLine="482" w:firstLineChars="200"/>
        <w:rPr>
          <w:rFonts w:hint="eastAsia" w:ascii="宋体" w:hAnsi="宋体" w:eastAsia="宋体" w:cs="宋体"/>
        </w:rPr>
      </w:pPr>
      <w:r>
        <w:rPr>
          <w:rFonts w:hint="eastAsia" w:ascii="宋体" w:hAnsi="宋体" w:eastAsia="宋体" w:cs="宋体"/>
          <w:b/>
          <w:bCs/>
        </w:rPr>
        <w:t>承包人：</w:t>
      </w:r>
      <w:r>
        <w:rPr>
          <w:rFonts w:hint="eastAsia" w:ascii="宋体" w:hAnsi="宋体" w:eastAsia="宋体" w:cs="宋体"/>
        </w:rPr>
        <w:t>（投标人）</w:t>
      </w:r>
      <w:r>
        <w:rPr>
          <w:rFonts w:hint="eastAsia" w:ascii="宋体" w:hAnsi="宋体" w:eastAsia="宋体" w:cs="宋体"/>
          <w:u w:val="single"/>
        </w:rPr>
        <w:t xml:space="preserve">                            </w:t>
      </w:r>
      <w:r>
        <w:rPr>
          <w:rFonts w:hint="eastAsia" w:ascii="宋体" w:hAnsi="宋体" w:eastAsia="宋体" w:cs="宋体"/>
        </w:rPr>
        <w:t xml:space="preserve"> </w:t>
      </w:r>
    </w:p>
    <w:p w14:paraId="17BF8180">
      <w:pPr>
        <w:spacing w:line="360" w:lineRule="auto"/>
        <w:ind w:firstLine="480" w:firstLineChars="200"/>
        <w:rPr>
          <w:rFonts w:hint="eastAsia" w:ascii="宋体" w:hAnsi="宋体" w:eastAsia="宋体" w:cs="宋体"/>
        </w:rPr>
      </w:pPr>
      <w:r>
        <w:rPr>
          <w:rFonts w:hint="eastAsia" w:ascii="宋体" w:hAnsi="宋体" w:eastAsia="宋体" w:cs="宋体"/>
        </w:rPr>
        <w:t>为保证</w:t>
      </w:r>
      <w:r>
        <w:rPr>
          <w:rFonts w:hint="eastAsia" w:ascii="宋体" w:hAnsi="宋体" w:eastAsia="宋体" w:cs="宋体"/>
          <w:u w:val="single"/>
        </w:rPr>
        <w:t>陕西测绘地理信息局测绘综合楼六层修缮改造</w:t>
      </w:r>
      <w:r>
        <w:rPr>
          <w:rFonts w:hint="eastAsia" w:ascii="宋体" w:hAnsi="宋体" w:eastAsia="宋体" w:cs="宋体"/>
        </w:rPr>
        <w:t>在合理使用期限内正常使用，发包人和承包人根据《中华人民共和国政府采购法》《中华人民共和国建筑法》《建设工程质量管理条例》，经协商一致，签订工程质量保修书，承包人在质量保修期内应按照有关规定及双方约定承担工程质量保修责任。</w:t>
      </w:r>
    </w:p>
    <w:p w14:paraId="28D7BE14">
      <w:pPr>
        <w:spacing w:line="360" w:lineRule="auto"/>
        <w:ind w:firstLine="482" w:firstLineChars="200"/>
        <w:rPr>
          <w:rFonts w:hint="eastAsia" w:ascii="宋体" w:hAnsi="宋体" w:eastAsia="宋体" w:cs="宋体"/>
          <w:b/>
          <w:bCs/>
        </w:rPr>
      </w:pPr>
      <w:r>
        <w:rPr>
          <w:rFonts w:hint="eastAsia" w:ascii="宋体" w:hAnsi="宋体" w:eastAsia="宋体" w:cs="宋体"/>
          <w:b/>
          <w:bCs/>
        </w:rPr>
        <w:t>1.质量保修范围</w:t>
      </w:r>
    </w:p>
    <w:p w14:paraId="77A3D00A">
      <w:pPr>
        <w:spacing w:line="360" w:lineRule="auto"/>
        <w:ind w:firstLine="480" w:firstLineChars="200"/>
        <w:rPr>
          <w:rFonts w:hint="eastAsia" w:ascii="宋体" w:hAnsi="宋体" w:eastAsia="宋体" w:cs="宋体"/>
        </w:rPr>
      </w:pPr>
      <w:r>
        <w:rPr>
          <w:rFonts w:hint="eastAsia" w:ascii="宋体" w:hAnsi="宋体" w:eastAsia="宋体" w:cs="宋体"/>
        </w:rPr>
        <w:t>质量保修范围包括地基基础工程、主体结构工程、屋面防水工程、有防水要求的卫生间、房间、外墙面的防渗漏工程、电气管线工程、给排水管道工程、设备安装工程、供热、供冷系统工程、装饰装修工程以及双方约定其他项目。</w:t>
      </w:r>
    </w:p>
    <w:p w14:paraId="62711A79">
      <w:pPr>
        <w:spacing w:line="360" w:lineRule="auto"/>
        <w:ind w:firstLine="482" w:firstLineChars="200"/>
        <w:rPr>
          <w:rFonts w:hint="eastAsia" w:ascii="宋体" w:hAnsi="宋体" w:eastAsia="宋体" w:cs="宋体"/>
          <w:b/>
          <w:bCs/>
        </w:rPr>
      </w:pPr>
      <w:r>
        <w:rPr>
          <w:rFonts w:hint="eastAsia" w:ascii="宋体" w:hAnsi="宋体" w:eastAsia="宋体" w:cs="宋体"/>
          <w:b/>
          <w:bCs/>
        </w:rPr>
        <w:t>2.质量保修期</w:t>
      </w:r>
    </w:p>
    <w:p w14:paraId="28118420">
      <w:pPr>
        <w:spacing w:line="360" w:lineRule="auto"/>
        <w:ind w:firstLine="480" w:firstLineChars="200"/>
        <w:rPr>
          <w:rFonts w:hint="eastAsia" w:ascii="宋体" w:hAnsi="宋体" w:eastAsia="宋体" w:cs="宋体"/>
        </w:rPr>
      </w:pPr>
      <w:r>
        <w:rPr>
          <w:rFonts w:hint="eastAsia" w:ascii="宋体" w:hAnsi="宋体" w:eastAsia="宋体" w:cs="宋体"/>
        </w:rPr>
        <w:t>双方根据《建设工程质量管理条例》及有关规定，约定本工程质量保修期如下：</w:t>
      </w:r>
    </w:p>
    <w:p w14:paraId="4306963E">
      <w:pPr>
        <w:spacing w:line="360" w:lineRule="auto"/>
        <w:ind w:firstLine="480" w:firstLineChars="200"/>
        <w:rPr>
          <w:rFonts w:hint="eastAsia" w:ascii="宋体" w:hAnsi="宋体" w:eastAsia="宋体" w:cs="宋体"/>
        </w:rPr>
      </w:pPr>
      <w:r>
        <w:rPr>
          <w:rFonts w:hint="eastAsia" w:ascii="宋体" w:hAnsi="宋体" w:eastAsia="宋体" w:cs="宋体"/>
        </w:rPr>
        <w:t>（1）地基基础工程、主体结构工程为设计文件规定的合理使用年限；</w:t>
      </w:r>
    </w:p>
    <w:p w14:paraId="6EBEA176">
      <w:pPr>
        <w:spacing w:line="360" w:lineRule="auto"/>
        <w:ind w:firstLine="480" w:firstLineChars="200"/>
        <w:rPr>
          <w:rFonts w:hint="eastAsia" w:ascii="宋体" w:hAnsi="宋体" w:eastAsia="宋体" w:cs="宋体"/>
        </w:rPr>
      </w:pPr>
      <w:r>
        <w:rPr>
          <w:rFonts w:hint="eastAsia" w:ascii="宋体" w:hAnsi="宋体" w:eastAsia="宋体" w:cs="宋体"/>
        </w:rPr>
        <w:t>（2）屋面防水工程、有防水要求的卫生间、房间和外墙面的防渗漏工程为：</w:t>
      </w:r>
      <w:r>
        <w:rPr>
          <w:rFonts w:hint="eastAsia" w:ascii="宋体" w:hAnsi="宋体" w:eastAsia="宋体" w:cs="宋体"/>
          <w:u w:val="single"/>
        </w:rPr>
        <w:t>5</w:t>
      </w:r>
      <w:r>
        <w:rPr>
          <w:rFonts w:hint="eastAsia" w:ascii="宋体" w:hAnsi="宋体" w:eastAsia="宋体" w:cs="宋体"/>
        </w:rPr>
        <w:t>年；</w:t>
      </w:r>
    </w:p>
    <w:p w14:paraId="22451D03">
      <w:pPr>
        <w:spacing w:line="360" w:lineRule="auto"/>
        <w:ind w:firstLine="480" w:firstLineChars="200"/>
        <w:rPr>
          <w:rFonts w:hint="eastAsia" w:ascii="宋体" w:hAnsi="宋体" w:eastAsia="宋体" w:cs="宋体"/>
        </w:rPr>
      </w:pPr>
      <w:r>
        <w:rPr>
          <w:rFonts w:hint="eastAsia" w:ascii="宋体" w:hAnsi="宋体" w:eastAsia="宋体" w:cs="宋体"/>
        </w:rPr>
        <w:t>（3）电气管线工程、给排水管道、设备安装工程为：</w:t>
      </w:r>
      <w:r>
        <w:rPr>
          <w:rFonts w:hint="eastAsia" w:ascii="宋体" w:hAnsi="宋体" w:eastAsia="宋体" w:cs="宋体"/>
          <w:u w:val="single"/>
        </w:rPr>
        <w:t>2</w:t>
      </w:r>
      <w:r>
        <w:rPr>
          <w:rFonts w:hint="eastAsia" w:ascii="宋体" w:hAnsi="宋体" w:eastAsia="宋体" w:cs="宋体"/>
        </w:rPr>
        <w:t>年；</w:t>
      </w:r>
    </w:p>
    <w:p w14:paraId="5076BA5B">
      <w:pPr>
        <w:spacing w:line="360" w:lineRule="auto"/>
        <w:ind w:firstLine="480" w:firstLineChars="200"/>
        <w:rPr>
          <w:rFonts w:hint="eastAsia" w:ascii="宋体" w:hAnsi="宋体" w:eastAsia="宋体" w:cs="宋体"/>
        </w:rPr>
      </w:pPr>
      <w:r>
        <w:rPr>
          <w:rFonts w:hint="eastAsia" w:ascii="宋体" w:hAnsi="宋体" w:eastAsia="宋体" w:cs="宋体"/>
        </w:rPr>
        <w:t>（4）供热、供冷系统工程为：</w:t>
      </w:r>
      <w:r>
        <w:rPr>
          <w:rFonts w:hint="eastAsia" w:ascii="宋体" w:hAnsi="宋体" w:eastAsia="宋体" w:cs="宋体"/>
          <w:u w:val="single"/>
        </w:rPr>
        <w:t>2</w:t>
      </w:r>
      <w:r>
        <w:rPr>
          <w:rFonts w:hint="eastAsia" w:ascii="宋体" w:hAnsi="宋体" w:eastAsia="宋体" w:cs="宋体"/>
        </w:rPr>
        <w:t>个采暖期、供冷期；</w:t>
      </w:r>
    </w:p>
    <w:p w14:paraId="75D80CB9">
      <w:pPr>
        <w:spacing w:line="360" w:lineRule="auto"/>
        <w:ind w:firstLine="480" w:firstLineChars="200"/>
        <w:rPr>
          <w:rFonts w:hint="eastAsia" w:ascii="宋体" w:hAnsi="宋体" w:eastAsia="宋体" w:cs="宋体"/>
        </w:rPr>
      </w:pPr>
      <w:r>
        <w:rPr>
          <w:rFonts w:hint="eastAsia" w:ascii="宋体" w:hAnsi="宋体" w:eastAsia="宋体" w:cs="宋体"/>
        </w:rPr>
        <w:t>（5）装饰装修工程为</w:t>
      </w:r>
      <w:r>
        <w:rPr>
          <w:rFonts w:hint="eastAsia" w:ascii="宋体" w:hAnsi="宋体" w:eastAsia="宋体" w:cs="宋体"/>
          <w:u w:val="single"/>
        </w:rPr>
        <w:t>2</w:t>
      </w:r>
      <w:r>
        <w:rPr>
          <w:rFonts w:hint="eastAsia" w:ascii="宋体" w:hAnsi="宋体" w:eastAsia="宋体" w:cs="宋体"/>
        </w:rPr>
        <w:t>年；</w:t>
      </w:r>
    </w:p>
    <w:p w14:paraId="7C6D02F9">
      <w:pPr>
        <w:spacing w:line="360" w:lineRule="auto"/>
        <w:ind w:firstLine="480" w:firstLineChars="200"/>
        <w:rPr>
          <w:rFonts w:hint="eastAsia" w:ascii="宋体" w:hAnsi="宋体" w:eastAsia="宋体" w:cs="宋体"/>
        </w:rPr>
      </w:pPr>
      <w:r>
        <w:rPr>
          <w:rFonts w:hint="eastAsia" w:ascii="宋体" w:hAnsi="宋体" w:eastAsia="宋体" w:cs="宋体"/>
        </w:rPr>
        <w:t>（6）其他项目为</w:t>
      </w:r>
      <w:r>
        <w:rPr>
          <w:rFonts w:hint="eastAsia" w:ascii="宋体" w:hAnsi="宋体" w:eastAsia="宋体" w:cs="宋体"/>
          <w:u w:val="single"/>
        </w:rPr>
        <w:t>2</w:t>
      </w:r>
      <w:r>
        <w:rPr>
          <w:rFonts w:hint="eastAsia" w:ascii="宋体" w:hAnsi="宋体" w:eastAsia="宋体" w:cs="宋体"/>
        </w:rPr>
        <w:t>年。</w:t>
      </w:r>
    </w:p>
    <w:p w14:paraId="7D180EB4">
      <w:pPr>
        <w:spacing w:line="360" w:lineRule="auto"/>
        <w:ind w:firstLine="482" w:firstLineChars="200"/>
        <w:rPr>
          <w:rFonts w:hint="eastAsia" w:ascii="宋体" w:hAnsi="宋体" w:eastAsia="宋体" w:cs="宋体"/>
          <w:b/>
          <w:bCs/>
        </w:rPr>
      </w:pPr>
      <w:r>
        <w:rPr>
          <w:rFonts w:hint="eastAsia" w:ascii="宋体" w:hAnsi="宋体" w:eastAsia="宋体" w:cs="宋体"/>
          <w:b/>
          <w:bCs/>
        </w:rPr>
        <w:t>3.质量保修责任</w:t>
      </w:r>
    </w:p>
    <w:p w14:paraId="1EF90029">
      <w:pPr>
        <w:spacing w:line="360" w:lineRule="auto"/>
        <w:ind w:firstLine="480" w:firstLineChars="200"/>
        <w:rPr>
          <w:rFonts w:hint="eastAsia" w:ascii="宋体" w:hAnsi="宋体" w:eastAsia="宋体" w:cs="宋体"/>
        </w:rPr>
      </w:pPr>
      <w:r>
        <w:rPr>
          <w:rFonts w:hint="eastAsia" w:ascii="宋体" w:hAnsi="宋体" w:eastAsia="宋体" w:cs="宋体"/>
        </w:rPr>
        <w:t>3.1属于保修范围的项目，承包人应在接到通知后的7天内派人保修，承包人不在约定期限内派人保修，发包人可自行或指派第三方保修。</w:t>
      </w:r>
    </w:p>
    <w:p w14:paraId="5187E69B">
      <w:pPr>
        <w:spacing w:line="360" w:lineRule="auto"/>
        <w:ind w:firstLine="480" w:firstLineChars="200"/>
        <w:rPr>
          <w:rFonts w:hint="eastAsia" w:ascii="宋体" w:hAnsi="宋体" w:eastAsia="宋体" w:cs="宋体"/>
        </w:rPr>
      </w:pPr>
      <w:r>
        <w:rPr>
          <w:rFonts w:hint="eastAsia" w:ascii="宋体" w:hAnsi="宋体" w:eastAsia="宋体" w:cs="宋体"/>
        </w:rPr>
        <w:t>3.2发生紧急抢修事故的，承包人在接到通知后，应立即到达事故现场抢修。</w:t>
      </w:r>
    </w:p>
    <w:p w14:paraId="65A6AD9C">
      <w:pPr>
        <w:spacing w:line="360" w:lineRule="auto"/>
        <w:ind w:firstLine="480" w:firstLineChars="200"/>
        <w:rPr>
          <w:rFonts w:hint="eastAsia" w:ascii="宋体" w:hAnsi="宋体" w:eastAsia="宋体" w:cs="宋体"/>
        </w:rPr>
      </w:pPr>
      <w:r>
        <w:rPr>
          <w:rFonts w:hint="eastAsia" w:ascii="宋体" w:hAnsi="宋体" w:eastAsia="宋体" w:cs="宋体"/>
        </w:rPr>
        <w:t>3.3在国家规定的工程合理使用期限内，承包人应确保地基基础工程和主体结构的安全和质量。凡出现其质量问题，应立即报告当地建设行政主管部门，由设计单位提出保修方案，承包人应立即实施保修。</w:t>
      </w:r>
    </w:p>
    <w:p w14:paraId="465F29B1">
      <w:pPr>
        <w:spacing w:line="360" w:lineRule="auto"/>
        <w:ind w:firstLine="480" w:firstLineChars="200"/>
        <w:rPr>
          <w:rFonts w:hint="eastAsia" w:ascii="宋体" w:hAnsi="宋体" w:eastAsia="宋体" w:cs="宋体"/>
        </w:rPr>
      </w:pPr>
      <w:r>
        <w:rPr>
          <w:rFonts w:hint="eastAsia" w:ascii="宋体" w:hAnsi="宋体" w:eastAsia="宋体" w:cs="宋体"/>
        </w:rPr>
        <w:t>3.4质量保修完成后，由发包人组织验收。</w:t>
      </w:r>
    </w:p>
    <w:p w14:paraId="4BCF33FB">
      <w:pPr>
        <w:spacing w:line="360" w:lineRule="auto"/>
        <w:ind w:firstLine="482" w:firstLineChars="200"/>
        <w:rPr>
          <w:rFonts w:hint="eastAsia" w:ascii="宋体" w:hAnsi="宋体" w:eastAsia="宋体" w:cs="宋体"/>
          <w:b/>
          <w:bCs/>
        </w:rPr>
      </w:pPr>
      <w:r>
        <w:rPr>
          <w:rFonts w:hint="eastAsia" w:ascii="宋体" w:hAnsi="宋体" w:eastAsia="宋体" w:cs="宋体"/>
          <w:b/>
          <w:bCs/>
        </w:rPr>
        <w:t>4.质量保修费用</w:t>
      </w:r>
    </w:p>
    <w:p w14:paraId="670A055D">
      <w:pPr>
        <w:spacing w:line="360" w:lineRule="auto"/>
        <w:ind w:firstLine="480" w:firstLineChars="200"/>
        <w:rPr>
          <w:rFonts w:hint="eastAsia" w:ascii="宋体" w:hAnsi="宋体" w:eastAsia="宋体" w:cs="宋体"/>
        </w:rPr>
      </w:pPr>
      <w:r>
        <w:rPr>
          <w:rFonts w:hint="eastAsia" w:ascii="宋体" w:hAnsi="宋体" w:eastAsia="宋体" w:cs="宋体"/>
        </w:rPr>
        <w:t>质量保修费用及相关的损害赔偿费，由造成质量缺陷的责任方承担。</w:t>
      </w:r>
    </w:p>
    <w:p w14:paraId="067CB12E">
      <w:pPr>
        <w:spacing w:line="360" w:lineRule="auto"/>
        <w:ind w:firstLine="482" w:firstLineChars="200"/>
        <w:rPr>
          <w:rFonts w:hint="eastAsia" w:ascii="宋体" w:hAnsi="宋体" w:eastAsia="宋体" w:cs="宋体"/>
          <w:b/>
          <w:bCs/>
        </w:rPr>
      </w:pPr>
      <w:r>
        <w:rPr>
          <w:rFonts w:hint="eastAsia" w:ascii="宋体" w:hAnsi="宋体" w:eastAsia="宋体" w:cs="宋体"/>
          <w:b/>
          <w:bCs/>
        </w:rPr>
        <w:t>5.质量保证金</w:t>
      </w:r>
    </w:p>
    <w:p w14:paraId="78A5F6DE">
      <w:pPr>
        <w:spacing w:line="360" w:lineRule="auto"/>
        <w:ind w:firstLine="480" w:firstLineChars="200"/>
        <w:rPr>
          <w:rFonts w:hint="eastAsia" w:ascii="宋体" w:hAnsi="宋体" w:eastAsia="宋体" w:cs="宋体"/>
        </w:rPr>
      </w:pPr>
      <w:r>
        <w:rPr>
          <w:rFonts w:hint="eastAsia" w:ascii="宋体" w:hAnsi="宋体" w:eastAsia="宋体" w:cs="宋体"/>
        </w:rPr>
        <w:t>质量保证金的使用、约定、支付、返还与本合同的质量保证金赋予的约定一致。</w:t>
      </w:r>
    </w:p>
    <w:p w14:paraId="11FC9597">
      <w:pPr>
        <w:spacing w:line="360" w:lineRule="auto"/>
        <w:ind w:firstLine="482" w:firstLineChars="200"/>
        <w:rPr>
          <w:rFonts w:hint="eastAsia" w:ascii="宋体" w:hAnsi="宋体" w:eastAsia="宋体" w:cs="宋体"/>
          <w:b/>
          <w:bCs/>
        </w:rPr>
      </w:pPr>
      <w:r>
        <w:rPr>
          <w:rFonts w:hint="eastAsia" w:ascii="宋体" w:hAnsi="宋体" w:eastAsia="宋体" w:cs="宋体"/>
          <w:b/>
          <w:bCs/>
        </w:rPr>
        <w:t>6.其他</w:t>
      </w:r>
    </w:p>
    <w:p w14:paraId="22038DE9">
      <w:pPr>
        <w:spacing w:line="360" w:lineRule="auto"/>
        <w:ind w:firstLine="480" w:firstLineChars="200"/>
        <w:rPr>
          <w:rFonts w:hint="eastAsia" w:ascii="宋体" w:hAnsi="宋体" w:eastAsia="宋体" w:cs="宋体"/>
        </w:rPr>
      </w:pPr>
      <w:r>
        <w:rPr>
          <w:rFonts w:hint="eastAsia" w:ascii="宋体" w:hAnsi="宋体" w:eastAsia="宋体" w:cs="宋体"/>
        </w:rPr>
        <w:t>6.1双方约定的其他工程质量保修事项：</w:t>
      </w:r>
      <w:r>
        <w:rPr>
          <w:rFonts w:hint="eastAsia" w:ascii="宋体" w:hAnsi="宋体" w:eastAsia="宋体" w:cs="宋体"/>
          <w:u w:val="single"/>
        </w:rPr>
        <w:t xml:space="preserve">                               </w:t>
      </w:r>
    </w:p>
    <w:p w14:paraId="7D67E521">
      <w:pPr>
        <w:spacing w:line="360" w:lineRule="auto"/>
        <w:ind w:firstLine="480" w:firstLineChars="200"/>
        <w:rPr>
          <w:rFonts w:hint="eastAsia" w:ascii="宋体" w:hAnsi="宋体" w:eastAsia="宋体" w:cs="宋体"/>
        </w:rPr>
      </w:pPr>
      <w:r>
        <w:rPr>
          <w:rFonts w:hint="eastAsia" w:ascii="宋体" w:hAnsi="宋体" w:eastAsia="宋体" w:cs="宋体"/>
        </w:rPr>
        <w:t>6.2本工程质量保修书，由发包人承包人在工程竣工验收前签署，作为合同附件，其有效期限至保修期满。</w:t>
      </w:r>
    </w:p>
    <w:p w14:paraId="15CE19C1">
      <w:pPr>
        <w:spacing w:line="360" w:lineRule="auto"/>
        <w:ind w:firstLine="480" w:firstLineChars="200"/>
        <w:rPr>
          <w:rFonts w:hint="eastAsia" w:ascii="宋体" w:hAnsi="宋体" w:eastAsia="宋体" w:cs="宋体"/>
        </w:rPr>
      </w:pPr>
    </w:p>
    <w:p w14:paraId="1EBEB0D8">
      <w:pPr>
        <w:spacing w:line="360" w:lineRule="auto"/>
        <w:ind w:firstLine="480" w:firstLineChars="200"/>
        <w:rPr>
          <w:rFonts w:hint="eastAsia" w:ascii="宋体" w:hAnsi="宋体" w:eastAsia="宋体" w:cs="宋体"/>
        </w:rPr>
      </w:pPr>
    </w:p>
    <w:p w14:paraId="14931CFF">
      <w:pPr>
        <w:spacing w:line="360" w:lineRule="auto"/>
        <w:ind w:firstLine="480" w:firstLineChars="200"/>
        <w:rPr>
          <w:rFonts w:hint="eastAsia" w:ascii="宋体" w:hAnsi="宋体" w:eastAsia="宋体" w:cs="宋体"/>
        </w:rPr>
        <w:sectPr>
          <w:footerReference r:id="rId17" w:type="first"/>
          <w:footerReference r:id="rId16" w:type="default"/>
          <w:pgSz w:w="11906" w:h="16838"/>
          <w:pgMar w:top="1440" w:right="1083" w:bottom="1440" w:left="1083" w:header="720" w:footer="720" w:gutter="0"/>
          <w:pgNumType w:fmt="decimal"/>
          <w:cols w:space="0" w:num="1"/>
          <w:titlePg/>
          <w:docGrid w:linePitch="299" w:charSpace="0"/>
        </w:sectPr>
      </w:pPr>
    </w:p>
    <w:p w14:paraId="6ACC23E6">
      <w:pPr>
        <w:spacing w:line="360" w:lineRule="auto"/>
        <w:rPr>
          <w:rFonts w:hint="eastAsia" w:ascii="宋体" w:hAnsi="宋体" w:eastAsia="宋体" w:cs="宋体"/>
          <w:sz w:val="21"/>
          <w:szCs w:val="21"/>
        </w:rPr>
      </w:pPr>
      <w:r>
        <w:rPr>
          <w:rFonts w:hint="eastAsia" w:ascii="宋体" w:hAnsi="宋体" w:eastAsia="宋体" w:cs="宋体"/>
          <w:sz w:val="21"/>
          <w:szCs w:val="21"/>
        </w:rPr>
        <w:t>发包人（公章）：陕西测绘地理信息局劳动就业服务中心</w:t>
      </w:r>
    </w:p>
    <w:p w14:paraId="348A1069">
      <w:pPr>
        <w:spacing w:line="360" w:lineRule="auto"/>
        <w:rPr>
          <w:rFonts w:hint="eastAsia" w:ascii="宋体" w:hAnsi="宋体" w:eastAsia="宋体" w:cs="宋体"/>
          <w:sz w:val="21"/>
          <w:szCs w:val="21"/>
        </w:rPr>
      </w:pPr>
      <w:r>
        <w:rPr>
          <w:rFonts w:hint="eastAsia" w:ascii="宋体" w:hAnsi="宋体" w:eastAsia="宋体" w:cs="宋体"/>
          <w:sz w:val="21"/>
          <w:szCs w:val="21"/>
        </w:rPr>
        <w:t>法定代表人（签名）：</w:t>
      </w:r>
    </w:p>
    <w:p w14:paraId="2FA46EAD">
      <w:pPr>
        <w:spacing w:line="360" w:lineRule="auto"/>
        <w:jc w:val="right"/>
        <w:rPr>
          <w:rFonts w:hint="eastAsia" w:ascii="宋体" w:hAnsi="宋体" w:eastAsia="宋体" w:cs="宋体"/>
          <w:sz w:val="21"/>
          <w:szCs w:val="21"/>
        </w:rPr>
      </w:pPr>
      <w:r>
        <w:rPr>
          <w:rFonts w:hint="eastAsia" w:ascii="宋体" w:hAnsi="宋体" w:eastAsia="宋体" w:cs="宋体"/>
          <w:sz w:val="21"/>
          <w:szCs w:val="21"/>
        </w:rPr>
        <w:t>年     月     日</w:t>
      </w:r>
    </w:p>
    <w:p w14:paraId="5236B737">
      <w:pPr>
        <w:spacing w:line="360" w:lineRule="auto"/>
        <w:rPr>
          <w:rFonts w:hint="eastAsia" w:ascii="宋体" w:hAnsi="宋体" w:eastAsia="宋体" w:cs="宋体"/>
          <w:sz w:val="21"/>
          <w:szCs w:val="21"/>
        </w:rPr>
      </w:pPr>
      <w:r>
        <w:rPr>
          <w:rFonts w:hint="eastAsia" w:ascii="宋体" w:hAnsi="宋体" w:eastAsia="宋体" w:cs="宋体"/>
          <w:sz w:val="21"/>
          <w:szCs w:val="21"/>
        </w:rPr>
        <w:t>承包人（公章）：</w:t>
      </w:r>
    </w:p>
    <w:p w14:paraId="181FA70E">
      <w:pPr>
        <w:pStyle w:val="28"/>
        <w:ind w:left="440"/>
        <w:rPr>
          <w:rFonts w:hint="eastAsia" w:ascii="宋体" w:hAnsi="宋体" w:eastAsia="宋体" w:cs="宋体"/>
          <w:sz w:val="21"/>
          <w:szCs w:val="21"/>
        </w:rPr>
      </w:pPr>
    </w:p>
    <w:p w14:paraId="1158710C">
      <w:pPr>
        <w:spacing w:line="360" w:lineRule="auto"/>
        <w:rPr>
          <w:rFonts w:hint="eastAsia" w:ascii="宋体" w:hAnsi="宋体" w:eastAsia="宋体" w:cs="宋体"/>
          <w:sz w:val="21"/>
          <w:szCs w:val="21"/>
        </w:rPr>
      </w:pPr>
      <w:r>
        <w:rPr>
          <w:rFonts w:hint="eastAsia" w:ascii="宋体" w:hAnsi="宋体" w:eastAsia="宋体" w:cs="宋体"/>
          <w:sz w:val="21"/>
          <w:szCs w:val="21"/>
        </w:rPr>
        <w:t>法定代表人（签名）：</w:t>
      </w:r>
    </w:p>
    <w:p w14:paraId="08F58C3D">
      <w:pPr>
        <w:spacing w:line="360" w:lineRule="auto"/>
        <w:jc w:val="right"/>
        <w:rPr>
          <w:rFonts w:hint="eastAsia" w:ascii="宋体" w:hAnsi="宋体" w:eastAsia="宋体" w:cs="宋体"/>
          <w:sz w:val="21"/>
          <w:szCs w:val="21"/>
        </w:rPr>
        <w:sectPr>
          <w:type w:val="continuous"/>
          <w:pgSz w:w="11906" w:h="16838"/>
          <w:pgMar w:top="1440" w:right="1083" w:bottom="1440" w:left="1083" w:header="720" w:footer="720" w:gutter="0"/>
          <w:pgNumType w:fmt="decimal"/>
          <w:cols w:equalWidth="0" w:num="2">
            <w:col w:w="4657" w:space="425"/>
            <w:col w:w="4657"/>
          </w:cols>
          <w:titlePg/>
          <w:docGrid w:linePitch="299" w:charSpace="0"/>
        </w:sectPr>
      </w:pPr>
      <w:r>
        <w:rPr>
          <w:rFonts w:hint="eastAsia" w:ascii="宋体" w:hAnsi="宋体" w:eastAsia="宋体" w:cs="宋体"/>
          <w:sz w:val="21"/>
          <w:szCs w:val="21"/>
        </w:rPr>
        <w:t>年     月     日</w:t>
      </w:r>
    </w:p>
    <w:p w14:paraId="4F11C073">
      <w:pPr>
        <w:pStyle w:val="28"/>
        <w:ind w:left="440"/>
        <w:rPr>
          <w:rFonts w:hint="eastAsia" w:ascii="宋体" w:hAnsi="宋体" w:eastAsia="宋体" w:cs="宋体"/>
        </w:rPr>
      </w:pPr>
    </w:p>
    <w:p w14:paraId="7710CFC5">
      <w:pPr>
        <w:spacing w:line="360" w:lineRule="auto"/>
        <w:rPr>
          <w:rFonts w:hint="eastAsia" w:ascii="宋体" w:hAnsi="宋体" w:eastAsia="宋体" w:cs="宋体"/>
          <w:b/>
          <w:bCs/>
        </w:rPr>
      </w:pPr>
    </w:p>
    <w:p w14:paraId="5AFFAA28">
      <w:pPr>
        <w:pStyle w:val="28"/>
        <w:ind w:left="440"/>
        <w:rPr>
          <w:rFonts w:hint="eastAsia" w:ascii="宋体" w:hAnsi="宋体" w:eastAsia="宋体" w:cs="宋体"/>
          <w:b/>
          <w:bCs/>
          <w:sz w:val="24"/>
        </w:rPr>
      </w:pPr>
    </w:p>
    <w:p w14:paraId="1D2FA876">
      <w:pPr>
        <w:pStyle w:val="28"/>
        <w:ind w:left="440"/>
        <w:rPr>
          <w:rFonts w:hint="eastAsia" w:ascii="宋体" w:hAnsi="宋体" w:eastAsia="宋体" w:cs="宋体"/>
          <w:b/>
          <w:bCs/>
          <w:sz w:val="24"/>
        </w:rPr>
      </w:pPr>
    </w:p>
    <w:p w14:paraId="485E67DF">
      <w:pPr>
        <w:pStyle w:val="28"/>
        <w:ind w:left="440"/>
        <w:rPr>
          <w:rFonts w:hint="eastAsia" w:ascii="宋体" w:hAnsi="宋体" w:eastAsia="宋体" w:cs="宋体"/>
          <w:b/>
          <w:bCs/>
          <w:sz w:val="24"/>
        </w:rPr>
      </w:pPr>
    </w:p>
    <w:p w14:paraId="68C3A7E8">
      <w:pPr>
        <w:pStyle w:val="28"/>
        <w:ind w:left="440"/>
        <w:rPr>
          <w:rFonts w:hint="eastAsia" w:ascii="宋体" w:hAnsi="宋体" w:eastAsia="宋体" w:cs="宋体"/>
          <w:b/>
          <w:bCs/>
          <w:sz w:val="24"/>
        </w:rPr>
      </w:pPr>
    </w:p>
    <w:p w14:paraId="350D5D94">
      <w:pPr>
        <w:pStyle w:val="28"/>
        <w:ind w:left="440"/>
        <w:rPr>
          <w:rFonts w:hint="eastAsia" w:ascii="宋体" w:hAnsi="宋体" w:eastAsia="宋体" w:cs="宋体"/>
          <w:b/>
          <w:bCs/>
          <w:sz w:val="24"/>
        </w:rPr>
      </w:pPr>
    </w:p>
    <w:p w14:paraId="5CCBB8A0">
      <w:pPr>
        <w:pStyle w:val="28"/>
        <w:ind w:left="440"/>
        <w:rPr>
          <w:rFonts w:hint="eastAsia" w:ascii="宋体" w:hAnsi="宋体" w:eastAsia="宋体" w:cs="宋体"/>
          <w:b/>
          <w:bCs/>
          <w:sz w:val="24"/>
        </w:rPr>
      </w:pPr>
    </w:p>
    <w:p w14:paraId="0E76C55E">
      <w:pPr>
        <w:pStyle w:val="28"/>
        <w:ind w:left="440"/>
        <w:rPr>
          <w:rFonts w:hint="eastAsia" w:ascii="宋体" w:hAnsi="宋体" w:eastAsia="宋体" w:cs="宋体"/>
          <w:b/>
          <w:bCs/>
          <w:sz w:val="24"/>
        </w:rPr>
        <w:sectPr>
          <w:type w:val="continuous"/>
          <w:pgSz w:w="11906" w:h="16838"/>
          <w:pgMar w:top="1440" w:right="1083" w:bottom="1440" w:left="1083" w:header="720" w:footer="720" w:gutter="0"/>
          <w:pgNumType w:fmt="decimal"/>
          <w:cols w:space="0" w:num="1"/>
          <w:titlePg/>
          <w:docGrid w:linePitch="299" w:charSpace="0"/>
        </w:sectPr>
      </w:pPr>
    </w:p>
    <w:p w14:paraId="7D7E688F">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附件3：主要材料、设备品牌要求</w:t>
      </w:r>
    </w:p>
    <w:tbl>
      <w:tblPr>
        <w:tblStyle w:val="50"/>
        <w:tblW w:w="0" w:type="auto"/>
        <w:tblInd w:w="136" w:type="dxa"/>
        <w:tblLayout w:type="autofit"/>
        <w:tblCellMar>
          <w:top w:w="0" w:type="dxa"/>
          <w:left w:w="108" w:type="dxa"/>
          <w:bottom w:w="0" w:type="dxa"/>
          <w:right w:w="108" w:type="dxa"/>
        </w:tblCellMar>
      </w:tblPr>
      <w:tblGrid>
        <w:gridCol w:w="536"/>
        <w:gridCol w:w="3781"/>
        <w:gridCol w:w="4470"/>
        <w:gridCol w:w="817"/>
      </w:tblGrid>
      <w:tr w14:paraId="1736619F">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757E25BD">
            <w:pPr>
              <w:snapToGrid w:val="0"/>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0" w:type="auto"/>
            <w:tcBorders>
              <w:top w:val="single" w:color="000000" w:sz="4" w:space="0"/>
              <w:left w:val="single" w:color="000000" w:sz="4" w:space="0"/>
              <w:bottom w:val="single" w:color="000000" w:sz="4" w:space="0"/>
              <w:right w:val="single" w:color="000000" w:sz="4" w:space="0"/>
            </w:tcBorders>
            <w:vAlign w:val="center"/>
          </w:tcPr>
          <w:p w14:paraId="037AC42B">
            <w:pPr>
              <w:snapToGrid w:val="0"/>
              <w:jc w:val="center"/>
              <w:rPr>
                <w:rFonts w:hint="eastAsia" w:ascii="宋体" w:hAnsi="宋体" w:eastAsia="宋体" w:cs="宋体"/>
                <w:b/>
                <w:sz w:val="21"/>
                <w:szCs w:val="21"/>
              </w:rPr>
            </w:pPr>
            <w:r>
              <w:rPr>
                <w:rFonts w:hint="eastAsia" w:ascii="宋体" w:hAnsi="宋体" w:eastAsia="宋体" w:cs="宋体"/>
                <w:b/>
                <w:sz w:val="21"/>
                <w:szCs w:val="21"/>
              </w:rPr>
              <w:t>材料名称</w:t>
            </w:r>
          </w:p>
        </w:tc>
        <w:tc>
          <w:tcPr>
            <w:tcW w:w="4470" w:type="dxa"/>
            <w:tcBorders>
              <w:top w:val="single" w:color="000000" w:sz="4" w:space="0"/>
              <w:left w:val="single" w:color="000000" w:sz="4" w:space="0"/>
              <w:bottom w:val="single" w:color="000000" w:sz="4" w:space="0"/>
              <w:right w:val="single" w:color="000000" w:sz="4" w:space="0"/>
            </w:tcBorders>
            <w:vAlign w:val="center"/>
          </w:tcPr>
          <w:p w14:paraId="17C44684">
            <w:pPr>
              <w:snapToGrid w:val="0"/>
              <w:jc w:val="center"/>
              <w:rPr>
                <w:rFonts w:hint="eastAsia" w:ascii="宋体" w:hAnsi="宋体" w:eastAsia="宋体" w:cs="宋体"/>
                <w:b/>
                <w:sz w:val="21"/>
                <w:szCs w:val="21"/>
              </w:rPr>
            </w:pPr>
            <w:r>
              <w:rPr>
                <w:rFonts w:hint="eastAsia" w:ascii="宋体" w:hAnsi="宋体" w:eastAsia="宋体" w:cs="宋体"/>
                <w:b/>
                <w:sz w:val="21"/>
                <w:szCs w:val="21"/>
              </w:rPr>
              <w:t>参考品牌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5FD205D3">
            <w:pPr>
              <w:snapToGrid w:val="0"/>
              <w:jc w:val="center"/>
              <w:rPr>
                <w:rFonts w:hint="eastAsia" w:ascii="宋体" w:hAnsi="宋体" w:eastAsia="宋体" w:cs="宋体"/>
                <w:b/>
                <w:sz w:val="21"/>
                <w:szCs w:val="21"/>
              </w:rPr>
            </w:pPr>
            <w:r>
              <w:rPr>
                <w:rFonts w:hint="eastAsia" w:ascii="宋体" w:hAnsi="宋体" w:eastAsia="宋体" w:cs="宋体"/>
                <w:b/>
                <w:sz w:val="21"/>
                <w:szCs w:val="21"/>
              </w:rPr>
              <w:t>备注</w:t>
            </w:r>
          </w:p>
        </w:tc>
      </w:tr>
      <w:tr w14:paraId="23497799">
        <w:tblPrEx>
          <w:tblCellMar>
            <w:top w:w="0" w:type="dxa"/>
            <w:left w:w="108" w:type="dxa"/>
            <w:bottom w:w="0" w:type="dxa"/>
            <w:right w:w="108" w:type="dxa"/>
          </w:tblCellMar>
        </w:tblPrEx>
        <w:tc>
          <w:tcPr>
            <w:tcW w:w="0" w:type="auto"/>
            <w:gridSpan w:val="4"/>
            <w:tcBorders>
              <w:top w:val="single" w:color="000000" w:sz="4" w:space="0"/>
              <w:left w:val="single" w:color="000000" w:sz="4" w:space="0"/>
              <w:bottom w:val="single" w:color="000000" w:sz="4" w:space="0"/>
              <w:right w:val="single" w:color="000000" w:sz="4" w:space="0"/>
            </w:tcBorders>
            <w:vAlign w:val="center"/>
          </w:tcPr>
          <w:p w14:paraId="1C4BCECE">
            <w:pPr>
              <w:snapToGrid w:val="0"/>
              <w:jc w:val="center"/>
              <w:rPr>
                <w:rFonts w:hint="eastAsia" w:ascii="宋体" w:hAnsi="宋体" w:eastAsia="宋体" w:cs="宋体"/>
                <w:b/>
                <w:sz w:val="21"/>
                <w:szCs w:val="21"/>
              </w:rPr>
            </w:pPr>
            <w:r>
              <w:rPr>
                <w:rFonts w:hint="eastAsia" w:ascii="宋体" w:hAnsi="宋体" w:eastAsia="宋体" w:cs="宋体"/>
                <w:b/>
                <w:sz w:val="21"/>
                <w:szCs w:val="21"/>
              </w:rPr>
              <w:t>土建及装修</w:t>
            </w:r>
          </w:p>
        </w:tc>
      </w:tr>
      <w:tr w14:paraId="58C9A65E">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547DFC5A">
            <w:pPr>
              <w:snapToGrid w:val="0"/>
              <w:jc w:val="center"/>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0046E563">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耐火石膏板</w:t>
            </w:r>
          </w:p>
        </w:tc>
        <w:tc>
          <w:tcPr>
            <w:tcW w:w="4470" w:type="dxa"/>
            <w:tcBorders>
              <w:top w:val="single" w:color="000000" w:sz="4" w:space="0"/>
              <w:left w:val="single" w:color="000000" w:sz="4" w:space="0"/>
              <w:bottom w:val="single" w:color="000000" w:sz="4" w:space="0"/>
              <w:right w:val="single" w:color="000000" w:sz="4" w:space="0"/>
            </w:tcBorders>
            <w:vAlign w:val="center"/>
          </w:tcPr>
          <w:p w14:paraId="5AAEE06E">
            <w:pPr>
              <w:pStyle w:val="16"/>
              <w:rPr>
                <w:rFonts w:hint="eastAsia" w:ascii="宋体" w:hAnsi="宋体" w:eastAsia="宋体" w:cs="宋体"/>
                <w:b w:val="0"/>
                <w:bCs/>
                <w:sz w:val="21"/>
                <w:szCs w:val="21"/>
              </w:rPr>
            </w:pPr>
            <w:r>
              <w:rPr>
                <w:rFonts w:hint="eastAsia" w:ascii="宋体" w:hAnsi="宋体" w:eastAsia="宋体" w:cs="宋体"/>
                <w:b w:val="0"/>
                <w:bCs/>
                <w:sz w:val="21"/>
                <w:szCs w:val="21"/>
              </w:rPr>
              <w:t>泰山、龙牌、北新或同档次及以上品牌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72664749">
            <w:pPr>
              <w:snapToGrid w:val="0"/>
              <w:jc w:val="center"/>
              <w:rPr>
                <w:rFonts w:hint="eastAsia" w:ascii="宋体" w:hAnsi="宋体" w:eastAsia="宋体" w:cs="宋体"/>
                <w:sz w:val="21"/>
                <w:szCs w:val="21"/>
              </w:rPr>
            </w:pPr>
          </w:p>
        </w:tc>
      </w:tr>
      <w:tr w14:paraId="3A21CDAD">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4B003EE3">
            <w:pPr>
              <w:snapToGrid w:val="0"/>
              <w:jc w:val="center"/>
              <w:rPr>
                <w:rFonts w:hint="eastAsia" w:ascii="宋体" w:hAnsi="宋体" w:eastAsia="宋体" w:cs="宋体"/>
                <w:sz w:val="21"/>
                <w:szCs w:val="21"/>
              </w:rPr>
            </w:pPr>
            <w:r>
              <w:rPr>
                <w:rFonts w:hint="eastAsia" w:ascii="宋体" w:hAnsi="宋体" w:eastAsia="宋体" w:cs="宋体"/>
                <w:sz w:val="21"/>
                <w:szCs w:val="21"/>
              </w:rPr>
              <w:t>2</w:t>
            </w:r>
          </w:p>
        </w:tc>
        <w:tc>
          <w:tcPr>
            <w:tcW w:w="0" w:type="auto"/>
            <w:tcBorders>
              <w:top w:val="single" w:color="000000" w:sz="4" w:space="0"/>
              <w:left w:val="single" w:color="000000" w:sz="4" w:space="0"/>
              <w:bottom w:val="single" w:color="000000" w:sz="4" w:space="0"/>
              <w:right w:val="single" w:color="000000" w:sz="4" w:space="0"/>
            </w:tcBorders>
            <w:vAlign w:val="center"/>
          </w:tcPr>
          <w:p w14:paraId="63796307">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矿棉板</w:t>
            </w:r>
          </w:p>
        </w:tc>
        <w:tc>
          <w:tcPr>
            <w:tcW w:w="4470" w:type="dxa"/>
            <w:tcBorders>
              <w:top w:val="single" w:color="000000" w:sz="4" w:space="0"/>
              <w:left w:val="single" w:color="000000" w:sz="4" w:space="0"/>
              <w:bottom w:val="single" w:color="000000" w:sz="4" w:space="0"/>
              <w:right w:val="single" w:color="000000" w:sz="4" w:space="0"/>
            </w:tcBorders>
            <w:vAlign w:val="center"/>
          </w:tcPr>
          <w:p w14:paraId="075FE547">
            <w:pPr>
              <w:pStyle w:val="16"/>
              <w:rPr>
                <w:rFonts w:hint="eastAsia" w:ascii="宋体" w:hAnsi="宋体" w:eastAsia="宋体" w:cs="宋体"/>
                <w:b w:val="0"/>
                <w:bCs/>
                <w:sz w:val="21"/>
                <w:szCs w:val="21"/>
              </w:rPr>
            </w:pPr>
            <w:r>
              <w:rPr>
                <w:rFonts w:hint="eastAsia" w:ascii="宋体" w:hAnsi="宋体" w:eastAsia="宋体" w:cs="宋体"/>
                <w:b w:val="0"/>
                <w:bCs/>
                <w:sz w:val="21"/>
                <w:szCs w:val="21"/>
              </w:rPr>
              <w:t>泰山、龙牌、阿姆斯壮或同档次及以上品牌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18B6DBFA">
            <w:pPr>
              <w:snapToGrid w:val="0"/>
              <w:jc w:val="center"/>
              <w:rPr>
                <w:rFonts w:hint="eastAsia" w:ascii="宋体" w:hAnsi="宋体" w:eastAsia="宋体" w:cs="宋体"/>
                <w:sz w:val="21"/>
                <w:szCs w:val="21"/>
              </w:rPr>
            </w:pPr>
          </w:p>
        </w:tc>
      </w:tr>
      <w:tr w14:paraId="1CF766EB">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3DDC471B">
            <w:pPr>
              <w:snapToGrid w:val="0"/>
              <w:jc w:val="center"/>
              <w:rPr>
                <w:rFonts w:hint="eastAsia" w:ascii="宋体" w:hAnsi="宋体" w:eastAsia="宋体" w:cs="宋体"/>
                <w:sz w:val="21"/>
                <w:szCs w:val="21"/>
              </w:rPr>
            </w:pPr>
            <w:r>
              <w:rPr>
                <w:rFonts w:hint="eastAsia" w:ascii="宋体" w:hAnsi="宋体" w:eastAsia="宋体" w:cs="宋体"/>
                <w:sz w:val="21"/>
                <w:szCs w:val="21"/>
              </w:rPr>
              <w:t>3</w:t>
            </w:r>
          </w:p>
        </w:tc>
        <w:tc>
          <w:tcPr>
            <w:tcW w:w="0" w:type="auto"/>
            <w:tcBorders>
              <w:top w:val="single" w:color="000000" w:sz="4" w:space="0"/>
              <w:left w:val="single" w:color="000000" w:sz="4" w:space="0"/>
              <w:bottom w:val="single" w:color="000000" w:sz="4" w:space="0"/>
              <w:right w:val="single" w:color="000000" w:sz="4" w:space="0"/>
            </w:tcBorders>
            <w:vAlign w:val="center"/>
          </w:tcPr>
          <w:p w14:paraId="46A0A7CE">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抗倍特板</w:t>
            </w:r>
          </w:p>
        </w:tc>
        <w:tc>
          <w:tcPr>
            <w:tcW w:w="4470" w:type="dxa"/>
            <w:tcBorders>
              <w:top w:val="single" w:color="000000" w:sz="4" w:space="0"/>
              <w:left w:val="single" w:color="000000" w:sz="4" w:space="0"/>
              <w:bottom w:val="single" w:color="000000" w:sz="4" w:space="0"/>
              <w:right w:val="single" w:color="000000" w:sz="4" w:space="0"/>
            </w:tcBorders>
            <w:vAlign w:val="center"/>
          </w:tcPr>
          <w:p w14:paraId="39276B35">
            <w:pPr>
              <w:pStyle w:val="16"/>
              <w:rPr>
                <w:rFonts w:hint="eastAsia" w:ascii="宋体" w:hAnsi="宋体" w:eastAsia="宋体" w:cs="宋体"/>
                <w:b w:val="0"/>
                <w:bCs/>
                <w:sz w:val="21"/>
                <w:szCs w:val="21"/>
              </w:rPr>
            </w:pPr>
            <w:r>
              <w:rPr>
                <w:rFonts w:hint="eastAsia" w:ascii="宋体" w:hAnsi="宋体" w:eastAsia="宋体" w:cs="宋体"/>
                <w:b w:val="0"/>
                <w:bCs/>
                <w:sz w:val="21"/>
                <w:szCs w:val="21"/>
              </w:rPr>
              <w:t>海格瑞恩、富美家、乐思福或同档次及以上品牌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21CEFE1D">
            <w:pPr>
              <w:snapToGrid w:val="0"/>
              <w:jc w:val="center"/>
              <w:rPr>
                <w:rFonts w:hint="eastAsia" w:ascii="宋体" w:hAnsi="宋体" w:eastAsia="宋体" w:cs="宋体"/>
                <w:sz w:val="21"/>
                <w:szCs w:val="21"/>
              </w:rPr>
            </w:pPr>
          </w:p>
        </w:tc>
      </w:tr>
      <w:tr w14:paraId="370A00D4">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5A340AAE">
            <w:pPr>
              <w:snapToGrid w:val="0"/>
              <w:jc w:val="center"/>
              <w:rPr>
                <w:rFonts w:hint="eastAsia" w:ascii="宋体" w:hAnsi="宋体" w:eastAsia="宋体" w:cs="宋体"/>
                <w:sz w:val="21"/>
                <w:szCs w:val="21"/>
              </w:rPr>
            </w:pPr>
            <w:r>
              <w:rPr>
                <w:rFonts w:hint="eastAsia" w:ascii="宋体" w:hAnsi="宋体" w:eastAsia="宋体" w:cs="宋体"/>
                <w:sz w:val="21"/>
                <w:szCs w:val="21"/>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198A8FBA">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铝单板</w:t>
            </w:r>
          </w:p>
        </w:tc>
        <w:tc>
          <w:tcPr>
            <w:tcW w:w="4470" w:type="dxa"/>
            <w:tcBorders>
              <w:top w:val="single" w:color="000000" w:sz="4" w:space="0"/>
              <w:left w:val="single" w:color="000000" w:sz="4" w:space="0"/>
              <w:bottom w:val="single" w:color="000000" w:sz="4" w:space="0"/>
              <w:right w:val="single" w:color="000000" w:sz="4" w:space="0"/>
            </w:tcBorders>
            <w:vAlign w:val="center"/>
          </w:tcPr>
          <w:p w14:paraId="56CCDCA7">
            <w:pPr>
              <w:pStyle w:val="16"/>
              <w:rPr>
                <w:rFonts w:hint="eastAsia" w:ascii="宋体" w:hAnsi="宋体" w:eastAsia="宋体" w:cs="宋体"/>
                <w:b w:val="0"/>
                <w:bCs/>
                <w:sz w:val="21"/>
                <w:szCs w:val="21"/>
              </w:rPr>
            </w:pPr>
            <w:r>
              <w:rPr>
                <w:rFonts w:hint="eastAsia" w:ascii="宋体" w:hAnsi="宋体" w:eastAsia="宋体" w:cs="宋体"/>
                <w:b w:val="0"/>
                <w:bCs/>
                <w:sz w:val="21"/>
                <w:szCs w:val="21"/>
              </w:rPr>
              <w:t>西飞、华盛、方大或同档次及以上品牌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0B68301A">
            <w:pPr>
              <w:snapToGrid w:val="0"/>
              <w:jc w:val="center"/>
              <w:rPr>
                <w:rFonts w:hint="eastAsia" w:ascii="宋体" w:hAnsi="宋体" w:eastAsia="宋体" w:cs="宋体"/>
                <w:sz w:val="21"/>
                <w:szCs w:val="21"/>
              </w:rPr>
            </w:pPr>
          </w:p>
        </w:tc>
      </w:tr>
      <w:tr w14:paraId="21774D98">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15CEA560">
            <w:pPr>
              <w:snapToGrid w:val="0"/>
              <w:jc w:val="center"/>
              <w:rPr>
                <w:rFonts w:hint="eastAsia" w:ascii="宋体" w:hAnsi="宋体" w:eastAsia="宋体" w:cs="宋体"/>
                <w:sz w:val="21"/>
                <w:szCs w:val="21"/>
              </w:rPr>
            </w:pPr>
            <w:r>
              <w:rPr>
                <w:rFonts w:hint="eastAsia" w:ascii="宋体" w:hAnsi="宋体" w:eastAsia="宋体" w:cs="宋体"/>
                <w:sz w:val="21"/>
                <w:szCs w:val="21"/>
              </w:rPr>
              <w:t>5</w:t>
            </w:r>
          </w:p>
        </w:tc>
        <w:tc>
          <w:tcPr>
            <w:tcW w:w="0" w:type="auto"/>
            <w:tcBorders>
              <w:top w:val="single" w:color="000000" w:sz="4" w:space="0"/>
              <w:left w:val="single" w:color="000000" w:sz="4" w:space="0"/>
              <w:bottom w:val="single" w:color="000000" w:sz="4" w:space="0"/>
              <w:right w:val="single" w:color="000000" w:sz="4" w:space="0"/>
            </w:tcBorders>
            <w:vAlign w:val="center"/>
          </w:tcPr>
          <w:p w14:paraId="33AB1DFB">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轻钢龙骨</w:t>
            </w:r>
          </w:p>
        </w:tc>
        <w:tc>
          <w:tcPr>
            <w:tcW w:w="4470" w:type="dxa"/>
            <w:tcBorders>
              <w:top w:val="single" w:color="000000" w:sz="4" w:space="0"/>
              <w:left w:val="single" w:color="000000" w:sz="4" w:space="0"/>
              <w:bottom w:val="single" w:color="000000" w:sz="4" w:space="0"/>
              <w:right w:val="single" w:color="000000" w:sz="4" w:space="0"/>
            </w:tcBorders>
            <w:vAlign w:val="center"/>
          </w:tcPr>
          <w:p w14:paraId="252C5B28">
            <w:pPr>
              <w:pStyle w:val="16"/>
              <w:rPr>
                <w:rFonts w:hint="eastAsia" w:ascii="宋体" w:hAnsi="宋体" w:eastAsia="宋体" w:cs="宋体"/>
                <w:b w:val="0"/>
                <w:bCs/>
                <w:sz w:val="21"/>
                <w:szCs w:val="21"/>
              </w:rPr>
            </w:pPr>
            <w:r>
              <w:rPr>
                <w:rFonts w:hint="eastAsia" w:ascii="宋体" w:hAnsi="宋体" w:eastAsia="宋体" w:cs="宋体"/>
                <w:b w:val="0"/>
                <w:bCs/>
                <w:sz w:val="21"/>
                <w:szCs w:val="21"/>
              </w:rPr>
              <w:t>龙牌、泰山、北新、 黄河或同档次及以上品牌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00C1AF86">
            <w:pPr>
              <w:snapToGrid w:val="0"/>
              <w:jc w:val="center"/>
              <w:rPr>
                <w:rFonts w:hint="eastAsia" w:ascii="宋体" w:hAnsi="宋体" w:eastAsia="宋体" w:cs="宋体"/>
                <w:sz w:val="21"/>
                <w:szCs w:val="21"/>
              </w:rPr>
            </w:pPr>
          </w:p>
        </w:tc>
      </w:tr>
      <w:tr w14:paraId="5E14B730">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78E8969C">
            <w:pPr>
              <w:snapToGrid w:val="0"/>
              <w:jc w:val="center"/>
              <w:rPr>
                <w:rFonts w:hint="eastAsia" w:ascii="宋体" w:hAnsi="宋体" w:eastAsia="宋体" w:cs="宋体"/>
                <w:sz w:val="21"/>
                <w:szCs w:val="21"/>
              </w:rPr>
            </w:pPr>
            <w:r>
              <w:rPr>
                <w:rFonts w:hint="eastAsia" w:ascii="宋体" w:hAnsi="宋体" w:eastAsia="宋体" w:cs="宋体"/>
                <w:sz w:val="21"/>
                <w:szCs w:val="21"/>
              </w:rPr>
              <w:t>6</w:t>
            </w:r>
          </w:p>
        </w:tc>
        <w:tc>
          <w:tcPr>
            <w:tcW w:w="0" w:type="auto"/>
            <w:tcBorders>
              <w:top w:val="single" w:color="000000" w:sz="4" w:space="0"/>
              <w:left w:val="single" w:color="000000" w:sz="4" w:space="0"/>
              <w:bottom w:val="single" w:color="000000" w:sz="4" w:space="0"/>
              <w:right w:val="single" w:color="000000" w:sz="4" w:space="0"/>
            </w:tcBorders>
            <w:vAlign w:val="center"/>
          </w:tcPr>
          <w:p w14:paraId="0DE6D493">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地砖</w:t>
            </w:r>
          </w:p>
        </w:tc>
        <w:tc>
          <w:tcPr>
            <w:tcW w:w="4470" w:type="dxa"/>
            <w:tcBorders>
              <w:top w:val="single" w:color="000000" w:sz="4" w:space="0"/>
              <w:left w:val="single" w:color="000000" w:sz="4" w:space="0"/>
              <w:bottom w:val="single" w:color="000000" w:sz="4" w:space="0"/>
              <w:right w:val="single" w:color="000000" w:sz="4" w:space="0"/>
            </w:tcBorders>
            <w:vAlign w:val="center"/>
          </w:tcPr>
          <w:p w14:paraId="0AF89925">
            <w:pPr>
              <w:pStyle w:val="16"/>
              <w:rPr>
                <w:rFonts w:hint="eastAsia" w:ascii="宋体" w:hAnsi="宋体" w:eastAsia="宋体" w:cs="宋体"/>
                <w:b w:val="0"/>
                <w:bCs/>
                <w:sz w:val="21"/>
                <w:szCs w:val="21"/>
              </w:rPr>
            </w:pPr>
            <w:r>
              <w:rPr>
                <w:rFonts w:hint="eastAsia" w:ascii="宋体" w:hAnsi="宋体" w:eastAsia="宋体" w:cs="宋体"/>
                <w:b w:val="0"/>
                <w:bCs/>
                <w:sz w:val="21"/>
                <w:szCs w:val="21"/>
              </w:rPr>
              <w:t>宏宇、冠珠、东鹏、鹰牌或同档次及以上品牌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20F47AB8">
            <w:pPr>
              <w:snapToGrid w:val="0"/>
              <w:jc w:val="center"/>
              <w:rPr>
                <w:rFonts w:hint="eastAsia" w:ascii="宋体" w:hAnsi="宋体" w:eastAsia="宋体" w:cs="宋体"/>
                <w:sz w:val="21"/>
                <w:szCs w:val="21"/>
              </w:rPr>
            </w:pPr>
          </w:p>
        </w:tc>
      </w:tr>
      <w:tr w14:paraId="7498DE72">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5BC49E2D">
            <w:pPr>
              <w:snapToGrid w:val="0"/>
              <w:jc w:val="center"/>
              <w:rPr>
                <w:rFonts w:hint="eastAsia" w:ascii="宋体" w:hAnsi="宋体" w:eastAsia="宋体" w:cs="宋体"/>
                <w:sz w:val="21"/>
                <w:szCs w:val="21"/>
              </w:rPr>
            </w:pPr>
            <w:r>
              <w:rPr>
                <w:rFonts w:hint="eastAsia" w:ascii="宋体" w:hAnsi="宋体" w:eastAsia="宋体" w:cs="宋体"/>
                <w:sz w:val="21"/>
                <w:szCs w:val="21"/>
              </w:rPr>
              <w:t>7</w:t>
            </w:r>
          </w:p>
        </w:tc>
        <w:tc>
          <w:tcPr>
            <w:tcW w:w="0" w:type="auto"/>
            <w:tcBorders>
              <w:top w:val="single" w:color="000000" w:sz="4" w:space="0"/>
              <w:left w:val="single" w:color="000000" w:sz="4" w:space="0"/>
              <w:bottom w:val="single" w:color="000000" w:sz="4" w:space="0"/>
              <w:right w:val="single" w:color="000000" w:sz="4" w:space="0"/>
            </w:tcBorders>
            <w:vAlign w:val="center"/>
          </w:tcPr>
          <w:p w14:paraId="20F51A36">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木地板</w:t>
            </w:r>
          </w:p>
        </w:tc>
        <w:tc>
          <w:tcPr>
            <w:tcW w:w="4470" w:type="dxa"/>
            <w:tcBorders>
              <w:top w:val="single" w:color="000000" w:sz="4" w:space="0"/>
              <w:left w:val="single" w:color="000000" w:sz="4" w:space="0"/>
              <w:bottom w:val="single" w:color="000000" w:sz="4" w:space="0"/>
              <w:right w:val="single" w:color="000000" w:sz="4" w:space="0"/>
            </w:tcBorders>
            <w:vAlign w:val="center"/>
          </w:tcPr>
          <w:p w14:paraId="7C069505">
            <w:pPr>
              <w:pStyle w:val="16"/>
              <w:rPr>
                <w:rFonts w:hint="eastAsia" w:ascii="宋体" w:hAnsi="宋体" w:eastAsia="宋体" w:cs="宋体"/>
                <w:b w:val="0"/>
                <w:bCs/>
                <w:sz w:val="21"/>
                <w:szCs w:val="21"/>
              </w:rPr>
            </w:pPr>
            <w:r>
              <w:rPr>
                <w:rFonts w:hint="eastAsia" w:ascii="宋体" w:hAnsi="宋体" w:eastAsia="宋体" w:cs="宋体"/>
                <w:b w:val="0"/>
                <w:bCs/>
                <w:sz w:val="21"/>
                <w:szCs w:val="21"/>
              </w:rPr>
              <w:t>圣象、大自然、阿姆斯壮或同档次及以上品牌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468843AB">
            <w:pPr>
              <w:snapToGrid w:val="0"/>
              <w:jc w:val="center"/>
              <w:rPr>
                <w:rFonts w:hint="eastAsia" w:ascii="宋体" w:hAnsi="宋体" w:eastAsia="宋体" w:cs="宋体"/>
                <w:sz w:val="21"/>
                <w:szCs w:val="21"/>
              </w:rPr>
            </w:pPr>
          </w:p>
        </w:tc>
      </w:tr>
      <w:tr w14:paraId="74037C0D">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279AA7C3">
            <w:pPr>
              <w:snapToGrid w:val="0"/>
              <w:jc w:val="center"/>
              <w:rPr>
                <w:rFonts w:hint="eastAsia" w:ascii="宋体" w:hAnsi="宋体" w:eastAsia="宋体" w:cs="宋体"/>
                <w:sz w:val="21"/>
                <w:szCs w:val="21"/>
              </w:rPr>
            </w:pPr>
            <w:r>
              <w:rPr>
                <w:rFonts w:hint="eastAsia" w:ascii="宋体" w:hAnsi="宋体" w:eastAsia="宋体" w:cs="宋体"/>
                <w:sz w:val="21"/>
                <w:szCs w:val="21"/>
              </w:rPr>
              <w:t>8</w:t>
            </w:r>
          </w:p>
        </w:tc>
        <w:tc>
          <w:tcPr>
            <w:tcW w:w="0" w:type="auto"/>
            <w:tcBorders>
              <w:top w:val="single" w:color="000000" w:sz="4" w:space="0"/>
              <w:left w:val="single" w:color="000000" w:sz="4" w:space="0"/>
              <w:bottom w:val="single" w:color="000000" w:sz="4" w:space="0"/>
              <w:right w:val="single" w:color="000000" w:sz="4" w:space="0"/>
            </w:tcBorders>
            <w:vAlign w:val="center"/>
          </w:tcPr>
          <w:p w14:paraId="7322B07D">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玻璃隔断</w:t>
            </w:r>
          </w:p>
        </w:tc>
        <w:tc>
          <w:tcPr>
            <w:tcW w:w="4470" w:type="dxa"/>
            <w:tcBorders>
              <w:top w:val="single" w:color="000000" w:sz="4" w:space="0"/>
              <w:left w:val="single" w:color="000000" w:sz="4" w:space="0"/>
              <w:bottom w:val="single" w:color="000000" w:sz="4" w:space="0"/>
              <w:right w:val="single" w:color="000000" w:sz="4" w:space="0"/>
            </w:tcBorders>
            <w:vAlign w:val="center"/>
          </w:tcPr>
          <w:p w14:paraId="7144D3BD">
            <w:pPr>
              <w:pStyle w:val="16"/>
              <w:rPr>
                <w:rFonts w:hint="eastAsia" w:ascii="宋体" w:hAnsi="宋体" w:eastAsia="宋体" w:cs="宋体"/>
                <w:b w:val="0"/>
                <w:bCs/>
                <w:sz w:val="21"/>
                <w:szCs w:val="21"/>
              </w:rPr>
            </w:pPr>
            <w:r>
              <w:rPr>
                <w:rFonts w:hint="eastAsia" w:ascii="宋体" w:hAnsi="宋体" w:eastAsia="宋体" w:cs="宋体"/>
                <w:b w:val="0"/>
                <w:bCs/>
                <w:sz w:val="21"/>
                <w:szCs w:val="21"/>
              </w:rPr>
              <w:t>代高、华沃、优尔或同档次及以上品牌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7C8E23E1">
            <w:pPr>
              <w:snapToGrid w:val="0"/>
              <w:jc w:val="center"/>
              <w:rPr>
                <w:rFonts w:hint="eastAsia" w:ascii="宋体" w:hAnsi="宋体" w:eastAsia="宋体" w:cs="宋体"/>
                <w:sz w:val="21"/>
                <w:szCs w:val="21"/>
              </w:rPr>
            </w:pPr>
          </w:p>
        </w:tc>
      </w:tr>
      <w:tr w14:paraId="714661AF">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44BAEEBE">
            <w:pPr>
              <w:snapToGrid w:val="0"/>
              <w:jc w:val="center"/>
              <w:rPr>
                <w:rFonts w:hint="eastAsia" w:ascii="宋体" w:hAnsi="宋体" w:eastAsia="宋体" w:cs="宋体"/>
                <w:sz w:val="21"/>
                <w:szCs w:val="21"/>
              </w:rPr>
            </w:pPr>
            <w:r>
              <w:rPr>
                <w:rFonts w:hint="eastAsia" w:ascii="宋体" w:hAnsi="宋体" w:eastAsia="宋体" w:cs="宋体"/>
                <w:sz w:val="21"/>
                <w:szCs w:val="21"/>
              </w:rPr>
              <w:t>9</w:t>
            </w:r>
          </w:p>
        </w:tc>
        <w:tc>
          <w:tcPr>
            <w:tcW w:w="0" w:type="auto"/>
            <w:tcBorders>
              <w:top w:val="single" w:color="000000" w:sz="4" w:space="0"/>
              <w:left w:val="single" w:color="000000" w:sz="4" w:space="0"/>
              <w:bottom w:val="single" w:color="000000" w:sz="4" w:space="0"/>
              <w:right w:val="single" w:color="000000" w:sz="4" w:space="0"/>
            </w:tcBorders>
            <w:vAlign w:val="center"/>
          </w:tcPr>
          <w:p w14:paraId="5265B7C7">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防静电地板</w:t>
            </w:r>
          </w:p>
        </w:tc>
        <w:tc>
          <w:tcPr>
            <w:tcW w:w="4470" w:type="dxa"/>
            <w:tcBorders>
              <w:top w:val="single" w:color="000000" w:sz="4" w:space="0"/>
              <w:left w:val="single" w:color="000000" w:sz="4" w:space="0"/>
              <w:bottom w:val="single" w:color="000000" w:sz="4" w:space="0"/>
              <w:right w:val="single" w:color="000000" w:sz="4" w:space="0"/>
            </w:tcBorders>
            <w:vAlign w:val="center"/>
          </w:tcPr>
          <w:p w14:paraId="31079BF2">
            <w:pPr>
              <w:pStyle w:val="16"/>
              <w:rPr>
                <w:rFonts w:hint="eastAsia" w:ascii="宋体" w:hAnsi="宋体" w:eastAsia="宋体" w:cs="宋体"/>
                <w:b w:val="0"/>
                <w:bCs/>
                <w:sz w:val="21"/>
                <w:szCs w:val="21"/>
              </w:rPr>
            </w:pPr>
            <w:r>
              <w:rPr>
                <w:rFonts w:hint="eastAsia" w:ascii="宋体" w:hAnsi="宋体" w:eastAsia="宋体" w:cs="宋体"/>
                <w:b w:val="0"/>
                <w:bCs/>
                <w:sz w:val="21"/>
                <w:szCs w:val="21"/>
              </w:rPr>
              <w:t>奥斯曼、常州汇丽或同档次及以上品牌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24371C53">
            <w:pPr>
              <w:snapToGrid w:val="0"/>
              <w:jc w:val="center"/>
              <w:rPr>
                <w:rFonts w:hint="eastAsia" w:ascii="宋体" w:hAnsi="宋体" w:eastAsia="宋体" w:cs="宋体"/>
                <w:sz w:val="21"/>
                <w:szCs w:val="21"/>
              </w:rPr>
            </w:pPr>
          </w:p>
        </w:tc>
      </w:tr>
      <w:tr w14:paraId="09ED35B7">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341E65FE">
            <w:pPr>
              <w:snapToGrid w:val="0"/>
              <w:jc w:val="center"/>
              <w:rPr>
                <w:rFonts w:hint="eastAsia" w:ascii="宋体" w:hAnsi="宋体" w:eastAsia="宋体" w:cs="宋体"/>
                <w:sz w:val="21"/>
                <w:szCs w:val="21"/>
              </w:rPr>
            </w:pPr>
            <w:r>
              <w:rPr>
                <w:rFonts w:hint="eastAsia" w:ascii="宋体" w:hAnsi="宋体" w:eastAsia="宋体" w:cs="宋体"/>
                <w:sz w:val="21"/>
                <w:szCs w:val="21"/>
              </w:rPr>
              <w:t>10</w:t>
            </w:r>
          </w:p>
        </w:tc>
        <w:tc>
          <w:tcPr>
            <w:tcW w:w="0" w:type="auto"/>
            <w:tcBorders>
              <w:top w:val="single" w:color="000000" w:sz="4" w:space="0"/>
              <w:left w:val="single" w:color="000000" w:sz="4" w:space="0"/>
              <w:bottom w:val="single" w:color="000000" w:sz="4" w:space="0"/>
              <w:right w:val="single" w:color="000000" w:sz="4" w:space="0"/>
            </w:tcBorders>
            <w:vAlign w:val="center"/>
          </w:tcPr>
          <w:p w14:paraId="0D3B9F03">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自流平</w:t>
            </w:r>
          </w:p>
        </w:tc>
        <w:tc>
          <w:tcPr>
            <w:tcW w:w="4470" w:type="dxa"/>
            <w:tcBorders>
              <w:top w:val="single" w:color="000000" w:sz="4" w:space="0"/>
              <w:left w:val="single" w:color="000000" w:sz="4" w:space="0"/>
              <w:bottom w:val="single" w:color="000000" w:sz="4" w:space="0"/>
              <w:right w:val="single" w:color="000000" w:sz="4" w:space="0"/>
            </w:tcBorders>
            <w:vAlign w:val="center"/>
          </w:tcPr>
          <w:p w14:paraId="1D72D825">
            <w:pPr>
              <w:pStyle w:val="16"/>
              <w:rPr>
                <w:rFonts w:hint="eastAsia" w:ascii="宋体" w:hAnsi="宋体" w:eastAsia="宋体" w:cs="宋体"/>
                <w:b w:val="0"/>
                <w:bCs/>
                <w:sz w:val="21"/>
                <w:szCs w:val="21"/>
              </w:rPr>
            </w:pPr>
            <w:r>
              <w:rPr>
                <w:rFonts w:hint="eastAsia" w:ascii="宋体" w:hAnsi="宋体" w:eastAsia="宋体" w:cs="宋体"/>
                <w:b w:val="0"/>
                <w:bCs/>
                <w:sz w:val="21"/>
                <w:szCs w:val="21"/>
              </w:rPr>
              <w:t>宝塔山、立邦、汇龙或同档次及以上品牌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6D1641F5">
            <w:pPr>
              <w:snapToGrid w:val="0"/>
              <w:jc w:val="center"/>
              <w:rPr>
                <w:rFonts w:hint="eastAsia" w:ascii="宋体" w:hAnsi="宋体" w:eastAsia="宋体" w:cs="宋体"/>
                <w:sz w:val="21"/>
                <w:szCs w:val="21"/>
              </w:rPr>
            </w:pPr>
          </w:p>
        </w:tc>
      </w:tr>
      <w:tr w14:paraId="4AE84AEE">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6C325B8F">
            <w:pPr>
              <w:snapToGrid w:val="0"/>
              <w:jc w:val="center"/>
              <w:rPr>
                <w:rFonts w:hint="eastAsia" w:ascii="宋体" w:hAnsi="宋体" w:eastAsia="宋体" w:cs="宋体"/>
                <w:sz w:val="21"/>
                <w:szCs w:val="21"/>
              </w:rPr>
            </w:pPr>
            <w:r>
              <w:rPr>
                <w:rFonts w:hint="eastAsia" w:ascii="宋体" w:hAnsi="宋体" w:eastAsia="宋体" w:cs="宋体"/>
                <w:sz w:val="21"/>
                <w:szCs w:val="21"/>
              </w:rPr>
              <w:t>11</w:t>
            </w:r>
          </w:p>
        </w:tc>
        <w:tc>
          <w:tcPr>
            <w:tcW w:w="0" w:type="auto"/>
            <w:tcBorders>
              <w:top w:val="single" w:color="000000" w:sz="4" w:space="0"/>
              <w:left w:val="single" w:color="000000" w:sz="4" w:space="0"/>
              <w:bottom w:val="single" w:color="000000" w:sz="4" w:space="0"/>
              <w:right w:val="single" w:color="000000" w:sz="4" w:space="0"/>
            </w:tcBorders>
            <w:vAlign w:val="center"/>
          </w:tcPr>
          <w:p w14:paraId="62EF71FC">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石塑地板</w:t>
            </w:r>
          </w:p>
        </w:tc>
        <w:tc>
          <w:tcPr>
            <w:tcW w:w="4470" w:type="dxa"/>
            <w:tcBorders>
              <w:top w:val="single" w:color="000000" w:sz="4" w:space="0"/>
              <w:left w:val="single" w:color="000000" w:sz="4" w:space="0"/>
              <w:bottom w:val="single" w:color="000000" w:sz="4" w:space="0"/>
              <w:right w:val="single" w:color="000000" w:sz="4" w:space="0"/>
            </w:tcBorders>
            <w:vAlign w:val="center"/>
          </w:tcPr>
          <w:p w14:paraId="281D5AD2">
            <w:pPr>
              <w:pStyle w:val="16"/>
              <w:rPr>
                <w:rFonts w:hint="eastAsia" w:ascii="宋体" w:hAnsi="宋体" w:eastAsia="宋体" w:cs="宋体"/>
                <w:b w:val="0"/>
                <w:bCs/>
                <w:sz w:val="21"/>
                <w:szCs w:val="21"/>
              </w:rPr>
            </w:pPr>
            <w:r>
              <w:rPr>
                <w:rFonts w:hint="eastAsia" w:ascii="宋体" w:hAnsi="宋体" w:eastAsia="宋体" w:cs="宋体"/>
                <w:b w:val="0"/>
                <w:bCs/>
                <w:sz w:val="21"/>
                <w:szCs w:val="21"/>
              </w:rPr>
              <w:t>阿姆斯壮、纳百利、华泰或同档次及以上品牌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4766B987">
            <w:pPr>
              <w:snapToGrid w:val="0"/>
              <w:jc w:val="center"/>
              <w:rPr>
                <w:rFonts w:hint="eastAsia" w:ascii="宋体" w:hAnsi="宋体" w:eastAsia="宋体" w:cs="宋体"/>
                <w:sz w:val="21"/>
                <w:szCs w:val="21"/>
              </w:rPr>
            </w:pPr>
          </w:p>
        </w:tc>
      </w:tr>
      <w:tr w14:paraId="5BDDFBFF">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4C8F72F6">
            <w:pPr>
              <w:snapToGrid w:val="0"/>
              <w:jc w:val="center"/>
              <w:rPr>
                <w:rFonts w:hint="eastAsia" w:ascii="宋体" w:hAnsi="宋体" w:eastAsia="宋体" w:cs="宋体"/>
                <w:sz w:val="21"/>
                <w:szCs w:val="21"/>
              </w:rPr>
            </w:pPr>
            <w:r>
              <w:rPr>
                <w:rFonts w:hint="eastAsia" w:ascii="宋体" w:hAnsi="宋体" w:eastAsia="宋体" w:cs="宋体"/>
                <w:sz w:val="21"/>
                <w:szCs w:val="21"/>
              </w:rPr>
              <w:t>12</w:t>
            </w:r>
          </w:p>
        </w:tc>
        <w:tc>
          <w:tcPr>
            <w:tcW w:w="0" w:type="auto"/>
            <w:tcBorders>
              <w:top w:val="single" w:color="000000" w:sz="4" w:space="0"/>
              <w:left w:val="single" w:color="000000" w:sz="4" w:space="0"/>
              <w:bottom w:val="single" w:color="000000" w:sz="4" w:space="0"/>
              <w:right w:val="single" w:color="000000" w:sz="4" w:space="0"/>
            </w:tcBorders>
            <w:vAlign w:val="center"/>
          </w:tcPr>
          <w:p w14:paraId="363A33CA">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实木门</w:t>
            </w:r>
          </w:p>
        </w:tc>
        <w:tc>
          <w:tcPr>
            <w:tcW w:w="4470" w:type="dxa"/>
            <w:tcBorders>
              <w:top w:val="single" w:color="000000" w:sz="4" w:space="0"/>
              <w:left w:val="single" w:color="000000" w:sz="4" w:space="0"/>
              <w:bottom w:val="single" w:color="000000" w:sz="4" w:space="0"/>
              <w:right w:val="single" w:color="000000" w:sz="4" w:space="0"/>
            </w:tcBorders>
            <w:vAlign w:val="center"/>
          </w:tcPr>
          <w:p w14:paraId="76B82DC1">
            <w:pPr>
              <w:pStyle w:val="16"/>
              <w:rPr>
                <w:rFonts w:hint="eastAsia" w:ascii="宋体" w:hAnsi="宋体" w:eastAsia="宋体" w:cs="宋体"/>
                <w:b w:val="0"/>
                <w:bCs/>
                <w:sz w:val="21"/>
                <w:szCs w:val="21"/>
              </w:rPr>
            </w:pPr>
            <w:r>
              <w:rPr>
                <w:rFonts w:hint="eastAsia" w:ascii="宋体" w:hAnsi="宋体" w:eastAsia="宋体" w:cs="宋体"/>
                <w:b w:val="0"/>
                <w:bCs/>
                <w:sz w:val="21"/>
                <w:szCs w:val="21"/>
              </w:rPr>
              <w:t>皇鼎、TATA、美心、万通、盼盼或同档次及以上品牌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77BE555E">
            <w:pPr>
              <w:snapToGrid w:val="0"/>
              <w:jc w:val="center"/>
              <w:rPr>
                <w:rFonts w:hint="eastAsia" w:ascii="宋体" w:hAnsi="宋体" w:eastAsia="宋体" w:cs="宋体"/>
                <w:sz w:val="21"/>
                <w:szCs w:val="21"/>
              </w:rPr>
            </w:pPr>
          </w:p>
        </w:tc>
      </w:tr>
      <w:tr w14:paraId="741116E4">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6E19416C">
            <w:pPr>
              <w:snapToGrid w:val="0"/>
              <w:jc w:val="center"/>
              <w:rPr>
                <w:rFonts w:hint="eastAsia" w:ascii="宋体" w:hAnsi="宋体" w:eastAsia="宋体" w:cs="宋体"/>
                <w:sz w:val="21"/>
                <w:szCs w:val="21"/>
              </w:rPr>
            </w:pPr>
            <w:r>
              <w:rPr>
                <w:rFonts w:hint="eastAsia" w:ascii="宋体" w:hAnsi="宋体" w:eastAsia="宋体" w:cs="宋体"/>
                <w:sz w:val="21"/>
                <w:szCs w:val="21"/>
              </w:rPr>
              <w:t>13</w:t>
            </w:r>
          </w:p>
        </w:tc>
        <w:tc>
          <w:tcPr>
            <w:tcW w:w="0" w:type="auto"/>
            <w:tcBorders>
              <w:top w:val="single" w:color="000000" w:sz="4" w:space="0"/>
              <w:left w:val="single" w:color="000000" w:sz="4" w:space="0"/>
              <w:bottom w:val="single" w:color="000000" w:sz="4" w:space="0"/>
              <w:right w:val="single" w:color="000000" w:sz="4" w:space="0"/>
            </w:tcBorders>
            <w:vAlign w:val="center"/>
          </w:tcPr>
          <w:p w14:paraId="59EFB9A1">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防盗门</w:t>
            </w:r>
          </w:p>
        </w:tc>
        <w:tc>
          <w:tcPr>
            <w:tcW w:w="4470" w:type="dxa"/>
            <w:tcBorders>
              <w:top w:val="single" w:color="000000" w:sz="4" w:space="0"/>
              <w:left w:val="single" w:color="000000" w:sz="4" w:space="0"/>
              <w:bottom w:val="single" w:color="000000" w:sz="4" w:space="0"/>
              <w:right w:val="single" w:color="000000" w:sz="4" w:space="0"/>
            </w:tcBorders>
            <w:vAlign w:val="center"/>
          </w:tcPr>
          <w:p w14:paraId="3C5767F3">
            <w:pPr>
              <w:pStyle w:val="16"/>
              <w:rPr>
                <w:rFonts w:hint="eastAsia" w:ascii="宋体" w:hAnsi="宋体" w:eastAsia="宋体" w:cs="宋体"/>
                <w:b w:val="0"/>
                <w:bCs/>
                <w:sz w:val="21"/>
                <w:szCs w:val="21"/>
              </w:rPr>
            </w:pPr>
            <w:r>
              <w:rPr>
                <w:rFonts w:hint="eastAsia" w:ascii="宋体" w:hAnsi="宋体" w:eastAsia="宋体" w:cs="宋体"/>
                <w:b w:val="0"/>
                <w:bCs/>
                <w:sz w:val="21"/>
                <w:szCs w:val="21"/>
              </w:rPr>
              <w:t>王力、盼盼、步阳或同档次及以上品牌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1590EE42">
            <w:pPr>
              <w:snapToGrid w:val="0"/>
              <w:jc w:val="center"/>
              <w:rPr>
                <w:rFonts w:hint="eastAsia" w:ascii="宋体" w:hAnsi="宋体" w:eastAsia="宋体" w:cs="宋体"/>
                <w:sz w:val="21"/>
                <w:szCs w:val="21"/>
              </w:rPr>
            </w:pPr>
          </w:p>
        </w:tc>
      </w:tr>
      <w:tr w14:paraId="1233879C">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4EA81C84">
            <w:pPr>
              <w:snapToGrid w:val="0"/>
              <w:jc w:val="center"/>
              <w:rPr>
                <w:rFonts w:hint="eastAsia" w:ascii="宋体" w:hAnsi="宋体" w:eastAsia="宋体" w:cs="宋体"/>
                <w:sz w:val="21"/>
                <w:szCs w:val="21"/>
              </w:rPr>
            </w:pPr>
            <w:r>
              <w:rPr>
                <w:rFonts w:hint="eastAsia" w:ascii="宋体" w:hAnsi="宋体" w:eastAsia="宋体" w:cs="宋体"/>
                <w:sz w:val="21"/>
                <w:szCs w:val="21"/>
              </w:rPr>
              <w:t>14</w:t>
            </w:r>
          </w:p>
        </w:tc>
        <w:tc>
          <w:tcPr>
            <w:tcW w:w="0" w:type="auto"/>
            <w:tcBorders>
              <w:top w:val="single" w:color="000000" w:sz="4" w:space="0"/>
              <w:left w:val="single" w:color="000000" w:sz="4" w:space="0"/>
              <w:bottom w:val="single" w:color="000000" w:sz="4" w:space="0"/>
              <w:right w:val="single" w:color="000000" w:sz="4" w:space="0"/>
            </w:tcBorders>
            <w:vAlign w:val="center"/>
          </w:tcPr>
          <w:p w14:paraId="225ADF2D">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门锁</w:t>
            </w:r>
          </w:p>
        </w:tc>
        <w:tc>
          <w:tcPr>
            <w:tcW w:w="4470" w:type="dxa"/>
            <w:tcBorders>
              <w:top w:val="single" w:color="000000" w:sz="4" w:space="0"/>
              <w:left w:val="single" w:color="000000" w:sz="4" w:space="0"/>
              <w:bottom w:val="single" w:color="000000" w:sz="4" w:space="0"/>
              <w:right w:val="single" w:color="000000" w:sz="4" w:space="0"/>
            </w:tcBorders>
            <w:vAlign w:val="center"/>
          </w:tcPr>
          <w:p w14:paraId="74E0DF1B">
            <w:pPr>
              <w:pStyle w:val="16"/>
              <w:rPr>
                <w:rFonts w:hint="eastAsia" w:ascii="宋体" w:hAnsi="宋体" w:eastAsia="宋体" w:cs="宋体"/>
                <w:b w:val="0"/>
                <w:bCs/>
                <w:sz w:val="21"/>
                <w:szCs w:val="21"/>
              </w:rPr>
            </w:pPr>
            <w:r>
              <w:rPr>
                <w:rFonts w:hint="eastAsia" w:ascii="宋体" w:hAnsi="宋体" w:eastAsia="宋体" w:cs="宋体"/>
                <w:b w:val="0"/>
                <w:bCs/>
                <w:sz w:val="21"/>
                <w:szCs w:val="21"/>
              </w:rPr>
              <w:t>天阳、贝尔伯格、固力或同档次及以上品牌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4A53F6E5">
            <w:pPr>
              <w:snapToGrid w:val="0"/>
              <w:jc w:val="center"/>
              <w:rPr>
                <w:rFonts w:hint="eastAsia" w:ascii="宋体" w:hAnsi="宋体" w:eastAsia="宋体" w:cs="宋体"/>
                <w:sz w:val="21"/>
                <w:szCs w:val="21"/>
              </w:rPr>
            </w:pPr>
          </w:p>
        </w:tc>
      </w:tr>
      <w:tr w14:paraId="5B8CBA30">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5DE62C09">
            <w:pPr>
              <w:snapToGrid w:val="0"/>
              <w:jc w:val="center"/>
              <w:rPr>
                <w:rFonts w:hint="eastAsia" w:ascii="宋体" w:hAnsi="宋体" w:eastAsia="宋体" w:cs="宋体"/>
                <w:sz w:val="21"/>
                <w:szCs w:val="21"/>
              </w:rPr>
            </w:pPr>
            <w:r>
              <w:rPr>
                <w:rFonts w:hint="eastAsia" w:ascii="宋体" w:hAnsi="宋体" w:eastAsia="宋体" w:cs="宋体"/>
                <w:sz w:val="21"/>
                <w:szCs w:val="21"/>
              </w:rPr>
              <w:t>15</w:t>
            </w:r>
          </w:p>
        </w:tc>
        <w:tc>
          <w:tcPr>
            <w:tcW w:w="0" w:type="auto"/>
            <w:tcBorders>
              <w:top w:val="single" w:color="000000" w:sz="4" w:space="0"/>
              <w:left w:val="single" w:color="000000" w:sz="4" w:space="0"/>
              <w:bottom w:val="single" w:color="000000" w:sz="4" w:space="0"/>
              <w:right w:val="single" w:color="000000" w:sz="4" w:space="0"/>
            </w:tcBorders>
            <w:vAlign w:val="center"/>
          </w:tcPr>
          <w:p w14:paraId="6234303B">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防火门</w:t>
            </w:r>
          </w:p>
        </w:tc>
        <w:tc>
          <w:tcPr>
            <w:tcW w:w="4470" w:type="dxa"/>
            <w:tcBorders>
              <w:top w:val="single" w:color="000000" w:sz="4" w:space="0"/>
              <w:left w:val="single" w:color="000000" w:sz="4" w:space="0"/>
              <w:bottom w:val="single" w:color="000000" w:sz="4" w:space="0"/>
              <w:right w:val="single" w:color="000000" w:sz="4" w:space="0"/>
            </w:tcBorders>
            <w:vAlign w:val="center"/>
          </w:tcPr>
          <w:p w14:paraId="3576AA0B">
            <w:pPr>
              <w:pStyle w:val="16"/>
              <w:rPr>
                <w:rFonts w:hint="eastAsia" w:ascii="宋体" w:hAnsi="宋体" w:eastAsia="宋体" w:cs="宋体"/>
                <w:b w:val="0"/>
                <w:bCs/>
                <w:sz w:val="21"/>
                <w:szCs w:val="21"/>
              </w:rPr>
            </w:pPr>
            <w:r>
              <w:rPr>
                <w:rFonts w:hint="eastAsia" w:ascii="宋体" w:hAnsi="宋体" w:eastAsia="宋体" w:cs="宋体"/>
                <w:b w:val="0"/>
                <w:bCs/>
                <w:sz w:val="21"/>
                <w:szCs w:val="21"/>
              </w:rPr>
              <w:t>澳博森、黄河、万通或同档次及以上品牌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1F996A38">
            <w:pPr>
              <w:snapToGrid w:val="0"/>
              <w:jc w:val="center"/>
              <w:rPr>
                <w:rFonts w:hint="eastAsia" w:ascii="宋体" w:hAnsi="宋体" w:eastAsia="宋体" w:cs="宋体"/>
                <w:sz w:val="21"/>
                <w:szCs w:val="21"/>
              </w:rPr>
            </w:pPr>
          </w:p>
        </w:tc>
      </w:tr>
      <w:tr w14:paraId="6AC97C00">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40CFA718">
            <w:pPr>
              <w:snapToGrid w:val="0"/>
              <w:jc w:val="center"/>
              <w:rPr>
                <w:rFonts w:hint="eastAsia" w:ascii="宋体" w:hAnsi="宋体" w:eastAsia="宋体" w:cs="宋体"/>
                <w:sz w:val="21"/>
                <w:szCs w:val="21"/>
              </w:rPr>
            </w:pPr>
            <w:r>
              <w:rPr>
                <w:rFonts w:hint="eastAsia" w:ascii="宋体" w:hAnsi="宋体" w:eastAsia="宋体" w:cs="宋体"/>
                <w:sz w:val="21"/>
                <w:szCs w:val="21"/>
              </w:rPr>
              <w:t>16</w:t>
            </w:r>
          </w:p>
        </w:tc>
        <w:tc>
          <w:tcPr>
            <w:tcW w:w="0" w:type="auto"/>
            <w:tcBorders>
              <w:top w:val="single" w:color="000000" w:sz="4" w:space="0"/>
              <w:left w:val="single" w:color="000000" w:sz="4" w:space="0"/>
              <w:bottom w:val="single" w:color="000000" w:sz="4" w:space="0"/>
              <w:right w:val="single" w:color="000000" w:sz="4" w:space="0"/>
            </w:tcBorders>
            <w:vAlign w:val="center"/>
          </w:tcPr>
          <w:p w14:paraId="794A0D85">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型材（含断桥铝合金）</w:t>
            </w:r>
          </w:p>
        </w:tc>
        <w:tc>
          <w:tcPr>
            <w:tcW w:w="4470" w:type="dxa"/>
            <w:tcBorders>
              <w:top w:val="single" w:color="000000" w:sz="4" w:space="0"/>
              <w:left w:val="single" w:color="000000" w:sz="4" w:space="0"/>
              <w:bottom w:val="single" w:color="000000" w:sz="4" w:space="0"/>
              <w:right w:val="single" w:color="000000" w:sz="4" w:space="0"/>
            </w:tcBorders>
            <w:vAlign w:val="center"/>
          </w:tcPr>
          <w:p w14:paraId="254DD60F">
            <w:pPr>
              <w:pStyle w:val="16"/>
              <w:rPr>
                <w:rFonts w:hint="eastAsia" w:ascii="宋体" w:hAnsi="宋体" w:eastAsia="宋体" w:cs="宋体"/>
                <w:b w:val="0"/>
                <w:bCs/>
                <w:sz w:val="21"/>
                <w:szCs w:val="21"/>
              </w:rPr>
            </w:pPr>
            <w:r>
              <w:rPr>
                <w:rFonts w:hint="eastAsia" w:ascii="宋体" w:hAnsi="宋体" w:eastAsia="宋体" w:cs="宋体"/>
                <w:b w:val="0"/>
                <w:bCs/>
                <w:sz w:val="21"/>
                <w:szCs w:val="21"/>
              </w:rPr>
              <w:t>兴发、亚铝、西飞、高科或同档次及以上品牌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72ACD08C">
            <w:pPr>
              <w:snapToGrid w:val="0"/>
              <w:jc w:val="center"/>
              <w:rPr>
                <w:rFonts w:hint="eastAsia" w:ascii="宋体" w:hAnsi="宋体" w:eastAsia="宋体" w:cs="宋体"/>
                <w:sz w:val="21"/>
                <w:szCs w:val="21"/>
              </w:rPr>
            </w:pPr>
          </w:p>
        </w:tc>
      </w:tr>
      <w:tr w14:paraId="093AA94F">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4EA6F0A1">
            <w:pPr>
              <w:snapToGrid w:val="0"/>
              <w:jc w:val="center"/>
              <w:rPr>
                <w:rFonts w:hint="eastAsia" w:ascii="宋体" w:hAnsi="宋体" w:eastAsia="宋体" w:cs="宋体"/>
                <w:sz w:val="21"/>
                <w:szCs w:val="21"/>
              </w:rPr>
            </w:pPr>
            <w:r>
              <w:rPr>
                <w:rFonts w:hint="eastAsia" w:ascii="宋体" w:hAnsi="宋体" w:eastAsia="宋体" w:cs="宋体"/>
                <w:sz w:val="21"/>
                <w:szCs w:val="21"/>
              </w:rPr>
              <w:t>17</w:t>
            </w:r>
          </w:p>
        </w:tc>
        <w:tc>
          <w:tcPr>
            <w:tcW w:w="0" w:type="auto"/>
            <w:tcBorders>
              <w:top w:val="single" w:color="000000" w:sz="4" w:space="0"/>
              <w:left w:val="single" w:color="000000" w:sz="4" w:space="0"/>
              <w:bottom w:val="single" w:color="000000" w:sz="4" w:space="0"/>
              <w:right w:val="single" w:color="000000" w:sz="4" w:space="0"/>
            </w:tcBorders>
            <w:vAlign w:val="center"/>
          </w:tcPr>
          <w:p w14:paraId="756A283A">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玻璃</w:t>
            </w:r>
          </w:p>
        </w:tc>
        <w:tc>
          <w:tcPr>
            <w:tcW w:w="4470" w:type="dxa"/>
            <w:tcBorders>
              <w:top w:val="single" w:color="000000" w:sz="4" w:space="0"/>
              <w:left w:val="single" w:color="000000" w:sz="4" w:space="0"/>
              <w:bottom w:val="single" w:color="000000" w:sz="4" w:space="0"/>
              <w:right w:val="single" w:color="000000" w:sz="4" w:space="0"/>
            </w:tcBorders>
            <w:vAlign w:val="center"/>
          </w:tcPr>
          <w:p w14:paraId="54BB555F">
            <w:pPr>
              <w:pStyle w:val="16"/>
              <w:rPr>
                <w:rFonts w:hint="eastAsia" w:ascii="宋体" w:hAnsi="宋体" w:eastAsia="宋体" w:cs="宋体"/>
                <w:b w:val="0"/>
                <w:bCs/>
                <w:sz w:val="21"/>
                <w:szCs w:val="21"/>
              </w:rPr>
            </w:pPr>
            <w:r>
              <w:rPr>
                <w:rFonts w:hint="eastAsia" w:ascii="宋体" w:hAnsi="宋体" w:eastAsia="宋体" w:cs="宋体"/>
                <w:b w:val="0"/>
                <w:bCs/>
                <w:sz w:val="21"/>
                <w:szCs w:val="21"/>
              </w:rPr>
              <w:t>洛玻、蓝星、台玻或同档次及以上品牌</w:t>
            </w:r>
          </w:p>
          <w:p w14:paraId="7C10CC1D">
            <w:pPr>
              <w:snapToGrid w:val="0"/>
              <w:jc w:val="center"/>
              <w:rPr>
                <w:rFonts w:hint="eastAsia" w:ascii="宋体" w:hAnsi="宋体" w:eastAsia="宋体" w:cs="宋体"/>
                <w:b w:val="0"/>
                <w:bCs/>
                <w:sz w:val="21"/>
                <w:szCs w:val="21"/>
              </w:rPr>
            </w:pPr>
          </w:p>
        </w:tc>
        <w:tc>
          <w:tcPr>
            <w:tcW w:w="817" w:type="dxa"/>
            <w:tcBorders>
              <w:top w:val="single" w:color="000000" w:sz="4" w:space="0"/>
              <w:left w:val="single" w:color="000000" w:sz="4" w:space="0"/>
              <w:bottom w:val="single" w:color="000000" w:sz="4" w:space="0"/>
              <w:right w:val="single" w:color="000000" w:sz="4" w:space="0"/>
            </w:tcBorders>
            <w:vAlign w:val="center"/>
          </w:tcPr>
          <w:p w14:paraId="1068380B">
            <w:pPr>
              <w:snapToGrid w:val="0"/>
              <w:jc w:val="center"/>
              <w:rPr>
                <w:rFonts w:hint="eastAsia" w:ascii="宋体" w:hAnsi="宋体" w:eastAsia="宋体" w:cs="宋体"/>
                <w:sz w:val="21"/>
                <w:szCs w:val="21"/>
              </w:rPr>
            </w:pPr>
          </w:p>
        </w:tc>
      </w:tr>
      <w:tr w14:paraId="08BAA13A">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2A7DEEBA">
            <w:pPr>
              <w:snapToGrid w:val="0"/>
              <w:jc w:val="center"/>
              <w:rPr>
                <w:rFonts w:hint="eastAsia" w:ascii="宋体" w:hAnsi="宋体" w:eastAsia="宋体" w:cs="宋体"/>
                <w:sz w:val="21"/>
                <w:szCs w:val="21"/>
              </w:rPr>
            </w:pPr>
            <w:r>
              <w:rPr>
                <w:rFonts w:hint="eastAsia" w:ascii="宋体" w:hAnsi="宋体" w:eastAsia="宋体" w:cs="宋体"/>
                <w:sz w:val="21"/>
                <w:szCs w:val="21"/>
              </w:rPr>
              <w:t>18</w:t>
            </w:r>
          </w:p>
        </w:tc>
        <w:tc>
          <w:tcPr>
            <w:tcW w:w="0" w:type="auto"/>
            <w:tcBorders>
              <w:top w:val="single" w:color="000000" w:sz="4" w:space="0"/>
              <w:left w:val="single" w:color="000000" w:sz="4" w:space="0"/>
              <w:bottom w:val="single" w:color="000000" w:sz="4" w:space="0"/>
              <w:right w:val="single" w:color="000000" w:sz="4" w:space="0"/>
            </w:tcBorders>
            <w:vAlign w:val="center"/>
          </w:tcPr>
          <w:p w14:paraId="3C3C23CC">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五金配件</w:t>
            </w:r>
          </w:p>
        </w:tc>
        <w:tc>
          <w:tcPr>
            <w:tcW w:w="4470" w:type="dxa"/>
            <w:tcBorders>
              <w:top w:val="single" w:color="000000" w:sz="4" w:space="0"/>
              <w:left w:val="single" w:color="000000" w:sz="4" w:space="0"/>
              <w:bottom w:val="single" w:color="000000" w:sz="4" w:space="0"/>
              <w:right w:val="single" w:color="000000" w:sz="4" w:space="0"/>
            </w:tcBorders>
            <w:vAlign w:val="center"/>
          </w:tcPr>
          <w:p w14:paraId="42239AA7">
            <w:pPr>
              <w:pStyle w:val="16"/>
              <w:rPr>
                <w:rFonts w:hint="eastAsia" w:ascii="宋体" w:hAnsi="宋体" w:eastAsia="宋体" w:cs="宋体"/>
                <w:b w:val="0"/>
                <w:bCs/>
                <w:sz w:val="21"/>
                <w:szCs w:val="21"/>
              </w:rPr>
            </w:pPr>
            <w:r>
              <w:rPr>
                <w:rFonts w:hint="eastAsia" w:ascii="宋体" w:hAnsi="宋体" w:eastAsia="宋体" w:cs="宋体"/>
                <w:b w:val="0"/>
                <w:bCs/>
                <w:sz w:val="21"/>
                <w:szCs w:val="21"/>
              </w:rPr>
              <w:t>坚朗、施耐德、诺托或同档次及以上品牌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37CB2E43">
            <w:pPr>
              <w:snapToGrid w:val="0"/>
              <w:jc w:val="center"/>
              <w:rPr>
                <w:rFonts w:hint="eastAsia" w:ascii="宋体" w:hAnsi="宋体" w:eastAsia="宋体" w:cs="宋体"/>
                <w:sz w:val="21"/>
                <w:szCs w:val="21"/>
              </w:rPr>
            </w:pPr>
          </w:p>
        </w:tc>
      </w:tr>
      <w:tr w14:paraId="786D74AF">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7AC7DC39">
            <w:pPr>
              <w:snapToGrid w:val="0"/>
              <w:jc w:val="center"/>
              <w:rPr>
                <w:rFonts w:hint="eastAsia" w:ascii="宋体" w:hAnsi="宋体" w:eastAsia="宋体" w:cs="宋体"/>
                <w:sz w:val="21"/>
                <w:szCs w:val="21"/>
              </w:rPr>
            </w:pPr>
            <w:r>
              <w:rPr>
                <w:rFonts w:hint="eastAsia" w:ascii="宋体" w:hAnsi="宋体" w:eastAsia="宋体" w:cs="宋体"/>
                <w:sz w:val="21"/>
                <w:szCs w:val="21"/>
              </w:rPr>
              <w:t>19</w:t>
            </w:r>
          </w:p>
        </w:tc>
        <w:tc>
          <w:tcPr>
            <w:tcW w:w="0" w:type="auto"/>
            <w:tcBorders>
              <w:top w:val="single" w:color="000000" w:sz="4" w:space="0"/>
              <w:left w:val="single" w:color="000000" w:sz="4" w:space="0"/>
              <w:bottom w:val="single" w:color="000000" w:sz="4" w:space="0"/>
              <w:right w:val="single" w:color="000000" w:sz="4" w:space="0"/>
            </w:tcBorders>
            <w:vAlign w:val="center"/>
          </w:tcPr>
          <w:p w14:paraId="605872B6">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防水卷材</w:t>
            </w:r>
          </w:p>
        </w:tc>
        <w:tc>
          <w:tcPr>
            <w:tcW w:w="4470" w:type="dxa"/>
            <w:tcBorders>
              <w:top w:val="single" w:color="000000" w:sz="4" w:space="0"/>
              <w:left w:val="single" w:color="000000" w:sz="4" w:space="0"/>
              <w:bottom w:val="single" w:color="000000" w:sz="4" w:space="0"/>
              <w:right w:val="single" w:color="000000" w:sz="4" w:space="0"/>
            </w:tcBorders>
            <w:vAlign w:val="center"/>
          </w:tcPr>
          <w:p w14:paraId="16E72AAB">
            <w:pPr>
              <w:pStyle w:val="16"/>
              <w:rPr>
                <w:rFonts w:hint="eastAsia" w:ascii="宋体" w:hAnsi="宋体" w:eastAsia="宋体" w:cs="宋体"/>
                <w:b w:val="0"/>
                <w:bCs/>
                <w:sz w:val="21"/>
                <w:szCs w:val="21"/>
              </w:rPr>
            </w:pPr>
            <w:r>
              <w:rPr>
                <w:rFonts w:hint="eastAsia" w:ascii="宋体" w:hAnsi="宋体" w:eastAsia="宋体" w:cs="宋体"/>
                <w:b w:val="0"/>
                <w:bCs/>
                <w:sz w:val="21"/>
                <w:szCs w:val="21"/>
              </w:rPr>
              <w:t>东方雨虹、大禹、西牛皮或同档次及以上品牌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7086A4CE">
            <w:pPr>
              <w:snapToGrid w:val="0"/>
              <w:jc w:val="center"/>
              <w:rPr>
                <w:rFonts w:hint="eastAsia" w:ascii="宋体" w:hAnsi="宋体" w:eastAsia="宋体" w:cs="宋体"/>
                <w:sz w:val="21"/>
                <w:szCs w:val="21"/>
              </w:rPr>
            </w:pPr>
          </w:p>
        </w:tc>
      </w:tr>
      <w:tr w14:paraId="38ADB4C7">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1A225589">
            <w:pPr>
              <w:snapToGrid w:val="0"/>
              <w:jc w:val="center"/>
              <w:rPr>
                <w:rFonts w:hint="eastAsia" w:ascii="宋体" w:hAnsi="宋体" w:eastAsia="宋体" w:cs="宋体"/>
                <w:sz w:val="21"/>
                <w:szCs w:val="21"/>
              </w:rPr>
            </w:pPr>
            <w:r>
              <w:rPr>
                <w:rFonts w:hint="eastAsia" w:ascii="宋体" w:hAnsi="宋体" w:eastAsia="宋体" w:cs="宋体"/>
                <w:sz w:val="21"/>
                <w:szCs w:val="21"/>
              </w:rPr>
              <w:t>20</w:t>
            </w:r>
          </w:p>
        </w:tc>
        <w:tc>
          <w:tcPr>
            <w:tcW w:w="0" w:type="auto"/>
            <w:tcBorders>
              <w:top w:val="single" w:color="000000" w:sz="4" w:space="0"/>
              <w:left w:val="single" w:color="000000" w:sz="4" w:space="0"/>
              <w:bottom w:val="single" w:color="000000" w:sz="4" w:space="0"/>
              <w:right w:val="single" w:color="000000" w:sz="4" w:space="0"/>
            </w:tcBorders>
            <w:vAlign w:val="center"/>
          </w:tcPr>
          <w:p w14:paraId="32383B44">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保温板</w:t>
            </w:r>
          </w:p>
        </w:tc>
        <w:tc>
          <w:tcPr>
            <w:tcW w:w="4470" w:type="dxa"/>
            <w:tcBorders>
              <w:top w:val="single" w:color="000000" w:sz="4" w:space="0"/>
              <w:left w:val="single" w:color="000000" w:sz="4" w:space="0"/>
              <w:bottom w:val="single" w:color="000000" w:sz="4" w:space="0"/>
              <w:right w:val="single" w:color="000000" w:sz="4" w:space="0"/>
            </w:tcBorders>
            <w:vAlign w:val="center"/>
          </w:tcPr>
          <w:p w14:paraId="2B3E21B6">
            <w:pPr>
              <w:pStyle w:val="16"/>
              <w:rPr>
                <w:rFonts w:hint="eastAsia" w:ascii="宋体" w:hAnsi="宋体" w:eastAsia="宋体" w:cs="宋体"/>
                <w:b w:val="0"/>
                <w:bCs/>
                <w:sz w:val="21"/>
                <w:szCs w:val="21"/>
              </w:rPr>
            </w:pPr>
            <w:r>
              <w:rPr>
                <w:rFonts w:hint="eastAsia" w:ascii="宋体" w:hAnsi="宋体" w:eastAsia="宋体" w:cs="宋体"/>
                <w:b w:val="0"/>
                <w:bCs/>
                <w:sz w:val="21"/>
                <w:szCs w:val="21"/>
              </w:rPr>
              <w:t>三秦合力、雅士特、龙牌或同档次及以上品牌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549D7C13">
            <w:pPr>
              <w:snapToGrid w:val="0"/>
              <w:jc w:val="center"/>
              <w:rPr>
                <w:rFonts w:hint="eastAsia" w:ascii="宋体" w:hAnsi="宋体" w:eastAsia="宋体" w:cs="宋体"/>
                <w:sz w:val="21"/>
                <w:szCs w:val="21"/>
              </w:rPr>
            </w:pPr>
          </w:p>
        </w:tc>
      </w:tr>
      <w:tr w14:paraId="344C5059">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7AFD01E4">
            <w:pPr>
              <w:snapToGrid w:val="0"/>
              <w:jc w:val="center"/>
              <w:rPr>
                <w:rFonts w:hint="eastAsia" w:ascii="宋体" w:hAnsi="宋体" w:eastAsia="宋体" w:cs="宋体"/>
                <w:sz w:val="21"/>
                <w:szCs w:val="21"/>
              </w:rPr>
            </w:pPr>
            <w:r>
              <w:rPr>
                <w:rFonts w:hint="eastAsia" w:ascii="宋体" w:hAnsi="宋体" w:eastAsia="宋体" w:cs="宋体"/>
                <w:sz w:val="21"/>
                <w:szCs w:val="21"/>
              </w:rPr>
              <w:t>21</w:t>
            </w:r>
          </w:p>
        </w:tc>
        <w:tc>
          <w:tcPr>
            <w:tcW w:w="0" w:type="auto"/>
            <w:tcBorders>
              <w:top w:val="single" w:color="000000" w:sz="4" w:space="0"/>
              <w:left w:val="single" w:color="000000" w:sz="4" w:space="0"/>
              <w:bottom w:val="single" w:color="000000" w:sz="4" w:space="0"/>
              <w:right w:val="single" w:color="000000" w:sz="4" w:space="0"/>
            </w:tcBorders>
            <w:vAlign w:val="center"/>
          </w:tcPr>
          <w:p w14:paraId="573E9298">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内外墙涂料、乳胶漆</w:t>
            </w:r>
          </w:p>
        </w:tc>
        <w:tc>
          <w:tcPr>
            <w:tcW w:w="4470" w:type="dxa"/>
            <w:tcBorders>
              <w:top w:val="single" w:color="000000" w:sz="4" w:space="0"/>
              <w:left w:val="single" w:color="000000" w:sz="4" w:space="0"/>
              <w:bottom w:val="single" w:color="000000" w:sz="4" w:space="0"/>
              <w:right w:val="single" w:color="000000" w:sz="4" w:space="0"/>
            </w:tcBorders>
            <w:vAlign w:val="center"/>
          </w:tcPr>
          <w:p w14:paraId="3296B5EA">
            <w:pPr>
              <w:pStyle w:val="16"/>
              <w:rPr>
                <w:rFonts w:hint="eastAsia" w:ascii="宋体" w:hAnsi="宋体" w:eastAsia="宋体" w:cs="宋体"/>
                <w:b w:val="0"/>
                <w:bCs/>
                <w:sz w:val="21"/>
                <w:szCs w:val="21"/>
              </w:rPr>
            </w:pPr>
            <w:r>
              <w:rPr>
                <w:rFonts w:hint="eastAsia" w:ascii="宋体" w:hAnsi="宋体" w:eastAsia="宋体" w:cs="宋体"/>
                <w:b w:val="0"/>
                <w:bCs/>
                <w:sz w:val="21"/>
                <w:szCs w:val="21"/>
              </w:rPr>
              <w:t>立邦、三棵树、多乐士、华润、嘉宝莉或同档次及以上品牌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631B95BD">
            <w:pPr>
              <w:snapToGrid w:val="0"/>
              <w:jc w:val="center"/>
              <w:rPr>
                <w:rFonts w:hint="eastAsia" w:ascii="宋体" w:hAnsi="宋体" w:eastAsia="宋体" w:cs="宋体"/>
                <w:sz w:val="21"/>
                <w:szCs w:val="21"/>
              </w:rPr>
            </w:pPr>
          </w:p>
        </w:tc>
      </w:tr>
      <w:tr w14:paraId="2B60ECB6">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6EB33441">
            <w:pPr>
              <w:snapToGrid w:val="0"/>
              <w:jc w:val="center"/>
              <w:rPr>
                <w:rFonts w:hint="eastAsia" w:ascii="宋体" w:hAnsi="宋体" w:eastAsia="宋体" w:cs="宋体"/>
                <w:sz w:val="21"/>
                <w:szCs w:val="21"/>
              </w:rPr>
            </w:pPr>
            <w:r>
              <w:rPr>
                <w:rFonts w:hint="eastAsia" w:ascii="宋体" w:hAnsi="宋体" w:eastAsia="宋体" w:cs="宋体"/>
                <w:sz w:val="21"/>
                <w:szCs w:val="21"/>
              </w:rPr>
              <w:t>22</w:t>
            </w:r>
          </w:p>
        </w:tc>
        <w:tc>
          <w:tcPr>
            <w:tcW w:w="0" w:type="auto"/>
            <w:tcBorders>
              <w:top w:val="single" w:color="000000" w:sz="4" w:space="0"/>
              <w:left w:val="single" w:color="000000" w:sz="4" w:space="0"/>
              <w:bottom w:val="single" w:color="000000" w:sz="4" w:space="0"/>
              <w:right w:val="single" w:color="000000" w:sz="4" w:space="0"/>
            </w:tcBorders>
            <w:vAlign w:val="center"/>
          </w:tcPr>
          <w:p w14:paraId="6BE89E37">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铝扣板</w:t>
            </w:r>
          </w:p>
        </w:tc>
        <w:tc>
          <w:tcPr>
            <w:tcW w:w="4470" w:type="dxa"/>
            <w:tcBorders>
              <w:top w:val="single" w:color="000000" w:sz="4" w:space="0"/>
              <w:left w:val="single" w:color="000000" w:sz="4" w:space="0"/>
              <w:bottom w:val="single" w:color="000000" w:sz="4" w:space="0"/>
              <w:right w:val="single" w:color="000000" w:sz="4" w:space="0"/>
            </w:tcBorders>
            <w:vAlign w:val="center"/>
          </w:tcPr>
          <w:p w14:paraId="0A0226D2">
            <w:pPr>
              <w:pStyle w:val="16"/>
              <w:rPr>
                <w:rFonts w:hint="eastAsia" w:ascii="宋体" w:hAnsi="宋体" w:eastAsia="宋体" w:cs="宋体"/>
                <w:b w:val="0"/>
                <w:bCs/>
                <w:sz w:val="21"/>
                <w:szCs w:val="21"/>
              </w:rPr>
            </w:pPr>
            <w:r>
              <w:rPr>
                <w:rFonts w:hint="eastAsia" w:ascii="宋体" w:hAnsi="宋体" w:eastAsia="宋体" w:cs="宋体"/>
                <w:b w:val="0"/>
                <w:bCs/>
                <w:sz w:val="21"/>
                <w:szCs w:val="21"/>
              </w:rPr>
              <w:t>欧斯龙、欧陆、龙牌或同档次及以上品牌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71B0EC2A">
            <w:pPr>
              <w:snapToGrid w:val="0"/>
              <w:jc w:val="center"/>
              <w:rPr>
                <w:rFonts w:hint="eastAsia" w:ascii="宋体" w:hAnsi="宋体" w:eastAsia="宋体" w:cs="宋体"/>
                <w:sz w:val="21"/>
                <w:szCs w:val="21"/>
              </w:rPr>
            </w:pPr>
          </w:p>
        </w:tc>
      </w:tr>
      <w:tr w14:paraId="6684E662">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4065D9DC">
            <w:pPr>
              <w:snapToGrid w:val="0"/>
              <w:jc w:val="center"/>
              <w:rPr>
                <w:rFonts w:hint="eastAsia" w:ascii="宋体" w:hAnsi="宋体" w:eastAsia="宋体" w:cs="宋体"/>
                <w:sz w:val="21"/>
                <w:szCs w:val="21"/>
              </w:rPr>
            </w:pPr>
            <w:r>
              <w:rPr>
                <w:rFonts w:hint="eastAsia" w:ascii="宋体" w:hAnsi="宋体" w:eastAsia="宋体" w:cs="宋体"/>
                <w:sz w:val="21"/>
                <w:szCs w:val="21"/>
              </w:rPr>
              <w:t>23</w:t>
            </w:r>
          </w:p>
        </w:tc>
        <w:tc>
          <w:tcPr>
            <w:tcW w:w="0" w:type="auto"/>
            <w:tcBorders>
              <w:top w:val="single" w:color="000000" w:sz="4" w:space="0"/>
              <w:left w:val="single" w:color="000000" w:sz="4" w:space="0"/>
              <w:bottom w:val="single" w:color="000000" w:sz="4" w:space="0"/>
              <w:right w:val="single" w:color="000000" w:sz="4" w:space="0"/>
            </w:tcBorders>
            <w:vAlign w:val="center"/>
          </w:tcPr>
          <w:p w14:paraId="1E639B4D">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铝格栅</w:t>
            </w:r>
          </w:p>
        </w:tc>
        <w:tc>
          <w:tcPr>
            <w:tcW w:w="4470" w:type="dxa"/>
            <w:tcBorders>
              <w:top w:val="single" w:color="000000" w:sz="4" w:space="0"/>
              <w:left w:val="single" w:color="000000" w:sz="4" w:space="0"/>
              <w:bottom w:val="single" w:color="000000" w:sz="4" w:space="0"/>
              <w:right w:val="single" w:color="000000" w:sz="4" w:space="0"/>
            </w:tcBorders>
            <w:vAlign w:val="center"/>
          </w:tcPr>
          <w:p w14:paraId="6B2C0850">
            <w:pPr>
              <w:pStyle w:val="16"/>
              <w:rPr>
                <w:rFonts w:hint="eastAsia" w:ascii="宋体" w:hAnsi="宋体" w:eastAsia="宋体" w:cs="宋体"/>
                <w:b w:val="0"/>
                <w:bCs/>
                <w:sz w:val="21"/>
                <w:szCs w:val="21"/>
              </w:rPr>
            </w:pPr>
            <w:r>
              <w:rPr>
                <w:rFonts w:hint="eastAsia" w:ascii="宋体" w:hAnsi="宋体" w:eastAsia="宋体" w:cs="宋体"/>
                <w:b w:val="0"/>
                <w:bCs/>
                <w:sz w:val="21"/>
                <w:szCs w:val="21"/>
              </w:rPr>
              <w:t>朗能、金霸、欧司朗或同档次及以上品牌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169829B6">
            <w:pPr>
              <w:snapToGrid w:val="0"/>
              <w:jc w:val="center"/>
              <w:rPr>
                <w:rFonts w:hint="eastAsia" w:ascii="宋体" w:hAnsi="宋体" w:eastAsia="宋体" w:cs="宋体"/>
                <w:sz w:val="21"/>
                <w:szCs w:val="21"/>
              </w:rPr>
            </w:pPr>
          </w:p>
        </w:tc>
      </w:tr>
      <w:tr w14:paraId="26B0D5FF">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13873172">
            <w:pPr>
              <w:snapToGrid w:val="0"/>
              <w:jc w:val="center"/>
              <w:rPr>
                <w:rFonts w:hint="eastAsia" w:ascii="宋体" w:hAnsi="宋体" w:eastAsia="宋体" w:cs="宋体"/>
                <w:sz w:val="21"/>
                <w:szCs w:val="21"/>
              </w:rPr>
            </w:pPr>
            <w:r>
              <w:rPr>
                <w:rFonts w:hint="eastAsia" w:ascii="宋体" w:hAnsi="宋体" w:eastAsia="宋体" w:cs="宋体"/>
                <w:sz w:val="21"/>
                <w:szCs w:val="21"/>
              </w:rPr>
              <w:t>24</w:t>
            </w:r>
          </w:p>
        </w:tc>
        <w:tc>
          <w:tcPr>
            <w:tcW w:w="0" w:type="auto"/>
            <w:tcBorders>
              <w:top w:val="single" w:color="000000" w:sz="4" w:space="0"/>
              <w:left w:val="single" w:color="000000" w:sz="4" w:space="0"/>
              <w:bottom w:val="single" w:color="000000" w:sz="4" w:space="0"/>
              <w:right w:val="single" w:color="000000" w:sz="4" w:space="0"/>
            </w:tcBorders>
            <w:vAlign w:val="center"/>
          </w:tcPr>
          <w:p w14:paraId="44808ED9">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墙地瓷砖</w:t>
            </w:r>
          </w:p>
        </w:tc>
        <w:tc>
          <w:tcPr>
            <w:tcW w:w="4470" w:type="dxa"/>
            <w:tcBorders>
              <w:top w:val="single" w:color="000000" w:sz="4" w:space="0"/>
              <w:left w:val="single" w:color="000000" w:sz="4" w:space="0"/>
              <w:bottom w:val="single" w:color="000000" w:sz="4" w:space="0"/>
              <w:right w:val="single" w:color="000000" w:sz="4" w:space="0"/>
            </w:tcBorders>
            <w:vAlign w:val="center"/>
          </w:tcPr>
          <w:p w14:paraId="42DF1BA4">
            <w:pPr>
              <w:pStyle w:val="16"/>
              <w:rPr>
                <w:rFonts w:hint="eastAsia" w:ascii="宋体" w:hAnsi="宋体" w:eastAsia="宋体" w:cs="宋体"/>
                <w:b w:val="0"/>
                <w:bCs/>
                <w:sz w:val="21"/>
                <w:szCs w:val="21"/>
              </w:rPr>
            </w:pPr>
            <w:r>
              <w:rPr>
                <w:rFonts w:hint="eastAsia" w:ascii="宋体" w:hAnsi="宋体" w:eastAsia="宋体" w:cs="宋体"/>
                <w:b w:val="0"/>
                <w:bCs/>
                <w:sz w:val="21"/>
                <w:szCs w:val="21"/>
              </w:rPr>
              <w:t>宏宇、冠珠、东鹏、鹰牌或同档次及以上品牌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58B4AF2A">
            <w:pPr>
              <w:snapToGrid w:val="0"/>
              <w:jc w:val="center"/>
              <w:rPr>
                <w:rFonts w:hint="eastAsia" w:ascii="宋体" w:hAnsi="宋体" w:eastAsia="宋体" w:cs="宋体"/>
                <w:sz w:val="21"/>
                <w:szCs w:val="21"/>
              </w:rPr>
            </w:pPr>
          </w:p>
        </w:tc>
      </w:tr>
      <w:tr w14:paraId="478907D2">
        <w:tblPrEx>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vAlign w:val="center"/>
          </w:tcPr>
          <w:p w14:paraId="690E5527">
            <w:pPr>
              <w:snapToGrid w:val="0"/>
              <w:jc w:val="center"/>
              <w:rPr>
                <w:rFonts w:hint="eastAsia" w:ascii="宋体" w:hAnsi="宋体" w:eastAsia="宋体" w:cs="宋体"/>
                <w:sz w:val="21"/>
                <w:szCs w:val="21"/>
              </w:rPr>
            </w:pPr>
            <w:r>
              <w:rPr>
                <w:rFonts w:hint="eastAsia" w:ascii="宋体" w:hAnsi="宋体" w:eastAsia="宋体" w:cs="宋体"/>
                <w:sz w:val="21"/>
                <w:szCs w:val="21"/>
              </w:rPr>
              <w:t>25</w:t>
            </w:r>
          </w:p>
        </w:tc>
        <w:tc>
          <w:tcPr>
            <w:tcW w:w="0" w:type="auto"/>
            <w:tcBorders>
              <w:top w:val="single" w:color="000000" w:sz="4" w:space="0"/>
              <w:left w:val="single" w:color="000000" w:sz="4" w:space="0"/>
              <w:bottom w:val="single" w:color="000000" w:sz="4" w:space="0"/>
              <w:right w:val="single" w:color="000000" w:sz="4" w:space="0"/>
            </w:tcBorders>
            <w:vAlign w:val="center"/>
          </w:tcPr>
          <w:p w14:paraId="65E597E0">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岩棉保温</w:t>
            </w:r>
          </w:p>
        </w:tc>
        <w:tc>
          <w:tcPr>
            <w:tcW w:w="4470" w:type="dxa"/>
            <w:tcBorders>
              <w:top w:val="single" w:color="000000" w:sz="4" w:space="0"/>
              <w:left w:val="single" w:color="000000" w:sz="4" w:space="0"/>
              <w:bottom w:val="single" w:color="000000" w:sz="4" w:space="0"/>
              <w:right w:val="single" w:color="000000" w:sz="4" w:space="0"/>
            </w:tcBorders>
            <w:vAlign w:val="center"/>
          </w:tcPr>
          <w:p w14:paraId="25EA227E">
            <w:pPr>
              <w:pStyle w:val="16"/>
              <w:rPr>
                <w:rFonts w:hint="eastAsia" w:ascii="宋体" w:hAnsi="宋体" w:eastAsia="宋体" w:cs="宋体"/>
                <w:b w:val="0"/>
                <w:bCs/>
                <w:sz w:val="21"/>
                <w:szCs w:val="21"/>
              </w:rPr>
            </w:pPr>
            <w:r>
              <w:rPr>
                <w:rFonts w:hint="eastAsia" w:ascii="宋体" w:hAnsi="宋体" w:eastAsia="宋体" w:cs="宋体"/>
                <w:b w:val="0"/>
                <w:bCs/>
                <w:sz w:val="21"/>
                <w:szCs w:val="21"/>
              </w:rPr>
              <w:t>樱花、金隅、秦恒、合力、洛科威或同档次及以上品牌</w:t>
            </w:r>
          </w:p>
        </w:tc>
        <w:tc>
          <w:tcPr>
            <w:tcW w:w="817" w:type="dxa"/>
            <w:tcBorders>
              <w:top w:val="single" w:color="000000" w:sz="4" w:space="0"/>
              <w:left w:val="single" w:color="000000" w:sz="4" w:space="0"/>
              <w:bottom w:val="single" w:color="000000" w:sz="4" w:space="0"/>
              <w:right w:val="single" w:color="000000" w:sz="4" w:space="0"/>
            </w:tcBorders>
            <w:vAlign w:val="center"/>
          </w:tcPr>
          <w:p w14:paraId="0CFC5657">
            <w:pPr>
              <w:snapToGrid w:val="0"/>
              <w:jc w:val="center"/>
              <w:rPr>
                <w:rFonts w:hint="eastAsia" w:ascii="宋体" w:hAnsi="宋体" w:eastAsia="宋体" w:cs="宋体"/>
                <w:sz w:val="21"/>
                <w:szCs w:val="21"/>
              </w:rPr>
            </w:pPr>
          </w:p>
        </w:tc>
      </w:tr>
      <w:tr w14:paraId="2F04AB6F">
        <w:tblPrEx>
          <w:tblCellMar>
            <w:top w:w="0" w:type="dxa"/>
            <w:left w:w="108" w:type="dxa"/>
            <w:bottom w:w="0" w:type="dxa"/>
            <w:right w:w="108" w:type="dxa"/>
          </w:tblCellMar>
        </w:tblPrEx>
        <w:tc>
          <w:tcPr>
            <w:tcW w:w="0" w:type="auto"/>
            <w:tcBorders>
              <w:top w:val="single" w:color="000000" w:sz="4" w:space="0"/>
              <w:left w:val="single" w:color="000000" w:sz="4" w:space="0"/>
              <w:bottom w:val="single" w:color="auto" w:sz="4" w:space="0"/>
              <w:right w:val="single" w:color="000000" w:sz="4" w:space="0"/>
            </w:tcBorders>
            <w:vAlign w:val="center"/>
          </w:tcPr>
          <w:p w14:paraId="6EFDD050">
            <w:pPr>
              <w:snapToGrid w:val="0"/>
              <w:jc w:val="center"/>
              <w:rPr>
                <w:rFonts w:hint="eastAsia" w:ascii="宋体" w:hAnsi="宋体" w:eastAsia="宋体" w:cs="宋体"/>
                <w:sz w:val="21"/>
                <w:szCs w:val="21"/>
              </w:rPr>
            </w:pPr>
            <w:r>
              <w:rPr>
                <w:rFonts w:hint="eastAsia" w:ascii="宋体" w:hAnsi="宋体" w:eastAsia="宋体" w:cs="宋体"/>
                <w:sz w:val="21"/>
                <w:szCs w:val="21"/>
              </w:rPr>
              <w:t>26</w:t>
            </w:r>
          </w:p>
        </w:tc>
        <w:tc>
          <w:tcPr>
            <w:tcW w:w="0" w:type="auto"/>
            <w:tcBorders>
              <w:top w:val="single" w:color="000000" w:sz="4" w:space="0"/>
              <w:left w:val="single" w:color="000000" w:sz="4" w:space="0"/>
              <w:bottom w:val="single" w:color="auto" w:sz="4" w:space="0"/>
              <w:right w:val="single" w:color="000000" w:sz="4" w:space="0"/>
            </w:tcBorders>
            <w:vAlign w:val="center"/>
          </w:tcPr>
          <w:p w14:paraId="1A2D82C7">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矿棉板</w:t>
            </w:r>
          </w:p>
        </w:tc>
        <w:tc>
          <w:tcPr>
            <w:tcW w:w="4470" w:type="dxa"/>
            <w:tcBorders>
              <w:top w:val="single" w:color="000000" w:sz="4" w:space="0"/>
              <w:left w:val="single" w:color="000000" w:sz="4" w:space="0"/>
              <w:bottom w:val="single" w:color="auto" w:sz="4" w:space="0"/>
              <w:right w:val="single" w:color="000000" w:sz="4" w:space="0"/>
            </w:tcBorders>
            <w:vAlign w:val="center"/>
          </w:tcPr>
          <w:p w14:paraId="2B6F6EF1">
            <w:pPr>
              <w:pStyle w:val="16"/>
              <w:rPr>
                <w:rFonts w:hint="eastAsia" w:ascii="宋体" w:hAnsi="宋体" w:eastAsia="宋体" w:cs="宋体"/>
                <w:b w:val="0"/>
                <w:bCs/>
                <w:sz w:val="21"/>
                <w:szCs w:val="21"/>
              </w:rPr>
            </w:pPr>
            <w:r>
              <w:rPr>
                <w:rFonts w:hint="eastAsia" w:ascii="宋体" w:hAnsi="宋体" w:eastAsia="宋体" w:cs="宋体"/>
                <w:b w:val="0"/>
                <w:bCs/>
                <w:sz w:val="21"/>
                <w:szCs w:val="21"/>
              </w:rPr>
              <w:t>泰山、龙牌、星牌、阿姆斯壮、可耐福或同档次及以上品牌</w:t>
            </w:r>
          </w:p>
        </w:tc>
        <w:tc>
          <w:tcPr>
            <w:tcW w:w="817" w:type="dxa"/>
            <w:tcBorders>
              <w:top w:val="single" w:color="000000" w:sz="4" w:space="0"/>
              <w:left w:val="single" w:color="000000" w:sz="4" w:space="0"/>
              <w:bottom w:val="single" w:color="auto" w:sz="4" w:space="0"/>
              <w:right w:val="single" w:color="000000" w:sz="4" w:space="0"/>
            </w:tcBorders>
            <w:vAlign w:val="center"/>
          </w:tcPr>
          <w:p w14:paraId="7020A271">
            <w:pPr>
              <w:snapToGrid w:val="0"/>
              <w:jc w:val="center"/>
              <w:rPr>
                <w:rFonts w:hint="eastAsia" w:ascii="宋体" w:hAnsi="宋体" w:eastAsia="宋体" w:cs="宋体"/>
                <w:sz w:val="21"/>
                <w:szCs w:val="21"/>
              </w:rPr>
            </w:pPr>
          </w:p>
        </w:tc>
      </w:tr>
      <w:tr w14:paraId="2B68D4CA">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613187D4">
            <w:pPr>
              <w:snapToGrid w:val="0"/>
              <w:jc w:val="center"/>
              <w:rPr>
                <w:rFonts w:hint="eastAsia" w:ascii="宋体" w:hAnsi="宋体" w:eastAsia="宋体" w:cs="宋体"/>
                <w:sz w:val="21"/>
                <w:szCs w:val="21"/>
              </w:rPr>
            </w:pPr>
            <w:r>
              <w:rPr>
                <w:rFonts w:hint="eastAsia" w:ascii="宋体" w:hAnsi="宋体" w:eastAsia="宋体" w:cs="宋体"/>
                <w:sz w:val="21"/>
                <w:szCs w:val="21"/>
              </w:rPr>
              <w:t>27</w:t>
            </w:r>
          </w:p>
        </w:tc>
        <w:tc>
          <w:tcPr>
            <w:tcW w:w="0" w:type="auto"/>
            <w:tcBorders>
              <w:top w:val="single" w:color="auto" w:sz="4" w:space="0"/>
              <w:left w:val="single" w:color="auto" w:sz="4" w:space="0"/>
              <w:bottom w:val="single" w:color="auto" w:sz="4" w:space="0"/>
              <w:right w:val="single" w:color="auto" w:sz="4" w:space="0"/>
            </w:tcBorders>
            <w:vAlign w:val="center"/>
          </w:tcPr>
          <w:p w14:paraId="4434CD4C">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木饰面板</w:t>
            </w:r>
          </w:p>
        </w:tc>
        <w:tc>
          <w:tcPr>
            <w:tcW w:w="4470" w:type="dxa"/>
            <w:tcBorders>
              <w:top w:val="single" w:color="auto" w:sz="4" w:space="0"/>
              <w:left w:val="single" w:color="auto" w:sz="4" w:space="0"/>
              <w:bottom w:val="single" w:color="auto" w:sz="4" w:space="0"/>
              <w:right w:val="single" w:color="auto" w:sz="4" w:space="0"/>
            </w:tcBorders>
            <w:vAlign w:val="center"/>
          </w:tcPr>
          <w:p w14:paraId="562EDF69">
            <w:pPr>
              <w:pStyle w:val="16"/>
              <w:rPr>
                <w:rFonts w:hint="eastAsia" w:ascii="宋体" w:hAnsi="宋体" w:eastAsia="宋体" w:cs="宋体"/>
                <w:b w:val="0"/>
                <w:bCs/>
                <w:sz w:val="21"/>
                <w:szCs w:val="21"/>
              </w:rPr>
            </w:pPr>
            <w:r>
              <w:rPr>
                <w:rFonts w:hint="eastAsia" w:ascii="宋体" w:hAnsi="宋体" w:eastAsia="宋体" w:cs="宋体"/>
                <w:b w:val="0"/>
                <w:bCs/>
                <w:sz w:val="21"/>
                <w:szCs w:val="21"/>
              </w:rPr>
              <w:t>兔宝宝、莫干山、千年舟或同档次及以上品牌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06133F1C">
            <w:pPr>
              <w:snapToGrid w:val="0"/>
              <w:jc w:val="center"/>
              <w:rPr>
                <w:rFonts w:hint="eastAsia" w:ascii="宋体" w:hAnsi="宋体" w:eastAsia="宋体" w:cs="宋体"/>
                <w:sz w:val="21"/>
                <w:szCs w:val="21"/>
              </w:rPr>
            </w:pPr>
          </w:p>
        </w:tc>
      </w:tr>
      <w:tr w14:paraId="46886AE2">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14:paraId="6FB80506">
            <w:pPr>
              <w:snapToGrid w:val="0"/>
              <w:jc w:val="center"/>
              <w:rPr>
                <w:rFonts w:hint="eastAsia" w:ascii="宋体" w:hAnsi="宋体" w:eastAsia="宋体" w:cs="宋体"/>
                <w:sz w:val="21"/>
                <w:szCs w:val="21"/>
              </w:rPr>
            </w:pPr>
            <w:r>
              <w:rPr>
                <w:rFonts w:hint="eastAsia" w:ascii="宋体" w:hAnsi="宋体" w:eastAsia="宋体" w:cs="宋体"/>
                <w:sz w:val="21"/>
                <w:szCs w:val="21"/>
              </w:rPr>
              <w:t>28</w:t>
            </w:r>
          </w:p>
        </w:tc>
        <w:tc>
          <w:tcPr>
            <w:tcW w:w="0" w:type="auto"/>
            <w:tcBorders>
              <w:top w:val="single" w:color="auto" w:sz="4" w:space="0"/>
              <w:left w:val="single" w:color="auto" w:sz="4" w:space="0"/>
              <w:bottom w:val="single" w:color="auto" w:sz="4" w:space="0"/>
              <w:right w:val="single" w:color="auto" w:sz="4" w:space="0"/>
            </w:tcBorders>
            <w:vAlign w:val="center"/>
          </w:tcPr>
          <w:p w14:paraId="01A5A780">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复合木地板</w:t>
            </w:r>
          </w:p>
        </w:tc>
        <w:tc>
          <w:tcPr>
            <w:tcW w:w="4470" w:type="dxa"/>
            <w:tcBorders>
              <w:top w:val="single" w:color="auto" w:sz="4" w:space="0"/>
              <w:left w:val="single" w:color="auto" w:sz="4" w:space="0"/>
              <w:bottom w:val="single" w:color="auto" w:sz="4" w:space="0"/>
              <w:right w:val="single" w:color="auto" w:sz="4" w:space="0"/>
            </w:tcBorders>
            <w:vAlign w:val="center"/>
          </w:tcPr>
          <w:p w14:paraId="5DEB4FA9">
            <w:pPr>
              <w:pStyle w:val="16"/>
              <w:rPr>
                <w:rFonts w:hint="eastAsia" w:ascii="宋体" w:hAnsi="宋体" w:eastAsia="宋体" w:cs="宋体"/>
                <w:b w:val="0"/>
                <w:bCs/>
                <w:sz w:val="21"/>
                <w:szCs w:val="21"/>
              </w:rPr>
            </w:pPr>
            <w:r>
              <w:rPr>
                <w:rFonts w:hint="eastAsia" w:ascii="宋体" w:hAnsi="宋体" w:eastAsia="宋体" w:cs="宋体"/>
                <w:b w:val="0"/>
                <w:bCs/>
                <w:sz w:val="21"/>
                <w:szCs w:val="21"/>
              </w:rPr>
              <w:t>圣象、大自然、德尔、扬子或同档次及以上品牌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632611DE">
            <w:pPr>
              <w:snapToGrid w:val="0"/>
              <w:jc w:val="center"/>
              <w:rPr>
                <w:rFonts w:hint="eastAsia" w:ascii="宋体" w:hAnsi="宋体" w:eastAsia="宋体" w:cs="宋体"/>
                <w:sz w:val="21"/>
                <w:szCs w:val="21"/>
              </w:rPr>
            </w:pPr>
          </w:p>
        </w:tc>
      </w:tr>
      <w:tr w14:paraId="4C4F2587">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7A7935E4">
            <w:pPr>
              <w:snapToGrid w:val="0"/>
              <w:jc w:val="center"/>
              <w:rPr>
                <w:rFonts w:hint="eastAsia" w:ascii="宋体" w:hAnsi="宋体" w:eastAsia="宋体" w:cs="宋体"/>
                <w:sz w:val="21"/>
                <w:szCs w:val="21"/>
              </w:rPr>
            </w:pPr>
            <w:r>
              <w:rPr>
                <w:rFonts w:hint="eastAsia" w:ascii="宋体" w:hAnsi="宋体" w:eastAsia="宋体" w:cs="宋体"/>
                <w:sz w:val="21"/>
                <w:szCs w:val="21"/>
              </w:rPr>
              <w:t>29</w:t>
            </w:r>
          </w:p>
        </w:tc>
        <w:tc>
          <w:tcPr>
            <w:tcW w:w="0" w:type="auto"/>
            <w:tcBorders>
              <w:top w:val="single" w:color="auto" w:sz="4" w:space="0"/>
              <w:left w:val="single" w:color="auto" w:sz="4" w:space="0"/>
              <w:bottom w:val="single" w:color="auto" w:sz="4" w:space="0"/>
              <w:right w:val="single" w:color="auto" w:sz="4" w:space="0"/>
            </w:tcBorders>
            <w:vAlign w:val="center"/>
          </w:tcPr>
          <w:p w14:paraId="17156B36">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真石漆</w:t>
            </w:r>
          </w:p>
        </w:tc>
        <w:tc>
          <w:tcPr>
            <w:tcW w:w="4470" w:type="dxa"/>
            <w:tcBorders>
              <w:top w:val="single" w:color="auto" w:sz="4" w:space="0"/>
              <w:left w:val="single" w:color="auto" w:sz="4" w:space="0"/>
              <w:bottom w:val="single" w:color="auto" w:sz="4" w:space="0"/>
              <w:right w:val="single" w:color="auto" w:sz="4" w:space="0"/>
            </w:tcBorders>
            <w:vAlign w:val="center"/>
          </w:tcPr>
          <w:p w14:paraId="094C7AB2">
            <w:pPr>
              <w:pStyle w:val="16"/>
              <w:rPr>
                <w:rFonts w:hint="eastAsia" w:ascii="宋体" w:hAnsi="宋体" w:eastAsia="宋体" w:cs="宋体"/>
                <w:b w:val="0"/>
                <w:bCs/>
                <w:sz w:val="21"/>
                <w:szCs w:val="21"/>
              </w:rPr>
            </w:pPr>
            <w:r>
              <w:rPr>
                <w:rFonts w:hint="eastAsia" w:ascii="宋体" w:hAnsi="宋体" w:eastAsia="宋体" w:cs="宋体"/>
                <w:b w:val="0"/>
                <w:bCs/>
                <w:sz w:val="21"/>
                <w:szCs w:val="21"/>
              </w:rPr>
              <w:t>多乐士、立邦、汇丽或同档次及以上品牌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4B59BA5B">
            <w:pPr>
              <w:snapToGrid w:val="0"/>
              <w:jc w:val="center"/>
              <w:rPr>
                <w:rFonts w:hint="eastAsia" w:ascii="宋体" w:hAnsi="宋体" w:eastAsia="宋体" w:cs="宋体"/>
                <w:sz w:val="21"/>
                <w:szCs w:val="21"/>
              </w:rPr>
            </w:pPr>
          </w:p>
        </w:tc>
      </w:tr>
      <w:tr w14:paraId="5091F870">
        <w:tblPrEx>
          <w:tblCellMar>
            <w:top w:w="0" w:type="dxa"/>
            <w:left w:w="108" w:type="dxa"/>
            <w:bottom w:w="0" w:type="dxa"/>
            <w:right w:w="108" w:type="dxa"/>
          </w:tblCellMar>
        </w:tblPrEx>
        <w:tc>
          <w:tcPr>
            <w:tcW w:w="0" w:type="auto"/>
            <w:gridSpan w:val="4"/>
            <w:tcBorders>
              <w:top w:val="single" w:color="auto" w:sz="4" w:space="0"/>
              <w:left w:val="single" w:color="auto" w:sz="4" w:space="0"/>
              <w:bottom w:val="single" w:color="auto" w:sz="4" w:space="0"/>
              <w:right w:val="single" w:color="auto" w:sz="4" w:space="0"/>
            </w:tcBorders>
            <w:vAlign w:val="center"/>
          </w:tcPr>
          <w:p w14:paraId="135F782C">
            <w:pPr>
              <w:snapToGrid w:val="0"/>
              <w:jc w:val="center"/>
              <w:rPr>
                <w:rFonts w:hint="eastAsia" w:ascii="宋体" w:hAnsi="宋体" w:eastAsia="宋体" w:cs="宋体"/>
                <w:sz w:val="21"/>
                <w:szCs w:val="21"/>
              </w:rPr>
            </w:pPr>
            <w:r>
              <w:rPr>
                <w:rFonts w:hint="eastAsia" w:ascii="宋体" w:hAnsi="宋体" w:eastAsia="宋体" w:cs="宋体"/>
                <w:b/>
                <w:sz w:val="21"/>
                <w:szCs w:val="21"/>
              </w:rPr>
              <w:t>二、安装材料</w:t>
            </w:r>
          </w:p>
        </w:tc>
      </w:tr>
      <w:tr w14:paraId="57835F0D">
        <w:tblPrEx>
          <w:tblCellMar>
            <w:top w:w="0" w:type="dxa"/>
            <w:left w:w="108" w:type="dxa"/>
            <w:bottom w:w="0" w:type="dxa"/>
            <w:right w:w="108" w:type="dxa"/>
          </w:tblCellMar>
        </w:tblPrEx>
        <w:trPr>
          <w:trHeight w:val="596" w:hRule="atLeast"/>
        </w:trPr>
        <w:tc>
          <w:tcPr>
            <w:tcW w:w="0" w:type="auto"/>
            <w:tcBorders>
              <w:top w:val="single" w:color="auto" w:sz="4" w:space="0"/>
              <w:left w:val="single" w:color="auto" w:sz="4" w:space="0"/>
              <w:bottom w:val="single" w:color="auto" w:sz="4" w:space="0"/>
              <w:right w:val="single" w:color="auto" w:sz="4" w:space="0"/>
            </w:tcBorders>
            <w:vAlign w:val="center"/>
          </w:tcPr>
          <w:p w14:paraId="0AF4D355">
            <w:pPr>
              <w:snapToGrid w:val="0"/>
              <w:jc w:val="center"/>
              <w:rPr>
                <w:rFonts w:hint="eastAsia" w:ascii="宋体" w:hAnsi="宋体" w:eastAsia="宋体" w:cs="宋体"/>
                <w:sz w:val="21"/>
                <w:szCs w:val="21"/>
              </w:rPr>
            </w:pPr>
            <w:r>
              <w:rPr>
                <w:rFonts w:hint="eastAsia" w:ascii="宋体" w:hAnsi="宋体" w:eastAsia="宋体" w:cs="宋体"/>
                <w:sz w:val="21"/>
                <w:szCs w:val="21"/>
              </w:rPr>
              <w:t>1</w:t>
            </w:r>
          </w:p>
        </w:tc>
        <w:tc>
          <w:tcPr>
            <w:tcW w:w="0" w:type="auto"/>
            <w:tcBorders>
              <w:top w:val="single" w:color="auto" w:sz="4" w:space="0"/>
              <w:left w:val="single" w:color="auto" w:sz="4" w:space="0"/>
              <w:bottom w:val="single" w:color="auto" w:sz="4" w:space="0"/>
              <w:right w:val="single" w:color="auto" w:sz="4" w:space="0"/>
            </w:tcBorders>
            <w:vAlign w:val="center"/>
          </w:tcPr>
          <w:p w14:paraId="6D5C13E8">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背景音乐广播</w:t>
            </w:r>
          </w:p>
        </w:tc>
        <w:tc>
          <w:tcPr>
            <w:tcW w:w="4470" w:type="dxa"/>
            <w:tcBorders>
              <w:top w:val="single" w:color="auto" w:sz="4" w:space="0"/>
              <w:left w:val="single" w:color="auto" w:sz="4" w:space="0"/>
              <w:bottom w:val="single" w:color="auto" w:sz="4" w:space="0"/>
              <w:right w:val="single" w:color="auto" w:sz="4" w:space="0"/>
            </w:tcBorders>
            <w:vAlign w:val="center"/>
          </w:tcPr>
          <w:p w14:paraId="0B171B8F">
            <w:pPr>
              <w:pStyle w:val="16"/>
              <w:jc w:val="both"/>
              <w:rPr>
                <w:rFonts w:hint="eastAsia" w:ascii="宋体" w:hAnsi="宋体" w:eastAsia="宋体" w:cs="宋体"/>
                <w:b w:val="0"/>
                <w:bCs/>
                <w:sz w:val="21"/>
                <w:szCs w:val="21"/>
              </w:rPr>
            </w:pPr>
            <w:r>
              <w:rPr>
                <w:rFonts w:hint="eastAsia" w:ascii="宋体" w:hAnsi="宋体" w:eastAsia="宋体" w:cs="宋体"/>
                <w:b w:val="0"/>
                <w:bCs/>
                <w:sz w:val="21"/>
                <w:szCs w:val="21"/>
              </w:rPr>
              <w:t>迪士普、ZABKZ或同档次及以上品牌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139F0B5B">
            <w:pPr>
              <w:snapToGrid w:val="0"/>
              <w:jc w:val="center"/>
              <w:rPr>
                <w:rFonts w:hint="eastAsia" w:ascii="宋体" w:hAnsi="宋体" w:eastAsia="宋体" w:cs="宋体"/>
                <w:sz w:val="21"/>
                <w:szCs w:val="21"/>
              </w:rPr>
            </w:pPr>
          </w:p>
        </w:tc>
      </w:tr>
      <w:tr w14:paraId="66B33D32">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65E25584">
            <w:pPr>
              <w:snapToGrid w:val="0"/>
              <w:jc w:val="center"/>
              <w:rPr>
                <w:rFonts w:hint="eastAsia" w:ascii="宋体" w:hAnsi="宋体" w:eastAsia="宋体" w:cs="宋体"/>
                <w:sz w:val="21"/>
                <w:szCs w:val="21"/>
              </w:rPr>
            </w:pPr>
            <w:r>
              <w:rPr>
                <w:rFonts w:hint="eastAsia" w:ascii="宋体" w:hAnsi="宋体" w:eastAsia="宋体" w:cs="宋体"/>
                <w:sz w:val="21"/>
                <w:szCs w:val="21"/>
              </w:rPr>
              <w:t>2</w:t>
            </w:r>
          </w:p>
        </w:tc>
        <w:tc>
          <w:tcPr>
            <w:tcW w:w="0" w:type="auto"/>
            <w:tcBorders>
              <w:top w:val="single" w:color="auto" w:sz="4" w:space="0"/>
              <w:left w:val="single" w:color="auto" w:sz="4" w:space="0"/>
              <w:bottom w:val="single" w:color="auto" w:sz="4" w:space="0"/>
              <w:right w:val="single" w:color="auto" w:sz="4" w:space="0"/>
            </w:tcBorders>
            <w:vAlign w:val="center"/>
          </w:tcPr>
          <w:p w14:paraId="36F79EBE">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照明灯具（含室外路灯）</w:t>
            </w:r>
          </w:p>
        </w:tc>
        <w:tc>
          <w:tcPr>
            <w:tcW w:w="4470" w:type="dxa"/>
            <w:tcBorders>
              <w:top w:val="single" w:color="auto" w:sz="4" w:space="0"/>
              <w:left w:val="single" w:color="auto" w:sz="4" w:space="0"/>
              <w:bottom w:val="single" w:color="auto" w:sz="4" w:space="0"/>
              <w:right w:val="single" w:color="auto" w:sz="4" w:space="0"/>
            </w:tcBorders>
            <w:vAlign w:val="center"/>
          </w:tcPr>
          <w:p w14:paraId="5491A72E">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飞利浦、欧普、雷士、欧司朗或同档次及以上品牌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72C7667A">
            <w:pPr>
              <w:snapToGrid w:val="0"/>
              <w:jc w:val="center"/>
              <w:rPr>
                <w:rFonts w:hint="eastAsia" w:ascii="宋体" w:hAnsi="宋体" w:eastAsia="宋体" w:cs="宋体"/>
                <w:sz w:val="21"/>
                <w:szCs w:val="21"/>
              </w:rPr>
            </w:pPr>
            <w:r>
              <w:rPr>
                <w:rFonts w:hint="eastAsia" w:ascii="宋体" w:hAnsi="宋体" w:eastAsia="宋体" w:cs="宋体"/>
                <w:sz w:val="21"/>
                <w:szCs w:val="21"/>
                <w:highlight w:val="none"/>
                <w:lang w:val="en-US" w:eastAsia="zh-CN"/>
                <w14:ligatures w14:val="none"/>
              </w:rPr>
              <w:t>★</w:t>
            </w:r>
          </w:p>
        </w:tc>
      </w:tr>
      <w:tr w14:paraId="69A0D7EB">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053F9024">
            <w:pPr>
              <w:snapToGrid w:val="0"/>
              <w:jc w:val="center"/>
              <w:rPr>
                <w:rFonts w:hint="eastAsia" w:ascii="宋体" w:hAnsi="宋体" w:eastAsia="宋体" w:cs="宋体"/>
                <w:sz w:val="21"/>
                <w:szCs w:val="21"/>
              </w:rPr>
            </w:pPr>
            <w:r>
              <w:rPr>
                <w:rFonts w:hint="eastAsia" w:ascii="宋体" w:hAnsi="宋体" w:eastAsia="宋体" w:cs="宋体"/>
                <w:sz w:val="21"/>
                <w:szCs w:val="21"/>
              </w:rPr>
              <w:t>3</w:t>
            </w:r>
          </w:p>
        </w:tc>
        <w:tc>
          <w:tcPr>
            <w:tcW w:w="0" w:type="auto"/>
            <w:tcBorders>
              <w:top w:val="single" w:color="auto" w:sz="4" w:space="0"/>
              <w:left w:val="single" w:color="auto" w:sz="4" w:space="0"/>
              <w:bottom w:val="single" w:color="auto" w:sz="4" w:space="0"/>
              <w:right w:val="single" w:color="auto" w:sz="4" w:space="0"/>
            </w:tcBorders>
            <w:vAlign w:val="center"/>
          </w:tcPr>
          <w:p w14:paraId="72897AE9">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应急照明灯具</w:t>
            </w:r>
          </w:p>
        </w:tc>
        <w:tc>
          <w:tcPr>
            <w:tcW w:w="4470" w:type="dxa"/>
            <w:tcBorders>
              <w:top w:val="single" w:color="auto" w:sz="4" w:space="0"/>
              <w:left w:val="single" w:color="auto" w:sz="4" w:space="0"/>
              <w:bottom w:val="single" w:color="auto" w:sz="4" w:space="0"/>
              <w:right w:val="single" w:color="auto" w:sz="4" w:space="0"/>
            </w:tcBorders>
            <w:vAlign w:val="center"/>
          </w:tcPr>
          <w:p w14:paraId="1F3D2193">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fldChar w:fldCharType="begin"/>
            </w:r>
            <w:r>
              <w:rPr>
                <w:rFonts w:hint="eastAsia" w:ascii="宋体" w:hAnsi="宋体" w:eastAsia="宋体" w:cs="宋体"/>
                <w:b w:val="0"/>
                <w:bCs/>
                <w:sz w:val="21"/>
                <w:szCs w:val="21"/>
              </w:rPr>
              <w:instrText xml:space="preserve"> HYPERLINK "http://sx.119cp.cn/WebPage/CompanyInfo.aspx?loginid=A96B79D70631A8FD" \o "http://sx.119cp.cn/WebPage/CompanyInfo.aspx?loginid=A96B79D70631A8FD" </w:instrText>
            </w:r>
            <w:r>
              <w:rPr>
                <w:rFonts w:hint="eastAsia" w:ascii="宋体" w:hAnsi="宋体" w:eastAsia="宋体" w:cs="宋体"/>
                <w:b w:val="0"/>
                <w:bCs/>
                <w:sz w:val="21"/>
                <w:szCs w:val="21"/>
              </w:rPr>
              <w:fldChar w:fldCharType="separate"/>
            </w:r>
            <w:r>
              <w:rPr>
                <w:rFonts w:hint="eastAsia" w:ascii="宋体" w:hAnsi="宋体" w:eastAsia="宋体" w:cs="宋体"/>
                <w:b w:val="0"/>
                <w:bCs/>
                <w:sz w:val="21"/>
                <w:szCs w:val="21"/>
              </w:rPr>
              <w:t>水力消防科技、敏华、全安</w:t>
            </w:r>
            <w:r>
              <w:rPr>
                <w:rFonts w:hint="eastAsia" w:ascii="宋体" w:hAnsi="宋体" w:eastAsia="宋体" w:cs="宋体"/>
                <w:b w:val="0"/>
                <w:bCs/>
                <w:sz w:val="21"/>
                <w:szCs w:val="21"/>
              </w:rPr>
              <w:fldChar w:fldCharType="end"/>
            </w:r>
            <w:r>
              <w:rPr>
                <w:rFonts w:hint="eastAsia" w:ascii="宋体" w:hAnsi="宋体" w:eastAsia="宋体" w:cs="宋体"/>
                <w:b w:val="0"/>
                <w:bCs/>
                <w:sz w:val="21"/>
                <w:szCs w:val="21"/>
              </w:rPr>
              <w:t>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073DD1A8">
            <w:pPr>
              <w:snapToGrid w:val="0"/>
              <w:jc w:val="center"/>
              <w:rPr>
                <w:rFonts w:hint="eastAsia" w:ascii="宋体" w:hAnsi="宋体" w:eastAsia="宋体" w:cs="宋体"/>
                <w:sz w:val="21"/>
                <w:szCs w:val="21"/>
              </w:rPr>
            </w:pPr>
          </w:p>
        </w:tc>
      </w:tr>
      <w:tr w14:paraId="3E08025A">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5A8853EC">
            <w:pPr>
              <w:snapToGrid w:val="0"/>
              <w:jc w:val="center"/>
              <w:rPr>
                <w:rFonts w:hint="eastAsia" w:ascii="宋体" w:hAnsi="宋体" w:eastAsia="宋体" w:cs="宋体"/>
                <w:sz w:val="21"/>
                <w:szCs w:val="21"/>
              </w:rPr>
            </w:pPr>
            <w:r>
              <w:rPr>
                <w:rFonts w:hint="eastAsia" w:ascii="宋体" w:hAnsi="宋体" w:eastAsia="宋体" w:cs="宋体"/>
                <w:sz w:val="21"/>
                <w:szCs w:val="21"/>
              </w:rPr>
              <w:t>4</w:t>
            </w:r>
          </w:p>
        </w:tc>
        <w:tc>
          <w:tcPr>
            <w:tcW w:w="0" w:type="auto"/>
            <w:tcBorders>
              <w:top w:val="single" w:color="auto" w:sz="4" w:space="0"/>
              <w:left w:val="single" w:color="auto" w:sz="4" w:space="0"/>
              <w:bottom w:val="single" w:color="auto" w:sz="4" w:space="0"/>
              <w:right w:val="single" w:color="auto" w:sz="4" w:space="0"/>
            </w:tcBorders>
            <w:vAlign w:val="center"/>
          </w:tcPr>
          <w:p w14:paraId="3B0860BF">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配电柜电器元器件</w:t>
            </w:r>
          </w:p>
        </w:tc>
        <w:tc>
          <w:tcPr>
            <w:tcW w:w="4470" w:type="dxa"/>
            <w:tcBorders>
              <w:top w:val="single" w:color="auto" w:sz="4" w:space="0"/>
              <w:left w:val="single" w:color="auto" w:sz="4" w:space="0"/>
              <w:bottom w:val="single" w:color="auto" w:sz="4" w:space="0"/>
              <w:right w:val="single" w:color="auto" w:sz="4" w:space="0"/>
            </w:tcBorders>
            <w:vAlign w:val="center"/>
          </w:tcPr>
          <w:p w14:paraId="4B745B53">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施耐德、ABB、西门子、溯高美、艾默生或同档次及以上品牌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49E0541F">
            <w:pPr>
              <w:snapToGrid w:val="0"/>
              <w:jc w:val="center"/>
              <w:rPr>
                <w:rFonts w:hint="eastAsia" w:ascii="宋体" w:hAnsi="宋体" w:eastAsia="宋体" w:cs="宋体"/>
                <w:sz w:val="21"/>
                <w:szCs w:val="21"/>
              </w:rPr>
            </w:pPr>
            <w:r>
              <w:rPr>
                <w:rFonts w:hint="eastAsia" w:ascii="宋体" w:hAnsi="宋体" w:eastAsia="宋体" w:cs="宋体"/>
                <w:b/>
                <w:sz w:val="21"/>
                <w:szCs w:val="21"/>
              </w:rPr>
              <w:t>所有元器件均适用</w:t>
            </w:r>
          </w:p>
        </w:tc>
      </w:tr>
      <w:tr w14:paraId="0EC10ED5">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544F0F69">
            <w:pPr>
              <w:snapToGrid w:val="0"/>
              <w:jc w:val="center"/>
              <w:rPr>
                <w:rFonts w:hint="eastAsia" w:ascii="宋体" w:hAnsi="宋体" w:eastAsia="宋体" w:cs="宋体"/>
                <w:sz w:val="21"/>
                <w:szCs w:val="21"/>
              </w:rPr>
            </w:pPr>
            <w:r>
              <w:rPr>
                <w:rFonts w:hint="eastAsia" w:ascii="宋体" w:hAnsi="宋体" w:eastAsia="宋体" w:cs="宋体"/>
                <w:sz w:val="21"/>
                <w:szCs w:val="21"/>
              </w:rPr>
              <w:t>5</w:t>
            </w:r>
          </w:p>
        </w:tc>
        <w:tc>
          <w:tcPr>
            <w:tcW w:w="0" w:type="auto"/>
            <w:tcBorders>
              <w:top w:val="single" w:color="auto" w:sz="4" w:space="0"/>
              <w:left w:val="single" w:color="auto" w:sz="4" w:space="0"/>
              <w:bottom w:val="single" w:color="auto" w:sz="4" w:space="0"/>
              <w:right w:val="single" w:color="auto" w:sz="4" w:space="0"/>
            </w:tcBorders>
            <w:vAlign w:val="center"/>
          </w:tcPr>
          <w:p w14:paraId="780F0B61">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开关、插座</w:t>
            </w:r>
          </w:p>
        </w:tc>
        <w:tc>
          <w:tcPr>
            <w:tcW w:w="4470" w:type="dxa"/>
            <w:tcBorders>
              <w:top w:val="single" w:color="auto" w:sz="4" w:space="0"/>
              <w:left w:val="single" w:color="auto" w:sz="4" w:space="0"/>
              <w:bottom w:val="single" w:color="auto" w:sz="4" w:space="0"/>
              <w:right w:val="single" w:color="auto" w:sz="4" w:space="0"/>
            </w:tcBorders>
            <w:vAlign w:val="center"/>
          </w:tcPr>
          <w:p w14:paraId="74347914">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飞利浦、施耐德、西门子、TCL、罗格朗、西蒙、鸿雁或同档次及以上品牌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1C15E363">
            <w:pPr>
              <w:snapToGrid w:val="0"/>
              <w:jc w:val="center"/>
              <w:rPr>
                <w:rFonts w:hint="eastAsia" w:ascii="宋体" w:hAnsi="宋体" w:eastAsia="宋体" w:cs="宋体"/>
                <w:sz w:val="21"/>
                <w:szCs w:val="21"/>
              </w:rPr>
            </w:pPr>
          </w:p>
        </w:tc>
      </w:tr>
      <w:tr w14:paraId="0CDC87A8">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1F62A7E5">
            <w:pPr>
              <w:snapToGrid w:val="0"/>
              <w:jc w:val="center"/>
              <w:rPr>
                <w:rFonts w:hint="eastAsia" w:ascii="宋体" w:hAnsi="宋体" w:eastAsia="宋体" w:cs="宋体"/>
                <w:sz w:val="21"/>
                <w:szCs w:val="21"/>
              </w:rPr>
            </w:pPr>
            <w:r>
              <w:rPr>
                <w:rFonts w:hint="eastAsia" w:ascii="宋体" w:hAnsi="宋体" w:eastAsia="宋体" w:cs="宋体"/>
                <w:sz w:val="21"/>
                <w:szCs w:val="21"/>
              </w:rPr>
              <w:t>6</w:t>
            </w:r>
          </w:p>
        </w:tc>
        <w:tc>
          <w:tcPr>
            <w:tcW w:w="0" w:type="auto"/>
            <w:tcBorders>
              <w:top w:val="single" w:color="auto" w:sz="4" w:space="0"/>
              <w:left w:val="single" w:color="auto" w:sz="4" w:space="0"/>
              <w:bottom w:val="single" w:color="auto" w:sz="4" w:space="0"/>
              <w:right w:val="single" w:color="auto" w:sz="4" w:space="0"/>
            </w:tcBorders>
            <w:vAlign w:val="center"/>
          </w:tcPr>
          <w:p w14:paraId="26CFBD9B">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电线、电缆</w:t>
            </w:r>
          </w:p>
        </w:tc>
        <w:tc>
          <w:tcPr>
            <w:tcW w:w="4470" w:type="dxa"/>
            <w:tcBorders>
              <w:top w:val="single" w:color="auto" w:sz="4" w:space="0"/>
              <w:left w:val="single" w:color="auto" w:sz="4" w:space="0"/>
              <w:bottom w:val="single" w:color="auto" w:sz="4" w:space="0"/>
              <w:right w:val="single" w:color="auto" w:sz="4" w:space="0"/>
            </w:tcBorders>
            <w:vAlign w:val="center"/>
          </w:tcPr>
          <w:p w14:paraId="0AA9ACBE">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上上、远东、正泰或同档次及以上品牌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2A54A8CD">
            <w:pPr>
              <w:snapToGrid w:val="0"/>
              <w:jc w:val="center"/>
              <w:rPr>
                <w:rFonts w:hint="eastAsia" w:ascii="宋体" w:hAnsi="宋体" w:eastAsia="宋体" w:cs="宋体"/>
                <w:sz w:val="21"/>
                <w:szCs w:val="21"/>
              </w:rPr>
            </w:pPr>
          </w:p>
        </w:tc>
      </w:tr>
      <w:tr w14:paraId="1144F5AA">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034D00F1">
            <w:pPr>
              <w:snapToGrid w:val="0"/>
              <w:jc w:val="center"/>
              <w:rPr>
                <w:rFonts w:hint="eastAsia" w:ascii="宋体" w:hAnsi="宋体" w:eastAsia="宋体" w:cs="宋体"/>
                <w:sz w:val="21"/>
                <w:szCs w:val="21"/>
              </w:rPr>
            </w:pPr>
            <w:r>
              <w:rPr>
                <w:rFonts w:hint="eastAsia" w:ascii="宋体" w:hAnsi="宋体" w:eastAsia="宋体" w:cs="宋体"/>
                <w:sz w:val="21"/>
                <w:szCs w:val="21"/>
              </w:rPr>
              <w:t>7</w:t>
            </w:r>
          </w:p>
        </w:tc>
        <w:tc>
          <w:tcPr>
            <w:tcW w:w="0" w:type="auto"/>
            <w:tcBorders>
              <w:top w:val="single" w:color="auto" w:sz="4" w:space="0"/>
              <w:left w:val="single" w:color="auto" w:sz="4" w:space="0"/>
              <w:bottom w:val="single" w:color="auto" w:sz="4" w:space="0"/>
              <w:right w:val="single" w:color="auto" w:sz="4" w:space="0"/>
            </w:tcBorders>
            <w:vAlign w:val="center"/>
          </w:tcPr>
          <w:p w14:paraId="3C29C6E9">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电缆桥架</w:t>
            </w:r>
          </w:p>
        </w:tc>
        <w:tc>
          <w:tcPr>
            <w:tcW w:w="4470" w:type="dxa"/>
            <w:tcBorders>
              <w:top w:val="single" w:color="auto" w:sz="4" w:space="0"/>
              <w:left w:val="single" w:color="auto" w:sz="4" w:space="0"/>
              <w:bottom w:val="single" w:color="auto" w:sz="4" w:space="0"/>
              <w:right w:val="single" w:color="auto" w:sz="4" w:space="0"/>
            </w:tcBorders>
            <w:vAlign w:val="center"/>
          </w:tcPr>
          <w:p w14:paraId="29C0BCAE">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陕西电缆桥架、华鹏、泰丰或同档次及以上品牌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62131622">
            <w:pPr>
              <w:snapToGrid w:val="0"/>
              <w:jc w:val="center"/>
              <w:rPr>
                <w:rFonts w:hint="eastAsia" w:ascii="宋体" w:hAnsi="宋体" w:eastAsia="宋体" w:cs="宋体"/>
                <w:sz w:val="21"/>
                <w:szCs w:val="21"/>
              </w:rPr>
            </w:pPr>
          </w:p>
        </w:tc>
      </w:tr>
      <w:tr w14:paraId="5209628A">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1D913009">
            <w:pPr>
              <w:snapToGrid w:val="0"/>
              <w:jc w:val="center"/>
              <w:rPr>
                <w:rFonts w:hint="eastAsia" w:ascii="宋体" w:hAnsi="宋体" w:eastAsia="宋体" w:cs="宋体"/>
                <w:sz w:val="21"/>
                <w:szCs w:val="21"/>
              </w:rPr>
            </w:pPr>
            <w:r>
              <w:rPr>
                <w:rFonts w:hint="eastAsia" w:ascii="宋体" w:hAnsi="宋体" w:eastAsia="宋体" w:cs="宋体"/>
                <w:sz w:val="21"/>
                <w:szCs w:val="21"/>
              </w:rPr>
              <w:t>8</w:t>
            </w:r>
          </w:p>
        </w:tc>
        <w:tc>
          <w:tcPr>
            <w:tcW w:w="0" w:type="auto"/>
            <w:tcBorders>
              <w:top w:val="single" w:color="auto" w:sz="4" w:space="0"/>
              <w:left w:val="single" w:color="auto" w:sz="4" w:space="0"/>
              <w:bottom w:val="single" w:color="auto" w:sz="4" w:space="0"/>
              <w:right w:val="single" w:color="auto" w:sz="4" w:space="0"/>
            </w:tcBorders>
            <w:vAlign w:val="center"/>
          </w:tcPr>
          <w:p w14:paraId="65EC825D">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电气配管</w:t>
            </w:r>
          </w:p>
        </w:tc>
        <w:tc>
          <w:tcPr>
            <w:tcW w:w="4470" w:type="dxa"/>
            <w:tcBorders>
              <w:top w:val="single" w:color="auto" w:sz="4" w:space="0"/>
              <w:left w:val="single" w:color="auto" w:sz="4" w:space="0"/>
              <w:bottom w:val="single" w:color="auto" w:sz="4" w:space="0"/>
              <w:right w:val="single" w:color="auto" w:sz="4" w:space="0"/>
            </w:tcBorders>
            <w:vAlign w:val="center"/>
          </w:tcPr>
          <w:p w14:paraId="3D52135C">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日丰、上海保利、伟星、日泰或同档次及以上品牌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10BD87A4">
            <w:pPr>
              <w:snapToGrid w:val="0"/>
              <w:jc w:val="center"/>
              <w:rPr>
                <w:rFonts w:hint="eastAsia" w:ascii="宋体" w:hAnsi="宋体" w:eastAsia="宋体" w:cs="宋体"/>
                <w:sz w:val="21"/>
                <w:szCs w:val="21"/>
              </w:rPr>
            </w:pPr>
          </w:p>
        </w:tc>
      </w:tr>
      <w:tr w14:paraId="33A4B362">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4D16184E">
            <w:pPr>
              <w:snapToGrid w:val="0"/>
              <w:jc w:val="center"/>
              <w:rPr>
                <w:rFonts w:hint="eastAsia" w:ascii="宋体" w:hAnsi="宋体" w:eastAsia="宋体" w:cs="宋体"/>
                <w:sz w:val="21"/>
                <w:szCs w:val="21"/>
              </w:rPr>
            </w:pPr>
            <w:r>
              <w:rPr>
                <w:rFonts w:hint="eastAsia" w:ascii="宋体" w:hAnsi="宋体" w:eastAsia="宋体" w:cs="宋体"/>
                <w:sz w:val="21"/>
                <w:szCs w:val="21"/>
              </w:rPr>
              <w:t>9</w:t>
            </w:r>
          </w:p>
        </w:tc>
        <w:tc>
          <w:tcPr>
            <w:tcW w:w="0" w:type="auto"/>
            <w:tcBorders>
              <w:top w:val="single" w:color="auto" w:sz="4" w:space="0"/>
              <w:left w:val="single" w:color="auto" w:sz="4" w:space="0"/>
              <w:bottom w:val="single" w:color="auto" w:sz="4" w:space="0"/>
              <w:right w:val="single" w:color="auto" w:sz="4" w:space="0"/>
            </w:tcBorders>
            <w:vAlign w:val="center"/>
          </w:tcPr>
          <w:p w14:paraId="63AF4FCF">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监控设备</w:t>
            </w:r>
          </w:p>
        </w:tc>
        <w:tc>
          <w:tcPr>
            <w:tcW w:w="4470" w:type="dxa"/>
            <w:tcBorders>
              <w:top w:val="single" w:color="auto" w:sz="4" w:space="0"/>
              <w:left w:val="single" w:color="auto" w:sz="4" w:space="0"/>
              <w:bottom w:val="single" w:color="auto" w:sz="4" w:space="0"/>
              <w:right w:val="single" w:color="auto" w:sz="4" w:space="0"/>
            </w:tcBorders>
            <w:vAlign w:val="center"/>
          </w:tcPr>
          <w:p w14:paraId="5795B27B">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参照或相当于海康威视、大华、华为、萤石、宇视或同档次及以上品牌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24ED034F">
            <w:pPr>
              <w:snapToGrid w:val="0"/>
              <w:jc w:val="center"/>
              <w:rPr>
                <w:rFonts w:hint="eastAsia" w:ascii="宋体" w:hAnsi="宋体" w:eastAsia="宋体" w:cs="宋体"/>
                <w:sz w:val="21"/>
                <w:szCs w:val="21"/>
              </w:rPr>
            </w:pPr>
            <w:r>
              <w:rPr>
                <w:rFonts w:hint="eastAsia" w:ascii="宋体" w:hAnsi="宋体" w:eastAsia="宋体" w:cs="宋体"/>
                <w:sz w:val="21"/>
                <w:szCs w:val="21"/>
                <w:highlight w:val="none"/>
                <w:lang w:val="en-US" w:eastAsia="zh-CN"/>
                <w14:ligatures w14:val="none"/>
              </w:rPr>
              <w:t>★</w:t>
            </w:r>
          </w:p>
        </w:tc>
      </w:tr>
      <w:tr w14:paraId="45C9B9EE">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50828D98">
            <w:pPr>
              <w:snapToGrid w:val="0"/>
              <w:jc w:val="center"/>
              <w:rPr>
                <w:rFonts w:hint="eastAsia" w:ascii="宋体" w:hAnsi="宋体" w:eastAsia="宋体" w:cs="宋体"/>
                <w:sz w:val="21"/>
                <w:szCs w:val="21"/>
              </w:rPr>
            </w:pPr>
            <w:r>
              <w:rPr>
                <w:rFonts w:hint="eastAsia" w:ascii="宋体" w:hAnsi="宋体" w:eastAsia="宋体" w:cs="宋体"/>
                <w:sz w:val="21"/>
                <w:szCs w:val="21"/>
              </w:rPr>
              <w:t>10</w:t>
            </w:r>
          </w:p>
        </w:tc>
        <w:tc>
          <w:tcPr>
            <w:tcW w:w="0" w:type="auto"/>
            <w:tcBorders>
              <w:top w:val="single" w:color="auto" w:sz="4" w:space="0"/>
              <w:left w:val="single" w:color="auto" w:sz="4" w:space="0"/>
              <w:bottom w:val="single" w:color="auto" w:sz="4" w:space="0"/>
              <w:right w:val="single" w:color="auto" w:sz="4" w:space="0"/>
            </w:tcBorders>
            <w:vAlign w:val="center"/>
          </w:tcPr>
          <w:p w14:paraId="3B7ED5A3">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衬塑镀锌钢管</w:t>
            </w:r>
          </w:p>
        </w:tc>
        <w:tc>
          <w:tcPr>
            <w:tcW w:w="4470" w:type="dxa"/>
            <w:tcBorders>
              <w:top w:val="single" w:color="auto" w:sz="4" w:space="0"/>
              <w:left w:val="single" w:color="auto" w:sz="4" w:space="0"/>
              <w:bottom w:val="single" w:color="auto" w:sz="4" w:space="0"/>
              <w:right w:val="single" w:color="auto" w:sz="4" w:space="0"/>
            </w:tcBorders>
            <w:vAlign w:val="center"/>
          </w:tcPr>
          <w:p w14:paraId="0BD6AAC1">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友发、利达、华岐或同档次及以上品牌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45616E1A">
            <w:pPr>
              <w:snapToGrid w:val="0"/>
              <w:jc w:val="center"/>
              <w:rPr>
                <w:rFonts w:hint="eastAsia" w:ascii="宋体" w:hAnsi="宋体" w:eastAsia="宋体" w:cs="宋体"/>
                <w:sz w:val="21"/>
                <w:szCs w:val="21"/>
              </w:rPr>
            </w:pPr>
          </w:p>
        </w:tc>
      </w:tr>
      <w:tr w14:paraId="63A2599A">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66EEBB2C">
            <w:pPr>
              <w:snapToGrid w:val="0"/>
              <w:jc w:val="center"/>
              <w:rPr>
                <w:rFonts w:hint="eastAsia" w:ascii="宋体" w:hAnsi="宋体" w:eastAsia="宋体" w:cs="宋体"/>
                <w:sz w:val="21"/>
                <w:szCs w:val="21"/>
              </w:rPr>
            </w:pPr>
            <w:r>
              <w:rPr>
                <w:rFonts w:hint="eastAsia" w:ascii="宋体" w:hAnsi="宋体" w:eastAsia="宋体" w:cs="宋体"/>
                <w:sz w:val="21"/>
                <w:szCs w:val="21"/>
              </w:rPr>
              <w:t>11</w:t>
            </w:r>
          </w:p>
        </w:tc>
        <w:tc>
          <w:tcPr>
            <w:tcW w:w="0" w:type="auto"/>
            <w:tcBorders>
              <w:top w:val="single" w:color="auto" w:sz="4" w:space="0"/>
              <w:left w:val="single" w:color="auto" w:sz="4" w:space="0"/>
              <w:bottom w:val="single" w:color="auto" w:sz="4" w:space="0"/>
              <w:right w:val="single" w:color="auto" w:sz="4" w:space="0"/>
            </w:tcBorders>
            <w:vAlign w:val="center"/>
          </w:tcPr>
          <w:p w14:paraId="6F8F6D69">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PPR 管</w:t>
            </w:r>
          </w:p>
        </w:tc>
        <w:tc>
          <w:tcPr>
            <w:tcW w:w="4470" w:type="dxa"/>
            <w:tcBorders>
              <w:top w:val="single" w:color="auto" w:sz="4" w:space="0"/>
              <w:left w:val="single" w:color="auto" w:sz="4" w:space="0"/>
              <w:bottom w:val="single" w:color="auto" w:sz="4" w:space="0"/>
              <w:right w:val="single" w:color="auto" w:sz="4" w:space="0"/>
            </w:tcBorders>
            <w:vAlign w:val="center"/>
          </w:tcPr>
          <w:p w14:paraId="6C653A98">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联塑、中财、高科、顾地或同档次及以上品牌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0285D754">
            <w:pPr>
              <w:snapToGrid w:val="0"/>
              <w:jc w:val="center"/>
              <w:rPr>
                <w:rFonts w:hint="eastAsia" w:ascii="宋体" w:hAnsi="宋体" w:eastAsia="宋体" w:cs="宋体"/>
                <w:sz w:val="21"/>
                <w:szCs w:val="21"/>
              </w:rPr>
            </w:pPr>
          </w:p>
        </w:tc>
      </w:tr>
      <w:tr w14:paraId="774E709F">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6654499A">
            <w:pPr>
              <w:snapToGrid w:val="0"/>
              <w:jc w:val="center"/>
              <w:rPr>
                <w:rFonts w:hint="eastAsia" w:ascii="宋体" w:hAnsi="宋体" w:eastAsia="宋体" w:cs="宋体"/>
                <w:sz w:val="21"/>
                <w:szCs w:val="21"/>
              </w:rPr>
            </w:pPr>
            <w:r>
              <w:rPr>
                <w:rFonts w:hint="eastAsia" w:ascii="宋体" w:hAnsi="宋体" w:eastAsia="宋体" w:cs="宋体"/>
                <w:sz w:val="21"/>
                <w:szCs w:val="21"/>
              </w:rPr>
              <w:t>12</w:t>
            </w:r>
          </w:p>
        </w:tc>
        <w:tc>
          <w:tcPr>
            <w:tcW w:w="0" w:type="auto"/>
            <w:tcBorders>
              <w:top w:val="single" w:color="auto" w:sz="4" w:space="0"/>
              <w:left w:val="single" w:color="auto" w:sz="4" w:space="0"/>
              <w:bottom w:val="single" w:color="auto" w:sz="4" w:space="0"/>
              <w:right w:val="single" w:color="auto" w:sz="4" w:space="0"/>
            </w:tcBorders>
            <w:vAlign w:val="center"/>
          </w:tcPr>
          <w:p w14:paraId="4A9895ED">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UPVC 排水管</w:t>
            </w:r>
          </w:p>
        </w:tc>
        <w:tc>
          <w:tcPr>
            <w:tcW w:w="4470" w:type="dxa"/>
            <w:tcBorders>
              <w:top w:val="single" w:color="auto" w:sz="4" w:space="0"/>
              <w:left w:val="single" w:color="auto" w:sz="4" w:space="0"/>
              <w:bottom w:val="single" w:color="auto" w:sz="4" w:space="0"/>
              <w:right w:val="single" w:color="auto" w:sz="4" w:space="0"/>
            </w:tcBorders>
            <w:vAlign w:val="center"/>
          </w:tcPr>
          <w:p w14:paraId="5ABC7E09">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联塑、中财、高科、顾地或同档次及以上品牌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0C3C106A">
            <w:pPr>
              <w:snapToGrid w:val="0"/>
              <w:jc w:val="center"/>
              <w:rPr>
                <w:rFonts w:hint="eastAsia" w:ascii="宋体" w:hAnsi="宋体" w:eastAsia="宋体" w:cs="宋体"/>
                <w:sz w:val="21"/>
                <w:szCs w:val="21"/>
              </w:rPr>
            </w:pPr>
          </w:p>
        </w:tc>
      </w:tr>
      <w:tr w14:paraId="59D68C04">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174373DB">
            <w:pPr>
              <w:snapToGrid w:val="0"/>
              <w:jc w:val="center"/>
              <w:rPr>
                <w:rFonts w:hint="eastAsia" w:ascii="宋体" w:hAnsi="宋体" w:eastAsia="宋体" w:cs="宋体"/>
                <w:sz w:val="21"/>
                <w:szCs w:val="21"/>
              </w:rPr>
            </w:pPr>
            <w:r>
              <w:rPr>
                <w:rFonts w:hint="eastAsia" w:ascii="宋体" w:hAnsi="宋体" w:eastAsia="宋体" w:cs="宋体"/>
                <w:sz w:val="21"/>
                <w:szCs w:val="21"/>
              </w:rPr>
              <w:t>13</w:t>
            </w:r>
          </w:p>
        </w:tc>
        <w:tc>
          <w:tcPr>
            <w:tcW w:w="0" w:type="auto"/>
            <w:tcBorders>
              <w:top w:val="single" w:color="auto" w:sz="4" w:space="0"/>
              <w:left w:val="single" w:color="auto" w:sz="4" w:space="0"/>
              <w:bottom w:val="single" w:color="auto" w:sz="4" w:space="0"/>
              <w:right w:val="single" w:color="auto" w:sz="4" w:space="0"/>
            </w:tcBorders>
            <w:vAlign w:val="center"/>
          </w:tcPr>
          <w:p w14:paraId="11C06836">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卡箍管件</w:t>
            </w:r>
          </w:p>
        </w:tc>
        <w:tc>
          <w:tcPr>
            <w:tcW w:w="4470" w:type="dxa"/>
            <w:tcBorders>
              <w:top w:val="single" w:color="auto" w:sz="4" w:space="0"/>
              <w:left w:val="single" w:color="auto" w:sz="4" w:space="0"/>
              <w:bottom w:val="single" w:color="auto" w:sz="4" w:space="0"/>
              <w:right w:val="single" w:color="auto" w:sz="4" w:space="0"/>
            </w:tcBorders>
            <w:vAlign w:val="center"/>
          </w:tcPr>
          <w:p w14:paraId="1D6A9651">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联塑、新兴、铸管、日丰或同档次及以上品牌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1D156BD5">
            <w:pPr>
              <w:snapToGrid w:val="0"/>
              <w:jc w:val="center"/>
              <w:rPr>
                <w:rFonts w:hint="eastAsia" w:ascii="宋体" w:hAnsi="宋体" w:eastAsia="宋体" w:cs="宋体"/>
                <w:sz w:val="21"/>
                <w:szCs w:val="21"/>
              </w:rPr>
            </w:pPr>
          </w:p>
        </w:tc>
      </w:tr>
      <w:tr w14:paraId="26B4B212">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16C653CA">
            <w:pPr>
              <w:snapToGrid w:val="0"/>
              <w:jc w:val="center"/>
              <w:rPr>
                <w:rFonts w:hint="eastAsia" w:ascii="宋体" w:hAnsi="宋体" w:eastAsia="宋体" w:cs="宋体"/>
                <w:sz w:val="21"/>
                <w:szCs w:val="21"/>
              </w:rPr>
            </w:pPr>
            <w:r>
              <w:rPr>
                <w:rFonts w:hint="eastAsia" w:ascii="宋体" w:hAnsi="宋体" w:eastAsia="宋体" w:cs="宋体"/>
                <w:sz w:val="21"/>
                <w:szCs w:val="21"/>
              </w:rPr>
              <w:t>14</w:t>
            </w:r>
          </w:p>
        </w:tc>
        <w:tc>
          <w:tcPr>
            <w:tcW w:w="0" w:type="auto"/>
            <w:tcBorders>
              <w:top w:val="single" w:color="auto" w:sz="4" w:space="0"/>
              <w:left w:val="single" w:color="auto" w:sz="4" w:space="0"/>
              <w:bottom w:val="single" w:color="auto" w:sz="4" w:space="0"/>
              <w:right w:val="single" w:color="auto" w:sz="4" w:space="0"/>
            </w:tcBorders>
            <w:vAlign w:val="center"/>
          </w:tcPr>
          <w:p w14:paraId="51893A28">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洁具</w:t>
            </w:r>
          </w:p>
        </w:tc>
        <w:tc>
          <w:tcPr>
            <w:tcW w:w="4470" w:type="dxa"/>
            <w:tcBorders>
              <w:top w:val="single" w:color="auto" w:sz="4" w:space="0"/>
              <w:left w:val="single" w:color="auto" w:sz="4" w:space="0"/>
              <w:bottom w:val="single" w:color="auto" w:sz="4" w:space="0"/>
              <w:right w:val="single" w:color="auto" w:sz="4" w:space="0"/>
            </w:tcBorders>
            <w:vAlign w:val="center"/>
          </w:tcPr>
          <w:p w14:paraId="1888FF34">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科勒、惠达、箭牌、恒洁、TOTO或同档次及以上品牌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5AB32C3B">
            <w:pPr>
              <w:snapToGrid w:val="0"/>
              <w:jc w:val="center"/>
              <w:rPr>
                <w:rFonts w:hint="eastAsia" w:ascii="宋体" w:hAnsi="宋体" w:eastAsia="宋体" w:cs="宋体"/>
                <w:sz w:val="21"/>
                <w:szCs w:val="21"/>
              </w:rPr>
            </w:pPr>
            <w:r>
              <w:rPr>
                <w:rFonts w:hint="eastAsia" w:ascii="宋体" w:hAnsi="宋体" w:eastAsia="宋体" w:cs="宋体"/>
                <w:sz w:val="21"/>
                <w:szCs w:val="21"/>
                <w:highlight w:val="none"/>
                <w:lang w:val="en-US" w:eastAsia="zh-CN"/>
                <w14:ligatures w14:val="none"/>
              </w:rPr>
              <w:t>★</w:t>
            </w:r>
          </w:p>
        </w:tc>
      </w:tr>
      <w:tr w14:paraId="754AEAB6">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7D201FD2">
            <w:pPr>
              <w:snapToGrid w:val="0"/>
              <w:jc w:val="center"/>
              <w:rPr>
                <w:rFonts w:hint="eastAsia" w:ascii="宋体" w:hAnsi="宋体" w:eastAsia="宋体" w:cs="宋体"/>
                <w:sz w:val="21"/>
                <w:szCs w:val="21"/>
              </w:rPr>
            </w:pPr>
            <w:r>
              <w:rPr>
                <w:rFonts w:hint="eastAsia" w:ascii="宋体" w:hAnsi="宋体" w:eastAsia="宋体" w:cs="宋体"/>
                <w:sz w:val="21"/>
                <w:szCs w:val="21"/>
              </w:rPr>
              <w:t>15</w:t>
            </w:r>
          </w:p>
        </w:tc>
        <w:tc>
          <w:tcPr>
            <w:tcW w:w="0" w:type="auto"/>
            <w:tcBorders>
              <w:top w:val="single" w:color="auto" w:sz="4" w:space="0"/>
              <w:left w:val="single" w:color="auto" w:sz="4" w:space="0"/>
              <w:bottom w:val="single" w:color="auto" w:sz="4" w:space="0"/>
              <w:right w:val="single" w:color="auto" w:sz="4" w:space="0"/>
            </w:tcBorders>
            <w:vAlign w:val="center"/>
          </w:tcPr>
          <w:p w14:paraId="5471BFD6">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排气扇</w:t>
            </w:r>
          </w:p>
        </w:tc>
        <w:tc>
          <w:tcPr>
            <w:tcW w:w="4470" w:type="dxa"/>
            <w:tcBorders>
              <w:top w:val="single" w:color="auto" w:sz="4" w:space="0"/>
              <w:left w:val="single" w:color="auto" w:sz="4" w:space="0"/>
              <w:bottom w:val="single" w:color="auto" w:sz="4" w:space="0"/>
              <w:right w:val="single" w:color="auto" w:sz="4" w:space="0"/>
            </w:tcBorders>
            <w:vAlign w:val="center"/>
          </w:tcPr>
          <w:p w14:paraId="2AD95B05">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欧普、鸿雁、奥普或同档次及以上品牌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6F85A654">
            <w:pPr>
              <w:snapToGrid w:val="0"/>
              <w:jc w:val="center"/>
              <w:rPr>
                <w:rFonts w:hint="eastAsia" w:ascii="宋体" w:hAnsi="宋体" w:eastAsia="宋体" w:cs="宋体"/>
                <w:sz w:val="21"/>
                <w:szCs w:val="21"/>
              </w:rPr>
            </w:pPr>
          </w:p>
        </w:tc>
      </w:tr>
      <w:tr w14:paraId="4AA0A32D">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561B2E3E">
            <w:pPr>
              <w:snapToGrid w:val="0"/>
              <w:jc w:val="center"/>
              <w:rPr>
                <w:rFonts w:hint="eastAsia" w:ascii="宋体" w:hAnsi="宋体" w:eastAsia="宋体" w:cs="宋体"/>
                <w:sz w:val="21"/>
                <w:szCs w:val="21"/>
              </w:rPr>
            </w:pPr>
            <w:r>
              <w:rPr>
                <w:rFonts w:hint="eastAsia" w:ascii="宋体" w:hAnsi="宋体" w:eastAsia="宋体" w:cs="宋体"/>
                <w:sz w:val="21"/>
                <w:szCs w:val="21"/>
              </w:rPr>
              <w:t>16</w:t>
            </w:r>
          </w:p>
        </w:tc>
        <w:tc>
          <w:tcPr>
            <w:tcW w:w="0" w:type="auto"/>
            <w:tcBorders>
              <w:top w:val="single" w:color="auto" w:sz="4" w:space="0"/>
              <w:left w:val="single" w:color="auto" w:sz="4" w:space="0"/>
              <w:bottom w:val="single" w:color="auto" w:sz="4" w:space="0"/>
              <w:right w:val="single" w:color="auto" w:sz="4" w:space="0"/>
            </w:tcBorders>
            <w:vAlign w:val="center"/>
          </w:tcPr>
          <w:p w14:paraId="6BC9F08A">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消防泵、潜污泵</w:t>
            </w:r>
          </w:p>
        </w:tc>
        <w:tc>
          <w:tcPr>
            <w:tcW w:w="4470" w:type="dxa"/>
            <w:tcBorders>
              <w:top w:val="single" w:color="auto" w:sz="4" w:space="0"/>
              <w:left w:val="single" w:color="auto" w:sz="4" w:space="0"/>
              <w:bottom w:val="single" w:color="auto" w:sz="4" w:space="0"/>
              <w:right w:val="single" w:color="auto" w:sz="4" w:space="0"/>
            </w:tcBorders>
            <w:vAlign w:val="center"/>
          </w:tcPr>
          <w:p w14:paraId="3D1DCD2D">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熊猫、东方泵业、上海凯泉或同档次及以上品牌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3B5518AE">
            <w:pPr>
              <w:snapToGrid w:val="0"/>
              <w:jc w:val="center"/>
              <w:rPr>
                <w:rFonts w:hint="eastAsia" w:ascii="宋体" w:hAnsi="宋体" w:eastAsia="宋体" w:cs="宋体"/>
                <w:sz w:val="21"/>
                <w:szCs w:val="21"/>
              </w:rPr>
            </w:pPr>
          </w:p>
        </w:tc>
      </w:tr>
      <w:tr w14:paraId="5723C561">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0FA0D8A2">
            <w:pPr>
              <w:snapToGrid w:val="0"/>
              <w:jc w:val="center"/>
              <w:rPr>
                <w:rFonts w:hint="eastAsia" w:ascii="宋体" w:hAnsi="宋体" w:eastAsia="宋体" w:cs="宋体"/>
                <w:sz w:val="21"/>
                <w:szCs w:val="21"/>
              </w:rPr>
            </w:pPr>
            <w:r>
              <w:rPr>
                <w:rFonts w:hint="eastAsia" w:ascii="宋体" w:hAnsi="宋体" w:eastAsia="宋体" w:cs="宋体"/>
                <w:sz w:val="21"/>
                <w:szCs w:val="21"/>
              </w:rPr>
              <w:t>17</w:t>
            </w:r>
          </w:p>
        </w:tc>
        <w:tc>
          <w:tcPr>
            <w:tcW w:w="0" w:type="auto"/>
            <w:tcBorders>
              <w:top w:val="single" w:color="auto" w:sz="4" w:space="0"/>
              <w:left w:val="single" w:color="auto" w:sz="4" w:space="0"/>
              <w:bottom w:val="single" w:color="auto" w:sz="4" w:space="0"/>
              <w:right w:val="single" w:color="auto" w:sz="4" w:space="0"/>
            </w:tcBorders>
            <w:vAlign w:val="center"/>
          </w:tcPr>
          <w:p w14:paraId="28A365D1">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水泵类</w:t>
            </w:r>
          </w:p>
        </w:tc>
        <w:tc>
          <w:tcPr>
            <w:tcW w:w="4470" w:type="dxa"/>
            <w:tcBorders>
              <w:top w:val="single" w:color="auto" w:sz="4" w:space="0"/>
              <w:left w:val="single" w:color="auto" w:sz="4" w:space="0"/>
              <w:bottom w:val="single" w:color="auto" w:sz="4" w:space="0"/>
              <w:right w:val="single" w:color="auto" w:sz="4" w:space="0"/>
            </w:tcBorders>
            <w:vAlign w:val="center"/>
          </w:tcPr>
          <w:p w14:paraId="1F85C7CA">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熊猫、东方泵业、上海凯泉或同档次及以上品牌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6A4E4115">
            <w:pPr>
              <w:snapToGrid w:val="0"/>
              <w:jc w:val="center"/>
              <w:rPr>
                <w:rFonts w:hint="eastAsia" w:ascii="宋体" w:hAnsi="宋体" w:eastAsia="宋体" w:cs="宋体"/>
                <w:sz w:val="21"/>
                <w:szCs w:val="21"/>
              </w:rPr>
            </w:pPr>
          </w:p>
        </w:tc>
      </w:tr>
      <w:tr w14:paraId="6BE6A316">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1257F2A8">
            <w:pPr>
              <w:snapToGrid w:val="0"/>
              <w:jc w:val="center"/>
              <w:rPr>
                <w:rFonts w:hint="eastAsia" w:ascii="宋体" w:hAnsi="宋体" w:eastAsia="宋体" w:cs="宋体"/>
                <w:sz w:val="21"/>
                <w:szCs w:val="21"/>
              </w:rPr>
            </w:pPr>
            <w:r>
              <w:rPr>
                <w:rFonts w:hint="eastAsia" w:ascii="宋体" w:hAnsi="宋体" w:eastAsia="宋体" w:cs="宋体"/>
                <w:sz w:val="21"/>
                <w:szCs w:val="21"/>
              </w:rPr>
              <w:t>18</w:t>
            </w:r>
          </w:p>
        </w:tc>
        <w:tc>
          <w:tcPr>
            <w:tcW w:w="0" w:type="auto"/>
            <w:tcBorders>
              <w:top w:val="single" w:color="auto" w:sz="4" w:space="0"/>
              <w:left w:val="single" w:color="auto" w:sz="4" w:space="0"/>
              <w:bottom w:val="single" w:color="auto" w:sz="4" w:space="0"/>
              <w:right w:val="single" w:color="auto" w:sz="4" w:space="0"/>
            </w:tcBorders>
            <w:vAlign w:val="center"/>
          </w:tcPr>
          <w:p w14:paraId="5304D765">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阀门类</w:t>
            </w:r>
          </w:p>
        </w:tc>
        <w:tc>
          <w:tcPr>
            <w:tcW w:w="4470" w:type="dxa"/>
            <w:tcBorders>
              <w:top w:val="single" w:color="auto" w:sz="4" w:space="0"/>
              <w:left w:val="single" w:color="auto" w:sz="4" w:space="0"/>
              <w:bottom w:val="single" w:color="auto" w:sz="4" w:space="0"/>
              <w:right w:val="single" w:color="auto" w:sz="4" w:space="0"/>
            </w:tcBorders>
            <w:vAlign w:val="center"/>
          </w:tcPr>
          <w:p w14:paraId="7BC818A7">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熊猫、东方泵业、上海凯泉或同档次及以上品牌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4666AC23">
            <w:pPr>
              <w:snapToGrid w:val="0"/>
              <w:jc w:val="center"/>
              <w:rPr>
                <w:rFonts w:hint="eastAsia" w:ascii="宋体" w:hAnsi="宋体" w:eastAsia="宋体" w:cs="宋体"/>
                <w:sz w:val="21"/>
                <w:szCs w:val="21"/>
              </w:rPr>
            </w:pPr>
          </w:p>
        </w:tc>
      </w:tr>
      <w:tr w14:paraId="7AF4380E">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0A0B842C">
            <w:pPr>
              <w:snapToGrid w:val="0"/>
              <w:jc w:val="center"/>
              <w:rPr>
                <w:rFonts w:hint="eastAsia" w:ascii="宋体" w:hAnsi="宋体" w:eastAsia="宋体" w:cs="宋体"/>
                <w:sz w:val="21"/>
                <w:szCs w:val="21"/>
              </w:rPr>
            </w:pPr>
            <w:r>
              <w:rPr>
                <w:rFonts w:hint="eastAsia" w:ascii="宋体" w:hAnsi="宋体" w:eastAsia="宋体" w:cs="宋体"/>
                <w:sz w:val="21"/>
                <w:szCs w:val="21"/>
              </w:rPr>
              <w:t>19</w:t>
            </w:r>
          </w:p>
        </w:tc>
        <w:tc>
          <w:tcPr>
            <w:tcW w:w="0" w:type="auto"/>
            <w:tcBorders>
              <w:top w:val="single" w:color="auto" w:sz="4" w:space="0"/>
              <w:left w:val="single" w:color="auto" w:sz="4" w:space="0"/>
              <w:bottom w:val="single" w:color="auto" w:sz="4" w:space="0"/>
              <w:right w:val="single" w:color="auto" w:sz="4" w:space="0"/>
            </w:tcBorders>
            <w:vAlign w:val="center"/>
          </w:tcPr>
          <w:p w14:paraId="76DA4527">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柜式消火栓、消防水泵接合器、水喷头、水流指示器、信号阀、灭火器</w:t>
            </w:r>
          </w:p>
        </w:tc>
        <w:tc>
          <w:tcPr>
            <w:tcW w:w="4470" w:type="dxa"/>
            <w:tcBorders>
              <w:top w:val="single" w:color="auto" w:sz="4" w:space="0"/>
              <w:left w:val="single" w:color="auto" w:sz="4" w:space="0"/>
              <w:bottom w:val="single" w:color="auto" w:sz="4" w:space="0"/>
              <w:right w:val="single" w:color="auto" w:sz="4" w:space="0"/>
            </w:tcBorders>
            <w:vAlign w:val="center"/>
          </w:tcPr>
          <w:p w14:paraId="2E9BD9B6">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川消、国泰、百安或同档次及以上品牌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2BFBEE5D">
            <w:pPr>
              <w:snapToGrid w:val="0"/>
              <w:jc w:val="center"/>
              <w:rPr>
                <w:rFonts w:hint="eastAsia" w:ascii="宋体" w:hAnsi="宋体" w:eastAsia="宋体" w:cs="宋体"/>
                <w:sz w:val="21"/>
                <w:szCs w:val="21"/>
              </w:rPr>
            </w:pPr>
          </w:p>
        </w:tc>
      </w:tr>
      <w:tr w14:paraId="61E846C8">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06175BDD">
            <w:pPr>
              <w:snapToGrid w:val="0"/>
              <w:jc w:val="center"/>
              <w:rPr>
                <w:rFonts w:hint="eastAsia" w:ascii="宋体" w:hAnsi="宋体" w:eastAsia="宋体" w:cs="宋体"/>
                <w:sz w:val="21"/>
                <w:szCs w:val="21"/>
              </w:rPr>
            </w:pPr>
            <w:r>
              <w:rPr>
                <w:rFonts w:hint="eastAsia" w:ascii="宋体" w:hAnsi="宋体" w:eastAsia="宋体" w:cs="宋体"/>
                <w:sz w:val="21"/>
                <w:szCs w:val="21"/>
              </w:rPr>
              <w:t>20</w:t>
            </w:r>
          </w:p>
        </w:tc>
        <w:tc>
          <w:tcPr>
            <w:tcW w:w="0" w:type="auto"/>
            <w:tcBorders>
              <w:top w:val="single" w:color="auto" w:sz="4" w:space="0"/>
              <w:left w:val="single" w:color="auto" w:sz="4" w:space="0"/>
              <w:bottom w:val="single" w:color="auto" w:sz="4" w:space="0"/>
              <w:right w:val="single" w:color="auto" w:sz="4" w:space="0"/>
            </w:tcBorders>
            <w:vAlign w:val="center"/>
          </w:tcPr>
          <w:p w14:paraId="492BDA9E">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火灾报警</w:t>
            </w:r>
          </w:p>
        </w:tc>
        <w:tc>
          <w:tcPr>
            <w:tcW w:w="4470" w:type="dxa"/>
            <w:tcBorders>
              <w:top w:val="single" w:color="auto" w:sz="4" w:space="0"/>
              <w:left w:val="single" w:color="auto" w:sz="4" w:space="0"/>
              <w:bottom w:val="single" w:color="auto" w:sz="4" w:space="0"/>
              <w:right w:val="single" w:color="auto" w:sz="4" w:space="0"/>
            </w:tcBorders>
            <w:vAlign w:val="center"/>
          </w:tcPr>
          <w:p w14:paraId="326EB51E">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海湾、北大青鸟、盛赛尔、北京利达、泛海三江、鼎信或同档次及以上品牌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5C2711F2">
            <w:pPr>
              <w:snapToGrid w:val="0"/>
              <w:jc w:val="center"/>
              <w:rPr>
                <w:rFonts w:hint="eastAsia" w:ascii="宋体" w:hAnsi="宋体" w:eastAsia="宋体" w:cs="宋体"/>
                <w:sz w:val="21"/>
                <w:szCs w:val="21"/>
              </w:rPr>
            </w:pPr>
          </w:p>
        </w:tc>
      </w:tr>
      <w:tr w14:paraId="6B53EB82">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26F046A4">
            <w:pPr>
              <w:snapToGrid w:val="0"/>
              <w:jc w:val="center"/>
              <w:rPr>
                <w:rFonts w:hint="eastAsia" w:ascii="宋体" w:hAnsi="宋体" w:eastAsia="宋体" w:cs="宋体"/>
                <w:sz w:val="21"/>
                <w:szCs w:val="21"/>
              </w:rPr>
            </w:pPr>
            <w:r>
              <w:rPr>
                <w:rFonts w:hint="eastAsia" w:ascii="宋体" w:hAnsi="宋体" w:eastAsia="宋体" w:cs="宋体"/>
                <w:sz w:val="21"/>
                <w:szCs w:val="21"/>
              </w:rPr>
              <w:t>21</w:t>
            </w:r>
          </w:p>
        </w:tc>
        <w:tc>
          <w:tcPr>
            <w:tcW w:w="0" w:type="auto"/>
            <w:tcBorders>
              <w:top w:val="single" w:color="auto" w:sz="4" w:space="0"/>
              <w:left w:val="single" w:color="auto" w:sz="4" w:space="0"/>
              <w:bottom w:val="single" w:color="auto" w:sz="4" w:space="0"/>
              <w:right w:val="single" w:color="auto" w:sz="4" w:space="0"/>
            </w:tcBorders>
            <w:vAlign w:val="center"/>
          </w:tcPr>
          <w:p w14:paraId="6AD2CF34">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门禁设备</w:t>
            </w:r>
          </w:p>
        </w:tc>
        <w:tc>
          <w:tcPr>
            <w:tcW w:w="4470" w:type="dxa"/>
            <w:tcBorders>
              <w:top w:val="single" w:color="auto" w:sz="4" w:space="0"/>
              <w:left w:val="single" w:color="auto" w:sz="4" w:space="0"/>
              <w:bottom w:val="single" w:color="auto" w:sz="4" w:space="0"/>
              <w:right w:val="single" w:color="auto" w:sz="4" w:space="0"/>
            </w:tcBorders>
            <w:vAlign w:val="center"/>
          </w:tcPr>
          <w:p w14:paraId="3463DEA0">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海康威视、大华、安居宝、立林、视得安罗格朗、冠林或同档次及以上品牌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766066C8">
            <w:pPr>
              <w:snapToGrid w:val="0"/>
              <w:jc w:val="center"/>
              <w:rPr>
                <w:rFonts w:hint="eastAsia" w:ascii="宋体" w:hAnsi="宋体" w:eastAsia="宋体" w:cs="宋体"/>
                <w:sz w:val="21"/>
                <w:szCs w:val="21"/>
              </w:rPr>
            </w:pPr>
          </w:p>
        </w:tc>
      </w:tr>
      <w:tr w14:paraId="4B7878C4">
        <w:tblPrEx>
          <w:tblCellMar>
            <w:top w:w="0" w:type="dxa"/>
            <w:left w:w="108" w:type="dxa"/>
            <w:bottom w:w="0" w:type="dxa"/>
            <w:right w:w="108" w:type="dxa"/>
          </w:tblCellMar>
        </w:tblPrEx>
        <w:trPr>
          <w:trHeight w:val="647" w:hRule="atLeast"/>
        </w:trPr>
        <w:tc>
          <w:tcPr>
            <w:tcW w:w="0" w:type="auto"/>
            <w:tcBorders>
              <w:top w:val="single" w:color="auto" w:sz="4" w:space="0"/>
              <w:left w:val="single" w:color="auto" w:sz="4" w:space="0"/>
              <w:bottom w:val="single" w:color="auto" w:sz="4" w:space="0"/>
              <w:right w:val="single" w:color="auto" w:sz="4" w:space="0"/>
            </w:tcBorders>
            <w:vAlign w:val="center"/>
          </w:tcPr>
          <w:p w14:paraId="0D7EC6F3">
            <w:pPr>
              <w:snapToGrid w:val="0"/>
              <w:jc w:val="center"/>
              <w:rPr>
                <w:rFonts w:hint="eastAsia" w:ascii="宋体" w:hAnsi="宋体" w:eastAsia="宋体" w:cs="宋体"/>
                <w:sz w:val="21"/>
                <w:szCs w:val="21"/>
              </w:rPr>
            </w:pPr>
            <w:r>
              <w:rPr>
                <w:rFonts w:hint="eastAsia" w:ascii="宋体" w:hAnsi="宋体" w:eastAsia="宋体" w:cs="宋体"/>
                <w:sz w:val="21"/>
                <w:szCs w:val="21"/>
              </w:rPr>
              <w:t>22</w:t>
            </w:r>
          </w:p>
        </w:tc>
        <w:tc>
          <w:tcPr>
            <w:tcW w:w="0" w:type="auto"/>
            <w:tcBorders>
              <w:top w:val="single" w:color="auto" w:sz="4" w:space="0"/>
              <w:left w:val="single" w:color="auto" w:sz="4" w:space="0"/>
              <w:bottom w:val="single" w:color="auto" w:sz="4" w:space="0"/>
              <w:right w:val="single" w:color="auto" w:sz="4" w:space="0"/>
            </w:tcBorders>
            <w:vAlign w:val="center"/>
          </w:tcPr>
          <w:p w14:paraId="53A32155">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卫生间防水涂料</w:t>
            </w:r>
          </w:p>
        </w:tc>
        <w:tc>
          <w:tcPr>
            <w:tcW w:w="4470" w:type="dxa"/>
            <w:tcBorders>
              <w:top w:val="single" w:color="auto" w:sz="4" w:space="0"/>
              <w:left w:val="single" w:color="auto" w:sz="4" w:space="0"/>
              <w:bottom w:val="single" w:color="auto" w:sz="4" w:space="0"/>
              <w:right w:val="single" w:color="auto" w:sz="4" w:space="0"/>
            </w:tcBorders>
            <w:vAlign w:val="center"/>
          </w:tcPr>
          <w:p w14:paraId="3442978A">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西牛皮或同档次及以上品牌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79BC64EB">
            <w:pPr>
              <w:snapToGrid w:val="0"/>
              <w:jc w:val="center"/>
              <w:rPr>
                <w:rFonts w:hint="eastAsia" w:ascii="宋体" w:hAnsi="宋体" w:eastAsia="宋体" w:cs="宋体"/>
                <w:sz w:val="21"/>
                <w:szCs w:val="21"/>
              </w:rPr>
            </w:pPr>
          </w:p>
        </w:tc>
      </w:tr>
      <w:tr w14:paraId="771E6672">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vAlign w:val="center"/>
          </w:tcPr>
          <w:p w14:paraId="67BDD888">
            <w:pPr>
              <w:snapToGrid w:val="0"/>
              <w:jc w:val="center"/>
              <w:rPr>
                <w:rFonts w:hint="eastAsia" w:ascii="宋体" w:hAnsi="宋体" w:eastAsia="宋体" w:cs="宋体"/>
                <w:sz w:val="21"/>
                <w:szCs w:val="21"/>
              </w:rPr>
            </w:pPr>
            <w:r>
              <w:rPr>
                <w:rFonts w:hint="eastAsia" w:ascii="宋体" w:hAnsi="宋体" w:eastAsia="宋体" w:cs="宋体"/>
                <w:sz w:val="21"/>
                <w:szCs w:val="21"/>
              </w:rPr>
              <w:t>23</w:t>
            </w:r>
          </w:p>
        </w:tc>
        <w:tc>
          <w:tcPr>
            <w:tcW w:w="0" w:type="auto"/>
            <w:tcBorders>
              <w:top w:val="single" w:color="auto" w:sz="4" w:space="0"/>
              <w:left w:val="single" w:color="auto" w:sz="4" w:space="0"/>
              <w:bottom w:val="single" w:color="auto" w:sz="4" w:space="0"/>
              <w:right w:val="single" w:color="auto" w:sz="4" w:space="0"/>
            </w:tcBorders>
            <w:vAlign w:val="center"/>
          </w:tcPr>
          <w:p w14:paraId="7928D7BB">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空调系统（含计费系统）</w:t>
            </w:r>
          </w:p>
        </w:tc>
        <w:tc>
          <w:tcPr>
            <w:tcW w:w="4470" w:type="dxa"/>
            <w:tcBorders>
              <w:top w:val="single" w:color="auto" w:sz="4" w:space="0"/>
              <w:left w:val="single" w:color="auto" w:sz="4" w:space="0"/>
              <w:bottom w:val="single" w:color="auto" w:sz="4" w:space="0"/>
              <w:right w:val="single" w:color="auto" w:sz="4" w:space="0"/>
            </w:tcBorders>
            <w:vAlign w:val="center"/>
          </w:tcPr>
          <w:p w14:paraId="2EE92A94">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美的、海信、</w:t>
            </w:r>
            <w:r>
              <w:rPr>
                <w:rFonts w:hint="eastAsia" w:ascii="宋体" w:hAnsi="宋体" w:eastAsia="宋体" w:cs="宋体"/>
                <w:b w:val="0"/>
                <w:bCs/>
                <w:sz w:val="21"/>
                <w:szCs w:val="21"/>
                <w:lang w:eastAsia="zh-CN"/>
              </w:rPr>
              <w:t>海尔、</w:t>
            </w:r>
            <w:r>
              <w:rPr>
                <w:rFonts w:hint="eastAsia" w:ascii="宋体" w:hAnsi="宋体" w:eastAsia="宋体" w:cs="宋体"/>
                <w:b w:val="0"/>
                <w:bCs/>
                <w:sz w:val="21"/>
                <w:szCs w:val="21"/>
              </w:rPr>
              <w:t>格力</w:t>
            </w:r>
            <w:r>
              <w:rPr>
                <w:rFonts w:hint="eastAsia" w:ascii="宋体" w:hAnsi="宋体" w:eastAsia="宋体" w:cs="宋体"/>
                <w:b w:val="0"/>
                <w:bCs/>
                <w:sz w:val="21"/>
                <w:szCs w:val="21"/>
                <w:lang w:eastAsia="zh-CN"/>
              </w:rPr>
              <w:t>、大金</w:t>
            </w:r>
            <w:r>
              <w:rPr>
                <w:rFonts w:hint="eastAsia" w:ascii="宋体" w:hAnsi="宋体" w:eastAsia="宋体" w:cs="宋体"/>
                <w:b w:val="0"/>
                <w:bCs/>
                <w:sz w:val="21"/>
                <w:szCs w:val="21"/>
              </w:rPr>
              <w:t>或同档次及以上品牌</w:t>
            </w:r>
          </w:p>
        </w:tc>
        <w:tc>
          <w:tcPr>
            <w:tcW w:w="817" w:type="dxa"/>
            <w:tcBorders>
              <w:top w:val="single" w:color="auto" w:sz="4" w:space="0"/>
              <w:left w:val="single" w:color="auto" w:sz="4" w:space="0"/>
              <w:bottom w:val="single" w:color="auto" w:sz="4" w:space="0"/>
              <w:right w:val="single" w:color="auto" w:sz="4" w:space="0"/>
            </w:tcBorders>
            <w:vAlign w:val="center"/>
          </w:tcPr>
          <w:p w14:paraId="42133D2B">
            <w:pPr>
              <w:snapToGrid w:val="0"/>
              <w:jc w:val="center"/>
              <w:rPr>
                <w:rFonts w:hint="eastAsia" w:ascii="宋体" w:hAnsi="宋体" w:eastAsia="宋体" w:cs="宋体"/>
                <w:sz w:val="21"/>
                <w:szCs w:val="21"/>
              </w:rPr>
            </w:pPr>
            <w:r>
              <w:rPr>
                <w:rFonts w:hint="eastAsia" w:ascii="宋体" w:hAnsi="宋体" w:eastAsia="宋体" w:cs="宋体"/>
                <w:sz w:val="21"/>
                <w:szCs w:val="21"/>
                <w:highlight w:val="none"/>
                <w:lang w:val="en-US" w:eastAsia="zh-CN"/>
                <w14:ligatures w14:val="none"/>
              </w:rPr>
              <w:t>★</w:t>
            </w:r>
          </w:p>
        </w:tc>
      </w:tr>
    </w:tbl>
    <w:p w14:paraId="2F57B4B9">
      <w:pPr>
        <w:pStyle w:val="2"/>
        <w:rPr>
          <w:rFonts w:hint="eastAsia" w:ascii="微软雅黑" w:hAnsi="微软雅黑" w:eastAsia="微软雅黑" w:cs="微软雅黑"/>
          <w:b/>
          <w:sz w:val="21"/>
          <w:szCs w:val="21"/>
          <w:lang w:val="en-US" w:eastAsia="zh-CN"/>
        </w:rPr>
      </w:pPr>
    </w:p>
    <w:p w14:paraId="6A70E4C1">
      <w:pPr>
        <w:pStyle w:val="2"/>
        <w:rPr>
          <w:highlight w:val="none"/>
        </w:rPr>
      </w:pPr>
      <w:r>
        <w:rPr>
          <w:rFonts w:hint="eastAsia" w:ascii="微软雅黑" w:hAnsi="微软雅黑" w:eastAsia="微软雅黑" w:cs="微软雅黑"/>
          <w:b/>
          <w:sz w:val="21"/>
          <w:szCs w:val="21"/>
          <w:lang w:val="en-US" w:eastAsia="zh-CN"/>
        </w:rPr>
        <w:t>注：</w:t>
      </w:r>
      <w:r>
        <w:rPr>
          <w:rFonts w:hint="eastAsia" w:ascii="宋体" w:hAnsi="宋体" w:eastAsia="宋体" w:cs="宋体"/>
          <w:sz w:val="21"/>
          <w:szCs w:val="21"/>
          <w:highlight w:val="none"/>
          <w:lang w:val="en-US" w:eastAsia="zh-CN"/>
          <w14:ligatures w14:val="none"/>
        </w:rPr>
        <w:t>带“★”项属于强制节能产品的，需提供所投产品经国家确定的认证机构出具的、处于有效期内的节能产品认证证书（★项为实质性响应条款，不满足则为无效响应）</w:t>
      </w:r>
    </w:p>
    <w:p w14:paraId="5AABB96F">
      <w:pPr>
        <w:pStyle w:val="3"/>
        <w:jc w:val="center"/>
        <w:rPr>
          <w:rFonts w:hint="eastAsia" w:ascii="宋体" w:hAnsi="宋体" w:eastAsia="宋体" w:cs="宋体"/>
          <w:sz w:val="28"/>
          <w:szCs w:val="28"/>
        </w:rPr>
        <w:sectPr>
          <w:footerReference r:id="rId19" w:type="first"/>
          <w:footerReference r:id="rId18" w:type="default"/>
          <w:pgSz w:w="11906" w:h="16838"/>
          <w:pgMar w:top="1440" w:right="1083" w:bottom="1440" w:left="1083" w:header="720" w:footer="720" w:gutter="0"/>
          <w:pgNumType w:fmt="decimal"/>
          <w:cols w:space="0" w:num="1"/>
          <w:titlePg/>
          <w:docGrid w:linePitch="299" w:charSpace="0"/>
        </w:sectPr>
      </w:pPr>
    </w:p>
    <w:p w14:paraId="491B81E4">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附件4 廉洁协议书</w:t>
      </w:r>
    </w:p>
    <w:p w14:paraId="1731E88D">
      <w:pPr>
        <w:widowControl w:val="0"/>
        <w:spacing w:after="156" w:afterLines="50" w:line="360" w:lineRule="auto"/>
        <w:jc w:val="center"/>
        <w:rPr>
          <w:rFonts w:hint="eastAsia" w:ascii="宋体" w:hAnsi="宋体" w:eastAsia="宋体" w:cs="宋体"/>
          <w:b/>
          <w:bCs/>
          <w:szCs w:val="32"/>
        </w:rPr>
      </w:pPr>
      <w:bookmarkStart w:id="1083" w:name="_Toc21870"/>
      <w:bookmarkStart w:id="1084" w:name="_Toc29977"/>
      <w:bookmarkStart w:id="1085" w:name="_Toc31409"/>
      <w:bookmarkStart w:id="1086" w:name="_Toc28811"/>
      <w:r>
        <w:rPr>
          <w:rFonts w:hint="eastAsia" w:ascii="宋体" w:hAnsi="宋体" w:eastAsia="宋体" w:cs="宋体"/>
          <w:b/>
          <w:bCs/>
          <w:szCs w:val="32"/>
        </w:rPr>
        <w:t>投标廉洁承诺书</w:t>
      </w:r>
      <w:bookmarkEnd w:id="1083"/>
      <w:bookmarkEnd w:id="1084"/>
      <w:bookmarkEnd w:id="1085"/>
      <w:bookmarkEnd w:id="1086"/>
    </w:p>
    <w:p w14:paraId="5C2126B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u w:val="single"/>
        </w:rPr>
        <w:t xml:space="preserve">    （招标人）          </w:t>
      </w:r>
    </w:p>
    <w:p w14:paraId="31658F8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为维护公平、公正、公开的招投标市场秩序，确保招投标活动的廉洁性，我方郑重作出如下承诺：</w:t>
      </w:r>
    </w:p>
    <w:p w14:paraId="57AB159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一、严格遵守法律法规</w:t>
      </w:r>
    </w:p>
    <w:p w14:paraId="2FC801E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我方将严格遵守国家和地方有关招投标的法律法规，以及相关政策和规章制度，自觉接受有关部门的监督管理，绝不从事任何违法违规的招投标行为。</w:t>
      </w:r>
    </w:p>
    <w:p w14:paraId="5998B13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二、保持廉洁自律</w:t>
      </w:r>
    </w:p>
    <w:p w14:paraId="3F0B075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1.我方保证不以任何形式向招标单位工作人员、评标专家及其他相关人员赠送礼品、礼金、有价证券、支付凭证或其他财物，不以任何理由为上述人员报销应由其个人或亲属承担的费用。</w:t>
      </w:r>
    </w:p>
    <w:p w14:paraId="60E503D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2.不安排或接受可能影响公正招投标的宴请、旅游、娱乐等活动，不向上述人员提供任何利益回报或便利条件。</w:t>
      </w:r>
    </w:p>
    <w:p w14:paraId="56DEE67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三、确保诚信投标</w:t>
      </w:r>
    </w:p>
    <w:p w14:paraId="592BC5F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1.我方所提供的投标文件及相关资料均真实、准确、完整，不存在虚假陈述、误导性陈述或重大遗漏，绝不伪造、变造任何文件或资料。</w:t>
      </w:r>
    </w:p>
    <w:p w14:paraId="7C691F8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2.严格按照招标文件的要求编制投标文件，不与其他投标人相互串通投标报价，不排挤其他投标人的公平竞争，不损害招标人和其他投标人的合法权益。</w:t>
      </w:r>
    </w:p>
    <w:p w14:paraId="6F08D99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四、遵守保密义务</w:t>
      </w:r>
    </w:p>
    <w:p w14:paraId="15DD1BE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我方将严格遵守招投标过程中的保密规定，不向任何无关第三方泄露与招投标活动有关的信息，包括但不限于投标文件内容、评标情况、商业秘密等，维护招投标活动的严肃性和保密性。</w:t>
      </w:r>
    </w:p>
    <w:p w14:paraId="436A342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若我方违反上述承诺，愿意承担由此产生的一切法律责任和后果，包括但不限于被取消投标资格、中标无效、承担经济赔偿责任以及接受相关部门的行政处罚等。 </w:t>
      </w:r>
    </w:p>
    <w:p w14:paraId="7B6503D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特此承诺！</w:t>
      </w:r>
    </w:p>
    <w:p w14:paraId="263BF6C1">
      <w:pPr>
        <w:ind w:firstLine="840" w:firstLineChars="400"/>
        <w:rPr>
          <w:rFonts w:hint="eastAsia" w:ascii="宋体" w:hAnsi="宋体" w:eastAsia="宋体" w:cs="宋体"/>
          <w:sz w:val="21"/>
          <w:szCs w:val="21"/>
        </w:rPr>
      </w:pPr>
    </w:p>
    <w:p w14:paraId="58A8E639">
      <w:pPr>
        <w:ind w:firstLine="840" w:firstLineChars="400"/>
        <w:rPr>
          <w:rFonts w:hint="eastAsia" w:ascii="宋体" w:hAnsi="宋体" w:eastAsia="宋体" w:cs="宋体"/>
          <w:sz w:val="21"/>
          <w:szCs w:val="21"/>
        </w:rPr>
      </w:pPr>
      <w:r>
        <w:rPr>
          <w:rFonts w:hint="eastAsia" w:ascii="宋体" w:hAnsi="宋体" w:eastAsia="宋体" w:cs="宋体"/>
          <w:sz w:val="21"/>
          <w:szCs w:val="21"/>
        </w:rPr>
        <w:t>承诺单位：</w:t>
      </w:r>
      <w:r>
        <w:rPr>
          <w:rFonts w:hint="eastAsia" w:ascii="宋体" w:hAnsi="宋体" w:eastAsia="宋体" w:cs="宋体"/>
          <w:sz w:val="21"/>
          <w:szCs w:val="21"/>
          <w:u w:val="single"/>
        </w:rPr>
        <w:t xml:space="preserve">                                       </w:t>
      </w:r>
      <w:r>
        <w:rPr>
          <w:rFonts w:hint="eastAsia" w:ascii="宋体" w:hAnsi="宋体" w:eastAsia="宋体" w:cs="宋体"/>
          <w:sz w:val="21"/>
          <w:szCs w:val="21"/>
        </w:rPr>
        <w:t>（盖单位章）</w:t>
      </w:r>
    </w:p>
    <w:p w14:paraId="30DB1DE7">
      <w:pPr>
        <w:ind w:firstLine="840" w:firstLineChars="400"/>
        <w:rPr>
          <w:rFonts w:hint="eastAsia" w:ascii="宋体" w:hAnsi="宋体" w:eastAsia="宋体" w:cs="宋体"/>
          <w:sz w:val="21"/>
          <w:szCs w:val="21"/>
        </w:rPr>
      </w:pPr>
      <w:r>
        <w:rPr>
          <w:rFonts w:hint="eastAsia" w:ascii="宋体" w:hAnsi="宋体" w:eastAsia="宋体" w:cs="宋体"/>
          <w:sz w:val="21"/>
          <w:szCs w:val="21"/>
        </w:rPr>
        <w:t>法定代表人或委托代理人：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6A9CB259">
      <w:pPr>
        <w:ind w:firstLine="840" w:firstLineChars="400"/>
        <w:rPr>
          <w:rFonts w:hint="eastAsia" w:ascii="宋体" w:hAnsi="宋体" w:eastAsia="宋体" w:cs="宋体"/>
          <w:color w:val="000000"/>
          <w:sz w:val="21"/>
          <w:szCs w:val="21"/>
        </w:rPr>
      </w:pPr>
      <w:r>
        <w:rPr>
          <w:rFonts w:hint="eastAsia" w:ascii="宋体" w:hAnsi="宋体" w:eastAsia="宋体" w:cs="宋体"/>
          <w:sz w:val="21"/>
          <w:szCs w:val="21"/>
        </w:rPr>
        <w:t>日期：</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36D7B207">
      <w:pPr>
        <w:spacing w:beforeAutospacing="1" w:afterAutospacing="1" w:line="360" w:lineRule="auto"/>
        <w:rPr>
          <w:rFonts w:hint="eastAsia" w:ascii="宋体" w:hAnsi="宋体" w:eastAsia="宋体" w:cs="宋体"/>
          <w:color w:val="000000"/>
          <w:sz w:val="21"/>
          <w:szCs w:val="21"/>
        </w:rPr>
        <w:sectPr>
          <w:pgSz w:w="11906" w:h="16838"/>
          <w:pgMar w:top="1418" w:right="1555" w:bottom="1418" w:left="1531" w:header="851" w:footer="992" w:gutter="0"/>
          <w:pgNumType w:fmt="decimal"/>
          <w:cols w:space="720" w:num="1"/>
          <w:docGrid w:type="lines" w:linePitch="312" w:charSpace="0"/>
        </w:sectPr>
      </w:pPr>
    </w:p>
    <w:bookmarkEnd w:id="84"/>
    <w:bookmarkEnd w:id="85"/>
    <w:p w14:paraId="5CB42913">
      <w:pPr>
        <w:spacing w:line="480" w:lineRule="exact"/>
        <w:rPr>
          <w:rFonts w:ascii="Times New Roman" w:hAnsi="Times New Roman" w:cs="Times New Roman"/>
        </w:rPr>
      </w:pPr>
      <w:bookmarkStart w:id="1087" w:name="_Toc501717079"/>
      <w:bookmarkStart w:id="1088" w:name="_Toc290389758"/>
    </w:p>
    <w:p w14:paraId="661432B0">
      <w:pPr>
        <w:pStyle w:val="3"/>
        <w:jc w:val="center"/>
        <w:rPr>
          <w:rFonts w:ascii="Times New Roman" w:hAnsi="Times New Roman" w:cs="Times New Roman"/>
          <w:bCs w:val="0"/>
        </w:rPr>
      </w:pPr>
      <w:bookmarkStart w:id="1089" w:name="_Toc8101"/>
      <w:r>
        <w:rPr>
          <w:rFonts w:ascii="Times New Roman" w:hAnsi="Times New Roman" w:cs="Times New Roman"/>
          <w:bCs w:val="0"/>
        </w:rPr>
        <w:t xml:space="preserve">第五部分  </w:t>
      </w:r>
      <w:bookmarkEnd w:id="1087"/>
      <w:bookmarkStart w:id="1090" w:name="_Toc184635125"/>
      <w:r>
        <w:rPr>
          <w:rFonts w:ascii="Times New Roman" w:hAnsi="Times New Roman" w:cs="Times New Roman"/>
          <w:bCs w:val="0"/>
        </w:rPr>
        <w:t>技术标准和要求</w:t>
      </w:r>
      <w:bookmarkEnd w:id="1089"/>
    </w:p>
    <w:bookmarkEnd w:id="86"/>
    <w:bookmarkEnd w:id="87"/>
    <w:bookmarkEnd w:id="88"/>
    <w:bookmarkEnd w:id="89"/>
    <w:bookmarkEnd w:id="1088"/>
    <w:bookmarkEnd w:id="1090"/>
    <w:p w14:paraId="70E1ED66">
      <w:pPr>
        <w:spacing w:line="360" w:lineRule="auto"/>
        <w:ind w:left="461" w:leftChars="192" w:right="36" w:rightChars="15"/>
        <w:rPr>
          <w:rFonts w:hint="eastAsia"/>
          <w:b/>
          <w:bCs/>
          <w:sz w:val="21"/>
          <w:szCs w:val="21"/>
        </w:rPr>
      </w:pPr>
      <w:bookmarkStart w:id="1091" w:name="_Toc283035582"/>
      <w:bookmarkStart w:id="1092" w:name="_Toc283035099"/>
      <w:bookmarkStart w:id="1093" w:name="_Toc283035186"/>
      <w:bookmarkStart w:id="1094" w:name="_Toc283304122"/>
      <w:r>
        <w:rPr>
          <w:rFonts w:hint="eastAsia"/>
          <w:b/>
          <w:bCs/>
          <w:sz w:val="21"/>
          <w:szCs w:val="21"/>
        </w:rPr>
        <w:t>一、项目概况</w:t>
      </w:r>
    </w:p>
    <w:p w14:paraId="5EC3BFD7">
      <w:pPr>
        <w:snapToGrid w:val="0"/>
        <w:spacing w:line="360" w:lineRule="auto"/>
        <w:ind w:firstLine="420" w:firstLineChars="200"/>
        <w:rPr>
          <w:rFonts w:hint="eastAsia"/>
          <w:sz w:val="21"/>
          <w:szCs w:val="21"/>
        </w:rPr>
      </w:pPr>
      <w:r>
        <w:rPr>
          <w:rFonts w:hint="eastAsia"/>
          <w:sz w:val="21"/>
          <w:szCs w:val="21"/>
        </w:rPr>
        <w:t>本项目工程招标范围包括测绘综合楼六层拆除及改造工程、装饰装修工程、电气工程、给排水工程、火灾报警工程、弱电工程、通风空调工程、消防工程等内容。具体详见图纸及工程量清单。</w:t>
      </w:r>
    </w:p>
    <w:p w14:paraId="0F20235F">
      <w:pPr>
        <w:spacing w:line="360" w:lineRule="auto"/>
        <w:ind w:left="461" w:leftChars="192" w:right="36" w:rightChars="15"/>
        <w:rPr>
          <w:rFonts w:hint="eastAsia"/>
          <w:b/>
          <w:bCs/>
          <w:sz w:val="21"/>
          <w:szCs w:val="21"/>
        </w:rPr>
      </w:pPr>
      <w:r>
        <w:rPr>
          <w:rFonts w:hint="eastAsia"/>
          <w:b/>
          <w:bCs/>
          <w:sz w:val="21"/>
          <w:szCs w:val="21"/>
        </w:rPr>
        <w:t>二、招标范围</w:t>
      </w:r>
    </w:p>
    <w:p w14:paraId="05E3E423">
      <w:pPr>
        <w:snapToGrid w:val="0"/>
        <w:spacing w:line="360" w:lineRule="auto"/>
        <w:ind w:firstLine="420" w:firstLineChars="200"/>
        <w:rPr>
          <w:rFonts w:hint="eastAsia"/>
          <w:sz w:val="21"/>
          <w:szCs w:val="21"/>
        </w:rPr>
      </w:pPr>
      <w:r>
        <w:rPr>
          <w:rFonts w:hint="eastAsia"/>
          <w:sz w:val="21"/>
          <w:szCs w:val="21"/>
        </w:rPr>
        <w:t>本项目施工图纸范围内及工程量清单和招标答疑所包括的所有内容。</w:t>
      </w:r>
    </w:p>
    <w:p w14:paraId="358D4583">
      <w:pPr>
        <w:snapToGrid w:val="0"/>
        <w:spacing w:line="360" w:lineRule="auto"/>
        <w:ind w:firstLine="420" w:firstLineChars="200"/>
        <w:rPr>
          <w:rFonts w:hint="eastAsia"/>
          <w:sz w:val="21"/>
          <w:szCs w:val="21"/>
        </w:rPr>
      </w:pPr>
      <w:r>
        <w:rPr>
          <w:rFonts w:hint="eastAsia"/>
          <w:sz w:val="21"/>
          <w:szCs w:val="21"/>
        </w:rPr>
        <w:t>工期：80日历天</w:t>
      </w:r>
    </w:p>
    <w:p w14:paraId="3EA84665">
      <w:pPr>
        <w:snapToGrid w:val="0"/>
        <w:spacing w:line="360" w:lineRule="auto"/>
        <w:ind w:firstLine="420" w:firstLineChars="200"/>
        <w:rPr>
          <w:rFonts w:hint="eastAsia"/>
          <w:sz w:val="21"/>
          <w:szCs w:val="21"/>
        </w:rPr>
      </w:pPr>
      <w:r>
        <w:rPr>
          <w:rFonts w:hint="eastAsia"/>
          <w:sz w:val="21"/>
          <w:szCs w:val="21"/>
        </w:rPr>
        <w:t>说明：本工程的施工过程和成果必须符合国家有关工程建设标准强制性条文和国家或有关部门关于工程施工方面现行的标准、规范、规程、定额、办法、示例，以及陕西省关于工程施工方面的文件、规定。</w:t>
      </w:r>
    </w:p>
    <w:p w14:paraId="5CF869CC">
      <w:pPr>
        <w:snapToGrid w:val="0"/>
        <w:spacing w:line="360" w:lineRule="auto"/>
        <w:ind w:firstLine="420" w:firstLineChars="200"/>
        <w:rPr>
          <w:rFonts w:hint="eastAsia"/>
          <w:sz w:val="21"/>
          <w:szCs w:val="21"/>
        </w:rPr>
      </w:pPr>
      <w:r>
        <w:rPr>
          <w:rFonts w:hint="eastAsia"/>
          <w:sz w:val="21"/>
          <w:szCs w:val="21"/>
        </w:rPr>
        <w:t>承包人在施工过程中使用或参考上述标准、规范以外的技术标准、规范时，应征得业主或业主指定代表人的同意。</w:t>
      </w:r>
    </w:p>
    <w:p w14:paraId="1590B81A">
      <w:pPr>
        <w:snapToGrid w:val="0"/>
        <w:spacing w:line="360" w:lineRule="auto"/>
        <w:ind w:firstLine="420" w:firstLineChars="200"/>
        <w:rPr>
          <w:rFonts w:hint="eastAsia" w:ascii="Times New Roman" w:hAnsi="Times New Roman" w:cs="Times New Roman"/>
        </w:rPr>
      </w:pPr>
      <w:r>
        <w:rPr>
          <w:rFonts w:hint="eastAsia"/>
          <w:sz w:val="21"/>
          <w:szCs w:val="21"/>
        </w:rPr>
        <w:t>在施工过程中，如果国家或有关部门颁布了新的技术标准或规范，则承包人应采用新的标准或规范进行施工</w:t>
      </w:r>
      <w:r>
        <w:rPr>
          <w:rFonts w:hint="eastAsia" w:ascii="Times New Roman" w:hAnsi="Times New Roman" w:cs="Times New Roman"/>
        </w:rPr>
        <w:t>。</w:t>
      </w:r>
    </w:p>
    <w:p w14:paraId="29D479B9">
      <w:pPr>
        <w:numPr>
          <w:ilvl w:val="0"/>
          <w:numId w:val="3"/>
        </w:numPr>
        <w:spacing w:line="360" w:lineRule="auto"/>
        <w:ind w:left="461" w:leftChars="192" w:right="36" w:rightChars="15"/>
        <w:rPr>
          <w:rFonts w:hint="eastAsia"/>
          <w:b/>
          <w:bCs/>
          <w:sz w:val="21"/>
          <w:szCs w:val="21"/>
          <w:highlight w:val="none"/>
        </w:rPr>
      </w:pPr>
      <w:r>
        <w:rPr>
          <w:rFonts w:hint="eastAsia"/>
          <w:b/>
          <w:bCs/>
          <w:sz w:val="21"/>
          <w:szCs w:val="21"/>
          <w:highlight w:val="none"/>
        </w:rPr>
        <w:t>暂估价设备材料及专业工程暂估价</w:t>
      </w:r>
    </w:p>
    <w:p w14:paraId="42768F18">
      <w:pPr>
        <w:spacing w:line="360" w:lineRule="auto"/>
        <w:ind w:left="461" w:leftChars="192" w:right="36" w:rightChars="15"/>
        <w:rPr>
          <w:rFonts w:hint="eastAsia"/>
          <w:b/>
          <w:bCs/>
          <w:sz w:val="21"/>
          <w:szCs w:val="21"/>
          <w:highlight w:val="none"/>
        </w:rPr>
      </w:pPr>
      <w:r>
        <w:rPr>
          <w:rFonts w:hint="eastAsia"/>
          <w:b/>
          <w:bCs/>
          <w:sz w:val="21"/>
          <w:szCs w:val="21"/>
          <w:highlight w:val="none"/>
          <w:lang w:val="en-US" w:eastAsia="zh-CN"/>
        </w:rPr>
        <w:t>1、暂估价设备材料明细表</w:t>
      </w:r>
    </w:p>
    <w:tbl>
      <w:tblPr>
        <w:tblStyle w:val="50"/>
        <w:tblpPr w:leftFromText="180" w:rightFromText="180" w:vertAnchor="text" w:horzAnchor="page" w:tblpX="1180" w:tblpY="459"/>
        <w:tblOverlap w:val="never"/>
        <w:tblW w:w="91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3118"/>
        <w:gridCol w:w="1418"/>
        <w:gridCol w:w="2336"/>
        <w:gridCol w:w="1400"/>
      </w:tblGrid>
      <w:tr w14:paraId="5F3AB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837" w:type="dxa"/>
            <w:noWrap w:val="0"/>
            <w:vAlign w:val="center"/>
          </w:tcPr>
          <w:p w14:paraId="312ACF8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3118" w:type="dxa"/>
            <w:noWrap w:val="0"/>
            <w:vAlign w:val="center"/>
          </w:tcPr>
          <w:p w14:paraId="2D93D0C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名称、规格、型号</w:t>
            </w:r>
          </w:p>
        </w:tc>
        <w:tc>
          <w:tcPr>
            <w:tcW w:w="1418" w:type="dxa"/>
            <w:noWrap w:val="0"/>
            <w:vAlign w:val="center"/>
          </w:tcPr>
          <w:p w14:paraId="787A82F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计量单位</w:t>
            </w:r>
          </w:p>
        </w:tc>
        <w:tc>
          <w:tcPr>
            <w:tcW w:w="2336" w:type="dxa"/>
            <w:noWrap w:val="0"/>
            <w:vAlign w:val="center"/>
          </w:tcPr>
          <w:p w14:paraId="48D30FAC">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暂估单价（元）</w:t>
            </w:r>
          </w:p>
        </w:tc>
        <w:tc>
          <w:tcPr>
            <w:tcW w:w="1400" w:type="dxa"/>
            <w:noWrap w:val="0"/>
            <w:vAlign w:val="top"/>
          </w:tcPr>
          <w:p w14:paraId="6C624754">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tc>
      </w:tr>
      <w:tr w14:paraId="76F7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3698992E">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3118" w:type="dxa"/>
            <w:noWrap w:val="0"/>
            <w:vAlign w:val="center"/>
          </w:tcPr>
          <w:p w14:paraId="4F23FB9D">
            <w:pPr>
              <w:spacing w:line="360" w:lineRule="auto"/>
              <w:jc w:val="center"/>
              <w:rPr>
                <w:rFonts w:hint="eastAsia" w:ascii="宋体" w:hAnsi="宋体" w:eastAsia="宋体" w:cs="宋体"/>
                <w:sz w:val="21"/>
                <w:szCs w:val="21"/>
                <w:highlight w:val="none"/>
              </w:rPr>
            </w:pPr>
            <w:r>
              <w:rPr>
                <w:rFonts w:hint="eastAsia" w:ascii="宋体" w:hAnsi="宋体" w:eastAsia="宋体" w:cs="宋体"/>
                <w:b w:val="0"/>
                <w:bCs/>
                <w:sz w:val="21"/>
                <w:szCs w:val="21"/>
                <w:highlight w:val="none"/>
              </w:rPr>
              <w:t>釉面砖</w:t>
            </w:r>
          </w:p>
        </w:tc>
        <w:tc>
          <w:tcPr>
            <w:tcW w:w="1418" w:type="dxa"/>
            <w:noWrap w:val="0"/>
            <w:vAlign w:val="center"/>
          </w:tcPr>
          <w:p w14:paraId="31D2C577">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2336" w:type="dxa"/>
            <w:noWrap w:val="0"/>
            <w:vAlign w:val="center"/>
          </w:tcPr>
          <w:p w14:paraId="0F95FDF4">
            <w:pPr>
              <w:tabs>
                <w:tab w:val="left" w:pos="547"/>
              </w:tabs>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58</w:t>
            </w:r>
          </w:p>
        </w:tc>
        <w:tc>
          <w:tcPr>
            <w:tcW w:w="1400" w:type="dxa"/>
            <w:noWrap w:val="0"/>
            <w:vAlign w:val="center"/>
          </w:tcPr>
          <w:p w14:paraId="13DC683F">
            <w:pPr>
              <w:spacing w:line="360" w:lineRule="auto"/>
              <w:jc w:val="center"/>
              <w:rPr>
                <w:rFonts w:hint="eastAsia" w:ascii="宋体" w:hAnsi="宋体" w:eastAsia="宋体" w:cs="宋体"/>
                <w:sz w:val="21"/>
                <w:szCs w:val="21"/>
                <w:highlight w:val="none"/>
              </w:rPr>
            </w:pPr>
          </w:p>
        </w:tc>
      </w:tr>
      <w:tr w14:paraId="6DD7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4291F0E7">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3118" w:type="dxa"/>
            <w:noWrap w:val="0"/>
            <w:vAlign w:val="center"/>
          </w:tcPr>
          <w:p w14:paraId="4FDB1F31">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3P分体空调 KFRd-72LW/D-ME21Bp</w:t>
            </w:r>
          </w:p>
        </w:tc>
        <w:tc>
          <w:tcPr>
            <w:tcW w:w="1418" w:type="dxa"/>
            <w:noWrap w:val="0"/>
            <w:vAlign w:val="center"/>
          </w:tcPr>
          <w:p w14:paraId="5F122E04">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371E555F">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7450</w:t>
            </w:r>
          </w:p>
        </w:tc>
        <w:tc>
          <w:tcPr>
            <w:tcW w:w="1400" w:type="dxa"/>
            <w:noWrap w:val="0"/>
            <w:vAlign w:val="center"/>
          </w:tcPr>
          <w:p w14:paraId="10587CF1">
            <w:pPr>
              <w:spacing w:line="360" w:lineRule="auto"/>
              <w:jc w:val="center"/>
              <w:rPr>
                <w:rFonts w:hint="eastAsia" w:ascii="宋体" w:hAnsi="宋体" w:eastAsia="宋体" w:cs="宋体"/>
                <w:sz w:val="21"/>
                <w:szCs w:val="21"/>
                <w:highlight w:val="none"/>
              </w:rPr>
            </w:pPr>
          </w:p>
        </w:tc>
      </w:tr>
      <w:tr w14:paraId="5C8A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67F6C432">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3118" w:type="dxa"/>
            <w:noWrap w:val="0"/>
            <w:vAlign w:val="center"/>
          </w:tcPr>
          <w:p w14:paraId="53532ACB">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暗装吊顶式风管机 N-22 制冷量2.2kW,制热量2.6kW,额定功率22W,风量420m3/h,静压30Pa</w:t>
            </w:r>
          </w:p>
        </w:tc>
        <w:tc>
          <w:tcPr>
            <w:tcW w:w="1418" w:type="dxa"/>
            <w:noWrap w:val="0"/>
            <w:vAlign w:val="center"/>
          </w:tcPr>
          <w:p w14:paraId="50C11354">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7CE9B421">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2284</w:t>
            </w:r>
          </w:p>
        </w:tc>
        <w:tc>
          <w:tcPr>
            <w:tcW w:w="1400" w:type="dxa"/>
            <w:noWrap w:val="0"/>
            <w:vAlign w:val="center"/>
          </w:tcPr>
          <w:p w14:paraId="46D834A9">
            <w:pPr>
              <w:spacing w:line="360" w:lineRule="auto"/>
              <w:jc w:val="center"/>
              <w:rPr>
                <w:rFonts w:hint="eastAsia" w:ascii="宋体" w:hAnsi="宋体" w:eastAsia="宋体" w:cs="宋体"/>
                <w:sz w:val="21"/>
                <w:szCs w:val="21"/>
                <w:highlight w:val="none"/>
              </w:rPr>
            </w:pPr>
          </w:p>
        </w:tc>
      </w:tr>
      <w:tr w14:paraId="5E6F1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795A59D2">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3118" w:type="dxa"/>
            <w:noWrap w:val="0"/>
            <w:vAlign w:val="center"/>
          </w:tcPr>
          <w:p w14:paraId="56CBEF26">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暗装吊顶式风管机 N-28 制冷量2.8kW,制热量3.2kW,额定功率28W,风量460m3/h,静压30Pa</w:t>
            </w:r>
          </w:p>
        </w:tc>
        <w:tc>
          <w:tcPr>
            <w:tcW w:w="1418" w:type="dxa"/>
            <w:noWrap w:val="0"/>
            <w:vAlign w:val="center"/>
          </w:tcPr>
          <w:p w14:paraId="526B5365">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2CC29B6A">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2308</w:t>
            </w:r>
          </w:p>
        </w:tc>
        <w:tc>
          <w:tcPr>
            <w:tcW w:w="1400" w:type="dxa"/>
            <w:noWrap w:val="0"/>
            <w:vAlign w:val="center"/>
          </w:tcPr>
          <w:p w14:paraId="4B0CFEC5">
            <w:pPr>
              <w:spacing w:line="360" w:lineRule="auto"/>
              <w:jc w:val="center"/>
              <w:rPr>
                <w:rFonts w:hint="eastAsia" w:ascii="宋体" w:hAnsi="宋体" w:eastAsia="宋体" w:cs="宋体"/>
                <w:sz w:val="21"/>
                <w:szCs w:val="21"/>
                <w:highlight w:val="none"/>
              </w:rPr>
            </w:pPr>
          </w:p>
        </w:tc>
      </w:tr>
      <w:tr w14:paraId="7ADB4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6CE85591">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3118" w:type="dxa"/>
            <w:noWrap w:val="0"/>
            <w:vAlign w:val="center"/>
          </w:tcPr>
          <w:p w14:paraId="3EE3FDC9">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暗装吊顶式风管机 N-32 制冷量3.2kW,制热量3.6kW,额定功率49W,风量570m3/h,静压30Pa</w:t>
            </w:r>
          </w:p>
        </w:tc>
        <w:tc>
          <w:tcPr>
            <w:tcW w:w="1418" w:type="dxa"/>
            <w:noWrap w:val="0"/>
            <w:vAlign w:val="center"/>
          </w:tcPr>
          <w:p w14:paraId="2B6C6240">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2D7EA905">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2416</w:t>
            </w:r>
          </w:p>
        </w:tc>
        <w:tc>
          <w:tcPr>
            <w:tcW w:w="1400" w:type="dxa"/>
            <w:noWrap w:val="0"/>
            <w:vAlign w:val="center"/>
          </w:tcPr>
          <w:p w14:paraId="16C22147">
            <w:pPr>
              <w:spacing w:line="360" w:lineRule="auto"/>
              <w:jc w:val="center"/>
              <w:rPr>
                <w:rFonts w:hint="eastAsia" w:ascii="宋体" w:hAnsi="宋体" w:eastAsia="宋体" w:cs="宋体"/>
                <w:sz w:val="21"/>
                <w:szCs w:val="21"/>
                <w:highlight w:val="none"/>
              </w:rPr>
            </w:pPr>
          </w:p>
        </w:tc>
      </w:tr>
      <w:tr w14:paraId="0A465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67A10CC1">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3118" w:type="dxa"/>
            <w:noWrap w:val="0"/>
            <w:vAlign w:val="center"/>
          </w:tcPr>
          <w:p w14:paraId="7225E877">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暗装吊顶式风管机 N-36 制冷量3.6kW,制热量4.0kW,额定功率49W,风量570m3/h,静压30Pa</w:t>
            </w:r>
          </w:p>
        </w:tc>
        <w:tc>
          <w:tcPr>
            <w:tcW w:w="1418" w:type="dxa"/>
            <w:noWrap w:val="0"/>
            <w:vAlign w:val="center"/>
          </w:tcPr>
          <w:p w14:paraId="0E2A5388">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78CA8DF9">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2418</w:t>
            </w:r>
          </w:p>
        </w:tc>
        <w:tc>
          <w:tcPr>
            <w:tcW w:w="1400" w:type="dxa"/>
            <w:noWrap w:val="0"/>
            <w:vAlign w:val="center"/>
          </w:tcPr>
          <w:p w14:paraId="63473192">
            <w:pPr>
              <w:spacing w:line="360" w:lineRule="auto"/>
              <w:jc w:val="center"/>
              <w:rPr>
                <w:rFonts w:hint="eastAsia" w:ascii="宋体" w:hAnsi="宋体" w:eastAsia="宋体" w:cs="宋体"/>
                <w:sz w:val="21"/>
                <w:szCs w:val="21"/>
                <w:highlight w:val="none"/>
              </w:rPr>
            </w:pPr>
          </w:p>
        </w:tc>
      </w:tr>
      <w:tr w14:paraId="1D9E6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7EB59968">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3118" w:type="dxa"/>
            <w:noWrap w:val="0"/>
            <w:vAlign w:val="center"/>
          </w:tcPr>
          <w:p w14:paraId="59CAA7AE">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暗装吊顶式风管机 N-40 制冷量4.0kW,制热量4.5kW,额定功率43W,风量700m3/h,静压30Pa</w:t>
            </w:r>
          </w:p>
        </w:tc>
        <w:tc>
          <w:tcPr>
            <w:tcW w:w="1418" w:type="dxa"/>
            <w:noWrap w:val="0"/>
            <w:vAlign w:val="center"/>
          </w:tcPr>
          <w:p w14:paraId="445E634F">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7583485E">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2465</w:t>
            </w:r>
          </w:p>
        </w:tc>
        <w:tc>
          <w:tcPr>
            <w:tcW w:w="1400" w:type="dxa"/>
            <w:noWrap w:val="0"/>
            <w:vAlign w:val="center"/>
          </w:tcPr>
          <w:p w14:paraId="77D5E859">
            <w:pPr>
              <w:spacing w:line="360" w:lineRule="auto"/>
              <w:jc w:val="center"/>
              <w:rPr>
                <w:rFonts w:hint="eastAsia" w:ascii="宋体" w:hAnsi="宋体" w:eastAsia="宋体" w:cs="宋体"/>
                <w:sz w:val="21"/>
                <w:szCs w:val="21"/>
                <w:highlight w:val="none"/>
              </w:rPr>
            </w:pPr>
          </w:p>
        </w:tc>
      </w:tr>
      <w:tr w14:paraId="4979E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1E38D967">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3118" w:type="dxa"/>
            <w:noWrap w:val="0"/>
            <w:vAlign w:val="center"/>
          </w:tcPr>
          <w:p w14:paraId="052CBF44">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暗装吊顶式风管机 N-45 制冷量4.5kW,制热量5.0kW,额定功率80W,风量790m3/h,静压30Pa</w:t>
            </w:r>
          </w:p>
        </w:tc>
        <w:tc>
          <w:tcPr>
            <w:tcW w:w="1418" w:type="dxa"/>
            <w:noWrap w:val="0"/>
            <w:vAlign w:val="center"/>
          </w:tcPr>
          <w:p w14:paraId="5D21110B">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6BE697FC">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2490</w:t>
            </w:r>
          </w:p>
        </w:tc>
        <w:tc>
          <w:tcPr>
            <w:tcW w:w="1400" w:type="dxa"/>
            <w:noWrap w:val="0"/>
            <w:vAlign w:val="center"/>
          </w:tcPr>
          <w:p w14:paraId="36B278E9">
            <w:pPr>
              <w:spacing w:line="360" w:lineRule="auto"/>
              <w:jc w:val="center"/>
              <w:rPr>
                <w:rFonts w:hint="eastAsia" w:ascii="宋体" w:hAnsi="宋体" w:eastAsia="宋体" w:cs="宋体"/>
                <w:sz w:val="21"/>
                <w:szCs w:val="21"/>
                <w:highlight w:val="none"/>
              </w:rPr>
            </w:pPr>
          </w:p>
        </w:tc>
      </w:tr>
      <w:tr w14:paraId="4A3AE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7D4B85E5">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3118" w:type="dxa"/>
            <w:noWrap w:val="0"/>
            <w:vAlign w:val="center"/>
          </w:tcPr>
          <w:p w14:paraId="4CBD5D72">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暗装吊顶式风管机 N-50 制冷量5.0kW,制热量5.6kW,额定功率100W,风量1020m3/h,静压30Pa</w:t>
            </w:r>
          </w:p>
        </w:tc>
        <w:tc>
          <w:tcPr>
            <w:tcW w:w="1418" w:type="dxa"/>
            <w:noWrap w:val="0"/>
            <w:vAlign w:val="center"/>
          </w:tcPr>
          <w:p w14:paraId="60A39158">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5E32ECAE">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2541</w:t>
            </w:r>
          </w:p>
        </w:tc>
        <w:tc>
          <w:tcPr>
            <w:tcW w:w="1400" w:type="dxa"/>
            <w:noWrap w:val="0"/>
            <w:vAlign w:val="center"/>
          </w:tcPr>
          <w:p w14:paraId="76349823">
            <w:pPr>
              <w:spacing w:line="360" w:lineRule="auto"/>
              <w:jc w:val="center"/>
              <w:rPr>
                <w:rFonts w:hint="eastAsia" w:ascii="宋体" w:hAnsi="宋体" w:eastAsia="宋体" w:cs="宋体"/>
                <w:sz w:val="21"/>
                <w:szCs w:val="21"/>
                <w:highlight w:val="none"/>
              </w:rPr>
            </w:pPr>
          </w:p>
        </w:tc>
      </w:tr>
      <w:tr w14:paraId="15A1F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2A2AF311">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3118" w:type="dxa"/>
            <w:noWrap w:val="0"/>
            <w:vAlign w:val="center"/>
          </w:tcPr>
          <w:p w14:paraId="18461983">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暗装吊顶式风管机 N-63 制冷量6.3kW,制热量7.1kW,额定功率92W,风量1100m3/h,静压50Pa</w:t>
            </w:r>
          </w:p>
        </w:tc>
        <w:tc>
          <w:tcPr>
            <w:tcW w:w="1418" w:type="dxa"/>
            <w:noWrap w:val="0"/>
            <w:vAlign w:val="center"/>
          </w:tcPr>
          <w:p w14:paraId="4AC10034">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4A8589BC">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2711</w:t>
            </w:r>
          </w:p>
        </w:tc>
        <w:tc>
          <w:tcPr>
            <w:tcW w:w="1400" w:type="dxa"/>
            <w:noWrap w:val="0"/>
            <w:vAlign w:val="center"/>
          </w:tcPr>
          <w:p w14:paraId="57367008">
            <w:pPr>
              <w:spacing w:line="360" w:lineRule="auto"/>
              <w:jc w:val="center"/>
              <w:rPr>
                <w:rFonts w:hint="eastAsia" w:ascii="宋体" w:hAnsi="宋体" w:eastAsia="宋体" w:cs="宋体"/>
                <w:sz w:val="21"/>
                <w:szCs w:val="21"/>
                <w:highlight w:val="none"/>
              </w:rPr>
            </w:pPr>
          </w:p>
        </w:tc>
      </w:tr>
      <w:tr w14:paraId="3C84B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4937FB01">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3118" w:type="dxa"/>
            <w:noWrap w:val="0"/>
            <w:vAlign w:val="center"/>
          </w:tcPr>
          <w:p w14:paraId="6ADD84A7">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暗装吊顶式风管机 N-80 制冷量8.0kW,制热量9.0kW,额定功率102W,风量1355m3/h,静压50Pa</w:t>
            </w:r>
          </w:p>
        </w:tc>
        <w:tc>
          <w:tcPr>
            <w:tcW w:w="1418" w:type="dxa"/>
            <w:noWrap w:val="0"/>
            <w:vAlign w:val="center"/>
          </w:tcPr>
          <w:p w14:paraId="0706916B">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42ED7CA5">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2785</w:t>
            </w:r>
          </w:p>
        </w:tc>
        <w:tc>
          <w:tcPr>
            <w:tcW w:w="1400" w:type="dxa"/>
            <w:noWrap w:val="0"/>
            <w:vAlign w:val="center"/>
          </w:tcPr>
          <w:p w14:paraId="7BEA52B1">
            <w:pPr>
              <w:spacing w:line="360" w:lineRule="auto"/>
              <w:jc w:val="center"/>
              <w:rPr>
                <w:rFonts w:hint="eastAsia" w:ascii="宋体" w:hAnsi="宋体" w:eastAsia="宋体" w:cs="宋体"/>
                <w:sz w:val="21"/>
                <w:szCs w:val="21"/>
                <w:highlight w:val="none"/>
              </w:rPr>
            </w:pPr>
          </w:p>
        </w:tc>
      </w:tr>
      <w:tr w14:paraId="3266A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650721D6">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3118" w:type="dxa"/>
            <w:noWrap w:val="0"/>
            <w:vAlign w:val="center"/>
          </w:tcPr>
          <w:p w14:paraId="2BC604C5">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暗装吊顶式风管机 N-90 制冷量9.0kW,制热量10.0kW,额定功率110W,风量1420m3/h,静压50Pa</w:t>
            </w:r>
          </w:p>
        </w:tc>
        <w:tc>
          <w:tcPr>
            <w:tcW w:w="1418" w:type="dxa"/>
            <w:noWrap w:val="0"/>
            <w:vAlign w:val="center"/>
          </w:tcPr>
          <w:p w14:paraId="189BD6B7">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139A55DA">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2844</w:t>
            </w:r>
          </w:p>
        </w:tc>
        <w:tc>
          <w:tcPr>
            <w:tcW w:w="1400" w:type="dxa"/>
            <w:noWrap w:val="0"/>
            <w:vAlign w:val="center"/>
          </w:tcPr>
          <w:p w14:paraId="56E04EFE">
            <w:pPr>
              <w:spacing w:line="360" w:lineRule="auto"/>
              <w:jc w:val="center"/>
              <w:rPr>
                <w:rFonts w:hint="eastAsia" w:ascii="宋体" w:hAnsi="宋体" w:eastAsia="宋体" w:cs="宋体"/>
                <w:sz w:val="21"/>
                <w:szCs w:val="21"/>
                <w:highlight w:val="none"/>
              </w:rPr>
            </w:pPr>
          </w:p>
        </w:tc>
      </w:tr>
      <w:tr w14:paraId="64B7C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4C29B046">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3118" w:type="dxa"/>
            <w:noWrap w:val="0"/>
            <w:vAlign w:val="center"/>
          </w:tcPr>
          <w:p w14:paraId="4B05514F">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变频多联机室外机 W-1910 制冷量190.4KW,制热量212KW，风量63500m3/h</w:t>
            </w:r>
          </w:p>
        </w:tc>
        <w:tc>
          <w:tcPr>
            <w:tcW w:w="1418" w:type="dxa"/>
            <w:noWrap w:val="0"/>
            <w:vAlign w:val="center"/>
          </w:tcPr>
          <w:p w14:paraId="2CC4BB7F">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4CAE6201">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60000</w:t>
            </w:r>
          </w:p>
        </w:tc>
        <w:tc>
          <w:tcPr>
            <w:tcW w:w="1400" w:type="dxa"/>
            <w:noWrap w:val="0"/>
            <w:vAlign w:val="center"/>
          </w:tcPr>
          <w:p w14:paraId="2B8C286C">
            <w:pPr>
              <w:spacing w:line="360" w:lineRule="auto"/>
              <w:jc w:val="center"/>
              <w:rPr>
                <w:rFonts w:hint="eastAsia" w:ascii="宋体" w:hAnsi="宋体" w:eastAsia="宋体" w:cs="宋体"/>
                <w:sz w:val="21"/>
                <w:szCs w:val="21"/>
                <w:highlight w:val="none"/>
              </w:rPr>
            </w:pPr>
          </w:p>
        </w:tc>
      </w:tr>
      <w:tr w14:paraId="5FACE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61C990E6">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p>
        </w:tc>
        <w:tc>
          <w:tcPr>
            <w:tcW w:w="3118" w:type="dxa"/>
            <w:noWrap w:val="0"/>
            <w:vAlign w:val="center"/>
          </w:tcPr>
          <w:p w14:paraId="3E101490">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变频多联机室外机 W-280-T 制冷量28.0KW,制热量31.5KW</w:t>
            </w:r>
          </w:p>
        </w:tc>
        <w:tc>
          <w:tcPr>
            <w:tcW w:w="1418" w:type="dxa"/>
            <w:noWrap w:val="0"/>
            <w:vAlign w:val="center"/>
          </w:tcPr>
          <w:p w14:paraId="434C46C1">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482FCC90">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16320</w:t>
            </w:r>
          </w:p>
        </w:tc>
        <w:tc>
          <w:tcPr>
            <w:tcW w:w="1400" w:type="dxa"/>
            <w:noWrap w:val="0"/>
            <w:vAlign w:val="center"/>
          </w:tcPr>
          <w:p w14:paraId="65A7653E">
            <w:pPr>
              <w:spacing w:line="360" w:lineRule="auto"/>
              <w:jc w:val="center"/>
              <w:rPr>
                <w:rFonts w:hint="eastAsia" w:ascii="宋体" w:hAnsi="宋体" w:eastAsia="宋体" w:cs="宋体"/>
                <w:sz w:val="21"/>
                <w:szCs w:val="21"/>
                <w:highlight w:val="none"/>
              </w:rPr>
            </w:pPr>
          </w:p>
        </w:tc>
      </w:tr>
      <w:tr w14:paraId="0FE0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837" w:type="dxa"/>
            <w:noWrap w:val="0"/>
            <w:vAlign w:val="center"/>
          </w:tcPr>
          <w:p w14:paraId="1614F11E">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3118" w:type="dxa"/>
            <w:noWrap w:val="0"/>
            <w:vAlign w:val="center"/>
          </w:tcPr>
          <w:p w14:paraId="4226E340">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变频多联机室外机 W-450 制冷量45.0KW,制热量50.5KW，风量16000m3/h</w:t>
            </w:r>
          </w:p>
        </w:tc>
        <w:tc>
          <w:tcPr>
            <w:tcW w:w="1418" w:type="dxa"/>
            <w:noWrap w:val="0"/>
            <w:vAlign w:val="center"/>
          </w:tcPr>
          <w:p w14:paraId="671B5E8E">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7FE5C327">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24980</w:t>
            </w:r>
          </w:p>
        </w:tc>
        <w:tc>
          <w:tcPr>
            <w:tcW w:w="1400" w:type="dxa"/>
            <w:noWrap w:val="0"/>
            <w:vAlign w:val="center"/>
          </w:tcPr>
          <w:p w14:paraId="1411FF97">
            <w:pPr>
              <w:spacing w:line="360" w:lineRule="auto"/>
              <w:jc w:val="center"/>
              <w:rPr>
                <w:rFonts w:hint="eastAsia" w:ascii="宋体" w:hAnsi="宋体" w:eastAsia="宋体" w:cs="宋体"/>
                <w:sz w:val="21"/>
                <w:szCs w:val="21"/>
                <w:highlight w:val="none"/>
              </w:rPr>
            </w:pPr>
          </w:p>
        </w:tc>
      </w:tr>
      <w:tr w14:paraId="04848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6CD6CC5F">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c>
          <w:tcPr>
            <w:tcW w:w="3118" w:type="dxa"/>
            <w:noWrap w:val="0"/>
            <w:vAlign w:val="center"/>
          </w:tcPr>
          <w:p w14:paraId="7EAD5695">
            <w:pPr>
              <w:keepNext w:val="0"/>
              <w:keepLines w:val="0"/>
              <w:widowControl/>
              <w:suppressLineNumbers w:val="0"/>
              <w:jc w:val="center"/>
              <w:textAlignment w:val="center"/>
              <w:rPr>
                <w:rFonts w:hint="eastAsia" w:ascii="宋体" w:hAnsi="宋体" w:eastAsia="宋体" w:cs="宋体"/>
                <w:b w:val="0"/>
                <w:bCs/>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多联机分户计量收费系统</w:t>
            </w:r>
          </w:p>
        </w:tc>
        <w:tc>
          <w:tcPr>
            <w:tcW w:w="1418" w:type="dxa"/>
            <w:noWrap w:val="0"/>
            <w:vAlign w:val="center"/>
          </w:tcPr>
          <w:p w14:paraId="2EE80D30">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项</w:t>
            </w:r>
          </w:p>
        </w:tc>
        <w:tc>
          <w:tcPr>
            <w:tcW w:w="2336" w:type="dxa"/>
            <w:noWrap w:val="0"/>
            <w:vAlign w:val="center"/>
          </w:tcPr>
          <w:p w14:paraId="1CF17DD4">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5000</w:t>
            </w:r>
          </w:p>
        </w:tc>
        <w:tc>
          <w:tcPr>
            <w:tcW w:w="1400" w:type="dxa"/>
            <w:noWrap w:val="0"/>
            <w:vAlign w:val="center"/>
          </w:tcPr>
          <w:p w14:paraId="0CE0CB88">
            <w:pPr>
              <w:spacing w:line="360" w:lineRule="auto"/>
              <w:jc w:val="center"/>
              <w:rPr>
                <w:rFonts w:hint="eastAsia" w:ascii="宋体" w:hAnsi="宋体" w:eastAsia="宋体" w:cs="宋体"/>
                <w:sz w:val="21"/>
                <w:szCs w:val="21"/>
                <w:highlight w:val="none"/>
              </w:rPr>
            </w:pPr>
          </w:p>
        </w:tc>
      </w:tr>
      <w:tr w14:paraId="1F71B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37" w:type="dxa"/>
            <w:noWrap w:val="0"/>
            <w:vAlign w:val="center"/>
          </w:tcPr>
          <w:p w14:paraId="6816F880">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w:t>
            </w:r>
          </w:p>
        </w:tc>
        <w:tc>
          <w:tcPr>
            <w:tcW w:w="3118" w:type="dxa"/>
            <w:shd w:val="clear" w:color="auto" w:fill="auto"/>
            <w:noWrap w:val="0"/>
            <w:vAlign w:val="center"/>
          </w:tcPr>
          <w:p w14:paraId="3E01FD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全新风室内机 X4000 制冷量45kW,制热量32kW,风量4000m3/h</w:t>
            </w:r>
          </w:p>
        </w:tc>
        <w:tc>
          <w:tcPr>
            <w:tcW w:w="1418" w:type="dxa"/>
            <w:noWrap w:val="0"/>
            <w:vAlign w:val="center"/>
          </w:tcPr>
          <w:p w14:paraId="674F8031">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台</w:t>
            </w:r>
          </w:p>
        </w:tc>
        <w:tc>
          <w:tcPr>
            <w:tcW w:w="2336" w:type="dxa"/>
            <w:noWrap w:val="0"/>
            <w:vAlign w:val="center"/>
          </w:tcPr>
          <w:p w14:paraId="170920D6">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14750</w:t>
            </w:r>
          </w:p>
        </w:tc>
        <w:tc>
          <w:tcPr>
            <w:tcW w:w="1400" w:type="dxa"/>
            <w:noWrap w:val="0"/>
            <w:vAlign w:val="center"/>
          </w:tcPr>
          <w:p w14:paraId="6080061F">
            <w:pPr>
              <w:spacing w:line="360" w:lineRule="auto"/>
              <w:jc w:val="center"/>
              <w:rPr>
                <w:rFonts w:hint="eastAsia" w:ascii="宋体" w:hAnsi="宋体" w:eastAsia="宋体" w:cs="宋体"/>
                <w:sz w:val="21"/>
                <w:szCs w:val="21"/>
                <w:highlight w:val="none"/>
              </w:rPr>
            </w:pPr>
          </w:p>
        </w:tc>
      </w:tr>
    </w:tbl>
    <w:p w14:paraId="61248355">
      <w:pPr>
        <w:rPr>
          <w:rFonts w:hint="eastAsia"/>
          <w:b/>
          <w:bCs/>
          <w:sz w:val="21"/>
          <w:szCs w:val="21"/>
          <w:highlight w:val="yellow"/>
          <w:lang w:val="en-US" w:eastAsia="zh-CN"/>
        </w:rPr>
      </w:pPr>
      <w:r>
        <w:rPr>
          <w:rFonts w:hint="eastAsia" w:ascii="宋体" w:hAnsi="宋体"/>
          <w:b/>
          <w:szCs w:val="21"/>
          <w:highlight w:val="yellow"/>
          <w:lang w:val="en-US" w:eastAsia="zh-CN"/>
        </w:rPr>
        <w:br w:type="page"/>
      </w:r>
    </w:p>
    <w:p w14:paraId="7DCB863F">
      <w:pPr>
        <w:spacing w:line="360" w:lineRule="auto"/>
        <w:ind w:left="461" w:leftChars="192" w:right="36" w:rightChars="15"/>
        <w:rPr>
          <w:rFonts w:hint="eastAsia"/>
          <w:b/>
          <w:bCs/>
          <w:sz w:val="21"/>
          <w:szCs w:val="21"/>
          <w:highlight w:val="none"/>
          <w:lang w:val="en-US" w:eastAsia="zh-CN"/>
        </w:rPr>
      </w:pPr>
      <w:r>
        <w:rPr>
          <w:rFonts w:hint="eastAsia"/>
          <w:b/>
          <w:bCs/>
          <w:sz w:val="21"/>
          <w:szCs w:val="21"/>
          <w:highlight w:val="none"/>
          <w:lang w:val="en-US" w:eastAsia="zh-CN"/>
        </w:rPr>
        <w:t>2、专业工程暂估价</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4895"/>
        <w:gridCol w:w="3080"/>
      </w:tblGrid>
      <w:tr w14:paraId="61B44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966" w:type="dxa"/>
            <w:noWrap w:val="0"/>
            <w:vAlign w:val="center"/>
          </w:tcPr>
          <w:p w14:paraId="392A3EDE">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4895" w:type="dxa"/>
            <w:noWrap w:val="0"/>
            <w:vAlign w:val="center"/>
          </w:tcPr>
          <w:p w14:paraId="43AB8804">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发包人发包专业工程名称</w:t>
            </w:r>
          </w:p>
        </w:tc>
        <w:tc>
          <w:tcPr>
            <w:tcW w:w="3080" w:type="dxa"/>
            <w:noWrap w:val="0"/>
            <w:vAlign w:val="center"/>
          </w:tcPr>
          <w:p w14:paraId="786E0A06">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暂估价</w:t>
            </w:r>
          </w:p>
        </w:tc>
      </w:tr>
      <w:tr w14:paraId="315CB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66" w:type="dxa"/>
            <w:noWrap w:val="0"/>
            <w:vAlign w:val="center"/>
          </w:tcPr>
          <w:p w14:paraId="3FBCBA35">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4895" w:type="dxa"/>
            <w:noWrap w:val="0"/>
            <w:vAlign w:val="center"/>
          </w:tcPr>
          <w:p w14:paraId="237FADD5">
            <w:pPr>
              <w:spacing w:line="360"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屋顶花园软装</w:t>
            </w:r>
          </w:p>
        </w:tc>
        <w:tc>
          <w:tcPr>
            <w:tcW w:w="3080" w:type="dxa"/>
            <w:noWrap w:val="0"/>
            <w:vAlign w:val="center"/>
          </w:tcPr>
          <w:p w14:paraId="147E7607">
            <w:pPr>
              <w:spacing w:line="360" w:lineRule="auto"/>
              <w:jc w:val="center"/>
              <w:rPr>
                <w:rFonts w:hint="default" w:ascii="宋体" w:hAnsi="宋体" w:eastAsia="宋体" w:cs="宋体"/>
                <w:sz w:val="21"/>
                <w:szCs w:val="21"/>
                <w:highlight w:val="none"/>
                <w:lang w:val="en-US" w:eastAsia="zh-CN"/>
              </w:rPr>
            </w:pPr>
            <w:r>
              <w:rPr>
                <w:rFonts w:hint="eastAsia" w:cs="宋体"/>
                <w:sz w:val="21"/>
                <w:szCs w:val="21"/>
                <w:highlight w:val="none"/>
                <w:lang w:val="en-US" w:eastAsia="zh-CN"/>
              </w:rPr>
              <w:t>50000</w:t>
            </w:r>
          </w:p>
        </w:tc>
      </w:tr>
    </w:tbl>
    <w:p w14:paraId="2A8C68F3">
      <w:pPr>
        <w:spacing w:line="360" w:lineRule="auto"/>
        <w:ind w:right="36" w:rightChars="15"/>
        <w:rPr>
          <w:rFonts w:hint="default"/>
          <w:b/>
          <w:bCs/>
          <w:sz w:val="21"/>
          <w:szCs w:val="21"/>
          <w:lang w:val="en-US" w:eastAsia="zh-CN"/>
        </w:rPr>
      </w:pPr>
    </w:p>
    <w:p w14:paraId="0A442315">
      <w:pPr>
        <w:spacing w:line="360" w:lineRule="auto"/>
        <w:ind w:left="461" w:leftChars="192" w:right="36" w:rightChars="15"/>
        <w:rPr>
          <w:rFonts w:hint="eastAsia"/>
          <w:b/>
          <w:bCs/>
          <w:sz w:val="21"/>
          <w:szCs w:val="21"/>
          <w:lang w:val="en-US" w:eastAsia="zh-CN"/>
        </w:rPr>
      </w:pPr>
      <w:r>
        <w:rPr>
          <w:rFonts w:hint="eastAsia"/>
          <w:b/>
          <w:bCs/>
          <w:sz w:val="21"/>
          <w:szCs w:val="21"/>
          <w:lang w:val="en-US" w:eastAsia="zh-CN"/>
        </w:rPr>
        <w:t>三、主要材料、设备品牌要求</w:t>
      </w:r>
    </w:p>
    <w:tbl>
      <w:tblPr>
        <w:tblStyle w:val="50"/>
        <w:tblW w:w="0" w:type="auto"/>
        <w:tblInd w:w="404" w:type="dxa"/>
        <w:tblLayout w:type="autofit"/>
        <w:tblCellMar>
          <w:top w:w="0" w:type="dxa"/>
          <w:left w:w="108" w:type="dxa"/>
          <w:bottom w:w="0" w:type="dxa"/>
          <w:right w:w="108" w:type="dxa"/>
        </w:tblCellMar>
      </w:tblPr>
      <w:tblGrid>
        <w:gridCol w:w="882"/>
        <w:gridCol w:w="3171"/>
        <w:gridCol w:w="3895"/>
        <w:gridCol w:w="986"/>
      </w:tblGrid>
      <w:tr w14:paraId="3D64497D">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0A416661">
            <w:pPr>
              <w:snapToGrid w:val="0"/>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3171" w:type="dxa"/>
            <w:tcBorders>
              <w:top w:val="single" w:color="000000" w:sz="4" w:space="0"/>
              <w:left w:val="single" w:color="000000" w:sz="4" w:space="0"/>
              <w:bottom w:val="single" w:color="000000" w:sz="4" w:space="0"/>
              <w:right w:val="single" w:color="000000" w:sz="4" w:space="0"/>
            </w:tcBorders>
            <w:vAlign w:val="center"/>
          </w:tcPr>
          <w:p w14:paraId="44958E1C">
            <w:pPr>
              <w:snapToGrid w:val="0"/>
              <w:jc w:val="center"/>
              <w:rPr>
                <w:rFonts w:hint="eastAsia" w:ascii="宋体" w:hAnsi="宋体" w:eastAsia="宋体" w:cs="宋体"/>
                <w:b/>
                <w:sz w:val="21"/>
                <w:szCs w:val="21"/>
              </w:rPr>
            </w:pPr>
            <w:r>
              <w:rPr>
                <w:rFonts w:hint="eastAsia" w:ascii="宋体" w:hAnsi="宋体" w:eastAsia="宋体" w:cs="宋体"/>
                <w:b/>
                <w:sz w:val="21"/>
                <w:szCs w:val="21"/>
              </w:rPr>
              <w:t>材料名称</w:t>
            </w:r>
          </w:p>
        </w:tc>
        <w:tc>
          <w:tcPr>
            <w:tcW w:w="3895" w:type="dxa"/>
            <w:tcBorders>
              <w:top w:val="single" w:color="000000" w:sz="4" w:space="0"/>
              <w:left w:val="single" w:color="000000" w:sz="4" w:space="0"/>
              <w:bottom w:val="single" w:color="000000" w:sz="4" w:space="0"/>
              <w:right w:val="single" w:color="000000" w:sz="4" w:space="0"/>
            </w:tcBorders>
            <w:vAlign w:val="center"/>
          </w:tcPr>
          <w:p w14:paraId="462B92D5">
            <w:pPr>
              <w:snapToGrid w:val="0"/>
              <w:jc w:val="center"/>
              <w:rPr>
                <w:rFonts w:hint="eastAsia" w:ascii="宋体" w:hAnsi="宋体" w:eastAsia="宋体" w:cs="宋体"/>
                <w:b/>
                <w:sz w:val="21"/>
                <w:szCs w:val="21"/>
              </w:rPr>
            </w:pPr>
            <w:r>
              <w:rPr>
                <w:rFonts w:hint="eastAsia" w:ascii="宋体" w:hAnsi="宋体" w:eastAsia="宋体" w:cs="宋体"/>
                <w:b/>
                <w:sz w:val="21"/>
                <w:szCs w:val="21"/>
              </w:rPr>
              <w:t>参考品牌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3EDF8EA1">
            <w:pPr>
              <w:snapToGrid w:val="0"/>
              <w:jc w:val="center"/>
              <w:rPr>
                <w:rFonts w:hint="eastAsia" w:ascii="宋体" w:hAnsi="宋体" w:eastAsia="宋体" w:cs="宋体"/>
                <w:b/>
                <w:sz w:val="21"/>
                <w:szCs w:val="21"/>
              </w:rPr>
            </w:pPr>
            <w:r>
              <w:rPr>
                <w:rFonts w:hint="eastAsia" w:ascii="宋体" w:hAnsi="宋体" w:eastAsia="宋体" w:cs="宋体"/>
                <w:b/>
                <w:sz w:val="21"/>
                <w:szCs w:val="21"/>
              </w:rPr>
              <w:t>备注</w:t>
            </w:r>
          </w:p>
        </w:tc>
      </w:tr>
      <w:tr w14:paraId="1939B5BD">
        <w:tblPrEx>
          <w:tblCellMar>
            <w:top w:w="0" w:type="dxa"/>
            <w:left w:w="108" w:type="dxa"/>
            <w:bottom w:w="0" w:type="dxa"/>
            <w:right w:w="108" w:type="dxa"/>
          </w:tblCellMar>
        </w:tblPrEx>
        <w:tc>
          <w:tcPr>
            <w:tcW w:w="8934" w:type="dxa"/>
            <w:gridSpan w:val="4"/>
            <w:tcBorders>
              <w:top w:val="single" w:color="000000" w:sz="4" w:space="0"/>
              <w:left w:val="single" w:color="000000" w:sz="4" w:space="0"/>
              <w:bottom w:val="single" w:color="000000" w:sz="4" w:space="0"/>
              <w:right w:val="single" w:color="000000" w:sz="4" w:space="0"/>
            </w:tcBorders>
            <w:vAlign w:val="center"/>
          </w:tcPr>
          <w:p w14:paraId="0DDEF343">
            <w:pPr>
              <w:snapToGrid w:val="0"/>
              <w:jc w:val="center"/>
              <w:rPr>
                <w:rFonts w:hint="eastAsia" w:ascii="宋体" w:hAnsi="宋体" w:eastAsia="宋体" w:cs="宋体"/>
                <w:b/>
                <w:sz w:val="21"/>
                <w:szCs w:val="21"/>
              </w:rPr>
            </w:pPr>
            <w:r>
              <w:rPr>
                <w:rFonts w:hint="eastAsia" w:ascii="宋体" w:hAnsi="宋体" w:eastAsia="宋体" w:cs="宋体"/>
                <w:b/>
                <w:sz w:val="21"/>
                <w:szCs w:val="21"/>
              </w:rPr>
              <w:t>土建及装修</w:t>
            </w:r>
          </w:p>
        </w:tc>
      </w:tr>
      <w:tr w14:paraId="38D1F001">
        <w:tblPrEx>
          <w:tblCellMar>
            <w:top w:w="0" w:type="dxa"/>
            <w:left w:w="108" w:type="dxa"/>
            <w:bottom w:w="0" w:type="dxa"/>
            <w:right w:w="108" w:type="dxa"/>
          </w:tblCellMar>
        </w:tblPrEx>
        <w:trPr>
          <w:trHeight w:val="461" w:hRule="atLeast"/>
        </w:trPr>
        <w:tc>
          <w:tcPr>
            <w:tcW w:w="882" w:type="dxa"/>
            <w:tcBorders>
              <w:top w:val="single" w:color="000000" w:sz="4" w:space="0"/>
              <w:left w:val="single" w:color="000000" w:sz="4" w:space="0"/>
              <w:bottom w:val="single" w:color="000000" w:sz="4" w:space="0"/>
              <w:right w:val="single" w:color="000000" w:sz="4" w:space="0"/>
            </w:tcBorders>
            <w:vAlign w:val="center"/>
          </w:tcPr>
          <w:p w14:paraId="191B4BFE">
            <w:pPr>
              <w:snapToGrid w:val="0"/>
              <w:jc w:val="center"/>
              <w:rPr>
                <w:rFonts w:hint="eastAsia" w:ascii="宋体" w:hAnsi="宋体" w:eastAsia="宋体" w:cs="宋体"/>
                <w:sz w:val="21"/>
                <w:szCs w:val="21"/>
              </w:rPr>
            </w:pPr>
            <w:r>
              <w:rPr>
                <w:rFonts w:hint="eastAsia" w:ascii="宋体" w:hAnsi="宋体" w:eastAsia="宋体" w:cs="宋体"/>
                <w:sz w:val="21"/>
                <w:szCs w:val="21"/>
              </w:rPr>
              <w:t>1</w:t>
            </w:r>
          </w:p>
        </w:tc>
        <w:tc>
          <w:tcPr>
            <w:tcW w:w="3171" w:type="dxa"/>
            <w:tcBorders>
              <w:top w:val="single" w:color="000000" w:sz="4" w:space="0"/>
              <w:left w:val="single" w:color="000000" w:sz="4" w:space="0"/>
              <w:bottom w:val="single" w:color="000000" w:sz="4" w:space="0"/>
              <w:right w:val="single" w:color="000000" w:sz="4" w:space="0"/>
            </w:tcBorders>
            <w:vAlign w:val="center"/>
          </w:tcPr>
          <w:p w14:paraId="34EDF7DC">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耐火石膏板</w:t>
            </w:r>
          </w:p>
        </w:tc>
        <w:tc>
          <w:tcPr>
            <w:tcW w:w="3895" w:type="dxa"/>
            <w:tcBorders>
              <w:top w:val="single" w:color="000000" w:sz="4" w:space="0"/>
              <w:left w:val="single" w:color="000000" w:sz="4" w:space="0"/>
              <w:bottom w:val="single" w:color="000000" w:sz="4" w:space="0"/>
              <w:right w:val="single" w:color="000000" w:sz="4" w:space="0"/>
            </w:tcBorders>
            <w:vAlign w:val="center"/>
          </w:tcPr>
          <w:p w14:paraId="5C758B58">
            <w:pPr>
              <w:pStyle w:val="16"/>
              <w:rPr>
                <w:rFonts w:hint="eastAsia" w:ascii="宋体" w:hAnsi="宋体" w:eastAsia="宋体" w:cs="宋体"/>
                <w:b w:val="0"/>
                <w:bCs/>
                <w:sz w:val="21"/>
                <w:szCs w:val="21"/>
              </w:rPr>
            </w:pPr>
            <w:r>
              <w:rPr>
                <w:rFonts w:hint="eastAsia" w:ascii="宋体" w:hAnsi="宋体" w:eastAsia="宋体" w:cs="宋体"/>
                <w:b w:val="0"/>
                <w:bCs/>
                <w:sz w:val="21"/>
                <w:szCs w:val="21"/>
              </w:rPr>
              <w:t>泰山、龙牌、北新或同档次及以上品牌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32E98363">
            <w:pPr>
              <w:snapToGrid w:val="0"/>
              <w:jc w:val="center"/>
              <w:rPr>
                <w:rFonts w:hint="eastAsia" w:ascii="宋体" w:hAnsi="宋体" w:eastAsia="宋体" w:cs="宋体"/>
                <w:sz w:val="21"/>
                <w:szCs w:val="21"/>
              </w:rPr>
            </w:pPr>
          </w:p>
        </w:tc>
      </w:tr>
      <w:tr w14:paraId="784A24E6">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5899D7B8">
            <w:pPr>
              <w:snapToGrid w:val="0"/>
              <w:jc w:val="center"/>
              <w:rPr>
                <w:rFonts w:hint="eastAsia" w:ascii="宋体" w:hAnsi="宋体" w:eastAsia="宋体" w:cs="宋体"/>
                <w:sz w:val="21"/>
                <w:szCs w:val="21"/>
              </w:rPr>
            </w:pPr>
            <w:r>
              <w:rPr>
                <w:rFonts w:hint="eastAsia" w:ascii="宋体" w:hAnsi="宋体" w:eastAsia="宋体" w:cs="宋体"/>
                <w:sz w:val="21"/>
                <w:szCs w:val="21"/>
              </w:rPr>
              <w:t>2</w:t>
            </w:r>
          </w:p>
        </w:tc>
        <w:tc>
          <w:tcPr>
            <w:tcW w:w="3171" w:type="dxa"/>
            <w:tcBorders>
              <w:top w:val="single" w:color="000000" w:sz="4" w:space="0"/>
              <w:left w:val="single" w:color="000000" w:sz="4" w:space="0"/>
              <w:bottom w:val="single" w:color="000000" w:sz="4" w:space="0"/>
              <w:right w:val="single" w:color="000000" w:sz="4" w:space="0"/>
            </w:tcBorders>
            <w:vAlign w:val="center"/>
          </w:tcPr>
          <w:p w14:paraId="3B2E759A">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矿棉板</w:t>
            </w:r>
          </w:p>
        </w:tc>
        <w:tc>
          <w:tcPr>
            <w:tcW w:w="3895" w:type="dxa"/>
            <w:tcBorders>
              <w:top w:val="single" w:color="000000" w:sz="4" w:space="0"/>
              <w:left w:val="single" w:color="000000" w:sz="4" w:space="0"/>
              <w:bottom w:val="single" w:color="000000" w:sz="4" w:space="0"/>
              <w:right w:val="single" w:color="000000" w:sz="4" w:space="0"/>
            </w:tcBorders>
            <w:vAlign w:val="center"/>
          </w:tcPr>
          <w:p w14:paraId="5EAB5009">
            <w:pPr>
              <w:pStyle w:val="16"/>
              <w:rPr>
                <w:rFonts w:hint="eastAsia" w:ascii="宋体" w:hAnsi="宋体" w:eastAsia="宋体" w:cs="宋体"/>
                <w:b w:val="0"/>
                <w:bCs/>
                <w:sz w:val="21"/>
                <w:szCs w:val="21"/>
              </w:rPr>
            </w:pPr>
            <w:r>
              <w:rPr>
                <w:rFonts w:hint="eastAsia" w:ascii="宋体" w:hAnsi="宋体" w:eastAsia="宋体" w:cs="宋体"/>
                <w:b w:val="0"/>
                <w:bCs/>
                <w:sz w:val="21"/>
                <w:szCs w:val="21"/>
              </w:rPr>
              <w:t>泰山、龙牌、阿姆斯壮或同档次及以上品牌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4570FAEF">
            <w:pPr>
              <w:snapToGrid w:val="0"/>
              <w:jc w:val="center"/>
              <w:rPr>
                <w:rFonts w:hint="eastAsia" w:ascii="宋体" w:hAnsi="宋体" w:eastAsia="宋体" w:cs="宋体"/>
                <w:sz w:val="21"/>
                <w:szCs w:val="21"/>
              </w:rPr>
            </w:pPr>
          </w:p>
        </w:tc>
      </w:tr>
      <w:tr w14:paraId="2676C731">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6059DF53">
            <w:pPr>
              <w:snapToGrid w:val="0"/>
              <w:jc w:val="center"/>
              <w:rPr>
                <w:rFonts w:hint="eastAsia" w:ascii="宋体" w:hAnsi="宋体" w:eastAsia="宋体" w:cs="宋体"/>
                <w:sz w:val="21"/>
                <w:szCs w:val="21"/>
              </w:rPr>
            </w:pPr>
            <w:r>
              <w:rPr>
                <w:rFonts w:hint="eastAsia" w:ascii="宋体" w:hAnsi="宋体" w:eastAsia="宋体" w:cs="宋体"/>
                <w:sz w:val="21"/>
                <w:szCs w:val="21"/>
              </w:rPr>
              <w:t>3</w:t>
            </w:r>
          </w:p>
        </w:tc>
        <w:tc>
          <w:tcPr>
            <w:tcW w:w="3171" w:type="dxa"/>
            <w:tcBorders>
              <w:top w:val="single" w:color="000000" w:sz="4" w:space="0"/>
              <w:left w:val="single" w:color="000000" w:sz="4" w:space="0"/>
              <w:bottom w:val="single" w:color="000000" w:sz="4" w:space="0"/>
              <w:right w:val="single" w:color="000000" w:sz="4" w:space="0"/>
            </w:tcBorders>
            <w:vAlign w:val="center"/>
          </w:tcPr>
          <w:p w14:paraId="37731F7D">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抗倍特板</w:t>
            </w:r>
          </w:p>
        </w:tc>
        <w:tc>
          <w:tcPr>
            <w:tcW w:w="3895" w:type="dxa"/>
            <w:tcBorders>
              <w:top w:val="single" w:color="000000" w:sz="4" w:space="0"/>
              <w:left w:val="single" w:color="000000" w:sz="4" w:space="0"/>
              <w:bottom w:val="single" w:color="000000" w:sz="4" w:space="0"/>
              <w:right w:val="single" w:color="000000" w:sz="4" w:space="0"/>
            </w:tcBorders>
            <w:vAlign w:val="center"/>
          </w:tcPr>
          <w:p w14:paraId="2D7903CB">
            <w:pPr>
              <w:pStyle w:val="16"/>
              <w:rPr>
                <w:rFonts w:hint="eastAsia" w:ascii="宋体" w:hAnsi="宋体" w:eastAsia="宋体" w:cs="宋体"/>
                <w:b w:val="0"/>
                <w:bCs/>
                <w:sz w:val="21"/>
                <w:szCs w:val="21"/>
              </w:rPr>
            </w:pPr>
            <w:r>
              <w:rPr>
                <w:rFonts w:hint="eastAsia" w:ascii="宋体" w:hAnsi="宋体" w:eastAsia="宋体" w:cs="宋体"/>
                <w:b w:val="0"/>
                <w:bCs/>
                <w:sz w:val="21"/>
                <w:szCs w:val="21"/>
              </w:rPr>
              <w:t>海格瑞恩、富美家、乐思福或同档次及以上品牌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643436B2">
            <w:pPr>
              <w:snapToGrid w:val="0"/>
              <w:jc w:val="center"/>
              <w:rPr>
                <w:rFonts w:hint="eastAsia" w:ascii="宋体" w:hAnsi="宋体" w:eastAsia="宋体" w:cs="宋体"/>
                <w:sz w:val="21"/>
                <w:szCs w:val="21"/>
              </w:rPr>
            </w:pPr>
          </w:p>
        </w:tc>
      </w:tr>
      <w:tr w14:paraId="73B19F48">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140440D6">
            <w:pPr>
              <w:snapToGrid w:val="0"/>
              <w:jc w:val="center"/>
              <w:rPr>
                <w:rFonts w:hint="eastAsia" w:ascii="宋体" w:hAnsi="宋体" w:eastAsia="宋体" w:cs="宋体"/>
                <w:sz w:val="21"/>
                <w:szCs w:val="21"/>
              </w:rPr>
            </w:pPr>
            <w:r>
              <w:rPr>
                <w:rFonts w:hint="eastAsia" w:ascii="宋体" w:hAnsi="宋体" w:eastAsia="宋体" w:cs="宋体"/>
                <w:sz w:val="21"/>
                <w:szCs w:val="21"/>
              </w:rPr>
              <w:t>4</w:t>
            </w:r>
          </w:p>
        </w:tc>
        <w:tc>
          <w:tcPr>
            <w:tcW w:w="3171" w:type="dxa"/>
            <w:tcBorders>
              <w:top w:val="single" w:color="000000" w:sz="4" w:space="0"/>
              <w:left w:val="single" w:color="000000" w:sz="4" w:space="0"/>
              <w:bottom w:val="single" w:color="000000" w:sz="4" w:space="0"/>
              <w:right w:val="single" w:color="000000" w:sz="4" w:space="0"/>
            </w:tcBorders>
            <w:vAlign w:val="center"/>
          </w:tcPr>
          <w:p w14:paraId="5E5F9CE1">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铝单板</w:t>
            </w:r>
          </w:p>
        </w:tc>
        <w:tc>
          <w:tcPr>
            <w:tcW w:w="3895" w:type="dxa"/>
            <w:tcBorders>
              <w:top w:val="single" w:color="000000" w:sz="4" w:space="0"/>
              <w:left w:val="single" w:color="000000" w:sz="4" w:space="0"/>
              <w:bottom w:val="single" w:color="000000" w:sz="4" w:space="0"/>
              <w:right w:val="single" w:color="000000" w:sz="4" w:space="0"/>
            </w:tcBorders>
            <w:vAlign w:val="center"/>
          </w:tcPr>
          <w:p w14:paraId="4C674C56">
            <w:pPr>
              <w:pStyle w:val="16"/>
              <w:rPr>
                <w:rFonts w:hint="eastAsia" w:ascii="宋体" w:hAnsi="宋体" w:eastAsia="宋体" w:cs="宋体"/>
                <w:b w:val="0"/>
                <w:bCs/>
                <w:sz w:val="21"/>
                <w:szCs w:val="21"/>
              </w:rPr>
            </w:pPr>
            <w:r>
              <w:rPr>
                <w:rFonts w:hint="eastAsia" w:ascii="宋体" w:hAnsi="宋体" w:eastAsia="宋体" w:cs="宋体"/>
                <w:b w:val="0"/>
                <w:bCs/>
                <w:sz w:val="21"/>
                <w:szCs w:val="21"/>
              </w:rPr>
              <w:t>西飞、华盛、方大或同档次及以上品牌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473CFAF2">
            <w:pPr>
              <w:snapToGrid w:val="0"/>
              <w:jc w:val="center"/>
              <w:rPr>
                <w:rFonts w:hint="eastAsia" w:ascii="宋体" w:hAnsi="宋体" w:eastAsia="宋体" w:cs="宋体"/>
                <w:sz w:val="21"/>
                <w:szCs w:val="21"/>
              </w:rPr>
            </w:pPr>
          </w:p>
        </w:tc>
      </w:tr>
      <w:tr w14:paraId="25802E74">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1AF8D2A5">
            <w:pPr>
              <w:snapToGrid w:val="0"/>
              <w:jc w:val="center"/>
              <w:rPr>
                <w:rFonts w:hint="eastAsia" w:ascii="宋体" w:hAnsi="宋体" w:eastAsia="宋体" w:cs="宋体"/>
                <w:sz w:val="21"/>
                <w:szCs w:val="21"/>
              </w:rPr>
            </w:pPr>
            <w:r>
              <w:rPr>
                <w:rFonts w:hint="eastAsia" w:ascii="宋体" w:hAnsi="宋体" w:eastAsia="宋体" w:cs="宋体"/>
                <w:sz w:val="21"/>
                <w:szCs w:val="21"/>
              </w:rPr>
              <w:t>5</w:t>
            </w:r>
          </w:p>
        </w:tc>
        <w:tc>
          <w:tcPr>
            <w:tcW w:w="3171" w:type="dxa"/>
            <w:tcBorders>
              <w:top w:val="single" w:color="000000" w:sz="4" w:space="0"/>
              <w:left w:val="single" w:color="000000" w:sz="4" w:space="0"/>
              <w:bottom w:val="single" w:color="000000" w:sz="4" w:space="0"/>
              <w:right w:val="single" w:color="000000" w:sz="4" w:space="0"/>
            </w:tcBorders>
            <w:vAlign w:val="center"/>
          </w:tcPr>
          <w:p w14:paraId="4D919EFF">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轻钢龙骨</w:t>
            </w:r>
          </w:p>
        </w:tc>
        <w:tc>
          <w:tcPr>
            <w:tcW w:w="3895" w:type="dxa"/>
            <w:tcBorders>
              <w:top w:val="single" w:color="000000" w:sz="4" w:space="0"/>
              <w:left w:val="single" w:color="000000" w:sz="4" w:space="0"/>
              <w:bottom w:val="single" w:color="000000" w:sz="4" w:space="0"/>
              <w:right w:val="single" w:color="000000" w:sz="4" w:space="0"/>
            </w:tcBorders>
            <w:vAlign w:val="center"/>
          </w:tcPr>
          <w:p w14:paraId="245B05C2">
            <w:pPr>
              <w:pStyle w:val="16"/>
              <w:rPr>
                <w:rFonts w:hint="eastAsia" w:ascii="宋体" w:hAnsi="宋体" w:eastAsia="宋体" w:cs="宋体"/>
                <w:b w:val="0"/>
                <w:bCs/>
                <w:sz w:val="21"/>
                <w:szCs w:val="21"/>
              </w:rPr>
            </w:pPr>
            <w:r>
              <w:rPr>
                <w:rFonts w:hint="eastAsia" w:ascii="宋体" w:hAnsi="宋体" w:eastAsia="宋体" w:cs="宋体"/>
                <w:b w:val="0"/>
                <w:bCs/>
                <w:sz w:val="21"/>
                <w:szCs w:val="21"/>
              </w:rPr>
              <w:t>龙牌、泰山、北新、 黄河或同档次及以上品牌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7B08AAA0">
            <w:pPr>
              <w:snapToGrid w:val="0"/>
              <w:jc w:val="center"/>
              <w:rPr>
                <w:rFonts w:hint="eastAsia" w:ascii="宋体" w:hAnsi="宋体" w:eastAsia="宋体" w:cs="宋体"/>
                <w:sz w:val="21"/>
                <w:szCs w:val="21"/>
              </w:rPr>
            </w:pPr>
          </w:p>
        </w:tc>
      </w:tr>
      <w:tr w14:paraId="2B2D3694">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273DDA3B">
            <w:pPr>
              <w:snapToGrid w:val="0"/>
              <w:jc w:val="center"/>
              <w:rPr>
                <w:rFonts w:hint="eastAsia" w:ascii="宋体" w:hAnsi="宋体" w:eastAsia="宋体" w:cs="宋体"/>
                <w:sz w:val="21"/>
                <w:szCs w:val="21"/>
              </w:rPr>
            </w:pPr>
            <w:r>
              <w:rPr>
                <w:rFonts w:hint="eastAsia" w:ascii="宋体" w:hAnsi="宋体" w:eastAsia="宋体" w:cs="宋体"/>
                <w:sz w:val="21"/>
                <w:szCs w:val="21"/>
              </w:rPr>
              <w:t>6</w:t>
            </w:r>
          </w:p>
        </w:tc>
        <w:tc>
          <w:tcPr>
            <w:tcW w:w="3171" w:type="dxa"/>
            <w:tcBorders>
              <w:top w:val="single" w:color="000000" w:sz="4" w:space="0"/>
              <w:left w:val="single" w:color="000000" w:sz="4" w:space="0"/>
              <w:bottom w:val="single" w:color="000000" w:sz="4" w:space="0"/>
              <w:right w:val="single" w:color="000000" w:sz="4" w:space="0"/>
            </w:tcBorders>
            <w:vAlign w:val="center"/>
          </w:tcPr>
          <w:p w14:paraId="54C9E981">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地砖</w:t>
            </w:r>
          </w:p>
        </w:tc>
        <w:tc>
          <w:tcPr>
            <w:tcW w:w="3895" w:type="dxa"/>
            <w:tcBorders>
              <w:top w:val="single" w:color="000000" w:sz="4" w:space="0"/>
              <w:left w:val="single" w:color="000000" w:sz="4" w:space="0"/>
              <w:bottom w:val="single" w:color="000000" w:sz="4" w:space="0"/>
              <w:right w:val="single" w:color="000000" w:sz="4" w:space="0"/>
            </w:tcBorders>
            <w:vAlign w:val="center"/>
          </w:tcPr>
          <w:p w14:paraId="5BCE2A7D">
            <w:pPr>
              <w:pStyle w:val="16"/>
              <w:rPr>
                <w:rFonts w:hint="eastAsia" w:ascii="宋体" w:hAnsi="宋体" w:eastAsia="宋体" w:cs="宋体"/>
                <w:b w:val="0"/>
                <w:bCs/>
                <w:sz w:val="21"/>
                <w:szCs w:val="21"/>
              </w:rPr>
            </w:pPr>
            <w:r>
              <w:rPr>
                <w:rFonts w:hint="eastAsia" w:ascii="宋体" w:hAnsi="宋体" w:eastAsia="宋体" w:cs="宋体"/>
                <w:b w:val="0"/>
                <w:bCs/>
                <w:sz w:val="21"/>
                <w:szCs w:val="21"/>
              </w:rPr>
              <w:t>宏宇、冠珠、东鹏、鹰牌或同档次及以上品牌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38ADF27F">
            <w:pPr>
              <w:snapToGrid w:val="0"/>
              <w:jc w:val="center"/>
              <w:rPr>
                <w:rFonts w:hint="eastAsia" w:ascii="宋体" w:hAnsi="宋体" w:eastAsia="宋体" w:cs="宋体"/>
                <w:sz w:val="21"/>
                <w:szCs w:val="21"/>
              </w:rPr>
            </w:pPr>
          </w:p>
        </w:tc>
      </w:tr>
      <w:tr w14:paraId="01A7F3D3">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7E91BF32">
            <w:pPr>
              <w:snapToGrid w:val="0"/>
              <w:jc w:val="center"/>
              <w:rPr>
                <w:rFonts w:hint="eastAsia" w:ascii="宋体" w:hAnsi="宋体" w:eastAsia="宋体" w:cs="宋体"/>
                <w:sz w:val="21"/>
                <w:szCs w:val="21"/>
              </w:rPr>
            </w:pPr>
            <w:r>
              <w:rPr>
                <w:rFonts w:hint="eastAsia" w:ascii="宋体" w:hAnsi="宋体" w:eastAsia="宋体" w:cs="宋体"/>
                <w:sz w:val="21"/>
                <w:szCs w:val="21"/>
              </w:rPr>
              <w:t>7</w:t>
            </w:r>
          </w:p>
        </w:tc>
        <w:tc>
          <w:tcPr>
            <w:tcW w:w="3171" w:type="dxa"/>
            <w:tcBorders>
              <w:top w:val="single" w:color="000000" w:sz="4" w:space="0"/>
              <w:left w:val="single" w:color="000000" w:sz="4" w:space="0"/>
              <w:bottom w:val="single" w:color="000000" w:sz="4" w:space="0"/>
              <w:right w:val="single" w:color="000000" w:sz="4" w:space="0"/>
            </w:tcBorders>
            <w:vAlign w:val="center"/>
          </w:tcPr>
          <w:p w14:paraId="0BF19A9F">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木地板</w:t>
            </w:r>
          </w:p>
        </w:tc>
        <w:tc>
          <w:tcPr>
            <w:tcW w:w="3895" w:type="dxa"/>
            <w:tcBorders>
              <w:top w:val="single" w:color="000000" w:sz="4" w:space="0"/>
              <w:left w:val="single" w:color="000000" w:sz="4" w:space="0"/>
              <w:bottom w:val="single" w:color="000000" w:sz="4" w:space="0"/>
              <w:right w:val="single" w:color="000000" w:sz="4" w:space="0"/>
            </w:tcBorders>
            <w:vAlign w:val="center"/>
          </w:tcPr>
          <w:p w14:paraId="13F701C4">
            <w:pPr>
              <w:pStyle w:val="16"/>
              <w:rPr>
                <w:rFonts w:hint="eastAsia" w:ascii="宋体" w:hAnsi="宋体" w:eastAsia="宋体" w:cs="宋体"/>
                <w:b w:val="0"/>
                <w:bCs/>
                <w:sz w:val="21"/>
                <w:szCs w:val="21"/>
              </w:rPr>
            </w:pPr>
            <w:r>
              <w:rPr>
                <w:rFonts w:hint="eastAsia" w:ascii="宋体" w:hAnsi="宋体" w:eastAsia="宋体" w:cs="宋体"/>
                <w:b w:val="0"/>
                <w:bCs/>
                <w:sz w:val="21"/>
                <w:szCs w:val="21"/>
              </w:rPr>
              <w:t>圣象、大自然、阿姆斯壮或同档次及以上品牌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1EBE7F59">
            <w:pPr>
              <w:snapToGrid w:val="0"/>
              <w:jc w:val="center"/>
              <w:rPr>
                <w:rFonts w:hint="eastAsia" w:ascii="宋体" w:hAnsi="宋体" w:eastAsia="宋体" w:cs="宋体"/>
                <w:sz w:val="21"/>
                <w:szCs w:val="21"/>
              </w:rPr>
            </w:pPr>
          </w:p>
        </w:tc>
      </w:tr>
      <w:tr w14:paraId="11ADC7BE">
        <w:tblPrEx>
          <w:tblCellMar>
            <w:top w:w="0" w:type="dxa"/>
            <w:left w:w="108" w:type="dxa"/>
            <w:bottom w:w="0" w:type="dxa"/>
            <w:right w:w="108" w:type="dxa"/>
          </w:tblCellMar>
        </w:tblPrEx>
        <w:trPr>
          <w:trHeight w:val="476" w:hRule="atLeast"/>
        </w:trPr>
        <w:tc>
          <w:tcPr>
            <w:tcW w:w="882" w:type="dxa"/>
            <w:tcBorders>
              <w:top w:val="single" w:color="000000" w:sz="4" w:space="0"/>
              <w:left w:val="single" w:color="000000" w:sz="4" w:space="0"/>
              <w:bottom w:val="single" w:color="000000" w:sz="4" w:space="0"/>
              <w:right w:val="single" w:color="000000" w:sz="4" w:space="0"/>
            </w:tcBorders>
            <w:vAlign w:val="center"/>
          </w:tcPr>
          <w:p w14:paraId="24807EA5">
            <w:pPr>
              <w:snapToGrid w:val="0"/>
              <w:jc w:val="center"/>
              <w:rPr>
                <w:rFonts w:hint="eastAsia" w:ascii="宋体" w:hAnsi="宋体" w:eastAsia="宋体" w:cs="宋体"/>
                <w:sz w:val="21"/>
                <w:szCs w:val="21"/>
              </w:rPr>
            </w:pPr>
            <w:r>
              <w:rPr>
                <w:rFonts w:hint="eastAsia" w:ascii="宋体" w:hAnsi="宋体" w:eastAsia="宋体" w:cs="宋体"/>
                <w:sz w:val="21"/>
                <w:szCs w:val="21"/>
              </w:rPr>
              <w:t>8</w:t>
            </w:r>
          </w:p>
        </w:tc>
        <w:tc>
          <w:tcPr>
            <w:tcW w:w="3171" w:type="dxa"/>
            <w:tcBorders>
              <w:top w:val="single" w:color="000000" w:sz="4" w:space="0"/>
              <w:left w:val="single" w:color="000000" w:sz="4" w:space="0"/>
              <w:bottom w:val="single" w:color="000000" w:sz="4" w:space="0"/>
              <w:right w:val="single" w:color="000000" w:sz="4" w:space="0"/>
            </w:tcBorders>
            <w:vAlign w:val="center"/>
          </w:tcPr>
          <w:p w14:paraId="6942E74E">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玻璃隔断</w:t>
            </w:r>
          </w:p>
        </w:tc>
        <w:tc>
          <w:tcPr>
            <w:tcW w:w="3895" w:type="dxa"/>
            <w:tcBorders>
              <w:top w:val="single" w:color="000000" w:sz="4" w:space="0"/>
              <w:left w:val="single" w:color="000000" w:sz="4" w:space="0"/>
              <w:bottom w:val="single" w:color="000000" w:sz="4" w:space="0"/>
              <w:right w:val="single" w:color="000000" w:sz="4" w:space="0"/>
            </w:tcBorders>
            <w:vAlign w:val="center"/>
          </w:tcPr>
          <w:p w14:paraId="56BEB22D">
            <w:pPr>
              <w:pStyle w:val="16"/>
              <w:rPr>
                <w:rFonts w:hint="eastAsia" w:ascii="宋体" w:hAnsi="宋体" w:eastAsia="宋体" w:cs="宋体"/>
                <w:b w:val="0"/>
                <w:bCs/>
                <w:sz w:val="21"/>
                <w:szCs w:val="21"/>
              </w:rPr>
            </w:pPr>
            <w:r>
              <w:rPr>
                <w:rFonts w:hint="eastAsia" w:ascii="宋体" w:hAnsi="宋体" w:eastAsia="宋体" w:cs="宋体"/>
                <w:b w:val="0"/>
                <w:bCs/>
                <w:sz w:val="21"/>
                <w:szCs w:val="21"/>
              </w:rPr>
              <w:t>代高、华沃、优尔或同档次及以上品牌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50ADDB0D">
            <w:pPr>
              <w:snapToGrid w:val="0"/>
              <w:jc w:val="center"/>
              <w:rPr>
                <w:rFonts w:hint="eastAsia" w:ascii="宋体" w:hAnsi="宋体" w:eastAsia="宋体" w:cs="宋体"/>
                <w:sz w:val="21"/>
                <w:szCs w:val="21"/>
              </w:rPr>
            </w:pPr>
          </w:p>
        </w:tc>
      </w:tr>
      <w:tr w14:paraId="75B23060">
        <w:tblPrEx>
          <w:tblCellMar>
            <w:top w:w="0" w:type="dxa"/>
            <w:left w:w="108" w:type="dxa"/>
            <w:bottom w:w="0" w:type="dxa"/>
            <w:right w:w="108" w:type="dxa"/>
          </w:tblCellMar>
        </w:tblPrEx>
        <w:trPr>
          <w:trHeight w:val="380" w:hRule="atLeast"/>
        </w:trPr>
        <w:tc>
          <w:tcPr>
            <w:tcW w:w="882" w:type="dxa"/>
            <w:tcBorders>
              <w:top w:val="single" w:color="000000" w:sz="4" w:space="0"/>
              <w:left w:val="single" w:color="000000" w:sz="4" w:space="0"/>
              <w:bottom w:val="single" w:color="000000" w:sz="4" w:space="0"/>
              <w:right w:val="single" w:color="000000" w:sz="4" w:space="0"/>
            </w:tcBorders>
            <w:vAlign w:val="center"/>
          </w:tcPr>
          <w:p w14:paraId="35E2E9FA">
            <w:pPr>
              <w:snapToGrid w:val="0"/>
              <w:jc w:val="center"/>
              <w:rPr>
                <w:rFonts w:hint="eastAsia" w:ascii="宋体" w:hAnsi="宋体" w:eastAsia="宋体" w:cs="宋体"/>
                <w:sz w:val="21"/>
                <w:szCs w:val="21"/>
              </w:rPr>
            </w:pPr>
            <w:r>
              <w:rPr>
                <w:rFonts w:hint="eastAsia" w:ascii="宋体" w:hAnsi="宋体" w:eastAsia="宋体" w:cs="宋体"/>
                <w:sz w:val="21"/>
                <w:szCs w:val="21"/>
              </w:rPr>
              <w:t>9</w:t>
            </w:r>
          </w:p>
        </w:tc>
        <w:tc>
          <w:tcPr>
            <w:tcW w:w="3171" w:type="dxa"/>
            <w:tcBorders>
              <w:top w:val="single" w:color="000000" w:sz="4" w:space="0"/>
              <w:left w:val="single" w:color="000000" w:sz="4" w:space="0"/>
              <w:bottom w:val="single" w:color="000000" w:sz="4" w:space="0"/>
              <w:right w:val="single" w:color="000000" w:sz="4" w:space="0"/>
            </w:tcBorders>
            <w:vAlign w:val="center"/>
          </w:tcPr>
          <w:p w14:paraId="5D24FDDD">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防静电地板</w:t>
            </w:r>
          </w:p>
        </w:tc>
        <w:tc>
          <w:tcPr>
            <w:tcW w:w="3895" w:type="dxa"/>
            <w:tcBorders>
              <w:top w:val="single" w:color="000000" w:sz="4" w:space="0"/>
              <w:left w:val="single" w:color="000000" w:sz="4" w:space="0"/>
              <w:bottom w:val="single" w:color="000000" w:sz="4" w:space="0"/>
              <w:right w:val="single" w:color="000000" w:sz="4" w:space="0"/>
            </w:tcBorders>
            <w:vAlign w:val="center"/>
          </w:tcPr>
          <w:p w14:paraId="27A7FDDD">
            <w:pPr>
              <w:pStyle w:val="16"/>
              <w:rPr>
                <w:rFonts w:hint="eastAsia" w:ascii="宋体" w:hAnsi="宋体" w:eastAsia="宋体" w:cs="宋体"/>
                <w:b w:val="0"/>
                <w:bCs/>
                <w:sz w:val="21"/>
                <w:szCs w:val="21"/>
              </w:rPr>
            </w:pPr>
            <w:r>
              <w:rPr>
                <w:rFonts w:hint="eastAsia" w:ascii="宋体" w:hAnsi="宋体" w:eastAsia="宋体" w:cs="宋体"/>
                <w:b w:val="0"/>
                <w:bCs/>
                <w:sz w:val="21"/>
                <w:szCs w:val="21"/>
              </w:rPr>
              <w:t>奥斯曼、常州汇丽或同档次及以上品牌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61E44BB2">
            <w:pPr>
              <w:snapToGrid w:val="0"/>
              <w:jc w:val="center"/>
              <w:rPr>
                <w:rFonts w:hint="eastAsia" w:ascii="宋体" w:hAnsi="宋体" w:eastAsia="宋体" w:cs="宋体"/>
                <w:sz w:val="21"/>
                <w:szCs w:val="21"/>
              </w:rPr>
            </w:pPr>
          </w:p>
        </w:tc>
      </w:tr>
      <w:tr w14:paraId="360A30EA">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580BEA98">
            <w:pPr>
              <w:snapToGrid w:val="0"/>
              <w:jc w:val="center"/>
              <w:rPr>
                <w:rFonts w:hint="eastAsia" w:ascii="宋体" w:hAnsi="宋体" w:eastAsia="宋体" w:cs="宋体"/>
                <w:sz w:val="21"/>
                <w:szCs w:val="21"/>
              </w:rPr>
            </w:pPr>
            <w:r>
              <w:rPr>
                <w:rFonts w:hint="eastAsia" w:ascii="宋体" w:hAnsi="宋体" w:eastAsia="宋体" w:cs="宋体"/>
                <w:sz w:val="21"/>
                <w:szCs w:val="21"/>
              </w:rPr>
              <w:t>10</w:t>
            </w:r>
          </w:p>
        </w:tc>
        <w:tc>
          <w:tcPr>
            <w:tcW w:w="3171" w:type="dxa"/>
            <w:tcBorders>
              <w:top w:val="single" w:color="000000" w:sz="4" w:space="0"/>
              <w:left w:val="single" w:color="000000" w:sz="4" w:space="0"/>
              <w:bottom w:val="single" w:color="000000" w:sz="4" w:space="0"/>
              <w:right w:val="single" w:color="000000" w:sz="4" w:space="0"/>
            </w:tcBorders>
            <w:vAlign w:val="center"/>
          </w:tcPr>
          <w:p w14:paraId="5A3561AA">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自流平</w:t>
            </w:r>
          </w:p>
        </w:tc>
        <w:tc>
          <w:tcPr>
            <w:tcW w:w="3895" w:type="dxa"/>
            <w:tcBorders>
              <w:top w:val="single" w:color="000000" w:sz="4" w:space="0"/>
              <w:left w:val="single" w:color="000000" w:sz="4" w:space="0"/>
              <w:bottom w:val="single" w:color="000000" w:sz="4" w:space="0"/>
              <w:right w:val="single" w:color="000000" w:sz="4" w:space="0"/>
            </w:tcBorders>
            <w:vAlign w:val="center"/>
          </w:tcPr>
          <w:p w14:paraId="24A4C7A0">
            <w:pPr>
              <w:pStyle w:val="16"/>
              <w:rPr>
                <w:rFonts w:hint="eastAsia" w:ascii="宋体" w:hAnsi="宋体" w:eastAsia="宋体" w:cs="宋体"/>
                <w:b w:val="0"/>
                <w:bCs/>
                <w:sz w:val="21"/>
                <w:szCs w:val="21"/>
              </w:rPr>
            </w:pPr>
            <w:r>
              <w:rPr>
                <w:rFonts w:hint="eastAsia" w:ascii="宋体" w:hAnsi="宋体" w:eastAsia="宋体" w:cs="宋体"/>
                <w:b w:val="0"/>
                <w:bCs/>
                <w:sz w:val="21"/>
                <w:szCs w:val="21"/>
              </w:rPr>
              <w:t>宝塔山、立邦、汇龙或同档次及以上品牌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382869E9">
            <w:pPr>
              <w:snapToGrid w:val="0"/>
              <w:jc w:val="center"/>
              <w:rPr>
                <w:rFonts w:hint="eastAsia" w:ascii="宋体" w:hAnsi="宋体" w:eastAsia="宋体" w:cs="宋体"/>
                <w:sz w:val="21"/>
                <w:szCs w:val="21"/>
              </w:rPr>
            </w:pPr>
          </w:p>
        </w:tc>
      </w:tr>
      <w:tr w14:paraId="6BB0E095">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5DE2A4C6">
            <w:pPr>
              <w:snapToGrid w:val="0"/>
              <w:jc w:val="center"/>
              <w:rPr>
                <w:rFonts w:hint="eastAsia" w:ascii="宋体" w:hAnsi="宋体" w:eastAsia="宋体" w:cs="宋体"/>
                <w:sz w:val="21"/>
                <w:szCs w:val="21"/>
              </w:rPr>
            </w:pPr>
            <w:r>
              <w:rPr>
                <w:rFonts w:hint="eastAsia" w:ascii="宋体" w:hAnsi="宋体" w:eastAsia="宋体" w:cs="宋体"/>
                <w:sz w:val="21"/>
                <w:szCs w:val="21"/>
              </w:rPr>
              <w:t>11</w:t>
            </w:r>
          </w:p>
        </w:tc>
        <w:tc>
          <w:tcPr>
            <w:tcW w:w="3171" w:type="dxa"/>
            <w:tcBorders>
              <w:top w:val="single" w:color="000000" w:sz="4" w:space="0"/>
              <w:left w:val="single" w:color="000000" w:sz="4" w:space="0"/>
              <w:bottom w:val="single" w:color="000000" w:sz="4" w:space="0"/>
              <w:right w:val="single" w:color="000000" w:sz="4" w:space="0"/>
            </w:tcBorders>
            <w:vAlign w:val="center"/>
          </w:tcPr>
          <w:p w14:paraId="2D32811F">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石塑地板</w:t>
            </w:r>
          </w:p>
        </w:tc>
        <w:tc>
          <w:tcPr>
            <w:tcW w:w="3895" w:type="dxa"/>
            <w:tcBorders>
              <w:top w:val="single" w:color="000000" w:sz="4" w:space="0"/>
              <w:left w:val="single" w:color="000000" w:sz="4" w:space="0"/>
              <w:bottom w:val="single" w:color="000000" w:sz="4" w:space="0"/>
              <w:right w:val="single" w:color="000000" w:sz="4" w:space="0"/>
            </w:tcBorders>
            <w:vAlign w:val="center"/>
          </w:tcPr>
          <w:p w14:paraId="0F365994">
            <w:pPr>
              <w:pStyle w:val="16"/>
              <w:rPr>
                <w:rFonts w:hint="eastAsia" w:ascii="宋体" w:hAnsi="宋体" w:eastAsia="宋体" w:cs="宋体"/>
                <w:b w:val="0"/>
                <w:bCs/>
                <w:sz w:val="21"/>
                <w:szCs w:val="21"/>
              </w:rPr>
            </w:pPr>
            <w:r>
              <w:rPr>
                <w:rFonts w:hint="eastAsia" w:ascii="宋体" w:hAnsi="宋体" w:eastAsia="宋体" w:cs="宋体"/>
                <w:b w:val="0"/>
                <w:bCs/>
                <w:sz w:val="21"/>
                <w:szCs w:val="21"/>
              </w:rPr>
              <w:t>阿姆斯壮、纳百利、华泰或同档次及以上品牌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487AA480">
            <w:pPr>
              <w:snapToGrid w:val="0"/>
              <w:jc w:val="center"/>
              <w:rPr>
                <w:rFonts w:hint="eastAsia" w:ascii="宋体" w:hAnsi="宋体" w:eastAsia="宋体" w:cs="宋体"/>
                <w:sz w:val="21"/>
                <w:szCs w:val="21"/>
              </w:rPr>
            </w:pPr>
          </w:p>
        </w:tc>
      </w:tr>
      <w:tr w14:paraId="0609CAE9">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49D54225">
            <w:pPr>
              <w:snapToGrid w:val="0"/>
              <w:jc w:val="center"/>
              <w:rPr>
                <w:rFonts w:hint="eastAsia" w:ascii="宋体" w:hAnsi="宋体" w:eastAsia="宋体" w:cs="宋体"/>
                <w:sz w:val="21"/>
                <w:szCs w:val="21"/>
              </w:rPr>
            </w:pPr>
            <w:r>
              <w:rPr>
                <w:rFonts w:hint="eastAsia" w:ascii="宋体" w:hAnsi="宋体" w:eastAsia="宋体" w:cs="宋体"/>
                <w:sz w:val="21"/>
                <w:szCs w:val="21"/>
              </w:rPr>
              <w:t>12</w:t>
            </w:r>
          </w:p>
        </w:tc>
        <w:tc>
          <w:tcPr>
            <w:tcW w:w="3171" w:type="dxa"/>
            <w:tcBorders>
              <w:top w:val="single" w:color="000000" w:sz="4" w:space="0"/>
              <w:left w:val="single" w:color="000000" w:sz="4" w:space="0"/>
              <w:bottom w:val="single" w:color="000000" w:sz="4" w:space="0"/>
              <w:right w:val="single" w:color="000000" w:sz="4" w:space="0"/>
            </w:tcBorders>
            <w:vAlign w:val="center"/>
          </w:tcPr>
          <w:p w14:paraId="2C806928">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实木门</w:t>
            </w:r>
          </w:p>
        </w:tc>
        <w:tc>
          <w:tcPr>
            <w:tcW w:w="3895" w:type="dxa"/>
            <w:tcBorders>
              <w:top w:val="single" w:color="000000" w:sz="4" w:space="0"/>
              <w:left w:val="single" w:color="000000" w:sz="4" w:space="0"/>
              <w:bottom w:val="single" w:color="000000" w:sz="4" w:space="0"/>
              <w:right w:val="single" w:color="000000" w:sz="4" w:space="0"/>
            </w:tcBorders>
            <w:vAlign w:val="center"/>
          </w:tcPr>
          <w:p w14:paraId="3F16CD6C">
            <w:pPr>
              <w:pStyle w:val="16"/>
              <w:rPr>
                <w:rFonts w:hint="eastAsia" w:ascii="宋体" w:hAnsi="宋体" w:eastAsia="宋体" w:cs="宋体"/>
                <w:b w:val="0"/>
                <w:bCs/>
                <w:sz w:val="21"/>
                <w:szCs w:val="21"/>
              </w:rPr>
            </w:pPr>
            <w:r>
              <w:rPr>
                <w:rFonts w:hint="eastAsia" w:ascii="宋体" w:hAnsi="宋体" w:eastAsia="宋体" w:cs="宋体"/>
                <w:b w:val="0"/>
                <w:bCs/>
                <w:sz w:val="21"/>
                <w:szCs w:val="21"/>
              </w:rPr>
              <w:t>皇鼎、TATA、美心、万通、盼盼或同档次及以上品牌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416AF331">
            <w:pPr>
              <w:snapToGrid w:val="0"/>
              <w:jc w:val="center"/>
              <w:rPr>
                <w:rFonts w:hint="eastAsia" w:ascii="宋体" w:hAnsi="宋体" w:eastAsia="宋体" w:cs="宋体"/>
                <w:sz w:val="21"/>
                <w:szCs w:val="21"/>
              </w:rPr>
            </w:pPr>
          </w:p>
        </w:tc>
      </w:tr>
      <w:tr w14:paraId="1FC7FC79">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6B9C8975">
            <w:pPr>
              <w:snapToGrid w:val="0"/>
              <w:jc w:val="center"/>
              <w:rPr>
                <w:rFonts w:hint="eastAsia" w:ascii="宋体" w:hAnsi="宋体" w:eastAsia="宋体" w:cs="宋体"/>
                <w:sz w:val="21"/>
                <w:szCs w:val="21"/>
              </w:rPr>
            </w:pPr>
            <w:r>
              <w:rPr>
                <w:rFonts w:hint="eastAsia" w:ascii="宋体" w:hAnsi="宋体" w:eastAsia="宋体" w:cs="宋体"/>
                <w:sz w:val="21"/>
                <w:szCs w:val="21"/>
              </w:rPr>
              <w:t>13</w:t>
            </w:r>
          </w:p>
        </w:tc>
        <w:tc>
          <w:tcPr>
            <w:tcW w:w="3171" w:type="dxa"/>
            <w:tcBorders>
              <w:top w:val="single" w:color="000000" w:sz="4" w:space="0"/>
              <w:left w:val="single" w:color="000000" w:sz="4" w:space="0"/>
              <w:bottom w:val="single" w:color="000000" w:sz="4" w:space="0"/>
              <w:right w:val="single" w:color="000000" w:sz="4" w:space="0"/>
            </w:tcBorders>
            <w:vAlign w:val="center"/>
          </w:tcPr>
          <w:p w14:paraId="01790B44">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防盗门</w:t>
            </w:r>
          </w:p>
        </w:tc>
        <w:tc>
          <w:tcPr>
            <w:tcW w:w="3895" w:type="dxa"/>
            <w:tcBorders>
              <w:top w:val="single" w:color="000000" w:sz="4" w:space="0"/>
              <w:left w:val="single" w:color="000000" w:sz="4" w:space="0"/>
              <w:bottom w:val="single" w:color="000000" w:sz="4" w:space="0"/>
              <w:right w:val="single" w:color="000000" w:sz="4" w:space="0"/>
            </w:tcBorders>
            <w:vAlign w:val="center"/>
          </w:tcPr>
          <w:p w14:paraId="767B3170">
            <w:pPr>
              <w:pStyle w:val="16"/>
              <w:rPr>
                <w:rFonts w:hint="eastAsia" w:ascii="宋体" w:hAnsi="宋体" w:eastAsia="宋体" w:cs="宋体"/>
                <w:b w:val="0"/>
                <w:bCs/>
                <w:sz w:val="21"/>
                <w:szCs w:val="21"/>
              </w:rPr>
            </w:pPr>
            <w:r>
              <w:rPr>
                <w:rFonts w:hint="eastAsia" w:ascii="宋体" w:hAnsi="宋体" w:eastAsia="宋体" w:cs="宋体"/>
                <w:b w:val="0"/>
                <w:bCs/>
                <w:sz w:val="21"/>
                <w:szCs w:val="21"/>
              </w:rPr>
              <w:t>王力、盼盼、步阳或同档次及以上品牌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70BC6578">
            <w:pPr>
              <w:snapToGrid w:val="0"/>
              <w:jc w:val="center"/>
              <w:rPr>
                <w:rFonts w:hint="eastAsia" w:ascii="宋体" w:hAnsi="宋体" w:eastAsia="宋体" w:cs="宋体"/>
                <w:sz w:val="21"/>
                <w:szCs w:val="21"/>
              </w:rPr>
            </w:pPr>
          </w:p>
        </w:tc>
      </w:tr>
      <w:tr w14:paraId="2D15A1FD">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69C3E80A">
            <w:pPr>
              <w:snapToGrid w:val="0"/>
              <w:jc w:val="center"/>
              <w:rPr>
                <w:rFonts w:hint="eastAsia" w:ascii="宋体" w:hAnsi="宋体" w:eastAsia="宋体" w:cs="宋体"/>
                <w:sz w:val="21"/>
                <w:szCs w:val="21"/>
              </w:rPr>
            </w:pPr>
            <w:r>
              <w:rPr>
                <w:rFonts w:hint="eastAsia" w:ascii="宋体" w:hAnsi="宋体" w:eastAsia="宋体" w:cs="宋体"/>
                <w:sz w:val="21"/>
                <w:szCs w:val="21"/>
              </w:rPr>
              <w:t>14</w:t>
            </w:r>
          </w:p>
        </w:tc>
        <w:tc>
          <w:tcPr>
            <w:tcW w:w="3171" w:type="dxa"/>
            <w:tcBorders>
              <w:top w:val="single" w:color="000000" w:sz="4" w:space="0"/>
              <w:left w:val="single" w:color="000000" w:sz="4" w:space="0"/>
              <w:bottom w:val="single" w:color="000000" w:sz="4" w:space="0"/>
              <w:right w:val="single" w:color="000000" w:sz="4" w:space="0"/>
            </w:tcBorders>
            <w:vAlign w:val="center"/>
          </w:tcPr>
          <w:p w14:paraId="09702B9E">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门锁</w:t>
            </w:r>
          </w:p>
        </w:tc>
        <w:tc>
          <w:tcPr>
            <w:tcW w:w="3895" w:type="dxa"/>
            <w:tcBorders>
              <w:top w:val="single" w:color="000000" w:sz="4" w:space="0"/>
              <w:left w:val="single" w:color="000000" w:sz="4" w:space="0"/>
              <w:bottom w:val="single" w:color="000000" w:sz="4" w:space="0"/>
              <w:right w:val="single" w:color="000000" w:sz="4" w:space="0"/>
            </w:tcBorders>
            <w:vAlign w:val="center"/>
          </w:tcPr>
          <w:p w14:paraId="0452DEB1">
            <w:pPr>
              <w:pStyle w:val="16"/>
              <w:rPr>
                <w:rFonts w:hint="eastAsia" w:ascii="宋体" w:hAnsi="宋体" w:eastAsia="宋体" w:cs="宋体"/>
                <w:b w:val="0"/>
                <w:bCs/>
                <w:sz w:val="21"/>
                <w:szCs w:val="21"/>
              </w:rPr>
            </w:pPr>
            <w:r>
              <w:rPr>
                <w:rFonts w:hint="eastAsia" w:ascii="宋体" w:hAnsi="宋体" w:eastAsia="宋体" w:cs="宋体"/>
                <w:b w:val="0"/>
                <w:bCs/>
                <w:sz w:val="21"/>
                <w:szCs w:val="21"/>
              </w:rPr>
              <w:t>天阳、贝尔伯格、固力或同档次及以上品牌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1DD90992">
            <w:pPr>
              <w:snapToGrid w:val="0"/>
              <w:jc w:val="center"/>
              <w:rPr>
                <w:rFonts w:hint="eastAsia" w:ascii="宋体" w:hAnsi="宋体" w:eastAsia="宋体" w:cs="宋体"/>
                <w:sz w:val="21"/>
                <w:szCs w:val="21"/>
              </w:rPr>
            </w:pPr>
          </w:p>
        </w:tc>
      </w:tr>
      <w:tr w14:paraId="53435897">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0E8575DB">
            <w:pPr>
              <w:snapToGrid w:val="0"/>
              <w:jc w:val="center"/>
              <w:rPr>
                <w:rFonts w:hint="eastAsia" w:ascii="宋体" w:hAnsi="宋体" w:eastAsia="宋体" w:cs="宋体"/>
                <w:sz w:val="21"/>
                <w:szCs w:val="21"/>
              </w:rPr>
            </w:pPr>
            <w:r>
              <w:rPr>
                <w:rFonts w:hint="eastAsia" w:ascii="宋体" w:hAnsi="宋体" w:eastAsia="宋体" w:cs="宋体"/>
                <w:sz w:val="21"/>
                <w:szCs w:val="21"/>
              </w:rPr>
              <w:t>15</w:t>
            </w:r>
          </w:p>
        </w:tc>
        <w:tc>
          <w:tcPr>
            <w:tcW w:w="3171" w:type="dxa"/>
            <w:tcBorders>
              <w:top w:val="single" w:color="000000" w:sz="4" w:space="0"/>
              <w:left w:val="single" w:color="000000" w:sz="4" w:space="0"/>
              <w:bottom w:val="single" w:color="000000" w:sz="4" w:space="0"/>
              <w:right w:val="single" w:color="000000" w:sz="4" w:space="0"/>
            </w:tcBorders>
            <w:vAlign w:val="center"/>
          </w:tcPr>
          <w:p w14:paraId="2DA70D04">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防火门</w:t>
            </w:r>
          </w:p>
        </w:tc>
        <w:tc>
          <w:tcPr>
            <w:tcW w:w="3895" w:type="dxa"/>
            <w:tcBorders>
              <w:top w:val="single" w:color="000000" w:sz="4" w:space="0"/>
              <w:left w:val="single" w:color="000000" w:sz="4" w:space="0"/>
              <w:bottom w:val="single" w:color="000000" w:sz="4" w:space="0"/>
              <w:right w:val="single" w:color="000000" w:sz="4" w:space="0"/>
            </w:tcBorders>
            <w:vAlign w:val="center"/>
          </w:tcPr>
          <w:p w14:paraId="36E3ED5F">
            <w:pPr>
              <w:pStyle w:val="16"/>
              <w:rPr>
                <w:rFonts w:hint="eastAsia" w:ascii="宋体" w:hAnsi="宋体" w:eastAsia="宋体" w:cs="宋体"/>
                <w:b w:val="0"/>
                <w:bCs/>
                <w:sz w:val="21"/>
                <w:szCs w:val="21"/>
              </w:rPr>
            </w:pPr>
            <w:r>
              <w:rPr>
                <w:rFonts w:hint="eastAsia" w:ascii="宋体" w:hAnsi="宋体" w:eastAsia="宋体" w:cs="宋体"/>
                <w:b w:val="0"/>
                <w:bCs/>
                <w:sz w:val="21"/>
                <w:szCs w:val="21"/>
              </w:rPr>
              <w:t>澳博森、黄河、万通或同档次及以上品牌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2AA32310">
            <w:pPr>
              <w:snapToGrid w:val="0"/>
              <w:jc w:val="center"/>
              <w:rPr>
                <w:rFonts w:hint="eastAsia" w:ascii="宋体" w:hAnsi="宋体" w:eastAsia="宋体" w:cs="宋体"/>
                <w:sz w:val="21"/>
                <w:szCs w:val="21"/>
              </w:rPr>
            </w:pPr>
          </w:p>
        </w:tc>
      </w:tr>
      <w:tr w14:paraId="21EF8D63">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0D3F9F8A">
            <w:pPr>
              <w:snapToGrid w:val="0"/>
              <w:jc w:val="center"/>
              <w:rPr>
                <w:rFonts w:hint="eastAsia" w:ascii="宋体" w:hAnsi="宋体" w:eastAsia="宋体" w:cs="宋体"/>
                <w:sz w:val="21"/>
                <w:szCs w:val="21"/>
              </w:rPr>
            </w:pPr>
            <w:r>
              <w:rPr>
                <w:rFonts w:hint="eastAsia" w:ascii="宋体" w:hAnsi="宋体" w:eastAsia="宋体" w:cs="宋体"/>
                <w:sz w:val="21"/>
                <w:szCs w:val="21"/>
              </w:rPr>
              <w:t>16</w:t>
            </w:r>
          </w:p>
        </w:tc>
        <w:tc>
          <w:tcPr>
            <w:tcW w:w="3171" w:type="dxa"/>
            <w:tcBorders>
              <w:top w:val="single" w:color="000000" w:sz="4" w:space="0"/>
              <w:left w:val="single" w:color="000000" w:sz="4" w:space="0"/>
              <w:bottom w:val="single" w:color="000000" w:sz="4" w:space="0"/>
              <w:right w:val="single" w:color="000000" w:sz="4" w:space="0"/>
            </w:tcBorders>
            <w:vAlign w:val="center"/>
          </w:tcPr>
          <w:p w14:paraId="0A9B92D1">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型材（含断桥铝合金）</w:t>
            </w:r>
          </w:p>
        </w:tc>
        <w:tc>
          <w:tcPr>
            <w:tcW w:w="3895" w:type="dxa"/>
            <w:tcBorders>
              <w:top w:val="single" w:color="000000" w:sz="4" w:space="0"/>
              <w:left w:val="single" w:color="000000" w:sz="4" w:space="0"/>
              <w:bottom w:val="single" w:color="000000" w:sz="4" w:space="0"/>
              <w:right w:val="single" w:color="000000" w:sz="4" w:space="0"/>
            </w:tcBorders>
            <w:vAlign w:val="center"/>
          </w:tcPr>
          <w:p w14:paraId="4ECB053D">
            <w:pPr>
              <w:pStyle w:val="16"/>
              <w:rPr>
                <w:rFonts w:hint="eastAsia" w:ascii="宋体" w:hAnsi="宋体" w:eastAsia="宋体" w:cs="宋体"/>
                <w:b w:val="0"/>
                <w:bCs/>
                <w:sz w:val="21"/>
                <w:szCs w:val="21"/>
              </w:rPr>
            </w:pPr>
            <w:r>
              <w:rPr>
                <w:rFonts w:hint="eastAsia" w:ascii="宋体" w:hAnsi="宋体" w:eastAsia="宋体" w:cs="宋体"/>
                <w:b w:val="0"/>
                <w:bCs/>
                <w:sz w:val="21"/>
                <w:szCs w:val="21"/>
              </w:rPr>
              <w:t>兴发、亚铝、西飞、高科或同档次及以上品牌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60C62EDD">
            <w:pPr>
              <w:snapToGrid w:val="0"/>
              <w:jc w:val="center"/>
              <w:rPr>
                <w:rFonts w:hint="eastAsia" w:ascii="宋体" w:hAnsi="宋体" w:eastAsia="宋体" w:cs="宋体"/>
                <w:sz w:val="21"/>
                <w:szCs w:val="21"/>
              </w:rPr>
            </w:pPr>
          </w:p>
        </w:tc>
      </w:tr>
      <w:tr w14:paraId="38BB4374">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2B97BF0D">
            <w:pPr>
              <w:snapToGrid w:val="0"/>
              <w:jc w:val="center"/>
              <w:rPr>
                <w:rFonts w:hint="eastAsia" w:ascii="宋体" w:hAnsi="宋体" w:eastAsia="宋体" w:cs="宋体"/>
                <w:sz w:val="21"/>
                <w:szCs w:val="21"/>
              </w:rPr>
            </w:pPr>
            <w:r>
              <w:rPr>
                <w:rFonts w:hint="eastAsia" w:ascii="宋体" w:hAnsi="宋体" w:eastAsia="宋体" w:cs="宋体"/>
                <w:sz w:val="21"/>
                <w:szCs w:val="21"/>
              </w:rPr>
              <w:t>17</w:t>
            </w:r>
          </w:p>
        </w:tc>
        <w:tc>
          <w:tcPr>
            <w:tcW w:w="3171" w:type="dxa"/>
            <w:tcBorders>
              <w:top w:val="single" w:color="000000" w:sz="4" w:space="0"/>
              <w:left w:val="single" w:color="000000" w:sz="4" w:space="0"/>
              <w:bottom w:val="single" w:color="000000" w:sz="4" w:space="0"/>
              <w:right w:val="single" w:color="000000" w:sz="4" w:space="0"/>
            </w:tcBorders>
            <w:vAlign w:val="center"/>
          </w:tcPr>
          <w:p w14:paraId="19A7CF8C">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玻璃</w:t>
            </w:r>
          </w:p>
        </w:tc>
        <w:tc>
          <w:tcPr>
            <w:tcW w:w="3895" w:type="dxa"/>
            <w:tcBorders>
              <w:top w:val="single" w:color="000000" w:sz="4" w:space="0"/>
              <w:left w:val="single" w:color="000000" w:sz="4" w:space="0"/>
              <w:bottom w:val="single" w:color="000000" w:sz="4" w:space="0"/>
              <w:right w:val="single" w:color="000000" w:sz="4" w:space="0"/>
            </w:tcBorders>
            <w:vAlign w:val="center"/>
          </w:tcPr>
          <w:p w14:paraId="02EC72E0">
            <w:pPr>
              <w:pStyle w:val="16"/>
              <w:rPr>
                <w:rFonts w:hint="eastAsia" w:ascii="宋体" w:hAnsi="宋体" w:eastAsia="宋体" w:cs="宋体"/>
                <w:b w:val="0"/>
                <w:bCs/>
                <w:sz w:val="21"/>
                <w:szCs w:val="21"/>
              </w:rPr>
            </w:pPr>
            <w:r>
              <w:rPr>
                <w:rFonts w:hint="eastAsia" w:ascii="宋体" w:hAnsi="宋体" w:eastAsia="宋体" w:cs="宋体"/>
                <w:b w:val="0"/>
                <w:bCs/>
                <w:sz w:val="21"/>
                <w:szCs w:val="21"/>
              </w:rPr>
              <w:t>洛玻、蓝星、台玻或同档次及以上品牌</w:t>
            </w:r>
          </w:p>
          <w:p w14:paraId="459C8DBC">
            <w:pPr>
              <w:snapToGrid w:val="0"/>
              <w:jc w:val="center"/>
              <w:rPr>
                <w:rFonts w:hint="eastAsia" w:ascii="宋体" w:hAnsi="宋体" w:eastAsia="宋体" w:cs="宋体"/>
                <w:b w:val="0"/>
                <w:bCs/>
                <w:sz w:val="21"/>
                <w:szCs w:val="21"/>
              </w:rPr>
            </w:pPr>
          </w:p>
        </w:tc>
        <w:tc>
          <w:tcPr>
            <w:tcW w:w="986" w:type="dxa"/>
            <w:tcBorders>
              <w:top w:val="single" w:color="000000" w:sz="4" w:space="0"/>
              <w:left w:val="single" w:color="000000" w:sz="4" w:space="0"/>
              <w:bottom w:val="single" w:color="000000" w:sz="4" w:space="0"/>
              <w:right w:val="single" w:color="000000" w:sz="4" w:space="0"/>
            </w:tcBorders>
            <w:vAlign w:val="center"/>
          </w:tcPr>
          <w:p w14:paraId="632EDB73">
            <w:pPr>
              <w:snapToGrid w:val="0"/>
              <w:jc w:val="center"/>
              <w:rPr>
                <w:rFonts w:hint="eastAsia" w:ascii="宋体" w:hAnsi="宋体" w:eastAsia="宋体" w:cs="宋体"/>
                <w:sz w:val="21"/>
                <w:szCs w:val="21"/>
              </w:rPr>
            </w:pPr>
          </w:p>
        </w:tc>
      </w:tr>
      <w:tr w14:paraId="76ED55F4">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4A40DA03">
            <w:pPr>
              <w:snapToGrid w:val="0"/>
              <w:jc w:val="center"/>
              <w:rPr>
                <w:rFonts w:hint="eastAsia" w:ascii="宋体" w:hAnsi="宋体" w:eastAsia="宋体" w:cs="宋体"/>
                <w:sz w:val="21"/>
                <w:szCs w:val="21"/>
              </w:rPr>
            </w:pPr>
            <w:r>
              <w:rPr>
                <w:rFonts w:hint="eastAsia" w:ascii="宋体" w:hAnsi="宋体" w:eastAsia="宋体" w:cs="宋体"/>
                <w:sz w:val="21"/>
                <w:szCs w:val="21"/>
              </w:rPr>
              <w:t>18</w:t>
            </w:r>
          </w:p>
        </w:tc>
        <w:tc>
          <w:tcPr>
            <w:tcW w:w="3171" w:type="dxa"/>
            <w:tcBorders>
              <w:top w:val="single" w:color="000000" w:sz="4" w:space="0"/>
              <w:left w:val="single" w:color="000000" w:sz="4" w:space="0"/>
              <w:bottom w:val="single" w:color="000000" w:sz="4" w:space="0"/>
              <w:right w:val="single" w:color="000000" w:sz="4" w:space="0"/>
            </w:tcBorders>
            <w:vAlign w:val="center"/>
          </w:tcPr>
          <w:p w14:paraId="40E46136">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五金配件</w:t>
            </w:r>
          </w:p>
        </w:tc>
        <w:tc>
          <w:tcPr>
            <w:tcW w:w="3895" w:type="dxa"/>
            <w:tcBorders>
              <w:top w:val="single" w:color="000000" w:sz="4" w:space="0"/>
              <w:left w:val="single" w:color="000000" w:sz="4" w:space="0"/>
              <w:bottom w:val="single" w:color="000000" w:sz="4" w:space="0"/>
              <w:right w:val="single" w:color="000000" w:sz="4" w:space="0"/>
            </w:tcBorders>
            <w:vAlign w:val="center"/>
          </w:tcPr>
          <w:p w14:paraId="4DE0EF4E">
            <w:pPr>
              <w:pStyle w:val="16"/>
              <w:rPr>
                <w:rFonts w:hint="eastAsia" w:ascii="宋体" w:hAnsi="宋体" w:eastAsia="宋体" w:cs="宋体"/>
                <w:b w:val="0"/>
                <w:bCs/>
                <w:sz w:val="21"/>
                <w:szCs w:val="21"/>
              </w:rPr>
            </w:pPr>
            <w:r>
              <w:rPr>
                <w:rFonts w:hint="eastAsia" w:ascii="宋体" w:hAnsi="宋体" w:eastAsia="宋体" w:cs="宋体"/>
                <w:b w:val="0"/>
                <w:bCs/>
                <w:sz w:val="21"/>
                <w:szCs w:val="21"/>
              </w:rPr>
              <w:t>坚朗、施耐德、诺托或同档次及以上品牌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2B6E7A3E">
            <w:pPr>
              <w:snapToGrid w:val="0"/>
              <w:jc w:val="center"/>
              <w:rPr>
                <w:rFonts w:hint="eastAsia" w:ascii="宋体" w:hAnsi="宋体" w:eastAsia="宋体" w:cs="宋体"/>
                <w:sz w:val="21"/>
                <w:szCs w:val="21"/>
              </w:rPr>
            </w:pPr>
          </w:p>
        </w:tc>
      </w:tr>
      <w:tr w14:paraId="5439C817">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6B5668B3">
            <w:pPr>
              <w:snapToGrid w:val="0"/>
              <w:jc w:val="center"/>
              <w:rPr>
                <w:rFonts w:hint="eastAsia" w:ascii="宋体" w:hAnsi="宋体" w:eastAsia="宋体" w:cs="宋体"/>
                <w:sz w:val="21"/>
                <w:szCs w:val="21"/>
              </w:rPr>
            </w:pPr>
            <w:r>
              <w:rPr>
                <w:rFonts w:hint="eastAsia" w:ascii="宋体" w:hAnsi="宋体" w:eastAsia="宋体" w:cs="宋体"/>
                <w:sz w:val="21"/>
                <w:szCs w:val="21"/>
              </w:rPr>
              <w:t>19</w:t>
            </w:r>
          </w:p>
        </w:tc>
        <w:tc>
          <w:tcPr>
            <w:tcW w:w="3171" w:type="dxa"/>
            <w:tcBorders>
              <w:top w:val="single" w:color="000000" w:sz="4" w:space="0"/>
              <w:left w:val="single" w:color="000000" w:sz="4" w:space="0"/>
              <w:bottom w:val="single" w:color="000000" w:sz="4" w:space="0"/>
              <w:right w:val="single" w:color="000000" w:sz="4" w:space="0"/>
            </w:tcBorders>
            <w:vAlign w:val="center"/>
          </w:tcPr>
          <w:p w14:paraId="4135575B">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防水卷材</w:t>
            </w:r>
          </w:p>
        </w:tc>
        <w:tc>
          <w:tcPr>
            <w:tcW w:w="3895" w:type="dxa"/>
            <w:tcBorders>
              <w:top w:val="single" w:color="000000" w:sz="4" w:space="0"/>
              <w:left w:val="single" w:color="000000" w:sz="4" w:space="0"/>
              <w:bottom w:val="single" w:color="000000" w:sz="4" w:space="0"/>
              <w:right w:val="single" w:color="000000" w:sz="4" w:space="0"/>
            </w:tcBorders>
            <w:vAlign w:val="center"/>
          </w:tcPr>
          <w:p w14:paraId="41786D74">
            <w:pPr>
              <w:pStyle w:val="16"/>
              <w:rPr>
                <w:rFonts w:hint="eastAsia" w:ascii="宋体" w:hAnsi="宋体" w:eastAsia="宋体" w:cs="宋体"/>
                <w:b w:val="0"/>
                <w:bCs/>
                <w:sz w:val="21"/>
                <w:szCs w:val="21"/>
              </w:rPr>
            </w:pPr>
            <w:r>
              <w:rPr>
                <w:rFonts w:hint="eastAsia" w:ascii="宋体" w:hAnsi="宋体" w:eastAsia="宋体" w:cs="宋体"/>
                <w:b w:val="0"/>
                <w:bCs/>
                <w:sz w:val="21"/>
                <w:szCs w:val="21"/>
              </w:rPr>
              <w:t>东方雨虹、大禹、西牛皮或同档次及以上品牌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21271144">
            <w:pPr>
              <w:snapToGrid w:val="0"/>
              <w:jc w:val="center"/>
              <w:rPr>
                <w:rFonts w:hint="eastAsia" w:ascii="宋体" w:hAnsi="宋体" w:eastAsia="宋体" w:cs="宋体"/>
                <w:sz w:val="21"/>
                <w:szCs w:val="21"/>
              </w:rPr>
            </w:pPr>
          </w:p>
        </w:tc>
      </w:tr>
      <w:tr w14:paraId="11B4689D">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616282A4">
            <w:pPr>
              <w:snapToGrid w:val="0"/>
              <w:jc w:val="center"/>
              <w:rPr>
                <w:rFonts w:hint="eastAsia" w:ascii="宋体" w:hAnsi="宋体" w:eastAsia="宋体" w:cs="宋体"/>
                <w:sz w:val="21"/>
                <w:szCs w:val="21"/>
              </w:rPr>
            </w:pPr>
            <w:r>
              <w:rPr>
                <w:rFonts w:hint="eastAsia" w:ascii="宋体" w:hAnsi="宋体" w:eastAsia="宋体" w:cs="宋体"/>
                <w:sz w:val="21"/>
                <w:szCs w:val="21"/>
              </w:rPr>
              <w:t>20</w:t>
            </w:r>
          </w:p>
        </w:tc>
        <w:tc>
          <w:tcPr>
            <w:tcW w:w="3171" w:type="dxa"/>
            <w:tcBorders>
              <w:top w:val="single" w:color="000000" w:sz="4" w:space="0"/>
              <w:left w:val="single" w:color="000000" w:sz="4" w:space="0"/>
              <w:bottom w:val="single" w:color="000000" w:sz="4" w:space="0"/>
              <w:right w:val="single" w:color="000000" w:sz="4" w:space="0"/>
            </w:tcBorders>
            <w:vAlign w:val="center"/>
          </w:tcPr>
          <w:p w14:paraId="696A8827">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保温板</w:t>
            </w:r>
          </w:p>
        </w:tc>
        <w:tc>
          <w:tcPr>
            <w:tcW w:w="3895" w:type="dxa"/>
            <w:tcBorders>
              <w:top w:val="single" w:color="000000" w:sz="4" w:space="0"/>
              <w:left w:val="single" w:color="000000" w:sz="4" w:space="0"/>
              <w:bottom w:val="single" w:color="000000" w:sz="4" w:space="0"/>
              <w:right w:val="single" w:color="000000" w:sz="4" w:space="0"/>
            </w:tcBorders>
            <w:vAlign w:val="center"/>
          </w:tcPr>
          <w:p w14:paraId="2733C733">
            <w:pPr>
              <w:pStyle w:val="16"/>
              <w:rPr>
                <w:rFonts w:hint="eastAsia" w:ascii="宋体" w:hAnsi="宋体" w:eastAsia="宋体" w:cs="宋体"/>
                <w:b w:val="0"/>
                <w:bCs/>
                <w:sz w:val="21"/>
                <w:szCs w:val="21"/>
              </w:rPr>
            </w:pPr>
            <w:r>
              <w:rPr>
                <w:rFonts w:hint="eastAsia" w:ascii="宋体" w:hAnsi="宋体" w:eastAsia="宋体" w:cs="宋体"/>
                <w:b w:val="0"/>
                <w:bCs/>
                <w:sz w:val="21"/>
                <w:szCs w:val="21"/>
              </w:rPr>
              <w:t>三秦合力、雅士特、龙牌或同档次及以上品牌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51576BA5">
            <w:pPr>
              <w:snapToGrid w:val="0"/>
              <w:jc w:val="center"/>
              <w:rPr>
                <w:rFonts w:hint="eastAsia" w:ascii="宋体" w:hAnsi="宋体" w:eastAsia="宋体" w:cs="宋体"/>
                <w:sz w:val="21"/>
                <w:szCs w:val="21"/>
              </w:rPr>
            </w:pPr>
          </w:p>
        </w:tc>
      </w:tr>
      <w:tr w14:paraId="13FB4CCD">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2E6DDC5D">
            <w:pPr>
              <w:snapToGrid w:val="0"/>
              <w:jc w:val="center"/>
              <w:rPr>
                <w:rFonts w:hint="eastAsia" w:ascii="宋体" w:hAnsi="宋体" w:eastAsia="宋体" w:cs="宋体"/>
                <w:sz w:val="21"/>
                <w:szCs w:val="21"/>
              </w:rPr>
            </w:pPr>
            <w:r>
              <w:rPr>
                <w:rFonts w:hint="eastAsia" w:ascii="宋体" w:hAnsi="宋体" w:eastAsia="宋体" w:cs="宋体"/>
                <w:sz w:val="21"/>
                <w:szCs w:val="21"/>
              </w:rPr>
              <w:t>21</w:t>
            </w:r>
          </w:p>
        </w:tc>
        <w:tc>
          <w:tcPr>
            <w:tcW w:w="3171" w:type="dxa"/>
            <w:tcBorders>
              <w:top w:val="single" w:color="000000" w:sz="4" w:space="0"/>
              <w:left w:val="single" w:color="000000" w:sz="4" w:space="0"/>
              <w:bottom w:val="single" w:color="000000" w:sz="4" w:space="0"/>
              <w:right w:val="single" w:color="000000" w:sz="4" w:space="0"/>
            </w:tcBorders>
            <w:vAlign w:val="center"/>
          </w:tcPr>
          <w:p w14:paraId="4D6397B3">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内外墙涂料、乳胶漆</w:t>
            </w:r>
          </w:p>
        </w:tc>
        <w:tc>
          <w:tcPr>
            <w:tcW w:w="3895" w:type="dxa"/>
            <w:tcBorders>
              <w:top w:val="single" w:color="000000" w:sz="4" w:space="0"/>
              <w:left w:val="single" w:color="000000" w:sz="4" w:space="0"/>
              <w:bottom w:val="single" w:color="000000" w:sz="4" w:space="0"/>
              <w:right w:val="single" w:color="000000" w:sz="4" w:space="0"/>
            </w:tcBorders>
            <w:vAlign w:val="center"/>
          </w:tcPr>
          <w:p w14:paraId="6EE31D3A">
            <w:pPr>
              <w:pStyle w:val="16"/>
              <w:rPr>
                <w:rFonts w:hint="eastAsia" w:ascii="宋体" w:hAnsi="宋体" w:eastAsia="宋体" w:cs="宋体"/>
                <w:b w:val="0"/>
                <w:bCs/>
                <w:sz w:val="21"/>
                <w:szCs w:val="21"/>
              </w:rPr>
            </w:pPr>
            <w:r>
              <w:rPr>
                <w:rFonts w:hint="eastAsia" w:ascii="宋体" w:hAnsi="宋体" w:eastAsia="宋体" w:cs="宋体"/>
                <w:b w:val="0"/>
                <w:bCs/>
                <w:sz w:val="21"/>
                <w:szCs w:val="21"/>
              </w:rPr>
              <w:t>立邦、三棵树、多乐士、华润、嘉宝莉或同档次及以上品牌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284FFDEE">
            <w:pPr>
              <w:snapToGrid w:val="0"/>
              <w:jc w:val="center"/>
              <w:rPr>
                <w:rFonts w:hint="eastAsia" w:ascii="宋体" w:hAnsi="宋体" w:eastAsia="宋体" w:cs="宋体"/>
                <w:sz w:val="21"/>
                <w:szCs w:val="21"/>
              </w:rPr>
            </w:pPr>
          </w:p>
        </w:tc>
      </w:tr>
      <w:tr w14:paraId="09A70448">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07B2473F">
            <w:pPr>
              <w:snapToGrid w:val="0"/>
              <w:jc w:val="center"/>
              <w:rPr>
                <w:rFonts w:hint="eastAsia" w:ascii="宋体" w:hAnsi="宋体" w:eastAsia="宋体" w:cs="宋体"/>
                <w:sz w:val="21"/>
                <w:szCs w:val="21"/>
              </w:rPr>
            </w:pPr>
            <w:r>
              <w:rPr>
                <w:rFonts w:hint="eastAsia" w:ascii="宋体" w:hAnsi="宋体" w:eastAsia="宋体" w:cs="宋体"/>
                <w:sz w:val="21"/>
                <w:szCs w:val="21"/>
              </w:rPr>
              <w:t>22</w:t>
            </w:r>
          </w:p>
        </w:tc>
        <w:tc>
          <w:tcPr>
            <w:tcW w:w="3171" w:type="dxa"/>
            <w:tcBorders>
              <w:top w:val="single" w:color="000000" w:sz="4" w:space="0"/>
              <w:left w:val="single" w:color="000000" w:sz="4" w:space="0"/>
              <w:bottom w:val="single" w:color="000000" w:sz="4" w:space="0"/>
              <w:right w:val="single" w:color="000000" w:sz="4" w:space="0"/>
            </w:tcBorders>
            <w:vAlign w:val="center"/>
          </w:tcPr>
          <w:p w14:paraId="08BD3956">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铝扣板</w:t>
            </w:r>
          </w:p>
        </w:tc>
        <w:tc>
          <w:tcPr>
            <w:tcW w:w="3895" w:type="dxa"/>
            <w:tcBorders>
              <w:top w:val="single" w:color="000000" w:sz="4" w:space="0"/>
              <w:left w:val="single" w:color="000000" w:sz="4" w:space="0"/>
              <w:bottom w:val="single" w:color="000000" w:sz="4" w:space="0"/>
              <w:right w:val="single" w:color="000000" w:sz="4" w:space="0"/>
            </w:tcBorders>
            <w:vAlign w:val="center"/>
          </w:tcPr>
          <w:p w14:paraId="2E11D296">
            <w:pPr>
              <w:pStyle w:val="16"/>
              <w:rPr>
                <w:rFonts w:hint="eastAsia" w:ascii="宋体" w:hAnsi="宋体" w:eastAsia="宋体" w:cs="宋体"/>
                <w:b w:val="0"/>
                <w:bCs/>
                <w:sz w:val="21"/>
                <w:szCs w:val="21"/>
              </w:rPr>
            </w:pPr>
            <w:r>
              <w:rPr>
                <w:rFonts w:hint="eastAsia" w:ascii="宋体" w:hAnsi="宋体" w:eastAsia="宋体" w:cs="宋体"/>
                <w:b w:val="0"/>
                <w:bCs/>
                <w:sz w:val="21"/>
                <w:szCs w:val="21"/>
              </w:rPr>
              <w:t>欧斯龙、欧陆、龙牌或同档次及以上品牌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717A260B">
            <w:pPr>
              <w:snapToGrid w:val="0"/>
              <w:jc w:val="center"/>
              <w:rPr>
                <w:rFonts w:hint="eastAsia" w:ascii="宋体" w:hAnsi="宋体" w:eastAsia="宋体" w:cs="宋体"/>
                <w:sz w:val="21"/>
                <w:szCs w:val="21"/>
              </w:rPr>
            </w:pPr>
          </w:p>
        </w:tc>
      </w:tr>
      <w:tr w14:paraId="082B6A97">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5DBD2E55">
            <w:pPr>
              <w:snapToGrid w:val="0"/>
              <w:jc w:val="center"/>
              <w:rPr>
                <w:rFonts w:hint="eastAsia" w:ascii="宋体" w:hAnsi="宋体" w:eastAsia="宋体" w:cs="宋体"/>
                <w:sz w:val="21"/>
                <w:szCs w:val="21"/>
              </w:rPr>
            </w:pPr>
            <w:r>
              <w:rPr>
                <w:rFonts w:hint="eastAsia" w:ascii="宋体" w:hAnsi="宋体" w:eastAsia="宋体" w:cs="宋体"/>
                <w:sz w:val="21"/>
                <w:szCs w:val="21"/>
              </w:rPr>
              <w:t>23</w:t>
            </w:r>
          </w:p>
        </w:tc>
        <w:tc>
          <w:tcPr>
            <w:tcW w:w="3171" w:type="dxa"/>
            <w:tcBorders>
              <w:top w:val="single" w:color="000000" w:sz="4" w:space="0"/>
              <w:left w:val="single" w:color="000000" w:sz="4" w:space="0"/>
              <w:bottom w:val="single" w:color="000000" w:sz="4" w:space="0"/>
              <w:right w:val="single" w:color="000000" w:sz="4" w:space="0"/>
            </w:tcBorders>
            <w:vAlign w:val="center"/>
          </w:tcPr>
          <w:p w14:paraId="48028F1E">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铝格栅</w:t>
            </w:r>
          </w:p>
        </w:tc>
        <w:tc>
          <w:tcPr>
            <w:tcW w:w="3895" w:type="dxa"/>
            <w:tcBorders>
              <w:top w:val="single" w:color="000000" w:sz="4" w:space="0"/>
              <w:left w:val="single" w:color="000000" w:sz="4" w:space="0"/>
              <w:bottom w:val="single" w:color="000000" w:sz="4" w:space="0"/>
              <w:right w:val="single" w:color="000000" w:sz="4" w:space="0"/>
            </w:tcBorders>
            <w:vAlign w:val="center"/>
          </w:tcPr>
          <w:p w14:paraId="7A8609A0">
            <w:pPr>
              <w:pStyle w:val="16"/>
              <w:rPr>
                <w:rFonts w:hint="eastAsia" w:ascii="宋体" w:hAnsi="宋体" w:eastAsia="宋体" w:cs="宋体"/>
                <w:b w:val="0"/>
                <w:bCs/>
                <w:sz w:val="21"/>
                <w:szCs w:val="21"/>
              </w:rPr>
            </w:pPr>
            <w:r>
              <w:rPr>
                <w:rFonts w:hint="eastAsia" w:ascii="宋体" w:hAnsi="宋体" w:eastAsia="宋体" w:cs="宋体"/>
                <w:b w:val="0"/>
                <w:bCs/>
                <w:sz w:val="21"/>
                <w:szCs w:val="21"/>
              </w:rPr>
              <w:t>朗能、金霸、欧司朗或同档次及以上品牌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26480280">
            <w:pPr>
              <w:snapToGrid w:val="0"/>
              <w:jc w:val="center"/>
              <w:rPr>
                <w:rFonts w:hint="eastAsia" w:ascii="宋体" w:hAnsi="宋体" w:eastAsia="宋体" w:cs="宋体"/>
                <w:sz w:val="21"/>
                <w:szCs w:val="21"/>
              </w:rPr>
            </w:pPr>
          </w:p>
        </w:tc>
      </w:tr>
      <w:tr w14:paraId="6C0F351F">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68BAE1A9">
            <w:pPr>
              <w:snapToGrid w:val="0"/>
              <w:jc w:val="center"/>
              <w:rPr>
                <w:rFonts w:hint="eastAsia" w:ascii="宋体" w:hAnsi="宋体" w:eastAsia="宋体" w:cs="宋体"/>
                <w:sz w:val="21"/>
                <w:szCs w:val="21"/>
              </w:rPr>
            </w:pPr>
            <w:r>
              <w:rPr>
                <w:rFonts w:hint="eastAsia" w:ascii="宋体" w:hAnsi="宋体" w:eastAsia="宋体" w:cs="宋体"/>
                <w:sz w:val="21"/>
                <w:szCs w:val="21"/>
              </w:rPr>
              <w:t>24</w:t>
            </w:r>
          </w:p>
        </w:tc>
        <w:tc>
          <w:tcPr>
            <w:tcW w:w="3171" w:type="dxa"/>
            <w:tcBorders>
              <w:top w:val="single" w:color="000000" w:sz="4" w:space="0"/>
              <w:left w:val="single" w:color="000000" w:sz="4" w:space="0"/>
              <w:bottom w:val="single" w:color="000000" w:sz="4" w:space="0"/>
              <w:right w:val="single" w:color="000000" w:sz="4" w:space="0"/>
            </w:tcBorders>
            <w:vAlign w:val="center"/>
          </w:tcPr>
          <w:p w14:paraId="4A265657">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墙地瓷砖</w:t>
            </w:r>
          </w:p>
        </w:tc>
        <w:tc>
          <w:tcPr>
            <w:tcW w:w="3895" w:type="dxa"/>
            <w:tcBorders>
              <w:top w:val="single" w:color="000000" w:sz="4" w:space="0"/>
              <w:left w:val="single" w:color="000000" w:sz="4" w:space="0"/>
              <w:bottom w:val="single" w:color="000000" w:sz="4" w:space="0"/>
              <w:right w:val="single" w:color="000000" w:sz="4" w:space="0"/>
            </w:tcBorders>
            <w:vAlign w:val="center"/>
          </w:tcPr>
          <w:p w14:paraId="0DE0D1F1">
            <w:pPr>
              <w:pStyle w:val="16"/>
              <w:rPr>
                <w:rFonts w:hint="eastAsia" w:ascii="宋体" w:hAnsi="宋体" w:eastAsia="宋体" w:cs="宋体"/>
                <w:b w:val="0"/>
                <w:bCs/>
                <w:sz w:val="21"/>
                <w:szCs w:val="21"/>
              </w:rPr>
            </w:pPr>
            <w:r>
              <w:rPr>
                <w:rFonts w:hint="eastAsia" w:ascii="宋体" w:hAnsi="宋体" w:eastAsia="宋体" w:cs="宋体"/>
                <w:b w:val="0"/>
                <w:bCs/>
                <w:sz w:val="21"/>
                <w:szCs w:val="21"/>
              </w:rPr>
              <w:t>宏宇、冠珠、东鹏、鹰牌或同档次及以上品牌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076E6180">
            <w:pPr>
              <w:snapToGrid w:val="0"/>
              <w:jc w:val="center"/>
              <w:rPr>
                <w:rFonts w:hint="eastAsia" w:ascii="宋体" w:hAnsi="宋体" w:eastAsia="宋体" w:cs="宋体"/>
                <w:sz w:val="21"/>
                <w:szCs w:val="21"/>
              </w:rPr>
            </w:pPr>
          </w:p>
        </w:tc>
      </w:tr>
      <w:tr w14:paraId="7C5B5930">
        <w:tblPrEx>
          <w:tblCellMar>
            <w:top w:w="0" w:type="dxa"/>
            <w:left w:w="108" w:type="dxa"/>
            <w:bottom w:w="0" w:type="dxa"/>
            <w:right w:w="108" w:type="dxa"/>
          </w:tblCellMar>
        </w:tblPrEx>
        <w:tc>
          <w:tcPr>
            <w:tcW w:w="882" w:type="dxa"/>
            <w:tcBorders>
              <w:top w:val="single" w:color="000000" w:sz="4" w:space="0"/>
              <w:left w:val="single" w:color="000000" w:sz="4" w:space="0"/>
              <w:bottom w:val="single" w:color="000000" w:sz="4" w:space="0"/>
              <w:right w:val="single" w:color="000000" w:sz="4" w:space="0"/>
            </w:tcBorders>
            <w:vAlign w:val="center"/>
          </w:tcPr>
          <w:p w14:paraId="74CEBFE5">
            <w:pPr>
              <w:snapToGrid w:val="0"/>
              <w:jc w:val="center"/>
              <w:rPr>
                <w:rFonts w:hint="eastAsia" w:ascii="宋体" w:hAnsi="宋体" w:eastAsia="宋体" w:cs="宋体"/>
                <w:sz w:val="21"/>
                <w:szCs w:val="21"/>
              </w:rPr>
            </w:pPr>
            <w:r>
              <w:rPr>
                <w:rFonts w:hint="eastAsia" w:ascii="宋体" w:hAnsi="宋体" w:eastAsia="宋体" w:cs="宋体"/>
                <w:sz w:val="21"/>
                <w:szCs w:val="21"/>
              </w:rPr>
              <w:t>25</w:t>
            </w:r>
          </w:p>
        </w:tc>
        <w:tc>
          <w:tcPr>
            <w:tcW w:w="3171" w:type="dxa"/>
            <w:tcBorders>
              <w:top w:val="single" w:color="000000" w:sz="4" w:space="0"/>
              <w:left w:val="single" w:color="000000" w:sz="4" w:space="0"/>
              <w:bottom w:val="single" w:color="000000" w:sz="4" w:space="0"/>
              <w:right w:val="single" w:color="000000" w:sz="4" w:space="0"/>
            </w:tcBorders>
            <w:vAlign w:val="center"/>
          </w:tcPr>
          <w:p w14:paraId="090D0543">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岩棉保温</w:t>
            </w:r>
          </w:p>
        </w:tc>
        <w:tc>
          <w:tcPr>
            <w:tcW w:w="3895" w:type="dxa"/>
            <w:tcBorders>
              <w:top w:val="single" w:color="000000" w:sz="4" w:space="0"/>
              <w:left w:val="single" w:color="000000" w:sz="4" w:space="0"/>
              <w:bottom w:val="single" w:color="000000" w:sz="4" w:space="0"/>
              <w:right w:val="single" w:color="000000" w:sz="4" w:space="0"/>
            </w:tcBorders>
            <w:vAlign w:val="center"/>
          </w:tcPr>
          <w:p w14:paraId="5077A66C">
            <w:pPr>
              <w:pStyle w:val="16"/>
              <w:rPr>
                <w:rFonts w:hint="eastAsia" w:ascii="宋体" w:hAnsi="宋体" w:eastAsia="宋体" w:cs="宋体"/>
                <w:b w:val="0"/>
                <w:bCs/>
                <w:sz w:val="21"/>
                <w:szCs w:val="21"/>
              </w:rPr>
            </w:pPr>
            <w:r>
              <w:rPr>
                <w:rFonts w:hint="eastAsia" w:ascii="宋体" w:hAnsi="宋体" w:eastAsia="宋体" w:cs="宋体"/>
                <w:b w:val="0"/>
                <w:bCs/>
                <w:sz w:val="21"/>
                <w:szCs w:val="21"/>
              </w:rPr>
              <w:t>樱花、金隅、秦恒、合力、洛科威或同档次及以上品牌</w:t>
            </w:r>
          </w:p>
        </w:tc>
        <w:tc>
          <w:tcPr>
            <w:tcW w:w="986" w:type="dxa"/>
            <w:tcBorders>
              <w:top w:val="single" w:color="000000" w:sz="4" w:space="0"/>
              <w:left w:val="single" w:color="000000" w:sz="4" w:space="0"/>
              <w:bottom w:val="single" w:color="000000" w:sz="4" w:space="0"/>
              <w:right w:val="single" w:color="000000" w:sz="4" w:space="0"/>
            </w:tcBorders>
            <w:vAlign w:val="center"/>
          </w:tcPr>
          <w:p w14:paraId="72AB0D87">
            <w:pPr>
              <w:snapToGrid w:val="0"/>
              <w:jc w:val="center"/>
              <w:rPr>
                <w:rFonts w:hint="eastAsia" w:ascii="宋体" w:hAnsi="宋体" w:eastAsia="宋体" w:cs="宋体"/>
                <w:sz w:val="21"/>
                <w:szCs w:val="21"/>
              </w:rPr>
            </w:pPr>
          </w:p>
        </w:tc>
      </w:tr>
      <w:tr w14:paraId="6B47729A">
        <w:tblPrEx>
          <w:tblCellMar>
            <w:top w:w="0" w:type="dxa"/>
            <w:left w:w="108" w:type="dxa"/>
            <w:bottom w:w="0" w:type="dxa"/>
            <w:right w:w="108" w:type="dxa"/>
          </w:tblCellMar>
        </w:tblPrEx>
        <w:tc>
          <w:tcPr>
            <w:tcW w:w="882" w:type="dxa"/>
            <w:tcBorders>
              <w:top w:val="single" w:color="000000" w:sz="4" w:space="0"/>
              <w:left w:val="single" w:color="000000" w:sz="4" w:space="0"/>
              <w:bottom w:val="single" w:color="auto" w:sz="4" w:space="0"/>
              <w:right w:val="single" w:color="000000" w:sz="4" w:space="0"/>
            </w:tcBorders>
            <w:vAlign w:val="center"/>
          </w:tcPr>
          <w:p w14:paraId="7C2F63E9">
            <w:pPr>
              <w:snapToGrid w:val="0"/>
              <w:jc w:val="center"/>
              <w:rPr>
                <w:rFonts w:hint="eastAsia" w:ascii="宋体" w:hAnsi="宋体" w:eastAsia="宋体" w:cs="宋体"/>
                <w:sz w:val="21"/>
                <w:szCs w:val="21"/>
              </w:rPr>
            </w:pPr>
            <w:r>
              <w:rPr>
                <w:rFonts w:hint="eastAsia" w:ascii="宋体" w:hAnsi="宋体" w:eastAsia="宋体" w:cs="宋体"/>
                <w:sz w:val="21"/>
                <w:szCs w:val="21"/>
              </w:rPr>
              <w:t>26</w:t>
            </w:r>
          </w:p>
        </w:tc>
        <w:tc>
          <w:tcPr>
            <w:tcW w:w="3171" w:type="dxa"/>
            <w:tcBorders>
              <w:top w:val="single" w:color="000000" w:sz="4" w:space="0"/>
              <w:left w:val="single" w:color="000000" w:sz="4" w:space="0"/>
              <w:bottom w:val="single" w:color="auto" w:sz="4" w:space="0"/>
              <w:right w:val="single" w:color="000000" w:sz="4" w:space="0"/>
            </w:tcBorders>
            <w:vAlign w:val="center"/>
          </w:tcPr>
          <w:p w14:paraId="0DD6F1B0">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矿棉板</w:t>
            </w:r>
          </w:p>
        </w:tc>
        <w:tc>
          <w:tcPr>
            <w:tcW w:w="3895" w:type="dxa"/>
            <w:tcBorders>
              <w:top w:val="single" w:color="000000" w:sz="4" w:space="0"/>
              <w:left w:val="single" w:color="000000" w:sz="4" w:space="0"/>
              <w:bottom w:val="single" w:color="auto" w:sz="4" w:space="0"/>
              <w:right w:val="single" w:color="000000" w:sz="4" w:space="0"/>
            </w:tcBorders>
            <w:vAlign w:val="center"/>
          </w:tcPr>
          <w:p w14:paraId="51517067">
            <w:pPr>
              <w:pStyle w:val="16"/>
              <w:rPr>
                <w:rFonts w:hint="eastAsia" w:ascii="宋体" w:hAnsi="宋体" w:eastAsia="宋体" w:cs="宋体"/>
                <w:b w:val="0"/>
                <w:bCs/>
                <w:sz w:val="21"/>
                <w:szCs w:val="21"/>
              </w:rPr>
            </w:pPr>
            <w:r>
              <w:rPr>
                <w:rFonts w:hint="eastAsia" w:ascii="宋体" w:hAnsi="宋体" w:eastAsia="宋体" w:cs="宋体"/>
                <w:b w:val="0"/>
                <w:bCs/>
                <w:sz w:val="21"/>
                <w:szCs w:val="21"/>
              </w:rPr>
              <w:t>泰山、龙牌、星牌、阿姆斯壮、可耐福或同档次及以上品牌</w:t>
            </w:r>
          </w:p>
        </w:tc>
        <w:tc>
          <w:tcPr>
            <w:tcW w:w="986" w:type="dxa"/>
            <w:tcBorders>
              <w:top w:val="single" w:color="000000" w:sz="4" w:space="0"/>
              <w:left w:val="single" w:color="000000" w:sz="4" w:space="0"/>
              <w:bottom w:val="single" w:color="auto" w:sz="4" w:space="0"/>
              <w:right w:val="single" w:color="000000" w:sz="4" w:space="0"/>
            </w:tcBorders>
            <w:vAlign w:val="center"/>
          </w:tcPr>
          <w:p w14:paraId="219A3F39">
            <w:pPr>
              <w:snapToGrid w:val="0"/>
              <w:jc w:val="center"/>
              <w:rPr>
                <w:rFonts w:hint="eastAsia" w:ascii="宋体" w:hAnsi="宋体" w:eastAsia="宋体" w:cs="宋体"/>
                <w:sz w:val="21"/>
                <w:szCs w:val="21"/>
              </w:rPr>
            </w:pPr>
          </w:p>
        </w:tc>
      </w:tr>
      <w:tr w14:paraId="324721DC">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09166D7A">
            <w:pPr>
              <w:snapToGrid w:val="0"/>
              <w:jc w:val="center"/>
              <w:rPr>
                <w:rFonts w:hint="eastAsia" w:ascii="宋体" w:hAnsi="宋体" w:eastAsia="宋体" w:cs="宋体"/>
                <w:sz w:val="21"/>
                <w:szCs w:val="21"/>
              </w:rPr>
            </w:pPr>
            <w:r>
              <w:rPr>
                <w:rFonts w:hint="eastAsia" w:ascii="宋体" w:hAnsi="宋体" w:eastAsia="宋体" w:cs="宋体"/>
                <w:sz w:val="21"/>
                <w:szCs w:val="21"/>
              </w:rPr>
              <w:t>27</w:t>
            </w:r>
          </w:p>
        </w:tc>
        <w:tc>
          <w:tcPr>
            <w:tcW w:w="3171" w:type="dxa"/>
            <w:tcBorders>
              <w:top w:val="single" w:color="auto" w:sz="4" w:space="0"/>
              <w:left w:val="single" w:color="auto" w:sz="4" w:space="0"/>
              <w:bottom w:val="single" w:color="auto" w:sz="4" w:space="0"/>
              <w:right w:val="single" w:color="auto" w:sz="4" w:space="0"/>
            </w:tcBorders>
            <w:vAlign w:val="center"/>
          </w:tcPr>
          <w:p w14:paraId="3BD5556D">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木饰面板</w:t>
            </w:r>
          </w:p>
        </w:tc>
        <w:tc>
          <w:tcPr>
            <w:tcW w:w="3895" w:type="dxa"/>
            <w:tcBorders>
              <w:top w:val="single" w:color="auto" w:sz="4" w:space="0"/>
              <w:left w:val="single" w:color="auto" w:sz="4" w:space="0"/>
              <w:bottom w:val="single" w:color="auto" w:sz="4" w:space="0"/>
              <w:right w:val="single" w:color="auto" w:sz="4" w:space="0"/>
            </w:tcBorders>
            <w:vAlign w:val="center"/>
          </w:tcPr>
          <w:p w14:paraId="0E188DA6">
            <w:pPr>
              <w:pStyle w:val="16"/>
              <w:rPr>
                <w:rFonts w:hint="eastAsia" w:ascii="宋体" w:hAnsi="宋体" w:eastAsia="宋体" w:cs="宋体"/>
                <w:b w:val="0"/>
                <w:bCs/>
                <w:sz w:val="21"/>
                <w:szCs w:val="21"/>
              </w:rPr>
            </w:pPr>
            <w:r>
              <w:rPr>
                <w:rFonts w:hint="eastAsia" w:ascii="宋体" w:hAnsi="宋体" w:eastAsia="宋体" w:cs="宋体"/>
                <w:b w:val="0"/>
                <w:bCs/>
                <w:sz w:val="21"/>
                <w:szCs w:val="21"/>
              </w:rPr>
              <w:t>兔宝宝、莫干山、千年舟或同档次及以上品牌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31C3048A">
            <w:pPr>
              <w:snapToGrid w:val="0"/>
              <w:jc w:val="center"/>
              <w:rPr>
                <w:rFonts w:hint="eastAsia" w:ascii="宋体" w:hAnsi="宋体" w:eastAsia="宋体" w:cs="宋体"/>
                <w:sz w:val="21"/>
                <w:szCs w:val="21"/>
              </w:rPr>
            </w:pPr>
          </w:p>
        </w:tc>
      </w:tr>
      <w:tr w14:paraId="7E9177D9">
        <w:tblPrEx>
          <w:tblCellMar>
            <w:top w:w="0" w:type="dxa"/>
            <w:left w:w="108" w:type="dxa"/>
            <w:bottom w:w="0" w:type="dxa"/>
            <w:right w:w="108" w:type="dxa"/>
          </w:tblCellMar>
        </w:tblPrEx>
        <w:trPr>
          <w:trHeight w:val="567" w:hRule="atLeast"/>
        </w:trPr>
        <w:tc>
          <w:tcPr>
            <w:tcW w:w="882" w:type="dxa"/>
            <w:tcBorders>
              <w:top w:val="single" w:color="auto" w:sz="4" w:space="0"/>
              <w:left w:val="single" w:color="auto" w:sz="4" w:space="0"/>
              <w:bottom w:val="single" w:color="auto" w:sz="4" w:space="0"/>
              <w:right w:val="single" w:color="auto" w:sz="4" w:space="0"/>
            </w:tcBorders>
            <w:vAlign w:val="center"/>
          </w:tcPr>
          <w:p w14:paraId="0017E108">
            <w:pPr>
              <w:snapToGrid w:val="0"/>
              <w:jc w:val="center"/>
              <w:rPr>
                <w:rFonts w:hint="eastAsia" w:ascii="宋体" w:hAnsi="宋体" w:eastAsia="宋体" w:cs="宋体"/>
                <w:sz w:val="21"/>
                <w:szCs w:val="21"/>
              </w:rPr>
            </w:pPr>
            <w:r>
              <w:rPr>
                <w:rFonts w:hint="eastAsia" w:ascii="宋体" w:hAnsi="宋体" w:eastAsia="宋体" w:cs="宋体"/>
                <w:sz w:val="21"/>
                <w:szCs w:val="21"/>
              </w:rPr>
              <w:t>28</w:t>
            </w:r>
          </w:p>
        </w:tc>
        <w:tc>
          <w:tcPr>
            <w:tcW w:w="3171" w:type="dxa"/>
            <w:tcBorders>
              <w:top w:val="single" w:color="auto" w:sz="4" w:space="0"/>
              <w:left w:val="single" w:color="auto" w:sz="4" w:space="0"/>
              <w:bottom w:val="single" w:color="auto" w:sz="4" w:space="0"/>
              <w:right w:val="single" w:color="auto" w:sz="4" w:space="0"/>
            </w:tcBorders>
            <w:vAlign w:val="center"/>
          </w:tcPr>
          <w:p w14:paraId="20E44C78">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复合木地板</w:t>
            </w:r>
          </w:p>
        </w:tc>
        <w:tc>
          <w:tcPr>
            <w:tcW w:w="3895" w:type="dxa"/>
            <w:tcBorders>
              <w:top w:val="single" w:color="auto" w:sz="4" w:space="0"/>
              <w:left w:val="single" w:color="auto" w:sz="4" w:space="0"/>
              <w:bottom w:val="single" w:color="auto" w:sz="4" w:space="0"/>
              <w:right w:val="single" w:color="auto" w:sz="4" w:space="0"/>
            </w:tcBorders>
            <w:vAlign w:val="center"/>
          </w:tcPr>
          <w:p w14:paraId="766BA209">
            <w:pPr>
              <w:pStyle w:val="16"/>
              <w:rPr>
                <w:rFonts w:hint="eastAsia" w:ascii="宋体" w:hAnsi="宋体" w:eastAsia="宋体" w:cs="宋体"/>
                <w:b w:val="0"/>
                <w:bCs/>
                <w:sz w:val="21"/>
                <w:szCs w:val="21"/>
              </w:rPr>
            </w:pPr>
            <w:r>
              <w:rPr>
                <w:rFonts w:hint="eastAsia" w:ascii="宋体" w:hAnsi="宋体" w:eastAsia="宋体" w:cs="宋体"/>
                <w:b w:val="0"/>
                <w:bCs/>
                <w:sz w:val="21"/>
                <w:szCs w:val="21"/>
              </w:rPr>
              <w:t>圣象、大自然、德尔、扬子或同档次及以上品牌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04521A7C">
            <w:pPr>
              <w:snapToGrid w:val="0"/>
              <w:jc w:val="center"/>
              <w:rPr>
                <w:rFonts w:hint="eastAsia" w:ascii="宋体" w:hAnsi="宋体" w:eastAsia="宋体" w:cs="宋体"/>
                <w:sz w:val="21"/>
                <w:szCs w:val="21"/>
              </w:rPr>
            </w:pPr>
          </w:p>
        </w:tc>
      </w:tr>
      <w:tr w14:paraId="59492D37">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211B666C">
            <w:pPr>
              <w:snapToGrid w:val="0"/>
              <w:jc w:val="center"/>
              <w:rPr>
                <w:rFonts w:hint="eastAsia" w:ascii="宋体" w:hAnsi="宋体" w:eastAsia="宋体" w:cs="宋体"/>
                <w:sz w:val="21"/>
                <w:szCs w:val="21"/>
              </w:rPr>
            </w:pPr>
            <w:r>
              <w:rPr>
                <w:rFonts w:hint="eastAsia" w:ascii="宋体" w:hAnsi="宋体" w:eastAsia="宋体" w:cs="宋体"/>
                <w:sz w:val="21"/>
                <w:szCs w:val="21"/>
              </w:rPr>
              <w:t>29</w:t>
            </w:r>
          </w:p>
        </w:tc>
        <w:tc>
          <w:tcPr>
            <w:tcW w:w="3171" w:type="dxa"/>
            <w:tcBorders>
              <w:top w:val="single" w:color="auto" w:sz="4" w:space="0"/>
              <w:left w:val="single" w:color="auto" w:sz="4" w:space="0"/>
              <w:bottom w:val="single" w:color="auto" w:sz="4" w:space="0"/>
              <w:right w:val="single" w:color="auto" w:sz="4" w:space="0"/>
            </w:tcBorders>
            <w:vAlign w:val="center"/>
          </w:tcPr>
          <w:p w14:paraId="7BEFC626">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真石漆</w:t>
            </w:r>
          </w:p>
        </w:tc>
        <w:tc>
          <w:tcPr>
            <w:tcW w:w="3895" w:type="dxa"/>
            <w:tcBorders>
              <w:top w:val="single" w:color="auto" w:sz="4" w:space="0"/>
              <w:left w:val="single" w:color="auto" w:sz="4" w:space="0"/>
              <w:bottom w:val="single" w:color="auto" w:sz="4" w:space="0"/>
              <w:right w:val="single" w:color="auto" w:sz="4" w:space="0"/>
            </w:tcBorders>
            <w:vAlign w:val="center"/>
          </w:tcPr>
          <w:p w14:paraId="15BB687C">
            <w:pPr>
              <w:pStyle w:val="16"/>
              <w:rPr>
                <w:rFonts w:hint="eastAsia" w:ascii="宋体" w:hAnsi="宋体" w:eastAsia="宋体" w:cs="宋体"/>
                <w:b w:val="0"/>
                <w:bCs/>
                <w:sz w:val="21"/>
                <w:szCs w:val="21"/>
              </w:rPr>
            </w:pPr>
            <w:r>
              <w:rPr>
                <w:rFonts w:hint="eastAsia" w:ascii="宋体" w:hAnsi="宋体" w:eastAsia="宋体" w:cs="宋体"/>
                <w:b w:val="0"/>
                <w:bCs/>
                <w:sz w:val="21"/>
                <w:szCs w:val="21"/>
              </w:rPr>
              <w:t>多乐士、立邦、汇丽或同档次及以上品牌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668F9DF5">
            <w:pPr>
              <w:snapToGrid w:val="0"/>
              <w:jc w:val="center"/>
              <w:rPr>
                <w:rFonts w:hint="eastAsia" w:ascii="宋体" w:hAnsi="宋体" w:eastAsia="宋体" w:cs="宋体"/>
                <w:sz w:val="21"/>
                <w:szCs w:val="21"/>
              </w:rPr>
            </w:pPr>
          </w:p>
        </w:tc>
      </w:tr>
      <w:tr w14:paraId="116FF4CD">
        <w:tblPrEx>
          <w:tblCellMar>
            <w:top w:w="0" w:type="dxa"/>
            <w:left w:w="108" w:type="dxa"/>
            <w:bottom w:w="0" w:type="dxa"/>
            <w:right w:w="108" w:type="dxa"/>
          </w:tblCellMar>
        </w:tblPrEx>
        <w:tc>
          <w:tcPr>
            <w:tcW w:w="8934" w:type="dxa"/>
            <w:gridSpan w:val="4"/>
            <w:tcBorders>
              <w:top w:val="single" w:color="auto" w:sz="4" w:space="0"/>
              <w:left w:val="single" w:color="auto" w:sz="4" w:space="0"/>
              <w:bottom w:val="single" w:color="auto" w:sz="4" w:space="0"/>
              <w:right w:val="single" w:color="auto" w:sz="4" w:space="0"/>
            </w:tcBorders>
            <w:vAlign w:val="center"/>
          </w:tcPr>
          <w:p w14:paraId="4AB9B8B1">
            <w:pPr>
              <w:snapToGrid w:val="0"/>
              <w:jc w:val="center"/>
              <w:rPr>
                <w:rFonts w:hint="eastAsia" w:ascii="宋体" w:hAnsi="宋体" w:eastAsia="宋体" w:cs="宋体"/>
                <w:sz w:val="21"/>
                <w:szCs w:val="21"/>
              </w:rPr>
            </w:pPr>
            <w:r>
              <w:rPr>
                <w:rFonts w:hint="eastAsia" w:ascii="宋体" w:hAnsi="宋体" w:eastAsia="宋体" w:cs="宋体"/>
                <w:b/>
                <w:sz w:val="21"/>
                <w:szCs w:val="21"/>
              </w:rPr>
              <w:t>二、安装材料</w:t>
            </w:r>
          </w:p>
        </w:tc>
      </w:tr>
      <w:tr w14:paraId="20061192">
        <w:tblPrEx>
          <w:tblCellMar>
            <w:top w:w="0" w:type="dxa"/>
            <w:left w:w="108" w:type="dxa"/>
            <w:bottom w:w="0" w:type="dxa"/>
            <w:right w:w="108" w:type="dxa"/>
          </w:tblCellMar>
        </w:tblPrEx>
        <w:trPr>
          <w:trHeight w:val="579" w:hRule="atLeast"/>
        </w:trPr>
        <w:tc>
          <w:tcPr>
            <w:tcW w:w="882" w:type="dxa"/>
            <w:tcBorders>
              <w:top w:val="single" w:color="auto" w:sz="4" w:space="0"/>
              <w:left w:val="single" w:color="auto" w:sz="4" w:space="0"/>
              <w:bottom w:val="single" w:color="auto" w:sz="4" w:space="0"/>
              <w:right w:val="single" w:color="auto" w:sz="4" w:space="0"/>
            </w:tcBorders>
            <w:vAlign w:val="center"/>
          </w:tcPr>
          <w:p w14:paraId="75FDDDC8">
            <w:pPr>
              <w:snapToGrid w:val="0"/>
              <w:jc w:val="center"/>
              <w:rPr>
                <w:rFonts w:hint="eastAsia" w:ascii="宋体" w:hAnsi="宋体" w:eastAsia="宋体" w:cs="宋体"/>
                <w:sz w:val="21"/>
                <w:szCs w:val="21"/>
              </w:rPr>
            </w:pPr>
            <w:r>
              <w:rPr>
                <w:rFonts w:hint="eastAsia" w:ascii="宋体" w:hAnsi="宋体" w:eastAsia="宋体" w:cs="宋体"/>
                <w:sz w:val="21"/>
                <w:szCs w:val="21"/>
              </w:rPr>
              <w:t>1</w:t>
            </w:r>
          </w:p>
        </w:tc>
        <w:tc>
          <w:tcPr>
            <w:tcW w:w="3171" w:type="dxa"/>
            <w:tcBorders>
              <w:top w:val="single" w:color="auto" w:sz="4" w:space="0"/>
              <w:left w:val="single" w:color="auto" w:sz="4" w:space="0"/>
              <w:bottom w:val="single" w:color="auto" w:sz="4" w:space="0"/>
              <w:right w:val="single" w:color="auto" w:sz="4" w:space="0"/>
            </w:tcBorders>
            <w:vAlign w:val="center"/>
          </w:tcPr>
          <w:p w14:paraId="29454E05">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背景音乐广播</w:t>
            </w:r>
          </w:p>
        </w:tc>
        <w:tc>
          <w:tcPr>
            <w:tcW w:w="3895" w:type="dxa"/>
            <w:tcBorders>
              <w:top w:val="single" w:color="auto" w:sz="4" w:space="0"/>
              <w:left w:val="single" w:color="auto" w:sz="4" w:space="0"/>
              <w:bottom w:val="single" w:color="auto" w:sz="4" w:space="0"/>
              <w:right w:val="single" w:color="auto" w:sz="4" w:space="0"/>
            </w:tcBorders>
            <w:vAlign w:val="center"/>
          </w:tcPr>
          <w:p w14:paraId="07829108">
            <w:pPr>
              <w:pStyle w:val="16"/>
              <w:jc w:val="both"/>
              <w:rPr>
                <w:rFonts w:hint="eastAsia" w:ascii="宋体" w:hAnsi="宋体" w:eastAsia="宋体" w:cs="宋体"/>
                <w:b w:val="0"/>
                <w:bCs/>
                <w:sz w:val="21"/>
                <w:szCs w:val="21"/>
              </w:rPr>
            </w:pPr>
            <w:r>
              <w:rPr>
                <w:rFonts w:hint="eastAsia" w:ascii="宋体" w:hAnsi="宋体" w:eastAsia="宋体" w:cs="宋体"/>
                <w:b w:val="0"/>
                <w:bCs/>
                <w:sz w:val="21"/>
                <w:szCs w:val="21"/>
              </w:rPr>
              <w:t>迪士普、ZABKZ或同档次及以上品牌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58F30C7C">
            <w:pPr>
              <w:snapToGrid w:val="0"/>
              <w:jc w:val="center"/>
              <w:rPr>
                <w:rFonts w:hint="eastAsia" w:ascii="宋体" w:hAnsi="宋体" w:eastAsia="宋体" w:cs="宋体"/>
                <w:sz w:val="21"/>
                <w:szCs w:val="21"/>
              </w:rPr>
            </w:pPr>
          </w:p>
        </w:tc>
      </w:tr>
      <w:tr w14:paraId="4B35558C">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7AD3F1D4">
            <w:pPr>
              <w:snapToGrid w:val="0"/>
              <w:jc w:val="center"/>
              <w:rPr>
                <w:rFonts w:hint="eastAsia" w:ascii="宋体" w:hAnsi="宋体" w:eastAsia="宋体" w:cs="宋体"/>
                <w:sz w:val="21"/>
                <w:szCs w:val="21"/>
              </w:rPr>
            </w:pPr>
            <w:r>
              <w:rPr>
                <w:rFonts w:hint="eastAsia" w:ascii="宋体" w:hAnsi="宋体" w:eastAsia="宋体" w:cs="宋体"/>
                <w:sz w:val="21"/>
                <w:szCs w:val="21"/>
              </w:rPr>
              <w:t>2</w:t>
            </w:r>
          </w:p>
        </w:tc>
        <w:tc>
          <w:tcPr>
            <w:tcW w:w="3171" w:type="dxa"/>
            <w:tcBorders>
              <w:top w:val="single" w:color="auto" w:sz="4" w:space="0"/>
              <w:left w:val="single" w:color="auto" w:sz="4" w:space="0"/>
              <w:bottom w:val="single" w:color="auto" w:sz="4" w:space="0"/>
              <w:right w:val="single" w:color="auto" w:sz="4" w:space="0"/>
            </w:tcBorders>
            <w:vAlign w:val="center"/>
          </w:tcPr>
          <w:p w14:paraId="1B61648E">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highlight w:val="none"/>
              </w:rPr>
              <w:t>照明灯具（含室外路灯）</w:t>
            </w:r>
          </w:p>
        </w:tc>
        <w:tc>
          <w:tcPr>
            <w:tcW w:w="3895" w:type="dxa"/>
            <w:tcBorders>
              <w:top w:val="single" w:color="auto" w:sz="4" w:space="0"/>
              <w:left w:val="single" w:color="auto" w:sz="4" w:space="0"/>
              <w:bottom w:val="single" w:color="auto" w:sz="4" w:space="0"/>
              <w:right w:val="single" w:color="auto" w:sz="4" w:space="0"/>
            </w:tcBorders>
            <w:vAlign w:val="center"/>
          </w:tcPr>
          <w:p w14:paraId="13294094">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飞利浦、欧普、雷士、欧司朗或同档次及以上品牌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0A2404A7">
            <w:pPr>
              <w:snapToGrid w:val="0"/>
              <w:jc w:val="center"/>
              <w:rPr>
                <w:rFonts w:hint="eastAsia" w:ascii="宋体" w:hAnsi="宋体" w:eastAsia="宋体" w:cs="宋体"/>
                <w:sz w:val="21"/>
                <w:szCs w:val="21"/>
              </w:rPr>
            </w:pPr>
            <w:r>
              <w:rPr>
                <w:rFonts w:hint="eastAsia" w:ascii="宋体" w:hAnsi="宋体" w:eastAsia="宋体" w:cs="宋体"/>
                <w:sz w:val="21"/>
                <w:szCs w:val="21"/>
                <w14:ligatures w14:val="none"/>
              </w:rPr>
              <w:t>★</w:t>
            </w:r>
          </w:p>
        </w:tc>
      </w:tr>
      <w:tr w14:paraId="362E84B0">
        <w:tblPrEx>
          <w:tblCellMar>
            <w:top w:w="0" w:type="dxa"/>
            <w:left w:w="108" w:type="dxa"/>
            <w:bottom w:w="0" w:type="dxa"/>
            <w:right w:w="108" w:type="dxa"/>
          </w:tblCellMar>
        </w:tblPrEx>
        <w:trPr>
          <w:trHeight w:val="90" w:hRule="atLeast"/>
        </w:trPr>
        <w:tc>
          <w:tcPr>
            <w:tcW w:w="882" w:type="dxa"/>
            <w:tcBorders>
              <w:top w:val="single" w:color="auto" w:sz="4" w:space="0"/>
              <w:left w:val="single" w:color="auto" w:sz="4" w:space="0"/>
              <w:bottom w:val="single" w:color="auto" w:sz="4" w:space="0"/>
              <w:right w:val="single" w:color="auto" w:sz="4" w:space="0"/>
            </w:tcBorders>
            <w:vAlign w:val="center"/>
          </w:tcPr>
          <w:p w14:paraId="0FC56C8E">
            <w:pPr>
              <w:snapToGrid w:val="0"/>
              <w:jc w:val="center"/>
              <w:rPr>
                <w:rFonts w:hint="eastAsia" w:ascii="宋体" w:hAnsi="宋体" w:eastAsia="宋体" w:cs="宋体"/>
                <w:sz w:val="21"/>
                <w:szCs w:val="21"/>
              </w:rPr>
            </w:pPr>
            <w:r>
              <w:rPr>
                <w:rFonts w:hint="eastAsia" w:ascii="宋体" w:hAnsi="宋体" w:eastAsia="宋体" w:cs="宋体"/>
                <w:sz w:val="21"/>
                <w:szCs w:val="21"/>
              </w:rPr>
              <w:t>3</w:t>
            </w:r>
          </w:p>
        </w:tc>
        <w:tc>
          <w:tcPr>
            <w:tcW w:w="3171" w:type="dxa"/>
            <w:tcBorders>
              <w:top w:val="single" w:color="auto" w:sz="4" w:space="0"/>
              <w:left w:val="single" w:color="auto" w:sz="4" w:space="0"/>
              <w:bottom w:val="single" w:color="auto" w:sz="4" w:space="0"/>
              <w:right w:val="single" w:color="auto" w:sz="4" w:space="0"/>
            </w:tcBorders>
            <w:vAlign w:val="center"/>
          </w:tcPr>
          <w:p w14:paraId="23FBD6DD">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应急照明灯具</w:t>
            </w:r>
          </w:p>
        </w:tc>
        <w:tc>
          <w:tcPr>
            <w:tcW w:w="3895" w:type="dxa"/>
            <w:tcBorders>
              <w:top w:val="single" w:color="auto" w:sz="4" w:space="0"/>
              <w:left w:val="single" w:color="auto" w:sz="4" w:space="0"/>
              <w:bottom w:val="single" w:color="auto" w:sz="4" w:space="0"/>
              <w:right w:val="single" w:color="auto" w:sz="4" w:space="0"/>
            </w:tcBorders>
            <w:vAlign w:val="center"/>
          </w:tcPr>
          <w:p w14:paraId="66A93825">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fldChar w:fldCharType="begin"/>
            </w:r>
            <w:r>
              <w:rPr>
                <w:rFonts w:hint="eastAsia" w:ascii="宋体" w:hAnsi="宋体" w:eastAsia="宋体" w:cs="宋体"/>
                <w:b w:val="0"/>
                <w:bCs/>
                <w:sz w:val="21"/>
                <w:szCs w:val="21"/>
              </w:rPr>
              <w:instrText xml:space="preserve"> HYPERLINK "http://sx.119cp.cn/WebPage/CompanyInfo.aspx?loginid=A96B79D70631A8FD" \o "http://sx.119cp.cn/WebPage/CompanyInfo.aspx?loginid=A96B79D70631A8FD" </w:instrText>
            </w:r>
            <w:r>
              <w:rPr>
                <w:rFonts w:hint="eastAsia" w:ascii="宋体" w:hAnsi="宋体" w:eastAsia="宋体" w:cs="宋体"/>
                <w:b w:val="0"/>
                <w:bCs/>
                <w:sz w:val="21"/>
                <w:szCs w:val="21"/>
              </w:rPr>
              <w:fldChar w:fldCharType="separate"/>
            </w:r>
            <w:r>
              <w:rPr>
                <w:rFonts w:hint="eastAsia" w:ascii="宋体" w:hAnsi="宋体" w:eastAsia="宋体" w:cs="宋体"/>
                <w:b w:val="0"/>
                <w:bCs/>
                <w:sz w:val="21"/>
                <w:szCs w:val="21"/>
              </w:rPr>
              <w:t>水力消防科技、敏华、全安</w:t>
            </w:r>
            <w:r>
              <w:rPr>
                <w:rFonts w:hint="eastAsia" w:ascii="宋体" w:hAnsi="宋体" w:eastAsia="宋体" w:cs="宋体"/>
                <w:b w:val="0"/>
                <w:bCs/>
                <w:sz w:val="21"/>
                <w:szCs w:val="21"/>
              </w:rPr>
              <w:fldChar w:fldCharType="end"/>
            </w:r>
            <w:r>
              <w:rPr>
                <w:rFonts w:hint="eastAsia" w:ascii="宋体" w:hAnsi="宋体" w:eastAsia="宋体" w:cs="宋体"/>
                <w:b w:val="0"/>
                <w:bCs/>
                <w:sz w:val="21"/>
                <w:szCs w:val="21"/>
              </w:rPr>
              <w:t>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06BD71A7">
            <w:pPr>
              <w:snapToGrid w:val="0"/>
              <w:jc w:val="center"/>
              <w:rPr>
                <w:rFonts w:hint="eastAsia" w:ascii="宋体" w:hAnsi="宋体" w:eastAsia="宋体" w:cs="宋体"/>
                <w:sz w:val="21"/>
                <w:szCs w:val="21"/>
              </w:rPr>
            </w:pPr>
          </w:p>
        </w:tc>
      </w:tr>
      <w:tr w14:paraId="329DC3FF">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39342B5C">
            <w:pPr>
              <w:snapToGrid w:val="0"/>
              <w:jc w:val="center"/>
              <w:rPr>
                <w:rFonts w:hint="eastAsia" w:ascii="宋体" w:hAnsi="宋体" w:eastAsia="宋体" w:cs="宋体"/>
                <w:sz w:val="21"/>
                <w:szCs w:val="21"/>
              </w:rPr>
            </w:pPr>
            <w:r>
              <w:rPr>
                <w:rFonts w:hint="eastAsia" w:ascii="宋体" w:hAnsi="宋体" w:eastAsia="宋体" w:cs="宋体"/>
                <w:sz w:val="21"/>
                <w:szCs w:val="21"/>
              </w:rPr>
              <w:t>4</w:t>
            </w:r>
          </w:p>
        </w:tc>
        <w:tc>
          <w:tcPr>
            <w:tcW w:w="3171" w:type="dxa"/>
            <w:tcBorders>
              <w:top w:val="single" w:color="auto" w:sz="4" w:space="0"/>
              <w:left w:val="single" w:color="auto" w:sz="4" w:space="0"/>
              <w:bottom w:val="single" w:color="auto" w:sz="4" w:space="0"/>
              <w:right w:val="single" w:color="auto" w:sz="4" w:space="0"/>
            </w:tcBorders>
            <w:vAlign w:val="center"/>
          </w:tcPr>
          <w:p w14:paraId="58C8D9DE">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配电柜电器元器件</w:t>
            </w:r>
          </w:p>
        </w:tc>
        <w:tc>
          <w:tcPr>
            <w:tcW w:w="3895" w:type="dxa"/>
            <w:tcBorders>
              <w:top w:val="single" w:color="auto" w:sz="4" w:space="0"/>
              <w:left w:val="single" w:color="auto" w:sz="4" w:space="0"/>
              <w:bottom w:val="single" w:color="auto" w:sz="4" w:space="0"/>
              <w:right w:val="single" w:color="auto" w:sz="4" w:space="0"/>
            </w:tcBorders>
            <w:vAlign w:val="center"/>
          </w:tcPr>
          <w:p w14:paraId="139CF2D1">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施耐德、ABB、西门子、溯高美、艾默生或同档次及以上品牌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3A136D08">
            <w:pPr>
              <w:snapToGrid w:val="0"/>
              <w:jc w:val="center"/>
              <w:rPr>
                <w:rFonts w:hint="eastAsia" w:ascii="宋体" w:hAnsi="宋体" w:eastAsia="宋体" w:cs="宋体"/>
                <w:sz w:val="21"/>
                <w:szCs w:val="21"/>
              </w:rPr>
            </w:pPr>
            <w:r>
              <w:rPr>
                <w:rFonts w:hint="eastAsia" w:ascii="宋体" w:hAnsi="宋体" w:eastAsia="宋体" w:cs="宋体"/>
                <w:b/>
                <w:sz w:val="21"/>
                <w:szCs w:val="21"/>
              </w:rPr>
              <w:t>所有元器件均适用</w:t>
            </w:r>
          </w:p>
        </w:tc>
      </w:tr>
      <w:tr w14:paraId="4807028D">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2479394F">
            <w:pPr>
              <w:snapToGrid w:val="0"/>
              <w:jc w:val="center"/>
              <w:rPr>
                <w:rFonts w:hint="eastAsia" w:ascii="宋体" w:hAnsi="宋体" w:eastAsia="宋体" w:cs="宋体"/>
                <w:sz w:val="21"/>
                <w:szCs w:val="21"/>
              </w:rPr>
            </w:pPr>
            <w:r>
              <w:rPr>
                <w:rFonts w:hint="eastAsia" w:ascii="宋体" w:hAnsi="宋体" w:eastAsia="宋体" w:cs="宋体"/>
                <w:sz w:val="21"/>
                <w:szCs w:val="21"/>
              </w:rPr>
              <w:t>5</w:t>
            </w:r>
          </w:p>
        </w:tc>
        <w:tc>
          <w:tcPr>
            <w:tcW w:w="3171" w:type="dxa"/>
            <w:tcBorders>
              <w:top w:val="single" w:color="auto" w:sz="4" w:space="0"/>
              <w:left w:val="single" w:color="auto" w:sz="4" w:space="0"/>
              <w:bottom w:val="single" w:color="auto" w:sz="4" w:space="0"/>
              <w:right w:val="single" w:color="auto" w:sz="4" w:space="0"/>
            </w:tcBorders>
            <w:vAlign w:val="center"/>
          </w:tcPr>
          <w:p w14:paraId="65B6874F">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开关、插座</w:t>
            </w:r>
          </w:p>
        </w:tc>
        <w:tc>
          <w:tcPr>
            <w:tcW w:w="3895" w:type="dxa"/>
            <w:tcBorders>
              <w:top w:val="single" w:color="auto" w:sz="4" w:space="0"/>
              <w:left w:val="single" w:color="auto" w:sz="4" w:space="0"/>
              <w:bottom w:val="single" w:color="auto" w:sz="4" w:space="0"/>
              <w:right w:val="single" w:color="auto" w:sz="4" w:space="0"/>
            </w:tcBorders>
            <w:vAlign w:val="center"/>
          </w:tcPr>
          <w:p w14:paraId="59B0AFCD">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飞利浦、施耐德、西门子、TCL、罗格朗、西蒙、鸿雁或同档次及以上品牌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6773E1D9">
            <w:pPr>
              <w:snapToGrid w:val="0"/>
              <w:jc w:val="center"/>
              <w:rPr>
                <w:rFonts w:hint="eastAsia" w:ascii="宋体" w:hAnsi="宋体" w:eastAsia="宋体" w:cs="宋体"/>
                <w:sz w:val="21"/>
                <w:szCs w:val="21"/>
              </w:rPr>
            </w:pPr>
          </w:p>
        </w:tc>
      </w:tr>
      <w:tr w14:paraId="0F40279A">
        <w:tblPrEx>
          <w:tblCellMar>
            <w:top w:w="0" w:type="dxa"/>
            <w:left w:w="108" w:type="dxa"/>
            <w:bottom w:w="0" w:type="dxa"/>
            <w:right w:w="108" w:type="dxa"/>
          </w:tblCellMar>
        </w:tblPrEx>
        <w:trPr>
          <w:trHeight w:val="473" w:hRule="atLeast"/>
        </w:trPr>
        <w:tc>
          <w:tcPr>
            <w:tcW w:w="882" w:type="dxa"/>
            <w:tcBorders>
              <w:top w:val="single" w:color="auto" w:sz="4" w:space="0"/>
              <w:left w:val="single" w:color="auto" w:sz="4" w:space="0"/>
              <w:bottom w:val="single" w:color="auto" w:sz="4" w:space="0"/>
              <w:right w:val="single" w:color="auto" w:sz="4" w:space="0"/>
            </w:tcBorders>
            <w:vAlign w:val="center"/>
          </w:tcPr>
          <w:p w14:paraId="783AB59F">
            <w:pPr>
              <w:snapToGrid w:val="0"/>
              <w:jc w:val="center"/>
              <w:rPr>
                <w:rFonts w:hint="eastAsia" w:ascii="宋体" w:hAnsi="宋体" w:eastAsia="宋体" w:cs="宋体"/>
                <w:sz w:val="21"/>
                <w:szCs w:val="21"/>
              </w:rPr>
            </w:pPr>
            <w:r>
              <w:rPr>
                <w:rFonts w:hint="eastAsia" w:ascii="宋体" w:hAnsi="宋体" w:eastAsia="宋体" w:cs="宋体"/>
                <w:sz w:val="21"/>
                <w:szCs w:val="21"/>
              </w:rPr>
              <w:t>6</w:t>
            </w:r>
          </w:p>
        </w:tc>
        <w:tc>
          <w:tcPr>
            <w:tcW w:w="3171" w:type="dxa"/>
            <w:tcBorders>
              <w:top w:val="single" w:color="auto" w:sz="4" w:space="0"/>
              <w:left w:val="single" w:color="auto" w:sz="4" w:space="0"/>
              <w:bottom w:val="single" w:color="auto" w:sz="4" w:space="0"/>
              <w:right w:val="single" w:color="auto" w:sz="4" w:space="0"/>
            </w:tcBorders>
            <w:vAlign w:val="center"/>
          </w:tcPr>
          <w:p w14:paraId="6C6F7A11">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电线、电缆</w:t>
            </w:r>
          </w:p>
        </w:tc>
        <w:tc>
          <w:tcPr>
            <w:tcW w:w="3895" w:type="dxa"/>
            <w:tcBorders>
              <w:top w:val="single" w:color="auto" w:sz="4" w:space="0"/>
              <w:left w:val="single" w:color="auto" w:sz="4" w:space="0"/>
              <w:bottom w:val="single" w:color="auto" w:sz="4" w:space="0"/>
              <w:right w:val="single" w:color="auto" w:sz="4" w:space="0"/>
            </w:tcBorders>
            <w:vAlign w:val="center"/>
          </w:tcPr>
          <w:p w14:paraId="41AC2AB0">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上上、远东、正泰或同档次及以上品牌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524F263A">
            <w:pPr>
              <w:snapToGrid w:val="0"/>
              <w:jc w:val="center"/>
              <w:rPr>
                <w:rFonts w:hint="eastAsia" w:ascii="宋体" w:hAnsi="宋体" w:eastAsia="宋体" w:cs="宋体"/>
                <w:sz w:val="21"/>
                <w:szCs w:val="21"/>
              </w:rPr>
            </w:pPr>
          </w:p>
        </w:tc>
      </w:tr>
      <w:tr w14:paraId="730C8FEE">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4321C31C">
            <w:pPr>
              <w:snapToGrid w:val="0"/>
              <w:jc w:val="center"/>
              <w:rPr>
                <w:rFonts w:hint="eastAsia" w:ascii="宋体" w:hAnsi="宋体" w:eastAsia="宋体" w:cs="宋体"/>
                <w:sz w:val="21"/>
                <w:szCs w:val="21"/>
              </w:rPr>
            </w:pPr>
            <w:r>
              <w:rPr>
                <w:rFonts w:hint="eastAsia" w:ascii="宋体" w:hAnsi="宋体" w:eastAsia="宋体" w:cs="宋体"/>
                <w:sz w:val="21"/>
                <w:szCs w:val="21"/>
              </w:rPr>
              <w:t>7</w:t>
            </w:r>
          </w:p>
        </w:tc>
        <w:tc>
          <w:tcPr>
            <w:tcW w:w="3171" w:type="dxa"/>
            <w:tcBorders>
              <w:top w:val="single" w:color="auto" w:sz="4" w:space="0"/>
              <w:left w:val="single" w:color="auto" w:sz="4" w:space="0"/>
              <w:bottom w:val="single" w:color="auto" w:sz="4" w:space="0"/>
              <w:right w:val="single" w:color="auto" w:sz="4" w:space="0"/>
            </w:tcBorders>
            <w:vAlign w:val="center"/>
          </w:tcPr>
          <w:p w14:paraId="5482FCE0">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电缆桥架</w:t>
            </w:r>
          </w:p>
        </w:tc>
        <w:tc>
          <w:tcPr>
            <w:tcW w:w="3895" w:type="dxa"/>
            <w:tcBorders>
              <w:top w:val="single" w:color="auto" w:sz="4" w:space="0"/>
              <w:left w:val="single" w:color="auto" w:sz="4" w:space="0"/>
              <w:bottom w:val="single" w:color="auto" w:sz="4" w:space="0"/>
              <w:right w:val="single" w:color="auto" w:sz="4" w:space="0"/>
            </w:tcBorders>
            <w:vAlign w:val="center"/>
          </w:tcPr>
          <w:p w14:paraId="749181A6">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陕西电缆桥架、华鹏、泰丰或同档次及以上品牌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4B61F5AE">
            <w:pPr>
              <w:snapToGrid w:val="0"/>
              <w:jc w:val="center"/>
              <w:rPr>
                <w:rFonts w:hint="eastAsia" w:ascii="宋体" w:hAnsi="宋体" w:eastAsia="宋体" w:cs="宋体"/>
                <w:sz w:val="21"/>
                <w:szCs w:val="21"/>
              </w:rPr>
            </w:pPr>
          </w:p>
        </w:tc>
      </w:tr>
      <w:tr w14:paraId="4F773A38">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4591D91F">
            <w:pPr>
              <w:snapToGrid w:val="0"/>
              <w:jc w:val="center"/>
              <w:rPr>
                <w:rFonts w:hint="eastAsia" w:ascii="宋体" w:hAnsi="宋体" w:eastAsia="宋体" w:cs="宋体"/>
                <w:sz w:val="21"/>
                <w:szCs w:val="21"/>
              </w:rPr>
            </w:pPr>
            <w:r>
              <w:rPr>
                <w:rFonts w:hint="eastAsia" w:ascii="宋体" w:hAnsi="宋体" w:eastAsia="宋体" w:cs="宋体"/>
                <w:sz w:val="21"/>
                <w:szCs w:val="21"/>
              </w:rPr>
              <w:t>8</w:t>
            </w:r>
          </w:p>
        </w:tc>
        <w:tc>
          <w:tcPr>
            <w:tcW w:w="3171" w:type="dxa"/>
            <w:tcBorders>
              <w:top w:val="single" w:color="auto" w:sz="4" w:space="0"/>
              <w:left w:val="single" w:color="auto" w:sz="4" w:space="0"/>
              <w:bottom w:val="single" w:color="auto" w:sz="4" w:space="0"/>
              <w:right w:val="single" w:color="auto" w:sz="4" w:space="0"/>
            </w:tcBorders>
            <w:vAlign w:val="center"/>
          </w:tcPr>
          <w:p w14:paraId="531A7FCD">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电气配管</w:t>
            </w:r>
          </w:p>
        </w:tc>
        <w:tc>
          <w:tcPr>
            <w:tcW w:w="3895" w:type="dxa"/>
            <w:tcBorders>
              <w:top w:val="single" w:color="auto" w:sz="4" w:space="0"/>
              <w:left w:val="single" w:color="auto" w:sz="4" w:space="0"/>
              <w:bottom w:val="single" w:color="auto" w:sz="4" w:space="0"/>
              <w:right w:val="single" w:color="auto" w:sz="4" w:space="0"/>
            </w:tcBorders>
            <w:vAlign w:val="center"/>
          </w:tcPr>
          <w:p w14:paraId="0B08B0B6">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日丰、上海保利、伟星、日泰或同档次及以上品牌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34785F08">
            <w:pPr>
              <w:snapToGrid w:val="0"/>
              <w:jc w:val="center"/>
              <w:rPr>
                <w:rFonts w:hint="eastAsia" w:ascii="宋体" w:hAnsi="宋体" w:eastAsia="宋体" w:cs="宋体"/>
                <w:sz w:val="21"/>
                <w:szCs w:val="21"/>
              </w:rPr>
            </w:pPr>
          </w:p>
        </w:tc>
      </w:tr>
      <w:tr w14:paraId="78F855BC">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6528CDEA">
            <w:pPr>
              <w:snapToGrid w:val="0"/>
              <w:jc w:val="center"/>
              <w:rPr>
                <w:rFonts w:hint="eastAsia" w:ascii="宋体" w:hAnsi="宋体" w:eastAsia="宋体" w:cs="宋体"/>
                <w:sz w:val="21"/>
                <w:szCs w:val="21"/>
              </w:rPr>
            </w:pPr>
            <w:r>
              <w:rPr>
                <w:rFonts w:hint="eastAsia" w:ascii="宋体" w:hAnsi="宋体" w:eastAsia="宋体" w:cs="宋体"/>
                <w:sz w:val="21"/>
                <w:szCs w:val="21"/>
              </w:rPr>
              <w:t>9</w:t>
            </w:r>
          </w:p>
        </w:tc>
        <w:tc>
          <w:tcPr>
            <w:tcW w:w="3171" w:type="dxa"/>
            <w:tcBorders>
              <w:top w:val="single" w:color="auto" w:sz="4" w:space="0"/>
              <w:left w:val="single" w:color="auto" w:sz="4" w:space="0"/>
              <w:bottom w:val="single" w:color="auto" w:sz="4" w:space="0"/>
              <w:right w:val="single" w:color="auto" w:sz="4" w:space="0"/>
            </w:tcBorders>
            <w:vAlign w:val="center"/>
          </w:tcPr>
          <w:p w14:paraId="2E54FD04">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highlight w:val="none"/>
              </w:rPr>
              <w:t>监控设备</w:t>
            </w:r>
          </w:p>
        </w:tc>
        <w:tc>
          <w:tcPr>
            <w:tcW w:w="3895" w:type="dxa"/>
            <w:tcBorders>
              <w:top w:val="single" w:color="auto" w:sz="4" w:space="0"/>
              <w:left w:val="single" w:color="auto" w:sz="4" w:space="0"/>
              <w:bottom w:val="single" w:color="auto" w:sz="4" w:space="0"/>
              <w:right w:val="single" w:color="auto" w:sz="4" w:space="0"/>
            </w:tcBorders>
            <w:vAlign w:val="center"/>
          </w:tcPr>
          <w:p w14:paraId="48EEE0ED">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参照或相当于海康威视、大华、华为、萤石、宇视或同档次及以上品牌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1A9594CB">
            <w:pPr>
              <w:snapToGrid w:val="0"/>
              <w:jc w:val="center"/>
              <w:rPr>
                <w:rFonts w:hint="eastAsia" w:ascii="宋体" w:hAnsi="宋体" w:eastAsia="宋体" w:cs="宋体"/>
                <w:sz w:val="21"/>
                <w:szCs w:val="21"/>
              </w:rPr>
            </w:pPr>
            <w:r>
              <w:rPr>
                <w:rFonts w:hint="eastAsia" w:ascii="宋体" w:hAnsi="宋体" w:eastAsia="宋体" w:cs="宋体"/>
                <w:sz w:val="21"/>
                <w:szCs w:val="21"/>
                <w14:ligatures w14:val="none"/>
              </w:rPr>
              <w:t>★</w:t>
            </w:r>
          </w:p>
        </w:tc>
      </w:tr>
      <w:tr w14:paraId="40CC03B7">
        <w:tblPrEx>
          <w:tblCellMar>
            <w:top w:w="0" w:type="dxa"/>
            <w:left w:w="108" w:type="dxa"/>
            <w:bottom w:w="0" w:type="dxa"/>
            <w:right w:w="108" w:type="dxa"/>
          </w:tblCellMar>
        </w:tblPrEx>
        <w:trPr>
          <w:trHeight w:val="446" w:hRule="atLeast"/>
        </w:trPr>
        <w:tc>
          <w:tcPr>
            <w:tcW w:w="882" w:type="dxa"/>
            <w:tcBorders>
              <w:top w:val="single" w:color="auto" w:sz="4" w:space="0"/>
              <w:left w:val="single" w:color="auto" w:sz="4" w:space="0"/>
              <w:bottom w:val="single" w:color="auto" w:sz="4" w:space="0"/>
              <w:right w:val="single" w:color="auto" w:sz="4" w:space="0"/>
            </w:tcBorders>
            <w:vAlign w:val="center"/>
          </w:tcPr>
          <w:p w14:paraId="6C0C4CEF">
            <w:pPr>
              <w:snapToGrid w:val="0"/>
              <w:jc w:val="center"/>
              <w:rPr>
                <w:rFonts w:hint="eastAsia" w:ascii="宋体" w:hAnsi="宋体" w:eastAsia="宋体" w:cs="宋体"/>
                <w:sz w:val="21"/>
                <w:szCs w:val="21"/>
              </w:rPr>
            </w:pPr>
            <w:r>
              <w:rPr>
                <w:rFonts w:hint="eastAsia" w:ascii="宋体" w:hAnsi="宋体" w:eastAsia="宋体" w:cs="宋体"/>
                <w:sz w:val="21"/>
                <w:szCs w:val="21"/>
              </w:rPr>
              <w:t>10</w:t>
            </w:r>
          </w:p>
        </w:tc>
        <w:tc>
          <w:tcPr>
            <w:tcW w:w="3171" w:type="dxa"/>
            <w:tcBorders>
              <w:top w:val="single" w:color="auto" w:sz="4" w:space="0"/>
              <w:left w:val="single" w:color="auto" w:sz="4" w:space="0"/>
              <w:bottom w:val="single" w:color="auto" w:sz="4" w:space="0"/>
              <w:right w:val="single" w:color="auto" w:sz="4" w:space="0"/>
            </w:tcBorders>
            <w:vAlign w:val="center"/>
          </w:tcPr>
          <w:p w14:paraId="1252B363">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衬塑镀锌钢管</w:t>
            </w:r>
          </w:p>
        </w:tc>
        <w:tc>
          <w:tcPr>
            <w:tcW w:w="3895" w:type="dxa"/>
            <w:tcBorders>
              <w:top w:val="single" w:color="auto" w:sz="4" w:space="0"/>
              <w:left w:val="single" w:color="auto" w:sz="4" w:space="0"/>
              <w:bottom w:val="single" w:color="auto" w:sz="4" w:space="0"/>
              <w:right w:val="single" w:color="auto" w:sz="4" w:space="0"/>
            </w:tcBorders>
            <w:vAlign w:val="center"/>
          </w:tcPr>
          <w:p w14:paraId="246B1D9C">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友发、利达、华岐或同档次及以上品牌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00DC671C">
            <w:pPr>
              <w:snapToGrid w:val="0"/>
              <w:jc w:val="center"/>
              <w:rPr>
                <w:rFonts w:hint="eastAsia" w:ascii="宋体" w:hAnsi="宋体" w:eastAsia="宋体" w:cs="宋体"/>
                <w:sz w:val="21"/>
                <w:szCs w:val="21"/>
              </w:rPr>
            </w:pPr>
          </w:p>
        </w:tc>
      </w:tr>
      <w:tr w14:paraId="18AEA8D5">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0ED5729A">
            <w:pPr>
              <w:snapToGrid w:val="0"/>
              <w:jc w:val="center"/>
              <w:rPr>
                <w:rFonts w:hint="eastAsia" w:ascii="宋体" w:hAnsi="宋体" w:eastAsia="宋体" w:cs="宋体"/>
                <w:sz w:val="21"/>
                <w:szCs w:val="21"/>
              </w:rPr>
            </w:pPr>
            <w:r>
              <w:rPr>
                <w:rFonts w:hint="eastAsia" w:ascii="宋体" w:hAnsi="宋体" w:eastAsia="宋体" w:cs="宋体"/>
                <w:sz w:val="21"/>
                <w:szCs w:val="21"/>
              </w:rPr>
              <w:t>11</w:t>
            </w:r>
          </w:p>
        </w:tc>
        <w:tc>
          <w:tcPr>
            <w:tcW w:w="3171" w:type="dxa"/>
            <w:tcBorders>
              <w:top w:val="single" w:color="auto" w:sz="4" w:space="0"/>
              <w:left w:val="single" w:color="auto" w:sz="4" w:space="0"/>
              <w:bottom w:val="single" w:color="auto" w:sz="4" w:space="0"/>
              <w:right w:val="single" w:color="auto" w:sz="4" w:space="0"/>
            </w:tcBorders>
            <w:vAlign w:val="center"/>
          </w:tcPr>
          <w:p w14:paraId="2E1B1B52">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PPR 管</w:t>
            </w:r>
          </w:p>
        </w:tc>
        <w:tc>
          <w:tcPr>
            <w:tcW w:w="3895" w:type="dxa"/>
            <w:tcBorders>
              <w:top w:val="single" w:color="auto" w:sz="4" w:space="0"/>
              <w:left w:val="single" w:color="auto" w:sz="4" w:space="0"/>
              <w:bottom w:val="single" w:color="auto" w:sz="4" w:space="0"/>
              <w:right w:val="single" w:color="auto" w:sz="4" w:space="0"/>
            </w:tcBorders>
            <w:vAlign w:val="center"/>
          </w:tcPr>
          <w:p w14:paraId="09CA7BF0">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联塑、中财、高科、顾地或同档次及以上品牌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7FD0436D">
            <w:pPr>
              <w:snapToGrid w:val="0"/>
              <w:jc w:val="center"/>
              <w:rPr>
                <w:rFonts w:hint="eastAsia" w:ascii="宋体" w:hAnsi="宋体" w:eastAsia="宋体" w:cs="宋体"/>
                <w:sz w:val="21"/>
                <w:szCs w:val="21"/>
              </w:rPr>
            </w:pPr>
          </w:p>
        </w:tc>
      </w:tr>
      <w:tr w14:paraId="1D73186D">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2A8389AF">
            <w:pPr>
              <w:snapToGrid w:val="0"/>
              <w:jc w:val="center"/>
              <w:rPr>
                <w:rFonts w:hint="eastAsia" w:ascii="宋体" w:hAnsi="宋体" w:eastAsia="宋体" w:cs="宋体"/>
                <w:sz w:val="21"/>
                <w:szCs w:val="21"/>
              </w:rPr>
            </w:pPr>
            <w:r>
              <w:rPr>
                <w:rFonts w:hint="eastAsia" w:ascii="宋体" w:hAnsi="宋体" w:eastAsia="宋体" w:cs="宋体"/>
                <w:sz w:val="21"/>
                <w:szCs w:val="21"/>
              </w:rPr>
              <w:t>12</w:t>
            </w:r>
          </w:p>
        </w:tc>
        <w:tc>
          <w:tcPr>
            <w:tcW w:w="3171" w:type="dxa"/>
            <w:tcBorders>
              <w:top w:val="single" w:color="auto" w:sz="4" w:space="0"/>
              <w:left w:val="single" w:color="auto" w:sz="4" w:space="0"/>
              <w:bottom w:val="single" w:color="auto" w:sz="4" w:space="0"/>
              <w:right w:val="single" w:color="auto" w:sz="4" w:space="0"/>
            </w:tcBorders>
            <w:vAlign w:val="center"/>
          </w:tcPr>
          <w:p w14:paraId="5A6240DA">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UPVC 排水管</w:t>
            </w:r>
          </w:p>
        </w:tc>
        <w:tc>
          <w:tcPr>
            <w:tcW w:w="3895" w:type="dxa"/>
            <w:tcBorders>
              <w:top w:val="single" w:color="auto" w:sz="4" w:space="0"/>
              <w:left w:val="single" w:color="auto" w:sz="4" w:space="0"/>
              <w:bottom w:val="single" w:color="auto" w:sz="4" w:space="0"/>
              <w:right w:val="single" w:color="auto" w:sz="4" w:space="0"/>
            </w:tcBorders>
            <w:vAlign w:val="center"/>
          </w:tcPr>
          <w:p w14:paraId="2141A080">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联塑、中财、高科、顾地或同档次及以上品牌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4FC8642D">
            <w:pPr>
              <w:snapToGrid w:val="0"/>
              <w:jc w:val="center"/>
              <w:rPr>
                <w:rFonts w:hint="eastAsia" w:ascii="宋体" w:hAnsi="宋体" w:eastAsia="宋体" w:cs="宋体"/>
                <w:sz w:val="21"/>
                <w:szCs w:val="21"/>
              </w:rPr>
            </w:pPr>
          </w:p>
        </w:tc>
      </w:tr>
      <w:tr w14:paraId="00101D7C">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3F0BA5DA">
            <w:pPr>
              <w:snapToGrid w:val="0"/>
              <w:jc w:val="center"/>
              <w:rPr>
                <w:rFonts w:hint="eastAsia" w:ascii="宋体" w:hAnsi="宋体" w:eastAsia="宋体" w:cs="宋体"/>
                <w:sz w:val="21"/>
                <w:szCs w:val="21"/>
              </w:rPr>
            </w:pPr>
            <w:r>
              <w:rPr>
                <w:rFonts w:hint="eastAsia" w:ascii="宋体" w:hAnsi="宋体" w:eastAsia="宋体" w:cs="宋体"/>
                <w:sz w:val="21"/>
                <w:szCs w:val="21"/>
              </w:rPr>
              <w:t>13</w:t>
            </w:r>
          </w:p>
        </w:tc>
        <w:tc>
          <w:tcPr>
            <w:tcW w:w="3171" w:type="dxa"/>
            <w:tcBorders>
              <w:top w:val="single" w:color="auto" w:sz="4" w:space="0"/>
              <w:left w:val="single" w:color="auto" w:sz="4" w:space="0"/>
              <w:bottom w:val="single" w:color="auto" w:sz="4" w:space="0"/>
              <w:right w:val="single" w:color="auto" w:sz="4" w:space="0"/>
            </w:tcBorders>
            <w:vAlign w:val="center"/>
          </w:tcPr>
          <w:p w14:paraId="3B00AAF2">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卡箍管件</w:t>
            </w:r>
          </w:p>
        </w:tc>
        <w:tc>
          <w:tcPr>
            <w:tcW w:w="3895" w:type="dxa"/>
            <w:tcBorders>
              <w:top w:val="single" w:color="auto" w:sz="4" w:space="0"/>
              <w:left w:val="single" w:color="auto" w:sz="4" w:space="0"/>
              <w:bottom w:val="single" w:color="auto" w:sz="4" w:space="0"/>
              <w:right w:val="single" w:color="auto" w:sz="4" w:space="0"/>
            </w:tcBorders>
            <w:vAlign w:val="center"/>
          </w:tcPr>
          <w:p w14:paraId="1DFF4367">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联塑、新兴、铸管、日丰或同档次及以上品牌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456B11D1">
            <w:pPr>
              <w:snapToGrid w:val="0"/>
              <w:jc w:val="center"/>
              <w:rPr>
                <w:rFonts w:hint="eastAsia" w:ascii="宋体" w:hAnsi="宋体" w:eastAsia="宋体" w:cs="宋体"/>
                <w:sz w:val="21"/>
                <w:szCs w:val="21"/>
              </w:rPr>
            </w:pPr>
          </w:p>
        </w:tc>
      </w:tr>
      <w:tr w14:paraId="1EB12378">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1FC4294F">
            <w:pPr>
              <w:snapToGrid w:val="0"/>
              <w:jc w:val="center"/>
              <w:rPr>
                <w:rFonts w:hint="eastAsia" w:ascii="宋体" w:hAnsi="宋体" w:eastAsia="宋体" w:cs="宋体"/>
                <w:sz w:val="21"/>
                <w:szCs w:val="21"/>
              </w:rPr>
            </w:pPr>
            <w:r>
              <w:rPr>
                <w:rFonts w:hint="eastAsia" w:ascii="宋体" w:hAnsi="宋体" w:eastAsia="宋体" w:cs="宋体"/>
                <w:sz w:val="21"/>
                <w:szCs w:val="21"/>
              </w:rPr>
              <w:t>14</w:t>
            </w:r>
          </w:p>
        </w:tc>
        <w:tc>
          <w:tcPr>
            <w:tcW w:w="3171" w:type="dxa"/>
            <w:tcBorders>
              <w:top w:val="single" w:color="auto" w:sz="4" w:space="0"/>
              <w:left w:val="single" w:color="auto" w:sz="4" w:space="0"/>
              <w:bottom w:val="single" w:color="auto" w:sz="4" w:space="0"/>
              <w:right w:val="single" w:color="auto" w:sz="4" w:space="0"/>
            </w:tcBorders>
            <w:vAlign w:val="center"/>
          </w:tcPr>
          <w:p w14:paraId="72BB9B80">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highlight w:val="none"/>
              </w:rPr>
              <w:t>洁具</w:t>
            </w:r>
          </w:p>
        </w:tc>
        <w:tc>
          <w:tcPr>
            <w:tcW w:w="3895" w:type="dxa"/>
            <w:tcBorders>
              <w:top w:val="single" w:color="auto" w:sz="4" w:space="0"/>
              <w:left w:val="single" w:color="auto" w:sz="4" w:space="0"/>
              <w:bottom w:val="single" w:color="auto" w:sz="4" w:space="0"/>
              <w:right w:val="single" w:color="auto" w:sz="4" w:space="0"/>
            </w:tcBorders>
            <w:vAlign w:val="center"/>
          </w:tcPr>
          <w:p w14:paraId="19778148">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科勒、惠达、箭牌、恒洁、TOTO或同档次及以上品牌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14CD0C59">
            <w:pPr>
              <w:snapToGrid w:val="0"/>
              <w:jc w:val="center"/>
              <w:rPr>
                <w:rFonts w:hint="eastAsia" w:ascii="宋体" w:hAnsi="宋体" w:eastAsia="宋体" w:cs="宋体"/>
                <w:sz w:val="21"/>
                <w:szCs w:val="21"/>
              </w:rPr>
            </w:pPr>
            <w:r>
              <w:rPr>
                <w:rFonts w:hint="eastAsia" w:ascii="宋体" w:hAnsi="宋体" w:eastAsia="宋体" w:cs="宋体"/>
                <w:sz w:val="21"/>
                <w:szCs w:val="21"/>
                <w14:ligatures w14:val="none"/>
              </w:rPr>
              <w:t>★</w:t>
            </w:r>
          </w:p>
        </w:tc>
      </w:tr>
      <w:tr w14:paraId="69A244E4">
        <w:tblPrEx>
          <w:tblCellMar>
            <w:top w:w="0" w:type="dxa"/>
            <w:left w:w="108" w:type="dxa"/>
            <w:bottom w:w="0" w:type="dxa"/>
            <w:right w:w="108" w:type="dxa"/>
          </w:tblCellMar>
        </w:tblPrEx>
        <w:trPr>
          <w:trHeight w:val="529" w:hRule="atLeast"/>
        </w:trPr>
        <w:tc>
          <w:tcPr>
            <w:tcW w:w="882" w:type="dxa"/>
            <w:tcBorders>
              <w:top w:val="single" w:color="auto" w:sz="4" w:space="0"/>
              <w:left w:val="single" w:color="auto" w:sz="4" w:space="0"/>
              <w:bottom w:val="single" w:color="auto" w:sz="4" w:space="0"/>
              <w:right w:val="single" w:color="auto" w:sz="4" w:space="0"/>
            </w:tcBorders>
            <w:vAlign w:val="center"/>
          </w:tcPr>
          <w:p w14:paraId="5D0509B9">
            <w:pPr>
              <w:snapToGrid w:val="0"/>
              <w:jc w:val="center"/>
              <w:rPr>
                <w:rFonts w:hint="eastAsia" w:ascii="宋体" w:hAnsi="宋体" w:eastAsia="宋体" w:cs="宋体"/>
                <w:sz w:val="21"/>
                <w:szCs w:val="21"/>
              </w:rPr>
            </w:pPr>
            <w:r>
              <w:rPr>
                <w:rFonts w:hint="eastAsia" w:ascii="宋体" w:hAnsi="宋体" w:eastAsia="宋体" w:cs="宋体"/>
                <w:sz w:val="21"/>
                <w:szCs w:val="21"/>
              </w:rPr>
              <w:t>15</w:t>
            </w:r>
          </w:p>
        </w:tc>
        <w:tc>
          <w:tcPr>
            <w:tcW w:w="3171" w:type="dxa"/>
            <w:tcBorders>
              <w:top w:val="single" w:color="auto" w:sz="4" w:space="0"/>
              <w:left w:val="single" w:color="auto" w:sz="4" w:space="0"/>
              <w:bottom w:val="single" w:color="auto" w:sz="4" w:space="0"/>
              <w:right w:val="single" w:color="auto" w:sz="4" w:space="0"/>
            </w:tcBorders>
            <w:vAlign w:val="center"/>
          </w:tcPr>
          <w:p w14:paraId="7874D2CF">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排气扇</w:t>
            </w:r>
          </w:p>
        </w:tc>
        <w:tc>
          <w:tcPr>
            <w:tcW w:w="3895" w:type="dxa"/>
            <w:tcBorders>
              <w:top w:val="single" w:color="auto" w:sz="4" w:space="0"/>
              <w:left w:val="single" w:color="auto" w:sz="4" w:space="0"/>
              <w:bottom w:val="single" w:color="auto" w:sz="4" w:space="0"/>
              <w:right w:val="single" w:color="auto" w:sz="4" w:space="0"/>
            </w:tcBorders>
            <w:vAlign w:val="center"/>
          </w:tcPr>
          <w:p w14:paraId="2E72FF6E">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欧普、鸿雁、奥普或同档次及以上品牌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44D35E6D">
            <w:pPr>
              <w:snapToGrid w:val="0"/>
              <w:jc w:val="center"/>
              <w:rPr>
                <w:rFonts w:hint="eastAsia" w:ascii="宋体" w:hAnsi="宋体" w:eastAsia="宋体" w:cs="宋体"/>
                <w:sz w:val="21"/>
                <w:szCs w:val="21"/>
              </w:rPr>
            </w:pPr>
          </w:p>
        </w:tc>
      </w:tr>
      <w:tr w14:paraId="4BF311CD">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7CDA7D2E">
            <w:pPr>
              <w:snapToGrid w:val="0"/>
              <w:jc w:val="center"/>
              <w:rPr>
                <w:rFonts w:hint="eastAsia" w:ascii="宋体" w:hAnsi="宋体" w:eastAsia="宋体" w:cs="宋体"/>
                <w:sz w:val="21"/>
                <w:szCs w:val="21"/>
              </w:rPr>
            </w:pPr>
            <w:r>
              <w:rPr>
                <w:rFonts w:hint="eastAsia" w:ascii="宋体" w:hAnsi="宋体" w:eastAsia="宋体" w:cs="宋体"/>
                <w:sz w:val="21"/>
                <w:szCs w:val="21"/>
              </w:rPr>
              <w:t>16</w:t>
            </w:r>
          </w:p>
        </w:tc>
        <w:tc>
          <w:tcPr>
            <w:tcW w:w="3171" w:type="dxa"/>
            <w:tcBorders>
              <w:top w:val="single" w:color="auto" w:sz="4" w:space="0"/>
              <w:left w:val="single" w:color="auto" w:sz="4" w:space="0"/>
              <w:bottom w:val="single" w:color="auto" w:sz="4" w:space="0"/>
              <w:right w:val="single" w:color="auto" w:sz="4" w:space="0"/>
            </w:tcBorders>
            <w:vAlign w:val="center"/>
          </w:tcPr>
          <w:p w14:paraId="4F068842">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消防泵、潜污泵</w:t>
            </w:r>
          </w:p>
        </w:tc>
        <w:tc>
          <w:tcPr>
            <w:tcW w:w="3895" w:type="dxa"/>
            <w:tcBorders>
              <w:top w:val="single" w:color="auto" w:sz="4" w:space="0"/>
              <w:left w:val="single" w:color="auto" w:sz="4" w:space="0"/>
              <w:bottom w:val="single" w:color="auto" w:sz="4" w:space="0"/>
              <w:right w:val="single" w:color="auto" w:sz="4" w:space="0"/>
            </w:tcBorders>
            <w:vAlign w:val="center"/>
          </w:tcPr>
          <w:p w14:paraId="492032AF">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熊猫、东方泵业、上海凯泉或同档次及以上品牌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3CC994CE">
            <w:pPr>
              <w:snapToGrid w:val="0"/>
              <w:jc w:val="center"/>
              <w:rPr>
                <w:rFonts w:hint="eastAsia" w:ascii="宋体" w:hAnsi="宋体" w:eastAsia="宋体" w:cs="宋体"/>
                <w:sz w:val="21"/>
                <w:szCs w:val="21"/>
              </w:rPr>
            </w:pPr>
          </w:p>
        </w:tc>
      </w:tr>
      <w:tr w14:paraId="2EDC964A">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25FDF8F7">
            <w:pPr>
              <w:snapToGrid w:val="0"/>
              <w:jc w:val="center"/>
              <w:rPr>
                <w:rFonts w:hint="eastAsia" w:ascii="宋体" w:hAnsi="宋体" w:eastAsia="宋体" w:cs="宋体"/>
                <w:sz w:val="21"/>
                <w:szCs w:val="21"/>
              </w:rPr>
            </w:pPr>
            <w:r>
              <w:rPr>
                <w:rFonts w:hint="eastAsia" w:ascii="宋体" w:hAnsi="宋体" w:eastAsia="宋体" w:cs="宋体"/>
                <w:sz w:val="21"/>
                <w:szCs w:val="21"/>
              </w:rPr>
              <w:t>17</w:t>
            </w:r>
          </w:p>
        </w:tc>
        <w:tc>
          <w:tcPr>
            <w:tcW w:w="3171" w:type="dxa"/>
            <w:tcBorders>
              <w:top w:val="single" w:color="auto" w:sz="4" w:space="0"/>
              <w:left w:val="single" w:color="auto" w:sz="4" w:space="0"/>
              <w:bottom w:val="single" w:color="auto" w:sz="4" w:space="0"/>
              <w:right w:val="single" w:color="auto" w:sz="4" w:space="0"/>
            </w:tcBorders>
            <w:vAlign w:val="center"/>
          </w:tcPr>
          <w:p w14:paraId="18D12A3E">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水泵类</w:t>
            </w:r>
          </w:p>
        </w:tc>
        <w:tc>
          <w:tcPr>
            <w:tcW w:w="3895" w:type="dxa"/>
            <w:tcBorders>
              <w:top w:val="single" w:color="auto" w:sz="4" w:space="0"/>
              <w:left w:val="single" w:color="auto" w:sz="4" w:space="0"/>
              <w:bottom w:val="single" w:color="auto" w:sz="4" w:space="0"/>
              <w:right w:val="single" w:color="auto" w:sz="4" w:space="0"/>
            </w:tcBorders>
            <w:vAlign w:val="center"/>
          </w:tcPr>
          <w:p w14:paraId="2158A5DE">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熊猫、东方泵业、上海凯泉或同档次及以上品牌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62C89ACD">
            <w:pPr>
              <w:snapToGrid w:val="0"/>
              <w:jc w:val="center"/>
              <w:rPr>
                <w:rFonts w:hint="eastAsia" w:ascii="宋体" w:hAnsi="宋体" w:eastAsia="宋体" w:cs="宋体"/>
                <w:sz w:val="21"/>
                <w:szCs w:val="21"/>
              </w:rPr>
            </w:pPr>
          </w:p>
        </w:tc>
      </w:tr>
      <w:tr w14:paraId="11B6BA7D">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02E09BA5">
            <w:pPr>
              <w:snapToGrid w:val="0"/>
              <w:jc w:val="center"/>
              <w:rPr>
                <w:rFonts w:hint="eastAsia" w:ascii="宋体" w:hAnsi="宋体" w:eastAsia="宋体" w:cs="宋体"/>
                <w:sz w:val="21"/>
                <w:szCs w:val="21"/>
              </w:rPr>
            </w:pPr>
            <w:r>
              <w:rPr>
                <w:rFonts w:hint="eastAsia" w:ascii="宋体" w:hAnsi="宋体" w:eastAsia="宋体" w:cs="宋体"/>
                <w:sz w:val="21"/>
                <w:szCs w:val="21"/>
              </w:rPr>
              <w:t>18</w:t>
            </w:r>
          </w:p>
        </w:tc>
        <w:tc>
          <w:tcPr>
            <w:tcW w:w="3171" w:type="dxa"/>
            <w:tcBorders>
              <w:top w:val="single" w:color="auto" w:sz="4" w:space="0"/>
              <w:left w:val="single" w:color="auto" w:sz="4" w:space="0"/>
              <w:bottom w:val="single" w:color="auto" w:sz="4" w:space="0"/>
              <w:right w:val="single" w:color="auto" w:sz="4" w:space="0"/>
            </w:tcBorders>
            <w:vAlign w:val="center"/>
          </w:tcPr>
          <w:p w14:paraId="4389BCBB">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阀门类</w:t>
            </w:r>
          </w:p>
        </w:tc>
        <w:tc>
          <w:tcPr>
            <w:tcW w:w="3895" w:type="dxa"/>
            <w:tcBorders>
              <w:top w:val="single" w:color="auto" w:sz="4" w:space="0"/>
              <w:left w:val="single" w:color="auto" w:sz="4" w:space="0"/>
              <w:bottom w:val="single" w:color="auto" w:sz="4" w:space="0"/>
              <w:right w:val="single" w:color="auto" w:sz="4" w:space="0"/>
            </w:tcBorders>
            <w:vAlign w:val="center"/>
          </w:tcPr>
          <w:p w14:paraId="4559118F">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熊猫、东方泵业、上海凯泉或同档次及以上品牌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1DE3E7B0">
            <w:pPr>
              <w:snapToGrid w:val="0"/>
              <w:jc w:val="center"/>
              <w:rPr>
                <w:rFonts w:hint="eastAsia" w:ascii="宋体" w:hAnsi="宋体" w:eastAsia="宋体" w:cs="宋体"/>
                <w:sz w:val="21"/>
                <w:szCs w:val="21"/>
              </w:rPr>
            </w:pPr>
          </w:p>
        </w:tc>
      </w:tr>
      <w:tr w14:paraId="02DE7003">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63A5123E">
            <w:pPr>
              <w:snapToGrid w:val="0"/>
              <w:jc w:val="center"/>
              <w:rPr>
                <w:rFonts w:hint="eastAsia" w:ascii="宋体" w:hAnsi="宋体" w:eastAsia="宋体" w:cs="宋体"/>
                <w:sz w:val="21"/>
                <w:szCs w:val="21"/>
              </w:rPr>
            </w:pPr>
            <w:r>
              <w:rPr>
                <w:rFonts w:hint="eastAsia" w:ascii="宋体" w:hAnsi="宋体" w:eastAsia="宋体" w:cs="宋体"/>
                <w:sz w:val="21"/>
                <w:szCs w:val="21"/>
              </w:rPr>
              <w:t>19</w:t>
            </w:r>
          </w:p>
        </w:tc>
        <w:tc>
          <w:tcPr>
            <w:tcW w:w="3171" w:type="dxa"/>
            <w:tcBorders>
              <w:top w:val="single" w:color="auto" w:sz="4" w:space="0"/>
              <w:left w:val="single" w:color="auto" w:sz="4" w:space="0"/>
              <w:bottom w:val="single" w:color="auto" w:sz="4" w:space="0"/>
              <w:right w:val="single" w:color="auto" w:sz="4" w:space="0"/>
            </w:tcBorders>
            <w:vAlign w:val="center"/>
          </w:tcPr>
          <w:p w14:paraId="3608E68C">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柜式消火栓、消防水泵接合器、水喷头、水流指示器、信号阀、灭火器</w:t>
            </w:r>
          </w:p>
        </w:tc>
        <w:tc>
          <w:tcPr>
            <w:tcW w:w="3895" w:type="dxa"/>
            <w:tcBorders>
              <w:top w:val="single" w:color="auto" w:sz="4" w:space="0"/>
              <w:left w:val="single" w:color="auto" w:sz="4" w:space="0"/>
              <w:bottom w:val="single" w:color="auto" w:sz="4" w:space="0"/>
              <w:right w:val="single" w:color="auto" w:sz="4" w:space="0"/>
            </w:tcBorders>
            <w:vAlign w:val="center"/>
          </w:tcPr>
          <w:p w14:paraId="355C5369">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川消、国泰、百安或同档次及以上品牌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775AB0B7">
            <w:pPr>
              <w:snapToGrid w:val="0"/>
              <w:jc w:val="center"/>
              <w:rPr>
                <w:rFonts w:hint="eastAsia" w:ascii="宋体" w:hAnsi="宋体" w:eastAsia="宋体" w:cs="宋体"/>
                <w:sz w:val="21"/>
                <w:szCs w:val="21"/>
              </w:rPr>
            </w:pPr>
          </w:p>
        </w:tc>
      </w:tr>
      <w:tr w14:paraId="7B4B7F29">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1732753D">
            <w:pPr>
              <w:snapToGrid w:val="0"/>
              <w:jc w:val="center"/>
              <w:rPr>
                <w:rFonts w:hint="eastAsia" w:ascii="宋体" w:hAnsi="宋体" w:eastAsia="宋体" w:cs="宋体"/>
                <w:sz w:val="21"/>
                <w:szCs w:val="21"/>
              </w:rPr>
            </w:pPr>
            <w:r>
              <w:rPr>
                <w:rFonts w:hint="eastAsia" w:ascii="宋体" w:hAnsi="宋体" w:eastAsia="宋体" w:cs="宋体"/>
                <w:sz w:val="21"/>
                <w:szCs w:val="21"/>
              </w:rPr>
              <w:t>20</w:t>
            </w:r>
          </w:p>
        </w:tc>
        <w:tc>
          <w:tcPr>
            <w:tcW w:w="3171" w:type="dxa"/>
            <w:tcBorders>
              <w:top w:val="single" w:color="auto" w:sz="4" w:space="0"/>
              <w:left w:val="single" w:color="auto" w:sz="4" w:space="0"/>
              <w:bottom w:val="single" w:color="auto" w:sz="4" w:space="0"/>
              <w:right w:val="single" w:color="auto" w:sz="4" w:space="0"/>
            </w:tcBorders>
            <w:vAlign w:val="center"/>
          </w:tcPr>
          <w:p w14:paraId="2CAEEE8D">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火灾报警</w:t>
            </w:r>
          </w:p>
        </w:tc>
        <w:tc>
          <w:tcPr>
            <w:tcW w:w="3895" w:type="dxa"/>
            <w:tcBorders>
              <w:top w:val="single" w:color="auto" w:sz="4" w:space="0"/>
              <w:left w:val="single" w:color="auto" w:sz="4" w:space="0"/>
              <w:bottom w:val="single" w:color="auto" w:sz="4" w:space="0"/>
              <w:right w:val="single" w:color="auto" w:sz="4" w:space="0"/>
            </w:tcBorders>
            <w:vAlign w:val="center"/>
          </w:tcPr>
          <w:p w14:paraId="3F6B6D79">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海湾、北大青鸟、盛赛尔、北京利达、泛海三江、鼎信或同档次及以上品牌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0D21552E">
            <w:pPr>
              <w:snapToGrid w:val="0"/>
              <w:jc w:val="center"/>
              <w:rPr>
                <w:rFonts w:hint="eastAsia" w:ascii="宋体" w:hAnsi="宋体" w:eastAsia="宋体" w:cs="宋体"/>
                <w:sz w:val="21"/>
                <w:szCs w:val="21"/>
              </w:rPr>
            </w:pPr>
          </w:p>
        </w:tc>
      </w:tr>
      <w:tr w14:paraId="30A816BB">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6DCEB0CB">
            <w:pPr>
              <w:snapToGrid w:val="0"/>
              <w:jc w:val="center"/>
              <w:rPr>
                <w:rFonts w:hint="eastAsia" w:ascii="宋体" w:hAnsi="宋体" w:eastAsia="宋体" w:cs="宋体"/>
                <w:sz w:val="21"/>
                <w:szCs w:val="21"/>
              </w:rPr>
            </w:pPr>
            <w:r>
              <w:rPr>
                <w:rFonts w:hint="eastAsia" w:ascii="宋体" w:hAnsi="宋体" w:eastAsia="宋体" w:cs="宋体"/>
                <w:sz w:val="21"/>
                <w:szCs w:val="21"/>
              </w:rPr>
              <w:t>21</w:t>
            </w:r>
          </w:p>
        </w:tc>
        <w:tc>
          <w:tcPr>
            <w:tcW w:w="3171" w:type="dxa"/>
            <w:tcBorders>
              <w:top w:val="single" w:color="auto" w:sz="4" w:space="0"/>
              <w:left w:val="single" w:color="auto" w:sz="4" w:space="0"/>
              <w:bottom w:val="single" w:color="auto" w:sz="4" w:space="0"/>
              <w:right w:val="single" w:color="auto" w:sz="4" w:space="0"/>
            </w:tcBorders>
            <w:vAlign w:val="center"/>
          </w:tcPr>
          <w:p w14:paraId="0F55A790">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门禁设备</w:t>
            </w:r>
          </w:p>
        </w:tc>
        <w:tc>
          <w:tcPr>
            <w:tcW w:w="3895" w:type="dxa"/>
            <w:tcBorders>
              <w:top w:val="single" w:color="auto" w:sz="4" w:space="0"/>
              <w:left w:val="single" w:color="auto" w:sz="4" w:space="0"/>
              <w:bottom w:val="single" w:color="auto" w:sz="4" w:space="0"/>
              <w:right w:val="single" w:color="auto" w:sz="4" w:space="0"/>
            </w:tcBorders>
            <w:vAlign w:val="center"/>
          </w:tcPr>
          <w:p w14:paraId="0F9A5F9F">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海康威视、大华、安居宝、立林、视得安罗格朗、冠林或同档次及以上品牌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0C43293C">
            <w:pPr>
              <w:snapToGrid w:val="0"/>
              <w:jc w:val="center"/>
              <w:rPr>
                <w:rFonts w:hint="eastAsia" w:ascii="宋体" w:hAnsi="宋体" w:eastAsia="宋体" w:cs="宋体"/>
                <w:sz w:val="21"/>
                <w:szCs w:val="21"/>
              </w:rPr>
            </w:pPr>
          </w:p>
        </w:tc>
      </w:tr>
      <w:tr w14:paraId="43BE69FC">
        <w:tblPrEx>
          <w:tblCellMar>
            <w:top w:w="0" w:type="dxa"/>
            <w:left w:w="108" w:type="dxa"/>
            <w:bottom w:w="0" w:type="dxa"/>
            <w:right w:w="108" w:type="dxa"/>
          </w:tblCellMar>
        </w:tblPrEx>
        <w:trPr>
          <w:trHeight w:val="459" w:hRule="atLeast"/>
        </w:trPr>
        <w:tc>
          <w:tcPr>
            <w:tcW w:w="882" w:type="dxa"/>
            <w:tcBorders>
              <w:top w:val="single" w:color="auto" w:sz="4" w:space="0"/>
              <w:left w:val="single" w:color="auto" w:sz="4" w:space="0"/>
              <w:bottom w:val="single" w:color="auto" w:sz="4" w:space="0"/>
              <w:right w:val="single" w:color="auto" w:sz="4" w:space="0"/>
            </w:tcBorders>
            <w:vAlign w:val="center"/>
          </w:tcPr>
          <w:p w14:paraId="3F35E17B">
            <w:pPr>
              <w:snapToGrid w:val="0"/>
              <w:jc w:val="center"/>
              <w:rPr>
                <w:rFonts w:hint="eastAsia" w:ascii="宋体" w:hAnsi="宋体" w:eastAsia="宋体" w:cs="宋体"/>
                <w:sz w:val="21"/>
                <w:szCs w:val="21"/>
              </w:rPr>
            </w:pPr>
            <w:r>
              <w:rPr>
                <w:rFonts w:hint="eastAsia" w:ascii="宋体" w:hAnsi="宋体" w:eastAsia="宋体" w:cs="宋体"/>
                <w:sz w:val="21"/>
                <w:szCs w:val="21"/>
              </w:rPr>
              <w:t>22</w:t>
            </w:r>
          </w:p>
        </w:tc>
        <w:tc>
          <w:tcPr>
            <w:tcW w:w="3171" w:type="dxa"/>
            <w:tcBorders>
              <w:top w:val="single" w:color="auto" w:sz="4" w:space="0"/>
              <w:left w:val="single" w:color="auto" w:sz="4" w:space="0"/>
              <w:bottom w:val="single" w:color="auto" w:sz="4" w:space="0"/>
              <w:right w:val="single" w:color="auto" w:sz="4" w:space="0"/>
            </w:tcBorders>
            <w:vAlign w:val="center"/>
          </w:tcPr>
          <w:p w14:paraId="5BC289A5">
            <w:pPr>
              <w:snapToGrid w:val="0"/>
              <w:jc w:val="center"/>
              <w:rPr>
                <w:rFonts w:hint="eastAsia" w:ascii="宋体" w:hAnsi="宋体" w:eastAsia="宋体" w:cs="宋体"/>
                <w:b w:val="0"/>
                <w:bCs/>
                <w:sz w:val="21"/>
                <w:szCs w:val="21"/>
              </w:rPr>
            </w:pPr>
            <w:r>
              <w:rPr>
                <w:rFonts w:hint="eastAsia" w:ascii="宋体" w:hAnsi="宋体" w:eastAsia="宋体" w:cs="宋体"/>
                <w:b w:val="0"/>
                <w:bCs/>
                <w:sz w:val="21"/>
                <w:szCs w:val="21"/>
              </w:rPr>
              <w:t>卫生间防水涂料</w:t>
            </w:r>
          </w:p>
        </w:tc>
        <w:tc>
          <w:tcPr>
            <w:tcW w:w="3895" w:type="dxa"/>
            <w:tcBorders>
              <w:top w:val="single" w:color="auto" w:sz="4" w:space="0"/>
              <w:left w:val="single" w:color="auto" w:sz="4" w:space="0"/>
              <w:bottom w:val="single" w:color="auto" w:sz="4" w:space="0"/>
              <w:right w:val="single" w:color="auto" w:sz="4" w:space="0"/>
            </w:tcBorders>
            <w:vAlign w:val="center"/>
          </w:tcPr>
          <w:p w14:paraId="1F654029">
            <w:pPr>
              <w:snapToGrid w:val="0"/>
              <w:jc w:val="both"/>
              <w:rPr>
                <w:rFonts w:hint="eastAsia" w:ascii="宋体" w:hAnsi="宋体" w:eastAsia="宋体" w:cs="宋体"/>
                <w:b w:val="0"/>
                <w:bCs/>
                <w:sz w:val="21"/>
                <w:szCs w:val="21"/>
              </w:rPr>
            </w:pPr>
            <w:r>
              <w:rPr>
                <w:rFonts w:hint="eastAsia" w:ascii="宋体" w:hAnsi="宋体" w:eastAsia="宋体" w:cs="宋体"/>
                <w:b w:val="0"/>
                <w:bCs/>
                <w:sz w:val="21"/>
                <w:szCs w:val="21"/>
              </w:rPr>
              <w:t>西牛皮或同档次及以上品牌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57D9D262">
            <w:pPr>
              <w:snapToGrid w:val="0"/>
              <w:jc w:val="center"/>
              <w:rPr>
                <w:rFonts w:hint="eastAsia" w:ascii="宋体" w:hAnsi="宋体" w:eastAsia="宋体" w:cs="宋体"/>
                <w:sz w:val="21"/>
                <w:szCs w:val="21"/>
              </w:rPr>
            </w:pPr>
          </w:p>
        </w:tc>
      </w:tr>
      <w:tr w14:paraId="61E6800D">
        <w:tblPrEx>
          <w:tblCellMar>
            <w:top w:w="0" w:type="dxa"/>
            <w:left w:w="108" w:type="dxa"/>
            <w:bottom w:w="0" w:type="dxa"/>
            <w:right w:w="108" w:type="dxa"/>
          </w:tblCellMar>
        </w:tblPrEx>
        <w:tc>
          <w:tcPr>
            <w:tcW w:w="882" w:type="dxa"/>
            <w:tcBorders>
              <w:top w:val="single" w:color="auto" w:sz="4" w:space="0"/>
              <w:left w:val="single" w:color="auto" w:sz="4" w:space="0"/>
              <w:bottom w:val="single" w:color="auto" w:sz="4" w:space="0"/>
              <w:right w:val="single" w:color="auto" w:sz="4" w:space="0"/>
            </w:tcBorders>
            <w:vAlign w:val="center"/>
          </w:tcPr>
          <w:p w14:paraId="077583C3">
            <w:pPr>
              <w:snapToGrid w:val="0"/>
              <w:jc w:val="center"/>
              <w:rPr>
                <w:rFonts w:hint="eastAsia" w:ascii="宋体" w:hAnsi="宋体" w:eastAsia="宋体" w:cs="宋体"/>
                <w:sz w:val="21"/>
                <w:szCs w:val="21"/>
              </w:rPr>
            </w:pPr>
            <w:r>
              <w:rPr>
                <w:rFonts w:hint="eastAsia" w:ascii="宋体" w:hAnsi="宋体" w:eastAsia="宋体" w:cs="宋体"/>
                <w:sz w:val="21"/>
                <w:szCs w:val="21"/>
              </w:rPr>
              <w:t>23</w:t>
            </w:r>
          </w:p>
        </w:tc>
        <w:tc>
          <w:tcPr>
            <w:tcW w:w="3171" w:type="dxa"/>
            <w:tcBorders>
              <w:top w:val="single" w:color="auto" w:sz="4" w:space="0"/>
              <w:left w:val="single" w:color="auto" w:sz="4" w:space="0"/>
              <w:bottom w:val="single" w:color="auto" w:sz="4" w:space="0"/>
              <w:right w:val="single" w:color="auto" w:sz="4" w:space="0"/>
            </w:tcBorders>
            <w:vAlign w:val="center"/>
          </w:tcPr>
          <w:p w14:paraId="21AD32B5">
            <w:pPr>
              <w:snapToGrid w:val="0"/>
              <w:jc w:val="center"/>
              <w:rPr>
                <w:rFonts w:hint="eastAsia" w:ascii="宋体" w:hAnsi="宋体" w:eastAsia="宋体" w:cs="宋体"/>
                <w:b w:val="0"/>
                <w:bCs/>
                <w:sz w:val="21"/>
                <w:szCs w:val="21"/>
                <w:highlight w:val="yellow"/>
              </w:rPr>
            </w:pPr>
            <w:r>
              <w:rPr>
                <w:rFonts w:hint="eastAsia" w:ascii="宋体" w:hAnsi="宋体" w:eastAsia="宋体" w:cs="宋体"/>
                <w:b w:val="0"/>
                <w:bCs/>
                <w:sz w:val="21"/>
                <w:szCs w:val="21"/>
                <w:highlight w:val="none"/>
              </w:rPr>
              <w:t>空调系统（含计费系统）</w:t>
            </w:r>
          </w:p>
        </w:tc>
        <w:tc>
          <w:tcPr>
            <w:tcW w:w="3895" w:type="dxa"/>
            <w:tcBorders>
              <w:top w:val="single" w:color="auto" w:sz="4" w:space="0"/>
              <w:left w:val="single" w:color="auto" w:sz="4" w:space="0"/>
              <w:bottom w:val="single" w:color="auto" w:sz="4" w:space="0"/>
              <w:right w:val="single" w:color="auto" w:sz="4" w:space="0"/>
            </w:tcBorders>
            <w:vAlign w:val="center"/>
          </w:tcPr>
          <w:p w14:paraId="345C11A1">
            <w:pPr>
              <w:snapToGrid w:val="0"/>
              <w:jc w:val="both"/>
              <w:rPr>
                <w:rFonts w:hint="eastAsia" w:ascii="宋体" w:hAnsi="宋体" w:eastAsia="宋体" w:cs="宋体"/>
                <w:b w:val="0"/>
                <w:bCs/>
                <w:sz w:val="21"/>
                <w:szCs w:val="21"/>
                <w:highlight w:val="yellow"/>
              </w:rPr>
            </w:pPr>
            <w:r>
              <w:rPr>
                <w:rFonts w:hint="eastAsia" w:ascii="宋体" w:hAnsi="宋体" w:eastAsia="宋体" w:cs="宋体"/>
                <w:b w:val="0"/>
                <w:bCs/>
                <w:sz w:val="21"/>
                <w:szCs w:val="21"/>
                <w:highlight w:val="none"/>
              </w:rPr>
              <w:t>美的、海信、</w:t>
            </w:r>
            <w:r>
              <w:rPr>
                <w:rFonts w:hint="eastAsia" w:ascii="宋体" w:hAnsi="宋体" w:eastAsia="宋体" w:cs="宋体"/>
                <w:b w:val="0"/>
                <w:bCs/>
                <w:sz w:val="21"/>
                <w:szCs w:val="21"/>
                <w:highlight w:val="none"/>
                <w:lang w:eastAsia="zh-CN"/>
              </w:rPr>
              <w:t>大金、</w:t>
            </w:r>
            <w:r>
              <w:rPr>
                <w:rFonts w:hint="eastAsia" w:ascii="宋体" w:hAnsi="宋体" w:eastAsia="宋体" w:cs="宋体"/>
                <w:b w:val="0"/>
                <w:bCs/>
                <w:sz w:val="21"/>
                <w:szCs w:val="21"/>
                <w:highlight w:val="none"/>
              </w:rPr>
              <w:t>格力或同档次及以上品牌</w:t>
            </w:r>
          </w:p>
        </w:tc>
        <w:tc>
          <w:tcPr>
            <w:tcW w:w="986" w:type="dxa"/>
            <w:tcBorders>
              <w:top w:val="single" w:color="auto" w:sz="4" w:space="0"/>
              <w:left w:val="single" w:color="auto" w:sz="4" w:space="0"/>
              <w:bottom w:val="single" w:color="auto" w:sz="4" w:space="0"/>
              <w:right w:val="single" w:color="auto" w:sz="4" w:space="0"/>
            </w:tcBorders>
            <w:vAlign w:val="center"/>
          </w:tcPr>
          <w:p w14:paraId="63F0FF87">
            <w:pPr>
              <w:snapToGrid w:val="0"/>
              <w:jc w:val="center"/>
              <w:rPr>
                <w:rFonts w:hint="eastAsia" w:ascii="宋体" w:hAnsi="宋体" w:eastAsia="宋体" w:cs="宋体"/>
                <w:sz w:val="21"/>
                <w:szCs w:val="21"/>
              </w:rPr>
            </w:pPr>
            <w:r>
              <w:rPr>
                <w:rFonts w:hint="eastAsia" w:ascii="宋体" w:hAnsi="宋体" w:eastAsia="宋体" w:cs="宋体"/>
                <w:sz w:val="21"/>
                <w:szCs w:val="21"/>
                <w14:ligatures w14:val="none"/>
              </w:rPr>
              <w:t>★</w:t>
            </w:r>
          </w:p>
        </w:tc>
      </w:tr>
    </w:tbl>
    <w:p w14:paraId="4A51E124">
      <w:pPr>
        <w:numPr>
          <w:ilvl w:val="0"/>
          <w:numId w:val="0"/>
        </w:numPr>
        <w:snapToGrid w:val="0"/>
        <w:spacing w:line="360" w:lineRule="auto"/>
        <w:rPr>
          <w:rFonts w:ascii="Times New Roman" w:hAnsi="Times New Roman" w:cs="Times New Roman"/>
        </w:rPr>
      </w:pPr>
    </w:p>
    <w:p w14:paraId="084EFEA1">
      <w:pPr>
        <w:pStyle w:val="2"/>
      </w:pPr>
      <w:r>
        <w:rPr>
          <w:rFonts w:hint="eastAsia" w:ascii="微软雅黑" w:hAnsi="微软雅黑" w:eastAsia="微软雅黑" w:cs="微软雅黑"/>
          <w:b/>
          <w:sz w:val="21"/>
          <w:szCs w:val="21"/>
          <w:lang w:val="en-US" w:eastAsia="zh-CN"/>
        </w:rPr>
        <w:t>注：</w:t>
      </w:r>
      <w:r>
        <w:rPr>
          <w:rFonts w:hint="eastAsia" w:ascii="宋体" w:hAnsi="宋体" w:eastAsia="宋体" w:cs="宋体"/>
          <w:sz w:val="21"/>
          <w:szCs w:val="21"/>
          <w:highlight w:val="none"/>
          <w:lang w:val="en-US" w:eastAsia="zh-CN"/>
          <w14:ligatures w14:val="none"/>
        </w:rPr>
        <w:t>带“★”项属于强制节能产品的，需提供所投产品经国家确定的认证机构出具的、处于有效期内的节能产品认证证书（★项为实质性响应条款，不满足则为无效响应）</w:t>
      </w:r>
    </w:p>
    <w:p w14:paraId="08001722">
      <w:pPr>
        <w:numPr>
          <w:ilvl w:val="0"/>
          <w:numId w:val="4"/>
        </w:numPr>
        <w:snapToGrid w:val="0"/>
        <w:spacing w:line="360" w:lineRule="auto"/>
        <w:ind w:firstLine="480" w:firstLineChars="200"/>
        <w:rPr>
          <w:rFonts w:ascii="Times New Roman" w:hAnsi="Times New Roman" w:cs="Times New Roman"/>
        </w:rPr>
      </w:pPr>
      <w:r>
        <w:rPr>
          <w:rFonts w:ascii="Times New Roman" w:hAnsi="Times New Roman" w:cs="Times New Roman"/>
        </w:rPr>
        <w:br w:type="page"/>
      </w:r>
    </w:p>
    <w:p w14:paraId="084855BA">
      <w:pPr>
        <w:pStyle w:val="3"/>
        <w:spacing w:line="460" w:lineRule="exact"/>
        <w:jc w:val="center"/>
        <w:rPr>
          <w:rFonts w:ascii="Times New Roman" w:hAnsi="Times New Roman" w:cs="Times New Roman"/>
        </w:rPr>
      </w:pPr>
      <w:bookmarkStart w:id="1095" w:name="_Toc24468"/>
      <w:bookmarkStart w:id="1106" w:name="_GoBack"/>
      <w:bookmarkEnd w:id="1106"/>
      <w:r>
        <w:rPr>
          <w:rFonts w:ascii="Times New Roman" w:hAnsi="Times New Roman" w:cs="Times New Roman"/>
        </w:rPr>
        <w:t xml:space="preserve">第六部分  </w:t>
      </w:r>
      <w:r>
        <w:rPr>
          <w:rFonts w:hint="eastAsia" w:ascii="Times New Roman" w:hAnsi="Times New Roman" w:cs="Times New Roman"/>
        </w:rPr>
        <w:t>工程量清单及图纸</w:t>
      </w:r>
      <w:bookmarkEnd w:id="1095"/>
    </w:p>
    <w:p w14:paraId="49F8268D">
      <w:pPr>
        <w:spacing w:line="360" w:lineRule="auto"/>
        <w:ind w:firstLine="560" w:firstLineChars="200"/>
        <w:rPr>
          <w:rFonts w:ascii="Times New Roman" w:hAnsi="Times New Roman" w:cs="Times New Roman"/>
          <w:sz w:val="28"/>
          <w:szCs w:val="28"/>
        </w:rPr>
      </w:pPr>
    </w:p>
    <w:p w14:paraId="085B3688">
      <w:pPr>
        <w:spacing w:line="360" w:lineRule="auto"/>
        <w:ind w:firstLine="560" w:firstLineChars="200"/>
        <w:jc w:val="center"/>
        <w:rPr>
          <w:rFonts w:ascii="Times New Roman" w:hAnsi="Times New Roman" w:cs="Times New Roman"/>
          <w:sz w:val="28"/>
          <w:szCs w:val="28"/>
        </w:rPr>
      </w:pPr>
      <w:r>
        <w:rPr>
          <w:rFonts w:hint="eastAsia" w:ascii="Times New Roman" w:hAnsi="Times New Roman" w:cs="Times New Roman"/>
          <w:sz w:val="28"/>
          <w:szCs w:val="28"/>
        </w:rPr>
        <w:t>（另册）</w:t>
      </w:r>
    </w:p>
    <w:p w14:paraId="213EF1A9">
      <w:pPr>
        <w:spacing w:line="360" w:lineRule="auto"/>
        <w:ind w:firstLine="560" w:firstLineChars="200"/>
        <w:rPr>
          <w:rFonts w:ascii="Times New Roman" w:hAnsi="Times New Roman" w:cs="Times New Roman"/>
          <w:sz w:val="28"/>
          <w:szCs w:val="28"/>
        </w:rPr>
      </w:pPr>
    </w:p>
    <w:p w14:paraId="5F182EA7">
      <w:pPr>
        <w:spacing w:line="360" w:lineRule="auto"/>
        <w:ind w:firstLine="560" w:firstLineChars="200"/>
        <w:rPr>
          <w:rFonts w:ascii="Times New Roman" w:hAnsi="Times New Roman" w:cs="Times New Roman"/>
          <w:sz w:val="28"/>
          <w:szCs w:val="28"/>
        </w:rPr>
      </w:pPr>
    </w:p>
    <w:p w14:paraId="04356600">
      <w:pPr>
        <w:spacing w:line="360" w:lineRule="auto"/>
        <w:ind w:firstLine="560" w:firstLineChars="200"/>
        <w:rPr>
          <w:rFonts w:ascii="Times New Roman" w:hAnsi="Times New Roman" w:cs="Times New Roman"/>
          <w:sz w:val="28"/>
          <w:szCs w:val="28"/>
        </w:rPr>
      </w:pPr>
    </w:p>
    <w:p w14:paraId="4DDD464A">
      <w:pPr>
        <w:spacing w:line="360" w:lineRule="auto"/>
        <w:ind w:firstLine="560" w:firstLineChars="200"/>
        <w:rPr>
          <w:rFonts w:ascii="Times New Roman" w:hAnsi="Times New Roman" w:cs="Times New Roman"/>
          <w:sz w:val="28"/>
          <w:szCs w:val="28"/>
        </w:rPr>
      </w:pPr>
    </w:p>
    <w:p w14:paraId="101DE7D2">
      <w:pPr>
        <w:spacing w:line="360" w:lineRule="auto"/>
        <w:ind w:firstLine="560" w:firstLineChars="200"/>
        <w:rPr>
          <w:rFonts w:ascii="Times New Roman" w:hAnsi="Times New Roman" w:cs="Times New Roman"/>
          <w:sz w:val="28"/>
          <w:szCs w:val="28"/>
        </w:rPr>
      </w:pPr>
    </w:p>
    <w:p w14:paraId="77E4ACC8">
      <w:pPr>
        <w:spacing w:line="360" w:lineRule="auto"/>
        <w:ind w:firstLine="560" w:firstLineChars="200"/>
        <w:rPr>
          <w:rFonts w:ascii="Times New Roman" w:hAnsi="Times New Roman" w:cs="Times New Roman"/>
          <w:sz w:val="28"/>
          <w:szCs w:val="28"/>
        </w:rPr>
      </w:pPr>
    </w:p>
    <w:p w14:paraId="02AA9223">
      <w:pPr>
        <w:spacing w:line="360" w:lineRule="auto"/>
        <w:ind w:firstLine="560" w:firstLineChars="200"/>
        <w:rPr>
          <w:rFonts w:ascii="Times New Roman" w:hAnsi="Times New Roman" w:cs="Times New Roman"/>
          <w:sz w:val="28"/>
          <w:szCs w:val="28"/>
        </w:rPr>
      </w:pPr>
    </w:p>
    <w:p w14:paraId="2D6D16B0">
      <w:pPr>
        <w:spacing w:line="360" w:lineRule="auto"/>
        <w:ind w:firstLine="560" w:firstLineChars="200"/>
        <w:rPr>
          <w:rFonts w:ascii="Times New Roman" w:hAnsi="Times New Roman" w:cs="Times New Roman"/>
          <w:sz w:val="28"/>
          <w:szCs w:val="28"/>
        </w:rPr>
      </w:pPr>
    </w:p>
    <w:p w14:paraId="2B046C65">
      <w:pPr>
        <w:spacing w:line="360" w:lineRule="auto"/>
        <w:ind w:firstLine="560" w:firstLineChars="200"/>
        <w:rPr>
          <w:rFonts w:ascii="Times New Roman" w:hAnsi="Times New Roman" w:cs="Times New Roman"/>
          <w:sz w:val="28"/>
          <w:szCs w:val="28"/>
        </w:rPr>
      </w:pPr>
    </w:p>
    <w:p w14:paraId="2F37275C">
      <w:pPr>
        <w:spacing w:line="360" w:lineRule="auto"/>
        <w:ind w:firstLine="560" w:firstLineChars="200"/>
        <w:rPr>
          <w:rFonts w:ascii="Times New Roman" w:hAnsi="Times New Roman" w:cs="Times New Roman"/>
          <w:sz w:val="28"/>
          <w:szCs w:val="28"/>
        </w:rPr>
      </w:pPr>
    </w:p>
    <w:p w14:paraId="6F8A2956">
      <w:pPr>
        <w:spacing w:line="360" w:lineRule="auto"/>
        <w:ind w:firstLine="560" w:firstLineChars="200"/>
        <w:rPr>
          <w:rFonts w:ascii="Times New Roman" w:hAnsi="Times New Roman" w:cs="Times New Roman"/>
          <w:sz w:val="28"/>
          <w:szCs w:val="28"/>
        </w:rPr>
      </w:pPr>
    </w:p>
    <w:p w14:paraId="17286E61">
      <w:pPr>
        <w:spacing w:line="360" w:lineRule="auto"/>
        <w:ind w:firstLine="560" w:firstLineChars="200"/>
        <w:rPr>
          <w:rFonts w:ascii="Times New Roman" w:hAnsi="Times New Roman" w:cs="Times New Roman"/>
          <w:sz w:val="28"/>
          <w:szCs w:val="28"/>
        </w:rPr>
      </w:pPr>
    </w:p>
    <w:p w14:paraId="03A9AC0D">
      <w:pPr>
        <w:spacing w:line="360" w:lineRule="auto"/>
        <w:ind w:firstLine="560" w:firstLineChars="200"/>
        <w:rPr>
          <w:rFonts w:ascii="Times New Roman" w:hAnsi="Times New Roman" w:cs="Times New Roman"/>
          <w:sz w:val="28"/>
          <w:szCs w:val="28"/>
        </w:rPr>
      </w:pPr>
    </w:p>
    <w:p w14:paraId="13855379">
      <w:pPr>
        <w:spacing w:line="360" w:lineRule="auto"/>
        <w:ind w:firstLine="560" w:firstLineChars="200"/>
        <w:rPr>
          <w:rFonts w:ascii="Times New Roman" w:hAnsi="Times New Roman" w:cs="Times New Roman"/>
          <w:sz w:val="28"/>
          <w:szCs w:val="28"/>
        </w:rPr>
      </w:pPr>
    </w:p>
    <w:p w14:paraId="7CCC3E3D">
      <w:pPr>
        <w:spacing w:line="360" w:lineRule="auto"/>
        <w:ind w:firstLine="560" w:firstLineChars="200"/>
        <w:rPr>
          <w:rFonts w:ascii="Times New Roman" w:hAnsi="Times New Roman" w:cs="Times New Roman"/>
          <w:sz w:val="28"/>
          <w:szCs w:val="28"/>
        </w:rPr>
      </w:pPr>
    </w:p>
    <w:p w14:paraId="4EDDB72F">
      <w:pPr>
        <w:spacing w:line="360" w:lineRule="auto"/>
        <w:ind w:firstLine="560" w:firstLineChars="200"/>
        <w:rPr>
          <w:rFonts w:ascii="Times New Roman" w:hAnsi="Times New Roman" w:cs="Times New Roman"/>
          <w:sz w:val="28"/>
          <w:szCs w:val="28"/>
        </w:rPr>
      </w:pPr>
    </w:p>
    <w:p w14:paraId="72DCF5DB">
      <w:pPr>
        <w:spacing w:line="360" w:lineRule="auto"/>
        <w:ind w:firstLine="560" w:firstLineChars="200"/>
        <w:rPr>
          <w:rFonts w:ascii="Times New Roman" w:hAnsi="Times New Roman" w:cs="Times New Roman"/>
          <w:sz w:val="28"/>
          <w:szCs w:val="28"/>
        </w:rPr>
      </w:pPr>
    </w:p>
    <w:p w14:paraId="11EA631F">
      <w:pPr>
        <w:spacing w:line="360" w:lineRule="auto"/>
        <w:ind w:firstLine="560" w:firstLineChars="200"/>
        <w:rPr>
          <w:rFonts w:ascii="Times New Roman" w:hAnsi="Times New Roman" w:cs="Times New Roman"/>
          <w:sz w:val="28"/>
          <w:szCs w:val="28"/>
        </w:rPr>
      </w:pPr>
    </w:p>
    <w:p w14:paraId="0EBFC39D">
      <w:pPr>
        <w:spacing w:line="360" w:lineRule="auto"/>
        <w:ind w:firstLine="560" w:firstLineChars="200"/>
        <w:rPr>
          <w:rFonts w:ascii="Times New Roman" w:hAnsi="Times New Roman" w:cs="Times New Roman"/>
          <w:sz w:val="28"/>
          <w:szCs w:val="28"/>
        </w:rPr>
      </w:pPr>
    </w:p>
    <w:p w14:paraId="024BF643">
      <w:pPr>
        <w:spacing w:line="360" w:lineRule="auto"/>
        <w:ind w:firstLine="560" w:firstLineChars="200"/>
        <w:rPr>
          <w:rFonts w:ascii="Times New Roman" w:hAnsi="Times New Roman" w:cs="Times New Roman"/>
          <w:sz w:val="28"/>
          <w:szCs w:val="28"/>
        </w:rPr>
      </w:pPr>
    </w:p>
    <w:p w14:paraId="08626278">
      <w:pPr>
        <w:spacing w:line="360" w:lineRule="auto"/>
        <w:ind w:firstLine="560" w:firstLineChars="200"/>
        <w:rPr>
          <w:rFonts w:ascii="Times New Roman" w:hAnsi="Times New Roman" w:cs="Times New Roman"/>
          <w:sz w:val="28"/>
          <w:szCs w:val="28"/>
        </w:rPr>
      </w:pPr>
    </w:p>
    <w:p w14:paraId="5ECCFC24">
      <w:pPr>
        <w:spacing w:line="360" w:lineRule="auto"/>
        <w:ind w:firstLine="560" w:firstLineChars="200"/>
        <w:rPr>
          <w:rFonts w:ascii="Times New Roman" w:hAnsi="Times New Roman" w:cs="Times New Roman"/>
          <w:sz w:val="28"/>
          <w:szCs w:val="28"/>
        </w:rPr>
      </w:pPr>
    </w:p>
    <w:p w14:paraId="13F15060">
      <w:pPr>
        <w:spacing w:line="360" w:lineRule="auto"/>
        <w:ind w:firstLine="560" w:firstLineChars="200"/>
        <w:rPr>
          <w:rFonts w:ascii="Times New Roman" w:hAnsi="Times New Roman" w:cs="Times New Roman"/>
          <w:sz w:val="28"/>
          <w:szCs w:val="28"/>
        </w:rPr>
      </w:pPr>
    </w:p>
    <w:p w14:paraId="2650F10E">
      <w:pPr>
        <w:pStyle w:val="3"/>
        <w:spacing w:line="460" w:lineRule="exact"/>
        <w:jc w:val="center"/>
        <w:rPr>
          <w:rFonts w:ascii="Times New Roman" w:hAnsi="Times New Roman" w:cs="Times New Roman"/>
        </w:rPr>
      </w:pPr>
      <w:bookmarkStart w:id="1096" w:name="_Toc22942"/>
      <w:r>
        <w:rPr>
          <w:rFonts w:ascii="Times New Roman" w:hAnsi="Times New Roman" w:cs="Times New Roman"/>
        </w:rPr>
        <w:t>第</w:t>
      </w:r>
      <w:r>
        <w:rPr>
          <w:rFonts w:hint="eastAsia" w:ascii="Times New Roman" w:hAnsi="Times New Roman" w:cs="Times New Roman"/>
        </w:rPr>
        <w:t>七</w:t>
      </w:r>
      <w:r>
        <w:rPr>
          <w:rFonts w:ascii="Times New Roman" w:hAnsi="Times New Roman" w:cs="Times New Roman"/>
        </w:rPr>
        <w:t>部分  投标文件格式</w:t>
      </w:r>
      <w:bookmarkEnd w:id="1096"/>
    </w:p>
    <w:p w14:paraId="6A9756F5">
      <w:pPr>
        <w:spacing w:line="460" w:lineRule="exact"/>
        <w:jc w:val="center"/>
        <w:rPr>
          <w:rFonts w:hint="eastAsia"/>
          <w:sz w:val="21"/>
          <w:szCs w:val="21"/>
        </w:rPr>
      </w:pPr>
      <w:r>
        <w:rPr>
          <w:rFonts w:hint="eastAsia"/>
          <w:sz w:val="21"/>
          <w:szCs w:val="21"/>
        </w:rPr>
        <w:t>投标文件编制说明</w:t>
      </w:r>
    </w:p>
    <w:p w14:paraId="57406352">
      <w:pPr>
        <w:spacing w:line="460" w:lineRule="exact"/>
        <w:ind w:firstLine="420" w:firstLineChars="200"/>
        <w:rPr>
          <w:rFonts w:hint="eastAsia"/>
          <w:sz w:val="21"/>
          <w:szCs w:val="21"/>
        </w:rPr>
      </w:pPr>
      <w:r>
        <w:rPr>
          <w:rFonts w:hint="eastAsia"/>
          <w:sz w:val="21"/>
          <w:szCs w:val="21"/>
        </w:rPr>
        <w:t>1、投标文件应当使用招标文件规定的全部格式（表格可以按同样格式扩展）编写，除明确允许投标人可以自行编写的外，投标人不得以“投标文件格式”规定之外的方式填写相关内容。</w:t>
      </w:r>
    </w:p>
    <w:p w14:paraId="0F56E2DA">
      <w:pPr>
        <w:spacing w:line="360" w:lineRule="auto"/>
        <w:ind w:firstLine="420" w:firstLineChars="200"/>
        <w:rPr>
          <w:rFonts w:hint="eastAsia"/>
          <w:sz w:val="21"/>
          <w:szCs w:val="21"/>
        </w:rPr>
      </w:pPr>
      <w:r>
        <w:rPr>
          <w:rFonts w:hint="eastAsia"/>
          <w:sz w:val="21"/>
          <w:szCs w:val="21"/>
        </w:rPr>
        <w:t>2、投标文件的编制应按照样本格式提供的内容，做出逐一明确的答复；投标人认为有必要，还可以做其它补充说明。</w:t>
      </w:r>
      <w:r>
        <w:rPr>
          <w:rFonts w:hint="eastAsia"/>
          <w:sz w:val="21"/>
          <w:szCs w:val="21"/>
        </w:rPr>
        <w:cr/>
      </w:r>
      <w:r>
        <w:rPr>
          <w:rFonts w:hint="eastAsia"/>
          <w:sz w:val="21"/>
          <w:szCs w:val="21"/>
        </w:rPr>
        <w:t xml:space="preserve">    3、投标人必须按照按招标文件要求签字或盖章。纸质投标文件须A4纸单面或双面打印，分别各自装订成册并编制目录和页码。</w:t>
      </w:r>
    </w:p>
    <w:p w14:paraId="220E7E77">
      <w:pPr>
        <w:spacing w:line="360" w:lineRule="auto"/>
        <w:ind w:firstLine="560" w:firstLineChars="200"/>
        <w:rPr>
          <w:rFonts w:ascii="Times New Roman" w:hAnsi="Times New Roman" w:cs="Times New Roman"/>
          <w:sz w:val="28"/>
          <w:szCs w:val="28"/>
          <w:highlight w:val="yellow"/>
        </w:rPr>
      </w:pPr>
    </w:p>
    <w:p w14:paraId="6FC849F2">
      <w:pPr>
        <w:spacing w:line="360" w:lineRule="auto"/>
        <w:ind w:firstLine="560" w:firstLineChars="200"/>
        <w:rPr>
          <w:rFonts w:ascii="Times New Roman" w:hAnsi="Times New Roman" w:cs="Times New Roman"/>
          <w:sz w:val="28"/>
          <w:szCs w:val="28"/>
          <w:highlight w:val="yellow"/>
        </w:rPr>
      </w:pPr>
    </w:p>
    <w:p w14:paraId="62D9327F">
      <w:pPr>
        <w:spacing w:line="360" w:lineRule="auto"/>
        <w:ind w:firstLine="560" w:firstLineChars="200"/>
        <w:rPr>
          <w:rFonts w:ascii="Times New Roman" w:hAnsi="Times New Roman" w:cs="Times New Roman"/>
          <w:sz w:val="28"/>
          <w:szCs w:val="28"/>
          <w:highlight w:val="yellow"/>
        </w:rPr>
      </w:pPr>
    </w:p>
    <w:p w14:paraId="49B9E471">
      <w:pPr>
        <w:spacing w:line="360" w:lineRule="auto"/>
        <w:ind w:firstLine="560" w:firstLineChars="200"/>
        <w:rPr>
          <w:rFonts w:ascii="Times New Roman" w:hAnsi="Times New Roman" w:cs="Times New Roman"/>
          <w:sz w:val="28"/>
          <w:szCs w:val="28"/>
          <w:highlight w:val="yellow"/>
        </w:rPr>
      </w:pPr>
    </w:p>
    <w:p w14:paraId="3370BE56">
      <w:pPr>
        <w:spacing w:line="360" w:lineRule="auto"/>
        <w:ind w:firstLine="560" w:firstLineChars="200"/>
        <w:rPr>
          <w:rFonts w:ascii="Times New Roman" w:hAnsi="Times New Roman" w:cs="Times New Roman"/>
          <w:sz w:val="28"/>
          <w:szCs w:val="28"/>
          <w:highlight w:val="yellow"/>
        </w:rPr>
      </w:pPr>
    </w:p>
    <w:p w14:paraId="5CC33AF5">
      <w:pPr>
        <w:spacing w:line="360" w:lineRule="auto"/>
        <w:ind w:firstLine="560" w:firstLineChars="200"/>
        <w:rPr>
          <w:rFonts w:ascii="Times New Roman" w:hAnsi="Times New Roman" w:cs="Times New Roman"/>
          <w:sz w:val="28"/>
          <w:szCs w:val="28"/>
          <w:highlight w:val="yellow"/>
        </w:rPr>
      </w:pPr>
    </w:p>
    <w:p w14:paraId="0D7B9380">
      <w:pPr>
        <w:spacing w:line="360" w:lineRule="auto"/>
        <w:ind w:firstLine="560" w:firstLineChars="200"/>
        <w:rPr>
          <w:rFonts w:ascii="Times New Roman" w:hAnsi="Times New Roman" w:cs="Times New Roman"/>
          <w:sz w:val="28"/>
          <w:szCs w:val="28"/>
          <w:highlight w:val="yellow"/>
        </w:rPr>
      </w:pPr>
    </w:p>
    <w:p w14:paraId="6BE776B5">
      <w:pPr>
        <w:spacing w:line="360" w:lineRule="auto"/>
        <w:ind w:firstLine="560" w:firstLineChars="200"/>
        <w:rPr>
          <w:rFonts w:ascii="Times New Roman" w:hAnsi="Times New Roman" w:cs="Times New Roman"/>
          <w:sz w:val="28"/>
          <w:szCs w:val="28"/>
          <w:highlight w:val="yellow"/>
        </w:rPr>
      </w:pPr>
    </w:p>
    <w:p w14:paraId="563FD6A7">
      <w:pPr>
        <w:spacing w:line="360" w:lineRule="auto"/>
        <w:ind w:firstLine="560" w:firstLineChars="200"/>
        <w:rPr>
          <w:rFonts w:ascii="Times New Roman" w:hAnsi="Times New Roman" w:cs="Times New Roman"/>
          <w:sz w:val="28"/>
          <w:szCs w:val="28"/>
          <w:highlight w:val="yellow"/>
        </w:rPr>
      </w:pPr>
    </w:p>
    <w:p w14:paraId="6BCFAA2C">
      <w:pPr>
        <w:spacing w:line="360" w:lineRule="auto"/>
        <w:ind w:firstLine="560" w:firstLineChars="200"/>
        <w:rPr>
          <w:rFonts w:ascii="Times New Roman" w:hAnsi="Times New Roman" w:cs="Times New Roman"/>
          <w:sz w:val="28"/>
          <w:szCs w:val="28"/>
          <w:highlight w:val="yellow"/>
        </w:rPr>
      </w:pPr>
    </w:p>
    <w:p w14:paraId="21732A60">
      <w:pPr>
        <w:spacing w:line="360" w:lineRule="auto"/>
        <w:ind w:firstLine="560" w:firstLineChars="200"/>
        <w:rPr>
          <w:rFonts w:ascii="Times New Roman" w:hAnsi="Times New Roman" w:cs="Times New Roman"/>
          <w:sz w:val="28"/>
          <w:szCs w:val="28"/>
          <w:highlight w:val="yellow"/>
        </w:rPr>
      </w:pPr>
    </w:p>
    <w:p w14:paraId="2D4940CD">
      <w:pPr>
        <w:spacing w:line="360" w:lineRule="auto"/>
        <w:ind w:firstLine="560" w:firstLineChars="200"/>
        <w:rPr>
          <w:rFonts w:ascii="Times New Roman" w:hAnsi="Times New Roman" w:cs="Times New Roman"/>
          <w:sz w:val="28"/>
          <w:szCs w:val="28"/>
          <w:highlight w:val="yellow"/>
        </w:rPr>
      </w:pPr>
    </w:p>
    <w:p w14:paraId="7AF35A64">
      <w:pPr>
        <w:spacing w:line="360" w:lineRule="auto"/>
        <w:ind w:firstLine="560" w:firstLineChars="200"/>
        <w:rPr>
          <w:rFonts w:ascii="Times New Roman" w:hAnsi="Times New Roman" w:cs="Times New Roman"/>
          <w:sz w:val="28"/>
          <w:szCs w:val="28"/>
          <w:highlight w:val="yellow"/>
        </w:rPr>
      </w:pPr>
    </w:p>
    <w:p w14:paraId="199C7100">
      <w:pPr>
        <w:spacing w:line="360" w:lineRule="auto"/>
        <w:ind w:firstLine="560" w:firstLineChars="200"/>
        <w:rPr>
          <w:rFonts w:ascii="Times New Roman" w:hAnsi="Times New Roman" w:cs="Times New Roman"/>
          <w:sz w:val="28"/>
          <w:szCs w:val="28"/>
          <w:highlight w:val="yellow"/>
        </w:rPr>
      </w:pPr>
    </w:p>
    <w:p w14:paraId="6A45703C">
      <w:pPr>
        <w:spacing w:line="360" w:lineRule="auto"/>
        <w:ind w:firstLine="560" w:firstLineChars="200"/>
        <w:rPr>
          <w:rFonts w:ascii="Times New Roman" w:hAnsi="Times New Roman" w:cs="Times New Roman"/>
          <w:sz w:val="28"/>
          <w:szCs w:val="28"/>
          <w:highlight w:val="yellow"/>
        </w:rPr>
      </w:pPr>
    </w:p>
    <w:p w14:paraId="09B95A77">
      <w:pPr>
        <w:spacing w:line="360" w:lineRule="auto"/>
        <w:ind w:firstLine="560" w:firstLineChars="200"/>
        <w:rPr>
          <w:rFonts w:ascii="Times New Roman" w:hAnsi="Times New Roman" w:cs="Times New Roman"/>
          <w:sz w:val="28"/>
          <w:szCs w:val="28"/>
          <w:highlight w:val="yellow"/>
        </w:rPr>
      </w:pPr>
    </w:p>
    <w:p w14:paraId="6C280A99">
      <w:pPr>
        <w:pStyle w:val="60"/>
        <w:rPr>
          <w:sz w:val="28"/>
          <w:szCs w:val="28"/>
          <w:highlight w:val="yellow"/>
        </w:rPr>
      </w:pPr>
    </w:p>
    <w:p w14:paraId="02AD6B37">
      <w:pPr>
        <w:pStyle w:val="60"/>
        <w:rPr>
          <w:sz w:val="28"/>
          <w:szCs w:val="28"/>
          <w:highlight w:val="yellow"/>
        </w:rPr>
      </w:pPr>
    </w:p>
    <w:p w14:paraId="30A5A38C">
      <w:pPr>
        <w:pStyle w:val="60"/>
        <w:rPr>
          <w:sz w:val="28"/>
          <w:szCs w:val="28"/>
          <w:highlight w:val="yellow"/>
        </w:rPr>
      </w:pPr>
    </w:p>
    <w:bookmarkEnd w:id="1091"/>
    <w:bookmarkEnd w:id="1092"/>
    <w:bookmarkEnd w:id="1093"/>
    <w:bookmarkEnd w:id="1094"/>
    <w:p w14:paraId="5E570FA6">
      <w:pPr>
        <w:rPr>
          <w:rFonts w:ascii="Times New Roman" w:hAnsi="Times New Roman" w:cs="Times New Roman"/>
          <w:b/>
          <w:sz w:val="15"/>
          <w:szCs w:val="15"/>
          <w:bdr w:val="single" w:color="auto" w:sz="4" w:space="0"/>
          <w:shd w:val="pct10" w:color="auto" w:fill="FFFFFF"/>
        </w:rPr>
      </w:pPr>
    </w:p>
    <w:p w14:paraId="30D79796">
      <w:pPr>
        <w:spacing w:line="460" w:lineRule="exact"/>
        <w:ind w:right="1444"/>
        <w:rPr>
          <w:rFonts w:ascii="Times New Roman" w:hAnsi="Times New Roman" w:cs="Times New Roman"/>
          <w:b/>
          <w:sz w:val="15"/>
          <w:szCs w:val="15"/>
          <w:bdr w:val="single" w:color="auto" w:sz="4" w:space="0"/>
          <w:shd w:val="pct10" w:color="auto" w:fill="FFFFFF"/>
        </w:rPr>
      </w:pPr>
    </w:p>
    <w:p w14:paraId="486780C0">
      <w:pPr>
        <w:spacing w:line="460" w:lineRule="exact"/>
        <w:ind w:right="1444"/>
        <w:rPr>
          <w:rFonts w:ascii="Times New Roman" w:hAnsi="Times New Roman" w:cs="Times New Roman"/>
          <w:b/>
          <w:sz w:val="36"/>
          <w:szCs w:val="36"/>
          <w:bdr w:val="single" w:color="auto" w:sz="4" w:space="0"/>
          <w:shd w:val="pct10" w:color="auto" w:fill="FFFFFF"/>
        </w:rPr>
      </w:pPr>
    </w:p>
    <w:p w14:paraId="2CC813B3">
      <w:pPr>
        <w:spacing w:line="460" w:lineRule="exact"/>
        <w:jc w:val="right"/>
        <w:rPr>
          <w:rFonts w:ascii="Times New Roman" w:hAnsi="Times New Roman" w:cs="Times New Roman"/>
          <w:b/>
          <w:sz w:val="36"/>
          <w:szCs w:val="36"/>
        </w:rPr>
      </w:pPr>
      <w:r>
        <w:rPr>
          <w:rFonts w:ascii="Times New Roman" w:hAnsi="Times New Roman" w:cs="Times New Roman"/>
          <w:b/>
          <w:sz w:val="36"/>
          <w:szCs w:val="36"/>
        </w:rPr>
        <w:t>正本/副本</w:t>
      </w:r>
      <w:r>
        <w:rPr>
          <w:rFonts w:hint="eastAsia" w:ascii="Times New Roman" w:hAnsi="Times New Roman" w:cs="Times New Roman"/>
          <w:b/>
          <w:sz w:val="36"/>
          <w:szCs w:val="36"/>
        </w:rPr>
        <w:t>/电子版</w:t>
      </w:r>
    </w:p>
    <w:p w14:paraId="375C75B9">
      <w:pPr>
        <w:spacing w:line="460" w:lineRule="exact"/>
        <w:rPr>
          <w:rFonts w:ascii="Times New Roman" w:hAnsi="Times New Roman" w:cs="Times New Roman"/>
          <w:b/>
          <w:bCs/>
          <w:sz w:val="28"/>
          <w:szCs w:val="28"/>
        </w:rPr>
      </w:pPr>
    </w:p>
    <w:p w14:paraId="36EC2F0C">
      <w:pPr>
        <w:spacing w:line="460" w:lineRule="exact"/>
        <w:rPr>
          <w:rFonts w:ascii="Times New Roman" w:hAnsi="Times New Roman" w:cs="Times New Roman"/>
          <w:b/>
          <w:bCs/>
          <w:sz w:val="28"/>
          <w:szCs w:val="28"/>
        </w:rPr>
      </w:pPr>
    </w:p>
    <w:p w14:paraId="7C9B63A4">
      <w:pPr>
        <w:spacing w:before="163" w:beforeLines="50" w:line="360" w:lineRule="auto"/>
        <w:jc w:val="center"/>
        <w:rPr>
          <w:rFonts w:ascii="Times New Roman" w:hAnsi="Times New Roman" w:cs="Times New Roman"/>
          <w:b/>
          <w:bCs/>
          <w:sz w:val="44"/>
          <w:szCs w:val="44"/>
        </w:rPr>
      </w:pPr>
      <w:r>
        <w:rPr>
          <w:rFonts w:hint="eastAsia" w:ascii="Times New Roman" w:hAnsi="Times New Roman" w:cs="Times New Roman"/>
          <w:b/>
          <w:bCs/>
          <w:sz w:val="44"/>
          <w:szCs w:val="44"/>
        </w:rPr>
        <w:t>陕西测绘地理信息局测绘综合楼</w:t>
      </w:r>
    </w:p>
    <w:p w14:paraId="7EED6AAD">
      <w:pPr>
        <w:spacing w:before="163" w:beforeLines="50" w:line="360" w:lineRule="auto"/>
        <w:jc w:val="center"/>
        <w:rPr>
          <w:rFonts w:ascii="Times New Roman" w:hAnsi="Times New Roman" w:cs="Times New Roman"/>
          <w:b/>
          <w:bCs/>
          <w:sz w:val="44"/>
          <w:szCs w:val="44"/>
        </w:rPr>
      </w:pPr>
      <w:r>
        <w:rPr>
          <w:rFonts w:hint="eastAsia" w:ascii="Times New Roman" w:hAnsi="Times New Roman" w:cs="Times New Roman"/>
          <w:b/>
          <w:bCs/>
          <w:sz w:val="44"/>
          <w:szCs w:val="44"/>
        </w:rPr>
        <w:t>六层修缮改造</w:t>
      </w:r>
    </w:p>
    <w:p w14:paraId="45833883">
      <w:pPr>
        <w:spacing w:before="163" w:beforeLines="50" w:line="360" w:lineRule="auto"/>
        <w:jc w:val="center"/>
        <w:rPr>
          <w:rFonts w:ascii="Times New Roman" w:hAnsi="Times New Roman" w:cs="Times New Roman"/>
          <w:b/>
          <w:bCs/>
          <w:sz w:val="44"/>
          <w:szCs w:val="44"/>
        </w:rPr>
      </w:pPr>
    </w:p>
    <w:p w14:paraId="3B1E2309">
      <w:pPr>
        <w:spacing w:before="163" w:beforeLines="50" w:line="360" w:lineRule="auto"/>
        <w:jc w:val="center"/>
        <w:rPr>
          <w:rFonts w:ascii="Times New Roman" w:hAnsi="Times New Roman" w:cs="Times New Roman"/>
          <w:b/>
          <w:bCs/>
          <w:sz w:val="44"/>
          <w:szCs w:val="44"/>
        </w:rPr>
      </w:pPr>
    </w:p>
    <w:p w14:paraId="266ECAB7">
      <w:pPr>
        <w:spacing w:before="163" w:beforeLines="50" w:line="360" w:lineRule="auto"/>
        <w:jc w:val="center"/>
        <w:rPr>
          <w:rFonts w:ascii="Times New Roman" w:hAnsi="Times New Roman" w:cs="Times New Roman"/>
          <w:b/>
          <w:bCs/>
          <w:sz w:val="84"/>
          <w:szCs w:val="84"/>
        </w:rPr>
      </w:pPr>
      <w:r>
        <w:rPr>
          <w:rFonts w:ascii="Times New Roman" w:hAnsi="Times New Roman" w:cs="Times New Roman"/>
          <w:b/>
          <w:bCs/>
          <w:sz w:val="84"/>
          <w:szCs w:val="84"/>
        </w:rPr>
        <w:t>投 标 文 件</w:t>
      </w:r>
    </w:p>
    <w:p w14:paraId="7C7D1D02">
      <w:pPr>
        <w:spacing w:line="460" w:lineRule="exact"/>
        <w:jc w:val="center"/>
        <w:rPr>
          <w:rFonts w:ascii="Times New Roman" w:hAnsi="Times New Roman" w:cs="Times New Roman"/>
          <w:b/>
          <w:bCs/>
          <w:sz w:val="32"/>
          <w:szCs w:val="32"/>
        </w:rPr>
      </w:pPr>
      <w:r>
        <w:rPr>
          <w:rFonts w:hint="eastAsia" w:ascii="Times New Roman" w:hAnsi="Times New Roman" w:cs="Times New Roman"/>
          <w:b/>
          <w:bCs/>
          <w:sz w:val="32"/>
          <w:szCs w:val="32"/>
        </w:rPr>
        <w:t xml:space="preserve"> </w:t>
      </w:r>
    </w:p>
    <w:p w14:paraId="2FA41723">
      <w:pPr>
        <w:spacing w:line="460" w:lineRule="exact"/>
        <w:jc w:val="center"/>
        <w:rPr>
          <w:rFonts w:ascii="Times New Roman" w:hAnsi="Times New Roman" w:cs="Times New Roman"/>
          <w:b/>
          <w:sz w:val="36"/>
          <w:szCs w:val="36"/>
        </w:rPr>
      </w:pPr>
      <w:r>
        <w:rPr>
          <w:rFonts w:ascii="Times New Roman" w:hAnsi="Times New Roman" w:cs="Times New Roman"/>
          <w:b/>
          <w:sz w:val="36"/>
          <w:szCs w:val="36"/>
        </w:rPr>
        <w:t>项目编号:</w:t>
      </w:r>
      <w:r>
        <w:rPr>
          <w:rFonts w:ascii="Times New Roman" w:hAnsi="Times New Roman" w:cs="Times New Roman"/>
        </w:rPr>
        <w:t xml:space="preserve"> </w:t>
      </w:r>
      <w:r>
        <w:rPr>
          <w:rFonts w:hint="eastAsia" w:ascii="Times New Roman" w:hAnsi="Times New Roman" w:cs="Times New Roman"/>
          <w:b/>
          <w:sz w:val="36"/>
          <w:szCs w:val="36"/>
        </w:rPr>
        <w:t xml:space="preserve"> </w:t>
      </w:r>
    </w:p>
    <w:p w14:paraId="0569FD76">
      <w:pPr>
        <w:spacing w:line="360" w:lineRule="auto"/>
        <w:jc w:val="center"/>
        <w:rPr>
          <w:rFonts w:ascii="Times New Roman" w:hAnsi="Times New Roman" w:cs="Times New Roman"/>
          <w:b/>
          <w:sz w:val="36"/>
          <w:szCs w:val="36"/>
        </w:rPr>
      </w:pPr>
    </w:p>
    <w:p w14:paraId="7F5F6387">
      <w:pPr>
        <w:spacing w:line="360" w:lineRule="auto"/>
        <w:jc w:val="center"/>
        <w:rPr>
          <w:rFonts w:ascii="Times New Roman" w:hAnsi="Times New Roman" w:cs="Times New Roman"/>
          <w:b/>
          <w:sz w:val="36"/>
          <w:szCs w:val="36"/>
        </w:rPr>
      </w:pPr>
    </w:p>
    <w:p w14:paraId="5EC83568">
      <w:pPr>
        <w:spacing w:line="460" w:lineRule="exact"/>
        <w:jc w:val="center"/>
        <w:rPr>
          <w:rFonts w:ascii="Times New Roman" w:hAnsi="Times New Roman" w:cs="Times New Roman"/>
          <w:b/>
          <w:sz w:val="36"/>
          <w:szCs w:val="36"/>
        </w:rPr>
      </w:pPr>
    </w:p>
    <w:p w14:paraId="08D474C7">
      <w:pPr>
        <w:spacing w:line="560" w:lineRule="exact"/>
        <w:ind w:firstLine="1446" w:firstLineChars="400"/>
        <w:rPr>
          <w:rFonts w:ascii="Times New Roman" w:hAnsi="Times New Roman" w:cs="Times New Roman"/>
          <w:b/>
          <w:sz w:val="36"/>
          <w:szCs w:val="36"/>
        </w:rPr>
      </w:pPr>
      <w:r>
        <w:rPr>
          <w:rFonts w:ascii="Times New Roman" w:hAnsi="Times New Roman" w:cs="Times New Roman"/>
          <w:b/>
          <w:sz w:val="36"/>
          <w:szCs w:val="36"/>
        </w:rPr>
        <w:t>投标人</w:t>
      </w:r>
      <w:r>
        <w:rPr>
          <w:rFonts w:hint="eastAsia" w:ascii="Times New Roman" w:hAnsi="Times New Roman" w:cs="Times New Roman"/>
          <w:b/>
          <w:sz w:val="36"/>
          <w:szCs w:val="36"/>
        </w:rPr>
        <w:t>（盖章）</w:t>
      </w:r>
      <w:r>
        <w:rPr>
          <w:rFonts w:ascii="Times New Roman" w:hAnsi="Times New Roman" w:cs="Times New Roman"/>
          <w:b/>
          <w:sz w:val="36"/>
          <w:szCs w:val="36"/>
        </w:rPr>
        <w:t>：</w:t>
      </w:r>
      <w:r>
        <w:rPr>
          <w:rFonts w:ascii="Times New Roman" w:hAnsi="Times New Roman" w:cs="Times New Roman"/>
          <w:b/>
          <w:sz w:val="36"/>
          <w:szCs w:val="36"/>
          <w:u w:val="single"/>
        </w:rPr>
        <w:t xml:space="preserve">            </w:t>
      </w:r>
      <w:r>
        <w:rPr>
          <w:rFonts w:hint="eastAsia" w:ascii="Times New Roman" w:hAnsi="Times New Roman" w:cs="Times New Roman"/>
          <w:b/>
          <w:sz w:val="36"/>
          <w:szCs w:val="36"/>
          <w:u w:val="single"/>
        </w:rPr>
        <w:t xml:space="preserve">    </w:t>
      </w:r>
      <w:r>
        <w:rPr>
          <w:rFonts w:ascii="Times New Roman" w:hAnsi="Times New Roman" w:cs="Times New Roman"/>
          <w:b/>
          <w:sz w:val="36"/>
          <w:szCs w:val="36"/>
          <w:u w:val="single"/>
        </w:rPr>
        <w:t xml:space="preserve">     </w:t>
      </w:r>
    </w:p>
    <w:p w14:paraId="389B29A5">
      <w:pPr>
        <w:spacing w:line="560" w:lineRule="exact"/>
        <w:ind w:firstLine="1446" w:firstLineChars="400"/>
        <w:rPr>
          <w:rFonts w:ascii="Times New Roman" w:hAnsi="Times New Roman" w:cs="Times New Roman"/>
          <w:b/>
          <w:sz w:val="36"/>
          <w:szCs w:val="36"/>
        </w:rPr>
      </w:pPr>
      <w:r>
        <w:rPr>
          <w:rFonts w:ascii="Times New Roman" w:hAnsi="Times New Roman" w:cs="Times New Roman"/>
          <w:b/>
          <w:sz w:val="36"/>
          <w:szCs w:val="36"/>
        </w:rPr>
        <w:t>法定代表人或其委托代理人（签字或盖章）：</w:t>
      </w:r>
      <w:r>
        <w:rPr>
          <w:rFonts w:ascii="Times New Roman" w:hAnsi="Times New Roman" w:cs="Times New Roman"/>
          <w:b/>
          <w:sz w:val="36"/>
          <w:szCs w:val="36"/>
          <w:u w:val="single"/>
        </w:rPr>
        <w:t xml:space="preserve">         </w:t>
      </w:r>
    </w:p>
    <w:p w14:paraId="69D8C511">
      <w:pPr>
        <w:spacing w:line="460" w:lineRule="exact"/>
        <w:jc w:val="center"/>
        <w:rPr>
          <w:rFonts w:ascii="Times New Roman" w:hAnsi="Times New Roman" w:cs="Times New Roman"/>
          <w:b/>
          <w:sz w:val="36"/>
          <w:szCs w:val="36"/>
        </w:rPr>
      </w:pPr>
    </w:p>
    <w:p w14:paraId="43CA80A1">
      <w:pPr>
        <w:spacing w:line="460" w:lineRule="exact"/>
        <w:jc w:val="center"/>
        <w:rPr>
          <w:rFonts w:ascii="Times New Roman" w:hAnsi="Times New Roman" w:cs="Times New Roman"/>
          <w:b/>
          <w:sz w:val="36"/>
          <w:szCs w:val="36"/>
        </w:rPr>
      </w:pPr>
      <w:r>
        <w:rPr>
          <w:rFonts w:ascii="Times New Roman" w:hAnsi="Times New Roman" w:cs="Times New Roman"/>
          <w:b/>
          <w:sz w:val="36"/>
          <w:szCs w:val="36"/>
        </w:rPr>
        <w:t>日期：    年    月    日</w:t>
      </w:r>
    </w:p>
    <w:p w14:paraId="3510EC9C">
      <w:pPr>
        <w:spacing w:line="460" w:lineRule="exact"/>
        <w:ind w:left="240" w:leftChars="100" w:firstLine="4003" w:firstLineChars="1246"/>
        <w:rPr>
          <w:rFonts w:ascii="Times New Roman" w:hAnsi="Times New Roman" w:cs="Times New Roman"/>
          <w:b/>
          <w:sz w:val="32"/>
          <w:szCs w:val="32"/>
        </w:rPr>
      </w:pPr>
    </w:p>
    <w:p w14:paraId="690F79B7">
      <w:pPr>
        <w:spacing w:line="460" w:lineRule="exact"/>
        <w:ind w:left="240" w:leftChars="100" w:firstLine="4003" w:firstLineChars="1246"/>
        <w:rPr>
          <w:rFonts w:ascii="Times New Roman" w:hAnsi="Times New Roman" w:cs="Times New Roman"/>
          <w:b/>
          <w:sz w:val="32"/>
          <w:szCs w:val="32"/>
        </w:rPr>
      </w:pPr>
    </w:p>
    <w:p w14:paraId="6123C53E">
      <w:r>
        <w:br w:type="page"/>
      </w:r>
    </w:p>
    <w:p w14:paraId="535D6469">
      <w:pPr>
        <w:spacing w:line="460" w:lineRule="exact"/>
        <w:rPr>
          <w:rFonts w:ascii="Times New Roman" w:hAnsi="Times New Roman" w:cs="Times New Roman"/>
          <w:b/>
          <w:sz w:val="32"/>
          <w:szCs w:val="32"/>
        </w:rPr>
      </w:pPr>
    </w:p>
    <w:p w14:paraId="29F12C1A">
      <w:pPr>
        <w:spacing w:line="460" w:lineRule="exact"/>
        <w:ind w:left="240" w:leftChars="100" w:firstLine="4003" w:firstLineChars="1246"/>
        <w:rPr>
          <w:rFonts w:ascii="Times New Roman" w:hAnsi="Times New Roman" w:cs="Times New Roman"/>
          <w:b/>
          <w:sz w:val="32"/>
          <w:szCs w:val="32"/>
        </w:rPr>
      </w:pPr>
      <w:r>
        <w:rPr>
          <w:rFonts w:hint="eastAsia" w:ascii="Times New Roman" w:hAnsi="Times New Roman" w:cs="Times New Roman"/>
          <w:b/>
          <w:sz w:val="32"/>
          <w:szCs w:val="32"/>
        </w:rPr>
        <w:t>目录</w:t>
      </w:r>
    </w:p>
    <w:p w14:paraId="7CB8D6F4">
      <w:pPr>
        <w:spacing w:line="460" w:lineRule="exact"/>
        <w:ind w:left="240" w:leftChars="100"/>
        <w:rPr>
          <w:rFonts w:ascii="Times New Roman" w:hAnsi="Times New Roman" w:cs="Times New Roman"/>
        </w:rPr>
      </w:pPr>
    </w:p>
    <w:p w14:paraId="308409D0">
      <w:pPr>
        <w:spacing w:line="460" w:lineRule="exact"/>
        <w:ind w:firstLine="564"/>
        <w:rPr>
          <w:rFonts w:ascii="Times New Roman" w:hAnsi="Times New Roman" w:cs="Times New Roman"/>
          <w:sz w:val="28"/>
          <w:szCs w:val="28"/>
        </w:rPr>
      </w:pPr>
      <w:r>
        <w:rPr>
          <w:rFonts w:hint="eastAsia" w:ascii="Times New Roman" w:hAnsi="Times New Roman" w:cs="Times New Roman"/>
          <w:sz w:val="28"/>
          <w:szCs w:val="28"/>
        </w:rPr>
        <w:t>1、投标函</w:t>
      </w:r>
    </w:p>
    <w:p w14:paraId="2A043FCC">
      <w:pPr>
        <w:spacing w:line="460" w:lineRule="exact"/>
        <w:ind w:firstLine="564"/>
        <w:rPr>
          <w:rFonts w:ascii="Times New Roman" w:hAnsi="Times New Roman" w:cs="Times New Roman"/>
          <w:sz w:val="28"/>
          <w:szCs w:val="28"/>
        </w:rPr>
      </w:pPr>
      <w:r>
        <w:rPr>
          <w:rFonts w:hint="eastAsia" w:ascii="Times New Roman" w:hAnsi="Times New Roman" w:cs="Times New Roman"/>
          <w:sz w:val="28"/>
          <w:szCs w:val="28"/>
        </w:rPr>
        <w:t>2、开标一览表</w:t>
      </w:r>
    </w:p>
    <w:p w14:paraId="0F0E81BE">
      <w:pPr>
        <w:spacing w:line="460" w:lineRule="exact"/>
        <w:ind w:firstLine="564"/>
        <w:rPr>
          <w:rFonts w:ascii="Times New Roman" w:hAnsi="Times New Roman" w:cs="Times New Roman"/>
          <w:sz w:val="28"/>
          <w:szCs w:val="28"/>
        </w:rPr>
      </w:pPr>
      <w:r>
        <w:rPr>
          <w:rFonts w:hint="eastAsia" w:ascii="Times New Roman" w:hAnsi="Times New Roman" w:cs="Times New Roman"/>
          <w:sz w:val="28"/>
          <w:szCs w:val="28"/>
        </w:rPr>
        <w:t>3、法定代表人身份证明书</w:t>
      </w:r>
    </w:p>
    <w:p w14:paraId="65FB38D6">
      <w:pPr>
        <w:spacing w:line="460" w:lineRule="exact"/>
        <w:ind w:firstLine="564"/>
        <w:rPr>
          <w:rFonts w:ascii="Times New Roman" w:hAnsi="Times New Roman" w:cs="Times New Roman"/>
          <w:sz w:val="28"/>
          <w:szCs w:val="28"/>
        </w:rPr>
      </w:pPr>
      <w:r>
        <w:rPr>
          <w:rFonts w:hint="eastAsia" w:ascii="Times New Roman" w:hAnsi="Times New Roman" w:cs="Times New Roman"/>
          <w:sz w:val="28"/>
          <w:szCs w:val="28"/>
        </w:rPr>
        <w:t>4、法定代表人授权委托书</w:t>
      </w:r>
    </w:p>
    <w:p w14:paraId="502DB9D8">
      <w:pPr>
        <w:spacing w:line="460" w:lineRule="exact"/>
        <w:ind w:firstLine="564"/>
        <w:rPr>
          <w:rFonts w:ascii="Times New Roman" w:hAnsi="Times New Roman" w:cs="Times New Roman"/>
          <w:sz w:val="28"/>
          <w:szCs w:val="28"/>
        </w:rPr>
      </w:pPr>
      <w:r>
        <w:rPr>
          <w:rFonts w:hint="eastAsia" w:ascii="Times New Roman" w:hAnsi="Times New Roman" w:cs="Times New Roman"/>
          <w:sz w:val="28"/>
          <w:szCs w:val="28"/>
        </w:rPr>
        <w:t>5、投标人资格证明文件</w:t>
      </w:r>
    </w:p>
    <w:p w14:paraId="68E88D2A">
      <w:pPr>
        <w:spacing w:line="460" w:lineRule="exact"/>
        <w:ind w:firstLine="564"/>
        <w:rPr>
          <w:rFonts w:ascii="Times New Roman" w:hAnsi="Times New Roman" w:cs="Times New Roman"/>
          <w:sz w:val="28"/>
          <w:szCs w:val="28"/>
        </w:rPr>
      </w:pPr>
      <w:r>
        <w:rPr>
          <w:rFonts w:hint="eastAsia" w:ascii="Times New Roman" w:hAnsi="Times New Roman" w:cs="Times New Roman"/>
          <w:sz w:val="28"/>
          <w:szCs w:val="28"/>
        </w:rPr>
        <w:t>6、投标保证金交存凭证</w:t>
      </w:r>
    </w:p>
    <w:p w14:paraId="211E7A45">
      <w:pPr>
        <w:spacing w:line="460" w:lineRule="exact"/>
        <w:ind w:firstLine="564"/>
        <w:rPr>
          <w:rFonts w:ascii="Times New Roman" w:hAnsi="Times New Roman" w:cs="Times New Roman"/>
          <w:sz w:val="28"/>
          <w:szCs w:val="28"/>
        </w:rPr>
      </w:pPr>
      <w:r>
        <w:rPr>
          <w:rFonts w:hint="eastAsia" w:ascii="Times New Roman" w:hAnsi="Times New Roman" w:cs="Times New Roman"/>
          <w:sz w:val="28"/>
          <w:szCs w:val="28"/>
        </w:rPr>
        <w:t>7、已标价工程量清单</w:t>
      </w:r>
    </w:p>
    <w:p w14:paraId="32C6705E">
      <w:pPr>
        <w:spacing w:line="460" w:lineRule="exact"/>
        <w:ind w:firstLine="564"/>
        <w:rPr>
          <w:rFonts w:ascii="Times New Roman" w:hAnsi="Times New Roman" w:cs="Times New Roman"/>
          <w:sz w:val="28"/>
          <w:szCs w:val="28"/>
        </w:rPr>
      </w:pPr>
      <w:r>
        <w:rPr>
          <w:rFonts w:hint="eastAsia" w:ascii="Times New Roman" w:hAnsi="Times New Roman" w:cs="Times New Roman"/>
          <w:sz w:val="28"/>
          <w:szCs w:val="28"/>
        </w:rPr>
        <w:t>8、评标响应资料</w:t>
      </w:r>
    </w:p>
    <w:p w14:paraId="697829E9">
      <w:pPr>
        <w:spacing w:line="460" w:lineRule="exact"/>
        <w:ind w:firstLine="564"/>
        <w:rPr>
          <w:rFonts w:ascii="Times New Roman" w:hAnsi="Times New Roman" w:cs="Times New Roman"/>
          <w:sz w:val="28"/>
          <w:szCs w:val="28"/>
        </w:rPr>
      </w:pPr>
      <w:r>
        <w:rPr>
          <w:rFonts w:hint="eastAsia" w:ascii="Times New Roman" w:hAnsi="Times New Roman" w:cs="Times New Roman"/>
          <w:sz w:val="28"/>
          <w:szCs w:val="28"/>
        </w:rPr>
        <w:t>9、投标人认为需要提供的其他材料（格式自拟）</w:t>
      </w:r>
    </w:p>
    <w:p w14:paraId="3D802288">
      <w:pPr>
        <w:spacing w:line="460" w:lineRule="exact"/>
        <w:ind w:firstLine="564"/>
        <w:rPr>
          <w:rFonts w:ascii="Times New Roman" w:hAnsi="Times New Roman" w:cs="Times New Roman"/>
          <w:sz w:val="28"/>
          <w:szCs w:val="28"/>
        </w:rPr>
      </w:pPr>
    </w:p>
    <w:p w14:paraId="036F6750">
      <w:pPr>
        <w:spacing w:line="460" w:lineRule="exact"/>
        <w:ind w:firstLine="564"/>
        <w:rPr>
          <w:rFonts w:ascii="Times New Roman" w:hAnsi="Times New Roman" w:cs="Times New Roman"/>
          <w:sz w:val="28"/>
          <w:szCs w:val="28"/>
        </w:rPr>
      </w:pPr>
    </w:p>
    <w:p w14:paraId="05D8FB94">
      <w:pPr>
        <w:spacing w:line="460" w:lineRule="exact"/>
        <w:ind w:firstLine="564"/>
        <w:rPr>
          <w:rFonts w:ascii="Times New Roman" w:hAnsi="Times New Roman" w:cs="Times New Roman"/>
          <w:sz w:val="28"/>
          <w:szCs w:val="28"/>
        </w:rPr>
      </w:pPr>
    </w:p>
    <w:p w14:paraId="4CBC0AC4">
      <w:pPr>
        <w:spacing w:line="460" w:lineRule="exact"/>
        <w:ind w:firstLine="564"/>
        <w:rPr>
          <w:rFonts w:ascii="Times New Roman" w:hAnsi="Times New Roman" w:cs="Times New Roman"/>
          <w:sz w:val="28"/>
          <w:szCs w:val="28"/>
        </w:rPr>
      </w:pPr>
    </w:p>
    <w:p w14:paraId="706E5ABF">
      <w:pPr>
        <w:spacing w:line="460" w:lineRule="exact"/>
        <w:ind w:firstLine="564"/>
        <w:rPr>
          <w:rFonts w:ascii="Times New Roman" w:hAnsi="Times New Roman" w:cs="Times New Roman"/>
          <w:sz w:val="28"/>
          <w:szCs w:val="28"/>
        </w:rPr>
      </w:pPr>
    </w:p>
    <w:p w14:paraId="208884A2">
      <w:pPr>
        <w:spacing w:line="460" w:lineRule="exact"/>
        <w:ind w:firstLine="564"/>
        <w:rPr>
          <w:rFonts w:ascii="Times New Roman" w:hAnsi="Times New Roman" w:cs="Times New Roman"/>
          <w:sz w:val="28"/>
          <w:szCs w:val="28"/>
        </w:rPr>
      </w:pPr>
    </w:p>
    <w:p w14:paraId="5E24A902">
      <w:pPr>
        <w:spacing w:line="460" w:lineRule="exact"/>
        <w:ind w:firstLine="564"/>
        <w:rPr>
          <w:rFonts w:ascii="Times New Roman" w:hAnsi="Times New Roman" w:cs="Times New Roman"/>
          <w:sz w:val="28"/>
          <w:szCs w:val="28"/>
        </w:rPr>
      </w:pPr>
    </w:p>
    <w:p w14:paraId="1A016A9F">
      <w:pPr>
        <w:spacing w:line="460" w:lineRule="exact"/>
        <w:ind w:firstLine="564"/>
        <w:rPr>
          <w:rFonts w:ascii="Times New Roman" w:hAnsi="Times New Roman" w:cs="Times New Roman"/>
          <w:sz w:val="28"/>
          <w:szCs w:val="28"/>
        </w:rPr>
      </w:pPr>
    </w:p>
    <w:p w14:paraId="23A4AAE5">
      <w:pPr>
        <w:spacing w:line="460" w:lineRule="exact"/>
        <w:ind w:firstLine="564"/>
        <w:rPr>
          <w:rFonts w:ascii="Times New Roman" w:hAnsi="Times New Roman" w:cs="Times New Roman"/>
          <w:sz w:val="28"/>
          <w:szCs w:val="28"/>
        </w:rPr>
      </w:pPr>
    </w:p>
    <w:p w14:paraId="13F35F7A">
      <w:pPr>
        <w:spacing w:line="460" w:lineRule="exact"/>
        <w:ind w:firstLine="564"/>
        <w:rPr>
          <w:rFonts w:ascii="Times New Roman" w:hAnsi="Times New Roman" w:cs="Times New Roman"/>
          <w:sz w:val="28"/>
          <w:szCs w:val="28"/>
        </w:rPr>
      </w:pPr>
    </w:p>
    <w:p w14:paraId="2B3F4BBA">
      <w:pPr>
        <w:spacing w:line="460" w:lineRule="exact"/>
        <w:ind w:firstLine="564"/>
        <w:rPr>
          <w:rFonts w:ascii="Times New Roman" w:hAnsi="Times New Roman" w:cs="Times New Roman"/>
          <w:sz w:val="28"/>
          <w:szCs w:val="28"/>
        </w:rPr>
      </w:pPr>
    </w:p>
    <w:p w14:paraId="0240EFDB">
      <w:pPr>
        <w:spacing w:line="460" w:lineRule="exact"/>
        <w:ind w:firstLine="564"/>
        <w:rPr>
          <w:rFonts w:ascii="Times New Roman" w:hAnsi="Times New Roman" w:cs="Times New Roman"/>
          <w:sz w:val="28"/>
          <w:szCs w:val="28"/>
        </w:rPr>
      </w:pPr>
    </w:p>
    <w:p w14:paraId="11FDA15B">
      <w:pPr>
        <w:spacing w:line="460" w:lineRule="exact"/>
        <w:ind w:firstLine="564"/>
        <w:rPr>
          <w:rFonts w:ascii="Times New Roman" w:hAnsi="Times New Roman" w:cs="Times New Roman"/>
          <w:sz w:val="28"/>
          <w:szCs w:val="28"/>
        </w:rPr>
      </w:pPr>
    </w:p>
    <w:p w14:paraId="49D424F1">
      <w:pPr>
        <w:spacing w:line="460" w:lineRule="exact"/>
        <w:ind w:firstLine="564"/>
        <w:rPr>
          <w:rFonts w:ascii="Times New Roman" w:hAnsi="Times New Roman" w:cs="Times New Roman"/>
          <w:sz w:val="28"/>
          <w:szCs w:val="28"/>
        </w:rPr>
      </w:pPr>
    </w:p>
    <w:p w14:paraId="64472555">
      <w:pPr>
        <w:spacing w:line="460" w:lineRule="exact"/>
        <w:ind w:firstLine="564"/>
        <w:rPr>
          <w:rFonts w:ascii="Times New Roman" w:hAnsi="Times New Roman" w:cs="Times New Roman"/>
          <w:sz w:val="28"/>
          <w:szCs w:val="28"/>
        </w:rPr>
      </w:pPr>
    </w:p>
    <w:p w14:paraId="3B625047">
      <w:pPr>
        <w:spacing w:line="460" w:lineRule="exact"/>
        <w:ind w:firstLine="564"/>
        <w:rPr>
          <w:rFonts w:ascii="Times New Roman" w:hAnsi="Times New Roman" w:cs="Times New Roman"/>
          <w:sz w:val="28"/>
          <w:szCs w:val="28"/>
        </w:rPr>
      </w:pPr>
    </w:p>
    <w:p w14:paraId="6C17553E">
      <w:pPr>
        <w:rPr>
          <w:rFonts w:ascii="Times New Roman" w:hAnsi="Times New Roman" w:cs="Times New Roman"/>
          <w:b/>
          <w:bCs/>
          <w:sz w:val="44"/>
          <w:szCs w:val="44"/>
        </w:rPr>
      </w:pPr>
      <w:r>
        <w:rPr>
          <w:rFonts w:ascii="Times New Roman" w:hAnsi="Times New Roman" w:cs="Times New Roman"/>
          <w:b/>
          <w:bCs/>
          <w:sz w:val="44"/>
          <w:szCs w:val="44"/>
        </w:rPr>
        <w:br w:type="page"/>
      </w:r>
    </w:p>
    <w:p w14:paraId="1DE5D10D">
      <w:pPr>
        <w:pStyle w:val="6"/>
        <w:jc w:val="center"/>
        <w:rPr>
          <w:rFonts w:hint="eastAsia" w:ascii="宋体" w:hAnsi="宋体" w:eastAsia="宋体" w:cs="宋体"/>
        </w:rPr>
      </w:pPr>
      <w:r>
        <w:rPr>
          <w:rFonts w:hint="eastAsia" w:ascii="宋体" w:hAnsi="宋体" w:eastAsia="宋体" w:cs="宋体"/>
        </w:rPr>
        <w:t>一、投标函</w:t>
      </w:r>
    </w:p>
    <w:p w14:paraId="4132F5AD">
      <w:pPr>
        <w:spacing w:line="360" w:lineRule="auto"/>
        <w:jc w:val="both"/>
        <w:rPr>
          <w:rFonts w:hint="eastAsia" w:ascii="宋体" w:hAnsi="宋体" w:eastAsia="宋体" w:cs="宋体"/>
          <w:sz w:val="21"/>
          <w:szCs w:val="21"/>
          <w:u w:val="single"/>
        </w:rPr>
      </w:pPr>
      <w:bookmarkStart w:id="1097" w:name="_Hlk198890654"/>
      <w:r>
        <w:rPr>
          <w:rFonts w:hint="eastAsia" w:ascii="宋体" w:hAnsi="宋体" w:eastAsia="宋体" w:cs="宋体"/>
          <w:sz w:val="21"/>
          <w:szCs w:val="21"/>
        </w:rPr>
        <w:t>致：</w:t>
      </w:r>
      <w:r>
        <w:rPr>
          <w:rFonts w:hint="eastAsia" w:ascii="宋体" w:hAnsi="宋体" w:eastAsia="宋体" w:cs="宋体"/>
          <w:sz w:val="21"/>
          <w:szCs w:val="21"/>
          <w:u w:val="single"/>
        </w:rPr>
        <w:t xml:space="preserve">     （招标人名称）</w:t>
      </w:r>
    </w:p>
    <w:bookmarkEnd w:id="1097"/>
    <w:p w14:paraId="5B07B806">
      <w:pPr>
        <w:spacing w:line="360" w:lineRule="auto"/>
        <w:ind w:firstLine="420" w:firstLineChars="200"/>
        <w:jc w:val="both"/>
        <w:rPr>
          <w:rFonts w:hint="default" w:ascii="宋体" w:hAnsi="宋体" w:eastAsia="宋体" w:cs="宋体"/>
          <w:sz w:val="21"/>
          <w:szCs w:val="21"/>
          <w:lang w:val="en-US" w:eastAsia="zh-CN"/>
        </w:rPr>
      </w:pPr>
      <w:r>
        <w:rPr>
          <w:rFonts w:hint="eastAsia" w:ascii="宋体" w:hAnsi="宋体" w:eastAsia="宋体" w:cs="宋体"/>
          <w:sz w:val="21"/>
          <w:szCs w:val="21"/>
        </w:rPr>
        <w:t>1、根据你方招标工程标段编号为</w:t>
      </w:r>
      <w:r>
        <w:rPr>
          <w:rFonts w:hint="eastAsia" w:ascii="宋体" w:hAnsi="宋体" w:eastAsia="宋体" w:cs="宋体"/>
          <w:sz w:val="21"/>
          <w:szCs w:val="21"/>
          <w:u w:val="single"/>
        </w:rPr>
        <w:t xml:space="preserve">              </w:t>
      </w:r>
      <w:r>
        <w:rPr>
          <w:rFonts w:hint="eastAsia" w:ascii="宋体" w:hAnsi="宋体" w:eastAsia="宋体" w:cs="宋体"/>
          <w:sz w:val="21"/>
          <w:szCs w:val="21"/>
        </w:rPr>
        <w:t>的招标文件，遵照《中华人民共和国招标投标法》等有关规定，经踏勘项目现场和研究上述招标文件的投标须知、合同条款、图纸、工程量清单及其他有关文件后，我方愿以人民币</w:t>
      </w:r>
      <w:r>
        <w:rPr>
          <w:rFonts w:hint="eastAsia" w:ascii="宋体" w:hAnsi="宋体" w:eastAsia="宋体" w:cs="宋体"/>
          <w:sz w:val="21"/>
          <w:szCs w:val="21"/>
          <w:u w:val="single"/>
        </w:rPr>
        <w:t>（大写金额、单位）（小写）</w:t>
      </w:r>
      <w:r>
        <w:rPr>
          <w:rFonts w:hint="eastAsia" w:ascii="宋体" w:hAnsi="宋体" w:eastAsia="宋体" w:cs="宋体"/>
          <w:sz w:val="21"/>
          <w:szCs w:val="21"/>
        </w:rPr>
        <w:t>投标总价、人民币</w:t>
      </w:r>
      <w:r>
        <w:rPr>
          <w:rFonts w:hint="eastAsia" w:ascii="宋体" w:hAnsi="宋体" w:eastAsia="宋体" w:cs="宋体"/>
          <w:sz w:val="21"/>
          <w:szCs w:val="21"/>
          <w:u w:val="single"/>
        </w:rPr>
        <w:t>（大写金额、单位）（小写）</w:t>
      </w:r>
      <w:r>
        <w:rPr>
          <w:rFonts w:hint="eastAsia" w:ascii="宋体" w:hAnsi="宋体" w:eastAsia="宋体" w:cs="宋体"/>
          <w:sz w:val="21"/>
          <w:szCs w:val="21"/>
        </w:rPr>
        <w:t>措施费、人民币</w:t>
      </w:r>
      <w:r>
        <w:rPr>
          <w:rFonts w:hint="eastAsia" w:ascii="宋体" w:hAnsi="宋体" w:eastAsia="宋体" w:cs="宋体"/>
          <w:sz w:val="21"/>
          <w:szCs w:val="21"/>
          <w:u w:val="single"/>
        </w:rPr>
        <w:t>（大写金额、单位）（小写）</w:t>
      </w:r>
      <w:r>
        <w:rPr>
          <w:rFonts w:hint="eastAsia" w:ascii="宋体" w:hAnsi="宋体" w:eastAsia="宋体" w:cs="宋体"/>
          <w:sz w:val="21"/>
          <w:szCs w:val="21"/>
        </w:rPr>
        <w:t>安全文明施工措施费，并按上述图纸、合同条款、工程量清单的条件要求承包上述工程的施工、竣工，并承担任何质量缺陷保修责任</w:t>
      </w:r>
      <w:r>
        <w:rPr>
          <w:rFonts w:hint="eastAsia" w:cs="宋体"/>
          <w:sz w:val="21"/>
          <w:szCs w:val="21"/>
          <w:lang w:eastAsia="zh-CN"/>
        </w:rPr>
        <w:t>，</w:t>
      </w:r>
      <w:r>
        <w:rPr>
          <w:rFonts w:hint="eastAsia" w:cs="宋体"/>
          <w:sz w:val="21"/>
          <w:szCs w:val="21"/>
          <w:lang w:val="en-US" w:eastAsia="zh-CN"/>
        </w:rPr>
        <w:t>缺陷责任期：</w:t>
      </w:r>
      <w:r>
        <w:rPr>
          <w:rFonts w:hint="eastAsia" w:cs="宋体"/>
          <w:sz w:val="21"/>
          <w:szCs w:val="21"/>
          <w:u w:val="single"/>
          <w:lang w:val="en-US" w:eastAsia="zh-CN"/>
        </w:rPr>
        <w:t xml:space="preserve">       </w:t>
      </w:r>
      <w:r>
        <w:rPr>
          <w:rFonts w:hint="eastAsia" w:cs="宋体"/>
          <w:sz w:val="21"/>
          <w:szCs w:val="21"/>
          <w:u w:val="none"/>
          <w:lang w:val="en-US" w:eastAsia="zh-CN"/>
        </w:rPr>
        <w:t>年。</w:t>
      </w:r>
    </w:p>
    <w:p w14:paraId="522BB7A3">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2、我方已详细审核全部招标文件，包括修改文件（如有时）及有关附件。</w:t>
      </w:r>
    </w:p>
    <w:p w14:paraId="7230D2E9">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3、如果我方中标，我方保证按设计要求和规范规定施工，并达到</w:t>
      </w:r>
      <w:r>
        <w:rPr>
          <w:rFonts w:hint="eastAsia" w:ascii="宋体" w:hAnsi="宋体" w:eastAsia="宋体" w:cs="宋体"/>
          <w:sz w:val="21"/>
          <w:szCs w:val="21"/>
          <w:u w:val="single"/>
        </w:rPr>
        <w:t xml:space="preserve">    </w:t>
      </w:r>
      <w:r>
        <w:rPr>
          <w:rFonts w:hint="eastAsia" w:ascii="宋体" w:hAnsi="宋体" w:eastAsia="宋体" w:cs="宋体"/>
          <w:sz w:val="21"/>
          <w:szCs w:val="21"/>
        </w:rPr>
        <w:t>质量标准。</w:t>
      </w:r>
    </w:p>
    <w:p w14:paraId="561827A9">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4、一旦我方中标，我方保证按投标工期</w:t>
      </w:r>
      <w:r>
        <w:rPr>
          <w:rFonts w:hint="eastAsia" w:ascii="宋体" w:hAnsi="宋体" w:eastAsia="宋体" w:cs="宋体"/>
          <w:sz w:val="21"/>
          <w:szCs w:val="21"/>
          <w:u w:val="single"/>
        </w:rPr>
        <w:t xml:space="preserve">     </w:t>
      </w:r>
      <w:r>
        <w:rPr>
          <w:rFonts w:hint="eastAsia" w:ascii="宋体" w:hAnsi="宋体" w:eastAsia="宋体" w:cs="宋体"/>
          <w:sz w:val="21"/>
          <w:szCs w:val="21"/>
        </w:rPr>
        <w:t>日历日内完成并移交全部工程。</w:t>
      </w:r>
    </w:p>
    <w:p w14:paraId="77B65156">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5、如果我方中标，我方将按照招标文件规定的数额缴纳履约保证金。</w:t>
      </w:r>
    </w:p>
    <w:p w14:paraId="285B535E">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6、如果我方中标，我方保证本工程施工期间不拖欠劳务工工资。</w:t>
      </w:r>
    </w:p>
    <w:p w14:paraId="529A1231">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7、我方同意所提交的投标文件在招标文件规定的投标有效期内有效，在此期间如果中标，我方将受此约束。</w:t>
      </w:r>
    </w:p>
    <w:p w14:paraId="7BB8C1DB">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8、除非另外达成协议并生效，你方的中标通知书和本投标文件将成为约束双方的合同文件的组成部分。</w:t>
      </w:r>
    </w:p>
    <w:p w14:paraId="79F1E983">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9、我方委派</w:t>
      </w:r>
      <w:r>
        <w:rPr>
          <w:rFonts w:hint="eastAsia" w:ascii="宋体" w:hAnsi="宋体" w:eastAsia="宋体" w:cs="宋体"/>
          <w:sz w:val="21"/>
          <w:szCs w:val="21"/>
          <w:u w:val="single"/>
        </w:rPr>
        <w:t xml:space="preserve">        </w:t>
      </w:r>
      <w:r>
        <w:rPr>
          <w:rFonts w:hint="eastAsia" w:ascii="宋体" w:hAnsi="宋体" w:eastAsia="宋体" w:cs="宋体"/>
          <w:sz w:val="21"/>
          <w:szCs w:val="21"/>
        </w:rPr>
        <w:t>为本工程项目经理。</w:t>
      </w:r>
    </w:p>
    <w:p w14:paraId="7D4DE693">
      <w:pPr>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10、我方承诺本工程项目经理在其他省、市均无在建工程，若核实项目经理有在建工程，我方将放弃中标资格并承担一切法律责任。</w:t>
      </w:r>
    </w:p>
    <w:p w14:paraId="309398FA">
      <w:pPr>
        <w:spacing w:line="360" w:lineRule="auto"/>
        <w:ind w:firstLine="420" w:firstLineChars="200"/>
        <w:jc w:val="both"/>
        <w:rPr>
          <w:rFonts w:hint="eastAsia" w:ascii="宋体" w:hAnsi="宋体" w:eastAsia="宋体" w:cs="宋体"/>
          <w:sz w:val="21"/>
          <w:szCs w:val="21"/>
        </w:rPr>
      </w:pPr>
    </w:p>
    <w:p w14:paraId="2960872A">
      <w:pPr>
        <w:spacing w:line="360" w:lineRule="auto"/>
        <w:ind w:left="4320" w:leftChars="1800" w:firstLine="420" w:firstLineChars="200"/>
        <w:jc w:val="both"/>
        <w:rPr>
          <w:rFonts w:hint="eastAsia" w:ascii="宋体" w:hAnsi="宋体" w:eastAsia="宋体" w:cs="宋体"/>
          <w:sz w:val="21"/>
          <w:szCs w:val="21"/>
        </w:rPr>
      </w:pPr>
      <w:r>
        <w:rPr>
          <w:rFonts w:hint="eastAsia" w:ascii="宋体" w:hAnsi="宋体" w:eastAsia="宋体" w:cs="宋体"/>
          <w:sz w:val="21"/>
          <w:szCs w:val="21"/>
        </w:rPr>
        <w:t>投标人：</w:t>
      </w:r>
      <w:r>
        <w:rPr>
          <w:rFonts w:hint="eastAsia" w:ascii="宋体" w:hAnsi="宋体" w:eastAsia="宋体" w:cs="宋体"/>
          <w:sz w:val="21"/>
          <w:szCs w:val="21"/>
          <w:u w:val="single"/>
        </w:rPr>
        <w:t xml:space="preserve">                        （</w:t>
      </w:r>
      <w:r>
        <w:rPr>
          <w:rFonts w:hint="eastAsia" w:ascii="宋体" w:hAnsi="宋体" w:eastAsia="宋体" w:cs="宋体"/>
          <w:sz w:val="21"/>
          <w:szCs w:val="21"/>
        </w:rPr>
        <w:t>盖公章）</w:t>
      </w:r>
    </w:p>
    <w:p w14:paraId="772E0FA6">
      <w:pPr>
        <w:spacing w:line="360" w:lineRule="auto"/>
        <w:ind w:left="4320" w:leftChars="1800" w:firstLine="420" w:firstLineChars="200"/>
        <w:jc w:val="both"/>
        <w:rPr>
          <w:rFonts w:hint="eastAsia" w:ascii="宋体" w:hAnsi="宋体" w:eastAsia="宋体" w:cs="宋体"/>
          <w:sz w:val="21"/>
          <w:szCs w:val="21"/>
        </w:rPr>
      </w:pPr>
      <w:r>
        <w:rPr>
          <w:rFonts w:hint="eastAsia" w:ascii="宋体" w:hAnsi="宋体" w:eastAsia="宋体" w:cs="宋体"/>
          <w:sz w:val="21"/>
          <w:szCs w:val="21"/>
        </w:rPr>
        <w:t>法定代表人或委托代理人：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3D1B58C1">
      <w:pPr>
        <w:spacing w:line="360" w:lineRule="auto"/>
        <w:ind w:left="4320" w:leftChars="1800" w:firstLine="420" w:firstLineChars="200"/>
        <w:jc w:val="both"/>
        <w:rPr>
          <w:rFonts w:hint="eastAsia" w:ascii="宋体" w:hAnsi="宋体" w:eastAsia="宋体" w:cs="宋体"/>
          <w:sz w:val="21"/>
          <w:szCs w:val="21"/>
        </w:rPr>
      </w:pPr>
      <w:r>
        <w:rPr>
          <w:rFonts w:hint="eastAsia" w:ascii="宋体" w:hAnsi="宋体" w:eastAsia="宋体" w:cs="宋体"/>
          <w:sz w:val="21"/>
          <w:szCs w:val="21"/>
        </w:rPr>
        <w:t>电话：</w:t>
      </w:r>
    </w:p>
    <w:p w14:paraId="5D28AAEB">
      <w:pPr>
        <w:spacing w:line="360" w:lineRule="auto"/>
        <w:ind w:left="4320" w:leftChars="1800" w:firstLine="420" w:firstLineChars="200"/>
        <w:jc w:val="both"/>
        <w:rPr>
          <w:rFonts w:hint="eastAsia" w:ascii="宋体" w:hAnsi="宋体" w:eastAsia="宋体" w:cs="宋体"/>
          <w:sz w:val="21"/>
          <w:szCs w:val="21"/>
        </w:rPr>
      </w:pPr>
      <w:r>
        <w:rPr>
          <w:rFonts w:hint="eastAsia" w:ascii="宋体" w:hAnsi="宋体" w:eastAsia="宋体" w:cs="宋体"/>
          <w:sz w:val="21"/>
          <w:szCs w:val="21"/>
        </w:rPr>
        <w:t>传真：</w:t>
      </w:r>
    </w:p>
    <w:p w14:paraId="7C31EC28">
      <w:pPr>
        <w:spacing w:line="360" w:lineRule="auto"/>
        <w:ind w:left="4320" w:leftChars="1800" w:firstLine="420" w:firstLineChars="200"/>
        <w:jc w:val="both"/>
        <w:rPr>
          <w:rFonts w:hint="eastAsia" w:ascii="宋体" w:hAnsi="宋体" w:eastAsia="宋体" w:cs="宋体"/>
          <w:sz w:val="21"/>
          <w:szCs w:val="21"/>
        </w:rPr>
      </w:pPr>
      <w:r>
        <w:rPr>
          <w:rFonts w:hint="eastAsia" w:ascii="宋体" w:hAnsi="宋体" w:eastAsia="宋体" w:cs="宋体"/>
          <w:sz w:val="21"/>
          <w:szCs w:val="21"/>
        </w:rPr>
        <w:t>日期：</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月 </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3E4D0BE0">
      <w:pPr>
        <w:spacing w:line="460" w:lineRule="exact"/>
        <w:rPr>
          <w:rFonts w:ascii="Times New Roman" w:hAnsi="Times New Roman" w:cs="Times New Roman"/>
          <w:sz w:val="21"/>
          <w:szCs w:val="21"/>
        </w:rPr>
      </w:pPr>
    </w:p>
    <w:p w14:paraId="154F7BB6">
      <w:pPr>
        <w:rPr>
          <w:rFonts w:ascii="Times New Roman" w:hAnsi="Times New Roman" w:cs="Times New Roman"/>
          <w:b/>
          <w:bCs/>
          <w:sz w:val="21"/>
          <w:szCs w:val="21"/>
        </w:rPr>
      </w:pPr>
      <w:bookmarkStart w:id="1098" w:name="_Toc458437945"/>
      <w:r>
        <w:rPr>
          <w:rFonts w:ascii="Times New Roman" w:hAnsi="Times New Roman" w:cs="Times New Roman"/>
          <w:b/>
          <w:bCs/>
          <w:sz w:val="21"/>
          <w:szCs w:val="21"/>
        </w:rPr>
        <w:br w:type="page"/>
      </w:r>
    </w:p>
    <w:p w14:paraId="6BE02EA1">
      <w:pPr>
        <w:pStyle w:val="6"/>
        <w:jc w:val="center"/>
        <w:rPr>
          <w:rFonts w:hint="eastAsia" w:ascii="宋体" w:hAnsi="宋体" w:eastAsia="宋体" w:cs="宋体"/>
        </w:rPr>
      </w:pPr>
      <w:r>
        <w:rPr>
          <w:rFonts w:hint="eastAsia" w:ascii="宋体" w:hAnsi="宋体" w:eastAsia="宋体" w:cs="宋体"/>
        </w:rPr>
        <w:t>二、开标一览表</w:t>
      </w:r>
    </w:p>
    <w:p w14:paraId="51C76250">
      <w:pPr>
        <w:spacing w:line="480" w:lineRule="exact"/>
        <w:ind w:left="240" w:leftChars="100"/>
        <w:jc w:val="center"/>
        <w:rPr>
          <w:rFonts w:ascii="Times New Roman" w:hAnsi="Times New Roman" w:cs="Times New Roman"/>
          <w:b/>
          <w:bCs/>
          <w:sz w:val="21"/>
          <w:szCs w:val="21"/>
        </w:rPr>
      </w:pP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3"/>
        <w:gridCol w:w="5798"/>
      </w:tblGrid>
      <w:tr w14:paraId="29B5C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1DD5C4C5">
            <w:pPr>
              <w:adjustRightInd w:val="0"/>
              <w:jc w:val="center"/>
              <w:rPr>
                <w:rFonts w:hint="eastAsia"/>
                <w:sz w:val="21"/>
                <w:szCs w:val="21"/>
              </w:rPr>
            </w:pPr>
            <w:r>
              <w:rPr>
                <w:rFonts w:hint="eastAsia"/>
                <w:sz w:val="21"/>
                <w:szCs w:val="21"/>
              </w:rPr>
              <w:t>项目名称</w:t>
            </w:r>
          </w:p>
        </w:tc>
        <w:tc>
          <w:tcPr>
            <w:tcW w:w="5798" w:type="dxa"/>
            <w:tcBorders>
              <w:top w:val="single" w:color="auto" w:sz="4" w:space="0"/>
              <w:left w:val="single" w:color="auto" w:sz="4" w:space="0"/>
              <w:bottom w:val="single" w:color="auto" w:sz="4" w:space="0"/>
              <w:right w:val="single" w:color="auto" w:sz="4" w:space="0"/>
            </w:tcBorders>
            <w:vAlign w:val="center"/>
          </w:tcPr>
          <w:p w14:paraId="453C51C3">
            <w:pPr>
              <w:spacing w:line="360" w:lineRule="auto"/>
              <w:ind w:firstLine="420" w:firstLineChars="200"/>
              <w:rPr>
                <w:rFonts w:hint="eastAsia"/>
                <w:sz w:val="21"/>
                <w:szCs w:val="21"/>
              </w:rPr>
            </w:pPr>
            <w:r>
              <w:rPr>
                <w:rFonts w:hint="eastAsia"/>
                <w:sz w:val="21"/>
                <w:szCs w:val="21"/>
              </w:rPr>
              <w:t>陕西测绘地理信息局测绘综合楼六层修缮改造</w:t>
            </w:r>
          </w:p>
        </w:tc>
      </w:tr>
      <w:tr w14:paraId="68FDE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092C6FD1">
            <w:pPr>
              <w:adjustRightInd w:val="0"/>
              <w:jc w:val="center"/>
              <w:rPr>
                <w:rFonts w:hint="eastAsia"/>
                <w:sz w:val="21"/>
                <w:szCs w:val="21"/>
              </w:rPr>
            </w:pPr>
            <w:r>
              <w:rPr>
                <w:rFonts w:hint="eastAsia"/>
                <w:sz w:val="21"/>
                <w:szCs w:val="21"/>
              </w:rPr>
              <w:t>项目编号</w:t>
            </w:r>
          </w:p>
        </w:tc>
        <w:tc>
          <w:tcPr>
            <w:tcW w:w="5798" w:type="dxa"/>
            <w:tcBorders>
              <w:top w:val="single" w:color="auto" w:sz="4" w:space="0"/>
              <w:left w:val="single" w:color="auto" w:sz="4" w:space="0"/>
              <w:bottom w:val="single" w:color="auto" w:sz="4" w:space="0"/>
              <w:right w:val="single" w:color="auto" w:sz="4" w:space="0"/>
            </w:tcBorders>
            <w:vAlign w:val="center"/>
          </w:tcPr>
          <w:p w14:paraId="777E1F3A">
            <w:pPr>
              <w:spacing w:line="360" w:lineRule="auto"/>
              <w:ind w:firstLine="420" w:firstLineChars="200"/>
              <w:rPr>
                <w:rFonts w:hint="eastAsia"/>
                <w:sz w:val="21"/>
                <w:szCs w:val="21"/>
              </w:rPr>
            </w:pPr>
          </w:p>
        </w:tc>
      </w:tr>
      <w:tr w14:paraId="5616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6CDAC2BC">
            <w:pPr>
              <w:adjustRightInd w:val="0"/>
              <w:jc w:val="center"/>
              <w:rPr>
                <w:rFonts w:hint="eastAsia"/>
                <w:sz w:val="21"/>
                <w:szCs w:val="21"/>
              </w:rPr>
            </w:pPr>
            <w:r>
              <w:rPr>
                <w:rFonts w:hint="eastAsia"/>
                <w:sz w:val="21"/>
                <w:szCs w:val="21"/>
              </w:rPr>
              <w:t>投标总报价</w:t>
            </w:r>
          </w:p>
        </w:tc>
        <w:tc>
          <w:tcPr>
            <w:tcW w:w="5798" w:type="dxa"/>
            <w:tcBorders>
              <w:top w:val="single" w:color="auto" w:sz="4" w:space="0"/>
              <w:left w:val="single" w:color="auto" w:sz="4" w:space="0"/>
              <w:bottom w:val="single" w:color="auto" w:sz="4" w:space="0"/>
              <w:right w:val="single" w:color="auto" w:sz="4" w:space="0"/>
            </w:tcBorders>
            <w:vAlign w:val="center"/>
          </w:tcPr>
          <w:p w14:paraId="795E853E">
            <w:pPr>
              <w:rPr>
                <w:rFonts w:hint="eastAsia"/>
                <w:sz w:val="21"/>
                <w:szCs w:val="21"/>
              </w:rPr>
            </w:pPr>
            <w:r>
              <w:rPr>
                <w:rFonts w:hint="eastAsia"/>
                <w:sz w:val="21"/>
                <w:szCs w:val="21"/>
                <w:lang w:bidi="ar"/>
              </w:rPr>
              <w:t>人民币大写</w:t>
            </w:r>
            <w:r>
              <w:rPr>
                <w:rFonts w:hint="eastAsia"/>
                <w:sz w:val="21"/>
                <w:szCs w:val="21"/>
                <w:u w:val="single"/>
                <w:lang w:bidi="ar"/>
              </w:rPr>
              <w:t xml:space="preserve">             </w:t>
            </w:r>
            <w:r>
              <w:rPr>
                <w:rFonts w:hint="eastAsia"/>
                <w:sz w:val="21"/>
                <w:szCs w:val="21"/>
                <w:lang w:bidi="ar"/>
              </w:rPr>
              <w:t>元（¥</w:t>
            </w:r>
            <w:r>
              <w:rPr>
                <w:rFonts w:hint="eastAsia"/>
                <w:sz w:val="21"/>
                <w:szCs w:val="21"/>
                <w:u w:val="single"/>
                <w:lang w:bidi="ar"/>
              </w:rPr>
              <w:t xml:space="preserve">             </w:t>
            </w:r>
            <w:r>
              <w:rPr>
                <w:rFonts w:hint="eastAsia"/>
                <w:sz w:val="21"/>
                <w:szCs w:val="21"/>
                <w:lang w:bidi="ar"/>
              </w:rPr>
              <w:t xml:space="preserve">元） </w:t>
            </w:r>
          </w:p>
        </w:tc>
      </w:tr>
      <w:tr w14:paraId="2B035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60857163">
            <w:pPr>
              <w:adjustRightInd w:val="0"/>
              <w:jc w:val="center"/>
              <w:rPr>
                <w:rFonts w:hint="eastAsia"/>
                <w:sz w:val="21"/>
                <w:szCs w:val="21"/>
              </w:rPr>
            </w:pPr>
            <w:r>
              <w:rPr>
                <w:rFonts w:hint="eastAsia"/>
                <w:sz w:val="21"/>
                <w:szCs w:val="21"/>
              </w:rPr>
              <w:t>措施项目费</w:t>
            </w:r>
          </w:p>
        </w:tc>
        <w:tc>
          <w:tcPr>
            <w:tcW w:w="5798" w:type="dxa"/>
            <w:tcBorders>
              <w:top w:val="single" w:color="auto" w:sz="4" w:space="0"/>
              <w:left w:val="single" w:color="auto" w:sz="4" w:space="0"/>
              <w:bottom w:val="single" w:color="auto" w:sz="4" w:space="0"/>
              <w:right w:val="single" w:color="auto" w:sz="4" w:space="0"/>
            </w:tcBorders>
            <w:vAlign w:val="center"/>
          </w:tcPr>
          <w:p w14:paraId="16D83531">
            <w:pPr>
              <w:rPr>
                <w:rFonts w:hint="eastAsia"/>
                <w:sz w:val="21"/>
                <w:szCs w:val="21"/>
                <w:lang w:bidi="ar"/>
              </w:rPr>
            </w:pPr>
            <w:r>
              <w:rPr>
                <w:rFonts w:hint="eastAsia"/>
                <w:sz w:val="21"/>
                <w:szCs w:val="21"/>
                <w:lang w:bidi="ar"/>
              </w:rPr>
              <w:t>人民币大写</w:t>
            </w:r>
            <w:r>
              <w:rPr>
                <w:rFonts w:hint="eastAsia"/>
                <w:sz w:val="21"/>
                <w:szCs w:val="21"/>
                <w:u w:val="single"/>
                <w:lang w:bidi="ar"/>
              </w:rPr>
              <w:t xml:space="preserve">             </w:t>
            </w:r>
            <w:r>
              <w:rPr>
                <w:rFonts w:hint="eastAsia"/>
                <w:sz w:val="21"/>
                <w:szCs w:val="21"/>
                <w:lang w:bidi="ar"/>
              </w:rPr>
              <w:t>元（¥</w:t>
            </w:r>
            <w:r>
              <w:rPr>
                <w:rFonts w:hint="eastAsia"/>
                <w:sz w:val="21"/>
                <w:szCs w:val="21"/>
                <w:u w:val="single"/>
                <w:lang w:bidi="ar"/>
              </w:rPr>
              <w:t xml:space="preserve">             </w:t>
            </w:r>
            <w:r>
              <w:rPr>
                <w:rFonts w:hint="eastAsia"/>
                <w:sz w:val="21"/>
                <w:szCs w:val="21"/>
                <w:lang w:bidi="ar"/>
              </w:rPr>
              <w:t xml:space="preserve">元） </w:t>
            </w:r>
          </w:p>
        </w:tc>
      </w:tr>
      <w:tr w14:paraId="2363A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38B59453">
            <w:pPr>
              <w:adjustRightInd w:val="0"/>
              <w:jc w:val="center"/>
              <w:rPr>
                <w:rFonts w:hint="eastAsia"/>
                <w:sz w:val="21"/>
                <w:szCs w:val="21"/>
              </w:rPr>
            </w:pPr>
            <w:r>
              <w:rPr>
                <w:rFonts w:hint="eastAsia"/>
                <w:sz w:val="21"/>
                <w:szCs w:val="21"/>
              </w:rPr>
              <w:t>安全文明施工费</w:t>
            </w:r>
          </w:p>
        </w:tc>
        <w:tc>
          <w:tcPr>
            <w:tcW w:w="5798" w:type="dxa"/>
            <w:tcBorders>
              <w:top w:val="single" w:color="auto" w:sz="4" w:space="0"/>
              <w:left w:val="single" w:color="auto" w:sz="4" w:space="0"/>
              <w:bottom w:val="single" w:color="auto" w:sz="4" w:space="0"/>
              <w:right w:val="single" w:color="auto" w:sz="4" w:space="0"/>
            </w:tcBorders>
            <w:vAlign w:val="center"/>
          </w:tcPr>
          <w:p w14:paraId="0324EF50">
            <w:pPr>
              <w:rPr>
                <w:rFonts w:hint="eastAsia"/>
                <w:sz w:val="21"/>
                <w:szCs w:val="21"/>
                <w:lang w:bidi="ar"/>
              </w:rPr>
            </w:pPr>
            <w:r>
              <w:rPr>
                <w:rFonts w:hint="eastAsia"/>
                <w:sz w:val="21"/>
                <w:szCs w:val="21"/>
                <w:lang w:bidi="ar"/>
              </w:rPr>
              <w:t>人民币大写</w:t>
            </w:r>
            <w:r>
              <w:rPr>
                <w:rFonts w:hint="eastAsia"/>
                <w:sz w:val="21"/>
                <w:szCs w:val="21"/>
                <w:u w:val="single"/>
                <w:lang w:bidi="ar"/>
              </w:rPr>
              <w:t xml:space="preserve">             </w:t>
            </w:r>
            <w:r>
              <w:rPr>
                <w:rFonts w:hint="eastAsia"/>
                <w:sz w:val="21"/>
                <w:szCs w:val="21"/>
                <w:lang w:bidi="ar"/>
              </w:rPr>
              <w:t>元（¥</w:t>
            </w:r>
            <w:r>
              <w:rPr>
                <w:rFonts w:hint="eastAsia"/>
                <w:sz w:val="21"/>
                <w:szCs w:val="21"/>
                <w:u w:val="single"/>
                <w:lang w:bidi="ar"/>
              </w:rPr>
              <w:t xml:space="preserve">             </w:t>
            </w:r>
            <w:r>
              <w:rPr>
                <w:rFonts w:hint="eastAsia"/>
                <w:sz w:val="21"/>
                <w:szCs w:val="21"/>
                <w:lang w:bidi="ar"/>
              </w:rPr>
              <w:t xml:space="preserve">元） </w:t>
            </w:r>
          </w:p>
        </w:tc>
      </w:tr>
      <w:tr w14:paraId="5EE75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6C8201F2">
            <w:pPr>
              <w:adjustRightInd w:val="0"/>
              <w:jc w:val="center"/>
              <w:rPr>
                <w:rFonts w:hint="eastAsia"/>
                <w:sz w:val="21"/>
                <w:szCs w:val="21"/>
              </w:rPr>
            </w:pPr>
            <w:r>
              <w:rPr>
                <w:rFonts w:hint="eastAsia"/>
                <w:sz w:val="21"/>
                <w:szCs w:val="21"/>
              </w:rPr>
              <w:t>工期</w:t>
            </w:r>
          </w:p>
        </w:tc>
        <w:tc>
          <w:tcPr>
            <w:tcW w:w="5798" w:type="dxa"/>
            <w:tcBorders>
              <w:top w:val="single" w:color="auto" w:sz="4" w:space="0"/>
              <w:left w:val="single" w:color="auto" w:sz="4" w:space="0"/>
              <w:bottom w:val="single" w:color="auto" w:sz="4" w:space="0"/>
              <w:right w:val="single" w:color="auto" w:sz="4" w:space="0"/>
            </w:tcBorders>
            <w:vAlign w:val="center"/>
          </w:tcPr>
          <w:p w14:paraId="458E7640">
            <w:pPr>
              <w:rPr>
                <w:rFonts w:hint="eastAsia"/>
                <w:sz w:val="21"/>
                <w:szCs w:val="21"/>
                <w:lang w:bidi="ar"/>
              </w:rPr>
            </w:pPr>
          </w:p>
        </w:tc>
      </w:tr>
      <w:tr w14:paraId="03CD6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4F7EAF2B">
            <w:pPr>
              <w:adjustRightInd w:val="0"/>
              <w:jc w:val="center"/>
              <w:rPr>
                <w:rFonts w:hint="eastAsia"/>
                <w:sz w:val="21"/>
                <w:szCs w:val="21"/>
              </w:rPr>
            </w:pPr>
            <w:r>
              <w:rPr>
                <w:rFonts w:hint="eastAsia"/>
                <w:sz w:val="21"/>
                <w:szCs w:val="21"/>
              </w:rPr>
              <w:t>质量要求是否响应招标文件要求</w:t>
            </w:r>
          </w:p>
        </w:tc>
        <w:tc>
          <w:tcPr>
            <w:tcW w:w="5798" w:type="dxa"/>
            <w:tcBorders>
              <w:top w:val="single" w:color="auto" w:sz="4" w:space="0"/>
              <w:left w:val="single" w:color="auto" w:sz="4" w:space="0"/>
              <w:bottom w:val="single" w:color="auto" w:sz="4" w:space="0"/>
              <w:right w:val="single" w:color="auto" w:sz="4" w:space="0"/>
            </w:tcBorders>
            <w:vAlign w:val="center"/>
          </w:tcPr>
          <w:p w14:paraId="796B2296">
            <w:pPr>
              <w:rPr>
                <w:rFonts w:hint="eastAsia"/>
                <w:sz w:val="21"/>
                <w:szCs w:val="21"/>
                <w:lang w:bidi="ar"/>
              </w:rPr>
            </w:pPr>
            <w:r>
              <w:rPr>
                <w:rFonts w:hint="eastAsia"/>
                <w:sz w:val="21"/>
                <w:szCs w:val="21"/>
                <w:u w:val="single"/>
              </w:rPr>
              <w:t>（是/否）</w:t>
            </w:r>
          </w:p>
        </w:tc>
      </w:tr>
      <w:tr w14:paraId="52A21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4E470326">
            <w:pPr>
              <w:adjustRightInd w:val="0"/>
              <w:jc w:val="center"/>
              <w:rPr>
                <w:rFonts w:hint="eastAsia"/>
                <w:sz w:val="21"/>
                <w:szCs w:val="21"/>
              </w:rPr>
            </w:pPr>
            <w:r>
              <w:rPr>
                <w:rFonts w:hint="eastAsia"/>
                <w:sz w:val="21"/>
                <w:szCs w:val="21"/>
              </w:rPr>
              <w:t>项目经理</w:t>
            </w:r>
          </w:p>
          <w:p w14:paraId="2F56C2D0">
            <w:pPr>
              <w:adjustRightInd w:val="0"/>
              <w:jc w:val="center"/>
              <w:rPr>
                <w:rFonts w:hint="eastAsia"/>
                <w:sz w:val="21"/>
                <w:szCs w:val="21"/>
              </w:rPr>
            </w:pPr>
            <w:r>
              <w:rPr>
                <w:rFonts w:hint="eastAsia"/>
                <w:sz w:val="21"/>
                <w:szCs w:val="21"/>
              </w:rPr>
              <w:t>（姓名、相关证书名称、注册号）</w:t>
            </w:r>
          </w:p>
        </w:tc>
        <w:tc>
          <w:tcPr>
            <w:tcW w:w="5798" w:type="dxa"/>
            <w:tcBorders>
              <w:top w:val="single" w:color="auto" w:sz="4" w:space="0"/>
              <w:left w:val="single" w:color="auto" w:sz="4" w:space="0"/>
              <w:bottom w:val="single" w:color="auto" w:sz="4" w:space="0"/>
              <w:right w:val="single" w:color="auto" w:sz="4" w:space="0"/>
            </w:tcBorders>
            <w:vAlign w:val="center"/>
          </w:tcPr>
          <w:p w14:paraId="74CC07FA">
            <w:pPr>
              <w:rPr>
                <w:rFonts w:hint="eastAsia"/>
                <w:sz w:val="21"/>
                <w:szCs w:val="21"/>
                <w:lang w:bidi="ar"/>
              </w:rPr>
            </w:pPr>
          </w:p>
        </w:tc>
      </w:tr>
      <w:tr w14:paraId="0EFCE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063" w:type="dxa"/>
            <w:tcBorders>
              <w:top w:val="single" w:color="auto" w:sz="4" w:space="0"/>
              <w:left w:val="single" w:color="auto" w:sz="4" w:space="0"/>
              <w:bottom w:val="single" w:color="auto" w:sz="4" w:space="0"/>
              <w:right w:val="single" w:color="auto" w:sz="4" w:space="0"/>
            </w:tcBorders>
            <w:vAlign w:val="center"/>
          </w:tcPr>
          <w:p w14:paraId="3EC9A291">
            <w:pPr>
              <w:adjustRightInd w:val="0"/>
              <w:jc w:val="center"/>
              <w:rPr>
                <w:rFonts w:hint="eastAsia"/>
                <w:sz w:val="21"/>
                <w:szCs w:val="21"/>
              </w:rPr>
            </w:pPr>
            <w:r>
              <w:rPr>
                <w:rFonts w:hint="eastAsia"/>
                <w:sz w:val="21"/>
                <w:szCs w:val="21"/>
              </w:rPr>
              <w:t>其他说明</w:t>
            </w:r>
          </w:p>
        </w:tc>
        <w:tc>
          <w:tcPr>
            <w:tcW w:w="5798" w:type="dxa"/>
            <w:tcBorders>
              <w:top w:val="single" w:color="auto" w:sz="4" w:space="0"/>
              <w:left w:val="single" w:color="auto" w:sz="4" w:space="0"/>
              <w:bottom w:val="single" w:color="auto" w:sz="4" w:space="0"/>
              <w:right w:val="single" w:color="auto" w:sz="4" w:space="0"/>
            </w:tcBorders>
            <w:vAlign w:val="center"/>
          </w:tcPr>
          <w:p w14:paraId="7A721809">
            <w:pPr>
              <w:rPr>
                <w:rFonts w:hint="eastAsia"/>
                <w:sz w:val="21"/>
                <w:szCs w:val="21"/>
                <w:lang w:bidi="ar"/>
              </w:rPr>
            </w:pPr>
          </w:p>
        </w:tc>
      </w:tr>
    </w:tbl>
    <w:p w14:paraId="2C7CA43D">
      <w:pPr>
        <w:spacing w:line="480" w:lineRule="exact"/>
        <w:rPr>
          <w:rFonts w:ascii="Times New Roman" w:hAnsi="Times New Roman" w:cs="Times New Roman"/>
          <w:iCs/>
          <w:sz w:val="21"/>
          <w:szCs w:val="21"/>
        </w:rPr>
      </w:pPr>
    </w:p>
    <w:p w14:paraId="7C55C1C8">
      <w:pPr>
        <w:spacing w:line="480" w:lineRule="exact"/>
        <w:rPr>
          <w:rFonts w:ascii="Times New Roman" w:hAnsi="Times New Roman" w:cs="Times New Roman"/>
          <w:iCs/>
          <w:sz w:val="21"/>
          <w:szCs w:val="21"/>
        </w:rPr>
      </w:pPr>
      <w:r>
        <w:rPr>
          <w:rFonts w:hint="eastAsia" w:ascii="Times New Roman" w:hAnsi="Times New Roman" w:cs="Times New Roman"/>
          <w:iCs/>
          <w:sz w:val="21"/>
          <w:szCs w:val="21"/>
        </w:rPr>
        <w:t>说明：1、投标报价应按总报价填写，精确到小数点后两位，大小写不一致时，以大写为准；</w:t>
      </w:r>
    </w:p>
    <w:p w14:paraId="16FB8318">
      <w:pPr>
        <w:spacing w:line="480" w:lineRule="exact"/>
        <w:ind w:firstLine="525" w:firstLineChars="250"/>
        <w:rPr>
          <w:rFonts w:ascii="Times New Roman" w:hAnsi="Times New Roman" w:cs="Times New Roman"/>
          <w:iCs/>
          <w:sz w:val="21"/>
          <w:szCs w:val="21"/>
        </w:rPr>
      </w:pPr>
      <w:r>
        <w:rPr>
          <w:rFonts w:hint="eastAsia" w:ascii="Times New Roman" w:hAnsi="Times New Roman" w:cs="Times New Roman"/>
          <w:iCs/>
          <w:sz w:val="21"/>
          <w:szCs w:val="21"/>
        </w:rPr>
        <w:t>2、本表所列各项数据与投标文件其他地方表述不一致时，以本表为准；</w:t>
      </w:r>
    </w:p>
    <w:p w14:paraId="4FA4651B">
      <w:pPr>
        <w:spacing w:line="480" w:lineRule="exact"/>
        <w:ind w:firstLine="525" w:firstLineChars="250"/>
        <w:rPr>
          <w:rFonts w:ascii="Times New Roman" w:hAnsi="Times New Roman" w:cs="Times New Roman"/>
          <w:iCs/>
          <w:sz w:val="21"/>
          <w:szCs w:val="21"/>
        </w:rPr>
      </w:pPr>
      <w:r>
        <w:rPr>
          <w:rFonts w:hint="eastAsia" w:ascii="Times New Roman" w:hAnsi="Times New Roman" w:cs="Times New Roman"/>
          <w:iCs/>
          <w:sz w:val="21"/>
          <w:szCs w:val="21"/>
        </w:rPr>
        <w:t>3、其他费用计价详见“投标人须知前附表”。</w:t>
      </w:r>
    </w:p>
    <w:p w14:paraId="49953EC8">
      <w:pPr>
        <w:spacing w:line="480" w:lineRule="exact"/>
        <w:ind w:left="240" w:leftChars="100" w:firstLine="420" w:firstLineChars="200"/>
        <w:rPr>
          <w:rFonts w:ascii="Times New Roman" w:hAnsi="Times New Roman" w:cs="Times New Roman"/>
          <w:sz w:val="21"/>
          <w:szCs w:val="21"/>
        </w:rPr>
      </w:pPr>
    </w:p>
    <w:p w14:paraId="646BD9A2">
      <w:pPr>
        <w:spacing w:line="360" w:lineRule="auto"/>
        <w:rPr>
          <w:rFonts w:hint="eastAsia"/>
          <w:sz w:val="21"/>
          <w:szCs w:val="21"/>
        </w:rPr>
      </w:pPr>
      <w:r>
        <w:rPr>
          <w:rFonts w:hint="eastAsia"/>
          <w:sz w:val="21"/>
          <w:szCs w:val="21"/>
        </w:rPr>
        <w:t>投标人（加盖公章）：</w:t>
      </w:r>
      <w:r>
        <w:rPr>
          <w:rFonts w:hint="eastAsia"/>
          <w:sz w:val="21"/>
          <w:szCs w:val="21"/>
          <w:u w:val="single"/>
        </w:rPr>
        <w:t xml:space="preserve">                             </w:t>
      </w:r>
    </w:p>
    <w:p w14:paraId="2695916F">
      <w:pPr>
        <w:spacing w:line="360" w:lineRule="auto"/>
        <w:rPr>
          <w:rFonts w:hint="eastAsia"/>
          <w:sz w:val="21"/>
          <w:szCs w:val="21"/>
        </w:rPr>
      </w:pPr>
      <w:r>
        <w:rPr>
          <w:rFonts w:hint="eastAsia"/>
          <w:sz w:val="21"/>
          <w:szCs w:val="21"/>
        </w:rPr>
        <w:t>法定代表人或其授权代理人（签字或盖章）：</w:t>
      </w:r>
      <w:r>
        <w:rPr>
          <w:rFonts w:hint="eastAsia"/>
          <w:sz w:val="21"/>
          <w:szCs w:val="21"/>
          <w:u w:val="single"/>
        </w:rPr>
        <w:t xml:space="preserve">         </w:t>
      </w:r>
    </w:p>
    <w:p w14:paraId="16D93F2E">
      <w:pPr>
        <w:spacing w:line="360" w:lineRule="auto"/>
        <w:rPr>
          <w:rFonts w:ascii="Times New Roman" w:hAnsi="Times New Roman" w:cs="Times New Roman"/>
          <w:sz w:val="21"/>
          <w:szCs w:val="21"/>
        </w:rPr>
      </w:pPr>
      <w:r>
        <w:rPr>
          <w:rFonts w:ascii="Times New Roman" w:hAnsi="Times New Roman" w:cs="Times New Roman"/>
          <w:sz w:val="21"/>
          <w:szCs w:val="21"/>
        </w:rPr>
        <w:t>日期：       年      月      日</w:t>
      </w:r>
    </w:p>
    <w:p w14:paraId="0C74A20E">
      <w:pPr>
        <w:pStyle w:val="6"/>
        <w:jc w:val="center"/>
        <w:rPr>
          <w:rFonts w:hint="eastAsia" w:ascii="宋体" w:hAnsi="宋体" w:eastAsia="宋体" w:cs="宋体"/>
        </w:rPr>
      </w:pPr>
      <w:r>
        <w:rPr>
          <w:rFonts w:ascii="Times New Roman" w:hAnsi="Times New Roman" w:cs="Times New Roman"/>
          <w:u w:val="single"/>
        </w:rPr>
        <w:br w:type="page"/>
      </w:r>
      <w:r>
        <w:rPr>
          <w:rFonts w:hint="eastAsia" w:ascii="宋体" w:hAnsi="宋体" w:eastAsia="宋体" w:cs="宋体"/>
        </w:rPr>
        <w:t>三、法定代表人身份证明书</w:t>
      </w:r>
    </w:p>
    <w:p w14:paraId="52F442C4">
      <w:pPr>
        <w:autoSpaceDE w:val="0"/>
        <w:autoSpaceDN w:val="0"/>
        <w:adjustRightInd w:val="0"/>
        <w:spacing w:line="360" w:lineRule="auto"/>
        <w:ind w:firstLine="420"/>
        <w:rPr>
          <w:rFonts w:hint="eastAsia"/>
          <w:sz w:val="21"/>
          <w:szCs w:val="21"/>
          <w:lang w:val="zh-CN"/>
        </w:rPr>
      </w:pPr>
      <w:r>
        <w:rPr>
          <w:rFonts w:hint="eastAsia"/>
          <w:sz w:val="21"/>
          <w:szCs w:val="21"/>
          <w:lang w:val="zh-CN"/>
        </w:rPr>
        <w:t>单位名称：</w:t>
      </w:r>
      <w:r>
        <w:rPr>
          <w:rFonts w:hint="eastAsia"/>
          <w:sz w:val="21"/>
          <w:szCs w:val="21"/>
          <w:u w:val="single"/>
          <w:lang w:val="zh-CN"/>
        </w:rPr>
        <w:t xml:space="preserve">                                </w:t>
      </w:r>
      <w:r>
        <w:rPr>
          <w:rFonts w:hint="eastAsia"/>
          <w:sz w:val="21"/>
          <w:szCs w:val="21"/>
          <w:lang w:val="zh-CN"/>
        </w:rPr>
        <w:t xml:space="preserve"> </w:t>
      </w:r>
    </w:p>
    <w:p w14:paraId="0CA0435D">
      <w:pPr>
        <w:autoSpaceDE w:val="0"/>
        <w:autoSpaceDN w:val="0"/>
        <w:adjustRightInd w:val="0"/>
        <w:spacing w:line="360" w:lineRule="auto"/>
        <w:ind w:firstLine="420"/>
        <w:rPr>
          <w:rFonts w:hint="eastAsia"/>
          <w:sz w:val="21"/>
          <w:szCs w:val="21"/>
          <w:lang w:val="zh-CN"/>
        </w:rPr>
      </w:pPr>
      <w:r>
        <w:rPr>
          <w:rFonts w:hint="eastAsia"/>
          <w:sz w:val="21"/>
          <w:szCs w:val="21"/>
          <w:lang w:val="zh-CN"/>
        </w:rPr>
        <w:t>单位性质：</w:t>
      </w:r>
      <w:r>
        <w:rPr>
          <w:rFonts w:hint="eastAsia"/>
          <w:sz w:val="21"/>
          <w:szCs w:val="21"/>
          <w:u w:val="single"/>
          <w:lang w:val="zh-CN"/>
        </w:rPr>
        <w:t xml:space="preserve">                                  </w:t>
      </w:r>
      <w:r>
        <w:rPr>
          <w:rFonts w:hint="eastAsia"/>
          <w:sz w:val="21"/>
          <w:szCs w:val="21"/>
          <w:lang w:val="zh-CN"/>
        </w:rPr>
        <w:t xml:space="preserve"> </w:t>
      </w:r>
    </w:p>
    <w:p w14:paraId="25A5399E">
      <w:pPr>
        <w:autoSpaceDE w:val="0"/>
        <w:autoSpaceDN w:val="0"/>
        <w:adjustRightInd w:val="0"/>
        <w:spacing w:line="360" w:lineRule="auto"/>
        <w:ind w:firstLine="420"/>
        <w:rPr>
          <w:rFonts w:hint="eastAsia"/>
          <w:sz w:val="21"/>
          <w:szCs w:val="21"/>
          <w:lang w:val="zh-CN"/>
        </w:rPr>
      </w:pPr>
      <w:r>
        <w:rPr>
          <w:rFonts w:hint="eastAsia"/>
          <w:sz w:val="21"/>
          <w:szCs w:val="21"/>
          <w:lang w:val="zh-CN"/>
        </w:rPr>
        <w:t>成立时间：</w:t>
      </w:r>
      <w:r>
        <w:rPr>
          <w:rFonts w:hint="eastAsia"/>
          <w:sz w:val="21"/>
          <w:szCs w:val="21"/>
          <w:u w:val="single"/>
          <w:lang w:val="zh-CN"/>
        </w:rPr>
        <w:t xml:space="preserve">        </w:t>
      </w:r>
      <w:r>
        <w:rPr>
          <w:rFonts w:hint="eastAsia"/>
          <w:sz w:val="21"/>
          <w:szCs w:val="21"/>
          <w:lang w:val="zh-CN"/>
        </w:rPr>
        <w:t>年</w:t>
      </w:r>
      <w:r>
        <w:rPr>
          <w:rFonts w:hint="eastAsia"/>
          <w:sz w:val="21"/>
          <w:szCs w:val="21"/>
          <w:u w:val="single"/>
        </w:rPr>
        <w:t xml:space="preserve">     </w:t>
      </w:r>
      <w:r>
        <w:rPr>
          <w:rFonts w:hint="eastAsia"/>
          <w:sz w:val="21"/>
          <w:szCs w:val="21"/>
          <w:lang w:val="zh-CN"/>
        </w:rPr>
        <w:t>月</w:t>
      </w:r>
      <w:r>
        <w:rPr>
          <w:rFonts w:hint="eastAsia"/>
          <w:sz w:val="21"/>
          <w:szCs w:val="21"/>
          <w:u w:val="single"/>
        </w:rPr>
        <w:t xml:space="preserve">     </w:t>
      </w:r>
      <w:r>
        <w:rPr>
          <w:rFonts w:hint="eastAsia"/>
          <w:sz w:val="21"/>
          <w:szCs w:val="21"/>
          <w:lang w:val="zh-CN"/>
        </w:rPr>
        <w:t>日</w:t>
      </w:r>
    </w:p>
    <w:p w14:paraId="4BC4DA2E">
      <w:pPr>
        <w:autoSpaceDE w:val="0"/>
        <w:autoSpaceDN w:val="0"/>
        <w:adjustRightInd w:val="0"/>
        <w:spacing w:line="360" w:lineRule="auto"/>
        <w:ind w:firstLine="420"/>
        <w:rPr>
          <w:rFonts w:hint="eastAsia"/>
          <w:sz w:val="21"/>
          <w:szCs w:val="21"/>
          <w:lang w:val="zh-CN"/>
        </w:rPr>
      </w:pPr>
      <w:r>
        <w:rPr>
          <w:rFonts w:hint="eastAsia"/>
          <w:sz w:val="21"/>
          <w:szCs w:val="21"/>
          <w:lang w:val="zh-CN"/>
        </w:rPr>
        <w:t>经营期限：</w:t>
      </w:r>
      <w:r>
        <w:rPr>
          <w:rFonts w:hint="eastAsia"/>
          <w:sz w:val="21"/>
          <w:szCs w:val="21"/>
          <w:u w:val="single"/>
          <w:lang w:val="zh-CN"/>
        </w:rPr>
        <w:t xml:space="preserve">                                </w:t>
      </w:r>
      <w:r>
        <w:rPr>
          <w:rFonts w:hint="eastAsia"/>
          <w:sz w:val="21"/>
          <w:szCs w:val="21"/>
          <w:lang w:val="zh-CN"/>
        </w:rPr>
        <w:t xml:space="preserve"> </w:t>
      </w:r>
    </w:p>
    <w:p w14:paraId="1C524B16">
      <w:pPr>
        <w:autoSpaceDE w:val="0"/>
        <w:autoSpaceDN w:val="0"/>
        <w:adjustRightInd w:val="0"/>
        <w:spacing w:line="360" w:lineRule="auto"/>
        <w:ind w:firstLine="420"/>
        <w:rPr>
          <w:rFonts w:hint="eastAsia"/>
          <w:sz w:val="21"/>
          <w:szCs w:val="21"/>
          <w:lang w:val="zh-CN"/>
        </w:rPr>
      </w:pPr>
      <w:r>
        <w:rPr>
          <w:rFonts w:hint="eastAsia"/>
          <w:sz w:val="21"/>
          <w:szCs w:val="21"/>
          <w:lang w:val="zh-CN"/>
        </w:rPr>
        <w:t>姓名：</w:t>
      </w:r>
      <w:r>
        <w:rPr>
          <w:rFonts w:hint="eastAsia"/>
          <w:sz w:val="21"/>
          <w:szCs w:val="21"/>
          <w:u w:val="single"/>
          <w:lang w:val="zh-CN"/>
        </w:rPr>
        <w:t xml:space="preserve">           </w:t>
      </w:r>
      <w:r>
        <w:rPr>
          <w:rFonts w:hint="eastAsia"/>
          <w:sz w:val="21"/>
          <w:szCs w:val="21"/>
          <w:lang w:val="zh-CN"/>
        </w:rPr>
        <w:t>性别：</w:t>
      </w:r>
      <w:r>
        <w:rPr>
          <w:rFonts w:hint="eastAsia"/>
          <w:sz w:val="21"/>
          <w:szCs w:val="21"/>
          <w:u w:val="single"/>
          <w:lang w:val="zh-CN"/>
        </w:rPr>
        <w:t xml:space="preserve">        </w:t>
      </w:r>
      <w:r>
        <w:rPr>
          <w:rFonts w:hint="eastAsia"/>
          <w:sz w:val="21"/>
          <w:szCs w:val="21"/>
          <w:lang w:val="zh-CN"/>
        </w:rPr>
        <w:t>年龄：</w:t>
      </w:r>
      <w:r>
        <w:rPr>
          <w:rFonts w:hint="eastAsia"/>
          <w:sz w:val="21"/>
          <w:szCs w:val="21"/>
          <w:u w:val="single"/>
          <w:lang w:val="zh-CN"/>
        </w:rPr>
        <w:t xml:space="preserve">       </w:t>
      </w:r>
      <w:r>
        <w:rPr>
          <w:rFonts w:hint="eastAsia"/>
          <w:sz w:val="21"/>
          <w:szCs w:val="21"/>
          <w:lang w:val="zh-CN"/>
        </w:rPr>
        <w:t>职务：</w:t>
      </w:r>
      <w:r>
        <w:rPr>
          <w:rFonts w:hint="eastAsia"/>
          <w:sz w:val="21"/>
          <w:szCs w:val="21"/>
          <w:u w:val="single"/>
          <w:lang w:val="zh-CN"/>
        </w:rPr>
        <w:t xml:space="preserve">       </w:t>
      </w:r>
      <w:r>
        <w:rPr>
          <w:rFonts w:hint="eastAsia"/>
          <w:sz w:val="21"/>
          <w:szCs w:val="21"/>
          <w:lang w:val="zh-CN"/>
        </w:rPr>
        <w:t>_</w:t>
      </w:r>
    </w:p>
    <w:p w14:paraId="474977C3">
      <w:pPr>
        <w:autoSpaceDE w:val="0"/>
        <w:autoSpaceDN w:val="0"/>
        <w:adjustRightInd w:val="0"/>
        <w:spacing w:line="360" w:lineRule="auto"/>
        <w:ind w:firstLine="420"/>
        <w:rPr>
          <w:rFonts w:hint="eastAsia"/>
          <w:sz w:val="21"/>
          <w:szCs w:val="21"/>
          <w:lang w:val="zh-CN"/>
        </w:rPr>
      </w:pPr>
      <w:r>
        <w:rPr>
          <w:rFonts w:hint="eastAsia"/>
          <w:sz w:val="21"/>
          <w:szCs w:val="21"/>
          <w:lang w:val="zh-CN"/>
        </w:rPr>
        <w:t>系</w:t>
      </w:r>
      <w:r>
        <w:rPr>
          <w:rFonts w:hint="eastAsia"/>
          <w:sz w:val="21"/>
          <w:szCs w:val="21"/>
          <w:u w:val="single"/>
          <w:lang w:val="zh-CN"/>
        </w:rPr>
        <w:t xml:space="preserve">                                </w:t>
      </w:r>
      <w:r>
        <w:rPr>
          <w:rFonts w:hint="eastAsia"/>
          <w:sz w:val="21"/>
          <w:szCs w:val="21"/>
          <w:lang w:val="zh-CN"/>
        </w:rPr>
        <w:t>（投标人名称）的法定代表人。</w:t>
      </w:r>
    </w:p>
    <w:p w14:paraId="4D58FB3D">
      <w:pPr>
        <w:autoSpaceDE w:val="0"/>
        <w:autoSpaceDN w:val="0"/>
        <w:adjustRightInd w:val="0"/>
        <w:spacing w:line="360" w:lineRule="auto"/>
        <w:ind w:firstLine="840"/>
        <w:rPr>
          <w:rFonts w:hint="eastAsia"/>
          <w:sz w:val="21"/>
          <w:szCs w:val="21"/>
          <w:lang w:val="zh-CN"/>
        </w:rPr>
      </w:pPr>
      <w:r>
        <w:rPr>
          <w:rFonts w:hint="eastAsia"/>
          <w:sz w:val="21"/>
          <w:szCs w:val="21"/>
          <w:lang w:val="zh-CN"/>
        </w:rPr>
        <w:t>特此证明。</w:t>
      </w:r>
    </w:p>
    <w:p w14:paraId="5D941A8E">
      <w:pPr>
        <w:spacing w:after="326" w:afterLines="100" w:line="360" w:lineRule="auto"/>
        <w:rPr>
          <w:rFonts w:hint="eastAsia"/>
          <w:sz w:val="21"/>
          <w:szCs w:val="21"/>
        </w:rPr>
      </w:pPr>
      <w:r>
        <w:rPr>
          <w:rFonts w:hint="eastAsia"/>
          <w:sz w:val="21"/>
          <w:szCs w:val="21"/>
        </w:rPr>
        <w:t>附：法定代表人身份证复印件</w:t>
      </w:r>
    </w:p>
    <w:p w14:paraId="13EF56AB">
      <w:pPr>
        <w:autoSpaceDE w:val="0"/>
        <w:autoSpaceDN w:val="0"/>
        <w:adjustRightInd w:val="0"/>
        <w:spacing w:line="360" w:lineRule="auto"/>
        <w:ind w:firstLine="420"/>
        <w:rPr>
          <w:rFonts w:hint="eastAsia"/>
          <w:sz w:val="21"/>
          <w:szCs w:val="21"/>
          <w:lang w:val="zh-CN"/>
        </w:rPr>
      </w:pPr>
    </w:p>
    <w:p w14:paraId="52FBD0A4">
      <w:pPr>
        <w:autoSpaceDE w:val="0"/>
        <w:autoSpaceDN w:val="0"/>
        <w:adjustRightInd w:val="0"/>
        <w:spacing w:line="360" w:lineRule="auto"/>
        <w:ind w:firstLine="420"/>
        <w:rPr>
          <w:rFonts w:hint="eastAsia"/>
          <w:sz w:val="21"/>
          <w:szCs w:val="21"/>
          <w:lang w:val="zh-CN"/>
        </w:rPr>
      </w:pPr>
    </w:p>
    <w:p w14:paraId="4D143FF3">
      <w:pPr>
        <w:autoSpaceDE w:val="0"/>
        <w:autoSpaceDN w:val="0"/>
        <w:adjustRightInd w:val="0"/>
        <w:spacing w:line="360" w:lineRule="auto"/>
        <w:ind w:firstLine="420"/>
        <w:rPr>
          <w:rFonts w:hint="eastAsia"/>
          <w:sz w:val="21"/>
          <w:szCs w:val="21"/>
          <w:lang w:val="zh-CN"/>
        </w:rPr>
      </w:pPr>
    </w:p>
    <w:p w14:paraId="598744BA">
      <w:pPr>
        <w:autoSpaceDE w:val="0"/>
        <w:autoSpaceDN w:val="0"/>
        <w:adjustRightInd w:val="0"/>
        <w:spacing w:line="360" w:lineRule="auto"/>
        <w:ind w:firstLine="420"/>
        <w:rPr>
          <w:rFonts w:hint="eastAsia"/>
          <w:sz w:val="21"/>
          <w:szCs w:val="21"/>
          <w:lang w:val="zh-CN"/>
        </w:rPr>
      </w:pPr>
    </w:p>
    <w:p w14:paraId="0403BCCC">
      <w:pPr>
        <w:autoSpaceDE w:val="0"/>
        <w:autoSpaceDN w:val="0"/>
        <w:adjustRightInd w:val="0"/>
        <w:spacing w:line="360" w:lineRule="auto"/>
        <w:ind w:firstLine="420"/>
        <w:rPr>
          <w:rFonts w:hint="eastAsia"/>
          <w:sz w:val="21"/>
          <w:szCs w:val="21"/>
          <w:lang w:val="zh-CN"/>
        </w:rPr>
      </w:pPr>
    </w:p>
    <w:p w14:paraId="7F44D177">
      <w:pPr>
        <w:spacing w:line="360" w:lineRule="auto"/>
        <w:rPr>
          <w:rFonts w:hint="eastAsia"/>
          <w:sz w:val="21"/>
          <w:szCs w:val="21"/>
        </w:rPr>
      </w:pPr>
      <w:r>
        <w:rPr>
          <w:rFonts w:hint="eastAsia"/>
          <w:sz w:val="21"/>
          <w:szCs w:val="21"/>
        </w:rPr>
        <w:t>投标人（加盖公章）：</w:t>
      </w:r>
      <w:r>
        <w:rPr>
          <w:rFonts w:hint="eastAsia"/>
          <w:sz w:val="21"/>
          <w:szCs w:val="21"/>
          <w:u w:val="single"/>
        </w:rPr>
        <w:t xml:space="preserve">                             </w:t>
      </w:r>
    </w:p>
    <w:p w14:paraId="08EDD1D7">
      <w:pPr>
        <w:autoSpaceDE w:val="0"/>
        <w:autoSpaceDN w:val="0"/>
        <w:adjustRightInd w:val="0"/>
        <w:spacing w:line="360" w:lineRule="auto"/>
        <w:rPr>
          <w:rFonts w:hint="eastAsia"/>
          <w:b/>
          <w:sz w:val="21"/>
          <w:szCs w:val="21"/>
        </w:rPr>
      </w:pPr>
      <w:r>
        <w:rPr>
          <w:rFonts w:hint="eastAsia"/>
          <w:sz w:val="21"/>
          <w:szCs w:val="21"/>
        </w:rPr>
        <w:t>日期：</w:t>
      </w:r>
      <w:r>
        <w:rPr>
          <w:rFonts w:hint="eastAsia"/>
          <w:sz w:val="21"/>
          <w:szCs w:val="21"/>
          <w:u w:val="single"/>
        </w:rPr>
        <w:t xml:space="preserve">         </w:t>
      </w:r>
      <w:r>
        <w:rPr>
          <w:rFonts w:hint="eastAsia"/>
          <w:sz w:val="21"/>
          <w:szCs w:val="21"/>
        </w:rPr>
        <w:t>年</w:t>
      </w:r>
      <w:r>
        <w:rPr>
          <w:rFonts w:hint="eastAsia"/>
          <w:sz w:val="21"/>
          <w:szCs w:val="21"/>
          <w:u w:val="single"/>
        </w:rPr>
        <w:t xml:space="preserve">      </w:t>
      </w:r>
      <w:r>
        <w:rPr>
          <w:rFonts w:hint="eastAsia"/>
          <w:sz w:val="21"/>
          <w:szCs w:val="21"/>
        </w:rPr>
        <w:t>月</w:t>
      </w:r>
      <w:r>
        <w:rPr>
          <w:rFonts w:hint="eastAsia"/>
          <w:sz w:val="21"/>
          <w:szCs w:val="21"/>
          <w:u w:val="single"/>
        </w:rPr>
        <w:t xml:space="preserve">      </w:t>
      </w:r>
      <w:r>
        <w:rPr>
          <w:rFonts w:hint="eastAsia"/>
          <w:sz w:val="21"/>
          <w:szCs w:val="21"/>
        </w:rPr>
        <w:t>日</w:t>
      </w:r>
    </w:p>
    <w:p w14:paraId="47D4BF59">
      <w:pPr>
        <w:pStyle w:val="6"/>
        <w:jc w:val="center"/>
        <w:rPr>
          <w:rFonts w:hint="eastAsia" w:ascii="宋体" w:hAnsi="宋体" w:eastAsia="宋体" w:cs="宋体"/>
        </w:rPr>
      </w:pPr>
      <w:r>
        <w:rPr>
          <w:rFonts w:hint="eastAsia" w:ascii="宋体" w:hAnsi="宋体" w:eastAsia="宋体" w:cs="宋体"/>
          <w:sz w:val="21"/>
          <w:szCs w:val="21"/>
        </w:rPr>
        <w:br w:type="page"/>
      </w:r>
      <w:r>
        <w:rPr>
          <w:rFonts w:hint="eastAsia" w:ascii="宋体" w:hAnsi="宋体" w:eastAsia="宋体" w:cs="宋体"/>
        </w:rPr>
        <w:t>四、法定代表人授权委托书</w:t>
      </w:r>
    </w:p>
    <w:p w14:paraId="51B99AA9">
      <w:pPr>
        <w:spacing w:line="360" w:lineRule="auto"/>
        <w:ind w:firstLine="420" w:firstLineChars="200"/>
        <w:rPr>
          <w:rFonts w:hint="eastAsia"/>
          <w:sz w:val="21"/>
          <w:szCs w:val="21"/>
        </w:rPr>
      </w:pPr>
      <w:r>
        <w:rPr>
          <w:rFonts w:hint="eastAsia"/>
          <w:sz w:val="21"/>
          <w:szCs w:val="21"/>
        </w:rPr>
        <w:t>本人</w:t>
      </w:r>
      <w:r>
        <w:rPr>
          <w:rFonts w:hint="eastAsia"/>
          <w:sz w:val="21"/>
          <w:szCs w:val="21"/>
          <w:u w:val="single"/>
        </w:rPr>
        <w:t xml:space="preserve">   （姓名）  </w:t>
      </w:r>
      <w:r>
        <w:rPr>
          <w:rFonts w:hint="eastAsia"/>
          <w:sz w:val="21"/>
          <w:szCs w:val="21"/>
        </w:rPr>
        <w:t>系</w:t>
      </w:r>
      <w:r>
        <w:rPr>
          <w:rFonts w:hint="eastAsia"/>
          <w:sz w:val="21"/>
          <w:szCs w:val="21"/>
          <w:u w:val="single"/>
        </w:rPr>
        <w:t xml:space="preserve">  （投标人名称）  </w:t>
      </w:r>
      <w:r>
        <w:rPr>
          <w:rFonts w:hint="eastAsia"/>
          <w:sz w:val="21"/>
          <w:szCs w:val="21"/>
        </w:rPr>
        <w:t>的法定代表人，现委托</w:t>
      </w:r>
      <w:r>
        <w:rPr>
          <w:rFonts w:hint="eastAsia"/>
          <w:sz w:val="21"/>
          <w:szCs w:val="21"/>
          <w:u w:val="single"/>
        </w:rPr>
        <w:t xml:space="preserve">  （姓名） </w:t>
      </w:r>
      <w:r>
        <w:rPr>
          <w:rFonts w:hint="eastAsia"/>
          <w:sz w:val="21"/>
          <w:szCs w:val="21"/>
        </w:rPr>
        <w:t>为我方代理人。代理人根据授权，以我方名义签署、澄清、说明、补正、递交、撤回、修改</w:t>
      </w:r>
      <w:r>
        <w:rPr>
          <w:rFonts w:hint="eastAsia"/>
          <w:sz w:val="21"/>
          <w:szCs w:val="21"/>
          <w:u w:val="single"/>
        </w:rPr>
        <w:t xml:space="preserve">      （项目名称）   </w:t>
      </w:r>
      <w:r>
        <w:rPr>
          <w:rFonts w:hint="eastAsia"/>
          <w:sz w:val="21"/>
          <w:szCs w:val="21"/>
        </w:rPr>
        <w:t>投标文件、签订合同和处理有关事宜，其法律后果由我方承担。</w:t>
      </w:r>
    </w:p>
    <w:p w14:paraId="1EFD8B4D">
      <w:pPr>
        <w:spacing w:before="326" w:beforeLines="100" w:after="326" w:afterLines="100" w:line="360" w:lineRule="auto"/>
        <w:ind w:firstLine="420" w:firstLineChars="200"/>
        <w:rPr>
          <w:rFonts w:hint="eastAsia"/>
          <w:sz w:val="21"/>
          <w:szCs w:val="21"/>
        </w:rPr>
      </w:pPr>
      <w:r>
        <w:rPr>
          <w:rFonts w:hint="eastAsia"/>
          <w:sz w:val="21"/>
          <w:szCs w:val="21"/>
        </w:rPr>
        <w:t>本授权书自委托之日起生效至投标截止时间后90天。特此声明。代理人无转委托权。</w:t>
      </w:r>
    </w:p>
    <w:p w14:paraId="2A2204C8">
      <w:pPr>
        <w:spacing w:after="326" w:afterLines="100" w:line="360" w:lineRule="auto"/>
        <w:ind w:firstLine="420" w:firstLineChars="200"/>
        <w:rPr>
          <w:rFonts w:hint="eastAsia"/>
          <w:sz w:val="21"/>
          <w:szCs w:val="21"/>
        </w:rPr>
      </w:pPr>
      <w:r>
        <w:rPr>
          <w:rFonts w:hint="eastAsia"/>
          <w:sz w:val="21"/>
          <w:szCs w:val="21"/>
        </w:rPr>
        <w:t>附：法定代表人、委托代理人身份证复印件</w:t>
      </w:r>
    </w:p>
    <w:p w14:paraId="46D4A2EA">
      <w:pPr>
        <w:spacing w:line="360" w:lineRule="auto"/>
        <w:rPr>
          <w:rFonts w:hint="eastAsia"/>
          <w:sz w:val="21"/>
          <w:szCs w:val="21"/>
        </w:rPr>
      </w:pPr>
    </w:p>
    <w:p w14:paraId="5AB80BD2">
      <w:pPr>
        <w:spacing w:line="360" w:lineRule="auto"/>
        <w:rPr>
          <w:rFonts w:hint="eastAsia"/>
          <w:sz w:val="21"/>
          <w:szCs w:val="21"/>
        </w:rPr>
      </w:pPr>
      <w:r>
        <w:rPr>
          <w:rFonts w:hint="eastAsia"/>
          <w:sz w:val="21"/>
          <w:szCs w:val="21"/>
        </w:rPr>
        <w:t>投标人（加盖公章）：</w:t>
      </w:r>
      <w:r>
        <w:rPr>
          <w:rFonts w:hint="eastAsia"/>
          <w:sz w:val="21"/>
          <w:szCs w:val="21"/>
          <w:u w:val="single"/>
        </w:rPr>
        <w:t xml:space="preserve">                             </w:t>
      </w:r>
    </w:p>
    <w:p w14:paraId="76CE9953">
      <w:pPr>
        <w:spacing w:line="360" w:lineRule="auto"/>
        <w:ind w:firstLine="3570" w:firstLineChars="1700"/>
        <w:rPr>
          <w:rFonts w:hint="eastAsia"/>
          <w:sz w:val="21"/>
          <w:szCs w:val="21"/>
        </w:rPr>
      </w:pPr>
    </w:p>
    <w:p w14:paraId="0AC31735">
      <w:pPr>
        <w:spacing w:line="360" w:lineRule="auto"/>
        <w:rPr>
          <w:rFonts w:hint="eastAsia"/>
          <w:sz w:val="21"/>
          <w:szCs w:val="21"/>
        </w:rPr>
      </w:pPr>
      <w:r>
        <w:rPr>
          <w:rFonts w:hint="eastAsia"/>
          <w:sz w:val="21"/>
          <w:szCs w:val="21"/>
        </w:rPr>
        <w:t>法定代表人（签字或盖章）：</w:t>
      </w:r>
      <w:r>
        <w:rPr>
          <w:rFonts w:hint="eastAsia"/>
          <w:sz w:val="21"/>
          <w:szCs w:val="21"/>
          <w:u w:val="single"/>
        </w:rPr>
        <w:t xml:space="preserve">                       </w:t>
      </w:r>
    </w:p>
    <w:p w14:paraId="24FB53CC">
      <w:pPr>
        <w:spacing w:line="360" w:lineRule="auto"/>
        <w:ind w:firstLine="3570" w:firstLineChars="1700"/>
        <w:rPr>
          <w:rFonts w:hint="eastAsia"/>
          <w:sz w:val="21"/>
          <w:szCs w:val="21"/>
        </w:rPr>
      </w:pPr>
    </w:p>
    <w:p w14:paraId="50C184F3">
      <w:pPr>
        <w:spacing w:line="360" w:lineRule="auto"/>
        <w:rPr>
          <w:rFonts w:hint="eastAsia"/>
          <w:sz w:val="21"/>
          <w:szCs w:val="21"/>
          <w:u w:val="single"/>
        </w:rPr>
      </w:pPr>
      <w:r>
        <w:rPr>
          <w:rFonts w:hint="eastAsia"/>
          <w:sz w:val="21"/>
          <w:szCs w:val="21"/>
        </w:rPr>
        <w:t>身份证号码：</w:t>
      </w:r>
      <w:r>
        <w:rPr>
          <w:rFonts w:hint="eastAsia"/>
          <w:sz w:val="21"/>
          <w:szCs w:val="21"/>
          <w:u w:val="single"/>
        </w:rPr>
        <w:t xml:space="preserve">                                  </w:t>
      </w:r>
    </w:p>
    <w:p w14:paraId="79F46226">
      <w:pPr>
        <w:spacing w:line="360" w:lineRule="auto"/>
        <w:ind w:firstLine="3570" w:firstLineChars="1700"/>
        <w:rPr>
          <w:rFonts w:hint="eastAsia"/>
          <w:sz w:val="21"/>
          <w:szCs w:val="21"/>
        </w:rPr>
      </w:pPr>
    </w:p>
    <w:p w14:paraId="1E4C50AC">
      <w:pPr>
        <w:spacing w:line="360" w:lineRule="auto"/>
        <w:rPr>
          <w:rFonts w:hint="eastAsia"/>
          <w:sz w:val="21"/>
          <w:szCs w:val="21"/>
        </w:rPr>
      </w:pPr>
      <w:r>
        <w:rPr>
          <w:rFonts w:hint="eastAsia"/>
          <w:sz w:val="21"/>
          <w:szCs w:val="21"/>
        </w:rPr>
        <w:t>委托代理人（签字或盖章）：</w:t>
      </w:r>
      <w:r>
        <w:rPr>
          <w:rFonts w:hint="eastAsia"/>
          <w:sz w:val="21"/>
          <w:szCs w:val="21"/>
          <w:u w:val="single"/>
        </w:rPr>
        <w:t xml:space="preserve">                       </w:t>
      </w:r>
    </w:p>
    <w:p w14:paraId="1F15991F">
      <w:pPr>
        <w:spacing w:line="360" w:lineRule="auto"/>
        <w:ind w:firstLine="3570" w:firstLineChars="1700"/>
        <w:rPr>
          <w:rFonts w:hint="eastAsia"/>
          <w:sz w:val="21"/>
          <w:szCs w:val="21"/>
        </w:rPr>
      </w:pPr>
    </w:p>
    <w:p w14:paraId="5E755735">
      <w:pPr>
        <w:autoSpaceDE w:val="0"/>
        <w:autoSpaceDN w:val="0"/>
        <w:adjustRightInd w:val="0"/>
        <w:spacing w:line="360" w:lineRule="auto"/>
        <w:rPr>
          <w:rFonts w:hint="eastAsia"/>
          <w:sz w:val="21"/>
          <w:szCs w:val="21"/>
          <w:u w:val="single"/>
        </w:rPr>
      </w:pPr>
      <w:r>
        <w:rPr>
          <w:rFonts w:hint="eastAsia"/>
          <w:sz w:val="21"/>
          <w:szCs w:val="21"/>
        </w:rPr>
        <w:t>身份证号码：</w:t>
      </w:r>
      <w:r>
        <w:rPr>
          <w:rFonts w:hint="eastAsia"/>
          <w:sz w:val="21"/>
          <w:szCs w:val="21"/>
          <w:u w:val="single"/>
        </w:rPr>
        <w:t xml:space="preserve">                                     </w:t>
      </w:r>
    </w:p>
    <w:p w14:paraId="5F9E8AE7">
      <w:pPr>
        <w:spacing w:line="360" w:lineRule="auto"/>
        <w:ind w:firstLine="3570" w:firstLineChars="1700"/>
        <w:rPr>
          <w:rFonts w:hint="eastAsia"/>
          <w:sz w:val="21"/>
          <w:szCs w:val="21"/>
        </w:rPr>
      </w:pPr>
    </w:p>
    <w:p w14:paraId="4D759848">
      <w:pPr>
        <w:autoSpaceDE w:val="0"/>
        <w:autoSpaceDN w:val="0"/>
        <w:adjustRightInd w:val="0"/>
        <w:spacing w:line="360" w:lineRule="auto"/>
        <w:rPr>
          <w:rFonts w:hint="eastAsia"/>
          <w:b/>
          <w:sz w:val="21"/>
          <w:szCs w:val="21"/>
        </w:rPr>
      </w:pPr>
      <w:r>
        <w:rPr>
          <w:rFonts w:hint="eastAsia"/>
          <w:sz w:val="21"/>
          <w:szCs w:val="21"/>
        </w:rPr>
        <w:t>日期：</w:t>
      </w:r>
      <w:r>
        <w:rPr>
          <w:rFonts w:hint="eastAsia"/>
          <w:sz w:val="21"/>
          <w:szCs w:val="21"/>
          <w:u w:val="single"/>
        </w:rPr>
        <w:t xml:space="preserve">         </w:t>
      </w:r>
      <w:r>
        <w:rPr>
          <w:rFonts w:hint="eastAsia"/>
          <w:sz w:val="21"/>
          <w:szCs w:val="21"/>
        </w:rPr>
        <w:t>年</w:t>
      </w:r>
      <w:r>
        <w:rPr>
          <w:rFonts w:hint="eastAsia"/>
          <w:sz w:val="21"/>
          <w:szCs w:val="21"/>
          <w:u w:val="single"/>
        </w:rPr>
        <w:t xml:space="preserve">      </w:t>
      </w:r>
      <w:r>
        <w:rPr>
          <w:rFonts w:hint="eastAsia"/>
          <w:sz w:val="21"/>
          <w:szCs w:val="21"/>
        </w:rPr>
        <w:t>月</w:t>
      </w:r>
      <w:r>
        <w:rPr>
          <w:rFonts w:hint="eastAsia"/>
          <w:sz w:val="21"/>
          <w:szCs w:val="21"/>
          <w:u w:val="single"/>
        </w:rPr>
        <w:t xml:space="preserve">      </w:t>
      </w:r>
      <w:r>
        <w:rPr>
          <w:rFonts w:hint="eastAsia"/>
          <w:sz w:val="21"/>
          <w:szCs w:val="21"/>
        </w:rPr>
        <w:t>日</w:t>
      </w:r>
    </w:p>
    <w:p w14:paraId="3B273452">
      <w:pPr>
        <w:pStyle w:val="60"/>
        <w:rPr>
          <w:szCs w:val="21"/>
        </w:rPr>
      </w:pPr>
    </w:p>
    <w:p w14:paraId="2500685C">
      <w:pPr>
        <w:rPr>
          <w:rFonts w:hint="eastAsia"/>
          <w:b/>
          <w:bCs/>
          <w:kern w:val="2"/>
          <w:sz w:val="28"/>
          <w:szCs w:val="28"/>
        </w:rPr>
      </w:pPr>
      <w:r>
        <w:rPr>
          <w:rFonts w:hint="eastAsia"/>
          <w:b/>
          <w:bCs/>
          <w:kern w:val="2"/>
          <w:sz w:val="28"/>
          <w:szCs w:val="28"/>
        </w:rPr>
        <w:br w:type="page"/>
      </w:r>
    </w:p>
    <w:p w14:paraId="1F4538CD">
      <w:pPr>
        <w:pStyle w:val="6"/>
        <w:jc w:val="center"/>
        <w:rPr>
          <w:rFonts w:hint="eastAsia" w:ascii="宋体" w:hAnsi="宋体" w:eastAsia="宋体" w:cs="宋体"/>
        </w:rPr>
      </w:pPr>
      <w:r>
        <w:rPr>
          <w:rFonts w:hint="eastAsia" w:ascii="宋体" w:hAnsi="宋体" w:eastAsia="宋体" w:cs="宋体"/>
        </w:rPr>
        <w:t>五、投标人资格证明文件</w:t>
      </w:r>
    </w:p>
    <w:p w14:paraId="025FA0A2">
      <w:pPr>
        <w:spacing w:line="360" w:lineRule="auto"/>
        <w:jc w:val="center"/>
        <w:rPr>
          <w:rFonts w:hint="eastAsia"/>
          <w:sz w:val="21"/>
          <w:szCs w:val="21"/>
        </w:rPr>
      </w:pPr>
      <w:r>
        <w:rPr>
          <w:rFonts w:hint="eastAsia"/>
          <w:sz w:val="21"/>
          <w:szCs w:val="21"/>
        </w:rPr>
        <w:t>（提供参考格式，投标人可自行编制。）</w:t>
      </w:r>
    </w:p>
    <w:p w14:paraId="104699C2">
      <w:pPr>
        <w:wordWrap w:val="0"/>
        <w:spacing w:line="360" w:lineRule="auto"/>
        <w:ind w:right="-198" w:firstLine="420" w:firstLineChars="200"/>
        <w:rPr>
          <w:rFonts w:hint="eastAsia"/>
          <w:sz w:val="21"/>
          <w:szCs w:val="21"/>
        </w:rPr>
      </w:pPr>
      <w:r>
        <w:rPr>
          <w:rFonts w:hint="eastAsia"/>
          <w:sz w:val="21"/>
          <w:szCs w:val="21"/>
        </w:rPr>
        <w:t>（1）营业执照等主体资格证明文件：具有独立承担民事责任能力的法人、其他组织或自然人，提供合法有效的统一社会信用代码营业执照（事业单位提供事业单位法人证书，其他组织经营的合法凭证，自然人提供身份证明）。</w:t>
      </w:r>
    </w:p>
    <w:p w14:paraId="332EE2F0">
      <w:pPr>
        <w:wordWrap w:val="0"/>
        <w:spacing w:line="360" w:lineRule="auto"/>
        <w:ind w:right="-198" w:firstLine="420" w:firstLineChars="200"/>
        <w:rPr>
          <w:rFonts w:hint="eastAsia"/>
          <w:sz w:val="21"/>
          <w:szCs w:val="21"/>
        </w:rPr>
      </w:pPr>
      <w:r>
        <w:rPr>
          <w:rFonts w:hint="eastAsia"/>
          <w:sz w:val="21"/>
          <w:szCs w:val="21"/>
        </w:rPr>
        <w:t>（2）投标人资质和拟派项目负责人要求：</w:t>
      </w:r>
      <w:r>
        <w:rPr>
          <w:rFonts w:hint="eastAsia"/>
          <w:color w:val="000000" w:themeColor="text1"/>
          <w:sz w:val="21"/>
          <w:szCs w:val="21"/>
          <w14:textFill>
            <w14:solidFill>
              <w14:schemeClr w14:val="tx1"/>
            </w14:solidFill>
          </w14:textFill>
        </w:rPr>
        <w:t>投标人须具备建设部门颁发的建筑工程施工总承包三级及</w:t>
      </w:r>
      <w:r>
        <w:rPr>
          <w:rFonts w:hint="eastAsia"/>
          <w:sz w:val="21"/>
          <w:szCs w:val="21"/>
        </w:rPr>
        <w:t>以上资质，具备有效的安全生产许可证；拟派项目经理须具备建筑工程专业二级及以上注册建造师证，具备有效的安全生产考核合格证书（建安B证），在本单位注册，无不良信用记录，且未担任其他在建工程的项目经理（提供无在建承诺）；</w:t>
      </w:r>
    </w:p>
    <w:p w14:paraId="27348756">
      <w:pPr>
        <w:wordWrap w:val="0"/>
        <w:spacing w:line="360" w:lineRule="auto"/>
        <w:ind w:right="-198" w:firstLine="420" w:firstLineChars="200"/>
        <w:rPr>
          <w:rFonts w:hint="eastAsia"/>
          <w:sz w:val="21"/>
          <w:szCs w:val="21"/>
          <w:highlight w:val="yellow"/>
        </w:rPr>
      </w:pPr>
      <w:r>
        <w:rPr>
          <w:rFonts w:hint="eastAsia"/>
          <w:sz w:val="21"/>
          <w:szCs w:val="21"/>
        </w:rPr>
        <w:t>（3）财务状况报告：</w:t>
      </w:r>
      <w:r>
        <w:rPr>
          <w:rFonts w:hint="eastAsia"/>
          <w:sz w:val="21"/>
          <w:szCs w:val="21"/>
          <w:highlight w:val="none"/>
        </w:rPr>
        <w:t>提供2024年或2025年任意一个年度经审计的审计报告</w:t>
      </w:r>
      <w:r>
        <w:rPr>
          <w:rFonts w:hint="eastAsia"/>
          <w:sz w:val="21"/>
          <w:szCs w:val="21"/>
          <w:highlight w:val="none"/>
          <w:lang w:eastAsia="zh-CN"/>
        </w:rPr>
        <w:t>，</w:t>
      </w:r>
      <w:r>
        <w:rPr>
          <w:rFonts w:hint="eastAsia"/>
          <w:sz w:val="21"/>
          <w:szCs w:val="21"/>
          <w:highlight w:val="none"/>
        </w:rPr>
        <w:t>符合《中小企业划型标准规定》的小型企业按照《小企业会计准则》执行</w:t>
      </w:r>
      <w:r>
        <w:rPr>
          <w:rFonts w:hint="eastAsia"/>
          <w:sz w:val="21"/>
          <w:szCs w:val="21"/>
          <w:highlight w:val="none"/>
          <w:lang w:eastAsia="zh-CN"/>
        </w:rPr>
        <w:t>，</w:t>
      </w:r>
      <w:r>
        <w:rPr>
          <w:rFonts w:hint="eastAsia"/>
          <w:sz w:val="21"/>
          <w:szCs w:val="21"/>
          <w:highlight w:val="none"/>
        </w:rPr>
        <w:t>成立时间至提交投标文件截止时间不足一年的可提供成立后任意时段的资产负债表；或其开标前三个月内基本开户银行出具的资信证明或政府采购信用担保机构出具的担保函（以上三种形式的资料提供任何一种即可）；</w:t>
      </w:r>
    </w:p>
    <w:p w14:paraId="64DD72AD">
      <w:pPr>
        <w:wordWrap w:val="0"/>
        <w:spacing w:line="360" w:lineRule="auto"/>
        <w:ind w:right="-198" w:firstLine="420" w:firstLineChars="200"/>
        <w:rPr>
          <w:rFonts w:hint="eastAsia"/>
          <w:sz w:val="21"/>
          <w:szCs w:val="21"/>
        </w:rPr>
      </w:pPr>
      <w:r>
        <w:rPr>
          <w:rFonts w:hint="eastAsia"/>
          <w:sz w:val="21"/>
          <w:szCs w:val="21"/>
        </w:rPr>
        <w:t>（4）税收缴纳证明：提供自2025年1月1日至投标文件提交截止时间任意连续六个月的纳税证明或完税证明，纳税证明或完税证明上应有代收机构或税务机关的公章或业务专用章；依法免税的供应商应提供相关文件证明；</w:t>
      </w:r>
    </w:p>
    <w:p w14:paraId="11E84470">
      <w:pPr>
        <w:wordWrap w:val="0"/>
        <w:spacing w:line="360" w:lineRule="auto"/>
        <w:ind w:right="-198" w:firstLine="420" w:firstLineChars="200"/>
        <w:rPr>
          <w:rFonts w:hint="eastAsia"/>
          <w:sz w:val="21"/>
          <w:szCs w:val="21"/>
        </w:rPr>
      </w:pPr>
      <w:r>
        <w:rPr>
          <w:rFonts w:hint="eastAsia"/>
          <w:sz w:val="21"/>
          <w:szCs w:val="21"/>
        </w:rPr>
        <w:t>（5）社会保障资金缴纳证明：提供自2025年1月1日至投标文件提交截止时间任意连续六个月的已缴纳的社会保障资金的证明，社会保障资金缴存单据或社保机构开具的社会保险参保缴费情况证明或提供其它相关证明资料，单据或证明上应有社保机构或代收机构的公章。依法不需要缴纳社会保障资金的供应商应提供相关文件证明；</w:t>
      </w:r>
    </w:p>
    <w:p w14:paraId="7D1C6C45">
      <w:pPr>
        <w:wordWrap w:val="0"/>
        <w:spacing w:line="360" w:lineRule="auto"/>
        <w:ind w:right="-198" w:firstLine="420" w:firstLineChars="200"/>
        <w:rPr>
          <w:rFonts w:hint="eastAsia"/>
          <w:sz w:val="21"/>
          <w:szCs w:val="21"/>
        </w:rPr>
      </w:pPr>
      <w:r>
        <w:rPr>
          <w:rFonts w:hint="eastAsia"/>
          <w:sz w:val="21"/>
          <w:szCs w:val="21"/>
        </w:rPr>
        <w:t>（6）信用承诺：参加本次招标采购活动前3年内在经营活动中没有重大违法，以及未被列入《信用中国》（https://www.creditchina.gov.cn）“重大税收违法失信主体”名单和“失信被执行人”（页面跳转至《中国执行信息公开网》http://zxgk.court.gov.cn/shixin）及不处于《中国政府采购网》（http://www.ccgp.gov.cn）记录的“政府采购严重违法失信行为记录名单”中的禁止参加政府采购活动期间，提供书面信用承诺函。</w:t>
      </w:r>
    </w:p>
    <w:p w14:paraId="4DF51AFB">
      <w:pPr>
        <w:wordWrap w:val="0"/>
        <w:spacing w:line="360" w:lineRule="auto"/>
        <w:ind w:right="-198" w:firstLine="420" w:firstLineChars="200"/>
        <w:rPr>
          <w:rFonts w:hint="eastAsia"/>
          <w:sz w:val="21"/>
          <w:szCs w:val="21"/>
        </w:rPr>
      </w:pPr>
      <w:r>
        <w:rPr>
          <w:rFonts w:hint="eastAsia"/>
          <w:sz w:val="21"/>
          <w:szCs w:val="21"/>
        </w:rPr>
        <w:t>（7）法定代表人（单位负责人）授权委托书：法定代表人（单位负责人）授权书及被授权人身份证（法定代表人（单位负责人）直接参与只须提交其身份证）。</w:t>
      </w:r>
    </w:p>
    <w:p w14:paraId="555AD180">
      <w:pPr>
        <w:wordWrap w:val="0"/>
        <w:spacing w:line="360" w:lineRule="auto"/>
        <w:ind w:right="-198" w:firstLine="420" w:firstLineChars="200"/>
        <w:rPr>
          <w:rFonts w:hint="eastAsia"/>
          <w:sz w:val="21"/>
          <w:szCs w:val="21"/>
        </w:rPr>
      </w:pPr>
      <w:r>
        <w:rPr>
          <w:rFonts w:hint="eastAsia"/>
          <w:sz w:val="21"/>
          <w:szCs w:val="21"/>
        </w:rPr>
        <w:t>（8）书面承诺：提供具有履行合同所必需的设备和专业技术能力的承诺函。</w:t>
      </w:r>
    </w:p>
    <w:p w14:paraId="4607D6AE">
      <w:pPr>
        <w:wordWrap w:val="0"/>
        <w:spacing w:line="360" w:lineRule="auto"/>
        <w:ind w:right="-198" w:firstLine="420" w:firstLineChars="200"/>
        <w:rPr>
          <w:rFonts w:hint="eastAsia"/>
          <w:sz w:val="21"/>
          <w:szCs w:val="21"/>
        </w:rPr>
      </w:pPr>
      <w:r>
        <w:rPr>
          <w:rFonts w:hint="eastAsia"/>
          <w:sz w:val="21"/>
          <w:szCs w:val="21"/>
        </w:rPr>
        <w:t>（9）其他要求：投标人及其拟派项目负责人须在“陕西省住房和城乡建设厅（http://js.shaanxi.gov.cn/ ）”可查询。（提供加盖公章查询截图的复印件或扫描件）</w:t>
      </w:r>
    </w:p>
    <w:p w14:paraId="069C632E">
      <w:pPr>
        <w:wordWrap w:val="0"/>
        <w:spacing w:line="360" w:lineRule="auto"/>
        <w:ind w:right="-198" w:firstLine="420" w:firstLineChars="200"/>
        <w:rPr>
          <w:rFonts w:hint="eastAsia"/>
          <w:sz w:val="21"/>
          <w:szCs w:val="21"/>
        </w:rPr>
      </w:pPr>
      <w:r>
        <w:rPr>
          <w:rFonts w:hint="eastAsia"/>
          <w:sz w:val="21"/>
          <w:szCs w:val="21"/>
        </w:rPr>
        <w:t>（10）本项目不接受联合体投标。</w:t>
      </w:r>
    </w:p>
    <w:p w14:paraId="212A449B">
      <w:pPr>
        <w:wordWrap w:val="0"/>
        <w:spacing w:line="360" w:lineRule="auto"/>
        <w:ind w:right="-198" w:firstLine="420" w:firstLineChars="200"/>
        <w:rPr>
          <w:rFonts w:hint="eastAsia"/>
          <w:sz w:val="21"/>
          <w:szCs w:val="21"/>
        </w:rPr>
      </w:pPr>
    </w:p>
    <w:p w14:paraId="11215C8C">
      <w:pPr>
        <w:spacing w:line="360" w:lineRule="auto"/>
        <w:rPr>
          <w:rFonts w:hint="eastAsia"/>
          <w:sz w:val="21"/>
          <w:szCs w:val="21"/>
        </w:rPr>
      </w:pPr>
      <w:r>
        <w:rPr>
          <w:rFonts w:hint="eastAsia"/>
          <w:sz w:val="21"/>
          <w:szCs w:val="21"/>
        </w:rPr>
        <w:t>附：</w:t>
      </w:r>
    </w:p>
    <w:p w14:paraId="53FA9CC9">
      <w:pPr>
        <w:spacing w:line="360" w:lineRule="auto"/>
        <w:rPr>
          <w:rFonts w:hint="eastAsia"/>
          <w:sz w:val="21"/>
          <w:szCs w:val="21"/>
        </w:rPr>
      </w:pPr>
      <w:r>
        <w:rPr>
          <w:rFonts w:hint="eastAsia"/>
          <w:sz w:val="21"/>
          <w:szCs w:val="21"/>
        </w:rPr>
        <w:t>格式1：书面声明</w:t>
      </w:r>
    </w:p>
    <w:p w14:paraId="79EA6628">
      <w:pPr>
        <w:spacing w:line="360" w:lineRule="auto"/>
        <w:rPr>
          <w:rFonts w:hint="eastAsia"/>
          <w:sz w:val="21"/>
          <w:szCs w:val="21"/>
        </w:rPr>
      </w:pPr>
      <w:r>
        <w:rPr>
          <w:rFonts w:hint="eastAsia"/>
          <w:sz w:val="21"/>
          <w:szCs w:val="21"/>
        </w:rPr>
        <w:t>格式2：政府采购供应商拒绝政府采购领域商业贿赂承诺书</w:t>
      </w:r>
    </w:p>
    <w:p w14:paraId="16317019">
      <w:pPr>
        <w:spacing w:line="360" w:lineRule="auto"/>
        <w:rPr>
          <w:rFonts w:hint="eastAsia"/>
          <w:sz w:val="21"/>
          <w:szCs w:val="21"/>
        </w:rPr>
      </w:pPr>
      <w:r>
        <w:rPr>
          <w:rFonts w:hint="eastAsia"/>
          <w:sz w:val="21"/>
          <w:szCs w:val="21"/>
        </w:rPr>
        <w:t>格式3：中小企业声明函</w:t>
      </w:r>
    </w:p>
    <w:p w14:paraId="0A73B533">
      <w:pPr>
        <w:pStyle w:val="60"/>
        <w:spacing w:line="360" w:lineRule="auto"/>
        <w:rPr>
          <w:rFonts w:hint="eastAsia" w:ascii="宋体" w:hAnsi="宋体" w:cs="宋体"/>
          <w:szCs w:val="21"/>
        </w:rPr>
      </w:pPr>
      <w:r>
        <w:rPr>
          <w:rFonts w:hint="eastAsia" w:ascii="宋体" w:hAnsi="宋体" w:cs="宋体"/>
          <w:kern w:val="0"/>
          <w:szCs w:val="21"/>
        </w:rPr>
        <w:t>格式4：</w:t>
      </w:r>
      <w:r>
        <w:rPr>
          <w:rFonts w:hint="eastAsia" w:ascii="宋体" w:hAnsi="宋体" w:cs="宋体"/>
          <w:szCs w:val="21"/>
        </w:rPr>
        <w:t>残疾人福利性单位声明函</w:t>
      </w:r>
    </w:p>
    <w:p w14:paraId="5CD66AD7">
      <w:pPr>
        <w:pStyle w:val="60"/>
        <w:spacing w:line="360" w:lineRule="auto"/>
        <w:rPr>
          <w:rFonts w:hint="eastAsia" w:ascii="宋体" w:hAnsi="宋体" w:cs="宋体"/>
          <w:szCs w:val="21"/>
        </w:rPr>
      </w:pPr>
      <w:r>
        <w:rPr>
          <w:rFonts w:hint="eastAsia" w:ascii="宋体" w:hAnsi="宋体" w:cs="宋体"/>
          <w:szCs w:val="21"/>
        </w:rPr>
        <w:t>格式5：监狱企业证明</w:t>
      </w:r>
    </w:p>
    <w:p w14:paraId="748DC6E7">
      <w:pPr>
        <w:pStyle w:val="60"/>
        <w:spacing w:line="360" w:lineRule="auto"/>
        <w:rPr>
          <w:rFonts w:hint="eastAsia" w:ascii="宋体" w:hAnsi="宋体" w:cs="宋体"/>
          <w:kern w:val="0"/>
          <w:szCs w:val="21"/>
        </w:rPr>
      </w:pPr>
      <w:r>
        <w:rPr>
          <w:rFonts w:hint="eastAsia" w:ascii="宋体" w:hAnsi="宋体" w:cs="宋体"/>
          <w:kern w:val="0"/>
          <w:szCs w:val="21"/>
        </w:rPr>
        <w:t>格式6：偏差表</w:t>
      </w:r>
    </w:p>
    <w:p w14:paraId="77ADBACB">
      <w:pPr>
        <w:pStyle w:val="60"/>
        <w:spacing w:line="360" w:lineRule="auto"/>
        <w:rPr>
          <w:rFonts w:hint="eastAsia" w:ascii="宋体" w:hAnsi="宋体" w:cs="宋体"/>
          <w:kern w:val="0"/>
          <w:szCs w:val="21"/>
        </w:rPr>
      </w:pPr>
      <w:r>
        <w:rPr>
          <w:rFonts w:hint="eastAsia" w:ascii="宋体" w:hAnsi="宋体" w:cs="宋体"/>
          <w:kern w:val="0"/>
          <w:szCs w:val="21"/>
        </w:rPr>
        <w:t>格式7：履约承诺书</w:t>
      </w:r>
    </w:p>
    <w:p w14:paraId="00E993E5">
      <w:pPr>
        <w:pStyle w:val="60"/>
        <w:spacing w:line="360" w:lineRule="auto"/>
        <w:rPr>
          <w:rFonts w:hint="eastAsia" w:ascii="宋体" w:hAnsi="宋体" w:cs="宋体"/>
          <w:kern w:val="0"/>
          <w:szCs w:val="21"/>
        </w:rPr>
      </w:pPr>
      <w:r>
        <w:rPr>
          <w:rFonts w:hint="eastAsia" w:ascii="宋体" w:hAnsi="宋体" w:cs="宋体"/>
          <w:kern w:val="0"/>
          <w:szCs w:val="21"/>
        </w:rPr>
        <w:t>格式8：质量安全责任承诺书</w:t>
      </w:r>
    </w:p>
    <w:p w14:paraId="549D57B5">
      <w:pPr>
        <w:pStyle w:val="60"/>
        <w:spacing w:line="360" w:lineRule="auto"/>
        <w:rPr>
          <w:rFonts w:hint="eastAsia" w:ascii="宋体" w:hAnsi="宋体" w:cs="宋体"/>
          <w:kern w:val="0"/>
          <w:szCs w:val="21"/>
        </w:rPr>
      </w:pPr>
      <w:r>
        <w:rPr>
          <w:rFonts w:hint="eastAsia" w:ascii="宋体" w:hAnsi="宋体" w:cs="宋体"/>
          <w:kern w:val="0"/>
          <w:szCs w:val="21"/>
        </w:rPr>
        <w:t>格式9：关联关系声明函</w:t>
      </w:r>
    </w:p>
    <w:p w14:paraId="35240BE0">
      <w:pPr>
        <w:tabs>
          <w:tab w:val="left" w:pos="720"/>
          <w:tab w:val="left" w:pos="8364"/>
        </w:tabs>
        <w:adjustRightInd w:val="0"/>
        <w:snapToGrid w:val="0"/>
        <w:spacing w:line="360" w:lineRule="auto"/>
        <w:rPr>
          <w:rFonts w:hint="eastAsia"/>
          <w:sz w:val="21"/>
          <w:szCs w:val="21"/>
        </w:rPr>
      </w:pPr>
    </w:p>
    <w:p w14:paraId="54BEB6D1">
      <w:pPr>
        <w:tabs>
          <w:tab w:val="left" w:pos="720"/>
          <w:tab w:val="left" w:pos="8364"/>
        </w:tabs>
        <w:adjustRightInd w:val="0"/>
        <w:snapToGrid w:val="0"/>
        <w:spacing w:line="360" w:lineRule="auto"/>
        <w:rPr>
          <w:rFonts w:hint="eastAsia"/>
          <w:sz w:val="21"/>
          <w:szCs w:val="21"/>
          <w:u w:val="single"/>
        </w:rPr>
      </w:pPr>
      <w:r>
        <w:rPr>
          <w:rFonts w:hint="eastAsia"/>
          <w:sz w:val="21"/>
          <w:szCs w:val="21"/>
        </w:rPr>
        <w:br w:type="page"/>
      </w:r>
      <w:r>
        <w:rPr>
          <w:rFonts w:hint="eastAsia"/>
          <w:sz w:val="21"/>
          <w:szCs w:val="21"/>
        </w:rPr>
        <w:t>格式1：</w:t>
      </w:r>
    </w:p>
    <w:p w14:paraId="24ECE164">
      <w:pPr>
        <w:spacing w:line="360" w:lineRule="exact"/>
        <w:jc w:val="center"/>
        <w:rPr>
          <w:rFonts w:hint="eastAsia"/>
          <w:b/>
          <w:bCs/>
          <w:sz w:val="21"/>
          <w:szCs w:val="21"/>
        </w:rPr>
      </w:pPr>
      <w:r>
        <w:rPr>
          <w:rFonts w:hint="eastAsia"/>
          <w:b/>
          <w:bCs/>
          <w:sz w:val="21"/>
          <w:szCs w:val="21"/>
        </w:rPr>
        <w:t>书面声明</w:t>
      </w:r>
    </w:p>
    <w:p w14:paraId="3F989EDF">
      <w:pPr>
        <w:tabs>
          <w:tab w:val="left" w:pos="720"/>
          <w:tab w:val="left" w:pos="8364"/>
        </w:tabs>
        <w:adjustRightInd w:val="0"/>
        <w:snapToGrid w:val="0"/>
        <w:spacing w:line="360" w:lineRule="exact"/>
        <w:rPr>
          <w:rFonts w:hint="eastAsia"/>
          <w:sz w:val="21"/>
          <w:szCs w:val="21"/>
        </w:rPr>
      </w:pPr>
      <w:r>
        <w:rPr>
          <w:rFonts w:hint="eastAsia"/>
          <w:sz w:val="21"/>
          <w:szCs w:val="21"/>
        </w:rPr>
        <w:t>致：</w:t>
      </w:r>
      <w:r>
        <w:rPr>
          <w:rFonts w:hint="eastAsia"/>
          <w:b/>
          <w:sz w:val="21"/>
          <w:szCs w:val="21"/>
          <w:u w:val="single"/>
        </w:rPr>
        <w:t>（招标人）</w:t>
      </w:r>
    </w:p>
    <w:p w14:paraId="3863B07F">
      <w:pPr>
        <w:snapToGrid w:val="0"/>
        <w:spacing w:after="163" w:afterLines="50" w:line="360" w:lineRule="exact"/>
        <w:ind w:firstLine="420" w:firstLineChars="200"/>
        <w:rPr>
          <w:rFonts w:hint="eastAsia"/>
          <w:sz w:val="21"/>
          <w:szCs w:val="21"/>
        </w:rPr>
      </w:pPr>
      <w:r>
        <w:rPr>
          <w:rFonts w:hint="eastAsia"/>
          <w:sz w:val="21"/>
          <w:szCs w:val="21"/>
        </w:rPr>
        <w:t>我方作为</w:t>
      </w:r>
      <w:r>
        <w:rPr>
          <w:rFonts w:hint="eastAsia"/>
          <w:sz w:val="21"/>
          <w:szCs w:val="21"/>
          <w:u w:val="single"/>
        </w:rPr>
        <w:t>（项目名称）（项目编号）</w:t>
      </w:r>
      <w:r>
        <w:rPr>
          <w:rFonts w:hint="eastAsia"/>
          <w:sz w:val="21"/>
          <w:szCs w:val="21"/>
        </w:rPr>
        <w:t>的投标人，在此郑重声明：</w:t>
      </w:r>
    </w:p>
    <w:p w14:paraId="30CB4267">
      <w:pPr>
        <w:snapToGrid w:val="0"/>
        <w:spacing w:after="163" w:afterLines="50" w:line="360" w:lineRule="auto"/>
        <w:ind w:firstLine="420" w:firstLineChars="200"/>
        <w:rPr>
          <w:rFonts w:hint="eastAsia"/>
          <w:sz w:val="21"/>
          <w:szCs w:val="21"/>
        </w:rPr>
      </w:pPr>
      <w:r>
        <w:rPr>
          <w:rFonts w:hint="eastAsia"/>
          <w:sz w:val="21"/>
          <w:szCs w:val="21"/>
        </w:rPr>
        <w:t>1、我方</w:t>
      </w:r>
      <w:r>
        <w:rPr>
          <w:rFonts w:hint="eastAsia"/>
          <w:sz w:val="21"/>
          <w:szCs w:val="21"/>
          <w:u w:val="single"/>
        </w:rPr>
        <w:t xml:space="preserve">         </w:t>
      </w:r>
      <w:r>
        <w:rPr>
          <w:rFonts w:hint="eastAsia"/>
          <w:sz w:val="21"/>
          <w:szCs w:val="21"/>
        </w:rPr>
        <w:t xml:space="preserve">（填“未被列入”或“被列入”）《信用中国》（www.creditchina.gov.cn）“重大税收违法失信主体”名单。 </w:t>
      </w:r>
    </w:p>
    <w:p w14:paraId="10D58AEC">
      <w:pPr>
        <w:snapToGrid w:val="0"/>
        <w:spacing w:after="163" w:afterLines="50" w:line="360" w:lineRule="auto"/>
        <w:ind w:firstLine="420" w:firstLineChars="200"/>
        <w:rPr>
          <w:rFonts w:hint="eastAsia"/>
          <w:sz w:val="21"/>
          <w:szCs w:val="21"/>
        </w:rPr>
      </w:pPr>
      <w:r>
        <w:rPr>
          <w:rFonts w:hint="eastAsia"/>
          <w:sz w:val="21"/>
          <w:szCs w:val="21"/>
        </w:rPr>
        <w:t>2、我方</w:t>
      </w:r>
      <w:r>
        <w:rPr>
          <w:rFonts w:hint="eastAsia"/>
          <w:sz w:val="21"/>
          <w:szCs w:val="21"/>
          <w:u w:val="single"/>
        </w:rPr>
        <w:t xml:space="preserve">       </w:t>
      </w:r>
      <w:r>
        <w:rPr>
          <w:rFonts w:hint="eastAsia"/>
          <w:sz w:val="21"/>
          <w:szCs w:val="21"/>
        </w:rPr>
        <w:t xml:space="preserve">（填“未被列入”或“被列入”）《信用中国》（www.creditchina.gov.cn）“失信被执行人”名单（页面跳转至《中国执行信息公开网》http://zxgk.court.gov.cn/shixin）。 </w:t>
      </w:r>
    </w:p>
    <w:p w14:paraId="6ACE9612">
      <w:pPr>
        <w:snapToGrid w:val="0"/>
        <w:spacing w:after="163" w:afterLines="50" w:line="360" w:lineRule="auto"/>
        <w:ind w:firstLine="420" w:firstLineChars="200"/>
        <w:rPr>
          <w:rFonts w:hint="eastAsia"/>
          <w:sz w:val="21"/>
          <w:szCs w:val="21"/>
        </w:rPr>
      </w:pPr>
      <w:r>
        <w:rPr>
          <w:rFonts w:hint="eastAsia"/>
          <w:sz w:val="21"/>
          <w:szCs w:val="21"/>
        </w:rPr>
        <w:t>3、我方</w:t>
      </w:r>
      <w:r>
        <w:rPr>
          <w:rFonts w:hint="eastAsia"/>
          <w:sz w:val="21"/>
          <w:szCs w:val="21"/>
          <w:u w:val="single"/>
        </w:rPr>
        <w:t xml:space="preserve">         </w:t>
      </w:r>
      <w:r>
        <w:rPr>
          <w:rFonts w:hint="eastAsia"/>
          <w:sz w:val="21"/>
          <w:szCs w:val="21"/>
        </w:rPr>
        <w:t xml:space="preserve">（填“不处于”或“处于”）《中国政府采购网》(www.ccgp.gov.cn)记录的“政府采购严重违法失信行为记录名单”中的禁止参加政府采购活动期间。 </w:t>
      </w:r>
    </w:p>
    <w:p w14:paraId="70C5C559">
      <w:pPr>
        <w:snapToGrid w:val="0"/>
        <w:spacing w:after="163" w:afterLines="50" w:line="360" w:lineRule="exact"/>
        <w:ind w:firstLine="420" w:firstLineChars="200"/>
        <w:rPr>
          <w:rFonts w:hint="eastAsia"/>
          <w:sz w:val="21"/>
          <w:szCs w:val="21"/>
        </w:rPr>
      </w:pPr>
      <w:r>
        <w:rPr>
          <w:rFonts w:hint="eastAsia"/>
          <w:sz w:val="21"/>
          <w:szCs w:val="21"/>
        </w:rPr>
        <w:t>4、我方愿意参加本次招标，提供投标文件中规定的所有工程（货物）和相关服务，并承诺投标文件中提供的所有证明文件和资料是准确和真实的。我们认为贵方有权并愿意配合贵方，向有关机构和单位（如会计师事务所、银行、相关企业等）查证和获得有关资料。</w:t>
      </w:r>
    </w:p>
    <w:p w14:paraId="7AD7BF9F">
      <w:pPr>
        <w:snapToGrid w:val="0"/>
        <w:spacing w:after="163" w:afterLines="50" w:line="360" w:lineRule="exact"/>
        <w:ind w:firstLine="422" w:firstLineChars="200"/>
        <w:rPr>
          <w:rFonts w:hint="eastAsia"/>
          <w:b/>
          <w:bCs/>
          <w:sz w:val="21"/>
          <w:szCs w:val="21"/>
        </w:rPr>
      </w:pPr>
      <w:r>
        <w:rPr>
          <w:rFonts w:hint="eastAsia"/>
          <w:b/>
          <w:bCs/>
          <w:sz w:val="21"/>
          <w:szCs w:val="21"/>
        </w:rPr>
        <w:t>5、我方承诺具备履行合同所必需的设备和专业技术能力。</w:t>
      </w:r>
    </w:p>
    <w:p w14:paraId="32F0C0FD">
      <w:pPr>
        <w:snapToGrid w:val="0"/>
        <w:spacing w:after="163" w:afterLines="50" w:line="360" w:lineRule="exact"/>
        <w:ind w:firstLine="422" w:firstLineChars="200"/>
        <w:rPr>
          <w:rFonts w:hint="eastAsia"/>
          <w:b/>
          <w:bCs/>
          <w:sz w:val="21"/>
          <w:szCs w:val="21"/>
        </w:rPr>
      </w:pPr>
      <w:r>
        <w:rPr>
          <w:rFonts w:hint="eastAsia"/>
          <w:b/>
          <w:bCs/>
          <w:sz w:val="21"/>
          <w:szCs w:val="21"/>
        </w:rPr>
        <w:t>6、我方承诺参加政府采购活动前三年内在经营活动中没有重大违法记录。</w:t>
      </w:r>
    </w:p>
    <w:p w14:paraId="123AA56C">
      <w:pPr>
        <w:snapToGrid w:val="0"/>
        <w:spacing w:after="163" w:afterLines="50" w:line="360" w:lineRule="exact"/>
        <w:ind w:firstLine="420" w:firstLineChars="200"/>
        <w:rPr>
          <w:rFonts w:hint="eastAsia"/>
          <w:sz w:val="21"/>
          <w:szCs w:val="21"/>
        </w:rPr>
      </w:pPr>
      <w:r>
        <w:rPr>
          <w:rFonts w:hint="eastAsia"/>
          <w:sz w:val="21"/>
          <w:szCs w:val="21"/>
        </w:rPr>
        <w:t>7、我方保证不与其他单位围标、串标，不出让申请资格，不向招标人或审查委员会成员行贿，同时不出现其他不廉洁行为。</w:t>
      </w:r>
    </w:p>
    <w:p w14:paraId="6B661FD1">
      <w:pPr>
        <w:snapToGrid w:val="0"/>
        <w:spacing w:after="163" w:afterLines="50" w:line="360" w:lineRule="exact"/>
        <w:ind w:firstLine="420" w:firstLineChars="200"/>
        <w:rPr>
          <w:rFonts w:hint="eastAsia"/>
          <w:sz w:val="21"/>
          <w:szCs w:val="21"/>
        </w:rPr>
      </w:pPr>
      <w:r>
        <w:rPr>
          <w:rFonts w:hint="eastAsia"/>
          <w:sz w:val="21"/>
          <w:szCs w:val="21"/>
        </w:rPr>
        <w:t>8、我方没有处于被责令停业的状态；没有处于被建设行政主管部门取消申请资格的处罚期内；没有处于财产被接管、冻结、破产的状态。</w:t>
      </w:r>
    </w:p>
    <w:p w14:paraId="57E7A701">
      <w:pPr>
        <w:snapToGrid w:val="0"/>
        <w:spacing w:after="163" w:afterLines="50" w:line="360" w:lineRule="exact"/>
        <w:ind w:firstLine="420" w:firstLineChars="200"/>
        <w:rPr>
          <w:rFonts w:hint="eastAsia"/>
          <w:sz w:val="21"/>
          <w:szCs w:val="21"/>
        </w:rPr>
      </w:pPr>
      <w:r>
        <w:rPr>
          <w:rFonts w:hint="eastAsia"/>
          <w:sz w:val="21"/>
          <w:szCs w:val="21"/>
        </w:rPr>
        <w:t>9、我方及其有隶属关系的机构，没有参加本项目招标文件的编写工作；我方与本次招标的招标代理机构没有隶属关系或其他利害关系。</w:t>
      </w:r>
    </w:p>
    <w:p w14:paraId="3C9CBB48">
      <w:pPr>
        <w:snapToGrid w:val="0"/>
        <w:spacing w:after="163" w:afterLines="50" w:line="360" w:lineRule="exact"/>
        <w:ind w:firstLine="422" w:firstLineChars="200"/>
        <w:rPr>
          <w:rFonts w:hint="eastAsia"/>
          <w:b/>
          <w:bCs/>
          <w:sz w:val="21"/>
          <w:szCs w:val="21"/>
        </w:rPr>
      </w:pPr>
      <w:r>
        <w:rPr>
          <w:rFonts w:hint="eastAsia"/>
          <w:b/>
          <w:bCs/>
          <w:sz w:val="21"/>
          <w:szCs w:val="21"/>
        </w:rPr>
        <w:t>10、我方拟委任的项目经理在全国范围内无在建工程。</w:t>
      </w:r>
    </w:p>
    <w:p w14:paraId="1D3DB8F8">
      <w:pPr>
        <w:snapToGrid w:val="0"/>
        <w:spacing w:after="163" w:afterLines="50" w:line="360" w:lineRule="exact"/>
        <w:ind w:firstLine="420" w:firstLineChars="200"/>
        <w:rPr>
          <w:rFonts w:hint="eastAsia"/>
          <w:sz w:val="21"/>
          <w:szCs w:val="21"/>
        </w:rPr>
      </w:pPr>
      <w:r>
        <w:rPr>
          <w:rFonts w:hint="eastAsia"/>
          <w:sz w:val="21"/>
          <w:szCs w:val="21"/>
        </w:rPr>
        <w:t>如有不实，我方将无条件地退出本项目的采购活动，并遵照相关法律法规的有关“提供虚假材料的规定”接受相应处罚。</w:t>
      </w:r>
    </w:p>
    <w:p w14:paraId="108B4191">
      <w:pPr>
        <w:snapToGrid w:val="0"/>
        <w:spacing w:after="163" w:afterLines="50" w:line="360" w:lineRule="exact"/>
        <w:rPr>
          <w:rFonts w:hint="eastAsia"/>
          <w:sz w:val="21"/>
          <w:szCs w:val="21"/>
        </w:rPr>
      </w:pPr>
      <w:r>
        <w:rPr>
          <w:rFonts w:hint="eastAsia"/>
          <w:sz w:val="21"/>
          <w:szCs w:val="21"/>
        </w:rPr>
        <w:t xml:space="preserve">特此声明。 </w:t>
      </w:r>
    </w:p>
    <w:p w14:paraId="4F9D88AB">
      <w:pPr>
        <w:spacing w:line="360" w:lineRule="auto"/>
        <w:rPr>
          <w:rFonts w:hint="eastAsia"/>
          <w:sz w:val="21"/>
          <w:szCs w:val="21"/>
        </w:rPr>
      </w:pPr>
      <w:r>
        <w:rPr>
          <w:rFonts w:hint="eastAsia"/>
          <w:sz w:val="21"/>
          <w:szCs w:val="21"/>
        </w:rPr>
        <w:t>投标人（加盖公章）：</w:t>
      </w:r>
      <w:r>
        <w:rPr>
          <w:rFonts w:hint="eastAsia"/>
          <w:sz w:val="21"/>
          <w:szCs w:val="21"/>
          <w:u w:val="single"/>
        </w:rPr>
        <w:t xml:space="preserve">                             </w:t>
      </w:r>
    </w:p>
    <w:p w14:paraId="332945DA">
      <w:pPr>
        <w:spacing w:line="360" w:lineRule="auto"/>
        <w:rPr>
          <w:rFonts w:hint="eastAsia"/>
          <w:sz w:val="21"/>
          <w:szCs w:val="21"/>
        </w:rPr>
      </w:pPr>
      <w:r>
        <w:rPr>
          <w:rFonts w:ascii="Times New Roman" w:hAnsi="Times New Roman" w:cs="Times New Roman"/>
          <w:sz w:val="21"/>
          <w:szCs w:val="21"/>
        </w:rPr>
        <w:t>日期：       年      月      日</w:t>
      </w:r>
      <w:r>
        <w:rPr>
          <w:rFonts w:hint="eastAsia"/>
          <w:sz w:val="21"/>
          <w:szCs w:val="21"/>
        </w:rPr>
        <w:t xml:space="preserve">   </w:t>
      </w:r>
    </w:p>
    <w:p w14:paraId="327A8B80">
      <w:pPr>
        <w:spacing w:line="360" w:lineRule="auto"/>
        <w:rPr>
          <w:rFonts w:hint="eastAsia"/>
          <w:sz w:val="21"/>
          <w:szCs w:val="21"/>
        </w:rPr>
      </w:pPr>
    </w:p>
    <w:p w14:paraId="03FFD8CD">
      <w:pPr>
        <w:rPr>
          <w:rFonts w:hint="eastAsia"/>
          <w:sz w:val="21"/>
          <w:szCs w:val="21"/>
        </w:rPr>
      </w:pPr>
      <w:r>
        <w:rPr>
          <w:rFonts w:hint="eastAsia"/>
          <w:sz w:val="21"/>
          <w:szCs w:val="21"/>
        </w:rPr>
        <w:br w:type="page"/>
      </w:r>
    </w:p>
    <w:p w14:paraId="036537D4">
      <w:pPr>
        <w:spacing w:line="360" w:lineRule="auto"/>
        <w:rPr>
          <w:rFonts w:hint="eastAsia"/>
          <w:sz w:val="21"/>
          <w:szCs w:val="21"/>
        </w:rPr>
      </w:pPr>
    </w:p>
    <w:p w14:paraId="2FC2A67D">
      <w:pPr>
        <w:spacing w:line="360" w:lineRule="auto"/>
        <w:rPr>
          <w:rFonts w:hint="eastAsia"/>
          <w:sz w:val="21"/>
          <w:szCs w:val="21"/>
        </w:rPr>
      </w:pPr>
      <w:r>
        <w:rPr>
          <w:rFonts w:hint="eastAsia"/>
          <w:sz w:val="21"/>
          <w:szCs w:val="21"/>
        </w:rPr>
        <w:t>格式2：</w:t>
      </w:r>
    </w:p>
    <w:p w14:paraId="7293AECA">
      <w:pPr>
        <w:spacing w:line="360" w:lineRule="auto"/>
        <w:jc w:val="center"/>
        <w:rPr>
          <w:rFonts w:hint="eastAsia"/>
          <w:b/>
          <w:sz w:val="21"/>
          <w:szCs w:val="21"/>
        </w:rPr>
      </w:pPr>
      <w:r>
        <w:rPr>
          <w:rFonts w:hint="eastAsia"/>
          <w:b/>
          <w:sz w:val="21"/>
          <w:szCs w:val="21"/>
        </w:rPr>
        <w:t>政府采购供应商拒绝政府采购领域商业贿赂承诺书</w:t>
      </w:r>
    </w:p>
    <w:p w14:paraId="1D806D89">
      <w:pPr>
        <w:pStyle w:val="18"/>
        <w:spacing w:line="360" w:lineRule="auto"/>
        <w:ind w:right="72"/>
        <w:rPr>
          <w:rFonts w:hint="eastAsia" w:ascii="宋体" w:hAnsi="宋体" w:eastAsia="宋体" w:cs="宋体"/>
          <w:szCs w:val="21"/>
        </w:rPr>
      </w:pPr>
    </w:p>
    <w:p w14:paraId="01731FE2">
      <w:pPr>
        <w:tabs>
          <w:tab w:val="left" w:pos="720"/>
          <w:tab w:val="left" w:pos="8364"/>
        </w:tabs>
        <w:adjustRightInd w:val="0"/>
        <w:snapToGrid w:val="0"/>
        <w:spacing w:line="360" w:lineRule="auto"/>
        <w:ind w:firstLine="420"/>
        <w:rPr>
          <w:rFonts w:hint="eastAsia"/>
          <w:sz w:val="21"/>
          <w:szCs w:val="21"/>
        </w:rPr>
      </w:pPr>
      <w:r>
        <w:rPr>
          <w:rFonts w:hint="eastAsia"/>
          <w:sz w:val="21"/>
          <w:szCs w:val="21"/>
        </w:rPr>
        <w:t>为响应党中央、国务院关于治理政府采购领域商业贿赂行为的号召，我公司在此承诺：</w:t>
      </w:r>
    </w:p>
    <w:p w14:paraId="173FAB81">
      <w:pPr>
        <w:tabs>
          <w:tab w:val="left" w:pos="720"/>
          <w:tab w:val="left" w:pos="8364"/>
        </w:tabs>
        <w:adjustRightInd w:val="0"/>
        <w:snapToGrid w:val="0"/>
        <w:spacing w:line="360" w:lineRule="auto"/>
        <w:ind w:firstLine="420"/>
        <w:rPr>
          <w:rFonts w:hint="eastAsia"/>
          <w:sz w:val="21"/>
          <w:szCs w:val="21"/>
        </w:rPr>
      </w:pPr>
      <w:r>
        <w:rPr>
          <w:rFonts w:hint="eastAsia"/>
          <w:sz w:val="21"/>
          <w:szCs w:val="21"/>
        </w:rPr>
        <w:t>1、在参与政府采购活动中遵纪守法、诚信经营、公平竞标。</w:t>
      </w:r>
    </w:p>
    <w:p w14:paraId="4CFB6060">
      <w:pPr>
        <w:tabs>
          <w:tab w:val="left" w:pos="720"/>
          <w:tab w:val="left" w:pos="8364"/>
        </w:tabs>
        <w:adjustRightInd w:val="0"/>
        <w:snapToGrid w:val="0"/>
        <w:spacing w:line="360" w:lineRule="auto"/>
        <w:ind w:firstLine="420"/>
        <w:rPr>
          <w:rFonts w:hint="eastAsia"/>
          <w:sz w:val="21"/>
          <w:szCs w:val="21"/>
        </w:rPr>
      </w:pPr>
      <w:r>
        <w:rPr>
          <w:rFonts w:hint="eastAsia"/>
          <w:sz w:val="21"/>
          <w:szCs w:val="21"/>
        </w:rPr>
        <w:t>2、不向政府采购人、采购代理机构和政府采购评审专家进行任何形式的商业贿赂以谋取交易机会。</w:t>
      </w:r>
    </w:p>
    <w:p w14:paraId="11BC7130">
      <w:pPr>
        <w:tabs>
          <w:tab w:val="left" w:pos="720"/>
          <w:tab w:val="left" w:pos="8364"/>
        </w:tabs>
        <w:adjustRightInd w:val="0"/>
        <w:snapToGrid w:val="0"/>
        <w:spacing w:line="360" w:lineRule="auto"/>
        <w:ind w:firstLine="420"/>
        <w:rPr>
          <w:rFonts w:hint="eastAsia"/>
          <w:sz w:val="21"/>
          <w:szCs w:val="21"/>
        </w:rPr>
      </w:pPr>
      <w:r>
        <w:rPr>
          <w:rFonts w:hint="eastAsia"/>
          <w:sz w:val="21"/>
          <w:szCs w:val="21"/>
        </w:rPr>
        <w:t>3、不向政府采购代理机构和采购人提供虚假资质文件或采用虚假应标方式参与政府采购市场竞争并谋取中标、成交。</w:t>
      </w:r>
    </w:p>
    <w:p w14:paraId="38B52483">
      <w:pPr>
        <w:tabs>
          <w:tab w:val="left" w:pos="720"/>
          <w:tab w:val="left" w:pos="8364"/>
        </w:tabs>
        <w:adjustRightInd w:val="0"/>
        <w:snapToGrid w:val="0"/>
        <w:spacing w:line="360" w:lineRule="auto"/>
        <w:ind w:firstLine="420"/>
        <w:rPr>
          <w:rFonts w:hint="eastAsia"/>
          <w:sz w:val="21"/>
          <w:szCs w:val="21"/>
        </w:rPr>
      </w:pPr>
      <w:r>
        <w:rPr>
          <w:rFonts w:hint="eastAsia"/>
          <w:sz w:val="21"/>
          <w:szCs w:val="21"/>
        </w:rPr>
        <w:t>4、不采取“围标、陪标”等商业欺诈手段获得政府采购定单。</w:t>
      </w:r>
    </w:p>
    <w:p w14:paraId="55197358">
      <w:pPr>
        <w:tabs>
          <w:tab w:val="left" w:pos="720"/>
          <w:tab w:val="left" w:pos="8364"/>
        </w:tabs>
        <w:adjustRightInd w:val="0"/>
        <w:snapToGrid w:val="0"/>
        <w:spacing w:line="360" w:lineRule="auto"/>
        <w:ind w:firstLine="420"/>
        <w:rPr>
          <w:rFonts w:hint="eastAsia"/>
          <w:sz w:val="21"/>
          <w:szCs w:val="21"/>
        </w:rPr>
      </w:pPr>
      <w:r>
        <w:rPr>
          <w:rFonts w:hint="eastAsia"/>
          <w:sz w:val="21"/>
          <w:szCs w:val="21"/>
        </w:rPr>
        <w:t>5、不采取不正当手段诋毁、排挤其他供应商。</w:t>
      </w:r>
    </w:p>
    <w:p w14:paraId="4ED73340">
      <w:pPr>
        <w:tabs>
          <w:tab w:val="left" w:pos="720"/>
          <w:tab w:val="left" w:pos="8364"/>
        </w:tabs>
        <w:adjustRightInd w:val="0"/>
        <w:snapToGrid w:val="0"/>
        <w:spacing w:line="360" w:lineRule="auto"/>
        <w:ind w:firstLine="420"/>
        <w:rPr>
          <w:rFonts w:hint="eastAsia"/>
          <w:sz w:val="21"/>
          <w:szCs w:val="21"/>
        </w:rPr>
      </w:pPr>
      <w:r>
        <w:rPr>
          <w:rFonts w:hint="eastAsia"/>
          <w:sz w:val="21"/>
          <w:szCs w:val="21"/>
        </w:rPr>
        <w:t>6、不在提供商品和服务时“偷梁换柱、以次充好”损害采购人的合法权益。</w:t>
      </w:r>
    </w:p>
    <w:p w14:paraId="6E04EE51">
      <w:pPr>
        <w:tabs>
          <w:tab w:val="left" w:pos="720"/>
          <w:tab w:val="left" w:pos="8364"/>
        </w:tabs>
        <w:adjustRightInd w:val="0"/>
        <w:snapToGrid w:val="0"/>
        <w:spacing w:line="360" w:lineRule="auto"/>
        <w:ind w:firstLine="420"/>
        <w:rPr>
          <w:rFonts w:hint="eastAsia"/>
          <w:sz w:val="21"/>
          <w:szCs w:val="21"/>
        </w:rPr>
      </w:pPr>
      <w:r>
        <w:rPr>
          <w:rFonts w:hint="eastAsia"/>
          <w:sz w:val="21"/>
          <w:szCs w:val="21"/>
        </w:rPr>
        <w:t>7、不与采购人、采购代理机构政府采购评审专家或其它供应商恶意串通，进行质疑和投诉，维护政府采购市场秩序。</w:t>
      </w:r>
    </w:p>
    <w:p w14:paraId="637326A6">
      <w:pPr>
        <w:tabs>
          <w:tab w:val="left" w:pos="720"/>
          <w:tab w:val="left" w:pos="8364"/>
        </w:tabs>
        <w:adjustRightInd w:val="0"/>
        <w:snapToGrid w:val="0"/>
        <w:spacing w:line="360" w:lineRule="auto"/>
        <w:ind w:firstLine="420"/>
        <w:rPr>
          <w:rFonts w:hint="eastAsia"/>
          <w:sz w:val="21"/>
          <w:szCs w:val="21"/>
        </w:rPr>
      </w:pPr>
      <w:r>
        <w:rPr>
          <w:rFonts w:hint="eastAsia"/>
          <w:sz w:val="21"/>
          <w:szCs w:val="21"/>
        </w:rPr>
        <w:t>8、尊重和接受政府采购监督管理部门的监督和政府采购代理机构招标采购要求，承担因违约行为给采购人造成的损失。</w:t>
      </w:r>
    </w:p>
    <w:p w14:paraId="23A60C2E">
      <w:pPr>
        <w:tabs>
          <w:tab w:val="left" w:pos="720"/>
          <w:tab w:val="left" w:pos="8364"/>
        </w:tabs>
        <w:adjustRightInd w:val="0"/>
        <w:snapToGrid w:val="0"/>
        <w:spacing w:line="360" w:lineRule="auto"/>
        <w:ind w:firstLine="420"/>
        <w:rPr>
          <w:rFonts w:hint="eastAsia"/>
          <w:sz w:val="21"/>
          <w:szCs w:val="21"/>
        </w:rPr>
      </w:pPr>
      <w:r>
        <w:rPr>
          <w:rFonts w:hint="eastAsia"/>
          <w:sz w:val="21"/>
          <w:szCs w:val="21"/>
        </w:rPr>
        <w:t>9、不发生其他有悖于政府采购公开、公平、公正和诚信原则的行为。</w:t>
      </w:r>
    </w:p>
    <w:p w14:paraId="28A66B4E">
      <w:pPr>
        <w:tabs>
          <w:tab w:val="left" w:pos="720"/>
          <w:tab w:val="left" w:pos="8364"/>
        </w:tabs>
        <w:adjustRightInd w:val="0"/>
        <w:snapToGrid w:val="0"/>
        <w:spacing w:line="360" w:lineRule="auto"/>
        <w:ind w:firstLine="420"/>
        <w:rPr>
          <w:rFonts w:hint="eastAsia"/>
          <w:sz w:val="21"/>
          <w:szCs w:val="21"/>
        </w:rPr>
      </w:pPr>
      <w:r>
        <w:rPr>
          <w:rFonts w:hint="eastAsia"/>
          <w:sz w:val="21"/>
          <w:szCs w:val="21"/>
        </w:rPr>
        <w:t xml:space="preserve"> </w:t>
      </w:r>
    </w:p>
    <w:p w14:paraId="47B6B64C">
      <w:pPr>
        <w:tabs>
          <w:tab w:val="left" w:pos="720"/>
          <w:tab w:val="left" w:pos="8364"/>
        </w:tabs>
        <w:adjustRightInd w:val="0"/>
        <w:snapToGrid w:val="0"/>
        <w:spacing w:line="360" w:lineRule="auto"/>
        <w:ind w:firstLine="420"/>
        <w:rPr>
          <w:rFonts w:hint="eastAsia"/>
          <w:sz w:val="21"/>
          <w:szCs w:val="21"/>
        </w:rPr>
      </w:pPr>
      <w:r>
        <w:rPr>
          <w:rFonts w:hint="eastAsia"/>
          <w:sz w:val="21"/>
          <w:szCs w:val="21"/>
        </w:rPr>
        <w:t xml:space="preserve">  </w:t>
      </w:r>
    </w:p>
    <w:p w14:paraId="2E8F6307">
      <w:pPr>
        <w:tabs>
          <w:tab w:val="left" w:pos="720"/>
          <w:tab w:val="left" w:pos="8364"/>
        </w:tabs>
        <w:adjustRightInd w:val="0"/>
        <w:snapToGrid w:val="0"/>
        <w:spacing w:line="360" w:lineRule="auto"/>
        <w:ind w:firstLine="420"/>
        <w:rPr>
          <w:rFonts w:hint="eastAsia"/>
          <w:sz w:val="21"/>
          <w:szCs w:val="21"/>
        </w:rPr>
      </w:pPr>
    </w:p>
    <w:p w14:paraId="52BE747D">
      <w:pPr>
        <w:tabs>
          <w:tab w:val="left" w:pos="720"/>
          <w:tab w:val="left" w:pos="8364"/>
        </w:tabs>
        <w:adjustRightInd w:val="0"/>
        <w:snapToGrid w:val="0"/>
        <w:spacing w:line="360" w:lineRule="auto"/>
        <w:ind w:firstLine="420"/>
        <w:rPr>
          <w:rFonts w:hint="eastAsia"/>
          <w:sz w:val="21"/>
          <w:szCs w:val="21"/>
        </w:rPr>
      </w:pPr>
      <w:r>
        <w:rPr>
          <w:rFonts w:hint="eastAsia"/>
          <w:sz w:val="21"/>
          <w:szCs w:val="21"/>
        </w:rPr>
        <w:t xml:space="preserve">  承诺单位（盖章）</w:t>
      </w:r>
    </w:p>
    <w:p w14:paraId="1965FCE0">
      <w:pPr>
        <w:tabs>
          <w:tab w:val="left" w:pos="720"/>
          <w:tab w:val="left" w:pos="8364"/>
        </w:tabs>
        <w:adjustRightInd w:val="0"/>
        <w:snapToGrid w:val="0"/>
        <w:spacing w:line="360" w:lineRule="auto"/>
        <w:ind w:firstLine="420"/>
        <w:rPr>
          <w:rFonts w:hint="eastAsia"/>
          <w:sz w:val="21"/>
          <w:szCs w:val="21"/>
        </w:rPr>
      </w:pPr>
      <w:r>
        <w:rPr>
          <w:rFonts w:hint="eastAsia"/>
          <w:sz w:val="21"/>
          <w:szCs w:val="21"/>
        </w:rPr>
        <w:t xml:space="preserve">  全权代表：</w:t>
      </w:r>
    </w:p>
    <w:p w14:paraId="62F1B1BB">
      <w:pPr>
        <w:tabs>
          <w:tab w:val="left" w:pos="720"/>
          <w:tab w:val="left" w:pos="8364"/>
        </w:tabs>
        <w:adjustRightInd w:val="0"/>
        <w:snapToGrid w:val="0"/>
        <w:spacing w:line="360" w:lineRule="auto"/>
        <w:ind w:firstLine="420"/>
        <w:rPr>
          <w:rFonts w:hint="eastAsia"/>
          <w:sz w:val="21"/>
          <w:szCs w:val="21"/>
        </w:rPr>
      </w:pPr>
      <w:r>
        <w:rPr>
          <w:rFonts w:hint="eastAsia"/>
          <w:sz w:val="21"/>
          <w:szCs w:val="21"/>
        </w:rPr>
        <w:t xml:space="preserve">  地    址：                           邮    编：</w:t>
      </w:r>
    </w:p>
    <w:p w14:paraId="00CF8233">
      <w:pPr>
        <w:tabs>
          <w:tab w:val="left" w:pos="720"/>
          <w:tab w:val="left" w:pos="8364"/>
        </w:tabs>
        <w:adjustRightInd w:val="0"/>
        <w:snapToGrid w:val="0"/>
        <w:spacing w:line="360" w:lineRule="auto"/>
        <w:ind w:firstLine="420"/>
        <w:rPr>
          <w:rFonts w:hint="eastAsia"/>
          <w:sz w:val="21"/>
          <w:szCs w:val="21"/>
        </w:rPr>
      </w:pPr>
      <w:r>
        <w:rPr>
          <w:rFonts w:hint="eastAsia"/>
          <w:sz w:val="21"/>
          <w:szCs w:val="21"/>
        </w:rPr>
        <w:t xml:space="preserve">  电    话：</w:t>
      </w:r>
    </w:p>
    <w:p w14:paraId="2C56F300">
      <w:pPr>
        <w:tabs>
          <w:tab w:val="left" w:pos="720"/>
          <w:tab w:val="left" w:pos="8364"/>
        </w:tabs>
        <w:adjustRightInd w:val="0"/>
        <w:snapToGrid w:val="0"/>
        <w:spacing w:line="360" w:lineRule="auto"/>
        <w:ind w:firstLine="420"/>
        <w:rPr>
          <w:rFonts w:hint="eastAsia"/>
          <w:sz w:val="21"/>
          <w:szCs w:val="21"/>
        </w:rPr>
      </w:pPr>
    </w:p>
    <w:p w14:paraId="70E04963">
      <w:pPr>
        <w:pStyle w:val="332"/>
        <w:tabs>
          <w:tab w:val="left" w:pos="7920"/>
        </w:tabs>
        <w:jc w:val="right"/>
        <w:rPr>
          <w:rFonts w:hint="eastAsia" w:ascii="宋体" w:hAnsi="宋体" w:eastAsia="宋体" w:cs="宋体"/>
          <w:sz w:val="21"/>
          <w:szCs w:val="21"/>
          <w:lang w:val="en-US"/>
        </w:rPr>
      </w:pPr>
      <w:r>
        <w:rPr>
          <w:rFonts w:hint="eastAsia" w:ascii="宋体" w:hAnsi="宋体" w:eastAsia="宋体" w:cs="宋体"/>
          <w:sz w:val="21"/>
          <w:szCs w:val="21"/>
          <w:lang w:val="en-US"/>
        </w:rPr>
        <w:t>年   月   日</w:t>
      </w:r>
    </w:p>
    <w:p w14:paraId="7CF2ACC2">
      <w:pPr>
        <w:spacing w:line="360" w:lineRule="auto"/>
        <w:rPr>
          <w:rFonts w:hint="eastAsia"/>
          <w:sz w:val="21"/>
          <w:szCs w:val="21"/>
        </w:rPr>
      </w:pPr>
    </w:p>
    <w:p w14:paraId="55760C42">
      <w:pPr>
        <w:spacing w:line="360" w:lineRule="auto"/>
        <w:rPr>
          <w:rFonts w:hint="eastAsia"/>
          <w:sz w:val="21"/>
          <w:szCs w:val="21"/>
        </w:rPr>
      </w:pPr>
      <w:r>
        <w:rPr>
          <w:rFonts w:hint="eastAsia"/>
          <w:sz w:val="21"/>
          <w:szCs w:val="21"/>
        </w:rPr>
        <w:br w:type="page"/>
      </w:r>
      <w:r>
        <w:rPr>
          <w:rFonts w:hint="eastAsia"/>
          <w:sz w:val="21"/>
          <w:szCs w:val="21"/>
        </w:rPr>
        <w:t>格式3：</w:t>
      </w:r>
    </w:p>
    <w:p w14:paraId="4A059CD4">
      <w:pPr>
        <w:tabs>
          <w:tab w:val="left" w:pos="720"/>
          <w:tab w:val="left" w:pos="8364"/>
        </w:tabs>
        <w:adjustRightInd w:val="0"/>
        <w:snapToGrid w:val="0"/>
        <w:spacing w:line="360" w:lineRule="auto"/>
        <w:rPr>
          <w:rFonts w:hint="eastAsia"/>
          <w:sz w:val="21"/>
          <w:szCs w:val="21"/>
        </w:rPr>
      </w:pPr>
    </w:p>
    <w:p w14:paraId="70BF273F">
      <w:pPr>
        <w:spacing w:line="360" w:lineRule="auto"/>
        <w:ind w:firstLine="422"/>
        <w:jc w:val="center"/>
        <w:rPr>
          <w:rFonts w:hint="eastAsia"/>
          <w:b/>
          <w:bCs/>
          <w:sz w:val="21"/>
          <w:szCs w:val="21"/>
        </w:rPr>
      </w:pPr>
      <w:r>
        <w:rPr>
          <w:rFonts w:hint="eastAsia"/>
          <w:b/>
          <w:bCs/>
          <w:sz w:val="21"/>
          <w:szCs w:val="21"/>
        </w:rPr>
        <w:t>中小企业声明函（工程、服务）</w:t>
      </w:r>
    </w:p>
    <w:p w14:paraId="5A71078F">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本公司（联合体）郑重声明，根据《政府采购促进中小企业发展管理办法》（财库﹝2020﹞46 号）的规定，本公司（联合体）参加</w:t>
      </w:r>
      <w:r>
        <w:rPr>
          <w:rFonts w:hint="eastAsia"/>
          <w:sz w:val="21"/>
          <w:szCs w:val="21"/>
          <w:u w:val="single"/>
        </w:rPr>
        <w:t>（单位名称）</w:t>
      </w:r>
      <w:r>
        <w:rPr>
          <w:rFonts w:hint="eastAsia"/>
          <w:sz w:val="21"/>
          <w:szCs w:val="21"/>
        </w:rPr>
        <w:t>的</w:t>
      </w:r>
      <w:r>
        <w:rPr>
          <w:rFonts w:hint="eastAsia"/>
          <w:sz w:val="21"/>
          <w:szCs w:val="21"/>
          <w:u w:val="single"/>
        </w:rPr>
        <w:t>（项目名称）</w:t>
      </w:r>
      <w:r>
        <w:rPr>
          <w:rFonts w:hint="eastAsia"/>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56760C56">
      <w:pPr>
        <w:tabs>
          <w:tab w:val="left" w:pos="720"/>
          <w:tab w:val="left" w:pos="8364"/>
        </w:tabs>
        <w:adjustRightInd w:val="0"/>
        <w:snapToGrid w:val="0"/>
        <w:spacing w:line="360" w:lineRule="auto"/>
        <w:ind w:firstLine="420"/>
        <w:rPr>
          <w:rFonts w:hint="eastAsia"/>
          <w:sz w:val="21"/>
          <w:szCs w:val="21"/>
        </w:rPr>
      </w:pPr>
      <w:r>
        <w:rPr>
          <w:rFonts w:hint="eastAsia"/>
          <w:sz w:val="21"/>
          <w:szCs w:val="21"/>
        </w:rPr>
        <w:t>1.</w:t>
      </w:r>
      <w:r>
        <w:rPr>
          <w:rFonts w:hint="eastAsia"/>
          <w:sz w:val="21"/>
          <w:szCs w:val="21"/>
          <w:u w:val="single"/>
        </w:rPr>
        <w:t xml:space="preserve"> （标的名称） </w:t>
      </w:r>
      <w:r>
        <w:rPr>
          <w:rFonts w:hint="eastAsia"/>
          <w:sz w:val="21"/>
          <w:szCs w:val="21"/>
        </w:rPr>
        <w:t>，属于</w:t>
      </w:r>
      <w:r>
        <w:rPr>
          <w:rFonts w:hint="eastAsia"/>
          <w:b/>
          <w:bCs/>
          <w:sz w:val="21"/>
          <w:szCs w:val="21"/>
          <w:u w:val="single"/>
        </w:rPr>
        <w:t>建筑业</w:t>
      </w:r>
      <w:r>
        <w:rPr>
          <w:rFonts w:hint="eastAsia"/>
          <w:sz w:val="21"/>
          <w:szCs w:val="21"/>
        </w:rPr>
        <w:t>；承建（承接）企业为</w:t>
      </w:r>
      <w:r>
        <w:rPr>
          <w:rFonts w:hint="eastAsia"/>
          <w:sz w:val="21"/>
          <w:szCs w:val="21"/>
          <w:u w:val="single"/>
        </w:rPr>
        <w:t>（企业名称）</w:t>
      </w:r>
      <w:r>
        <w:rPr>
          <w:rFonts w:hint="eastAsia"/>
          <w:sz w:val="21"/>
          <w:szCs w:val="21"/>
        </w:rPr>
        <w:t>，从业人员</w:t>
      </w:r>
      <w:r>
        <w:rPr>
          <w:rFonts w:hint="eastAsia"/>
          <w:sz w:val="21"/>
          <w:szCs w:val="21"/>
          <w:u w:val="single"/>
        </w:rPr>
        <w:t xml:space="preserve">     </w:t>
      </w:r>
      <w:r>
        <w:rPr>
          <w:rFonts w:hint="eastAsia"/>
          <w:sz w:val="21"/>
          <w:szCs w:val="21"/>
        </w:rPr>
        <w:t>人，营业收入为</w:t>
      </w:r>
      <w:r>
        <w:rPr>
          <w:rFonts w:hint="eastAsia"/>
          <w:sz w:val="21"/>
          <w:szCs w:val="21"/>
          <w:u w:val="single"/>
        </w:rPr>
        <w:t xml:space="preserve">     </w:t>
      </w:r>
      <w:r>
        <w:rPr>
          <w:rFonts w:hint="eastAsia"/>
          <w:sz w:val="21"/>
          <w:szCs w:val="21"/>
        </w:rPr>
        <w:t>万元，资产总额为</w:t>
      </w:r>
      <w:r>
        <w:rPr>
          <w:rFonts w:hint="eastAsia"/>
          <w:sz w:val="21"/>
          <w:szCs w:val="21"/>
          <w:u w:val="single"/>
        </w:rPr>
        <w:t xml:space="preserve">     </w:t>
      </w:r>
      <w:r>
        <w:rPr>
          <w:rFonts w:hint="eastAsia"/>
          <w:sz w:val="21"/>
          <w:szCs w:val="21"/>
        </w:rPr>
        <w:t>万元（注：1），属于</w:t>
      </w:r>
      <w:r>
        <w:rPr>
          <w:rFonts w:hint="eastAsia"/>
          <w:sz w:val="21"/>
          <w:szCs w:val="21"/>
          <w:u w:val="single"/>
        </w:rPr>
        <w:t>（中型企业、小型企业、微型企业）</w:t>
      </w:r>
      <w:r>
        <w:rPr>
          <w:rFonts w:hint="eastAsia"/>
          <w:sz w:val="21"/>
          <w:szCs w:val="21"/>
        </w:rPr>
        <w:t>；</w:t>
      </w:r>
    </w:p>
    <w:p w14:paraId="7C520ACB">
      <w:pPr>
        <w:tabs>
          <w:tab w:val="left" w:pos="720"/>
          <w:tab w:val="left" w:pos="8364"/>
        </w:tabs>
        <w:adjustRightInd w:val="0"/>
        <w:snapToGrid w:val="0"/>
        <w:spacing w:line="360" w:lineRule="auto"/>
        <w:ind w:firstLine="420"/>
        <w:rPr>
          <w:rFonts w:hint="eastAsia"/>
          <w:sz w:val="21"/>
          <w:szCs w:val="21"/>
        </w:rPr>
      </w:pPr>
      <w:r>
        <w:rPr>
          <w:rFonts w:hint="eastAsia"/>
          <w:sz w:val="21"/>
          <w:szCs w:val="21"/>
        </w:rPr>
        <w:t>2.</w:t>
      </w:r>
      <w:r>
        <w:rPr>
          <w:rFonts w:hint="eastAsia"/>
          <w:sz w:val="21"/>
          <w:szCs w:val="21"/>
          <w:u w:val="single"/>
        </w:rPr>
        <w:t xml:space="preserve"> （标的名称） </w:t>
      </w:r>
      <w:r>
        <w:rPr>
          <w:rFonts w:hint="eastAsia"/>
          <w:sz w:val="21"/>
          <w:szCs w:val="21"/>
        </w:rPr>
        <w:t>，属于</w:t>
      </w:r>
      <w:r>
        <w:rPr>
          <w:rFonts w:hint="eastAsia"/>
          <w:b/>
          <w:bCs/>
          <w:sz w:val="21"/>
          <w:szCs w:val="21"/>
          <w:u w:val="single"/>
        </w:rPr>
        <w:t>建筑业</w:t>
      </w:r>
      <w:r>
        <w:rPr>
          <w:rFonts w:hint="eastAsia"/>
          <w:sz w:val="21"/>
          <w:szCs w:val="21"/>
        </w:rPr>
        <w:t>；承建（承接）企业为</w:t>
      </w:r>
      <w:r>
        <w:rPr>
          <w:rFonts w:hint="eastAsia"/>
          <w:sz w:val="21"/>
          <w:szCs w:val="21"/>
          <w:u w:val="single"/>
        </w:rPr>
        <w:t>（企业名称）</w:t>
      </w:r>
      <w:r>
        <w:rPr>
          <w:rFonts w:hint="eastAsia"/>
          <w:sz w:val="21"/>
          <w:szCs w:val="21"/>
        </w:rPr>
        <w:t>，从业人员</w:t>
      </w:r>
      <w:r>
        <w:rPr>
          <w:rFonts w:hint="eastAsia"/>
          <w:sz w:val="21"/>
          <w:szCs w:val="21"/>
          <w:u w:val="single"/>
        </w:rPr>
        <w:t xml:space="preserve">     </w:t>
      </w:r>
      <w:r>
        <w:rPr>
          <w:rFonts w:hint="eastAsia"/>
          <w:sz w:val="21"/>
          <w:szCs w:val="21"/>
        </w:rPr>
        <w:t>人，营业收入为</w:t>
      </w:r>
      <w:r>
        <w:rPr>
          <w:rFonts w:hint="eastAsia"/>
          <w:sz w:val="21"/>
          <w:szCs w:val="21"/>
          <w:u w:val="single"/>
        </w:rPr>
        <w:t xml:space="preserve">     </w:t>
      </w:r>
      <w:r>
        <w:rPr>
          <w:rFonts w:hint="eastAsia"/>
          <w:sz w:val="21"/>
          <w:szCs w:val="21"/>
        </w:rPr>
        <w:t>万元，资产总额为</w:t>
      </w:r>
      <w:r>
        <w:rPr>
          <w:rFonts w:hint="eastAsia"/>
          <w:sz w:val="21"/>
          <w:szCs w:val="21"/>
          <w:u w:val="single"/>
        </w:rPr>
        <w:t xml:space="preserve">     </w:t>
      </w:r>
      <w:r>
        <w:rPr>
          <w:rFonts w:hint="eastAsia"/>
          <w:sz w:val="21"/>
          <w:szCs w:val="21"/>
        </w:rPr>
        <w:t>万元，属于</w:t>
      </w:r>
      <w:r>
        <w:rPr>
          <w:rFonts w:hint="eastAsia"/>
          <w:sz w:val="21"/>
          <w:szCs w:val="21"/>
          <w:u w:val="single"/>
        </w:rPr>
        <w:t>（中型企业、小型企业、微型企业）</w:t>
      </w:r>
      <w:r>
        <w:rPr>
          <w:rFonts w:hint="eastAsia"/>
          <w:sz w:val="21"/>
          <w:szCs w:val="21"/>
        </w:rPr>
        <w:t>；</w:t>
      </w:r>
    </w:p>
    <w:p w14:paraId="52D0F62B">
      <w:pPr>
        <w:tabs>
          <w:tab w:val="left" w:pos="720"/>
          <w:tab w:val="left" w:pos="8364"/>
        </w:tabs>
        <w:adjustRightInd w:val="0"/>
        <w:snapToGrid w:val="0"/>
        <w:spacing w:line="360" w:lineRule="auto"/>
        <w:ind w:firstLine="420"/>
        <w:rPr>
          <w:rFonts w:hint="eastAsia"/>
          <w:sz w:val="21"/>
          <w:szCs w:val="21"/>
        </w:rPr>
      </w:pPr>
      <w:r>
        <w:rPr>
          <w:rFonts w:hint="eastAsia"/>
          <w:sz w:val="21"/>
          <w:szCs w:val="21"/>
        </w:rPr>
        <w:t>……</w:t>
      </w:r>
    </w:p>
    <w:p w14:paraId="159A020B">
      <w:pPr>
        <w:tabs>
          <w:tab w:val="left" w:pos="720"/>
          <w:tab w:val="left" w:pos="8364"/>
        </w:tabs>
        <w:adjustRightInd w:val="0"/>
        <w:snapToGrid w:val="0"/>
        <w:spacing w:line="360" w:lineRule="auto"/>
        <w:ind w:firstLine="420"/>
        <w:rPr>
          <w:rFonts w:hint="eastAsia"/>
          <w:sz w:val="21"/>
          <w:szCs w:val="21"/>
        </w:rPr>
      </w:pPr>
      <w:r>
        <w:rPr>
          <w:rFonts w:hint="eastAsia"/>
          <w:sz w:val="21"/>
          <w:szCs w:val="21"/>
        </w:rPr>
        <w:t>以上企业，不属于大企业的分支机构，不存在控股股东为大企业的情形，也不存在与大企业的负责人为同一人的情形。</w:t>
      </w:r>
    </w:p>
    <w:p w14:paraId="0F5AC6F4">
      <w:pPr>
        <w:tabs>
          <w:tab w:val="left" w:pos="720"/>
          <w:tab w:val="left" w:pos="8364"/>
        </w:tabs>
        <w:adjustRightInd w:val="0"/>
        <w:snapToGrid w:val="0"/>
        <w:spacing w:line="360" w:lineRule="auto"/>
        <w:ind w:firstLine="420"/>
        <w:rPr>
          <w:rFonts w:hint="eastAsia"/>
          <w:sz w:val="21"/>
          <w:szCs w:val="21"/>
        </w:rPr>
      </w:pPr>
      <w:r>
        <w:rPr>
          <w:rFonts w:hint="eastAsia"/>
          <w:sz w:val="21"/>
          <w:szCs w:val="21"/>
        </w:rPr>
        <w:t>本企业对上述声明内容的真实性负责。如有虚假，将依法承担相应责任。</w:t>
      </w:r>
    </w:p>
    <w:p w14:paraId="68527D28">
      <w:pPr>
        <w:tabs>
          <w:tab w:val="left" w:pos="720"/>
          <w:tab w:val="left" w:pos="8364"/>
        </w:tabs>
        <w:adjustRightInd w:val="0"/>
        <w:snapToGrid w:val="0"/>
        <w:spacing w:line="360" w:lineRule="auto"/>
        <w:ind w:firstLine="420"/>
        <w:jc w:val="center"/>
        <w:rPr>
          <w:rFonts w:hint="eastAsia"/>
          <w:sz w:val="21"/>
          <w:szCs w:val="21"/>
        </w:rPr>
      </w:pPr>
      <w:r>
        <w:rPr>
          <w:rFonts w:hint="eastAsia"/>
          <w:sz w:val="21"/>
          <w:szCs w:val="21"/>
        </w:rPr>
        <w:t xml:space="preserve">                                 企业名称（盖章）：</w:t>
      </w:r>
    </w:p>
    <w:p w14:paraId="59189565">
      <w:pPr>
        <w:tabs>
          <w:tab w:val="left" w:pos="720"/>
          <w:tab w:val="left" w:pos="8364"/>
        </w:tabs>
        <w:adjustRightInd w:val="0"/>
        <w:snapToGrid w:val="0"/>
        <w:spacing w:line="360" w:lineRule="auto"/>
        <w:ind w:firstLine="420"/>
        <w:jc w:val="center"/>
        <w:rPr>
          <w:rFonts w:hint="eastAsia"/>
          <w:sz w:val="21"/>
          <w:szCs w:val="21"/>
        </w:rPr>
      </w:pPr>
      <w:r>
        <w:rPr>
          <w:rFonts w:hint="eastAsia"/>
          <w:sz w:val="21"/>
          <w:szCs w:val="21"/>
        </w:rPr>
        <w:t xml:space="preserve">                     日期：</w:t>
      </w:r>
    </w:p>
    <w:p w14:paraId="4D91284B">
      <w:pPr>
        <w:spacing w:line="360" w:lineRule="auto"/>
        <w:ind w:firstLine="420" w:firstLineChars="200"/>
        <w:rPr>
          <w:rFonts w:hint="eastAsia"/>
          <w:sz w:val="21"/>
          <w:szCs w:val="21"/>
        </w:rPr>
      </w:pPr>
      <w:r>
        <w:rPr>
          <w:rFonts w:hint="eastAsia"/>
          <w:sz w:val="21"/>
          <w:szCs w:val="21"/>
        </w:rPr>
        <w:t>注：从业人员、营业收入、资产总额填报上一年度数据，无上一年度数据的新成立企业可不填报。</w:t>
      </w:r>
    </w:p>
    <w:p w14:paraId="4198DFCD">
      <w:pPr>
        <w:spacing w:line="360" w:lineRule="auto"/>
        <w:ind w:firstLine="420" w:firstLineChars="200"/>
        <w:rPr>
          <w:rFonts w:hint="eastAsia"/>
          <w:sz w:val="21"/>
          <w:szCs w:val="21"/>
        </w:rPr>
      </w:pPr>
    </w:p>
    <w:p w14:paraId="2CF6D741">
      <w:pPr>
        <w:pStyle w:val="31"/>
        <w:spacing w:line="360" w:lineRule="auto"/>
        <w:ind w:left="2880"/>
        <w:rPr>
          <w:rFonts w:hint="eastAsia"/>
          <w:sz w:val="21"/>
          <w:szCs w:val="21"/>
        </w:rPr>
      </w:pPr>
    </w:p>
    <w:p w14:paraId="2A266944">
      <w:pPr>
        <w:pStyle w:val="31"/>
        <w:spacing w:line="360" w:lineRule="auto"/>
        <w:ind w:left="2880"/>
        <w:rPr>
          <w:rFonts w:hint="eastAsia"/>
          <w:sz w:val="21"/>
          <w:szCs w:val="21"/>
        </w:rPr>
      </w:pPr>
    </w:p>
    <w:p w14:paraId="7A91CD04">
      <w:pPr>
        <w:pStyle w:val="31"/>
        <w:spacing w:line="360" w:lineRule="auto"/>
        <w:ind w:left="2880"/>
        <w:rPr>
          <w:rFonts w:hint="eastAsia"/>
          <w:sz w:val="21"/>
          <w:szCs w:val="21"/>
        </w:rPr>
      </w:pPr>
    </w:p>
    <w:p w14:paraId="2017C7B6">
      <w:pPr>
        <w:pStyle w:val="31"/>
        <w:spacing w:line="360" w:lineRule="auto"/>
        <w:ind w:left="2880"/>
        <w:rPr>
          <w:rFonts w:hint="eastAsia"/>
          <w:sz w:val="21"/>
          <w:szCs w:val="21"/>
        </w:rPr>
      </w:pPr>
    </w:p>
    <w:p w14:paraId="60A578D5">
      <w:pPr>
        <w:pStyle w:val="31"/>
        <w:spacing w:line="360" w:lineRule="auto"/>
        <w:ind w:left="2880"/>
        <w:rPr>
          <w:rFonts w:hint="eastAsia"/>
          <w:sz w:val="21"/>
          <w:szCs w:val="21"/>
        </w:rPr>
      </w:pPr>
    </w:p>
    <w:p w14:paraId="022027C0">
      <w:pPr>
        <w:rPr>
          <w:rFonts w:hint="eastAsia"/>
          <w:sz w:val="21"/>
          <w:szCs w:val="21"/>
        </w:rPr>
      </w:pPr>
      <w:r>
        <w:rPr>
          <w:rFonts w:hint="eastAsia"/>
          <w:sz w:val="21"/>
          <w:szCs w:val="21"/>
        </w:rPr>
        <w:br w:type="page"/>
      </w:r>
    </w:p>
    <w:p w14:paraId="1B452F04">
      <w:pPr>
        <w:rPr>
          <w:rFonts w:hint="eastAsia"/>
          <w:sz w:val="21"/>
          <w:szCs w:val="21"/>
        </w:rPr>
      </w:pPr>
      <w:r>
        <w:rPr>
          <w:rFonts w:hint="eastAsia"/>
          <w:sz w:val="21"/>
          <w:szCs w:val="21"/>
        </w:rPr>
        <w:t>格式4：</w:t>
      </w:r>
    </w:p>
    <w:p w14:paraId="797C39E8">
      <w:pPr>
        <w:spacing w:line="360" w:lineRule="auto"/>
        <w:jc w:val="center"/>
        <w:rPr>
          <w:rFonts w:hint="eastAsia"/>
          <w:b/>
          <w:sz w:val="21"/>
          <w:szCs w:val="21"/>
        </w:rPr>
      </w:pPr>
      <w:r>
        <w:rPr>
          <w:rFonts w:hint="eastAsia"/>
          <w:b/>
          <w:sz w:val="21"/>
          <w:szCs w:val="21"/>
        </w:rPr>
        <w:t>残疾人福利性单位声明函</w:t>
      </w:r>
    </w:p>
    <w:p w14:paraId="29D0DFC3">
      <w:pPr>
        <w:pStyle w:val="60"/>
        <w:spacing w:line="360" w:lineRule="auto"/>
        <w:jc w:val="center"/>
        <w:rPr>
          <w:rFonts w:hint="eastAsia" w:ascii="宋体" w:hAnsi="宋体" w:cs="宋体"/>
          <w:b/>
          <w:bCs/>
          <w:szCs w:val="21"/>
        </w:rPr>
      </w:pPr>
      <w:r>
        <w:rPr>
          <w:rFonts w:hint="eastAsia" w:ascii="宋体" w:hAnsi="宋体" w:cs="宋体"/>
          <w:b/>
          <w:bCs/>
          <w:szCs w:val="21"/>
        </w:rPr>
        <w:t>（如是</w:t>
      </w:r>
      <w:r>
        <w:rPr>
          <w:rFonts w:hint="eastAsia" w:ascii="宋体" w:hAnsi="宋体" w:cs="宋体"/>
          <w:b/>
          <w:szCs w:val="21"/>
        </w:rPr>
        <w:t>残疾人福利性单位</w:t>
      </w:r>
      <w:r>
        <w:rPr>
          <w:rFonts w:hint="eastAsia" w:ascii="宋体" w:hAnsi="宋体" w:cs="宋体"/>
          <w:b/>
          <w:bCs/>
          <w:szCs w:val="21"/>
        </w:rPr>
        <w:t>可填写；非</w:t>
      </w:r>
      <w:r>
        <w:rPr>
          <w:rFonts w:hint="eastAsia" w:ascii="宋体" w:hAnsi="宋体" w:cs="宋体"/>
          <w:b/>
          <w:szCs w:val="21"/>
        </w:rPr>
        <w:t>残疾人福利性单位</w:t>
      </w:r>
      <w:r>
        <w:rPr>
          <w:rFonts w:hint="eastAsia" w:ascii="宋体" w:hAnsi="宋体" w:cs="宋体"/>
          <w:b/>
          <w:bCs/>
          <w:szCs w:val="21"/>
        </w:rPr>
        <w:t>可不填写，也可不提供此页）</w:t>
      </w:r>
    </w:p>
    <w:p w14:paraId="5E713B0B">
      <w:pPr>
        <w:tabs>
          <w:tab w:val="left" w:pos="720"/>
          <w:tab w:val="left" w:pos="8364"/>
        </w:tabs>
        <w:adjustRightInd w:val="0"/>
        <w:snapToGrid w:val="0"/>
        <w:spacing w:line="360" w:lineRule="auto"/>
        <w:ind w:firstLine="420"/>
        <w:rPr>
          <w:rFonts w:hint="eastAsia"/>
          <w:sz w:val="21"/>
          <w:szCs w:val="21"/>
        </w:rPr>
      </w:pPr>
    </w:p>
    <w:p w14:paraId="7974FFC7">
      <w:pPr>
        <w:tabs>
          <w:tab w:val="left" w:pos="720"/>
          <w:tab w:val="left" w:pos="8364"/>
        </w:tabs>
        <w:adjustRightInd w:val="0"/>
        <w:snapToGrid w:val="0"/>
        <w:spacing w:line="360" w:lineRule="auto"/>
        <w:ind w:firstLine="420"/>
        <w:rPr>
          <w:rFonts w:hint="eastAsia"/>
          <w:sz w:val="21"/>
          <w:szCs w:val="21"/>
        </w:rPr>
      </w:pPr>
      <w:r>
        <w:rPr>
          <w:rFonts w:hint="eastAsia"/>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sz w:val="21"/>
          <w:szCs w:val="21"/>
          <w:u w:val="single"/>
        </w:rPr>
        <w:t xml:space="preserve">           </w:t>
      </w:r>
      <w:r>
        <w:rPr>
          <w:rFonts w:hint="eastAsia"/>
          <w:sz w:val="21"/>
          <w:szCs w:val="21"/>
        </w:rPr>
        <w:t>项目（项目编号：</w:t>
      </w:r>
      <w:r>
        <w:rPr>
          <w:rFonts w:hint="eastAsia"/>
          <w:sz w:val="21"/>
          <w:szCs w:val="21"/>
          <w:u w:val="single"/>
        </w:rPr>
        <w:t xml:space="preserve">         </w:t>
      </w:r>
      <w:r>
        <w:rPr>
          <w:rFonts w:hint="eastAsia"/>
          <w:sz w:val="21"/>
          <w:szCs w:val="21"/>
        </w:rPr>
        <w:t>）采购活动提供本单位制造的货物（由本单位承担工程/提供服务），或者提供其他残疾人福利性单位制造的货物（不包括使用非残疾人福利性单位注册商标的货物）。</w:t>
      </w:r>
    </w:p>
    <w:p w14:paraId="14A8423F">
      <w:pPr>
        <w:tabs>
          <w:tab w:val="left" w:pos="720"/>
          <w:tab w:val="left" w:pos="8364"/>
        </w:tabs>
        <w:adjustRightInd w:val="0"/>
        <w:snapToGrid w:val="0"/>
        <w:spacing w:line="360" w:lineRule="auto"/>
        <w:ind w:firstLine="420"/>
        <w:rPr>
          <w:rFonts w:hint="eastAsia"/>
          <w:sz w:val="21"/>
          <w:szCs w:val="21"/>
        </w:rPr>
      </w:pPr>
      <w:r>
        <w:rPr>
          <w:rFonts w:hint="eastAsia"/>
          <w:sz w:val="21"/>
          <w:szCs w:val="21"/>
        </w:rPr>
        <w:t>本单位对上述声明的真实性负责。如有虚假，将依法承担相应责任。</w:t>
      </w:r>
    </w:p>
    <w:p w14:paraId="4DED322B">
      <w:pPr>
        <w:spacing w:line="360" w:lineRule="auto"/>
        <w:rPr>
          <w:rFonts w:hint="eastAsia"/>
          <w:sz w:val="21"/>
          <w:szCs w:val="21"/>
        </w:rPr>
      </w:pPr>
      <w:r>
        <w:rPr>
          <w:rFonts w:hint="eastAsia"/>
          <w:sz w:val="21"/>
          <w:szCs w:val="21"/>
        </w:rPr>
        <w:t>供应商（单位公章）：</w:t>
      </w:r>
      <w:r>
        <w:rPr>
          <w:rFonts w:hint="eastAsia"/>
          <w:sz w:val="21"/>
          <w:szCs w:val="21"/>
          <w:u w:val="single"/>
        </w:rPr>
        <w:t xml:space="preserve">                      </w:t>
      </w:r>
    </w:p>
    <w:p w14:paraId="67AF7EA0">
      <w:pPr>
        <w:spacing w:line="360" w:lineRule="auto"/>
        <w:rPr>
          <w:rFonts w:hint="eastAsia"/>
          <w:sz w:val="21"/>
          <w:szCs w:val="21"/>
        </w:rPr>
      </w:pPr>
      <w:r>
        <w:rPr>
          <w:rFonts w:hint="eastAsia"/>
          <w:sz w:val="21"/>
          <w:szCs w:val="21"/>
        </w:rPr>
        <w:t>法定代表人或其授权委托人（签字或盖章）：</w:t>
      </w:r>
      <w:r>
        <w:rPr>
          <w:rFonts w:hint="eastAsia"/>
          <w:sz w:val="21"/>
          <w:szCs w:val="21"/>
          <w:u w:val="single"/>
        </w:rPr>
        <w:t xml:space="preserve">               </w:t>
      </w:r>
    </w:p>
    <w:p w14:paraId="6A6B2575">
      <w:pPr>
        <w:tabs>
          <w:tab w:val="left" w:pos="8364"/>
        </w:tabs>
        <w:spacing w:after="163" w:afterLines="50" w:line="360" w:lineRule="auto"/>
        <w:ind w:right="-58"/>
        <w:rPr>
          <w:rFonts w:hint="eastAsia"/>
          <w:sz w:val="21"/>
          <w:szCs w:val="21"/>
          <w:u w:val="single"/>
        </w:rPr>
      </w:pPr>
      <w:r>
        <w:rPr>
          <w:rFonts w:hint="eastAsia"/>
          <w:sz w:val="21"/>
          <w:szCs w:val="21"/>
        </w:rPr>
        <w:t>日        期：</w:t>
      </w:r>
      <w:r>
        <w:rPr>
          <w:rFonts w:hint="eastAsia"/>
          <w:sz w:val="21"/>
          <w:szCs w:val="21"/>
          <w:u w:val="single"/>
        </w:rPr>
        <w:t xml:space="preserve">                        </w:t>
      </w:r>
    </w:p>
    <w:p w14:paraId="7DDAF022">
      <w:pPr>
        <w:tabs>
          <w:tab w:val="left" w:pos="5670"/>
        </w:tabs>
        <w:spacing w:line="360" w:lineRule="auto"/>
        <w:rPr>
          <w:rFonts w:hint="eastAsia"/>
          <w:sz w:val="21"/>
          <w:szCs w:val="21"/>
        </w:rPr>
      </w:pPr>
      <w:r>
        <w:rPr>
          <w:rFonts w:hint="eastAsia"/>
          <w:b/>
          <w:bCs/>
          <w:sz w:val="21"/>
          <w:szCs w:val="21"/>
        </w:rPr>
        <w:t>备注：</w:t>
      </w:r>
      <w:r>
        <w:rPr>
          <w:rFonts w:hint="eastAsia"/>
          <w:sz w:val="21"/>
          <w:szCs w:val="21"/>
        </w:rPr>
        <w:t>根据《财政部 民政部 中国残疾人联合会关于促进残疾人就业政府采购政策的通知》（财库〔2017〕141号）的规定：</w:t>
      </w:r>
    </w:p>
    <w:p w14:paraId="5993439B">
      <w:pPr>
        <w:tabs>
          <w:tab w:val="left" w:pos="5670"/>
        </w:tabs>
        <w:spacing w:line="360" w:lineRule="auto"/>
        <w:rPr>
          <w:rFonts w:hint="eastAsia"/>
          <w:sz w:val="21"/>
          <w:szCs w:val="21"/>
        </w:rPr>
      </w:pPr>
      <w:r>
        <w:rPr>
          <w:rFonts w:hint="eastAsia"/>
          <w:sz w:val="21"/>
          <w:szCs w:val="21"/>
        </w:rPr>
        <w:t>一、享受政府采购支持政策的残疾人福利性单位应当同时满足以下条件：</w:t>
      </w:r>
    </w:p>
    <w:p w14:paraId="5F34282C">
      <w:pPr>
        <w:tabs>
          <w:tab w:val="left" w:pos="5670"/>
        </w:tabs>
        <w:spacing w:line="360" w:lineRule="auto"/>
        <w:ind w:firstLine="420" w:firstLineChars="200"/>
        <w:rPr>
          <w:rFonts w:hint="eastAsia"/>
          <w:sz w:val="21"/>
          <w:szCs w:val="21"/>
        </w:rPr>
      </w:pPr>
      <w:r>
        <w:rPr>
          <w:rFonts w:hint="eastAsia"/>
          <w:sz w:val="21"/>
          <w:szCs w:val="21"/>
        </w:rPr>
        <w:t>（一）安置的残疾人占本单位在职职工人数的比例不低于25%（含25%），并且安置的残疾人人数不少于10人（含10人）；</w:t>
      </w:r>
    </w:p>
    <w:p w14:paraId="78FA6317">
      <w:pPr>
        <w:tabs>
          <w:tab w:val="left" w:pos="5670"/>
        </w:tabs>
        <w:spacing w:line="360" w:lineRule="auto"/>
        <w:ind w:firstLine="420" w:firstLineChars="200"/>
        <w:rPr>
          <w:rFonts w:hint="eastAsia"/>
          <w:sz w:val="21"/>
          <w:szCs w:val="21"/>
        </w:rPr>
      </w:pPr>
      <w:r>
        <w:rPr>
          <w:rFonts w:hint="eastAsia"/>
          <w:sz w:val="21"/>
          <w:szCs w:val="21"/>
        </w:rPr>
        <w:t>（二）依法与安置的每位残疾人签订了一年以上（含一年）的劳动合同或服务协议；</w:t>
      </w:r>
    </w:p>
    <w:p w14:paraId="3D1FC695">
      <w:pPr>
        <w:tabs>
          <w:tab w:val="left" w:pos="5670"/>
        </w:tabs>
        <w:spacing w:line="360" w:lineRule="auto"/>
        <w:ind w:firstLine="420" w:firstLineChars="200"/>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4D5C2B37">
      <w:pPr>
        <w:tabs>
          <w:tab w:val="left" w:pos="5670"/>
        </w:tabs>
        <w:spacing w:line="360" w:lineRule="auto"/>
        <w:ind w:firstLine="420" w:firstLineChars="200"/>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6FB6F04B">
      <w:pPr>
        <w:tabs>
          <w:tab w:val="left" w:pos="5670"/>
        </w:tabs>
        <w:spacing w:line="360" w:lineRule="auto"/>
        <w:ind w:firstLine="420" w:firstLineChars="200"/>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00AAEE2B">
      <w:pPr>
        <w:tabs>
          <w:tab w:val="left" w:pos="5670"/>
        </w:tabs>
        <w:spacing w:line="360" w:lineRule="auto"/>
        <w:ind w:firstLine="420" w:firstLineChars="200"/>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9D9BE82">
      <w:pPr>
        <w:rPr>
          <w:rFonts w:hint="eastAsia"/>
          <w:sz w:val="21"/>
          <w:szCs w:val="21"/>
        </w:rPr>
      </w:pPr>
      <w:r>
        <w:rPr>
          <w:rFonts w:hint="eastAsia"/>
          <w:sz w:val="21"/>
          <w:szCs w:val="21"/>
        </w:rPr>
        <w:t>二、成交供应商为残疾人福利性单位的，采购人或者其委托的采购代理机构应当随成交结果同时公告其《残疾人福利性单位声明函》，接受社会监督。</w:t>
      </w:r>
    </w:p>
    <w:p w14:paraId="2B47E237">
      <w:pPr>
        <w:rPr>
          <w:rFonts w:hint="eastAsia"/>
          <w:sz w:val="21"/>
          <w:szCs w:val="21"/>
        </w:rPr>
      </w:pPr>
      <w:r>
        <w:rPr>
          <w:rFonts w:hint="eastAsia"/>
          <w:sz w:val="21"/>
          <w:szCs w:val="21"/>
        </w:rPr>
        <w:br w:type="page"/>
      </w:r>
    </w:p>
    <w:p w14:paraId="5FB4ACB0">
      <w:pPr>
        <w:adjustRightInd w:val="0"/>
        <w:snapToGrid w:val="0"/>
        <w:spacing w:before="163" w:beforeLines="50" w:line="360" w:lineRule="auto"/>
        <w:rPr>
          <w:rFonts w:hint="eastAsia"/>
          <w:sz w:val="21"/>
          <w:szCs w:val="21"/>
        </w:rPr>
      </w:pPr>
      <w:r>
        <w:rPr>
          <w:rFonts w:hint="eastAsia"/>
          <w:sz w:val="21"/>
          <w:szCs w:val="21"/>
        </w:rPr>
        <w:t>格式5：</w:t>
      </w:r>
    </w:p>
    <w:p w14:paraId="37052632">
      <w:pPr>
        <w:spacing w:line="360" w:lineRule="auto"/>
        <w:jc w:val="center"/>
        <w:rPr>
          <w:rFonts w:hint="eastAsia"/>
          <w:b/>
          <w:sz w:val="21"/>
          <w:szCs w:val="21"/>
        </w:rPr>
      </w:pPr>
      <w:r>
        <w:rPr>
          <w:rFonts w:hint="eastAsia"/>
          <w:b/>
          <w:sz w:val="21"/>
          <w:szCs w:val="21"/>
        </w:rPr>
        <w:t>监狱企业证明</w:t>
      </w:r>
    </w:p>
    <w:p w14:paraId="035867FF">
      <w:pPr>
        <w:tabs>
          <w:tab w:val="left" w:pos="720"/>
          <w:tab w:val="left" w:pos="8364"/>
        </w:tabs>
        <w:adjustRightInd w:val="0"/>
        <w:snapToGrid w:val="0"/>
        <w:spacing w:line="360" w:lineRule="auto"/>
        <w:rPr>
          <w:rFonts w:hint="eastAsia"/>
          <w:sz w:val="21"/>
          <w:szCs w:val="21"/>
        </w:rPr>
      </w:pPr>
      <w:r>
        <w:rPr>
          <w:rFonts w:hint="eastAsia"/>
          <w:sz w:val="21"/>
          <w:szCs w:val="21"/>
        </w:rPr>
        <w:t>说明：</w:t>
      </w:r>
    </w:p>
    <w:p w14:paraId="2ED531FF">
      <w:pPr>
        <w:tabs>
          <w:tab w:val="left" w:pos="720"/>
          <w:tab w:val="left" w:pos="8364"/>
        </w:tabs>
        <w:adjustRightInd w:val="0"/>
        <w:snapToGrid w:val="0"/>
        <w:spacing w:line="360" w:lineRule="auto"/>
        <w:rPr>
          <w:rFonts w:hint="eastAsia"/>
          <w:sz w:val="21"/>
          <w:szCs w:val="21"/>
        </w:rPr>
      </w:pPr>
      <w:r>
        <w:rPr>
          <w:rFonts w:hint="eastAsia"/>
          <w:sz w:val="21"/>
          <w:szCs w:val="21"/>
        </w:rPr>
        <w:t>（1）填报前请认真阅读《财政部、司法部关于政府采购支持监狱企业发展有关问题的通知》（财库〔2014〕68号）的规定。</w:t>
      </w:r>
    </w:p>
    <w:p w14:paraId="0EAD22AA">
      <w:pPr>
        <w:tabs>
          <w:tab w:val="left" w:pos="720"/>
          <w:tab w:val="left" w:pos="8364"/>
        </w:tabs>
        <w:adjustRightInd w:val="0"/>
        <w:snapToGrid w:val="0"/>
        <w:spacing w:line="360" w:lineRule="auto"/>
        <w:rPr>
          <w:rFonts w:hint="eastAsia"/>
          <w:sz w:val="21"/>
          <w:szCs w:val="21"/>
        </w:rPr>
      </w:pPr>
      <w:r>
        <w:rPr>
          <w:rFonts w:hint="eastAsia"/>
          <w:sz w:val="21"/>
          <w:szCs w:val="21"/>
        </w:rPr>
        <w:t>（2）证明文件无格式要求，由出具监狱企业证明的单位自行拟定。</w:t>
      </w:r>
    </w:p>
    <w:p w14:paraId="3D39B52D">
      <w:pPr>
        <w:tabs>
          <w:tab w:val="left" w:pos="720"/>
          <w:tab w:val="left" w:pos="8364"/>
        </w:tabs>
        <w:adjustRightInd w:val="0"/>
        <w:snapToGrid w:val="0"/>
        <w:spacing w:line="360" w:lineRule="auto"/>
        <w:rPr>
          <w:rFonts w:hint="eastAsia"/>
          <w:sz w:val="21"/>
          <w:szCs w:val="21"/>
        </w:rPr>
      </w:pPr>
    </w:p>
    <w:p w14:paraId="719BD9D1">
      <w:pPr>
        <w:rPr>
          <w:rFonts w:hint="eastAsia"/>
          <w:sz w:val="21"/>
          <w:szCs w:val="21"/>
        </w:rPr>
      </w:pPr>
      <w:r>
        <w:rPr>
          <w:rFonts w:hint="eastAsia"/>
          <w:sz w:val="21"/>
          <w:szCs w:val="21"/>
        </w:rPr>
        <w:br w:type="page"/>
      </w:r>
    </w:p>
    <w:p w14:paraId="21B46A60">
      <w:pPr>
        <w:adjustRightInd w:val="0"/>
        <w:snapToGrid w:val="0"/>
        <w:spacing w:before="163" w:beforeLines="50" w:line="360" w:lineRule="auto"/>
        <w:rPr>
          <w:rFonts w:hint="eastAsia"/>
          <w:sz w:val="21"/>
          <w:szCs w:val="21"/>
        </w:rPr>
      </w:pPr>
      <w:r>
        <w:rPr>
          <w:rFonts w:hint="eastAsia"/>
          <w:sz w:val="21"/>
          <w:szCs w:val="21"/>
        </w:rPr>
        <w:t>格式6：</w:t>
      </w:r>
    </w:p>
    <w:p w14:paraId="1A4B398E">
      <w:pPr>
        <w:spacing w:line="360" w:lineRule="auto"/>
        <w:jc w:val="center"/>
        <w:rPr>
          <w:rFonts w:hint="eastAsia"/>
          <w:b/>
          <w:sz w:val="21"/>
          <w:szCs w:val="21"/>
        </w:rPr>
      </w:pPr>
      <w:r>
        <w:rPr>
          <w:rFonts w:hint="eastAsia"/>
          <w:b/>
          <w:sz w:val="21"/>
          <w:szCs w:val="21"/>
        </w:rPr>
        <w:t>偏差表</w:t>
      </w:r>
    </w:p>
    <w:tbl>
      <w:tblPr>
        <w:tblStyle w:val="50"/>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321"/>
        <w:gridCol w:w="1757"/>
        <w:gridCol w:w="1438"/>
        <w:gridCol w:w="1562"/>
        <w:gridCol w:w="1068"/>
        <w:gridCol w:w="1357"/>
      </w:tblGrid>
      <w:tr w14:paraId="46D84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9291" w:type="dxa"/>
            <w:gridSpan w:val="7"/>
            <w:vAlign w:val="center"/>
          </w:tcPr>
          <w:p w14:paraId="30F4CCF4">
            <w:pPr>
              <w:spacing w:line="360" w:lineRule="auto"/>
              <w:rPr>
                <w:rFonts w:hint="eastAsia"/>
                <w:b/>
                <w:bCs/>
                <w:sz w:val="21"/>
                <w:szCs w:val="21"/>
                <w:lang w:val="zh-CN"/>
              </w:rPr>
            </w:pPr>
            <w:r>
              <w:rPr>
                <w:rFonts w:hint="eastAsia"/>
                <w:b/>
                <w:bCs/>
                <w:sz w:val="21"/>
                <w:szCs w:val="21"/>
                <w:lang w:val="zh-CN"/>
              </w:rPr>
              <w:t>对本项目</w:t>
            </w:r>
            <w:r>
              <w:rPr>
                <w:rFonts w:hint="eastAsia"/>
                <w:b/>
                <w:bCs/>
                <w:sz w:val="21"/>
                <w:szCs w:val="21"/>
              </w:rPr>
              <w:t>招标文件要求</w:t>
            </w:r>
            <w:r>
              <w:rPr>
                <w:rFonts w:hint="eastAsia"/>
                <w:b/>
                <w:bCs/>
                <w:sz w:val="21"/>
                <w:szCs w:val="21"/>
                <w:lang w:val="zh-CN"/>
              </w:rPr>
              <w:t>的偏离情况（请进行勾选）：</w:t>
            </w:r>
          </w:p>
          <w:p w14:paraId="4E75FFB3">
            <w:pPr>
              <w:spacing w:line="360" w:lineRule="auto"/>
              <w:rPr>
                <w:rFonts w:hint="eastAsia"/>
                <w:sz w:val="21"/>
                <w:szCs w:val="21"/>
                <w:lang w:val="zh-CN"/>
              </w:rPr>
            </w:pPr>
            <w:r>
              <w:rPr>
                <w:rFonts w:hint="eastAsia"/>
                <w:sz w:val="21"/>
                <w:szCs w:val="21"/>
                <w:lang w:val="zh-CN"/>
              </w:rPr>
              <w:t>□无偏离（如无偏离，仅勾选无偏离即可）</w:t>
            </w:r>
          </w:p>
          <w:p w14:paraId="5ECA3BD8">
            <w:pPr>
              <w:spacing w:line="360" w:lineRule="auto"/>
              <w:rPr>
                <w:rFonts w:hint="eastAsia"/>
                <w:sz w:val="21"/>
                <w:szCs w:val="21"/>
              </w:rPr>
            </w:pPr>
            <w:r>
              <w:rPr>
                <w:rFonts w:hint="eastAsia"/>
                <w:sz w:val="21"/>
                <w:szCs w:val="21"/>
              </w:rPr>
              <w:t>□有偏离（如有偏离，则应按照注释要求在本表中对偏离项逐一列明）</w:t>
            </w:r>
          </w:p>
        </w:tc>
      </w:tr>
      <w:tr w14:paraId="38034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88" w:type="dxa"/>
            <w:vAlign w:val="center"/>
          </w:tcPr>
          <w:p w14:paraId="1EDF7759">
            <w:pPr>
              <w:tabs>
                <w:tab w:val="left" w:pos="8316"/>
              </w:tabs>
              <w:spacing w:before="652" w:beforeLines="200" w:after="326" w:afterLines="100" w:line="324" w:lineRule="auto"/>
              <w:jc w:val="center"/>
              <w:outlineLvl w:val="1"/>
              <w:rPr>
                <w:rFonts w:hint="eastAsia"/>
                <w:sz w:val="21"/>
                <w:szCs w:val="21"/>
                <w:lang w:eastAsia="en-US" w:bidi="en-US"/>
              </w:rPr>
            </w:pPr>
            <w:bookmarkStart w:id="1099" w:name="_Toc21679"/>
            <w:r>
              <w:rPr>
                <w:rFonts w:hint="eastAsia"/>
                <w:sz w:val="21"/>
                <w:szCs w:val="21"/>
              </w:rPr>
              <w:t>序号</w:t>
            </w:r>
            <w:bookmarkEnd w:id="1099"/>
          </w:p>
        </w:tc>
        <w:tc>
          <w:tcPr>
            <w:tcW w:w="1321" w:type="dxa"/>
            <w:vAlign w:val="center"/>
          </w:tcPr>
          <w:p w14:paraId="5FC0CAE9">
            <w:pPr>
              <w:tabs>
                <w:tab w:val="left" w:pos="8316"/>
              </w:tabs>
              <w:spacing w:before="652" w:beforeLines="200" w:after="326" w:afterLines="100" w:line="324" w:lineRule="auto"/>
              <w:jc w:val="center"/>
              <w:outlineLvl w:val="1"/>
              <w:rPr>
                <w:rFonts w:hint="eastAsia"/>
                <w:sz w:val="21"/>
                <w:szCs w:val="21"/>
                <w:lang w:bidi="en-US"/>
              </w:rPr>
            </w:pPr>
            <w:bookmarkStart w:id="1100" w:name="_Toc9184"/>
            <w:r>
              <w:rPr>
                <w:rFonts w:hint="eastAsia"/>
                <w:sz w:val="21"/>
                <w:szCs w:val="21"/>
              </w:rPr>
              <w:t>招标文件章节及条款号</w:t>
            </w:r>
            <w:bookmarkEnd w:id="1100"/>
          </w:p>
        </w:tc>
        <w:tc>
          <w:tcPr>
            <w:tcW w:w="1757" w:type="dxa"/>
            <w:vAlign w:val="center"/>
          </w:tcPr>
          <w:p w14:paraId="0C2CD390">
            <w:pPr>
              <w:tabs>
                <w:tab w:val="left" w:pos="8316"/>
              </w:tabs>
              <w:spacing w:before="652" w:beforeLines="200" w:after="326" w:afterLines="100" w:line="324" w:lineRule="auto"/>
              <w:jc w:val="center"/>
              <w:outlineLvl w:val="1"/>
              <w:rPr>
                <w:rFonts w:hint="eastAsia"/>
                <w:sz w:val="21"/>
                <w:szCs w:val="21"/>
                <w:lang w:eastAsia="en-US" w:bidi="en-US"/>
              </w:rPr>
            </w:pPr>
            <w:bookmarkStart w:id="1101" w:name="_Toc16717"/>
            <w:r>
              <w:rPr>
                <w:rFonts w:hint="eastAsia"/>
                <w:sz w:val="21"/>
                <w:szCs w:val="21"/>
              </w:rPr>
              <w:t>招标文件中条款描述</w:t>
            </w:r>
            <w:bookmarkEnd w:id="1101"/>
          </w:p>
        </w:tc>
        <w:tc>
          <w:tcPr>
            <w:tcW w:w="1438" w:type="dxa"/>
            <w:vAlign w:val="center"/>
          </w:tcPr>
          <w:p w14:paraId="115512F8">
            <w:pPr>
              <w:tabs>
                <w:tab w:val="left" w:pos="8316"/>
              </w:tabs>
              <w:spacing w:before="652" w:beforeLines="200" w:after="326" w:afterLines="100" w:line="324" w:lineRule="auto"/>
              <w:jc w:val="center"/>
              <w:outlineLvl w:val="1"/>
              <w:rPr>
                <w:rFonts w:hint="eastAsia"/>
                <w:sz w:val="21"/>
                <w:szCs w:val="21"/>
                <w:lang w:bidi="en-US"/>
              </w:rPr>
            </w:pPr>
            <w:bookmarkStart w:id="1102" w:name="_Toc9079"/>
            <w:r>
              <w:rPr>
                <w:rFonts w:hint="eastAsia"/>
                <w:sz w:val="21"/>
                <w:szCs w:val="21"/>
              </w:rPr>
              <w:t>投标文件章节及条款号</w:t>
            </w:r>
            <w:bookmarkEnd w:id="1102"/>
          </w:p>
        </w:tc>
        <w:tc>
          <w:tcPr>
            <w:tcW w:w="1562" w:type="dxa"/>
            <w:vAlign w:val="center"/>
          </w:tcPr>
          <w:p w14:paraId="5D4903F5">
            <w:pPr>
              <w:tabs>
                <w:tab w:val="left" w:pos="8316"/>
              </w:tabs>
              <w:spacing w:before="652" w:beforeLines="200" w:after="326" w:afterLines="100" w:line="324" w:lineRule="auto"/>
              <w:jc w:val="center"/>
              <w:outlineLvl w:val="1"/>
              <w:rPr>
                <w:rFonts w:hint="eastAsia"/>
                <w:sz w:val="21"/>
                <w:szCs w:val="21"/>
                <w:lang w:eastAsia="en-US" w:bidi="en-US"/>
              </w:rPr>
            </w:pPr>
            <w:bookmarkStart w:id="1103" w:name="_Toc31578"/>
            <w:r>
              <w:rPr>
                <w:rFonts w:hint="eastAsia"/>
                <w:sz w:val="21"/>
                <w:szCs w:val="21"/>
              </w:rPr>
              <w:t>投标文件中条款描述</w:t>
            </w:r>
            <w:bookmarkEnd w:id="1103"/>
          </w:p>
        </w:tc>
        <w:tc>
          <w:tcPr>
            <w:tcW w:w="1068" w:type="dxa"/>
            <w:vAlign w:val="center"/>
          </w:tcPr>
          <w:p w14:paraId="2F2DE017">
            <w:pPr>
              <w:tabs>
                <w:tab w:val="left" w:pos="8316"/>
              </w:tabs>
              <w:spacing w:before="652" w:beforeLines="200" w:after="326" w:afterLines="100" w:line="324" w:lineRule="auto"/>
              <w:jc w:val="center"/>
              <w:outlineLvl w:val="1"/>
              <w:rPr>
                <w:rFonts w:hint="eastAsia"/>
                <w:sz w:val="21"/>
                <w:szCs w:val="21"/>
                <w:lang w:eastAsia="en-US" w:bidi="en-US"/>
              </w:rPr>
            </w:pPr>
            <w:bookmarkStart w:id="1104" w:name="_Toc12157"/>
            <w:r>
              <w:rPr>
                <w:rFonts w:hint="eastAsia"/>
                <w:sz w:val="21"/>
                <w:szCs w:val="21"/>
              </w:rPr>
              <w:t>偏差</w:t>
            </w:r>
            <w:bookmarkEnd w:id="1104"/>
          </w:p>
        </w:tc>
        <w:tc>
          <w:tcPr>
            <w:tcW w:w="1357" w:type="dxa"/>
            <w:vAlign w:val="center"/>
          </w:tcPr>
          <w:p w14:paraId="0E9E1DE1">
            <w:pPr>
              <w:tabs>
                <w:tab w:val="left" w:pos="8316"/>
              </w:tabs>
              <w:spacing w:before="652" w:beforeLines="200" w:after="326" w:afterLines="100" w:line="324" w:lineRule="auto"/>
              <w:jc w:val="center"/>
              <w:outlineLvl w:val="1"/>
              <w:rPr>
                <w:rFonts w:hint="eastAsia"/>
                <w:sz w:val="21"/>
                <w:szCs w:val="21"/>
                <w:lang w:eastAsia="en-US" w:bidi="en-US"/>
              </w:rPr>
            </w:pPr>
            <w:bookmarkStart w:id="1105" w:name="_Toc31455"/>
            <w:r>
              <w:rPr>
                <w:rFonts w:hint="eastAsia"/>
                <w:sz w:val="21"/>
                <w:szCs w:val="21"/>
              </w:rPr>
              <w:t>偏差描述</w:t>
            </w:r>
            <w:bookmarkEnd w:id="1105"/>
          </w:p>
        </w:tc>
      </w:tr>
      <w:tr w14:paraId="0D6B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88" w:type="dxa"/>
            <w:vAlign w:val="center"/>
          </w:tcPr>
          <w:p w14:paraId="57C65A8E">
            <w:pPr>
              <w:pStyle w:val="333"/>
              <w:tabs>
                <w:tab w:val="left" w:pos="8316"/>
              </w:tabs>
              <w:spacing w:line="324" w:lineRule="auto"/>
              <w:jc w:val="center"/>
              <w:rPr>
                <w:rFonts w:hint="eastAsia"/>
                <w:sz w:val="21"/>
                <w:szCs w:val="21"/>
              </w:rPr>
            </w:pPr>
            <w:r>
              <w:rPr>
                <w:rFonts w:hint="eastAsia"/>
                <w:sz w:val="21"/>
                <w:szCs w:val="21"/>
              </w:rPr>
              <w:t>1</w:t>
            </w:r>
          </w:p>
        </w:tc>
        <w:tc>
          <w:tcPr>
            <w:tcW w:w="1321" w:type="dxa"/>
          </w:tcPr>
          <w:p w14:paraId="3DFF06D9">
            <w:pPr>
              <w:pStyle w:val="333"/>
              <w:tabs>
                <w:tab w:val="left" w:pos="8316"/>
              </w:tabs>
              <w:spacing w:line="324" w:lineRule="auto"/>
              <w:ind w:firstLine="420" w:firstLineChars="200"/>
              <w:rPr>
                <w:rFonts w:hint="eastAsia"/>
                <w:sz w:val="21"/>
                <w:szCs w:val="21"/>
              </w:rPr>
            </w:pPr>
          </w:p>
        </w:tc>
        <w:tc>
          <w:tcPr>
            <w:tcW w:w="1757" w:type="dxa"/>
          </w:tcPr>
          <w:p w14:paraId="6FD28DC6">
            <w:pPr>
              <w:pStyle w:val="333"/>
              <w:tabs>
                <w:tab w:val="left" w:pos="8316"/>
              </w:tabs>
              <w:spacing w:line="324" w:lineRule="auto"/>
              <w:ind w:firstLine="420" w:firstLineChars="200"/>
              <w:rPr>
                <w:rFonts w:hint="eastAsia"/>
                <w:sz w:val="21"/>
                <w:szCs w:val="21"/>
              </w:rPr>
            </w:pPr>
          </w:p>
        </w:tc>
        <w:tc>
          <w:tcPr>
            <w:tcW w:w="1438" w:type="dxa"/>
          </w:tcPr>
          <w:p w14:paraId="65118E64">
            <w:pPr>
              <w:pStyle w:val="333"/>
              <w:tabs>
                <w:tab w:val="left" w:pos="8316"/>
              </w:tabs>
              <w:spacing w:line="324" w:lineRule="auto"/>
              <w:ind w:firstLine="420" w:firstLineChars="200"/>
              <w:rPr>
                <w:rFonts w:hint="eastAsia"/>
                <w:sz w:val="21"/>
                <w:szCs w:val="21"/>
              </w:rPr>
            </w:pPr>
          </w:p>
        </w:tc>
        <w:tc>
          <w:tcPr>
            <w:tcW w:w="1562" w:type="dxa"/>
          </w:tcPr>
          <w:p w14:paraId="7283EE0A">
            <w:pPr>
              <w:pStyle w:val="333"/>
              <w:tabs>
                <w:tab w:val="left" w:pos="8316"/>
              </w:tabs>
              <w:spacing w:line="324" w:lineRule="auto"/>
              <w:ind w:firstLine="420" w:firstLineChars="200"/>
              <w:rPr>
                <w:rFonts w:hint="eastAsia"/>
                <w:sz w:val="21"/>
                <w:szCs w:val="21"/>
              </w:rPr>
            </w:pPr>
          </w:p>
        </w:tc>
        <w:tc>
          <w:tcPr>
            <w:tcW w:w="1068" w:type="dxa"/>
          </w:tcPr>
          <w:p w14:paraId="074047FB">
            <w:pPr>
              <w:pStyle w:val="333"/>
              <w:tabs>
                <w:tab w:val="left" w:pos="8316"/>
              </w:tabs>
              <w:spacing w:line="324" w:lineRule="auto"/>
              <w:ind w:firstLine="420" w:firstLineChars="200"/>
              <w:rPr>
                <w:rFonts w:hint="eastAsia"/>
                <w:sz w:val="21"/>
                <w:szCs w:val="21"/>
              </w:rPr>
            </w:pPr>
          </w:p>
        </w:tc>
        <w:tc>
          <w:tcPr>
            <w:tcW w:w="1357" w:type="dxa"/>
          </w:tcPr>
          <w:p w14:paraId="09CD150A">
            <w:pPr>
              <w:pStyle w:val="333"/>
              <w:tabs>
                <w:tab w:val="left" w:pos="8316"/>
              </w:tabs>
              <w:spacing w:line="324" w:lineRule="auto"/>
              <w:ind w:firstLine="420" w:firstLineChars="200"/>
              <w:rPr>
                <w:rFonts w:hint="eastAsia"/>
                <w:sz w:val="21"/>
                <w:szCs w:val="21"/>
              </w:rPr>
            </w:pPr>
          </w:p>
        </w:tc>
      </w:tr>
      <w:tr w14:paraId="30880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88" w:type="dxa"/>
            <w:vAlign w:val="center"/>
          </w:tcPr>
          <w:p w14:paraId="3AD77FC5">
            <w:pPr>
              <w:pStyle w:val="333"/>
              <w:tabs>
                <w:tab w:val="left" w:pos="8316"/>
              </w:tabs>
              <w:spacing w:line="324" w:lineRule="auto"/>
              <w:jc w:val="center"/>
              <w:rPr>
                <w:rFonts w:hint="eastAsia"/>
                <w:sz w:val="21"/>
                <w:szCs w:val="21"/>
              </w:rPr>
            </w:pPr>
            <w:r>
              <w:rPr>
                <w:rFonts w:hint="eastAsia"/>
                <w:sz w:val="21"/>
                <w:szCs w:val="21"/>
              </w:rPr>
              <w:t>2</w:t>
            </w:r>
          </w:p>
        </w:tc>
        <w:tc>
          <w:tcPr>
            <w:tcW w:w="1321" w:type="dxa"/>
          </w:tcPr>
          <w:p w14:paraId="728152E7">
            <w:pPr>
              <w:pStyle w:val="333"/>
              <w:tabs>
                <w:tab w:val="left" w:pos="8316"/>
              </w:tabs>
              <w:spacing w:line="324" w:lineRule="auto"/>
              <w:ind w:firstLine="420" w:firstLineChars="200"/>
              <w:rPr>
                <w:rFonts w:hint="eastAsia"/>
                <w:sz w:val="21"/>
                <w:szCs w:val="21"/>
              </w:rPr>
            </w:pPr>
          </w:p>
        </w:tc>
        <w:tc>
          <w:tcPr>
            <w:tcW w:w="1757" w:type="dxa"/>
          </w:tcPr>
          <w:p w14:paraId="0A282EA0">
            <w:pPr>
              <w:pStyle w:val="333"/>
              <w:tabs>
                <w:tab w:val="left" w:pos="8316"/>
              </w:tabs>
              <w:spacing w:line="324" w:lineRule="auto"/>
              <w:ind w:firstLine="420" w:firstLineChars="200"/>
              <w:rPr>
                <w:rFonts w:hint="eastAsia"/>
                <w:sz w:val="21"/>
                <w:szCs w:val="21"/>
              </w:rPr>
            </w:pPr>
          </w:p>
        </w:tc>
        <w:tc>
          <w:tcPr>
            <w:tcW w:w="1438" w:type="dxa"/>
          </w:tcPr>
          <w:p w14:paraId="46AA7919">
            <w:pPr>
              <w:pStyle w:val="333"/>
              <w:tabs>
                <w:tab w:val="left" w:pos="8316"/>
              </w:tabs>
              <w:spacing w:line="324" w:lineRule="auto"/>
              <w:ind w:firstLine="420" w:firstLineChars="200"/>
              <w:rPr>
                <w:rFonts w:hint="eastAsia"/>
                <w:sz w:val="21"/>
                <w:szCs w:val="21"/>
              </w:rPr>
            </w:pPr>
          </w:p>
        </w:tc>
        <w:tc>
          <w:tcPr>
            <w:tcW w:w="1562" w:type="dxa"/>
          </w:tcPr>
          <w:p w14:paraId="68B2CB99">
            <w:pPr>
              <w:pStyle w:val="333"/>
              <w:tabs>
                <w:tab w:val="left" w:pos="8316"/>
              </w:tabs>
              <w:spacing w:line="324" w:lineRule="auto"/>
              <w:ind w:firstLine="420" w:firstLineChars="200"/>
              <w:rPr>
                <w:rFonts w:hint="eastAsia"/>
                <w:sz w:val="21"/>
                <w:szCs w:val="21"/>
              </w:rPr>
            </w:pPr>
          </w:p>
        </w:tc>
        <w:tc>
          <w:tcPr>
            <w:tcW w:w="1068" w:type="dxa"/>
          </w:tcPr>
          <w:p w14:paraId="1ACFC48B">
            <w:pPr>
              <w:pStyle w:val="333"/>
              <w:tabs>
                <w:tab w:val="left" w:pos="8316"/>
              </w:tabs>
              <w:spacing w:line="324" w:lineRule="auto"/>
              <w:ind w:firstLine="420" w:firstLineChars="200"/>
              <w:rPr>
                <w:rFonts w:hint="eastAsia"/>
                <w:sz w:val="21"/>
                <w:szCs w:val="21"/>
              </w:rPr>
            </w:pPr>
          </w:p>
        </w:tc>
        <w:tc>
          <w:tcPr>
            <w:tcW w:w="1357" w:type="dxa"/>
          </w:tcPr>
          <w:p w14:paraId="3B6388A2">
            <w:pPr>
              <w:pStyle w:val="333"/>
              <w:tabs>
                <w:tab w:val="left" w:pos="8316"/>
              </w:tabs>
              <w:spacing w:line="324" w:lineRule="auto"/>
              <w:ind w:firstLine="420" w:firstLineChars="200"/>
              <w:rPr>
                <w:rFonts w:hint="eastAsia"/>
                <w:sz w:val="21"/>
                <w:szCs w:val="21"/>
              </w:rPr>
            </w:pPr>
          </w:p>
        </w:tc>
      </w:tr>
      <w:tr w14:paraId="0D97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88" w:type="dxa"/>
            <w:vAlign w:val="center"/>
          </w:tcPr>
          <w:p w14:paraId="6B18DF8B">
            <w:pPr>
              <w:pStyle w:val="333"/>
              <w:tabs>
                <w:tab w:val="left" w:pos="8316"/>
              </w:tabs>
              <w:spacing w:line="324" w:lineRule="auto"/>
              <w:jc w:val="center"/>
              <w:rPr>
                <w:rFonts w:hint="eastAsia"/>
                <w:sz w:val="21"/>
                <w:szCs w:val="21"/>
              </w:rPr>
            </w:pPr>
            <w:r>
              <w:rPr>
                <w:rFonts w:hint="eastAsia"/>
                <w:sz w:val="21"/>
                <w:szCs w:val="21"/>
              </w:rPr>
              <w:t>3</w:t>
            </w:r>
          </w:p>
        </w:tc>
        <w:tc>
          <w:tcPr>
            <w:tcW w:w="1321" w:type="dxa"/>
          </w:tcPr>
          <w:p w14:paraId="47298C4B">
            <w:pPr>
              <w:pStyle w:val="333"/>
              <w:tabs>
                <w:tab w:val="left" w:pos="8316"/>
              </w:tabs>
              <w:spacing w:line="324" w:lineRule="auto"/>
              <w:ind w:firstLine="420" w:firstLineChars="200"/>
              <w:rPr>
                <w:rFonts w:hint="eastAsia"/>
                <w:sz w:val="21"/>
                <w:szCs w:val="21"/>
              </w:rPr>
            </w:pPr>
          </w:p>
        </w:tc>
        <w:tc>
          <w:tcPr>
            <w:tcW w:w="1757" w:type="dxa"/>
          </w:tcPr>
          <w:p w14:paraId="1A700B84">
            <w:pPr>
              <w:pStyle w:val="333"/>
              <w:tabs>
                <w:tab w:val="left" w:pos="8316"/>
              </w:tabs>
              <w:spacing w:line="324" w:lineRule="auto"/>
              <w:ind w:firstLine="420" w:firstLineChars="200"/>
              <w:rPr>
                <w:rFonts w:hint="eastAsia"/>
                <w:sz w:val="21"/>
                <w:szCs w:val="21"/>
              </w:rPr>
            </w:pPr>
          </w:p>
        </w:tc>
        <w:tc>
          <w:tcPr>
            <w:tcW w:w="1438" w:type="dxa"/>
          </w:tcPr>
          <w:p w14:paraId="6C6CDA8D">
            <w:pPr>
              <w:pStyle w:val="333"/>
              <w:tabs>
                <w:tab w:val="left" w:pos="8316"/>
              </w:tabs>
              <w:spacing w:line="324" w:lineRule="auto"/>
              <w:ind w:firstLine="420" w:firstLineChars="200"/>
              <w:rPr>
                <w:rFonts w:hint="eastAsia"/>
                <w:sz w:val="21"/>
                <w:szCs w:val="21"/>
              </w:rPr>
            </w:pPr>
          </w:p>
        </w:tc>
        <w:tc>
          <w:tcPr>
            <w:tcW w:w="1562" w:type="dxa"/>
          </w:tcPr>
          <w:p w14:paraId="2096B42F">
            <w:pPr>
              <w:pStyle w:val="333"/>
              <w:tabs>
                <w:tab w:val="left" w:pos="8316"/>
              </w:tabs>
              <w:spacing w:line="324" w:lineRule="auto"/>
              <w:ind w:firstLine="420" w:firstLineChars="200"/>
              <w:rPr>
                <w:rFonts w:hint="eastAsia"/>
                <w:sz w:val="21"/>
                <w:szCs w:val="21"/>
              </w:rPr>
            </w:pPr>
          </w:p>
        </w:tc>
        <w:tc>
          <w:tcPr>
            <w:tcW w:w="1068" w:type="dxa"/>
          </w:tcPr>
          <w:p w14:paraId="7F6CB8FE">
            <w:pPr>
              <w:pStyle w:val="333"/>
              <w:tabs>
                <w:tab w:val="left" w:pos="8316"/>
              </w:tabs>
              <w:spacing w:line="324" w:lineRule="auto"/>
              <w:ind w:firstLine="420" w:firstLineChars="200"/>
              <w:rPr>
                <w:rFonts w:hint="eastAsia"/>
                <w:sz w:val="21"/>
                <w:szCs w:val="21"/>
              </w:rPr>
            </w:pPr>
          </w:p>
        </w:tc>
        <w:tc>
          <w:tcPr>
            <w:tcW w:w="1357" w:type="dxa"/>
          </w:tcPr>
          <w:p w14:paraId="007C6578">
            <w:pPr>
              <w:pStyle w:val="333"/>
              <w:tabs>
                <w:tab w:val="left" w:pos="8316"/>
              </w:tabs>
              <w:spacing w:line="324" w:lineRule="auto"/>
              <w:ind w:firstLine="420" w:firstLineChars="200"/>
              <w:rPr>
                <w:rFonts w:hint="eastAsia"/>
                <w:sz w:val="21"/>
                <w:szCs w:val="21"/>
              </w:rPr>
            </w:pPr>
          </w:p>
        </w:tc>
      </w:tr>
      <w:tr w14:paraId="35C2F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88" w:type="dxa"/>
            <w:vAlign w:val="center"/>
          </w:tcPr>
          <w:p w14:paraId="74AE72DF">
            <w:pPr>
              <w:pStyle w:val="333"/>
              <w:tabs>
                <w:tab w:val="left" w:pos="8316"/>
              </w:tabs>
              <w:spacing w:line="324" w:lineRule="auto"/>
              <w:jc w:val="center"/>
              <w:rPr>
                <w:rFonts w:hint="eastAsia"/>
                <w:sz w:val="21"/>
                <w:szCs w:val="21"/>
              </w:rPr>
            </w:pPr>
            <w:r>
              <w:rPr>
                <w:rFonts w:hint="eastAsia"/>
                <w:sz w:val="21"/>
                <w:szCs w:val="21"/>
              </w:rPr>
              <w:t>4</w:t>
            </w:r>
          </w:p>
        </w:tc>
        <w:tc>
          <w:tcPr>
            <w:tcW w:w="1321" w:type="dxa"/>
          </w:tcPr>
          <w:p w14:paraId="464B1149">
            <w:pPr>
              <w:pStyle w:val="333"/>
              <w:tabs>
                <w:tab w:val="left" w:pos="8316"/>
              </w:tabs>
              <w:spacing w:line="324" w:lineRule="auto"/>
              <w:ind w:firstLine="420" w:firstLineChars="200"/>
              <w:rPr>
                <w:rFonts w:hint="eastAsia"/>
                <w:sz w:val="21"/>
                <w:szCs w:val="21"/>
              </w:rPr>
            </w:pPr>
          </w:p>
        </w:tc>
        <w:tc>
          <w:tcPr>
            <w:tcW w:w="1757" w:type="dxa"/>
          </w:tcPr>
          <w:p w14:paraId="51BBAA53">
            <w:pPr>
              <w:pStyle w:val="333"/>
              <w:tabs>
                <w:tab w:val="left" w:pos="8316"/>
              </w:tabs>
              <w:spacing w:line="324" w:lineRule="auto"/>
              <w:ind w:firstLine="420" w:firstLineChars="200"/>
              <w:rPr>
                <w:rFonts w:hint="eastAsia"/>
                <w:sz w:val="21"/>
                <w:szCs w:val="21"/>
              </w:rPr>
            </w:pPr>
          </w:p>
        </w:tc>
        <w:tc>
          <w:tcPr>
            <w:tcW w:w="1438" w:type="dxa"/>
          </w:tcPr>
          <w:p w14:paraId="00364954">
            <w:pPr>
              <w:pStyle w:val="333"/>
              <w:tabs>
                <w:tab w:val="left" w:pos="8316"/>
              </w:tabs>
              <w:spacing w:line="324" w:lineRule="auto"/>
              <w:ind w:firstLine="420" w:firstLineChars="200"/>
              <w:rPr>
                <w:rFonts w:hint="eastAsia"/>
                <w:sz w:val="21"/>
                <w:szCs w:val="21"/>
              </w:rPr>
            </w:pPr>
          </w:p>
        </w:tc>
        <w:tc>
          <w:tcPr>
            <w:tcW w:w="1562" w:type="dxa"/>
          </w:tcPr>
          <w:p w14:paraId="1B6D760D">
            <w:pPr>
              <w:pStyle w:val="333"/>
              <w:tabs>
                <w:tab w:val="left" w:pos="8316"/>
              </w:tabs>
              <w:spacing w:line="324" w:lineRule="auto"/>
              <w:ind w:firstLine="420" w:firstLineChars="200"/>
              <w:rPr>
                <w:rFonts w:hint="eastAsia"/>
                <w:sz w:val="21"/>
                <w:szCs w:val="21"/>
              </w:rPr>
            </w:pPr>
          </w:p>
        </w:tc>
        <w:tc>
          <w:tcPr>
            <w:tcW w:w="1068" w:type="dxa"/>
          </w:tcPr>
          <w:p w14:paraId="78C0D9D2">
            <w:pPr>
              <w:pStyle w:val="333"/>
              <w:tabs>
                <w:tab w:val="left" w:pos="8316"/>
              </w:tabs>
              <w:spacing w:line="324" w:lineRule="auto"/>
              <w:ind w:firstLine="420" w:firstLineChars="200"/>
              <w:rPr>
                <w:rFonts w:hint="eastAsia"/>
                <w:sz w:val="21"/>
                <w:szCs w:val="21"/>
              </w:rPr>
            </w:pPr>
          </w:p>
        </w:tc>
        <w:tc>
          <w:tcPr>
            <w:tcW w:w="1357" w:type="dxa"/>
          </w:tcPr>
          <w:p w14:paraId="3659C768">
            <w:pPr>
              <w:pStyle w:val="333"/>
              <w:tabs>
                <w:tab w:val="left" w:pos="8316"/>
              </w:tabs>
              <w:spacing w:line="324" w:lineRule="auto"/>
              <w:ind w:firstLine="420" w:firstLineChars="200"/>
              <w:rPr>
                <w:rFonts w:hint="eastAsia"/>
                <w:sz w:val="21"/>
                <w:szCs w:val="21"/>
              </w:rPr>
            </w:pPr>
          </w:p>
        </w:tc>
      </w:tr>
      <w:tr w14:paraId="3022B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88" w:type="dxa"/>
            <w:vAlign w:val="center"/>
          </w:tcPr>
          <w:p w14:paraId="36889256">
            <w:pPr>
              <w:pStyle w:val="333"/>
              <w:tabs>
                <w:tab w:val="left" w:pos="8316"/>
              </w:tabs>
              <w:spacing w:line="324" w:lineRule="auto"/>
              <w:jc w:val="center"/>
              <w:rPr>
                <w:rFonts w:hint="eastAsia"/>
                <w:sz w:val="21"/>
                <w:szCs w:val="21"/>
              </w:rPr>
            </w:pPr>
            <w:r>
              <w:rPr>
                <w:rFonts w:hint="eastAsia"/>
                <w:sz w:val="21"/>
                <w:szCs w:val="21"/>
              </w:rPr>
              <w:t>5</w:t>
            </w:r>
          </w:p>
        </w:tc>
        <w:tc>
          <w:tcPr>
            <w:tcW w:w="1321" w:type="dxa"/>
          </w:tcPr>
          <w:p w14:paraId="5B31053C">
            <w:pPr>
              <w:pStyle w:val="333"/>
              <w:tabs>
                <w:tab w:val="left" w:pos="8316"/>
              </w:tabs>
              <w:spacing w:line="324" w:lineRule="auto"/>
              <w:ind w:firstLine="420" w:firstLineChars="200"/>
              <w:rPr>
                <w:rFonts w:hint="eastAsia"/>
                <w:sz w:val="21"/>
                <w:szCs w:val="21"/>
              </w:rPr>
            </w:pPr>
          </w:p>
        </w:tc>
        <w:tc>
          <w:tcPr>
            <w:tcW w:w="1757" w:type="dxa"/>
          </w:tcPr>
          <w:p w14:paraId="19419D42">
            <w:pPr>
              <w:pStyle w:val="333"/>
              <w:tabs>
                <w:tab w:val="left" w:pos="8316"/>
              </w:tabs>
              <w:spacing w:line="324" w:lineRule="auto"/>
              <w:ind w:firstLine="420" w:firstLineChars="200"/>
              <w:rPr>
                <w:rFonts w:hint="eastAsia"/>
                <w:sz w:val="21"/>
                <w:szCs w:val="21"/>
              </w:rPr>
            </w:pPr>
          </w:p>
        </w:tc>
        <w:tc>
          <w:tcPr>
            <w:tcW w:w="1438" w:type="dxa"/>
          </w:tcPr>
          <w:p w14:paraId="375A5875">
            <w:pPr>
              <w:pStyle w:val="333"/>
              <w:tabs>
                <w:tab w:val="left" w:pos="8316"/>
              </w:tabs>
              <w:spacing w:line="324" w:lineRule="auto"/>
              <w:ind w:firstLine="420" w:firstLineChars="200"/>
              <w:rPr>
                <w:rFonts w:hint="eastAsia"/>
                <w:sz w:val="21"/>
                <w:szCs w:val="21"/>
              </w:rPr>
            </w:pPr>
          </w:p>
        </w:tc>
        <w:tc>
          <w:tcPr>
            <w:tcW w:w="1562" w:type="dxa"/>
          </w:tcPr>
          <w:p w14:paraId="3315E97E">
            <w:pPr>
              <w:pStyle w:val="333"/>
              <w:tabs>
                <w:tab w:val="left" w:pos="8316"/>
              </w:tabs>
              <w:spacing w:line="324" w:lineRule="auto"/>
              <w:ind w:firstLine="420" w:firstLineChars="200"/>
              <w:rPr>
                <w:rFonts w:hint="eastAsia"/>
                <w:sz w:val="21"/>
                <w:szCs w:val="21"/>
              </w:rPr>
            </w:pPr>
          </w:p>
        </w:tc>
        <w:tc>
          <w:tcPr>
            <w:tcW w:w="1068" w:type="dxa"/>
          </w:tcPr>
          <w:p w14:paraId="1A857AD9">
            <w:pPr>
              <w:pStyle w:val="333"/>
              <w:tabs>
                <w:tab w:val="left" w:pos="8316"/>
              </w:tabs>
              <w:spacing w:line="324" w:lineRule="auto"/>
              <w:ind w:firstLine="420" w:firstLineChars="200"/>
              <w:rPr>
                <w:rFonts w:hint="eastAsia"/>
                <w:sz w:val="21"/>
                <w:szCs w:val="21"/>
              </w:rPr>
            </w:pPr>
          </w:p>
        </w:tc>
        <w:tc>
          <w:tcPr>
            <w:tcW w:w="1357" w:type="dxa"/>
          </w:tcPr>
          <w:p w14:paraId="58CC889F">
            <w:pPr>
              <w:pStyle w:val="333"/>
              <w:tabs>
                <w:tab w:val="left" w:pos="8316"/>
              </w:tabs>
              <w:spacing w:line="324" w:lineRule="auto"/>
              <w:ind w:firstLine="420" w:firstLineChars="200"/>
              <w:rPr>
                <w:rFonts w:hint="eastAsia"/>
                <w:sz w:val="21"/>
                <w:szCs w:val="21"/>
              </w:rPr>
            </w:pPr>
          </w:p>
        </w:tc>
      </w:tr>
      <w:tr w14:paraId="2305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291" w:type="dxa"/>
            <w:gridSpan w:val="7"/>
            <w:vAlign w:val="center"/>
          </w:tcPr>
          <w:p w14:paraId="63FAE973">
            <w:pPr>
              <w:pStyle w:val="333"/>
              <w:tabs>
                <w:tab w:val="left" w:pos="8316"/>
              </w:tabs>
              <w:spacing w:line="324" w:lineRule="auto"/>
              <w:rPr>
                <w:rFonts w:hint="eastAsia"/>
                <w:sz w:val="21"/>
                <w:szCs w:val="21"/>
              </w:rPr>
            </w:pPr>
            <w:r>
              <w:rPr>
                <w:rFonts w:hint="eastAsia"/>
                <w:sz w:val="21"/>
                <w:szCs w:val="21"/>
                <w:lang w:val="en-US"/>
              </w:rPr>
              <w:t>注：我方承诺</w:t>
            </w:r>
            <w:r>
              <w:rPr>
                <w:rFonts w:hint="eastAsia"/>
                <w:sz w:val="21"/>
                <w:szCs w:val="21"/>
              </w:rPr>
              <w:t>除</w:t>
            </w:r>
            <w:r>
              <w:rPr>
                <w:rFonts w:hint="eastAsia"/>
                <w:sz w:val="21"/>
                <w:szCs w:val="21"/>
                <w:lang w:val="en-US"/>
              </w:rPr>
              <w:t>在</w:t>
            </w:r>
            <w:r>
              <w:rPr>
                <w:rFonts w:hint="eastAsia"/>
                <w:sz w:val="21"/>
                <w:szCs w:val="21"/>
              </w:rPr>
              <w:t>偏差表列出的偏差外，</w:t>
            </w:r>
            <w:r>
              <w:rPr>
                <w:rFonts w:hint="eastAsia"/>
                <w:sz w:val="21"/>
                <w:szCs w:val="21"/>
                <w:lang w:val="en-US"/>
              </w:rPr>
              <w:t>我方</w:t>
            </w:r>
            <w:r>
              <w:rPr>
                <w:rFonts w:hint="eastAsia"/>
                <w:sz w:val="21"/>
                <w:szCs w:val="21"/>
              </w:rPr>
              <w:t>响应</w:t>
            </w:r>
            <w:r>
              <w:rPr>
                <w:rFonts w:hint="eastAsia"/>
                <w:sz w:val="21"/>
                <w:szCs w:val="21"/>
                <w:lang w:val="en-US"/>
              </w:rPr>
              <w:t>招标</w:t>
            </w:r>
            <w:r>
              <w:rPr>
                <w:rFonts w:hint="eastAsia"/>
                <w:sz w:val="21"/>
                <w:szCs w:val="21"/>
              </w:rPr>
              <w:t>文件的全部要求</w:t>
            </w:r>
          </w:p>
        </w:tc>
      </w:tr>
    </w:tbl>
    <w:p w14:paraId="42784D9F">
      <w:pPr>
        <w:tabs>
          <w:tab w:val="left" w:pos="8316"/>
        </w:tabs>
        <w:spacing w:line="324" w:lineRule="auto"/>
        <w:ind w:firstLine="420" w:firstLineChars="200"/>
        <w:rPr>
          <w:rFonts w:hint="eastAsia"/>
          <w:sz w:val="21"/>
          <w:szCs w:val="21"/>
        </w:rPr>
      </w:pPr>
      <w:r>
        <w:rPr>
          <w:rFonts w:hint="eastAsia"/>
          <w:sz w:val="21"/>
          <w:szCs w:val="21"/>
        </w:rPr>
        <w:t>投标人保证：除在偏差表列出的偏差外，我方响应招标文件的全部要求。</w:t>
      </w:r>
    </w:p>
    <w:p w14:paraId="7CBB74A3">
      <w:pPr>
        <w:spacing w:line="360" w:lineRule="auto"/>
        <w:ind w:firstLine="420" w:firstLineChars="200"/>
        <w:rPr>
          <w:rFonts w:hint="eastAsia"/>
          <w:sz w:val="21"/>
          <w:szCs w:val="21"/>
          <w:lang w:val="zh-CN" w:bidi="zh-CN"/>
        </w:rPr>
      </w:pPr>
      <w:r>
        <w:rPr>
          <w:rFonts w:hint="eastAsia"/>
          <w:sz w:val="21"/>
          <w:szCs w:val="21"/>
          <w:lang w:val="zh-CN" w:bidi="zh-CN"/>
        </w:rPr>
        <w:t>注：</w:t>
      </w:r>
    </w:p>
    <w:p w14:paraId="750245A2">
      <w:pPr>
        <w:spacing w:line="360" w:lineRule="auto"/>
        <w:ind w:firstLine="420" w:firstLineChars="200"/>
        <w:rPr>
          <w:rFonts w:hint="eastAsia"/>
          <w:sz w:val="21"/>
          <w:szCs w:val="21"/>
          <w:lang w:val="zh-CN" w:bidi="zh-CN"/>
        </w:rPr>
      </w:pPr>
      <w:r>
        <w:rPr>
          <w:rFonts w:hint="eastAsia"/>
          <w:sz w:val="21"/>
          <w:szCs w:val="21"/>
          <w:lang w:val="zh-CN" w:bidi="zh-CN"/>
        </w:rPr>
        <w:t>1、对招标文件完全响应的，</w:t>
      </w:r>
      <w:r>
        <w:rPr>
          <w:rFonts w:hint="eastAsia"/>
          <w:sz w:val="21"/>
          <w:szCs w:val="21"/>
          <w:lang w:bidi="zh-CN"/>
        </w:rPr>
        <w:t>可不填写内容，</w:t>
      </w:r>
      <w:r>
        <w:rPr>
          <w:rFonts w:hint="eastAsia"/>
          <w:b/>
          <w:bCs/>
          <w:sz w:val="21"/>
          <w:szCs w:val="21"/>
          <w:lang w:bidi="zh-CN"/>
        </w:rPr>
        <w:t>但须</w:t>
      </w:r>
      <w:r>
        <w:rPr>
          <w:rFonts w:hint="eastAsia"/>
          <w:b/>
          <w:bCs/>
          <w:sz w:val="21"/>
          <w:szCs w:val="21"/>
          <w:lang w:val="zh-CN"/>
        </w:rPr>
        <w:t>进行勾选，</w:t>
      </w:r>
      <w:r>
        <w:rPr>
          <w:rFonts w:hint="eastAsia"/>
          <w:b/>
          <w:bCs/>
          <w:sz w:val="21"/>
          <w:szCs w:val="21"/>
        </w:rPr>
        <w:t>并</w:t>
      </w:r>
      <w:r>
        <w:rPr>
          <w:rFonts w:hint="eastAsia"/>
          <w:b/>
          <w:bCs/>
          <w:sz w:val="21"/>
          <w:szCs w:val="21"/>
          <w:lang w:bidi="zh-CN"/>
        </w:rPr>
        <w:t>提供此表</w:t>
      </w:r>
      <w:r>
        <w:rPr>
          <w:rFonts w:hint="eastAsia"/>
          <w:b/>
          <w:bCs/>
          <w:sz w:val="21"/>
          <w:szCs w:val="21"/>
          <w:lang w:val="zh-CN" w:bidi="zh-CN"/>
        </w:rPr>
        <w:t>。</w:t>
      </w:r>
    </w:p>
    <w:p w14:paraId="349549EA">
      <w:pPr>
        <w:spacing w:line="360" w:lineRule="auto"/>
        <w:ind w:firstLine="420" w:firstLineChars="200"/>
        <w:rPr>
          <w:rFonts w:hint="eastAsia"/>
          <w:sz w:val="21"/>
          <w:szCs w:val="21"/>
          <w:lang w:val="zh-CN" w:bidi="zh-CN"/>
        </w:rPr>
      </w:pPr>
      <w:r>
        <w:rPr>
          <w:rFonts w:hint="eastAsia"/>
          <w:sz w:val="21"/>
          <w:szCs w:val="21"/>
          <w:lang w:val="zh-CN" w:bidi="zh-CN"/>
        </w:rPr>
        <w:t>2、对有偏差的条目在本表“</w:t>
      </w:r>
      <w:r>
        <w:rPr>
          <w:rFonts w:hint="eastAsia"/>
          <w:sz w:val="21"/>
          <w:szCs w:val="21"/>
          <w:lang w:bidi="zh-CN"/>
        </w:rPr>
        <w:t>偏差</w:t>
      </w:r>
      <w:r>
        <w:rPr>
          <w:rFonts w:hint="eastAsia"/>
          <w:sz w:val="21"/>
          <w:szCs w:val="21"/>
          <w:lang w:val="zh-CN" w:bidi="zh-CN"/>
        </w:rPr>
        <w:t>”列中填写“正偏差”或“负偏差”，同时补充进行“</w:t>
      </w:r>
      <w:r>
        <w:rPr>
          <w:rFonts w:hint="eastAsia"/>
          <w:sz w:val="21"/>
          <w:szCs w:val="21"/>
          <w:lang w:bidi="zh-CN"/>
        </w:rPr>
        <w:t>偏差</w:t>
      </w:r>
      <w:r>
        <w:rPr>
          <w:rFonts w:hint="eastAsia"/>
          <w:sz w:val="21"/>
          <w:szCs w:val="21"/>
          <w:lang w:val="zh-CN" w:bidi="zh-CN"/>
        </w:rPr>
        <w:t>描述”。</w:t>
      </w:r>
    </w:p>
    <w:p w14:paraId="3701FD01">
      <w:pPr>
        <w:tabs>
          <w:tab w:val="left" w:pos="720"/>
          <w:tab w:val="left" w:pos="8364"/>
        </w:tabs>
        <w:adjustRightInd w:val="0"/>
        <w:snapToGrid w:val="0"/>
        <w:spacing w:line="360" w:lineRule="auto"/>
        <w:rPr>
          <w:rFonts w:hint="eastAsia"/>
          <w:sz w:val="21"/>
          <w:szCs w:val="21"/>
        </w:rPr>
      </w:pPr>
    </w:p>
    <w:p w14:paraId="7A71CC8B">
      <w:pPr>
        <w:spacing w:line="360" w:lineRule="auto"/>
        <w:rPr>
          <w:rFonts w:hint="eastAsia"/>
          <w:sz w:val="21"/>
          <w:szCs w:val="21"/>
        </w:rPr>
      </w:pPr>
      <w:r>
        <w:rPr>
          <w:rFonts w:hint="eastAsia"/>
          <w:sz w:val="21"/>
          <w:szCs w:val="21"/>
        </w:rPr>
        <w:t>投标人（加盖公章）：</w:t>
      </w:r>
      <w:r>
        <w:rPr>
          <w:rFonts w:hint="eastAsia"/>
          <w:sz w:val="21"/>
          <w:szCs w:val="21"/>
          <w:u w:val="single"/>
        </w:rPr>
        <w:t xml:space="preserve">                             </w:t>
      </w:r>
    </w:p>
    <w:p w14:paraId="1F167119">
      <w:pPr>
        <w:spacing w:line="360" w:lineRule="auto"/>
        <w:rPr>
          <w:rFonts w:ascii="Times New Roman" w:hAnsi="Times New Roman" w:cs="Times New Roman"/>
          <w:sz w:val="21"/>
          <w:szCs w:val="21"/>
        </w:rPr>
      </w:pPr>
      <w:r>
        <w:rPr>
          <w:rFonts w:ascii="Times New Roman" w:hAnsi="Times New Roman" w:cs="Times New Roman"/>
          <w:sz w:val="21"/>
          <w:szCs w:val="21"/>
        </w:rPr>
        <w:t>日期：       年      月      日</w:t>
      </w:r>
    </w:p>
    <w:p w14:paraId="20E569B6">
      <w:pPr>
        <w:rPr>
          <w:rFonts w:ascii="Times New Roman" w:hAnsi="Times New Roman" w:cs="Times New Roman"/>
          <w:sz w:val="21"/>
          <w:szCs w:val="21"/>
        </w:rPr>
      </w:pPr>
      <w:r>
        <w:rPr>
          <w:rFonts w:ascii="Times New Roman" w:hAnsi="Times New Roman" w:cs="Times New Roman"/>
          <w:sz w:val="21"/>
          <w:szCs w:val="21"/>
        </w:rPr>
        <w:br w:type="page"/>
      </w:r>
    </w:p>
    <w:p w14:paraId="4DDB2189">
      <w:pPr>
        <w:adjustRightInd w:val="0"/>
        <w:snapToGrid w:val="0"/>
        <w:spacing w:before="163" w:beforeLines="50" w:line="360" w:lineRule="auto"/>
        <w:rPr>
          <w:rFonts w:hint="eastAsia"/>
          <w:sz w:val="21"/>
          <w:szCs w:val="21"/>
        </w:rPr>
      </w:pPr>
      <w:r>
        <w:rPr>
          <w:rFonts w:hint="eastAsia"/>
          <w:sz w:val="21"/>
          <w:szCs w:val="21"/>
        </w:rPr>
        <w:t>格式7：</w:t>
      </w:r>
    </w:p>
    <w:p w14:paraId="344EABBC">
      <w:pPr>
        <w:spacing w:line="360" w:lineRule="auto"/>
        <w:jc w:val="center"/>
        <w:rPr>
          <w:rFonts w:hint="eastAsia"/>
          <w:b/>
          <w:sz w:val="21"/>
          <w:szCs w:val="21"/>
        </w:rPr>
      </w:pPr>
      <w:r>
        <w:rPr>
          <w:rFonts w:hint="eastAsia"/>
          <w:b/>
          <w:sz w:val="21"/>
          <w:szCs w:val="21"/>
        </w:rPr>
        <w:t>履约承诺书</w:t>
      </w:r>
    </w:p>
    <w:p w14:paraId="491F2D01">
      <w:pPr>
        <w:tabs>
          <w:tab w:val="left" w:pos="720"/>
          <w:tab w:val="left" w:pos="8364"/>
        </w:tabs>
        <w:adjustRightInd w:val="0"/>
        <w:snapToGrid w:val="0"/>
        <w:spacing w:line="360" w:lineRule="auto"/>
        <w:rPr>
          <w:rFonts w:hint="eastAsia"/>
          <w:sz w:val="21"/>
          <w:szCs w:val="21"/>
        </w:rPr>
      </w:pPr>
      <w:r>
        <w:rPr>
          <w:rFonts w:hint="eastAsia"/>
          <w:sz w:val="21"/>
          <w:szCs w:val="21"/>
          <w:u w:val="single"/>
        </w:rPr>
        <w:t xml:space="preserve">  （招标人名称）          </w:t>
      </w:r>
      <w:r>
        <w:rPr>
          <w:rFonts w:hint="eastAsia"/>
          <w:sz w:val="21"/>
          <w:szCs w:val="21"/>
        </w:rPr>
        <w:t>：</w:t>
      </w:r>
    </w:p>
    <w:p w14:paraId="4C0E53CF">
      <w:pPr>
        <w:tabs>
          <w:tab w:val="left" w:pos="720"/>
          <w:tab w:val="left" w:pos="8364"/>
        </w:tabs>
        <w:adjustRightInd w:val="0"/>
        <w:snapToGrid w:val="0"/>
        <w:spacing w:line="360" w:lineRule="auto"/>
        <w:rPr>
          <w:rFonts w:hint="eastAsia"/>
          <w:sz w:val="21"/>
          <w:szCs w:val="21"/>
        </w:rPr>
      </w:pPr>
      <w:r>
        <w:rPr>
          <w:rFonts w:hint="eastAsia"/>
          <w:sz w:val="21"/>
          <w:szCs w:val="21"/>
        </w:rPr>
        <w:t>我方全承诺</w:t>
      </w:r>
      <w:r>
        <w:rPr>
          <w:rFonts w:hint="eastAsia"/>
          <w:sz w:val="21"/>
          <w:szCs w:val="21"/>
          <w:u w:val="single"/>
        </w:rPr>
        <w:t xml:space="preserve">   （项目名称）（项目编号</w:t>
      </w:r>
      <w:r>
        <w:rPr>
          <w:rFonts w:hint="eastAsia"/>
          <w:sz w:val="21"/>
          <w:szCs w:val="21"/>
        </w:rPr>
        <w:t>）招标文件和合同条款。在此</w:t>
      </w:r>
      <w:r>
        <w:rPr>
          <w:rFonts w:hint="eastAsia"/>
          <w:sz w:val="21"/>
          <w:szCs w:val="21"/>
          <w:u w:val="single"/>
        </w:rPr>
        <w:t>（投标人名称）      的法人代表  （姓名）</w:t>
      </w:r>
      <w:r>
        <w:rPr>
          <w:rFonts w:hint="eastAsia"/>
          <w:sz w:val="21"/>
          <w:szCs w:val="21"/>
        </w:rPr>
        <w:t>以合法地位郑重做出如下承诺：</w:t>
      </w:r>
    </w:p>
    <w:p w14:paraId="5CB1FADF">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一旦成交，我方将承担合同规定的全部责任和义务。如果成交后不能履行合同规定义务，出现如下任何一种情况的，招标人有权没收履约保证金：</w:t>
      </w:r>
    </w:p>
    <w:p w14:paraId="32F23293">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1、投入的主要管理人员、机械设备数量和型号、管理及施工队伍的配置等与合同约定不符；</w:t>
      </w:r>
    </w:p>
    <w:p w14:paraId="108B0B05">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2、工程质量达不到合同要求，进度严重滞后，或该合同段控制工程进度影响了整体工程进度和项目总目标的实现任何一种情况；</w:t>
      </w:r>
    </w:p>
    <w:p w14:paraId="41327B95">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3、将工程转包或将主体工程违法分包，或以劳务协作为名，将工程违法分包给不具备相应资质的施工队伍或个体承包者；</w:t>
      </w:r>
    </w:p>
    <w:p w14:paraId="48BBE8E2">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4、在项目建设过程中因工程管理（包括：质量、进度、安全、廉政、资金使用、文明工地）受到省级以上主管部门通报批评或被新闻媒体曝光；</w:t>
      </w:r>
    </w:p>
    <w:p w14:paraId="6BE1F333">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5、违规使用工程预付款，将建设资金从该合同段项目经理部抽走，或拖欠工程款、材料款和劳务费用。</w:t>
      </w:r>
    </w:p>
    <w:p w14:paraId="563BE835">
      <w:pPr>
        <w:tabs>
          <w:tab w:val="left" w:pos="720"/>
          <w:tab w:val="left" w:pos="8364"/>
        </w:tabs>
        <w:adjustRightInd w:val="0"/>
        <w:snapToGrid w:val="0"/>
        <w:spacing w:line="360" w:lineRule="auto"/>
        <w:rPr>
          <w:rFonts w:hint="eastAsia"/>
          <w:sz w:val="21"/>
          <w:szCs w:val="21"/>
        </w:rPr>
      </w:pPr>
      <w:r>
        <w:rPr>
          <w:rFonts w:hint="eastAsia"/>
          <w:sz w:val="21"/>
          <w:szCs w:val="21"/>
        </w:rPr>
        <w:t>我公司还承诺，如果没收履约保证金不能免除我方的合同义务，接受招标人对我方所采取的如下任何处理措施：</w:t>
      </w:r>
    </w:p>
    <w:p w14:paraId="53481CAF">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（1）限期整改纠正，使工程建设满足招标人要求；</w:t>
      </w:r>
    </w:p>
    <w:p w14:paraId="108140D7">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（2）同意招标人从正常支付中扣除相应款项，直接支付所欠工程款和劳务费用；</w:t>
      </w:r>
    </w:p>
    <w:p w14:paraId="49A134B9">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（3）招标人有权终止投标人在本合同段的承包，或将本合同段工程中部分工作交由其他投标人或特殊分包人完成，</w:t>
      </w:r>
      <w:r>
        <w:rPr>
          <w:rFonts w:hint="eastAsia"/>
          <w:sz w:val="21"/>
          <w:szCs w:val="21"/>
          <w:u w:val="single"/>
        </w:rPr>
        <w:t xml:space="preserve">  （投标人名称）</w:t>
      </w:r>
      <w:r>
        <w:rPr>
          <w:rFonts w:hint="eastAsia"/>
          <w:sz w:val="21"/>
          <w:szCs w:val="21"/>
        </w:rPr>
        <w:t>无条件按照招标人规定的期限退场或接受调遣。在不解除本合同规定的承包人和义务的同时，由此引起的责任及相关费用均由投标人承担。</w:t>
      </w:r>
    </w:p>
    <w:p w14:paraId="48707506">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（4）同意承担合同段清场而引起的材料、供货、设备租用、民工工资和其他相关损失费用，否则招标人有权采取必要的手段和措施，并无条件没收履约担保。</w:t>
      </w:r>
    </w:p>
    <w:p w14:paraId="2A8CB640">
      <w:pPr>
        <w:tabs>
          <w:tab w:val="left" w:pos="720"/>
          <w:tab w:val="left" w:pos="8364"/>
        </w:tabs>
        <w:adjustRightInd w:val="0"/>
        <w:snapToGrid w:val="0"/>
        <w:spacing w:line="360" w:lineRule="auto"/>
        <w:rPr>
          <w:rFonts w:hint="eastAsia" w:ascii="仿宋" w:hAnsi="仿宋" w:eastAsia="仿宋"/>
        </w:rPr>
      </w:pPr>
      <w:r>
        <w:rPr>
          <w:rFonts w:hint="eastAsia"/>
          <w:sz w:val="21"/>
          <w:szCs w:val="21"/>
        </w:rPr>
        <w:t>本承诺和履约担保自合同签订之日起生效，在招标人向投标人颁发交工证书之日起失效</w:t>
      </w:r>
      <w:r>
        <w:rPr>
          <w:rFonts w:hint="eastAsia" w:ascii="仿宋" w:hAnsi="仿宋" w:eastAsia="仿宋"/>
        </w:rPr>
        <w:t>。</w:t>
      </w:r>
    </w:p>
    <w:p w14:paraId="355DD7FA">
      <w:pPr>
        <w:tabs>
          <w:tab w:val="left" w:pos="720"/>
          <w:tab w:val="left" w:pos="8364"/>
        </w:tabs>
        <w:adjustRightInd w:val="0"/>
        <w:snapToGrid w:val="0"/>
        <w:spacing w:line="360" w:lineRule="auto"/>
        <w:rPr>
          <w:rFonts w:hint="eastAsia" w:ascii="仿宋" w:hAnsi="仿宋" w:eastAsia="仿宋"/>
        </w:rPr>
      </w:pPr>
    </w:p>
    <w:p w14:paraId="45E6FB31">
      <w:pPr>
        <w:spacing w:line="360" w:lineRule="auto"/>
        <w:rPr>
          <w:rFonts w:hint="eastAsia"/>
          <w:sz w:val="21"/>
          <w:szCs w:val="21"/>
        </w:rPr>
      </w:pPr>
      <w:r>
        <w:rPr>
          <w:rFonts w:hint="eastAsia"/>
          <w:sz w:val="21"/>
          <w:szCs w:val="21"/>
        </w:rPr>
        <w:t>投标人（加盖公章）：</w:t>
      </w:r>
      <w:r>
        <w:rPr>
          <w:rFonts w:hint="eastAsia"/>
          <w:sz w:val="21"/>
          <w:szCs w:val="21"/>
          <w:u w:val="single"/>
        </w:rPr>
        <w:t xml:space="preserve">                             </w:t>
      </w:r>
    </w:p>
    <w:p w14:paraId="3F6B32EB">
      <w:pPr>
        <w:spacing w:line="360" w:lineRule="auto"/>
        <w:rPr>
          <w:rFonts w:ascii="Times New Roman" w:hAnsi="Times New Roman" w:cs="Times New Roman"/>
          <w:sz w:val="21"/>
          <w:szCs w:val="21"/>
        </w:rPr>
      </w:pPr>
      <w:r>
        <w:rPr>
          <w:rFonts w:ascii="Times New Roman" w:hAnsi="Times New Roman" w:cs="Times New Roman"/>
          <w:sz w:val="21"/>
          <w:szCs w:val="21"/>
        </w:rPr>
        <w:t>日期：       年      月      日</w:t>
      </w:r>
    </w:p>
    <w:p w14:paraId="1555813A">
      <w:pPr>
        <w:rPr>
          <w:rFonts w:hint="eastAsia" w:ascii="仿宋" w:hAnsi="仿宋" w:eastAsia="仿宋"/>
        </w:rPr>
      </w:pPr>
      <w:r>
        <w:rPr>
          <w:rFonts w:hint="eastAsia" w:ascii="仿宋" w:hAnsi="仿宋" w:eastAsia="仿宋"/>
        </w:rPr>
        <w:br w:type="page"/>
      </w:r>
    </w:p>
    <w:p w14:paraId="46E8FD5F">
      <w:pPr>
        <w:adjustRightInd w:val="0"/>
        <w:snapToGrid w:val="0"/>
        <w:spacing w:before="163" w:beforeLines="50" w:line="360" w:lineRule="auto"/>
        <w:rPr>
          <w:rFonts w:hint="eastAsia"/>
          <w:sz w:val="21"/>
          <w:szCs w:val="21"/>
        </w:rPr>
      </w:pPr>
      <w:r>
        <w:rPr>
          <w:rFonts w:hint="eastAsia"/>
          <w:sz w:val="21"/>
          <w:szCs w:val="21"/>
        </w:rPr>
        <w:t>格式8:</w:t>
      </w:r>
    </w:p>
    <w:p w14:paraId="2697866F">
      <w:pPr>
        <w:spacing w:line="360" w:lineRule="auto"/>
        <w:jc w:val="center"/>
        <w:rPr>
          <w:rFonts w:hint="eastAsia"/>
          <w:b/>
          <w:sz w:val="21"/>
          <w:szCs w:val="21"/>
        </w:rPr>
      </w:pPr>
      <w:r>
        <w:rPr>
          <w:rFonts w:hint="eastAsia"/>
          <w:b/>
          <w:sz w:val="21"/>
          <w:szCs w:val="21"/>
        </w:rPr>
        <w:t>质量安全责任承诺书</w:t>
      </w:r>
    </w:p>
    <w:p w14:paraId="1E0D04B4">
      <w:pPr>
        <w:spacing w:line="360" w:lineRule="auto"/>
        <w:rPr>
          <w:rFonts w:hint="eastAsia" w:ascii="仿宋" w:hAnsi="仿宋" w:eastAsia="仿宋"/>
        </w:rPr>
      </w:pPr>
    </w:p>
    <w:p w14:paraId="747A1F97">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u w:val="single"/>
        </w:rPr>
        <w:t xml:space="preserve">  （招标人名称）       </w:t>
      </w:r>
      <w:r>
        <w:rPr>
          <w:rFonts w:hint="eastAsia"/>
          <w:sz w:val="21"/>
          <w:szCs w:val="21"/>
        </w:rPr>
        <w:t>：</w:t>
      </w:r>
    </w:p>
    <w:p w14:paraId="0C1AD886">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为保证本采购项目顺利进行，作为投标人，现郑重承诺：</w:t>
      </w:r>
    </w:p>
    <w:p w14:paraId="7CF1391C">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1、我方所投产品的生产（包括设计、制造、安装、改造、维修等）投入使用的材料等均完全符合国家现行质量、安全、环保标准和要求。</w:t>
      </w:r>
    </w:p>
    <w:p w14:paraId="4D28DC5C">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2、我方将严格按照国家现行相关储存、运输、安装调试技术标准及规范、服务标准及规范、施工标准及规范，在规定的时限内，保质、保量完成项目全部内容，并向招标人交付合格产品。</w:t>
      </w:r>
    </w:p>
    <w:p w14:paraId="339A928F">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3、对于因产品生产质量以及储存、运输、安装调试、服务、施工等过程中产生的任何安全事故，我方承担全部责任。</w:t>
      </w:r>
    </w:p>
    <w:p w14:paraId="4BF54952">
      <w:pPr>
        <w:tabs>
          <w:tab w:val="left" w:pos="720"/>
          <w:tab w:val="left" w:pos="8364"/>
        </w:tabs>
        <w:adjustRightInd w:val="0"/>
        <w:snapToGrid w:val="0"/>
        <w:spacing w:line="360" w:lineRule="auto"/>
        <w:ind w:firstLine="420" w:firstLineChars="200"/>
        <w:rPr>
          <w:rFonts w:hint="eastAsia"/>
          <w:sz w:val="21"/>
          <w:szCs w:val="21"/>
        </w:rPr>
      </w:pPr>
      <w:r>
        <w:rPr>
          <w:rFonts w:hint="eastAsia"/>
          <w:sz w:val="21"/>
          <w:szCs w:val="21"/>
        </w:rPr>
        <w:t>4、我方提供的货物、工程、服务等符合现行的国家、行业、地区、企业标准及要求，标准不一致的，以更为严格的为准，我方对提供的货物、工程、服务等的质量、安全、环保等承担全部责任。</w:t>
      </w:r>
    </w:p>
    <w:p w14:paraId="6BDC48F6">
      <w:pPr>
        <w:spacing w:line="360" w:lineRule="auto"/>
        <w:rPr>
          <w:rFonts w:hint="eastAsia"/>
          <w:sz w:val="21"/>
          <w:szCs w:val="21"/>
        </w:rPr>
      </w:pPr>
    </w:p>
    <w:p w14:paraId="2B281D70">
      <w:pPr>
        <w:spacing w:line="360" w:lineRule="auto"/>
        <w:rPr>
          <w:rFonts w:hint="eastAsia"/>
          <w:sz w:val="21"/>
          <w:szCs w:val="21"/>
        </w:rPr>
      </w:pPr>
    </w:p>
    <w:p w14:paraId="71E3F5F3">
      <w:pPr>
        <w:spacing w:line="360" w:lineRule="auto"/>
        <w:rPr>
          <w:rFonts w:hint="eastAsia"/>
          <w:sz w:val="21"/>
          <w:szCs w:val="21"/>
        </w:rPr>
      </w:pPr>
      <w:r>
        <w:rPr>
          <w:rFonts w:hint="eastAsia"/>
          <w:sz w:val="21"/>
          <w:szCs w:val="21"/>
        </w:rPr>
        <w:t>投标人（加盖公章）：</w:t>
      </w:r>
      <w:r>
        <w:rPr>
          <w:rFonts w:hint="eastAsia"/>
          <w:sz w:val="21"/>
          <w:szCs w:val="21"/>
          <w:u w:val="single"/>
        </w:rPr>
        <w:t xml:space="preserve">                             </w:t>
      </w:r>
    </w:p>
    <w:p w14:paraId="75B41FAE">
      <w:pPr>
        <w:tabs>
          <w:tab w:val="left" w:pos="720"/>
          <w:tab w:val="left" w:pos="8364"/>
        </w:tabs>
        <w:adjustRightInd w:val="0"/>
        <w:snapToGrid w:val="0"/>
        <w:spacing w:line="360" w:lineRule="auto"/>
        <w:rPr>
          <w:rFonts w:hint="eastAsia" w:ascii="仿宋" w:hAnsi="仿宋" w:eastAsia="仿宋"/>
        </w:rPr>
      </w:pPr>
      <w:r>
        <w:rPr>
          <w:rFonts w:ascii="Times New Roman" w:hAnsi="Times New Roman" w:cs="Times New Roman"/>
          <w:sz w:val="21"/>
          <w:szCs w:val="21"/>
        </w:rPr>
        <w:t>日期：       年      月      日</w:t>
      </w:r>
    </w:p>
    <w:p w14:paraId="039573B0">
      <w:pPr>
        <w:rPr>
          <w:rFonts w:hint="eastAsia"/>
          <w:b/>
          <w:bCs/>
          <w:kern w:val="2"/>
          <w:sz w:val="28"/>
          <w:szCs w:val="28"/>
        </w:rPr>
      </w:pPr>
      <w:r>
        <w:rPr>
          <w:rFonts w:hint="eastAsia"/>
          <w:b/>
          <w:bCs/>
          <w:kern w:val="2"/>
          <w:sz w:val="28"/>
          <w:szCs w:val="28"/>
        </w:rPr>
        <w:br w:type="page"/>
      </w:r>
    </w:p>
    <w:p w14:paraId="12248156">
      <w:pPr>
        <w:adjustRightInd w:val="0"/>
        <w:snapToGrid w:val="0"/>
        <w:spacing w:before="163" w:beforeLines="50" w:line="360" w:lineRule="auto"/>
        <w:rPr>
          <w:rFonts w:hint="eastAsia"/>
          <w:sz w:val="21"/>
          <w:szCs w:val="21"/>
        </w:rPr>
      </w:pPr>
      <w:r>
        <w:rPr>
          <w:rFonts w:hint="eastAsia"/>
          <w:sz w:val="21"/>
          <w:szCs w:val="21"/>
        </w:rPr>
        <w:t>格式9:关联关系声明函</w:t>
      </w:r>
    </w:p>
    <w:p w14:paraId="02AE355A">
      <w:pPr>
        <w:spacing w:line="360" w:lineRule="auto"/>
        <w:jc w:val="center"/>
        <w:rPr>
          <w:rFonts w:hint="eastAsia"/>
          <w:b/>
          <w:sz w:val="21"/>
          <w:szCs w:val="21"/>
        </w:rPr>
      </w:pPr>
    </w:p>
    <w:p w14:paraId="6E2082F7">
      <w:pPr>
        <w:spacing w:line="360" w:lineRule="auto"/>
        <w:jc w:val="center"/>
        <w:rPr>
          <w:rFonts w:hint="eastAsia"/>
          <w:b/>
          <w:sz w:val="21"/>
          <w:szCs w:val="21"/>
        </w:rPr>
      </w:pPr>
      <w:r>
        <w:rPr>
          <w:rFonts w:hint="eastAsia"/>
          <w:b/>
          <w:sz w:val="21"/>
          <w:szCs w:val="21"/>
        </w:rPr>
        <w:t>关联关系声明函</w:t>
      </w:r>
    </w:p>
    <w:p w14:paraId="3E74E411">
      <w:pPr>
        <w:spacing w:line="360" w:lineRule="auto"/>
        <w:ind w:firstLine="420" w:firstLineChars="200"/>
        <w:rPr>
          <w:rFonts w:hint="eastAsia"/>
          <w:sz w:val="21"/>
          <w:szCs w:val="21"/>
        </w:rPr>
      </w:pPr>
      <w:r>
        <w:rPr>
          <w:rFonts w:hint="eastAsia"/>
          <w:sz w:val="21"/>
          <w:szCs w:val="21"/>
        </w:rPr>
        <w:t>1、投标人在本项目投标中，不存在与其他投标人负责人为同一人，有直接控股、管理关系的承诺。</w:t>
      </w:r>
    </w:p>
    <w:p w14:paraId="662AB4EB">
      <w:pPr>
        <w:spacing w:line="360" w:lineRule="auto"/>
        <w:ind w:firstLine="420" w:firstLineChars="200"/>
        <w:rPr>
          <w:rFonts w:hint="eastAsia"/>
          <w:sz w:val="21"/>
          <w:szCs w:val="21"/>
        </w:rPr>
      </w:pPr>
      <w:r>
        <w:rPr>
          <w:rFonts w:hint="eastAsia"/>
          <w:sz w:val="21"/>
          <w:szCs w:val="21"/>
        </w:rPr>
        <w:t>1-1、管理关系说明：</w:t>
      </w:r>
    </w:p>
    <w:p w14:paraId="59600C5C">
      <w:pPr>
        <w:spacing w:line="360" w:lineRule="auto"/>
        <w:ind w:firstLine="420" w:firstLineChars="200"/>
        <w:rPr>
          <w:rFonts w:hint="eastAsia"/>
          <w:sz w:val="21"/>
          <w:szCs w:val="21"/>
        </w:rPr>
      </w:pPr>
      <w:r>
        <w:rPr>
          <w:rFonts w:hint="eastAsia"/>
          <w:sz w:val="21"/>
          <w:szCs w:val="21"/>
        </w:rPr>
        <w:t>我单位管理的具有独立法人的下属单位有：</w:t>
      </w:r>
      <w:r>
        <w:rPr>
          <w:rFonts w:hint="eastAsia"/>
          <w:sz w:val="21"/>
          <w:szCs w:val="21"/>
          <w:u w:val="single"/>
        </w:rPr>
        <w:t xml:space="preserve">             </w:t>
      </w:r>
      <w:r>
        <w:rPr>
          <w:rFonts w:hint="eastAsia"/>
          <w:sz w:val="21"/>
          <w:szCs w:val="21"/>
        </w:rPr>
        <w:t xml:space="preserve"> 。</w:t>
      </w:r>
    </w:p>
    <w:p w14:paraId="02B0074D">
      <w:pPr>
        <w:spacing w:line="360" w:lineRule="auto"/>
        <w:ind w:firstLine="420" w:firstLineChars="200"/>
        <w:rPr>
          <w:rFonts w:hint="eastAsia"/>
          <w:sz w:val="21"/>
          <w:szCs w:val="21"/>
        </w:rPr>
      </w:pPr>
      <w:r>
        <w:rPr>
          <w:rFonts w:hint="eastAsia"/>
          <w:sz w:val="21"/>
          <w:szCs w:val="21"/>
        </w:rPr>
        <w:t>我单位的上级管理单位有：</w:t>
      </w:r>
      <w:r>
        <w:rPr>
          <w:rFonts w:hint="eastAsia"/>
          <w:sz w:val="21"/>
          <w:szCs w:val="21"/>
          <w:u w:val="single"/>
        </w:rPr>
        <w:t xml:space="preserve">             </w:t>
      </w:r>
      <w:r>
        <w:rPr>
          <w:rFonts w:hint="eastAsia"/>
          <w:sz w:val="21"/>
          <w:szCs w:val="21"/>
        </w:rPr>
        <w:t>。</w:t>
      </w:r>
    </w:p>
    <w:p w14:paraId="184472A8">
      <w:pPr>
        <w:spacing w:line="360" w:lineRule="auto"/>
        <w:ind w:firstLine="420" w:firstLineChars="200"/>
        <w:rPr>
          <w:rFonts w:hint="eastAsia"/>
          <w:sz w:val="21"/>
          <w:szCs w:val="21"/>
        </w:rPr>
      </w:pPr>
      <w:r>
        <w:rPr>
          <w:rFonts w:hint="eastAsia"/>
          <w:sz w:val="21"/>
          <w:szCs w:val="21"/>
        </w:rPr>
        <w:t>1-2、股权关系说明：</w:t>
      </w:r>
    </w:p>
    <w:p w14:paraId="0DB179A0">
      <w:pPr>
        <w:spacing w:line="360" w:lineRule="auto"/>
        <w:ind w:firstLine="420" w:firstLineChars="200"/>
        <w:rPr>
          <w:rFonts w:hint="eastAsia"/>
          <w:sz w:val="21"/>
          <w:szCs w:val="21"/>
        </w:rPr>
      </w:pPr>
      <w:r>
        <w:rPr>
          <w:rFonts w:hint="eastAsia"/>
          <w:sz w:val="21"/>
          <w:szCs w:val="21"/>
        </w:rPr>
        <w:t>我单位控股的单位有：</w:t>
      </w:r>
      <w:r>
        <w:rPr>
          <w:rFonts w:hint="eastAsia"/>
          <w:sz w:val="21"/>
          <w:szCs w:val="21"/>
          <w:u w:val="single"/>
        </w:rPr>
        <w:t xml:space="preserve">             </w:t>
      </w:r>
      <w:r>
        <w:rPr>
          <w:rFonts w:hint="eastAsia"/>
          <w:sz w:val="21"/>
          <w:szCs w:val="21"/>
        </w:rPr>
        <w:t>。</w:t>
      </w:r>
    </w:p>
    <w:p w14:paraId="1AD2F7C4">
      <w:pPr>
        <w:spacing w:line="360" w:lineRule="auto"/>
        <w:ind w:firstLine="420" w:firstLineChars="200"/>
        <w:rPr>
          <w:rFonts w:hint="eastAsia"/>
          <w:sz w:val="21"/>
          <w:szCs w:val="21"/>
        </w:rPr>
      </w:pPr>
      <w:r>
        <w:rPr>
          <w:rFonts w:hint="eastAsia"/>
          <w:sz w:val="21"/>
          <w:szCs w:val="21"/>
        </w:rPr>
        <w:t>我单位被：</w:t>
      </w:r>
      <w:r>
        <w:rPr>
          <w:rFonts w:hint="eastAsia"/>
          <w:sz w:val="21"/>
          <w:szCs w:val="21"/>
          <w:u w:val="single"/>
        </w:rPr>
        <w:t xml:space="preserve">             </w:t>
      </w:r>
      <w:r>
        <w:rPr>
          <w:rFonts w:hint="eastAsia"/>
          <w:sz w:val="21"/>
          <w:szCs w:val="21"/>
        </w:rPr>
        <w:t>单位控股。</w:t>
      </w:r>
    </w:p>
    <w:p w14:paraId="0FBD1F8E">
      <w:pPr>
        <w:spacing w:line="360" w:lineRule="auto"/>
        <w:ind w:firstLine="420" w:firstLineChars="200"/>
        <w:rPr>
          <w:rFonts w:hint="eastAsia"/>
          <w:sz w:val="21"/>
          <w:szCs w:val="21"/>
        </w:rPr>
      </w:pPr>
      <w:r>
        <w:rPr>
          <w:rFonts w:hint="eastAsia"/>
          <w:sz w:val="21"/>
          <w:szCs w:val="21"/>
        </w:rPr>
        <w:t>1-3、单位负责人：</w:t>
      </w:r>
      <w:r>
        <w:rPr>
          <w:rFonts w:hint="eastAsia"/>
          <w:sz w:val="21"/>
          <w:szCs w:val="21"/>
          <w:u w:val="single"/>
        </w:rPr>
        <w:t xml:space="preserve">             </w:t>
      </w:r>
      <w:r>
        <w:rPr>
          <w:rFonts w:hint="eastAsia"/>
          <w:sz w:val="21"/>
          <w:szCs w:val="21"/>
        </w:rPr>
        <w:t>。</w:t>
      </w:r>
    </w:p>
    <w:p w14:paraId="4ADE47F8">
      <w:pPr>
        <w:spacing w:line="360" w:lineRule="auto"/>
        <w:ind w:firstLine="420" w:firstLineChars="200"/>
        <w:rPr>
          <w:rFonts w:hint="eastAsia"/>
          <w:sz w:val="21"/>
          <w:szCs w:val="21"/>
        </w:rPr>
      </w:pPr>
      <w:r>
        <w:rPr>
          <w:rFonts w:hint="eastAsia"/>
          <w:sz w:val="21"/>
          <w:szCs w:val="21"/>
        </w:rPr>
        <w:t>我单位承诺以上说明真实有效，无虚假内容或隐瞒。</w:t>
      </w:r>
    </w:p>
    <w:p w14:paraId="7035D2F5">
      <w:pPr>
        <w:kinsoku w:val="0"/>
        <w:spacing w:line="336" w:lineRule="auto"/>
        <w:ind w:firstLine="422" w:firstLineChars="200"/>
        <w:rPr>
          <w:rFonts w:hint="eastAsia"/>
          <w:b/>
          <w:sz w:val="21"/>
          <w:szCs w:val="21"/>
          <w:lang w:val="zh-CN"/>
        </w:rPr>
      </w:pPr>
    </w:p>
    <w:p w14:paraId="21DC476B">
      <w:pPr>
        <w:spacing w:line="360" w:lineRule="auto"/>
        <w:ind w:firstLine="422" w:firstLineChars="200"/>
        <w:rPr>
          <w:rFonts w:hint="eastAsia"/>
          <w:sz w:val="21"/>
          <w:szCs w:val="21"/>
          <w:lang w:val="zh-CN"/>
        </w:rPr>
      </w:pPr>
      <w:r>
        <w:rPr>
          <w:rFonts w:hint="eastAsia"/>
          <w:b/>
          <w:bCs/>
          <w:sz w:val="21"/>
          <w:szCs w:val="21"/>
          <w:lang w:val="zh-CN"/>
        </w:rPr>
        <w:t>备注：如果被举报经查实出具虚假承诺函的，将被取消投标资格，并按有关规定予以处理。</w:t>
      </w:r>
    </w:p>
    <w:p w14:paraId="500EB74C">
      <w:pPr>
        <w:spacing w:line="360" w:lineRule="auto"/>
        <w:ind w:firstLine="2940" w:firstLineChars="1400"/>
        <w:rPr>
          <w:rFonts w:hint="eastAsia"/>
          <w:sz w:val="21"/>
          <w:szCs w:val="21"/>
        </w:rPr>
      </w:pPr>
    </w:p>
    <w:p w14:paraId="58E6C50C">
      <w:pPr>
        <w:spacing w:line="360" w:lineRule="auto"/>
        <w:ind w:firstLine="2940" w:firstLineChars="1400"/>
        <w:rPr>
          <w:rFonts w:hint="eastAsia"/>
          <w:sz w:val="21"/>
          <w:szCs w:val="21"/>
        </w:rPr>
      </w:pPr>
    </w:p>
    <w:p w14:paraId="5EF7FADC">
      <w:pPr>
        <w:spacing w:line="360" w:lineRule="auto"/>
        <w:rPr>
          <w:rFonts w:hint="eastAsia"/>
          <w:sz w:val="21"/>
          <w:szCs w:val="21"/>
        </w:rPr>
      </w:pPr>
      <w:r>
        <w:rPr>
          <w:rFonts w:hint="eastAsia"/>
          <w:sz w:val="21"/>
          <w:szCs w:val="21"/>
        </w:rPr>
        <w:t>投标人（加盖公章）：</w:t>
      </w:r>
      <w:r>
        <w:rPr>
          <w:rFonts w:hint="eastAsia"/>
          <w:sz w:val="21"/>
          <w:szCs w:val="21"/>
          <w:u w:val="single"/>
        </w:rPr>
        <w:t xml:space="preserve">                             </w:t>
      </w:r>
    </w:p>
    <w:p w14:paraId="5F583F1C">
      <w:pPr>
        <w:tabs>
          <w:tab w:val="left" w:pos="720"/>
          <w:tab w:val="left" w:pos="8364"/>
        </w:tabs>
        <w:adjustRightInd w:val="0"/>
        <w:snapToGrid w:val="0"/>
        <w:spacing w:line="360" w:lineRule="auto"/>
        <w:rPr>
          <w:rFonts w:hint="eastAsia" w:ascii="仿宋" w:hAnsi="仿宋" w:eastAsia="仿宋"/>
        </w:rPr>
      </w:pPr>
      <w:r>
        <w:rPr>
          <w:rFonts w:ascii="Times New Roman" w:hAnsi="Times New Roman" w:cs="Times New Roman"/>
          <w:sz w:val="21"/>
          <w:szCs w:val="21"/>
        </w:rPr>
        <w:t>日期：       年      月      日</w:t>
      </w:r>
    </w:p>
    <w:p w14:paraId="14D19FCB">
      <w:pPr>
        <w:rPr>
          <w:rFonts w:hint="eastAsia"/>
        </w:rPr>
      </w:pPr>
    </w:p>
    <w:p w14:paraId="58D05FF9">
      <w:pPr>
        <w:rPr>
          <w:rFonts w:hint="eastAsia"/>
        </w:rPr>
      </w:pPr>
    </w:p>
    <w:p w14:paraId="4BBD4A36">
      <w:pPr>
        <w:rPr>
          <w:rFonts w:hint="eastAsia"/>
        </w:rPr>
      </w:pPr>
    </w:p>
    <w:p w14:paraId="625E57B8">
      <w:pPr>
        <w:rPr>
          <w:rFonts w:hint="eastAsia"/>
        </w:rPr>
      </w:pPr>
      <w:r>
        <w:rPr>
          <w:rFonts w:hint="eastAsia"/>
        </w:rPr>
        <w:br w:type="page"/>
      </w:r>
    </w:p>
    <w:p w14:paraId="7F18EA77">
      <w:pPr>
        <w:pStyle w:val="6"/>
        <w:jc w:val="center"/>
        <w:rPr>
          <w:rFonts w:hint="eastAsia" w:ascii="宋体" w:hAnsi="宋体" w:eastAsia="宋体" w:cs="宋体"/>
        </w:rPr>
      </w:pPr>
      <w:r>
        <w:rPr>
          <w:rFonts w:hint="eastAsia" w:ascii="宋体" w:hAnsi="宋体" w:eastAsia="宋体" w:cs="宋体"/>
        </w:rPr>
        <w:t>六、投标保证金交存凭证</w:t>
      </w:r>
    </w:p>
    <w:p w14:paraId="0E2187C5">
      <w:pPr>
        <w:spacing w:line="360" w:lineRule="auto"/>
        <w:rPr>
          <w:rFonts w:hint="eastAsia"/>
          <w:b/>
          <w:bCs/>
          <w:sz w:val="21"/>
          <w:szCs w:val="21"/>
        </w:rPr>
      </w:pPr>
      <w:r>
        <w:rPr>
          <w:rFonts w:hint="eastAsia"/>
          <w:b/>
          <w:bCs/>
          <w:sz w:val="21"/>
          <w:szCs w:val="21"/>
        </w:rPr>
        <w:t>附：1、投标保证金缴纳凭证复印件或扫描件；</w:t>
      </w:r>
    </w:p>
    <w:p w14:paraId="29AB2201">
      <w:pPr>
        <w:spacing w:line="360" w:lineRule="auto"/>
        <w:ind w:firstLine="422" w:firstLineChars="200"/>
        <w:rPr>
          <w:rFonts w:hint="eastAsia"/>
          <w:b/>
          <w:bCs/>
          <w:sz w:val="21"/>
          <w:szCs w:val="21"/>
        </w:rPr>
      </w:pPr>
      <w:r>
        <w:rPr>
          <w:rFonts w:hint="eastAsia"/>
          <w:b/>
          <w:bCs/>
          <w:sz w:val="21"/>
          <w:szCs w:val="21"/>
        </w:rPr>
        <w:t>2、银行开户许可证或基本户开户银行证明资料。</w:t>
      </w:r>
    </w:p>
    <w:p w14:paraId="3116FB48">
      <w:pPr>
        <w:tabs>
          <w:tab w:val="left" w:pos="5670"/>
        </w:tabs>
        <w:spacing w:line="360" w:lineRule="auto"/>
        <w:ind w:firstLine="420" w:firstLineChars="200"/>
        <w:rPr>
          <w:rFonts w:hint="eastAsia"/>
          <w:sz w:val="21"/>
          <w:szCs w:val="21"/>
        </w:rPr>
      </w:pPr>
    </w:p>
    <w:p w14:paraId="0F4E5B36">
      <w:pPr>
        <w:rPr>
          <w:rFonts w:hint="eastAsia"/>
          <w:b/>
          <w:bCs/>
          <w:kern w:val="2"/>
          <w:sz w:val="28"/>
          <w:szCs w:val="28"/>
        </w:rPr>
      </w:pPr>
      <w:r>
        <w:rPr>
          <w:rFonts w:hint="eastAsia"/>
          <w:b/>
          <w:bCs/>
          <w:kern w:val="2"/>
          <w:sz w:val="28"/>
          <w:szCs w:val="28"/>
        </w:rPr>
        <w:br w:type="page"/>
      </w:r>
    </w:p>
    <w:p w14:paraId="2B15B1AD">
      <w:pPr>
        <w:pStyle w:val="6"/>
        <w:jc w:val="center"/>
        <w:rPr>
          <w:rFonts w:ascii="Times New Roman" w:hAnsi="Times New Roman" w:cs="Times New Roman"/>
          <w:sz w:val="30"/>
          <w:szCs w:val="30"/>
        </w:rPr>
      </w:pPr>
      <w:r>
        <w:rPr>
          <w:rFonts w:hint="eastAsia" w:ascii="宋体" w:hAnsi="宋体" w:eastAsia="宋体" w:cs="宋体"/>
        </w:rPr>
        <w:t>七、已标价工程量清单（格式）</w:t>
      </w:r>
    </w:p>
    <w:p w14:paraId="67411354">
      <w:pPr>
        <w:ind w:firstLine="480" w:firstLineChars="200"/>
        <w:rPr>
          <w:rFonts w:ascii="Times New Roman" w:hAnsi="Times New Roman" w:cs="Times New Roman"/>
        </w:rPr>
      </w:pPr>
    </w:p>
    <w:p w14:paraId="31362D6F">
      <w:pPr>
        <w:pStyle w:val="149"/>
        <w:spacing w:line="560" w:lineRule="exact"/>
        <w:rPr>
          <w:rFonts w:hint="eastAsia" w:hAnsi="宋体" w:cs="宋体"/>
          <w:bCs/>
          <w:sz w:val="21"/>
          <w:szCs w:val="21"/>
        </w:rPr>
      </w:pPr>
      <w:r>
        <w:rPr>
          <w:rFonts w:hint="eastAsia" w:hAnsi="宋体" w:cs="宋体"/>
          <w:bCs/>
          <w:sz w:val="21"/>
          <w:szCs w:val="21"/>
        </w:rPr>
        <w:t>投标报价说明</w:t>
      </w:r>
    </w:p>
    <w:p w14:paraId="5216A191">
      <w:pPr>
        <w:spacing w:line="560" w:lineRule="exact"/>
        <w:ind w:firstLine="403" w:firstLineChars="192"/>
        <w:rPr>
          <w:rFonts w:hint="eastAsia"/>
          <w:sz w:val="21"/>
          <w:szCs w:val="21"/>
        </w:rPr>
      </w:pPr>
      <w:r>
        <w:rPr>
          <w:rFonts w:hint="eastAsia"/>
          <w:sz w:val="21"/>
          <w:szCs w:val="21"/>
        </w:rPr>
        <w:t>1、本报价依据本工程招标文件的投标须知、合同文件、设备材料采购供应约定及工程建设标准、图纸</w:t>
      </w:r>
    </w:p>
    <w:p w14:paraId="21C8FC96">
      <w:pPr>
        <w:spacing w:line="560" w:lineRule="exact"/>
        <w:rPr>
          <w:rFonts w:hint="eastAsia"/>
          <w:sz w:val="21"/>
          <w:szCs w:val="21"/>
        </w:rPr>
      </w:pPr>
      <w:r>
        <w:rPr>
          <w:rFonts w:hint="eastAsia"/>
          <w:sz w:val="21"/>
          <w:szCs w:val="21"/>
        </w:rPr>
        <w:t>和答疑纪要及其它有关文件进行编制。</w:t>
      </w:r>
    </w:p>
    <w:p w14:paraId="30A27D31">
      <w:pPr>
        <w:spacing w:line="560" w:lineRule="exact"/>
        <w:ind w:firstLine="403" w:firstLineChars="192"/>
        <w:rPr>
          <w:rFonts w:hint="eastAsia"/>
          <w:sz w:val="21"/>
          <w:szCs w:val="21"/>
        </w:rPr>
      </w:pPr>
      <w:r>
        <w:rPr>
          <w:rFonts w:hint="eastAsia"/>
          <w:sz w:val="21"/>
          <w:szCs w:val="21"/>
        </w:rPr>
        <w:t>2、工程量清单计价表中所填入的单价和合价，为本工程所涉及的全部项目的价格，是按照《陕西省建设工程工程量清单计价规则》和招标文件要求及市场价格计算确定的直接费、管理费、风险、利润</w:t>
      </w:r>
      <w:r>
        <w:rPr>
          <w:rFonts w:hint="eastAsia"/>
          <w:spacing w:val="-6"/>
          <w:sz w:val="21"/>
          <w:szCs w:val="21"/>
        </w:rPr>
        <w:t>和招标文件规定、</w:t>
      </w:r>
      <w:r>
        <w:rPr>
          <w:rFonts w:hint="eastAsia"/>
          <w:sz w:val="21"/>
          <w:szCs w:val="21"/>
        </w:rPr>
        <w:t>结合我公司实际情况和投标策略计算并列报的。</w:t>
      </w:r>
    </w:p>
    <w:p w14:paraId="7F68542E">
      <w:pPr>
        <w:spacing w:line="560" w:lineRule="exact"/>
        <w:ind w:firstLine="380" w:firstLineChars="192"/>
        <w:rPr>
          <w:rFonts w:hint="eastAsia"/>
          <w:spacing w:val="-6"/>
          <w:sz w:val="21"/>
          <w:szCs w:val="21"/>
        </w:rPr>
      </w:pPr>
      <w:r>
        <w:rPr>
          <w:rFonts w:hint="eastAsia"/>
          <w:spacing w:val="-6"/>
          <w:sz w:val="21"/>
          <w:szCs w:val="21"/>
        </w:rPr>
        <w:t>3</w:t>
      </w:r>
      <w:r>
        <w:rPr>
          <w:rFonts w:hint="eastAsia"/>
          <w:sz w:val="21"/>
          <w:szCs w:val="21"/>
        </w:rPr>
        <w:t>、</w:t>
      </w:r>
      <w:r>
        <w:rPr>
          <w:rFonts w:hint="eastAsia"/>
          <w:spacing w:val="-6"/>
          <w:sz w:val="21"/>
          <w:szCs w:val="21"/>
        </w:rPr>
        <w:t>本报价中没有填写的项目的费用，视为已包括在其他项目之中。</w:t>
      </w:r>
    </w:p>
    <w:p w14:paraId="32DC95E2">
      <w:pPr>
        <w:spacing w:line="560" w:lineRule="exact"/>
        <w:ind w:firstLine="403" w:firstLineChars="192"/>
        <w:rPr>
          <w:rFonts w:hint="eastAsia"/>
          <w:sz w:val="21"/>
          <w:szCs w:val="21"/>
        </w:rPr>
      </w:pPr>
      <w:r>
        <w:rPr>
          <w:rFonts w:hint="eastAsia"/>
          <w:sz w:val="21"/>
          <w:szCs w:val="21"/>
        </w:rPr>
        <w:t>4、本报价的币种为人民币。</w:t>
      </w:r>
    </w:p>
    <w:p w14:paraId="4C7BBF1A">
      <w:pPr>
        <w:spacing w:line="560" w:lineRule="exact"/>
        <w:ind w:firstLine="403" w:firstLineChars="192"/>
        <w:rPr>
          <w:rFonts w:hint="eastAsia"/>
          <w:sz w:val="21"/>
          <w:szCs w:val="21"/>
        </w:rPr>
      </w:pPr>
      <w:r>
        <w:rPr>
          <w:rFonts w:hint="eastAsia"/>
          <w:sz w:val="21"/>
          <w:szCs w:val="21"/>
        </w:rPr>
        <w:t>5、投标报价应与工程量清单的报价汇总表数字一致。精确到元、角、分。</w:t>
      </w:r>
    </w:p>
    <w:p w14:paraId="016BC2D7">
      <w:pPr>
        <w:spacing w:line="560" w:lineRule="exact"/>
        <w:ind w:firstLine="403" w:firstLineChars="192"/>
        <w:rPr>
          <w:rFonts w:hint="eastAsia"/>
          <w:sz w:val="21"/>
          <w:szCs w:val="21"/>
        </w:rPr>
      </w:pPr>
      <w:r>
        <w:rPr>
          <w:rFonts w:hint="eastAsia"/>
          <w:sz w:val="21"/>
          <w:szCs w:val="21"/>
        </w:rPr>
        <w:t>6、</w:t>
      </w:r>
      <w:r>
        <w:rPr>
          <w:rFonts w:hint="eastAsia"/>
          <w:sz w:val="21"/>
          <w:szCs w:val="21"/>
          <w:highlight w:val="none"/>
        </w:rPr>
        <w:t>广联达云计价平台GCCP7.0（7.5000.23.2）版本</w:t>
      </w:r>
    </w:p>
    <w:p w14:paraId="77745826">
      <w:pPr>
        <w:spacing w:line="560" w:lineRule="exact"/>
        <w:ind w:firstLine="403" w:firstLineChars="192"/>
        <w:rPr>
          <w:rFonts w:hint="eastAsia"/>
          <w:sz w:val="21"/>
          <w:szCs w:val="21"/>
        </w:rPr>
      </w:pPr>
      <w:r>
        <w:rPr>
          <w:rFonts w:hint="eastAsia"/>
          <w:sz w:val="21"/>
          <w:szCs w:val="21"/>
        </w:rPr>
        <w:t>7、</w:t>
      </w:r>
      <w:r>
        <w:rPr>
          <w:rFonts w:hint="eastAsia"/>
          <w:b/>
          <w:sz w:val="21"/>
          <w:szCs w:val="21"/>
        </w:rPr>
        <w:t>工程量清单（按广联达软件要求格式生成）</w:t>
      </w:r>
    </w:p>
    <w:p w14:paraId="772AA5B0">
      <w:pPr>
        <w:spacing w:line="560" w:lineRule="exact"/>
        <w:ind w:firstLine="403" w:firstLineChars="192"/>
        <w:rPr>
          <w:rFonts w:hint="eastAsia"/>
          <w:sz w:val="21"/>
          <w:szCs w:val="21"/>
        </w:rPr>
      </w:pPr>
    </w:p>
    <w:p w14:paraId="70054306">
      <w:pPr>
        <w:ind w:firstLine="420" w:firstLineChars="200"/>
        <w:rPr>
          <w:rFonts w:hint="eastAsia"/>
          <w:sz w:val="21"/>
          <w:szCs w:val="21"/>
        </w:rPr>
      </w:pPr>
    </w:p>
    <w:p w14:paraId="21437700">
      <w:pPr>
        <w:ind w:firstLine="420" w:firstLineChars="200"/>
        <w:rPr>
          <w:rFonts w:hint="eastAsia"/>
          <w:sz w:val="21"/>
          <w:szCs w:val="21"/>
        </w:rPr>
      </w:pPr>
    </w:p>
    <w:p w14:paraId="314FA89E">
      <w:pPr>
        <w:spacing w:line="560" w:lineRule="exact"/>
        <w:jc w:val="center"/>
        <w:rPr>
          <w:rFonts w:hint="eastAsia"/>
          <w:sz w:val="21"/>
          <w:szCs w:val="21"/>
        </w:rPr>
      </w:pPr>
    </w:p>
    <w:p w14:paraId="4667F132">
      <w:pPr>
        <w:ind w:firstLine="420" w:firstLineChars="200"/>
        <w:rPr>
          <w:rFonts w:hint="eastAsia"/>
          <w:sz w:val="21"/>
          <w:szCs w:val="21"/>
        </w:rPr>
      </w:pPr>
    </w:p>
    <w:p w14:paraId="4A97810E">
      <w:pPr>
        <w:pStyle w:val="60"/>
        <w:rPr>
          <w:szCs w:val="21"/>
        </w:rPr>
      </w:pPr>
    </w:p>
    <w:p w14:paraId="6A4443E6">
      <w:pPr>
        <w:pStyle w:val="60"/>
        <w:rPr>
          <w:szCs w:val="21"/>
        </w:rPr>
      </w:pPr>
    </w:p>
    <w:p w14:paraId="04EEC493">
      <w:pPr>
        <w:rPr>
          <w:rFonts w:ascii="Times New Roman" w:hAnsi="Times New Roman" w:cs="Times New Roman"/>
          <w:sz w:val="21"/>
          <w:szCs w:val="21"/>
        </w:rPr>
      </w:pPr>
      <w:r>
        <w:rPr>
          <w:rFonts w:ascii="Times New Roman" w:hAnsi="Times New Roman" w:cs="Times New Roman"/>
          <w:sz w:val="21"/>
          <w:szCs w:val="21"/>
        </w:rPr>
        <w:br w:type="page"/>
      </w:r>
    </w:p>
    <w:p w14:paraId="0E474C04">
      <w:pPr>
        <w:pStyle w:val="6"/>
        <w:jc w:val="center"/>
        <w:rPr>
          <w:rFonts w:hint="eastAsia" w:ascii="宋体" w:hAnsi="宋体" w:eastAsia="宋体" w:cs="宋体"/>
        </w:rPr>
      </w:pPr>
      <w:r>
        <w:rPr>
          <w:rFonts w:hint="eastAsia" w:ascii="宋体" w:hAnsi="宋体" w:eastAsia="宋体" w:cs="宋体"/>
        </w:rPr>
        <w:t>八、评标响应资料</w:t>
      </w:r>
    </w:p>
    <w:p w14:paraId="46E6F6EF">
      <w:pPr>
        <w:jc w:val="center"/>
        <w:rPr>
          <w:rFonts w:hint="eastAsia"/>
          <w:sz w:val="21"/>
          <w:szCs w:val="21"/>
        </w:rPr>
      </w:pPr>
      <w:r>
        <w:rPr>
          <w:rFonts w:hint="eastAsia"/>
          <w:b/>
          <w:bCs/>
          <w:kern w:val="2"/>
          <w:sz w:val="22"/>
          <w:szCs w:val="22"/>
        </w:rPr>
        <w:t>（参考格式，可自拟）</w:t>
      </w:r>
    </w:p>
    <w:p w14:paraId="7C4052FF">
      <w:pPr>
        <w:tabs>
          <w:tab w:val="left" w:pos="5670"/>
        </w:tabs>
        <w:spacing w:line="360" w:lineRule="auto"/>
        <w:ind w:firstLine="420" w:firstLineChars="200"/>
        <w:rPr>
          <w:rFonts w:hint="eastAsia"/>
          <w:sz w:val="21"/>
          <w:szCs w:val="21"/>
        </w:rPr>
      </w:pPr>
      <w:r>
        <w:rPr>
          <w:rFonts w:hint="eastAsia"/>
          <w:sz w:val="21"/>
          <w:szCs w:val="21"/>
        </w:rPr>
        <w:t>1、施工方案；</w:t>
      </w:r>
    </w:p>
    <w:p w14:paraId="1543FCF8">
      <w:pPr>
        <w:tabs>
          <w:tab w:val="left" w:pos="5670"/>
        </w:tabs>
        <w:spacing w:line="360" w:lineRule="auto"/>
        <w:ind w:firstLine="420" w:firstLineChars="200"/>
        <w:rPr>
          <w:rFonts w:hint="eastAsia"/>
          <w:sz w:val="21"/>
          <w:szCs w:val="21"/>
        </w:rPr>
      </w:pPr>
      <w:r>
        <w:rPr>
          <w:rFonts w:hint="eastAsia"/>
          <w:sz w:val="21"/>
          <w:szCs w:val="21"/>
        </w:rPr>
        <w:t>2、确保工程质量的技术组织措施；</w:t>
      </w:r>
    </w:p>
    <w:p w14:paraId="1F99AD23">
      <w:pPr>
        <w:tabs>
          <w:tab w:val="left" w:pos="5670"/>
        </w:tabs>
        <w:spacing w:line="360" w:lineRule="auto"/>
        <w:ind w:firstLine="420" w:firstLineChars="200"/>
        <w:rPr>
          <w:rFonts w:hint="eastAsia"/>
          <w:sz w:val="21"/>
          <w:szCs w:val="21"/>
        </w:rPr>
      </w:pPr>
      <w:r>
        <w:rPr>
          <w:rFonts w:hint="eastAsia"/>
          <w:sz w:val="21"/>
          <w:szCs w:val="21"/>
        </w:rPr>
        <w:t>3、确保安全生产的技术组织措施；</w:t>
      </w:r>
    </w:p>
    <w:p w14:paraId="66F76D10">
      <w:pPr>
        <w:tabs>
          <w:tab w:val="left" w:pos="5670"/>
        </w:tabs>
        <w:spacing w:line="360" w:lineRule="auto"/>
        <w:ind w:firstLine="420" w:firstLineChars="200"/>
        <w:rPr>
          <w:rFonts w:hint="eastAsia"/>
          <w:sz w:val="21"/>
          <w:szCs w:val="21"/>
        </w:rPr>
      </w:pPr>
      <w:r>
        <w:rPr>
          <w:rFonts w:hint="eastAsia"/>
          <w:sz w:val="21"/>
          <w:szCs w:val="21"/>
        </w:rPr>
        <w:t>4、确保文明施工的技术措施及环境保护措施；</w:t>
      </w:r>
    </w:p>
    <w:p w14:paraId="6C918E1C">
      <w:pPr>
        <w:tabs>
          <w:tab w:val="left" w:pos="5670"/>
        </w:tabs>
        <w:spacing w:line="360" w:lineRule="auto"/>
        <w:ind w:firstLine="420" w:firstLineChars="200"/>
        <w:rPr>
          <w:rFonts w:hint="eastAsia"/>
          <w:sz w:val="21"/>
          <w:szCs w:val="21"/>
        </w:rPr>
      </w:pPr>
      <w:r>
        <w:rPr>
          <w:rFonts w:hint="eastAsia"/>
          <w:sz w:val="21"/>
          <w:szCs w:val="21"/>
        </w:rPr>
        <w:t>5、确保工期的技术组织措施；</w:t>
      </w:r>
    </w:p>
    <w:p w14:paraId="6AE447D8">
      <w:pPr>
        <w:tabs>
          <w:tab w:val="left" w:pos="5670"/>
        </w:tabs>
        <w:spacing w:line="360" w:lineRule="auto"/>
        <w:ind w:firstLine="420" w:firstLineChars="200"/>
        <w:rPr>
          <w:rFonts w:hint="eastAsia"/>
          <w:sz w:val="21"/>
          <w:szCs w:val="21"/>
        </w:rPr>
      </w:pPr>
      <w:r>
        <w:rPr>
          <w:rFonts w:hint="eastAsia"/>
          <w:sz w:val="21"/>
          <w:szCs w:val="21"/>
        </w:rPr>
        <w:t>6、项目部人员组成；</w:t>
      </w:r>
    </w:p>
    <w:p w14:paraId="7A87EADC">
      <w:pPr>
        <w:tabs>
          <w:tab w:val="left" w:pos="5670"/>
        </w:tabs>
        <w:spacing w:line="360" w:lineRule="auto"/>
        <w:ind w:firstLine="420" w:firstLineChars="200"/>
        <w:rPr>
          <w:rFonts w:hint="eastAsia"/>
          <w:sz w:val="21"/>
          <w:szCs w:val="21"/>
        </w:rPr>
      </w:pPr>
      <w:r>
        <w:rPr>
          <w:rFonts w:hint="eastAsia"/>
          <w:sz w:val="21"/>
          <w:szCs w:val="21"/>
        </w:rPr>
        <w:t>7、施工机械配备和材料投入计划；</w:t>
      </w:r>
    </w:p>
    <w:p w14:paraId="644E088F">
      <w:pPr>
        <w:tabs>
          <w:tab w:val="left" w:pos="5670"/>
        </w:tabs>
        <w:spacing w:line="360" w:lineRule="auto"/>
        <w:ind w:firstLine="420" w:firstLineChars="200"/>
        <w:rPr>
          <w:rFonts w:hint="eastAsia"/>
          <w:sz w:val="21"/>
          <w:szCs w:val="21"/>
        </w:rPr>
      </w:pPr>
      <w:r>
        <w:rPr>
          <w:rFonts w:hint="eastAsia"/>
          <w:sz w:val="21"/>
          <w:szCs w:val="21"/>
        </w:rPr>
        <w:t>8、节能环保产品及新技术、新产品、新工艺、新材料应用</w:t>
      </w:r>
    </w:p>
    <w:p w14:paraId="59AAF638">
      <w:pPr>
        <w:tabs>
          <w:tab w:val="left" w:pos="5670"/>
        </w:tabs>
        <w:spacing w:line="360" w:lineRule="auto"/>
        <w:ind w:firstLine="420" w:firstLineChars="200"/>
        <w:rPr>
          <w:rFonts w:hint="eastAsia"/>
          <w:sz w:val="21"/>
          <w:szCs w:val="21"/>
        </w:rPr>
      </w:pPr>
      <w:r>
        <w:rPr>
          <w:rFonts w:hint="eastAsia"/>
          <w:sz w:val="21"/>
          <w:szCs w:val="21"/>
        </w:rPr>
        <w:t>9、业绩</w:t>
      </w:r>
      <w:r>
        <w:rPr>
          <w:rFonts w:hint="eastAsia"/>
          <w:sz w:val="21"/>
          <w:szCs w:val="21"/>
        </w:rPr>
        <w:br w:type="page"/>
      </w:r>
    </w:p>
    <w:p w14:paraId="0462E886">
      <w:pPr>
        <w:spacing w:line="360" w:lineRule="auto"/>
        <w:rPr>
          <w:rFonts w:hint="eastAsia"/>
          <w:spacing w:val="4"/>
          <w:sz w:val="21"/>
          <w:szCs w:val="21"/>
        </w:rPr>
      </w:pPr>
      <w:r>
        <w:rPr>
          <w:rFonts w:hint="eastAsia"/>
          <w:spacing w:val="4"/>
          <w:sz w:val="21"/>
          <w:szCs w:val="21"/>
        </w:rPr>
        <w:t>附表一：</w:t>
      </w:r>
    </w:p>
    <w:p w14:paraId="1110795D">
      <w:pPr>
        <w:spacing w:line="360" w:lineRule="auto"/>
        <w:jc w:val="center"/>
        <w:rPr>
          <w:rFonts w:hint="eastAsia"/>
          <w:sz w:val="21"/>
          <w:szCs w:val="21"/>
        </w:rPr>
      </w:pPr>
      <w:r>
        <w:rPr>
          <w:rFonts w:hint="eastAsia"/>
          <w:b/>
          <w:bCs/>
          <w:sz w:val="21"/>
          <w:szCs w:val="21"/>
        </w:rPr>
        <w:t>项目部人员组成情况表</w:t>
      </w:r>
    </w:p>
    <w:p w14:paraId="0C7F9B38">
      <w:pPr>
        <w:spacing w:line="360" w:lineRule="auto"/>
        <w:ind w:left="1050" w:hanging="1050" w:hangingChars="500"/>
        <w:rPr>
          <w:rFonts w:hint="eastAsia"/>
          <w:sz w:val="21"/>
          <w:szCs w:val="21"/>
        </w:rPr>
      </w:pPr>
      <w:r>
        <w:rPr>
          <w:rFonts w:hint="eastAsia"/>
          <w:sz w:val="21"/>
          <w:szCs w:val="21"/>
        </w:rPr>
        <w:t xml:space="preserve">项目编号： </w:t>
      </w:r>
    </w:p>
    <w:p w14:paraId="785E5F66">
      <w:pPr>
        <w:spacing w:after="120" w:line="360" w:lineRule="auto"/>
        <w:rPr>
          <w:rFonts w:hint="eastAsia"/>
          <w:sz w:val="21"/>
          <w:szCs w:val="21"/>
        </w:rPr>
      </w:pPr>
      <w:r>
        <w:rPr>
          <w:rFonts w:hint="eastAsia"/>
          <w:sz w:val="21"/>
          <w:szCs w:val="21"/>
        </w:rPr>
        <w:t xml:space="preserve">项目名称： </w:t>
      </w:r>
    </w:p>
    <w:tbl>
      <w:tblPr>
        <w:tblStyle w:val="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686"/>
        <w:gridCol w:w="705"/>
        <w:gridCol w:w="1379"/>
        <w:gridCol w:w="1202"/>
        <w:gridCol w:w="1187"/>
        <w:gridCol w:w="1263"/>
        <w:gridCol w:w="1294"/>
        <w:gridCol w:w="1354"/>
      </w:tblGrid>
      <w:tr w14:paraId="3156D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345" w:type="pct"/>
            <w:vMerge w:val="restart"/>
            <w:vAlign w:val="center"/>
          </w:tcPr>
          <w:p w14:paraId="5D6F964B">
            <w:pPr>
              <w:spacing w:line="360" w:lineRule="auto"/>
              <w:jc w:val="center"/>
              <w:rPr>
                <w:rFonts w:hint="eastAsia"/>
                <w:sz w:val="21"/>
                <w:szCs w:val="21"/>
              </w:rPr>
            </w:pPr>
            <w:r>
              <w:rPr>
                <w:rFonts w:hint="eastAsia"/>
                <w:sz w:val="21"/>
                <w:szCs w:val="21"/>
              </w:rPr>
              <w:t>职务</w:t>
            </w:r>
          </w:p>
        </w:tc>
        <w:tc>
          <w:tcPr>
            <w:tcW w:w="352" w:type="pct"/>
            <w:vMerge w:val="restart"/>
            <w:vAlign w:val="center"/>
          </w:tcPr>
          <w:p w14:paraId="33929A1F">
            <w:pPr>
              <w:spacing w:line="360" w:lineRule="auto"/>
              <w:jc w:val="center"/>
              <w:rPr>
                <w:rFonts w:hint="eastAsia"/>
                <w:sz w:val="21"/>
                <w:szCs w:val="21"/>
              </w:rPr>
            </w:pPr>
            <w:r>
              <w:rPr>
                <w:rFonts w:hint="eastAsia"/>
                <w:sz w:val="21"/>
                <w:szCs w:val="21"/>
              </w:rPr>
              <w:t>姓名</w:t>
            </w:r>
          </w:p>
        </w:tc>
        <w:tc>
          <w:tcPr>
            <w:tcW w:w="362" w:type="pct"/>
            <w:vMerge w:val="restart"/>
            <w:vAlign w:val="center"/>
          </w:tcPr>
          <w:p w14:paraId="6F1B17F0">
            <w:pPr>
              <w:spacing w:line="360" w:lineRule="auto"/>
              <w:jc w:val="center"/>
              <w:rPr>
                <w:rFonts w:hint="eastAsia"/>
                <w:sz w:val="21"/>
                <w:szCs w:val="21"/>
              </w:rPr>
            </w:pPr>
            <w:r>
              <w:rPr>
                <w:rFonts w:hint="eastAsia"/>
                <w:sz w:val="21"/>
                <w:szCs w:val="21"/>
              </w:rPr>
              <w:t>职称</w:t>
            </w:r>
          </w:p>
        </w:tc>
        <w:tc>
          <w:tcPr>
            <w:tcW w:w="2582" w:type="pct"/>
            <w:gridSpan w:val="4"/>
            <w:vAlign w:val="center"/>
          </w:tcPr>
          <w:p w14:paraId="40991732">
            <w:pPr>
              <w:spacing w:line="360" w:lineRule="auto"/>
              <w:jc w:val="center"/>
              <w:rPr>
                <w:rFonts w:hint="eastAsia"/>
                <w:sz w:val="21"/>
                <w:szCs w:val="21"/>
              </w:rPr>
            </w:pPr>
            <w:r>
              <w:rPr>
                <w:rFonts w:hint="eastAsia"/>
                <w:sz w:val="21"/>
                <w:szCs w:val="21"/>
              </w:rPr>
              <w:t>上岗资格证明</w:t>
            </w:r>
          </w:p>
        </w:tc>
        <w:tc>
          <w:tcPr>
            <w:tcW w:w="1358" w:type="pct"/>
            <w:gridSpan w:val="2"/>
            <w:vAlign w:val="center"/>
          </w:tcPr>
          <w:p w14:paraId="2254EE75">
            <w:pPr>
              <w:spacing w:line="360" w:lineRule="auto"/>
              <w:jc w:val="center"/>
              <w:rPr>
                <w:rFonts w:hint="eastAsia"/>
                <w:sz w:val="21"/>
                <w:szCs w:val="21"/>
              </w:rPr>
            </w:pPr>
            <w:r>
              <w:rPr>
                <w:rFonts w:hint="eastAsia"/>
                <w:sz w:val="21"/>
                <w:szCs w:val="21"/>
              </w:rPr>
              <w:t>已承担在建工程情况</w:t>
            </w:r>
          </w:p>
        </w:tc>
      </w:tr>
      <w:tr w14:paraId="5C0D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345" w:type="pct"/>
            <w:vMerge w:val="continue"/>
          </w:tcPr>
          <w:p w14:paraId="204B20FF">
            <w:pPr>
              <w:spacing w:line="360" w:lineRule="auto"/>
              <w:rPr>
                <w:rFonts w:hint="eastAsia"/>
                <w:sz w:val="21"/>
                <w:szCs w:val="21"/>
              </w:rPr>
            </w:pPr>
          </w:p>
        </w:tc>
        <w:tc>
          <w:tcPr>
            <w:tcW w:w="352" w:type="pct"/>
            <w:vMerge w:val="continue"/>
          </w:tcPr>
          <w:p w14:paraId="0AB73150">
            <w:pPr>
              <w:spacing w:line="360" w:lineRule="auto"/>
              <w:rPr>
                <w:rFonts w:hint="eastAsia"/>
                <w:sz w:val="21"/>
                <w:szCs w:val="21"/>
              </w:rPr>
            </w:pPr>
          </w:p>
        </w:tc>
        <w:tc>
          <w:tcPr>
            <w:tcW w:w="362" w:type="pct"/>
            <w:vMerge w:val="continue"/>
          </w:tcPr>
          <w:p w14:paraId="487EF51E">
            <w:pPr>
              <w:spacing w:line="360" w:lineRule="auto"/>
              <w:rPr>
                <w:rFonts w:hint="eastAsia"/>
                <w:sz w:val="21"/>
                <w:szCs w:val="21"/>
              </w:rPr>
            </w:pPr>
          </w:p>
        </w:tc>
        <w:tc>
          <w:tcPr>
            <w:tcW w:w="708" w:type="pct"/>
            <w:vAlign w:val="center"/>
          </w:tcPr>
          <w:p w14:paraId="14CDF12B">
            <w:pPr>
              <w:spacing w:line="360" w:lineRule="auto"/>
              <w:jc w:val="center"/>
              <w:rPr>
                <w:rFonts w:hint="eastAsia"/>
                <w:sz w:val="21"/>
                <w:szCs w:val="21"/>
              </w:rPr>
            </w:pPr>
            <w:r>
              <w:rPr>
                <w:rFonts w:hint="eastAsia"/>
                <w:sz w:val="21"/>
                <w:szCs w:val="21"/>
              </w:rPr>
              <w:t>证书名称</w:t>
            </w:r>
          </w:p>
        </w:tc>
        <w:tc>
          <w:tcPr>
            <w:tcW w:w="617" w:type="pct"/>
            <w:vAlign w:val="center"/>
          </w:tcPr>
          <w:p w14:paraId="5281FCA0">
            <w:pPr>
              <w:spacing w:line="360" w:lineRule="auto"/>
              <w:jc w:val="center"/>
              <w:rPr>
                <w:rFonts w:hint="eastAsia"/>
                <w:sz w:val="21"/>
                <w:szCs w:val="21"/>
              </w:rPr>
            </w:pPr>
            <w:r>
              <w:rPr>
                <w:rFonts w:hint="eastAsia"/>
                <w:sz w:val="21"/>
                <w:szCs w:val="21"/>
              </w:rPr>
              <w:t>级别</w:t>
            </w:r>
          </w:p>
        </w:tc>
        <w:tc>
          <w:tcPr>
            <w:tcW w:w="609" w:type="pct"/>
            <w:vAlign w:val="center"/>
          </w:tcPr>
          <w:p w14:paraId="5E8A672A">
            <w:pPr>
              <w:spacing w:line="360" w:lineRule="auto"/>
              <w:jc w:val="center"/>
              <w:rPr>
                <w:rFonts w:hint="eastAsia"/>
                <w:sz w:val="21"/>
                <w:szCs w:val="21"/>
              </w:rPr>
            </w:pPr>
            <w:r>
              <w:rPr>
                <w:rFonts w:hint="eastAsia"/>
                <w:sz w:val="21"/>
                <w:szCs w:val="21"/>
              </w:rPr>
              <w:t>证号</w:t>
            </w:r>
          </w:p>
        </w:tc>
        <w:tc>
          <w:tcPr>
            <w:tcW w:w="647" w:type="pct"/>
            <w:vAlign w:val="center"/>
          </w:tcPr>
          <w:p w14:paraId="7EDD7227">
            <w:pPr>
              <w:spacing w:line="360" w:lineRule="auto"/>
              <w:jc w:val="center"/>
              <w:rPr>
                <w:rFonts w:hint="eastAsia"/>
                <w:sz w:val="21"/>
                <w:szCs w:val="21"/>
              </w:rPr>
            </w:pPr>
            <w:r>
              <w:rPr>
                <w:rFonts w:hint="eastAsia"/>
                <w:sz w:val="21"/>
                <w:szCs w:val="21"/>
              </w:rPr>
              <w:t>专业</w:t>
            </w:r>
          </w:p>
        </w:tc>
        <w:tc>
          <w:tcPr>
            <w:tcW w:w="664" w:type="pct"/>
            <w:vAlign w:val="center"/>
          </w:tcPr>
          <w:p w14:paraId="4D4B73E1">
            <w:pPr>
              <w:spacing w:line="360" w:lineRule="auto"/>
              <w:jc w:val="center"/>
              <w:rPr>
                <w:rFonts w:hint="eastAsia"/>
                <w:sz w:val="21"/>
                <w:szCs w:val="21"/>
              </w:rPr>
            </w:pPr>
            <w:r>
              <w:rPr>
                <w:rFonts w:hint="eastAsia"/>
                <w:sz w:val="21"/>
                <w:szCs w:val="21"/>
              </w:rPr>
              <w:t>项目位置</w:t>
            </w:r>
          </w:p>
        </w:tc>
        <w:tc>
          <w:tcPr>
            <w:tcW w:w="694" w:type="pct"/>
            <w:vAlign w:val="center"/>
          </w:tcPr>
          <w:p w14:paraId="59124A4A">
            <w:pPr>
              <w:spacing w:line="360" w:lineRule="auto"/>
              <w:jc w:val="center"/>
              <w:rPr>
                <w:rFonts w:hint="eastAsia"/>
                <w:sz w:val="21"/>
                <w:szCs w:val="21"/>
              </w:rPr>
            </w:pPr>
            <w:r>
              <w:rPr>
                <w:rFonts w:hint="eastAsia"/>
                <w:sz w:val="21"/>
                <w:szCs w:val="21"/>
              </w:rPr>
              <w:t>项目名称</w:t>
            </w:r>
          </w:p>
        </w:tc>
      </w:tr>
      <w:tr w14:paraId="4C339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45" w:type="pct"/>
          </w:tcPr>
          <w:p w14:paraId="3163D2F9">
            <w:pPr>
              <w:spacing w:line="360" w:lineRule="auto"/>
              <w:rPr>
                <w:rFonts w:hint="eastAsia"/>
                <w:sz w:val="21"/>
                <w:szCs w:val="21"/>
              </w:rPr>
            </w:pPr>
          </w:p>
        </w:tc>
        <w:tc>
          <w:tcPr>
            <w:tcW w:w="352" w:type="pct"/>
          </w:tcPr>
          <w:p w14:paraId="538F21AB">
            <w:pPr>
              <w:spacing w:line="360" w:lineRule="auto"/>
              <w:rPr>
                <w:rFonts w:hint="eastAsia"/>
                <w:sz w:val="21"/>
                <w:szCs w:val="21"/>
              </w:rPr>
            </w:pPr>
          </w:p>
        </w:tc>
        <w:tc>
          <w:tcPr>
            <w:tcW w:w="362" w:type="pct"/>
          </w:tcPr>
          <w:p w14:paraId="01900520">
            <w:pPr>
              <w:spacing w:line="360" w:lineRule="auto"/>
              <w:rPr>
                <w:rFonts w:hint="eastAsia"/>
                <w:sz w:val="21"/>
                <w:szCs w:val="21"/>
              </w:rPr>
            </w:pPr>
          </w:p>
        </w:tc>
        <w:tc>
          <w:tcPr>
            <w:tcW w:w="708" w:type="pct"/>
          </w:tcPr>
          <w:p w14:paraId="76B9B495">
            <w:pPr>
              <w:spacing w:line="360" w:lineRule="auto"/>
              <w:rPr>
                <w:rFonts w:hint="eastAsia"/>
                <w:sz w:val="21"/>
                <w:szCs w:val="21"/>
              </w:rPr>
            </w:pPr>
          </w:p>
        </w:tc>
        <w:tc>
          <w:tcPr>
            <w:tcW w:w="617" w:type="pct"/>
          </w:tcPr>
          <w:p w14:paraId="5CF68267">
            <w:pPr>
              <w:spacing w:line="360" w:lineRule="auto"/>
              <w:rPr>
                <w:rFonts w:hint="eastAsia"/>
                <w:sz w:val="21"/>
                <w:szCs w:val="21"/>
              </w:rPr>
            </w:pPr>
          </w:p>
        </w:tc>
        <w:tc>
          <w:tcPr>
            <w:tcW w:w="609" w:type="pct"/>
          </w:tcPr>
          <w:p w14:paraId="5A8875DC">
            <w:pPr>
              <w:spacing w:line="360" w:lineRule="auto"/>
              <w:rPr>
                <w:rFonts w:hint="eastAsia"/>
                <w:sz w:val="21"/>
                <w:szCs w:val="21"/>
              </w:rPr>
            </w:pPr>
          </w:p>
        </w:tc>
        <w:tc>
          <w:tcPr>
            <w:tcW w:w="647" w:type="pct"/>
          </w:tcPr>
          <w:p w14:paraId="6AF9E01D">
            <w:pPr>
              <w:spacing w:line="360" w:lineRule="auto"/>
              <w:rPr>
                <w:rFonts w:hint="eastAsia"/>
                <w:sz w:val="21"/>
                <w:szCs w:val="21"/>
              </w:rPr>
            </w:pPr>
          </w:p>
        </w:tc>
        <w:tc>
          <w:tcPr>
            <w:tcW w:w="664" w:type="pct"/>
          </w:tcPr>
          <w:p w14:paraId="1209B14D">
            <w:pPr>
              <w:spacing w:line="360" w:lineRule="auto"/>
              <w:rPr>
                <w:rFonts w:hint="eastAsia"/>
                <w:sz w:val="21"/>
                <w:szCs w:val="21"/>
              </w:rPr>
            </w:pPr>
          </w:p>
        </w:tc>
        <w:tc>
          <w:tcPr>
            <w:tcW w:w="694" w:type="pct"/>
          </w:tcPr>
          <w:p w14:paraId="4D534158">
            <w:pPr>
              <w:spacing w:line="360" w:lineRule="auto"/>
              <w:rPr>
                <w:rFonts w:hint="eastAsia"/>
                <w:sz w:val="21"/>
                <w:szCs w:val="21"/>
              </w:rPr>
            </w:pPr>
          </w:p>
        </w:tc>
      </w:tr>
      <w:tr w14:paraId="6C747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45" w:type="pct"/>
          </w:tcPr>
          <w:p w14:paraId="61AC63CA">
            <w:pPr>
              <w:spacing w:line="360" w:lineRule="auto"/>
              <w:rPr>
                <w:rFonts w:hint="eastAsia"/>
                <w:sz w:val="21"/>
                <w:szCs w:val="21"/>
              </w:rPr>
            </w:pPr>
          </w:p>
        </w:tc>
        <w:tc>
          <w:tcPr>
            <w:tcW w:w="352" w:type="pct"/>
          </w:tcPr>
          <w:p w14:paraId="753621C2">
            <w:pPr>
              <w:spacing w:line="360" w:lineRule="auto"/>
              <w:rPr>
                <w:rFonts w:hint="eastAsia"/>
                <w:sz w:val="21"/>
                <w:szCs w:val="21"/>
              </w:rPr>
            </w:pPr>
          </w:p>
        </w:tc>
        <w:tc>
          <w:tcPr>
            <w:tcW w:w="362" w:type="pct"/>
          </w:tcPr>
          <w:p w14:paraId="00475579">
            <w:pPr>
              <w:spacing w:line="360" w:lineRule="auto"/>
              <w:rPr>
                <w:rFonts w:hint="eastAsia"/>
                <w:sz w:val="21"/>
                <w:szCs w:val="21"/>
              </w:rPr>
            </w:pPr>
          </w:p>
        </w:tc>
        <w:tc>
          <w:tcPr>
            <w:tcW w:w="708" w:type="pct"/>
          </w:tcPr>
          <w:p w14:paraId="3FAD9B76">
            <w:pPr>
              <w:spacing w:line="360" w:lineRule="auto"/>
              <w:rPr>
                <w:rFonts w:hint="eastAsia"/>
                <w:sz w:val="21"/>
                <w:szCs w:val="21"/>
              </w:rPr>
            </w:pPr>
          </w:p>
        </w:tc>
        <w:tc>
          <w:tcPr>
            <w:tcW w:w="617" w:type="pct"/>
          </w:tcPr>
          <w:p w14:paraId="2554ECF9">
            <w:pPr>
              <w:spacing w:line="360" w:lineRule="auto"/>
              <w:rPr>
                <w:rFonts w:hint="eastAsia"/>
                <w:sz w:val="21"/>
                <w:szCs w:val="21"/>
              </w:rPr>
            </w:pPr>
          </w:p>
        </w:tc>
        <w:tc>
          <w:tcPr>
            <w:tcW w:w="609" w:type="pct"/>
          </w:tcPr>
          <w:p w14:paraId="307E03BA">
            <w:pPr>
              <w:spacing w:line="360" w:lineRule="auto"/>
              <w:rPr>
                <w:rFonts w:hint="eastAsia"/>
                <w:sz w:val="21"/>
                <w:szCs w:val="21"/>
              </w:rPr>
            </w:pPr>
          </w:p>
        </w:tc>
        <w:tc>
          <w:tcPr>
            <w:tcW w:w="647" w:type="pct"/>
          </w:tcPr>
          <w:p w14:paraId="5111D407">
            <w:pPr>
              <w:spacing w:line="360" w:lineRule="auto"/>
              <w:rPr>
                <w:rFonts w:hint="eastAsia"/>
                <w:sz w:val="21"/>
                <w:szCs w:val="21"/>
              </w:rPr>
            </w:pPr>
          </w:p>
        </w:tc>
        <w:tc>
          <w:tcPr>
            <w:tcW w:w="664" w:type="pct"/>
          </w:tcPr>
          <w:p w14:paraId="672F6C38">
            <w:pPr>
              <w:spacing w:line="360" w:lineRule="auto"/>
              <w:rPr>
                <w:rFonts w:hint="eastAsia"/>
                <w:sz w:val="21"/>
                <w:szCs w:val="21"/>
              </w:rPr>
            </w:pPr>
          </w:p>
        </w:tc>
        <w:tc>
          <w:tcPr>
            <w:tcW w:w="694" w:type="pct"/>
          </w:tcPr>
          <w:p w14:paraId="11FFDE69">
            <w:pPr>
              <w:spacing w:line="360" w:lineRule="auto"/>
              <w:rPr>
                <w:rFonts w:hint="eastAsia"/>
                <w:sz w:val="21"/>
                <w:szCs w:val="21"/>
              </w:rPr>
            </w:pPr>
          </w:p>
        </w:tc>
      </w:tr>
      <w:tr w14:paraId="0379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45" w:type="pct"/>
          </w:tcPr>
          <w:p w14:paraId="01223A0F">
            <w:pPr>
              <w:spacing w:line="360" w:lineRule="auto"/>
              <w:rPr>
                <w:rFonts w:hint="eastAsia"/>
                <w:sz w:val="21"/>
                <w:szCs w:val="21"/>
              </w:rPr>
            </w:pPr>
          </w:p>
        </w:tc>
        <w:tc>
          <w:tcPr>
            <w:tcW w:w="352" w:type="pct"/>
          </w:tcPr>
          <w:p w14:paraId="1E0AA563">
            <w:pPr>
              <w:spacing w:line="360" w:lineRule="auto"/>
              <w:rPr>
                <w:rFonts w:hint="eastAsia"/>
                <w:sz w:val="21"/>
                <w:szCs w:val="21"/>
              </w:rPr>
            </w:pPr>
          </w:p>
        </w:tc>
        <w:tc>
          <w:tcPr>
            <w:tcW w:w="362" w:type="pct"/>
          </w:tcPr>
          <w:p w14:paraId="1C7EC180">
            <w:pPr>
              <w:spacing w:line="360" w:lineRule="auto"/>
              <w:rPr>
                <w:rFonts w:hint="eastAsia"/>
                <w:sz w:val="21"/>
                <w:szCs w:val="21"/>
              </w:rPr>
            </w:pPr>
          </w:p>
        </w:tc>
        <w:tc>
          <w:tcPr>
            <w:tcW w:w="708" w:type="pct"/>
          </w:tcPr>
          <w:p w14:paraId="4A5ED8F7">
            <w:pPr>
              <w:spacing w:line="360" w:lineRule="auto"/>
              <w:rPr>
                <w:rFonts w:hint="eastAsia"/>
                <w:sz w:val="21"/>
                <w:szCs w:val="21"/>
              </w:rPr>
            </w:pPr>
          </w:p>
        </w:tc>
        <w:tc>
          <w:tcPr>
            <w:tcW w:w="617" w:type="pct"/>
          </w:tcPr>
          <w:p w14:paraId="3FC34AD2">
            <w:pPr>
              <w:spacing w:line="360" w:lineRule="auto"/>
              <w:rPr>
                <w:rFonts w:hint="eastAsia"/>
                <w:sz w:val="21"/>
                <w:szCs w:val="21"/>
              </w:rPr>
            </w:pPr>
          </w:p>
        </w:tc>
        <w:tc>
          <w:tcPr>
            <w:tcW w:w="609" w:type="pct"/>
          </w:tcPr>
          <w:p w14:paraId="66069FF4">
            <w:pPr>
              <w:spacing w:line="360" w:lineRule="auto"/>
              <w:rPr>
                <w:rFonts w:hint="eastAsia"/>
                <w:sz w:val="21"/>
                <w:szCs w:val="21"/>
              </w:rPr>
            </w:pPr>
          </w:p>
        </w:tc>
        <w:tc>
          <w:tcPr>
            <w:tcW w:w="647" w:type="pct"/>
          </w:tcPr>
          <w:p w14:paraId="14ECFCE5">
            <w:pPr>
              <w:spacing w:line="360" w:lineRule="auto"/>
              <w:rPr>
                <w:rFonts w:hint="eastAsia"/>
                <w:sz w:val="21"/>
                <w:szCs w:val="21"/>
              </w:rPr>
            </w:pPr>
          </w:p>
        </w:tc>
        <w:tc>
          <w:tcPr>
            <w:tcW w:w="664" w:type="pct"/>
          </w:tcPr>
          <w:p w14:paraId="604C4657">
            <w:pPr>
              <w:spacing w:line="360" w:lineRule="auto"/>
              <w:rPr>
                <w:rFonts w:hint="eastAsia"/>
                <w:sz w:val="21"/>
                <w:szCs w:val="21"/>
              </w:rPr>
            </w:pPr>
          </w:p>
        </w:tc>
        <w:tc>
          <w:tcPr>
            <w:tcW w:w="694" w:type="pct"/>
          </w:tcPr>
          <w:p w14:paraId="6822D9D4">
            <w:pPr>
              <w:spacing w:line="360" w:lineRule="auto"/>
              <w:rPr>
                <w:rFonts w:hint="eastAsia"/>
                <w:sz w:val="21"/>
                <w:szCs w:val="21"/>
              </w:rPr>
            </w:pPr>
          </w:p>
        </w:tc>
      </w:tr>
      <w:tr w14:paraId="017E4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jc w:val="center"/>
        </w:trPr>
        <w:tc>
          <w:tcPr>
            <w:tcW w:w="345" w:type="pct"/>
          </w:tcPr>
          <w:p w14:paraId="2FE2B06A">
            <w:pPr>
              <w:spacing w:line="360" w:lineRule="auto"/>
              <w:rPr>
                <w:rFonts w:hint="eastAsia"/>
                <w:sz w:val="21"/>
                <w:szCs w:val="21"/>
              </w:rPr>
            </w:pPr>
          </w:p>
        </w:tc>
        <w:tc>
          <w:tcPr>
            <w:tcW w:w="352" w:type="pct"/>
          </w:tcPr>
          <w:p w14:paraId="0773AA09">
            <w:pPr>
              <w:spacing w:line="360" w:lineRule="auto"/>
              <w:rPr>
                <w:rFonts w:hint="eastAsia"/>
                <w:sz w:val="21"/>
                <w:szCs w:val="21"/>
              </w:rPr>
            </w:pPr>
          </w:p>
        </w:tc>
        <w:tc>
          <w:tcPr>
            <w:tcW w:w="362" w:type="pct"/>
          </w:tcPr>
          <w:p w14:paraId="44DF534A">
            <w:pPr>
              <w:spacing w:line="360" w:lineRule="auto"/>
              <w:rPr>
                <w:rFonts w:hint="eastAsia"/>
                <w:sz w:val="21"/>
                <w:szCs w:val="21"/>
              </w:rPr>
            </w:pPr>
          </w:p>
        </w:tc>
        <w:tc>
          <w:tcPr>
            <w:tcW w:w="708" w:type="pct"/>
          </w:tcPr>
          <w:p w14:paraId="52C5C7F7">
            <w:pPr>
              <w:spacing w:line="360" w:lineRule="auto"/>
              <w:rPr>
                <w:rFonts w:hint="eastAsia"/>
                <w:sz w:val="21"/>
                <w:szCs w:val="21"/>
              </w:rPr>
            </w:pPr>
          </w:p>
        </w:tc>
        <w:tc>
          <w:tcPr>
            <w:tcW w:w="617" w:type="pct"/>
          </w:tcPr>
          <w:p w14:paraId="63313783">
            <w:pPr>
              <w:spacing w:line="360" w:lineRule="auto"/>
              <w:rPr>
                <w:rFonts w:hint="eastAsia"/>
                <w:sz w:val="21"/>
                <w:szCs w:val="21"/>
              </w:rPr>
            </w:pPr>
          </w:p>
        </w:tc>
        <w:tc>
          <w:tcPr>
            <w:tcW w:w="609" w:type="pct"/>
          </w:tcPr>
          <w:p w14:paraId="464E8D96">
            <w:pPr>
              <w:spacing w:line="360" w:lineRule="auto"/>
              <w:rPr>
                <w:rFonts w:hint="eastAsia"/>
                <w:sz w:val="21"/>
                <w:szCs w:val="21"/>
              </w:rPr>
            </w:pPr>
          </w:p>
        </w:tc>
        <w:tc>
          <w:tcPr>
            <w:tcW w:w="647" w:type="pct"/>
          </w:tcPr>
          <w:p w14:paraId="4166D482">
            <w:pPr>
              <w:spacing w:line="360" w:lineRule="auto"/>
              <w:rPr>
                <w:rFonts w:hint="eastAsia"/>
                <w:sz w:val="21"/>
                <w:szCs w:val="21"/>
              </w:rPr>
            </w:pPr>
          </w:p>
        </w:tc>
        <w:tc>
          <w:tcPr>
            <w:tcW w:w="664" w:type="pct"/>
          </w:tcPr>
          <w:p w14:paraId="6791C0C1">
            <w:pPr>
              <w:spacing w:line="360" w:lineRule="auto"/>
              <w:rPr>
                <w:rFonts w:hint="eastAsia"/>
                <w:sz w:val="21"/>
                <w:szCs w:val="21"/>
              </w:rPr>
            </w:pPr>
          </w:p>
        </w:tc>
        <w:tc>
          <w:tcPr>
            <w:tcW w:w="694" w:type="pct"/>
          </w:tcPr>
          <w:p w14:paraId="70F4CB00">
            <w:pPr>
              <w:spacing w:line="360" w:lineRule="auto"/>
              <w:rPr>
                <w:rFonts w:hint="eastAsia"/>
                <w:sz w:val="21"/>
                <w:szCs w:val="21"/>
              </w:rPr>
            </w:pPr>
          </w:p>
        </w:tc>
      </w:tr>
      <w:tr w14:paraId="2E549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45" w:type="pct"/>
          </w:tcPr>
          <w:p w14:paraId="3D3C453F">
            <w:pPr>
              <w:spacing w:line="360" w:lineRule="auto"/>
              <w:rPr>
                <w:rFonts w:hint="eastAsia"/>
                <w:sz w:val="21"/>
                <w:szCs w:val="21"/>
              </w:rPr>
            </w:pPr>
          </w:p>
        </w:tc>
        <w:tc>
          <w:tcPr>
            <w:tcW w:w="352" w:type="pct"/>
          </w:tcPr>
          <w:p w14:paraId="66838659">
            <w:pPr>
              <w:spacing w:line="360" w:lineRule="auto"/>
              <w:rPr>
                <w:rFonts w:hint="eastAsia"/>
                <w:sz w:val="21"/>
                <w:szCs w:val="21"/>
              </w:rPr>
            </w:pPr>
          </w:p>
        </w:tc>
        <w:tc>
          <w:tcPr>
            <w:tcW w:w="362" w:type="pct"/>
          </w:tcPr>
          <w:p w14:paraId="071F3646">
            <w:pPr>
              <w:spacing w:line="360" w:lineRule="auto"/>
              <w:rPr>
                <w:rFonts w:hint="eastAsia"/>
                <w:sz w:val="21"/>
                <w:szCs w:val="21"/>
              </w:rPr>
            </w:pPr>
          </w:p>
        </w:tc>
        <w:tc>
          <w:tcPr>
            <w:tcW w:w="708" w:type="pct"/>
          </w:tcPr>
          <w:p w14:paraId="437725AD">
            <w:pPr>
              <w:spacing w:line="360" w:lineRule="auto"/>
              <w:rPr>
                <w:rFonts w:hint="eastAsia"/>
                <w:sz w:val="21"/>
                <w:szCs w:val="21"/>
              </w:rPr>
            </w:pPr>
          </w:p>
        </w:tc>
        <w:tc>
          <w:tcPr>
            <w:tcW w:w="617" w:type="pct"/>
          </w:tcPr>
          <w:p w14:paraId="48FD79BC">
            <w:pPr>
              <w:spacing w:line="360" w:lineRule="auto"/>
              <w:rPr>
                <w:rFonts w:hint="eastAsia"/>
                <w:sz w:val="21"/>
                <w:szCs w:val="21"/>
              </w:rPr>
            </w:pPr>
          </w:p>
        </w:tc>
        <w:tc>
          <w:tcPr>
            <w:tcW w:w="609" w:type="pct"/>
          </w:tcPr>
          <w:p w14:paraId="1FFF308E">
            <w:pPr>
              <w:spacing w:line="360" w:lineRule="auto"/>
              <w:rPr>
                <w:rFonts w:hint="eastAsia"/>
                <w:sz w:val="21"/>
                <w:szCs w:val="21"/>
              </w:rPr>
            </w:pPr>
          </w:p>
        </w:tc>
        <w:tc>
          <w:tcPr>
            <w:tcW w:w="647" w:type="pct"/>
          </w:tcPr>
          <w:p w14:paraId="094BCCAE">
            <w:pPr>
              <w:spacing w:line="360" w:lineRule="auto"/>
              <w:rPr>
                <w:rFonts w:hint="eastAsia"/>
                <w:sz w:val="21"/>
                <w:szCs w:val="21"/>
              </w:rPr>
            </w:pPr>
          </w:p>
        </w:tc>
        <w:tc>
          <w:tcPr>
            <w:tcW w:w="664" w:type="pct"/>
          </w:tcPr>
          <w:p w14:paraId="144A198F">
            <w:pPr>
              <w:spacing w:line="360" w:lineRule="auto"/>
              <w:rPr>
                <w:rFonts w:hint="eastAsia"/>
                <w:sz w:val="21"/>
                <w:szCs w:val="21"/>
              </w:rPr>
            </w:pPr>
          </w:p>
        </w:tc>
        <w:tc>
          <w:tcPr>
            <w:tcW w:w="694" w:type="pct"/>
          </w:tcPr>
          <w:p w14:paraId="62AA9F83">
            <w:pPr>
              <w:spacing w:line="360" w:lineRule="auto"/>
              <w:rPr>
                <w:rFonts w:hint="eastAsia"/>
                <w:sz w:val="21"/>
                <w:szCs w:val="21"/>
              </w:rPr>
            </w:pPr>
          </w:p>
        </w:tc>
      </w:tr>
      <w:tr w14:paraId="645DB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45" w:type="pct"/>
          </w:tcPr>
          <w:p w14:paraId="0B9D6B75">
            <w:pPr>
              <w:spacing w:line="360" w:lineRule="auto"/>
              <w:rPr>
                <w:rFonts w:hint="eastAsia"/>
                <w:sz w:val="21"/>
                <w:szCs w:val="21"/>
              </w:rPr>
            </w:pPr>
          </w:p>
        </w:tc>
        <w:tc>
          <w:tcPr>
            <w:tcW w:w="352" w:type="pct"/>
          </w:tcPr>
          <w:p w14:paraId="0DD89F95">
            <w:pPr>
              <w:spacing w:line="360" w:lineRule="auto"/>
              <w:rPr>
                <w:rFonts w:hint="eastAsia"/>
                <w:sz w:val="21"/>
                <w:szCs w:val="21"/>
              </w:rPr>
            </w:pPr>
          </w:p>
        </w:tc>
        <w:tc>
          <w:tcPr>
            <w:tcW w:w="362" w:type="pct"/>
          </w:tcPr>
          <w:p w14:paraId="4FE27DC0">
            <w:pPr>
              <w:spacing w:line="360" w:lineRule="auto"/>
              <w:rPr>
                <w:rFonts w:hint="eastAsia"/>
                <w:sz w:val="21"/>
                <w:szCs w:val="21"/>
              </w:rPr>
            </w:pPr>
          </w:p>
        </w:tc>
        <w:tc>
          <w:tcPr>
            <w:tcW w:w="708" w:type="pct"/>
          </w:tcPr>
          <w:p w14:paraId="718AE17C">
            <w:pPr>
              <w:spacing w:line="360" w:lineRule="auto"/>
              <w:rPr>
                <w:rFonts w:hint="eastAsia"/>
                <w:sz w:val="21"/>
                <w:szCs w:val="21"/>
              </w:rPr>
            </w:pPr>
          </w:p>
        </w:tc>
        <w:tc>
          <w:tcPr>
            <w:tcW w:w="617" w:type="pct"/>
          </w:tcPr>
          <w:p w14:paraId="43B6166D">
            <w:pPr>
              <w:spacing w:line="360" w:lineRule="auto"/>
              <w:rPr>
                <w:rFonts w:hint="eastAsia"/>
                <w:sz w:val="21"/>
                <w:szCs w:val="21"/>
              </w:rPr>
            </w:pPr>
          </w:p>
        </w:tc>
        <w:tc>
          <w:tcPr>
            <w:tcW w:w="609" w:type="pct"/>
          </w:tcPr>
          <w:p w14:paraId="27739028">
            <w:pPr>
              <w:spacing w:line="360" w:lineRule="auto"/>
              <w:rPr>
                <w:rFonts w:hint="eastAsia"/>
                <w:sz w:val="21"/>
                <w:szCs w:val="21"/>
              </w:rPr>
            </w:pPr>
          </w:p>
        </w:tc>
        <w:tc>
          <w:tcPr>
            <w:tcW w:w="647" w:type="pct"/>
          </w:tcPr>
          <w:p w14:paraId="703DC906">
            <w:pPr>
              <w:spacing w:line="360" w:lineRule="auto"/>
              <w:rPr>
                <w:rFonts w:hint="eastAsia"/>
                <w:sz w:val="21"/>
                <w:szCs w:val="21"/>
              </w:rPr>
            </w:pPr>
          </w:p>
        </w:tc>
        <w:tc>
          <w:tcPr>
            <w:tcW w:w="664" w:type="pct"/>
          </w:tcPr>
          <w:p w14:paraId="46D0A293">
            <w:pPr>
              <w:spacing w:line="360" w:lineRule="auto"/>
              <w:rPr>
                <w:rFonts w:hint="eastAsia"/>
                <w:sz w:val="21"/>
                <w:szCs w:val="21"/>
              </w:rPr>
            </w:pPr>
          </w:p>
        </w:tc>
        <w:tc>
          <w:tcPr>
            <w:tcW w:w="694" w:type="pct"/>
          </w:tcPr>
          <w:p w14:paraId="1CFF2F20">
            <w:pPr>
              <w:spacing w:line="360" w:lineRule="auto"/>
              <w:rPr>
                <w:rFonts w:hint="eastAsia"/>
                <w:sz w:val="21"/>
                <w:szCs w:val="21"/>
              </w:rPr>
            </w:pPr>
          </w:p>
        </w:tc>
      </w:tr>
      <w:tr w14:paraId="6C476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45" w:type="pct"/>
          </w:tcPr>
          <w:p w14:paraId="7D85DC92">
            <w:pPr>
              <w:spacing w:line="360" w:lineRule="auto"/>
              <w:rPr>
                <w:rFonts w:hint="eastAsia"/>
                <w:sz w:val="21"/>
                <w:szCs w:val="21"/>
              </w:rPr>
            </w:pPr>
          </w:p>
        </w:tc>
        <w:tc>
          <w:tcPr>
            <w:tcW w:w="352" w:type="pct"/>
          </w:tcPr>
          <w:p w14:paraId="7CC0D066">
            <w:pPr>
              <w:spacing w:line="360" w:lineRule="auto"/>
              <w:rPr>
                <w:rFonts w:hint="eastAsia"/>
                <w:sz w:val="21"/>
                <w:szCs w:val="21"/>
              </w:rPr>
            </w:pPr>
          </w:p>
        </w:tc>
        <w:tc>
          <w:tcPr>
            <w:tcW w:w="362" w:type="pct"/>
          </w:tcPr>
          <w:p w14:paraId="63736F65">
            <w:pPr>
              <w:spacing w:line="360" w:lineRule="auto"/>
              <w:rPr>
                <w:rFonts w:hint="eastAsia"/>
                <w:sz w:val="21"/>
                <w:szCs w:val="21"/>
              </w:rPr>
            </w:pPr>
          </w:p>
        </w:tc>
        <w:tc>
          <w:tcPr>
            <w:tcW w:w="708" w:type="pct"/>
          </w:tcPr>
          <w:p w14:paraId="60094229">
            <w:pPr>
              <w:spacing w:line="360" w:lineRule="auto"/>
              <w:rPr>
                <w:rFonts w:hint="eastAsia"/>
                <w:sz w:val="21"/>
                <w:szCs w:val="21"/>
              </w:rPr>
            </w:pPr>
          </w:p>
        </w:tc>
        <w:tc>
          <w:tcPr>
            <w:tcW w:w="617" w:type="pct"/>
          </w:tcPr>
          <w:p w14:paraId="0E0E71CF">
            <w:pPr>
              <w:spacing w:line="360" w:lineRule="auto"/>
              <w:rPr>
                <w:rFonts w:hint="eastAsia"/>
                <w:sz w:val="21"/>
                <w:szCs w:val="21"/>
              </w:rPr>
            </w:pPr>
          </w:p>
        </w:tc>
        <w:tc>
          <w:tcPr>
            <w:tcW w:w="609" w:type="pct"/>
          </w:tcPr>
          <w:p w14:paraId="1FE10DDF">
            <w:pPr>
              <w:spacing w:line="360" w:lineRule="auto"/>
              <w:rPr>
                <w:rFonts w:hint="eastAsia"/>
                <w:sz w:val="21"/>
                <w:szCs w:val="21"/>
              </w:rPr>
            </w:pPr>
          </w:p>
        </w:tc>
        <w:tc>
          <w:tcPr>
            <w:tcW w:w="647" w:type="pct"/>
          </w:tcPr>
          <w:p w14:paraId="75D754E4">
            <w:pPr>
              <w:spacing w:line="360" w:lineRule="auto"/>
              <w:rPr>
                <w:rFonts w:hint="eastAsia"/>
                <w:sz w:val="21"/>
                <w:szCs w:val="21"/>
              </w:rPr>
            </w:pPr>
          </w:p>
        </w:tc>
        <w:tc>
          <w:tcPr>
            <w:tcW w:w="664" w:type="pct"/>
          </w:tcPr>
          <w:p w14:paraId="444D19F6">
            <w:pPr>
              <w:spacing w:line="360" w:lineRule="auto"/>
              <w:rPr>
                <w:rFonts w:hint="eastAsia"/>
                <w:sz w:val="21"/>
                <w:szCs w:val="21"/>
              </w:rPr>
            </w:pPr>
          </w:p>
        </w:tc>
        <w:tc>
          <w:tcPr>
            <w:tcW w:w="694" w:type="pct"/>
          </w:tcPr>
          <w:p w14:paraId="5454FD3B">
            <w:pPr>
              <w:spacing w:line="360" w:lineRule="auto"/>
              <w:rPr>
                <w:rFonts w:hint="eastAsia"/>
                <w:sz w:val="21"/>
                <w:szCs w:val="21"/>
              </w:rPr>
            </w:pPr>
          </w:p>
        </w:tc>
      </w:tr>
      <w:tr w14:paraId="332BA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45" w:type="pct"/>
          </w:tcPr>
          <w:p w14:paraId="5C767105">
            <w:pPr>
              <w:spacing w:line="360" w:lineRule="auto"/>
              <w:rPr>
                <w:rFonts w:hint="eastAsia"/>
                <w:sz w:val="21"/>
                <w:szCs w:val="21"/>
              </w:rPr>
            </w:pPr>
          </w:p>
        </w:tc>
        <w:tc>
          <w:tcPr>
            <w:tcW w:w="352" w:type="pct"/>
          </w:tcPr>
          <w:p w14:paraId="1C49DF9D">
            <w:pPr>
              <w:spacing w:line="360" w:lineRule="auto"/>
              <w:rPr>
                <w:rFonts w:hint="eastAsia"/>
                <w:sz w:val="21"/>
                <w:szCs w:val="21"/>
              </w:rPr>
            </w:pPr>
          </w:p>
        </w:tc>
        <w:tc>
          <w:tcPr>
            <w:tcW w:w="362" w:type="pct"/>
          </w:tcPr>
          <w:p w14:paraId="06A45D35">
            <w:pPr>
              <w:spacing w:line="360" w:lineRule="auto"/>
              <w:rPr>
                <w:rFonts w:hint="eastAsia"/>
                <w:sz w:val="21"/>
                <w:szCs w:val="21"/>
              </w:rPr>
            </w:pPr>
          </w:p>
        </w:tc>
        <w:tc>
          <w:tcPr>
            <w:tcW w:w="708" w:type="pct"/>
          </w:tcPr>
          <w:p w14:paraId="292127E1">
            <w:pPr>
              <w:spacing w:line="360" w:lineRule="auto"/>
              <w:rPr>
                <w:rFonts w:hint="eastAsia"/>
                <w:sz w:val="21"/>
                <w:szCs w:val="21"/>
              </w:rPr>
            </w:pPr>
          </w:p>
        </w:tc>
        <w:tc>
          <w:tcPr>
            <w:tcW w:w="617" w:type="pct"/>
          </w:tcPr>
          <w:p w14:paraId="0264A09B">
            <w:pPr>
              <w:spacing w:line="360" w:lineRule="auto"/>
              <w:rPr>
                <w:rFonts w:hint="eastAsia"/>
                <w:sz w:val="21"/>
                <w:szCs w:val="21"/>
              </w:rPr>
            </w:pPr>
          </w:p>
        </w:tc>
        <w:tc>
          <w:tcPr>
            <w:tcW w:w="609" w:type="pct"/>
          </w:tcPr>
          <w:p w14:paraId="5D75B068">
            <w:pPr>
              <w:spacing w:line="360" w:lineRule="auto"/>
              <w:rPr>
                <w:rFonts w:hint="eastAsia"/>
                <w:sz w:val="21"/>
                <w:szCs w:val="21"/>
              </w:rPr>
            </w:pPr>
          </w:p>
        </w:tc>
        <w:tc>
          <w:tcPr>
            <w:tcW w:w="647" w:type="pct"/>
          </w:tcPr>
          <w:p w14:paraId="2C43707E">
            <w:pPr>
              <w:spacing w:line="360" w:lineRule="auto"/>
              <w:rPr>
                <w:rFonts w:hint="eastAsia"/>
                <w:sz w:val="21"/>
                <w:szCs w:val="21"/>
              </w:rPr>
            </w:pPr>
          </w:p>
        </w:tc>
        <w:tc>
          <w:tcPr>
            <w:tcW w:w="664" w:type="pct"/>
          </w:tcPr>
          <w:p w14:paraId="4A8B933C">
            <w:pPr>
              <w:spacing w:line="360" w:lineRule="auto"/>
              <w:rPr>
                <w:rFonts w:hint="eastAsia"/>
                <w:sz w:val="21"/>
                <w:szCs w:val="21"/>
              </w:rPr>
            </w:pPr>
          </w:p>
        </w:tc>
        <w:tc>
          <w:tcPr>
            <w:tcW w:w="694" w:type="pct"/>
          </w:tcPr>
          <w:p w14:paraId="55696544">
            <w:pPr>
              <w:spacing w:line="360" w:lineRule="auto"/>
              <w:rPr>
                <w:rFonts w:hint="eastAsia"/>
                <w:sz w:val="21"/>
                <w:szCs w:val="21"/>
              </w:rPr>
            </w:pPr>
          </w:p>
        </w:tc>
      </w:tr>
      <w:tr w14:paraId="6BA28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jc w:val="center"/>
        </w:trPr>
        <w:tc>
          <w:tcPr>
            <w:tcW w:w="5000" w:type="pct"/>
            <w:gridSpan w:val="9"/>
          </w:tcPr>
          <w:p w14:paraId="2600F114">
            <w:pPr>
              <w:spacing w:line="360" w:lineRule="auto"/>
              <w:rPr>
                <w:rFonts w:hint="eastAsia"/>
                <w:sz w:val="21"/>
                <w:szCs w:val="21"/>
              </w:rPr>
            </w:pPr>
            <w:r>
              <w:rPr>
                <w:rFonts w:hint="eastAsia"/>
                <w:sz w:val="21"/>
                <w:szCs w:val="21"/>
              </w:rPr>
              <w:t xml:space="preserve">我方保证：一旦我单位中标，将实行项目经理负责制并配备上述经理部机构。上述填报内容真实，若不真实，愿按有关规定接受处理。项目经理部机构设置、职责分工等情况另附资料说明。 </w:t>
            </w:r>
          </w:p>
        </w:tc>
      </w:tr>
    </w:tbl>
    <w:p w14:paraId="1278A3EB">
      <w:pPr>
        <w:spacing w:line="360" w:lineRule="auto"/>
        <w:rPr>
          <w:rFonts w:hint="eastAsia"/>
          <w:sz w:val="21"/>
          <w:szCs w:val="21"/>
        </w:rPr>
      </w:pPr>
      <w:r>
        <w:rPr>
          <w:rFonts w:hint="eastAsia"/>
          <w:sz w:val="21"/>
          <w:szCs w:val="21"/>
        </w:rPr>
        <w:t>备注：后附项目部人员相关证书复印件。</w:t>
      </w:r>
    </w:p>
    <w:p w14:paraId="09C202A3">
      <w:pPr>
        <w:spacing w:line="360" w:lineRule="auto"/>
        <w:rPr>
          <w:rFonts w:hint="eastAsia"/>
          <w:sz w:val="21"/>
          <w:szCs w:val="21"/>
        </w:rPr>
      </w:pPr>
      <w:r>
        <w:rPr>
          <w:rFonts w:hint="eastAsia"/>
          <w:sz w:val="21"/>
          <w:szCs w:val="21"/>
        </w:rPr>
        <w:t>投标人（加盖公章）：</w:t>
      </w:r>
      <w:r>
        <w:rPr>
          <w:rFonts w:hint="eastAsia"/>
          <w:sz w:val="21"/>
          <w:szCs w:val="21"/>
          <w:u w:val="single"/>
        </w:rPr>
        <w:t xml:space="preserve">                             </w:t>
      </w:r>
    </w:p>
    <w:p w14:paraId="1E92181F">
      <w:pPr>
        <w:spacing w:line="360" w:lineRule="auto"/>
        <w:rPr>
          <w:rFonts w:ascii="Times New Roman" w:hAnsi="Times New Roman" w:cs="Times New Roman"/>
          <w:sz w:val="21"/>
          <w:szCs w:val="21"/>
        </w:rPr>
      </w:pPr>
      <w:r>
        <w:rPr>
          <w:rFonts w:ascii="Times New Roman" w:hAnsi="Times New Roman" w:cs="Times New Roman"/>
          <w:sz w:val="21"/>
          <w:szCs w:val="21"/>
        </w:rPr>
        <w:t>日期：       年      月      日</w:t>
      </w:r>
    </w:p>
    <w:p w14:paraId="33CF5C52">
      <w:pPr>
        <w:spacing w:line="360" w:lineRule="auto"/>
        <w:rPr>
          <w:rFonts w:hint="eastAsia"/>
          <w:sz w:val="21"/>
          <w:szCs w:val="21"/>
        </w:rPr>
      </w:pPr>
      <w:r>
        <w:rPr>
          <w:rFonts w:hint="eastAsia"/>
          <w:sz w:val="21"/>
          <w:szCs w:val="21"/>
        </w:rPr>
        <w:br w:type="page"/>
      </w:r>
      <w:r>
        <w:rPr>
          <w:rFonts w:hint="eastAsia"/>
          <w:sz w:val="21"/>
          <w:szCs w:val="21"/>
        </w:rPr>
        <w:t>附表二：</w:t>
      </w:r>
    </w:p>
    <w:p w14:paraId="7E855DB7">
      <w:pPr>
        <w:spacing w:line="360" w:lineRule="auto"/>
        <w:jc w:val="center"/>
        <w:rPr>
          <w:rFonts w:hint="eastAsia"/>
          <w:b/>
          <w:bCs/>
          <w:sz w:val="21"/>
          <w:szCs w:val="21"/>
        </w:rPr>
      </w:pPr>
      <w:r>
        <w:rPr>
          <w:rFonts w:hint="eastAsia"/>
          <w:b/>
          <w:bCs/>
          <w:sz w:val="21"/>
          <w:szCs w:val="21"/>
        </w:rPr>
        <w:t>项目经理简历表</w:t>
      </w:r>
    </w:p>
    <w:p w14:paraId="3E5F19B2">
      <w:pPr>
        <w:spacing w:line="360" w:lineRule="auto"/>
        <w:ind w:left="1050" w:hanging="1050" w:hangingChars="500"/>
        <w:rPr>
          <w:rFonts w:hint="eastAsia"/>
          <w:sz w:val="21"/>
          <w:szCs w:val="21"/>
        </w:rPr>
      </w:pPr>
      <w:r>
        <w:rPr>
          <w:rFonts w:hint="eastAsia"/>
          <w:sz w:val="21"/>
          <w:szCs w:val="21"/>
        </w:rPr>
        <w:t>项目编号：</w:t>
      </w:r>
    </w:p>
    <w:p w14:paraId="3D6D5049">
      <w:pPr>
        <w:spacing w:after="120" w:line="360" w:lineRule="auto"/>
        <w:rPr>
          <w:rFonts w:hint="eastAsia"/>
          <w:sz w:val="21"/>
          <w:szCs w:val="21"/>
        </w:rPr>
      </w:pPr>
      <w:r>
        <w:rPr>
          <w:rFonts w:hint="eastAsia"/>
          <w:sz w:val="21"/>
          <w:szCs w:val="21"/>
        </w:rPr>
        <w:t>项目名称：</w:t>
      </w:r>
    </w:p>
    <w:tbl>
      <w:tblPr>
        <w:tblStyle w:val="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450"/>
        <w:gridCol w:w="1354"/>
        <w:gridCol w:w="321"/>
        <w:gridCol w:w="185"/>
        <w:gridCol w:w="1116"/>
        <w:gridCol w:w="265"/>
        <w:gridCol w:w="12"/>
        <w:gridCol w:w="1559"/>
        <w:gridCol w:w="321"/>
        <w:gridCol w:w="972"/>
        <w:gridCol w:w="178"/>
        <w:gridCol w:w="1988"/>
      </w:tblGrid>
      <w:tr w14:paraId="5CA4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524" w:type="pct"/>
            <w:vAlign w:val="center"/>
          </w:tcPr>
          <w:p w14:paraId="255CDECE">
            <w:pPr>
              <w:spacing w:line="360" w:lineRule="auto"/>
              <w:jc w:val="center"/>
              <w:rPr>
                <w:rFonts w:hint="eastAsia"/>
                <w:sz w:val="21"/>
                <w:szCs w:val="21"/>
              </w:rPr>
            </w:pPr>
            <w:r>
              <w:rPr>
                <w:rFonts w:hint="eastAsia"/>
                <w:sz w:val="21"/>
                <w:szCs w:val="21"/>
              </w:rPr>
              <w:t>姓名</w:t>
            </w:r>
          </w:p>
        </w:tc>
        <w:tc>
          <w:tcPr>
            <w:tcW w:w="1186" w:type="pct"/>
            <w:gridSpan w:val="4"/>
            <w:vAlign w:val="center"/>
          </w:tcPr>
          <w:p w14:paraId="299C5EB2">
            <w:pPr>
              <w:spacing w:line="360" w:lineRule="auto"/>
              <w:jc w:val="center"/>
              <w:rPr>
                <w:rFonts w:hint="eastAsia"/>
                <w:sz w:val="21"/>
                <w:szCs w:val="21"/>
              </w:rPr>
            </w:pPr>
          </w:p>
        </w:tc>
        <w:tc>
          <w:tcPr>
            <w:tcW w:w="573" w:type="pct"/>
            <w:vAlign w:val="center"/>
          </w:tcPr>
          <w:p w14:paraId="4F8CA24F">
            <w:pPr>
              <w:spacing w:line="360" w:lineRule="auto"/>
              <w:jc w:val="center"/>
              <w:rPr>
                <w:rFonts w:hint="eastAsia"/>
                <w:sz w:val="21"/>
                <w:szCs w:val="21"/>
              </w:rPr>
            </w:pPr>
            <w:r>
              <w:rPr>
                <w:rFonts w:hint="eastAsia"/>
                <w:sz w:val="21"/>
                <w:szCs w:val="21"/>
              </w:rPr>
              <w:t>性别</w:t>
            </w:r>
          </w:p>
        </w:tc>
        <w:tc>
          <w:tcPr>
            <w:tcW w:w="1107" w:type="pct"/>
            <w:gridSpan w:val="4"/>
            <w:vAlign w:val="center"/>
          </w:tcPr>
          <w:p w14:paraId="32A27757">
            <w:pPr>
              <w:spacing w:line="360" w:lineRule="auto"/>
              <w:jc w:val="center"/>
              <w:rPr>
                <w:rFonts w:hint="eastAsia"/>
                <w:sz w:val="21"/>
                <w:szCs w:val="21"/>
              </w:rPr>
            </w:pPr>
          </w:p>
        </w:tc>
        <w:tc>
          <w:tcPr>
            <w:tcW w:w="590" w:type="pct"/>
            <w:gridSpan w:val="2"/>
            <w:vAlign w:val="center"/>
          </w:tcPr>
          <w:p w14:paraId="44FBF621">
            <w:pPr>
              <w:spacing w:line="360" w:lineRule="auto"/>
              <w:jc w:val="center"/>
              <w:rPr>
                <w:rFonts w:hint="eastAsia"/>
                <w:sz w:val="21"/>
                <w:szCs w:val="21"/>
              </w:rPr>
            </w:pPr>
            <w:r>
              <w:rPr>
                <w:rFonts w:hint="eastAsia"/>
                <w:sz w:val="21"/>
                <w:szCs w:val="21"/>
              </w:rPr>
              <w:t>年龄</w:t>
            </w:r>
          </w:p>
        </w:tc>
        <w:tc>
          <w:tcPr>
            <w:tcW w:w="1016" w:type="pct"/>
            <w:vAlign w:val="center"/>
          </w:tcPr>
          <w:p w14:paraId="4247F14E">
            <w:pPr>
              <w:spacing w:line="360" w:lineRule="auto"/>
              <w:jc w:val="center"/>
              <w:rPr>
                <w:rFonts w:hint="eastAsia"/>
                <w:sz w:val="21"/>
                <w:szCs w:val="21"/>
              </w:rPr>
            </w:pPr>
          </w:p>
        </w:tc>
      </w:tr>
      <w:tr w14:paraId="72616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24" w:type="pct"/>
            <w:vAlign w:val="center"/>
          </w:tcPr>
          <w:p w14:paraId="1E7EFF75">
            <w:pPr>
              <w:spacing w:line="360" w:lineRule="auto"/>
              <w:jc w:val="center"/>
              <w:rPr>
                <w:rFonts w:hint="eastAsia"/>
                <w:sz w:val="21"/>
                <w:szCs w:val="21"/>
              </w:rPr>
            </w:pPr>
            <w:r>
              <w:rPr>
                <w:rFonts w:hint="eastAsia"/>
                <w:sz w:val="21"/>
                <w:szCs w:val="21"/>
              </w:rPr>
              <w:t>职务</w:t>
            </w:r>
          </w:p>
        </w:tc>
        <w:tc>
          <w:tcPr>
            <w:tcW w:w="1186" w:type="pct"/>
            <w:gridSpan w:val="4"/>
            <w:vAlign w:val="center"/>
          </w:tcPr>
          <w:p w14:paraId="68E84937">
            <w:pPr>
              <w:spacing w:line="360" w:lineRule="auto"/>
              <w:jc w:val="center"/>
              <w:rPr>
                <w:rFonts w:hint="eastAsia"/>
                <w:sz w:val="21"/>
                <w:szCs w:val="21"/>
              </w:rPr>
            </w:pPr>
          </w:p>
        </w:tc>
        <w:tc>
          <w:tcPr>
            <w:tcW w:w="573" w:type="pct"/>
            <w:vAlign w:val="center"/>
          </w:tcPr>
          <w:p w14:paraId="787412E2">
            <w:pPr>
              <w:spacing w:line="360" w:lineRule="auto"/>
              <w:jc w:val="center"/>
              <w:rPr>
                <w:rFonts w:hint="eastAsia"/>
                <w:sz w:val="21"/>
                <w:szCs w:val="21"/>
              </w:rPr>
            </w:pPr>
            <w:r>
              <w:rPr>
                <w:rFonts w:hint="eastAsia"/>
                <w:sz w:val="21"/>
                <w:szCs w:val="21"/>
              </w:rPr>
              <w:t>职称</w:t>
            </w:r>
          </w:p>
        </w:tc>
        <w:tc>
          <w:tcPr>
            <w:tcW w:w="1107" w:type="pct"/>
            <w:gridSpan w:val="4"/>
            <w:vAlign w:val="center"/>
          </w:tcPr>
          <w:p w14:paraId="10C6B58C">
            <w:pPr>
              <w:spacing w:line="360" w:lineRule="auto"/>
              <w:jc w:val="center"/>
              <w:rPr>
                <w:rFonts w:hint="eastAsia"/>
                <w:sz w:val="21"/>
                <w:szCs w:val="21"/>
              </w:rPr>
            </w:pPr>
          </w:p>
        </w:tc>
        <w:tc>
          <w:tcPr>
            <w:tcW w:w="590" w:type="pct"/>
            <w:gridSpan w:val="2"/>
            <w:vAlign w:val="center"/>
          </w:tcPr>
          <w:p w14:paraId="570C07B7">
            <w:pPr>
              <w:spacing w:line="360" w:lineRule="auto"/>
              <w:jc w:val="center"/>
              <w:rPr>
                <w:rFonts w:hint="eastAsia"/>
                <w:sz w:val="21"/>
                <w:szCs w:val="21"/>
              </w:rPr>
            </w:pPr>
            <w:r>
              <w:rPr>
                <w:rFonts w:hint="eastAsia"/>
                <w:sz w:val="21"/>
                <w:szCs w:val="21"/>
              </w:rPr>
              <w:t>学历</w:t>
            </w:r>
          </w:p>
        </w:tc>
        <w:tc>
          <w:tcPr>
            <w:tcW w:w="1016" w:type="pct"/>
            <w:vAlign w:val="center"/>
          </w:tcPr>
          <w:p w14:paraId="489631EB">
            <w:pPr>
              <w:spacing w:line="360" w:lineRule="auto"/>
              <w:jc w:val="center"/>
              <w:rPr>
                <w:rFonts w:hint="eastAsia"/>
                <w:sz w:val="21"/>
                <w:szCs w:val="21"/>
              </w:rPr>
            </w:pPr>
          </w:p>
        </w:tc>
      </w:tr>
      <w:tr w14:paraId="2B9B9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50" w:type="pct"/>
            <w:gridSpan w:val="3"/>
            <w:vAlign w:val="center"/>
          </w:tcPr>
          <w:p w14:paraId="1EC43208">
            <w:pPr>
              <w:spacing w:line="360" w:lineRule="auto"/>
              <w:jc w:val="center"/>
              <w:rPr>
                <w:rFonts w:hint="eastAsia"/>
                <w:sz w:val="21"/>
                <w:szCs w:val="21"/>
              </w:rPr>
            </w:pPr>
            <w:r>
              <w:rPr>
                <w:rFonts w:hint="eastAsia"/>
                <w:sz w:val="21"/>
                <w:szCs w:val="21"/>
              </w:rPr>
              <w:t>参加工作时间</w:t>
            </w:r>
          </w:p>
        </w:tc>
        <w:tc>
          <w:tcPr>
            <w:tcW w:w="969" w:type="pct"/>
            <w:gridSpan w:val="4"/>
            <w:vAlign w:val="center"/>
          </w:tcPr>
          <w:p w14:paraId="1C69269E">
            <w:pPr>
              <w:spacing w:line="360" w:lineRule="auto"/>
              <w:jc w:val="center"/>
              <w:rPr>
                <w:rFonts w:hint="eastAsia"/>
                <w:sz w:val="21"/>
                <w:szCs w:val="21"/>
              </w:rPr>
            </w:pPr>
          </w:p>
        </w:tc>
        <w:tc>
          <w:tcPr>
            <w:tcW w:w="1469" w:type="pct"/>
            <w:gridSpan w:val="4"/>
            <w:vAlign w:val="center"/>
          </w:tcPr>
          <w:p w14:paraId="6D3C813B">
            <w:pPr>
              <w:spacing w:line="360" w:lineRule="auto"/>
              <w:jc w:val="center"/>
              <w:rPr>
                <w:rFonts w:hint="eastAsia"/>
                <w:sz w:val="21"/>
                <w:szCs w:val="21"/>
              </w:rPr>
            </w:pPr>
            <w:r>
              <w:rPr>
                <w:rFonts w:hint="eastAsia"/>
                <w:sz w:val="21"/>
                <w:szCs w:val="21"/>
              </w:rPr>
              <w:t>担任项目经理年限</w:t>
            </w:r>
          </w:p>
        </w:tc>
        <w:tc>
          <w:tcPr>
            <w:tcW w:w="1109" w:type="pct"/>
            <w:gridSpan w:val="2"/>
            <w:vAlign w:val="center"/>
          </w:tcPr>
          <w:p w14:paraId="7658B56E">
            <w:pPr>
              <w:spacing w:line="360" w:lineRule="auto"/>
              <w:jc w:val="center"/>
              <w:rPr>
                <w:rFonts w:hint="eastAsia"/>
                <w:sz w:val="21"/>
                <w:szCs w:val="21"/>
              </w:rPr>
            </w:pPr>
          </w:p>
        </w:tc>
      </w:tr>
      <w:tr w14:paraId="05100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1450" w:type="pct"/>
            <w:gridSpan w:val="3"/>
            <w:vAlign w:val="center"/>
          </w:tcPr>
          <w:p w14:paraId="0B4CDC9F">
            <w:pPr>
              <w:spacing w:line="360" w:lineRule="auto"/>
              <w:jc w:val="center"/>
              <w:rPr>
                <w:rFonts w:hint="eastAsia"/>
                <w:sz w:val="21"/>
                <w:szCs w:val="21"/>
              </w:rPr>
            </w:pPr>
            <w:r>
              <w:rPr>
                <w:rFonts w:hint="eastAsia"/>
                <w:sz w:val="21"/>
                <w:szCs w:val="21"/>
              </w:rPr>
              <w:t>项目经理资格证书编号</w:t>
            </w:r>
          </w:p>
        </w:tc>
        <w:tc>
          <w:tcPr>
            <w:tcW w:w="3549" w:type="pct"/>
            <w:gridSpan w:val="10"/>
            <w:vAlign w:val="center"/>
          </w:tcPr>
          <w:p w14:paraId="469729D8">
            <w:pPr>
              <w:spacing w:line="360" w:lineRule="auto"/>
              <w:jc w:val="center"/>
              <w:rPr>
                <w:rFonts w:hint="eastAsia"/>
                <w:sz w:val="21"/>
                <w:szCs w:val="21"/>
              </w:rPr>
            </w:pPr>
          </w:p>
        </w:tc>
      </w:tr>
      <w:tr w14:paraId="5C73A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000" w:type="pct"/>
            <w:gridSpan w:val="13"/>
            <w:vAlign w:val="center"/>
          </w:tcPr>
          <w:p w14:paraId="26A4F545">
            <w:pPr>
              <w:spacing w:line="360" w:lineRule="auto"/>
              <w:jc w:val="center"/>
              <w:rPr>
                <w:rFonts w:hint="eastAsia"/>
                <w:sz w:val="21"/>
                <w:szCs w:val="21"/>
              </w:rPr>
            </w:pPr>
            <w:r>
              <w:rPr>
                <w:rFonts w:hint="eastAsia"/>
                <w:sz w:val="21"/>
                <w:szCs w:val="21"/>
              </w:rPr>
              <w:t>在建和已完工程项目情况</w:t>
            </w:r>
          </w:p>
        </w:tc>
      </w:tr>
      <w:tr w14:paraId="1AB79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55" w:type="pct"/>
            <w:gridSpan w:val="2"/>
            <w:vAlign w:val="center"/>
          </w:tcPr>
          <w:p w14:paraId="469CA6D6">
            <w:pPr>
              <w:spacing w:line="360" w:lineRule="auto"/>
              <w:jc w:val="center"/>
              <w:rPr>
                <w:rFonts w:hint="eastAsia"/>
                <w:sz w:val="21"/>
                <w:szCs w:val="21"/>
              </w:rPr>
            </w:pPr>
            <w:r>
              <w:rPr>
                <w:rFonts w:hint="eastAsia"/>
                <w:sz w:val="21"/>
                <w:szCs w:val="21"/>
              </w:rPr>
              <w:t>建设单位</w:t>
            </w:r>
          </w:p>
        </w:tc>
        <w:tc>
          <w:tcPr>
            <w:tcW w:w="860" w:type="pct"/>
            <w:gridSpan w:val="2"/>
            <w:vAlign w:val="center"/>
          </w:tcPr>
          <w:p w14:paraId="10ECC8E6">
            <w:pPr>
              <w:spacing w:line="360" w:lineRule="auto"/>
              <w:jc w:val="center"/>
              <w:rPr>
                <w:rFonts w:hint="eastAsia"/>
                <w:sz w:val="21"/>
                <w:szCs w:val="21"/>
              </w:rPr>
            </w:pPr>
            <w:r>
              <w:rPr>
                <w:rFonts w:hint="eastAsia"/>
                <w:sz w:val="21"/>
                <w:szCs w:val="21"/>
              </w:rPr>
              <w:t>项目名称</w:t>
            </w:r>
          </w:p>
        </w:tc>
        <w:tc>
          <w:tcPr>
            <w:tcW w:w="810" w:type="pct"/>
            <w:gridSpan w:val="4"/>
            <w:vAlign w:val="center"/>
          </w:tcPr>
          <w:p w14:paraId="55DE60D5">
            <w:pPr>
              <w:spacing w:line="360" w:lineRule="auto"/>
              <w:jc w:val="center"/>
              <w:rPr>
                <w:rFonts w:hint="eastAsia"/>
                <w:sz w:val="21"/>
                <w:szCs w:val="21"/>
              </w:rPr>
            </w:pPr>
            <w:r>
              <w:rPr>
                <w:rFonts w:hint="eastAsia"/>
                <w:sz w:val="21"/>
                <w:szCs w:val="21"/>
              </w:rPr>
              <w:t>建设规模</w:t>
            </w:r>
          </w:p>
        </w:tc>
        <w:tc>
          <w:tcPr>
            <w:tcW w:w="800" w:type="pct"/>
            <w:vAlign w:val="center"/>
          </w:tcPr>
          <w:p w14:paraId="0EDB7BF4">
            <w:pPr>
              <w:spacing w:line="360" w:lineRule="auto"/>
              <w:jc w:val="center"/>
              <w:rPr>
                <w:rFonts w:hint="eastAsia"/>
                <w:sz w:val="21"/>
                <w:szCs w:val="21"/>
              </w:rPr>
            </w:pPr>
            <w:r>
              <w:rPr>
                <w:rFonts w:hint="eastAsia"/>
                <w:sz w:val="21"/>
                <w:szCs w:val="21"/>
              </w:rPr>
              <w:t>开、竣工</w:t>
            </w:r>
          </w:p>
          <w:p w14:paraId="1A2EB90C">
            <w:pPr>
              <w:spacing w:line="360" w:lineRule="auto"/>
              <w:jc w:val="center"/>
              <w:rPr>
                <w:rFonts w:hint="eastAsia"/>
                <w:sz w:val="21"/>
                <w:szCs w:val="21"/>
              </w:rPr>
            </w:pPr>
            <w:r>
              <w:rPr>
                <w:rFonts w:hint="eastAsia"/>
                <w:sz w:val="21"/>
                <w:szCs w:val="21"/>
              </w:rPr>
              <w:t>日期</w:t>
            </w:r>
          </w:p>
        </w:tc>
        <w:tc>
          <w:tcPr>
            <w:tcW w:w="664" w:type="pct"/>
            <w:gridSpan w:val="2"/>
            <w:vAlign w:val="center"/>
          </w:tcPr>
          <w:p w14:paraId="37C447FA">
            <w:pPr>
              <w:spacing w:line="360" w:lineRule="auto"/>
              <w:jc w:val="center"/>
              <w:rPr>
                <w:rFonts w:hint="eastAsia"/>
                <w:sz w:val="21"/>
                <w:szCs w:val="21"/>
              </w:rPr>
            </w:pPr>
            <w:r>
              <w:rPr>
                <w:rFonts w:hint="eastAsia"/>
                <w:sz w:val="21"/>
                <w:szCs w:val="21"/>
              </w:rPr>
              <w:t>在建或已 完</w:t>
            </w:r>
          </w:p>
        </w:tc>
        <w:tc>
          <w:tcPr>
            <w:tcW w:w="1109" w:type="pct"/>
            <w:gridSpan w:val="2"/>
            <w:vAlign w:val="center"/>
          </w:tcPr>
          <w:p w14:paraId="17766649">
            <w:pPr>
              <w:spacing w:line="360" w:lineRule="auto"/>
              <w:jc w:val="center"/>
              <w:rPr>
                <w:rFonts w:hint="eastAsia"/>
                <w:sz w:val="21"/>
                <w:szCs w:val="21"/>
              </w:rPr>
            </w:pPr>
            <w:r>
              <w:rPr>
                <w:rFonts w:hint="eastAsia"/>
                <w:sz w:val="21"/>
                <w:szCs w:val="21"/>
              </w:rPr>
              <w:t>工程质量</w:t>
            </w:r>
          </w:p>
        </w:tc>
      </w:tr>
      <w:tr w14:paraId="24A2A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55" w:type="pct"/>
            <w:gridSpan w:val="2"/>
            <w:vAlign w:val="center"/>
          </w:tcPr>
          <w:p w14:paraId="7038A056">
            <w:pPr>
              <w:spacing w:line="360" w:lineRule="auto"/>
              <w:jc w:val="center"/>
              <w:rPr>
                <w:rFonts w:hint="eastAsia"/>
                <w:sz w:val="21"/>
                <w:szCs w:val="21"/>
              </w:rPr>
            </w:pPr>
          </w:p>
        </w:tc>
        <w:tc>
          <w:tcPr>
            <w:tcW w:w="860" w:type="pct"/>
            <w:gridSpan w:val="2"/>
            <w:vAlign w:val="center"/>
          </w:tcPr>
          <w:p w14:paraId="7257552F">
            <w:pPr>
              <w:spacing w:line="360" w:lineRule="auto"/>
              <w:jc w:val="center"/>
              <w:rPr>
                <w:rFonts w:hint="eastAsia"/>
                <w:sz w:val="21"/>
                <w:szCs w:val="21"/>
              </w:rPr>
            </w:pPr>
          </w:p>
        </w:tc>
        <w:tc>
          <w:tcPr>
            <w:tcW w:w="810" w:type="pct"/>
            <w:gridSpan w:val="4"/>
            <w:vAlign w:val="center"/>
          </w:tcPr>
          <w:p w14:paraId="057E09BE">
            <w:pPr>
              <w:spacing w:line="360" w:lineRule="auto"/>
              <w:jc w:val="center"/>
              <w:rPr>
                <w:rFonts w:hint="eastAsia"/>
                <w:sz w:val="21"/>
                <w:szCs w:val="21"/>
              </w:rPr>
            </w:pPr>
          </w:p>
        </w:tc>
        <w:tc>
          <w:tcPr>
            <w:tcW w:w="800" w:type="pct"/>
            <w:vAlign w:val="center"/>
          </w:tcPr>
          <w:p w14:paraId="387B43AF">
            <w:pPr>
              <w:spacing w:line="360" w:lineRule="auto"/>
              <w:jc w:val="center"/>
              <w:rPr>
                <w:rFonts w:hint="eastAsia"/>
                <w:sz w:val="21"/>
                <w:szCs w:val="21"/>
              </w:rPr>
            </w:pPr>
          </w:p>
        </w:tc>
        <w:tc>
          <w:tcPr>
            <w:tcW w:w="664" w:type="pct"/>
            <w:gridSpan w:val="2"/>
            <w:vAlign w:val="center"/>
          </w:tcPr>
          <w:p w14:paraId="1AE7AB8F">
            <w:pPr>
              <w:spacing w:line="360" w:lineRule="auto"/>
              <w:jc w:val="center"/>
              <w:rPr>
                <w:rFonts w:hint="eastAsia"/>
                <w:sz w:val="21"/>
                <w:szCs w:val="21"/>
              </w:rPr>
            </w:pPr>
          </w:p>
        </w:tc>
        <w:tc>
          <w:tcPr>
            <w:tcW w:w="1109" w:type="pct"/>
            <w:gridSpan w:val="2"/>
            <w:vAlign w:val="center"/>
          </w:tcPr>
          <w:p w14:paraId="3F7F07AE">
            <w:pPr>
              <w:spacing w:line="360" w:lineRule="auto"/>
              <w:jc w:val="center"/>
              <w:rPr>
                <w:rFonts w:hint="eastAsia"/>
                <w:sz w:val="21"/>
                <w:szCs w:val="21"/>
              </w:rPr>
            </w:pPr>
          </w:p>
        </w:tc>
      </w:tr>
      <w:tr w14:paraId="6CDB8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55" w:type="pct"/>
            <w:gridSpan w:val="2"/>
            <w:vAlign w:val="center"/>
          </w:tcPr>
          <w:p w14:paraId="542BBCB9">
            <w:pPr>
              <w:spacing w:line="360" w:lineRule="auto"/>
              <w:jc w:val="center"/>
              <w:rPr>
                <w:rFonts w:hint="eastAsia"/>
                <w:sz w:val="21"/>
                <w:szCs w:val="21"/>
              </w:rPr>
            </w:pPr>
          </w:p>
        </w:tc>
        <w:tc>
          <w:tcPr>
            <w:tcW w:w="860" w:type="pct"/>
            <w:gridSpan w:val="2"/>
            <w:vAlign w:val="center"/>
          </w:tcPr>
          <w:p w14:paraId="2D7253B0">
            <w:pPr>
              <w:spacing w:line="360" w:lineRule="auto"/>
              <w:jc w:val="center"/>
              <w:rPr>
                <w:rFonts w:hint="eastAsia"/>
                <w:sz w:val="21"/>
                <w:szCs w:val="21"/>
              </w:rPr>
            </w:pPr>
          </w:p>
        </w:tc>
        <w:tc>
          <w:tcPr>
            <w:tcW w:w="810" w:type="pct"/>
            <w:gridSpan w:val="4"/>
            <w:vAlign w:val="center"/>
          </w:tcPr>
          <w:p w14:paraId="66280ABF">
            <w:pPr>
              <w:spacing w:line="360" w:lineRule="auto"/>
              <w:jc w:val="center"/>
              <w:rPr>
                <w:rFonts w:hint="eastAsia"/>
                <w:sz w:val="21"/>
                <w:szCs w:val="21"/>
              </w:rPr>
            </w:pPr>
          </w:p>
        </w:tc>
        <w:tc>
          <w:tcPr>
            <w:tcW w:w="800" w:type="pct"/>
            <w:vAlign w:val="center"/>
          </w:tcPr>
          <w:p w14:paraId="79819BC7">
            <w:pPr>
              <w:spacing w:line="360" w:lineRule="auto"/>
              <w:jc w:val="center"/>
              <w:rPr>
                <w:rFonts w:hint="eastAsia"/>
                <w:sz w:val="21"/>
                <w:szCs w:val="21"/>
              </w:rPr>
            </w:pPr>
          </w:p>
        </w:tc>
        <w:tc>
          <w:tcPr>
            <w:tcW w:w="664" w:type="pct"/>
            <w:gridSpan w:val="2"/>
            <w:vAlign w:val="center"/>
          </w:tcPr>
          <w:p w14:paraId="6CFD2398">
            <w:pPr>
              <w:spacing w:line="360" w:lineRule="auto"/>
              <w:jc w:val="center"/>
              <w:rPr>
                <w:rFonts w:hint="eastAsia"/>
                <w:sz w:val="21"/>
                <w:szCs w:val="21"/>
              </w:rPr>
            </w:pPr>
          </w:p>
        </w:tc>
        <w:tc>
          <w:tcPr>
            <w:tcW w:w="1109" w:type="pct"/>
            <w:gridSpan w:val="2"/>
            <w:vAlign w:val="center"/>
          </w:tcPr>
          <w:p w14:paraId="262224C0">
            <w:pPr>
              <w:spacing w:line="360" w:lineRule="auto"/>
              <w:jc w:val="center"/>
              <w:rPr>
                <w:rFonts w:hint="eastAsia"/>
                <w:sz w:val="21"/>
                <w:szCs w:val="21"/>
              </w:rPr>
            </w:pPr>
          </w:p>
        </w:tc>
      </w:tr>
      <w:tr w14:paraId="35BAF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55" w:type="pct"/>
            <w:gridSpan w:val="2"/>
            <w:vAlign w:val="center"/>
          </w:tcPr>
          <w:p w14:paraId="2CB0E8DB">
            <w:pPr>
              <w:spacing w:line="360" w:lineRule="auto"/>
              <w:jc w:val="center"/>
              <w:rPr>
                <w:rFonts w:hint="eastAsia"/>
                <w:sz w:val="21"/>
                <w:szCs w:val="21"/>
              </w:rPr>
            </w:pPr>
          </w:p>
        </w:tc>
        <w:tc>
          <w:tcPr>
            <w:tcW w:w="860" w:type="pct"/>
            <w:gridSpan w:val="2"/>
            <w:vAlign w:val="center"/>
          </w:tcPr>
          <w:p w14:paraId="20F42A2A">
            <w:pPr>
              <w:spacing w:line="360" w:lineRule="auto"/>
              <w:jc w:val="center"/>
              <w:rPr>
                <w:rFonts w:hint="eastAsia"/>
                <w:sz w:val="21"/>
                <w:szCs w:val="21"/>
              </w:rPr>
            </w:pPr>
          </w:p>
        </w:tc>
        <w:tc>
          <w:tcPr>
            <w:tcW w:w="810" w:type="pct"/>
            <w:gridSpan w:val="4"/>
            <w:vAlign w:val="center"/>
          </w:tcPr>
          <w:p w14:paraId="3D11AECE">
            <w:pPr>
              <w:spacing w:line="360" w:lineRule="auto"/>
              <w:jc w:val="center"/>
              <w:rPr>
                <w:rFonts w:hint="eastAsia"/>
                <w:sz w:val="21"/>
                <w:szCs w:val="21"/>
              </w:rPr>
            </w:pPr>
          </w:p>
        </w:tc>
        <w:tc>
          <w:tcPr>
            <w:tcW w:w="800" w:type="pct"/>
            <w:vAlign w:val="center"/>
          </w:tcPr>
          <w:p w14:paraId="725FD650">
            <w:pPr>
              <w:spacing w:line="360" w:lineRule="auto"/>
              <w:jc w:val="center"/>
              <w:rPr>
                <w:rFonts w:hint="eastAsia"/>
                <w:sz w:val="21"/>
                <w:szCs w:val="21"/>
              </w:rPr>
            </w:pPr>
          </w:p>
        </w:tc>
        <w:tc>
          <w:tcPr>
            <w:tcW w:w="664" w:type="pct"/>
            <w:gridSpan w:val="2"/>
            <w:vAlign w:val="center"/>
          </w:tcPr>
          <w:p w14:paraId="1A28DAB0">
            <w:pPr>
              <w:spacing w:line="360" w:lineRule="auto"/>
              <w:jc w:val="center"/>
              <w:rPr>
                <w:rFonts w:hint="eastAsia"/>
                <w:sz w:val="21"/>
                <w:szCs w:val="21"/>
              </w:rPr>
            </w:pPr>
          </w:p>
        </w:tc>
        <w:tc>
          <w:tcPr>
            <w:tcW w:w="1109" w:type="pct"/>
            <w:gridSpan w:val="2"/>
            <w:vAlign w:val="center"/>
          </w:tcPr>
          <w:p w14:paraId="24A9249D">
            <w:pPr>
              <w:spacing w:line="360" w:lineRule="auto"/>
              <w:jc w:val="center"/>
              <w:rPr>
                <w:rFonts w:hint="eastAsia"/>
                <w:sz w:val="21"/>
                <w:szCs w:val="21"/>
              </w:rPr>
            </w:pPr>
          </w:p>
        </w:tc>
      </w:tr>
      <w:tr w14:paraId="08825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55" w:type="pct"/>
            <w:gridSpan w:val="2"/>
            <w:vAlign w:val="center"/>
          </w:tcPr>
          <w:p w14:paraId="3283310D">
            <w:pPr>
              <w:spacing w:line="360" w:lineRule="auto"/>
              <w:jc w:val="center"/>
              <w:rPr>
                <w:rFonts w:hint="eastAsia"/>
                <w:sz w:val="21"/>
                <w:szCs w:val="21"/>
              </w:rPr>
            </w:pPr>
          </w:p>
        </w:tc>
        <w:tc>
          <w:tcPr>
            <w:tcW w:w="860" w:type="pct"/>
            <w:gridSpan w:val="2"/>
            <w:vAlign w:val="center"/>
          </w:tcPr>
          <w:p w14:paraId="4A0B3762">
            <w:pPr>
              <w:spacing w:line="360" w:lineRule="auto"/>
              <w:jc w:val="center"/>
              <w:rPr>
                <w:rFonts w:hint="eastAsia"/>
                <w:sz w:val="21"/>
                <w:szCs w:val="21"/>
              </w:rPr>
            </w:pPr>
          </w:p>
        </w:tc>
        <w:tc>
          <w:tcPr>
            <w:tcW w:w="810" w:type="pct"/>
            <w:gridSpan w:val="4"/>
            <w:vAlign w:val="center"/>
          </w:tcPr>
          <w:p w14:paraId="3D0C5CA7">
            <w:pPr>
              <w:spacing w:line="360" w:lineRule="auto"/>
              <w:jc w:val="center"/>
              <w:rPr>
                <w:rFonts w:hint="eastAsia"/>
                <w:sz w:val="21"/>
                <w:szCs w:val="21"/>
              </w:rPr>
            </w:pPr>
          </w:p>
        </w:tc>
        <w:tc>
          <w:tcPr>
            <w:tcW w:w="800" w:type="pct"/>
            <w:vAlign w:val="center"/>
          </w:tcPr>
          <w:p w14:paraId="0350E15A">
            <w:pPr>
              <w:spacing w:line="360" w:lineRule="auto"/>
              <w:jc w:val="center"/>
              <w:rPr>
                <w:rFonts w:hint="eastAsia"/>
                <w:sz w:val="21"/>
                <w:szCs w:val="21"/>
              </w:rPr>
            </w:pPr>
          </w:p>
        </w:tc>
        <w:tc>
          <w:tcPr>
            <w:tcW w:w="664" w:type="pct"/>
            <w:gridSpan w:val="2"/>
            <w:vAlign w:val="center"/>
          </w:tcPr>
          <w:p w14:paraId="356E94D3">
            <w:pPr>
              <w:spacing w:line="360" w:lineRule="auto"/>
              <w:jc w:val="center"/>
              <w:rPr>
                <w:rFonts w:hint="eastAsia"/>
                <w:sz w:val="21"/>
                <w:szCs w:val="21"/>
              </w:rPr>
            </w:pPr>
          </w:p>
        </w:tc>
        <w:tc>
          <w:tcPr>
            <w:tcW w:w="1109" w:type="pct"/>
            <w:gridSpan w:val="2"/>
            <w:vAlign w:val="center"/>
          </w:tcPr>
          <w:p w14:paraId="24DEBE07">
            <w:pPr>
              <w:spacing w:line="360" w:lineRule="auto"/>
              <w:jc w:val="center"/>
              <w:rPr>
                <w:rFonts w:hint="eastAsia"/>
                <w:sz w:val="21"/>
                <w:szCs w:val="21"/>
              </w:rPr>
            </w:pPr>
          </w:p>
        </w:tc>
      </w:tr>
      <w:tr w14:paraId="3EAD0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55" w:type="pct"/>
            <w:gridSpan w:val="2"/>
            <w:vAlign w:val="center"/>
          </w:tcPr>
          <w:p w14:paraId="6084C14F">
            <w:pPr>
              <w:spacing w:line="360" w:lineRule="auto"/>
              <w:jc w:val="center"/>
              <w:rPr>
                <w:rFonts w:hint="eastAsia"/>
                <w:sz w:val="21"/>
                <w:szCs w:val="21"/>
              </w:rPr>
            </w:pPr>
          </w:p>
        </w:tc>
        <w:tc>
          <w:tcPr>
            <w:tcW w:w="860" w:type="pct"/>
            <w:gridSpan w:val="2"/>
            <w:vAlign w:val="center"/>
          </w:tcPr>
          <w:p w14:paraId="386381E2">
            <w:pPr>
              <w:spacing w:line="360" w:lineRule="auto"/>
              <w:jc w:val="center"/>
              <w:rPr>
                <w:rFonts w:hint="eastAsia"/>
                <w:sz w:val="21"/>
                <w:szCs w:val="21"/>
              </w:rPr>
            </w:pPr>
          </w:p>
        </w:tc>
        <w:tc>
          <w:tcPr>
            <w:tcW w:w="810" w:type="pct"/>
            <w:gridSpan w:val="4"/>
            <w:vAlign w:val="center"/>
          </w:tcPr>
          <w:p w14:paraId="25157850">
            <w:pPr>
              <w:spacing w:line="360" w:lineRule="auto"/>
              <w:jc w:val="center"/>
              <w:rPr>
                <w:rFonts w:hint="eastAsia"/>
                <w:sz w:val="21"/>
                <w:szCs w:val="21"/>
              </w:rPr>
            </w:pPr>
          </w:p>
        </w:tc>
        <w:tc>
          <w:tcPr>
            <w:tcW w:w="800" w:type="pct"/>
            <w:vAlign w:val="center"/>
          </w:tcPr>
          <w:p w14:paraId="716E19A4">
            <w:pPr>
              <w:spacing w:line="360" w:lineRule="auto"/>
              <w:jc w:val="center"/>
              <w:rPr>
                <w:rFonts w:hint="eastAsia"/>
                <w:sz w:val="21"/>
                <w:szCs w:val="21"/>
              </w:rPr>
            </w:pPr>
          </w:p>
        </w:tc>
        <w:tc>
          <w:tcPr>
            <w:tcW w:w="664" w:type="pct"/>
            <w:gridSpan w:val="2"/>
            <w:vAlign w:val="center"/>
          </w:tcPr>
          <w:p w14:paraId="0DE918D3">
            <w:pPr>
              <w:spacing w:line="360" w:lineRule="auto"/>
              <w:jc w:val="center"/>
              <w:rPr>
                <w:rFonts w:hint="eastAsia"/>
                <w:sz w:val="21"/>
                <w:szCs w:val="21"/>
              </w:rPr>
            </w:pPr>
          </w:p>
        </w:tc>
        <w:tc>
          <w:tcPr>
            <w:tcW w:w="1109" w:type="pct"/>
            <w:gridSpan w:val="2"/>
            <w:vAlign w:val="center"/>
          </w:tcPr>
          <w:p w14:paraId="4FCCC9A0">
            <w:pPr>
              <w:spacing w:line="360" w:lineRule="auto"/>
              <w:jc w:val="center"/>
              <w:rPr>
                <w:rFonts w:hint="eastAsia"/>
                <w:sz w:val="21"/>
                <w:szCs w:val="21"/>
              </w:rPr>
            </w:pPr>
          </w:p>
        </w:tc>
      </w:tr>
      <w:tr w14:paraId="0DC5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55" w:type="pct"/>
            <w:gridSpan w:val="2"/>
            <w:vAlign w:val="center"/>
          </w:tcPr>
          <w:p w14:paraId="1C780A2F">
            <w:pPr>
              <w:spacing w:line="360" w:lineRule="auto"/>
              <w:jc w:val="center"/>
              <w:rPr>
                <w:rFonts w:hint="eastAsia"/>
                <w:sz w:val="21"/>
                <w:szCs w:val="21"/>
              </w:rPr>
            </w:pPr>
          </w:p>
        </w:tc>
        <w:tc>
          <w:tcPr>
            <w:tcW w:w="860" w:type="pct"/>
            <w:gridSpan w:val="2"/>
            <w:vAlign w:val="center"/>
          </w:tcPr>
          <w:p w14:paraId="0C3E89BD">
            <w:pPr>
              <w:spacing w:line="360" w:lineRule="auto"/>
              <w:jc w:val="center"/>
              <w:rPr>
                <w:rFonts w:hint="eastAsia"/>
                <w:sz w:val="21"/>
                <w:szCs w:val="21"/>
              </w:rPr>
            </w:pPr>
          </w:p>
        </w:tc>
        <w:tc>
          <w:tcPr>
            <w:tcW w:w="810" w:type="pct"/>
            <w:gridSpan w:val="4"/>
            <w:vAlign w:val="center"/>
          </w:tcPr>
          <w:p w14:paraId="2D39DAFC">
            <w:pPr>
              <w:spacing w:line="360" w:lineRule="auto"/>
              <w:jc w:val="center"/>
              <w:rPr>
                <w:rFonts w:hint="eastAsia"/>
                <w:sz w:val="21"/>
                <w:szCs w:val="21"/>
              </w:rPr>
            </w:pPr>
          </w:p>
        </w:tc>
        <w:tc>
          <w:tcPr>
            <w:tcW w:w="800" w:type="pct"/>
            <w:vAlign w:val="center"/>
          </w:tcPr>
          <w:p w14:paraId="34B386A7">
            <w:pPr>
              <w:spacing w:line="360" w:lineRule="auto"/>
              <w:jc w:val="center"/>
              <w:rPr>
                <w:rFonts w:hint="eastAsia"/>
                <w:sz w:val="21"/>
                <w:szCs w:val="21"/>
              </w:rPr>
            </w:pPr>
          </w:p>
        </w:tc>
        <w:tc>
          <w:tcPr>
            <w:tcW w:w="664" w:type="pct"/>
            <w:gridSpan w:val="2"/>
            <w:vAlign w:val="center"/>
          </w:tcPr>
          <w:p w14:paraId="3BEBEA94">
            <w:pPr>
              <w:spacing w:line="360" w:lineRule="auto"/>
              <w:jc w:val="center"/>
              <w:rPr>
                <w:rFonts w:hint="eastAsia"/>
                <w:sz w:val="21"/>
                <w:szCs w:val="21"/>
              </w:rPr>
            </w:pPr>
          </w:p>
        </w:tc>
        <w:tc>
          <w:tcPr>
            <w:tcW w:w="1109" w:type="pct"/>
            <w:gridSpan w:val="2"/>
            <w:vAlign w:val="center"/>
          </w:tcPr>
          <w:p w14:paraId="4784797E">
            <w:pPr>
              <w:spacing w:line="360" w:lineRule="auto"/>
              <w:jc w:val="center"/>
              <w:rPr>
                <w:rFonts w:hint="eastAsia"/>
                <w:sz w:val="21"/>
                <w:szCs w:val="21"/>
              </w:rPr>
            </w:pPr>
          </w:p>
        </w:tc>
      </w:tr>
      <w:tr w14:paraId="45709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55" w:type="pct"/>
            <w:gridSpan w:val="2"/>
            <w:vAlign w:val="center"/>
          </w:tcPr>
          <w:p w14:paraId="73440BC3">
            <w:pPr>
              <w:spacing w:line="360" w:lineRule="auto"/>
              <w:jc w:val="center"/>
              <w:rPr>
                <w:rFonts w:hint="eastAsia"/>
                <w:sz w:val="21"/>
                <w:szCs w:val="21"/>
              </w:rPr>
            </w:pPr>
          </w:p>
        </w:tc>
        <w:tc>
          <w:tcPr>
            <w:tcW w:w="860" w:type="pct"/>
            <w:gridSpan w:val="2"/>
            <w:vAlign w:val="center"/>
          </w:tcPr>
          <w:p w14:paraId="67B7716C">
            <w:pPr>
              <w:spacing w:line="360" w:lineRule="auto"/>
              <w:jc w:val="center"/>
              <w:rPr>
                <w:rFonts w:hint="eastAsia"/>
                <w:sz w:val="21"/>
                <w:szCs w:val="21"/>
              </w:rPr>
            </w:pPr>
          </w:p>
        </w:tc>
        <w:tc>
          <w:tcPr>
            <w:tcW w:w="810" w:type="pct"/>
            <w:gridSpan w:val="4"/>
            <w:vAlign w:val="center"/>
          </w:tcPr>
          <w:p w14:paraId="3ECBD594">
            <w:pPr>
              <w:spacing w:line="360" w:lineRule="auto"/>
              <w:jc w:val="center"/>
              <w:rPr>
                <w:rFonts w:hint="eastAsia"/>
                <w:sz w:val="21"/>
                <w:szCs w:val="21"/>
              </w:rPr>
            </w:pPr>
          </w:p>
        </w:tc>
        <w:tc>
          <w:tcPr>
            <w:tcW w:w="800" w:type="pct"/>
            <w:vAlign w:val="center"/>
          </w:tcPr>
          <w:p w14:paraId="4FA55693">
            <w:pPr>
              <w:spacing w:line="360" w:lineRule="auto"/>
              <w:jc w:val="center"/>
              <w:rPr>
                <w:rFonts w:hint="eastAsia"/>
                <w:sz w:val="21"/>
                <w:szCs w:val="21"/>
              </w:rPr>
            </w:pPr>
          </w:p>
        </w:tc>
        <w:tc>
          <w:tcPr>
            <w:tcW w:w="664" w:type="pct"/>
            <w:gridSpan w:val="2"/>
            <w:vAlign w:val="center"/>
          </w:tcPr>
          <w:p w14:paraId="4828E5CF">
            <w:pPr>
              <w:spacing w:line="360" w:lineRule="auto"/>
              <w:jc w:val="center"/>
              <w:rPr>
                <w:rFonts w:hint="eastAsia"/>
                <w:sz w:val="21"/>
                <w:szCs w:val="21"/>
              </w:rPr>
            </w:pPr>
          </w:p>
        </w:tc>
        <w:tc>
          <w:tcPr>
            <w:tcW w:w="1109" w:type="pct"/>
            <w:gridSpan w:val="2"/>
            <w:vAlign w:val="center"/>
          </w:tcPr>
          <w:p w14:paraId="58CDB863">
            <w:pPr>
              <w:spacing w:line="360" w:lineRule="auto"/>
              <w:jc w:val="center"/>
              <w:rPr>
                <w:rFonts w:hint="eastAsia"/>
                <w:sz w:val="21"/>
                <w:szCs w:val="21"/>
              </w:rPr>
            </w:pPr>
          </w:p>
        </w:tc>
      </w:tr>
    </w:tbl>
    <w:p w14:paraId="43A28F84">
      <w:pPr>
        <w:spacing w:line="360" w:lineRule="auto"/>
        <w:rPr>
          <w:rFonts w:hint="eastAsia"/>
          <w:sz w:val="21"/>
          <w:szCs w:val="21"/>
        </w:rPr>
      </w:pPr>
      <w:r>
        <w:rPr>
          <w:rFonts w:hint="eastAsia"/>
          <w:sz w:val="21"/>
          <w:szCs w:val="21"/>
        </w:rPr>
        <w:t>备注：后附项目经理业绩证明材料。</w:t>
      </w:r>
    </w:p>
    <w:p w14:paraId="2B6F97FA">
      <w:pPr>
        <w:spacing w:line="360" w:lineRule="auto"/>
        <w:rPr>
          <w:rFonts w:hint="eastAsia"/>
          <w:sz w:val="21"/>
          <w:szCs w:val="21"/>
        </w:rPr>
      </w:pPr>
      <w:r>
        <w:rPr>
          <w:rFonts w:hint="eastAsia"/>
          <w:sz w:val="21"/>
          <w:szCs w:val="21"/>
        </w:rPr>
        <w:t>投标人（加盖公章）：</w:t>
      </w:r>
      <w:r>
        <w:rPr>
          <w:rFonts w:hint="eastAsia"/>
          <w:sz w:val="21"/>
          <w:szCs w:val="21"/>
          <w:u w:val="single"/>
        </w:rPr>
        <w:t xml:space="preserve">                             </w:t>
      </w:r>
    </w:p>
    <w:p w14:paraId="39F58885">
      <w:pPr>
        <w:spacing w:line="360" w:lineRule="auto"/>
        <w:rPr>
          <w:rFonts w:ascii="Times New Roman" w:hAnsi="Times New Roman" w:cs="Times New Roman"/>
          <w:sz w:val="21"/>
          <w:szCs w:val="21"/>
        </w:rPr>
      </w:pPr>
      <w:r>
        <w:rPr>
          <w:rFonts w:ascii="Times New Roman" w:hAnsi="Times New Roman" w:cs="Times New Roman"/>
          <w:sz w:val="21"/>
          <w:szCs w:val="21"/>
        </w:rPr>
        <w:t>日期：       年      月      日</w:t>
      </w:r>
    </w:p>
    <w:p w14:paraId="6E937772">
      <w:pPr>
        <w:pStyle w:val="27"/>
        <w:spacing w:line="360" w:lineRule="auto"/>
        <w:ind w:left="0" w:leftChars="0"/>
        <w:jc w:val="both"/>
        <w:rPr>
          <w:rFonts w:hint="eastAsia"/>
          <w:sz w:val="21"/>
          <w:szCs w:val="21"/>
        </w:rPr>
      </w:pPr>
      <w:r>
        <w:rPr>
          <w:rFonts w:hint="eastAsia"/>
          <w:sz w:val="21"/>
          <w:szCs w:val="21"/>
        </w:rPr>
        <w:br w:type="page"/>
      </w:r>
      <w:r>
        <w:rPr>
          <w:rFonts w:hint="eastAsia"/>
          <w:sz w:val="21"/>
          <w:szCs w:val="21"/>
        </w:rPr>
        <w:t xml:space="preserve">附表三：                 </w:t>
      </w:r>
    </w:p>
    <w:p w14:paraId="19A1EB1D">
      <w:pPr>
        <w:pStyle w:val="27"/>
        <w:spacing w:line="360" w:lineRule="auto"/>
        <w:ind w:left="0" w:leftChars="0" w:firstLine="4006" w:firstLineChars="1900"/>
        <w:jc w:val="both"/>
        <w:rPr>
          <w:rFonts w:hint="eastAsia"/>
          <w:b/>
          <w:sz w:val="21"/>
          <w:szCs w:val="21"/>
        </w:rPr>
      </w:pPr>
      <w:r>
        <w:rPr>
          <w:rFonts w:hint="eastAsia"/>
          <w:b/>
          <w:sz w:val="21"/>
          <w:szCs w:val="21"/>
        </w:rPr>
        <w:t>项目技术负责人简历表</w:t>
      </w:r>
    </w:p>
    <w:p w14:paraId="0D44AF91">
      <w:pPr>
        <w:spacing w:line="360" w:lineRule="auto"/>
        <w:ind w:left="1050" w:hanging="1050" w:hangingChars="500"/>
        <w:rPr>
          <w:rFonts w:hint="eastAsia"/>
          <w:sz w:val="21"/>
          <w:szCs w:val="21"/>
        </w:rPr>
      </w:pPr>
      <w:r>
        <w:rPr>
          <w:rFonts w:hint="eastAsia"/>
          <w:sz w:val="21"/>
          <w:szCs w:val="21"/>
        </w:rPr>
        <w:t>项目编号：</w:t>
      </w:r>
    </w:p>
    <w:p w14:paraId="4C496C99">
      <w:pPr>
        <w:spacing w:line="360" w:lineRule="auto"/>
        <w:rPr>
          <w:rFonts w:hint="eastAsia"/>
          <w:sz w:val="21"/>
          <w:szCs w:val="21"/>
        </w:rPr>
      </w:pPr>
      <w:r>
        <w:rPr>
          <w:rFonts w:hint="eastAsia"/>
          <w:sz w:val="21"/>
          <w:szCs w:val="21"/>
        </w:rPr>
        <w:t xml:space="preserve">项目名称： </w:t>
      </w:r>
    </w:p>
    <w:tbl>
      <w:tblPr>
        <w:tblStyle w:val="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566"/>
        <w:gridCol w:w="916"/>
        <w:gridCol w:w="729"/>
        <w:gridCol w:w="179"/>
        <w:gridCol w:w="820"/>
        <w:gridCol w:w="534"/>
        <w:gridCol w:w="14"/>
        <w:gridCol w:w="1452"/>
        <w:gridCol w:w="74"/>
        <w:gridCol w:w="807"/>
        <w:gridCol w:w="226"/>
        <w:gridCol w:w="421"/>
        <w:gridCol w:w="2124"/>
      </w:tblGrid>
      <w:tr w14:paraId="134B4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52" w:type="pct"/>
            <w:vAlign w:val="center"/>
          </w:tcPr>
          <w:p w14:paraId="0DC9541B">
            <w:pPr>
              <w:spacing w:line="360" w:lineRule="auto"/>
              <w:jc w:val="center"/>
              <w:rPr>
                <w:rFonts w:hint="eastAsia"/>
                <w:sz w:val="21"/>
                <w:szCs w:val="21"/>
              </w:rPr>
            </w:pPr>
            <w:r>
              <w:rPr>
                <w:rFonts w:hint="eastAsia"/>
                <w:sz w:val="21"/>
                <w:szCs w:val="21"/>
              </w:rPr>
              <w:t>姓名</w:t>
            </w:r>
          </w:p>
        </w:tc>
        <w:tc>
          <w:tcPr>
            <w:tcW w:w="1227" w:type="pct"/>
            <w:gridSpan w:val="4"/>
            <w:vAlign w:val="center"/>
          </w:tcPr>
          <w:p w14:paraId="090954F1">
            <w:pPr>
              <w:spacing w:line="360" w:lineRule="auto"/>
              <w:jc w:val="center"/>
              <w:rPr>
                <w:rFonts w:hint="eastAsia"/>
                <w:sz w:val="21"/>
                <w:szCs w:val="21"/>
              </w:rPr>
            </w:pPr>
          </w:p>
        </w:tc>
        <w:tc>
          <w:tcPr>
            <w:tcW w:w="421" w:type="pct"/>
            <w:vAlign w:val="center"/>
          </w:tcPr>
          <w:p w14:paraId="33D480C2">
            <w:pPr>
              <w:spacing w:line="360" w:lineRule="auto"/>
              <w:jc w:val="center"/>
              <w:rPr>
                <w:rFonts w:hint="eastAsia"/>
                <w:sz w:val="21"/>
                <w:szCs w:val="21"/>
              </w:rPr>
            </w:pPr>
            <w:r>
              <w:rPr>
                <w:rFonts w:hint="eastAsia"/>
                <w:sz w:val="21"/>
                <w:szCs w:val="21"/>
              </w:rPr>
              <w:t>性别</w:t>
            </w:r>
          </w:p>
        </w:tc>
        <w:tc>
          <w:tcPr>
            <w:tcW w:w="1026" w:type="pct"/>
            <w:gridSpan w:val="3"/>
            <w:vAlign w:val="center"/>
          </w:tcPr>
          <w:p w14:paraId="227B019B">
            <w:pPr>
              <w:spacing w:line="360" w:lineRule="auto"/>
              <w:jc w:val="center"/>
              <w:rPr>
                <w:rFonts w:hint="eastAsia"/>
                <w:sz w:val="21"/>
                <w:szCs w:val="21"/>
              </w:rPr>
            </w:pPr>
          </w:p>
        </w:tc>
        <w:tc>
          <w:tcPr>
            <w:tcW w:w="452" w:type="pct"/>
            <w:gridSpan w:val="2"/>
            <w:vAlign w:val="center"/>
          </w:tcPr>
          <w:p w14:paraId="2961D196">
            <w:pPr>
              <w:spacing w:line="360" w:lineRule="auto"/>
              <w:jc w:val="center"/>
              <w:rPr>
                <w:rFonts w:hint="eastAsia"/>
                <w:sz w:val="21"/>
                <w:szCs w:val="21"/>
              </w:rPr>
            </w:pPr>
            <w:r>
              <w:rPr>
                <w:rFonts w:hint="eastAsia"/>
                <w:sz w:val="21"/>
                <w:szCs w:val="21"/>
              </w:rPr>
              <w:t>年龄</w:t>
            </w:r>
          </w:p>
        </w:tc>
        <w:tc>
          <w:tcPr>
            <w:tcW w:w="1418" w:type="pct"/>
            <w:gridSpan w:val="3"/>
            <w:vAlign w:val="center"/>
          </w:tcPr>
          <w:p w14:paraId="0545B842">
            <w:pPr>
              <w:spacing w:line="360" w:lineRule="auto"/>
              <w:jc w:val="center"/>
              <w:rPr>
                <w:rFonts w:hint="eastAsia"/>
                <w:sz w:val="21"/>
                <w:szCs w:val="21"/>
              </w:rPr>
            </w:pPr>
          </w:p>
        </w:tc>
      </w:tr>
      <w:tr w14:paraId="4378C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52" w:type="pct"/>
            <w:vAlign w:val="center"/>
          </w:tcPr>
          <w:p w14:paraId="0E362217">
            <w:pPr>
              <w:spacing w:line="360" w:lineRule="auto"/>
              <w:jc w:val="center"/>
              <w:rPr>
                <w:rFonts w:hint="eastAsia"/>
                <w:sz w:val="21"/>
                <w:szCs w:val="21"/>
              </w:rPr>
            </w:pPr>
            <w:r>
              <w:rPr>
                <w:rFonts w:hint="eastAsia"/>
                <w:sz w:val="21"/>
                <w:szCs w:val="21"/>
              </w:rPr>
              <w:t>职务</w:t>
            </w:r>
          </w:p>
        </w:tc>
        <w:tc>
          <w:tcPr>
            <w:tcW w:w="1227" w:type="pct"/>
            <w:gridSpan w:val="4"/>
            <w:vAlign w:val="center"/>
          </w:tcPr>
          <w:p w14:paraId="55848008">
            <w:pPr>
              <w:spacing w:line="360" w:lineRule="auto"/>
              <w:jc w:val="center"/>
              <w:rPr>
                <w:rFonts w:hint="eastAsia"/>
                <w:sz w:val="21"/>
                <w:szCs w:val="21"/>
              </w:rPr>
            </w:pPr>
          </w:p>
        </w:tc>
        <w:tc>
          <w:tcPr>
            <w:tcW w:w="421" w:type="pct"/>
            <w:vAlign w:val="center"/>
          </w:tcPr>
          <w:p w14:paraId="43A8AFEE">
            <w:pPr>
              <w:spacing w:line="360" w:lineRule="auto"/>
              <w:jc w:val="center"/>
              <w:rPr>
                <w:rFonts w:hint="eastAsia"/>
                <w:sz w:val="21"/>
                <w:szCs w:val="21"/>
              </w:rPr>
            </w:pPr>
            <w:r>
              <w:rPr>
                <w:rFonts w:hint="eastAsia"/>
                <w:sz w:val="21"/>
                <w:szCs w:val="21"/>
              </w:rPr>
              <w:t>职称</w:t>
            </w:r>
          </w:p>
        </w:tc>
        <w:tc>
          <w:tcPr>
            <w:tcW w:w="1026" w:type="pct"/>
            <w:gridSpan w:val="3"/>
            <w:vAlign w:val="center"/>
          </w:tcPr>
          <w:p w14:paraId="301E687B">
            <w:pPr>
              <w:spacing w:line="360" w:lineRule="auto"/>
              <w:jc w:val="center"/>
              <w:rPr>
                <w:rFonts w:hint="eastAsia"/>
                <w:sz w:val="21"/>
                <w:szCs w:val="21"/>
              </w:rPr>
            </w:pPr>
          </w:p>
        </w:tc>
        <w:tc>
          <w:tcPr>
            <w:tcW w:w="452" w:type="pct"/>
            <w:gridSpan w:val="2"/>
            <w:vAlign w:val="center"/>
          </w:tcPr>
          <w:p w14:paraId="7B9ABACE">
            <w:pPr>
              <w:spacing w:line="360" w:lineRule="auto"/>
              <w:jc w:val="center"/>
              <w:rPr>
                <w:rFonts w:hint="eastAsia"/>
                <w:sz w:val="21"/>
                <w:szCs w:val="21"/>
              </w:rPr>
            </w:pPr>
            <w:r>
              <w:rPr>
                <w:rFonts w:hint="eastAsia"/>
                <w:sz w:val="21"/>
                <w:szCs w:val="21"/>
              </w:rPr>
              <w:t>学历</w:t>
            </w:r>
          </w:p>
        </w:tc>
        <w:tc>
          <w:tcPr>
            <w:tcW w:w="1418" w:type="pct"/>
            <w:gridSpan w:val="3"/>
            <w:vAlign w:val="center"/>
          </w:tcPr>
          <w:p w14:paraId="3DBFAF5D">
            <w:pPr>
              <w:spacing w:line="360" w:lineRule="auto"/>
              <w:jc w:val="center"/>
              <w:rPr>
                <w:rFonts w:hint="eastAsia"/>
                <w:sz w:val="21"/>
                <w:szCs w:val="21"/>
              </w:rPr>
            </w:pPr>
          </w:p>
        </w:tc>
      </w:tr>
      <w:tr w14:paraId="79FA0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13" w:type="pct"/>
            <w:gridSpan w:val="3"/>
            <w:vAlign w:val="center"/>
          </w:tcPr>
          <w:p w14:paraId="74B927BF">
            <w:pPr>
              <w:spacing w:line="360" w:lineRule="auto"/>
              <w:jc w:val="center"/>
              <w:rPr>
                <w:rFonts w:hint="eastAsia"/>
                <w:sz w:val="21"/>
                <w:szCs w:val="21"/>
              </w:rPr>
            </w:pPr>
            <w:r>
              <w:rPr>
                <w:rFonts w:hint="eastAsia"/>
                <w:sz w:val="21"/>
                <w:szCs w:val="21"/>
              </w:rPr>
              <w:t>参加工作时间</w:t>
            </w:r>
          </w:p>
        </w:tc>
        <w:tc>
          <w:tcPr>
            <w:tcW w:w="1161" w:type="pct"/>
            <w:gridSpan w:val="4"/>
            <w:vAlign w:val="center"/>
          </w:tcPr>
          <w:p w14:paraId="64330EDA">
            <w:pPr>
              <w:spacing w:line="360" w:lineRule="auto"/>
              <w:jc w:val="center"/>
              <w:rPr>
                <w:rFonts w:hint="eastAsia"/>
                <w:sz w:val="21"/>
                <w:szCs w:val="21"/>
              </w:rPr>
            </w:pPr>
          </w:p>
        </w:tc>
        <w:tc>
          <w:tcPr>
            <w:tcW w:w="1320" w:type="pct"/>
            <w:gridSpan w:val="5"/>
            <w:vAlign w:val="center"/>
          </w:tcPr>
          <w:p w14:paraId="39D763F1">
            <w:pPr>
              <w:spacing w:line="360" w:lineRule="auto"/>
              <w:jc w:val="center"/>
              <w:rPr>
                <w:rFonts w:hint="eastAsia"/>
                <w:sz w:val="21"/>
                <w:szCs w:val="21"/>
              </w:rPr>
            </w:pPr>
            <w:r>
              <w:rPr>
                <w:rFonts w:hint="eastAsia"/>
                <w:sz w:val="21"/>
                <w:szCs w:val="21"/>
              </w:rPr>
              <w:t>担任技术负责人年限</w:t>
            </w:r>
          </w:p>
        </w:tc>
        <w:tc>
          <w:tcPr>
            <w:tcW w:w="1304" w:type="pct"/>
            <w:gridSpan w:val="2"/>
            <w:vAlign w:val="center"/>
          </w:tcPr>
          <w:p w14:paraId="22C61EF6">
            <w:pPr>
              <w:spacing w:line="360" w:lineRule="auto"/>
              <w:jc w:val="center"/>
              <w:rPr>
                <w:rFonts w:hint="eastAsia"/>
                <w:sz w:val="21"/>
                <w:szCs w:val="21"/>
              </w:rPr>
            </w:pPr>
          </w:p>
        </w:tc>
      </w:tr>
      <w:tr w14:paraId="33CC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000" w:type="pct"/>
            <w:gridSpan w:val="14"/>
            <w:vAlign w:val="center"/>
          </w:tcPr>
          <w:p w14:paraId="001E80EA">
            <w:pPr>
              <w:spacing w:line="360" w:lineRule="auto"/>
              <w:jc w:val="center"/>
              <w:rPr>
                <w:rFonts w:hint="eastAsia"/>
                <w:sz w:val="21"/>
                <w:szCs w:val="21"/>
              </w:rPr>
            </w:pPr>
            <w:r>
              <w:rPr>
                <w:rFonts w:hint="eastAsia"/>
                <w:sz w:val="21"/>
                <w:szCs w:val="21"/>
              </w:rPr>
              <w:t>在建和已完工程项目情况</w:t>
            </w:r>
          </w:p>
        </w:tc>
      </w:tr>
      <w:tr w14:paraId="22BF5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43" w:type="pct"/>
            <w:gridSpan w:val="2"/>
            <w:vAlign w:val="center"/>
          </w:tcPr>
          <w:p w14:paraId="0FE92239">
            <w:pPr>
              <w:spacing w:line="360" w:lineRule="auto"/>
              <w:jc w:val="center"/>
              <w:rPr>
                <w:rFonts w:hint="eastAsia"/>
                <w:sz w:val="21"/>
                <w:szCs w:val="21"/>
              </w:rPr>
            </w:pPr>
            <w:r>
              <w:rPr>
                <w:rFonts w:hint="eastAsia"/>
                <w:sz w:val="21"/>
                <w:szCs w:val="21"/>
              </w:rPr>
              <w:t>建设单位</w:t>
            </w:r>
          </w:p>
        </w:tc>
        <w:tc>
          <w:tcPr>
            <w:tcW w:w="844" w:type="pct"/>
            <w:gridSpan w:val="2"/>
            <w:vAlign w:val="center"/>
          </w:tcPr>
          <w:p w14:paraId="30388765">
            <w:pPr>
              <w:spacing w:line="360" w:lineRule="auto"/>
              <w:jc w:val="center"/>
              <w:rPr>
                <w:rFonts w:hint="eastAsia"/>
                <w:sz w:val="21"/>
                <w:szCs w:val="21"/>
              </w:rPr>
            </w:pPr>
            <w:r>
              <w:rPr>
                <w:rFonts w:hint="eastAsia"/>
                <w:sz w:val="21"/>
                <w:szCs w:val="21"/>
              </w:rPr>
              <w:t>项目名称</w:t>
            </w:r>
          </w:p>
        </w:tc>
        <w:tc>
          <w:tcPr>
            <w:tcW w:w="794" w:type="pct"/>
            <w:gridSpan w:val="4"/>
            <w:vAlign w:val="center"/>
          </w:tcPr>
          <w:p w14:paraId="66664A65">
            <w:pPr>
              <w:spacing w:line="360" w:lineRule="auto"/>
              <w:jc w:val="center"/>
              <w:rPr>
                <w:rFonts w:hint="eastAsia"/>
                <w:sz w:val="21"/>
                <w:szCs w:val="21"/>
              </w:rPr>
            </w:pPr>
            <w:r>
              <w:rPr>
                <w:rFonts w:hint="eastAsia"/>
                <w:sz w:val="21"/>
                <w:szCs w:val="21"/>
              </w:rPr>
              <w:t>建设规模</w:t>
            </w:r>
          </w:p>
        </w:tc>
        <w:tc>
          <w:tcPr>
            <w:tcW w:w="783" w:type="pct"/>
            <w:gridSpan w:val="2"/>
            <w:vAlign w:val="center"/>
          </w:tcPr>
          <w:p w14:paraId="5E45BBD6">
            <w:pPr>
              <w:spacing w:line="360" w:lineRule="auto"/>
              <w:jc w:val="center"/>
              <w:rPr>
                <w:rFonts w:hint="eastAsia"/>
                <w:sz w:val="21"/>
                <w:szCs w:val="21"/>
              </w:rPr>
            </w:pPr>
            <w:r>
              <w:rPr>
                <w:rFonts w:hint="eastAsia"/>
                <w:sz w:val="21"/>
                <w:szCs w:val="21"/>
              </w:rPr>
              <w:t>开、竣工</w:t>
            </w:r>
          </w:p>
          <w:p w14:paraId="7A392D7E">
            <w:pPr>
              <w:spacing w:line="360" w:lineRule="auto"/>
              <w:jc w:val="center"/>
              <w:rPr>
                <w:rFonts w:hint="eastAsia"/>
                <w:sz w:val="21"/>
                <w:szCs w:val="21"/>
              </w:rPr>
            </w:pPr>
            <w:r>
              <w:rPr>
                <w:rFonts w:hint="eastAsia"/>
                <w:sz w:val="21"/>
                <w:szCs w:val="21"/>
              </w:rPr>
              <w:t>日期</w:t>
            </w:r>
          </w:p>
        </w:tc>
        <w:tc>
          <w:tcPr>
            <w:tcW w:w="746" w:type="pct"/>
            <w:gridSpan w:val="3"/>
            <w:vAlign w:val="center"/>
          </w:tcPr>
          <w:p w14:paraId="2C5F6336">
            <w:pPr>
              <w:spacing w:line="360" w:lineRule="auto"/>
              <w:jc w:val="center"/>
              <w:rPr>
                <w:rFonts w:hint="eastAsia"/>
                <w:sz w:val="21"/>
                <w:szCs w:val="21"/>
              </w:rPr>
            </w:pPr>
            <w:r>
              <w:rPr>
                <w:rFonts w:hint="eastAsia"/>
                <w:sz w:val="21"/>
                <w:szCs w:val="21"/>
              </w:rPr>
              <w:t>在建或</w:t>
            </w:r>
          </w:p>
          <w:p w14:paraId="528EB51E">
            <w:pPr>
              <w:spacing w:line="360" w:lineRule="auto"/>
              <w:jc w:val="center"/>
              <w:rPr>
                <w:rFonts w:hint="eastAsia"/>
                <w:sz w:val="21"/>
                <w:szCs w:val="21"/>
              </w:rPr>
            </w:pPr>
            <w:r>
              <w:rPr>
                <w:rFonts w:hint="eastAsia"/>
                <w:sz w:val="21"/>
                <w:szCs w:val="21"/>
              </w:rPr>
              <w:t>已 完</w:t>
            </w:r>
          </w:p>
        </w:tc>
        <w:tc>
          <w:tcPr>
            <w:tcW w:w="1086" w:type="pct"/>
            <w:vAlign w:val="center"/>
          </w:tcPr>
          <w:p w14:paraId="6209E9B8">
            <w:pPr>
              <w:spacing w:line="360" w:lineRule="auto"/>
              <w:jc w:val="center"/>
              <w:rPr>
                <w:rFonts w:hint="eastAsia"/>
                <w:sz w:val="21"/>
                <w:szCs w:val="21"/>
              </w:rPr>
            </w:pPr>
            <w:r>
              <w:rPr>
                <w:rFonts w:hint="eastAsia"/>
                <w:sz w:val="21"/>
                <w:szCs w:val="21"/>
              </w:rPr>
              <w:t>工程质量</w:t>
            </w:r>
          </w:p>
        </w:tc>
      </w:tr>
      <w:tr w14:paraId="7B070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43" w:type="pct"/>
            <w:gridSpan w:val="2"/>
            <w:vAlign w:val="center"/>
          </w:tcPr>
          <w:p w14:paraId="05F9C994">
            <w:pPr>
              <w:spacing w:line="360" w:lineRule="auto"/>
              <w:jc w:val="center"/>
              <w:rPr>
                <w:rFonts w:hint="eastAsia"/>
                <w:sz w:val="21"/>
                <w:szCs w:val="21"/>
              </w:rPr>
            </w:pPr>
          </w:p>
        </w:tc>
        <w:tc>
          <w:tcPr>
            <w:tcW w:w="844" w:type="pct"/>
            <w:gridSpan w:val="2"/>
            <w:vAlign w:val="center"/>
          </w:tcPr>
          <w:p w14:paraId="7C94C25F">
            <w:pPr>
              <w:spacing w:line="360" w:lineRule="auto"/>
              <w:jc w:val="center"/>
              <w:rPr>
                <w:rFonts w:hint="eastAsia"/>
                <w:sz w:val="21"/>
                <w:szCs w:val="21"/>
              </w:rPr>
            </w:pPr>
          </w:p>
        </w:tc>
        <w:tc>
          <w:tcPr>
            <w:tcW w:w="794" w:type="pct"/>
            <w:gridSpan w:val="4"/>
            <w:vAlign w:val="center"/>
          </w:tcPr>
          <w:p w14:paraId="726F4B39">
            <w:pPr>
              <w:spacing w:line="360" w:lineRule="auto"/>
              <w:jc w:val="center"/>
              <w:rPr>
                <w:rFonts w:hint="eastAsia"/>
                <w:sz w:val="21"/>
                <w:szCs w:val="21"/>
              </w:rPr>
            </w:pPr>
          </w:p>
        </w:tc>
        <w:tc>
          <w:tcPr>
            <w:tcW w:w="783" w:type="pct"/>
            <w:gridSpan w:val="2"/>
            <w:vAlign w:val="center"/>
          </w:tcPr>
          <w:p w14:paraId="2A4335F5">
            <w:pPr>
              <w:spacing w:line="360" w:lineRule="auto"/>
              <w:jc w:val="center"/>
              <w:rPr>
                <w:rFonts w:hint="eastAsia"/>
                <w:sz w:val="21"/>
                <w:szCs w:val="21"/>
              </w:rPr>
            </w:pPr>
          </w:p>
        </w:tc>
        <w:tc>
          <w:tcPr>
            <w:tcW w:w="746" w:type="pct"/>
            <w:gridSpan w:val="3"/>
            <w:vAlign w:val="center"/>
          </w:tcPr>
          <w:p w14:paraId="50FDF648">
            <w:pPr>
              <w:spacing w:line="360" w:lineRule="auto"/>
              <w:jc w:val="center"/>
              <w:rPr>
                <w:rFonts w:hint="eastAsia"/>
                <w:sz w:val="21"/>
                <w:szCs w:val="21"/>
              </w:rPr>
            </w:pPr>
          </w:p>
        </w:tc>
        <w:tc>
          <w:tcPr>
            <w:tcW w:w="1086" w:type="pct"/>
            <w:vAlign w:val="center"/>
          </w:tcPr>
          <w:p w14:paraId="009F32E6">
            <w:pPr>
              <w:spacing w:line="360" w:lineRule="auto"/>
              <w:jc w:val="center"/>
              <w:rPr>
                <w:rFonts w:hint="eastAsia"/>
                <w:sz w:val="21"/>
                <w:szCs w:val="21"/>
              </w:rPr>
            </w:pPr>
          </w:p>
        </w:tc>
      </w:tr>
      <w:tr w14:paraId="60C03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43" w:type="pct"/>
            <w:gridSpan w:val="2"/>
            <w:vAlign w:val="center"/>
          </w:tcPr>
          <w:p w14:paraId="1518B1F6">
            <w:pPr>
              <w:spacing w:line="360" w:lineRule="auto"/>
              <w:jc w:val="center"/>
              <w:rPr>
                <w:rFonts w:hint="eastAsia"/>
                <w:sz w:val="21"/>
                <w:szCs w:val="21"/>
              </w:rPr>
            </w:pPr>
          </w:p>
        </w:tc>
        <w:tc>
          <w:tcPr>
            <w:tcW w:w="844" w:type="pct"/>
            <w:gridSpan w:val="2"/>
            <w:vAlign w:val="center"/>
          </w:tcPr>
          <w:p w14:paraId="3F865144">
            <w:pPr>
              <w:spacing w:line="360" w:lineRule="auto"/>
              <w:jc w:val="center"/>
              <w:rPr>
                <w:rFonts w:hint="eastAsia"/>
                <w:sz w:val="21"/>
                <w:szCs w:val="21"/>
              </w:rPr>
            </w:pPr>
          </w:p>
        </w:tc>
        <w:tc>
          <w:tcPr>
            <w:tcW w:w="794" w:type="pct"/>
            <w:gridSpan w:val="4"/>
            <w:vAlign w:val="center"/>
          </w:tcPr>
          <w:p w14:paraId="3B4F8B1C">
            <w:pPr>
              <w:spacing w:line="360" w:lineRule="auto"/>
              <w:jc w:val="center"/>
              <w:rPr>
                <w:rFonts w:hint="eastAsia"/>
                <w:sz w:val="21"/>
                <w:szCs w:val="21"/>
              </w:rPr>
            </w:pPr>
          </w:p>
        </w:tc>
        <w:tc>
          <w:tcPr>
            <w:tcW w:w="783" w:type="pct"/>
            <w:gridSpan w:val="2"/>
            <w:vAlign w:val="center"/>
          </w:tcPr>
          <w:p w14:paraId="421A14B2">
            <w:pPr>
              <w:spacing w:line="360" w:lineRule="auto"/>
              <w:jc w:val="center"/>
              <w:rPr>
                <w:rFonts w:hint="eastAsia"/>
                <w:sz w:val="21"/>
                <w:szCs w:val="21"/>
              </w:rPr>
            </w:pPr>
          </w:p>
        </w:tc>
        <w:tc>
          <w:tcPr>
            <w:tcW w:w="746" w:type="pct"/>
            <w:gridSpan w:val="3"/>
            <w:vAlign w:val="center"/>
          </w:tcPr>
          <w:p w14:paraId="1A988A91">
            <w:pPr>
              <w:spacing w:line="360" w:lineRule="auto"/>
              <w:jc w:val="center"/>
              <w:rPr>
                <w:rFonts w:hint="eastAsia"/>
                <w:sz w:val="21"/>
                <w:szCs w:val="21"/>
              </w:rPr>
            </w:pPr>
          </w:p>
        </w:tc>
        <w:tc>
          <w:tcPr>
            <w:tcW w:w="1086" w:type="pct"/>
            <w:vAlign w:val="center"/>
          </w:tcPr>
          <w:p w14:paraId="6E94C58C">
            <w:pPr>
              <w:spacing w:line="360" w:lineRule="auto"/>
              <w:jc w:val="center"/>
              <w:rPr>
                <w:rFonts w:hint="eastAsia"/>
                <w:sz w:val="21"/>
                <w:szCs w:val="21"/>
              </w:rPr>
            </w:pPr>
          </w:p>
        </w:tc>
      </w:tr>
      <w:tr w14:paraId="09BF0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43" w:type="pct"/>
            <w:gridSpan w:val="2"/>
            <w:vAlign w:val="center"/>
          </w:tcPr>
          <w:p w14:paraId="7D73EECF">
            <w:pPr>
              <w:spacing w:line="360" w:lineRule="auto"/>
              <w:jc w:val="center"/>
              <w:rPr>
                <w:rFonts w:hint="eastAsia"/>
                <w:sz w:val="21"/>
                <w:szCs w:val="21"/>
              </w:rPr>
            </w:pPr>
          </w:p>
        </w:tc>
        <w:tc>
          <w:tcPr>
            <w:tcW w:w="844" w:type="pct"/>
            <w:gridSpan w:val="2"/>
            <w:vAlign w:val="center"/>
          </w:tcPr>
          <w:p w14:paraId="58DB1203">
            <w:pPr>
              <w:spacing w:line="360" w:lineRule="auto"/>
              <w:jc w:val="center"/>
              <w:rPr>
                <w:rFonts w:hint="eastAsia"/>
                <w:sz w:val="21"/>
                <w:szCs w:val="21"/>
              </w:rPr>
            </w:pPr>
          </w:p>
        </w:tc>
        <w:tc>
          <w:tcPr>
            <w:tcW w:w="794" w:type="pct"/>
            <w:gridSpan w:val="4"/>
            <w:vAlign w:val="center"/>
          </w:tcPr>
          <w:p w14:paraId="32DACC12">
            <w:pPr>
              <w:spacing w:line="360" w:lineRule="auto"/>
              <w:jc w:val="center"/>
              <w:rPr>
                <w:rFonts w:hint="eastAsia"/>
                <w:sz w:val="21"/>
                <w:szCs w:val="21"/>
              </w:rPr>
            </w:pPr>
          </w:p>
        </w:tc>
        <w:tc>
          <w:tcPr>
            <w:tcW w:w="783" w:type="pct"/>
            <w:gridSpan w:val="2"/>
            <w:vAlign w:val="center"/>
          </w:tcPr>
          <w:p w14:paraId="7A6700D3">
            <w:pPr>
              <w:spacing w:line="360" w:lineRule="auto"/>
              <w:jc w:val="center"/>
              <w:rPr>
                <w:rFonts w:hint="eastAsia"/>
                <w:sz w:val="21"/>
                <w:szCs w:val="21"/>
              </w:rPr>
            </w:pPr>
          </w:p>
        </w:tc>
        <w:tc>
          <w:tcPr>
            <w:tcW w:w="746" w:type="pct"/>
            <w:gridSpan w:val="3"/>
            <w:vAlign w:val="center"/>
          </w:tcPr>
          <w:p w14:paraId="19057C1F">
            <w:pPr>
              <w:spacing w:line="360" w:lineRule="auto"/>
              <w:jc w:val="center"/>
              <w:rPr>
                <w:rFonts w:hint="eastAsia"/>
                <w:sz w:val="21"/>
                <w:szCs w:val="21"/>
              </w:rPr>
            </w:pPr>
          </w:p>
        </w:tc>
        <w:tc>
          <w:tcPr>
            <w:tcW w:w="1086" w:type="pct"/>
            <w:vAlign w:val="center"/>
          </w:tcPr>
          <w:p w14:paraId="5BECF829">
            <w:pPr>
              <w:spacing w:line="360" w:lineRule="auto"/>
              <w:jc w:val="center"/>
              <w:rPr>
                <w:rFonts w:hint="eastAsia"/>
                <w:sz w:val="21"/>
                <w:szCs w:val="21"/>
              </w:rPr>
            </w:pPr>
          </w:p>
        </w:tc>
      </w:tr>
      <w:tr w14:paraId="6A764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43" w:type="pct"/>
            <w:gridSpan w:val="2"/>
            <w:vAlign w:val="center"/>
          </w:tcPr>
          <w:p w14:paraId="5FB1DFF9">
            <w:pPr>
              <w:spacing w:line="360" w:lineRule="auto"/>
              <w:jc w:val="center"/>
              <w:rPr>
                <w:rFonts w:hint="eastAsia"/>
                <w:sz w:val="21"/>
                <w:szCs w:val="21"/>
              </w:rPr>
            </w:pPr>
          </w:p>
        </w:tc>
        <w:tc>
          <w:tcPr>
            <w:tcW w:w="844" w:type="pct"/>
            <w:gridSpan w:val="2"/>
            <w:vAlign w:val="center"/>
          </w:tcPr>
          <w:p w14:paraId="1E339063">
            <w:pPr>
              <w:spacing w:line="360" w:lineRule="auto"/>
              <w:jc w:val="center"/>
              <w:rPr>
                <w:rFonts w:hint="eastAsia"/>
                <w:sz w:val="21"/>
                <w:szCs w:val="21"/>
              </w:rPr>
            </w:pPr>
          </w:p>
        </w:tc>
        <w:tc>
          <w:tcPr>
            <w:tcW w:w="794" w:type="pct"/>
            <w:gridSpan w:val="4"/>
            <w:vAlign w:val="center"/>
          </w:tcPr>
          <w:p w14:paraId="059C77AA">
            <w:pPr>
              <w:spacing w:line="360" w:lineRule="auto"/>
              <w:jc w:val="center"/>
              <w:rPr>
                <w:rFonts w:hint="eastAsia"/>
                <w:sz w:val="21"/>
                <w:szCs w:val="21"/>
              </w:rPr>
            </w:pPr>
          </w:p>
        </w:tc>
        <w:tc>
          <w:tcPr>
            <w:tcW w:w="783" w:type="pct"/>
            <w:gridSpan w:val="2"/>
            <w:vAlign w:val="center"/>
          </w:tcPr>
          <w:p w14:paraId="40DAB3FC">
            <w:pPr>
              <w:spacing w:line="360" w:lineRule="auto"/>
              <w:jc w:val="center"/>
              <w:rPr>
                <w:rFonts w:hint="eastAsia"/>
                <w:sz w:val="21"/>
                <w:szCs w:val="21"/>
              </w:rPr>
            </w:pPr>
          </w:p>
        </w:tc>
        <w:tc>
          <w:tcPr>
            <w:tcW w:w="746" w:type="pct"/>
            <w:gridSpan w:val="3"/>
            <w:vAlign w:val="center"/>
          </w:tcPr>
          <w:p w14:paraId="70A64F09">
            <w:pPr>
              <w:spacing w:line="360" w:lineRule="auto"/>
              <w:jc w:val="center"/>
              <w:rPr>
                <w:rFonts w:hint="eastAsia"/>
                <w:sz w:val="21"/>
                <w:szCs w:val="21"/>
              </w:rPr>
            </w:pPr>
          </w:p>
        </w:tc>
        <w:tc>
          <w:tcPr>
            <w:tcW w:w="1086" w:type="pct"/>
            <w:vAlign w:val="center"/>
          </w:tcPr>
          <w:p w14:paraId="10BFD57C">
            <w:pPr>
              <w:spacing w:line="360" w:lineRule="auto"/>
              <w:jc w:val="center"/>
              <w:rPr>
                <w:rFonts w:hint="eastAsia"/>
                <w:sz w:val="21"/>
                <w:szCs w:val="21"/>
              </w:rPr>
            </w:pPr>
          </w:p>
        </w:tc>
      </w:tr>
      <w:tr w14:paraId="74F41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43" w:type="pct"/>
            <w:gridSpan w:val="2"/>
            <w:vAlign w:val="center"/>
          </w:tcPr>
          <w:p w14:paraId="608EA538">
            <w:pPr>
              <w:spacing w:line="360" w:lineRule="auto"/>
              <w:jc w:val="center"/>
              <w:rPr>
                <w:rFonts w:hint="eastAsia"/>
                <w:sz w:val="21"/>
                <w:szCs w:val="21"/>
              </w:rPr>
            </w:pPr>
          </w:p>
        </w:tc>
        <w:tc>
          <w:tcPr>
            <w:tcW w:w="844" w:type="pct"/>
            <w:gridSpan w:val="2"/>
            <w:vAlign w:val="center"/>
          </w:tcPr>
          <w:p w14:paraId="16C4CDE2">
            <w:pPr>
              <w:spacing w:line="360" w:lineRule="auto"/>
              <w:jc w:val="center"/>
              <w:rPr>
                <w:rFonts w:hint="eastAsia"/>
                <w:sz w:val="21"/>
                <w:szCs w:val="21"/>
              </w:rPr>
            </w:pPr>
          </w:p>
        </w:tc>
        <w:tc>
          <w:tcPr>
            <w:tcW w:w="794" w:type="pct"/>
            <w:gridSpan w:val="4"/>
            <w:vAlign w:val="center"/>
          </w:tcPr>
          <w:p w14:paraId="31F25D31">
            <w:pPr>
              <w:spacing w:line="360" w:lineRule="auto"/>
              <w:jc w:val="center"/>
              <w:rPr>
                <w:rFonts w:hint="eastAsia"/>
                <w:sz w:val="21"/>
                <w:szCs w:val="21"/>
              </w:rPr>
            </w:pPr>
          </w:p>
        </w:tc>
        <w:tc>
          <w:tcPr>
            <w:tcW w:w="783" w:type="pct"/>
            <w:gridSpan w:val="2"/>
            <w:vAlign w:val="center"/>
          </w:tcPr>
          <w:p w14:paraId="1EE7C19A">
            <w:pPr>
              <w:spacing w:line="360" w:lineRule="auto"/>
              <w:jc w:val="center"/>
              <w:rPr>
                <w:rFonts w:hint="eastAsia"/>
                <w:sz w:val="21"/>
                <w:szCs w:val="21"/>
              </w:rPr>
            </w:pPr>
          </w:p>
        </w:tc>
        <w:tc>
          <w:tcPr>
            <w:tcW w:w="746" w:type="pct"/>
            <w:gridSpan w:val="3"/>
            <w:vAlign w:val="center"/>
          </w:tcPr>
          <w:p w14:paraId="5A515AEB">
            <w:pPr>
              <w:spacing w:line="360" w:lineRule="auto"/>
              <w:jc w:val="center"/>
              <w:rPr>
                <w:rFonts w:hint="eastAsia"/>
                <w:sz w:val="21"/>
                <w:szCs w:val="21"/>
              </w:rPr>
            </w:pPr>
          </w:p>
        </w:tc>
        <w:tc>
          <w:tcPr>
            <w:tcW w:w="1086" w:type="pct"/>
            <w:vAlign w:val="center"/>
          </w:tcPr>
          <w:p w14:paraId="49AF20AA">
            <w:pPr>
              <w:spacing w:line="360" w:lineRule="auto"/>
              <w:jc w:val="center"/>
              <w:rPr>
                <w:rFonts w:hint="eastAsia"/>
                <w:sz w:val="21"/>
                <w:szCs w:val="21"/>
              </w:rPr>
            </w:pPr>
          </w:p>
        </w:tc>
      </w:tr>
      <w:tr w14:paraId="20C16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43" w:type="pct"/>
            <w:gridSpan w:val="2"/>
            <w:vAlign w:val="center"/>
          </w:tcPr>
          <w:p w14:paraId="0E5F73C6">
            <w:pPr>
              <w:spacing w:line="360" w:lineRule="auto"/>
              <w:jc w:val="center"/>
              <w:rPr>
                <w:rFonts w:hint="eastAsia"/>
                <w:sz w:val="21"/>
                <w:szCs w:val="21"/>
              </w:rPr>
            </w:pPr>
          </w:p>
        </w:tc>
        <w:tc>
          <w:tcPr>
            <w:tcW w:w="844" w:type="pct"/>
            <w:gridSpan w:val="2"/>
            <w:vAlign w:val="center"/>
          </w:tcPr>
          <w:p w14:paraId="06B451DC">
            <w:pPr>
              <w:spacing w:line="360" w:lineRule="auto"/>
              <w:jc w:val="center"/>
              <w:rPr>
                <w:rFonts w:hint="eastAsia"/>
                <w:sz w:val="21"/>
                <w:szCs w:val="21"/>
              </w:rPr>
            </w:pPr>
          </w:p>
        </w:tc>
        <w:tc>
          <w:tcPr>
            <w:tcW w:w="794" w:type="pct"/>
            <w:gridSpan w:val="4"/>
            <w:vAlign w:val="center"/>
          </w:tcPr>
          <w:p w14:paraId="0D6CDEAD">
            <w:pPr>
              <w:spacing w:line="360" w:lineRule="auto"/>
              <w:jc w:val="center"/>
              <w:rPr>
                <w:rFonts w:hint="eastAsia"/>
                <w:sz w:val="21"/>
                <w:szCs w:val="21"/>
              </w:rPr>
            </w:pPr>
          </w:p>
        </w:tc>
        <w:tc>
          <w:tcPr>
            <w:tcW w:w="783" w:type="pct"/>
            <w:gridSpan w:val="2"/>
            <w:vAlign w:val="center"/>
          </w:tcPr>
          <w:p w14:paraId="68CE3E3E">
            <w:pPr>
              <w:spacing w:line="360" w:lineRule="auto"/>
              <w:jc w:val="center"/>
              <w:rPr>
                <w:rFonts w:hint="eastAsia"/>
                <w:sz w:val="21"/>
                <w:szCs w:val="21"/>
              </w:rPr>
            </w:pPr>
          </w:p>
        </w:tc>
        <w:tc>
          <w:tcPr>
            <w:tcW w:w="746" w:type="pct"/>
            <w:gridSpan w:val="3"/>
            <w:vAlign w:val="center"/>
          </w:tcPr>
          <w:p w14:paraId="78D77630">
            <w:pPr>
              <w:spacing w:line="360" w:lineRule="auto"/>
              <w:jc w:val="center"/>
              <w:rPr>
                <w:rFonts w:hint="eastAsia"/>
                <w:sz w:val="21"/>
                <w:szCs w:val="21"/>
              </w:rPr>
            </w:pPr>
          </w:p>
        </w:tc>
        <w:tc>
          <w:tcPr>
            <w:tcW w:w="1086" w:type="pct"/>
            <w:vAlign w:val="center"/>
          </w:tcPr>
          <w:p w14:paraId="3E26B334">
            <w:pPr>
              <w:spacing w:line="360" w:lineRule="auto"/>
              <w:jc w:val="center"/>
              <w:rPr>
                <w:rFonts w:hint="eastAsia"/>
                <w:sz w:val="21"/>
                <w:szCs w:val="21"/>
              </w:rPr>
            </w:pPr>
          </w:p>
        </w:tc>
      </w:tr>
      <w:tr w14:paraId="2139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43" w:type="pct"/>
            <w:gridSpan w:val="2"/>
            <w:vAlign w:val="center"/>
          </w:tcPr>
          <w:p w14:paraId="6376C7EC">
            <w:pPr>
              <w:spacing w:line="360" w:lineRule="auto"/>
              <w:jc w:val="center"/>
              <w:rPr>
                <w:rFonts w:hint="eastAsia"/>
                <w:sz w:val="21"/>
                <w:szCs w:val="21"/>
              </w:rPr>
            </w:pPr>
          </w:p>
        </w:tc>
        <w:tc>
          <w:tcPr>
            <w:tcW w:w="844" w:type="pct"/>
            <w:gridSpan w:val="2"/>
            <w:vAlign w:val="center"/>
          </w:tcPr>
          <w:p w14:paraId="6A8BAB5F">
            <w:pPr>
              <w:spacing w:line="360" w:lineRule="auto"/>
              <w:jc w:val="center"/>
              <w:rPr>
                <w:rFonts w:hint="eastAsia"/>
                <w:sz w:val="21"/>
                <w:szCs w:val="21"/>
              </w:rPr>
            </w:pPr>
          </w:p>
        </w:tc>
        <w:tc>
          <w:tcPr>
            <w:tcW w:w="794" w:type="pct"/>
            <w:gridSpan w:val="4"/>
            <w:vAlign w:val="center"/>
          </w:tcPr>
          <w:p w14:paraId="1A4C4CB6">
            <w:pPr>
              <w:spacing w:line="360" w:lineRule="auto"/>
              <w:jc w:val="center"/>
              <w:rPr>
                <w:rFonts w:hint="eastAsia"/>
                <w:sz w:val="21"/>
                <w:szCs w:val="21"/>
              </w:rPr>
            </w:pPr>
          </w:p>
        </w:tc>
        <w:tc>
          <w:tcPr>
            <w:tcW w:w="783" w:type="pct"/>
            <w:gridSpan w:val="2"/>
            <w:vAlign w:val="center"/>
          </w:tcPr>
          <w:p w14:paraId="7F5F7B90">
            <w:pPr>
              <w:spacing w:line="360" w:lineRule="auto"/>
              <w:jc w:val="center"/>
              <w:rPr>
                <w:rFonts w:hint="eastAsia"/>
                <w:sz w:val="21"/>
                <w:szCs w:val="21"/>
              </w:rPr>
            </w:pPr>
          </w:p>
        </w:tc>
        <w:tc>
          <w:tcPr>
            <w:tcW w:w="746" w:type="pct"/>
            <w:gridSpan w:val="3"/>
            <w:vAlign w:val="center"/>
          </w:tcPr>
          <w:p w14:paraId="00189E16">
            <w:pPr>
              <w:spacing w:line="360" w:lineRule="auto"/>
              <w:jc w:val="center"/>
              <w:rPr>
                <w:rFonts w:hint="eastAsia"/>
                <w:sz w:val="21"/>
                <w:szCs w:val="21"/>
              </w:rPr>
            </w:pPr>
          </w:p>
        </w:tc>
        <w:tc>
          <w:tcPr>
            <w:tcW w:w="1086" w:type="pct"/>
            <w:vAlign w:val="center"/>
          </w:tcPr>
          <w:p w14:paraId="7A4ED39D">
            <w:pPr>
              <w:spacing w:line="360" w:lineRule="auto"/>
              <w:jc w:val="center"/>
              <w:rPr>
                <w:rFonts w:hint="eastAsia"/>
                <w:sz w:val="21"/>
                <w:szCs w:val="21"/>
              </w:rPr>
            </w:pPr>
          </w:p>
        </w:tc>
      </w:tr>
      <w:tr w14:paraId="5955F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43" w:type="pct"/>
            <w:gridSpan w:val="2"/>
            <w:vAlign w:val="center"/>
          </w:tcPr>
          <w:p w14:paraId="2496B158">
            <w:pPr>
              <w:spacing w:line="360" w:lineRule="auto"/>
              <w:jc w:val="center"/>
              <w:rPr>
                <w:rFonts w:hint="eastAsia"/>
                <w:sz w:val="21"/>
                <w:szCs w:val="21"/>
              </w:rPr>
            </w:pPr>
          </w:p>
        </w:tc>
        <w:tc>
          <w:tcPr>
            <w:tcW w:w="844" w:type="pct"/>
            <w:gridSpan w:val="2"/>
            <w:vAlign w:val="center"/>
          </w:tcPr>
          <w:p w14:paraId="52A65B14">
            <w:pPr>
              <w:spacing w:line="360" w:lineRule="auto"/>
              <w:jc w:val="center"/>
              <w:rPr>
                <w:rFonts w:hint="eastAsia"/>
                <w:sz w:val="21"/>
                <w:szCs w:val="21"/>
              </w:rPr>
            </w:pPr>
          </w:p>
        </w:tc>
        <w:tc>
          <w:tcPr>
            <w:tcW w:w="794" w:type="pct"/>
            <w:gridSpan w:val="4"/>
            <w:vAlign w:val="center"/>
          </w:tcPr>
          <w:p w14:paraId="5D7E2D3B">
            <w:pPr>
              <w:spacing w:line="360" w:lineRule="auto"/>
              <w:jc w:val="center"/>
              <w:rPr>
                <w:rFonts w:hint="eastAsia"/>
                <w:sz w:val="21"/>
                <w:szCs w:val="21"/>
              </w:rPr>
            </w:pPr>
          </w:p>
        </w:tc>
        <w:tc>
          <w:tcPr>
            <w:tcW w:w="783" w:type="pct"/>
            <w:gridSpan w:val="2"/>
            <w:vAlign w:val="center"/>
          </w:tcPr>
          <w:p w14:paraId="290719E7">
            <w:pPr>
              <w:spacing w:line="360" w:lineRule="auto"/>
              <w:jc w:val="center"/>
              <w:rPr>
                <w:rFonts w:hint="eastAsia"/>
                <w:sz w:val="21"/>
                <w:szCs w:val="21"/>
              </w:rPr>
            </w:pPr>
          </w:p>
        </w:tc>
        <w:tc>
          <w:tcPr>
            <w:tcW w:w="746" w:type="pct"/>
            <w:gridSpan w:val="3"/>
            <w:vAlign w:val="center"/>
          </w:tcPr>
          <w:p w14:paraId="7D114526">
            <w:pPr>
              <w:spacing w:line="360" w:lineRule="auto"/>
              <w:jc w:val="center"/>
              <w:rPr>
                <w:rFonts w:hint="eastAsia"/>
                <w:sz w:val="21"/>
                <w:szCs w:val="21"/>
              </w:rPr>
            </w:pPr>
          </w:p>
        </w:tc>
        <w:tc>
          <w:tcPr>
            <w:tcW w:w="1086" w:type="pct"/>
            <w:vAlign w:val="center"/>
          </w:tcPr>
          <w:p w14:paraId="0F55D1BF">
            <w:pPr>
              <w:spacing w:line="360" w:lineRule="auto"/>
              <w:jc w:val="center"/>
              <w:rPr>
                <w:rFonts w:hint="eastAsia"/>
                <w:sz w:val="21"/>
                <w:szCs w:val="21"/>
              </w:rPr>
            </w:pPr>
          </w:p>
        </w:tc>
      </w:tr>
      <w:tr w14:paraId="71D8E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43" w:type="pct"/>
            <w:gridSpan w:val="2"/>
            <w:vAlign w:val="center"/>
          </w:tcPr>
          <w:p w14:paraId="25BF8D57">
            <w:pPr>
              <w:spacing w:line="360" w:lineRule="auto"/>
              <w:jc w:val="center"/>
              <w:rPr>
                <w:rFonts w:hint="eastAsia"/>
                <w:sz w:val="21"/>
                <w:szCs w:val="21"/>
              </w:rPr>
            </w:pPr>
          </w:p>
        </w:tc>
        <w:tc>
          <w:tcPr>
            <w:tcW w:w="844" w:type="pct"/>
            <w:gridSpan w:val="2"/>
            <w:vAlign w:val="center"/>
          </w:tcPr>
          <w:p w14:paraId="2D2ED760">
            <w:pPr>
              <w:spacing w:line="360" w:lineRule="auto"/>
              <w:jc w:val="center"/>
              <w:rPr>
                <w:rFonts w:hint="eastAsia"/>
                <w:sz w:val="21"/>
                <w:szCs w:val="21"/>
              </w:rPr>
            </w:pPr>
          </w:p>
        </w:tc>
        <w:tc>
          <w:tcPr>
            <w:tcW w:w="794" w:type="pct"/>
            <w:gridSpan w:val="4"/>
            <w:vAlign w:val="center"/>
          </w:tcPr>
          <w:p w14:paraId="764DAA2B">
            <w:pPr>
              <w:spacing w:line="360" w:lineRule="auto"/>
              <w:jc w:val="center"/>
              <w:rPr>
                <w:rFonts w:hint="eastAsia"/>
                <w:sz w:val="21"/>
                <w:szCs w:val="21"/>
              </w:rPr>
            </w:pPr>
          </w:p>
        </w:tc>
        <w:tc>
          <w:tcPr>
            <w:tcW w:w="783" w:type="pct"/>
            <w:gridSpan w:val="2"/>
            <w:vAlign w:val="center"/>
          </w:tcPr>
          <w:p w14:paraId="2E7B1B0B">
            <w:pPr>
              <w:spacing w:line="360" w:lineRule="auto"/>
              <w:jc w:val="center"/>
              <w:rPr>
                <w:rFonts w:hint="eastAsia"/>
                <w:sz w:val="21"/>
                <w:szCs w:val="21"/>
              </w:rPr>
            </w:pPr>
          </w:p>
        </w:tc>
        <w:tc>
          <w:tcPr>
            <w:tcW w:w="746" w:type="pct"/>
            <w:gridSpan w:val="3"/>
            <w:vAlign w:val="center"/>
          </w:tcPr>
          <w:p w14:paraId="7B1620FF">
            <w:pPr>
              <w:spacing w:line="360" w:lineRule="auto"/>
              <w:jc w:val="center"/>
              <w:rPr>
                <w:rFonts w:hint="eastAsia"/>
                <w:sz w:val="21"/>
                <w:szCs w:val="21"/>
              </w:rPr>
            </w:pPr>
          </w:p>
        </w:tc>
        <w:tc>
          <w:tcPr>
            <w:tcW w:w="1086" w:type="pct"/>
            <w:vAlign w:val="center"/>
          </w:tcPr>
          <w:p w14:paraId="583EC670">
            <w:pPr>
              <w:spacing w:line="360" w:lineRule="auto"/>
              <w:jc w:val="center"/>
              <w:rPr>
                <w:rFonts w:hint="eastAsia"/>
                <w:sz w:val="21"/>
                <w:szCs w:val="21"/>
              </w:rPr>
            </w:pPr>
          </w:p>
        </w:tc>
      </w:tr>
    </w:tbl>
    <w:p w14:paraId="3CD5A903">
      <w:pPr>
        <w:spacing w:line="360" w:lineRule="auto"/>
        <w:rPr>
          <w:rFonts w:hint="eastAsia"/>
          <w:sz w:val="21"/>
          <w:szCs w:val="21"/>
        </w:rPr>
      </w:pPr>
      <w:r>
        <w:rPr>
          <w:rFonts w:hint="eastAsia"/>
          <w:sz w:val="21"/>
          <w:szCs w:val="21"/>
        </w:rPr>
        <w:t>投标人（加盖公章）：</w:t>
      </w:r>
      <w:r>
        <w:rPr>
          <w:rFonts w:hint="eastAsia"/>
          <w:sz w:val="21"/>
          <w:szCs w:val="21"/>
          <w:u w:val="single"/>
        </w:rPr>
        <w:t xml:space="preserve">                             </w:t>
      </w:r>
    </w:p>
    <w:p w14:paraId="208AA7DB">
      <w:pPr>
        <w:spacing w:line="360" w:lineRule="auto"/>
        <w:rPr>
          <w:rFonts w:ascii="Times New Roman" w:hAnsi="Times New Roman" w:cs="Times New Roman"/>
          <w:sz w:val="21"/>
          <w:szCs w:val="21"/>
        </w:rPr>
      </w:pPr>
      <w:r>
        <w:rPr>
          <w:rFonts w:ascii="Times New Roman" w:hAnsi="Times New Roman" w:cs="Times New Roman"/>
          <w:sz w:val="21"/>
          <w:szCs w:val="21"/>
        </w:rPr>
        <w:t>日期：       年      月      日</w:t>
      </w:r>
    </w:p>
    <w:p w14:paraId="576A4B6D">
      <w:pPr>
        <w:rPr>
          <w:rFonts w:hint="eastAsia"/>
          <w:sz w:val="21"/>
          <w:szCs w:val="21"/>
        </w:rPr>
      </w:pPr>
      <w:r>
        <w:rPr>
          <w:rFonts w:hint="eastAsia"/>
          <w:sz w:val="21"/>
          <w:szCs w:val="21"/>
        </w:rPr>
        <w:br w:type="page"/>
      </w:r>
    </w:p>
    <w:p w14:paraId="1FB56132">
      <w:pPr>
        <w:rPr>
          <w:rFonts w:hint="eastAsia"/>
          <w:sz w:val="21"/>
          <w:szCs w:val="21"/>
        </w:rPr>
      </w:pPr>
      <w:r>
        <w:rPr>
          <w:rFonts w:hint="eastAsia"/>
          <w:sz w:val="21"/>
          <w:szCs w:val="21"/>
        </w:rPr>
        <w:t>附表四：</w:t>
      </w:r>
    </w:p>
    <w:p w14:paraId="665433A4">
      <w:pPr>
        <w:rPr>
          <w:rFonts w:hint="eastAsia"/>
          <w:sz w:val="21"/>
          <w:szCs w:val="21"/>
        </w:rPr>
      </w:pPr>
    </w:p>
    <w:p w14:paraId="5D44E5E1">
      <w:pPr>
        <w:jc w:val="center"/>
        <w:rPr>
          <w:rFonts w:hint="eastAsia"/>
          <w:b/>
          <w:sz w:val="21"/>
          <w:szCs w:val="21"/>
        </w:rPr>
      </w:pPr>
      <w:r>
        <w:rPr>
          <w:rFonts w:hint="eastAsia"/>
          <w:b/>
          <w:sz w:val="21"/>
          <w:szCs w:val="21"/>
        </w:rPr>
        <w:t>主要设备材料品牌报价表</w:t>
      </w:r>
    </w:p>
    <w:p w14:paraId="09B2DDD3">
      <w:pPr>
        <w:rPr>
          <w:rFonts w:hint="eastAsia"/>
          <w:b/>
          <w:sz w:val="21"/>
          <w:szCs w:val="21"/>
        </w:rPr>
      </w:pPr>
    </w:p>
    <w:tbl>
      <w:tblPr>
        <w:tblStyle w:val="50"/>
        <w:tblW w:w="488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98"/>
        <w:gridCol w:w="1701"/>
        <w:gridCol w:w="837"/>
        <w:gridCol w:w="1304"/>
        <w:gridCol w:w="1515"/>
        <w:gridCol w:w="1018"/>
        <w:gridCol w:w="971"/>
        <w:gridCol w:w="1556"/>
      </w:tblGrid>
      <w:tr w14:paraId="38876E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55" w:hRule="atLeast"/>
        </w:trPr>
        <w:tc>
          <w:tcPr>
            <w:tcW w:w="600" w:type="dxa"/>
            <w:tcBorders>
              <w:top w:val="single" w:color="auto" w:sz="12" w:space="0"/>
              <w:left w:val="single" w:color="auto" w:sz="12" w:space="0"/>
              <w:bottom w:val="single" w:color="auto" w:sz="4" w:space="0"/>
              <w:right w:val="single" w:color="auto" w:sz="4" w:space="0"/>
            </w:tcBorders>
            <w:vAlign w:val="center"/>
          </w:tcPr>
          <w:p w14:paraId="5C0334D3">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序号</w:t>
            </w:r>
          </w:p>
        </w:tc>
        <w:tc>
          <w:tcPr>
            <w:tcW w:w="1707" w:type="dxa"/>
            <w:tcBorders>
              <w:top w:val="single" w:color="auto" w:sz="12" w:space="0"/>
              <w:left w:val="single" w:color="auto" w:sz="4" w:space="0"/>
              <w:bottom w:val="single" w:color="auto" w:sz="4" w:space="0"/>
              <w:right w:val="single" w:color="auto" w:sz="4" w:space="0"/>
            </w:tcBorders>
            <w:vAlign w:val="center"/>
          </w:tcPr>
          <w:p w14:paraId="020E7705">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材料设备名称</w:t>
            </w:r>
          </w:p>
        </w:tc>
        <w:tc>
          <w:tcPr>
            <w:tcW w:w="839" w:type="dxa"/>
            <w:tcBorders>
              <w:top w:val="single" w:color="auto" w:sz="12" w:space="0"/>
              <w:left w:val="single" w:color="auto" w:sz="4" w:space="0"/>
              <w:bottom w:val="single" w:color="auto" w:sz="4" w:space="0"/>
              <w:right w:val="single" w:color="auto" w:sz="4" w:space="0"/>
            </w:tcBorders>
            <w:vAlign w:val="center"/>
          </w:tcPr>
          <w:p w14:paraId="7FF8B1A9">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品牌</w:t>
            </w:r>
          </w:p>
        </w:tc>
        <w:tc>
          <w:tcPr>
            <w:tcW w:w="1308" w:type="dxa"/>
            <w:tcBorders>
              <w:top w:val="single" w:color="auto" w:sz="12" w:space="0"/>
              <w:left w:val="single" w:color="auto" w:sz="4" w:space="0"/>
              <w:bottom w:val="single" w:color="auto" w:sz="4" w:space="0"/>
              <w:right w:val="single" w:color="auto" w:sz="4" w:space="0"/>
            </w:tcBorders>
            <w:vAlign w:val="center"/>
          </w:tcPr>
          <w:p w14:paraId="02C49F1B">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型号规格</w:t>
            </w:r>
          </w:p>
        </w:tc>
        <w:tc>
          <w:tcPr>
            <w:tcW w:w="1520" w:type="dxa"/>
            <w:tcBorders>
              <w:top w:val="single" w:color="auto" w:sz="12" w:space="0"/>
              <w:left w:val="single" w:color="auto" w:sz="4" w:space="0"/>
              <w:bottom w:val="single" w:color="auto" w:sz="4" w:space="0"/>
              <w:right w:val="single" w:color="auto" w:sz="4" w:space="0"/>
            </w:tcBorders>
            <w:vAlign w:val="center"/>
          </w:tcPr>
          <w:p w14:paraId="61E0CC7D">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制造商</w:t>
            </w:r>
          </w:p>
        </w:tc>
        <w:tc>
          <w:tcPr>
            <w:tcW w:w="1021" w:type="dxa"/>
            <w:tcBorders>
              <w:top w:val="single" w:color="auto" w:sz="12" w:space="0"/>
              <w:left w:val="single" w:color="auto" w:sz="4" w:space="0"/>
              <w:bottom w:val="single" w:color="auto" w:sz="4" w:space="0"/>
              <w:right w:val="single" w:color="auto" w:sz="4" w:space="0"/>
            </w:tcBorders>
            <w:vAlign w:val="center"/>
          </w:tcPr>
          <w:p w14:paraId="0811B5F9">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单价（元）</w:t>
            </w:r>
          </w:p>
        </w:tc>
        <w:tc>
          <w:tcPr>
            <w:tcW w:w="974" w:type="dxa"/>
            <w:tcBorders>
              <w:top w:val="single" w:color="auto" w:sz="12" w:space="0"/>
              <w:left w:val="single" w:color="auto" w:sz="4" w:space="0"/>
              <w:bottom w:val="single" w:color="auto" w:sz="4" w:space="0"/>
              <w:right w:val="single" w:color="auto" w:sz="4" w:space="0"/>
            </w:tcBorders>
            <w:vAlign w:val="center"/>
          </w:tcPr>
          <w:p w14:paraId="2A7ECDC7">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金额（元）</w:t>
            </w:r>
          </w:p>
        </w:tc>
        <w:tc>
          <w:tcPr>
            <w:tcW w:w="1561" w:type="dxa"/>
            <w:tcBorders>
              <w:top w:val="single" w:color="auto" w:sz="12" w:space="0"/>
              <w:left w:val="single" w:color="auto" w:sz="4" w:space="0"/>
              <w:bottom w:val="single" w:color="auto" w:sz="4" w:space="0"/>
              <w:right w:val="single" w:color="auto" w:sz="12" w:space="0"/>
            </w:tcBorders>
            <w:vAlign w:val="center"/>
          </w:tcPr>
          <w:p w14:paraId="5DA9073C">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备注</w:t>
            </w:r>
          </w:p>
        </w:tc>
      </w:tr>
      <w:tr w14:paraId="24AB19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00" w:type="dxa"/>
            <w:tcBorders>
              <w:top w:val="single" w:color="auto" w:sz="4" w:space="0"/>
              <w:left w:val="single" w:color="auto" w:sz="12" w:space="0"/>
              <w:bottom w:val="single" w:color="auto" w:sz="4" w:space="0"/>
              <w:right w:val="single" w:color="auto" w:sz="4" w:space="0"/>
            </w:tcBorders>
            <w:vAlign w:val="center"/>
          </w:tcPr>
          <w:p w14:paraId="3EABC432">
            <w:pPr>
              <w:snapToGrid w:val="0"/>
              <w:jc w:val="center"/>
              <w:rPr>
                <w:rFonts w:ascii="Times New Roman" w:hAnsi="Times New Roman" w:eastAsia="仿宋" w:cs="仿宋"/>
                <w:sz w:val="28"/>
                <w:szCs w:val="28"/>
              </w:rPr>
            </w:pPr>
          </w:p>
        </w:tc>
        <w:tc>
          <w:tcPr>
            <w:tcW w:w="1707" w:type="dxa"/>
            <w:tcBorders>
              <w:top w:val="single" w:color="auto" w:sz="4" w:space="0"/>
              <w:left w:val="single" w:color="auto" w:sz="4" w:space="0"/>
              <w:bottom w:val="single" w:color="auto" w:sz="4" w:space="0"/>
              <w:right w:val="single" w:color="auto" w:sz="4" w:space="0"/>
            </w:tcBorders>
            <w:vAlign w:val="center"/>
          </w:tcPr>
          <w:p w14:paraId="5E92845C">
            <w:pPr>
              <w:snapToGrid w:val="0"/>
              <w:jc w:val="center"/>
              <w:rPr>
                <w:rFonts w:ascii="Times New Roman" w:hAnsi="Times New Roman" w:eastAsia="仿宋" w:cs="仿宋"/>
                <w:sz w:val="28"/>
                <w:szCs w:val="28"/>
              </w:rPr>
            </w:pPr>
          </w:p>
        </w:tc>
        <w:tc>
          <w:tcPr>
            <w:tcW w:w="839" w:type="dxa"/>
            <w:tcBorders>
              <w:top w:val="single" w:color="auto" w:sz="4" w:space="0"/>
              <w:left w:val="single" w:color="auto" w:sz="4" w:space="0"/>
              <w:bottom w:val="single" w:color="auto" w:sz="4" w:space="0"/>
              <w:right w:val="single" w:color="auto" w:sz="4" w:space="0"/>
            </w:tcBorders>
            <w:vAlign w:val="center"/>
          </w:tcPr>
          <w:p w14:paraId="35ECA13A">
            <w:pPr>
              <w:snapToGrid w:val="0"/>
              <w:jc w:val="center"/>
              <w:rPr>
                <w:rFonts w:ascii="Times New Roman" w:hAnsi="Times New Roman" w:eastAsia="仿宋" w:cs="仿宋"/>
                <w:sz w:val="28"/>
                <w:szCs w:val="28"/>
              </w:rPr>
            </w:pPr>
          </w:p>
        </w:tc>
        <w:tc>
          <w:tcPr>
            <w:tcW w:w="1308" w:type="dxa"/>
            <w:tcBorders>
              <w:top w:val="single" w:color="auto" w:sz="4" w:space="0"/>
              <w:left w:val="single" w:color="auto" w:sz="4" w:space="0"/>
              <w:bottom w:val="single" w:color="auto" w:sz="4" w:space="0"/>
              <w:right w:val="single" w:color="auto" w:sz="4" w:space="0"/>
            </w:tcBorders>
            <w:vAlign w:val="center"/>
          </w:tcPr>
          <w:p w14:paraId="51F205D0">
            <w:pPr>
              <w:snapToGrid w:val="0"/>
              <w:jc w:val="center"/>
              <w:rPr>
                <w:rFonts w:ascii="Times New Roman" w:hAnsi="Times New Roman" w:eastAsia="仿宋" w:cs="仿宋"/>
                <w:sz w:val="28"/>
                <w:szCs w:val="28"/>
              </w:rPr>
            </w:pPr>
          </w:p>
        </w:tc>
        <w:tc>
          <w:tcPr>
            <w:tcW w:w="1520" w:type="dxa"/>
            <w:tcBorders>
              <w:top w:val="single" w:color="auto" w:sz="4" w:space="0"/>
              <w:left w:val="single" w:color="auto" w:sz="4" w:space="0"/>
              <w:bottom w:val="single" w:color="auto" w:sz="4" w:space="0"/>
              <w:right w:val="single" w:color="auto" w:sz="4" w:space="0"/>
            </w:tcBorders>
            <w:vAlign w:val="center"/>
          </w:tcPr>
          <w:p w14:paraId="40D732E0">
            <w:pPr>
              <w:snapToGrid w:val="0"/>
              <w:jc w:val="center"/>
              <w:rPr>
                <w:rFonts w:ascii="Times New Roman" w:hAnsi="Times New Roman" w:eastAsia="仿宋" w:cs="仿宋"/>
                <w:sz w:val="28"/>
                <w:szCs w:val="28"/>
              </w:rPr>
            </w:pPr>
          </w:p>
        </w:tc>
        <w:tc>
          <w:tcPr>
            <w:tcW w:w="1021" w:type="dxa"/>
            <w:tcBorders>
              <w:top w:val="single" w:color="auto" w:sz="4" w:space="0"/>
              <w:left w:val="single" w:color="auto" w:sz="4" w:space="0"/>
              <w:bottom w:val="single" w:color="auto" w:sz="4" w:space="0"/>
              <w:right w:val="single" w:color="auto" w:sz="4" w:space="0"/>
            </w:tcBorders>
            <w:vAlign w:val="center"/>
          </w:tcPr>
          <w:p w14:paraId="1AC7A57A">
            <w:pPr>
              <w:snapToGrid w:val="0"/>
              <w:jc w:val="center"/>
              <w:rPr>
                <w:rFonts w:ascii="Times New Roman" w:hAnsi="Times New Roman" w:eastAsia="仿宋" w:cs="仿宋"/>
                <w:sz w:val="28"/>
                <w:szCs w:val="28"/>
              </w:rPr>
            </w:pPr>
          </w:p>
        </w:tc>
        <w:tc>
          <w:tcPr>
            <w:tcW w:w="974" w:type="dxa"/>
            <w:tcBorders>
              <w:top w:val="single" w:color="auto" w:sz="4" w:space="0"/>
              <w:left w:val="single" w:color="auto" w:sz="4" w:space="0"/>
              <w:bottom w:val="single" w:color="auto" w:sz="4" w:space="0"/>
              <w:right w:val="single" w:color="auto" w:sz="4" w:space="0"/>
            </w:tcBorders>
            <w:vAlign w:val="center"/>
          </w:tcPr>
          <w:p w14:paraId="7823F496">
            <w:pPr>
              <w:snapToGrid w:val="0"/>
              <w:jc w:val="center"/>
              <w:rPr>
                <w:rFonts w:ascii="Times New Roman" w:hAnsi="Times New Roman" w:eastAsia="仿宋" w:cs="仿宋"/>
                <w:sz w:val="28"/>
                <w:szCs w:val="28"/>
              </w:rPr>
            </w:pPr>
          </w:p>
        </w:tc>
        <w:tc>
          <w:tcPr>
            <w:tcW w:w="1561" w:type="dxa"/>
            <w:tcBorders>
              <w:top w:val="single" w:color="auto" w:sz="4" w:space="0"/>
              <w:left w:val="single" w:color="auto" w:sz="4" w:space="0"/>
              <w:bottom w:val="single" w:color="auto" w:sz="4" w:space="0"/>
              <w:right w:val="single" w:color="auto" w:sz="12" w:space="0"/>
            </w:tcBorders>
            <w:vAlign w:val="center"/>
          </w:tcPr>
          <w:p w14:paraId="166B1256">
            <w:pPr>
              <w:snapToGrid w:val="0"/>
              <w:jc w:val="center"/>
              <w:rPr>
                <w:rFonts w:ascii="Times New Roman" w:hAnsi="Times New Roman" w:eastAsia="仿宋" w:cs="仿宋"/>
                <w:sz w:val="28"/>
                <w:szCs w:val="28"/>
              </w:rPr>
            </w:pPr>
          </w:p>
        </w:tc>
      </w:tr>
      <w:tr w14:paraId="38FAB1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00" w:type="dxa"/>
            <w:tcBorders>
              <w:top w:val="single" w:color="auto" w:sz="4" w:space="0"/>
              <w:left w:val="single" w:color="auto" w:sz="12" w:space="0"/>
              <w:bottom w:val="single" w:color="auto" w:sz="4" w:space="0"/>
              <w:right w:val="single" w:color="auto" w:sz="4" w:space="0"/>
            </w:tcBorders>
            <w:vAlign w:val="center"/>
          </w:tcPr>
          <w:p w14:paraId="530A906A">
            <w:pPr>
              <w:snapToGrid w:val="0"/>
              <w:jc w:val="center"/>
              <w:rPr>
                <w:rFonts w:ascii="Times New Roman" w:hAnsi="Times New Roman" w:eastAsia="仿宋" w:cs="仿宋"/>
                <w:sz w:val="28"/>
                <w:szCs w:val="28"/>
              </w:rPr>
            </w:pPr>
          </w:p>
        </w:tc>
        <w:tc>
          <w:tcPr>
            <w:tcW w:w="1707" w:type="dxa"/>
            <w:tcBorders>
              <w:top w:val="single" w:color="auto" w:sz="4" w:space="0"/>
              <w:left w:val="single" w:color="auto" w:sz="4" w:space="0"/>
              <w:bottom w:val="single" w:color="auto" w:sz="4" w:space="0"/>
              <w:right w:val="single" w:color="auto" w:sz="4" w:space="0"/>
            </w:tcBorders>
            <w:vAlign w:val="center"/>
          </w:tcPr>
          <w:p w14:paraId="57530767">
            <w:pPr>
              <w:snapToGrid w:val="0"/>
              <w:jc w:val="center"/>
              <w:rPr>
                <w:rFonts w:ascii="Times New Roman" w:hAnsi="Times New Roman" w:eastAsia="仿宋" w:cs="仿宋"/>
                <w:sz w:val="28"/>
                <w:szCs w:val="28"/>
              </w:rPr>
            </w:pPr>
          </w:p>
        </w:tc>
        <w:tc>
          <w:tcPr>
            <w:tcW w:w="839" w:type="dxa"/>
            <w:tcBorders>
              <w:top w:val="single" w:color="auto" w:sz="4" w:space="0"/>
              <w:left w:val="single" w:color="auto" w:sz="4" w:space="0"/>
              <w:bottom w:val="single" w:color="auto" w:sz="4" w:space="0"/>
              <w:right w:val="single" w:color="auto" w:sz="4" w:space="0"/>
            </w:tcBorders>
            <w:vAlign w:val="center"/>
          </w:tcPr>
          <w:p w14:paraId="274FCC8B">
            <w:pPr>
              <w:snapToGrid w:val="0"/>
              <w:jc w:val="center"/>
              <w:rPr>
                <w:rFonts w:ascii="Times New Roman" w:hAnsi="Times New Roman" w:eastAsia="仿宋" w:cs="仿宋"/>
                <w:sz w:val="28"/>
                <w:szCs w:val="28"/>
              </w:rPr>
            </w:pPr>
          </w:p>
        </w:tc>
        <w:tc>
          <w:tcPr>
            <w:tcW w:w="1308" w:type="dxa"/>
            <w:tcBorders>
              <w:top w:val="single" w:color="auto" w:sz="4" w:space="0"/>
              <w:left w:val="single" w:color="auto" w:sz="4" w:space="0"/>
              <w:bottom w:val="single" w:color="auto" w:sz="4" w:space="0"/>
              <w:right w:val="single" w:color="auto" w:sz="4" w:space="0"/>
            </w:tcBorders>
            <w:vAlign w:val="center"/>
          </w:tcPr>
          <w:p w14:paraId="3B66A6F8">
            <w:pPr>
              <w:snapToGrid w:val="0"/>
              <w:jc w:val="center"/>
              <w:rPr>
                <w:rFonts w:ascii="Times New Roman" w:hAnsi="Times New Roman" w:eastAsia="仿宋" w:cs="仿宋"/>
                <w:sz w:val="28"/>
                <w:szCs w:val="28"/>
              </w:rPr>
            </w:pPr>
          </w:p>
        </w:tc>
        <w:tc>
          <w:tcPr>
            <w:tcW w:w="1520" w:type="dxa"/>
            <w:tcBorders>
              <w:top w:val="single" w:color="auto" w:sz="4" w:space="0"/>
              <w:left w:val="single" w:color="auto" w:sz="4" w:space="0"/>
              <w:bottom w:val="single" w:color="auto" w:sz="4" w:space="0"/>
              <w:right w:val="single" w:color="auto" w:sz="4" w:space="0"/>
            </w:tcBorders>
            <w:vAlign w:val="center"/>
          </w:tcPr>
          <w:p w14:paraId="2F41AC01">
            <w:pPr>
              <w:snapToGrid w:val="0"/>
              <w:jc w:val="center"/>
              <w:rPr>
                <w:rFonts w:ascii="Times New Roman" w:hAnsi="Times New Roman" w:eastAsia="仿宋" w:cs="仿宋"/>
                <w:sz w:val="28"/>
                <w:szCs w:val="28"/>
              </w:rPr>
            </w:pPr>
          </w:p>
        </w:tc>
        <w:tc>
          <w:tcPr>
            <w:tcW w:w="1021" w:type="dxa"/>
            <w:tcBorders>
              <w:top w:val="single" w:color="auto" w:sz="4" w:space="0"/>
              <w:left w:val="single" w:color="auto" w:sz="4" w:space="0"/>
              <w:bottom w:val="single" w:color="auto" w:sz="4" w:space="0"/>
              <w:right w:val="single" w:color="auto" w:sz="4" w:space="0"/>
            </w:tcBorders>
            <w:vAlign w:val="center"/>
          </w:tcPr>
          <w:p w14:paraId="05707FA7">
            <w:pPr>
              <w:snapToGrid w:val="0"/>
              <w:jc w:val="center"/>
              <w:rPr>
                <w:rFonts w:ascii="Times New Roman" w:hAnsi="Times New Roman" w:eastAsia="仿宋" w:cs="仿宋"/>
                <w:sz w:val="28"/>
                <w:szCs w:val="28"/>
              </w:rPr>
            </w:pPr>
          </w:p>
        </w:tc>
        <w:tc>
          <w:tcPr>
            <w:tcW w:w="974" w:type="dxa"/>
            <w:tcBorders>
              <w:top w:val="single" w:color="auto" w:sz="4" w:space="0"/>
              <w:left w:val="single" w:color="auto" w:sz="4" w:space="0"/>
              <w:bottom w:val="single" w:color="auto" w:sz="4" w:space="0"/>
              <w:right w:val="single" w:color="auto" w:sz="4" w:space="0"/>
            </w:tcBorders>
            <w:vAlign w:val="center"/>
          </w:tcPr>
          <w:p w14:paraId="47DDE29D">
            <w:pPr>
              <w:snapToGrid w:val="0"/>
              <w:jc w:val="center"/>
              <w:rPr>
                <w:rFonts w:ascii="Times New Roman" w:hAnsi="Times New Roman" w:eastAsia="仿宋" w:cs="仿宋"/>
                <w:sz w:val="28"/>
                <w:szCs w:val="28"/>
              </w:rPr>
            </w:pPr>
          </w:p>
        </w:tc>
        <w:tc>
          <w:tcPr>
            <w:tcW w:w="1561" w:type="dxa"/>
            <w:tcBorders>
              <w:top w:val="single" w:color="auto" w:sz="4" w:space="0"/>
              <w:left w:val="single" w:color="auto" w:sz="4" w:space="0"/>
              <w:bottom w:val="single" w:color="auto" w:sz="4" w:space="0"/>
              <w:right w:val="single" w:color="auto" w:sz="12" w:space="0"/>
            </w:tcBorders>
            <w:vAlign w:val="center"/>
          </w:tcPr>
          <w:p w14:paraId="264B7CAD">
            <w:pPr>
              <w:snapToGrid w:val="0"/>
              <w:jc w:val="center"/>
              <w:rPr>
                <w:rFonts w:ascii="Times New Roman" w:hAnsi="Times New Roman" w:eastAsia="仿宋" w:cs="仿宋"/>
                <w:sz w:val="28"/>
                <w:szCs w:val="28"/>
              </w:rPr>
            </w:pPr>
          </w:p>
        </w:tc>
      </w:tr>
      <w:tr w14:paraId="55FAAC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00" w:type="dxa"/>
            <w:tcBorders>
              <w:top w:val="single" w:color="auto" w:sz="4" w:space="0"/>
              <w:left w:val="single" w:color="auto" w:sz="12" w:space="0"/>
              <w:bottom w:val="single" w:color="auto" w:sz="4" w:space="0"/>
              <w:right w:val="single" w:color="auto" w:sz="4" w:space="0"/>
            </w:tcBorders>
            <w:vAlign w:val="center"/>
          </w:tcPr>
          <w:p w14:paraId="04895421">
            <w:pPr>
              <w:snapToGrid w:val="0"/>
              <w:jc w:val="center"/>
              <w:rPr>
                <w:rFonts w:ascii="Times New Roman" w:hAnsi="Times New Roman" w:eastAsia="仿宋" w:cs="仿宋"/>
                <w:sz w:val="28"/>
                <w:szCs w:val="28"/>
              </w:rPr>
            </w:pPr>
          </w:p>
        </w:tc>
        <w:tc>
          <w:tcPr>
            <w:tcW w:w="1707" w:type="dxa"/>
            <w:tcBorders>
              <w:top w:val="single" w:color="auto" w:sz="4" w:space="0"/>
              <w:left w:val="single" w:color="auto" w:sz="4" w:space="0"/>
              <w:bottom w:val="single" w:color="auto" w:sz="4" w:space="0"/>
              <w:right w:val="single" w:color="auto" w:sz="4" w:space="0"/>
            </w:tcBorders>
            <w:vAlign w:val="center"/>
          </w:tcPr>
          <w:p w14:paraId="236D26D8">
            <w:pPr>
              <w:snapToGrid w:val="0"/>
              <w:jc w:val="center"/>
              <w:rPr>
                <w:rFonts w:ascii="Times New Roman" w:hAnsi="Times New Roman" w:eastAsia="仿宋" w:cs="仿宋"/>
                <w:sz w:val="28"/>
                <w:szCs w:val="28"/>
              </w:rPr>
            </w:pPr>
          </w:p>
        </w:tc>
        <w:tc>
          <w:tcPr>
            <w:tcW w:w="839" w:type="dxa"/>
            <w:tcBorders>
              <w:top w:val="single" w:color="auto" w:sz="4" w:space="0"/>
              <w:left w:val="single" w:color="auto" w:sz="4" w:space="0"/>
              <w:bottom w:val="single" w:color="auto" w:sz="4" w:space="0"/>
              <w:right w:val="single" w:color="auto" w:sz="4" w:space="0"/>
            </w:tcBorders>
            <w:vAlign w:val="center"/>
          </w:tcPr>
          <w:p w14:paraId="2D77F06E">
            <w:pPr>
              <w:snapToGrid w:val="0"/>
              <w:jc w:val="center"/>
              <w:rPr>
                <w:rFonts w:ascii="Times New Roman" w:hAnsi="Times New Roman" w:eastAsia="仿宋" w:cs="仿宋"/>
                <w:sz w:val="28"/>
                <w:szCs w:val="28"/>
              </w:rPr>
            </w:pPr>
          </w:p>
        </w:tc>
        <w:tc>
          <w:tcPr>
            <w:tcW w:w="1308" w:type="dxa"/>
            <w:tcBorders>
              <w:top w:val="single" w:color="auto" w:sz="4" w:space="0"/>
              <w:left w:val="single" w:color="auto" w:sz="4" w:space="0"/>
              <w:bottom w:val="single" w:color="auto" w:sz="4" w:space="0"/>
              <w:right w:val="single" w:color="auto" w:sz="4" w:space="0"/>
            </w:tcBorders>
            <w:vAlign w:val="center"/>
          </w:tcPr>
          <w:p w14:paraId="6D4F7C22">
            <w:pPr>
              <w:snapToGrid w:val="0"/>
              <w:jc w:val="center"/>
              <w:rPr>
                <w:rFonts w:ascii="Times New Roman" w:hAnsi="Times New Roman" w:eastAsia="仿宋" w:cs="仿宋"/>
                <w:sz w:val="28"/>
                <w:szCs w:val="28"/>
              </w:rPr>
            </w:pPr>
          </w:p>
        </w:tc>
        <w:tc>
          <w:tcPr>
            <w:tcW w:w="1520" w:type="dxa"/>
            <w:tcBorders>
              <w:top w:val="single" w:color="auto" w:sz="4" w:space="0"/>
              <w:left w:val="single" w:color="auto" w:sz="4" w:space="0"/>
              <w:bottom w:val="single" w:color="auto" w:sz="4" w:space="0"/>
              <w:right w:val="single" w:color="auto" w:sz="4" w:space="0"/>
            </w:tcBorders>
            <w:vAlign w:val="center"/>
          </w:tcPr>
          <w:p w14:paraId="22849803">
            <w:pPr>
              <w:snapToGrid w:val="0"/>
              <w:jc w:val="center"/>
              <w:rPr>
                <w:rFonts w:ascii="Times New Roman" w:hAnsi="Times New Roman" w:eastAsia="仿宋" w:cs="仿宋"/>
                <w:sz w:val="28"/>
                <w:szCs w:val="28"/>
              </w:rPr>
            </w:pPr>
          </w:p>
        </w:tc>
        <w:tc>
          <w:tcPr>
            <w:tcW w:w="1021" w:type="dxa"/>
            <w:tcBorders>
              <w:top w:val="single" w:color="auto" w:sz="4" w:space="0"/>
              <w:left w:val="single" w:color="auto" w:sz="4" w:space="0"/>
              <w:bottom w:val="single" w:color="auto" w:sz="4" w:space="0"/>
              <w:right w:val="single" w:color="auto" w:sz="4" w:space="0"/>
            </w:tcBorders>
            <w:vAlign w:val="center"/>
          </w:tcPr>
          <w:p w14:paraId="53C87651">
            <w:pPr>
              <w:snapToGrid w:val="0"/>
              <w:jc w:val="center"/>
              <w:rPr>
                <w:rFonts w:ascii="Times New Roman" w:hAnsi="Times New Roman" w:eastAsia="仿宋" w:cs="仿宋"/>
                <w:sz w:val="28"/>
                <w:szCs w:val="28"/>
              </w:rPr>
            </w:pPr>
          </w:p>
        </w:tc>
        <w:tc>
          <w:tcPr>
            <w:tcW w:w="974" w:type="dxa"/>
            <w:tcBorders>
              <w:top w:val="single" w:color="auto" w:sz="4" w:space="0"/>
              <w:left w:val="single" w:color="auto" w:sz="4" w:space="0"/>
              <w:bottom w:val="single" w:color="auto" w:sz="4" w:space="0"/>
              <w:right w:val="single" w:color="auto" w:sz="4" w:space="0"/>
            </w:tcBorders>
            <w:vAlign w:val="center"/>
          </w:tcPr>
          <w:p w14:paraId="4C6FE95A">
            <w:pPr>
              <w:snapToGrid w:val="0"/>
              <w:jc w:val="center"/>
              <w:rPr>
                <w:rFonts w:ascii="Times New Roman" w:hAnsi="Times New Roman" w:eastAsia="仿宋" w:cs="仿宋"/>
                <w:sz w:val="28"/>
                <w:szCs w:val="28"/>
              </w:rPr>
            </w:pPr>
          </w:p>
        </w:tc>
        <w:tc>
          <w:tcPr>
            <w:tcW w:w="1561" w:type="dxa"/>
            <w:tcBorders>
              <w:top w:val="single" w:color="auto" w:sz="4" w:space="0"/>
              <w:left w:val="single" w:color="auto" w:sz="4" w:space="0"/>
              <w:bottom w:val="single" w:color="auto" w:sz="4" w:space="0"/>
              <w:right w:val="single" w:color="auto" w:sz="12" w:space="0"/>
            </w:tcBorders>
            <w:vAlign w:val="center"/>
          </w:tcPr>
          <w:p w14:paraId="7C57F90F">
            <w:pPr>
              <w:snapToGrid w:val="0"/>
              <w:jc w:val="center"/>
              <w:rPr>
                <w:rFonts w:ascii="Times New Roman" w:hAnsi="Times New Roman" w:eastAsia="仿宋" w:cs="仿宋"/>
                <w:sz w:val="28"/>
                <w:szCs w:val="28"/>
              </w:rPr>
            </w:pPr>
          </w:p>
        </w:tc>
      </w:tr>
      <w:tr w14:paraId="26B2DA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00" w:type="dxa"/>
            <w:tcBorders>
              <w:top w:val="single" w:color="auto" w:sz="4" w:space="0"/>
              <w:left w:val="single" w:color="auto" w:sz="12" w:space="0"/>
              <w:bottom w:val="single" w:color="auto" w:sz="4" w:space="0"/>
              <w:right w:val="single" w:color="auto" w:sz="4" w:space="0"/>
            </w:tcBorders>
            <w:vAlign w:val="center"/>
          </w:tcPr>
          <w:p w14:paraId="0CC08A20">
            <w:pPr>
              <w:snapToGrid w:val="0"/>
              <w:jc w:val="center"/>
              <w:rPr>
                <w:rFonts w:ascii="Times New Roman" w:hAnsi="Times New Roman" w:eastAsia="仿宋" w:cs="仿宋"/>
                <w:sz w:val="28"/>
                <w:szCs w:val="28"/>
              </w:rPr>
            </w:pPr>
          </w:p>
        </w:tc>
        <w:tc>
          <w:tcPr>
            <w:tcW w:w="1707" w:type="dxa"/>
            <w:tcBorders>
              <w:top w:val="single" w:color="auto" w:sz="4" w:space="0"/>
              <w:left w:val="single" w:color="auto" w:sz="4" w:space="0"/>
              <w:bottom w:val="single" w:color="auto" w:sz="4" w:space="0"/>
              <w:right w:val="single" w:color="auto" w:sz="4" w:space="0"/>
            </w:tcBorders>
            <w:vAlign w:val="center"/>
          </w:tcPr>
          <w:p w14:paraId="517FB674">
            <w:pPr>
              <w:snapToGrid w:val="0"/>
              <w:jc w:val="center"/>
              <w:rPr>
                <w:rFonts w:ascii="Times New Roman" w:hAnsi="Times New Roman" w:eastAsia="仿宋" w:cs="仿宋"/>
                <w:sz w:val="28"/>
                <w:szCs w:val="28"/>
              </w:rPr>
            </w:pPr>
          </w:p>
        </w:tc>
        <w:tc>
          <w:tcPr>
            <w:tcW w:w="839" w:type="dxa"/>
            <w:tcBorders>
              <w:top w:val="single" w:color="auto" w:sz="4" w:space="0"/>
              <w:left w:val="single" w:color="auto" w:sz="4" w:space="0"/>
              <w:bottom w:val="single" w:color="auto" w:sz="4" w:space="0"/>
              <w:right w:val="single" w:color="auto" w:sz="4" w:space="0"/>
            </w:tcBorders>
            <w:vAlign w:val="center"/>
          </w:tcPr>
          <w:p w14:paraId="2B876F43">
            <w:pPr>
              <w:snapToGrid w:val="0"/>
              <w:jc w:val="center"/>
              <w:rPr>
                <w:rFonts w:ascii="Times New Roman" w:hAnsi="Times New Roman" w:eastAsia="仿宋" w:cs="仿宋"/>
                <w:sz w:val="28"/>
                <w:szCs w:val="28"/>
              </w:rPr>
            </w:pPr>
          </w:p>
        </w:tc>
        <w:tc>
          <w:tcPr>
            <w:tcW w:w="1308" w:type="dxa"/>
            <w:tcBorders>
              <w:top w:val="single" w:color="auto" w:sz="4" w:space="0"/>
              <w:left w:val="single" w:color="auto" w:sz="4" w:space="0"/>
              <w:bottom w:val="single" w:color="auto" w:sz="4" w:space="0"/>
              <w:right w:val="single" w:color="auto" w:sz="4" w:space="0"/>
            </w:tcBorders>
            <w:vAlign w:val="center"/>
          </w:tcPr>
          <w:p w14:paraId="05C41F21">
            <w:pPr>
              <w:snapToGrid w:val="0"/>
              <w:jc w:val="center"/>
              <w:rPr>
                <w:rFonts w:ascii="Times New Roman" w:hAnsi="Times New Roman" w:eastAsia="仿宋" w:cs="仿宋"/>
                <w:sz w:val="28"/>
                <w:szCs w:val="28"/>
              </w:rPr>
            </w:pPr>
          </w:p>
        </w:tc>
        <w:tc>
          <w:tcPr>
            <w:tcW w:w="1520" w:type="dxa"/>
            <w:tcBorders>
              <w:top w:val="single" w:color="auto" w:sz="4" w:space="0"/>
              <w:left w:val="single" w:color="auto" w:sz="4" w:space="0"/>
              <w:bottom w:val="single" w:color="auto" w:sz="4" w:space="0"/>
              <w:right w:val="single" w:color="auto" w:sz="4" w:space="0"/>
            </w:tcBorders>
            <w:vAlign w:val="center"/>
          </w:tcPr>
          <w:p w14:paraId="04A80F18">
            <w:pPr>
              <w:snapToGrid w:val="0"/>
              <w:jc w:val="center"/>
              <w:rPr>
                <w:rFonts w:ascii="Times New Roman" w:hAnsi="Times New Roman" w:eastAsia="仿宋" w:cs="仿宋"/>
                <w:sz w:val="28"/>
                <w:szCs w:val="28"/>
              </w:rPr>
            </w:pPr>
          </w:p>
        </w:tc>
        <w:tc>
          <w:tcPr>
            <w:tcW w:w="1021" w:type="dxa"/>
            <w:tcBorders>
              <w:top w:val="single" w:color="auto" w:sz="4" w:space="0"/>
              <w:left w:val="single" w:color="auto" w:sz="4" w:space="0"/>
              <w:bottom w:val="single" w:color="auto" w:sz="4" w:space="0"/>
              <w:right w:val="single" w:color="auto" w:sz="4" w:space="0"/>
            </w:tcBorders>
            <w:vAlign w:val="center"/>
          </w:tcPr>
          <w:p w14:paraId="3E57AE69">
            <w:pPr>
              <w:snapToGrid w:val="0"/>
              <w:jc w:val="center"/>
              <w:rPr>
                <w:rFonts w:ascii="Times New Roman" w:hAnsi="Times New Roman" w:eastAsia="仿宋" w:cs="仿宋"/>
                <w:sz w:val="28"/>
                <w:szCs w:val="28"/>
              </w:rPr>
            </w:pPr>
          </w:p>
        </w:tc>
        <w:tc>
          <w:tcPr>
            <w:tcW w:w="974" w:type="dxa"/>
            <w:tcBorders>
              <w:top w:val="single" w:color="auto" w:sz="4" w:space="0"/>
              <w:left w:val="single" w:color="auto" w:sz="4" w:space="0"/>
              <w:bottom w:val="single" w:color="auto" w:sz="4" w:space="0"/>
              <w:right w:val="single" w:color="auto" w:sz="4" w:space="0"/>
            </w:tcBorders>
            <w:vAlign w:val="center"/>
          </w:tcPr>
          <w:p w14:paraId="44CACFCE">
            <w:pPr>
              <w:snapToGrid w:val="0"/>
              <w:jc w:val="center"/>
              <w:rPr>
                <w:rFonts w:ascii="Times New Roman" w:hAnsi="Times New Roman" w:eastAsia="仿宋" w:cs="仿宋"/>
                <w:sz w:val="28"/>
                <w:szCs w:val="28"/>
              </w:rPr>
            </w:pPr>
          </w:p>
        </w:tc>
        <w:tc>
          <w:tcPr>
            <w:tcW w:w="1561" w:type="dxa"/>
            <w:tcBorders>
              <w:top w:val="single" w:color="auto" w:sz="4" w:space="0"/>
              <w:left w:val="single" w:color="auto" w:sz="4" w:space="0"/>
              <w:bottom w:val="single" w:color="auto" w:sz="4" w:space="0"/>
              <w:right w:val="single" w:color="auto" w:sz="12" w:space="0"/>
            </w:tcBorders>
            <w:vAlign w:val="center"/>
          </w:tcPr>
          <w:p w14:paraId="3392EDA0">
            <w:pPr>
              <w:snapToGrid w:val="0"/>
              <w:jc w:val="center"/>
              <w:rPr>
                <w:rFonts w:ascii="Times New Roman" w:hAnsi="Times New Roman" w:eastAsia="仿宋" w:cs="仿宋"/>
                <w:sz w:val="28"/>
                <w:szCs w:val="28"/>
              </w:rPr>
            </w:pPr>
          </w:p>
        </w:tc>
      </w:tr>
      <w:tr w14:paraId="6DE583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00" w:type="dxa"/>
            <w:tcBorders>
              <w:top w:val="single" w:color="auto" w:sz="4" w:space="0"/>
              <w:left w:val="single" w:color="auto" w:sz="12" w:space="0"/>
              <w:bottom w:val="single" w:color="auto" w:sz="4" w:space="0"/>
              <w:right w:val="single" w:color="auto" w:sz="4" w:space="0"/>
            </w:tcBorders>
            <w:vAlign w:val="center"/>
          </w:tcPr>
          <w:p w14:paraId="366811DD">
            <w:pPr>
              <w:snapToGrid w:val="0"/>
              <w:jc w:val="center"/>
              <w:rPr>
                <w:rFonts w:ascii="Times New Roman" w:hAnsi="Times New Roman" w:eastAsia="仿宋" w:cs="仿宋"/>
                <w:sz w:val="28"/>
                <w:szCs w:val="28"/>
              </w:rPr>
            </w:pPr>
          </w:p>
        </w:tc>
        <w:tc>
          <w:tcPr>
            <w:tcW w:w="1707" w:type="dxa"/>
            <w:tcBorders>
              <w:top w:val="single" w:color="auto" w:sz="4" w:space="0"/>
              <w:left w:val="single" w:color="auto" w:sz="4" w:space="0"/>
              <w:bottom w:val="single" w:color="auto" w:sz="4" w:space="0"/>
              <w:right w:val="single" w:color="auto" w:sz="4" w:space="0"/>
            </w:tcBorders>
            <w:vAlign w:val="center"/>
          </w:tcPr>
          <w:p w14:paraId="51822340">
            <w:pPr>
              <w:snapToGrid w:val="0"/>
              <w:jc w:val="center"/>
              <w:rPr>
                <w:rFonts w:ascii="Times New Roman" w:hAnsi="Times New Roman" w:eastAsia="仿宋" w:cs="仿宋"/>
                <w:sz w:val="28"/>
                <w:szCs w:val="28"/>
              </w:rPr>
            </w:pPr>
          </w:p>
        </w:tc>
        <w:tc>
          <w:tcPr>
            <w:tcW w:w="839" w:type="dxa"/>
            <w:tcBorders>
              <w:top w:val="single" w:color="auto" w:sz="4" w:space="0"/>
              <w:left w:val="single" w:color="auto" w:sz="4" w:space="0"/>
              <w:bottom w:val="single" w:color="auto" w:sz="4" w:space="0"/>
              <w:right w:val="single" w:color="auto" w:sz="4" w:space="0"/>
            </w:tcBorders>
            <w:vAlign w:val="center"/>
          </w:tcPr>
          <w:p w14:paraId="088F3189">
            <w:pPr>
              <w:snapToGrid w:val="0"/>
              <w:jc w:val="center"/>
              <w:rPr>
                <w:rFonts w:ascii="Times New Roman" w:hAnsi="Times New Roman" w:eastAsia="仿宋" w:cs="仿宋"/>
                <w:sz w:val="28"/>
                <w:szCs w:val="28"/>
              </w:rPr>
            </w:pPr>
          </w:p>
        </w:tc>
        <w:tc>
          <w:tcPr>
            <w:tcW w:w="1308" w:type="dxa"/>
            <w:tcBorders>
              <w:top w:val="single" w:color="auto" w:sz="4" w:space="0"/>
              <w:left w:val="single" w:color="auto" w:sz="4" w:space="0"/>
              <w:bottom w:val="single" w:color="auto" w:sz="4" w:space="0"/>
              <w:right w:val="single" w:color="auto" w:sz="4" w:space="0"/>
            </w:tcBorders>
            <w:vAlign w:val="center"/>
          </w:tcPr>
          <w:p w14:paraId="786BFBBB">
            <w:pPr>
              <w:snapToGrid w:val="0"/>
              <w:jc w:val="center"/>
              <w:rPr>
                <w:rFonts w:ascii="Times New Roman" w:hAnsi="Times New Roman" w:eastAsia="仿宋" w:cs="仿宋"/>
                <w:sz w:val="28"/>
                <w:szCs w:val="28"/>
              </w:rPr>
            </w:pPr>
          </w:p>
        </w:tc>
        <w:tc>
          <w:tcPr>
            <w:tcW w:w="1520" w:type="dxa"/>
            <w:tcBorders>
              <w:top w:val="single" w:color="auto" w:sz="4" w:space="0"/>
              <w:left w:val="single" w:color="auto" w:sz="4" w:space="0"/>
              <w:bottom w:val="single" w:color="auto" w:sz="4" w:space="0"/>
              <w:right w:val="single" w:color="auto" w:sz="4" w:space="0"/>
            </w:tcBorders>
            <w:vAlign w:val="center"/>
          </w:tcPr>
          <w:p w14:paraId="16CF75AD">
            <w:pPr>
              <w:snapToGrid w:val="0"/>
              <w:jc w:val="center"/>
              <w:rPr>
                <w:rFonts w:ascii="Times New Roman" w:hAnsi="Times New Roman" w:eastAsia="仿宋" w:cs="仿宋"/>
                <w:sz w:val="28"/>
                <w:szCs w:val="28"/>
              </w:rPr>
            </w:pPr>
          </w:p>
        </w:tc>
        <w:tc>
          <w:tcPr>
            <w:tcW w:w="1021" w:type="dxa"/>
            <w:tcBorders>
              <w:top w:val="single" w:color="auto" w:sz="4" w:space="0"/>
              <w:left w:val="single" w:color="auto" w:sz="4" w:space="0"/>
              <w:bottom w:val="single" w:color="auto" w:sz="4" w:space="0"/>
              <w:right w:val="single" w:color="auto" w:sz="4" w:space="0"/>
            </w:tcBorders>
            <w:vAlign w:val="center"/>
          </w:tcPr>
          <w:p w14:paraId="2FE22AD7">
            <w:pPr>
              <w:snapToGrid w:val="0"/>
              <w:jc w:val="center"/>
              <w:rPr>
                <w:rFonts w:ascii="Times New Roman" w:hAnsi="Times New Roman" w:eastAsia="仿宋" w:cs="仿宋"/>
                <w:sz w:val="28"/>
                <w:szCs w:val="28"/>
              </w:rPr>
            </w:pPr>
          </w:p>
        </w:tc>
        <w:tc>
          <w:tcPr>
            <w:tcW w:w="974" w:type="dxa"/>
            <w:tcBorders>
              <w:top w:val="single" w:color="auto" w:sz="4" w:space="0"/>
              <w:left w:val="single" w:color="auto" w:sz="4" w:space="0"/>
              <w:bottom w:val="single" w:color="auto" w:sz="4" w:space="0"/>
              <w:right w:val="single" w:color="auto" w:sz="4" w:space="0"/>
            </w:tcBorders>
            <w:vAlign w:val="center"/>
          </w:tcPr>
          <w:p w14:paraId="12924E67">
            <w:pPr>
              <w:snapToGrid w:val="0"/>
              <w:jc w:val="center"/>
              <w:rPr>
                <w:rFonts w:ascii="Times New Roman" w:hAnsi="Times New Roman" w:eastAsia="仿宋" w:cs="仿宋"/>
                <w:sz w:val="28"/>
                <w:szCs w:val="28"/>
              </w:rPr>
            </w:pPr>
          </w:p>
        </w:tc>
        <w:tc>
          <w:tcPr>
            <w:tcW w:w="1561" w:type="dxa"/>
            <w:tcBorders>
              <w:top w:val="single" w:color="auto" w:sz="4" w:space="0"/>
              <w:left w:val="single" w:color="auto" w:sz="4" w:space="0"/>
              <w:bottom w:val="single" w:color="auto" w:sz="4" w:space="0"/>
              <w:right w:val="single" w:color="auto" w:sz="12" w:space="0"/>
            </w:tcBorders>
            <w:vAlign w:val="center"/>
          </w:tcPr>
          <w:p w14:paraId="11D68629">
            <w:pPr>
              <w:snapToGrid w:val="0"/>
              <w:jc w:val="center"/>
              <w:rPr>
                <w:rFonts w:ascii="Times New Roman" w:hAnsi="Times New Roman" w:eastAsia="仿宋" w:cs="仿宋"/>
                <w:sz w:val="28"/>
                <w:szCs w:val="28"/>
              </w:rPr>
            </w:pPr>
          </w:p>
        </w:tc>
      </w:tr>
      <w:tr w14:paraId="16E962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995" w:type="dxa"/>
            <w:gridSpan w:val="6"/>
            <w:tcBorders>
              <w:top w:val="single" w:color="auto" w:sz="4" w:space="0"/>
              <w:left w:val="single" w:color="auto" w:sz="12" w:space="0"/>
              <w:bottom w:val="single" w:color="auto" w:sz="12" w:space="0"/>
              <w:right w:val="single" w:color="auto" w:sz="4" w:space="0"/>
            </w:tcBorders>
            <w:vAlign w:val="center"/>
          </w:tcPr>
          <w:p w14:paraId="176BCCB6">
            <w:pPr>
              <w:snapToGrid w:val="0"/>
              <w:jc w:val="center"/>
              <w:rPr>
                <w:rFonts w:ascii="Times New Roman" w:hAnsi="Times New Roman" w:eastAsia="仿宋" w:cs="仿宋"/>
                <w:sz w:val="28"/>
                <w:szCs w:val="28"/>
              </w:rPr>
            </w:pPr>
            <w:r>
              <w:rPr>
                <w:rFonts w:hint="eastAsia" w:ascii="仿宋" w:hAnsi="仿宋" w:eastAsia="仿宋" w:cs="Times New Roman"/>
                <w:b/>
                <w:bCs/>
                <w:sz w:val="22"/>
                <w:szCs w:val="22"/>
              </w:rPr>
              <w:t>合计（大写）</w:t>
            </w:r>
          </w:p>
        </w:tc>
        <w:tc>
          <w:tcPr>
            <w:tcW w:w="2535" w:type="dxa"/>
            <w:gridSpan w:val="2"/>
            <w:tcBorders>
              <w:top w:val="single" w:color="auto" w:sz="4" w:space="0"/>
              <w:left w:val="single" w:color="auto" w:sz="4" w:space="0"/>
              <w:bottom w:val="single" w:color="auto" w:sz="12" w:space="0"/>
              <w:right w:val="single" w:color="auto" w:sz="12" w:space="0"/>
            </w:tcBorders>
            <w:vAlign w:val="center"/>
          </w:tcPr>
          <w:p w14:paraId="1D99233B">
            <w:pPr>
              <w:snapToGrid w:val="0"/>
              <w:rPr>
                <w:rFonts w:ascii="Times New Roman" w:hAnsi="Times New Roman" w:eastAsia="仿宋" w:cs="仿宋"/>
                <w:sz w:val="28"/>
                <w:szCs w:val="28"/>
              </w:rPr>
            </w:pPr>
            <w:r>
              <w:rPr>
                <w:rFonts w:hint="eastAsia" w:ascii="仿宋" w:hAnsi="仿宋" w:eastAsia="仿宋" w:cs="Times New Roman"/>
                <w:sz w:val="28"/>
                <w:szCs w:val="28"/>
              </w:rPr>
              <w:t>￥</w:t>
            </w:r>
          </w:p>
        </w:tc>
      </w:tr>
    </w:tbl>
    <w:p w14:paraId="1B1A5883">
      <w:pPr>
        <w:rPr>
          <w:rFonts w:hint="eastAsia"/>
          <w:b/>
          <w:sz w:val="21"/>
          <w:szCs w:val="21"/>
        </w:rPr>
      </w:pPr>
    </w:p>
    <w:p w14:paraId="65A37540">
      <w:pPr>
        <w:rPr>
          <w:rFonts w:hint="eastAsia"/>
          <w:b w:val="0"/>
          <w:bCs/>
          <w:sz w:val="21"/>
          <w:szCs w:val="21"/>
        </w:rPr>
      </w:pPr>
      <w:r>
        <w:rPr>
          <w:rFonts w:hint="eastAsia"/>
          <w:b/>
          <w:sz w:val="21"/>
          <w:szCs w:val="21"/>
        </w:rPr>
        <w:t>说明：</w:t>
      </w:r>
      <w:r>
        <w:rPr>
          <w:rFonts w:hint="eastAsia"/>
          <w:b w:val="0"/>
          <w:bCs/>
          <w:sz w:val="21"/>
          <w:szCs w:val="21"/>
        </w:rPr>
        <w:t>1、品牌指产品的品牌或商标；</w:t>
      </w:r>
    </w:p>
    <w:p w14:paraId="13401A9E">
      <w:pPr>
        <w:ind w:firstLine="630" w:firstLineChars="300"/>
        <w:rPr>
          <w:rFonts w:hint="eastAsia"/>
          <w:b w:val="0"/>
          <w:bCs/>
          <w:sz w:val="21"/>
          <w:szCs w:val="21"/>
        </w:rPr>
      </w:pPr>
      <w:r>
        <w:rPr>
          <w:rFonts w:hint="eastAsia"/>
          <w:b w:val="0"/>
          <w:bCs/>
          <w:sz w:val="21"/>
          <w:szCs w:val="21"/>
        </w:rPr>
        <w:t>2、报价精确到小数点后两位；</w:t>
      </w:r>
    </w:p>
    <w:p w14:paraId="17742511">
      <w:pPr>
        <w:ind w:firstLine="630" w:firstLineChars="300"/>
        <w:rPr>
          <w:rFonts w:hint="eastAsia"/>
          <w:b w:val="0"/>
          <w:bCs/>
          <w:sz w:val="21"/>
          <w:szCs w:val="21"/>
        </w:rPr>
      </w:pPr>
      <w:r>
        <w:rPr>
          <w:rFonts w:hint="eastAsia"/>
          <w:b w:val="0"/>
          <w:bCs/>
          <w:sz w:val="21"/>
          <w:szCs w:val="21"/>
        </w:rPr>
        <w:t>3、表格不足的，可自行扩展。</w:t>
      </w:r>
    </w:p>
    <w:p w14:paraId="21E2CD54">
      <w:pPr>
        <w:rPr>
          <w:rFonts w:hint="eastAsia"/>
          <w:b/>
          <w:sz w:val="21"/>
          <w:szCs w:val="21"/>
        </w:rPr>
      </w:pPr>
    </w:p>
    <w:p w14:paraId="28FCCF17">
      <w:pPr>
        <w:rPr>
          <w:rFonts w:hint="eastAsia"/>
          <w:b/>
          <w:sz w:val="21"/>
          <w:szCs w:val="21"/>
        </w:rPr>
      </w:pPr>
    </w:p>
    <w:p w14:paraId="399046EA">
      <w:pPr>
        <w:rPr>
          <w:rFonts w:hint="eastAsia"/>
          <w:b/>
          <w:sz w:val="21"/>
          <w:szCs w:val="21"/>
        </w:rPr>
      </w:pPr>
    </w:p>
    <w:p w14:paraId="120ED880">
      <w:pPr>
        <w:rPr>
          <w:rFonts w:hint="eastAsia"/>
          <w:b/>
          <w:sz w:val="21"/>
          <w:szCs w:val="21"/>
        </w:rPr>
      </w:pPr>
    </w:p>
    <w:p w14:paraId="4EA98991">
      <w:pPr>
        <w:rPr>
          <w:rFonts w:hint="eastAsia"/>
          <w:b/>
          <w:sz w:val="21"/>
          <w:szCs w:val="21"/>
        </w:rPr>
      </w:pPr>
    </w:p>
    <w:p w14:paraId="21CA8D47">
      <w:pPr>
        <w:rPr>
          <w:rFonts w:hint="eastAsia"/>
          <w:b/>
          <w:sz w:val="21"/>
          <w:szCs w:val="21"/>
        </w:rPr>
      </w:pPr>
    </w:p>
    <w:p w14:paraId="3312DC00">
      <w:pPr>
        <w:spacing w:line="360" w:lineRule="auto"/>
        <w:ind w:firstLine="420" w:firstLineChars="200"/>
        <w:rPr>
          <w:rFonts w:hint="eastAsia"/>
          <w:sz w:val="21"/>
          <w:szCs w:val="21"/>
        </w:rPr>
      </w:pPr>
    </w:p>
    <w:p w14:paraId="60226359">
      <w:pPr>
        <w:spacing w:line="360" w:lineRule="auto"/>
        <w:ind w:firstLine="420" w:firstLineChars="200"/>
        <w:rPr>
          <w:rFonts w:hint="eastAsia"/>
          <w:sz w:val="21"/>
          <w:szCs w:val="21"/>
        </w:rPr>
      </w:pPr>
      <w:r>
        <w:rPr>
          <w:rFonts w:hint="eastAsia"/>
          <w:sz w:val="21"/>
          <w:szCs w:val="21"/>
        </w:rPr>
        <w:t>投标人（加盖公章）：</w:t>
      </w:r>
      <w:r>
        <w:rPr>
          <w:rFonts w:hint="eastAsia"/>
          <w:sz w:val="21"/>
          <w:szCs w:val="21"/>
          <w:u w:val="single"/>
        </w:rPr>
        <w:t xml:space="preserve">                             </w:t>
      </w:r>
    </w:p>
    <w:p w14:paraId="7C0068FE">
      <w:pPr>
        <w:spacing w:line="360" w:lineRule="auto"/>
        <w:ind w:firstLine="420" w:firstLineChars="200"/>
        <w:rPr>
          <w:rFonts w:ascii="Times New Roman" w:hAnsi="Times New Roman" w:cs="Times New Roman"/>
          <w:sz w:val="21"/>
          <w:szCs w:val="21"/>
        </w:rPr>
      </w:pPr>
      <w:r>
        <w:rPr>
          <w:rFonts w:ascii="Times New Roman" w:hAnsi="Times New Roman" w:cs="Times New Roman"/>
          <w:sz w:val="21"/>
          <w:szCs w:val="21"/>
        </w:rPr>
        <w:t>日期：       年      月      日</w:t>
      </w:r>
    </w:p>
    <w:p w14:paraId="6EF83B25">
      <w:pPr>
        <w:rPr>
          <w:rFonts w:ascii="Times New Roman" w:hAnsi="Times New Roman" w:cs="Times New Roman"/>
          <w:sz w:val="21"/>
          <w:szCs w:val="21"/>
        </w:rPr>
      </w:pPr>
      <w:r>
        <w:rPr>
          <w:rFonts w:ascii="Times New Roman" w:hAnsi="Times New Roman" w:cs="Times New Roman"/>
          <w:sz w:val="21"/>
          <w:szCs w:val="21"/>
        </w:rPr>
        <w:br w:type="page"/>
      </w:r>
    </w:p>
    <w:p w14:paraId="306E20A0">
      <w:pPr>
        <w:rPr>
          <w:rFonts w:hint="eastAsia" w:ascii="宋体" w:hAnsi="宋体" w:eastAsia="宋体" w:cs="宋体"/>
        </w:rPr>
      </w:pPr>
      <w:r>
        <w:rPr>
          <w:rFonts w:hint="eastAsia" w:cs="宋体"/>
          <w:sz w:val="21"/>
          <w:szCs w:val="21"/>
          <w:lang w:eastAsia="zh-CN"/>
        </w:rPr>
        <w:t>附表</w:t>
      </w:r>
      <w:r>
        <w:rPr>
          <w:rFonts w:hint="eastAsia" w:cs="宋体"/>
          <w:sz w:val="21"/>
          <w:szCs w:val="21"/>
          <w:lang w:val="en-US" w:eastAsia="zh-CN"/>
        </w:rPr>
        <w:t>五</w:t>
      </w:r>
      <w:r>
        <w:rPr>
          <w:rFonts w:hint="eastAsia" w:cs="宋体"/>
          <w:sz w:val="21"/>
          <w:szCs w:val="21"/>
          <w:lang w:eastAsia="zh-CN"/>
        </w:rPr>
        <w:t>：</w:t>
      </w:r>
    </w:p>
    <w:p w14:paraId="4962943F">
      <w:pPr>
        <w:jc w:val="center"/>
        <w:rPr>
          <w:rFonts w:hint="eastAsia"/>
          <w:b/>
          <w:sz w:val="21"/>
          <w:szCs w:val="21"/>
        </w:rPr>
      </w:pPr>
      <w:r>
        <w:rPr>
          <w:rFonts w:hint="eastAsia"/>
          <w:b/>
          <w:sz w:val="21"/>
          <w:szCs w:val="21"/>
        </w:rPr>
        <w:t>节能产品、环境标志产品明细表</w:t>
      </w:r>
    </w:p>
    <w:p w14:paraId="217E8240">
      <w:pPr>
        <w:spacing w:after="0" w:line="360" w:lineRule="auto"/>
        <w:jc w:val="both"/>
        <w:rPr>
          <w:rFonts w:hint="eastAsia" w:ascii="宋体" w:hAnsi="宋体" w:eastAsia="宋体" w:cs="宋体"/>
          <w:b/>
          <w:bCs/>
          <w:sz w:val="24"/>
          <w14:ligatures w14:val="none"/>
        </w:rPr>
      </w:pPr>
      <w:r>
        <w:rPr>
          <w:rFonts w:hint="eastAsia" w:ascii="宋体" w:hAnsi="宋体" w:eastAsia="宋体" w:cs="宋体"/>
          <w:b/>
          <w:bCs/>
          <w:sz w:val="24"/>
          <w14:ligatures w14:val="none"/>
        </w:rPr>
        <w:t>说明：</w:t>
      </w:r>
    </w:p>
    <w:p w14:paraId="5A988DE2">
      <w:pPr>
        <w:spacing w:after="0" w:line="360" w:lineRule="auto"/>
        <w:ind w:firstLine="420" w:firstLineChars="200"/>
        <w:jc w:val="both"/>
        <w:rPr>
          <w:rFonts w:hint="eastAsia" w:ascii="宋体" w:hAnsi="宋体" w:eastAsia="宋体" w:cs="宋体"/>
          <w:sz w:val="21"/>
          <w:szCs w:val="21"/>
          <w14:ligatures w14:val="none"/>
        </w:rPr>
      </w:pPr>
      <w:r>
        <w:rPr>
          <w:rFonts w:hint="eastAsia" w:ascii="宋体" w:hAnsi="宋体" w:eastAsia="宋体" w:cs="宋体"/>
          <w:sz w:val="21"/>
          <w:szCs w:val="21"/>
          <w14:ligatures w14:val="none"/>
        </w:rPr>
        <w:t>1、若所投产品为政府强制采购的节能产品，需提供</w:t>
      </w:r>
      <w:r>
        <w:rPr>
          <w:rFonts w:hint="eastAsia" w:cs="宋体"/>
          <w:sz w:val="21"/>
          <w:szCs w:val="21"/>
          <w:lang w:val="en-US" w:eastAsia="zh-CN"/>
          <w14:ligatures w14:val="none"/>
        </w:rPr>
        <w:t>所投</w:t>
      </w:r>
      <w:r>
        <w:rPr>
          <w:rFonts w:hint="eastAsia" w:ascii="宋体" w:hAnsi="宋体" w:eastAsia="宋体" w:cs="宋体"/>
          <w:sz w:val="21"/>
          <w:szCs w:val="21"/>
          <w14:ligatures w14:val="none"/>
        </w:rPr>
        <w:t>产品经国家确定的认证机构出具的、处于有效期内的节能产品认证证书，否则按无效投标处理。强制类产品具体品目详见《关于印发节能产品政府采购品目清单的通知》（财库[2019]19号文）。</w:t>
      </w:r>
    </w:p>
    <w:p w14:paraId="36291E4A">
      <w:pPr>
        <w:spacing w:after="0" w:line="360" w:lineRule="auto"/>
        <w:ind w:firstLine="420" w:firstLineChars="200"/>
        <w:jc w:val="both"/>
        <w:rPr>
          <w:rFonts w:hint="eastAsia"/>
        </w:rPr>
      </w:pPr>
      <w:r>
        <w:rPr>
          <w:rFonts w:hint="eastAsia" w:cs="宋体"/>
          <w:sz w:val="21"/>
          <w:szCs w:val="21"/>
          <w:lang w:val="en-US" w:eastAsia="zh-CN"/>
          <w14:ligatures w14:val="none"/>
        </w:rPr>
        <w:t>2</w:t>
      </w:r>
      <w:r>
        <w:rPr>
          <w:rFonts w:hint="eastAsia" w:ascii="宋体" w:hAnsi="宋体" w:eastAsia="宋体" w:cs="宋体"/>
          <w:sz w:val="21"/>
          <w:szCs w:val="21"/>
          <w14:ligatures w14:val="none"/>
        </w:rPr>
        <w:t>、除强制节能产品外的《节能产品、环境标志产品品目清单》中产品，属于优先采购产品，投标人未按要求提供相应经国家确定的认证机构出具的、处于有效期内的节能产品认证证书的，评审时不予加分。</w:t>
      </w:r>
    </w:p>
    <w:tbl>
      <w:tblPr>
        <w:tblStyle w:val="50"/>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1843"/>
        <w:gridCol w:w="1184"/>
        <w:gridCol w:w="1524"/>
        <w:gridCol w:w="1534"/>
        <w:gridCol w:w="2787"/>
      </w:tblGrid>
      <w:tr w14:paraId="4C47D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6" w:type="pct"/>
            <w:tcBorders>
              <w:top w:val="single" w:color="auto" w:sz="4" w:space="0"/>
              <w:left w:val="single" w:color="auto" w:sz="4" w:space="0"/>
              <w:bottom w:val="single" w:color="auto" w:sz="4" w:space="0"/>
              <w:right w:val="single" w:color="auto" w:sz="4" w:space="0"/>
            </w:tcBorders>
            <w:vAlign w:val="center"/>
          </w:tcPr>
          <w:p w14:paraId="5A8FBCA3">
            <w:pPr>
              <w:snapToGrid w:val="0"/>
              <w:spacing w:after="0" w:line="240" w:lineRule="auto"/>
              <w:jc w:val="center"/>
              <w:rPr>
                <w:rFonts w:hint="eastAsia" w:ascii="宋体" w:hAnsi="宋体" w:eastAsia="宋体" w:cs="宋体"/>
                <w:sz w:val="21"/>
                <w:szCs w:val="21"/>
                <w14:ligatures w14:val="none"/>
              </w:rPr>
            </w:pPr>
            <w:r>
              <w:rPr>
                <w:rFonts w:hint="eastAsia" w:ascii="宋体" w:hAnsi="宋体" w:eastAsia="宋体" w:cs="宋体"/>
                <w:sz w:val="21"/>
                <w:szCs w:val="21"/>
                <w14:ligatures w14:val="none"/>
              </w:rPr>
              <w:t>序号</w:t>
            </w:r>
          </w:p>
        </w:tc>
        <w:tc>
          <w:tcPr>
            <w:tcW w:w="948" w:type="pct"/>
            <w:tcBorders>
              <w:top w:val="single" w:color="auto" w:sz="4" w:space="0"/>
              <w:left w:val="single" w:color="auto" w:sz="4" w:space="0"/>
              <w:bottom w:val="single" w:color="auto" w:sz="4" w:space="0"/>
              <w:right w:val="single" w:color="auto" w:sz="4" w:space="0"/>
            </w:tcBorders>
            <w:vAlign w:val="center"/>
          </w:tcPr>
          <w:p w14:paraId="5D1C8477">
            <w:pPr>
              <w:snapToGrid w:val="0"/>
              <w:spacing w:after="0" w:line="240" w:lineRule="auto"/>
              <w:jc w:val="center"/>
              <w:rPr>
                <w:rFonts w:hint="eastAsia" w:ascii="宋体" w:hAnsi="宋体" w:eastAsia="宋体" w:cs="宋体"/>
                <w:sz w:val="21"/>
                <w:szCs w:val="21"/>
                <w14:ligatures w14:val="none"/>
              </w:rPr>
            </w:pPr>
            <w:r>
              <w:rPr>
                <w:rFonts w:hint="eastAsia" w:ascii="宋体" w:hAnsi="宋体" w:eastAsia="宋体" w:cs="宋体"/>
                <w:sz w:val="21"/>
                <w:szCs w:val="21"/>
                <w14:ligatures w14:val="none"/>
              </w:rPr>
              <w:t>材料、</w:t>
            </w:r>
          </w:p>
          <w:p w14:paraId="26EF25F5">
            <w:pPr>
              <w:snapToGrid w:val="0"/>
              <w:spacing w:after="0" w:line="240" w:lineRule="auto"/>
              <w:jc w:val="center"/>
              <w:rPr>
                <w:rFonts w:hint="eastAsia" w:ascii="宋体" w:hAnsi="宋体" w:eastAsia="宋体" w:cs="宋体"/>
                <w:sz w:val="21"/>
                <w:szCs w:val="21"/>
                <w14:ligatures w14:val="none"/>
              </w:rPr>
            </w:pPr>
            <w:r>
              <w:rPr>
                <w:rFonts w:hint="eastAsia" w:ascii="宋体" w:hAnsi="宋体" w:eastAsia="宋体" w:cs="宋体"/>
                <w:sz w:val="21"/>
                <w:szCs w:val="21"/>
                <w14:ligatures w14:val="none"/>
              </w:rPr>
              <w:t>设备名称</w:t>
            </w:r>
          </w:p>
        </w:tc>
        <w:tc>
          <w:tcPr>
            <w:tcW w:w="609" w:type="pct"/>
            <w:tcBorders>
              <w:top w:val="single" w:color="auto" w:sz="4" w:space="0"/>
              <w:left w:val="single" w:color="auto" w:sz="4" w:space="0"/>
              <w:bottom w:val="single" w:color="auto" w:sz="4" w:space="0"/>
              <w:right w:val="single" w:color="auto" w:sz="4" w:space="0"/>
            </w:tcBorders>
            <w:vAlign w:val="center"/>
          </w:tcPr>
          <w:p w14:paraId="68DADCC0">
            <w:pPr>
              <w:snapToGrid w:val="0"/>
              <w:spacing w:after="0" w:line="240" w:lineRule="auto"/>
              <w:jc w:val="center"/>
              <w:rPr>
                <w:rFonts w:hint="eastAsia" w:ascii="宋体" w:hAnsi="宋体" w:eastAsia="宋体" w:cs="宋体"/>
                <w:sz w:val="21"/>
                <w:szCs w:val="21"/>
                <w14:ligatures w14:val="none"/>
              </w:rPr>
            </w:pPr>
            <w:r>
              <w:rPr>
                <w:rFonts w:hint="eastAsia" w:ascii="宋体" w:hAnsi="宋体" w:eastAsia="宋体" w:cs="宋体"/>
                <w:sz w:val="21"/>
                <w:szCs w:val="21"/>
                <w14:ligatures w14:val="none"/>
              </w:rPr>
              <w:t>品牌</w:t>
            </w:r>
          </w:p>
        </w:tc>
        <w:tc>
          <w:tcPr>
            <w:tcW w:w="784" w:type="pct"/>
            <w:tcBorders>
              <w:top w:val="single" w:color="auto" w:sz="4" w:space="0"/>
              <w:left w:val="single" w:color="auto" w:sz="4" w:space="0"/>
              <w:bottom w:val="single" w:color="auto" w:sz="4" w:space="0"/>
              <w:right w:val="single" w:color="auto" w:sz="4" w:space="0"/>
            </w:tcBorders>
            <w:vAlign w:val="center"/>
          </w:tcPr>
          <w:p w14:paraId="511B856D">
            <w:pPr>
              <w:snapToGrid w:val="0"/>
              <w:spacing w:after="0" w:line="240" w:lineRule="auto"/>
              <w:jc w:val="center"/>
              <w:rPr>
                <w:rFonts w:hint="eastAsia" w:ascii="宋体" w:hAnsi="宋体" w:eastAsia="宋体" w:cs="宋体"/>
                <w:sz w:val="21"/>
                <w:szCs w:val="21"/>
                <w14:ligatures w14:val="none"/>
              </w:rPr>
            </w:pPr>
            <w:r>
              <w:rPr>
                <w:rFonts w:hint="eastAsia" w:ascii="宋体" w:hAnsi="宋体" w:eastAsia="宋体" w:cs="宋体"/>
                <w:sz w:val="21"/>
                <w:szCs w:val="21"/>
                <w14:ligatures w14:val="none"/>
              </w:rPr>
              <w:t>型号、</w:t>
            </w:r>
          </w:p>
          <w:p w14:paraId="01AFD2E7">
            <w:pPr>
              <w:snapToGrid w:val="0"/>
              <w:spacing w:after="0" w:line="240" w:lineRule="auto"/>
              <w:jc w:val="center"/>
              <w:rPr>
                <w:rFonts w:hint="eastAsia" w:ascii="宋体" w:hAnsi="宋体" w:eastAsia="宋体" w:cs="宋体"/>
                <w:sz w:val="21"/>
                <w:szCs w:val="21"/>
                <w14:ligatures w14:val="none"/>
              </w:rPr>
            </w:pPr>
            <w:r>
              <w:rPr>
                <w:rFonts w:hint="eastAsia" w:ascii="宋体" w:hAnsi="宋体" w:eastAsia="宋体" w:cs="宋体"/>
                <w:sz w:val="21"/>
                <w:szCs w:val="21"/>
                <w14:ligatures w14:val="none"/>
              </w:rPr>
              <w:t>规格</w:t>
            </w:r>
          </w:p>
        </w:tc>
        <w:tc>
          <w:tcPr>
            <w:tcW w:w="789" w:type="pct"/>
            <w:tcBorders>
              <w:top w:val="single" w:color="auto" w:sz="4" w:space="0"/>
              <w:left w:val="single" w:color="auto" w:sz="4" w:space="0"/>
              <w:bottom w:val="single" w:color="auto" w:sz="4" w:space="0"/>
              <w:right w:val="single" w:color="auto" w:sz="4" w:space="0"/>
            </w:tcBorders>
            <w:vAlign w:val="center"/>
          </w:tcPr>
          <w:p w14:paraId="76E1F213">
            <w:pPr>
              <w:snapToGrid w:val="0"/>
              <w:spacing w:after="0" w:line="240" w:lineRule="auto"/>
              <w:jc w:val="center"/>
              <w:rPr>
                <w:rFonts w:hint="eastAsia" w:ascii="宋体" w:hAnsi="宋体" w:eastAsia="宋体" w:cs="宋体"/>
                <w:sz w:val="21"/>
                <w:szCs w:val="21"/>
                <w14:ligatures w14:val="none"/>
              </w:rPr>
            </w:pPr>
            <w:r>
              <w:rPr>
                <w:rFonts w:hint="eastAsia" w:ascii="宋体" w:hAnsi="宋体" w:eastAsia="宋体" w:cs="宋体"/>
                <w:sz w:val="21"/>
                <w:szCs w:val="21"/>
                <w14:ligatures w14:val="none"/>
              </w:rPr>
              <w:t>制造商</w:t>
            </w:r>
          </w:p>
        </w:tc>
        <w:tc>
          <w:tcPr>
            <w:tcW w:w="1431" w:type="pct"/>
            <w:tcBorders>
              <w:top w:val="single" w:color="auto" w:sz="4" w:space="0"/>
              <w:left w:val="single" w:color="auto" w:sz="4" w:space="0"/>
              <w:bottom w:val="single" w:color="auto" w:sz="4" w:space="0"/>
              <w:right w:val="single" w:color="auto" w:sz="4" w:space="0"/>
            </w:tcBorders>
            <w:vAlign w:val="center"/>
          </w:tcPr>
          <w:p w14:paraId="13E2CE7E">
            <w:pPr>
              <w:snapToGrid w:val="0"/>
              <w:spacing w:after="0" w:line="240" w:lineRule="auto"/>
              <w:jc w:val="center"/>
              <w:rPr>
                <w:rFonts w:hint="eastAsia" w:ascii="宋体" w:hAnsi="宋体" w:eastAsia="宋体" w:cs="宋体"/>
                <w:sz w:val="21"/>
                <w:szCs w:val="21"/>
                <w14:ligatures w14:val="none"/>
              </w:rPr>
            </w:pPr>
            <w:r>
              <w:rPr>
                <w:rFonts w:hint="eastAsia" w:ascii="宋体" w:hAnsi="宋体" w:eastAsia="宋体" w:cs="宋体"/>
                <w:sz w:val="21"/>
                <w:szCs w:val="21"/>
                <w14:ligatures w14:val="none"/>
              </w:rPr>
              <w:t>节能、环境标志</w:t>
            </w:r>
          </w:p>
          <w:p w14:paraId="09FA000C">
            <w:pPr>
              <w:snapToGrid w:val="0"/>
              <w:spacing w:after="0" w:line="240" w:lineRule="auto"/>
              <w:jc w:val="center"/>
              <w:rPr>
                <w:rFonts w:hint="eastAsia" w:ascii="宋体" w:hAnsi="宋体" w:eastAsia="宋体" w:cs="宋体"/>
                <w:sz w:val="21"/>
                <w:szCs w:val="21"/>
                <w14:ligatures w14:val="none"/>
              </w:rPr>
            </w:pPr>
            <w:r>
              <w:rPr>
                <w:rFonts w:hint="eastAsia" w:ascii="宋体" w:hAnsi="宋体" w:eastAsia="宋体" w:cs="宋体"/>
                <w:sz w:val="21"/>
                <w:szCs w:val="21"/>
                <w14:ligatures w14:val="none"/>
              </w:rPr>
              <w:t>产品认证证书编号</w:t>
            </w:r>
          </w:p>
        </w:tc>
      </w:tr>
      <w:tr w14:paraId="7BADF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000" w:type="pct"/>
            <w:gridSpan w:val="6"/>
            <w:tcBorders>
              <w:top w:val="single" w:color="auto" w:sz="4" w:space="0"/>
              <w:left w:val="single" w:color="auto" w:sz="4" w:space="0"/>
              <w:bottom w:val="single" w:color="auto" w:sz="4" w:space="0"/>
              <w:right w:val="single" w:color="auto" w:sz="4" w:space="0"/>
            </w:tcBorders>
            <w:vAlign w:val="center"/>
          </w:tcPr>
          <w:p w14:paraId="3C657C9B">
            <w:pPr>
              <w:snapToGrid w:val="0"/>
              <w:spacing w:after="0" w:line="240" w:lineRule="auto"/>
              <w:jc w:val="both"/>
              <w:rPr>
                <w:rFonts w:hint="default" w:ascii="宋体" w:hAnsi="宋体" w:eastAsia="宋体" w:cs="宋体"/>
                <w:sz w:val="21"/>
                <w:szCs w:val="21"/>
                <w:lang w:val="en-US" w:eastAsia="zh-CN"/>
                <w14:ligatures w14:val="none"/>
              </w:rPr>
            </w:pPr>
            <w:r>
              <w:rPr>
                <w:rFonts w:hint="eastAsia" w:cs="宋体"/>
                <w:sz w:val="21"/>
                <w:szCs w:val="21"/>
                <w:lang w:eastAsia="zh-CN"/>
                <w14:ligatures w14:val="none"/>
              </w:rPr>
              <w:t>（</w:t>
            </w:r>
            <w:r>
              <w:rPr>
                <w:rFonts w:hint="eastAsia" w:cs="宋体"/>
                <w:sz w:val="21"/>
                <w:szCs w:val="21"/>
                <w:lang w:val="en-US" w:eastAsia="zh-CN"/>
                <w14:ligatures w14:val="none"/>
              </w:rPr>
              <w:t>1</w:t>
            </w:r>
            <w:r>
              <w:rPr>
                <w:rFonts w:hint="eastAsia" w:cs="宋体"/>
                <w:sz w:val="21"/>
                <w:szCs w:val="21"/>
                <w:lang w:eastAsia="zh-CN"/>
                <w14:ligatures w14:val="none"/>
              </w:rPr>
              <w:t>）</w:t>
            </w:r>
            <w:r>
              <w:rPr>
                <w:rFonts w:hint="eastAsia" w:cs="宋体"/>
                <w:sz w:val="21"/>
                <w:szCs w:val="21"/>
                <w:lang w:val="en-US" w:eastAsia="zh-CN"/>
                <w14:ligatures w14:val="none"/>
              </w:rPr>
              <w:t>强制采购类</w:t>
            </w:r>
          </w:p>
        </w:tc>
      </w:tr>
      <w:tr w14:paraId="43681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6" w:type="pct"/>
            <w:tcBorders>
              <w:top w:val="single" w:color="auto" w:sz="4" w:space="0"/>
              <w:left w:val="single" w:color="auto" w:sz="4" w:space="0"/>
              <w:bottom w:val="single" w:color="auto" w:sz="4" w:space="0"/>
              <w:right w:val="single" w:color="auto" w:sz="4" w:space="0"/>
            </w:tcBorders>
            <w:vAlign w:val="center"/>
          </w:tcPr>
          <w:p w14:paraId="2FF664E0">
            <w:pPr>
              <w:snapToGrid w:val="0"/>
              <w:spacing w:after="0" w:line="240" w:lineRule="auto"/>
              <w:jc w:val="center"/>
              <w:rPr>
                <w:rFonts w:hint="eastAsia" w:ascii="宋体" w:hAnsi="宋体" w:eastAsia="宋体" w:cs="宋体"/>
                <w:sz w:val="21"/>
                <w:szCs w:val="21"/>
                <w14:ligatures w14:val="none"/>
              </w:rPr>
            </w:pPr>
          </w:p>
        </w:tc>
        <w:tc>
          <w:tcPr>
            <w:tcW w:w="948" w:type="pct"/>
            <w:tcBorders>
              <w:top w:val="single" w:color="auto" w:sz="4" w:space="0"/>
              <w:left w:val="single" w:color="auto" w:sz="4" w:space="0"/>
              <w:bottom w:val="single" w:color="auto" w:sz="4" w:space="0"/>
              <w:right w:val="single" w:color="auto" w:sz="4" w:space="0"/>
            </w:tcBorders>
            <w:vAlign w:val="center"/>
          </w:tcPr>
          <w:p w14:paraId="65DB4D71">
            <w:pPr>
              <w:snapToGrid w:val="0"/>
              <w:spacing w:after="0" w:line="240" w:lineRule="auto"/>
              <w:jc w:val="center"/>
              <w:rPr>
                <w:rFonts w:hint="eastAsia" w:ascii="宋体" w:hAnsi="宋体" w:eastAsia="宋体" w:cs="宋体"/>
                <w:sz w:val="21"/>
                <w:szCs w:val="21"/>
                <w14:ligatures w14:val="none"/>
              </w:rPr>
            </w:pPr>
          </w:p>
        </w:tc>
        <w:tc>
          <w:tcPr>
            <w:tcW w:w="609" w:type="pct"/>
            <w:tcBorders>
              <w:top w:val="single" w:color="auto" w:sz="4" w:space="0"/>
              <w:left w:val="single" w:color="auto" w:sz="4" w:space="0"/>
              <w:bottom w:val="single" w:color="auto" w:sz="4" w:space="0"/>
              <w:right w:val="single" w:color="auto" w:sz="4" w:space="0"/>
            </w:tcBorders>
            <w:vAlign w:val="center"/>
          </w:tcPr>
          <w:p w14:paraId="1BE31EBD">
            <w:pPr>
              <w:snapToGrid w:val="0"/>
              <w:spacing w:after="0" w:line="240" w:lineRule="auto"/>
              <w:jc w:val="center"/>
              <w:rPr>
                <w:rFonts w:hint="eastAsia" w:ascii="宋体" w:hAnsi="宋体" w:eastAsia="宋体" w:cs="宋体"/>
                <w:sz w:val="21"/>
                <w:szCs w:val="21"/>
                <w14:ligatures w14:val="none"/>
              </w:rPr>
            </w:pPr>
          </w:p>
        </w:tc>
        <w:tc>
          <w:tcPr>
            <w:tcW w:w="784" w:type="pct"/>
            <w:tcBorders>
              <w:top w:val="single" w:color="auto" w:sz="4" w:space="0"/>
              <w:left w:val="single" w:color="auto" w:sz="4" w:space="0"/>
              <w:bottom w:val="single" w:color="auto" w:sz="4" w:space="0"/>
              <w:right w:val="single" w:color="auto" w:sz="4" w:space="0"/>
            </w:tcBorders>
            <w:vAlign w:val="center"/>
          </w:tcPr>
          <w:p w14:paraId="7965CAE3">
            <w:pPr>
              <w:snapToGrid w:val="0"/>
              <w:spacing w:after="0" w:line="240" w:lineRule="auto"/>
              <w:jc w:val="center"/>
              <w:rPr>
                <w:rFonts w:hint="eastAsia" w:ascii="宋体" w:hAnsi="宋体" w:eastAsia="宋体" w:cs="宋体"/>
                <w:sz w:val="21"/>
                <w:szCs w:val="21"/>
                <w14:ligatures w14:val="none"/>
              </w:rPr>
            </w:pPr>
          </w:p>
        </w:tc>
        <w:tc>
          <w:tcPr>
            <w:tcW w:w="789" w:type="pct"/>
            <w:tcBorders>
              <w:top w:val="single" w:color="auto" w:sz="4" w:space="0"/>
              <w:left w:val="single" w:color="auto" w:sz="4" w:space="0"/>
              <w:bottom w:val="single" w:color="auto" w:sz="4" w:space="0"/>
              <w:right w:val="single" w:color="auto" w:sz="4" w:space="0"/>
            </w:tcBorders>
            <w:vAlign w:val="center"/>
          </w:tcPr>
          <w:p w14:paraId="1162B202">
            <w:pPr>
              <w:snapToGrid w:val="0"/>
              <w:spacing w:after="0" w:line="240" w:lineRule="auto"/>
              <w:jc w:val="center"/>
              <w:rPr>
                <w:rFonts w:hint="eastAsia" w:ascii="宋体" w:hAnsi="宋体" w:eastAsia="宋体" w:cs="宋体"/>
                <w:sz w:val="21"/>
                <w:szCs w:val="21"/>
                <w14:ligatures w14:val="none"/>
              </w:rPr>
            </w:pPr>
          </w:p>
        </w:tc>
        <w:tc>
          <w:tcPr>
            <w:tcW w:w="1431" w:type="pct"/>
            <w:tcBorders>
              <w:top w:val="single" w:color="auto" w:sz="4" w:space="0"/>
              <w:left w:val="single" w:color="auto" w:sz="4" w:space="0"/>
              <w:bottom w:val="single" w:color="auto" w:sz="4" w:space="0"/>
              <w:right w:val="single" w:color="auto" w:sz="4" w:space="0"/>
            </w:tcBorders>
            <w:vAlign w:val="center"/>
          </w:tcPr>
          <w:p w14:paraId="746D0C72">
            <w:pPr>
              <w:snapToGrid w:val="0"/>
              <w:spacing w:after="0" w:line="240" w:lineRule="auto"/>
              <w:jc w:val="center"/>
              <w:rPr>
                <w:rFonts w:hint="eastAsia" w:ascii="宋体" w:hAnsi="宋体" w:eastAsia="宋体" w:cs="宋体"/>
                <w:sz w:val="21"/>
                <w:szCs w:val="21"/>
                <w14:ligatures w14:val="none"/>
              </w:rPr>
            </w:pPr>
          </w:p>
        </w:tc>
      </w:tr>
      <w:tr w14:paraId="7376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6" w:type="pct"/>
            <w:tcBorders>
              <w:top w:val="single" w:color="auto" w:sz="4" w:space="0"/>
              <w:left w:val="single" w:color="auto" w:sz="4" w:space="0"/>
              <w:bottom w:val="single" w:color="auto" w:sz="4" w:space="0"/>
              <w:right w:val="single" w:color="auto" w:sz="4" w:space="0"/>
            </w:tcBorders>
            <w:vAlign w:val="center"/>
          </w:tcPr>
          <w:p w14:paraId="57CC3DE2">
            <w:pPr>
              <w:snapToGrid w:val="0"/>
              <w:spacing w:after="0" w:line="240" w:lineRule="auto"/>
              <w:jc w:val="center"/>
              <w:rPr>
                <w:rFonts w:hint="eastAsia" w:ascii="宋体" w:hAnsi="宋体" w:eastAsia="宋体" w:cs="宋体"/>
                <w:sz w:val="21"/>
                <w:szCs w:val="21"/>
                <w14:ligatures w14:val="none"/>
              </w:rPr>
            </w:pPr>
          </w:p>
        </w:tc>
        <w:tc>
          <w:tcPr>
            <w:tcW w:w="948" w:type="pct"/>
            <w:tcBorders>
              <w:top w:val="single" w:color="auto" w:sz="4" w:space="0"/>
              <w:left w:val="single" w:color="auto" w:sz="4" w:space="0"/>
              <w:bottom w:val="single" w:color="auto" w:sz="4" w:space="0"/>
              <w:right w:val="single" w:color="auto" w:sz="4" w:space="0"/>
            </w:tcBorders>
            <w:vAlign w:val="center"/>
          </w:tcPr>
          <w:p w14:paraId="7D82DD70">
            <w:pPr>
              <w:snapToGrid w:val="0"/>
              <w:spacing w:after="0" w:line="240" w:lineRule="auto"/>
              <w:jc w:val="center"/>
              <w:rPr>
                <w:rFonts w:hint="eastAsia" w:ascii="宋体" w:hAnsi="宋体" w:eastAsia="宋体" w:cs="宋体"/>
                <w:sz w:val="21"/>
                <w:szCs w:val="21"/>
                <w14:ligatures w14:val="none"/>
              </w:rPr>
            </w:pPr>
          </w:p>
        </w:tc>
        <w:tc>
          <w:tcPr>
            <w:tcW w:w="609" w:type="pct"/>
            <w:tcBorders>
              <w:top w:val="single" w:color="auto" w:sz="4" w:space="0"/>
              <w:left w:val="single" w:color="auto" w:sz="4" w:space="0"/>
              <w:bottom w:val="single" w:color="auto" w:sz="4" w:space="0"/>
              <w:right w:val="single" w:color="auto" w:sz="4" w:space="0"/>
            </w:tcBorders>
            <w:vAlign w:val="center"/>
          </w:tcPr>
          <w:p w14:paraId="670BB3FE">
            <w:pPr>
              <w:snapToGrid w:val="0"/>
              <w:spacing w:after="0" w:line="240" w:lineRule="auto"/>
              <w:jc w:val="center"/>
              <w:rPr>
                <w:rFonts w:hint="eastAsia" w:ascii="宋体" w:hAnsi="宋体" w:eastAsia="宋体" w:cs="宋体"/>
                <w:sz w:val="21"/>
                <w:szCs w:val="21"/>
                <w14:ligatures w14:val="none"/>
              </w:rPr>
            </w:pPr>
          </w:p>
        </w:tc>
        <w:tc>
          <w:tcPr>
            <w:tcW w:w="784" w:type="pct"/>
            <w:tcBorders>
              <w:top w:val="single" w:color="auto" w:sz="4" w:space="0"/>
              <w:left w:val="single" w:color="auto" w:sz="4" w:space="0"/>
              <w:bottom w:val="single" w:color="auto" w:sz="4" w:space="0"/>
              <w:right w:val="single" w:color="auto" w:sz="4" w:space="0"/>
            </w:tcBorders>
            <w:vAlign w:val="center"/>
          </w:tcPr>
          <w:p w14:paraId="3F7AD2EB">
            <w:pPr>
              <w:snapToGrid w:val="0"/>
              <w:spacing w:after="0" w:line="240" w:lineRule="auto"/>
              <w:jc w:val="center"/>
              <w:rPr>
                <w:rFonts w:hint="eastAsia" w:ascii="宋体" w:hAnsi="宋体" w:eastAsia="宋体" w:cs="宋体"/>
                <w:sz w:val="21"/>
                <w:szCs w:val="21"/>
                <w14:ligatures w14:val="none"/>
              </w:rPr>
            </w:pPr>
          </w:p>
        </w:tc>
        <w:tc>
          <w:tcPr>
            <w:tcW w:w="789" w:type="pct"/>
            <w:tcBorders>
              <w:top w:val="single" w:color="auto" w:sz="4" w:space="0"/>
              <w:left w:val="single" w:color="auto" w:sz="4" w:space="0"/>
              <w:bottom w:val="single" w:color="auto" w:sz="4" w:space="0"/>
              <w:right w:val="single" w:color="auto" w:sz="4" w:space="0"/>
            </w:tcBorders>
            <w:vAlign w:val="center"/>
          </w:tcPr>
          <w:p w14:paraId="15B7522A">
            <w:pPr>
              <w:snapToGrid w:val="0"/>
              <w:spacing w:after="0" w:line="240" w:lineRule="auto"/>
              <w:jc w:val="center"/>
              <w:rPr>
                <w:rFonts w:hint="eastAsia" w:ascii="宋体" w:hAnsi="宋体" w:eastAsia="宋体" w:cs="宋体"/>
                <w:sz w:val="21"/>
                <w:szCs w:val="21"/>
                <w14:ligatures w14:val="none"/>
              </w:rPr>
            </w:pPr>
          </w:p>
        </w:tc>
        <w:tc>
          <w:tcPr>
            <w:tcW w:w="1431" w:type="pct"/>
            <w:tcBorders>
              <w:top w:val="single" w:color="auto" w:sz="4" w:space="0"/>
              <w:left w:val="single" w:color="auto" w:sz="4" w:space="0"/>
              <w:bottom w:val="single" w:color="auto" w:sz="4" w:space="0"/>
              <w:right w:val="single" w:color="auto" w:sz="4" w:space="0"/>
            </w:tcBorders>
            <w:vAlign w:val="center"/>
          </w:tcPr>
          <w:p w14:paraId="212A9379">
            <w:pPr>
              <w:snapToGrid w:val="0"/>
              <w:spacing w:after="0" w:line="240" w:lineRule="auto"/>
              <w:jc w:val="center"/>
              <w:rPr>
                <w:rFonts w:hint="eastAsia" w:ascii="宋体" w:hAnsi="宋体" w:eastAsia="宋体" w:cs="宋体"/>
                <w:sz w:val="21"/>
                <w:szCs w:val="21"/>
                <w14:ligatures w14:val="none"/>
              </w:rPr>
            </w:pPr>
          </w:p>
        </w:tc>
      </w:tr>
      <w:tr w14:paraId="38CEA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6" w:type="pct"/>
            <w:tcBorders>
              <w:top w:val="single" w:color="auto" w:sz="4" w:space="0"/>
              <w:left w:val="single" w:color="auto" w:sz="4" w:space="0"/>
              <w:bottom w:val="single" w:color="auto" w:sz="4" w:space="0"/>
              <w:right w:val="single" w:color="auto" w:sz="4" w:space="0"/>
            </w:tcBorders>
            <w:vAlign w:val="center"/>
          </w:tcPr>
          <w:p w14:paraId="77F1C3A2">
            <w:pPr>
              <w:snapToGrid w:val="0"/>
              <w:spacing w:after="0" w:line="240" w:lineRule="auto"/>
              <w:jc w:val="center"/>
              <w:rPr>
                <w:rFonts w:hint="eastAsia" w:ascii="宋体" w:hAnsi="宋体" w:eastAsia="宋体" w:cs="宋体"/>
                <w:sz w:val="21"/>
                <w:szCs w:val="21"/>
                <w14:ligatures w14:val="none"/>
              </w:rPr>
            </w:pPr>
          </w:p>
        </w:tc>
        <w:tc>
          <w:tcPr>
            <w:tcW w:w="948" w:type="pct"/>
            <w:tcBorders>
              <w:top w:val="single" w:color="auto" w:sz="4" w:space="0"/>
              <w:left w:val="single" w:color="auto" w:sz="4" w:space="0"/>
              <w:bottom w:val="single" w:color="auto" w:sz="4" w:space="0"/>
              <w:right w:val="single" w:color="auto" w:sz="4" w:space="0"/>
            </w:tcBorders>
            <w:vAlign w:val="center"/>
          </w:tcPr>
          <w:p w14:paraId="20941FD4">
            <w:pPr>
              <w:snapToGrid w:val="0"/>
              <w:spacing w:after="0" w:line="240" w:lineRule="auto"/>
              <w:jc w:val="center"/>
              <w:rPr>
                <w:rFonts w:hint="eastAsia" w:ascii="宋体" w:hAnsi="宋体" w:eastAsia="宋体" w:cs="宋体"/>
                <w:sz w:val="21"/>
                <w:szCs w:val="21"/>
                <w14:ligatures w14:val="none"/>
              </w:rPr>
            </w:pPr>
          </w:p>
        </w:tc>
        <w:tc>
          <w:tcPr>
            <w:tcW w:w="609" w:type="pct"/>
            <w:tcBorders>
              <w:top w:val="single" w:color="auto" w:sz="4" w:space="0"/>
              <w:left w:val="single" w:color="auto" w:sz="4" w:space="0"/>
              <w:bottom w:val="single" w:color="auto" w:sz="4" w:space="0"/>
              <w:right w:val="single" w:color="auto" w:sz="4" w:space="0"/>
            </w:tcBorders>
            <w:vAlign w:val="center"/>
          </w:tcPr>
          <w:p w14:paraId="5B7E8EAA">
            <w:pPr>
              <w:snapToGrid w:val="0"/>
              <w:spacing w:after="0" w:line="240" w:lineRule="auto"/>
              <w:jc w:val="center"/>
              <w:rPr>
                <w:rFonts w:hint="eastAsia" w:ascii="宋体" w:hAnsi="宋体" w:eastAsia="宋体" w:cs="宋体"/>
                <w:sz w:val="21"/>
                <w:szCs w:val="21"/>
                <w14:ligatures w14:val="none"/>
              </w:rPr>
            </w:pPr>
          </w:p>
        </w:tc>
        <w:tc>
          <w:tcPr>
            <w:tcW w:w="784" w:type="pct"/>
            <w:tcBorders>
              <w:top w:val="single" w:color="auto" w:sz="4" w:space="0"/>
              <w:left w:val="single" w:color="auto" w:sz="4" w:space="0"/>
              <w:bottom w:val="single" w:color="auto" w:sz="4" w:space="0"/>
              <w:right w:val="single" w:color="auto" w:sz="4" w:space="0"/>
            </w:tcBorders>
            <w:vAlign w:val="center"/>
          </w:tcPr>
          <w:p w14:paraId="0EC87064">
            <w:pPr>
              <w:snapToGrid w:val="0"/>
              <w:spacing w:after="0" w:line="240" w:lineRule="auto"/>
              <w:jc w:val="center"/>
              <w:rPr>
                <w:rFonts w:hint="eastAsia" w:ascii="宋体" w:hAnsi="宋体" w:eastAsia="宋体" w:cs="宋体"/>
                <w:sz w:val="21"/>
                <w:szCs w:val="21"/>
                <w14:ligatures w14:val="none"/>
              </w:rPr>
            </w:pPr>
          </w:p>
        </w:tc>
        <w:tc>
          <w:tcPr>
            <w:tcW w:w="789" w:type="pct"/>
            <w:tcBorders>
              <w:top w:val="single" w:color="auto" w:sz="4" w:space="0"/>
              <w:left w:val="single" w:color="auto" w:sz="4" w:space="0"/>
              <w:bottom w:val="single" w:color="auto" w:sz="4" w:space="0"/>
              <w:right w:val="single" w:color="auto" w:sz="4" w:space="0"/>
            </w:tcBorders>
            <w:vAlign w:val="center"/>
          </w:tcPr>
          <w:p w14:paraId="33257385">
            <w:pPr>
              <w:snapToGrid w:val="0"/>
              <w:spacing w:after="0" w:line="240" w:lineRule="auto"/>
              <w:jc w:val="center"/>
              <w:rPr>
                <w:rFonts w:hint="eastAsia" w:ascii="宋体" w:hAnsi="宋体" w:eastAsia="宋体" w:cs="宋体"/>
                <w:sz w:val="21"/>
                <w:szCs w:val="21"/>
                <w14:ligatures w14:val="none"/>
              </w:rPr>
            </w:pPr>
          </w:p>
        </w:tc>
        <w:tc>
          <w:tcPr>
            <w:tcW w:w="1431" w:type="pct"/>
            <w:tcBorders>
              <w:top w:val="single" w:color="auto" w:sz="4" w:space="0"/>
              <w:left w:val="single" w:color="auto" w:sz="4" w:space="0"/>
              <w:bottom w:val="single" w:color="auto" w:sz="4" w:space="0"/>
              <w:right w:val="single" w:color="auto" w:sz="4" w:space="0"/>
            </w:tcBorders>
            <w:vAlign w:val="center"/>
          </w:tcPr>
          <w:p w14:paraId="72E226EB">
            <w:pPr>
              <w:snapToGrid w:val="0"/>
              <w:spacing w:after="0" w:line="240" w:lineRule="auto"/>
              <w:jc w:val="center"/>
              <w:rPr>
                <w:rFonts w:hint="eastAsia" w:ascii="宋体" w:hAnsi="宋体" w:eastAsia="宋体" w:cs="宋体"/>
                <w:sz w:val="21"/>
                <w:szCs w:val="21"/>
                <w14:ligatures w14:val="none"/>
              </w:rPr>
            </w:pPr>
          </w:p>
        </w:tc>
      </w:tr>
      <w:tr w14:paraId="48AA2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000" w:type="pct"/>
            <w:gridSpan w:val="6"/>
            <w:tcBorders>
              <w:top w:val="single" w:color="auto" w:sz="4" w:space="0"/>
              <w:left w:val="single" w:color="auto" w:sz="4" w:space="0"/>
              <w:bottom w:val="single" w:color="auto" w:sz="4" w:space="0"/>
              <w:right w:val="single" w:color="auto" w:sz="4" w:space="0"/>
            </w:tcBorders>
            <w:vAlign w:val="center"/>
          </w:tcPr>
          <w:p w14:paraId="6B64EEC5">
            <w:pPr>
              <w:snapToGrid w:val="0"/>
              <w:spacing w:after="0" w:line="240" w:lineRule="auto"/>
              <w:jc w:val="both"/>
              <w:rPr>
                <w:rFonts w:hint="default" w:ascii="宋体" w:hAnsi="宋体" w:eastAsia="宋体" w:cs="宋体"/>
                <w:sz w:val="21"/>
                <w:szCs w:val="21"/>
                <w:lang w:val="en-US" w:eastAsia="zh-CN"/>
                <w14:ligatures w14:val="none"/>
              </w:rPr>
            </w:pPr>
            <w:r>
              <w:rPr>
                <w:rFonts w:hint="eastAsia" w:cs="宋体"/>
                <w:sz w:val="21"/>
                <w:szCs w:val="21"/>
                <w:lang w:eastAsia="zh-CN"/>
                <w14:ligatures w14:val="none"/>
              </w:rPr>
              <w:t>（</w:t>
            </w:r>
            <w:r>
              <w:rPr>
                <w:rFonts w:hint="eastAsia" w:cs="宋体"/>
                <w:sz w:val="21"/>
                <w:szCs w:val="21"/>
                <w:lang w:val="en-US" w:eastAsia="zh-CN"/>
                <w14:ligatures w14:val="none"/>
              </w:rPr>
              <w:t>2</w:t>
            </w:r>
            <w:r>
              <w:rPr>
                <w:rFonts w:hint="eastAsia" w:cs="宋体"/>
                <w:sz w:val="21"/>
                <w:szCs w:val="21"/>
                <w:lang w:eastAsia="zh-CN"/>
                <w14:ligatures w14:val="none"/>
              </w:rPr>
              <w:t>）</w:t>
            </w:r>
            <w:r>
              <w:rPr>
                <w:rFonts w:hint="eastAsia" w:cs="宋体"/>
                <w:sz w:val="21"/>
                <w:szCs w:val="21"/>
                <w:lang w:val="en-US" w:eastAsia="zh-CN"/>
                <w14:ligatures w14:val="none"/>
              </w:rPr>
              <w:t>优先采购类</w:t>
            </w:r>
          </w:p>
        </w:tc>
      </w:tr>
      <w:tr w14:paraId="409C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6" w:type="pct"/>
            <w:tcBorders>
              <w:top w:val="single" w:color="auto" w:sz="4" w:space="0"/>
              <w:left w:val="single" w:color="auto" w:sz="4" w:space="0"/>
              <w:bottom w:val="single" w:color="auto" w:sz="4" w:space="0"/>
              <w:right w:val="single" w:color="auto" w:sz="4" w:space="0"/>
            </w:tcBorders>
            <w:vAlign w:val="center"/>
          </w:tcPr>
          <w:p w14:paraId="5B1AED90">
            <w:pPr>
              <w:snapToGrid w:val="0"/>
              <w:spacing w:after="0" w:line="240" w:lineRule="auto"/>
              <w:jc w:val="center"/>
              <w:rPr>
                <w:rFonts w:hint="eastAsia" w:ascii="宋体" w:hAnsi="宋体" w:eastAsia="宋体" w:cs="宋体"/>
                <w:sz w:val="21"/>
                <w:szCs w:val="21"/>
                <w14:ligatures w14:val="none"/>
              </w:rPr>
            </w:pPr>
          </w:p>
        </w:tc>
        <w:tc>
          <w:tcPr>
            <w:tcW w:w="948" w:type="pct"/>
            <w:tcBorders>
              <w:top w:val="single" w:color="auto" w:sz="4" w:space="0"/>
              <w:left w:val="single" w:color="auto" w:sz="4" w:space="0"/>
              <w:bottom w:val="single" w:color="auto" w:sz="4" w:space="0"/>
              <w:right w:val="single" w:color="auto" w:sz="4" w:space="0"/>
            </w:tcBorders>
            <w:vAlign w:val="center"/>
          </w:tcPr>
          <w:p w14:paraId="64E53DDA">
            <w:pPr>
              <w:snapToGrid w:val="0"/>
              <w:spacing w:after="0" w:line="240" w:lineRule="auto"/>
              <w:jc w:val="center"/>
              <w:rPr>
                <w:rFonts w:hint="eastAsia" w:ascii="宋体" w:hAnsi="宋体" w:eastAsia="宋体" w:cs="宋体"/>
                <w:sz w:val="21"/>
                <w:szCs w:val="21"/>
                <w14:ligatures w14:val="none"/>
              </w:rPr>
            </w:pPr>
          </w:p>
        </w:tc>
        <w:tc>
          <w:tcPr>
            <w:tcW w:w="609" w:type="pct"/>
            <w:tcBorders>
              <w:top w:val="single" w:color="auto" w:sz="4" w:space="0"/>
              <w:left w:val="single" w:color="auto" w:sz="4" w:space="0"/>
              <w:bottom w:val="single" w:color="auto" w:sz="4" w:space="0"/>
              <w:right w:val="single" w:color="auto" w:sz="4" w:space="0"/>
            </w:tcBorders>
            <w:vAlign w:val="center"/>
          </w:tcPr>
          <w:p w14:paraId="5A9829DA">
            <w:pPr>
              <w:snapToGrid w:val="0"/>
              <w:spacing w:after="0" w:line="240" w:lineRule="auto"/>
              <w:jc w:val="center"/>
              <w:rPr>
                <w:rFonts w:hint="eastAsia" w:ascii="宋体" w:hAnsi="宋体" w:eastAsia="宋体" w:cs="宋体"/>
                <w:sz w:val="21"/>
                <w:szCs w:val="21"/>
                <w14:ligatures w14:val="none"/>
              </w:rPr>
            </w:pPr>
          </w:p>
        </w:tc>
        <w:tc>
          <w:tcPr>
            <w:tcW w:w="784" w:type="pct"/>
            <w:tcBorders>
              <w:top w:val="single" w:color="auto" w:sz="4" w:space="0"/>
              <w:left w:val="single" w:color="auto" w:sz="4" w:space="0"/>
              <w:bottom w:val="single" w:color="auto" w:sz="4" w:space="0"/>
              <w:right w:val="single" w:color="auto" w:sz="4" w:space="0"/>
            </w:tcBorders>
            <w:vAlign w:val="center"/>
          </w:tcPr>
          <w:p w14:paraId="3DA49D74">
            <w:pPr>
              <w:snapToGrid w:val="0"/>
              <w:spacing w:after="0" w:line="240" w:lineRule="auto"/>
              <w:jc w:val="center"/>
              <w:rPr>
                <w:rFonts w:hint="eastAsia" w:ascii="宋体" w:hAnsi="宋体" w:eastAsia="宋体" w:cs="宋体"/>
                <w:sz w:val="21"/>
                <w:szCs w:val="21"/>
                <w14:ligatures w14:val="none"/>
              </w:rPr>
            </w:pPr>
          </w:p>
        </w:tc>
        <w:tc>
          <w:tcPr>
            <w:tcW w:w="789" w:type="pct"/>
            <w:tcBorders>
              <w:top w:val="single" w:color="auto" w:sz="4" w:space="0"/>
              <w:left w:val="single" w:color="auto" w:sz="4" w:space="0"/>
              <w:bottom w:val="single" w:color="auto" w:sz="4" w:space="0"/>
              <w:right w:val="single" w:color="auto" w:sz="4" w:space="0"/>
            </w:tcBorders>
            <w:vAlign w:val="center"/>
          </w:tcPr>
          <w:p w14:paraId="5EDAF8C6">
            <w:pPr>
              <w:snapToGrid w:val="0"/>
              <w:spacing w:after="0" w:line="240" w:lineRule="auto"/>
              <w:jc w:val="center"/>
              <w:rPr>
                <w:rFonts w:hint="eastAsia" w:ascii="宋体" w:hAnsi="宋体" w:eastAsia="宋体" w:cs="宋体"/>
                <w:sz w:val="21"/>
                <w:szCs w:val="21"/>
                <w14:ligatures w14:val="none"/>
              </w:rPr>
            </w:pPr>
          </w:p>
        </w:tc>
        <w:tc>
          <w:tcPr>
            <w:tcW w:w="1431" w:type="pct"/>
            <w:tcBorders>
              <w:top w:val="single" w:color="auto" w:sz="4" w:space="0"/>
              <w:left w:val="single" w:color="auto" w:sz="4" w:space="0"/>
              <w:bottom w:val="single" w:color="auto" w:sz="4" w:space="0"/>
              <w:right w:val="single" w:color="auto" w:sz="4" w:space="0"/>
            </w:tcBorders>
            <w:vAlign w:val="center"/>
          </w:tcPr>
          <w:p w14:paraId="795499C6">
            <w:pPr>
              <w:snapToGrid w:val="0"/>
              <w:spacing w:after="0" w:line="240" w:lineRule="auto"/>
              <w:jc w:val="center"/>
              <w:rPr>
                <w:rFonts w:hint="eastAsia" w:ascii="宋体" w:hAnsi="宋体" w:eastAsia="宋体" w:cs="宋体"/>
                <w:sz w:val="21"/>
                <w:szCs w:val="21"/>
                <w14:ligatures w14:val="none"/>
              </w:rPr>
            </w:pPr>
          </w:p>
        </w:tc>
      </w:tr>
      <w:tr w14:paraId="3E920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6" w:type="pct"/>
            <w:tcBorders>
              <w:top w:val="single" w:color="auto" w:sz="4" w:space="0"/>
              <w:left w:val="single" w:color="auto" w:sz="4" w:space="0"/>
              <w:bottom w:val="single" w:color="auto" w:sz="4" w:space="0"/>
              <w:right w:val="single" w:color="auto" w:sz="4" w:space="0"/>
            </w:tcBorders>
            <w:vAlign w:val="center"/>
          </w:tcPr>
          <w:p w14:paraId="68E45DAF">
            <w:pPr>
              <w:snapToGrid w:val="0"/>
              <w:spacing w:after="0" w:line="240" w:lineRule="auto"/>
              <w:jc w:val="center"/>
              <w:rPr>
                <w:rFonts w:hint="eastAsia" w:ascii="宋体" w:hAnsi="宋体" w:eastAsia="宋体" w:cs="宋体"/>
                <w:sz w:val="21"/>
                <w:szCs w:val="21"/>
                <w14:ligatures w14:val="none"/>
              </w:rPr>
            </w:pPr>
          </w:p>
        </w:tc>
        <w:tc>
          <w:tcPr>
            <w:tcW w:w="948" w:type="pct"/>
            <w:tcBorders>
              <w:top w:val="single" w:color="auto" w:sz="4" w:space="0"/>
              <w:left w:val="single" w:color="auto" w:sz="4" w:space="0"/>
              <w:bottom w:val="single" w:color="auto" w:sz="4" w:space="0"/>
              <w:right w:val="single" w:color="auto" w:sz="4" w:space="0"/>
            </w:tcBorders>
            <w:vAlign w:val="center"/>
          </w:tcPr>
          <w:p w14:paraId="2D247BDE">
            <w:pPr>
              <w:snapToGrid w:val="0"/>
              <w:spacing w:after="0" w:line="240" w:lineRule="auto"/>
              <w:jc w:val="center"/>
              <w:rPr>
                <w:rFonts w:hint="eastAsia" w:ascii="宋体" w:hAnsi="宋体" w:eastAsia="宋体" w:cs="宋体"/>
                <w:sz w:val="21"/>
                <w:szCs w:val="21"/>
                <w14:ligatures w14:val="none"/>
              </w:rPr>
            </w:pPr>
          </w:p>
        </w:tc>
        <w:tc>
          <w:tcPr>
            <w:tcW w:w="609" w:type="pct"/>
            <w:tcBorders>
              <w:top w:val="single" w:color="auto" w:sz="4" w:space="0"/>
              <w:left w:val="single" w:color="auto" w:sz="4" w:space="0"/>
              <w:bottom w:val="single" w:color="auto" w:sz="4" w:space="0"/>
              <w:right w:val="single" w:color="auto" w:sz="4" w:space="0"/>
            </w:tcBorders>
            <w:vAlign w:val="center"/>
          </w:tcPr>
          <w:p w14:paraId="76CB123B">
            <w:pPr>
              <w:snapToGrid w:val="0"/>
              <w:spacing w:after="0" w:line="240" w:lineRule="auto"/>
              <w:jc w:val="center"/>
              <w:rPr>
                <w:rFonts w:hint="eastAsia" w:ascii="宋体" w:hAnsi="宋体" w:eastAsia="宋体" w:cs="宋体"/>
                <w:sz w:val="21"/>
                <w:szCs w:val="21"/>
                <w14:ligatures w14:val="none"/>
              </w:rPr>
            </w:pPr>
          </w:p>
        </w:tc>
        <w:tc>
          <w:tcPr>
            <w:tcW w:w="784" w:type="pct"/>
            <w:tcBorders>
              <w:top w:val="single" w:color="auto" w:sz="4" w:space="0"/>
              <w:left w:val="single" w:color="auto" w:sz="4" w:space="0"/>
              <w:bottom w:val="single" w:color="auto" w:sz="4" w:space="0"/>
              <w:right w:val="single" w:color="auto" w:sz="4" w:space="0"/>
            </w:tcBorders>
            <w:vAlign w:val="center"/>
          </w:tcPr>
          <w:p w14:paraId="22A53CEC">
            <w:pPr>
              <w:snapToGrid w:val="0"/>
              <w:spacing w:after="0" w:line="240" w:lineRule="auto"/>
              <w:jc w:val="center"/>
              <w:rPr>
                <w:rFonts w:hint="eastAsia" w:ascii="宋体" w:hAnsi="宋体" w:eastAsia="宋体" w:cs="宋体"/>
                <w:sz w:val="21"/>
                <w:szCs w:val="21"/>
                <w14:ligatures w14:val="none"/>
              </w:rPr>
            </w:pPr>
          </w:p>
        </w:tc>
        <w:tc>
          <w:tcPr>
            <w:tcW w:w="789" w:type="pct"/>
            <w:tcBorders>
              <w:top w:val="single" w:color="auto" w:sz="4" w:space="0"/>
              <w:left w:val="single" w:color="auto" w:sz="4" w:space="0"/>
              <w:bottom w:val="single" w:color="auto" w:sz="4" w:space="0"/>
              <w:right w:val="single" w:color="auto" w:sz="4" w:space="0"/>
            </w:tcBorders>
            <w:vAlign w:val="center"/>
          </w:tcPr>
          <w:p w14:paraId="321B301E">
            <w:pPr>
              <w:snapToGrid w:val="0"/>
              <w:spacing w:after="0" w:line="240" w:lineRule="auto"/>
              <w:jc w:val="center"/>
              <w:rPr>
                <w:rFonts w:hint="eastAsia" w:ascii="宋体" w:hAnsi="宋体" w:eastAsia="宋体" w:cs="宋体"/>
                <w:sz w:val="21"/>
                <w:szCs w:val="21"/>
                <w14:ligatures w14:val="none"/>
              </w:rPr>
            </w:pPr>
          </w:p>
        </w:tc>
        <w:tc>
          <w:tcPr>
            <w:tcW w:w="1431" w:type="pct"/>
            <w:tcBorders>
              <w:top w:val="single" w:color="auto" w:sz="4" w:space="0"/>
              <w:left w:val="single" w:color="auto" w:sz="4" w:space="0"/>
              <w:bottom w:val="single" w:color="auto" w:sz="4" w:space="0"/>
              <w:right w:val="single" w:color="auto" w:sz="4" w:space="0"/>
            </w:tcBorders>
            <w:vAlign w:val="center"/>
          </w:tcPr>
          <w:p w14:paraId="2BA589A0">
            <w:pPr>
              <w:snapToGrid w:val="0"/>
              <w:spacing w:after="0" w:line="240" w:lineRule="auto"/>
              <w:jc w:val="center"/>
              <w:rPr>
                <w:rFonts w:hint="eastAsia" w:ascii="宋体" w:hAnsi="宋体" w:eastAsia="宋体" w:cs="宋体"/>
                <w:sz w:val="21"/>
                <w:szCs w:val="21"/>
                <w14:ligatures w14:val="none"/>
              </w:rPr>
            </w:pPr>
          </w:p>
        </w:tc>
      </w:tr>
      <w:tr w14:paraId="2CEC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436" w:type="pct"/>
            <w:tcBorders>
              <w:top w:val="single" w:color="auto" w:sz="4" w:space="0"/>
              <w:left w:val="single" w:color="auto" w:sz="4" w:space="0"/>
              <w:bottom w:val="single" w:color="auto" w:sz="4" w:space="0"/>
              <w:right w:val="single" w:color="auto" w:sz="4" w:space="0"/>
            </w:tcBorders>
            <w:vAlign w:val="center"/>
          </w:tcPr>
          <w:p w14:paraId="5C75BE53">
            <w:pPr>
              <w:snapToGrid w:val="0"/>
              <w:spacing w:after="0" w:line="240" w:lineRule="auto"/>
              <w:jc w:val="center"/>
              <w:rPr>
                <w:rFonts w:hint="eastAsia" w:ascii="宋体" w:hAnsi="宋体" w:eastAsia="宋体" w:cs="宋体"/>
                <w:sz w:val="21"/>
                <w:szCs w:val="21"/>
                <w14:ligatures w14:val="none"/>
              </w:rPr>
            </w:pPr>
          </w:p>
        </w:tc>
        <w:tc>
          <w:tcPr>
            <w:tcW w:w="948" w:type="pct"/>
            <w:tcBorders>
              <w:top w:val="single" w:color="auto" w:sz="4" w:space="0"/>
              <w:left w:val="single" w:color="auto" w:sz="4" w:space="0"/>
              <w:bottom w:val="single" w:color="auto" w:sz="4" w:space="0"/>
              <w:right w:val="single" w:color="auto" w:sz="4" w:space="0"/>
            </w:tcBorders>
            <w:vAlign w:val="center"/>
          </w:tcPr>
          <w:p w14:paraId="270F8196">
            <w:pPr>
              <w:snapToGrid w:val="0"/>
              <w:spacing w:after="0" w:line="240" w:lineRule="auto"/>
              <w:jc w:val="center"/>
              <w:rPr>
                <w:rFonts w:hint="eastAsia" w:ascii="宋体" w:hAnsi="宋体" w:eastAsia="宋体" w:cs="宋体"/>
                <w:sz w:val="21"/>
                <w:szCs w:val="21"/>
                <w14:ligatures w14:val="none"/>
              </w:rPr>
            </w:pPr>
          </w:p>
        </w:tc>
        <w:tc>
          <w:tcPr>
            <w:tcW w:w="609" w:type="pct"/>
            <w:tcBorders>
              <w:top w:val="single" w:color="auto" w:sz="4" w:space="0"/>
              <w:left w:val="single" w:color="auto" w:sz="4" w:space="0"/>
              <w:bottom w:val="single" w:color="auto" w:sz="4" w:space="0"/>
              <w:right w:val="single" w:color="auto" w:sz="4" w:space="0"/>
            </w:tcBorders>
            <w:vAlign w:val="center"/>
          </w:tcPr>
          <w:p w14:paraId="5C266866">
            <w:pPr>
              <w:snapToGrid w:val="0"/>
              <w:spacing w:after="0" w:line="240" w:lineRule="auto"/>
              <w:jc w:val="center"/>
              <w:rPr>
                <w:rFonts w:hint="eastAsia" w:ascii="宋体" w:hAnsi="宋体" w:eastAsia="宋体" w:cs="宋体"/>
                <w:sz w:val="21"/>
                <w:szCs w:val="21"/>
                <w14:ligatures w14:val="none"/>
              </w:rPr>
            </w:pPr>
          </w:p>
        </w:tc>
        <w:tc>
          <w:tcPr>
            <w:tcW w:w="784" w:type="pct"/>
            <w:tcBorders>
              <w:top w:val="single" w:color="auto" w:sz="4" w:space="0"/>
              <w:left w:val="single" w:color="auto" w:sz="4" w:space="0"/>
              <w:bottom w:val="single" w:color="auto" w:sz="4" w:space="0"/>
              <w:right w:val="single" w:color="auto" w:sz="4" w:space="0"/>
            </w:tcBorders>
            <w:vAlign w:val="center"/>
          </w:tcPr>
          <w:p w14:paraId="71BC447A">
            <w:pPr>
              <w:snapToGrid w:val="0"/>
              <w:spacing w:after="0" w:line="240" w:lineRule="auto"/>
              <w:jc w:val="center"/>
              <w:rPr>
                <w:rFonts w:hint="eastAsia" w:ascii="宋体" w:hAnsi="宋体" w:eastAsia="宋体" w:cs="宋体"/>
                <w:sz w:val="21"/>
                <w:szCs w:val="21"/>
                <w14:ligatures w14:val="none"/>
              </w:rPr>
            </w:pPr>
          </w:p>
        </w:tc>
        <w:tc>
          <w:tcPr>
            <w:tcW w:w="789" w:type="pct"/>
            <w:tcBorders>
              <w:top w:val="single" w:color="auto" w:sz="4" w:space="0"/>
              <w:left w:val="single" w:color="auto" w:sz="4" w:space="0"/>
              <w:bottom w:val="single" w:color="auto" w:sz="4" w:space="0"/>
              <w:right w:val="single" w:color="auto" w:sz="4" w:space="0"/>
            </w:tcBorders>
            <w:vAlign w:val="center"/>
          </w:tcPr>
          <w:p w14:paraId="71731DF2">
            <w:pPr>
              <w:snapToGrid w:val="0"/>
              <w:spacing w:after="0" w:line="240" w:lineRule="auto"/>
              <w:jc w:val="center"/>
              <w:rPr>
                <w:rFonts w:hint="eastAsia" w:ascii="宋体" w:hAnsi="宋体" w:eastAsia="宋体" w:cs="宋体"/>
                <w:sz w:val="21"/>
                <w:szCs w:val="21"/>
                <w14:ligatures w14:val="none"/>
              </w:rPr>
            </w:pPr>
          </w:p>
        </w:tc>
        <w:tc>
          <w:tcPr>
            <w:tcW w:w="1431" w:type="pct"/>
            <w:tcBorders>
              <w:top w:val="single" w:color="auto" w:sz="4" w:space="0"/>
              <w:left w:val="single" w:color="auto" w:sz="4" w:space="0"/>
              <w:bottom w:val="single" w:color="auto" w:sz="4" w:space="0"/>
              <w:right w:val="single" w:color="auto" w:sz="4" w:space="0"/>
            </w:tcBorders>
            <w:vAlign w:val="center"/>
          </w:tcPr>
          <w:p w14:paraId="13CFD82B">
            <w:pPr>
              <w:snapToGrid w:val="0"/>
              <w:spacing w:after="0" w:line="240" w:lineRule="auto"/>
              <w:jc w:val="center"/>
              <w:rPr>
                <w:rFonts w:hint="eastAsia" w:ascii="宋体" w:hAnsi="宋体" w:eastAsia="宋体" w:cs="宋体"/>
                <w:sz w:val="21"/>
                <w:szCs w:val="21"/>
                <w14:ligatures w14:val="none"/>
              </w:rPr>
            </w:pPr>
          </w:p>
        </w:tc>
      </w:tr>
      <w:tr w14:paraId="046F8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000" w:type="pct"/>
            <w:gridSpan w:val="6"/>
            <w:tcBorders>
              <w:top w:val="single" w:color="auto" w:sz="4" w:space="0"/>
              <w:left w:val="single" w:color="auto" w:sz="4" w:space="0"/>
              <w:bottom w:val="single" w:color="auto" w:sz="4" w:space="0"/>
              <w:right w:val="single" w:color="auto" w:sz="4" w:space="0"/>
            </w:tcBorders>
            <w:vAlign w:val="center"/>
          </w:tcPr>
          <w:p w14:paraId="36920614">
            <w:pPr>
              <w:snapToGrid w:val="0"/>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说明：此表后应附相关证明材料。</w:t>
            </w:r>
          </w:p>
        </w:tc>
      </w:tr>
    </w:tbl>
    <w:p w14:paraId="301E3AD4">
      <w:pPr>
        <w:rPr>
          <w:rFonts w:hint="eastAsia" w:ascii="宋体" w:hAnsi="宋体" w:eastAsia="宋体" w:cs="宋体"/>
        </w:rPr>
      </w:pPr>
    </w:p>
    <w:p w14:paraId="58A047E2">
      <w:pPr>
        <w:rPr>
          <w:rFonts w:hint="eastAsia" w:ascii="宋体" w:hAnsi="宋体" w:eastAsia="宋体" w:cs="宋体"/>
        </w:rPr>
      </w:pPr>
      <w:r>
        <w:rPr>
          <w:rFonts w:hint="eastAsia" w:ascii="宋体" w:hAnsi="宋体" w:eastAsia="宋体" w:cs="宋体"/>
        </w:rPr>
        <w:br w:type="page"/>
      </w:r>
    </w:p>
    <w:p w14:paraId="14BDB907">
      <w:pPr>
        <w:rPr>
          <w:rFonts w:ascii="Times New Roman" w:hAnsi="Times New Roman" w:cs="Times New Roman"/>
          <w:sz w:val="21"/>
          <w:szCs w:val="21"/>
        </w:rPr>
      </w:pPr>
    </w:p>
    <w:p w14:paraId="034FECF1">
      <w:pPr>
        <w:rPr>
          <w:rFonts w:cs="宋体"/>
          <w:sz w:val="21"/>
          <w:szCs w:val="21"/>
          <w:lang w:eastAsia="zh-CN"/>
        </w:rPr>
      </w:pPr>
      <w:r>
        <w:rPr>
          <w:rFonts w:hint="eastAsia" w:cs="宋体"/>
          <w:sz w:val="21"/>
          <w:szCs w:val="21"/>
          <w:lang w:eastAsia="zh-CN"/>
        </w:rPr>
        <w:t>附表</w:t>
      </w:r>
      <w:r>
        <w:rPr>
          <w:rFonts w:hint="eastAsia" w:cs="宋体"/>
          <w:sz w:val="21"/>
          <w:szCs w:val="21"/>
          <w:lang w:val="en-US" w:eastAsia="zh-CN"/>
        </w:rPr>
        <w:t>六</w:t>
      </w:r>
      <w:r>
        <w:rPr>
          <w:rFonts w:hint="eastAsia" w:cs="宋体"/>
          <w:sz w:val="21"/>
          <w:szCs w:val="21"/>
          <w:lang w:eastAsia="zh-CN"/>
        </w:rPr>
        <w:t>：</w:t>
      </w:r>
    </w:p>
    <w:p w14:paraId="0506EDB6">
      <w:pPr>
        <w:pStyle w:val="335"/>
        <w:spacing w:before="0" w:after="0" w:line="291" w:lineRule="exact"/>
        <w:ind w:left="137"/>
        <w:jc w:val="center"/>
        <w:rPr>
          <w:rFonts w:hint="eastAsia" w:ascii="宋体" w:hAnsi="宋体" w:cs="宋体"/>
          <w:sz w:val="28"/>
          <w:lang w:eastAsia="zh-CN"/>
        </w:rPr>
      </w:pPr>
      <w:r>
        <w:rPr>
          <w:rFonts w:hint="eastAsia" w:ascii="宋体" w:hAnsi="宋体" w:cs="宋体"/>
          <w:b/>
          <w:sz w:val="21"/>
          <w:szCs w:val="21"/>
          <w:lang w:eastAsia="zh-CN"/>
        </w:rPr>
        <w:t>投标人完成类似项目业绩一览表</w:t>
      </w:r>
    </w:p>
    <w:tbl>
      <w:tblPr>
        <w:tblStyle w:val="50"/>
        <w:tblW w:w="491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770"/>
        <w:gridCol w:w="1153"/>
        <w:gridCol w:w="1309"/>
        <w:gridCol w:w="1393"/>
        <w:gridCol w:w="1230"/>
        <w:gridCol w:w="1182"/>
        <w:gridCol w:w="1142"/>
        <w:gridCol w:w="614"/>
      </w:tblGrid>
      <w:tr w14:paraId="3E71ED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70" w:type="dxa"/>
            <w:tcBorders>
              <w:top w:val="single" w:color="auto" w:sz="12" w:space="0"/>
              <w:left w:val="single" w:color="auto" w:sz="12" w:space="0"/>
              <w:bottom w:val="single" w:color="auto" w:sz="4" w:space="0"/>
              <w:right w:val="single" w:color="auto" w:sz="4" w:space="0"/>
            </w:tcBorders>
            <w:vAlign w:val="center"/>
          </w:tcPr>
          <w:p w14:paraId="06FBE3E9">
            <w:pPr>
              <w:snapToGrid w:val="0"/>
              <w:jc w:val="center"/>
              <w:rPr>
                <w:rFonts w:hint="eastAsia" w:ascii="仿宋" w:hAnsi="仿宋" w:eastAsia="仿宋" w:cs="Times New Roman"/>
                <w:b/>
                <w:bCs/>
                <w:sz w:val="22"/>
                <w:szCs w:val="22"/>
              </w:rPr>
            </w:pPr>
            <w:r>
              <w:rPr>
                <w:rFonts w:hint="eastAsia" w:ascii="仿宋" w:hAnsi="仿宋" w:eastAsia="仿宋" w:cs="Times New Roman"/>
                <w:b/>
                <w:bCs/>
                <w:sz w:val="22"/>
                <w:szCs w:val="22"/>
              </w:rPr>
              <w:t>序号</w:t>
            </w:r>
          </w:p>
        </w:tc>
        <w:tc>
          <w:tcPr>
            <w:tcW w:w="772" w:type="dxa"/>
            <w:tcBorders>
              <w:top w:val="single" w:color="auto" w:sz="12" w:space="0"/>
              <w:left w:val="single" w:color="auto" w:sz="12" w:space="0"/>
              <w:bottom w:val="single" w:color="auto" w:sz="4" w:space="0"/>
              <w:right w:val="single" w:color="auto" w:sz="4" w:space="0"/>
            </w:tcBorders>
            <w:vAlign w:val="center"/>
          </w:tcPr>
          <w:p w14:paraId="15637048">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年份</w:t>
            </w:r>
          </w:p>
        </w:tc>
        <w:tc>
          <w:tcPr>
            <w:tcW w:w="1157" w:type="dxa"/>
            <w:tcBorders>
              <w:top w:val="single" w:color="auto" w:sz="12" w:space="0"/>
              <w:left w:val="single" w:color="auto" w:sz="4" w:space="0"/>
              <w:bottom w:val="single" w:color="auto" w:sz="4" w:space="0"/>
              <w:right w:val="single" w:color="auto" w:sz="4" w:space="0"/>
            </w:tcBorders>
            <w:vAlign w:val="center"/>
          </w:tcPr>
          <w:p w14:paraId="547E6F2D">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用户名称</w:t>
            </w:r>
          </w:p>
        </w:tc>
        <w:tc>
          <w:tcPr>
            <w:tcW w:w="1314" w:type="dxa"/>
            <w:tcBorders>
              <w:top w:val="single" w:color="auto" w:sz="12" w:space="0"/>
              <w:left w:val="single" w:color="auto" w:sz="4" w:space="0"/>
              <w:bottom w:val="single" w:color="auto" w:sz="4" w:space="0"/>
              <w:right w:val="single" w:color="auto" w:sz="4" w:space="0"/>
            </w:tcBorders>
            <w:vAlign w:val="center"/>
          </w:tcPr>
          <w:p w14:paraId="1AA0C92E">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项目名称</w:t>
            </w:r>
          </w:p>
        </w:tc>
        <w:tc>
          <w:tcPr>
            <w:tcW w:w="1398" w:type="dxa"/>
            <w:tcBorders>
              <w:top w:val="single" w:color="auto" w:sz="12" w:space="0"/>
              <w:left w:val="single" w:color="auto" w:sz="4" w:space="0"/>
              <w:bottom w:val="single" w:color="auto" w:sz="4" w:space="0"/>
              <w:right w:val="single" w:color="auto" w:sz="4" w:space="0"/>
            </w:tcBorders>
            <w:vAlign w:val="center"/>
          </w:tcPr>
          <w:p w14:paraId="5CE2D419">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合同金额</w:t>
            </w:r>
          </w:p>
        </w:tc>
        <w:tc>
          <w:tcPr>
            <w:tcW w:w="1234" w:type="dxa"/>
            <w:tcBorders>
              <w:top w:val="single" w:color="auto" w:sz="12" w:space="0"/>
              <w:left w:val="single" w:color="auto" w:sz="4" w:space="0"/>
              <w:bottom w:val="single" w:color="auto" w:sz="4" w:space="0"/>
              <w:right w:val="single" w:color="auto" w:sz="4" w:space="0"/>
            </w:tcBorders>
            <w:vAlign w:val="center"/>
          </w:tcPr>
          <w:p w14:paraId="57C97083">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完成时间</w:t>
            </w:r>
          </w:p>
        </w:tc>
        <w:tc>
          <w:tcPr>
            <w:tcW w:w="1186" w:type="dxa"/>
            <w:tcBorders>
              <w:top w:val="single" w:color="auto" w:sz="12" w:space="0"/>
              <w:left w:val="single" w:color="auto" w:sz="4" w:space="0"/>
              <w:bottom w:val="single" w:color="auto" w:sz="4" w:space="0"/>
              <w:right w:val="single" w:color="auto" w:sz="4" w:space="0"/>
            </w:tcBorders>
            <w:vAlign w:val="center"/>
          </w:tcPr>
          <w:p w14:paraId="21B49AAD">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完成质量</w:t>
            </w:r>
          </w:p>
        </w:tc>
        <w:tc>
          <w:tcPr>
            <w:tcW w:w="1146" w:type="dxa"/>
            <w:tcBorders>
              <w:top w:val="single" w:color="auto" w:sz="12" w:space="0"/>
              <w:left w:val="single" w:color="auto" w:sz="4" w:space="0"/>
              <w:bottom w:val="single" w:color="auto" w:sz="4" w:space="0"/>
              <w:right w:val="single" w:color="auto" w:sz="12" w:space="0"/>
            </w:tcBorders>
            <w:vAlign w:val="center"/>
          </w:tcPr>
          <w:p w14:paraId="60838D9D">
            <w:pPr>
              <w:snapToGrid w:val="0"/>
              <w:jc w:val="center"/>
              <w:rPr>
                <w:rFonts w:hint="eastAsia" w:ascii="仿宋" w:hAnsi="仿宋" w:eastAsia="仿宋" w:cs="Times New Roman"/>
                <w:b/>
                <w:bCs/>
                <w:sz w:val="22"/>
                <w:szCs w:val="22"/>
              </w:rPr>
            </w:pPr>
            <w:r>
              <w:rPr>
                <w:rFonts w:hint="eastAsia" w:ascii="仿宋" w:hAnsi="仿宋" w:eastAsia="仿宋" w:cs="Times New Roman"/>
                <w:b/>
                <w:bCs/>
                <w:sz w:val="22"/>
                <w:szCs w:val="22"/>
              </w:rPr>
              <w:t>项目经理</w:t>
            </w:r>
          </w:p>
        </w:tc>
        <w:tc>
          <w:tcPr>
            <w:tcW w:w="615" w:type="dxa"/>
            <w:tcBorders>
              <w:top w:val="single" w:color="auto" w:sz="12" w:space="0"/>
              <w:left w:val="single" w:color="auto" w:sz="4" w:space="0"/>
              <w:bottom w:val="single" w:color="auto" w:sz="4" w:space="0"/>
              <w:right w:val="single" w:color="auto" w:sz="12" w:space="0"/>
            </w:tcBorders>
            <w:vAlign w:val="center"/>
          </w:tcPr>
          <w:p w14:paraId="24759E0D">
            <w:pPr>
              <w:snapToGrid w:val="0"/>
              <w:jc w:val="center"/>
              <w:rPr>
                <w:rFonts w:ascii="Times New Roman" w:hAnsi="Times New Roman" w:eastAsia="仿宋" w:cs="仿宋"/>
                <w:b/>
                <w:bCs/>
                <w:sz w:val="22"/>
                <w:szCs w:val="22"/>
              </w:rPr>
            </w:pPr>
            <w:r>
              <w:rPr>
                <w:rFonts w:hint="eastAsia" w:ascii="仿宋" w:hAnsi="仿宋" w:eastAsia="仿宋" w:cs="Times New Roman"/>
                <w:b/>
                <w:bCs/>
                <w:sz w:val="22"/>
                <w:szCs w:val="22"/>
              </w:rPr>
              <w:t>备注</w:t>
            </w:r>
          </w:p>
        </w:tc>
      </w:tr>
      <w:tr w14:paraId="177381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20DE0DD2">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78DD1F1C">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1897C361">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64B7EB69">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2C279659">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56EF94D6">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14851309">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6DBB68CF">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017F7ADF">
            <w:pPr>
              <w:snapToGrid w:val="0"/>
              <w:jc w:val="center"/>
              <w:rPr>
                <w:rFonts w:ascii="Times New Roman" w:hAnsi="Times New Roman" w:eastAsia="仿宋" w:cs="仿宋"/>
                <w:sz w:val="28"/>
                <w:szCs w:val="28"/>
              </w:rPr>
            </w:pPr>
          </w:p>
        </w:tc>
      </w:tr>
      <w:tr w14:paraId="359173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0F80E9DF">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47A8DC2D">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0CD1B089">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557062FF">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3AA9C502">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47940B8D">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537DE300">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5FC5912C">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4A571FA3">
            <w:pPr>
              <w:snapToGrid w:val="0"/>
              <w:jc w:val="center"/>
              <w:rPr>
                <w:rFonts w:ascii="Times New Roman" w:hAnsi="Times New Roman" w:eastAsia="仿宋" w:cs="仿宋"/>
                <w:sz w:val="28"/>
                <w:szCs w:val="28"/>
              </w:rPr>
            </w:pPr>
          </w:p>
        </w:tc>
      </w:tr>
      <w:tr w14:paraId="47B67C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4AFEEB9B">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4BBB3A85">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528D075C">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16EBF639">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2D0BBA6E">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0D34DE79">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5FBC335F">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77D01A06">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375C09AA">
            <w:pPr>
              <w:snapToGrid w:val="0"/>
              <w:jc w:val="center"/>
              <w:rPr>
                <w:rFonts w:ascii="Times New Roman" w:hAnsi="Times New Roman" w:eastAsia="仿宋" w:cs="仿宋"/>
                <w:sz w:val="28"/>
                <w:szCs w:val="28"/>
              </w:rPr>
            </w:pPr>
          </w:p>
        </w:tc>
      </w:tr>
      <w:tr w14:paraId="033DB4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4BACE08D">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0D055E57">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7A07B5F7">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775F2A59">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2CDD459F">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73590739">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607FD2BE">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57F83C1E">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4EFCD4B7">
            <w:pPr>
              <w:snapToGrid w:val="0"/>
              <w:jc w:val="center"/>
              <w:rPr>
                <w:rFonts w:ascii="Times New Roman" w:hAnsi="Times New Roman" w:eastAsia="仿宋" w:cs="仿宋"/>
                <w:sz w:val="28"/>
                <w:szCs w:val="28"/>
              </w:rPr>
            </w:pPr>
          </w:p>
        </w:tc>
      </w:tr>
      <w:tr w14:paraId="26D745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6BECACE9">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475EBD28">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54B6D7B9">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595B817F">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67EBD14A">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6DC2077B">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28279CDE">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33DDC054">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46114090">
            <w:pPr>
              <w:snapToGrid w:val="0"/>
              <w:jc w:val="center"/>
              <w:rPr>
                <w:rFonts w:ascii="Times New Roman" w:hAnsi="Times New Roman" w:eastAsia="仿宋" w:cs="仿宋"/>
                <w:sz w:val="28"/>
                <w:szCs w:val="28"/>
              </w:rPr>
            </w:pPr>
          </w:p>
        </w:tc>
      </w:tr>
      <w:tr w14:paraId="4AF366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74F5E695">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76F9AC8B">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206ADCC8">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365F557F">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6DBEB24B">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43B6F721">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78E4681F">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1C8DC90D">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4D000A0F">
            <w:pPr>
              <w:snapToGrid w:val="0"/>
              <w:jc w:val="center"/>
              <w:rPr>
                <w:rFonts w:ascii="Times New Roman" w:hAnsi="Times New Roman" w:eastAsia="仿宋" w:cs="仿宋"/>
                <w:sz w:val="28"/>
                <w:szCs w:val="28"/>
              </w:rPr>
            </w:pPr>
          </w:p>
        </w:tc>
      </w:tr>
      <w:tr w14:paraId="4262DF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5EAE83B5">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5C8DEFE2">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0E0A89BB">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3EA5D17E">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096FD803">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0361662F">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09FF6544">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1F0996B1">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0FA4CC62">
            <w:pPr>
              <w:snapToGrid w:val="0"/>
              <w:jc w:val="center"/>
              <w:rPr>
                <w:rFonts w:ascii="Times New Roman" w:hAnsi="Times New Roman" w:eastAsia="仿宋" w:cs="仿宋"/>
                <w:sz w:val="28"/>
                <w:szCs w:val="28"/>
              </w:rPr>
            </w:pPr>
          </w:p>
        </w:tc>
      </w:tr>
      <w:tr w14:paraId="3E4378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55924DA7">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4DC52878">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469AB68D">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0B59A1AD">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3146B2CF">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0EDF3D45">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5BAD21CB">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0347EA1F">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17696F34">
            <w:pPr>
              <w:snapToGrid w:val="0"/>
              <w:jc w:val="center"/>
              <w:rPr>
                <w:rFonts w:ascii="Times New Roman" w:hAnsi="Times New Roman" w:eastAsia="仿宋" w:cs="仿宋"/>
                <w:sz w:val="28"/>
                <w:szCs w:val="28"/>
              </w:rPr>
            </w:pPr>
          </w:p>
        </w:tc>
      </w:tr>
      <w:tr w14:paraId="1265B7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168A5119">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28CF75BD">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52AD53C6">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796A5206">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08692E28">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1BE5976A">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42E9ABC3">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6B0D5EF8">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2173E955">
            <w:pPr>
              <w:snapToGrid w:val="0"/>
              <w:jc w:val="center"/>
              <w:rPr>
                <w:rFonts w:ascii="Times New Roman" w:hAnsi="Times New Roman" w:eastAsia="仿宋" w:cs="仿宋"/>
                <w:sz w:val="28"/>
                <w:szCs w:val="28"/>
              </w:rPr>
            </w:pPr>
          </w:p>
        </w:tc>
      </w:tr>
      <w:tr w14:paraId="2DEC17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0FA428A1">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015BB022">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2A468B44">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15FBB0E6">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09178B49">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1F1D1FFF">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0F923E78">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7AEE5537">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2746225B">
            <w:pPr>
              <w:snapToGrid w:val="0"/>
              <w:jc w:val="center"/>
              <w:rPr>
                <w:rFonts w:ascii="Times New Roman" w:hAnsi="Times New Roman" w:eastAsia="仿宋" w:cs="仿宋"/>
                <w:sz w:val="28"/>
                <w:szCs w:val="28"/>
              </w:rPr>
            </w:pPr>
          </w:p>
        </w:tc>
      </w:tr>
      <w:tr w14:paraId="5E8F6A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77CFCFE7">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6DEE9C98">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66D58298">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7375AAF2">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58328820">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6CFFC670">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22C4F13E">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68406B73">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106969D4">
            <w:pPr>
              <w:snapToGrid w:val="0"/>
              <w:jc w:val="center"/>
              <w:rPr>
                <w:rFonts w:ascii="Times New Roman" w:hAnsi="Times New Roman" w:eastAsia="仿宋" w:cs="仿宋"/>
                <w:sz w:val="28"/>
                <w:szCs w:val="28"/>
              </w:rPr>
            </w:pPr>
          </w:p>
        </w:tc>
      </w:tr>
      <w:tr w14:paraId="7DB7D6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463C8D7C">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38DD62B0">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0898518A">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51164E8E">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10E17223">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754BCB29">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3BAD790B">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51E4F4C9">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75B5353D">
            <w:pPr>
              <w:snapToGrid w:val="0"/>
              <w:jc w:val="center"/>
              <w:rPr>
                <w:rFonts w:ascii="Times New Roman" w:hAnsi="Times New Roman" w:eastAsia="仿宋" w:cs="仿宋"/>
                <w:sz w:val="28"/>
                <w:szCs w:val="28"/>
              </w:rPr>
            </w:pPr>
          </w:p>
        </w:tc>
      </w:tr>
      <w:tr w14:paraId="372131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05882F5F">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57FE12FA">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2D6E6E5B">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6DB26CD9">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784DF01B">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1ED75BE6">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31071B0A">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46A38333">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0F2DFF96">
            <w:pPr>
              <w:snapToGrid w:val="0"/>
              <w:jc w:val="center"/>
              <w:rPr>
                <w:rFonts w:ascii="Times New Roman" w:hAnsi="Times New Roman" w:eastAsia="仿宋" w:cs="仿宋"/>
                <w:sz w:val="28"/>
                <w:szCs w:val="28"/>
              </w:rPr>
            </w:pPr>
          </w:p>
        </w:tc>
      </w:tr>
      <w:tr w14:paraId="761B99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70" w:type="dxa"/>
            <w:tcBorders>
              <w:top w:val="single" w:color="auto" w:sz="4" w:space="0"/>
              <w:left w:val="single" w:color="auto" w:sz="12" w:space="0"/>
              <w:bottom w:val="single" w:color="auto" w:sz="4" w:space="0"/>
              <w:right w:val="single" w:color="auto" w:sz="4" w:space="0"/>
            </w:tcBorders>
            <w:vAlign w:val="center"/>
          </w:tcPr>
          <w:p w14:paraId="0CC844EA">
            <w:pPr>
              <w:snapToGrid w:val="0"/>
              <w:jc w:val="center"/>
              <w:rPr>
                <w:rFonts w:ascii="Times New Roman" w:hAnsi="Times New Roman" w:eastAsia="仿宋" w:cs="仿宋"/>
                <w:sz w:val="28"/>
                <w:szCs w:val="28"/>
              </w:rPr>
            </w:pPr>
          </w:p>
        </w:tc>
        <w:tc>
          <w:tcPr>
            <w:tcW w:w="772" w:type="dxa"/>
            <w:tcBorders>
              <w:top w:val="single" w:color="auto" w:sz="4" w:space="0"/>
              <w:left w:val="single" w:color="auto" w:sz="12" w:space="0"/>
              <w:bottom w:val="single" w:color="auto" w:sz="4" w:space="0"/>
              <w:right w:val="single" w:color="auto" w:sz="4" w:space="0"/>
            </w:tcBorders>
            <w:vAlign w:val="center"/>
          </w:tcPr>
          <w:p w14:paraId="4F5D03BE">
            <w:pPr>
              <w:snapToGrid w:val="0"/>
              <w:jc w:val="center"/>
              <w:rPr>
                <w:rFonts w:ascii="Times New Roman" w:hAnsi="Times New Roman"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vAlign w:val="center"/>
          </w:tcPr>
          <w:p w14:paraId="76B20D25">
            <w:pPr>
              <w:snapToGrid w:val="0"/>
              <w:jc w:val="center"/>
              <w:rPr>
                <w:rFonts w:ascii="Times New Roman" w:hAnsi="Times New Roman" w:eastAsia="仿宋" w:cs="仿宋"/>
                <w:sz w:val="28"/>
                <w:szCs w:val="28"/>
              </w:rPr>
            </w:pPr>
          </w:p>
        </w:tc>
        <w:tc>
          <w:tcPr>
            <w:tcW w:w="1314" w:type="dxa"/>
            <w:tcBorders>
              <w:top w:val="single" w:color="auto" w:sz="4" w:space="0"/>
              <w:left w:val="single" w:color="auto" w:sz="4" w:space="0"/>
              <w:bottom w:val="single" w:color="auto" w:sz="4" w:space="0"/>
              <w:right w:val="single" w:color="auto" w:sz="4" w:space="0"/>
            </w:tcBorders>
            <w:vAlign w:val="center"/>
          </w:tcPr>
          <w:p w14:paraId="733FC74B">
            <w:pPr>
              <w:snapToGrid w:val="0"/>
              <w:jc w:val="center"/>
              <w:rPr>
                <w:rFonts w:ascii="Times New Roman" w:hAnsi="Times New Roman" w:eastAsia="仿宋" w:cs="仿宋"/>
                <w:sz w:val="28"/>
                <w:szCs w:val="28"/>
              </w:rPr>
            </w:pPr>
          </w:p>
        </w:tc>
        <w:tc>
          <w:tcPr>
            <w:tcW w:w="1398" w:type="dxa"/>
            <w:tcBorders>
              <w:top w:val="single" w:color="auto" w:sz="4" w:space="0"/>
              <w:left w:val="single" w:color="auto" w:sz="4" w:space="0"/>
              <w:bottom w:val="single" w:color="auto" w:sz="4" w:space="0"/>
              <w:right w:val="single" w:color="auto" w:sz="4" w:space="0"/>
            </w:tcBorders>
            <w:vAlign w:val="center"/>
          </w:tcPr>
          <w:p w14:paraId="5C0230CF">
            <w:pPr>
              <w:snapToGrid w:val="0"/>
              <w:jc w:val="center"/>
              <w:rPr>
                <w:rFonts w:ascii="Times New Roman" w:hAnsi="Times New Roman" w:eastAsia="仿宋" w:cs="仿宋"/>
                <w:sz w:val="28"/>
                <w:szCs w:val="28"/>
              </w:rPr>
            </w:pPr>
          </w:p>
        </w:tc>
        <w:tc>
          <w:tcPr>
            <w:tcW w:w="1234" w:type="dxa"/>
            <w:tcBorders>
              <w:top w:val="single" w:color="auto" w:sz="4" w:space="0"/>
              <w:left w:val="single" w:color="auto" w:sz="4" w:space="0"/>
              <w:bottom w:val="single" w:color="auto" w:sz="4" w:space="0"/>
              <w:right w:val="single" w:color="auto" w:sz="4" w:space="0"/>
            </w:tcBorders>
            <w:vAlign w:val="center"/>
          </w:tcPr>
          <w:p w14:paraId="6ECA510E">
            <w:pPr>
              <w:snapToGrid w:val="0"/>
              <w:jc w:val="center"/>
              <w:rPr>
                <w:rFonts w:ascii="Times New Roman" w:hAnsi="Times New Roman" w:eastAsia="仿宋" w:cs="仿宋"/>
                <w:sz w:val="28"/>
                <w:szCs w:val="28"/>
              </w:rPr>
            </w:pPr>
          </w:p>
        </w:tc>
        <w:tc>
          <w:tcPr>
            <w:tcW w:w="1186" w:type="dxa"/>
            <w:tcBorders>
              <w:top w:val="single" w:color="auto" w:sz="4" w:space="0"/>
              <w:left w:val="single" w:color="auto" w:sz="4" w:space="0"/>
              <w:bottom w:val="single" w:color="auto" w:sz="4" w:space="0"/>
              <w:right w:val="single" w:color="auto" w:sz="4" w:space="0"/>
            </w:tcBorders>
            <w:vAlign w:val="center"/>
          </w:tcPr>
          <w:p w14:paraId="0D20C651">
            <w:pPr>
              <w:snapToGrid w:val="0"/>
              <w:jc w:val="center"/>
              <w:rPr>
                <w:rFonts w:ascii="Times New Roman" w:hAnsi="Times New Roman" w:eastAsia="仿宋" w:cs="仿宋"/>
                <w:sz w:val="28"/>
                <w:szCs w:val="28"/>
              </w:rPr>
            </w:pPr>
          </w:p>
        </w:tc>
        <w:tc>
          <w:tcPr>
            <w:tcW w:w="1146" w:type="dxa"/>
            <w:tcBorders>
              <w:top w:val="single" w:color="auto" w:sz="4" w:space="0"/>
              <w:left w:val="single" w:color="auto" w:sz="4" w:space="0"/>
              <w:bottom w:val="single" w:color="auto" w:sz="4" w:space="0"/>
              <w:right w:val="single" w:color="auto" w:sz="12" w:space="0"/>
            </w:tcBorders>
            <w:vAlign w:val="center"/>
          </w:tcPr>
          <w:p w14:paraId="5357970C">
            <w:pPr>
              <w:snapToGrid w:val="0"/>
              <w:jc w:val="center"/>
              <w:rPr>
                <w:rFonts w:ascii="Times New Roman" w:hAnsi="Times New Roman" w:eastAsia="仿宋" w:cs="仿宋"/>
                <w:sz w:val="28"/>
                <w:szCs w:val="28"/>
              </w:rPr>
            </w:pPr>
          </w:p>
        </w:tc>
        <w:tc>
          <w:tcPr>
            <w:tcW w:w="615" w:type="dxa"/>
            <w:tcBorders>
              <w:top w:val="single" w:color="auto" w:sz="4" w:space="0"/>
              <w:left w:val="single" w:color="auto" w:sz="4" w:space="0"/>
              <w:bottom w:val="single" w:color="auto" w:sz="4" w:space="0"/>
              <w:right w:val="single" w:color="auto" w:sz="12" w:space="0"/>
            </w:tcBorders>
            <w:vAlign w:val="center"/>
          </w:tcPr>
          <w:p w14:paraId="412E201B">
            <w:pPr>
              <w:snapToGrid w:val="0"/>
              <w:jc w:val="center"/>
              <w:rPr>
                <w:rFonts w:ascii="Times New Roman" w:hAnsi="Times New Roman" w:eastAsia="仿宋" w:cs="仿宋"/>
                <w:sz w:val="28"/>
                <w:szCs w:val="28"/>
              </w:rPr>
            </w:pPr>
          </w:p>
        </w:tc>
      </w:tr>
      <w:tr w14:paraId="286175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99" w:hRule="atLeast"/>
          <w:jc w:val="center"/>
        </w:trPr>
        <w:tc>
          <w:tcPr>
            <w:tcW w:w="9592" w:type="dxa"/>
            <w:gridSpan w:val="9"/>
            <w:tcBorders>
              <w:top w:val="single" w:color="auto" w:sz="4" w:space="0"/>
              <w:left w:val="single" w:color="auto" w:sz="12" w:space="0"/>
              <w:bottom w:val="single" w:color="auto" w:sz="12" w:space="0"/>
              <w:right w:val="single" w:color="auto" w:sz="12" w:space="0"/>
            </w:tcBorders>
            <w:vAlign w:val="center"/>
          </w:tcPr>
          <w:p w14:paraId="0C0817D7">
            <w:pPr>
              <w:adjustRightInd w:val="0"/>
              <w:snapToGrid w:val="0"/>
              <w:rPr>
                <w:rFonts w:hint="eastAsia" w:ascii="宋体" w:hAnsi="宋体" w:eastAsia="宋体" w:cs="宋体"/>
                <w:sz w:val="21"/>
                <w:szCs w:val="21"/>
              </w:rPr>
            </w:pPr>
            <w:r>
              <w:rPr>
                <w:rFonts w:hint="eastAsia" w:ascii="宋体" w:hAnsi="宋体" w:eastAsia="宋体" w:cs="宋体"/>
                <w:sz w:val="21"/>
                <w:szCs w:val="21"/>
              </w:rPr>
              <w:t>说明：</w:t>
            </w:r>
          </w:p>
          <w:p w14:paraId="1996BDB4">
            <w:pPr>
              <w:adjustRightInd w:val="0"/>
              <w:snapToGrid w:val="0"/>
              <w:rPr>
                <w:rFonts w:hint="eastAsia" w:ascii="宋体" w:hAnsi="宋体" w:eastAsia="宋体" w:cs="宋体"/>
                <w:sz w:val="21"/>
                <w:szCs w:val="21"/>
              </w:rPr>
            </w:pPr>
            <w:r>
              <w:rPr>
                <w:rFonts w:hint="eastAsia" w:ascii="宋体" w:hAnsi="宋体" w:eastAsia="宋体" w:cs="宋体"/>
                <w:sz w:val="21"/>
                <w:szCs w:val="21"/>
              </w:rPr>
              <w:t>1.提供自2023年1月1日以来的类似业绩证明材料。类似业绩是指与招标项目在类型、规模等方面相同或相近的项目；</w:t>
            </w:r>
          </w:p>
          <w:p w14:paraId="07D3F5C8">
            <w:pPr>
              <w:adjustRightInd w:val="0"/>
              <w:snapToGrid w:val="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业绩证明材料以合同复印件为准，时间以合同签订时间为准。</w:t>
            </w:r>
            <w:r>
              <w:rPr>
                <w:rFonts w:hint="eastAsia" w:ascii="宋体" w:hAnsi="宋体" w:eastAsia="宋体" w:cs="宋体"/>
                <w:sz w:val="21"/>
                <w:szCs w:val="21"/>
              </w:rPr>
              <w:t>应在此表后附证明，“合同主体”“签字盖章”“签订日期”等信息应在合同复印件中有体现；</w:t>
            </w:r>
          </w:p>
          <w:p w14:paraId="31F2C2AD">
            <w:pPr>
              <w:adjustRightInd w:val="0"/>
              <w:snapToGrid w:val="0"/>
              <w:rPr>
                <w:rFonts w:hint="eastAsia" w:ascii="宋体" w:hAnsi="宋体" w:eastAsia="宋体" w:cs="宋体"/>
                <w:sz w:val="21"/>
                <w:szCs w:val="21"/>
              </w:rPr>
            </w:pPr>
            <w:r>
              <w:rPr>
                <w:rFonts w:hint="eastAsia" w:ascii="宋体" w:hAnsi="宋体" w:eastAsia="宋体" w:cs="宋体"/>
                <w:sz w:val="21"/>
                <w:szCs w:val="21"/>
              </w:rPr>
              <w:t>3.未按要求提供相应证明材料，评审时不予以加分。</w:t>
            </w:r>
          </w:p>
          <w:p w14:paraId="2A54E872">
            <w:pPr>
              <w:adjustRightInd w:val="0"/>
              <w:snapToGrid w:val="0"/>
              <w:rPr>
                <w:rFonts w:ascii="Times New Roman" w:hAnsi="Times New Roman" w:eastAsia="仿宋" w:cs="仿宋"/>
                <w:sz w:val="28"/>
                <w:szCs w:val="28"/>
              </w:rPr>
            </w:pPr>
            <w:r>
              <w:rPr>
                <w:rFonts w:hint="eastAsia" w:ascii="宋体" w:hAnsi="宋体" w:eastAsia="宋体" w:cs="宋体"/>
                <w:sz w:val="21"/>
                <w:szCs w:val="21"/>
              </w:rPr>
              <w:t>4.应如实列出以上情况，如有隐瞒，一经查实将导致其投标文件被拒绝。</w:t>
            </w:r>
          </w:p>
        </w:tc>
      </w:tr>
    </w:tbl>
    <w:p w14:paraId="3E932107">
      <w:pPr>
        <w:pStyle w:val="335"/>
        <w:spacing w:before="0" w:after="0" w:line="291" w:lineRule="exact"/>
        <w:ind w:left="137"/>
        <w:jc w:val="left"/>
        <w:rPr>
          <w:rFonts w:hint="eastAsia" w:ascii="宋体" w:hAnsi="宋体" w:cs="宋体"/>
          <w:sz w:val="28"/>
          <w:lang w:eastAsia="zh-CN"/>
        </w:rPr>
      </w:pPr>
    </w:p>
    <w:p w14:paraId="5555AE41">
      <w:pPr>
        <w:pStyle w:val="335"/>
        <w:spacing w:before="0" w:after="0" w:line="291" w:lineRule="exact"/>
        <w:jc w:val="left"/>
        <w:rPr>
          <w:rFonts w:hint="eastAsia" w:ascii="宋体" w:hAnsi="宋体" w:cs="宋体"/>
          <w:sz w:val="28"/>
          <w:lang w:eastAsia="zh-CN"/>
        </w:rPr>
      </w:pPr>
    </w:p>
    <w:p w14:paraId="6444C59C">
      <w:pPr>
        <w:spacing w:line="360" w:lineRule="auto"/>
        <w:rPr>
          <w:rFonts w:ascii="Times New Roman" w:hAnsi="Times New Roman" w:cs="Times New Roman"/>
          <w:sz w:val="21"/>
          <w:szCs w:val="21"/>
        </w:rPr>
      </w:pPr>
      <w:r>
        <w:rPr>
          <w:rFonts w:hint="eastAsia"/>
          <w:b/>
          <w:szCs w:val="21"/>
        </w:rPr>
        <w:t>注：投标人按照上表内容进行填报，并按顺序后附项目业绩合同证明材料。</w:t>
      </w:r>
    </w:p>
    <w:p w14:paraId="1233446D">
      <w:pPr>
        <w:pStyle w:val="21"/>
      </w:pPr>
    </w:p>
    <w:p w14:paraId="6C8EA9D5">
      <w:pPr>
        <w:rPr>
          <w:rFonts w:hint="eastAsia"/>
          <w:b/>
          <w:bCs/>
          <w:kern w:val="2"/>
          <w:sz w:val="28"/>
          <w:szCs w:val="28"/>
        </w:rPr>
      </w:pPr>
      <w:r>
        <w:rPr>
          <w:rFonts w:hint="eastAsia"/>
          <w:b/>
          <w:bCs/>
          <w:kern w:val="2"/>
          <w:sz w:val="28"/>
          <w:szCs w:val="28"/>
        </w:rPr>
        <w:br w:type="page"/>
      </w:r>
    </w:p>
    <w:p w14:paraId="2F9F4FCE">
      <w:pPr>
        <w:pStyle w:val="6"/>
        <w:jc w:val="center"/>
        <w:rPr>
          <w:rFonts w:hint="eastAsia" w:ascii="宋体" w:hAnsi="宋体" w:eastAsia="宋体" w:cs="宋体"/>
        </w:rPr>
      </w:pPr>
      <w:r>
        <w:rPr>
          <w:rFonts w:hint="eastAsia" w:ascii="宋体" w:hAnsi="宋体" w:eastAsia="宋体" w:cs="宋体"/>
        </w:rPr>
        <w:t>九、投标人认为需要提供的其他材料</w:t>
      </w:r>
    </w:p>
    <w:p w14:paraId="39C25E4F">
      <w:pPr>
        <w:jc w:val="center"/>
        <w:rPr>
          <w:rFonts w:hint="eastAsia"/>
          <w:b/>
          <w:bCs/>
          <w:kern w:val="2"/>
          <w:sz w:val="28"/>
          <w:szCs w:val="28"/>
        </w:rPr>
      </w:pPr>
      <w:r>
        <w:rPr>
          <w:rFonts w:hint="eastAsia"/>
          <w:b/>
          <w:bCs/>
          <w:kern w:val="2"/>
          <w:sz w:val="28"/>
          <w:szCs w:val="28"/>
        </w:rPr>
        <w:t>（格式自拟）</w:t>
      </w:r>
    </w:p>
    <w:bookmarkEnd w:id="1098"/>
    <w:p w14:paraId="29957E82">
      <w:pPr>
        <w:jc w:val="both"/>
        <w:rPr>
          <w:rFonts w:ascii="Times New Roman" w:hAnsi="Times New Roman" w:cs="Times New Roman"/>
        </w:rPr>
      </w:pPr>
    </w:p>
    <w:sectPr>
      <w:footerReference r:id="rId22" w:type="first"/>
      <w:headerReference r:id="rId20" w:type="default"/>
      <w:footerReference r:id="rId21" w:type="default"/>
      <w:pgSz w:w="11906" w:h="16838"/>
      <w:pgMar w:top="1440" w:right="1077" w:bottom="1440" w:left="1077" w:header="851" w:footer="680" w:gutter="0"/>
      <w:pgNumType w:fmt="decimal"/>
      <w:cols w:space="425" w:num="1"/>
      <w:titlePg/>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Bodoni MT">
    <w:panose1 w:val="02070603080606020203"/>
    <w:charset w:val="00"/>
    <w:family w:val="roman"/>
    <w:pitch w:val="default"/>
    <w:sig w:usb0="00000003" w:usb1="00000000" w:usb2="00000000" w:usb3="00000000" w:csb0="20000001" w:csb1="00000000"/>
  </w:font>
  <w:font w:name="Verdana">
    <w:panose1 w:val="020B0604030504040204"/>
    <w:charset w:val="00"/>
    <w:family w:val="swiss"/>
    <w:pitch w:val="default"/>
    <w:sig w:usb0="A00006FF" w:usb1="4000205B" w:usb2="00000010" w:usb3="00000000" w:csb0="2000019F" w:csb1="00000000"/>
  </w:font>
  <w:font w:name="MS Sans Serif">
    <w:altName w:val="Arial"/>
    <w:panose1 w:val="00000000000000000000"/>
    <w:charset w:val="00"/>
    <w:family w:val="swiss"/>
    <w:pitch w:val="default"/>
    <w:sig w:usb0="00000000" w:usb1="00000000" w:usb2="00000000" w:usb3="00000000" w:csb0="00000001" w:csb1="00000000"/>
  </w:font>
  <w:font w:name="华文细黑">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Arial Narrow">
    <w:panose1 w:val="020B0606020202030204"/>
    <w:charset w:val="00"/>
    <w:family w:val="swiss"/>
    <w:pitch w:val="default"/>
    <w:sig w:usb0="00000287" w:usb1="00000800" w:usb2="00000000" w:usb3="00000000" w:csb0="2000009F" w:csb1="DFD70000"/>
  </w:font>
  <w:font w:name="华文中宋">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A0815">
    <w:pPr>
      <w:pStyle w:val="31"/>
      <w:tabs>
        <w:tab w:val="center" w:pos="4410"/>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EFDE857">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i6pUg3AIAACQGAAAOAAAAAAAAAAEAIAAAAB8BAABkcnMvZTJvRG9jLnhtbFBLBQYA&#10;AAAABgAGAFkBAABtBgAAAAA=&#10;">
              <v:fill on="f" focussize="0,0"/>
              <v:stroke on="f" weight="0.5pt"/>
              <v:imagedata o:title=""/>
              <o:lock v:ext="edit" aspectratio="f"/>
              <v:textbox inset="0mm,0mm,0mm,0mm" style="mso-fit-shape-to-text:t;">
                <w:txbxContent>
                  <w:p w14:paraId="7EFDE857">
                    <w:pPr>
                      <w:pStyle w:val="31"/>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45A62">
    <w:pPr>
      <w:pStyle w:val="31"/>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BD374">
    <w:pPr>
      <w:pStyle w:val="31"/>
      <w:ind w:right="36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1E38BB3">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14:paraId="71E38BB3">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1784E">
    <w:pPr>
      <w:pStyle w:val="31"/>
      <w:jc w:val="center"/>
      <w:rPr>
        <w:rFonts w:hint="eastAsia" w:eastAsia="宋体"/>
        <w:lang w:val="en-US" w:eastAsia="zh-C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ECA76">
    <w:pPr>
      <w:pStyle w:val="31"/>
      <w:ind w:right="360"/>
      <w:rPr>
        <w:rFonts w:hint="eastAsia"/>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99644A">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499644A">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30EF8">
    <w:pPr>
      <w:pStyle w:val="31"/>
      <w:jc w:val="center"/>
      <w:rPr>
        <w:rFonts w:hint="eastAsia" w:eastAsia="宋体"/>
        <w:lang w:val="en-US" w:eastAsia="zh-CN"/>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EF6AA4B">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mdhTeAgAAJg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L2mdhTeAgAAJgYAAA4AAAAAAAAAAQAgAAAAHwEAAGRycy9lMm9Eb2MueG1sUEsF&#10;BgAAAAAGAAYAWQEAAG8GAAAAAA==&#10;">
              <v:fill on="f" focussize="0,0"/>
              <v:stroke on="f" weight="0.5pt"/>
              <v:imagedata o:title=""/>
              <o:lock v:ext="edit" aspectratio="f"/>
              <v:textbox inset="0mm,0mm,0mm,0mm" style="mso-fit-shape-to-text:t;">
                <w:txbxContent>
                  <w:p w14:paraId="3EF6AA4B">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6FCB6">
    <w:pPr>
      <w:pStyle w:val="31"/>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8E390DC">
                          <w:pPr>
                            <w:pStyle w:val="3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14:paraId="58E390DC">
                    <w:pPr>
                      <w:pStyle w:val="3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C94CF">
    <w:pPr>
      <w:pStyle w:val="31"/>
      <w:rPr>
        <w:rFonts w:hint="eastAsia"/>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320576">
                          <w:pPr>
                            <w:pStyle w:val="3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3320576">
                    <w:pPr>
                      <w:pStyle w:val="3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6E0E7">
    <w:pPr>
      <w:pStyle w:val="31"/>
      <w:jc w:val="center"/>
      <w:rPr>
        <w:rFonts w:hint="eastAsia" w:eastAsia="宋体"/>
        <w:lang w:val="en-US" w:eastAsia="zh-CN"/>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44F6E47">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Dee5v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FDee5veAgAAJgYAAA4AAAAAAAAAAQAgAAAAHwEAAGRycy9lMm9Eb2MueG1sUEsF&#10;BgAAAAAGAAYAWQEAAG8GAAAAAA==&#10;">
              <v:fill on="f" focussize="0,0"/>
              <v:stroke on="f" weight="0.5pt"/>
              <v:imagedata o:title=""/>
              <o:lock v:ext="edit" aspectratio="f"/>
              <v:textbox inset="0mm,0mm,0mm,0mm" style="mso-fit-shape-to-text:t;">
                <w:txbxContent>
                  <w:p w14:paraId="344F6E47">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CC4BA">
    <w:pPr>
      <w:pStyle w:val="31"/>
      <w:rPr>
        <w:rFonts w:hint="eastAsi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CB64C2">
                          <w:pPr>
                            <w:pStyle w:val="3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0CB64C2">
                    <w:pPr>
                      <w:pStyle w:val="3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D73E4">
    <w:pPr>
      <w:pStyle w:val="31"/>
      <w:jc w:val="center"/>
      <w:rPr>
        <w:rFonts w:hint="eastAsia" w:eastAsia="宋体"/>
        <w:lang w:val="en-US" w:eastAsia="zh-CN"/>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31810CA">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uS5b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ZG5Llt0CAAAmBgAADgAAAAAAAAABACAAAAAfAQAAZHJzL2Uyb0RvYy54bWxQSwUG&#10;AAAAAAYABgBZAQAAbgYAAAAA&#10;">
              <v:fill on="f" focussize="0,0"/>
              <v:stroke on="f" weight="0.5pt"/>
              <v:imagedata o:title=""/>
              <o:lock v:ext="edit" aspectratio="f"/>
              <v:textbox inset="0mm,0mm,0mm,0mm" style="mso-fit-shape-to-text:t;">
                <w:txbxContent>
                  <w:p w14:paraId="731810CA">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6282A">
    <w:pPr>
      <w:pStyle w:val="31"/>
      <w:rPr>
        <w:rFonts w:hint="eastAsia"/>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42394B">
                          <w:pPr>
                            <w:pStyle w:val="3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242394B">
                    <w:pPr>
                      <w:pStyle w:val="3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D34DA">
    <w:pPr>
      <w:pStyle w:val="31"/>
      <w:jc w:val="center"/>
      <w:rPr>
        <w:rFonts w:hint="eastAsia" w:eastAsia="宋体"/>
        <w:lang w:val="en-US" w:eastAsia="zh-CN"/>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FBD0867">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Ii43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h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ZQiLjd0CAAAmBgAADgAAAAAAAAABACAAAAAfAQAAZHJzL2Uyb0RvYy54bWxQSwUG&#10;AAAAAAYABgBZAQAAbgYAAAAA&#10;">
              <v:fill on="f" focussize="0,0"/>
              <v:stroke on="f" weight="0.5pt"/>
              <v:imagedata o:title=""/>
              <o:lock v:ext="edit" aspectratio="f"/>
              <v:textbox inset="0mm,0mm,0mm,0mm" style="mso-fit-shape-to-text:t;">
                <w:txbxContent>
                  <w:p w14:paraId="3FBD0867">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1051F">
    <w:pPr>
      <w:pStyle w:val="31"/>
      <w:rPr>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414247">
                          <w:pPr>
                            <w:pStyle w:val="3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1414247">
                    <w:pPr>
                      <w:pStyle w:val="3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23B36">
    <w:pPr>
      <w:pStyle w:val="31"/>
      <w:jc w:val="center"/>
      <w:rPr>
        <w:rFonts w:hint="eastAsia" w:eastAsia="宋体"/>
        <w:lang w:val="en-US" w:eastAsia="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7E72231">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hwhgL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iHCGAt0CAAAmBgAADgAAAAAAAAABACAAAAAfAQAAZHJzL2Uyb0RvYy54bWxQSwUG&#10;AAAAAAYABgBZAQAAbgYAAAAA&#10;">
              <v:fill on="f" focussize="0,0"/>
              <v:stroke on="f" weight="0.5pt"/>
              <v:imagedata o:title=""/>
              <o:lock v:ext="edit" aspectratio="f"/>
              <v:textbox inset="0mm,0mm,0mm,0mm" style="mso-fit-shape-to-text:t;">
                <w:txbxContent>
                  <w:p w14:paraId="67E72231">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E6CD0">
    <w:pPr>
      <w:pStyle w:val="31"/>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C6473A">
                          <w:pPr>
                            <w:pStyle w:val="3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0C6473A">
                    <w:pPr>
                      <w:pStyle w:val="3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A7FE3">
    <w:pPr>
      <w:pStyle w:val="31"/>
      <w:jc w:val="center"/>
      <w:rPr>
        <w:rFonts w:hint="eastAsia" w:eastAsia="宋体"/>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B191A51">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4Ej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B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v/gSN0CAAAmBgAADgAAAAAAAAABACAAAAAfAQAAZHJzL2Uyb0RvYy54bWxQSwUG&#10;AAAAAAYABgBZAQAAbgYAAAAA&#10;">
              <v:fill on="f" focussize="0,0"/>
              <v:stroke on="f" weight="0.5pt"/>
              <v:imagedata o:title=""/>
              <o:lock v:ext="edit" aspectratio="f"/>
              <v:textbox inset="0mm,0mm,0mm,0mm" style="mso-fit-shape-to-text:t;">
                <w:txbxContent>
                  <w:p w14:paraId="2B191A51">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C0024">
    <w:pPr>
      <w:rPr>
        <w:rFonts w:hint="eastAsia"/>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1D1D750">
                          <w:pPr>
                            <w:pStyle w:val="31"/>
                          </w:pPr>
                          <w:r>
                            <w:fldChar w:fldCharType="begin"/>
                          </w:r>
                          <w:r>
                            <w:instrText xml:space="preserve"> PAGE  \* MERGEFORMAT </w:instrText>
                          </w:r>
                          <w:r>
                            <w:fldChar w:fldCharType="separate"/>
                          </w:r>
                          <w:r>
                            <w:t>138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14:paraId="01D1D750">
                    <w:pPr>
                      <w:pStyle w:val="31"/>
                    </w:pPr>
                    <w:r>
                      <w:fldChar w:fldCharType="begin"/>
                    </w:r>
                    <w:r>
                      <w:instrText xml:space="preserve"> PAGE  \* MERGEFORMAT </w:instrText>
                    </w:r>
                    <w:r>
                      <w:fldChar w:fldCharType="separate"/>
                    </w:r>
                    <w:r>
                      <w:t>138</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74208">
    <w:pPr>
      <w:pStyle w:val="31"/>
      <w:jc w:val="center"/>
      <w:rPr>
        <w:rFonts w:hint="eastAsia" w:eastAsia="宋体"/>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28A3C1E">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H7cf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E4ftx90CAAAmBgAADgAAAAAAAAABACAAAAAfAQAAZHJzL2Uyb0RvYy54bWxQSwUG&#10;AAAAAAYABgBZAQAAbgYAAAAA&#10;">
              <v:fill on="f" focussize="0,0"/>
              <v:stroke on="f" weight="0.5pt"/>
              <v:imagedata o:title=""/>
              <o:lock v:ext="edit" aspectratio="f"/>
              <v:textbox inset="0mm,0mm,0mm,0mm" style="mso-fit-shape-to-text:t;">
                <w:txbxContent>
                  <w:p w14:paraId="028A3C1E">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9E406">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6771C9"/>
    <w:multiLevelType w:val="singleLevel"/>
    <w:tmpl w:val="D96771C9"/>
    <w:lvl w:ilvl="0" w:tentative="0">
      <w:start w:val="1"/>
      <w:numFmt w:val="decimal"/>
      <w:suff w:val="nothing"/>
      <w:lvlText w:val="%1、"/>
      <w:lvlJc w:val="left"/>
    </w:lvl>
  </w:abstractNum>
  <w:abstractNum w:abstractNumId="1">
    <w:nsid w:val="00747418"/>
    <w:multiLevelType w:val="singleLevel"/>
    <w:tmpl w:val="00747418"/>
    <w:lvl w:ilvl="0" w:tentative="0">
      <w:start w:val="1"/>
      <w:numFmt w:val="decimal"/>
      <w:suff w:val="nothing"/>
      <w:lvlText w:val="%1、"/>
      <w:lvlJc w:val="left"/>
    </w:lvl>
  </w:abstractNum>
  <w:abstractNum w:abstractNumId="2">
    <w:nsid w:val="028B59FE"/>
    <w:multiLevelType w:val="singleLevel"/>
    <w:tmpl w:val="028B59FE"/>
    <w:lvl w:ilvl="0" w:tentative="0">
      <w:start w:val="3"/>
      <w:numFmt w:val="chineseCounting"/>
      <w:suff w:val="nothing"/>
      <w:lvlText w:val="%1、"/>
      <w:lvlJc w:val="left"/>
      <w:rPr>
        <w:rFonts w:hint="eastAsia"/>
      </w:rPr>
    </w:lvl>
  </w:abstractNum>
  <w:abstractNum w:abstractNumId="3">
    <w:nsid w:val="496DF314"/>
    <w:multiLevelType w:val="singleLevel"/>
    <w:tmpl w:val="496DF314"/>
    <w:lvl w:ilvl="0" w:tentative="0">
      <w:start w:val="3"/>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RhOWM1YjI4NTQwZDI4MjVmMDNkNGMzN2NhODVhZDYifQ=="/>
  </w:docVars>
  <w:rsids>
    <w:rsidRoot w:val="005B45E0"/>
    <w:rsid w:val="00006C28"/>
    <w:rsid w:val="00014177"/>
    <w:rsid w:val="000162A8"/>
    <w:rsid w:val="00034D56"/>
    <w:rsid w:val="000352F0"/>
    <w:rsid w:val="000442CB"/>
    <w:rsid w:val="000503AC"/>
    <w:rsid w:val="00053257"/>
    <w:rsid w:val="00053DD6"/>
    <w:rsid w:val="0006140E"/>
    <w:rsid w:val="00065C06"/>
    <w:rsid w:val="0007453F"/>
    <w:rsid w:val="0008614F"/>
    <w:rsid w:val="000863F6"/>
    <w:rsid w:val="00093847"/>
    <w:rsid w:val="00094545"/>
    <w:rsid w:val="00097037"/>
    <w:rsid w:val="000A64B2"/>
    <w:rsid w:val="000B7F41"/>
    <w:rsid w:val="000C0294"/>
    <w:rsid w:val="000D50F5"/>
    <w:rsid w:val="000D55B1"/>
    <w:rsid w:val="000D5C50"/>
    <w:rsid w:val="000F4B95"/>
    <w:rsid w:val="001134F9"/>
    <w:rsid w:val="00133738"/>
    <w:rsid w:val="001350A9"/>
    <w:rsid w:val="00136E9E"/>
    <w:rsid w:val="00140F49"/>
    <w:rsid w:val="00147EE2"/>
    <w:rsid w:val="0019642B"/>
    <w:rsid w:val="001A2582"/>
    <w:rsid w:val="001A779F"/>
    <w:rsid w:val="001B0A78"/>
    <w:rsid w:val="002035B2"/>
    <w:rsid w:val="00207CC1"/>
    <w:rsid w:val="00215F2B"/>
    <w:rsid w:val="00216298"/>
    <w:rsid w:val="00227C51"/>
    <w:rsid w:val="0023140E"/>
    <w:rsid w:val="002321AF"/>
    <w:rsid w:val="00277951"/>
    <w:rsid w:val="00293BE5"/>
    <w:rsid w:val="002B415E"/>
    <w:rsid w:val="002D32F5"/>
    <w:rsid w:val="002D56C6"/>
    <w:rsid w:val="002E1912"/>
    <w:rsid w:val="002E75A0"/>
    <w:rsid w:val="002F423E"/>
    <w:rsid w:val="003063F8"/>
    <w:rsid w:val="003068E9"/>
    <w:rsid w:val="0032217E"/>
    <w:rsid w:val="003306BA"/>
    <w:rsid w:val="00333A12"/>
    <w:rsid w:val="003712CB"/>
    <w:rsid w:val="003722E7"/>
    <w:rsid w:val="00372934"/>
    <w:rsid w:val="00376B3A"/>
    <w:rsid w:val="003775A4"/>
    <w:rsid w:val="003A295D"/>
    <w:rsid w:val="003C6BEE"/>
    <w:rsid w:val="003C71BC"/>
    <w:rsid w:val="003D7496"/>
    <w:rsid w:val="003E3C02"/>
    <w:rsid w:val="003F39E8"/>
    <w:rsid w:val="004010AC"/>
    <w:rsid w:val="004033A9"/>
    <w:rsid w:val="00407CF5"/>
    <w:rsid w:val="00414000"/>
    <w:rsid w:val="00427D4E"/>
    <w:rsid w:val="004315D2"/>
    <w:rsid w:val="00442466"/>
    <w:rsid w:val="00445ED9"/>
    <w:rsid w:val="00463F4F"/>
    <w:rsid w:val="00465124"/>
    <w:rsid w:val="00465AA8"/>
    <w:rsid w:val="00466A15"/>
    <w:rsid w:val="00470CCB"/>
    <w:rsid w:val="00470F8F"/>
    <w:rsid w:val="004715F3"/>
    <w:rsid w:val="00485569"/>
    <w:rsid w:val="0049227E"/>
    <w:rsid w:val="004A1D43"/>
    <w:rsid w:val="004B540F"/>
    <w:rsid w:val="004B5AC3"/>
    <w:rsid w:val="004C7E07"/>
    <w:rsid w:val="004D69B1"/>
    <w:rsid w:val="004E0C0C"/>
    <w:rsid w:val="004E66C1"/>
    <w:rsid w:val="004F2B3C"/>
    <w:rsid w:val="005377FA"/>
    <w:rsid w:val="005547E5"/>
    <w:rsid w:val="005820DB"/>
    <w:rsid w:val="00587469"/>
    <w:rsid w:val="005908D5"/>
    <w:rsid w:val="00591A32"/>
    <w:rsid w:val="00595863"/>
    <w:rsid w:val="005A371C"/>
    <w:rsid w:val="005B1470"/>
    <w:rsid w:val="005B45E0"/>
    <w:rsid w:val="005B4C6B"/>
    <w:rsid w:val="005B6DF1"/>
    <w:rsid w:val="005C0741"/>
    <w:rsid w:val="005C2501"/>
    <w:rsid w:val="005C3358"/>
    <w:rsid w:val="005D058D"/>
    <w:rsid w:val="005E4C8F"/>
    <w:rsid w:val="005E5098"/>
    <w:rsid w:val="005E7822"/>
    <w:rsid w:val="00601A79"/>
    <w:rsid w:val="0061653A"/>
    <w:rsid w:val="0063179F"/>
    <w:rsid w:val="006431F0"/>
    <w:rsid w:val="00644F6A"/>
    <w:rsid w:val="006716BA"/>
    <w:rsid w:val="00671974"/>
    <w:rsid w:val="00685F37"/>
    <w:rsid w:val="0069391D"/>
    <w:rsid w:val="006A494E"/>
    <w:rsid w:val="006B1485"/>
    <w:rsid w:val="006B4688"/>
    <w:rsid w:val="006B7B81"/>
    <w:rsid w:val="006C2CEA"/>
    <w:rsid w:val="006F5AE7"/>
    <w:rsid w:val="00702459"/>
    <w:rsid w:val="00705604"/>
    <w:rsid w:val="00710AC4"/>
    <w:rsid w:val="00714282"/>
    <w:rsid w:val="007223DB"/>
    <w:rsid w:val="007236FC"/>
    <w:rsid w:val="00723DCE"/>
    <w:rsid w:val="00726D67"/>
    <w:rsid w:val="00733FDC"/>
    <w:rsid w:val="007371A8"/>
    <w:rsid w:val="00757DF0"/>
    <w:rsid w:val="00763E93"/>
    <w:rsid w:val="0076486C"/>
    <w:rsid w:val="00765D13"/>
    <w:rsid w:val="00777362"/>
    <w:rsid w:val="007851D0"/>
    <w:rsid w:val="00794CCA"/>
    <w:rsid w:val="007A04FF"/>
    <w:rsid w:val="007B212F"/>
    <w:rsid w:val="007B2B70"/>
    <w:rsid w:val="007B7A8E"/>
    <w:rsid w:val="007C18A8"/>
    <w:rsid w:val="007C7D4F"/>
    <w:rsid w:val="007D2810"/>
    <w:rsid w:val="007D2D30"/>
    <w:rsid w:val="007E0314"/>
    <w:rsid w:val="007E781C"/>
    <w:rsid w:val="008056A0"/>
    <w:rsid w:val="008076D7"/>
    <w:rsid w:val="00844799"/>
    <w:rsid w:val="00853DAA"/>
    <w:rsid w:val="00854B6E"/>
    <w:rsid w:val="0086532C"/>
    <w:rsid w:val="00867648"/>
    <w:rsid w:val="00886788"/>
    <w:rsid w:val="008A320A"/>
    <w:rsid w:val="008A4F15"/>
    <w:rsid w:val="008A7E14"/>
    <w:rsid w:val="008B2850"/>
    <w:rsid w:val="008B73C2"/>
    <w:rsid w:val="008C0D34"/>
    <w:rsid w:val="008C0F5C"/>
    <w:rsid w:val="008C7CD5"/>
    <w:rsid w:val="008D0493"/>
    <w:rsid w:val="008D0F52"/>
    <w:rsid w:val="008D6B68"/>
    <w:rsid w:val="008E4545"/>
    <w:rsid w:val="00902F04"/>
    <w:rsid w:val="00904FDA"/>
    <w:rsid w:val="00914440"/>
    <w:rsid w:val="00917F59"/>
    <w:rsid w:val="00931CDA"/>
    <w:rsid w:val="0094516E"/>
    <w:rsid w:val="009574FF"/>
    <w:rsid w:val="0096143F"/>
    <w:rsid w:val="00962AA4"/>
    <w:rsid w:val="009644CC"/>
    <w:rsid w:val="0097120D"/>
    <w:rsid w:val="0098226B"/>
    <w:rsid w:val="00986E59"/>
    <w:rsid w:val="00987531"/>
    <w:rsid w:val="009A7C38"/>
    <w:rsid w:val="009B1202"/>
    <w:rsid w:val="009B7E9A"/>
    <w:rsid w:val="009C12D5"/>
    <w:rsid w:val="009C44C3"/>
    <w:rsid w:val="009D52C0"/>
    <w:rsid w:val="009E262E"/>
    <w:rsid w:val="009E2DE7"/>
    <w:rsid w:val="009E7AED"/>
    <w:rsid w:val="00A069EB"/>
    <w:rsid w:val="00A33532"/>
    <w:rsid w:val="00A40A12"/>
    <w:rsid w:val="00A55A8D"/>
    <w:rsid w:val="00A70222"/>
    <w:rsid w:val="00A75B5F"/>
    <w:rsid w:val="00A7763B"/>
    <w:rsid w:val="00A83967"/>
    <w:rsid w:val="00A950E4"/>
    <w:rsid w:val="00A964AE"/>
    <w:rsid w:val="00AA495B"/>
    <w:rsid w:val="00AA63D5"/>
    <w:rsid w:val="00AA7F24"/>
    <w:rsid w:val="00AC28AF"/>
    <w:rsid w:val="00AE07AD"/>
    <w:rsid w:val="00AE45DD"/>
    <w:rsid w:val="00AF3532"/>
    <w:rsid w:val="00B00200"/>
    <w:rsid w:val="00B12471"/>
    <w:rsid w:val="00B128C9"/>
    <w:rsid w:val="00B165C1"/>
    <w:rsid w:val="00B31326"/>
    <w:rsid w:val="00B327AD"/>
    <w:rsid w:val="00B35881"/>
    <w:rsid w:val="00B372BC"/>
    <w:rsid w:val="00B50DBE"/>
    <w:rsid w:val="00B52756"/>
    <w:rsid w:val="00B539BE"/>
    <w:rsid w:val="00B576D3"/>
    <w:rsid w:val="00B63DBD"/>
    <w:rsid w:val="00B6494A"/>
    <w:rsid w:val="00B7502F"/>
    <w:rsid w:val="00B80C14"/>
    <w:rsid w:val="00B836F8"/>
    <w:rsid w:val="00B97BEE"/>
    <w:rsid w:val="00BC47E6"/>
    <w:rsid w:val="00BD225D"/>
    <w:rsid w:val="00BF0528"/>
    <w:rsid w:val="00C07202"/>
    <w:rsid w:val="00C0763A"/>
    <w:rsid w:val="00C1023D"/>
    <w:rsid w:val="00C13A36"/>
    <w:rsid w:val="00C177CA"/>
    <w:rsid w:val="00C26FDD"/>
    <w:rsid w:val="00C336E8"/>
    <w:rsid w:val="00C4071C"/>
    <w:rsid w:val="00C46E43"/>
    <w:rsid w:val="00C575A8"/>
    <w:rsid w:val="00C62EA7"/>
    <w:rsid w:val="00C63E4C"/>
    <w:rsid w:val="00C668D5"/>
    <w:rsid w:val="00C75EF9"/>
    <w:rsid w:val="00C8744E"/>
    <w:rsid w:val="00C877B5"/>
    <w:rsid w:val="00C961A5"/>
    <w:rsid w:val="00CA7272"/>
    <w:rsid w:val="00CB056E"/>
    <w:rsid w:val="00CC1567"/>
    <w:rsid w:val="00CC4CE4"/>
    <w:rsid w:val="00CD39FE"/>
    <w:rsid w:val="00CD49DB"/>
    <w:rsid w:val="00CD5102"/>
    <w:rsid w:val="00CD7F28"/>
    <w:rsid w:val="00CF2611"/>
    <w:rsid w:val="00CF316A"/>
    <w:rsid w:val="00D02CBA"/>
    <w:rsid w:val="00D07271"/>
    <w:rsid w:val="00D075EC"/>
    <w:rsid w:val="00D11EF7"/>
    <w:rsid w:val="00D130E7"/>
    <w:rsid w:val="00D13559"/>
    <w:rsid w:val="00D418FF"/>
    <w:rsid w:val="00D435CD"/>
    <w:rsid w:val="00D53853"/>
    <w:rsid w:val="00D77D23"/>
    <w:rsid w:val="00D838B0"/>
    <w:rsid w:val="00D918B0"/>
    <w:rsid w:val="00D944DD"/>
    <w:rsid w:val="00DA52E0"/>
    <w:rsid w:val="00DA7553"/>
    <w:rsid w:val="00DB2E69"/>
    <w:rsid w:val="00DC5392"/>
    <w:rsid w:val="00DC7ADD"/>
    <w:rsid w:val="00DD278D"/>
    <w:rsid w:val="00DD4A2D"/>
    <w:rsid w:val="00DD59A4"/>
    <w:rsid w:val="00DD67A6"/>
    <w:rsid w:val="00DE07DD"/>
    <w:rsid w:val="00E07837"/>
    <w:rsid w:val="00E12859"/>
    <w:rsid w:val="00E351E7"/>
    <w:rsid w:val="00E440D7"/>
    <w:rsid w:val="00E45D6E"/>
    <w:rsid w:val="00E5386C"/>
    <w:rsid w:val="00E652D8"/>
    <w:rsid w:val="00E76DC0"/>
    <w:rsid w:val="00E81DFA"/>
    <w:rsid w:val="00E8293C"/>
    <w:rsid w:val="00EA6B3A"/>
    <w:rsid w:val="00EA72EB"/>
    <w:rsid w:val="00EC2453"/>
    <w:rsid w:val="00ED26E8"/>
    <w:rsid w:val="00EF01D7"/>
    <w:rsid w:val="00EF34EB"/>
    <w:rsid w:val="00EF520C"/>
    <w:rsid w:val="00F00DE2"/>
    <w:rsid w:val="00F07EC5"/>
    <w:rsid w:val="00F12CF6"/>
    <w:rsid w:val="00F12E09"/>
    <w:rsid w:val="00F14EF3"/>
    <w:rsid w:val="00F2698E"/>
    <w:rsid w:val="00F43167"/>
    <w:rsid w:val="00F472BF"/>
    <w:rsid w:val="00F55970"/>
    <w:rsid w:val="00F5745B"/>
    <w:rsid w:val="00F704B7"/>
    <w:rsid w:val="00F75734"/>
    <w:rsid w:val="00F7709B"/>
    <w:rsid w:val="00FC25B7"/>
    <w:rsid w:val="00FC4E2B"/>
    <w:rsid w:val="00FD4C87"/>
    <w:rsid w:val="010657E4"/>
    <w:rsid w:val="01AC7573"/>
    <w:rsid w:val="01D8601A"/>
    <w:rsid w:val="020318E8"/>
    <w:rsid w:val="02B010D2"/>
    <w:rsid w:val="02C215C9"/>
    <w:rsid w:val="038E0B3E"/>
    <w:rsid w:val="03C0325F"/>
    <w:rsid w:val="044F1A89"/>
    <w:rsid w:val="04784101"/>
    <w:rsid w:val="04CA0B8A"/>
    <w:rsid w:val="060914B4"/>
    <w:rsid w:val="06651661"/>
    <w:rsid w:val="06D438C9"/>
    <w:rsid w:val="06D8229D"/>
    <w:rsid w:val="06DC1D61"/>
    <w:rsid w:val="07EC4C41"/>
    <w:rsid w:val="0852140D"/>
    <w:rsid w:val="08816CAC"/>
    <w:rsid w:val="08955DF9"/>
    <w:rsid w:val="09314D56"/>
    <w:rsid w:val="09C33728"/>
    <w:rsid w:val="0A4F0107"/>
    <w:rsid w:val="0A8A0722"/>
    <w:rsid w:val="0A8F242E"/>
    <w:rsid w:val="0AAC29FC"/>
    <w:rsid w:val="0ADD2F10"/>
    <w:rsid w:val="0B9C2CF9"/>
    <w:rsid w:val="0CBE383A"/>
    <w:rsid w:val="0D4A7CFB"/>
    <w:rsid w:val="0D6C14CE"/>
    <w:rsid w:val="0DF3329C"/>
    <w:rsid w:val="0E3471C1"/>
    <w:rsid w:val="0E516A27"/>
    <w:rsid w:val="0F286A3D"/>
    <w:rsid w:val="0F3330FE"/>
    <w:rsid w:val="0F7D3F36"/>
    <w:rsid w:val="0FBC1346"/>
    <w:rsid w:val="111D7BC2"/>
    <w:rsid w:val="11ED2796"/>
    <w:rsid w:val="12B50927"/>
    <w:rsid w:val="12E23F92"/>
    <w:rsid w:val="133A03C7"/>
    <w:rsid w:val="13DF5BDC"/>
    <w:rsid w:val="1403423A"/>
    <w:rsid w:val="148B411C"/>
    <w:rsid w:val="156B5891"/>
    <w:rsid w:val="15E244CA"/>
    <w:rsid w:val="16D82E9D"/>
    <w:rsid w:val="170F000D"/>
    <w:rsid w:val="17627DEA"/>
    <w:rsid w:val="17B80777"/>
    <w:rsid w:val="1815684F"/>
    <w:rsid w:val="1826046B"/>
    <w:rsid w:val="185448B6"/>
    <w:rsid w:val="187F73B4"/>
    <w:rsid w:val="188039B7"/>
    <w:rsid w:val="1AC20CD5"/>
    <w:rsid w:val="1B2F17C2"/>
    <w:rsid w:val="1BC577D4"/>
    <w:rsid w:val="1C1832D7"/>
    <w:rsid w:val="1C591D4C"/>
    <w:rsid w:val="1C711A6F"/>
    <w:rsid w:val="1D912944"/>
    <w:rsid w:val="1DD51824"/>
    <w:rsid w:val="1DDB32DF"/>
    <w:rsid w:val="1EFF4DAB"/>
    <w:rsid w:val="1F516DCD"/>
    <w:rsid w:val="1FE74859"/>
    <w:rsid w:val="204075F8"/>
    <w:rsid w:val="21301549"/>
    <w:rsid w:val="2138756F"/>
    <w:rsid w:val="214D44F3"/>
    <w:rsid w:val="21951A04"/>
    <w:rsid w:val="21FE39E6"/>
    <w:rsid w:val="22421FA3"/>
    <w:rsid w:val="23261C2C"/>
    <w:rsid w:val="2328471A"/>
    <w:rsid w:val="237227FB"/>
    <w:rsid w:val="239307C7"/>
    <w:rsid w:val="24057DE6"/>
    <w:rsid w:val="24971B7A"/>
    <w:rsid w:val="251D1F57"/>
    <w:rsid w:val="255E4C39"/>
    <w:rsid w:val="2610789E"/>
    <w:rsid w:val="265C0D35"/>
    <w:rsid w:val="27441495"/>
    <w:rsid w:val="27A0237F"/>
    <w:rsid w:val="27B845D0"/>
    <w:rsid w:val="27DA62C9"/>
    <w:rsid w:val="28213FE4"/>
    <w:rsid w:val="28302479"/>
    <w:rsid w:val="28361F87"/>
    <w:rsid w:val="28B23D97"/>
    <w:rsid w:val="28DC706E"/>
    <w:rsid w:val="2967011C"/>
    <w:rsid w:val="2A1D72B8"/>
    <w:rsid w:val="2A3C3B80"/>
    <w:rsid w:val="2A3D17DA"/>
    <w:rsid w:val="2B362E2A"/>
    <w:rsid w:val="2BC96E6C"/>
    <w:rsid w:val="2C076930"/>
    <w:rsid w:val="2C3226E9"/>
    <w:rsid w:val="2C7D37B3"/>
    <w:rsid w:val="2D0765E4"/>
    <w:rsid w:val="2D425D1A"/>
    <w:rsid w:val="2DBB6443"/>
    <w:rsid w:val="2DE010D6"/>
    <w:rsid w:val="2F121E24"/>
    <w:rsid w:val="2F780F1E"/>
    <w:rsid w:val="30633985"/>
    <w:rsid w:val="30CD1D8C"/>
    <w:rsid w:val="30D714CA"/>
    <w:rsid w:val="313333A8"/>
    <w:rsid w:val="31741628"/>
    <w:rsid w:val="318E29B9"/>
    <w:rsid w:val="31AB088A"/>
    <w:rsid w:val="31BE2D54"/>
    <w:rsid w:val="320E2C3F"/>
    <w:rsid w:val="323F1C36"/>
    <w:rsid w:val="33365024"/>
    <w:rsid w:val="34365EDC"/>
    <w:rsid w:val="345057DF"/>
    <w:rsid w:val="346862BA"/>
    <w:rsid w:val="34800F23"/>
    <w:rsid w:val="35177D3B"/>
    <w:rsid w:val="351C625F"/>
    <w:rsid w:val="364A5334"/>
    <w:rsid w:val="3653274A"/>
    <w:rsid w:val="3698316C"/>
    <w:rsid w:val="37BB1A65"/>
    <w:rsid w:val="37C01FC0"/>
    <w:rsid w:val="37C4675F"/>
    <w:rsid w:val="391556EC"/>
    <w:rsid w:val="39A17CD6"/>
    <w:rsid w:val="39D334CF"/>
    <w:rsid w:val="3A2A3572"/>
    <w:rsid w:val="3A706F9D"/>
    <w:rsid w:val="3B2740D4"/>
    <w:rsid w:val="3B2A7F57"/>
    <w:rsid w:val="3B545CB7"/>
    <w:rsid w:val="3B690D29"/>
    <w:rsid w:val="3BD54F61"/>
    <w:rsid w:val="3BF249E7"/>
    <w:rsid w:val="3D403787"/>
    <w:rsid w:val="3D7B789B"/>
    <w:rsid w:val="3D9C2405"/>
    <w:rsid w:val="3E01686C"/>
    <w:rsid w:val="3E9230EE"/>
    <w:rsid w:val="3EC22F0F"/>
    <w:rsid w:val="3EC534C3"/>
    <w:rsid w:val="3F4D168A"/>
    <w:rsid w:val="3FA14F8A"/>
    <w:rsid w:val="3FF83A20"/>
    <w:rsid w:val="402E3D92"/>
    <w:rsid w:val="407C228B"/>
    <w:rsid w:val="413A0620"/>
    <w:rsid w:val="41654AEA"/>
    <w:rsid w:val="41B64C5D"/>
    <w:rsid w:val="426A52CC"/>
    <w:rsid w:val="434B7466"/>
    <w:rsid w:val="43877105"/>
    <w:rsid w:val="43F71859"/>
    <w:rsid w:val="4471567F"/>
    <w:rsid w:val="44CB1D06"/>
    <w:rsid w:val="45374186"/>
    <w:rsid w:val="45CF637A"/>
    <w:rsid w:val="461A0599"/>
    <w:rsid w:val="466F579B"/>
    <w:rsid w:val="46C96777"/>
    <w:rsid w:val="473E3337"/>
    <w:rsid w:val="47653F13"/>
    <w:rsid w:val="477900D8"/>
    <w:rsid w:val="47D604EF"/>
    <w:rsid w:val="494653F9"/>
    <w:rsid w:val="4A1B48DF"/>
    <w:rsid w:val="4A8A3813"/>
    <w:rsid w:val="4ABE56CC"/>
    <w:rsid w:val="4B4320F8"/>
    <w:rsid w:val="4C633EA1"/>
    <w:rsid w:val="4CEB6BD1"/>
    <w:rsid w:val="4D063CC9"/>
    <w:rsid w:val="4D7C38E7"/>
    <w:rsid w:val="4F290B6C"/>
    <w:rsid w:val="5000435F"/>
    <w:rsid w:val="50210776"/>
    <w:rsid w:val="510345FC"/>
    <w:rsid w:val="517A164E"/>
    <w:rsid w:val="5255654F"/>
    <w:rsid w:val="53D37FD9"/>
    <w:rsid w:val="54250C1F"/>
    <w:rsid w:val="54B0086B"/>
    <w:rsid w:val="566C3ADA"/>
    <w:rsid w:val="569E0EA7"/>
    <w:rsid w:val="56A17F1A"/>
    <w:rsid w:val="56A54B48"/>
    <w:rsid w:val="56BF0A86"/>
    <w:rsid w:val="57C26575"/>
    <w:rsid w:val="57E80B4D"/>
    <w:rsid w:val="58112E7E"/>
    <w:rsid w:val="5A13275F"/>
    <w:rsid w:val="5A9572F9"/>
    <w:rsid w:val="5BA748A4"/>
    <w:rsid w:val="5BCE0EEF"/>
    <w:rsid w:val="5C1807EF"/>
    <w:rsid w:val="5D99194B"/>
    <w:rsid w:val="5DD70775"/>
    <w:rsid w:val="5E751CA2"/>
    <w:rsid w:val="5EF56E1D"/>
    <w:rsid w:val="5FA3449A"/>
    <w:rsid w:val="605D4C85"/>
    <w:rsid w:val="62535B79"/>
    <w:rsid w:val="62F769C4"/>
    <w:rsid w:val="633A4F52"/>
    <w:rsid w:val="6343008E"/>
    <w:rsid w:val="634A3E9C"/>
    <w:rsid w:val="636E387A"/>
    <w:rsid w:val="641A1E4C"/>
    <w:rsid w:val="642C0F11"/>
    <w:rsid w:val="65B953DA"/>
    <w:rsid w:val="66212E26"/>
    <w:rsid w:val="666552A7"/>
    <w:rsid w:val="66A63D9A"/>
    <w:rsid w:val="676D6738"/>
    <w:rsid w:val="689C2C37"/>
    <w:rsid w:val="68A93E31"/>
    <w:rsid w:val="68D57EAA"/>
    <w:rsid w:val="68F479FC"/>
    <w:rsid w:val="69392234"/>
    <w:rsid w:val="694F5FE3"/>
    <w:rsid w:val="69833514"/>
    <w:rsid w:val="69836EFB"/>
    <w:rsid w:val="698E4BC4"/>
    <w:rsid w:val="69FF2469"/>
    <w:rsid w:val="6AB13622"/>
    <w:rsid w:val="6B3F6AE9"/>
    <w:rsid w:val="6B8A6D77"/>
    <w:rsid w:val="6BCE2F15"/>
    <w:rsid w:val="6BD474FB"/>
    <w:rsid w:val="6C2C6080"/>
    <w:rsid w:val="6D0B446A"/>
    <w:rsid w:val="6DAF2FFA"/>
    <w:rsid w:val="6E421EE8"/>
    <w:rsid w:val="6EB73877"/>
    <w:rsid w:val="6EDF089E"/>
    <w:rsid w:val="6F3A26A5"/>
    <w:rsid w:val="6FBF3EC9"/>
    <w:rsid w:val="6FD75D10"/>
    <w:rsid w:val="7010592D"/>
    <w:rsid w:val="705C4B11"/>
    <w:rsid w:val="708C024E"/>
    <w:rsid w:val="70FE14FE"/>
    <w:rsid w:val="71140963"/>
    <w:rsid w:val="71486A06"/>
    <w:rsid w:val="715E3AA4"/>
    <w:rsid w:val="717A3D2A"/>
    <w:rsid w:val="72457AA8"/>
    <w:rsid w:val="72743CAA"/>
    <w:rsid w:val="73115E14"/>
    <w:rsid w:val="731A28D7"/>
    <w:rsid w:val="74575C64"/>
    <w:rsid w:val="7477514A"/>
    <w:rsid w:val="747B5427"/>
    <w:rsid w:val="74A837A2"/>
    <w:rsid w:val="74BF4BE4"/>
    <w:rsid w:val="74CF5852"/>
    <w:rsid w:val="750A0A4C"/>
    <w:rsid w:val="757B4C7B"/>
    <w:rsid w:val="75936BCC"/>
    <w:rsid w:val="75C63EA2"/>
    <w:rsid w:val="76662498"/>
    <w:rsid w:val="76916133"/>
    <w:rsid w:val="76D34E0F"/>
    <w:rsid w:val="76DF31C6"/>
    <w:rsid w:val="776B5CAF"/>
    <w:rsid w:val="778D7399"/>
    <w:rsid w:val="77B6181F"/>
    <w:rsid w:val="780B7492"/>
    <w:rsid w:val="7819395D"/>
    <w:rsid w:val="78EA5EF2"/>
    <w:rsid w:val="79345E2D"/>
    <w:rsid w:val="7A6378EA"/>
    <w:rsid w:val="7A9F764F"/>
    <w:rsid w:val="7B97240F"/>
    <w:rsid w:val="7B9B28DB"/>
    <w:rsid w:val="7BA9149B"/>
    <w:rsid w:val="7C091FB4"/>
    <w:rsid w:val="7C5F6A8C"/>
    <w:rsid w:val="7C9A62BE"/>
    <w:rsid w:val="7CAE7F30"/>
    <w:rsid w:val="7CD11460"/>
    <w:rsid w:val="7CEC4D28"/>
    <w:rsid w:val="7D0E2112"/>
    <w:rsid w:val="7D2E0E1C"/>
    <w:rsid w:val="7D5D27B6"/>
    <w:rsid w:val="7D8F2FF4"/>
    <w:rsid w:val="7DCB076B"/>
    <w:rsid w:val="7E326C10"/>
    <w:rsid w:val="7EF817D7"/>
    <w:rsid w:val="7F1C483F"/>
    <w:rsid w:val="7F9446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qFormat="1" w:uiPriority="0"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paragraph" w:styleId="3">
    <w:name w:val="heading 1"/>
    <w:basedOn w:val="1"/>
    <w:next w:val="1"/>
    <w:link w:val="67"/>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74"/>
    <w:unhideWhenUsed/>
    <w:qFormat/>
    <w:uiPriority w:val="0"/>
    <w:pPr>
      <w:keepNext/>
      <w:keepLines/>
      <w:spacing w:before="260" w:after="260" w:line="416" w:lineRule="auto"/>
      <w:outlineLvl w:val="1"/>
    </w:pPr>
    <w:rPr>
      <w:rFonts w:ascii="Cambria" w:hAnsi="Cambria" w:cs="Times New Roman"/>
      <w:b/>
      <w:bCs/>
      <w:sz w:val="32"/>
      <w:szCs w:val="32"/>
    </w:rPr>
  </w:style>
  <w:style w:type="paragraph" w:styleId="5">
    <w:name w:val="heading 3"/>
    <w:basedOn w:val="1"/>
    <w:next w:val="1"/>
    <w:link w:val="80"/>
    <w:unhideWhenUsed/>
    <w:qFormat/>
    <w:uiPriority w:val="0"/>
    <w:pPr>
      <w:keepNext/>
      <w:keepLines/>
      <w:widowControl w:val="0"/>
      <w:spacing w:before="260" w:after="260" w:line="416" w:lineRule="auto"/>
      <w:jc w:val="both"/>
      <w:outlineLvl w:val="2"/>
    </w:pPr>
    <w:rPr>
      <w:rFonts w:asciiTheme="minorHAnsi" w:hAnsiTheme="minorHAnsi" w:eastAsiaTheme="minorEastAsia" w:cstheme="minorBidi"/>
      <w:b/>
      <w:bCs/>
      <w:kern w:val="2"/>
      <w:sz w:val="32"/>
      <w:szCs w:val="32"/>
    </w:rPr>
  </w:style>
  <w:style w:type="paragraph" w:styleId="6">
    <w:name w:val="heading 4"/>
    <w:basedOn w:val="1"/>
    <w:next w:val="1"/>
    <w:link w:val="81"/>
    <w:unhideWhenUsed/>
    <w:qFormat/>
    <w:uiPriority w:val="0"/>
    <w:pPr>
      <w:keepNext/>
      <w:keepLines/>
      <w:widowControl w:val="0"/>
      <w:spacing w:before="280" w:after="290" w:line="376" w:lineRule="auto"/>
      <w:jc w:val="both"/>
      <w:outlineLvl w:val="3"/>
    </w:pPr>
    <w:rPr>
      <w:rFonts w:asciiTheme="majorHAnsi" w:hAnsiTheme="majorHAnsi" w:eastAsiaTheme="majorEastAsia" w:cstheme="majorBidi"/>
      <w:b/>
      <w:bCs/>
      <w:kern w:val="2"/>
      <w:sz w:val="28"/>
      <w:szCs w:val="28"/>
    </w:rPr>
  </w:style>
  <w:style w:type="paragraph" w:styleId="7">
    <w:name w:val="heading 5"/>
    <w:basedOn w:val="1"/>
    <w:next w:val="1"/>
    <w:link w:val="82"/>
    <w:qFormat/>
    <w:uiPriority w:val="0"/>
    <w:pPr>
      <w:keepNext/>
      <w:keepLines/>
      <w:widowControl w:val="0"/>
      <w:adjustRightInd w:val="0"/>
      <w:spacing w:before="280" w:after="290" w:line="376" w:lineRule="atLeast"/>
      <w:textAlignment w:val="baseline"/>
      <w:outlineLvl w:val="4"/>
    </w:pPr>
    <w:rPr>
      <w:rFonts w:ascii="Times New Roman" w:hAnsi="Times New Roman" w:cs="Times New Roman"/>
      <w:b/>
      <w:bCs/>
      <w:sz w:val="28"/>
      <w:szCs w:val="28"/>
    </w:rPr>
  </w:style>
  <w:style w:type="paragraph" w:styleId="8">
    <w:name w:val="heading 6"/>
    <w:basedOn w:val="1"/>
    <w:next w:val="1"/>
    <w:link w:val="83"/>
    <w:qFormat/>
    <w:uiPriority w:val="0"/>
    <w:pPr>
      <w:keepNext/>
      <w:keepLines/>
      <w:widowControl w:val="0"/>
      <w:adjustRightInd w:val="0"/>
      <w:spacing w:before="240" w:after="64" w:line="320" w:lineRule="atLeast"/>
      <w:textAlignment w:val="baseline"/>
      <w:outlineLvl w:val="5"/>
    </w:pPr>
    <w:rPr>
      <w:rFonts w:ascii="Arial" w:hAnsi="Arial" w:eastAsia="黑体" w:cs="Times New Roman"/>
      <w:b/>
      <w:bCs/>
    </w:rPr>
  </w:style>
  <w:style w:type="paragraph" w:styleId="9">
    <w:name w:val="heading 7"/>
    <w:basedOn w:val="1"/>
    <w:next w:val="1"/>
    <w:link w:val="84"/>
    <w:qFormat/>
    <w:uiPriority w:val="0"/>
    <w:pPr>
      <w:keepNext/>
      <w:keepLines/>
      <w:widowControl w:val="0"/>
      <w:adjustRightInd w:val="0"/>
      <w:spacing w:before="240" w:after="64" w:line="320" w:lineRule="atLeast"/>
      <w:textAlignment w:val="baseline"/>
      <w:outlineLvl w:val="6"/>
    </w:pPr>
    <w:rPr>
      <w:rFonts w:ascii="Times New Roman" w:hAnsi="Times New Roman" w:cs="Times New Roman"/>
      <w:b/>
      <w:bCs/>
    </w:rPr>
  </w:style>
  <w:style w:type="paragraph" w:styleId="10">
    <w:name w:val="heading 8"/>
    <w:basedOn w:val="1"/>
    <w:next w:val="1"/>
    <w:link w:val="85"/>
    <w:qFormat/>
    <w:uiPriority w:val="0"/>
    <w:pPr>
      <w:keepNext/>
      <w:keepLines/>
      <w:widowControl w:val="0"/>
      <w:adjustRightInd w:val="0"/>
      <w:spacing w:before="240" w:after="64" w:line="320" w:lineRule="atLeast"/>
      <w:textAlignment w:val="baseline"/>
      <w:outlineLvl w:val="7"/>
    </w:pPr>
    <w:rPr>
      <w:rFonts w:ascii="Arial" w:hAnsi="Arial" w:eastAsia="黑体" w:cs="Times New Roman"/>
    </w:rPr>
  </w:style>
  <w:style w:type="paragraph" w:styleId="11">
    <w:name w:val="heading 9"/>
    <w:basedOn w:val="1"/>
    <w:next w:val="1"/>
    <w:link w:val="86"/>
    <w:qFormat/>
    <w:uiPriority w:val="0"/>
    <w:pPr>
      <w:keepNext/>
      <w:keepLines/>
      <w:widowControl w:val="0"/>
      <w:adjustRightInd w:val="0"/>
      <w:spacing w:before="240" w:after="64" w:line="320" w:lineRule="atLeast"/>
      <w:textAlignment w:val="baseline"/>
      <w:outlineLvl w:val="8"/>
    </w:pPr>
    <w:rPr>
      <w:rFonts w:ascii="Arial" w:hAnsi="Arial" w:eastAsia="黑体" w:cs="Times New Roman"/>
      <w:sz w:val="21"/>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widowControl w:val="0"/>
      <w:adjustRightInd w:val="0"/>
      <w:spacing w:line="360" w:lineRule="atLeast"/>
      <w:ind w:firstLine="482"/>
      <w:jc w:val="both"/>
      <w:textAlignment w:val="baseline"/>
    </w:pPr>
    <w:rPr>
      <w:rFonts w:ascii="Times New Roman" w:hAnsi="Times New Roman" w:cs="Times New Roman"/>
      <w:szCs w:val="20"/>
    </w:rPr>
  </w:style>
  <w:style w:type="paragraph" w:styleId="12">
    <w:name w:val="toc 7"/>
    <w:basedOn w:val="1"/>
    <w:next w:val="1"/>
    <w:qFormat/>
    <w:uiPriority w:val="0"/>
    <w:pPr>
      <w:widowControl w:val="0"/>
      <w:ind w:left="2520" w:leftChars="1200"/>
      <w:jc w:val="both"/>
    </w:pPr>
    <w:rPr>
      <w:rFonts w:ascii="Calibri" w:hAnsi="Calibri" w:cs="Times New Roman"/>
      <w:kern w:val="2"/>
      <w:sz w:val="21"/>
      <w:szCs w:val="22"/>
    </w:rPr>
  </w:style>
  <w:style w:type="paragraph" w:styleId="13">
    <w:name w:val="caption"/>
    <w:basedOn w:val="1"/>
    <w:next w:val="1"/>
    <w:qFormat/>
    <w:uiPriority w:val="0"/>
    <w:pPr>
      <w:widowControl w:val="0"/>
      <w:jc w:val="both"/>
    </w:pPr>
    <w:rPr>
      <w:rFonts w:ascii="Cambria" w:hAnsi="Cambria" w:eastAsia="黑体" w:cs="Times New Roman"/>
      <w:kern w:val="2"/>
      <w:sz w:val="20"/>
      <w:szCs w:val="20"/>
    </w:rPr>
  </w:style>
  <w:style w:type="paragraph" w:styleId="14">
    <w:name w:val="Document Map"/>
    <w:basedOn w:val="1"/>
    <w:link w:val="77"/>
    <w:unhideWhenUsed/>
    <w:qFormat/>
    <w:uiPriority w:val="0"/>
    <w:rPr>
      <w:sz w:val="18"/>
      <w:szCs w:val="18"/>
    </w:rPr>
  </w:style>
  <w:style w:type="paragraph" w:styleId="15">
    <w:name w:val="toa heading"/>
    <w:basedOn w:val="1"/>
    <w:next w:val="1"/>
    <w:unhideWhenUsed/>
    <w:qFormat/>
    <w:uiPriority w:val="0"/>
    <w:pPr>
      <w:spacing w:before="120"/>
    </w:pPr>
    <w:rPr>
      <w:rFonts w:ascii="Cambria" w:hAnsi="Cambria"/>
    </w:rPr>
  </w:style>
  <w:style w:type="paragraph" w:styleId="16">
    <w:name w:val="annotation text"/>
    <w:basedOn w:val="1"/>
    <w:link w:val="87"/>
    <w:unhideWhenUsed/>
    <w:qFormat/>
    <w:uiPriority w:val="0"/>
    <w:pPr>
      <w:widowControl w:val="0"/>
    </w:pPr>
    <w:rPr>
      <w:rFonts w:asciiTheme="minorHAnsi" w:hAnsiTheme="minorHAnsi" w:eastAsiaTheme="minorEastAsia" w:cstheme="minorBidi"/>
      <w:kern w:val="2"/>
      <w:sz w:val="21"/>
      <w:szCs w:val="22"/>
    </w:rPr>
  </w:style>
  <w:style w:type="paragraph" w:styleId="17">
    <w:name w:val="Body Text 3"/>
    <w:basedOn w:val="1"/>
    <w:link w:val="151"/>
    <w:qFormat/>
    <w:uiPriority w:val="0"/>
    <w:pPr>
      <w:spacing w:after="120"/>
    </w:pPr>
    <w:rPr>
      <w:rFonts w:asciiTheme="minorHAnsi" w:hAnsiTheme="minorHAnsi" w:eastAsiaTheme="minorEastAsia" w:cstheme="minorBidi"/>
      <w:kern w:val="2"/>
      <w:sz w:val="16"/>
      <w:szCs w:val="16"/>
    </w:rPr>
  </w:style>
  <w:style w:type="paragraph" w:styleId="18">
    <w:name w:val="Body Text"/>
    <w:basedOn w:val="1"/>
    <w:next w:val="1"/>
    <w:link w:val="115"/>
    <w:qFormat/>
    <w:uiPriority w:val="99"/>
    <w:pPr>
      <w:widowControl w:val="0"/>
      <w:adjustRightInd w:val="0"/>
      <w:spacing w:after="60" w:line="360" w:lineRule="atLeast"/>
      <w:ind w:left="72" w:leftChars="30" w:right="30" w:rightChars="30"/>
      <w:jc w:val="center"/>
      <w:textAlignment w:val="baseline"/>
    </w:pPr>
    <w:rPr>
      <w:rFonts w:ascii="Times New Roman" w:hAnsi="Times New Roman" w:eastAsiaTheme="minorEastAsia" w:cstheme="minorBidi"/>
      <w:kern w:val="2"/>
      <w:sz w:val="21"/>
      <w:szCs w:val="22"/>
    </w:rPr>
  </w:style>
  <w:style w:type="paragraph" w:styleId="19">
    <w:name w:val="Body Text Indent"/>
    <w:basedOn w:val="1"/>
    <w:link w:val="180"/>
    <w:qFormat/>
    <w:uiPriority w:val="0"/>
    <w:pPr>
      <w:ind w:left="426" w:hanging="426" w:hangingChars="152"/>
    </w:pPr>
    <w:rPr>
      <w:rFonts w:hAnsiTheme="minorHAnsi" w:eastAsiaTheme="minorEastAsia" w:cstheme="minorBidi"/>
      <w:kern w:val="2"/>
      <w:sz w:val="28"/>
      <w:szCs w:val="22"/>
    </w:rPr>
  </w:style>
  <w:style w:type="paragraph" w:styleId="20">
    <w:name w:val="List 2"/>
    <w:basedOn w:val="1"/>
    <w:qFormat/>
    <w:uiPriority w:val="0"/>
    <w:pPr>
      <w:widowControl w:val="0"/>
      <w:ind w:left="100" w:hanging="200"/>
      <w:jc w:val="both"/>
    </w:pPr>
    <w:rPr>
      <w:rFonts w:ascii="Times New Roman" w:hAnsi="Times New Roman" w:cs="Times New Roman"/>
      <w:kern w:val="2"/>
      <w:sz w:val="21"/>
    </w:rPr>
  </w:style>
  <w:style w:type="paragraph" w:styleId="21">
    <w:name w:val="Block Text"/>
    <w:basedOn w:val="1"/>
    <w:qFormat/>
    <w:uiPriority w:val="0"/>
    <w:pPr>
      <w:widowControl w:val="0"/>
      <w:adjustRightInd w:val="0"/>
      <w:ind w:left="420" w:right="33"/>
      <w:textAlignment w:val="baseline"/>
    </w:pPr>
    <w:rPr>
      <w:rFonts w:ascii="Times New Roman" w:hAnsi="Times New Roman" w:cs="Times New Roman"/>
      <w:szCs w:val="20"/>
    </w:rPr>
  </w:style>
  <w:style w:type="paragraph" w:styleId="22">
    <w:name w:val="index 4"/>
    <w:basedOn w:val="1"/>
    <w:next w:val="1"/>
    <w:qFormat/>
    <w:uiPriority w:val="0"/>
    <w:pPr>
      <w:widowControl w:val="0"/>
      <w:ind w:left="600" w:leftChars="600"/>
      <w:jc w:val="both"/>
    </w:pPr>
    <w:rPr>
      <w:rFonts w:ascii="Times New Roman" w:hAnsi="Times New Roman" w:cs="Times New Roman"/>
      <w:kern w:val="2"/>
      <w:sz w:val="21"/>
    </w:rPr>
  </w:style>
  <w:style w:type="paragraph" w:styleId="23">
    <w:name w:val="toc 5"/>
    <w:basedOn w:val="1"/>
    <w:next w:val="1"/>
    <w:qFormat/>
    <w:uiPriority w:val="0"/>
    <w:pPr>
      <w:widowControl w:val="0"/>
      <w:tabs>
        <w:tab w:val="right" w:leader="dot" w:pos="8296"/>
      </w:tabs>
      <w:ind w:left="1050" w:leftChars="500"/>
      <w:jc w:val="both"/>
    </w:pPr>
    <w:rPr>
      <w:rFonts w:ascii="Calibri" w:hAnsi="Calibri" w:cs="Times New Roman"/>
      <w:kern w:val="2"/>
      <w:sz w:val="21"/>
      <w:szCs w:val="22"/>
    </w:rPr>
  </w:style>
  <w:style w:type="paragraph" w:styleId="24">
    <w:name w:val="toc 3"/>
    <w:basedOn w:val="1"/>
    <w:next w:val="1"/>
    <w:unhideWhenUsed/>
    <w:qFormat/>
    <w:uiPriority w:val="39"/>
    <w:pPr>
      <w:spacing w:after="100" w:line="276" w:lineRule="auto"/>
      <w:ind w:left="440"/>
    </w:pPr>
    <w:rPr>
      <w:rFonts w:asciiTheme="minorHAnsi" w:hAnsiTheme="minorHAnsi" w:eastAsiaTheme="minorEastAsia" w:cstheme="minorBidi"/>
      <w:sz w:val="22"/>
      <w:szCs w:val="22"/>
    </w:rPr>
  </w:style>
  <w:style w:type="paragraph" w:styleId="25">
    <w:name w:val="Plain Text"/>
    <w:basedOn w:val="1"/>
    <w:link w:val="164"/>
    <w:qFormat/>
    <w:uiPriority w:val="0"/>
    <w:pPr>
      <w:widowControl w:val="0"/>
      <w:jc w:val="both"/>
    </w:pPr>
    <w:rPr>
      <w:rFonts w:hAnsi="Courier New" w:cs="Courier New"/>
      <w:kern w:val="2"/>
      <w:sz w:val="21"/>
      <w:szCs w:val="21"/>
    </w:rPr>
  </w:style>
  <w:style w:type="paragraph" w:styleId="26">
    <w:name w:val="toc 8"/>
    <w:basedOn w:val="1"/>
    <w:next w:val="1"/>
    <w:qFormat/>
    <w:uiPriority w:val="0"/>
    <w:pPr>
      <w:widowControl w:val="0"/>
      <w:ind w:left="2940" w:leftChars="1400"/>
      <w:jc w:val="both"/>
    </w:pPr>
    <w:rPr>
      <w:rFonts w:ascii="Calibri" w:hAnsi="Calibri" w:cs="Times New Roman"/>
      <w:kern w:val="2"/>
      <w:sz w:val="21"/>
      <w:szCs w:val="22"/>
    </w:rPr>
  </w:style>
  <w:style w:type="paragraph" w:styleId="27">
    <w:name w:val="Date"/>
    <w:basedOn w:val="1"/>
    <w:next w:val="1"/>
    <w:link w:val="69"/>
    <w:unhideWhenUsed/>
    <w:qFormat/>
    <w:uiPriority w:val="0"/>
    <w:pPr>
      <w:ind w:left="100" w:leftChars="2500"/>
    </w:pPr>
  </w:style>
  <w:style w:type="paragraph" w:styleId="28">
    <w:name w:val="Body Text Indent 2"/>
    <w:basedOn w:val="1"/>
    <w:link w:val="88"/>
    <w:qFormat/>
    <w:uiPriority w:val="0"/>
    <w:pPr>
      <w:widowControl w:val="0"/>
      <w:spacing w:line="640" w:lineRule="exact"/>
      <w:ind w:firstLine="645"/>
      <w:jc w:val="both"/>
    </w:pPr>
    <w:rPr>
      <w:rFonts w:ascii="楷体_GB2312" w:hAnsi="Times New Roman" w:eastAsia="楷体_GB2312" w:cs="Times New Roman"/>
      <w:kern w:val="2"/>
      <w:sz w:val="32"/>
      <w:szCs w:val="20"/>
    </w:rPr>
  </w:style>
  <w:style w:type="paragraph" w:styleId="29">
    <w:name w:val="endnote text"/>
    <w:basedOn w:val="1"/>
    <w:link w:val="186"/>
    <w:qFormat/>
    <w:uiPriority w:val="0"/>
    <w:pPr>
      <w:widowControl w:val="0"/>
      <w:snapToGrid w:val="0"/>
      <w:jc w:val="both"/>
    </w:pPr>
    <w:rPr>
      <w:rFonts w:asciiTheme="minorHAnsi" w:hAnsiTheme="minorHAnsi" w:eastAsiaTheme="minorEastAsia" w:cstheme="minorBidi"/>
      <w:kern w:val="2"/>
      <w:sz w:val="21"/>
      <w:szCs w:val="22"/>
    </w:rPr>
  </w:style>
  <w:style w:type="paragraph" w:styleId="30">
    <w:name w:val="Balloon Text"/>
    <w:basedOn w:val="1"/>
    <w:link w:val="78"/>
    <w:unhideWhenUsed/>
    <w:qFormat/>
    <w:uiPriority w:val="0"/>
    <w:rPr>
      <w:sz w:val="18"/>
      <w:szCs w:val="18"/>
    </w:rPr>
  </w:style>
  <w:style w:type="paragraph" w:styleId="31">
    <w:name w:val="footer"/>
    <w:basedOn w:val="1"/>
    <w:link w:val="62"/>
    <w:unhideWhenUsed/>
    <w:qFormat/>
    <w:uiPriority w:val="99"/>
    <w:pPr>
      <w:tabs>
        <w:tab w:val="center" w:pos="4153"/>
        <w:tab w:val="right" w:pos="8306"/>
      </w:tabs>
      <w:snapToGrid w:val="0"/>
    </w:pPr>
    <w:rPr>
      <w:sz w:val="18"/>
      <w:szCs w:val="18"/>
    </w:rPr>
  </w:style>
  <w:style w:type="paragraph" w:styleId="32">
    <w:name w:val="header"/>
    <w:basedOn w:val="1"/>
    <w:link w:val="61"/>
    <w:unhideWhenUsed/>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unhideWhenUsed/>
    <w:qFormat/>
    <w:uiPriority w:val="39"/>
  </w:style>
  <w:style w:type="paragraph" w:styleId="34">
    <w:name w:val="toc 4"/>
    <w:basedOn w:val="1"/>
    <w:next w:val="1"/>
    <w:qFormat/>
    <w:uiPriority w:val="0"/>
    <w:pPr>
      <w:widowControl w:val="0"/>
      <w:tabs>
        <w:tab w:val="left" w:pos="1890"/>
        <w:tab w:val="right" w:leader="dot" w:pos="8296"/>
      </w:tabs>
      <w:ind w:left="630" w:leftChars="300"/>
      <w:jc w:val="both"/>
    </w:pPr>
    <w:rPr>
      <w:rFonts w:ascii="Calibri" w:hAnsi="Calibri" w:cs="Times New Roman"/>
      <w:kern w:val="2"/>
      <w:sz w:val="21"/>
      <w:szCs w:val="22"/>
    </w:rPr>
  </w:style>
  <w:style w:type="paragraph" w:styleId="35">
    <w:name w:val="Subtitle"/>
    <w:basedOn w:val="1"/>
    <w:next w:val="1"/>
    <w:link w:val="123"/>
    <w:qFormat/>
    <w:uiPriority w:val="0"/>
    <w:pPr>
      <w:widowControl w:val="0"/>
      <w:spacing w:before="240" w:after="60" w:line="312" w:lineRule="auto"/>
      <w:jc w:val="center"/>
      <w:outlineLvl w:val="1"/>
    </w:pPr>
    <w:rPr>
      <w:rFonts w:ascii="Cambria" w:hAnsi="Cambria" w:eastAsiaTheme="minorEastAsia" w:cstheme="minorBidi"/>
      <w:b/>
      <w:bCs/>
      <w:kern w:val="28"/>
      <w:sz w:val="32"/>
      <w:szCs w:val="32"/>
    </w:rPr>
  </w:style>
  <w:style w:type="paragraph" w:styleId="36">
    <w:name w:val="footnote text"/>
    <w:basedOn w:val="1"/>
    <w:link w:val="154"/>
    <w:qFormat/>
    <w:uiPriority w:val="0"/>
    <w:pPr>
      <w:widowControl w:val="0"/>
      <w:adjustRightInd w:val="0"/>
      <w:spacing w:line="312" w:lineRule="atLeast"/>
      <w:textAlignment w:val="baseline"/>
    </w:pPr>
    <w:rPr>
      <w:rFonts w:asciiTheme="minorHAnsi" w:hAnsiTheme="minorHAnsi" w:eastAsiaTheme="minorEastAsia" w:cstheme="minorBidi"/>
      <w:kern w:val="2"/>
      <w:sz w:val="18"/>
      <w:szCs w:val="22"/>
    </w:rPr>
  </w:style>
  <w:style w:type="paragraph" w:styleId="37">
    <w:name w:val="toc 6"/>
    <w:basedOn w:val="1"/>
    <w:next w:val="1"/>
    <w:qFormat/>
    <w:uiPriority w:val="0"/>
    <w:pPr>
      <w:widowControl w:val="0"/>
      <w:ind w:left="2100" w:leftChars="1000"/>
      <w:jc w:val="both"/>
    </w:pPr>
    <w:rPr>
      <w:rFonts w:ascii="Calibri" w:hAnsi="Calibri" w:cs="Times New Roman"/>
      <w:kern w:val="2"/>
      <w:sz w:val="21"/>
      <w:szCs w:val="22"/>
    </w:rPr>
  </w:style>
  <w:style w:type="paragraph" w:styleId="38">
    <w:name w:val="Body Text Indent 3"/>
    <w:basedOn w:val="1"/>
    <w:link w:val="212"/>
    <w:qFormat/>
    <w:uiPriority w:val="0"/>
    <w:pPr>
      <w:spacing w:after="120"/>
      <w:ind w:left="420" w:leftChars="200"/>
    </w:pPr>
    <w:rPr>
      <w:rFonts w:asciiTheme="minorHAnsi" w:hAnsiTheme="minorHAnsi" w:eastAsiaTheme="minorEastAsia" w:cstheme="minorBidi"/>
      <w:kern w:val="2"/>
      <w:sz w:val="16"/>
      <w:szCs w:val="16"/>
    </w:rPr>
  </w:style>
  <w:style w:type="paragraph" w:styleId="39">
    <w:name w:val="toc 2"/>
    <w:basedOn w:val="1"/>
    <w:next w:val="1"/>
    <w:unhideWhenUsed/>
    <w:qFormat/>
    <w:uiPriority w:val="39"/>
    <w:pPr>
      <w:ind w:left="420" w:leftChars="200"/>
    </w:pPr>
  </w:style>
  <w:style w:type="paragraph" w:styleId="40">
    <w:name w:val="toc 9"/>
    <w:basedOn w:val="1"/>
    <w:next w:val="1"/>
    <w:qFormat/>
    <w:uiPriority w:val="0"/>
    <w:pPr>
      <w:widowControl w:val="0"/>
      <w:ind w:left="3360" w:leftChars="1600"/>
      <w:jc w:val="both"/>
    </w:pPr>
    <w:rPr>
      <w:rFonts w:ascii="Calibri" w:hAnsi="Calibri" w:cs="Times New Roman"/>
      <w:kern w:val="2"/>
      <w:sz w:val="21"/>
      <w:szCs w:val="22"/>
    </w:rPr>
  </w:style>
  <w:style w:type="paragraph" w:styleId="41">
    <w:name w:val="Body Text 2"/>
    <w:basedOn w:val="1"/>
    <w:link w:val="159"/>
    <w:qFormat/>
    <w:uiPriority w:val="0"/>
    <w:pPr>
      <w:spacing w:after="120" w:line="480" w:lineRule="auto"/>
    </w:pPr>
    <w:rPr>
      <w:rFonts w:asciiTheme="minorHAnsi" w:hAnsiTheme="minorHAnsi" w:eastAsiaTheme="minorEastAsia" w:cstheme="minorBidi"/>
      <w:kern w:val="2"/>
      <w:sz w:val="21"/>
      <w:szCs w:val="22"/>
    </w:rPr>
  </w:style>
  <w:style w:type="paragraph" w:styleId="42">
    <w:name w:val="List Continue 2"/>
    <w:basedOn w:val="1"/>
    <w:qFormat/>
    <w:uiPriority w:val="0"/>
    <w:pPr>
      <w:spacing w:after="120"/>
      <w:ind w:left="840" w:leftChars="400"/>
      <w:contextualSpacing/>
    </w:pPr>
    <w:rPr>
      <w:szCs w:val="20"/>
    </w:rPr>
  </w:style>
  <w:style w:type="paragraph" w:styleId="43">
    <w:name w:val="HTML Preformatted"/>
    <w:basedOn w:val="1"/>
    <w:link w:val="170"/>
    <w:qFormat/>
    <w:uiPriority w:val="0"/>
    <w:pPr>
      <w:widowControl w:val="0"/>
      <w:jc w:val="both"/>
    </w:pPr>
    <w:rPr>
      <w:rFonts w:ascii="Courier New" w:hAnsi="Courier New" w:cs="Courier New" w:eastAsiaTheme="minorEastAsia"/>
      <w:kern w:val="2"/>
      <w:sz w:val="21"/>
      <w:szCs w:val="22"/>
    </w:rPr>
  </w:style>
  <w:style w:type="paragraph" w:styleId="44">
    <w:name w:val="Normal (Web)"/>
    <w:basedOn w:val="1"/>
    <w:qFormat/>
    <w:uiPriority w:val="0"/>
    <w:pPr>
      <w:spacing w:before="100" w:beforeAutospacing="1" w:after="100" w:afterAutospacing="1" w:line="320" w:lineRule="atLeast"/>
    </w:pPr>
    <w:rPr>
      <w:rFonts w:cs="Times New Roman"/>
      <w:sz w:val="18"/>
      <w:szCs w:val="18"/>
    </w:rPr>
  </w:style>
  <w:style w:type="paragraph" w:styleId="45">
    <w:name w:val="index 1"/>
    <w:basedOn w:val="1"/>
    <w:next w:val="1"/>
    <w:qFormat/>
    <w:uiPriority w:val="0"/>
    <w:pPr>
      <w:widowControl w:val="0"/>
      <w:jc w:val="both"/>
    </w:pPr>
    <w:rPr>
      <w:rFonts w:ascii="Times New Roman" w:hAnsi="Times New Roman" w:cs="Times New Roman"/>
      <w:kern w:val="2"/>
      <w:sz w:val="21"/>
    </w:rPr>
  </w:style>
  <w:style w:type="paragraph" w:styleId="46">
    <w:name w:val="Title"/>
    <w:basedOn w:val="1"/>
    <w:next w:val="1"/>
    <w:link w:val="121"/>
    <w:qFormat/>
    <w:uiPriority w:val="0"/>
    <w:pPr>
      <w:widowControl w:val="0"/>
      <w:spacing w:before="240" w:after="60"/>
      <w:jc w:val="center"/>
      <w:outlineLvl w:val="0"/>
    </w:pPr>
    <w:rPr>
      <w:rFonts w:ascii="Cambria" w:hAnsi="Cambria" w:eastAsiaTheme="minorEastAsia" w:cstheme="minorBidi"/>
      <w:b/>
      <w:bCs/>
      <w:kern w:val="2"/>
      <w:sz w:val="32"/>
      <w:szCs w:val="32"/>
    </w:rPr>
  </w:style>
  <w:style w:type="paragraph" w:styleId="47">
    <w:name w:val="annotation subject"/>
    <w:basedOn w:val="16"/>
    <w:next w:val="16"/>
    <w:link w:val="116"/>
    <w:qFormat/>
    <w:uiPriority w:val="0"/>
    <w:rPr>
      <w:rFonts w:ascii="宋体" w:hAnsi="Times New Roman"/>
      <w:b/>
      <w:bCs/>
      <w:sz w:val="28"/>
    </w:rPr>
  </w:style>
  <w:style w:type="paragraph" w:styleId="48">
    <w:name w:val="Body Text First Indent"/>
    <w:basedOn w:val="18"/>
    <w:unhideWhenUsed/>
    <w:qFormat/>
    <w:uiPriority w:val="99"/>
    <w:pPr>
      <w:ind w:firstLine="420" w:firstLineChars="100"/>
    </w:pPr>
  </w:style>
  <w:style w:type="paragraph" w:styleId="49">
    <w:name w:val="Body Text First Indent 2"/>
    <w:basedOn w:val="19"/>
    <w:qFormat/>
    <w:uiPriority w:val="0"/>
    <w:pPr>
      <w:spacing w:after="120"/>
      <w:ind w:left="420" w:leftChars="200" w:firstLine="420" w:firstLineChars="200"/>
    </w:pPr>
    <w:rPr>
      <w:sz w:val="21"/>
    </w:rPr>
  </w:style>
  <w:style w:type="table" w:styleId="51">
    <w:name w:val="Table Grid"/>
    <w:basedOn w:val="50"/>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53">
    <w:name w:val="Strong"/>
    <w:qFormat/>
    <w:uiPriority w:val="0"/>
    <w:rPr>
      <w:b/>
      <w:bCs/>
    </w:rPr>
  </w:style>
  <w:style w:type="character" w:styleId="54">
    <w:name w:val="page number"/>
    <w:basedOn w:val="52"/>
    <w:qFormat/>
    <w:uiPriority w:val="0"/>
    <w:rPr>
      <w:rFonts w:ascii="Tahoma" w:hAnsi="Tahoma"/>
    </w:rPr>
  </w:style>
  <w:style w:type="character" w:styleId="55">
    <w:name w:val="FollowedHyperlink"/>
    <w:qFormat/>
    <w:uiPriority w:val="99"/>
    <w:rPr>
      <w:color w:val="800080"/>
      <w:u w:val="single"/>
    </w:rPr>
  </w:style>
  <w:style w:type="character" w:styleId="56">
    <w:name w:val="Emphasis"/>
    <w:qFormat/>
    <w:uiPriority w:val="0"/>
    <w:rPr>
      <w:i/>
      <w:iCs/>
    </w:rPr>
  </w:style>
  <w:style w:type="character" w:styleId="57">
    <w:name w:val="Hyperlink"/>
    <w:unhideWhenUsed/>
    <w:qFormat/>
    <w:uiPriority w:val="99"/>
    <w:rPr>
      <w:color w:val="0000FF"/>
      <w:u w:val="single"/>
    </w:rPr>
  </w:style>
  <w:style w:type="character" w:styleId="58">
    <w:name w:val="annotation reference"/>
    <w:basedOn w:val="52"/>
    <w:unhideWhenUsed/>
    <w:qFormat/>
    <w:uiPriority w:val="0"/>
    <w:rPr>
      <w:sz w:val="21"/>
      <w:szCs w:val="21"/>
    </w:rPr>
  </w:style>
  <w:style w:type="character" w:styleId="59">
    <w:name w:val="footnote reference"/>
    <w:qFormat/>
    <w:uiPriority w:val="0"/>
    <w:rPr>
      <w:vertAlign w:val="superscript"/>
    </w:rPr>
  </w:style>
  <w:style w:type="paragraph" w:customStyle="1" w:styleId="60">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1">
    <w:name w:val="页眉 字符"/>
    <w:basedOn w:val="52"/>
    <w:link w:val="32"/>
    <w:qFormat/>
    <w:uiPriority w:val="0"/>
    <w:rPr>
      <w:sz w:val="18"/>
      <w:szCs w:val="18"/>
    </w:rPr>
  </w:style>
  <w:style w:type="character" w:customStyle="1" w:styleId="62">
    <w:name w:val="页脚 字符"/>
    <w:basedOn w:val="52"/>
    <w:link w:val="31"/>
    <w:qFormat/>
    <w:uiPriority w:val="99"/>
    <w:rPr>
      <w:sz w:val="18"/>
      <w:szCs w:val="18"/>
    </w:rPr>
  </w:style>
  <w:style w:type="paragraph" w:customStyle="1" w:styleId="63">
    <w:name w:val="Default"/>
    <w:qFormat/>
    <w:uiPriority w:val="0"/>
    <w:pPr>
      <w:widowControl w:val="0"/>
      <w:autoSpaceDE w:val="0"/>
      <w:autoSpaceDN w:val="0"/>
      <w:adjustRightInd w:val="0"/>
    </w:pPr>
    <w:rPr>
      <w:rFonts w:ascii="微软雅黑" w:hAnsi="Times New Roman" w:eastAsia="微软雅黑" w:cs="微软雅黑"/>
      <w:color w:val="000000"/>
      <w:sz w:val="24"/>
      <w:szCs w:val="24"/>
      <w:lang w:val="en-US" w:eastAsia="zh-CN" w:bidi="ar-SA"/>
    </w:rPr>
  </w:style>
  <w:style w:type="paragraph" w:customStyle="1" w:styleId="64">
    <w:name w:val="_Style 17"/>
    <w:basedOn w:val="1"/>
    <w:next w:val="65"/>
    <w:qFormat/>
    <w:uiPriority w:val="34"/>
    <w:pPr>
      <w:ind w:firstLine="420" w:firstLineChars="200"/>
    </w:pPr>
  </w:style>
  <w:style w:type="paragraph" w:styleId="65">
    <w:name w:val="List Paragraph"/>
    <w:basedOn w:val="1"/>
    <w:qFormat/>
    <w:uiPriority w:val="0"/>
    <w:pPr>
      <w:ind w:firstLine="420" w:firstLineChars="200"/>
    </w:pPr>
  </w:style>
  <w:style w:type="paragraph" w:customStyle="1" w:styleId="66">
    <w:name w:val="TOC 标题1"/>
    <w:basedOn w:val="3"/>
    <w:next w:val="1"/>
    <w:unhideWhenUsed/>
    <w:qFormat/>
    <w:uiPriority w:val="39"/>
    <w:pPr>
      <w:spacing w:before="480" w:after="0" w:line="276" w:lineRule="auto"/>
      <w:outlineLvl w:val="9"/>
    </w:pPr>
    <w:rPr>
      <w:rFonts w:ascii="Cambria" w:hAnsi="Cambria" w:cs="Times New Roman"/>
      <w:color w:val="365F91"/>
      <w:kern w:val="0"/>
      <w:sz w:val="28"/>
      <w:szCs w:val="28"/>
    </w:rPr>
  </w:style>
  <w:style w:type="character" w:customStyle="1" w:styleId="67">
    <w:name w:val="标题 1 字符"/>
    <w:basedOn w:val="52"/>
    <w:link w:val="3"/>
    <w:qFormat/>
    <w:uiPriority w:val="0"/>
    <w:rPr>
      <w:rFonts w:ascii="宋体" w:hAnsi="宋体" w:eastAsia="宋体" w:cs="宋体"/>
      <w:b/>
      <w:bCs/>
      <w:kern w:val="44"/>
      <w:sz w:val="44"/>
      <w:szCs w:val="44"/>
    </w:rPr>
  </w:style>
  <w:style w:type="character" w:customStyle="1" w:styleId="68">
    <w:name w:val="标题 1 Char"/>
    <w:qFormat/>
    <w:uiPriority w:val="9"/>
    <w:rPr>
      <w:b/>
      <w:bCs/>
      <w:kern w:val="44"/>
      <w:sz w:val="44"/>
      <w:szCs w:val="44"/>
    </w:rPr>
  </w:style>
  <w:style w:type="character" w:customStyle="1" w:styleId="69">
    <w:name w:val="日期 字符"/>
    <w:basedOn w:val="52"/>
    <w:link w:val="27"/>
    <w:qFormat/>
    <w:uiPriority w:val="0"/>
    <w:rPr>
      <w:rFonts w:ascii="宋体" w:hAnsi="宋体" w:eastAsia="宋体" w:cs="宋体"/>
      <w:kern w:val="0"/>
      <w:sz w:val="24"/>
      <w:szCs w:val="24"/>
    </w:rPr>
  </w:style>
  <w:style w:type="paragraph" w:customStyle="1" w:styleId="70">
    <w:name w:val="p15"/>
    <w:basedOn w:val="1"/>
    <w:link w:val="71"/>
    <w:qFormat/>
    <w:uiPriority w:val="99"/>
    <w:rPr>
      <w:rFonts w:ascii="Times New Roman" w:hAnsi="Times New Roman"/>
      <w:sz w:val="20"/>
      <w:szCs w:val="21"/>
    </w:rPr>
  </w:style>
  <w:style w:type="character" w:customStyle="1" w:styleId="71">
    <w:name w:val="p15 Char"/>
    <w:link w:val="70"/>
    <w:qFormat/>
    <w:uiPriority w:val="99"/>
    <w:rPr>
      <w:rFonts w:ascii="Times New Roman" w:hAnsi="Times New Roman" w:eastAsia="宋体" w:cs="宋体"/>
      <w:kern w:val="0"/>
      <w:sz w:val="20"/>
      <w:szCs w:val="21"/>
    </w:rPr>
  </w:style>
  <w:style w:type="paragraph" w:customStyle="1" w:styleId="72">
    <w:name w:val="正文 New"/>
    <w:qFormat/>
    <w:uiPriority w:val="99"/>
    <w:pPr>
      <w:widowControl w:val="0"/>
      <w:jc w:val="both"/>
    </w:pPr>
    <w:rPr>
      <w:rFonts w:ascii="Calibri" w:hAnsi="Calibri" w:eastAsia="宋体" w:cs="Times New Roman"/>
      <w:lang w:val="en-US" w:eastAsia="zh-CN" w:bidi="ar-SA"/>
    </w:rPr>
  </w:style>
  <w:style w:type="character" w:customStyle="1" w:styleId="73">
    <w:name w:val="标题 2 字符"/>
    <w:basedOn w:val="52"/>
    <w:qFormat/>
    <w:uiPriority w:val="0"/>
    <w:rPr>
      <w:rFonts w:asciiTheme="majorHAnsi" w:hAnsiTheme="majorHAnsi" w:eastAsiaTheme="majorEastAsia" w:cstheme="majorBidi"/>
      <w:b/>
      <w:bCs/>
      <w:kern w:val="0"/>
      <w:sz w:val="32"/>
      <w:szCs w:val="32"/>
    </w:rPr>
  </w:style>
  <w:style w:type="character" w:customStyle="1" w:styleId="74">
    <w:name w:val="标题 2 字符1"/>
    <w:link w:val="4"/>
    <w:qFormat/>
    <w:uiPriority w:val="9"/>
    <w:rPr>
      <w:rFonts w:ascii="Cambria" w:hAnsi="Cambria" w:eastAsia="宋体" w:cs="Times New Roman"/>
      <w:b/>
      <w:bCs/>
      <w:kern w:val="0"/>
      <w:sz w:val="32"/>
      <w:szCs w:val="32"/>
    </w:rPr>
  </w:style>
  <w:style w:type="paragraph" w:customStyle="1" w:styleId="75">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character" w:customStyle="1" w:styleId="76">
    <w:name w:val="页眉 Char"/>
    <w:qFormat/>
    <w:uiPriority w:val="99"/>
    <w:rPr>
      <w:rFonts w:ascii="宋体" w:hAnsi="宋体"/>
      <w:color w:val="595959"/>
      <w:szCs w:val="21"/>
    </w:rPr>
  </w:style>
  <w:style w:type="character" w:customStyle="1" w:styleId="77">
    <w:name w:val="文档结构图 字符"/>
    <w:basedOn w:val="52"/>
    <w:link w:val="14"/>
    <w:qFormat/>
    <w:uiPriority w:val="0"/>
    <w:rPr>
      <w:rFonts w:ascii="宋体" w:hAnsi="宋体" w:eastAsia="宋体" w:cs="宋体"/>
      <w:kern w:val="0"/>
      <w:sz w:val="18"/>
      <w:szCs w:val="18"/>
    </w:rPr>
  </w:style>
  <w:style w:type="character" w:customStyle="1" w:styleId="78">
    <w:name w:val="批注框文本 字符"/>
    <w:basedOn w:val="52"/>
    <w:link w:val="30"/>
    <w:qFormat/>
    <w:uiPriority w:val="0"/>
    <w:rPr>
      <w:rFonts w:ascii="宋体" w:hAnsi="宋体" w:eastAsia="宋体" w:cs="宋体"/>
      <w:kern w:val="0"/>
      <w:sz w:val="18"/>
      <w:szCs w:val="18"/>
    </w:rPr>
  </w:style>
  <w:style w:type="character" w:customStyle="1" w:styleId="79">
    <w:name w:val="未处理的提及1"/>
    <w:basedOn w:val="52"/>
    <w:semiHidden/>
    <w:unhideWhenUsed/>
    <w:qFormat/>
    <w:uiPriority w:val="99"/>
    <w:rPr>
      <w:color w:val="605E5C"/>
      <w:shd w:val="clear" w:color="auto" w:fill="E1DFDD"/>
    </w:rPr>
  </w:style>
  <w:style w:type="character" w:customStyle="1" w:styleId="80">
    <w:name w:val="标题 3 字符"/>
    <w:basedOn w:val="52"/>
    <w:link w:val="5"/>
    <w:qFormat/>
    <w:uiPriority w:val="0"/>
    <w:rPr>
      <w:b/>
      <w:bCs/>
      <w:sz w:val="32"/>
      <w:szCs w:val="32"/>
    </w:rPr>
  </w:style>
  <w:style w:type="character" w:customStyle="1" w:styleId="81">
    <w:name w:val="标题 4 字符"/>
    <w:basedOn w:val="52"/>
    <w:link w:val="6"/>
    <w:qFormat/>
    <w:uiPriority w:val="0"/>
    <w:rPr>
      <w:rFonts w:asciiTheme="majorHAnsi" w:hAnsiTheme="majorHAnsi" w:eastAsiaTheme="majorEastAsia" w:cstheme="majorBidi"/>
      <w:b/>
      <w:bCs/>
      <w:sz w:val="28"/>
      <w:szCs w:val="28"/>
    </w:rPr>
  </w:style>
  <w:style w:type="character" w:customStyle="1" w:styleId="82">
    <w:name w:val="标题 5 字符"/>
    <w:basedOn w:val="52"/>
    <w:link w:val="7"/>
    <w:qFormat/>
    <w:uiPriority w:val="0"/>
    <w:rPr>
      <w:rFonts w:ascii="Times New Roman" w:hAnsi="Times New Roman" w:eastAsia="宋体" w:cs="Times New Roman"/>
      <w:b/>
      <w:bCs/>
      <w:kern w:val="0"/>
      <w:sz w:val="28"/>
      <w:szCs w:val="28"/>
    </w:rPr>
  </w:style>
  <w:style w:type="character" w:customStyle="1" w:styleId="83">
    <w:name w:val="标题 6 字符"/>
    <w:basedOn w:val="52"/>
    <w:link w:val="8"/>
    <w:qFormat/>
    <w:uiPriority w:val="0"/>
    <w:rPr>
      <w:rFonts w:ascii="Arial" w:hAnsi="Arial" w:eastAsia="黑体" w:cs="Times New Roman"/>
      <w:b/>
      <w:bCs/>
      <w:kern w:val="0"/>
      <w:sz w:val="24"/>
      <w:szCs w:val="24"/>
    </w:rPr>
  </w:style>
  <w:style w:type="character" w:customStyle="1" w:styleId="84">
    <w:name w:val="标题 7 字符"/>
    <w:basedOn w:val="52"/>
    <w:link w:val="9"/>
    <w:qFormat/>
    <w:uiPriority w:val="0"/>
    <w:rPr>
      <w:rFonts w:ascii="Times New Roman" w:hAnsi="Times New Roman" w:eastAsia="宋体" w:cs="Times New Roman"/>
      <w:b/>
      <w:bCs/>
      <w:kern w:val="0"/>
      <w:sz w:val="24"/>
      <w:szCs w:val="24"/>
    </w:rPr>
  </w:style>
  <w:style w:type="character" w:customStyle="1" w:styleId="85">
    <w:name w:val="标题 8 字符"/>
    <w:basedOn w:val="52"/>
    <w:link w:val="10"/>
    <w:qFormat/>
    <w:uiPriority w:val="0"/>
    <w:rPr>
      <w:rFonts w:ascii="Arial" w:hAnsi="Arial" w:eastAsia="黑体" w:cs="Times New Roman"/>
      <w:kern w:val="0"/>
      <w:sz w:val="24"/>
      <w:szCs w:val="24"/>
    </w:rPr>
  </w:style>
  <w:style w:type="character" w:customStyle="1" w:styleId="86">
    <w:name w:val="标题 9 字符"/>
    <w:basedOn w:val="52"/>
    <w:link w:val="11"/>
    <w:qFormat/>
    <w:uiPriority w:val="0"/>
    <w:rPr>
      <w:rFonts w:ascii="Arial" w:hAnsi="Arial" w:eastAsia="黑体" w:cs="Times New Roman"/>
      <w:kern w:val="0"/>
      <w:szCs w:val="21"/>
    </w:rPr>
  </w:style>
  <w:style w:type="character" w:customStyle="1" w:styleId="87">
    <w:name w:val="批注文字 字符"/>
    <w:basedOn w:val="52"/>
    <w:link w:val="16"/>
    <w:qFormat/>
    <w:uiPriority w:val="0"/>
  </w:style>
  <w:style w:type="character" w:customStyle="1" w:styleId="88">
    <w:name w:val="正文文本缩进 2 字符"/>
    <w:basedOn w:val="52"/>
    <w:link w:val="28"/>
    <w:qFormat/>
    <w:uiPriority w:val="0"/>
    <w:rPr>
      <w:rFonts w:ascii="楷体_GB2312" w:hAnsi="Times New Roman" w:eastAsia="楷体_GB2312" w:cs="Times New Roman"/>
      <w:sz w:val="32"/>
      <w:szCs w:val="20"/>
    </w:rPr>
  </w:style>
  <w:style w:type="paragraph" w:customStyle="1" w:styleId="89">
    <w:name w:val="列出段落1"/>
    <w:basedOn w:val="1"/>
    <w:qFormat/>
    <w:uiPriority w:val="0"/>
    <w:pPr>
      <w:widowControl w:val="0"/>
      <w:ind w:firstLine="420" w:firstLineChars="200"/>
      <w:jc w:val="both"/>
    </w:pPr>
    <w:rPr>
      <w:rFonts w:ascii="Times New Roman" w:hAnsi="Times New Roman" w:cs="Times New Roman"/>
      <w:kern w:val="2"/>
      <w:sz w:val="21"/>
      <w:szCs w:val="21"/>
    </w:rPr>
  </w:style>
  <w:style w:type="character" w:customStyle="1" w:styleId="90">
    <w:name w:val="apple-converted-space"/>
    <w:basedOn w:val="52"/>
    <w:qFormat/>
    <w:uiPriority w:val="0"/>
  </w:style>
  <w:style w:type="paragraph" w:customStyle="1" w:styleId="91">
    <w:name w:val="List Paragraph1"/>
    <w:basedOn w:val="1"/>
    <w:qFormat/>
    <w:uiPriority w:val="99"/>
    <w:pPr>
      <w:ind w:firstLine="420" w:firstLineChars="200"/>
    </w:pPr>
    <w:rPr>
      <w:rFonts w:cs="Times New Roman"/>
      <w:szCs w:val="20"/>
    </w:rPr>
  </w:style>
  <w:style w:type="paragraph" w:customStyle="1" w:styleId="92">
    <w:name w:val="样式 标题 1 + 四号 居中 段前: 12 磅 段后: 12 磅 行距: 单倍行距"/>
    <w:basedOn w:val="3"/>
    <w:qFormat/>
    <w:uiPriority w:val="0"/>
    <w:pPr>
      <w:widowControl w:val="0"/>
      <w:adjustRightInd w:val="0"/>
      <w:spacing w:before="240" w:after="240" w:line="240" w:lineRule="auto"/>
      <w:ind w:firstLine="288"/>
      <w:jc w:val="center"/>
      <w:textAlignment w:val="baseline"/>
    </w:pPr>
    <w:rPr>
      <w:rFonts w:ascii="Times New Roman" w:hAnsi="Times New Roman"/>
      <w:sz w:val="28"/>
      <w:szCs w:val="20"/>
    </w:rPr>
  </w:style>
  <w:style w:type="paragraph" w:styleId="93">
    <w:name w:val="No Spacing"/>
    <w:link w:val="94"/>
    <w:qFormat/>
    <w:uiPriority w:val="0"/>
    <w:rPr>
      <w:rFonts w:asciiTheme="minorHAnsi" w:hAnsiTheme="minorHAnsi" w:eastAsiaTheme="minorEastAsia" w:cstheme="minorBidi"/>
      <w:sz w:val="22"/>
      <w:szCs w:val="22"/>
      <w:lang w:val="en-US" w:eastAsia="zh-CN" w:bidi="ar-SA"/>
    </w:rPr>
  </w:style>
  <w:style w:type="character" w:customStyle="1" w:styleId="94">
    <w:name w:val="无间隔 字符"/>
    <w:basedOn w:val="52"/>
    <w:link w:val="93"/>
    <w:qFormat/>
    <w:uiPriority w:val="0"/>
    <w:rPr>
      <w:kern w:val="0"/>
      <w:sz w:val="22"/>
    </w:rPr>
  </w:style>
  <w:style w:type="paragraph" w:customStyle="1" w:styleId="95">
    <w:name w:val="TOC 标题2"/>
    <w:basedOn w:val="3"/>
    <w:next w:val="1"/>
    <w:semiHidden/>
    <w:unhideWhenUsed/>
    <w:qFormat/>
    <w:uiPriority w:val="39"/>
    <w:pPr>
      <w:spacing w:before="480" w:after="0" w:line="276" w:lineRule="auto"/>
      <w:outlineLvl w:val="9"/>
    </w:pPr>
    <w:rPr>
      <w:rFonts w:asciiTheme="majorHAnsi" w:hAnsiTheme="majorHAnsi" w:eastAsiaTheme="majorEastAsia" w:cstheme="majorBidi"/>
      <w:color w:val="2F5597" w:themeColor="accent1" w:themeShade="BF"/>
      <w:kern w:val="0"/>
      <w:sz w:val="28"/>
      <w:szCs w:val="28"/>
    </w:rPr>
  </w:style>
  <w:style w:type="character" w:customStyle="1" w:styleId="96">
    <w:name w:val="日期 Char"/>
    <w:basedOn w:val="52"/>
    <w:qFormat/>
    <w:uiPriority w:val="0"/>
    <w:rPr>
      <w:rFonts w:ascii="Calibri" w:hAnsi="Calibri" w:eastAsia="宋体" w:cs="Times New Roman"/>
    </w:rPr>
  </w:style>
  <w:style w:type="paragraph" w:customStyle="1" w:styleId="97">
    <w:name w:val="正文文本缩进 21"/>
    <w:basedOn w:val="1"/>
    <w:qFormat/>
    <w:uiPriority w:val="99"/>
    <w:pPr>
      <w:widowControl w:val="0"/>
      <w:spacing w:line="630" w:lineRule="exact"/>
      <w:ind w:firstLine="420"/>
      <w:jc w:val="both"/>
    </w:pPr>
    <w:rPr>
      <w:kern w:val="2"/>
    </w:rPr>
  </w:style>
  <w:style w:type="table" w:customStyle="1" w:styleId="98">
    <w:name w:val="网格型1"/>
    <w:basedOn w:val="5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9">
    <w:name w:val="网格型11"/>
    <w:basedOn w:val="5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
    <w:name w:val="网格型2"/>
    <w:basedOn w:val="5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1">
    <w:name w:val="正文文本 Char1"/>
    <w:qFormat/>
    <w:uiPriority w:val="0"/>
    <w:rPr>
      <w:kern w:val="2"/>
      <w:sz w:val="21"/>
      <w:szCs w:val="22"/>
    </w:rPr>
  </w:style>
  <w:style w:type="character" w:customStyle="1" w:styleId="102">
    <w:name w:val="明显引用 字符"/>
    <w:link w:val="103"/>
    <w:qFormat/>
    <w:uiPriority w:val="0"/>
    <w:rPr>
      <w:b/>
      <w:bCs/>
      <w:i/>
      <w:iCs/>
      <w:color w:val="4F81BD"/>
    </w:rPr>
  </w:style>
  <w:style w:type="paragraph" w:styleId="103">
    <w:name w:val="Intense Quote"/>
    <w:basedOn w:val="1"/>
    <w:next w:val="1"/>
    <w:link w:val="102"/>
    <w:qFormat/>
    <w:uiPriority w:val="0"/>
    <w:pPr>
      <w:widowControl w:val="0"/>
      <w:pBdr>
        <w:bottom w:val="single" w:color="4F81BD" w:sz="4" w:space="4"/>
      </w:pBdr>
      <w:spacing w:before="200" w:after="280"/>
      <w:ind w:left="936" w:right="936"/>
      <w:jc w:val="both"/>
    </w:pPr>
    <w:rPr>
      <w:rFonts w:asciiTheme="minorHAnsi" w:hAnsiTheme="minorHAnsi" w:eastAsiaTheme="minorEastAsia" w:cstheme="minorBidi"/>
      <w:b/>
      <w:bCs/>
      <w:i/>
      <w:iCs/>
      <w:color w:val="4F81BD"/>
      <w:kern w:val="2"/>
      <w:sz w:val="21"/>
      <w:szCs w:val="22"/>
    </w:rPr>
  </w:style>
  <w:style w:type="character" w:customStyle="1" w:styleId="104">
    <w:name w:val="不明显强调1"/>
    <w:qFormat/>
    <w:uiPriority w:val="0"/>
    <w:rPr>
      <w:i/>
      <w:iCs/>
      <w:color w:val="808080"/>
    </w:rPr>
  </w:style>
  <w:style w:type="character" w:customStyle="1" w:styleId="105">
    <w:name w:val="标题4 Char Char"/>
    <w:link w:val="106"/>
    <w:qFormat/>
    <w:uiPriority w:val="0"/>
    <w:rPr>
      <w:rFonts w:ascii="Arial" w:hAnsi="Arial"/>
      <w:b/>
      <w:bCs/>
      <w:sz w:val="24"/>
      <w:szCs w:val="32"/>
    </w:rPr>
  </w:style>
  <w:style w:type="paragraph" w:customStyle="1" w:styleId="106">
    <w:name w:val="标题4"/>
    <w:basedOn w:val="4"/>
    <w:next w:val="22"/>
    <w:link w:val="105"/>
    <w:qFormat/>
    <w:uiPriority w:val="0"/>
    <w:pPr>
      <w:widowControl w:val="0"/>
      <w:spacing w:line="413" w:lineRule="auto"/>
      <w:jc w:val="both"/>
    </w:pPr>
    <w:rPr>
      <w:rFonts w:ascii="Arial" w:hAnsi="Arial" w:eastAsiaTheme="minorEastAsia" w:cstheme="minorBidi"/>
      <w:kern w:val="2"/>
      <w:sz w:val="24"/>
    </w:rPr>
  </w:style>
  <w:style w:type="character" w:customStyle="1" w:styleId="107">
    <w:name w:val="标题5 Char Char"/>
    <w:link w:val="108"/>
    <w:qFormat/>
    <w:uiPriority w:val="0"/>
    <w:rPr>
      <w:rFonts w:ascii="Arial" w:hAnsi="Arial"/>
      <w:b/>
      <w:bCs/>
      <w:sz w:val="24"/>
      <w:szCs w:val="32"/>
    </w:rPr>
  </w:style>
  <w:style w:type="paragraph" w:customStyle="1" w:styleId="108">
    <w:name w:val="标题5"/>
    <w:basedOn w:val="5"/>
    <w:link w:val="107"/>
    <w:qFormat/>
    <w:uiPriority w:val="0"/>
    <w:pPr>
      <w:spacing w:line="413" w:lineRule="auto"/>
    </w:pPr>
    <w:rPr>
      <w:rFonts w:ascii="Arial" w:hAnsi="Arial"/>
      <w:sz w:val="24"/>
    </w:rPr>
  </w:style>
  <w:style w:type="character" w:customStyle="1" w:styleId="109">
    <w:name w:val="明显参考1"/>
    <w:qFormat/>
    <w:uiPriority w:val="0"/>
    <w:rPr>
      <w:b/>
      <w:bCs/>
      <w:smallCaps/>
      <w:color w:val="C0504D"/>
      <w:spacing w:val="5"/>
      <w:u w:val="single"/>
    </w:rPr>
  </w:style>
  <w:style w:type="character" w:customStyle="1" w:styleId="110">
    <w:name w:val="书籍标题1"/>
    <w:qFormat/>
    <w:uiPriority w:val="0"/>
    <w:rPr>
      <w:b/>
      <w:bCs/>
      <w:smallCaps/>
      <w:spacing w:val="5"/>
    </w:rPr>
  </w:style>
  <w:style w:type="character" w:customStyle="1" w:styleId="111">
    <w:name w:val="批注框文本 Char1"/>
    <w:qFormat/>
    <w:uiPriority w:val="0"/>
    <w:rPr>
      <w:kern w:val="2"/>
      <w:sz w:val="18"/>
      <w:szCs w:val="18"/>
    </w:rPr>
  </w:style>
  <w:style w:type="character" w:customStyle="1" w:styleId="112">
    <w:name w:val="引用 字符"/>
    <w:link w:val="113"/>
    <w:qFormat/>
    <w:uiPriority w:val="0"/>
    <w:rPr>
      <w:i/>
      <w:iCs/>
      <w:color w:val="000000"/>
    </w:rPr>
  </w:style>
  <w:style w:type="paragraph" w:styleId="113">
    <w:name w:val="Quote"/>
    <w:basedOn w:val="1"/>
    <w:next w:val="1"/>
    <w:link w:val="112"/>
    <w:qFormat/>
    <w:uiPriority w:val="0"/>
    <w:pPr>
      <w:widowControl w:val="0"/>
      <w:jc w:val="both"/>
    </w:pPr>
    <w:rPr>
      <w:rFonts w:asciiTheme="minorHAnsi" w:hAnsiTheme="minorHAnsi" w:eastAsiaTheme="minorEastAsia" w:cstheme="minorBidi"/>
      <w:i/>
      <w:iCs/>
      <w:color w:val="000000"/>
      <w:kern w:val="2"/>
      <w:sz w:val="21"/>
      <w:szCs w:val="22"/>
    </w:rPr>
  </w:style>
  <w:style w:type="character" w:customStyle="1" w:styleId="114">
    <w:name w:val="批注主题 Char1"/>
    <w:qFormat/>
    <w:uiPriority w:val="0"/>
    <w:rPr>
      <w:b/>
      <w:bCs/>
      <w:kern w:val="2"/>
      <w:sz w:val="21"/>
      <w:szCs w:val="22"/>
    </w:rPr>
  </w:style>
  <w:style w:type="character" w:customStyle="1" w:styleId="115">
    <w:name w:val="正文文本 字符"/>
    <w:link w:val="18"/>
    <w:qFormat/>
    <w:uiPriority w:val="99"/>
    <w:rPr>
      <w:rFonts w:ascii="Times New Roman" w:hAnsi="Times New Roman"/>
    </w:rPr>
  </w:style>
  <w:style w:type="character" w:customStyle="1" w:styleId="116">
    <w:name w:val="批注主题 字符"/>
    <w:link w:val="47"/>
    <w:qFormat/>
    <w:uiPriority w:val="0"/>
    <w:rPr>
      <w:rFonts w:ascii="宋体" w:hAnsi="Times New Roman"/>
      <w:b/>
      <w:bCs/>
      <w:sz w:val="28"/>
    </w:rPr>
  </w:style>
  <w:style w:type="character" w:customStyle="1" w:styleId="117">
    <w:name w:val="明显强调1"/>
    <w:qFormat/>
    <w:uiPriority w:val="0"/>
    <w:rPr>
      <w:b/>
      <w:bCs/>
      <w:i/>
      <w:iCs/>
      <w:color w:val="4F81BD"/>
    </w:rPr>
  </w:style>
  <w:style w:type="character" w:customStyle="1" w:styleId="118">
    <w:name w:val="textcontents"/>
    <w:qFormat/>
    <w:uiPriority w:val="0"/>
    <w:rPr>
      <w:rFonts w:cs="Times New Roman"/>
    </w:rPr>
  </w:style>
  <w:style w:type="character" w:customStyle="1" w:styleId="119">
    <w:name w:val="不明显参考1"/>
    <w:qFormat/>
    <w:uiPriority w:val="0"/>
    <w:rPr>
      <w:smallCaps/>
      <w:color w:val="C0504D"/>
      <w:u w:val="single"/>
    </w:rPr>
  </w:style>
  <w:style w:type="character" w:customStyle="1" w:styleId="120">
    <w:name w:val="批注文字 Char Char"/>
    <w:qFormat/>
    <w:uiPriority w:val="0"/>
    <w:rPr>
      <w:rFonts w:ascii="宋体" w:hAnsi="Times New Roman" w:eastAsia="宋体" w:cs="Times New Roman"/>
      <w:sz w:val="28"/>
      <w:szCs w:val="20"/>
    </w:rPr>
  </w:style>
  <w:style w:type="character" w:customStyle="1" w:styleId="121">
    <w:name w:val="标题 字符"/>
    <w:link w:val="46"/>
    <w:qFormat/>
    <w:uiPriority w:val="0"/>
    <w:rPr>
      <w:rFonts w:ascii="Cambria" w:hAnsi="Cambria"/>
      <w:b/>
      <w:bCs/>
      <w:sz w:val="32"/>
      <w:szCs w:val="32"/>
    </w:rPr>
  </w:style>
  <w:style w:type="character" w:customStyle="1" w:styleId="122">
    <w:name w:val="批注文字 Char"/>
    <w:qFormat/>
    <w:uiPriority w:val="0"/>
    <w:rPr>
      <w:kern w:val="2"/>
      <w:sz w:val="21"/>
      <w:szCs w:val="22"/>
    </w:rPr>
  </w:style>
  <w:style w:type="character" w:customStyle="1" w:styleId="123">
    <w:name w:val="副标题 字符"/>
    <w:link w:val="35"/>
    <w:qFormat/>
    <w:uiPriority w:val="0"/>
    <w:rPr>
      <w:rFonts w:ascii="Cambria" w:hAnsi="Cambria"/>
      <w:b/>
      <w:bCs/>
      <w:kern w:val="28"/>
      <w:sz w:val="32"/>
      <w:szCs w:val="32"/>
    </w:rPr>
  </w:style>
  <w:style w:type="character" w:customStyle="1" w:styleId="124">
    <w:name w:val="文档结构图 Char1"/>
    <w:qFormat/>
    <w:uiPriority w:val="0"/>
    <w:rPr>
      <w:rFonts w:ascii="宋体"/>
      <w:kern w:val="2"/>
      <w:sz w:val="18"/>
      <w:szCs w:val="18"/>
    </w:rPr>
  </w:style>
  <w:style w:type="paragraph" w:customStyle="1" w:styleId="125">
    <w:name w:val="修订1"/>
    <w:qFormat/>
    <w:uiPriority w:val="0"/>
    <w:rPr>
      <w:rFonts w:ascii="Times New Roman" w:hAnsi="Times New Roman" w:eastAsia="宋体" w:cs="Times New Roman"/>
      <w:kern w:val="2"/>
      <w:sz w:val="21"/>
      <w:szCs w:val="24"/>
      <w:lang w:val="en-US" w:eastAsia="zh-CN" w:bidi="ar-SA"/>
    </w:rPr>
  </w:style>
  <w:style w:type="paragraph" w:customStyle="1" w:styleId="126">
    <w:name w:val="样式 标题 2 + Times New Roman 四号 非加粗 段前: 5 磅 段后: 0 磅 行距: 固定值 20..."/>
    <w:basedOn w:val="4"/>
    <w:qFormat/>
    <w:uiPriority w:val="0"/>
    <w:pPr>
      <w:widowControl w:val="0"/>
      <w:spacing w:before="100" w:after="0" w:line="400" w:lineRule="exact"/>
      <w:jc w:val="both"/>
    </w:pPr>
    <w:rPr>
      <w:rFonts w:ascii="Times New Roman" w:hAnsi="Times New Roman" w:eastAsia="黑体" w:cs="宋体"/>
      <w:b w:val="0"/>
      <w:bCs w:val="0"/>
      <w:sz w:val="28"/>
      <w:szCs w:val="20"/>
    </w:rPr>
  </w:style>
  <w:style w:type="character" w:customStyle="1" w:styleId="127">
    <w:name w:val="页脚 Char1"/>
    <w:basedOn w:val="52"/>
    <w:semiHidden/>
    <w:qFormat/>
    <w:uiPriority w:val="99"/>
    <w:rPr>
      <w:kern w:val="2"/>
      <w:sz w:val="18"/>
      <w:szCs w:val="18"/>
    </w:rPr>
  </w:style>
  <w:style w:type="character" w:customStyle="1" w:styleId="128">
    <w:name w:val="批注框文本 Char2"/>
    <w:basedOn w:val="52"/>
    <w:semiHidden/>
    <w:qFormat/>
    <w:uiPriority w:val="99"/>
    <w:rPr>
      <w:kern w:val="2"/>
      <w:sz w:val="18"/>
      <w:szCs w:val="18"/>
    </w:rPr>
  </w:style>
  <w:style w:type="character" w:customStyle="1" w:styleId="129">
    <w:name w:val="批注文字 Char1"/>
    <w:basedOn w:val="52"/>
    <w:semiHidden/>
    <w:qFormat/>
    <w:uiPriority w:val="99"/>
    <w:rPr>
      <w:kern w:val="2"/>
      <w:sz w:val="21"/>
      <w:szCs w:val="22"/>
    </w:rPr>
  </w:style>
  <w:style w:type="character" w:customStyle="1" w:styleId="130">
    <w:name w:val="批注主题 字符1"/>
    <w:basedOn w:val="87"/>
    <w:semiHidden/>
    <w:qFormat/>
    <w:uiPriority w:val="99"/>
    <w:rPr>
      <w:b/>
      <w:bCs/>
    </w:rPr>
  </w:style>
  <w:style w:type="character" w:customStyle="1" w:styleId="131">
    <w:name w:val="批注主题 Char2"/>
    <w:basedOn w:val="87"/>
    <w:qFormat/>
    <w:uiPriority w:val="99"/>
    <w:rPr>
      <w:kern w:val="2"/>
      <w:sz w:val="21"/>
      <w:szCs w:val="22"/>
    </w:rPr>
  </w:style>
  <w:style w:type="character" w:customStyle="1" w:styleId="132">
    <w:name w:val="文档结构图 Char2"/>
    <w:basedOn w:val="52"/>
    <w:semiHidden/>
    <w:qFormat/>
    <w:uiPriority w:val="99"/>
    <w:rPr>
      <w:rFonts w:ascii="宋体"/>
      <w:kern w:val="2"/>
      <w:sz w:val="18"/>
      <w:szCs w:val="18"/>
    </w:rPr>
  </w:style>
  <w:style w:type="character" w:customStyle="1" w:styleId="133">
    <w:name w:val="页眉 Char1"/>
    <w:basedOn w:val="52"/>
    <w:semiHidden/>
    <w:qFormat/>
    <w:uiPriority w:val="99"/>
    <w:rPr>
      <w:kern w:val="2"/>
      <w:sz w:val="18"/>
      <w:szCs w:val="18"/>
    </w:rPr>
  </w:style>
  <w:style w:type="character" w:customStyle="1" w:styleId="134">
    <w:name w:val="日期 Char2"/>
    <w:basedOn w:val="52"/>
    <w:semiHidden/>
    <w:qFormat/>
    <w:uiPriority w:val="99"/>
    <w:rPr>
      <w:kern w:val="2"/>
      <w:sz w:val="21"/>
      <w:szCs w:val="22"/>
    </w:rPr>
  </w:style>
  <w:style w:type="character" w:customStyle="1" w:styleId="135">
    <w:name w:val="正文文本 字符1"/>
    <w:basedOn w:val="52"/>
    <w:semiHidden/>
    <w:qFormat/>
    <w:uiPriority w:val="99"/>
    <w:rPr>
      <w:rFonts w:ascii="宋体" w:hAnsi="宋体" w:eastAsia="宋体" w:cs="宋体"/>
      <w:kern w:val="0"/>
      <w:sz w:val="24"/>
      <w:szCs w:val="24"/>
    </w:rPr>
  </w:style>
  <w:style w:type="character" w:customStyle="1" w:styleId="136">
    <w:name w:val="正文文本 Char2"/>
    <w:basedOn w:val="52"/>
    <w:qFormat/>
    <w:uiPriority w:val="0"/>
    <w:rPr>
      <w:kern w:val="2"/>
      <w:sz w:val="21"/>
      <w:szCs w:val="22"/>
    </w:rPr>
  </w:style>
  <w:style w:type="character" w:customStyle="1" w:styleId="137">
    <w:name w:val="标题 字符1"/>
    <w:basedOn w:val="52"/>
    <w:qFormat/>
    <w:uiPriority w:val="10"/>
    <w:rPr>
      <w:rFonts w:asciiTheme="majorHAnsi" w:hAnsiTheme="majorHAnsi" w:eastAsiaTheme="majorEastAsia" w:cstheme="majorBidi"/>
      <w:b/>
      <w:bCs/>
      <w:kern w:val="0"/>
      <w:sz w:val="32"/>
      <w:szCs w:val="32"/>
    </w:rPr>
  </w:style>
  <w:style w:type="character" w:customStyle="1" w:styleId="138">
    <w:name w:val="标题 Char1"/>
    <w:basedOn w:val="52"/>
    <w:qFormat/>
    <w:uiPriority w:val="10"/>
    <w:rPr>
      <w:rFonts w:eastAsia="宋体" w:asciiTheme="majorHAnsi" w:hAnsiTheme="majorHAnsi" w:cstheme="majorBidi"/>
      <w:b/>
      <w:bCs/>
      <w:kern w:val="2"/>
      <w:sz w:val="32"/>
      <w:szCs w:val="32"/>
    </w:rPr>
  </w:style>
  <w:style w:type="paragraph" w:customStyle="1" w:styleId="139">
    <w:name w:val="TOC 标题3"/>
    <w:basedOn w:val="3"/>
    <w:next w:val="1"/>
    <w:qFormat/>
    <w:uiPriority w:val="0"/>
    <w:pPr>
      <w:widowControl w:val="0"/>
      <w:spacing w:line="576" w:lineRule="auto"/>
      <w:jc w:val="both"/>
      <w:outlineLvl w:val="9"/>
    </w:pPr>
    <w:rPr>
      <w:rFonts w:ascii="Calibri" w:hAnsi="Calibri" w:cs="Times New Roman"/>
    </w:rPr>
  </w:style>
  <w:style w:type="character" w:customStyle="1" w:styleId="140">
    <w:name w:val="副标题 字符1"/>
    <w:basedOn w:val="52"/>
    <w:qFormat/>
    <w:uiPriority w:val="0"/>
    <w:rPr>
      <w:b/>
      <w:bCs/>
      <w:kern w:val="28"/>
      <w:sz w:val="32"/>
      <w:szCs w:val="32"/>
    </w:rPr>
  </w:style>
  <w:style w:type="character" w:customStyle="1" w:styleId="141">
    <w:name w:val="副标题 Char1"/>
    <w:basedOn w:val="52"/>
    <w:qFormat/>
    <w:uiPriority w:val="0"/>
    <w:rPr>
      <w:rFonts w:eastAsia="宋体" w:asciiTheme="majorHAnsi" w:hAnsiTheme="majorHAnsi" w:cstheme="majorBidi"/>
      <w:b/>
      <w:bCs/>
      <w:kern w:val="28"/>
      <w:sz w:val="32"/>
      <w:szCs w:val="32"/>
    </w:rPr>
  </w:style>
  <w:style w:type="character" w:customStyle="1" w:styleId="142">
    <w:name w:val="明显引用 字符1"/>
    <w:basedOn w:val="52"/>
    <w:qFormat/>
    <w:uiPriority w:val="30"/>
    <w:rPr>
      <w:rFonts w:ascii="宋体" w:hAnsi="宋体" w:eastAsia="宋体" w:cs="宋体"/>
      <w:i/>
      <w:iCs/>
      <w:color w:val="4472C4" w:themeColor="accent1"/>
      <w:kern w:val="0"/>
      <w:sz w:val="24"/>
      <w:szCs w:val="24"/>
      <w14:textFill>
        <w14:solidFill>
          <w14:schemeClr w14:val="accent1"/>
        </w14:solidFill>
      </w14:textFill>
    </w:rPr>
  </w:style>
  <w:style w:type="character" w:customStyle="1" w:styleId="143">
    <w:name w:val="明显引用 Char1"/>
    <w:basedOn w:val="52"/>
    <w:qFormat/>
    <w:uiPriority w:val="30"/>
    <w:rPr>
      <w:b/>
      <w:bCs/>
      <w:i/>
      <w:iCs/>
      <w:color w:val="4472C4" w:themeColor="accent1"/>
      <w:kern w:val="2"/>
      <w:sz w:val="21"/>
      <w:szCs w:val="22"/>
      <w14:textFill>
        <w14:solidFill>
          <w14:schemeClr w14:val="accent1"/>
        </w14:solidFill>
      </w14:textFill>
    </w:rPr>
  </w:style>
  <w:style w:type="paragraph" w:customStyle="1" w:styleId="144">
    <w:name w:val="样式 标题 3 + (中文) 黑体 小四 非加粗 段前: 7.8 磅 段后: 0 磅 行距: 固定值 20 磅"/>
    <w:basedOn w:val="5"/>
    <w:qFormat/>
    <w:uiPriority w:val="0"/>
    <w:pPr>
      <w:spacing w:before="0" w:after="0" w:line="400" w:lineRule="exact"/>
    </w:pPr>
    <w:rPr>
      <w:rFonts w:ascii="Times New Roman" w:hAnsi="Times New Roman" w:eastAsia="黑体" w:cs="宋体"/>
      <w:b w:val="0"/>
      <w:bCs w:val="0"/>
      <w:sz w:val="24"/>
      <w:szCs w:val="20"/>
    </w:rPr>
  </w:style>
  <w:style w:type="paragraph" w:customStyle="1" w:styleId="145">
    <w:name w:val="空半行"/>
    <w:basedOn w:val="1"/>
    <w:qFormat/>
    <w:uiPriority w:val="0"/>
    <w:pPr>
      <w:widowControl w:val="0"/>
      <w:adjustRightInd w:val="0"/>
      <w:spacing w:line="120" w:lineRule="exact"/>
      <w:jc w:val="both"/>
      <w:textAlignment w:val="baseline"/>
    </w:pPr>
    <w:rPr>
      <w:rFonts w:ascii="Times New Roman" w:hAnsi="Times New Roman" w:eastAsia="仿宋_GB2312" w:cs="Times New Roman"/>
      <w:color w:val="FFFFFF"/>
      <w:sz w:val="30"/>
      <w:szCs w:val="20"/>
    </w:rPr>
  </w:style>
  <w:style w:type="character" w:customStyle="1" w:styleId="146">
    <w:name w:val="引用 字符1"/>
    <w:basedOn w:val="52"/>
    <w:qFormat/>
    <w:uiPriority w:val="29"/>
    <w:rPr>
      <w:rFonts w:ascii="宋体" w:hAnsi="宋体" w:eastAsia="宋体" w:cs="宋体"/>
      <w:i/>
      <w:iCs/>
      <w:color w:val="404040" w:themeColor="text1" w:themeTint="BF"/>
      <w:kern w:val="0"/>
      <w:sz w:val="24"/>
      <w:szCs w:val="24"/>
      <w14:textFill>
        <w14:solidFill>
          <w14:schemeClr w14:val="tx1">
            <w14:lumMod w14:val="75000"/>
            <w14:lumOff w14:val="25000"/>
          </w14:schemeClr>
        </w14:solidFill>
      </w14:textFill>
    </w:rPr>
  </w:style>
  <w:style w:type="character" w:customStyle="1" w:styleId="147">
    <w:name w:val="引用 Char1"/>
    <w:basedOn w:val="52"/>
    <w:qFormat/>
    <w:uiPriority w:val="29"/>
    <w:rPr>
      <w:i/>
      <w:iCs/>
      <w:color w:val="000000" w:themeColor="text1"/>
      <w:kern w:val="2"/>
      <w:sz w:val="21"/>
      <w:szCs w:val="22"/>
      <w14:textFill>
        <w14:solidFill>
          <w14:schemeClr w14:val="tx1"/>
        </w14:solidFill>
      </w14:textFill>
    </w:rPr>
  </w:style>
  <w:style w:type="paragraph" w:customStyle="1" w:styleId="148">
    <w:name w:val="flNote"/>
    <w:basedOn w:val="1"/>
    <w:qFormat/>
    <w:uiPriority w:val="0"/>
    <w:pPr>
      <w:widowControl w:val="0"/>
      <w:adjustRightInd w:val="0"/>
      <w:spacing w:before="320" w:after="160" w:line="360" w:lineRule="atLeast"/>
      <w:jc w:val="center"/>
      <w:textAlignment w:val="baseline"/>
    </w:pPr>
    <w:rPr>
      <w:rFonts w:ascii="Arial" w:hAnsi="Times New Roman" w:eastAsia="黑体" w:cs="Times New Roman"/>
      <w:sz w:val="30"/>
      <w:szCs w:val="20"/>
    </w:rPr>
  </w:style>
  <w:style w:type="paragraph" w:customStyle="1" w:styleId="149">
    <w:name w:val="目录"/>
    <w:basedOn w:val="1"/>
    <w:qFormat/>
    <w:uiPriority w:val="0"/>
    <w:pPr>
      <w:jc w:val="center"/>
    </w:pPr>
    <w:rPr>
      <w:rFonts w:hAnsi="Times New Roman" w:cs="Times New Roman"/>
      <w:b/>
      <w:sz w:val="36"/>
      <w:szCs w:val="20"/>
    </w:rPr>
  </w:style>
  <w:style w:type="paragraph" w:customStyle="1" w:styleId="150">
    <w:name w:val="表头"/>
    <w:basedOn w:val="1"/>
    <w:qFormat/>
    <w:uiPriority w:val="0"/>
    <w:pPr>
      <w:widowControl w:val="0"/>
      <w:spacing w:line="360" w:lineRule="auto"/>
      <w:jc w:val="center"/>
    </w:pPr>
    <w:rPr>
      <w:rFonts w:ascii="黑体" w:hAnsi="Times New Roman" w:eastAsia="黑体" w:cs="Times New Roman"/>
      <w:szCs w:val="20"/>
    </w:rPr>
  </w:style>
  <w:style w:type="character" w:customStyle="1" w:styleId="151">
    <w:name w:val="正文文本 3 字符"/>
    <w:link w:val="17"/>
    <w:qFormat/>
    <w:uiPriority w:val="0"/>
    <w:rPr>
      <w:sz w:val="16"/>
      <w:szCs w:val="16"/>
    </w:rPr>
  </w:style>
  <w:style w:type="character" w:customStyle="1" w:styleId="152">
    <w:name w:val="正文文本 3 字符1"/>
    <w:basedOn w:val="52"/>
    <w:semiHidden/>
    <w:qFormat/>
    <w:uiPriority w:val="99"/>
    <w:rPr>
      <w:rFonts w:ascii="宋体" w:hAnsi="宋体" w:eastAsia="宋体" w:cs="宋体"/>
      <w:kern w:val="0"/>
      <w:sz w:val="16"/>
      <w:szCs w:val="16"/>
    </w:rPr>
  </w:style>
  <w:style w:type="character" w:customStyle="1" w:styleId="153">
    <w:name w:val="个人答复风格"/>
    <w:qFormat/>
    <w:uiPriority w:val="0"/>
    <w:rPr>
      <w:rFonts w:ascii="Arial" w:hAnsi="Arial" w:eastAsia="宋体" w:cs="Arial"/>
      <w:color w:val="auto"/>
      <w:sz w:val="20"/>
    </w:rPr>
  </w:style>
  <w:style w:type="character" w:customStyle="1" w:styleId="154">
    <w:name w:val="脚注文本 字符1"/>
    <w:link w:val="36"/>
    <w:qFormat/>
    <w:uiPriority w:val="0"/>
    <w:rPr>
      <w:sz w:val="18"/>
    </w:rPr>
  </w:style>
  <w:style w:type="character" w:customStyle="1" w:styleId="155">
    <w:name w:val="尾注文本 Char1"/>
    <w:qFormat/>
    <w:uiPriority w:val="0"/>
    <w:rPr>
      <w:rFonts w:ascii="Bodoni MT" w:hAnsi="Bodoni MT" w:eastAsia="宋体" w:cs="Bodoni MT"/>
      <w:szCs w:val="24"/>
    </w:rPr>
  </w:style>
  <w:style w:type="character" w:customStyle="1" w:styleId="156">
    <w:name w:val="正文文本缩进 2 Char1"/>
    <w:semiHidden/>
    <w:qFormat/>
    <w:uiPriority w:val="99"/>
    <w:rPr>
      <w:rFonts w:ascii="Bodoni MT" w:hAnsi="Bodoni MT" w:eastAsia="宋体" w:cs="Bodoni MT"/>
      <w:szCs w:val="24"/>
    </w:rPr>
  </w:style>
  <w:style w:type="character" w:customStyle="1" w:styleId="157">
    <w:name w:val="Char Char12"/>
    <w:qFormat/>
    <w:uiPriority w:val="0"/>
    <w:rPr>
      <w:rFonts w:ascii="Times New Roman" w:hAnsi="Times New Roman" w:eastAsia="宋体" w:cs="Times New Roman"/>
      <w:kern w:val="0"/>
      <w:sz w:val="24"/>
      <w:szCs w:val="20"/>
    </w:rPr>
  </w:style>
  <w:style w:type="character" w:customStyle="1" w:styleId="158">
    <w:name w:val="正文文本缩进 3 Char2"/>
    <w:semiHidden/>
    <w:qFormat/>
    <w:uiPriority w:val="99"/>
    <w:rPr>
      <w:rFonts w:ascii="Bodoni MT" w:hAnsi="Bodoni MT" w:eastAsia="宋体" w:cs="Bodoni MT"/>
      <w:sz w:val="16"/>
      <w:szCs w:val="16"/>
    </w:rPr>
  </w:style>
  <w:style w:type="character" w:customStyle="1" w:styleId="159">
    <w:name w:val="正文文本 2 字符"/>
    <w:basedOn w:val="52"/>
    <w:link w:val="41"/>
    <w:qFormat/>
    <w:uiPriority w:val="0"/>
  </w:style>
  <w:style w:type="character" w:customStyle="1" w:styleId="160">
    <w:name w:val="批注框文本 Char Char"/>
    <w:qFormat/>
    <w:uiPriority w:val="0"/>
    <w:rPr>
      <w:rFonts w:ascii="Bodoni MT" w:hAnsi="Bodoni MT" w:eastAsia="宋体" w:cs="Bodoni MT"/>
      <w:sz w:val="18"/>
      <w:szCs w:val="18"/>
    </w:rPr>
  </w:style>
  <w:style w:type="character" w:customStyle="1" w:styleId="161">
    <w:name w:val="Char Char1 Char Char Char Char Char Char Char Char Char Char"/>
    <w:qFormat/>
    <w:uiPriority w:val="0"/>
    <w:rPr>
      <w:rFonts w:ascii="Verdana" w:hAnsi="Verdana" w:eastAsia="仿宋_GB2312"/>
      <w:sz w:val="24"/>
      <w:lang w:val="en-US" w:eastAsia="en-US" w:bidi="ar-SA"/>
    </w:rPr>
  </w:style>
  <w:style w:type="character" w:customStyle="1" w:styleId="162">
    <w:name w:val="Char Char11"/>
    <w:qFormat/>
    <w:uiPriority w:val="0"/>
    <w:rPr>
      <w:rFonts w:ascii="宋体" w:hAnsi="MS Sans Serif" w:eastAsia="宋体" w:cs="Times New Roman"/>
      <w:spacing w:val="12"/>
      <w:kern w:val="0"/>
      <w:sz w:val="24"/>
      <w:szCs w:val="20"/>
    </w:rPr>
  </w:style>
  <w:style w:type="character" w:customStyle="1" w:styleId="163">
    <w:name w:val="HTML 预设格式 Char1"/>
    <w:qFormat/>
    <w:uiPriority w:val="0"/>
    <w:rPr>
      <w:rFonts w:ascii="Courier New" w:hAnsi="Courier New" w:cs="Courier New"/>
      <w:kern w:val="2"/>
    </w:rPr>
  </w:style>
  <w:style w:type="character" w:customStyle="1" w:styleId="164">
    <w:name w:val="纯文本 字符"/>
    <w:link w:val="25"/>
    <w:qFormat/>
    <w:uiPriority w:val="0"/>
    <w:rPr>
      <w:rFonts w:ascii="宋体" w:hAnsi="Courier New" w:eastAsia="宋体" w:cs="Courier New"/>
      <w:szCs w:val="21"/>
    </w:rPr>
  </w:style>
  <w:style w:type="character" w:customStyle="1" w:styleId="165">
    <w:name w:val="尾注文本 Char2"/>
    <w:semiHidden/>
    <w:qFormat/>
    <w:uiPriority w:val="99"/>
    <w:rPr>
      <w:rFonts w:ascii="Bodoni MT" w:hAnsi="Bodoni MT" w:eastAsia="宋体" w:cs="Bodoni MT"/>
      <w:szCs w:val="24"/>
    </w:rPr>
  </w:style>
  <w:style w:type="character" w:customStyle="1" w:styleId="166">
    <w:name w:val="Char Char16"/>
    <w:qFormat/>
    <w:uiPriority w:val="0"/>
    <w:rPr>
      <w:sz w:val="18"/>
      <w:szCs w:val="18"/>
    </w:rPr>
  </w:style>
  <w:style w:type="character" w:customStyle="1" w:styleId="167">
    <w:name w:val="正文文本缩进 Char2"/>
    <w:semiHidden/>
    <w:qFormat/>
    <w:uiPriority w:val="99"/>
    <w:rPr>
      <w:rFonts w:ascii="Bodoni MT" w:hAnsi="Bodoni MT" w:eastAsia="宋体" w:cs="Bodoni MT"/>
      <w:szCs w:val="24"/>
    </w:rPr>
  </w:style>
  <w:style w:type="character" w:customStyle="1" w:styleId="168">
    <w:name w:val="标题 2 Char Char"/>
    <w:qFormat/>
    <w:uiPriority w:val="0"/>
    <w:rPr>
      <w:rFonts w:ascii="Cambria" w:hAnsi="Cambria" w:eastAsia="宋体" w:cs="Times New Roman"/>
      <w:b/>
      <w:bCs/>
      <w:sz w:val="32"/>
      <w:szCs w:val="32"/>
    </w:rPr>
  </w:style>
  <w:style w:type="character" w:customStyle="1" w:styleId="169">
    <w:name w:val="Char Char111"/>
    <w:qFormat/>
    <w:uiPriority w:val="0"/>
    <w:rPr>
      <w:rFonts w:ascii="宋体" w:hAnsi="MS Sans Serif" w:eastAsia="宋体" w:cs="Times New Roman"/>
      <w:spacing w:val="12"/>
      <w:kern w:val="0"/>
      <w:sz w:val="24"/>
      <w:szCs w:val="20"/>
    </w:rPr>
  </w:style>
  <w:style w:type="character" w:customStyle="1" w:styleId="170">
    <w:name w:val="HTML 预设格式 字符"/>
    <w:link w:val="43"/>
    <w:qFormat/>
    <w:uiPriority w:val="0"/>
    <w:rPr>
      <w:rFonts w:ascii="Courier New" w:hAnsi="Courier New" w:cs="Courier New"/>
    </w:rPr>
  </w:style>
  <w:style w:type="character" w:customStyle="1" w:styleId="171">
    <w:name w:val="Char Char24"/>
    <w:qFormat/>
    <w:uiPriority w:val="0"/>
    <w:rPr>
      <w:rFonts w:ascii="宋体" w:hAnsi="宋体" w:eastAsia="宋体" w:cs="Times New Roman"/>
      <w:b/>
      <w:bCs/>
      <w:kern w:val="0"/>
      <w:sz w:val="28"/>
      <w:szCs w:val="28"/>
    </w:rPr>
  </w:style>
  <w:style w:type="character" w:customStyle="1" w:styleId="172">
    <w:name w:val="Char Char121"/>
    <w:qFormat/>
    <w:uiPriority w:val="0"/>
    <w:rPr>
      <w:rFonts w:ascii="Times New Roman" w:hAnsi="Times New Roman" w:eastAsia="宋体" w:cs="Times New Roman"/>
      <w:kern w:val="0"/>
      <w:sz w:val="24"/>
      <w:szCs w:val="20"/>
    </w:rPr>
  </w:style>
  <w:style w:type="character" w:customStyle="1" w:styleId="173">
    <w:name w:val="标题 2 Char Char Char"/>
    <w:qFormat/>
    <w:uiPriority w:val="0"/>
    <w:rPr>
      <w:rFonts w:ascii="Arial" w:hAnsi="Arial" w:eastAsia="黑体"/>
      <w:b/>
      <w:bCs/>
      <w:kern w:val="2"/>
      <w:sz w:val="32"/>
      <w:szCs w:val="32"/>
      <w:lang w:val="en-US" w:eastAsia="zh-CN" w:bidi="ar-SA"/>
    </w:rPr>
  </w:style>
  <w:style w:type="character" w:customStyle="1" w:styleId="174">
    <w:name w:val="Char Char241"/>
    <w:qFormat/>
    <w:uiPriority w:val="0"/>
    <w:rPr>
      <w:rFonts w:ascii="宋体" w:hAnsi="宋体" w:eastAsia="宋体" w:cs="Times New Roman"/>
      <w:b/>
      <w:bCs/>
      <w:kern w:val="0"/>
      <w:sz w:val="28"/>
      <w:szCs w:val="28"/>
    </w:rPr>
  </w:style>
  <w:style w:type="character" w:customStyle="1" w:styleId="175">
    <w:name w:val="Char Char161"/>
    <w:qFormat/>
    <w:uiPriority w:val="0"/>
    <w:rPr>
      <w:sz w:val="18"/>
      <w:szCs w:val="18"/>
    </w:rPr>
  </w:style>
  <w:style w:type="character" w:customStyle="1" w:styleId="176">
    <w:name w:val="脚注文本 字符"/>
    <w:qFormat/>
    <w:uiPriority w:val="0"/>
    <w:rPr>
      <w:kern w:val="2"/>
      <w:sz w:val="18"/>
      <w:szCs w:val="18"/>
    </w:rPr>
  </w:style>
  <w:style w:type="character" w:customStyle="1" w:styleId="177">
    <w:name w:val="HTML 预设格式 Char2"/>
    <w:semiHidden/>
    <w:qFormat/>
    <w:uiPriority w:val="99"/>
    <w:rPr>
      <w:rFonts w:ascii="Courier New" w:hAnsi="Courier New" w:eastAsia="宋体" w:cs="Courier New"/>
      <w:sz w:val="20"/>
      <w:szCs w:val="20"/>
    </w:rPr>
  </w:style>
  <w:style w:type="character" w:customStyle="1" w:styleId="178">
    <w:name w:val="正文文本 2 Char1"/>
    <w:qFormat/>
    <w:uiPriority w:val="0"/>
    <w:rPr>
      <w:kern w:val="2"/>
      <w:sz w:val="21"/>
      <w:szCs w:val="24"/>
    </w:rPr>
  </w:style>
  <w:style w:type="character" w:customStyle="1" w:styleId="179">
    <w:name w:val="标题 3 Char Char"/>
    <w:qFormat/>
    <w:uiPriority w:val="0"/>
    <w:rPr>
      <w:rFonts w:eastAsia="黑体"/>
      <w:b/>
      <w:kern w:val="2"/>
      <w:sz w:val="28"/>
      <w:lang w:val="en-US" w:eastAsia="zh-CN" w:bidi="ar-SA"/>
    </w:rPr>
  </w:style>
  <w:style w:type="character" w:customStyle="1" w:styleId="180">
    <w:name w:val="正文文本缩进 字符"/>
    <w:link w:val="19"/>
    <w:qFormat/>
    <w:uiPriority w:val="0"/>
    <w:rPr>
      <w:rFonts w:ascii="宋体"/>
      <w:sz w:val="28"/>
    </w:rPr>
  </w:style>
  <w:style w:type="character" w:customStyle="1" w:styleId="181">
    <w:name w:val="rili11"/>
    <w:qFormat/>
    <w:uiPriority w:val="0"/>
    <w:rPr>
      <w:sz w:val="21"/>
      <w:szCs w:val="21"/>
    </w:rPr>
  </w:style>
  <w:style w:type="character" w:customStyle="1" w:styleId="182">
    <w:name w:val="纯文本 Char Char Char Char Char Char"/>
    <w:qFormat/>
    <w:uiPriority w:val="0"/>
    <w:rPr>
      <w:rFonts w:ascii="宋体" w:hAnsi="Courier New" w:eastAsia="宋体"/>
      <w:kern w:val="2"/>
      <w:sz w:val="21"/>
      <w:lang w:val="en-US" w:eastAsia="zh-CN" w:bidi="ar-SA"/>
    </w:rPr>
  </w:style>
  <w:style w:type="character" w:customStyle="1" w:styleId="183">
    <w:name w:val="正文文本 3 Char2"/>
    <w:semiHidden/>
    <w:qFormat/>
    <w:uiPriority w:val="99"/>
    <w:rPr>
      <w:rFonts w:ascii="Bodoni MT" w:hAnsi="Bodoni MT" w:eastAsia="宋体" w:cs="Bodoni MT"/>
      <w:sz w:val="16"/>
      <w:szCs w:val="16"/>
    </w:rPr>
  </w:style>
  <w:style w:type="character" w:customStyle="1" w:styleId="184">
    <w:name w:val="日期 Char1"/>
    <w:qFormat/>
    <w:uiPriority w:val="0"/>
    <w:rPr>
      <w:rFonts w:ascii="Bodoni MT" w:hAnsi="Bodoni MT" w:eastAsia="宋体" w:cs="Bodoni MT"/>
      <w:szCs w:val="24"/>
    </w:rPr>
  </w:style>
  <w:style w:type="character" w:customStyle="1" w:styleId="185">
    <w:name w:val="正文文本 2 Char2"/>
    <w:semiHidden/>
    <w:qFormat/>
    <w:uiPriority w:val="99"/>
    <w:rPr>
      <w:rFonts w:ascii="Bodoni MT" w:hAnsi="Bodoni MT" w:eastAsia="宋体" w:cs="Bodoni MT"/>
      <w:szCs w:val="24"/>
    </w:rPr>
  </w:style>
  <w:style w:type="character" w:customStyle="1" w:styleId="186">
    <w:name w:val="尾注文本 字符"/>
    <w:link w:val="29"/>
    <w:qFormat/>
    <w:uiPriority w:val="0"/>
  </w:style>
  <w:style w:type="character" w:customStyle="1" w:styleId="187">
    <w:name w:val="Char Char7"/>
    <w:qFormat/>
    <w:uiPriority w:val="0"/>
    <w:rPr>
      <w:rFonts w:eastAsia="宋体"/>
      <w:kern w:val="2"/>
      <w:sz w:val="18"/>
      <w:szCs w:val="18"/>
      <w:lang w:val="en-US" w:eastAsia="zh-CN" w:bidi="ar-SA"/>
    </w:rPr>
  </w:style>
  <w:style w:type="character" w:customStyle="1" w:styleId="188">
    <w:name w:val="脚注文本 Char1"/>
    <w:qFormat/>
    <w:uiPriority w:val="0"/>
    <w:rPr>
      <w:rFonts w:ascii="Bodoni MT" w:hAnsi="Bodoni MT" w:eastAsia="宋体" w:cs="Bodoni MT"/>
      <w:sz w:val="18"/>
      <w:szCs w:val="18"/>
    </w:rPr>
  </w:style>
  <w:style w:type="character" w:customStyle="1" w:styleId="189">
    <w:name w:val="Char Char15"/>
    <w:qFormat/>
    <w:uiPriority w:val="0"/>
    <w:rPr>
      <w:sz w:val="18"/>
      <w:szCs w:val="18"/>
    </w:rPr>
  </w:style>
  <w:style w:type="character" w:customStyle="1" w:styleId="190">
    <w:name w:val="脚注文本 Char2"/>
    <w:semiHidden/>
    <w:qFormat/>
    <w:uiPriority w:val="99"/>
    <w:rPr>
      <w:rFonts w:ascii="Bodoni MT" w:hAnsi="Bodoni MT" w:eastAsia="宋体" w:cs="Bodoni MT"/>
      <w:sz w:val="18"/>
      <w:szCs w:val="18"/>
    </w:rPr>
  </w:style>
  <w:style w:type="character" w:customStyle="1" w:styleId="191">
    <w:name w:val="正文文本 3 Char1"/>
    <w:qFormat/>
    <w:uiPriority w:val="0"/>
    <w:rPr>
      <w:kern w:val="2"/>
      <w:sz w:val="16"/>
      <w:szCs w:val="16"/>
    </w:rPr>
  </w:style>
  <w:style w:type="character" w:customStyle="1" w:styleId="192">
    <w:name w:val="Char Char71"/>
    <w:qFormat/>
    <w:uiPriority w:val="0"/>
    <w:rPr>
      <w:rFonts w:eastAsia="宋体"/>
      <w:kern w:val="2"/>
      <w:sz w:val="18"/>
      <w:szCs w:val="18"/>
      <w:lang w:val="en-US" w:eastAsia="zh-CN" w:bidi="ar-SA"/>
    </w:rPr>
  </w:style>
  <w:style w:type="character" w:customStyle="1" w:styleId="193">
    <w:name w:val="Char Char10"/>
    <w:qFormat/>
    <w:uiPriority w:val="0"/>
    <w:rPr>
      <w:rFonts w:eastAsia="宋体"/>
      <w:sz w:val="24"/>
      <w:lang w:val="en-US" w:eastAsia="zh-CN" w:bidi="ar-SA"/>
    </w:rPr>
  </w:style>
  <w:style w:type="character" w:customStyle="1" w:styleId="194">
    <w:name w:val="Char Char1 Char Char Char Char Char Char Char Char Char Char Char"/>
    <w:link w:val="195"/>
    <w:qFormat/>
    <w:uiPriority w:val="0"/>
    <w:rPr>
      <w:rFonts w:ascii="Verdana" w:hAnsi="Verdana" w:eastAsia="仿宋_GB2312"/>
      <w:sz w:val="24"/>
      <w:lang w:eastAsia="en-US"/>
    </w:rPr>
  </w:style>
  <w:style w:type="paragraph" w:customStyle="1" w:styleId="195">
    <w:name w:val="Char Char1 Char Char Char Char Char Char Char Char Char"/>
    <w:basedOn w:val="1"/>
    <w:link w:val="194"/>
    <w:qFormat/>
    <w:uiPriority w:val="0"/>
    <w:pPr>
      <w:spacing w:after="160" w:line="240" w:lineRule="exact"/>
    </w:pPr>
    <w:rPr>
      <w:rFonts w:ascii="Verdana" w:hAnsi="Verdana" w:eastAsia="仿宋_GB2312" w:cstheme="minorBidi"/>
      <w:kern w:val="2"/>
      <w:szCs w:val="22"/>
      <w:lang w:eastAsia="en-US"/>
    </w:rPr>
  </w:style>
  <w:style w:type="character" w:customStyle="1" w:styleId="196">
    <w:name w:val="style61"/>
    <w:qFormat/>
    <w:uiPriority w:val="0"/>
    <w:rPr>
      <w:color w:val="FF0000"/>
    </w:rPr>
  </w:style>
  <w:style w:type="character" w:customStyle="1" w:styleId="197">
    <w:name w:val="正文文本缩进 3 Char1"/>
    <w:qFormat/>
    <w:uiPriority w:val="0"/>
    <w:rPr>
      <w:rFonts w:ascii="Bodoni MT" w:hAnsi="Bodoni MT" w:eastAsia="宋体" w:cs="Bodoni MT"/>
      <w:sz w:val="16"/>
      <w:szCs w:val="16"/>
    </w:rPr>
  </w:style>
  <w:style w:type="character" w:customStyle="1" w:styleId="198">
    <w:name w:val="个人撰写风格"/>
    <w:qFormat/>
    <w:uiPriority w:val="0"/>
    <w:rPr>
      <w:rFonts w:ascii="Arial" w:hAnsi="Arial" w:eastAsia="宋体" w:cs="Arial"/>
      <w:color w:val="auto"/>
      <w:sz w:val="20"/>
    </w:rPr>
  </w:style>
  <w:style w:type="character" w:customStyle="1" w:styleId="199">
    <w:name w:val="标题 1 Char Char"/>
    <w:qFormat/>
    <w:uiPriority w:val="0"/>
    <w:rPr>
      <w:rFonts w:eastAsia="黑体"/>
      <w:b/>
      <w:kern w:val="2"/>
      <w:sz w:val="28"/>
      <w:lang w:val="en-US" w:eastAsia="zh-CN" w:bidi="ar-SA"/>
    </w:rPr>
  </w:style>
  <w:style w:type="character" w:customStyle="1" w:styleId="200">
    <w:name w:val="Char Char3"/>
    <w:qFormat/>
    <w:uiPriority w:val="0"/>
    <w:rPr>
      <w:rFonts w:ascii="Cambria" w:hAnsi="Cambria" w:eastAsia="宋体" w:cs="Times New Roman"/>
      <w:b/>
      <w:bCs/>
      <w:sz w:val="32"/>
      <w:szCs w:val="32"/>
    </w:rPr>
  </w:style>
  <w:style w:type="character" w:customStyle="1" w:styleId="201">
    <w:name w:val="Char Char151"/>
    <w:qFormat/>
    <w:uiPriority w:val="0"/>
    <w:rPr>
      <w:sz w:val="18"/>
      <w:szCs w:val="18"/>
    </w:rPr>
  </w:style>
  <w:style w:type="character" w:customStyle="1" w:styleId="202">
    <w:name w:val="纯文本 Char2"/>
    <w:qFormat/>
    <w:uiPriority w:val="0"/>
    <w:rPr>
      <w:rFonts w:ascii="宋体" w:hAnsi="Courier New" w:eastAsia="宋体" w:cs="Courier New"/>
      <w:szCs w:val="21"/>
    </w:rPr>
  </w:style>
  <w:style w:type="character" w:customStyle="1" w:styleId="203">
    <w:name w:val="正文文本缩进 Char1"/>
    <w:qFormat/>
    <w:uiPriority w:val="0"/>
    <w:rPr>
      <w:rFonts w:ascii="Bodoni MT" w:hAnsi="Bodoni MT" w:eastAsia="宋体" w:cs="Bodoni MT"/>
      <w:szCs w:val="24"/>
    </w:rPr>
  </w:style>
  <w:style w:type="character" w:customStyle="1" w:styleId="204">
    <w:name w:val="style11"/>
    <w:basedOn w:val="52"/>
    <w:qFormat/>
    <w:uiPriority w:val="0"/>
  </w:style>
  <w:style w:type="character" w:customStyle="1" w:styleId="205">
    <w:name w:val="Blockquote Char Char"/>
    <w:link w:val="206"/>
    <w:qFormat/>
    <w:uiPriority w:val="0"/>
    <w:rPr>
      <w:rFonts w:eastAsia="宋体"/>
      <w:sz w:val="24"/>
    </w:rPr>
  </w:style>
  <w:style w:type="paragraph" w:customStyle="1" w:styleId="206">
    <w:name w:val="Blockquote"/>
    <w:basedOn w:val="1"/>
    <w:link w:val="205"/>
    <w:qFormat/>
    <w:uiPriority w:val="0"/>
    <w:pPr>
      <w:widowControl w:val="0"/>
      <w:autoSpaceDE w:val="0"/>
      <w:autoSpaceDN w:val="0"/>
      <w:adjustRightInd w:val="0"/>
      <w:spacing w:before="100" w:after="100"/>
      <w:ind w:left="360" w:right="360"/>
    </w:pPr>
    <w:rPr>
      <w:rFonts w:asciiTheme="minorHAnsi" w:hAnsiTheme="minorHAnsi" w:cstheme="minorBidi"/>
      <w:kern w:val="2"/>
      <w:szCs w:val="22"/>
    </w:rPr>
  </w:style>
  <w:style w:type="character" w:customStyle="1" w:styleId="207">
    <w:name w:val="tpc_content1"/>
    <w:qFormat/>
    <w:uiPriority w:val="0"/>
    <w:rPr>
      <w:sz w:val="20"/>
      <w:szCs w:val="20"/>
    </w:rPr>
  </w:style>
  <w:style w:type="character" w:customStyle="1" w:styleId="208">
    <w:name w:val="Char Char31"/>
    <w:qFormat/>
    <w:uiPriority w:val="0"/>
    <w:rPr>
      <w:rFonts w:ascii="宋体" w:hAnsi="Courier New" w:eastAsia="宋体" w:cs="Courier New"/>
      <w:kern w:val="2"/>
      <w:sz w:val="21"/>
      <w:szCs w:val="21"/>
      <w:lang w:val="en-US" w:eastAsia="zh-CN" w:bidi="ar-SA"/>
    </w:rPr>
  </w:style>
  <w:style w:type="character" w:customStyle="1" w:styleId="209">
    <w:name w:val="Char Char101"/>
    <w:qFormat/>
    <w:uiPriority w:val="0"/>
    <w:rPr>
      <w:rFonts w:eastAsia="宋体"/>
      <w:sz w:val="24"/>
      <w:lang w:val="en-US" w:eastAsia="zh-CN" w:bidi="ar-SA"/>
    </w:rPr>
  </w:style>
  <w:style w:type="character" w:customStyle="1" w:styleId="210">
    <w:name w:val="Char Char Char Char Char Char Char Char Char"/>
    <w:qFormat/>
    <w:uiPriority w:val="0"/>
    <w:rPr>
      <w:sz w:val="18"/>
      <w:szCs w:val="18"/>
    </w:rPr>
  </w:style>
  <w:style w:type="character" w:customStyle="1" w:styleId="211">
    <w:name w:val="纯文本 Char1"/>
    <w:qFormat/>
    <w:uiPriority w:val="0"/>
    <w:rPr>
      <w:rFonts w:ascii="宋体" w:hAnsi="Courier New" w:eastAsia="宋体" w:cs="Courier New"/>
      <w:szCs w:val="21"/>
    </w:rPr>
  </w:style>
  <w:style w:type="character" w:customStyle="1" w:styleId="212">
    <w:name w:val="正文文本缩进 3 字符"/>
    <w:link w:val="38"/>
    <w:qFormat/>
    <w:uiPriority w:val="0"/>
    <w:rPr>
      <w:sz w:val="16"/>
      <w:szCs w:val="16"/>
    </w:rPr>
  </w:style>
  <w:style w:type="character" w:customStyle="1" w:styleId="213">
    <w:name w:val="副标题 Char2"/>
    <w:qFormat/>
    <w:uiPriority w:val="11"/>
    <w:rPr>
      <w:rFonts w:ascii="Cambria" w:hAnsi="Cambria" w:eastAsia="宋体" w:cs="Times New Roman"/>
      <w:b/>
      <w:bCs/>
      <w:kern w:val="28"/>
      <w:sz w:val="32"/>
      <w:szCs w:val="32"/>
    </w:rPr>
  </w:style>
  <w:style w:type="character" w:customStyle="1" w:styleId="214">
    <w:name w:val="标题 4 Char Char"/>
    <w:qFormat/>
    <w:uiPriority w:val="0"/>
    <w:rPr>
      <w:rFonts w:ascii="Arial" w:hAnsi="Arial" w:eastAsia="黑体"/>
      <w:b/>
      <w:bCs/>
      <w:kern w:val="2"/>
      <w:sz w:val="28"/>
      <w:szCs w:val="28"/>
      <w:lang w:val="en-US" w:eastAsia="zh-CN" w:bidi="ar-SA"/>
    </w:rPr>
  </w:style>
  <w:style w:type="paragraph" w:customStyle="1" w:styleId="215">
    <w:name w:val="Char Char Char Char Char Char Char Char Char Char Char Char Char"/>
    <w:basedOn w:val="1"/>
    <w:qFormat/>
    <w:uiPriority w:val="0"/>
    <w:pPr>
      <w:widowControl w:val="0"/>
      <w:jc w:val="both"/>
    </w:pPr>
    <w:rPr>
      <w:rFonts w:ascii="Times New Roman" w:hAnsi="Times New Roman" w:cs="Times New Roman"/>
      <w:kern w:val="2"/>
      <w:sz w:val="21"/>
    </w:rPr>
  </w:style>
  <w:style w:type="paragraph" w:customStyle="1" w:styleId="216">
    <w:name w:val="Char Char Char Char Char"/>
    <w:basedOn w:val="1"/>
    <w:qFormat/>
    <w:uiPriority w:val="0"/>
    <w:pPr>
      <w:widowControl w:val="0"/>
      <w:adjustRightInd w:val="0"/>
      <w:spacing w:line="440" w:lineRule="exact"/>
      <w:jc w:val="both"/>
    </w:pPr>
    <w:rPr>
      <w:rFonts w:hAnsi="Times New Roman" w:cs="Times New Roman"/>
      <w:sz w:val="28"/>
      <w:szCs w:val="27"/>
    </w:rPr>
  </w:style>
  <w:style w:type="paragraph" w:customStyle="1" w:styleId="217">
    <w:name w:val="xl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cs="Times New Roman"/>
    </w:rPr>
  </w:style>
  <w:style w:type="paragraph" w:customStyle="1" w:styleId="218">
    <w:name w:val="菲页1"/>
    <w:basedOn w:val="4"/>
    <w:qFormat/>
    <w:uiPriority w:val="0"/>
    <w:pPr>
      <w:spacing w:line="413" w:lineRule="auto"/>
      <w:jc w:val="center"/>
    </w:pPr>
    <w:rPr>
      <w:rFonts w:ascii="黑体" w:hAnsi="宋体" w:eastAsia="华文细黑" w:cs="Bodoni MT"/>
      <w:b w:val="0"/>
      <w:kern w:val="2"/>
      <w:sz w:val="52"/>
    </w:rPr>
  </w:style>
  <w:style w:type="paragraph" w:customStyle="1" w:styleId="219">
    <w:name w:val="xl25"/>
    <w:basedOn w:val="1"/>
    <w:qFormat/>
    <w:uiPriority w:val="0"/>
    <w:pPr>
      <w:spacing w:before="100" w:beforeAutospacing="1" w:after="100" w:afterAutospacing="1"/>
    </w:pPr>
    <w:rPr>
      <w:rFonts w:ascii="Arial Unicode MS" w:hAnsi="Arial Unicode MS" w:eastAsia="Arial Unicode MS" w:cs="Arial Unicode MS"/>
      <w:sz w:val="22"/>
      <w:szCs w:val="22"/>
    </w:rPr>
  </w:style>
  <w:style w:type="paragraph" w:customStyle="1" w:styleId="220">
    <w:name w:val="Char Char Char Char Char Char Char Char"/>
    <w:basedOn w:val="1"/>
    <w:qFormat/>
    <w:uiPriority w:val="0"/>
    <w:pPr>
      <w:widowControl w:val="0"/>
      <w:adjustRightInd w:val="0"/>
      <w:spacing w:line="440" w:lineRule="exact"/>
      <w:jc w:val="both"/>
    </w:pPr>
    <w:rPr>
      <w:rFonts w:hAnsi="Times New Roman" w:cs="Times New Roman"/>
      <w:sz w:val="28"/>
      <w:szCs w:val="27"/>
    </w:rPr>
  </w:style>
  <w:style w:type="paragraph" w:customStyle="1" w:styleId="221">
    <w:name w:val="样式 (西文) 黑体 (中文) 黑体 四号 加粗 首行缩进:  2 字符"/>
    <w:basedOn w:val="1"/>
    <w:next w:val="41"/>
    <w:qFormat/>
    <w:uiPriority w:val="0"/>
    <w:pPr>
      <w:widowControl w:val="0"/>
      <w:ind w:firstLine="562" w:firstLineChars="200"/>
      <w:jc w:val="both"/>
    </w:pPr>
    <w:rPr>
      <w:rFonts w:ascii="黑体" w:hAnsi="Times New Roman" w:eastAsia="黑体" w:cs="Times New Roman"/>
      <w:b/>
      <w:bCs/>
      <w:kern w:val="2"/>
      <w:sz w:val="28"/>
      <w:szCs w:val="20"/>
    </w:rPr>
  </w:style>
  <w:style w:type="paragraph" w:customStyle="1" w:styleId="222">
    <w:name w:val="Char Char1 Char Char Char Char Char Char Char"/>
    <w:basedOn w:val="1"/>
    <w:qFormat/>
    <w:uiPriority w:val="0"/>
    <w:pPr>
      <w:widowControl w:val="0"/>
      <w:adjustRightInd w:val="0"/>
      <w:spacing w:line="440" w:lineRule="exact"/>
      <w:jc w:val="both"/>
    </w:pPr>
    <w:rPr>
      <w:rFonts w:hAnsi="Times New Roman" w:cs="Times New Roman"/>
      <w:sz w:val="28"/>
      <w:szCs w:val="27"/>
    </w:rPr>
  </w:style>
  <w:style w:type="paragraph" w:customStyle="1" w:styleId="223">
    <w:name w:val="p0"/>
    <w:basedOn w:val="1"/>
    <w:qFormat/>
    <w:uiPriority w:val="0"/>
    <w:pPr>
      <w:jc w:val="both"/>
    </w:pPr>
    <w:rPr>
      <w:rFonts w:ascii="Times New Roman" w:hAnsi="Times New Roman" w:cs="Times New Roman"/>
      <w:sz w:val="21"/>
      <w:szCs w:val="21"/>
    </w:rPr>
  </w:style>
  <w:style w:type="character" w:customStyle="1" w:styleId="224">
    <w:name w:val="正文文本缩进 字符1"/>
    <w:basedOn w:val="52"/>
    <w:semiHidden/>
    <w:qFormat/>
    <w:uiPriority w:val="99"/>
    <w:rPr>
      <w:rFonts w:ascii="宋体" w:hAnsi="宋体" w:eastAsia="宋体" w:cs="宋体"/>
      <w:kern w:val="0"/>
      <w:sz w:val="24"/>
      <w:szCs w:val="24"/>
    </w:rPr>
  </w:style>
  <w:style w:type="character" w:customStyle="1" w:styleId="225">
    <w:name w:val="脚注文本 字符2"/>
    <w:basedOn w:val="52"/>
    <w:semiHidden/>
    <w:qFormat/>
    <w:uiPriority w:val="99"/>
    <w:rPr>
      <w:rFonts w:ascii="宋体" w:hAnsi="宋体" w:eastAsia="宋体" w:cs="宋体"/>
      <w:kern w:val="0"/>
      <w:sz w:val="18"/>
      <w:szCs w:val="18"/>
    </w:rPr>
  </w:style>
  <w:style w:type="character" w:customStyle="1" w:styleId="226">
    <w:name w:val="HTML 预设格式 字符1"/>
    <w:basedOn w:val="52"/>
    <w:semiHidden/>
    <w:qFormat/>
    <w:uiPriority w:val="99"/>
    <w:rPr>
      <w:rFonts w:ascii="Courier New" w:hAnsi="Courier New" w:eastAsia="宋体" w:cs="Courier New"/>
      <w:kern w:val="0"/>
      <w:sz w:val="20"/>
      <w:szCs w:val="20"/>
    </w:rPr>
  </w:style>
  <w:style w:type="character" w:customStyle="1" w:styleId="227">
    <w:name w:val="正文文本 2 字符1"/>
    <w:basedOn w:val="52"/>
    <w:semiHidden/>
    <w:qFormat/>
    <w:uiPriority w:val="99"/>
    <w:rPr>
      <w:rFonts w:ascii="宋体" w:hAnsi="宋体" w:eastAsia="宋体" w:cs="宋体"/>
      <w:kern w:val="0"/>
      <w:sz w:val="24"/>
      <w:szCs w:val="24"/>
    </w:rPr>
  </w:style>
  <w:style w:type="character" w:customStyle="1" w:styleId="228">
    <w:name w:val="尾注文本 字符1"/>
    <w:basedOn w:val="52"/>
    <w:semiHidden/>
    <w:qFormat/>
    <w:uiPriority w:val="99"/>
    <w:rPr>
      <w:rFonts w:ascii="宋体" w:hAnsi="宋体" w:eastAsia="宋体" w:cs="宋体"/>
      <w:kern w:val="0"/>
      <w:sz w:val="24"/>
      <w:szCs w:val="24"/>
    </w:rPr>
  </w:style>
  <w:style w:type="character" w:customStyle="1" w:styleId="229">
    <w:name w:val="正文文本缩进 3 字符1"/>
    <w:basedOn w:val="52"/>
    <w:semiHidden/>
    <w:qFormat/>
    <w:uiPriority w:val="99"/>
    <w:rPr>
      <w:rFonts w:ascii="宋体" w:hAnsi="宋体" w:eastAsia="宋体" w:cs="宋体"/>
      <w:kern w:val="0"/>
      <w:sz w:val="16"/>
      <w:szCs w:val="16"/>
    </w:rPr>
  </w:style>
  <w:style w:type="character" w:customStyle="1" w:styleId="230">
    <w:name w:val="纯文本 字符1"/>
    <w:basedOn w:val="52"/>
    <w:semiHidden/>
    <w:qFormat/>
    <w:uiPriority w:val="99"/>
    <w:rPr>
      <w:rFonts w:hAnsi="Courier New" w:cs="Courier New" w:asciiTheme="minorEastAsia"/>
      <w:kern w:val="0"/>
      <w:sz w:val="24"/>
      <w:szCs w:val="24"/>
    </w:rPr>
  </w:style>
  <w:style w:type="paragraph" w:customStyle="1" w:styleId="231">
    <w:name w:val="格式2"/>
    <w:qFormat/>
    <w:uiPriority w:val="0"/>
    <w:pPr>
      <w:widowControl w:val="0"/>
      <w:adjustRightInd w:val="0"/>
      <w:snapToGrid w:val="0"/>
      <w:spacing w:before="50" w:line="440" w:lineRule="exact"/>
      <w:jc w:val="both"/>
    </w:pPr>
    <w:rPr>
      <w:rFonts w:ascii="Times New Roman" w:hAnsi="Times New Roman" w:eastAsia="宋体" w:cs="Times New Roman"/>
      <w:sz w:val="24"/>
      <w:szCs w:val="24"/>
      <w:lang w:val="en-US" w:eastAsia="zh-CN" w:bidi="ar-SA"/>
    </w:rPr>
  </w:style>
  <w:style w:type="paragraph" w:customStyle="1" w:styleId="232">
    <w:name w:val="Char Char Char Char Char Char Char"/>
    <w:basedOn w:val="1"/>
    <w:qFormat/>
    <w:uiPriority w:val="0"/>
    <w:pPr>
      <w:widowControl w:val="0"/>
      <w:jc w:val="both"/>
    </w:pPr>
    <w:rPr>
      <w:rFonts w:ascii="Tahoma" w:hAnsi="Tahoma" w:cs="Times New Roman"/>
      <w:kern w:val="2"/>
      <w:szCs w:val="20"/>
    </w:rPr>
  </w:style>
  <w:style w:type="paragraph" w:customStyle="1" w:styleId="233">
    <w:name w:val="表格标题"/>
    <w:basedOn w:val="1"/>
    <w:qFormat/>
    <w:uiPriority w:val="0"/>
    <w:pPr>
      <w:widowControl w:val="0"/>
      <w:jc w:val="center"/>
    </w:pPr>
    <w:rPr>
      <w:rFonts w:ascii="Arial Narrow" w:hAnsi="Arial Narrow" w:eastAsia="楷体_GB2312" w:cs="Times New Roman"/>
      <w:snapToGrid w:val="0"/>
      <w:sz w:val="21"/>
      <w:szCs w:val="20"/>
    </w:rPr>
  </w:style>
  <w:style w:type="paragraph" w:customStyle="1" w:styleId="234">
    <w:name w:val="font0"/>
    <w:basedOn w:val="1"/>
    <w:qFormat/>
    <w:uiPriority w:val="0"/>
    <w:pPr>
      <w:spacing w:before="100" w:beforeAutospacing="1" w:after="100" w:afterAutospacing="1"/>
    </w:pPr>
    <w:rPr>
      <w:rFonts w:hint="eastAsia" w:cs="Arial Unicode MS"/>
    </w:rPr>
  </w:style>
  <w:style w:type="paragraph" w:customStyle="1" w:styleId="235">
    <w:name w:val="font7"/>
    <w:basedOn w:val="1"/>
    <w:qFormat/>
    <w:uiPriority w:val="0"/>
    <w:pPr>
      <w:spacing w:before="100" w:beforeAutospacing="1" w:after="100" w:afterAutospacing="1"/>
    </w:pPr>
    <w:rPr>
      <w:rFonts w:ascii="Times New Roman" w:hAnsi="Times New Roman" w:eastAsia="Arial Unicode MS" w:cs="Times New Roman"/>
      <w:sz w:val="22"/>
      <w:szCs w:val="22"/>
    </w:rPr>
  </w:style>
  <w:style w:type="paragraph" w:customStyle="1" w:styleId="236">
    <w:name w:val="xl32"/>
    <w:basedOn w:val="1"/>
    <w:qFormat/>
    <w:uiPriority w:val="0"/>
    <w:pPr>
      <w:spacing w:before="100" w:beforeAutospacing="1" w:after="100" w:afterAutospacing="1"/>
    </w:pPr>
    <w:rPr>
      <w:rFonts w:ascii="Times New Roman" w:hAnsi="Times New Roman" w:eastAsia="Arial Unicode MS" w:cs="Times New Roman"/>
      <w:b/>
      <w:bCs/>
    </w:rPr>
  </w:style>
  <w:style w:type="paragraph" w:customStyle="1" w:styleId="237">
    <w:name w:val="xl34"/>
    <w:basedOn w:val="1"/>
    <w:qFormat/>
    <w:uiPriority w:val="0"/>
    <w:pPr>
      <w:spacing w:before="100" w:beforeAutospacing="1" w:after="100" w:afterAutospacing="1"/>
    </w:pPr>
    <w:rPr>
      <w:rFonts w:ascii="Arial Unicode MS" w:hAnsi="Arial Unicode MS" w:eastAsia="Arial Unicode MS" w:cs="Arial Unicode MS"/>
      <w:b/>
      <w:bCs/>
      <w:sz w:val="22"/>
      <w:szCs w:val="22"/>
    </w:rPr>
  </w:style>
  <w:style w:type="paragraph" w:customStyle="1" w:styleId="238">
    <w:name w:val="简单回函地址"/>
    <w:basedOn w:val="1"/>
    <w:qFormat/>
    <w:uiPriority w:val="0"/>
    <w:pPr>
      <w:widowControl w:val="0"/>
      <w:jc w:val="both"/>
    </w:pPr>
    <w:rPr>
      <w:rFonts w:ascii="Times New Roman" w:hAnsi="Times New Roman" w:cs="Times New Roman"/>
      <w:kern w:val="2"/>
      <w:sz w:val="21"/>
    </w:rPr>
  </w:style>
  <w:style w:type="paragraph" w:customStyle="1" w:styleId="239">
    <w:name w:val="Char Char Char Char Char1"/>
    <w:basedOn w:val="1"/>
    <w:qFormat/>
    <w:uiPriority w:val="0"/>
    <w:pPr>
      <w:spacing w:after="160" w:line="240" w:lineRule="exact"/>
    </w:pPr>
    <w:rPr>
      <w:rFonts w:ascii="Verdana" w:hAnsi="Verdana" w:eastAsia="仿宋_GB2312" w:cs="Times New Roman"/>
      <w:szCs w:val="20"/>
      <w:lang w:eastAsia="en-US"/>
    </w:rPr>
  </w:style>
  <w:style w:type="paragraph" w:customStyle="1" w:styleId="240">
    <w:name w:val="xl36"/>
    <w:basedOn w:val="1"/>
    <w:qFormat/>
    <w:uiPriority w:val="0"/>
    <w:pPr>
      <w:spacing w:before="100" w:beforeAutospacing="1" w:after="100" w:afterAutospacing="1"/>
    </w:pPr>
    <w:rPr>
      <w:rFonts w:ascii="Arial Unicode MS" w:hAnsi="Arial Unicode MS" w:eastAsia="Arial Unicode MS" w:cs="Arial Unicode MS"/>
      <w:b/>
      <w:bCs/>
    </w:rPr>
  </w:style>
  <w:style w:type="paragraph" w:customStyle="1" w:styleId="241">
    <w:name w:val="Char Char"/>
    <w:basedOn w:val="1"/>
    <w:qFormat/>
    <w:uiPriority w:val="0"/>
    <w:pPr>
      <w:spacing w:after="160"/>
      <w:jc w:val="center"/>
    </w:pPr>
    <w:rPr>
      <w:rFonts w:cs="Times New Roman"/>
      <w:sz w:val="28"/>
      <w:szCs w:val="28"/>
      <w:lang w:eastAsia="en-US"/>
    </w:rPr>
  </w:style>
  <w:style w:type="paragraph" w:customStyle="1" w:styleId="242">
    <w:name w:val="xl52"/>
    <w:basedOn w:val="1"/>
    <w:qFormat/>
    <w:uiPriority w:val="0"/>
    <w:pPr>
      <w:spacing w:before="100" w:beforeAutospacing="1" w:after="100" w:afterAutospacing="1"/>
      <w:jc w:val="center"/>
      <w:textAlignment w:val="center"/>
    </w:pPr>
    <w:rPr>
      <w:rFonts w:ascii="Arial Unicode MS" w:hAnsi="Arial Unicode MS" w:eastAsia="Arial Unicode MS" w:cs="Times New Roman"/>
      <w:b/>
      <w:sz w:val="32"/>
      <w:szCs w:val="20"/>
    </w:rPr>
  </w:style>
  <w:style w:type="paragraph" w:customStyle="1" w:styleId="243">
    <w:name w:val="Char"/>
    <w:basedOn w:val="1"/>
    <w:qFormat/>
    <w:uiPriority w:val="0"/>
    <w:pPr>
      <w:spacing w:after="160" w:line="240" w:lineRule="exact"/>
    </w:pPr>
    <w:rPr>
      <w:rFonts w:ascii="Verdana" w:hAnsi="Verdana" w:eastAsia="仿宋_GB2312" w:cs="Times New Roman"/>
      <w:szCs w:val="20"/>
      <w:lang w:eastAsia="en-US"/>
    </w:rPr>
  </w:style>
  <w:style w:type="paragraph" w:customStyle="1" w:styleId="244">
    <w:name w:val="Char Char1 Char Char Char Char Char Char Char Char Char Char Char Char Char"/>
    <w:basedOn w:val="1"/>
    <w:qFormat/>
    <w:uiPriority w:val="0"/>
    <w:pPr>
      <w:spacing w:after="160" w:line="240" w:lineRule="exact"/>
    </w:pPr>
    <w:rPr>
      <w:rFonts w:ascii="Verdana" w:hAnsi="Verdana" w:eastAsia="仿宋_GB2312" w:cs="Times New Roman"/>
      <w:szCs w:val="20"/>
      <w:lang w:eastAsia="en-US"/>
    </w:rPr>
  </w:style>
  <w:style w:type="paragraph" w:customStyle="1" w:styleId="245">
    <w:name w:val="Char Char1 Char Char Char Char Char Char Char Char Char Char Char Char Char Char Char Char"/>
    <w:basedOn w:val="1"/>
    <w:qFormat/>
    <w:uiPriority w:val="0"/>
    <w:pPr>
      <w:spacing w:after="160" w:line="240" w:lineRule="exact"/>
    </w:pPr>
    <w:rPr>
      <w:rFonts w:ascii="Verdana" w:hAnsi="Verdana" w:eastAsia="仿宋_GB2312" w:cs="Times New Roman"/>
      <w:szCs w:val="20"/>
      <w:lang w:eastAsia="en-US"/>
    </w:rPr>
  </w:style>
  <w:style w:type="paragraph" w:customStyle="1" w:styleId="246">
    <w:name w:val="样式 标题 2 + 左侧:  2 字符"/>
    <w:basedOn w:val="4"/>
    <w:qFormat/>
    <w:uiPriority w:val="0"/>
    <w:pPr>
      <w:widowControl w:val="0"/>
      <w:spacing w:before="380" w:after="380" w:afterLines="50" w:line="413" w:lineRule="auto"/>
      <w:ind w:left="420" w:leftChars="200"/>
      <w:jc w:val="both"/>
    </w:pPr>
    <w:rPr>
      <w:rFonts w:ascii="Arial" w:hAnsi="Arial"/>
      <w:kern w:val="2"/>
      <w:sz w:val="30"/>
      <w:szCs w:val="20"/>
    </w:rPr>
  </w:style>
  <w:style w:type="paragraph" w:customStyle="1" w:styleId="247">
    <w:name w:val="目录文字"/>
    <w:basedOn w:val="1"/>
    <w:qFormat/>
    <w:uiPriority w:val="0"/>
    <w:pPr>
      <w:spacing w:line="480" w:lineRule="auto"/>
    </w:pPr>
    <w:rPr>
      <w:rFonts w:cs="Times New Roman"/>
      <w:szCs w:val="20"/>
    </w:rPr>
  </w:style>
  <w:style w:type="paragraph" w:customStyle="1" w:styleId="248">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cs="Times New Roman"/>
      <w:sz w:val="20"/>
      <w:szCs w:val="20"/>
    </w:rPr>
  </w:style>
  <w:style w:type="paragraph" w:customStyle="1" w:styleId="249">
    <w:name w:val="样式 标题 2 + 宋体 五号"/>
    <w:basedOn w:val="4"/>
    <w:qFormat/>
    <w:uiPriority w:val="0"/>
    <w:pPr>
      <w:widowControl w:val="0"/>
      <w:spacing w:before="0" w:after="0" w:line="240" w:lineRule="auto"/>
      <w:jc w:val="both"/>
    </w:pPr>
    <w:rPr>
      <w:rFonts w:ascii="宋体" w:hAnsi="宋体" w:cs="Bodoni MT"/>
      <w:b w:val="0"/>
      <w:kern w:val="2"/>
      <w:sz w:val="21"/>
      <w:szCs w:val="28"/>
    </w:rPr>
  </w:style>
  <w:style w:type="paragraph" w:customStyle="1" w:styleId="250">
    <w:name w:val="font8"/>
    <w:basedOn w:val="1"/>
    <w:qFormat/>
    <w:uiPriority w:val="0"/>
    <w:pPr>
      <w:spacing w:before="100" w:beforeAutospacing="1" w:after="100" w:afterAutospacing="1"/>
    </w:pPr>
    <w:rPr>
      <w:rFonts w:hint="eastAsia" w:cs="Arial Unicode MS"/>
      <w:sz w:val="22"/>
      <w:szCs w:val="22"/>
    </w:rPr>
  </w:style>
  <w:style w:type="paragraph" w:customStyle="1" w:styleId="251">
    <w:name w:val="xl29"/>
    <w:basedOn w:val="1"/>
    <w:qFormat/>
    <w:uiPriority w:val="0"/>
    <w:pPr>
      <w:spacing w:before="100" w:beforeAutospacing="1" w:after="100" w:afterAutospacing="1"/>
      <w:jc w:val="center"/>
    </w:pPr>
    <w:rPr>
      <w:rFonts w:ascii="Arial Unicode MS" w:hAnsi="Arial Unicode MS" w:eastAsia="Arial Unicode MS" w:cs="Arial Unicode MS"/>
      <w:sz w:val="21"/>
      <w:szCs w:val="21"/>
    </w:rPr>
  </w:style>
  <w:style w:type="paragraph" w:customStyle="1" w:styleId="252">
    <w:name w:val="Char1"/>
    <w:basedOn w:val="1"/>
    <w:qFormat/>
    <w:uiPriority w:val="0"/>
    <w:pPr>
      <w:spacing w:after="160" w:line="240" w:lineRule="exact"/>
    </w:pPr>
    <w:rPr>
      <w:rFonts w:ascii="Times New Roman" w:hAnsi="Times New Roman" w:cs="Times New Roman"/>
      <w:kern w:val="2"/>
      <w:sz w:val="21"/>
      <w:szCs w:val="20"/>
    </w:rPr>
  </w:style>
  <w:style w:type="paragraph" w:customStyle="1" w:styleId="253">
    <w:name w:val="注释"/>
    <w:basedOn w:val="19"/>
    <w:qFormat/>
    <w:uiPriority w:val="0"/>
    <w:pPr>
      <w:widowControl w:val="0"/>
      <w:spacing w:before="312" w:beforeLines="100" w:after="312" w:afterLines="100"/>
      <w:ind w:left="0" w:firstLine="0" w:firstLineChars="0"/>
      <w:jc w:val="center"/>
    </w:pPr>
    <w:rPr>
      <w:rFonts w:ascii="仿宋_GB2312" w:eastAsia="仿宋_GB2312"/>
      <w:sz w:val="36"/>
      <w:szCs w:val="24"/>
    </w:rPr>
  </w:style>
  <w:style w:type="paragraph" w:customStyle="1" w:styleId="254">
    <w:name w:val="xl33"/>
    <w:basedOn w:val="1"/>
    <w:qFormat/>
    <w:uiPriority w:val="0"/>
    <w:pPr>
      <w:spacing w:before="100" w:beforeAutospacing="1" w:after="100" w:afterAutospacing="1"/>
    </w:pPr>
    <w:rPr>
      <w:rFonts w:ascii="Arial Unicode MS" w:hAnsi="Arial Unicode MS" w:eastAsia="Arial Unicode MS" w:cs="Arial Unicode MS"/>
      <w:b/>
      <w:bCs/>
    </w:rPr>
  </w:style>
  <w:style w:type="paragraph" w:customStyle="1" w:styleId="255">
    <w:name w:val="xl49"/>
    <w:basedOn w:val="1"/>
    <w:qFormat/>
    <w:uiPriority w:val="0"/>
    <w:pPr>
      <w:pBdr>
        <w:left w:val="single" w:color="auto" w:sz="8" w:space="0"/>
        <w:bottom w:val="single" w:color="auto" w:sz="4" w:space="0"/>
        <w:right w:val="single" w:color="auto" w:sz="4" w:space="0"/>
      </w:pBdr>
      <w:spacing w:before="100" w:beforeAutospacing="1" w:after="100" w:afterAutospacing="1"/>
      <w:jc w:val="center"/>
      <w:textAlignment w:val="center"/>
    </w:pPr>
    <w:rPr>
      <w:rFonts w:cs="Times New Roman"/>
      <w:sz w:val="20"/>
      <w:szCs w:val="20"/>
    </w:rPr>
  </w:style>
  <w:style w:type="paragraph" w:customStyle="1" w:styleId="256">
    <w:name w:val="font9"/>
    <w:basedOn w:val="1"/>
    <w:qFormat/>
    <w:uiPriority w:val="0"/>
    <w:pPr>
      <w:spacing w:before="100" w:beforeAutospacing="1" w:after="100" w:afterAutospacing="1"/>
    </w:pPr>
    <w:rPr>
      <w:rFonts w:ascii="Times New Roman" w:hAnsi="Times New Roman" w:eastAsia="Arial Unicode MS" w:cs="Times New Roman"/>
    </w:rPr>
  </w:style>
  <w:style w:type="paragraph" w:customStyle="1" w:styleId="257">
    <w:name w:val="xl31"/>
    <w:basedOn w:val="1"/>
    <w:qFormat/>
    <w:uiPriority w:val="0"/>
    <w:pPr>
      <w:shd w:val="clear" w:color="auto" w:fill="FFFF00"/>
      <w:spacing w:before="100" w:beforeAutospacing="1" w:after="100" w:afterAutospacing="1"/>
    </w:pPr>
    <w:rPr>
      <w:rFonts w:ascii="Arial Unicode MS" w:hAnsi="Arial Unicode MS" w:eastAsia="Arial Unicode MS" w:cs="Arial Unicode MS"/>
    </w:rPr>
  </w:style>
  <w:style w:type="paragraph" w:customStyle="1" w:styleId="258">
    <w:name w:val="菲页(卷)"/>
    <w:basedOn w:val="3"/>
    <w:next w:val="259"/>
    <w:qFormat/>
    <w:uiPriority w:val="0"/>
    <w:pPr>
      <w:keepLines w:val="0"/>
      <w:tabs>
        <w:tab w:val="left" w:pos="432"/>
      </w:tabs>
      <w:spacing w:before="0" w:after="0" w:line="240" w:lineRule="auto"/>
      <w:ind w:left="432" w:hanging="432"/>
      <w:jc w:val="center"/>
      <w:outlineLvl w:val="1"/>
    </w:pPr>
    <w:rPr>
      <w:rFonts w:ascii="黑体" w:hAnsi="Times New Roman" w:eastAsia="黑体" w:cs="Times New Roman"/>
      <w:b w:val="0"/>
      <w:bCs w:val="0"/>
      <w:kern w:val="0"/>
      <w:sz w:val="52"/>
      <w:szCs w:val="20"/>
    </w:rPr>
  </w:style>
  <w:style w:type="paragraph" w:customStyle="1" w:styleId="25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0">
    <w:name w:val="_Style 90"/>
    <w:next w:val="1"/>
    <w:qFormat/>
    <w:uiPriority w:val="0"/>
    <w:pPr>
      <w:widowControl w:val="0"/>
      <w:jc w:val="both"/>
    </w:pPr>
    <w:rPr>
      <w:rFonts w:ascii="Bodoni MT" w:hAnsi="Bodoni MT" w:eastAsia="宋体" w:cs="Bodoni MT"/>
      <w:kern w:val="2"/>
      <w:sz w:val="21"/>
      <w:szCs w:val="24"/>
      <w:lang w:val="en-US" w:eastAsia="zh-CN" w:bidi="ar-SA"/>
    </w:rPr>
  </w:style>
  <w:style w:type="paragraph" w:customStyle="1" w:styleId="261">
    <w:name w:val="_Style 14"/>
    <w:basedOn w:val="1"/>
    <w:qFormat/>
    <w:uiPriority w:val="0"/>
    <w:pPr>
      <w:widowControl w:val="0"/>
      <w:spacing w:line="360" w:lineRule="auto"/>
      <w:jc w:val="both"/>
    </w:pPr>
    <w:rPr>
      <w:rFonts w:ascii="Times New Roman" w:hAnsi="Times New Roman" w:cs="Times New Roman"/>
      <w:kern w:val="2"/>
      <w:sz w:val="21"/>
      <w:szCs w:val="20"/>
    </w:rPr>
  </w:style>
  <w:style w:type="paragraph" w:customStyle="1" w:styleId="262">
    <w:name w:val="CM6"/>
    <w:basedOn w:val="1"/>
    <w:next w:val="1"/>
    <w:qFormat/>
    <w:uiPriority w:val="0"/>
    <w:pPr>
      <w:widowControl w:val="0"/>
      <w:autoSpaceDE w:val="0"/>
      <w:autoSpaceDN w:val="0"/>
      <w:adjustRightInd w:val="0"/>
      <w:spacing w:line="628" w:lineRule="atLeast"/>
    </w:pPr>
    <w:rPr>
      <w:rFonts w:ascii="黑体" w:hAnsi="Calibri" w:eastAsia="黑体" w:cs="Times New Roman"/>
    </w:rPr>
  </w:style>
  <w:style w:type="paragraph" w:customStyle="1" w:styleId="263">
    <w:name w:val="font10"/>
    <w:basedOn w:val="1"/>
    <w:qFormat/>
    <w:uiPriority w:val="0"/>
    <w:pPr>
      <w:spacing w:before="100" w:beforeAutospacing="1" w:after="100" w:afterAutospacing="1"/>
    </w:pPr>
    <w:rPr>
      <w:rFonts w:hint="eastAsia" w:cs="Arial Unicode MS"/>
      <w:color w:val="FF0000"/>
    </w:rPr>
  </w:style>
  <w:style w:type="paragraph" w:customStyle="1" w:styleId="264">
    <w:name w:val="文档正文"/>
    <w:basedOn w:val="1"/>
    <w:qFormat/>
    <w:uiPriority w:val="0"/>
    <w:pPr>
      <w:widowControl w:val="0"/>
      <w:adjustRightInd w:val="0"/>
      <w:spacing w:line="480" w:lineRule="atLeast"/>
      <w:ind w:firstLine="567"/>
      <w:jc w:val="both"/>
      <w:textAlignment w:val="baseline"/>
    </w:pPr>
    <w:rPr>
      <w:rFonts w:ascii="仿宋_GB2312" w:hAnsi="Times New Roman" w:eastAsia="仿宋_GB2312" w:cs="Times New Roman"/>
      <w:sz w:val="28"/>
      <w:szCs w:val="20"/>
    </w:rPr>
  </w:style>
  <w:style w:type="paragraph" w:customStyle="1" w:styleId="265">
    <w:name w:val="font1"/>
    <w:basedOn w:val="1"/>
    <w:qFormat/>
    <w:uiPriority w:val="0"/>
    <w:pPr>
      <w:spacing w:before="100" w:beforeAutospacing="1" w:after="100" w:afterAutospacing="1"/>
    </w:pPr>
    <w:rPr>
      <w:rFonts w:hint="eastAsia" w:cs="Arial Unicode MS"/>
    </w:rPr>
  </w:style>
  <w:style w:type="paragraph" w:customStyle="1" w:styleId="266">
    <w:name w:val="Char Char1 Char Char Char Char"/>
    <w:basedOn w:val="1"/>
    <w:qFormat/>
    <w:uiPriority w:val="0"/>
    <w:pPr>
      <w:widowControl w:val="0"/>
      <w:adjustRightInd w:val="0"/>
      <w:spacing w:line="440" w:lineRule="exact"/>
      <w:jc w:val="both"/>
    </w:pPr>
    <w:rPr>
      <w:rFonts w:hAnsi="Times New Roman" w:cs="Times New Roman"/>
      <w:sz w:val="28"/>
      <w:szCs w:val="27"/>
    </w:rPr>
  </w:style>
  <w:style w:type="paragraph" w:customStyle="1" w:styleId="267">
    <w:name w:val="Char Char Char Char Char Char Char Char Char Char"/>
    <w:basedOn w:val="1"/>
    <w:qFormat/>
    <w:uiPriority w:val="0"/>
    <w:pPr>
      <w:widowControl w:val="0"/>
      <w:jc w:val="both"/>
    </w:pPr>
    <w:rPr>
      <w:rFonts w:ascii="Tahoma" w:hAnsi="Tahoma" w:cs="Times New Roman"/>
      <w:kern w:val="2"/>
    </w:rPr>
  </w:style>
  <w:style w:type="paragraph" w:customStyle="1" w:styleId="268">
    <w:name w:val="Char Char Char"/>
    <w:basedOn w:val="1"/>
    <w:qFormat/>
    <w:uiPriority w:val="0"/>
    <w:pPr>
      <w:widowControl w:val="0"/>
      <w:spacing w:line="360" w:lineRule="auto"/>
      <w:jc w:val="center"/>
    </w:pPr>
    <w:rPr>
      <w:rFonts w:ascii="Tahoma" w:hAnsi="Tahoma" w:cs="Times New Roman"/>
      <w:kern w:val="2"/>
      <w:szCs w:val="20"/>
    </w:rPr>
  </w:style>
  <w:style w:type="paragraph" w:customStyle="1" w:styleId="269">
    <w:name w:val="纯文本1"/>
    <w:basedOn w:val="1"/>
    <w:qFormat/>
    <w:uiPriority w:val="0"/>
    <w:pPr>
      <w:widowControl w:val="0"/>
      <w:adjustRightInd w:val="0"/>
      <w:jc w:val="both"/>
      <w:textAlignment w:val="baseline"/>
    </w:pPr>
    <w:rPr>
      <w:rFonts w:hAnsi="Courier New" w:cs="Times New Roman"/>
      <w:kern w:val="2"/>
      <w:sz w:val="21"/>
      <w:szCs w:val="20"/>
    </w:rPr>
  </w:style>
  <w:style w:type="paragraph" w:customStyle="1" w:styleId="270">
    <w:name w:val="xl27"/>
    <w:basedOn w:val="1"/>
    <w:qFormat/>
    <w:uiPriority w:val="0"/>
    <w:pPr>
      <w:spacing w:before="100" w:beforeAutospacing="1" w:after="100" w:afterAutospacing="1"/>
      <w:jc w:val="center"/>
    </w:pPr>
    <w:rPr>
      <w:rFonts w:ascii="Arial Unicode MS" w:hAnsi="Arial Unicode MS" w:eastAsia="Arial Unicode MS" w:cs="Arial Unicode MS"/>
      <w:sz w:val="22"/>
      <w:szCs w:val="22"/>
    </w:rPr>
  </w:style>
  <w:style w:type="paragraph" w:customStyle="1" w:styleId="271">
    <w:name w:val="Char Char Char Char Char Char Char1"/>
    <w:basedOn w:val="1"/>
    <w:qFormat/>
    <w:uiPriority w:val="0"/>
    <w:pPr>
      <w:widowControl w:val="0"/>
      <w:jc w:val="both"/>
    </w:pPr>
    <w:rPr>
      <w:rFonts w:ascii="Tahoma" w:hAnsi="Tahoma" w:cs="Times New Roman"/>
      <w:kern w:val="2"/>
    </w:rPr>
  </w:style>
  <w:style w:type="paragraph" w:customStyle="1" w:styleId="272">
    <w:name w:val="样式1"/>
    <w:basedOn w:val="1"/>
    <w:qFormat/>
    <w:uiPriority w:val="0"/>
    <w:pPr>
      <w:widowControl w:val="0"/>
      <w:spacing w:before="120" w:after="120" w:line="300" w:lineRule="auto"/>
      <w:jc w:val="both"/>
    </w:pPr>
    <w:rPr>
      <w:rFonts w:hint="eastAsia" w:cs="Times New Roman"/>
      <w:b/>
      <w:kern w:val="2"/>
      <w:szCs w:val="20"/>
    </w:rPr>
  </w:style>
  <w:style w:type="paragraph" w:customStyle="1" w:styleId="273">
    <w:name w:val="font6"/>
    <w:basedOn w:val="1"/>
    <w:qFormat/>
    <w:uiPriority w:val="0"/>
    <w:pPr>
      <w:spacing w:before="100" w:beforeAutospacing="1" w:after="100" w:afterAutospacing="1"/>
    </w:pPr>
    <w:rPr>
      <w:rFonts w:hint="eastAsia" w:cs="Arial Unicode MS"/>
      <w:sz w:val="18"/>
      <w:szCs w:val="18"/>
    </w:rPr>
  </w:style>
  <w:style w:type="paragraph" w:customStyle="1" w:styleId="274">
    <w:name w:val="Char Char1 Char Char Char Char Char Char"/>
    <w:basedOn w:val="1"/>
    <w:qFormat/>
    <w:uiPriority w:val="0"/>
    <w:pPr>
      <w:adjustRightInd w:val="0"/>
      <w:snapToGrid w:val="0"/>
      <w:spacing w:line="360" w:lineRule="auto"/>
      <w:ind w:firstLine="601"/>
      <w:jc w:val="both"/>
    </w:pPr>
    <w:rPr>
      <w:rFonts w:cs="Times New Roman"/>
      <w:color w:val="000000"/>
    </w:rPr>
  </w:style>
  <w:style w:type="paragraph" w:customStyle="1" w:styleId="275">
    <w:name w:val="xl30"/>
    <w:basedOn w:val="1"/>
    <w:qFormat/>
    <w:uiPriority w:val="0"/>
    <w:pPr>
      <w:spacing w:before="100" w:beforeAutospacing="1" w:after="100" w:afterAutospacing="1"/>
    </w:pPr>
    <w:rPr>
      <w:rFonts w:ascii="Times New Roman" w:hAnsi="Times New Roman" w:eastAsia="Arial Unicode MS" w:cs="Times New Roman"/>
    </w:rPr>
  </w:style>
  <w:style w:type="paragraph" w:customStyle="1" w:styleId="276">
    <w:name w:val="xl24"/>
    <w:basedOn w:val="1"/>
    <w:qFormat/>
    <w:uiPriority w:val="0"/>
    <w:pPr>
      <w:pBdr>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s="Times New Roman"/>
      <w:sz w:val="21"/>
      <w:szCs w:val="21"/>
    </w:rPr>
  </w:style>
  <w:style w:type="paragraph" w:customStyle="1" w:styleId="277">
    <w:name w:val="Char2 Char Char Char"/>
    <w:basedOn w:val="1"/>
    <w:qFormat/>
    <w:uiPriority w:val="0"/>
    <w:pPr>
      <w:widowControl w:val="0"/>
      <w:jc w:val="both"/>
    </w:pPr>
    <w:rPr>
      <w:rFonts w:ascii="仿宋_GB2312" w:hAnsi="Times New Roman" w:cs="Times New Roman"/>
      <w:b/>
      <w:kern w:val="2"/>
      <w:sz w:val="30"/>
      <w:szCs w:val="32"/>
    </w:rPr>
  </w:style>
  <w:style w:type="paragraph" w:customStyle="1" w:styleId="278">
    <w:name w:val="font11"/>
    <w:basedOn w:val="1"/>
    <w:qFormat/>
    <w:uiPriority w:val="0"/>
    <w:pPr>
      <w:spacing w:before="100" w:beforeAutospacing="1" w:after="100" w:afterAutospacing="1"/>
    </w:pPr>
    <w:rPr>
      <w:rFonts w:ascii="Times New Roman" w:hAnsi="Times New Roman" w:eastAsia="Arial Unicode MS" w:cs="Times New Roman"/>
      <w:color w:val="FF0000"/>
    </w:rPr>
  </w:style>
  <w:style w:type="paragraph" w:customStyle="1" w:styleId="279">
    <w:name w:val="Char1 Char Char"/>
    <w:basedOn w:val="1"/>
    <w:qFormat/>
    <w:uiPriority w:val="0"/>
    <w:pPr>
      <w:spacing w:after="160" w:line="240" w:lineRule="exact"/>
    </w:pPr>
    <w:rPr>
      <w:rFonts w:ascii="Verdana" w:hAnsi="Verdana" w:eastAsia="仿宋_GB2312" w:cs="Times New Roman"/>
      <w:szCs w:val="20"/>
      <w:lang w:eastAsia="en-US"/>
    </w:rPr>
  </w:style>
  <w:style w:type="paragraph" w:customStyle="1" w:styleId="280">
    <w:name w:val="Char Char Char Char Char Char Char Char Char Char Char Char Char1"/>
    <w:basedOn w:val="1"/>
    <w:qFormat/>
    <w:uiPriority w:val="0"/>
    <w:pPr>
      <w:widowControl w:val="0"/>
      <w:jc w:val="both"/>
    </w:pPr>
    <w:rPr>
      <w:rFonts w:ascii="Times New Roman" w:hAnsi="Times New Roman" w:cs="Times New Roman"/>
      <w:kern w:val="2"/>
      <w:sz w:val="21"/>
    </w:rPr>
  </w:style>
  <w:style w:type="paragraph" w:customStyle="1" w:styleId="281">
    <w:name w:val="纯文本11"/>
    <w:basedOn w:val="1"/>
    <w:qFormat/>
    <w:uiPriority w:val="0"/>
    <w:pPr>
      <w:widowControl w:val="0"/>
      <w:adjustRightInd w:val="0"/>
      <w:jc w:val="both"/>
      <w:textAlignment w:val="baseline"/>
    </w:pPr>
    <w:rPr>
      <w:rFonts w:hAnsi="Courier New" w:cs="Times New Roman"/>
      <w:kern w:val="2"/>
      <w:sz w:val="21"/>
      <w:szCs w:val="20"/>
    </w:rPr>
  </w:style>
  <w:style w:type="paragraph" w:customStyle="1" w:styleId="282">
    <w:name w:val="style1"/>
    <w:basedOn w:val="1"/>
    <w:qFormat/>
    <w:uiPriority w:val="0"/>
    <w:pPr>
      <w:spacing w:before="100" w:beforeAutospacing="1" w:after="100" w:afterAutospacing="1"/>
    </w:pPr>
    <w:rPr>
      <w:rFonts w:ascii="Arial Unicode MS" w:hAnsi="Arial Unicode MS" w:eastAsia="Arial Unicode MS" w:cs="Arial Unicode MS"/>
    </w:rPr>
  </w:style>
  <w:style w:type="paragraph" w:customStyle="1" w:styleId="283">
    <w:name w:val="Char Char Char1"/>
    <w:basedOn w:val="1"/>
    <w:qFormat/>
    <w:uiPriority w:val="0"/>
    <w:pPr>
      <w:spacing w:after="160" w:line="240" w:lineRule="exact"/>
    </w:pPr>
    <w:rPr>
      <w:rFonts w:ascii="Times New Roman" w:hAnsi="Times New Roman" w:cs="Times New Roman"/>
      <w:kern w:val="2"/>
      <w:sz w:val="21"/>
    </w:rPr>
  </w:style>
  <w:style w:type="paragraph" w:customStyle="1" w:styleId="284">
    <w:name w:val="列表段落1"/>
    <w:basedOn w:val="1"/>
    <w:qFormat/>
    <w:uiPriority w:val="0"/>
    <w:pPr>
      <w:widowControl w:val="0"/>
      <w:ind w:firstLine="420" w:firstLineChars="200"/>
      <w:jc w:val="both"/>
    </w:pPr>
    <w:rPr>
      <w:rFonts w:ascii="Times New Roman" w:hAnsi="Times New Roman" w:cs="Times New Roman"/>
      <w:kern w:val="2"/>
      <w:sz w:val="21"/>
    </w:rPr>
  </w:style>
  <w:style w:type="paragraph" w:customStyle="1" w:styleId="285">
    <w:name w:val="xl26"/>
    <w:basedOn w:val="1"/>
    <w:qFormat/>
    <w:uiPriority w:val="0"/>
    <w:pPr>
      <w:spacing w:before="100" w:beforeAutospacing="1" w:after="100" w:afterAutospacing="1"/>
      <w:jc w:val="center"/>
    </w:pPr>
    <w:rPr>
      <w:rFonts w:ascii="Arial Unicode MS" w:hAnsi="Arial Unicode MS" w:eastAsia="Arial Unicode MS" w:cs="Arial Unicode MS"/>
    </w:rPr>
  </w:style>
  <w:style w:type="paragraph" w:customStyle="1" w:styleId="286">
    <w:name w:val="font5"/>
    <w:basedOn w:val="1"/>
    <w:qFormat/>
    <w:uiPriority w:val="0"/>
    <w:pPr>
      <w:spacing w:before="100" w:beforeAutospacing="1" w:after="100" w:afterAutospacing="1"/>
    </w:pPr>
    <w:rPr>
      <w:rFonts w:hint="eastAsia" w:cs="Arial Unicode MS"/>
    </w:rPr>
  </w:style>
  <w:style w:type="paragraph" w:customStyle="1" w:styleId="287">
    <w:name w:val="Char Char1 Char Char"/>
    <w:basedOn w:val="1"/>
    <w:qFormat/>
    <w:uiPriority w:val="0"/>
    <w:pPr>
      <w:widowControl w:val="0"/>
      <w:adjustRightInd w:val="0"/>
      <w:spacing w:line="312" w:lineRule="atLeast"/>
      <w:jc w:val="both"/>
      <w:textAlignment w:val="baseline"/>
    </w:pPr>
    <w:rPr>
      <w:rFonts w:ascii="Times New Roman" w:hAnsi="Times New Roman" w:cs="Times New Roman"/>
      <w:kern w:val="2"/>
      <w:sz w:val="21"/>
    </w:rPr>
  </w:style>
  <w:style w:type="paragraph" w:customStyle="1" w:styleId="288">
    <w:name w:val="xl22"/>
    <w:basedOn w:val="1"/>
    <w:qFormat/>
    <w:uiPriority w:val="0"/>
    <w:pPr>
      <w:spacing w:before="100" w:beforeAutospacing="1" w:after="100" w:afterAutospacing="1"/>
      <w:jc w:val="center"/>
    </w:pPr>
    <w:rPr>
      <w:rFonts w:cs="Times New Roman"/>
    </w:rPr>
  </w:style>
  <w:style w:type="paragraph" w:customStyle="1" w:styleId="289">
    <w:name w:val="Char Char Char Char Char Char Char Char Char Char Char Char Char Char Char1 Char"/>
    <w:basedOn w:val="1"/>
    <w:qFormat/>
    <w:uiPriority w:val="0"/>
    <w:pPr>
      <w:widowControl w:val="0"/>
      <w:adjustRightInd w:val="0"/>
      <w:spacing w:line="312" w:lineRule="atLeast"/>
      <w:jc w:val="both"/>
      <w:textAlignment w:val="baseline"/>
    </w:pPr>
    <w:rPr>
      <w:rFonts w:ascii="Times New Roman" w:hAnsi="Times New Roman" w:cs="Times New Roman"/>
      <w:b/>
      <w:bCs/>
      <w:sz w:val="36"/>
      <w:szCs w:val="32"/>
    </w:rPr>
  </w:style>
  <w:style w:type="paragraph" w:customStyle="1" w:styleId="290">
    <w:name w:val="表格文字"/>
    <w:basedOn w:val="1"/>
    <w:qFormat/>
    <w:uiPriority w:val="0"/>
    <w:pPr>
      <w:widowControl w:val="0"/>
      <w:adjustRightInd w:val="0"/>
      <w:spacing w:line="420" w:lineRule="atLeast"/>
      <w:textAlignment w:val="baseline"/>
    </w:pPr>
    <w:rPr>
      <w:rFonts w:ascii="Times New Roman" w:hAnsi="Times New Roman" w:cs="Times New Roman"/>
      <w:sz w:val="21"/>
      <w:szCs w:val="20"/>
    </w:rPr>
  </w:style>
  <w:style w:type="paragraph" w:customStyle="1" w:styleId="291">
    <w:name w:val="AOBodyTxt"/>
    <w:basedOn w:val="1"/>
    <w:next w:val="1"/>
    <w:qFormat/>
    <w:uiPriority w:val="0"/>
    <w:pPr>
      <w:spacing w:before="240" w:line="260" w:lineRule="atLeast"/>
      <w:jc w:val="both"/>
    </w:pPr>
    <w:rPr>
      <w:rFonts w:ascii="Times New Roman" w:hAnsi="Times New Roman" w:cs="Times New Roman"/>
      <w:sz w:val="22"/>
      <w:szCs w:val="20"/>
      <w:lang w:val="en-GB" w:eastAsia="en-US"/>
    </w:rPr>
  </w:style>
  <w:style w:type="paragraph" w:customStyle="1" w:styleId="292">
    <w:name w:val="附件"/>
    <w:basedOn w:val="1"/>
    <w:qFormat/>
    <w:uiPriority w:val="0"/>
    <w:pPr>
      <w:widowControl w:val="0"/>
      <w:ind w:left="280" w:hanging="280"/>
    </w:pPr>
    <w:rPr>
      <w:rFonts w:cs="Times New Roman"/>
      <w:kern w:val="2"/>
      <w:sz w:val="21"/>
      <w:szCs w:val="20"/>
    </w:rPr>
  </w:style>
  <w:style w:type="paragraph" w:customStyle="1" w:styleId="293">
    <w:name w:val="样式2"/>
    <w:basedOn w:val="33"/>
    <w:qFormat/>
    <w:uiPriority w:val="0"/>
    <w:pPr>
      <w:tabs>
        <w:tab w:val="left" w:pos="1050"/>
        <w:tab w:val="left" w:pos="1260"/>
        <w:tab w:val="right" w:pos="9061"/>
      </w:tabs>
      <w:spacing w:before="120" w:after="120"/>
      <w:jc w:val="both"/>
    </w:pPr>
    <w:rPr>
      <w:rFonts w:ascii="黑体" w:cs="Times New Roman"/>
      <w:b/>
      <w:bCs/>
      <w:caps/>
      <w:szCs w:val="28"/>
    </w:rPr>
  </w:style>
  <w:style w:type="paragraph" w:customStyle="1" w:styleId="294">
    <w:name w:val="样式4"/>
    <w:basedOn w:val="295"/>
    <w:qFormat/>
    <w:uiPriority w:val="0"/>
    <w:pPr>
      <w:spacing w:after="0"/>
      <w:ind w:left="0" w:leftChars="0" w:right="0" w:rightChars="0" w:firstLine="562" w:firstLineChars="200"/>
    </w:pPr>
    <w:rPr>
      <w:rFonts w:ascii="黑体" w:eastAsia="黑体"/>
      <w:b/>
      <w:bCs/>
      <w:sz w:val="28"/>
      <w:szCs w:val="24"/>
    </w:rPr>
  </w:style>
  <w:style w:type="paragraph" w:customStyle="1" w:styleId="295">
    <w:name w:val="特点"/>
    <w:basedOn w:val="1"/>
    <w:next w:val="21"/>
    <w:qFormat/>
    <w:uiPriority w:val="0"/>
    <w:pPr>
      <w:widowControl w:val="0"/>
      <w:spacing w:after="120"/>
      <w:ind w:left="1440" w:leftChars="700" w:right="1440" w:rightChars="700"/>
      <w:jc w:val="both"/>
    </w:pPr>
    <w:rPr>
      <w:rFonts w:ascii="Times New Roman" w:hAnsi="Times New Roman" w:cs="Times New Roman"/>
      <w:kern w:val="2"/>
      <w:sz w:val="21"/>
      <w:szCs w:val="21"/>
    </w:rPr>
  </w:style>
  <w:style w:type="paragraph" w:customStyle="1" w:styleId="296">
    <w:name w:val="xl38"/>
    <w:basedOn w:val="1"/>
    <w:qFormat/>
    <w:uiPriority w:val="0"/>
    <w:pPr>
      <w:pBdr>
        <w:top w:val="single" w:color="auto" w:sz="4" w:space="0"/>
        <w:left w:val="single" w:color="auto" w:sz="4" w:space="0"/>
        <w:bottom w:val="single" w:color="auto" w:sz="4" w:space="0"/>
        <w:right w:val="single" w:color="auto" w:sz="4" w:space="0"/>
      </w:pBdr>
      <w:shd w:val="clear" w:color="auto" w:fill="99CCFF"/>
      <w:spacing w:before="100" w:beforeAutospacing="1" w:after="100" w:afterAutospacing="1"/>
      <w:jc w:val="center"/>
      <w:textAlignment w:val="center"/>
    </w:pPr>
    <w:rPr>
      <w:rFonts w:ascii="Arial Unicode MS" w:hAnsi="Arial Unicode MS" w:eastAsia="Arial Unicode MS" w:cs="Arial Unicode MS"/>
      <w:sz w:val="22"/>
      <w:szCs w:val="22"/>
    </w:rPr>
  </w:style>
  <w:style w:type="paragraph" w:customStyle="1" w:styleId="297">
    <w:name w:val="默认段落字体 Para Char Char Char Char"/>
    <w:basedOn w:val="1"/>
    <w:qFormat/>
    <w:uiPriority w:val="0"/>
    <w:pPr>
      <w:widowControl w:val="0"/>
      <w:jc w:val="both"/>
    </w:pPr>
    <w:rPr>
      <w:rFonts w:ascii="Times New Roman" w:hAnsi="Times New Roman" w:cs="Times New Roman"/>
      <w:kern w:val="2"/>
      <w:sz w:val="21"/>
      <w:szCs w:val="21"/>
    </w:rPr>
  </w:style>
  <w:style w:type="paragraph" w:customStyle="1" w:styleId="298">
    <w:name w:val="Char Char1 Char Char1"/>
    <w:basedOn w:val="1"/>
    <w:qFormat/>
    <w:uiPriority w:val="0"/>
    <w:pPr>
      <w:widowControl w:val="0"/>
      <w:adjustRightInd w:val="0"/>
      <w:spacing w:line="312" w:lineRule="atLeast"/>
      <w:jc w:val="both"/>
      <w:textAlignment w:val="baseline"/>
    </w:pPr>
    <w:rPr>
      <w:rFonts w:ascii="Times New Roman" w:hAnsi="Times New Roman" w:cs="Times New Roman"/>
      <w:kern w:val="2"/>
      <w:sz w:val="21"/>
    </w:rPr>
  </w:style>
  <w:style w:type="paragraph" w:customStyle="1" w:styleId="299">
    <w:name w:val="Char Char1 Char Char Char Char Char Char Char Char Char Char Char Char Char Char Char Char1"/>
    <w:basedOn w:val="1"/>
    <w:qFormat/>
    <w:uiPriority w:val="0"/>
    <w:pPr>
      <w:spacing w:after="160" w:line="240" w:lineRule="exact"/>
    </w:pPr>
    <w:rPr>
      <w:rFonts w:ascii="Verdana" w:hAnsi="Verdana" w:eastAsia="仿宋_GB2312" w:cs="Times New Roman"/>
      <w:szCs w:val="20"/>
      <w:lang w:eastAsia="en-US"/>
    </w:rPr>
  </w:style>
  <w:style w:type="paragraph" w:customStyle="1" w:styleId="300">
    <w:name w:val="样式 标题 4 + 小四 加粗 左"/>
    <w:basedOn w:val="6"/>
    <w:qFormat/>
    <w:uiPriority w:val="0"/>
    <w:pPr>
      <w:widowControl/>
      <w:spacing w:before="120" w:after="120" w:line="360" w:lineRule="auto"/>
      <w:jc w:val="left"/>
    </w:pPr>
    <w:rPr>
      <w:rFonts w:ascii="宋体" w:hAnsi="Arial" w:eastAsia="宋体" w:cs="宋体"/>
      <w:kern w:val="0"/>
      <w:sz w:val="24"/>
      <w:szCs w:val="20"/>
    </w:rPr>
  </w:style>
  <w:style w:type="paragraph" w:customStyle="1" w:styleId="301">
    <w:name w:val="附件标题-1"/>
    <w:basedOn w:val="1"/>
    <w:qFormat/>
    <w:uiPriority w:val="0"/>
    <w:pPr>
      <w:widowControl w:val="0"/>
      <w:spacing w:before="50" w:after="50"/>
      <w:jc w:val="center"/>
    </w:pPr>
    <w:rPr>
      <w:rFonts w:ascii="Times New Roman" w:hAnsi="Times New Roman" w:eastAsia="黑体" w:cs="Times New Roman"/>
      <w:kern w:val="2"/>
      <w:sz w:val="32"/>
      <w:szCs w:val="20"/>
    </w:rPr>
  </w:style>
  <w:style w:type="paragraph" w:customStyle="1" w:styleId="302">
    <w:name w:val="_Style 11"/>
    <w:basedOn w:val="1"/>
    <w:qFormat/>
    <w:uiPriority w:val="0"/>
    <w:pPr>
      <w:widowControl w:val="0"/>
      <w:jc w:val="both"/>
    </w:pPr>
    <w:rPr>
      <w:rFonts w:ascii="Bodoni MT" w:hAnsi="Bodoni MT" w:cs="Times New Roman"/>
      <w:kern w:val="2"/>
      <w:sz w:val="21"/>
    </w:rPr>
  </w:style>
  <w:style w:type="paragraph" w:customStyle="1" w:styleId="303">
    <w:name w:val="Char Char1 Char Char Char Char1"/>
    <w:basedOn w:val="1"/>
    <w:qFormat/>
    <w:uiPriority w:val="0"/>
    <w:pPr>
      <w:widowControl w:val="0"/>
      <w:adjustRightInd w:val="0"/>
      <w:spacing w:line="312" w:lineRule="atLeast"/>
      <w:jc w:val="both"/>
      <w:textAlignment w:val="baseline"/>
    </w:pPr>
    <w:rPr>
      <w:rFonts w:ascii="Times New Roman" w:hAnsi="Times New Roman" w:cs="Times New Roman"/>
      <w:kern w:val="2"/>
      <w:sz w:val="21"/>
    </w:rPr>
  </w:style>
  <w:style w:type="paragraph" w:customStyle="1" w:styleId="304">
    <w:name w:val="正文+ 宋体"/>
    <w:basedOn w:val="4"/>
    <w:qFormat/>
    <w:uiPriority w:val="0"/>
    <w:pPr>
      <w:widowControl w:val="0"/>
      <w:spacing w:line="413" w:lineRule="auto"/>
      <w:jc w:val="both"/>
    </w:pPr>
    <w:rPr>
      <w:rFonts w:ascii="宋体" w:hAnsi="宋体" w:cs="Bodoni MT"/>
      <w:kern w:val="2"/>
    </w:rPr>
  </w:style>
  <w:style w:type="paragraph" w:customStyle="1" w:styleId="305">
    <w:name w:val="默认段落字体 Para Char Char Char Char Char Char Char Char Char1 Char Char Char Char"/>
    <w:basedOn w:val="1"/>
    <w:qFormat/>
    <w:uiPriority w:val="0"/>
    <w:pPr>
      <w:widowControl w:val="0"/>
      <w:adjustRightInd w:val="0"/>
      <w:spacing w:line="312" w:lineRule="atLeast"/>
      <w:jc w:val="both"/>
      <w:textAlignment w:val="baseline"/>
    </w:pPr>
    <w:rPr>
      <w:rFonts w:ascii="Times New Roman" w:hAnsi="Times New Roman" w:cs="Times New Roman"/>
      <w:kern w:val="2"/>
      <w:sz w:val="21"/>
    </w:rPr>
  </w:style>
  <w:style w:type="paragraph" w:customStyle="1" w:styleId="306">
    <w:name w:val="格式1"/>
    <w:next w:val="1"/>
    <w:qFormat/>
    <w:uiPriority w:val="0"/>
    <w:pPr>
      <w:keepNext/>
      <w:widowControl w:val="0"/>
      <w:adjustRightInd w:val="0"/>
      <w:snapToGrid w:val="0"/>
      <w:spacing w:before="156" w:line="440" w:lineRule="exact"/>
      <w:jc w:val="both"/>
      <w:outlineLvl w:val="3"/>
    </w:pPr>
    <w:rPr>
      <w:rFonts w:ascii="Times New Roman" w:hAnsi="Times New Roman" w:eastAsia="宋体" w:cs="Times New Roman"/>
      <w:b/>
      <w:bCs/>
      <w:sz w:val="24"/>
      <w:szCs w:val="24"/>
      <w:lang w:val="en-US" w:eastAsia="zh-CN" w:bidi="ar-SA"/>
    </w:rPr>
  </w:style>
  <w:style w:type="paragraph" w:customStyle="1" w:styleId="307">
    <w:name w:val="Char2"/>
    <w:basedOn w:val="1"/>
    <w:qFormat/>
    <w:uiPriority w:val="0"/>
    <w:pPr>
      <w:spacing w:after="160" w:line="240" w:lineRule="exact"/>
    </w:pPr>
    <w:rPr>
      <w:rFonts w:ascii="Verdana" w:hAnsi="Verdana" w:eastAsia="仿宋_GB2312" w:cs="Times New Roman"/>
      <w:szCs w:val="20"/>
      <w:lang w:eastAsia="en-US"/>
    </w:rPr>
  </w:style>
  <w:style w:type="paragraph" w:customStyle="1" w:styleId="308">
    <w:name w:val="Char11"/>
    <w:basedOn w:val="1"/>
    <w:qFormat/>
    <w:uiPriority w:val="0"/>
    <w:pPr>
      <w:spacing w:after="160" w:line="240" w:lineRule="exact"/>
    </w:pPr>
    <w:rPr>
      <w:rFonts w:ascii="Times New Roman" w:hAnsi="Times New Roman" w:cs="Times New Roman"/>
      <w:kern w:val="2"/>
      <w:sz w:val="21"/>
      <w:szCs w:val="20"/>
    </w:rPr>
  </w:style>
  <w:style w:type="paragraph" w:customStyle="1" w:styleId="309">
    <w:name w:val="font12"/>
    <w:basedOn w:val="1"/>
    <w:qFormat/>
    <w:uiPriority w:val="0"/>
    <w:pPr>
      <w:spacing w:before="100" w:beforeAutospacing="1" w:after="100" w:afterAutospacing="1"/>
    </w:pPr>
    <w:rPr>
      <w:rFonts w:ascii="Times New Roman" w:hAnsi="Times New Roman" w:eastAsia="Arial Unicode MS" w:cs="Times New Roman"/>
      <w:color w:val="000000"/>
    </w:rPr>
  </w:style>
  <w:style w:type="paragraph" w:customStyle="1" w:styleId="310">
    <w:name w:val="xl35"/>
    <w:basedOn w:val="1"/>
    <w:qFormat/>
    <w:uiPriority w:val="0"/>
    <w:pPr>
      <w:spacing w:before="100" w:beforeAutospacing="1" w:after="100" w:afterAutospacing="1"/>
      <w:jc w:val="center"/>
    </w:pPr>
    <w:rPr>
      <w:rFonts w:ascii="Arial Unicode MS" w:hAnsi="Arial Unicode MS" w:eastAsia="Arial Unicode MS" w:cs="Arial Unicode MS"/>
      <w:b/>
      <w:bCs/>
      <w:sz w:val="22"/>
      <w:szCs w:val="22"/>
    </w:rPr>
  </w:style>
  <w:style w:type="paragraph" w:customStyle="1" w:styleId="311">
    <w:name w:val="第四章"/>
    <w:basedOn w:val="5"/>
    <w:qFormat/>
    <w:uiPriority w:val="0"/>
    <w:pPr>
      <w:widowControl/>
      <w:tabs>
        <w:tab w:val="left" w:pos="720"/>
      </w:tabs>
      <w:spacing w:before="120" w:after="120" w:line="360" w:lineRule="auto"/>
      <w:ind w:left="720" w:hanging="720"/>
      <w:jc w:val="left"/>
    </w:pPr>
    <w:rPr>
      <w:rFonts w:ascii="华文细黑" w:hAnsi="华文细黑" w:eastAsia="华文细黑" w:cs="Bodoni MT"/>
      <w:b w:val="0"/>
    </w:rPr>
  </w:style>
  <w:style w:type="paragraph" w:customStyle="1" w:styleId="312">
    <w:name w:val="Char Char Char Char"/>
    <w:basedOn w:val="1"/>
    <w:qFormat/>
    <w:uiPriority w:val="0"/>
    <w:pPr>
      <w:widowControl w:val="0"/>
      <w:adjustRightInd w:val="0"/>
      <w:spacing w:line="440" w:lineRule="exact"/>
      <w:jc w:val="both"/>
    </w:pPr>
    <w:rPr>
      <w:rFonts w:hAnsi="Times New Roman" w:cs="Times New Roman"/>
      <w:sz w:val="28"/>
      <w:szCs w:val="27"/>
    </w:rPr>
  </w:style>
  <w:style w:type="paragraph" w:customStyle="1" w:styleId="313">
    <w:name w:val="_Style 71"/>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4">
    <w:name w:val="普通 (Web)"/>
    <w:basedOn w:val="1"/>
    <w:qFormat/>
    <w:uiPriority w:val="0"/>
    <w:pPr>
      <w:spacing w:before="100" w:beforeAutospacing="1" w:after="100" w:afterAutospacing="1"/>
    </w:pPr>
    <w:rPr>
      <w:rFonts w:cs="Times New Roman"/>
    </w:rPr>
  </w:style>
  <w:style w:type="paragraph" w:customStyle="1" w:styleId="315">
    <w:name w:val="Char Char Char Char1"/>
    <w:basedOn w:val="1"/>
    <w:qFormat/>
    <w:uiPriority w:val="0"/>
    <w:pPr>
      <w:widowControl w:val="0"/>
      <w:jc w:val="both"/>
    </w:pPr>
    <w:rPr>
      <w:rFonts w:ascii="Tahoma" w:hAnsi="Tahoma" w:cs="Times New Roman"/>
      <w:kern w:val="2"/>
      <w:szCs w:val="20"/>
    </w:rPr>
  </w:style>
  <w:style w:type="paragraph" w:customStyle="1" w:styleId="316">
    <w:name w:val="菲页2"/>
    <w:basedOn w:val="5"/>
    <w:qFormat/>
    <w:uiPriority w:val="0"/>
    <w:pPr>
      <w:widowControl/>
      <w:tabs>
        <w:tab w:val="left" w:pos="720"/>
      </w:tabs>
      <w:spacing w:before="120" w:after="120" w:line="360" w:lineRule="auto"/>
      <w:ind w:left="720" w:hanging="720"/>
      <w:jc w:val="left"/>
    </w:pPr>
    <w:rPr>
      <w:rFonts w:ascii="黑体" w:hAnsi="宋体" w:eastAsia="黑体" w:cs="Bodoni MT"/>
      <w:bCs w:val="0"/>
      <w:sz w:val="44"/>
    </w:rPr>
  </w:style>
  <w:style w:type="paragraph" w:customStyle="1" w:styleId="317">
    <w:name w:val="Char Char1"/>
    <w:basedOn w:val="1"/>
    <w:qFormat/>
    <w:uiPriority w:val="0"/>
    <w:pPr>
      <w:widowControl w:val="0"/>
      <w:adjustRightInd w:val="0"/>
      <w:spacing w:line="440" w:lineRule="exact"/>
      <w:jc w:val="both"/>
    </w:pPr>
    <w:rPr>
      <w:rFonts w:hAnsi="Times New Roman" w:cs="Times New Roman"/>
      <w:sz w:val="28"/>
      <w:szCs w:val="27"/>
    </w:rPr>
  </w:style>
  <w:style w:type="paragraph" w:customStyle="1" w:styleId="318">
    <w:name w:val="框图文字"/>
    <w:basedOn w:val="1"/>
    <w:qFormat/>
    <w:uiPriority w:val="0"/>
    <w:pPr>
      <w:widowControl w:val="0"/>
      <w:jc w:val="center"/>
    </w:pPr>
    <w:rPr>
      <w:rFonts w:ascii="Times New Roman" w:hAnsi="Times New Roman" w:cs="Times New Roman"/>
      <w:spacing w:val="-4"/>
      <w:kern w:val="2"/>
      <w:sz w:val="21"/>
      <w:szCs w:val="21"/>
    </w:rPr>
  </w:style>
  <w:style w:type="paragraph" w:customStyle="1" w:styleId="319">
    <w:name w:val="图表文字"/>
    <w:basedOn w:val="1"/>
    <w:qFormat/>
    <w:uiPriority w:val="0"/>
    <w:pPr>
      <w:adjustRightInd w:val="0"/>
      <w:spacing w:before="120" w:after="120"/>
      <w:jc w:val="center"/>
    </w:pPr>
    <w:rPr>
      <w:rFonts w:ascii="黑体" w:hAnsi="Times New Roman" w:eastAsia="黑体" w:cs="Times New Roman"/>
      <w:sz w:val="28"/>
      <w:szCs w:val="20"/>
    </w:rPr>
  </w:style>
  <w:style w:type="paragraph" w:customStyle="1" w:styleId="320">
    <w:name w:val="xl37"/>
    <w:basedOn w:val="1"/>
    <w:qFormat/>
    <w:uiPriority w:val="0"/>
    <w:pPr>
      <w:pBdr>
        <w:bottom w:val="single" w:color="auto" w:sz="4" w:space="0"/>
        <w:right w:val="single" w:color="auto" w:sz="4" w:space="0"/>
      </w:pBdr>
      <w:spacing w:before="100" w:beforeAutospacing="1" w:after="100" w:afterAutospacing="1"/>
      <w:jc w:val="both"/>
      <w:textAlignment w:val="center"/>
    </w:pPr>
    <w:rPr>
      <w:rFonts w:cs="Times New Roman"/>
      <w:sz w:val="21"/>
      <w:szCs w:val="21"/>
    </w:rPr>
  </w:style>
  <w:style w:type="paragraph" w:customStyle="1" w:styleId="321">
    <w:name w:val="Char Char1 Char Char Char Char Char Char Char Char Char Char Char Char Char1"/>
    <w:basedOn w:val="1"/>
    <w:qFormat/>
    <w:uiPriority w:val="0"/>
    <w:pPr>
      <w:spacing w:after="160" w:line="240" w:lineRule="exact"/>
    </w:pPr>
    <w:rPr>
      <w:rFonts w:ascii="Verdana" w:hAnsi="Verdana" w:eastAsia="仿宋_GB2312" w:cs="Times New Roman"/>
      <w:szCs w:val="20"/>
      <w:lang w:eastAsia="en-US"/>
    </w:rPr>
  </w:style>
  <w:style w:type="paragraph" w:customStyle="1" w:styleId="322">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23">
    <w:name w:val="xl28"/>
    <w:basedOn w:val="1"/>
    <w:qFormat/>
    <w:uiPriority w:val="0"/>
    <w:pPr>
      <w:spacing w:before="100" w:beforeAutospacing="1" w:after="100" w:afterAutospacing="1"/>
    </w:pPr>
    <w:rPr>
      <w:rFonts w:ascii="Arial Unicode MS" w:hAnsi="Arial Unicode MS" w:eastAsia="Arial Unicode MS" w:cs="Arial Unicode MS"/>
    </w:rPr>
  </w:style>
  <w:style w:type="paragraph" w:customStyle="1" w:styleId="324">
    <w:name w:val="_Style 1"/>
    <w:basedOn w:val="1"/>
    <w:qFormat/>
    <w:uiPriority w:val="34"/>
    <w:pPr>
      <w:widowControl w:val="0"/>
      <w:ind w:firstLine="420" w:firstLineChars="200"/>
      <w:jc w:val="both"/>
    </w:pPr>
    <w:rPr>
      <w:rFonts w:ascii="Calibri" w:hAnsi="Calibri" w:cs="Times New Roman"/>
      <w:kern w:val="2"/>
      <w:sz w:val="21"/>
      <w:szCs w:val="22"/>
    </w:rPr>
  </w:style>
  <w:style w:type="character" w:customStyle="1" w:styleId="325">
    <w:name w:val="未处理的提及2"/>
    <w:basedOn w:val="52"/>
    <w:semiHidden/>
    <w:unhideWhenUsed/>
    <w:qFormat/>
    <w:uiPriority w:val="99"/>
    <w:rPr>
      <w:color w:val="605E5C"/>
      <w:shd w:val="clear" w:color="auto" w:fill="E1DFDD"/>
    </w:rPr>
  </w:style>
  <w:style w:type="paragraph" w:customStyle="1" w:styleId="326">
    <w:name w:val="普通(网站)1"/>
    <w:basedOn w:val="1"/>
    <w:qFormat/>
    <w:uiPriority w:val="0"/>
    <w:pPr>
      <w:spacing w:before="100" w:beforeAutospacing="1" w:after="100" w:afterAutospacing="1"/>
    </w:pPr>
    <w:rPr>
      <w:rFonts w:cs="Times New Roman"/>
    </w:rPr>
  </w:style>
  <w:style w:type="character" w:customStyle="1" w:styleId="327">
    <w:name w:val="页码1"/>
    <w:basedOn w:val="52"/>
    <w:qFormat/>
    <w:uiPriority w:val="0"/>
    <w:rPr>
      <w:rFonts w:ascii="Times New Roman" w:hAnsi="Times New Roman" w:eastAsia="宋体" w:cs="Times New Roman"/>
    </w:rPr>
  </w:style>
  <w:style w:type="paragraph" w:customStyle="1" w:styleId="328">
    <w:name w:val="列出段落2"/>
    <w:basedOn w:val="1"/>
    <w:qFormat/>
    <w:uiPriority w:val="34"/>
    <w:pPr>
      <w:ind w:firstLine="420" w:firstLineChars="200"/>
    </w:pPr>
    <w:rPr>
      <w:rFonts w:ascii="Times New Roman" w:hAnsi="Times New Roman" w:cs="Times New Roman"/>
    </w:rPr>
  </w:style>
  <w:style w:type="paragraph" w:customStyle="1" w:styleId="329">
    <w:name w:val="正文缩进1"/>
    <w:basedOn w:val="1"/>
    <w:qFormat/>
    <w:uiPriority w:val="0"/>
    <w:pPr>
      <w:ind w:firstLine="420" w:firstLineChars="200"/>
    </w:pPr>
    <w:rPr>
      <w:rFonts w:ascii="Times New Roman"/>
      <w:sz w:val="21"/>
      <w:szCs w:val="21"/>
    </w:rPr>
  </w:style>
  <w:style w:type="paragraph" w:customStyle="1" w:styleId="330">
    <w:name w:val="正  文"/>
    <w:basedOn w:val="1"/>
    <w:qFormat/>
    <w:uiPriority w:val="0"/>
    <w:pPr>
      <w:spacing w:line="360" w:lineRule="auto"/>
      <w:ind w:firstLine="200" w:firstLineChars="200"/>
    </w:pPr>
    <w:rPr>
      <w:rFonts w:hAnsi="Calibri"/>
    </w:rPr>
  </w:style>
  <w:style w:type="paragraph" w:customStyle="1" w:styleId="331">
    <w:name w:val="HTML 预设格式1"/>
    <w:basedOn w:val="1"/>
    <w:qFormat/>
    <w:uiPriority w:val="0"/>
    <w:rPr>
      <w:rFonts w:ascii="Courier New" w:hAnsi="Courier New"/>
      <w:sz w:val="20"/>
    </w:rPr>
  </w:style>
  <w:style w:type="paragraph" w:customStyle="1" w:styleId="332">
    <w:name w:val="标题前缀"/>
    <w:qFormat/>
    <w:uiPriority w:val="0"/>
    <w:pPr>
      <w:tabs>
        <w:tab w:val="left" w:pos="5550"/>
      </w:tabs>
      <w:spacing w:line="360" w:lineRule="auto"/>
      <w:jc w:val="center"/>
    </w:pPr>
    <w:rPr>
      <w:rFonts w:ascii="Arial" w:hAnsi="Arial" w:eastAsia="黑体" w:cs="Times New Roman"/>
      <w:kern w:val="2"/>
      <w:sz w:val="36"/>
      <w:lang w:val="zh-CN" w:eastAsia="zh-CN" w:bidi="ar-SA"/>
    </w:rPr>
  </w:style>
  <w:style w:type="paragraph" w:customStyle="1" w:styleId="333">
    <w:name w:val="正文文本1"/>
    <w:basedOn w:val="1"/>
    <w:qFormat/>
    <w:uiPriority w:val="0"/>
    <w:pPr>
      <w:spacing w:line="352" w:lineRule="auto"/>
    </w:pPr>
    <w:rPr>
      <w:kern w:val="2"/>
      <w:sz w:val="22"/>
      <w:szCs w:val="22"/>
      <w:lang w:val="zh-CN" w:bidi="zh-CN"/>
    </w:rPr>
  </w:style>
  <w:style w:type="paragraph" w:customStyle="1" w:styleId="334">
    <w:name w:val="Char Char1 Char"/>
    <w:basedOn w:val="1"/>
    <w:qFormat/>
    <w:uiPriority w:val="0"/>
  </w:style>
  <w:style w:type="paragraph" w:customStyle="1" w:styleId="335">
    <w:name w:val="Normal_39_0"/>
    <w:qFormat/>
    <w:uiPriority w:val="99"/>
    <w:pPr>
      <w:spacing w:before="120" w:after="240"/>
      <w:jc w:val="both"/>
    </w:pPr>
    <w:rPr>
      <w:rFonts w:ascii="Calibri" w:hAnsi="Calibri" w:eastAsia="宋体" w:cs="Times New Roman"/>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6.wmf"/><Relationship Id="rId33" Type="http://schemas.openxmlformats.org/officeDocument/2006/relationships/oleObject" Target="embeddings/oleObject5.bin"/><Relationship Id="rId32" Type="http://schemas.openxmlformats.org/officeDocument/2006/relationships/image" Target="media/image5.wmf"/><Relationship Id="rId31" Type="http://schemas.openxmlformats.org/officeDocument/2006/relationships/oleObject" Target="embeddings/oleObject4.bin"/><Relationship Id="rId30" Type="http://schemas.openxmlformats.org/officeDocument/2006/relationships/image" Target="media/image4.wmf"/><Relationship Id="rId3" Type="http://schemas.openxmlformats.org/officeDocument/2006/relationships/footer" Target="footer1.xml"/><Relationship Id="rId29" Type="http://schemas.openxmlformats.org/officeDocument/2006/relationships/oleObject" Target="embeddings/oleObject3.bin"/><Relationship Id="rId28" Type="http://schemas.openxmlformats.org/officeDocument/2006/relationships/image" Target="media/image3.wmf"/><Relationship Id="rId27" Type="http://schemas.openxmlformats.org/officeDocument/2006/relationships/oleObject" Target="embeddings/oleObject2.bin"/><Relationship Id="rId26" Type="http://schemas.openxmlformats.org/officeDocument/2006/relationships/image" Target="media/image2.wmf"/><Relationship Id="rId25" Type="http://schemas.openxmlformats.org/officeDocument/2006/relationships/oleObject" Target="embeddings/oleObject1.bin"/><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19.xml"/><Relationship Id="rId21" Type="http://schemas.openxmlformats.org/officeDocument/2006/relationships/footer" Target="footer18.xml"/><Relationship Id="rId20"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172</Pages>
  <Words>21504</Words>
  <Characters>23502</Characters>
  <Lines>523</Lines>
  <Paragraphs>147</Paragraphs>
  <TotalTime>9</TotalTime>
  <ScaleCrop>false</ScaleCrop>
  <LinksUpToDate>false</LinksUpToDate>
  <CharactersWithSpaces>23797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2019-04-10T07:18:00Z</dcterms:created>
  <dc:creator>lenovo</dc:creator>
  <cp:lastModifiedBy>moon～</cp:lastModifiedBy>
  <cp:lastPrinted>2026-06-08T07:47:00Z</cp:lastPrinted>
  <dcterms:modified xsi:type="dcterms:W3CDTF">2026-06-30T09:13:04Z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3921B1D0FA8C4CBAA5D38331EB89FCE6_13</vt:lpwstr>
  </property>
  <property fmtid="{D5CDD505-2E9C-101B-9397-08002B2CF9AE}" pid="4" name="KSOTemplateDocerSaveRecord">
    <vt:lpwstr>eyJoZGlkIjoiM2ZmMTU3NTI2ODM2YTVjYWVlNjYyM2Y2M2MxODNjMGQiLCJ1c2VySWQiOiIyNDQ5NTQxMjEifQ==</vt:lpwstr>
  </property>
</Properties>
</file>