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4C9E5">
      <w:pPr>
        <w:pStyle w:val="3"/>
        <w:spacing w:before="240" w:after="240" w:line="360" w:lineRule="auto"/>
        <w:jc w:val="center"/>
        <w:rPr>
          <w:rFonts w:hint="eastAsia"/>
        </w:rPr>
      </w:pPr>
      <w:r>
        <w:rPr>
          <w:rFonts w:hint="eastAsia"/>
        </w:rPr>
        <w:t>采购</w:t>
      </w:r>
      <w:r>
        <w:rPr>
          <w:rFonts w:hint="eastAsia"/>
          <w:lang w:val="en-US" w:eastAsia="zh-CN"/>
        </w:rPr>
        <w:t>需</w:t>
      </w:r>
      <w:bookmarkStart w:id="0" w:name="_GoBack"/>
      <w:bookmarkEnd w:id="0"/>
      <w:r>
        <w:rPr>
          <w:rFonts w:hint="eastAsia"/>
        </w:rPr>
        <w:t>求</w:t>
      </w:r>
    </w:p>
    <w:p w14:paraId="4B129865">
      <w:pPr>
        <w:spacing w:line="360" w:lineRule="auto"/>
        <w:ind w:firstLine="482" w:firstLineChars="200"/>
        <w:rPr>
          <w:rFonts w:ascii="宋体" w:hAnsi="宋体"/>
          <w:b/>
          <w:sz w:val="24"/>
        </w:rPr>
      </w:pPr>
      <w:r>
        <w:rPr>
          <w:rFonts w:hint="eastAsia" w:ascii="宋体" w:hAnsi="宋体"/>
          <w:b/>
          <w:sz w:val="24"/>
        </w:rPr>
        <w:t>一、项目概况</w:t>
      </w:r>
    </w:p>
    <w:p w14:paraId="78B69F24">
      <w:pPr>
        <w:spacing w:line="360" w:lineRule="auto"/>
        <w:ind w:firstLine="480" w:firstLineChars="200"/>
        <w:jc w:val="left"/>
        <w:rPr>
          <w:rFonts w:hint="eastAsia"/>
          <w:b w:val="0"/>
          <w:bCs w:val="0"/>
          <w:sz w:val="24"/>
          <w:szCs w:val="32"/>
          <w:lang w:val="en-US" w:eastAsia="zh-CN"/>
        </w:rPr>
      </w:pPr>
      <w:r>
        <w:rPr>
          <w:rFonts w:hint="eastAsia" w:ascii="宋体" w:hAnsi="宋体" w:eastAsia="宋体" w:cs="宋体"/>
          <w:sz w:val="24"/>
          <w:szCs w:val="24"/>
          <w:lang w:val="en-US" w:eastAsia="zh-CN"/>
        </w:rPr>
        <w:t>乐山师范学院</w:t>
      </w:r>
      <w:r>
        <w:rPr>
          <w:rFonts w:hint="eastAsia" w:ascii="宋体" w:hAnsi="宋体" w:eastAsia="宋体" w:cs="宋体"/>
          <w:sz w:val="24"/>
          <w:szCs w:val="24"/>
        </w:rPr>
        <w:t>拟对2025-2027年研招考试智能安检门租赁服务进行采购</w:t>
      </w:r>
      <w:r>
        <w:rPr>
          <w:rFonts w:hint="eastAsia" w:ascii="宋体" w:hAnsi="宋体" w:eastAsia="宋体" w:cs="宋体"/>
          <w:sz w:val="24"/>
          <w:szCs w:val="24"/>
          <w:lang w:eastAsia="zh-CN"/>
        </w:rPr>
        <w:t>。</w:t>
      </w:r>
    </w:p>
    <w:p w14:paraId="579A854C">
      <w:pPr>
        <w:pStyle w:val="2"/>
        <w:spacing w:line="360" w:lineRule="auto"/>
        <w:ind w:firstLine="480" w:firstLineChars="200"/>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采购清单：</w:t>
      </w:r>
    </w:p>
    <w:tbl>
      <w:tblPr>
        <w:tblStyle w:val="5"/>
        <w:tblW w:w="7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3347"/>
        <w:gridCol w:w="1350"/>
        <w:gridCol w:w="1380"/>
        <w:gridCol w:w="1010"/>
      </w:tblGrid>
      <w:tr w14:paraId="0AEF8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54" w:type="dxa"/>
            <w:noWrap w:val="0"/>
            <w:vAlign w:val="center"/>
          </w:tcPr>
          <w:p w14:paraId="7CE4F892">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lang w:val="en-US" w:eastAsia="zh-CN"/>
              </w:rPr>
              <w:t>序号</w:t>
            </w:r>
          </w:p>
        </w:tc>
        <w:tc>
          <w:tcPr>
            <w:tcW w:w="3347" w:type="dxa"/>
            <w:noWrap w:val="0"/>
            <w:vAlign w:val="center"/>
          </w:tcPr>
          <w:p w14:paraId="1EBF1F76">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rPr>
              <w:t>项目名称</w:t>
            </w:r>
          </w:p>
        </w:tc>
        <w:tc>
          <w:tcPr>
            <w:tcW w:w="1350" w:type="dxa"/>
            <w:noWrap w:val="0"/>
            <w:vAlign w:val="center"/>
          </w:tcPr>
          <w:p w14:paraId="4220944D">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rPr>
              <w:t>设备名称</w:t>
            </w:r>
          </w:p>
        </w:tc>
        <w:tc>
          <w:tcPr>
            <w:tcW w:w="1380" w:type="dxa"/>
            <w:noWrap w:val="0"/>
            <w:vAlign w:val="center"/>
          </w:tcPr>
          <w:p w14:paraId="3A46556B">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rPr>
              <w:t>采购数量</w:t>
            </w:r>
          </w:p>
        </w:tc>
        <w:tc>
          <w:tcPr>
            <w:tcW w:w="1010" w:type="dxa"/>
            <w:noWrap w:val="0"/>
            <w:vAlign w:val="center"/>
          </w:tcPr>
          <w:p w14:paraId="1974A16B">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rPr>
              <w:t>单位</w:t>
            </w:r>
          </w:p>
        </w:tc>
      </w:tr>
      <w:tr w14:paraId="7A2E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754" w:type="dxa"/>
            <w:noWrap w:val="0"/>
            <w:vAlign w:val="center"/>
          </w:tcPr>
          <w:p w14:paraId="01010852">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lang w:val="en-US" w:eastAsia="zh-CN"/>
              </w:rPr>
              <w:t>1</w:t>
            </w:r>
          </w:p>
        </w:tc>
        <w:tc>
          <w:tcPr>
            <w:tcW w:w="3347" w:type="dxa"/>
            <w:noWrap w:val="0"/>
            <w:vAlign w:val="center"/>
          </w:tcPr>
          <w:p w14:paraId="7F5B35AD">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rPr>
              <w:t>乐山师范学院2025-2027年研招考试智能安检门租赁服务</w:t>
            </w:r>
          </w:p>
        </w:tc>
        <w:tc>
          <w:tcPr>
            <w:tcW w:w="1350" w:type="dxa"/>
            <w:noWrap w:val="0"/>
            <w:vAlign w:val="center"/>
          </w:tcPr>
          <w:p w14:paraId="7F917765">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rPr>
              <w:t>智能安检门</w:t>
            </w:r>
          </w:p>
        </w:tc>
        <w:tc>
          <w:tcPr>
            <w:tcW w:w="1380" w:type="dxa"/>
            <w:noWrap w:val="0"/>
            <w:vAlign w:val="center"/>
          </w:tcPr>
          <w:p w14:paraId="5F7CCCF1">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lang w:val="en-US" w:eastAsia="zh-CN"/>
              </w:rPr>
              <w:t>8</w:t>
            </w:r>
          </w:p>
        </w:tc>
        <w:tc>
          <w:tcPr>
            <w:tcW w:w="1010" w:type="dxa"/>
            <w:noWrap w:val="0"/>
            <w:vAlign w:val="center"/>
          </w:tcPr>
          <w:p w14:paraId="38E5104F">
            <w:pPr>
              <w:numPr>
                <w:ilvl w:val="0"/>
                <w:numId w:val="0"/>
              </w:numPr>
              <w:spacing w:line="360" w:lineRule="auto"/>
              <w:ind w:left="0" w:leftChars="0" w:firstLine="0" w:firstLineChars="0"/>
              <w:jc w:val="center"/>
              <w:rPr>
                <w:rFonts w:hint="default" w:ascii="宋体" w:hAnsi="宋体"/>
                <w:sz w:val="24"/>
                <w:vertAlign w:val="baseline"/>
                <w:lang w:val="en-US" w:eastAsia="zh-CN"/>
              </w:rPr>
            </w:pPr>
            <w:r>
              <w:rPr>
                <w:rFonts w:hint="eastAsia" w:ascii="宋体" w:hAnsi="宋体" w:eastAsia="宋体" w:cs="宋体"/>
                <w:sz w:val="24"/>
                <w:szCs w:val="24"/>
                <w:vertAlign w:val="baseline"/>
                <w:lang w:val="en-US" w:eastAsia="zh-CN"/>
              </w:rPr>
              <w:t>扇</w:t>
            </w:r>
          </w:p>
        </w:tc>
      </w:tr>
    </w:tbl>
    <w:p w14:paraId="428DC4B3">
      <w:pPr>
        <w:numPr>
          <w:ilvl w:val="0"/>
          <w:numId w:val="0"/>
        </w:numPr>
        <w:spacing w:line="360" w:lineRule="auto"/>
        <w:ind w:firstLine="482" w:firstLineChars="200"/>
        <w:rPr>
          <w:rFonts w:hint="eastAsia" w:ascii="宋体" w:hAnsi="宋体" w:cs="宋体"/>
          <w:b/>
          <w:kern w:val="0"/>
          <w:sz w:val="24"/>
          <w:szCs w:val="24"/>
          <w:lang w:val="en-US" w:eastAsia="zh-CN" w:bidi="ar-SA"/>
        </w:rPr>
      </w:pPr>
    </w:p>
    <w:p w14:paraId="79B56D2E">
      <w:pPr>
        <w:numPr>
          <w:ilvl w:val="0"/>
          <w:numId w:val="0"/>
        </w:numPr>
        <w:spacing w:line="360" w:lineRule="auto"/>
        <w:ind w:firstLine="482" w:firstLineChars="200"/>
        <w:rPr>
          <w:rFonts w:hint="eastAsia" w:ascii="宋体" w:hAnsi="宋体" w:cs="宋体"/>
          <w:b/>
          <w:kern w:val="0"/>
          <w:sz w:val="24"/>
        </w:rPr>
      </w:pPr>
      <w:r>
        <w:rPr>
          <w:rFonts w:hint="eastAsia" w:ascii="宋体" w:hAnsi="宋体" w:cs="宋体"/>
          <w:b/>
          <w:kern w:val="0"/>
          <w:sz w:val="24"/>
          <w:szCs w:val="24"/>
          <w:lang w:val="en-US" w:eastAsia="zh-CN" w:bidi="ar-SA"/>
        </w:rPr>
        <w:t>二、</w:t>
      </w:r>
      <w:r>
        <w:rPr>
          <w:rFonts w:hint="eastAsia" w:ascii="宋体" w:hAnsi="宋体" w:cs="宋体"/>
          <w:b/>
          <w:kern w:val="0"/>
          <w:sz w:val="24"/>
        </w:rPr>
        <w:t>采购项目技术要求（实质性要求）</w:t>
      </w:r>
    </w:p>
    <w:tbl>
      <w:tblPr>
        <w:tblStyle w:val="5"/>
        <w:tblW w:w="8640"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7413"/>
        <w:gridCol w:w="447"/>
      </w:tblGrid>
      <w:tr w14:paraId="664D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780" w:type="dxa"/>
            <w:noWrap w:val="0"/>
            <w:vAlign w:val="center"/>
          </w:tcPr>
          <w:p w14:paraId="01B40799">
            <w:pPr>
              <w:numPr>
                <w:ilvl w:val="0"/>
                <w:numId w:val="0"/>
              </w:numPr>
              <w:jc w:val="center"/>
              <w:rPr>
                <w:rFonts w:hint="eastAsia" w:ascii="宋体" w:hAnsi="宋体" w:eastAsia="宋体" w:cs="宋体"/>
                <w:sz w:val="24"/>
                <w:szCs w:val="24"/>
              </w:rPr>
            </w:pPr>
            <w:r>
              <w:rPr>
                <w:rFonts w:hint="eastAsia" w:ascii="宋体" w:hAnsi="宋体" w:eastAsia="宋体" w:cs="宋体"/>
                <w:sz w:val="24"/>
                <w:szCs w:val="24"/>
              </w:rPr>
              <w:t>设备</w:t>
            </w:r>
          </w:p>
          <w:p w14:paraId="519AF11B">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rPr>
              <w:t>名称</w:t>
            </w:r>
          </w:p>
        </w:tc>
        <w:tc>
          <w:tcPr>
            <w:tcW w:w="7413" w:type="dxa"/>
            <w:noWrap w:val="0"/>
            <w:vAlign w:val="center"/>
          </w:tcPr>
          <w:p w14:paraId="2A08248A">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rPr>
              <w:t>技术参数</w:t>
            </w:r>
          </w:p>
        </w:tc>
        <w:tc>
          <w:tcPr>
            <w:tcW w:w="447" w:type="dxa"/>
            <w:noWrap w:val="0"/>
            <w:vAlign w:val="center"/>
          </w:tcPr>
          <w:p w14:paraId="3CE90A4A">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rPr>
              <w:t>数量</w:t>
            </w:r>
          </w:p>
        </w:tc>
      </w:tr>
      <w:tr w14:paraId="6041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80" w:type="dxa"/>
            <w:noWrap w:val="0"/>
            <w:textDirection w:val="tbLrV"/>
            <w:vAlign w:val="center"/>
          </w:tcPr>
          <w:p w14:paraId="5F04176B">
            <w:pPr>
              <w:numPr>
                <w:ilvl w:val="0"/>
                <w:numId w:val="0"/>
              </w:numPr>
              <w:ind w:left="113" w:right="113"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智能安检门</w:t>
            </w:r>
          </w:p>
        </w:tc>
        <w:tc>
          <w:tcPr>
            <w:tcW w:w="7413" w:type="dxa"/>
            <w:noWrap w:val="0"/>
            <w:vAlign w:val="top"/>
          </w:tcPr>
          <w:p w14:paraId="6A2B610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多种探测模式切换</w:t>
            </w:r>
            <w:r>
              <w:rPr>
                <w:rFonts w:hint="eastAsia" w:ascii="宋体" w:hAnsi="宋体" w:eastAsia="宋体" w:cs="宋体"/>
                <w:sz w:val="24"/>
                <w:szCs w:val="24"/>
                <w:lang w:eastAsia="zh-CN"/>
              </w:rPr>
              <w:t>；</w:t>
            </w:r>
          </w:p>
          <w:p w14:paraId="7729C9A0">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通过效率达每分钟30人以上</w:t>
            </w:r>
            <w:r>
              <w:rPr>
                <w:rFonts w:hint="eastAsia" w:ascii="宋体" w:hAnsi="宋体" w:eastAsia="宋体" w:cs="宋体"/>
                <w:sz w:val="24"/>
                <w:szCs w:val="24"/>
                <w:lang w:eastAsia="zh-CN"/>
              </w:rPr>
              <w:t>；</w:t>
            </w:r>
          </w:p>
          <w:p w14:paraId="4021AFA6">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对智能手机的检测率≥99%</w:t>
            </w:r>
            <w:r>
              <w:rPr>
                <w:rFonts w:hint="eastAsia" w:ascii="宋体" w:hAnsi="宋体" w:eastAsia="宋体" w:cs="宋体"/>
                <w:sz w:val="24"/>
                <w:szCs w:val="24"/>
                <w:lang w:eastAsia="zh-CN"/>
              </w:rPr>
              <w:t>；</w:t>
            </w:r>
          </w:p>
          <w:p w14:paraId="18CFCC61">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设备功能红外传感器数量≥2对</w:t>
            </w:r>
            <w:r>
              <w:rPr>
                <w:rFonts w:hint="eastAsia" w:ascii="宋体" w:hAnsi="宋体" w:eastAsia="宋体" w:cs="宋体"/>
                <w:sz w:val="24"/>
                <w:szCs w:val="24"/>
                <w:lang w:eastAsia="zh-CN"/>
              </w:rPr>
              <w:t>；</w:t>
            </w:r>
          </w:p>
          <w:p w14:paraId="10C47028">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智能分类:对于金属纽扣、打火机、钥匙、硬币、皮带扣等日常着装小金属，误报率≤10%，在保证误报率不增加的情况下：对具有通话及拍照功能的电子手表的检测率≥80%；在保证误报率不增加的情况下：手机紧贴着门板底部通过、紧贴地面通过，智能安检门都能准确检测并报警</w:t>
            </w:r>
            <w:r>
              <w:rPr>
                <w:rFonts w:hint="eastAsia" w:ascii="宋体" w:hAnsi="宋体" w:eastAsia="宋体" w:cs="宋体"/>
                <w:sz w:val="24"/>
                <w:szCs w:val="24"/>
                <w:lang w:eastAsia="zh-CN"/>
              </w:rPr>
              <w:t>；</w:t>
            </w:r>
          </w:p>
          <w:p w14:paraId="7197397C">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能够图文显示手机藏匿于身体的前面或后面、以及藏匿时的姿态：横向、竖向、纵向等</w:t>
            </w:r>
            <w:r>
              <w:rPr>
                <w:rFonts w:hint="eastAsia" w:ascii="宋体" w:hAnsi="宋体" w:eastAsia="宋体" w:cs="宋体"/>
                <w:sz w:val="24"/>
                <w:szCs w:val="24"/>
                <w:lang w:eastAsia="zh-CN"/>
              </w:rPr>
              <w:t>；</w:t>
            </w:r>
          </w:p>
          <w:p w14:paraId="0013E7D0">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≥7寸的液晶功能屏+≥18.5寸液晶屏</w:t>
            </w:r>
            <w:r>
              <w:rPr>
                <w:rFonts w:hint="eastAsia" w:ascii="宋体" w:hAnsi="宋体" w:eastAsia="宋体" w:cs="宋体"/>
                <w:sz w:val="24"/>
                <w:szCs w:val="24"/>
                <w:lang w:eastAsia="zh-CN"/>
              </w:rPr>
              <w:t>；</w:t>
            </w:r>
          </w:p>
          <w:p w14:paraId="36E886ED">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rPr>
              <w:t>抗干扰能力:</w:t>
            </w:r>
            <w:r>
              <w:rPr>
                <w:rFonts w:hint="eastAsia" w:ascii="宋体" w:hAnsi="宋体" w:eastAsia="宋体" w:cs="宋体"/>
                <w:sz w:val="24"/>
                <w:szCs w:val="24"/>
                <w:lang w:val="en-US" w:eastAsia="zh-CN"/>
              </w:rPr>
              <w:t>多台设备（≥3台）按照间距20cm并排安置时，均能独立正常工作，互不干扰；</w:t>
            </w:r>
          </w:p>
          <w:p w14:paraId="6D98EE33">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r>
              <w:rPr>
                <w:rFonts w:hint="eastAsia" w:ascii="宋体" w:hAnsi="宋体" w:eastAsia="宋体" w:cs="宋体"/>
                <w:sz w:val="24"/>
                <w:szCs w:val="24"/>
              </w:rPr>
              <w:t>快速部署功能:校正过程须不超过10分钟</w:t>
            </w:r>
            <w:r>
              <w:rPr>
                <w:rFonts w:hint="eastAsia" w:ascii="宋体" w:hAnsi="宋体" w:eastAsia="宋体" w:cs="宋体"/>
                <w:sz w:val="24"/>
                <w:szCs w:val="24"/>
                <w:lang w:eastAsia="zh-CN"/>
              </w:rPr>
              <w:t>；</w:t>
            </w:r>
          </w:p>
          <w:p w14:paraId="3BF17C3F">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10.</w:t>
            </w:r>
            <w:r>
              <w:rPr>
                <w:rFonts w:hint="eastAsia" w:ascii="宋体" w:hAnsi="宋体" w:eastAsia="宋体" w:cs="宋体"/>
                <w:sz w:val="24"/>
                <w:szCs w:val="24"/>
              </w:rPr>
              <w:t>具备网络输出功能</w:t>
            </w:r>
            <w:r>
              <w:rPr>
                <w:rFonts w:hint="eastAsia" w:ascii="宋体" w:hAnsi="宋体" w:eastAsia="宋体" w:cs="宋体"/>
                <w:sz w:val="24"/>
                <w:szCs w:val="24"/>
                <w:lang w:eastAsia="zh-CN"/>
              </w:rPr>
              <w:t>；</w:t>
            </w:r>
          </w:p>
          <w:p w14:paraId="462DC65F">
            <w:pPr>
              <w:spacing w:line="360" w:lineRule="auto"/>
              <w:rPr>
                <w:rFonts w:hint="eastAsia" w:ascii="宋体" w:hAnsi="宋体" w:eastAsia="宋体"/>
                <w:sz w:val="24"/>
                <w:szCs w:val="32"/>
                <w:lang w:eastAsia="zh-CN"/>
              </w:rPr>
            </w:pPr>
            <w:r>
              <w:rPr>
                <w:rFonts w:hint="eastAsia" w:ascii="宋体" w:hAnsi="宋体"/>
                <w:sz w:val="24"/>
                <w:szCs w:val="32"/>
                <w:lang w:val="en-US" w:eastAsia="zh-CN"/>
              </w:rPr>
              <w:t>11.</w:t>
            </w:r>
            <w:r>
              <w:rPr>
                <w:rFonts w:hint="eastAsia" w:ascii="宋体" w:hAnsi="宋体"/>
                <w:sz w:val="24"/>
                <w:szCs w:val="32"/>
              </w:rPr>
              <w:t>稳定工作时间：安检门的稳定工作时间大于或等于24h,待机期间不出现误报警,安检门稳定工作时间大于等于96h,待机期间不出现误报</w:t>
            </w:r>
            <w:r>
              <w:rPr>
                <w:rFonts w:hint="eastAsia" w:ascii="宋体" w:hAnsi="宋体"/>
                <w:sz w:val="24"/>
                <w:szCs w:val="32"/>
                <w:lang w:eastAsia="zh-CN"/>
              </w:rPr>
              <w:t>；</w:t>
            </w:r>
          </w:p>
          <w:p w14:paraId="52DE0E1C">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12.</w:t>
            </w:r>
            <w:r>
              <w:rPr>
                <w:rFonts w:hint="eastAsia" w:ascii="宋体" w:hAnsi="宋体" w:eastAsia="宋体" w:cs="宋体"/>
                <w:sz w:val="24"/>
                <w:szCs w:val="24"/>
              </w:rPr>
              <w:t>门体内隐抓拍摄像头</w:t>
            </w:r>
            <w:r>
              <w:rPr>
                <w:rFonts w:hint="eastAsia" w:ascii="宋体" w:hAnsi="宋体" w:eastAsia="宋体" w:cs="宋体"/>
                <w:sz w:val="24"/>
                <w:szCs w:val="24"/>
                <w:lang w:eastAsia="zh-CN"/>
              </w:rPr>
              <w:t>；</w:t>
            </w:r>
          </w:p>
          <w:p w14:paraId="57E7711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13.</w:t>
            </w:r>
            <w:r>
              <w:rPr>
                <w:rFonts w:hint="eastAsia" w:ascii="宋体" w:hAnsi="宋体" w:eastAsia="宋体" w:cs="宋体"/>
                <w:sz w:val="24"/>
                <w:szCs w:val="24"/>
              </w:rPr>
              <w:t>人脸抓拍性能，安检门内置主机支持人脸检测抓拍功能，人脸抓拍率不低于95%；人脸抓拍结果和安检结果的一致性匹配率不低于98%</w:t>
            </w:r>
            <w:r>
              <w:rPr>
                <w:rFonts w:hint="eastAsia" w:ascii="宋体" w:hAnsi="宋体" w:eastAsia="宋体" w:cs="宋体"/>
                <w:sz w:val="24"/>
                <w:szCs w:val="24"/>
                <w:lang w:eastAsia="zh-CN"/>
              </w:rPr>
              <w:t>。</w:t>
            </w:r>
          </w:p>
        </w:tc>
        <w:tc>
          <w:tcPr>
            <w:tcW w:w="447" w:type="dxa"/>
            <w:noWrap w:val="0"/>
            <w:vAlign w:val="center"/>
          </w:tcPr>
          <w:p w14:paraId="4FE447E0">
            <w:pPr>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8扇</w:t>
            </w:r>
          </w:p>
        </w:tc>
      </w:tr>
    </w:tbl>
    <w:p w14:paraId="19671D48">
      <w:pPr>
        <w:autoSpaceDE w:val="0"/>
        <w:autoSpaceDN w:val="0"/>
        <w:adjustRightInd w:val="0"/>
        <w:spacing w:line="360" w:lineRule="auto"/>
        <w:ind w:firstLine="482" w:firstLineChars="200"/>
        <w:rPr>
          <w:rFonts w:hint="eastAsia" w:ascii="宋体" w:hAnsi="宋体" w:cs="宋体"/>
          <w:b/>
          <w:kern w:val="0"/>
          <w:sz w:val="24"/>
        </w:rPr>
      </w:pPr>
      <w:r>
        <w:rPr>
          <w:rFonts w:hint="eastAsia" w:ascii="宋体" w:hAnsi="宋体" w:cs="宋体"/>
          <w:b/>
          <w:kern w:val="0"/>
          <w:sz w:val="24"/>
        </w:rPr>
        <w:t>三、商务要求（实质性要求）</w:t>
      </w:r>
    </w:p>
    <w:p w14:paraId="01AE1ABA">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hAnsi="宋体" w:cs="宋体"/>
          <w:b w:val="0"/>
          <w:bCs/>
          <w:color w:val="auto"/>
          <w:sz w:val="24"/>
        </w:rPr>
        <w:t>（一）</w:t>
      </w:r>
      <w:r>
        <w:rPr>
          <w:rFonts w:hint="eastAsia" w:ascii="宋体" w:hAnsi="宋体" w:eastAsia="宋体" w:cs="宋体"/>
          <w:b w:val="0"/>
          <w:bCs w:val="0"/>
          <w:color w:val="auto"/>
          <w:sz w:val="24"/>
          <w:szCs w:val="32"/>
          <w:lang w:val="en-US" w:eastAsia="zh-CN"/>
        </w:rPr>
        <w:t>交货时间及项目期限：</w:t>
      </w:r>
    </w:p>
    <w:p w14:paraId="1968E9B7">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1、合同签订后，12月12日前内完成供货，租赁期为2024年12月12日至12月23日，如果供应商无故拖延供货期超过交货日期的，逾期每日扣成交金额1%作为违约金，并且采购人有权无条件解除合同，并要求供应商赔偿一切损失。</w:t>
      </w:r>
    </w:p>
    <w:p w14:paraId="501DD560">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2、本项目原则上一招三年，合同一年一签；项目履约过程中若出现因成交供应商原因产生的重大问题，采购人有权不续签合同。合同续签条件包含：</w:t>
      </w:r>
    </w:p>
    <w:p w14:paraId="78334C28">
      <w:pPr>
        <w:spacing w:line="360" w:lineRule="auto"/>
        <w:ind w:firstLine="480" w:firstLineChars="200"/>
        <w:rPr>
          <w:rFonts w:hint="default"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（1）</w:t>
      </w:r>
      <w:r>
        <w:rPr>
          <w:rFonts w:hint="default" w:ascii="宋体" w:hAnsi="宋体" w:eastAsia="宋体" w:cs="宋体"/>
          <w:b w:val="0"/>
          <w:bCs w:val="0"/>
          <w:color w:val="auto"/>
          <w:sz w:val="24"/>
          <w:szCs w:val="32"/>
          <w:lang w:val="en-US" w:eastAsia="zh-CN"/>
        </w:rPr>
        <w:t>能严格按合同规定的所有条款内容执行；</w:t>
      </w:r>
    </w:p>
    <w:p w14:paraId="683FB5EA">
      <w:pPr>
        <w:spacing w:line="360" w:lineRule="auto"/>
        <w:ind w:firstLine="480" w:firstLineChars="200"/>
        <w:rPr>
          <w:rFonts w:hint="default"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（2）</w:t>
      </w:r>
      <w:r>
        <w:rPr>
          <w:rFonts w:hint="default" w:ascii="宋体" w:hAnsi="宋体" w:eastAsia="宋体" w:cs="宋体"/>
          <w:b w:val="0"/>
          <w:bCs w:val="0"/>
          <w:color w:val="auto"/>
          <w:sz w:val="24"/>
          <w:szCs w:val="32"/>
          <w:lang w:val="en-US" w:eastAsia="zh-CN"/>
        </w:rPr>
        <w:t>对服务过程中发现的问题，能积极主动与研招处相关负责人沟通解决；</w:t>
      </w:r>
    </w:p>
    <w:p w14:paraId="15E3ED9D">
      <w:pPr>
        <w:spacing w:line="360" w:lineRule="auto"/>
        <w:ind w:firstLine="480" w:firstLineChars="200"/>
        <w:rPr>
          <w:rFonts w:hint="default"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（3）</w:t>
      </w:r>
      <w:r>
        <w:rPr>
          <w:rFonts w:hint="default" w:ascii="宋体" w:hAnsi="宋体" w:eastAsia="宋体" w:cs="宋体"/>
          <w:b w:val="0"/>
          <w:bCs w:val="0"/>
          <w:color w:val="auto"/>
          <w:sz w:val="24"/>
          <w:szCs w:val="32"/>
          <w:lang w:val="en-US" w:eastAsia="zh-CN"/>
        </w:rPr>
        <w:t>合同价格存续期上浮不超过10%。</w:t>
      </w:r>
    </w:p>
    <w:p w14:paraId="6E8434A6">
      <w:pPr>
        <w:spacing w:line="360" w:lineRule="auto"/>
        <w:ind w:firstLine="480" w:firstLineChars="200"/>
        <w:rPr>
          <w:rFonts w:hint="default"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（4）</w:t>
      </w:r>
      <w:r>
        <w:rPr>
          <w:rFonts w:hint="default" w:ascii="宋体" w:hAnsi="宋体" w:eastAsia="宋体" w:cs="宋体"/>
          <w:b w:val="0"/>
          <w:bCs w:val="0"/>
          <w:color w:val="auto"/>
          <w:sz w:val="24"/>
          <w:szCs w:val="32"/>
          <w:lang w:val="en-US" w:eastAsia="zh-CN"/>
        </w:rPr>
        <w:t>续签交货地点由甲方指定。</w:t>
      </w:r>
    </w:p>
    <w:p w14:paraId="63C5B4A8">
      <w:pPr>
        <w:spacing w:line="360" w:lineRule="auto"/>
        <w:ind w:firstLine="480" w:firstLineChars="200"/>
        <w:rPr>
          <w:rFonts w:hint="default"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（5）</w:t>
      </w:r>
      <w:r>
        <w:rPr>
          <w:rFonts w:hint="default" w:ascii="宋体" w:hAnsi="宋体" w:eastAsia="宋体" w:cs="宋体"/>
          <w:b w:val="0"/>
          <w:bCs w:val="0"/>
          <w:color w:val="auto"/>
          <w:sz w:val="24"/>
          <w:szCs w:val="32"/>
          <w:lang w:val="en-US" w:eastAsia="zh-CN"/>
        </w:rPr>
        <w:t>如遇甲方上级部门对采购服务产品参数有调整，则乙方需提供满足新要求的产品。</w:t>
      </w:r>
    </w:p>
    <w:p w14:paraId="397E2663">
      <w:pPr>
        <w:spacing w:line="360" w:lineRule="auto"/>
        <w:ind w:firstLine="480" w:firstLineChars="200"/>
        <w:rPr>
          <w:rFonts w:hint="eastAsia" w:hAnsi="宋体" w:cs="宋体"/>
          <w:b w:val="0"/>
          <w:bCs/>
          <w:color w:val="auto"/>
          <w:sz w:val="24"/>
          <w:lang w:val="en-US" w:eastAsia="zh-CN"/>
        </w:rPr>
      </w:pPr>
      <w:r>
        <w:rPr>
          <w:rFonts w:hint="eastAsia" w:hAnsi="宋体" w:cs="宋体"/>
          <w:b w:val="0"/>
          <w:bCs/>
          <w:color w:val="auto"/>
          <w:sz w:val="24"/>
        </w:rPr>
        <w:t>（二）</w:t>
      </w:r>
      <w:r>
        <w:rPr>
          <w:rFonts w:hint="eastAsia" w:hAnsi="宋体" w:cs="宋体"/>
          <w:b w:val="0"/>
          <w:bCs/>
          <w:color w:val="auto"/>
          <w:sz w:val="24"/>
          <w:lang w:val="en-US" w:eastAsia="zh-CN"/>
        </w:rPr>
        <w:t>交货</w:t>
      </w:r>
      <w:r>
        <w:rPr>
          <w:rFonts w:hint="eastAsia" w:hAnsi="宋体" w:cs="宋体"/>
          <w:b w:val="0"/>
          <w:bCs/>
          <w:color w:val="auto"/>
          <w:sz w:val="24"/>
        </w:rPr>
        <w:t>地点：</w:t>
      </w:r>
      <w:r>
        <w:rPr>
          <w:rFonts w:hint="eastAsia" w:hAnsi="宋体" w:cs="宋体"/>
          <w:b w:val="0"/>
          <w:bCs/>
          <w:color w:val="auto"/>
          <w:sz w:val="24"/>
          <w:lang w:val="en-US" w:eastAsia="zh-CN"/>
        </w:rPr>
        <w:t>乐山师范学院行知楼桂花广场</w:t>
      </w:r>
    </w:p>
    <w:p w14:paraId="05B6E191">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hAnsi="宋体" w:cs="宋体"/>
          <w:b w:val="0"/>
          <w:bCs/>
          <w:color w:val="auto"/>
          <w:sz w:val="24"/>
          <w:lang w:val="en-US" w:eastAsia="zh-CN"/>
        </w:rPr>
        <w:t>备注：设备安装的地点为露天广场，成交供应商做好设备所需的防雨防冻等相应措施。</w:t>
      </w:r>
    </w:p>
    <w:p w14:paraId="5DD398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32"/>
          <w:lang w:val="en-US" w:eastAsia="zh-CN"/>
        </w:rPr>
      </w:pPr>
      <w:r>
        <w:rPr>
          <w:rFonts w:hint="eastAsia" w:ascii="Times New Roman" w:hAnsi="宋体" w:eastAsia="宋体" w:cs="宋体"/>
          <w:b w:val="0"/>
          <w:bCs/>
          <w:color w:val="auto"/>
          <w:sz w:val="24"/>
          <w:lang w:val="en-US" w:eastAsia="zh-CN"/>
        </w:rPr>
        <w:t>（三）报价要求：</w:t>
      </w:r>
      <w:r>
        <w:rPr>
          <w:rFonts w:hint="eastAsia" w:ascii="宋体" w:hAnsi="宋体" w:eastAsia="宋体" w:cs="宋体"/>
          <w:b w:val="0"/>
          <w:bCs w:val="0"/>
          <w:color w:val="auto"/>
          <w:sz w:val="24"/>
          <w:szCs w:val="32"/>
          <w:lang w:val="en-US" w:eastAsia="zh-CN"/>
        </w:rPr>
        <w:t>供应商对拟承揽合同报总价（总价包含运输、安装、调试、人工、税收等一切费用），按照每台设备在租赁期的租赁费报价，服务过程中产生的运输、安装、维护、拆除等所有费用不再另行支付。</w:t>
      </w:r>
    </w:p>
    <w:p w14:paraId="47BFC3CE">
      <w:pPr>
        <w:spacing w:line="360" w:lineRule="auto"/>
        <w:ind w:firstLine="480" w:firstLineChars="200"/>
        <w:rPr>
          <w:rFonts w:hint="default"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（四）付款方式：项目验收合格后采购单位一次性支付当次（当年）合同总金额。</w:t>
      </w:r>
    </w:p>
    <w:p w14:paraId="543A3777">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（五）其他要求：</w:t>
      </w:r>
    </w:p>
    <w:p w14:paraId="1D55CC59">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1、设备设施要求型号规格统一、颜色统一。租赁期内须对本次采购设备免费维修维护或维修达不到使用条件的应进行产品更换。货物质量出现问题，供应商应负责现场解决，费用由供应商承担。</w:t>
      </w:r>
    </w:p>
    <w:p w14:paraId="4E634C79">
      <w:pPr>
        <w:spacing w:line="360" w:lineRule="auto"/>
        <w:ind w:firstLine="480" w:firstLineChars="200"/>
        <w:rPr>
          <w:rFonts w:hint="default"/>
          <w:lang w:val="en-US" w:eastAsia="zh-CN"/>
        </w:rPr>
      </w:pPr>
      <w:r>
        <w:rPr>
          <w:rFonts w:hint="eastAsia" w:ascii="宋体" w:hAnsi="宋体" w:eastAsia="宋体" w:cs="宋体"/>
          <w:b w:val="0"/>
          <w:bCs w:val="0"/>
          <w:color w:val="auto"/>
          <w:sz w:val="24"/>
          <w:szCs w:val="32"/>
          <w:lang w:val="en-US" w:eastAsia="zh-CN"/>
        </w:rPr>
        <w:t>2、成交供应商负责设备安装、调试。设备安装调试完毕后，成交供应商应对采购方操作人员进行现场培训，直至采购方的技术人员能独立操作，成交供应商应负责处理现场的所有故障。</w:t>
      </w:r>
    </w:p>
    <w:p w14:paraId="04885C10">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（六）以下要求提供承诺函，格式自拟：</w:t>
      </w:r>
    </w:p>
    <w:p w14:paraId="41C09AC9">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1.在考生熟悉考场和考试期间，成交供应商在每个考点原则上安排不少于2个工作人员，随时关注设备运行情况，若设备发生故障，故障设备在5分钟内完成更换或维修；</w:t>
      </w:r>
    </w:p>
    <w:p w14:paraId="48211739">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2.成交供应商在考试期间按照统一时间无差别开启和关闭设备，工作人员不得随意进入考场，影响考试秩序；</w:t>
      </w:r>
    </w:p>
    <w:p w14:paraId="2D0C600F">
      <w:pPr>
        <w:spacing w:line="360" w:lineRule="auto"/>
        <w:ind w:firstLine="480" w:firstLineChars="200"/>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3.环境要求：安检设备的安装、使用和拆除过程中，要做到设备整齐存放、安装现场确保安全、卫生、整洁。驻点工作人员应服从考点单位管理，不得影响考点正常秩序；</w:t>
      </w:r>
    </w:p>
    <w:p w14:paraId="2A65C966">
      <w:pPr>
        <w:spacing w:line="360" w:lineRule="auto"/>
        <w:ind w:firstLine="480" w:firstLineChars="200"/>
        <w:rPr>
          <w:rFonts w:hint="default"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4.安全责任：设备在运输、安装、调试等整个工程活动期间，在工程实施地点范围内，所有安全责任均由供应商负责。成交供应商在进场后须严格按照相关规范要求进行设备安装、调试等操作，并无条件遵从业主提出的科学、规范、合理意见和监督、检查、审核和技术指导。</w:t>
      </w:r>
    </w:p>
    <w:p w14:paraId="71AF76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（七）验收</w:t>
      </w:r>
    </w:p>
    <w:p w14:paraId="779C6ED0">
      <w:r>
        <w:rPr>
          <w:rFonts w:hint="eastAsia" w:ascii="宋体" w:hAnsi="宋体" w:cs="宋体"/>
          <w:kern w:val="0"/>
          <w:sz w:val="24"/>
          <w:lang w:val="en-US" w:eastAsia="zh-CN"/>
        </w:rPr>
        <w:t>按照采购文件具体要求及响应文件响应内容进行验收。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2NTc0OTExZDVjYWFhZmQwMTRjMWUyOGUwMGZkNzMifQ=="/>
  </w:docVars>
  <w:rsids>
    <w:rsidRoot w:val="38156B45"/>
    <w:rsid w:val="38156B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2"/>
    <w:basedOn w:val="1"/>
    <w:qFormat/>
    <w:uiPriority w:val="0"/>
    <w:pPr>
      <w:spacing w:after="120" w:line="480" w:lineRule="auto"/>
    </w:p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2024-11-12T09:00:00Z</dcterms:created>
  <dc:creator>汪倩倩</dc:creator>
  <cp:lastModifiedBy>汪倩倩</cp:lastModifiedBy>
  <dcterms:modified xsi:type="dcterms:W3CDTF">2024-11-12T09:00:36Z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ECBC6FC0CB6E47C49B164F747AAC02E4_11</vt:lpwstr>
  </property>
</Properties>
</file>