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8DB6F6">
      <w:pPr>
        <w:pStyle w:val="2"/>
        <w:bidi w:val="0"/>
        <w:jc w:val="center"/>
        <w:rPr>
          <w:rFonts w:ascii="Arial"/>
          <w:color w:val="0070C0"/>
          <w:sz w:val="21"/>
          <w:szCs w:val="21"/>
        </w:rPr>
      </w:pPr>
      <w:bookmarkStart w:id="5" w:name="_GoBack"/>
      <w:r>
        <w:rPr>
          <w:sz w:val="40"/>
          <w:szCs w:val="40"/>
        </w:rPr>
        <w:t>采购内容与要求</w:t>
      </w:r>
    </w:p>
    <w:bookmarkEnd w:id="5"/>
    <w:p w14:paraId="783AC7BD">
      <w:pPr>
        <w:pStyle w:val="3"/>
        <w:numPr>
          <w:ilvl w:val="0"/>
          <w:numId w:val="1"/>
        </w:numPr>
        <w:bidi w:val="0"/>
        <w:jc w:val="center"/>
        <w:rPr>
          <w:rFonts w:hint="eastAsia" w:ascii="宋体" w:hAnsi="宋体" w:eastAsia="宋体" w:cs="宋体"/>
          <w:b w:val="0"/>
          <w:bCs w:val="0"/>
          <w:snapToGrid w:val="0"/>
          <w:color w:val="0000FF"/>
          <w:spacing w:val="8"/>
          <w:kern w:val="0"/>
          <w:sz w:val="21"/>
          <w:szCs w:val="21"/>
          <w:lang w:val="en-US" w:eastAsia="zh-CN" w:bidi="ar-SA"/>
        </w:rPr>
      </w:pPr>
      <w:bookmarkStart w:id="0" w:name="_Toc732"/>
      <w:r>
        <w:rPr>
          <w:rFonts w:hint="eastAsia" w:ascii="宋体" w:hAnsi="宋体" w:eastAsia="宋体" w:cs="宋体"/>
          <w:b w:val="0"/>
          <w:bCs w:val="0"/>
          <w:snapToGrid w:val="0"/>
          <w:color w:val="0000FF"/>
          <w:spacing w:val="8"/>
          <w:kern w:val="0"/>
          <w:sz w:val="21"/>
          <w:szCs w:val="21"/>
          <w:lang w:val="en-US" w:eastAsia="zh-CN" w:bidi="ar-SA"/>
        </w:rPr>
        <w:t>采购清单及技术参数要求</w:t>
      </w:r>
      <w:bookmarkEnd w:id="0"/>
    </w:p>
    <w:p w14:paraId="506C959B">
      <w:pPr>
        <w:pStyle w:val="6"/>
        <w:keepNext w:val="0"/>
        <w:keepLines w:val="0"/>
        <w:pageBreakBefore w:val="0"/>
        <w:widowControl w:val="0"/>
        <w:numPr>
          <w:ilvl w:val="0"/>
          <w:numId w:val="0"/>
        </w:numPr>
        <w:kinsoku/>
        <w:wordWrap/>
        <w:overflowPunct/>
        <w:topLinePunct w:val="0"/>
        <w:autoSpaceDE/>
        <w:autoSpaceDN/>
        <w:bidi w:val="0"/>
        <w:adjustRightInd/>
        <w:snapToGrid/>
        <w:spacing w:before="0" w:beforeLines="100" w:after="0" w:line="360" w:lineRule="auto"/>
        <w:ind w:firstLine="452" w:firstLineChars="200"/>
        <w:jc w:val="center"/>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一、采购内容及数量</w:t>
      </w:r>
    </w:p>
    <w:tbl>
      <w:tblPr>
        <w:tblStyle w:val="17"/>
        <w:tblW w:w="953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3"/>
        <w:gridCol w:w="1928"/>
        <w:gridCol w:w="1029"/>
        <w:gridCol w:w="1192"/>
        <w:gridCol w:w="1451"/>
        <w:gridCol w:w="1363"/>
        <w:gridCol w:w="1117"/>
        <w:gridCol w:w="662"/>
      </w:tblGrid>
      <w:tr w14:paraId="3E1BE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5" w:hRule="atLeast"/>
        </w:trPr>
        <w:tc>
          <w:tcPr>
            <w:tcW w:w="793" w:type="dxa"/>
            <w:noWrap w:val="0"/>
            <w:vAlign w:val="center"/>
          </w:tcPr>
          <w:p w14:paraId="5F80F68A">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包号</w:t>
            </w:r>
          </w:p>
        </w:tc>
        <w:tc>
          <w:tcPr>
            <w:tcW w:w="1928" w:type="dxa"/>
            <w:noWrap w:val="0"/>
            <w:vAlign w:val="center"/>
          </w:tcPr>
          <w:p w14:paraId="0D2E4ED1">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采购标的</w:t>
            </w:r>
          </w:p>
        </w:tc>
        <w:tc>
          <w:tcPr>
            <w:tcW w:w="1029" w:type="dxa"/>
            <w:noWrap w:val="0"/>
            <w:vAlign w:val="center"/>
          </w:tcPr>
          <w:p w14:paraId="2D3769ED">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计量单位</w:t>
            </w:r>
          </w:p>
        </w:tc>
        <w:tc>
          <w:tcPr>
            <w:tcW w:w="1192" w:type="dxa"/>
            <w:noWrap w:val="0"/>
            <w:vAlign w:val="center"/>
          </w:tcPr>
          <w:p w14:paraId="4B8DCCFC">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数量</w:t>
            </w:r>
          </w:p>
        </w:tc>
        <w:tc>
          <w:tcPr>
            <w:tcW w:w="1451" w:type="dxa"/>
            <w:noWrap w:val="0"/>
            <w:vAlign w:val="center"/>
          </w:tcPr>
          <w:p w14:paraId="7FC7256D">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采购项目预算（元）</w:t>
            </w:r>
          </w:p>
        </w:tc>
        <w:tc>
          <w:tcPr>
            <w:tcW w:w="1363" w:type="dxa"/>
            <w:noWrap w:val="0"/>
            <w:vAlign w:val="center"/>
          </w:tcPr>
          <w:p w14:paraId="450522D1">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核心产品</w:t>
            </w:r>
          </w:p>
        </w:tc>
        <w:tc>
          <w:tcPr>
            <w:tcW w:w="1117" w:type="dxa"/>
            <w:noWrap w:val="0"/>
            <w:vAlign w:val="center"/>
          </w:tcPr>
          <w:p w14:paraId="788BAE81">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进口/国产</w:t>
            </w:r>
          </w:p>
        </w:tc>
        <w:tc>
          <w:tcPr>
            <w:tcW w:w="662" w:type="dxa"/>
            <w:noWrap w:val="0"/>
            <w:textDirection w:val="tbRlV"/>
            <w:vAlign w:val="center"/>
          </w:tcPr>
          <w:p w14:paraId="12290028">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备  注</w:t>
            </w:r>
          </w:p>
        </w:tc>
      </w:tr>
      <w:tr w14:paraId="6457E5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trPr>
        <w:tc>
          <w:tcPr>
            <w:tcW w:w="793" w:type="dxa"/>
            <w:noWrap w:val="0"/>
            <w:vAlign w:val="center"/>
          </w:tcPr>
          <w:p w14:paraId="32268A24">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1</w:t>
            </w:r>
          </w:p>
        </w:tc>
        <w:tc>
          <w:tcPr>
            <w:tcW w:w="1928" w:type="dxa"/>
            <w:noWrap w:val="0"/>
            <w:vAlign w:val="center"/>
          </w:tcPr>
          <w:p w14:paraId="5ADA0F20">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艾滋病防治实验室能力建设仪器设备政府采购项目</w:t>
            </w:r>
          </w:p>
        </w:tc>
        <w:tc>
          <w:tcPr>
            <w:tcW w:w="1029" w:type="dxa"/>
            <w:noWrap w:val="0"/>
            <w:vAlign w:val="center"/>
          </w:tcPr>
          <w:p w14:paraId="2FE7608C">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批</w:t>
            </w:r>
          </w:p>
        </w:tc>
        <w:tc>
          <w:tcPr>
            <w:tcW w:w="1192" w:type="dxa"/>
            <w:noWrap w:val="0"/>
            <w:vAlign w:val="center"/>
          </w:tcPr>
          <w:p w14:paraId="520DF2BE">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1</w:t>
            </w:r>
          </w:p>
        </w:tc>
        <w:tc>
          <w:tcPr>
            <w:tcW w:w="1451" w:type="dxa"/>
            <w:noWrap w:val="0"/>
            <w:vAlign w:val="center"/>
          </w:tcPr>
          <w:p w14:paraId="62082A78">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1170000</w:t>
            </w:r>
          </w:p>
        </w:tc>
        <w:tc>
          <w:tcPr>
            <w:tcW w:w="1363" w:type="dxa"/>
            <w:noWrap w:val="0"/>
            <w:vAlign w:val="center"/>
          </w:tcPr>
          <w:p w14:paraId="791D3894">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全自动移液工作站</w:t>
            </w:r>
          </w:p>
        </w:tc>
        <w:tc>
          <w:tcPr>
            <w:tcW w:w="1117" w:type="dxa"/>
            <w:noWrap w:val="0"/>
            <w:vAlign w:val="center"/>
          </w:tcPr>
          <w:p w14:paraId="6713FE41">
            <w:pPr>
              <w:jc w:val="cente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国产</w:t>
            </w:r>
          </w:p>
        </w:tc>
        <w:tc>
          <w:tcPr>
            <w:tcW w:w="662" w:type="dxa"/>
            <w:noWrap w:val="0"/>
            <w:vAlign w:val="center"/>
          </w:tcPr>
          <w:p w14:paraId="4A6AC74A">
            <w:pPr>
              <w:jc w:val="center"/>
              <w:rPr>
                <w:rFonts w:hint="eastAsia" w:ascii="宋体" w:hAnsi="宋体" w:eastAsia="宋体" w:cs="宋体"/>
                <w:b w:val="0"/>
                <w:bCs w:val="0"/>
                <w:snapToGrid w:val="0"/>
                <w:color w:val="0000FF"/>
                <w:spacing w:val="8"/>
                <w:kern w:val="0"/>
                <w:sz w:val="21"/>
                <w:szCs w:val="21"/>
                <w:lang w:val="en-US" w:eastAsia="zh-CN" w:bidi="ar-SA"/>
              </w:rPr>
            </w:pPr>
          </w:p>
        </w:tc>
      </w:tr>
    </w:tbl>
    <w:p w14:paraId="50AAEA9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0" w:beforeLines="50" w:after="0" w:afterLines="50" w:line="219" w:lineRule="auto"/>
        <w:jc w:val="both"/>
        <w:textAlignment w:val="baseline"/>
        <w:rPr>
          <w:rFonts w:hint="eastAsia" w:ascii="宋体" w:hAnsi="宋体" w:eastAsia="宋体" w:cs="宋体"/>
          <w:b w:val="0"/>
          <w:bCs w:val="0"/>
          <w:snapToGrid w:val="0"/>
          <w:color w:val="0000FF"/>
          <w:spacing w:val="8"/>
          <w:kern w:val="0"/>
          <w:sz w:val="21"/>
          <w:szCs w:val="21"/>
          <w:lang w:val="en-US" w:eastAsia="zh-CN" w:bidi="ar-SA"/>
        </w:rPr>
      </w:pPr>
    </w:p>
    <w:p w14:paraId="67418783">
      <w:pPr>
        <w:keepNext w:val="0"/>
        <w:keepLines w:val="0"/>
        <w:pageBreakBefore w:val="0"/>
        <w:widowControl/>
        <w:numPr>
          <w:ilvl w:val="0"/>
          <w:numId w:val="2"/>
        </w:numPr>
        <w:kinsoku w:val="0"/>
        <w:wordWrap/>
        <w:overflowPunct/>
        <w:topLinePunct w:val="0"/>
        <w:autoSpaceDE w:val="0"/>
        <w:autoSpaceDN w:val="0"/>
        <w:bidi w:val="0"/>
        <w:adjustRightInd w:val="0"/>
        <w:snapToGrid w:val="0"/>
        <w:spacing w:before="0" w:beforeLines="50" w:after="0" w:afterLines="50" w:line="219" w:lineRule="auto"/>
        <w:ind w:left="317"/>
        <w:jc w:val="center"/>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技术参数及要求</w:t>
      </w:r>
    </w:p>
    <w:tbl>
      <w:tblPr>
        <w:tblStyle w:val="10"/>
        <w:tblW w:w="9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1"/>
        <w:gridCol w:w="1752"/>
        <w:gridCol w:w="803"/>
        <w:gridCol w:w="6196"/>
      </w:tblGrid>
      <w:tr w14:paraId="05962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tblHeader/>
        </w:trPr>
        <w:tc>
          <w:tcPr>
            <w:tcW w:w="781" w:type="dxa"/>
            <w:tcBorders>
              <w:bottom w:val="single" w:color="auto" w:sz="4" w:space="0"/>
              <w:right w:val="single" w:color="000000" w:sz="4" w:space="0"/>
            </w:tcBorders>
            <w:noWrap w:val="0"/>
            <w:vAlign w:val="center"/>
          </w:tcPr>
          <w:p w14:paraId="519ED3C3">
            <w:pPr>
              <w:pStyle w:val="18"/>
              <w:spacing w:after="78" w:line="240" w:lineRule="auto"/>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品目</w:t>
            </w:r>
          </w:p>
        </w:tc>
        <w:tc>
          <w:tcPr>
            <w:tcW w:w="1752" w:type="dxa"/>
            <w:tcBorders>
              <w:left w:val="single" w:color="000000" w:sz="4" w:space="0"/>
              <w:bottom w:val="single" w:color="auto" w:sz="4" w:space="0"/>
              <w:right w:val="single" w:color="000000" w:sz="4" w:space="0"/>
            </w:tcBorders>
            <w:noWrap w:val="0"/>
            <w:vAlign w:val="center"/>
          </w:tcPr>
          <w:p w14:paraId="6CC99F0E">
            <w:pPr>
              <w:pStyle w:val="18"/>
              <w:spacing w:line="240" w:lineRule="auto"/>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产品名称</w:t>
            </w:r>
          </w:p>
        </w:tc>
        <w:tc>
          <w:tcPr>
            <w:tcW w:w="803" w:type="dxa"/>
            <w:tcBorders>
              <w:left w:val="single" w:color="000000" w:sz="4" w:space="0"/>
              <w:bottom w:val="single" w:color="auto" w:sz="4" w:space="0"/>
              <w:right w:val="single" w:color="000000" w:sz="4" w:space="0"/>
            </w:tcBorders>
            <w:noWrap w:val="0"/>
            <w:vAlign w:val="center"/>
          </w:tcPr>
          <w:p w14:paraId="6768604F">
            <w:pPr>
              <w:pStyle w:val="18"/>
              <w:spacing w:line="240" w:lineRule="auto"/>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数量</w:t>
            </w:r>
          </w:p>
          <w:p w14:paraId="779669C3">
            <w:pPr>
              <w:pStyle w:val="18"/>
              <w:spacing w:line="240" w:lineRule="auto"/>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(台/套)</w:t>
            </w:r>
          </w:p>
        </w:tc>
        <w:tc>
          <w:tcPr>
            <w:tcW w:w="6196" w:type="dxa"/>
            <w:tcBorders>
              <w:left w:val="single" w:color="000000" w:sz="4" w:space="0"/>
              <w:bottom w:val="single" w:color="auto" w:sz="4" w:space="0"/>
            </w:tcBorders>
            <w:noWrap w:val="0"/>
            <w:vAlign w:val="center"/>
          </w:tcPr>
          <w:p w14:paraId="49B804E9">
            <w:pPr>
              <w:pStyle w:val="18"/>
              <w:spacing w:line="240" w:lineRule="auto"/>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技术规格及功能要求</w:t>
            </w:r>
          </w:p>
        </w:tc>
      </w:tr>
      <w:tr w14:paraId="3D6E6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2" w:hRule="atLeast"/>
        </w:trPr>
        <w:tc>
          <w:tcPr>
            <w:tcW w:w="781" w:type="dxa"/>
            <w:noWrap w:val="0"/>
            <w:vAlign w:val="center"/>
          </w:tcPr>
          <w:p w14:paraId="793284D3">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1752" w:type="dxa"/>
            <w:noWrap w:val="0"/>
            <w:vAlign w:val="center"/>
          </w:tcPr>
          <w:p w14:paraId="7671C8F4">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II级A2型生物安全柜</w:t>
            </w:r>
          </w:p>
        </w:tc>
        <w:tc>
          <w:tcPr>
            <w:tcW w:w="803" w:type="dxa"/>
            <w:noWrap w:val="0"/>
            <w:vAlign w:val="center"/>
          </w:tcPr>
          <w:p w14:paraId="35F33937">
            <w:pPr>
              <w:pStyle w:val="18"/>
              <w:spacing w:line="240" w:lineRule="auto"/>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26B3F958">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1、平均</w:t>
            </w:r>
            <w:r>
              <w:rPr>
                <w:rFonts w:hint="eastAsia"/>
                <w:color w:val="0000FF"/>
                <w:sz w:val="21"/>
                <w:szCs w:val="21"/>
                <w:highlight w:val="none"/>
                <w:lang w:eastAsia="zh-CN"/>
              </w:rPr>
              <w:t>照度≥</w:t>
            </w:r>
            <w:r>
              <w:rPr>
                <w:rFonts w:hint="eastAsia"/>
                <w:color w:val="0000FF"/>
                <w:sz w:val="21"/>
                <w:szCs w:val="21"/>
                <w:highlight w:val="none"/>
                <w:lang w:val="en-US" w:eastAsia="zh-CN"/>
              </w:rPr>
              <w:t>650Lx，每个照度实测</w:t>
            </w:r>
            <w:r>
              <w:rPr>
                <w:rFonts w:hint="eastAsia"/>
                <w:color w:val="0000FF"/>
                <w:sz w:val="21"/>
                <w:szCs w:val="21"/>
                <w:highlight w:val="none"/>
                <w:lang w:eastAsia="zh-CN"/>
              </w:rPr>
              <w:t>≥</w:t>
            </w:r>
            <w:r>
              <w:rPr>
                <w:rFonts w:hint="eastAsia"/>
                <w:color w:val="0000FF"/>
                <w:sz w:val="21"/>
                <w:szCs w:val="21"/>
                <w:highlight w:val="none"/>
                <w:lang w:val="en-US" w:eastAsia="zh-CN"/>
              </w:rPr>
              <w:t>430Lx。</w:t>
            </w:r>
          </w:p>
          <w:p w14:paraId="26A1CBB2">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2、噪音≤</w:t>
            </w:r>
            <w:r>
              <w:rPr>
                <w:rFonts w:hint="default" w:ascii="宋体" w:hAnsi="宋体" w:eastAsia="宋体" w:cs="宋体"/>
                <w:b w:val="0"/>
                <w:bCs w:val="0"/>
                <w:snapToGrid w:val="0"/>
                <w:color w:val="0000FF"/>
                <w:spacing w:val="8"/>
                <w:kern w:val="0"/>
                <w:sz w:val="21"/>
                <w:szCs w:val="21"/>
                <w:highlight w:val="none"/>
                <w:lang w:val="en" w:eastAsia="zh-CN" w:bidi="ar-SA"/>
              </w:rPr>
              <w:t>65</w:t>
            </w:r>
            <w:r>
              <w:rPr>
                <w:rFonts w:hint="eastAsia" w:ascii="宋体" w:hAnsi="宋体" w:eastAsia="宋体" w:cs="宋体"/>
                <w:b w:val="0"/>
                <w:bCs w:val="0"/>
                <w:snapToGrid w:val="0"/>
                <w:color w:val="0000FF"/>
                <w:spacing w:val="8"/>
                <w:kern w:val="0"/>
                <w:sz w:val="21"/>
                <w:szCs w:val="21"/>
                <w:highlight w:val="none"/>
                <w:lang w:val="en-US" w:eastAsia="zh-CN" w:bidi="ar-SA"/>
              </w:rPr>
              <w:t>dB。</w:t>
            </w:r>
          </w:p>
          <w:p w14:paraId="1F6B8F2F">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3、紫外灯带定时功能，与前窗互锁。</w:t>
            </w:r>
          </w:p>
          <w:p w14:paraId="7549F6A1">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柜体为双层负压设计，负压排污地盘通过鼓风机吸入并迅速捕获室内空气，并分别通过下降和外排HEPA过滤器。直流双风机设计，分别独立控制进风风速和下降风速，无需节气阀则可通过自动提高转速补偿风速损失，实时调控保证风速稳定。</w:t>
            </w:r>
          </w:p>
          <w:p w14:paraId="14CED6B1">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5、直流无碳刷电机，免维护；配有整流器，无需电压补偿，能在90-250V宽电压范围内正常工作。</w:t>
            </w:r>
          </w:p>
          <w:p w14:paraId="2925C38F">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6、排气量≥580 m</w:t>
            </w:r>
            <w:r>
              <w:rPr>
                <w:rFonts w:hint="eastAsia" w:ascii="宋体" w:hAnsi="宋体" w:eastAsia="宋体" w:cs="宋体"/>
                <w:b w:val="0"/>
                <w:bCs w:val="0"/>
                <w:snapToGrid w:val="0"/>
                <w:color w:val="0000FF"/>
                <w:spacing w:val="8"/>
                <w:kern w:val="0"/>
                <w:sz w:val="21"/>
                <w:szCs w:val="21"/>
                <w:highlight w:val="none"/>
                <w:vertAlign w:val="superscript"/>
                <w:lang w:val="en-US" w:eastAsia="zh-CN" w:bidi="ar-SA"/>
              </w:rPr>
              <w:t>3</w:t>
            </w:r>
            <w:r>
              <w:rPr>
                <w:rFonts w:hint="eastAsia" w:ascii="宋体" w:hAnsi="宋体" w:eastAsia="宋体" w:cs="宋体"/>
                <w:b w:val="0"/>
                <w:bCs w:val="0"/>
                <w:snapToGrid w:val="0"/>
                <w:color w:val="0000FF"/>
                <w:spacing w:val="8"/>
                <w:kern w:val="0"/>
                <w:sz w:val="21"/>
                <w:szCs w:val="21"/>
                <w:highlight w:val="none"/>
                <w:lang w:val="en-US" w:eastAsia="zh-CN" w:bidi="ar-SA"/>
              </w:rPr>
              <w:t>/h ，流入气流平均流速&gt;0.5m/s。</w:t>
            </w:r>
          </w:p>
          <w:p w14:paraId="19EF687C">
            <w:pPr>
              <w:spacing w:line="300" w:lineRule="auto"/>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7、25℃下热量输出</w:t>
            </w:r>
            <w:r>
              <w:rPr>
                <w:rFonts w:hint="eastAsia" w:ascii="微软雅黑" w:hAnsi="微软雅黑" w:eastAsia="微软雅黑" w:cs="微软雅黑"/>
                <w:b w:val="0"/>
                <w:bCs w:val="0"/>
                <w:snapToGrid w:val="0"/>
                <w:color w:val="0000FF"/>
                <w:spacing w:val="8"/>
                <w:kern w:val="0"/>
                <w:sz w:val="21"/>
                <w:szCs w:val="21"/>
                <w:highlight w:val="none"/>
                <w:lang w:val="en-US" w:eastAsia="zh-CN" w:bidi="ar-SA"/>
              </w:rPr>
              <w:t>~</w:t>
            </w:r>
            <w:r>
              <w:rPr>
                <w:rFonts w:hint="eastAsia" w:ascii="宋体" w:hAnsi="宋体" w:eastAsia="宋体" w:cs="宋体"/>
                <w:b w:val="0"/>
                <w:bCs w:val="0"/>
                <w:snapToGrid w:val="0"/>
                <w:color w:val="0000FF"/>
                <w:spacing w:val="8"/>
                <w:kern w:val="0"/>
                <w:sz w:val="21"/>
                <w:szCs w:val="21"/>
                <w:highlight w:val="none"/>
                <w:lang w:val="en-US" w:eastAsia="zh-CN" w:bidi="ar-SA"/>
              </w:rPr>
              <w:t>0.15 kW</w:t>
            </w:r>
          </w:p>
          <w:p w14:paraId="553E1D62">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8、采用通用HEPA过滤器（HEPA H 14 EN 1822），对直径0.3μm的颗粒（病原体）截留效率99.995%以上。</w:t>
            </w:r>
          </w:p>
          <w:p w14:paraId="15DA746B">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★9、双人，工作区尺寸宽度≥1800mm；外部尺寸宽度≥1900mm。</w:t>
            </w:r>
          </w:p>
          <w:p w14:paraId="00D8DBD5">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10、一体成型不锈钢内壁的主体柜，圆角设计，无焊缝；防止UV光学、腐蚀剂和消毒剂侵蚀。</w:t>
            </w:r>
          </w:p>
          <w:p w14:paraId="0C1895F1">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11、侧壁采用真空设计，无开孔、细缝及清洁死角；侧壁与排液槽密封连接为一体。</w:t>
            </w:r>
          </w:p>
          <w:p w14:paraId="140591A0">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12、前窗10°倾斜，工作开口高度 250mm，最大高度535 mm，采用双探头监控，具有声光报警。</w:t>
            </w:r>
          </w:p>
          <w:p w14:paraId="21D26AFD">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13、前窗采用清洗位置安全设计，可下滑至手臂位置，操作者无须将头与身体探入柜内即可彻底清洁前窗。</w:t>
            </w:r>
          </w:p>
          <w:p w14:paraId="14BB0643">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14、柜体前方控制面板，可实时显示工作时间、风速等参数，有“红绿灯式”实时运行监控系统运行状态，主动报警。</w:t>
            </w:r>
          </w:p>
          <w:p w14:paraId="0E373ACC">
            <w:pPr>
              <w:spacing w:line="30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15、前窗关闭后，节能模式自动启动，风速自动降低70%，实际能耗降低90%。</w:t>
            </w:r>
          </w:p>
          <w:p w14:paraId="0D329701">
            <w:pPr>
              <w:widowControl/>
              <w:numPr>
                <w:ilvl w:val="0"/>
                <w:numId w:val="0"/>
              </w:numPr>
              <w:spacing w:before="75" w:after="75" w:line="240" w:lineRule="auto"/>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16、提供投标产品的售后服务承诺书原件扫描件.</w:t>
            </w:r>
          </w:p>
        </w:tc>
      </w:tr>
      <w:tr w14:paraId="34AD9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81" w:type="dxa"/>
            <w:noWrap w:val="0"/>
            <w:vAlign w:val="center"/>
          </w:tcPr>
          <w:p w14:paraId="692C6EEC">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w:t>
            </w:r>
          </w:p>
        </w:tc>
        <w:tc>
          <w:tcPr>
            <w:tcW w:w="1752" w:type="dxa"/>
            <w:noWrap w:val="0"/>
            <w:vAlign w:val="center"/>
          </w:tcPr>
          <w:p w14:paraId="133FB856">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普通PCR仪（梯度扩增仪）</w:t>
            </w:r>
          </w:p>
          <w:p w14:paraId="053982DC">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p>
        </w:tc>
        <w:tc>
          <w:tcPr>
            <w:tcW w:w="803" w:type="dxa"/>
            <w:noWrap w:val="0"/>
            <w:vAlign w:val="center"/>
          </w:tcPr>
          <w:p w14:paraId="51A77881">
            <w:pPr>
              <w:pStyle w:val="18"/>
              <w:spacing w:line="240" w:lineRule="auto"/>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w:t>
            </w:r>
          </w:p>
        </w:tc>
        <w:tc>
          <w:tcPr>
            <w:tcW w:w="6196" w:type="dxa"/>
            <w:noWrap w:val="0"/>
            <w:vAlign w:val="center"/>
          </w:tcPr>
          <w:p w14:paraId="72DF06C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1、适用耗材：0.2ml单管, 0.2mL 8联管, 0.2ml全裙边、半裙边和无裙边96孔板。</w:t>
            </w:r>
          </w:p>
          <w:p w14:paraId="0CF6C28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2、样本通量：96。</w:t>
            </w:r>
          </w:p>
          <w:p w14:paraId="22A2AD3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3、反应体系：5~100μL。</w:t>
            </w:r>
          </w:p>
          <w:p w14:paraId="530DD62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4、模块控温范围：4~99.9℃。</w:t>
            </w:r>
          </w:p>
          <w:p w14:paraId="3D7E017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5、控温模式：管内Tube 模式&amp;基座Block模式。</w:t>
            </w:r>
          </w:p>
          <w:p w14:paraId="4AE62D1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6、梯度模块：一次可实现12个梯度温度。</w:t>
            </w:r>
          </w:p>
          <w:p w14:paraId="4A8F0EB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7、梯度温度宽度：1~40℃。</w:t>
            </w:r>
          </w:p>
          <w:p w14:paraId="1170E26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8、梯度温度范围：35~100℃。</w:t>
            </w:r>
          </w:p>
          <w:p w14:paraId="6A27490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9、热盖温度范围：40~110℃。</w:t>
            </w:r>
          </w:p>
          <w:p w14:paraId="28981F8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10、模块温度均匀性≤±0.2℃。</w:t>
            </w:r>
          </w:p>
          <w:p w14:paraId="53220DE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11、温度显示分辨率：0.1℃。</w:t>
            </w:r>
          </w:p>
          <w:p w14:paraId="4164AC3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▲12、最大升/降温速率：≥5.0℃/s。</w:t>
            </w:r>
          </w:p>
          <w:p w14:paraId="72AD2D0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13、最大步骤数：无限制。</w:t>
            </w:r>
          </w:p>
          <w:p w14:paraId="6768F43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14、最大循环数≥99个。</w:t>
            </w:r>
          </w:p>
          <w:p w14:paraId="46E1B5E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15、时间递增/递减：1s~10min，可做Long PCR实验。</w:t>
            </w:r>
          </w:p>
          <w:p w14:paraId="1488948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16、温度递增/递减：0.1~5.0℃，可做Touchdown PCR实验。</w:t>
            </w:r>
          </w:p>
          <w:p w14:paraId="041C099A">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17、程序存储量：＞1000条。</w:t>
            </w:r>
          </w:p>
          <w:p w14:paraId="206E8D5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18、显示界面：≥7寸TFT真彩色液晶触摸屏，分辨率≥800×480。</w:t>
            </w:r>
          </w:p>
          <w:p w14:paraId="6626CE1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19、噪音水平≤55dB。</w:t>
            </w:r>
          </w:p>
          <w:p w14:paraId="1DA995A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20、结构设计：仪器采用前进风后出风的风道设计，支持多台紧密并行放置，节省实验室空间。</w:t>
            </w:r>
          </w:p>
          <w:p w14:paraId="43B1111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软件功能：具有Tm计算功能；具有蜂鸣提示功能；自动计算并显示各列梯度温度；图形界面实时显示PCR运行进程；支持USB存储程序，程序数量无限制；具有待机模式，人性化节约额外用电；具有断电再来电时自动恢复实验功能；预存多个标准实验模板，简化繁琐的编程步骤；实验程序可设快捷方式，一键启动，方便快捷。</w:t>
            </w:r>
          </w:p>
        </w:tc>
      </w:tr>
      <w:tr w14:paraId="66A37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38" w:hRule="atLeast"/>
        </w:trPr>
        <w:tc>
          <w:tcPr>
            <w:tcW w:w="781" w:type="dxa"/>
            <w:noWrap w:val="0"/>
            <w:vAlign w:val="center"/>
          </w:tcPr>
          <w:p w14:paraId="4CBC7D5B">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w:t>
            </w:r>
          </w:p>
        </w:tc>
        <w:tc>
          <w:tcPr>
            <w:tcW w:w="1752" w:type="dxa"/>
            <w:noWrap w:val="0"/>
            <w:vAlign w:val="center"/>
          </w:tcPr>
          <w:p w14:paraId="26EE39B8">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全自动移液工作站</w:t>
            </w:r>
          </w:p>
        </w:tc>
        <w:tc>
          <w:tcPr>
            <w:tcW w:w="803" w:type="dxa"/>
            <w:noWrap w:val="0"/>
            <w:vAlign w:val="center"/>
          </w:tcPr>
          <w:p w14:paraId="218F7AA7">
            <w:pPr>
              <w:pStyle w:val="18"/>
              <w:spacing w:line="240" w:lineRule="auto"/>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19A9FD0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1、主要用途：</w:t>
            </w:r>
          </w:p>
          <w:p w14:paraId="751EA46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PCR体系构建、酶切体系构建、样本浓度均一化、不同稀释比例的梯度稀释，从样品库中有选择的移取样品、样品从一种规格的样品管/板转移至另一规格的样品管/板。</w:t>
            </w:r>
          </w:p>
          <w:p w14:paraId="096ED46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2、工件条件: </w:t>
            </w:r>
          </w:p>
          <w:p w14:paraId="79101A88">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温度：15-30℃，湿度：15-75%，电压：220-240V；</w:t>
            </w:r>
          </w:p>
          <w:p w14:paraId="5CC0B952">
            <w:pPr>
              <w:numPr>
                <w:ilvl w:val="0"/>
                <w:numId w:val="0"/>
              </w:num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en-US" w:bidi="ar-SA"/>
              </w:rPr>
              <w:t>3</w:t>
            </w:r>
            <w:r>
              <w:rPr>
                <w:rFonts w:hint="eastAsia" w:ascii="宋体" w:hAnsi="宋体" w:eastAsia="宋体" w:cs="宋体"/>
                <w:b w:val="0"/>
                <w:bCs w:val="0"/>
                <w:snapToGrid w:val="0"/>
                <w:color w:val="0000FF"/>
                <w:spacing w:val="8"/>
                <w:kern w:val="0"/>
                <w:sz w:val="21"/>
                <w:szCs w:val="21"/>
                <w:highlight w:val="none"/>
                <w:lang w:val="en-US" w:eastAsia="zh-CN" w:bidi="ar-SA"/>
              </w:rPr>
              <w:t xml:space="preserve">、技术指标： </w:t>
            </w:r>
          </w:p>
          <w:p w14:paraId="113EC80C">
            <w:pPr>
              <w:keepNext w:val="0"/>
              <w:keepLines w:val="0"/>
              <w:widowControl/>
              <w:suppressLineNumbers w:val="0"/>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3.1工作原理：通过空气置换方式进行样品的移取，使用一次性枪头，移液精确、防控污染； </w:t>
            </w:r>
          </w:p>
          <w:p w14:paraId="020F854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3.2 技术原理：空气垫式活塞移液技术，精确分液最小体积可达0.5µL，非接触式分液，有效排除移液过程中的交叉污染；</w:t>
            </w:r>
          </w:p>
          <w:p w14:paraId="5C472917">
            <w:pPr>
              <w:spacing w:line="276" w:lineRule="auto"/>
              <w:jc w:val="left"/>
              <w:rPr>
                <w:rFonts w:hint="eastAsia" w:ascii="宋体" w:hAnsi="宋体" w:eastAsia="宋体" w:cs="宋体"/>
                <w:b/>
                <w:bCs/>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w:t>
            </w:r>
            <w:r>
              <w:rPr>
                <w:rFonts w:hint="eastAsia" w:ascii="宋体" w:hAnsi="宋体" w:eastAsia="宋体" w:cs="宋体"/>
                <w:b/>
                <w:bCs/>
                <w:snapToGrid w:val="0"/>
                <w:color w:val="0000FF"/>
                <w:spacing w:val="8"/>
                <w:kern w:val="0"/>
                <w:sz w:val="21"/>
                <w:szCs w:val="21"/>
                <w:highlight w:val="none"/>
                <w:lang w:val="en-US" w:eastAsia="zh-CN" w:bidi="ar-SA"/>
              </w:rPr>
              <w:t>3.3 智能移液功能：具备液面探测能力，使用液面感应式滤芯吸头，通过液面高度感应，可确保移液精度；动态液面感知到具有一定的粘稠度，则会自动调整相应的移液速度；</w:t>
            </w:r>
          </w:p>
          <w:p w14:paraId="1AF4B465">
            <w:pPr>
              <w:numPr>
                <w:ilvl w:val="0"/>
                <w:numId w:val="0"/>
              </w:num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3.4通道数：单通道；</w:t>
            </w:r>
          </w:p>
          <w:p w14:paraId="3094CD0A">
            <w:pPr>
              <w:numPr>
                <w:ilvl w:val="0"/>
                <w:numId w:val="0"/>
              </w:num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3.5 最小移液体积：0.5µL~1000µL；</w:t>
            </w:r>
          </w:p>
          <w:p w14:paraId="266AF4C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▲3.6 温控模块：具有可低温保存模块，可在冰箱预冷和高温消毒，使用时可保持低温；温度：2~8℃。</w:t>
            </w:r>
          </w:p>
          <w:p w14:paraId="49B986A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3.7 污染防制：内置紫外灯，可在使用前后对工作台面进行消毒；预装两个高效HEPA滤膜系统，能有效避免气溶胶的污染，避免交叉污染；</w:t>
            </w:r>
          </w:p>
          <w:p w14:paraId="70F2AE4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3.8 安全防护：在运行中打开</w:t>
            </w:r>
            <w:r>
              <w:rPr>
                <w:rFonts w:hint="eastAsia" w:ascii="宋体" w:hAnsi="宋体" w:eastAsia="宋体" w:cs="宋体"/>
                <w:b w:val="0"/>
                <w:bCs w:val="0"/>
                <w:snapToGrid w:val="0"/>
                <w:color w:val="0000FF"/>
                <w:spacing w:val="8"/>
                <w:kern w:val="0"/>
                <w:sz w:val="21"/>
                <w:szCs w:val="21"/>
                <w:highlight w:val="none"/>
                <w:lang w:val="en-US" w:eastAsia="zh-Hans" w:bidi="ar-SA"/>
              </w:rPr>
              <w:t>外罩</w:t>
            </w:r>
            <w:r>
              <w:rPr>
                <w:rFonts w:hint="eastAsia" w:ascii="宋体" w:hAnsi="宋体" w:eastAsia="宋体" w:cs="宋体"/>
                <w:b w:val="0"/>
                <w:bCs w:val="0"/>
                <w:snapToGrid w:val="0"/>
                <w:color w:val="0000FF"/>
                <w:spacing w:val="8"/>
                <w:kern w:val="0"/>
                <w:sz w:val="21"/>
                <w:szCs w:val="21"/>
                <w:highlight w:val="none"/>
                <w:lang w:val="en-US" w:eastAsia="zh-CN" w:bidi="ar-SA"/>
              </w:rPr>
              <w:t>时，内置式感应器会暂停仪器的机械臂和吸头，保护用户和样本安全；</w:t>
            </w:r>
          </w:p>
          <w:p w14:paraId="156625C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3.9试剂及样品保护：仪器封闭式运行，可</w:t>
            </w:r>
            <w:r>
              <w:rPr>
                <w:rFonts w:hint="eastAsia" w:ascii="宋体" w:hAnsi="宋体" w:eastAsia="宋体" w:cs="宋体"/>
                <w:b w:val="0"/>
                <w:bCs w:val="0"/>
                <w:snapToGrid w:val="0"/>
                <w:color w:val="0000FF"/>
                <w:spacing w:val="8"/>
                <w:kern w:val="0"/>
                <w:sz w:val="21"/>
                <w:szCs w:val="21"/>
                <w:highlight w:val="none"/>
                <w:lang w:val="en-US" w:eastAsia="zh-Hans" w:bidi="ar-SA"/>
              </w:rPr>
              <w:t>保护核酸防止</w:t>
            </w:r>
            <w:r>
              <w:rPr>
                <w:rFonts w:hint="eastAsia" w:ascii="宋体" w:hAnsi="宋体" w:eastAsia="宋体" w:cs="宋体"/>
                <w:b w:val="0"/>
                <w:bCs w:val="0"/>
                <w:snapToGrid w:val="0"/>
                <w:color w:val="0000FF"/>
                <w:spacing w:val="8"/>
                <w:kern w:val="0"/>
                <w:sz w:val="21"/>
                <w:szCs w:val="21"/>
                <w:highlight w:val="none"/>
                <w:lang w:val="en-US" w:eastAsia="zh-CN" w:bidi="ar-SA"/>
              </w:rPr>
              <w:t>其</w:t>
            </w:r>
            <w:r>
              <w:rPr>
                <w:rFonts w:hint="eastAsia" w:ascii="宋体" w:hAnsi="宋体" w:eastAsia="宋体" w:cs="宋体"/>
                <w:b w:val="0"/>
                <w:bCs w:val="0"/>
                <w:snapToGrid w:val="0"/>
                <w:color w:val="0000FF"/>
                <w:spacing w:val="8"/>
                <w:kern w:val="0"/>
                <w:sz w:val="21"/>
                <w:szCs w:val="21"/>
                <w:highlight w:val="none"/>
                <w:lang w:val="en-US" w:eastAsia="zh-Hans" w:bidi="ar-SA"/>
              </w:rPr>
              <w:t>降解</w:t>
            </w:r>
            <w:r>
              <w:rPr>
                <w:rFonts w:hint="eastAsia" w:ascii="宋体" w:hAnsi="宋体" w:eastAsia="宋体" w:cs="宋体"/>
                <w:b w:val="0"/>
                <w:bCs w:val="0"/>
                <w:snapToGrid w:val="0"/>
                <w:color w:val="0000FF"/>
                <w:spacing w:val="8"/>
                <w:kern w:val="0"/>
                <w:sz w:val="21"/>
                <w:szCs w:val="21"/>
                <w:highlight w:val="none"/>
                <w:lang w:val="en-US" w:eastAsia="zh-CN" w:bidi="ar-SA"/>
              </w:rPr>
              <w:t>，所有光敏样品均可不受环境影响；</w:t>
            </w:r>
          </w:p>
          <w:p w14:paraId="51F33A6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▲3.10 移液精度CV值：200ul，CV&lt;0.2%；100ul，CV&lt;1%；5-20 µL，CV&lt;2%；1µL，CV&lt;5%；</w:t>
            </w:r>
          </w:p>
          <w:p w14:paraId="18F98CE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▲3.11加样准确度：CV&lt;0.8%（50ml标准液定容)；</w:t>
            </w:r>
          </w:p>
          <w:p w14:paraId="5D96B2D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Hans" w:bidi="ar-SA"/>
              </w:rPr>
            </w:pPr>
            <w:r>
              <w:rPr>
                <w:rFonts w:hint="eastAsia" w:ascii="宋体" w:hAnsi="宋体" w:eastAsia="宋体" w:cs="宋体"/>
                <w:b w:val="0"/>
                <w:bCs w:val="0"/>
                <w:snapToGrid w:val="0"/>
                <w:color w:val="0000FF"/>
                <w:spacing w:val="8"/>
                <w:kern w:val="0"/>
                <w:sz w:val="21"/>
                <w:szCs w:val="21"/>
                <w:highlight w:val="none"/>
                <w:lang w:val="en-US" w:eastAsia="zh-CN" w:bidi="ar-SA"/>
              </w:rPr>
              <w:t>3</w:t>
            </w:r>
            <w:r>
              <w:rPr>
                <w:rFonts w:hint="eastAsia" w:ascii="宋体" w:hAnsi="宋体" w:eastAsia="宋体" w:cs="宋体"/>
                <w:b w:val="0"/>
                <w:bCs w:val="0"/>
                <w:snapToGrid w:val="0"/>
                <w:color w:val="0000FF"/>
                <w:spacing w:val="8"/>
                <w:kern w:val="0"/>
                <w:sz w:val="21"/>
                <w:szCs w:val="21"/>
                <w:highlight w:val="none"/>
                <w:lang w:val="en-US" w:eastAsia="zh-Hans" w:bidi="ar-SA"/>
              </w:rPr>
              <w:t>.</w:t>
            </w:r>
            <w:r>
              <w:rPr>
                <w:rFonts w:hint="eastAsia" w:ascii="宋体" w:hAnsi="宋体" w:eastAsia="宋体" w:cs="宋体"/>
                <w:b w:val="0"/>
                <w:bCs w:val="0"/>
                <w:snapToGrid w:val="0"/>
                <w:color w:val="0000FF"/>
                <w:spacing w:val="8"/>
                <w:kern w:val="0"/>
                <w:sz w:val="21"/>
                <w:szCs w:val="21"/>
                <w:highlight w:val="none"/>
                <w:lang w:val="en-US" w:eastAsia="zh-CN" w:bidi="ar-SA"/>
              </w:rPr>
              <w:t>12动态感知功能：</w:t>
            </w:r>
            <w:r>
              <w:rPr>
                <w:rFonts w:hint="eastAsia" w:ascii="宋体" w:hAnsi="宋体" w:eastAsia="宋体" w:cs="宋体"/>
                <w:b w:val="0"/>
                <w:bCs w:val="0"/>
                <w:snapToGrid w:val="0"/>
                <w:color w:val="0000FF"/>
                <w:spacing w:val="8"/>
                <w:kern w:val="0"/>
                <w:sz w:val="21"/>
                <w:szCs w:val="21"/>
                <w:highlight w:val="none"/>
                <w:lang w:val="en-US" w:eastAsia="zh-Hans" w:bidi="ar-SA"/>
              </w:rPr>
              <w:t>每一次移液操作中，仪器均会探测液面的弯月面，在吸液时吸头紧贴弯月面下方吸液，在分配液体的过程中连续回缩吸头，提高了移液的准确性并最小化了液体的粘附；</w:t>
            </w:r>
          </w:p>
          <w:p w14:paraId="3F1CDFE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w:t>
            </w:r>
            <w:r>
              <w:rPr>
                <w:rFonts w:hint="eastAsia" w:ascii="宋体" w:hAnsi="宋体" w:eastAsia="宋体" w:cs="宋体"/>
                <w:b w:val="0"/>
                <w:bCs w:val="0"/>
                <w:snapToGrid w:val="0"/>
                <w:color w:val="0000FF"/>
                <w:spacing w:val="8"/>
                <w:kern w:val="0"/>
                <w:sz w:val="21"/>
                <w:szCs w:val="21"/>
                <w:highlight w:val="none"/>
                <w:lang w:val="en-US" w:eastAsia="zh-Hans" w:bidi="ar-SA"/>
              </w:rPr>
              <w:t>.</w:t>
            </w:r>
            <w:r>
              <w:rPr>
                <w:rFonts w:hint="eastAsia" w:ascii="宋体" w:hAnsi="宋体" w:eastAsia="宋体" w:cs="宋体"/>
                <w:b w:val="0"/>
                <w:bCs w:val="0"/>
                <w:snapToGrid w:val="0"/>
                <w:color w:val="0000FF"/>
                <w:spacing w:val="8"/>
                <w:kern w:val="0"/>
                <w:sz w:val="21"/>
                <w:szCs w:val="21"/>
                <w:highlight w:val="none"/>
                <w:lang w:val="en-US" w:eastAsia="zh-CN" w:bidi="ar-SA"/>
              </w:rPr>
              <w:t>13</w:t>
            </w:r>
            <w:r>
              <w:rPr>
                <w:rFonts w:hint="eastAsia" w:ascii="宋体" w:hAnsi="宋体" w:eastAsia="宋体" w:cs="宋体"/>
                <w:b w:val="0"/>
                <w:bCs w:val="0"/>
                <w:snapToGrid w:val="0"/>
                <w:color w:val="0000FF"/>
                <w:spacing w:val="8"/>
                <w:kern w:val="0"/>
                <w:sz w:val="21"/>
                <w:szCs w:val="21"/>
                <w:highlight w:val="none"/>
                <w:lang w:val="en-US" w:eastAsia="zh-Hans" w:bidi="ar-SA"/>
              </w:rPr>
              <w:t xml:space="preserve"> </w:t>
            </w:r>
            <w:r>
              <w:rPr>
                <w:rFonts w:hint="eastAsia" w:ascii="宋体" w:hAnsi="宋体" w:eastAsia="宋体" w:cs="宋体"/>
                <w:b w:val="0"/>
                <w:bCs w:val="0"/>
                <w:snapToGrid w:val="0"/>
                <w:color w:val="0000FF"/>
                <w:spacing w:val="8"/>
                <w:kern w:val="0"/>
                <w:sz w:val="21"/>
                <w:szCs w:val="21"/>
                <w:highlight w:val="none"/>
                <w:lang w:val="en-US" w:eastAsia="zh-CN" w:bidi="ar-SA"/>
              </w:rPr>
              <w:t>通量及速度：通量灵活，兼容市面上各种类型的样本管、板，</w:t>
            </w:r>
            <w:r>
              <w:rPr>
                <w:rFonts w:hint="eastAsia" w:ascii="宋体" w:hAnsi="宋体" w:eastAsia="宋体" w:cs="宋体"/>
                <w:b w:val="0"/>
                <w:bCs w:val="0"/>
                <w:snapToGrid w:val="0"/>
                <w:color w:val="0000FF"/>
                <w:spacing w:val="8"/>
                <w:kern w:val="0"/>
                <w:sz w:val="21"/>
                <w:szCs w:val="21"/>
                <w:highlight w:val="none"/>
                <w:lang w:val="en-US" w:eastAsia="zh-Hans" w:bidi="ar-SA"/>
              </w:rPr>
              <w:t>可在</w:t>
            </w:r>
            <w:r>
              <w:rPr>
                <w:rFonts w:hint="eastAsia" w:ascii="宋体" w:hAnsi="宋体" w:eastAsia="宋体" w:cs="宋体"/>
                <w:b w:val="0"/>
                <w:bCs w:val="0"/>
                <w:snapToGrid w:val="0"/>
                <w:color w:val="0000FF"/>
                <w:spacing w:val="8"/>
                <w:kern w:val="0"/>
                <w:sz w:val="21"/>
                <w:szCs w:val="21"/>
                <w:highlight w:val="none"/>
                <w:lang w:val="en-US" w:eastAsia="zh-CN" w:bidi="ar-SA"/>
              </w:rPr>
              <w:t>25分钟内操作完成96个样品；</w:t>
            </w:r>
          </w:p>
          <w:p w14:paraId="36C0384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3.14工作台面：至少包括8个板位，至少兼容6个SBS标准板位，1个Mastermix板位和1个试剂模块，可根据需要任意摆放样本或者耗材；</w:t>
            </w:r>
          </w:p>
          <w:p w14:paraId="54A8309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3.15吸头使用处理：用过的吸头被弃置于工作平台外部，保证工作环境中无废弃物堆积，避免交叉污染；</w:t>
            </w:r>
          </w:p>
          <w:p w14:paraId="4472E12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w:t>
            </w:r>
            <w:r>
              <w:rPr>
                <w:rFonts w:hint="eastAsia" w:ascii="宋体" w:hAnsi="宋体" w:eastAsia="宋体" w:cs="宋体"/>
                <w:b/>
                <w:bCs/>
                <w:snapToGrid w:val="0"/>
                <w:color w:val="0000FF"/>
                <w:spacing w:val="8"/>
                <w:kern w:val="0"/>
                <w:sz w:val="21"/>
                <w:szCs w:val="21"/>
                <w:highlight w:val="none"/>
                <w:lang w:val="en-US" w:eastAsia="zh-CN" w:bidi="ar-SA"/>
              </w:rPr>
              <w:t>3.16耗材兼容性：可以对几乎所有类型的PCR 管和孔板模式进行移液和体系构建操作，其中包括96 孔板、16×6深孔板、96深孔板、72孔碟状圆盘板、100孔碟状圆盘板、15ml/10ml试剂管、10ml/5ml采血管、2ml冻存管、1.5ml离心管等；</w:t>
            </w:r>
          </w:p>
          <w:p w14:paraId="3A64FFD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3.17 液体处理：仪器配有多种优化的预装程序，如标准化DNA和RNA浓度、样品从一种模式的孔板转移到另一种模式、不同比稀释比例的梯度稀释、从样品库中有选择性的移取样品、样本浓度均一化等，预装程序也可选择自选编程，以实现高精度的移液操作；</w:t>
            </w:r>
          </w:p>
          <w:p w14:paraId="2983C20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3.18数据可追溯性：全程跟踪样本信息，并可自动生成实验运行前/后报告；</w:t>
            </w:r>
          </w:p>
          <w:p w14:paraId="39F0803A">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3.19 操作设置界面：全中文操作软件，可自动存储及处理数据，仪器软件易于操作，操作界面全部为中文。</w:t>
            </w:r>
          </w:p>
          <w:p w14:paraId="0E39C6F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Hans" w:bidi="ar-SA"/>
              </w:rPr>
            </w:pPr>
            <w:r>
              <w:rPr>
                <w:rFonts w:hint="eastAsia" w:ascii="宋体" w:hAnsi="宋体" w:eastAsia="宋体" w:cs="宋体"/>
                <w:b w:val="0"/>
                <w:bCs w:val="0"/>
                <w:snapToGrid w:val="0"/>
                <w:color w:val="0000FF"/>
                <w:spacing w:val="8"/>
                <w:kern w:val="0"/>
                <w:sz w:val="21"/>
                <w:szCs w:val="21"/>
                <w:highlight w:val="none"/>
                <w:lang w:val="en-US" w:eastAsia="zh-CN" w:bidi="ar-SA"/>
              </w:rPr>
              <w:t>3</w:t>
            </w:r>
            <w:r>
              <w:rPr>
                <w:rFonts w:hint="eastAsia" w:ascii="宋体" w:hAnsi="宋体" w:eastAsia="宋体" w:cs="宋体"/>
                <w:b w:val="0"/>
                <w:bCs w:val="0"/>
                <w:snapToGrid w:val="0"/>
                <w:color w:val="0000FF"/>
                <w:spacing w:val="8"/>
                <w:kern w:val="0"/>
                <w:sz w:val="21"/>
                <w:szCs w:val="21"/>
                <w:highlight w:val="none"/>
                <w:lang w:val="en-US" w:eastAsia="zh-Hans" w:bidi="ar-SA"/>
              </w:rPr>
              <w:t>.</w:t>
            </w:r>
            <w:r>
              <w:rPr>
                <w:rFonts w:hint="eastAsia" w:ascii="宋体" w:hAnsi="宋体" w:eastAsia="宋体" w:cs="宋体"/>
                <w:b w:val="0"/>
                <w:bCs w:val="0"/>
                <w:snapToGrid w:val="0"/>
                <w:color w:val="0000FF"/>
                <w:spacing w:val="8"/>
                <w:kern w:val="0"/>
                <w:sz w:val="21"/>
                <w:szCs w:val="21"/>
                <w:highlight w:val="none"/>
                <w:lang w:val="en-US" w:eastAsia="zh-CN" w:bidi="ar-SA"/>
              </w:rPr>
              <w:t>20自选编程功能：</w:t>
            </w:r>
            <w:r>
              <w:rPr>
                <w:rFonts w:hint="eastAsia" w:ascii="宋体" w:hAnsi="宋体" w:eastAsia="宋体" w:cs="宋体"/>
                <w:b w:val="0"/>
                <w:bCs w:val="0"/>
                <w:snapToGrid w:val="0"/>
                <w:color w:val="0000FF"/>
                <w:spacing w:val="8"/>
                <w:kern w:val="0"/>
                <w:sz w:val="21"/>
                <w:szCs w:val="21"/>
                <w:highlight w:val="none"/>
                <w:lang w:val="en-US" w:eastAsia="zh-Hans" w:bidi="ar-SA"/>
              </w:rPr>
              <w:t>允许用户自选编程，简单易用，无需代码编程，仅需自由组合板位信息等就可以实现各类高精度的移液操作；</w:t>
            </w:r>
          </w:p>
          <w:p w14:paraId="42503E3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4、配置清单：</w:t>
            </w:r>
          </w:p>
          <w:p w14:paraId="18DC47F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4.1 全自动高精度移液工作站 1台；</w:t>
            </w:r>
          </w:p>
          <w:p w14:paraId="02827B5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4.2 适配器及耗材1套；</w:t>
            </w:r>
          </w:p>
          <w:p w14:paraId="5E8B866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4.3 配置数据处理系统；</w:t>
            </w:r>
          </w:p>
          <w:p w14:paraId="27CD07C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en-US" w:bidi="ar-SA"/>
              </w:rPr>
            </w:pPr>
            <w:r>
              <w:rPr>
                <w:rFonts w:hint="eastAsia" w:ascii="宋体" w:hAnsi="宋体" w:eastAsia="宋体" w:cs="宋体"/>
                <w:b w:val="0"/>
                <w:bCs w:val="0"/>
                <w:snapToGrid w:val="0"/>
                <w:color w:val="0000FF"/>
                <w:spacing w:val="8"/>
                <w:kern w:val="0"/>
                <w:sz w:val="21"/>
                <w:szCs w:val="21"/>
                <w:highlight w:val="none"/>
                <w:lang w:val="en-US" w:eastAsia="zh-CN" w:bidi="ar-SA"/>
              </w:rPr>
              <w:t>4.4 配UPS电源（≥2h）1套。</w:t>
            </w:r>
          </w:p>
        </w:tc>
      </w:tr>
      <w:tr w14:paraId="44F3A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2" w:hRule="atLeast"/>
        </w:trPr>
        <w:tc>
          <w:tcPr>
            <w:tcW w:w="781" w:type="dxa"/>
            <w:noWrap w:val="0"/>
            <w:vAlign w:val="center"/>
          </w:tcPr>
          <w:p w14:paraId="601238AF">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w:t>
            </w:r>
          </w:p>
        </w:tc>
        <w:tc>
          <w:tcPr>
            <w:tcW w:w="1752" w:type="dxa"/>
            <w:noWrap w:val="0"/>
            <w:vAlign w:val="center"/>
          </w:tcPr>
          <w:p w14:paraId="2881611A">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低温操作平台</w:t>
            </w:r>
          </w:p>
        </w:tc>
        <w:tc>
          <w:tcPr>
            <w:tcW w:w="803" w:type="dxa"/>
            <w:noWrap w:val="0"/>
            <w:vAlign w:val="center"/>
          </w:tcPr>
          <w:p w14:paraId="3DDFB322">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5F497EF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1、采用高清触摸显示，线路控制更为准确、直观、可靠,并且显示故障信息，方便故障排除。</w:t>
            </w:r>
          </w:p>
          <w:p w14:paraId="17493E5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2、设备可实时显示温度/时间的动态变化曲线。</w:t>
            </w:r>
          </w:p>
          <w:p w14:paraId="7413356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3、该设备具有USB数据导出功能，实现数据可追溯性，方便质量监控。</w:t>
            </w:r>
          </w:p>
          <w:p w14:paraId="2CB53D4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4、压缩机节能，环保，性能稳定，静音运转，冷凝器采用翘片铜管式强制风冷循环。</w:t>
            </w:r>
          </w:p>
          <w:p w14:paraId="40D47A0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▲5、电动升降控制玻璃，在保证仓内温度和生物安全的前提下，设置限高警戒线。</w:t>
            </w:r>
          </w:p>
          <w:p w14:paraId="34B66FD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6、制冷方式采用风冷，温度控制均匀，冷却速度快，内循环采用恒速电机，高效稳定，不会出现结冰现象。</w:t>
            </w:r>
          </w:p>
          <w:p w14:paraId="46FCB5D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7、双压缩机制冷系统，如果一台压缩机出现故障，另外一台可以继续工作确保使用安全。</w:t>
            </w:r>
          </w:p>
          <w:p w14:paraId="23E6214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8、设备箱体采用喷塑镀锌钢板，聚氨酯高压整体发泡，保温效果好。</w:t>
            </w:r>
          </w:p>
          <w:p w14:paraId="42AB499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9、操作台面采用耐腐304不锈钢。内部为304不锈钢板材，耐腐蚀，易清理。</w:t>
            </w:r>
          </w:p>
          <w:p w14:paraId="0DD2CFB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10、独立的声、光报警系统，当操作台面的温度超过设定值时，自动停机并且报警。</w:t>
            </w:r>
          </w:p>
          <w:p w14:paraId="7A39FA6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11、配备照明和紫外线灯管，可以对内腔进行杀菌消毒。</w:t>
            </w:r>
          </w:p>
          <w:p w14:paraId="36DBE4A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12、压缩机组内置，并配备移动脚轮，移动方便。</w:t>
            </w:r>
          </w:p>
          <w:p w14:paraId="19B2D1D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13、带过滤净化系统。</w:t>
            </w:r>
          </w:p>
          <w:p w14:paraId="153395B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14、工作电压</w:t>
            </w:r>
            <w:r>
              <w:rPr>
                <w:rFonts w:hint="eastAsia" w:ascii="宋体" w:hAnsi="宋体" w:eastAsia="宋体" w:cs="宋体"/>
                <w:b w:val="0"/>
                <w:bCs w:val="0"/>
                <w:snapToGrid w:val="0"/>
                <w:color w:val="0000FF"/>
                <w:spacing w:val="8"/>
                <w:kern w:val="0"/>
                <w:sz w:val="21"/>
                <w:szCs w:val="21"/>
                <w:highlight w:val="none"/>
                <w:lang w:val="en-US" w:eastAsia="zh-CN" w:bidi="ar-SA"/>
              </w:rPr>
              <w:tab/>
            </w:r>
            <w:r>
              <w:rPr>
                <w:rFonts w:hint="eastAsia" w:ascii="宋体" w:hAnsi="宋体" w:eastAsia="宋体" w:cs="宋体"/>
                <w:b w:val="0"/>
                <w:bCs w:val="0"/>
                <w:snapToGrid w:val="0"/>
                <w:color w:val="0000FF"/>
                <w:spacing w:val="8"/>
                <w:kern w:val="0"/>
                <w:sz w:val="21"/>
                <w:szCs w:val="21"/>
                <w:highlight w:val="none"/>
                <w:lang w:val="en-US" w:eastAsia="zh-CN" w:bidi="ar-SA"/>
              </w:rPr>
              <w:t>220V/50Hz。</w:t>
            </w:r>
          </w:p>
          <w:p w14:paraId="2C427FF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15、输出功率</w:t>
            </w:r>
            <w:r>
              <w:rPr>
                <w:rFonts w:hint="eastAsia" w:ascii="宋体" w:hAnsi="宋体" w:eastAsia="宋体" w:cs="宋体"/>
                <w:b w:val="0"/>
                <w:bCs w:val="0"/>
                <w:snapToGrid w:val="0"/>
                <w:color w:val="0000FF"/>
                <w:spacing w:val="8"/>
                <w:kern w:val="0"/>
                <w:sz w:val="21"/>
                <w:szCs w:val="21"/>
                <w:highlight w:val="none"/>
                <w:lang w:val="en-US" w:eastAsia="zh-CN" w:bidi="ar-SA"/>
              </w:rPr>
              <w:tab/>
            </w:r>
            <w:r>
              <w:rPr>
                <w:rFonts w:hint="eastAsia" w:ascii="宋体" w:hAnsi="宋体" w:eastAsia="宋体" w:cs="宋体"/>
                <w:b w:val="0"/>
                <w:bCs w:val="0"/>
                <w:snapToGrid w:val="0"/>
                <w:color w:val="0000FF"/>
                <w:spacing w:val="8"/>
                <w:kern w:val="0"/>
                <w:sz w:val="21"/>
                <w:szCs w:val="21"/>
                <w:highlight w:val="none"/>
                <w:lang w:val="en-US" w:eastAsia="zh-CN" w:bidi="ar-SA"/>
              </w:rPr>
              <w:t>≥1200W。</w:t>
            </w:r>
          </w:p>
          <w:p w14:paraId="258A8A2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16、工作台表面温度</w:t>
            </w:r>
            <w:r>
              <w:rPr>
                <w:rFonts w:hint="eastAsia" w:ascii="宋体" w:hAnsi="宋体" w:eastAsia="宋体" w:cs="宋体"/>
                <w:b w:val="0"/>
                <w:bCs w:val="0"/>
                <w:snapToGrid w:val="0"/>
                <w:color w:val="0000FF"/>
                <w:spacing w:val="8"/>
                <w:kern w:val="0"/>
                <w:sz w:val="21"/>
                <w:szCs w:val="21"/>
                <w:highlight w:val="none"/>
                <w:lang w:val="en-US" w:eastAsia="zh-CN" w:bidi="ar-SA"/>
              </w:rPr>
              <w:tab/>
            </w:r>
            <w:r>
              <w:rPr>
                <w:rFonts w:hint="eastAsia" w:ascii="宋体" w:hAnsi="宋体" w:eastAsia="宋体" w:cs="宋体"/>
                <w:b w:val="0"/>
                <w:bCs w:val="0"/>
                <w:snapToGrid w:val="0"/>
                <w:color w:val="0000FF"/>
                <w:spacing w:val="8"/>
                <w:kern w:val="0"/>
                <w:sz w:val="21"/>
                <w:szCs w:val="21"/>
                <w:highlight w:val="none"/>
                <w:lang w:val="en-US" w:eastAsia="zh-CN" w:bidi="ar-SA"/>
              </w:rPr>
              <w:t>2~8℃。</w:t>
            </w:r>
          </w:p>
          <w:p w14:paraId="4D6F156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17、</w:t>
            </w:r>
            <w:r>
              <w:rPr>
                <w:rFonts w:hint="eastAsia"/>
                <w:color w:val="0000FF"/>
                <w:sz w:val="21"/>
                <w:szCs w:val="21"/>
                <w:highlight w:val="none"/>
                <w:lang w:val="en-US" w:eastAsia="zh-CN"/>
              </w:rPr>
              <w:t xml:space="preserve">噪音≤ 55dB </w:t>
            </w:r>
            <w:r>
              <w:rPr>
                <w:rFonts w:hint="eastAsia" w:ascii="宋体" w:hAnsi="宋体" w:eastAsia="宋体" w:cs="宋体"/>
                <w:b w:val="0"/>
                <w:bCs w:val="0"/>
                <w:snapToGrid w:val="0"/>
                <w:color w:val="0000FF"/>
                <w:spacing w:val="8"/>
                <w:kern w:val="0"/>
                <w:sz w:val="21"/>
                <w:szCs w:val="21"/>
                <w:highlight w:val="none"/>
                <w:lang w:val="en-US" w:eastAsia="zh-CN" w:bidi="ar-SA"/>
              </w:rPr>
              <w:t>。</w:t>
            </w:r>
          </w:p>
          <w:p w14:paraId="31D49A9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18、降温时间</w:t>
            </w:r>
            <w:r>
              <w:rPr>
                <w:rFonts w:hint="eastAsia" w:ascii="宋体" w:hAnsi="宋体" w:eastAsia="宋体" w:cs="宋体"/>
                <w:b w:val="0"/>
                <w:bCs w:val="0"/>
                <w:snapToGrid w:val="0"/>
                <w:color w:val="0000FF"/>
                <w:spacing w:val="8"/>
                <w:kern w:val="0"/>
                <w:sz w:val="21"/>
                <w:szCs w:val="21"/>
                <w:highlight w:val="none"/>
                <w:lang w:val="en-US" w:eastAsia="zh-CN" w:bidi="ar-SA"/>
              </w:rPr>
              <w:tab/>
            </w:r>
            <w:r>
              <w:rPr>
                <w:rFonts w:hint="eastAsia" w:ascii="宋体" w:hAnsi="宋体" w:eastAsia="宋体" w:cs="宋体"/>
                <w:b w:val="0"/>
                <w:bCs w:val="0"/>
                <w:snapToGrid w:val="0"/>
                <w:color w:val="0000FF"/>
                <w:spacing w:val="8"/>
                <w:kern w:val="0"/>
                <w:sz w:val="21"/>
                <w:szCs w:val="21"/>
                <w:highlight w:val="none"/>
                <w:lang w:val="en-US" w:eastAsia="zh-CN" w:bidi="ar-SA"/>
              </w:rPr>
              <w:t>≤30min。</w:t>
            </w:r>
          </w:p>
          <w:p w14:paraId="3DD38AB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color w:val="0000FF"/>
                <w:sz w:val="21"/>
                <w:szCs w:val="21"/>
                <w:highlight w:val="none"/>
                <w:lang w:val="en-US" w:eastAsia="zh-CN"/>
              </w:rPr>
              <w:t>19、有漏电保护装置，确保用电安全。</w:t>
            </w:r>
          </w:p>
          <w:p w14:paraId="71A1BA0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20、外部尺寸：高度不能超过1800mm。</w:t>
            </w:r>
          </w:p>
          <w:p w14:paraId="6E8032F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21、有效工作面积（冷藏面积）≥0.88㎡。</w:t>
            </w:r>
          </w:p>
          <w:p w14:paraId="241BF23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val="0"/>
                <w:snapToGrid w:val="0"/>
                <w:color w:val="0000FF"/>
                <w:spacing w:val="8"/>
                <w:kern w:val="0"/>
                <w:sz w:val="21"/>
                <w:szCs w:val="21"/>
                <w:highlight w:val="none"/>
                <w:lang w:val="en-US" w:eastAsia="en-US" w:bidi="ar-SA"/>
              </w:rPr>
            </w:pPr>
            <w:r>
              <w:rPr>
                <w:rFonts w:hint="eastAsia" w:ascii="宋体" w:hAnsi="宋体" w:eastAsia="宋体" w:cs="宋体"/>
                <w:b w:val="0"/>
                <w:bCs w:val="0"/>
                <w:snapToGrid w:val="0"/>
                <w:color w:val="0000FF"/>
                <w:spacing w:val="8"/>
                <w:kern w:val="0"/>
                <w:sz w:val="21"/>
                <w:szCs w:val="21"/>
                <w:highlight w:val="none"/>
                <w:lang w:val="en-US" w:eastAsia="zh-CN" w:bidi="ar-SA"/>
              </w:rPr>
              <w:t>22、配备适用各种管径的低温保存模块。</w:t>
            </w:r>
          </w:p>
        </w:tc>
      </w:tr>
      <w:tr w14:paraId="76E5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81" w:type="dxa"/>
            <w:noWrap w:val="0"/>
            <w:vAlign w:val="center"/>
          </w:tcPr>
          <w:p w14:paraId="0DBBF3AC">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w:t>
            </w:r>
          </w:p>
        </w:tc>
        <w:tc>
          <w:tcPr>
            <w:tcW w:w="1752" w:type="dxa"/>
            <w:noWrap w:val="0"/>
            <w:vAlign w:val="center"/>
          </w:tcPr>
          <w:p w14:paraId="13E2F870">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普通电泳仪</w:t>
            </w:r>
          </w:p>
        </w:tc>
        <w:tc>
          <w:tcPr>
            <w:tcW w:w="803" w:type="dxa"/>
            <w:noWrap w:val="0"/>
            <w:vAlign w:val="center"/>
          </w:tcPr>
          <w:p w14:paraId="27E25AAA">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11DF7A5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模块1：小型垂直电泳槽</w:t>
            </w:r>
          </w:p>
          <w:p w14:paraId="433CFD6A">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1、至少包括凝胶厚度为1.0mm 的规格。</w:t>
            </w:r>
          </w:p>
          <w:p w14:paraId="590C214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2、预制胶。</w:t>
            </w:r>
          </w:p>
          <w:p w14:paraId="0565D897">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3、手灌胶 ：长玻板制胶。</w:t>
            </w:r>
          </w:p>
          <w:p w14:paraId="3227C56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4、采用玻板材质。</w:t>
            </w:r>
          </w:p>
          <w:p w14:paraId="300F75B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5、典型SDS-PAGE电泳时间：35-45 min。</w:t>
            </w:r>
          </w:p>
          <w:p w14:paraId="355170C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模块2：小型垂直转印系统</w:t>
            </w:r>
          </w:p>
          <w:p w14:paraId="4CA60A5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1、小型Trans-Blot转印槽可快速、高质量地转印小型凝胶，1小时内转印2块10×7.5cm凝胶。      </w:t>
            </w:r>
          </w:p>
          <w:p w14:paraId="5A5B2D48">
            <w:pPr>
              <w:spacing w:line="276" w:lineRule="auto"/>
              <w:jc w:val="left"/>
              <w:rPr>
                <w:rFonts w:hint="default" w:ascii="宋体" w:hAnsi="宋体" w:eastAsia="宋体" w:cs="宋体"/>
                <w:b/>
                <w:bCs/>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2、颜色标记的转印夹和电极，确保转印过程中凝胶的正确定向。                                                                                                                                                                                                                            3、凝胶容量 2块手灌胶，或2块预制胶。</w:t>
            </w:r>
          </w:p>
          <w:p w14:paraId="134A968A">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4、电极丝相距4cm，以产生强电场保证有效的蛋白转印。                                                 ▲5、内置Bio-Ice冷却装置，快速吸收转印过程中产生的热量。</w:t>
            </w:r>
          </w:p>
          <w:p w14:paraId="129F6B9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模块3：基础电泳仪电源</w:t>
            </w:r>
          </w:p>
          <w:p w14:paraId="44F8CAF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1、输出电压：10-300V，最小可调1V。</w:t>
            </w:r>
          </w:p>
          <w:p w14:paraId="217B6F8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2、输出电流：4-400mA，最小可调1mA。</w:t>
            </w:r>
          </w:p>
          <w:p w14:paraId="67DF993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3、输出功率：75W（最大）。</w:t>
            </w:r>
          </w:p>
          <w:p w14:paraId="061058C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4、输出类型：恒压或恒流可选。</w:t>
            </w:r>
          </w:p>
          <w:p w14:paraId="78AAEFD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5、输出插孔：4对并联，最多可以同时运行四个电泳槽。</w:t>
            </w:r>
          </w:p>
          <w:p w14:paraId="56B7BB1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6、定时器：1分钟~999分钟，完全可调。 </w:t>
            </w:r>
          </w:p>
          <w:p w14:paraId="0C1EF4F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7、操作条件：0–40°C，0–90% 湿度，无冷凝。</w:t>
            </w:r>
          </w:p>
          <w:p w14:paraId="78E0307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8、具有暂停/恢复功能 。                                                                                                                                                                                                               </w:t>
            </w:r>
          </w:p>
          <w:p w14:paraId="70630718">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9、安全性能：有空载监测、荷载突变监测、过载/短路监测、过压保护功能。                                                                                                                                                                                                                   </w:t>
            </w:r>
          </w:p>
          <w:p w14:paraId="06B8C18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10、安全标准：EN-61010，CE。</w:t>
            </w:r>
          </w:p>
          <w:p w14:paraId="1C8F2C3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snapToGrid w:val="0"/>
                <w:color w:val="0000FF"/>
                <w:spacing w:val="8"/>
                <w:kern w:val="0"/>
                <w:sz w:val="21"/>
                <w:szCs w:val="21"/>
                <w:highlight w:val="none"/>
                <w:lang w:val="en-US" w:eastAsia="en-US" w:bidi="ar-SA"/>
              </w:rPr>
            </w:pPr>
            <w:r>
              <w:rPr>
                <w:rFonts w:hint="eastAsia" w:ascii="宋体" w:hAnsi="宋体" w:eastAsia="宋体" w:cs="宋体"/>
                <w:b w:val="0"/>
                <w:bCs w:val="0"/>
                <w:snapToGrid w:val="0"/>
                <w:color w:val="0000FF"/>
                <w:spacing w:val="8"/>
                <w:kern w:val="0"/>
                <w:sz w:val="21"/>
                <w:szCs w:val="21"/>
                <w:highlight w:val="none"/>
                <w:lang w:val="en-US" w:eastAsia="zh-CN" w:bidi="ar-SA"/>
              </w:rPr>
              <w:t>11、可以一次性完成≥40个样品电泳。</w:t>
            </w:r>
          </w:p>
        </w:tc>
      </w:tr>
      <w:tr w14:paraId="4AD8D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72" w:hRule="atLeast"/>
        </w:trPr>
        <w:tc>
          <w:tcPr>
            <w:tcW w:w="781" w:type="dxa"/>
            <w:noWrap w:val="0"/>
            <w:vAlign w:val="center"/>
          </w:tcPr>
          <w:p w14:paraId="4601CCE0">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6</w:t>
            </w:r>
          </w:p>
        </w:tc>
        <w:tc>
          <w:tcPr>
            <w:tcW w:w="1752" w:type="dxa"/>
            <w:noWrap w:val="0"/>
            <w:vAlign w:val="center"/>
          </w:tcPr>
          <w:p w14:paraId="1FDCB352">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全自动核酸提取仪</w:t>
            </w:r>
          </w:p>
        </w:tc>
        <w:tc>
          <w:tcPr>
            <w:tcW w:w="803" w:type="dxa"/>
            <w:noWrap w:val="0"/>
            <w:vAlign w:val="center"/>
          </w:tcPr>
          <w:p w14:paraId="7A7AD1DB">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w:t>
            </w:r>
          </w:p>
        </w:tc>
        <w:tc>
          <w:tcPr>
            <w:tcW w:w="6196" w:type="dxa"/>
            <w:noWrap w:val="0"/>
            <w:vAlign w:val="center"/>
          </w:tcPr>
          <w:p w14:paraId="72EFD7D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一、产品应用：可从咽拭子、血清、血浆、全血、增菌液、组织、干血斑等多种类型的样本中实现全自动、快速提取到所需要的目标核酸。</w:t>
            </w:r>
          </w:p>
          <w:p w14:paraId="61BCEF3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二、运行原理：利用磁棒的磁性吸附技术将试剂中的磁珠在各个孔位中进行转移和反应，运行中不进行任何液体的转移工作即可完成整个提取过程。</w:t>
            </w:r>
          </w:p>
          <w:p w14:paraId="6503C42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三、技术要求</w:t>
            </w:r>
          </w:p>
          <w:p w14:paraId="6E2D4DF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1、处理能力：一次性完成1-96个样本的提取。</w:t>
            </w:r>
          </w:p>
          <w:p w14:paraId="7AF107C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2、操控方式：≥7英寸全彩液晶屏触控或扫码抢操控。</w:t>
            </w:r>
          </w:p>
          <w:p w14:paraId="0D2E1A1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★3、混合方式：旋转式混合技术（RMT技术）即通过微型电机带动磁棒保护套持续旋转使样本与试剂的充分混合。</w:t>
            </w:r>
          </w:p>
          <w:p w14:paraId="4201D2D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4、处理体系：30-1000ul。</w:t>
            </w:r>
          </w:p>
          <w:p w14:paraId="4467CD0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5、旋转速率能很好地匹配配套试剂的要求，达到安全有效实验结果。</w:t>
            </w:r>
          </w:p>
          <w:p w14:paraId="56028FA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6、核酸回收率：≥95%。</w:t>
            </w:r>
          </w:p>
          <w:p w14:paraId="1FAAD16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7、磁珠残留率：≤1%。</w:t>
            </w:r>
          </w:p>
          <w:p w14:paraId="3EEB146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6、运行噪音：运行最大噪音≤65分贝。</w:t>
            </w:r>
          </w:p>
          <w:p w14:paraId="1D2B148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8、运行时间：搭配原厂配套预封装试剂盒最快15分钟完成96个样本提取，提供提取试剂盒说明书。</w:t>
            </w:r>
          </w:p>
          <w:p w14:paraId="0A6BDC7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9、程序管理：仪器内置≥10组常用实验程序，且用户可根据需要灵活进行新建、编辑、删除程序等操作。</w:t>
            </w:r>
          </w:p>
          <w:p w14:paraId="2551CEE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10、自动舱门：电机驱动自动开关实验舱门；减少操作人员与潜在生物危害的接触，并未自动加样设备预留孔间。</w:t>
            </w:r>
          </w:p>
          <w:p w14:paraId="54BED36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11、二维码识别：可外接扫码器，使用原厂试剂盒时扫码后即可运行，无需任何人工干预，一键运行；减少程序设定误差。</w:t>
            </w:r>
          </w:p>
          <w:p w14:paraId="13CEDF48">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12、污染防控：</w:t>
            </w:r>
          </w:p>
          <w:p w14:paraId="5EE95FF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12.1、实验舱内置紫外灯，最大灭菌时间可设置为60分钟。</w:t>
            </w:r>
          </w:p>
          <w:p w14:paraId="4E14881A">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12.2、实验舱具备外排式独立风路，采用负压HEPA排气过滤模块；其中的生物滤棉可吸附其中的核酸气溶胶。</w:t>
            </w:r>
          </w:p>
          <w:p w14:paraId="09604C8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13、数据接口：USB。</w:t>
            </w:r>
          </w:p>
          <w:p w14:paraId="792FA3F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★14、配套试剂：具有预封装的病毒、全血、细菌、组织、干血斑等配套提取试剂盒，具备第一类医疗器械备案凭证。</w:t>
            </w:r>
          </w:p>
          <w:p w14:paraId="5A55BD0F">
            <w:pPr>
              <w:widowControl/>
              <w:numPr>
                <w:ilvl w:val="0"/>
                <w:numId w:val="3"/>
              </w:numPr>
              <w:spacing w:before="75" w:after="75" w:line="240" w:lineRule="auto"/>
              <w:jc w:val="both"/>
              <w:rPr>
                <w:rFonts w:hint="eastAsia" w:ascii="宋体" w:hAnsi="宋体" w:eastAsia="宋体" w:cs="宋体"/>
                <w:b w:val="0"/>
                <w:bCs w:val="0"/>
                <w:snapToGrid w:val="0"/>
                <w:color w:val="0000FF"/>
                <w:spacing w:val="8"/>
                <w:kern w:val="0"/>
                <w:sz w:val="21"/>
                <w:szCs w:val="21"/>
                <w:highlight w:val="none"/>
                <w:lang w:val="en-US" w:eastAsia="en-US" w:bidi="ar-SA"/>
              </w:rPr>
            </w:pPr>
            <w:r>
              <w:rPr>
                <w:rFonts w:hint="eastAsia" w:ascii="宋体" w:hAnsi="宋体" w:eastAsia="宋体" w:cs="宋体"/>
                <w:b w:val="0"/>
                <w:bCs w:val="0"/>
                <w:snapToGrid w:val="0"/>
                <w:color w:val="0000FF"/>
                <w:spacing w:val="8"/>
                <w:kern w:val="0"/>
                <w:sz w:val="21"/>
                <w:szCs w:val="21"/>
                <w:highlight w:val="none"/>
                <w:lang w:val="en-US" w:eastAsia="zh-CN" w:bidi="ar-SA"/>
              </w:rPr>
              <w:t>配套配置：扫码枪、磁力架。</w:t>
            </w:r>
          </w:p>
        </w:tc>
      </w:tr>
      <w:tr w14:paraId="7D9EF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2" w:hRule="atLeast"/>
        </w:trPr>
        <w:tc>
          <w:tcPr>
            <w:tcW w:w="781" w:type="dxa"/>
            <w:noWrap w:val="0"/>
            <w:vAlign w:val="center"/>
          </w:tcPr>
          <w:p w14:paraId="50D5F3AC">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w:t>
            </w:r>
          </w:p>
        </w:tc>
        <w:tc>
          <w:tcPr>
            <w:tcW w:w="1752" w:type="dxa"/>
            <w:noWrap w:val="0"/>
            <w:vAlign w:val="center"/>
          </w:tcPr>
          <w:p w14:paraId="76A096CC">
            <w:pPr>
              <w:widowControl/>
              <w:numPr>
                <w:ilvl w:val="0"/>
                <w:numId w:val="0"/>
              </w:numPr>
              <w:spacing w:before="75" w:after="75" w:line="240" w:lineRule="auto"/>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凝胶成像仪</w:t>
            </w:r>
          </w:p>
          <w:p w14:paraId="34F9A838">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p>
        </w:tc>
        <w:tc>
          <w:tcPr>
            <w:tcW w:w="803" w:type="dxa"/>
            <w:noWrap w:val="0"/>
            <w:vAlign w:val="center"/>
          </w:tcPr>
          <w:p w14:paraId="21FC0045">
            <w:pPr>
              <w:pStyle w:val="18"/>
              <w:spacing w:line="240" w:lineRule="auto"/>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350EFB9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 摄像机</w:t>
            </w:r>
          </w:p>
          <w:p w14:paraId="4B61DB4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1.1 灰 度 值：≥16 bit</w:t>
            </w:r>
          </w:p>
          <w:p w14:paraId="5E58F68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 像 素 值：≥500万像素</w:t>
            </w:r>
          </w:p>
          <w:p w14:paraId="6C68CC6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1.3 动态范围：＞3.4 OD</w:t>
            </w:r>
          </w:p>
          <w:p w14:paraId="69565FC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1.4 灵 敏 度：≤10ng DNA</w:t>
            </w:r>
          </w:p>
          <w:p w14:paraId="69EF6FB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1.5 独有的相机硬件要具备暗电流校正技术和像素点缺陷校正技术，以便提高了相机检测信噪比，获得最佳质量的图像。</w:t>
            </w:r>
          </w:p>
          <w:p w14:paraId="618FC60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1.6 全自动F1.2，≥6倍光学变焦镜头，焦距8－48mm可调。</w:t>
            </w:r>
          </w:p>
          <w:p w14:paraId="4943512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2、暗箱</w:t>
            </w:r>
          </w:p>
          <w:p w14:paraId="343B57D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 全新设计暗箱，≥11英寸全彩液晶屏触控。</w:t>
            </w:r>
          </w:p>
          <w:p w14:paraId="010AB4C8">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 配广角发射滤光片技术，有效去除杂散光，提高荧光检测的灵敏度。</w:t>
            </w:r>
          </w:p>
          <w:p w14:paraId="1C65A658">
            <w:pPr>
              <w:spacing w:line="276" w:lineRule="auto"/>
              <w:jc w:val="left"/>
              <w:rPr>
                <w:rFonts w:hint="eastAsia" w:ascii="宋体" w:hAnsi="宋体" w:eastAsia="宋体" w:cs="宋体"/>
                <w:b/>
                <w:bCs/>
                <w:snapToGrid w:val="0"/>
                <w:color w:val="0000FF"/>
                <w:spacing w:val="8"/>
                <w:kern w:val="0"/>
                <w:sz w:val="21"/>
                <w:szCs w:val="21"/>
                <w:highlight w:val="none"/>
                <w:lang w:val="en-US" w:eastAsia="zh-CN" w:bidi="ar-SA"/>
              </w:rPr>
            </w:pPr>
            <w:r>
              <w:rPr>
                <w:rFonts w:hint="eastAsia" w:ascii="宋体" w:hAnsi="宋体" w:eastAsia="宋体" w:cs="宋体"/>
                <w:b/>
                <w:bCs/>
                <w:snapToGrid w:val="0"/>
                <w:color w:val="0000FF"/>
                <w:spacing w:val="8"/>
                <w:kern w:val="0"/>
                <w:sz w:val="21"/>
                <w:szCs w:val="21"/>
                <w:highlight w:val="none"/>
                <w:lang w:val="en-US" w:eastAsia="zh-CN" w:bidi="ar-SA"/>
              </w:rPr>
              <w:t>▲2.3至少包括 306nm波长的紫外光，全自动进出样品台，红外感应式开关，无需手动触碰。 两侧落射LED蓝光光源，能量0-100%可调，可用于SYBR Green，Gel Green等成像应用。</w:t>
            </w:r>
          </w:p>
          <w:p w14:paraId="1324373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2.4 两侧落射LED白光光源，能量0-100%可调，用于照明以及考马斯亮蓝或银染色的蛋白胶、胶卷或膜。</w:t>
            </w:r>
          </w:p>
          <w:p w14:paraId="1965B40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2.5 电容式触控开关。</w:t>
            </w:r>
          </w:p>
          <w:p w14:paraId="511B303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2.6 LOGO带有呼吸灯效果，可根据仪器不同状态自动切换。</w:t>
            </w:r>
          </w:p>
          <w:p w14:paraId="369A767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2.7 切胶防护板可过滤＞99.9% UV辐射，压感式开关自动控制光源启动，无需手动。</w:t>
            </w:r>
          </w:p>
          <w:p w14:paraId="0979026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2.8 配紫外白光转换板，可用于考染或银染的蛋白胶，胶卷或膜成像。</w:t>
            </w:r>
          </w:p>
          <w:p w14:paraId="7D70FFE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3、软件</w:t>
            </w:r>
          </w:p>
          <w:p w14:paraId="2645575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3.1 软件用于图像获取，软件安装至个人电脑，进行图像分析。</w:t>
            </w:r>
          </w:p>
          <w:p w14:paraId="4997F7E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3.2 拍照软件自动保存图片原始数据，不可修改且可再次导出其他格式文件。</w:t>
            </w:r>
          </w:p>
          <w:p w14:paraId="07E968B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3.3可通过外部存储器导出数据，设备仅写入数据，不会读取数据，避免病毒感染电脑。</w:t>
            </w:r>
          </w:p>
          <w:p w14:paraId="0264553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3.4 分析软件具有三步式泳道及条带分析可以快速计算蛋白质和核酸的分子量及质量。</w:t>
            </w:r>
          </w:p>
          <w:p w14:paraId="3C120A7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3.5 可手动或自动定义特殊感兴趣区域（ROIs），并进行测量或计数分析。</w:t>
            </w:r>
          </w:p>
          <w:p w14:paraId="33EB877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3.6 可为文章发表准备图像和批注并生成经济的硬拷贝打印。</w:t>
            </w:r>
          </w:p>
        </w:tc>
      </w:tr>
      <w:tr w14:paraId="13029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1" w:hRule="atLeast"/>
        </w:trPr>
        <w:tc>
          <w:tcPr>
            <w:tcW w:w="781" w:type="dxa"/>
            <w:noWrap w:val="0"/>
            <w:vAlign w:val="center"/>
          </w:tcPr>
          <w:p w14:paraId="707A91D5">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w:t>
            </w:r>
          </w:p>
        </w:tc>
        <w:tc>
          <w:tcPr>
            <w:tcW w:w="1752" w:type="dxa"/>
            <w:noWrap w:val="0"/>
            <w:vAlign w:val="center"/>
          </w:tcPr>
          <w:p w14:paraId="1BD789EA">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电动单通道移液器(10-200uL)</w:t>
            </w:r>
          </w:p>
          <w:p w14:paraId="6409B905">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p>
        </w:tc>
        <w:tc>
          <w:tcPr>
            <w:tcW w:w="803" w:type="dxa"/>
            <w:noWrap w:val="0"/>
            <w:vAlign w:val="center"/>
          </w:tcPr>
          <w:p w14:paraId="27F0FCA4">
            <w:pPr>
              <w:pStyle w:val="18"/>
              <w:spacing w:line="240" w:lineRule="auto"/>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45320098">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1、具有移液、分液、自动分液、按序分液、移液和混匀、稀释等多种功能，功能在选项盘上，操作方便，一目了然：10种/5种功能模式可直接通过选项盘选择。</w:t>
            </w:r>
          </w:p>
          <w:p w14:paraId="633C3A8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2、液晶屏显示，中文显示，快速而简便地编程。</w:t>
            </w:r>
          </w:p>
          <w:p w14:paraId="3B48C37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3、导杆设计，操作运动方向与活塞运动方向一致，方便完全掌控活塞的运动。 </w:t>
            </w:r>
          </w:p>
          <w:p w14:paraId="54D79B5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4、弹性吸嘴功能，安装和脱卸吸头用力小，移液重复性高。</w:t>
            </w:r>
          </w:p>
          <w:p w14:paraId="029866C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5、下半支可徒手拆卸，维护方便简单，整个下半支可高温高压灭菌。</w:t>
            </w:r>
          </w:p>
          <w:p w14:paraId="48E2176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6、具备密码保护和维护提醒功能，满足个性化使用需求。</w:t>
            </w:r>
          </w:p>
          <w:p w14:paraId="045F2C3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7、具备编程功能及固定体积功能，优化实验流程。能储存常用体积。</w:t>
            </w:r>
          </w:p>
          <w:p w14:paraId="5BAE943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8、具备用户调节功能，可根据实际情况调整移液器，如海拔高度、液体属性等，使移液更精准。</w:t>
            </w:r>
          </w:p>
          <w:p w14:paraId="35B6353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9、内置RFID 芯片，可通过相关软件读取或添加数据。</w:t>
            </w:r>
          </w:p>
          <w:p w14:paraId="55C21EE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10、 多道移液器具有通道指示器，确保移液器工作时方向性一致，提高精确度。</w:t>
            </w:r>
          </w:p>
          <w:p w14:paraId="7AF4554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11、多道移液器独立通道设计，每个通道可单独拆卸，维护简单灵活。</w:t>
            </w:r>
          </w:p>
          <w:p w14:paraId="5A8673A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12、每个模式下自动保存最近10次的设置，操作更简便。</w:t>
            </w:r>
          </w:p>
          <w:p w14:paraId="6E23299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13、人性化设计参数选项，如体积限量等，使移液更安全。</w:t>
            </w:r>
          </w:p>
          <w:p w14:paraId="4396774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14、人体工程学设计，重量轻（≤160g），平衡性好。</w:t>
            </w:r>
          </w:p>
          <w:p w14:paraId="530A87C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15、锂聚合物电池，充电时间短，工作时间长，一次充电可至少加样100块96孔板；灵活的充电选择，可通过充电器或在充电支架上充电。</w:t>
            </w:r>
          </w:p>
          <w:p w14:paraId="74A4F54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▲16、量程10-200uL。体积20 μL，不准确度：±2.5%、±0.5 μL；不精确度：±0.7%、±0.14 μL；体积100 μL，不准确度±1.0%、±1.0 μL；不精确度：±0.3%、±0.3 μL；体积200 μL，不准确度：±0.6%、±1.2 μL;不精确度：±0.2%、±0.4 μL。</w:t>
            </w:r>
          </w:p>
          <w:p w14:paraId="557EC5E5">
            <w:pPr>
              <w:numPr>
                <w:ilvl w:val="0"/>
                <w:numId w:val="4"/>
              </w:num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提供原厂原装充电器；</w:t>
            </w:r>
          </w:p>
          <w:p w14:paraId="2DB5955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18、配套配置：旋转移液器支架，可放置≥3支电动单通道移液器。</w:t>
            </w:r>
          </w:p>
        </w:tc>
      </w:tr>
      <w:tr w14:paraId="4D11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2" w:hRule="atLeast"/>
        </w:trPr>
        <w:tc>
          <w:tcPr>
            <w:tcW w:w="781" w:type="dxa"/>
            <w:noWrap w:val="0"/>
            <w:vAlign w:val="center"/>
          </w:tcPr>
          <w:p w14:paraId="06AE1CEF">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9</w:t>
            </w:r>
          </w:p>
        </w:tc>
        <w:tc>
          <w:tcPr>
            <w:tcW w:w="1752" w:type="dxa"/>
            <w:noWrap w:val="0"/>
            <w:vAlign w:val="center"/>
          </w:tcPr>
          <w:p w14:paraId="44E3C6A0">
            <w:pPr>
              <w:widowControl/>
              <w:numPr>
                <w:ilvl w:val="0"/>
                <w:numId w:val="0"/>
              </w:numPr>
              <w:spacing w:before="75" w:after="75" w:line="240" w:lineRule="auto"/>
              <w:jc w:val="both"/>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电动单通道移液器(50-1000uL)</w:t>
            </w:r>
          </w:p>
          <w:p w14:paraId="109C12BC">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p>
        </w:tc>
        <w:tc>
          <w:tcPr>
            <w:tcW w:w="803" w:type="dxa"/>
            <w:noWrap w:val="0"/>
            <w:vAlign w:val="center"/>
          </w:tcPr>
          <w:p w14:paraId="0B643C80">
            <w:pPr>
              <w:pStyle w:val="18"/>
              <w:spacing w:line="24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0D759CD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1、具有移液、分液、自动分液、按序分液、移液和混匀、稀释等多种功能，功能在选项盘上，操作方便，一目了然：10种/5种功能模式可直接通过选项盘选择。</w:t>
            </w:r>
          </w:p>
          <w:p w14:paraId="34CB9808">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2、液晶屏显示，中文显示，快速而简便地编程。</w:t>
            </w:r>
          </w:p>
          <w:p w14:paraId="5167D50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3、导杆设计，操作运动方向与活塞运动方向一致，方便完全掌控活塞的运动 。</w:t>
            </w:r>
          </w:p>
          <w:p w14:paraId="17355BF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4、弹性吸嘴功能，安装和脱卸吸头用力小，移液重复性高。</w:t>
            </w:r>
          </w:p>
          <w:p w14:paraId="4DA2CD7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5、下半支可徒手拆卸，维护方便简单，整个下半支可高温高压灭菌。</w:t>
            </w:r>
          </w:p>
          <w:p w14:paraId="69E7D30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6、具备密码保护和维护提醒功能，满足个性化使用需求。</w:t>
            </w:r>
          </w:p>
          <w:p w14:paraId="59CFD05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7、具备编程功能及固定体积功能，优化实验流程。能储存常用体积。</w:t>
            </w:r>
          </w:p>
          <w:p w14:paraId="72A6DDAA">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8、具备用户调节功能，可根据实际情况调整移液器，如海拔高度、液体属性等，使移液更精准。</w:t>
            </w:r>
          </w:p>
          <w:p w14:paraId="6553462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9.内置RFID 芯片，可通过相关软件读取或添加数据。</w:t>
            </w:r>
          </w:p>
          <w:p w14:paraId="1C6197A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10、 多道移液器具有通道指示器，确保移液器工作时方向性一致，提高精确度。</w:t>
            </w:r>
          </w:p>
          <w:p w14:paraId="40D055F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11、多道移液器独立通道设计，每个通道可单独拆卸，维护简单灵活。</w:t>
            </w:r>
          </w:p>
          <w:p w14:paraId="4BB8644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12、每个模式下自动保存最近10次的设置，操作更简便。</w:t>
            </w:r>
          </w:p>
          <w:p w14:paraId="21C8C9F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13、人性化设计参数选项，如体积限量等，使移液更安全。</w:t>
            </w:r>
          </w:p>
          <w:p w14:paraId="42F1A5D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14、人体工程学设计，重量轻（≤160g），平衡性好。</w:t>
            </w:r>
          </w:p>
          <w:p w14:paraId="569E2B7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15、锂聚合物电池，充电时间短，工作时间长，一次充电可至少加样100块96孔板；灵活的充电选择，可通过充电器或在充电支架上充电。</w:t>
            </w:r>
          </w:p>
          <w:p w14:paraId="7EEE649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▲16、量程50-1000uL。体积100 μL，不准确度：±3.0%、±3 μL；不精确度：±0.6%、±0.6μL；体积500 μL，不准确度±1.0%、±5μL；不精确度：±0.2%、±1 μL；体积1000 μL，不准确度：±0.6%、±6μL;不精确度：±0.2%、±2 μL。</w:t>
            </w:r>
          </w:p>
          <w:p w14:paraId="05443BED">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17、提供原厂原装充电器</w:t>
            </w:r>
          </w:p>
          <w:p w14:paraId="0E640A04">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18、配套配置：旋转移液器支架，可放置≥3支电动单通道移液器。。</w:t>
            </w:r>
          </w:p>
        </w:tc>
      </w:tr>
      <w:tr w14:paraId="676FA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9" w:hRule="atLeast"/>
        </w:trPr>
        <w:tc>
          <w:tcPr>
            <w:tcW w:w="781" w:type="dxa"/>
            <w:noWrap w:val="0"/>
            <w:vAlign w:val="center"/>
          </w:tcPr>
          <w:p w14:paraId="504DA5A9">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10</w:t>
            </w:r>
          </w:p>
        </w:tc>
        <w:tc>
          <w:tcPr>
            <w:tcW w:w="1752" w:type="dxa"/>
            <w:noWrap w:val="0"/>
            <w:vAlign w:val="center"/>
          </w:tcPr>
          <w:p w14:paraId="48A39AF8">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电动8道移液器(15-300uL)</w:t>
            </w:r>
          </w:p>
          <w:p w14:paraId="461FACAB">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p>
        </w:tc>
        <w:tc>
          <w:tcPr>
            <w:tcW w:w="803" w:type="dxa"/>
            <w:noWrap w:val="0"/>
            <w:vAlign w:val="center"/>
          </w:tcPr>
          <w:p w14:paraId="0BD0246D">
            <w:pPr>
              <w:pStyle w:val="18"/>
              <w:spacing w:line="24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502D93A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1、具有移液、分液、自动分液、按序分液、移液和混匀、稀释等多种功能，功能在选项盘上，操作方便，一目了然：10种/5种功能模式可直接通过选项盘选择。</w:t>
            </w:r>
          </w:p>
          <w:p w14:paraId="1A5176B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2、液晶屏显示，中文显示，快速而简便地编程。</w:t>
            </w:r>
          </w:p>
          <w:p w14:paraId="2A7A8618">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3、导杆设计，操作运动方向与活塞运动方向一致，方便完全掌控活塞的运动 。</w:t>
            </w:r>
          </w:p>
          <w:p w14:paraId="668F367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4、弹性吸嘴功能，安装和脱卸吸头用力小，移液重复性高。</w:t>
            </w:r>
          </w:p>
          <w:p w14:paraId="0A011418">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5、下半支可徒手拆卸，维护方便简单，整个下半支可高温高压灭菌。</w:t>
            </w:r>
          </w:p>
          <w:p w14:paraId="1992784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6、具备密码保护和维护提醒功能，满足个性化使用需求。</w:t>
            </w:r>
          </w:p>
          <w:p w14:paraId="6F9AECE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7、具备编程功能及固定体积功能，优化实验流程。能储存常用体积。</w:t>
            </w:r>
          </w:p>
          <w:p w14:paraId="250E94F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8、具备用户调节功能，可根据实际情况调整移液器，如海拔高度、液体属性等，使移液更精准。</w:t>
            </w:r>
          </w:p>
          <w:p w14:paraId="050EAA9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9、内置RFID芯片，可通过相关软件读取或添加数据。</w:t>
            </w:r>
          </w:p>
          <w:p w14:paraId="2082DD9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10、多道移液器具有通道指示器，确保移液器工作时方向性一致，提高精确度。</w:t>
            </w:r>
          </w:p>
          <w:p w14:paraId="6D9D72E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11、多道移液器独立通道设计，每个通道可单独拆卸，维护简单灵活。</w:t>
            </w:r>
          </w:p>
          <w:p w14:paraId="08A79F0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12、每个模式下自动保存最近10次的设置，操作更简便。</w:t>
            </w:r>
          </w:p>
          <w:p w14:paraId="261F618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13、人性化设计参数选项，如体积限量等，使移液更安全。</w:t>
            </w:r>
          </w:p>
          <w:p w14:paraId="533C268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14、人体工程学设计，重量轻（≤220g），平衡性好。</w:t>
            </w:r>
          </w:p>
          <w:p w14:paraId="48BE74A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15、锂聚合物电池，充电时间短，工作时间长，一次充电可至少加样100块96孔板；灵活的充电选择，可通过充电器或在充电支架上充电。</w:t>
            </w:r>
          </w:p>
          <w:p w14:paraId="07E0FE6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▲16、量程电动8道移液15-300uL。体积30 μL，不准确度：±2.5%、±0.75 μL；不精确度：±1.0%、±0.3 μL；体积150 μL，不准确度±1.0%、±1.5 μL；不精确度：±0.5%、±0.75 μL；体积300 μL，不准确度：±0.6%、±1.8 μL;不精确度：±0.25%、±0.75 μL。</w:t>
            </w:r>
          </w:p>
          <w:p w14:paraId="363C2FEE">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17、提供原厂原装充电器</w:t>
            </w:r>
          </w:p>
          <w:p w14:paraId="6BDE6F53">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18、配套配置：电动8通道移液器支架</w:t>
            </w:r>
          </w:p>
        </w:tc>
      </w:tr>
      <w:tr w14:paraId="6741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3" w:hRule="atLeast"/>
        </w:trPr>
        <w:tc>
          <w:tcPr>
            <w:tcW w:w="781" w:type="dxa"/>
            <w:noWrap w:val="0"/>
            <w:vAlign w:val="center"/>
          </w:tcPr>
          <w:p w14:paraId="17280FEC">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11</w:t>
            </w:r>
          </w:p>
        </w:tc>
        <w:tc>
          <w:tcPr>
            <w:tcW w:w="1752" w:type="dxa"/>
            <w:noWrap w:val="0"/>
            <w:vAlign w:val="center"/>
          </w:tcPr>
          <w:p w14:paraId="55699E2D">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电动8道移液器(50-1200uL)</w:t>
            </w:r>
          </w:p>
          <w:p w14:paraId="2FBE7E05">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p>
        </w:tc>
        <w:tc>
          <w:tcPr>
            <w:tcW w:w="803" w:type="dxa"/>
            <w:noWrap w:val="0"/>
            <w:vAlign w:val="center"/>
          </w:tcPr>
          <w:p w14:paraId="1910EDC2">
            <w:pPr>
              <w:pStyle w:val="18"/>
              <w:spacing w:line="24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70B4A0CA">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1、具有移液、分液、自动分液、按序分液、移液和混匀、稀释等多种功能，功能在选项盘上，操作方便，一目了然：10种/5种功能模式可直接通过选项盘选择。</w:t>
            </w:r>
          </w:p>
          <w:p w14:paraId="41B2AEA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2、液晶屏显示，中文显示，快速而简便地编程。</w:t>
            </w:r>
          </w:p>
          <w:p w14:paraId="57EDD0C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3、导杆设计，操作运动方向与活塞运动方向一致，方便完全掌控活塞的运动 。</w:t>
            </w:r>
          </w:p>
          <w:p w14:paraId="696134D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4、弹性吸嘴功能，安装和脱卸吸头用力小，移液重复性高。</w:t>
            </w:r>
          </w:p>
          <w:p w14:paraId="3C7B8AB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5、下半支可徒手拆卸，维护方便简单，整个下半支可高温高压灭菌。</w:t>
            </w:r>
          </w:p>
          <w:p w14:paraId="3BD5213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6、具备密码保护和维护提醒功能，满足个性化使用需求。 </w:t>
            </w:r>
          </w:p>
          <w:p w14:paraId="5CB7556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7、具备编程功能及固定体积功能，优化实验流程。能储存常用体积。</w:t>
            </w:r>
          </w:p>
          <w:p w14:paraId="532553F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8、具备用户调节功能，可根据实际情况调整移液器，如海拔高度、液体属性等，使移液更精准。</w:t>
            </w:r>
          </w:p>
          <w:p w14:paraId="2392C28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9、内置RFID 芯片，可通过相关软件读取或添加数据。</w:t>
            </w:r>
          </w:p>
          <w:p w14:paraId="5AD3382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10.多道移液器具有通道指示器，确保移液器工作时方向性一致，提高精确度。</w:t>
            </w:r>
          </w:p>
          <w:p w14:paraId="2CC1BB7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11、多道移液器独立通道设计，每个通道可单独拆卸，维护简单灵活。</w:t>
            </w:r>
          </w:p>
          <w:p w14:paraId="204B067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12、每个模式下自动保存最近10次的设置，操作更简便。</w:t>
            </w:r>
          </w:p>
          <w:p w14:paraId="7F5A85B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13、人性化设计参数选项，如体积限量等，使移液更安全。</w:t>
            </w:r>
          </w:p>
          <w:p w14:paraId="1D98768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14、人体工程学设计，重量轻（≤220g），平衡性好。</w:t>
            </w:r>
          </w:p>
          <w:p w14:paraId="285F35A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15、锂聚合物电池，充电时间短，工作时间长，一次充电可至少加样100块96孔板；灵活的充电选择，可通过充电器或在充电支架上充电。</w:t>
            </w:r>
          </w:p>
          <w:p w14:paraId="5499753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▲16.量程电动8道移液50-1200uL。体积120 μL，不准确度：±6.0%、±7.2 μL；不精确度：±0.9%、±1.08 μL；体积600 μL，不准确度±2.7%、±16.2 μL；不精确度：±0.4%、±2.4 μL；体积1200 μL，不准确度：±1.2%、±14.4 μL;不精确度：±0.3%、±3.6 μL。</w:t>
            </w:r>
          </w:p>
          <w:p w14:paraId="5DE4BC11">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17、提供原厂原装充电器</w:t>
            </w:r>
          </w:p>
          <w:p w14:paraId="36296B6E">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18、配套配置：电动8通道移液器支架</w:t>
            </w:r>
          </w:p>
        </w:tc>
      </w:tr>
      <w:tr w14:paraId="31BE3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7" w:hRule="atLeast"/>
        </w:trPr>
        <w:tc>
          <w:tcPr>
            <w:tcW w:w="781" w:type="dxa"/>
            <w:noWrap w:val="0"/>
            <w:vAlign w:val="center"/>
          </w:tcPr>
          <w:p w14:paraId="5922B954">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12</w:t>
            </w:r>
          </w:p>
        </w:tc>
        <w:tc>
          <w:tcPr>
            <w:tcW w:w="1752" w:type="dxa"/>
            <w:noWrap w:val="0"/>
            <w:vAlign w:val="center"/>
          </w:tcPr>
          <w:p w14:paraId="3472AB71">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微波炉</w:t>
            </w:r>
          </w:p>
          <w:p w14:paraId="283A0779">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p>
        </w:tc>
        <w:tc>
          <w:tcPr>
            <w:tcW w:w="803" w:type="dxa"/>
            <w:noWrap w:val="0"/>
            <w:vAlign w:val="center"/>
          </w:tcPr>
          <w:p w14:paraId="4390745D">
            <w:pPr>
              <w:pStyle w:val="18"/>
              <w:spacing w:line="24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111847C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1、内胆材质：不锈钢；</w:t>
            </w:r>
          </w:p>
          <w:p w14:paraId="7C5E6E5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2、变频/定频：变频；</w:t>
            </w:r>
          </w:p>
          <w:p w14:paraId="1F8E7F9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3、能效等级：二级能效；</w:t>
            </w:r>
          </w:p>
          <w:p w14:paraId="604EB81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4、底盘类型：平板式；</w:t>
            </w:r>
          </w:p>
          <w:p w14:paraId="5856223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5、开门方式：下拉门；</w:t>
            </w:r>
          </w:p>
          <w:p w14:paraId="580F835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6、操控方式：按键式；</w:t>
            </w:r>
          </w:p>
          <w:p w14:paraId="1EC0228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7、额定电压220V额定频率50Hz微波功率≥1000W；</w:t>
            </w:r>
          </w:p>
          <w:p w14:paraId="46BB7F7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8、认证类型：CCC强制性认证。</w:t>
            </w:r>
          </w:p>
          <w:p w14:paraId="2AF9DCB9">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9、内胆容积≥27L。</w:t>
            </w:r>
          </w:p>
        </w:tc>
      </w:tr>
      <w:tr w14:paraId="1280C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 w:hRule="atLeast"/>
        </w:trPr>
        <w:tc>
          <w:tcPr>
            <w:tcW w:w="781" w:type="dxa"/>
            <w:noWrap w:val="0"/>
            <w:vAlign w:val="center"/>
          </w:tcPr>
          <w:p w14:paraId="4860B139">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13</w:t>
            </w:r>
          </w:p>
        </w:tc>
        <w:tc>
          <w:tcPr>
            <w:tcW w:w="1752" w:type="dxa"/>
            <w:noWrap w:val="0"/>
            <w:vAlign w:val="center"/>
          </w:tcPr>
          <w:p w14:paraId="4B3A074C">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超低温冷藏箱</w:t>
            </w:r>
          </w:p>
          <w:p w14:paraId="0907AC9C">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（-86℃及以下）</w:t>
            </w:r>
          </w:p>
        </w:tc>
        <w:tc>
          <w:tcPr>
            <w:tcW w:w="803" w:type="dxa"/>
            <w:noWrap w:val="0"/>
            <w:vAlign w:val="center"/>
          </w:tcPr>
          <w:p w14:paraId="0628B594">
            <w:pPr>
              <w:pStyle w:val="18"/>
              <w:spacing w:line="24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343D0E2B">
            <w:pPr>
              <w:widowControl/>
              <w:numPr>
                <w:ilvl w:val="0"/>
                <w:numId w:val="0"/>
              </w:numPr>
              <w:spacing w:before="75" w:after="75" w:line="240" w:lineRule="auto"/>
              <w:jc w:val="both"/>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一、功能描述：保存病毒、病菌、红细胞、白细胞、皮肤、骨骼、生物制品、远洋制品、电子器件、特殊材料的低温试验等，适用于血站、医院、疾控中心、科研院所、电子化工等企业实验室、生物医学工程研究所，远洋渔业公司等 </w:t>
            </w:r>
          </w:p>
          <w:p w14:paraId="37C7D387">
            <w:pPr>
              <w:widowControl/>
              <w:numPr>
                <w:ilvl w:val="0"/>
                <w:numId w:val="0"/>
              </w:numPr>
              <w:spacing w:before="75" w:after="75" w:line="240" w:lineRule="auto"/>
              <w:jc w:val="both"/>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二、技术要求及配置： </w:t>
            </w:r>
          </w:p>
          <w:p w14:paraId="5309C7A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2.1、工作条件：环境温度10～32℃，工作环境湿度：20-80%，电源220V±10% ，50 Hz±1HZ。 </w:t>
            </w:r>
          </w:p>
          <w:p w14:paraId="0B61EEB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2.2、样式：立式。</w:t>
            </w:r>
          </w:p>
          <w:p w14:paraId="23645CD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★2.3、有效容积≥850L。</w:t>
            </w:r>
          </w:p>
          <w:p w14:paraId="0DEF6C5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2.4、外部尺寸：高度不能超过2100mm。 </w:t>
            </w:r>
          </w:p>
          <w:p w14:paraId="3E10167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2.5、内部分格≥3个区间。</w:t>
            </w:r>
          </w:p>
          <w:p w14:paraId="1D981EE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2.6、25℃环温时，空载时降温至-80℃降温速度≤6h。箱内温度均匀度误差≤5℃。</w:t>
            </w:r>
          </w:p>
          <w:p w14:paraId="0B8E09BA">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2.7、显示：≥7英寸LCD液晶触摸屏，清晰显示，界面友好，液晶屏动态实时显示运行温度、设定温度、环境温度、报警状态、时间等参数信息。静态温度曲线显示，可直观了解任意时间段温度运行状态。</w:t>
            </w:r>
          </w:p>
          <w:p w14:paraId="2E33149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2.8、温度控制：高精度微电脑温度控制系统，箱内温度-40℃～-86℃范围内任意设定，显示精度0.1℃，调节精度0.1℃。</w:t>
            </w:r>
          </w:p>
          <w:p w14:paraId="3A26218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2.9、箱体材料：优质结构钢板，经先进防腐磷化、喷涂工艺。 </w:t>
            </w:r>
          </w:p>
          <w:p w14:paraId="7584157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2.10、内胆材料：SUS304不锈钢板，抗腐蚀，使用寿命长，清洗方便。</w:t>
            </w:r>
          </w:p>
          <w:p w14:paraId="4900ECE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2.11、保温材料：采用高性能VIP真空绝热材料，大幅提升保温效果。双层发泡保温门，内外门均设门封条，多专利外门保温设计，有效阻止冷量流失：发泡内门密封性更好，存取物品温度回升小。  </w:t>
            </w:r>
          </w:p>
          <w:p w14:paraId="1F10693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2.12、无氟环保制冷工质,降温速度快，温度均匀,单级油滑润压缩机制冷技术，制冷能力强。</w:t>
            </w:r>
          </w:p>
          <w:p w14:paraId="12FE185D">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2.13、安全存储：完善的声光报警系统（断电、高低温、开门、电压异常、传感器故障、冷凝器散热差、系统故障等），物品存储更安全； 内置电池保持断电后报警、记录内部温度≥2h。</w:t>
            </w:r>
          </w:p>
          <w:p w14:paraId="597C598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2.14、开机延时和停机间隔保护功能，确保运行可靠；屏幕锁定和密码保护功能，防止随意调整运行参数；双锁结构设计,自带暗锁，同时可用挂锁，保证用户存储物品安全性，既安全又可靠。</w:t>
            </w:r>
          </w:p>
          <w:p w14:paraId="5F1F20A3">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2.15、压缩机需动力强劲，质量可靠，节能高效。冷凝风机及压缩机散热风机可根据压缩机运行状态智能开停。</w:t>
            </w:r>
          </w:p>
          <w:p w14:paraId="58F47C1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2.16、大面积翅片式冷凝器，翅片间距≤2mm，散热面积大，效果好。 </w:t>
            </w:r>
          </w:p>
          <w:p w14:paraId="0065CEF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2.17、自动加热门体平衡孔设计，彻底解决短时间内连续多次开门，不用等待。 </w:t>
            </w:r>
          </w:p>
          <w:p w14:paraId="22FCE54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2.18、≥3个温度测试孔，方便测试温度。</w:t>
            </w:r>
          </w:p>
          <w:p w14:paraId="5C31B3E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▲2.19、标配USB模块，存储模块≥8G，可同步记录箱内实际温度、设定温度、高低温报警温度、输入电压、环境温度等数据。</w:t>
            </w:r>
          </w:p>
          <w:p w14:paraId="1CFF9C0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2.20、25℃环温时，有第三方机构认证单日耗电量≤15KW/24h的证明材料。</w:t>
            </w:r>
          </w:p>
          <w:p w14:paraId="377DB5B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2.21、可存储2英寸标准冻存盒≥600个，2ml标准冻存管≥60000支。</w:t>
            </w:r>
          </w:p>
          <w:p w14:paraId="7EA4F91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color w:val="0000FF"/>
                <w:sz w:val="21"/>
                <w:szCs w:val="21"/>
                <w:highlight w:val="none"/>
                <w:lang w:val="en-US" w:eastAsia="zh-CN"/>
              </w:rPr>
              <w:t xml:space="preserve">2.22、噪音≤ 55dB </w:t>
            </w:r>
            <w:r>
              <w:rPr>
                <w:rFonts w:hint="eastAsia" w:ascii="宋体" w:hAnsi="宋体" w:eastAsia="宋体" w:cs="宋体"/>
                <w:b w:val="0"/>
                <w:bCs w:val="0"/>
                <w:snapToGrid w:val="0"/>
                <w:color w:val="0000FF"/>
                <w:spacing w:val="8"/>
                <w:kern w:val="0"/>
                <w:sz w:val="21"/>
                <w:szCs w:val="21"/>
                <w:highlight w:val="none"/>
                <w:lang w:val="en-US" w:eastAsia="zh-CN" w:bidi="ar-SA"/>
              </w:rPr>
              <w:t>。</w:t>
            </w:r>
          </w:p>
          <w:p w14:paraId="2C024BC4">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2.23、前后4个万向轮（万向轮带锁止功能），方便箱体移动安放。</w:t>
            </w:r>
          </w:p>
        </w:tc>
      </w:tr>
      <w:tr w14:paraId="29E64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2" w:hRule="atLeast"/>
        </w:trPr>
        <w:tc>
          <w:tcPr>
            <w:tcW w:w="781" w:type="dxa"/>
            <w:noWrap w:val="0"/>
            <w:vAlign w:val="center"/>
          </w:tcPr>
          <w:p w14:paraId="458F0B25">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14</w:t>
            </w:r>
          </w:p>
        </w:tc>
        <w:tc>
          <w:tcPr>
            <w:tcW w:w="1752" w:type="dxa"/>
            <w:noWrap w:val="0"/>
            <w:vAlign w:val="center"/>
          </w:tcPr>
          <w:p w14:paraId="461F83A4">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低温医用冰箱</w:t>
            </w:r>
          </w:p>
        </w:tc>
        <w:tc>
          <w:tcPr>
            <w:tcW w:w="803" w:type="dxa"/>
            <w:noWrap w:val="0"/>
            <w:vAlign w:val="center"/>
          </w:tcPr>
          <w:p w14:paraId="64326645">
            <w:pPr>
              <w:pStyle w:val="18"/>
              <w:spacing w:line="24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w:t>
            </w:r>
          </w:p>
        </w:tc>
        <w:tc>
          <w:tcPr>
            <w:tcW w:w="6196" w:type="dxa"/>
            <w:noWrap w:val="0"/>
            <w:vAlign w:val="center"/>
          </w:tcPr>
          <w:p w14:paraId="6C4795C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1、用途：</w:t>
            </w:r>
          </w:p>
          <w:p w14:paraId="79B2857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可用于冷冻冰排、储存血浆、试剂及各种需要冷冻储存的物品。适用于医院、社区卫生服务中心、疾病预防控制中心、血站、高校实验室、冷食餐饮业等。</w:t>
            </w:r>
          </w:p>
          <w:p w14:paraId="58441E2F">
            <w:pPr>
              <w:numPr>
                <w:ilvl w:val="0"/>
                <w:numId w:val="0"/>
              </w:num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2、主要指标：</w:t>
            </w:r>
          </w:p>
          <w:p w14:paraId="0600075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2.1、工作条件：环境温度16-32℃，环境湿度：20-80%，电压：220V±10%，频率：50±1HZ。</w:t>
            </w:r>
          </w:p>
          <w:p w14:paraId="085FA54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2.2、样式：立式，双门。</w:t>
            </w:r>
          </w:p>
          <w:p w14:paraId="7EB959C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★2.3、有效容积（L）：≥450。</w:t>
            </w:r>
          </w:p>
          <w:p w14:paraId="0F574ED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2.4、外部尺寸：高度不能超过2000mm。</w:t>
            </w:r>
          </w:p>
          <w:p w14:paraId="40FF894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2.5、运行保护：开机延时、停机间隔等保护功能，确保运行可靠。</w:t>
            </w:r>
          </w:p>
          <w:p w14:paraId="044FC4B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2.6、声光报警系统：高低温报警、开门报警、断电报警、电池电量低报警、传感器故障报警等多重保障，全面保障样本安全。开门持续1分钟，指示灯闪烁及蜂鸣报警，门关闭报警消除。</w:t>
            </w:r>
          </w:p>
          <w:p w14:paraId="796B910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2.7、箱体材质：箱体采用优质PCM钢板，表面色泽柔和。</w:t>
            </w:r>
          </w:p>
          <w:p w14:paraId="4C183E8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2.8、内胆材料：内壁为喷涂铝板材质，经久耐用、便于清洁。</w:t>
            </w:r>
          </w:p>
          <w:p w14:paraId="76DDAC1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▲2.9、内部结构：上下两室，每室配置≥ 4个ABS抽屉。 </w:t>
            </w:r>
          </w:p>
          <w:p w14:paraId="526E6A78">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2.10、箱体上下室标配两个测试孔，方便测试箱内温度变化。</w:t>
            </w:r>
          </w:p>
          <w:p w14:paraId="1E817BC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2.11、上下独立内藏式门把手设计，美观大方。</w:t>
            </w:r>
          </w:p>
          <w:p w14:paraId="44D8447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2.12、箱体配锁，可一锁同时锁住上下室，防止随意开启，确保样本安全,上下室可选配外挂锁。</w:t>
            </w:r>
          </w:p>
          <w:p w14:paraId="220DB22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2.13、前后4个万向轮（万向轮带锁止功能），方便箱体移动安放。</w:t>
            </w:r>
          </w:p>
          <w:p w14:paraId="7042D40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2.14、内嵌式门封条，防尘且方便清洗。</w:t>
            </w:r>
          </w:p>
          <w:p w14:paraId="431C4CE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2.15、压缩机：采用高效压缩机，风扇电机，节能高效、静音。</w:t>
            </w:r>
          </w:p>
          <w:p w14:paraId="158A6F6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2.16、保温材料：无CFC聚氨酯发泡保温层，环保无污染。</w:t>
            </w:r>
          </w:p>
          <w:p w14:paraId="0B87323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2.17、制冷剂：无氟环保制冷剂，稳定可靠，不易燃易爆。</w:t>
            </w:r>
          </w:p>
          <w:p w14:paraId="2E132038">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2.18、精确控温：高清晰数码温度显示，上下室温度左右分区独立显示，高精度微电脑温度控制系统，确保箱体内温度保持在-10℃~-25℃范围内，显示精度0.1℃，调节精度0.1℃。</w:t>
            </w:r>
          </w:p>
          <w:p w14:paraId="3B5293F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▲2.19、独立控温：双压缩机双系统，上室、下室可独立控温，系统可靠，丝管式蒸发器，丝管冷凝器，温度稳定，确保箱内温度均匀性。</w:t>
            </w:r>
          </w:p>
          <w:p w14:paraId="5ED52AC7">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2.20、标配USB数据导出接口：接入U盘可自动存储当月及上月数据，数据输出PDF格式，最大存储条数100000条。U盘持续连接可自动持续存储温度数据。</w:t>
            </w:r>
          </w:p>
        </w:tc>
      </w:tr>
      <w:tr w14:paraId="1DB3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2" w:hRule="atLeast"/>
        </w:trPr>
        <w:tc>
          <w:tcPr>
            <w:tcW w:w="781" w:type="dxa"/>
            <w:noWrap w:val="0"/>
            <w:vAlign w:val="center"/>
          </w:tcPr>
          <w:p w14:paraId="1F53451A">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15</w:t>
            </w:r>
          </w:p>
        </w:tc>
        <w:tc>
          <w:tcPr>
            <w:tcW w:w="1752" w:type="dxa"/>
            <w:noWrap w:val="0"/>
            <w:vAlign w:val="center"/>
          </w:tcPr>
          <w:p w14:paraId="175A77D4">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医用冷藏箱</w:t>
            </w:r>
          </w:p>
        </w:tc>
        <w:tc>
          <w:tcPr>
            <w:tcW w:w="803" w:type="dxa"/>
            <w:noWrap w:val="0"/>
            <w:vAlign w:val="center"/>
          </w:tcPr>
          <w:p w14:paraId="5DEC3773">
            <w:pPr>
              <w:pStyle w:val="18"/>
              <w:spacing w:line="24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w:t>
            </w:r>
          </w:p>
        </w:tc>
        <w:tc>
          <w:tcPr>
            <w:tcW w:w="6196" w:type="dxa"/>
            <w:noWrap w:val="0"/>
            <w:vAlign w:val="center"/>
          </w:tcPr>
          <w:p w14:paraId="498DECF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一、用  途：</w:t>
            </w:r>
          </w:p>
          <w:p w14:paraId="66A9204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用于医疗行业冷藏药品的专业冷藏设备，也可用于储存生物制品、疫苗、药品、试剂等,适用于药房、制药厂、医院、疾病预防控制中心、社区卫生服务中心、各类实验室等。</w:t>
            </w:r>
          </w:p>
          <w:p w14:paraId="247B55D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二、主要指标：</w:t>
            </w:r>
          </w:p>
          <w:p w14:paraId="2D49238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2.1、工作条件：环境温度16-32℃，环境湿度：20-80%，电压：220V±10%，频率50±1Hz。</w:t>
            </w:r>
          </w:p>
          <w:p w14:paraId="10603E4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2.2、样式：立式，双玻璃门。</w:t>
            </w:r>
          </w:p>
          <w:p w14:paraId="5E07490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★2.3、有效容积：≥1000L。</w:t>
            </w:r>
          </w:p>
          <w:p w14:paraId="07B07601">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2.4、外部尺寸：高度不能超过2000mm。</w:t>
            </w:r>
          </w:p>
          <w:p w14:paraId="054E677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2.5、门开风扇电机停止运行，门关风扇电机自动开始运行。</w:t>
            </w:r>
          </w:p>
          <w:p w14:paraId="0F1F114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2.6、箱体一侧标配1个测试孔，方便测试箱内温度。</w:t>
            </w:r>
          </w:p>
          <w:p w14:paraId="2661810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2.7、箱体材料：冷轧钢板，喷塑。</w:t>
            </w:r>
          </w:p>
          <w:p w14:paraId="09D91FE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2.8、内胆材料：SUS304不锈钢板。</w:t>
            </w:r>
          </w:p>
          <w:p w14:paraId="0612848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2.9、保温材料：无CFC聚氨酯发泡。</w:t>
            </w:r>
          </w:p>
          <w:p w14:paraId="1742324C">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2.10、箱内温度波动范围±3℃，可通过设定温度使箱内温度保持在2-8℃范围内。风道式强制冷气循环系统，确保箱体内部温度均匀性。</w:t>
            </w:r>
          </w:p>
          <w:p w14:paraId="2D759FA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2.11、箱内要有LED照明系统，功耗低，亮度高，便于观察箱体内部情况。</w:t>
            </w:r>
          </w:p>
          <w:p w14:paraId="11263E80">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2.12、压缩机：采用高效压缩机，风扇电机，节能高效、静音。具有自动化霜功能</w:t>
            </w:r>
          </w:p>
          <w:p w14:paraId="0619D44F">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2.13、配置有≥12个浸塑搁架, 带标签卡，方便存放物品标识，且易于清洗。</w:t>
            </w:r>
          </w:p>
          <w:p w14:paraId="64D17E7D">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2.14、风冷式高效冷凝器，翅片式蒸发器，冷藏内置吸风风扇，制冷迅速；具备自然化霜功能。</w:t>
            </w:r>
          </w:p>
          <w:p w14:paraId="4CCCA61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2.15、门体加热模式：自动加热模式、一直加热模式、关闭模式，实现32℃环温80%湿度条件下无凝露，小角度自动关门功能。</w:t>
            </w:r>
          </w:p>
          <w:p w14:paraId="0EAD261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 xml:space="preserve">2.16、门体带锁设计，防止随意开启，存储物品安全。自锁万向脚轮设计，移动固定方便。 </w:t>
            </w:r>
          </w:p>
          <w:p w14:paraId="40A8AA7A">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▲2.17、冷凝水汇集后由蒸发管自动蒸发，免除人工处理冷凝水的烦恼。</w:t>
            </w:r>
          </w:p>
          <w:p w14:paraId="741313C2">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2.18、高精度微电脑温度控制系统，内置上部温度、下部温度、控制/报警温度、环境温度、蒸发器温度、冷凝器温度、湿度传感器等7路传感器，确保运行状态安全稳定。</w:t>
            </w:r>
          </w:p>
          <w:p w14:paraId="352FBA6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2.19、温度传感器置于箱内模拟液中，真实反映物品实际存储温度。</w:t>
            </w:r>
          </w:p>
          <w:p w14:paraId="5B25C46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2.20、温度显示：显示精度0.1℃，调节精度0.1℃。</w:t>
            </w:r>
          </w:p>
          <w:p w14:paraId="2011C56A">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2.21、USB数据导出接口，接入U盘可自动存储当月及上月数据，数据PDF格式。U盘持续连接可自动持续存储温度数据。蓄电池可提供不少于48小时报警及为温度记录打印机、USB端口供电。</w:t>
            </w:r>
          </w:p>
          <w:p w14:paraId="7A8B95A3">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2.22、标配485接口、远程报警接口。</w:t>
            </w:r>
          </w:p>
          <w:p w14:paraId="3AD817D5">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2.23、完善的报警功能：具有高温、低温、高环温报警、传感器故警、开门、断电报警、电池电量低报警、显示板通信故障报警、记录仪通讯故障报警等多种报警功能。开门蜂鸣报警，门关闭报警消除。</w:t>
            </w:r>
          </w:p>
          <w:p w14:paraId="3205073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2.24、报警模式：声音蜂鸣、报警代码3秒/次间隔闪烁，物品存放更安全，具备远程报警功能。</w:t>
            </w:r>
          </w:p>
          <w:p w14:paraId="5D167508">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2.25、当控制/报警传感器发生故障时，压缩机以开机5分钟、停机6分钟规律运作，确保物品存储安全。</w:t>
            </w:r>
          </w:p>
          <w:p w14:paraId="1481C15F">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2.26、前后4个万向轮（万向轮带锁止功能），方便箱体移动安放。</w:t>
            </w:r>
          </w:p>
        </w:tc>
      </w:tr>
      <w:tr w14:paraId="0EAF0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5" w:hRule="atLeast"/>
        </w:trPr>
        <w:tc>
          <w:tcPr>
            <w:tcW w:w="781" w:type="dxa"/>
            <w:noWrap w:val="0"/>
            <w:vAlign w:val="center"/>
          </w:tcPr>
          <w:p w14:paraId="71A4864D">
            <w:pPr>
              <w:widowControl/>
              <w:spacing w:after="78" w:line="240" w:lineRule="auto"/>
              <w:ind w:left="210" w:hanging="226" w:hangingChars="10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16</w:t>
            </w:r>
          </w:p>
        </w:tc>
        <w:tc>
          <w:tcPr>
            <w:tcW w:w="1752" w:type="dxa"/>
            <w:noWrap w:val="0"/>
            <w:vAlign w:val="center"/>
          </w:tcPr>
          <w:p w14:paraId="67E709F4">
            <w:pPr>
              <w:widowControl/>
              <w:spacing w:after="78" w:line="240" w:lineRule="auto"/>
              <w:ind w:firstLine="0" w:firstLineChars="0"/>
              <w:jc w:val="center"/>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恒温微孔板振荡器</w:t>
            </w:r>
          </w:p>
        </w:tc>
        <w:tc>
          <w:tcPr>
            <w:tcW w:w="803" w:type="dxa"/>
            <w:noWrap w:val="0"/>
            <w:vAlign w:val="center"/>
          </w:tcPr>
          <w:p w14:paraId="350D3F73">
            <w:pPr>
              <w:pStyle w:val="18"/>
              <w:spacing w:line="240" w:lineRule="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w:t>
            </w:r>
          </w:p>
        </w:tc>
        <w:tc>
          <w:tcPr>
            <w:tcW w:w="6196" w:type="dxa"/>
            <w:noWrap w:val="0"/>
            <w:vAlign w:val="center"/>
          </w:tcPr>
          <w:p w14:paraId="63775254">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1、可适配多种微孔板、酶标板（96 孔 /384 孔板）、细胞培养板（24 孔板、48 孔板、96 孔板等）等溶液进行混匀振荡；适用于科研单位、医学院校、疾控中心、医学卫生单位的分子生物学、病毒学、微生物学、病理学、免疫学等实验室。</w:t>
            </w:r>
          </w:p>
          <w:p w14:paraId="6D8206D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2、LED 显示时间和振荡速度参数，便于准确设置和重现实验条件；</w:t>
            </w:r>
          </w:p>
          <w:p w14:paraId="0A64AF3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3、可放置≥ 4个标准微孔板或酶标板，对微量样品进行高效混合；</w:t>
            </w:r>
          </w:p>
          <w:p w14:paraId="6E5DE10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4、采用直流无刷电机驱动振荡，长寿命，可提供柔和或强力振荡；</w:t>
            </w:r>
          </w:p>
          <w:p w14:paraId="363A2B8E">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5、圆周振荡，振幅达≥ 3mm，样品混匀能力出色；</w:t>
            </w:r>
          </w:p>
          <w:p w14:paraId="337550A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6、操作便捷的金属夹具，可方便快速安装微孔板；</w:t>
            </w:r>
          </w:p>
          <w:p w14:paraId="5B5CC876">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7、具有记忆功能，仪器开始状态时显示上次设置值；</w:t>
            </w:r>
          </w:p>
          <w:p w14:paraId="6BC94617">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8、产品外观紧凑、操作简洁方便、安全稳定无噪音；</w:t>
            </w:r>
          </w:p>
          <w:p w14:paraId="3742383E">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9、具有安全保护功能。</w:t>
            </w:r>
          </w:p>
          <w:p w14:paraId="13780C39">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10、温度控制范围：室温+5~70℃，温度显示精度0.1℃；温度均匀性：±0.5℃；温度稳定性：±0.2℃；</w:t>
            </w:r>
          </w:p>
          <w:p w14:paraId="04B0100B">
            <w:pPr>
              <w:spacing w:line="276" w:lineRule="auto"/>
              <w:jc w:val="left"/>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平台温度准确度≤0.5度；升温速度≤30分钟（从20度到70度）；振荡速度范围：100-1200rpm(步进1rrpm)。</w:t>
            </w:r>
          </w:p>
          <w:p w14:paraId="73983FBF">
            <w:pPr>
              <w:spacing w:line="276" w:lineRule="auto"/>
              <w:jc w:val="left"/>
              <w:rPr>
                <w:rFonts w:hint="default"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11、时间设置范围：1-999分钟</w:t>
            </w:r>
          </w:p>
        </w:tc>
      </w:tr>
    </w:tbl>
    <w:p w14:paraId="67A4BA65">
      <w:pPr>
        <w:numPr>
          <w:ilvl w:val="0"/>
          <w:numId w:val="0"/>
        </w:numPr>
        <w:kinsoku w:val="0"/>
        <w:autoSpaceDE w:val="0"/>
        <w:autoSpaceDN w:val="0"/>
        <w:adjustRightInd w:val="0"/>
        <w:snapToGrid w:val="0"/>
        <w:spacing w:before="37" w:line="219" w:lineRule="auto"/>
        <w:jc w:val="left"/>
        <w:textAlignment w:val="baseline"/>
        <w:rPr>
          <w:rFonts w:hint="eastAsia" w:ascii="宋体" w:hAnsi="宋体" w:eastAsia="宋体" w:cs="宋体"/>
          <w:b w:val="0"/>
          <w:bCs w:val="0"/>
          <w:snapToGrid w:val="0"/>
          <w:color w:val="0000FF"/>
          <w:spacing w:val="8"/>
          <w:kern w:val="0"/>
          <w:sz w:val="21"/>
          <w:szCs w:val="21"/>
          <w:lang w:val="en-US" w:eastAsia="zh-CN" w:bidi="ar-SA"/>
        </w:rPr>
      </w:pPr>
    </w:p>
    <w:p w14:paraId="227A77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napToGrid w:val="0"/>
          <w:color w:val="0000FF"/>
          <w:spacing w:val="8"/>
          <w:kern w:val="0"/>
          <w:sz w:val="21"/>
          <w:szCs w:val="21"/>
          <w:lang w:val="en-US" w:eastAsia="zh-CN" w:bidi="ar-SA"/>
        </w:rPr>
      </w:pPr>
    </w:p>
    <w:p w14:paraId="27298E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napToGrid w:val="0"/>
          <w:color w:val="0000FF"/>
          <w:spacing w:val="8"/>
          <w:kern w:val="0"/>
          <w:sz w:val="21"/>
          <w:szCs w:val="21"/>
          <w:lang w:val="en-US" w:eastAsia="zh-CN" w:bidi="ar-SA"/>
        </w:rPr>
      </w:pPr>
    </w:p>
    <w:p w14:paraId="16FF2569">
      <w:pPr>
        <w:widowControl w:val="0"/>
        <w:numPr>
          <w:ilvl w:val="0"/>
          <w:numId w:val="0"/>
        </w:numPr>
        <w:spacing w:line="360" w:lineRule="auto"/>
        <w:jc w:val="left"/>
        <w:rPr>
          <w:rFonts w:hint="eastAsia" w:ascii="宋体" w:hAnsi="宋体" w:eastAsia="宋体" w:cs="宋体"/>
          <w:b w:val="0"/>
          <w:bCs w:val="0"/>
          <w:snapToGrid w:val="0"/>
          <w:color w:val="0000FF"/>
          <w:spacing w:val="8"/>
          <w:kern w:val="0"/>
          <w:sz w:val="21"/>
          <w:szCs w:val="21"/>
          <w:lang w:val="en-US" w:eastAsia="zh-CN" w:bidi="ar-SA"/>
        </w:rPr>
      </w:pPr>
    </w:p>
    <w:p w14:paraId="4EBADD23">
      <w:pPr>
        <w:pStyle w:val="3"/>
        <w:pageBreakBefore w:val="0"/>
        <w:numPr>
          <w:ilvl w:val="0"/>
          <w:numId w:val="1"/>
        </w:numPr>
        <w:wordWrap/>
        <w:overflowPunct/>
        <w:topLinePunct w:val="0"/>
        <w:bidi w:val="0"/>
        <w:spacing w:line="360" w:lineRule="auto"/>
        <w:ind w:left="0" w:leftChars="0" w:firstLine="452" w:firstLineChars="200"/>
        <w:jc w:val="center"/>
        <w:rPr>
          <w:rFonts w:hint="eastAsia" w:ascii="宋体" w:hAnsi="宋体" w:eastAsia="宋体" w:cs="宋体"/>
          <w:b w:val="0"/>
          <w:bCs w:val="0"/>
          <w:snapToGrid w:val="0"/>
          <w:color w:val="0000FF"/>
          <w:spacing w:val="8"/>
          <w:kern w:val="0"/>
          <w:sz w:val="21"/>
          <w:szCs w:val="21"/>
          <w:lang w:val="en-US" w:eastAsia="zh-CN" w:bidi="ar-SA"/>
        </w:rPr>
      </w:pPr>
      <w:bookmarkStart w:id="1" w:name="_Toc30619"/>
      <w:r>
        <w:rPr>
          <w:rFonts w:hint="eastAsia" w:ascii="宋体" w:hAnsi="宋体" w:eastAsia="宋体" w:cs="宋体"/>
          <w:b w:val="0"/>
          <w:bCs w:val="0"/>
          <w:snapToGrid w:val="0"/>
          <w:color w:val="0000FF"/>
          <w:spacing w:val="8"/>
          <w:kern w:val="0"/>
          <w:sz w:val="21"/>
          <w:szCs w:val="21"/>
          <w:lang w:val="en-US" w:eastAsia="zh-CN" w:bidi="ar-SA"/>
        </w:rPr>
        <w:t>产品（设备）商务要求</w:t>
      </w:r>
      <w:bookmarkEnd w:id="1"/>
    </w:p>
    <w:p w14:paraId="7874931A">
      <w:pPr>
        <w:keepNext w:val="0"/>
        <w:keepLines w:val="0"/>
        <w:pageBreakBefore w:val="0"/>
        <w:widowControl w:val="0"/>
        <w:kinsoku/>
        <w:wordWrap/>
        <w:overflowPunct/>
        <w:topLinePunct w:val="0"/>
        <w:autoSpaceDE/>
        <w:autoSpaceDN/>
        <w:bidi w:val="0"/>
        <w:adjustRightInd/>
        <w:snapToGrid/>
        <w:spacing w:before="0" w:after="0" w:line="360" w:lineRule="auto"/>
        <w:ind w:firstLine="452" w:firstLineChars="200"/>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一 、主要商务要求</w:t>
      </w:r>
    </w:p>
    <w:tbl>
      <w:tblPr>
        <w:tblStyle w:val="17"/>
        <w:tblW w:w="9362" w:type="dxa"/>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12"/>
        <w:gridCol w:w="6450"/>
      </w:tblGrid>
      <w:tr w14:paraId="56304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2912" w:type="dxa"/>
            <w:noWrap w:val="0"/>
            <w:vAlign w:val="center"/>
          </w:tcPr>
          <w:p w14:paraId="1061C300">
            <w:pPr>
              <w:pageBreakBefore w:val="0"/>
              <w:wordWrap/>
              <w:overflowPunct/>
              <w:topLinePunct w:val="0"/>
              <w:bidi w:val="0"/>
              <w:spacing w:line="360" w:lineRule="auto"/>
              <w:ind w:firstLine="452" w:firstLineChars="200"/>
              <w:jc w:val="both"/>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履行合同的时间、地点</w:t>
            </w:r>
          </w:p>
        </w:tc>
        <w:tc>
          <w:tcPr>
            <w:tcW w:w="6450" w:type="dxa"/>
            <w:noWrap w:val="0"/>
            <w:vAlign w:val="center"/>
          </w:tcPr>
          <w:p w14:paraId="3F6001A6">
            <w:pPr>
              <w:pageBreakBefore w:val="0"/>
              <w:wordWrap/>
              <w:overflowPunct/>
              <w:topLinePunct w:val="0"/>
              <w:bidi w:val="0"/>
              <w:spacing w:line="360" w:lineRule="auto"/>
              <w:jc w:val="both"/>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供货时间：签订合同后 30 日内交货并安装调试合格。</w:t>
            </w:r>
          </w:p>
          <w:p w14:paraId="5C6DE6E3">
            <w:pPr>
              <w:pageBreakBefore w:val="0"/>
              <w:wordWrap/>
              <w:overflowPunct/>
              <w:topLinePunct w:val="0"/>
              <w:bidi w:val="0"/>
              <w:spacing w:line="360" w:lineRule="auto"/>
              <w:jc w:val="both"/>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供货方式：配送至采购人指定地点。</w:t>
            </w:r>
          </w:p>
        </w:tc>
      </w:tr>
      <w:tr w14:paraId="4D9CC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0" w:hRule="atLeast"/>
        </w:trPr>
        <w:tc>
          <w:tcPr>
            <w:tcW w:w="2912" w:type="dxa"/>
            <w:noWrap w:val="0"/>
            <w:vAlign w:val="center"/>
          </w:tcPr>
          <w:p w14:paraId="3B6354D5">
            <w:pPr>
              <w:pageBreakBefore w:val="0"/>
              <w:wordWrap/>
              <w:overflowPunct/>
              <w:topLinePunct w:val="0"/>
              <w:bidi w:val="0"/>
              <w:spacing w:line="360" w:lineRule="auto"/>
              <w:ind w:firstLine="452" w:firstLineChars="200"/>
              <w:jc w:val="both"/>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合同价款支付方式和条件</w:t>
            </w:r>
          </w:p>
        </w:tc>
        <w:tc>
          <w:tcPr>
            <w:tcW w:w="6450" w:type="dxa"/>
            <w:noWrap w:val="0"/>
            <w:vAlign w:val="center"/>
          </w:tcPr>
          <w:p w14:paraId="15B65B41">
            <w:pPr>
              <w:pageBreakBefore w:val="0"/>
              <w:wordWrap/>
              <w:overflowPunct/>
              <w:topLinePunct w:val="0"/>
              <w:bidi w:val="0"/>
              <w:spacing w:line="360" w:lineRule="auto"/>
              <w:jc w:val="both"/>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付款方式：</w:t>
            </w:r>
          </w:p>
          <w:p w14:paraId="10ADCA90">
            <w:pPr>
              <w:pageBreakBefore w:val="0"/>
              <w:wordWrap/>
              <w:overflowPunct/>
              <w:topLinePunct w:val="0"/>
              <w:bidi w:val="0"/>
              <w:spacing w:line="360" w:lineRule="auto"/>
              <w:jc w:val="both"/>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1）货物全部到达现场并安装完成经验收合格后的30个工作日支付合同总额的100%，同时中标人向招标人提交质保函，质保函为合同总价的5%。贰年质保期满后退返质保函，具体双方合同约定。</w:t>
            </w:r>
          </w:p>
          <w:p w14:paraId="1285D5BA">
            <w:pPr>
              <w:pageBreakBefore w:val="0"/>
              <w:wordWrap/>
              <w:overflowPunct/>
              <w:topLinePunct w:val="0"/>
              <w:bidi w:val="0"/>
              <w:spacing w:line="360" w:lineRule="auto"/>
              <w:jc w:val="both"/>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付款条件：支付货款前成交供应商应提供正式、有效、合法的增值税发票,否则甲方有权拒付。</w:t>
            </w:r>
          </w:p>
        </w:tc>
      </w:tr>
      <w:tr w14:paraId="7210B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2912" w:type="dxa"/>
            <w:noWrap w:val="0"/>
            <w:vAlign w:val="center"/>
          </w:tcPr>
          <w:p w14:paraId="27A834FF">
            <w:pPr>
              <w:pageBreakBefore w:val="0"/>
              <w:wordWrap/>
              <w:overflowPunct/>
              <w:topLinePunct w:val="0"/>
              <w:bidi w:val="0"/>
              <w:spacing w:line="360" w:lineRule="auto"/>
              <w:ind w:firstLine="452" w:firstLineChars="200"/>
              <w:jc w:val="both"/>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质保期</w:t>
            </w:r>
          </w:p>
        </w:tc>
        <w:tc>
          <w:tcPr>
            <w:tcW w:w="6450" w:type="dxa"/>
            <w:noWrap w:val="0"/>
            <w:vAlign w:val="center"/>
          </w:tcPr>
          <w:p w14:paraId="3D012686">
            <w:pPr>
              <w:pageBreakBefore w:val="0"/>
              <w:wordWrap/>
              <w:overflowPunct/>
              <w:topLinePunct w:val="0"/>
              <w:bidi w:val="0"/>
              <w:spacing w:line="360" w:lineRule="auto"/>
              <w:jc w:val="both"/>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除低温操作平台质保期叁年，超低温冷藏箱、低温医用冰箱、医用冷藏箱的压缩机质保期为五年外，其他所有设备的质保期为贰年。质保期内设备的核心零部件出现问题需整机更换。其他非核心零部件如同一问题出现2次及以上（含2次），整机更换。</w:t>
            </w:r>
          </w:p>
        </w:tc>
      </w:tr>
      <w:tr w14:paraId="1C5FD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2912" w:type="dxa"/>
            <w:noWrap w:val="0"/>
            <w:vAlign w:val="center"/>
          </w:tcPr>
          <w:p w14:paraId="21E7ED7F">
            <w:pPr>
              <w:pageBreakBefore w:val="0"/>
              <w:wordWrap/>
              <w:overflowPunct/>
              <w:topLinePunct w:val="0"/>
              <w:bidi w:val="0"/>
              <w:spacing w:line="360" w:lineRule="auto"/>
              <w:ind w:firstLine="904" w:firstLineChars="400"/>
              <w:jc w:val="both"/>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履约担保</w:t>
            </w:r>
          </w:p>
        </w:tc>
        <w:tc>
          <w:tcPr>
            <w:tcW w:w="6450" w:type="dxa"/>
            <w:noWrap w:val="0"/>
            <w:vAlign w:val="center"/>
          </w:tcPr>
          <w:p w14:paraId="2E46E883">
            <w:pPr>
              <w:pageBreakBefore w:val="0"/>
              <w:wordWrap/>
              <w:overflowPunct/>
              <w:topLinePunct w:val="0"/>
              <w:bidi w:val="0"/>
              <w:spacing w:line="360" w:lineRule="auto"/>
              <w:jc w:val="both"/>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w:t>
            </w:r>
          </w:p>
        </w:tc>
      </w:tr>
      <w:tr w14:paraId="738B5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2912" w:type="dxa"/>
            <w:noWrap w:val="0"/>
            <w:vAlign w:val="center"/>
          </w:tcPr>
          <w:p w14:paraId="0B226EAD">
            <w:pPr>
              <w:pageBreakBefore w:val="0"/>
              <w:wordWrap/>
              <w:overflowPunct/>
              <w:topLinePunct w:val="0"/>
              <w:bidi w:val="0"/>
              <w:spacing w:line="360" w:lineRule="auto"/>
              <w:ind w:firstLine="904" w:firstLineChars="400"/>
              <w:jc w:val="both"/>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售后服务</w:t>
            </w:r>
          </w:p>
        </w:tc>
        <w:tc>
          <w:tcPr>
            <w:tcW w:w="6450" w:type="dxa"/>
            <w:noWrap w:val="0"/>
            <w:vAlign w:val="center"/>
          </w:tcPr>
          <w:p w14:paraId="0129E079">
            <w:pPr>
              <w:pageBreakBefore w:val="0"/>
              <w:wordWrap/>
              <w:overflowPunct/>
              <w:topLinePunct w:val="0"/>
              <w:bidi w:val="0"/>
              <w:spacing w:line="360" w:lineRule="auto"/>
              <w:jc w:val="both"/>
              <w:rPr>
                <w:rFonts w:hint="default"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详见售后服务要求</w:t>
            </w:r>
          </w:p>
        </w:tc>
      </w:tr>
      <w:tr w14:paraId="70C0B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12" w:type="dxa"/>
            <w:noWrap w:val="0"/>
            <w:vAlign w:val="center"/>
          </w:tcPr>
          <w:p w14:paraId="2CC84E64">
            <w:pPr>
              <w:pageBreakBefore w:val="0"/>
              <w:wordWrap/>
              <w:overflowPunct/>
              <w:topLinePunct w:val="0"/>
              <w:bidi w:val="0"/>
              <w:spacing w:line="360" w:lineRule="auto"/>
              <w:ind w:firstLine="678" w:firstLineChars="300"/>
              <w:jc w:val="both"/>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解决争议的方式</w:t>
            </w:r>
          </w:p>
        </w:tc>
        <w:tc>
          <w:tcPr>
            <w:tcW w:w="6450" w:type="dxa"/>
            <w:noWrap w:val="0"/>
            <w:vAlign w:val="center"/>
          </w:tcPr>
          <w:p w14:paraId="4F69A3FB">
            <w:pPr>
              <w:pageBreakBefore w:val="0"/>
              <w:wordWrap/>
              <w:overflowPunct/>
              <w:topLinePunct w:val="0"/>
              <w:bidi w:val="0"/>
              <w:spacing w:line="360" w:lineRule="auto"/>
              <w:jc w:val="both"/>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□仲裁     ☑诉讼</w:t>
            </w:r>
          </w:p>
        </w:tc>
      </w:tr>
    </w:tbl>
    <w:p w14:paraId="7ACA7310">
      <w:pPr>
        <w:pageBreakBefore w:val="0"/>
        <w:wordWrap/>
        <w:overflowPunct/>
        <w:topLinePunct w:val="0"/>
        <w:bidi w:val="0"/>
        <w:spacing w:line="360" w:lineRule="auto"/>
        <w:ind w:firstLine="452" w:firstLineChars="200"/>
        <w:rPr>
          <w:rFonts w:hint="eastAsia" w:ascii="宋体" w:hAnsi="宋体" w:eastAsia="宋体" w:cs="宋体"/>
          <w:b w:val="0"/>
          <w:bCs w:val="0"/>
          <w:snapToGrid w:val="0"/>
          <w:color w:val="0000FF"/>
          <w:spacing w:val="8"/>
          <w:kern w:val="0"/>
          <w:sz w:val="21"/>
          <w:szCs w:val="21"/>
          <w:lang w:val="en-US" w:eastAsia="zh-CN" w:bidi="ar-SA"/>
        </w:rPr>
      </w:pPr>
    </w:p>
    <w:p w14:paraId="06BBF4A2">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二、应提供的技术文件和资料</w:t>
      </w:r>
    </w:p>
    <w:p w14:paraId="510DD74D">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1、投标人应随设备提供设备包装清单中所列出的随机工具、必备配件和完整配套的产品</w:t>
      </w:r>
      <w:r>
        <w:rPr>
          <w:rFonts w:hint="eastAsia" w:ascii="宋体" w:hAnsi="宋体" w:eastAsia="宋体" w:cs="宋体"/>
          <w:b w:val="0"/>
          <w:bCs w:val="0"/>
          <w:snapToGrid w:val="0"/>
          <w:color w:val="0000FF"/>
          <w:spacing w:val="8"/>
          <w:kern w:val="0"/>
          <w:sz w:val="21"/>
          <w:szCs w:val="21"/>
          <w:highlight w:val="none"/>
          <w:lang w:val="en-US" w:eastAsia="zh-CN" w:bidi="ar-SA"/>
        </w:rPr>
        <w:t>说明书等技术文件资料，如设备出厂检验证书、合格证、图纸、使用指南、设备操作、维护手册和第三方仪器检定/校准报告等。</w:t>
      </w:r>
    </w:p>
    <w:p w14:paraId="1D84E32B">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2、如果采购人确认投标人提供的技术资料不完整或在运输过程中丢失，投标人应在收到采购人通知后15天内将所缺失资料免费送达提供给采购人。</w:t>
      </w:r>
    </w:p>
    <w:p w14:paraId="439ABBDE">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三、运输及安全要求</w:t>
      </w:r>
    </w:p>
    <w:p w14:paraId="510B15D9">
      <w:pPr>
        <w:pageBreakBefore w:val="0"/>
        <w:wordWrap/>
        <w:overflowPunct/>
        <w:topLinePunct w:val="0"/>
        <w:bidi w:val="0"/>
        <w:spacing w:line="360" w:lineRule="auto"/>
        <w:ind w:firstLine="452" w:firstLineChars="200"/>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投标人应保证货物及设备包装完整、交货前未拆封，包装箱及每一附件应由卖方注明货物名称、型号、件数、附件名，并负责运输到指定交货地点。包装及运输方式不当，致货物受损的，所有损失概由卖方自行承担。</w:t>
      </w:r>
    </w:p>
    <w:p w14:paraId="421F767F">
      <w:pPr>
        <w:pageBreakBefore w:val="0"/>
        <w:wordWrap/>
        <w:overflowPunct/>
        <w:topLinePunct w:val="0"/>
        <w:bidi w:val="0"/>
        <w:spacing w:line="360" w:lineRule="auto"/>
        <w:ind w:firstLine="452" w:firstLineChars="200"/>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如在吊运、安装和仓储过程中有特殊要求的货物，卖方应在交货前15天以特快专递方式将详细交货清单包括合同号、货物名称、规格、数量、毛重、体积(立方米)、包装箱件数和尺寸(长×宽×高)、具体交货日期、所需准备和注意事项等邮寄给买方，以便买方做好相应准备工作。</w:t>
      </w:r>
    </w:p>
    <w:p w14:paraId="6FFB4819">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3、供应商负责产品到安装地点的全部运输，包括装卸及现场搬运等。负责产品在安装地点的保管，直至项目验收合格。</w:t>
      </w:r>
    </w:p>
    <w:p w14:paraId="16955A11">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4、投标人负责其派出的安装人员、维修人员等工作人员的所有保险。采购人不承担任何责任。</w:t>
      </w:r>
    </w:p>
    <w:p w14:paraId="0C083A3E">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5、需搬运至采购人指定地点。</w:t>
      </w:r>
    </w:p>
    <w:p w14:paraId="16134DCB">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四、安装调试及技术服务要求</w:t>
      </w:r>
    </w:p>
    <w:p w14:paraId="307E1A54">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供应商应及时、正确地负责设备的安装、调试，确保设备运行正常，性能满足要求。安装调试费用已包含在合同总金额中。各项设施或设备，依法依规或依生产商要求需由专业技术人员安装、调试、履约或检验者，卖方应依照办理。安装过程中，卖方应遵守安装调试技术规范和安全生产规定，供应商在履约场所作业有发生意外事件之虞时，供应商应立即采取防范措施。如发生意外或损害，供应商应立即采取抢救、报告、复原、重建等措施，并承担由此产生的全部责任和费用。</w:t>
      </w:r>
    </w:p>
    <w:p w14:paraId="6B21EC7E">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2、供应商安装调试时，应随时清除安装场所内及外围一切废料、垃圾、非必要或不合格的材料、工具及其它设备，以确保该场所安全及环境整洁，所需费用由卖方负责。</w:t>
      </w:r>
    </w:p>
    <w:p w14:paraId="0AF1B2C4">
      <w:pPr>
        <w:pageBreakBefore w:val="0"/>
        <w:wordWrap/>
        <w:overflowPunct/>
        <w:topLinePunct w:val="0"/>
        <w:bidi w:val="0"/>
        <w:spacing w:line="360" w:lineRule="auto"/>
        <w:ind w:firstLine="452" w:firstLineChars="200"/>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五、验收标准和方法</w:t>
      </w:r>
    </w:p>
    <w:p w14:paraId="49B602D2">
      <w:pPr>
        <w:pageBreakBefore w:val="0"/>
        <w:wordWrap/>
        <w:overflowPunct/>
        <w:topLinePunct w:val="0"/>
        <w:bidi w:val="0"/>
        <w:spacing w:line="360" w:lineRule="auto"/>
        <w:ind w:firstLine="452" w:firstLineChars="200"/>
        <w:rPr>
          <w:rFonts w:hint="eastAsia" w:ascii="宋体" w:hAnsi="宋体" w:eastAsia="宋体" w:cs="宋体"/>
          <w:b w:val="0"/>
          <w:bCs w:val="0"/>
          <w:snapToGrid w:val="0"/>
          <w:color w:val="0000FF"/>
          <w:spacing w:val="8"/>
          <w:kern w:val="0"/>
          <w:sz w:val="21"/>
          <w:szCs w:val="21"/>
          <w:highlight w:val="none"/>
          <w:lang w:val="en-US" w:eastAsia="zh-CN" w:bidi="ar-SA"/>
        </w:rPr>
      </w:pPr>
      <w:r>
        <w:rPr>
          <w:rFonts w:hint="eastAsia" w:ascii="宋体" w:hAnsi="宋体" w:eastAsia="宋体" w:cs="宋体"/>
          <w:b w:val="0"/>
          <w:bCs w:val="0"/>
          <w:snapToGrid w:val="0"/>
          <w:color w:val="0000FF"/>
          <w:spacing w:val="8"/>
          <w:kern w:val="0"/>
          <w:sz w:val="21"/>
          <w:szCs w:val="21"/>
          <w:highlight w:val="none"/>
          <w:lang w:val="en-US" w:eastAsia="zh-CN" w:bidi="ar-SA"/>
        </w:rPr>
        <w:t>1、投标人必须严格按照本合同及附件要求提供符合国家标准的、出厂日期为近六个月（按投标截止日进行推算）的产品（如无相关国家标准则应符合行业标准；既无可适用的国家标准又无行业标准的，适用企业标准。招标文件要求或者投标人承诺的参数高于相关标准的，从高适用）。投标人所出售的货物还应符合国家有关安全、环保、卫生之规定。</w:t>
      </w:r>
    </w:p>
    <w:p w14:paraId="1F4523A2">
      <w:pPr>
        <w:pageBreakBefore w:val="0"/>
        <w:wordWrap/>
        <w:overflowPunct/>
        <w:topLinePunct w:val="0"/>
        <w:bidi w:val="0"/>
        <w:spacing w:line="360" w:lineRule="auto"/>
        <w:ind w:firstLine="452" w:firstLineChars="200"/>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2、投标人保证所提供的设备（包括零部件）是原装、全新、通过合法渠道取得的正规产品，满足合同规定的质量、性能、技术规范等的要求。</w:t>
      </w:r>
    </w:p>
    <w:p w14:paraId="777A20F5">
      <w:pPr>
        <w:pageBreakBefore w:val="0"/>
        <w:wordWrap/>
        <w:overflowPunct/>
        <w:topLinePunct w:val="0"/>
        <w:bidi w:val="0"/>
        <w:spacing w:line="360" w:lineRule="auto"/>
        <w:ind w:firstLine="452" w:firstLineChars="200"/>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3、货物运抵采购人指定地点，由买、卖双方组织相关人员共同对到货设备的数量、规格、型号、外观质量、随机备品备件、技术资料等进行初验，初验及在安装过程中发现与合同要求不符的货物，不得安装，已安装的必须更换或重做，其一切损失概由卖方自行负担；卖方拒绝更换的，买方不予验收。设备验收合格且移交买方前其保管责任由卖方承担。</w:t>
      </w:r>
    </w:p>
    <w:p w14:paraId="33061258">
      <w:pPr>
        <w:keepNext w:val="0"/>
        <w:keepLines w:val="0"/>
        <w:pageBreakBefore w:val="0"/>
        <w:wordWrap/>
        <w:overflowPunct/>
        <w:topLinePunct w:val="0"/>
        <w:bidi w:val="0"/>
        <w:spacing w:line="360" w:lineRule="auto"/>
        <w:ind w:firstLine="452" w:firstLineChars="200"/>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4、合同标的如有任何部分须依法报请政府主管机关检验检测或查验、或需取得国家强制检验检测合格证方可投入使用的，由卖方提出申请并负担有关费用。</w:t>
      </w:r>
    </w:p>
    <w:p w14:paraId="4712E9A8">
      <w:pPr>
        <w:keepNext w:val="0"/>
        <w:keepLines w:val="0"/>
        <w:pageBreakBefore w:val="0"/>
        <w:wordWrap/>
        <w:overflowPunct/>
        <w:topLinePunct w:val="0"/>
        <w:bidi w:val="0"/>
        <w:spacing w:line="360" w:lineRule="auto"/>
        <w:ind w:firstLine="452" w:firstLineChars="200"/>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5、必要时，采购人可按检验检测标准自行检查或委托有资质的相关质检机构的检验检测。如采购人发现设备的质量、规格与合同和招标文件要求不符，或者在质量保证期内，证实设备存在缺陷，包括潜在的缺陷或使用不符合要求的材料等，采购人应尽快以书面形式通知卖方。卖方在收到通知后3日内应免费更换有缺陷的设备或部件。如果卖方在收到通知后3日内没有弥补缺陷，采购人可采取必要的补救措施。前述事项引发的风险和费用（含检验检测费用）由卖方承担。</w:t>
      </w:r>
    </w:p>
    <w:p w14:paraId="73F45499">
      <w:pPr>
        <w:keepNext w:val="0"/>
        <w:keepLines w:val="0"/>
        <w:pageBreakBefore w:val="0"/>
        <w:wordWrap/>
        <w:overflowPunct/>
        <w:topLinePunct w:val="0"/>
        <w:bidi w:val="0"/>
        <w:spacing w:line="360" w:lineRule="auto"/>
        <w:ind w:firstLine="452" w:firstLineChars="200"/>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6、设备安装调试完成并试运行合理时间后，由采购人组织验收人员与卖方代表共同进行最终验收并签署验收意见。</w:t>
      </w:r>
    </w:p>
    <w:p w14:paraId="6678D9B3">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六、售后服务要求</w:t>
      </w:r>
    </w:p>
    <w:p w14:paraId="549147F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1、系统维护，要求提交以下内容：</w:t>
      </w:r>
    </w:p>
    <w:p w14:paraId="5A875E2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1）定期维护计划。</w:t>
      </w:r>
    </w:p>
    <w:p w14:paraId="28E6096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2）对采购人不定期维护要求的响应措施。</w:t>
      </w:r>
    </w:p>
    <w:p w14:paraId="446A6BF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3）对用户修改设计要求的响应措施。</w:t>
      </w:r>
    </w:p>
    <w:p w14:paraId="56683A7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2、技术支持</w:t>
      </w:r>
    </w:p>
    <w:p w14:paraId="1397A71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1）提供 7×24 小时的技术咨询服务。</w:t>
      </w:r>
    </w:p>
    <w:p w14:paraId="4B05082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2）敏感时期、重大节假日提供技术人员值守服务。</w:t>
      </w:r>
    </w:p>
    <w:p w14:paraId="6745F24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3、故障响应</w:t>
      </w:r>
    </w:p>
    <w:p w14:paraId="1CB3E0C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1）1 小时以内响应，48小时内完成采购方提出的维修要求。如需更换或送修, 必须在3个工作日内解决，并在此期间提供备用机或者通过其他途径以满足临床需要。</w:t>
      </w:r>
    </w:p>
    <w:p w14:paraId="624AEB3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2）备件服务：遇到重大故障，提供所需更换的任何备件。</w:t>
      </w:r>
    </w:p>
    <w:p w14:paraId="3FA406A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4、售后服务承诺书</w:t>
      </w:r>
    </w:p>
    <w:p w14:paraId="0E6F49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其主要内容包括如下：</w:t>
      </w:r>
    </w:p>
    <w:p w14:paraId="25FC865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1）本项目售后服务机构名称、地址</w:t>
      </w:r>
    </w:p>
    <w:p w14:paraId="0276A8A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2）本项目售后服务的负责人姓名、联系方式（电话、传真、手机）</w:t>
      </w:r>
    </w:p>
    <w:p w14:paraId="08C0226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3）维修服务响应时间、解决故障的措施、方法及所需要的时间</w:t>
      </w:r>
    </w:p>
    <w:p w14:paraId="468E31F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4）培训方式及内容</w:t>
      </w:r>
    </w:p>
    <w:p w14:paraId="7CBC5D5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5）保修期内及保修期外的服务收费标准</w:t>
      </w:r>
    </w:p>
    <w:p w14:paraId="620F328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6）其他的服务内容</w:t>
      </w:r>
    </w:p>
    <w:p w14:paraId="5A7A4AE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6、质保期内出现任何质量问题（人为破坏或自然灾害等不可抗力除外），由中标人负责全免费（免全部工时费、材料费、管理费、财务费等）更换或维修。质保期满后，无论采购人是否另行选择维保供应商，中标人应及时优惠提供</w:t>
      </w:r>
      <w:r>
        <w:rPr>
          <w:rFonts w:hint="eastAsia" w:ascii="宋体" w:hAnsi="宋体" w:eastAsia="宋体" w:cs="宋体"/>
          <w:b w:val="0"/>
          <w:bCs w:val="0"/>
          <w:snapToGrid w:val="0"/>
          <w:color w:val="FF0000"/>
          <w:spacing w:val="8"/>
          <w:kern w:val="0"/>
          <w:sz w:val="21"/>
          <w:szCs w:val="21"/>
          <w:lang w:val="en-US" w:eastAsia="zh-CN" w:bidi="ar-SA"/>
        </w:rPr>
        <w:t>十年</w:t>
      </w:r>
      <w:r>
        <w:rPr>
          <w:rFonts w:hint="eastAsia" w:ascii="宋体" w:hAnsi="宋体" w:eastAsia="宋体" w:cs="宋体"/>
          <w:b w:val="0"/>
          <w:bCs w:val="0"/>
          <w:snapToGrid w:val="0"/>
          <w:color w:val="0000FF"/>
          <w:spacing w:val="8"/>
          <w:kern w:val="0"/>
          <w:sz w:val="21"/>
          <w:szCs w:val="21"/>
          <w:lang w:val="en-US" w:eastAsia="zh-CN" w:bidi="ar-SA"/>
        </w:rPr>
        <w:t>所需的备品备件。</w:t>
      </w:r>
    </w:p>
    <w:p w14:paraId="6216458A">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七、其他</w:t>
      </w:r>
    </w:p>
    <w:p w14:paraId="336AAE15">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1、本项目所列的国家或行业相关标准要求，如与最新出台的国家或行业标准相冲突的，按最新的标准执行。</w:t>
      </w:r>
    </w:p>
    <w:p w14:paraId="261FB421">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2、供应商在投标前，可自行踏勘现场，有关费用自理，踏勘期间发生的意外自负。</w:t>
      </w:r>
    </w:p>
    <w:p w14:paraId="33B3FB5D">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default"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3、关于投标报价的说明</w:t>
      </w:r>
    </w:p>
    <w:p w14:paraId="3AB635B1">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3.1.本合同总金额是采购标的全部价款，包含设计、制造、税费、包装、仓储、装卸运输、安装、调试、技术、指导、培训、咨询、服务、检测、保险、商检、海关关税及报关清关手续费和验收合格交付使用之前及保修期与备品备件等卖方完全履行合同所发生的全部费用。</w:t>
      </w:r>
    </w:p>
    <w:p w14:paraId="4E6E532E">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3.2、投标总价不得缺漏采购文件所要求的内容，否则，在评标时将视为无效投标。</w:t>
      </w:r>
    </w:p>
    <w:p w14:paraId="74E7802C">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3.2、投标人对每种货物及服务只允许有一个报价，不接受选择性报价，否则，在评标时将视为无效投标。</w:t>
      </w:r>
    </w:p>
    <w:p w14:paraId="54C5D2B5">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3.3、任何包含价格调整要求和条件的投标报价，在评标时将视为无效投标。</w:t>
      </w:r>
    </w:p>
    <w:p w14:paraId="64E8FFD5">
      <w:pPr>
        <w:keepNext w:val="0"/>
        <w:keepLines w:val="0"/>
        <w:pageBreakBefore w:val="0"/>
        <w:widowControl w:val="0"/>
        <w:kinsoku/>
        <w:wordWrap/>
        <w:overflowPunct/>
        <w:topLinePunct w:val="0"/>
        <w:autoSpaceDE/>
        <w:autoSpaceDN/>
        <w:bidi w:val="0"/>
        <w:adjustRightInd/>
        <w:snapToGrid/>
        <w:spacing w:line="360" w:lineRule="auto"/>
        <w:ind w:firstLine="452" w:firstLineChars="200"/>
        <w:textAlignment w:val="auto"/>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3.4、根据相关法律规定，设备涉及到医院及病人相关信息，投标人需遵循保密原则不可对外泄露医院及病人的所有信息，并签署保密协议（见附件）。</w:t>
      </w:r>
    </w:p>
    <w:p w14:paraId="68261A7E">
      <w:pPr>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br w:type="page"/>
      </w:r>
    </w:p>
    <w:p w14:paraId="6D26E76C">
      <w:pPr>
        <w:spacing w:before="78" w:line="219" w:lineRule="auto"/>
        <w:ind w:left="28"/>
        <w:rPr>
          <w:rFonts w:hint="eastAsia" w:ascii="宋体" w:hAnsi="宋体" w:eastAsia="宋体" w:cs="宋体"/>
          <w:b w:val="0"/>
          <w:bCs w:val="0"/>
          <w:snapToGrid w:val="0"/>
          <w:color w:val="0000FF"/>
          <w:spacing w:val="8"/>
          <w:kern w:val="0"/>
          <w:sz w:val="21"/>
          <w:szCs w:val="21"/>
          <w:lang w:val="en-US" w:eastAsia="zh-CN" w:bidi="ar-SA"/>
        </w:rPr>
      </w:pPr>
      <w:r>
        <w:rPr>
          <w:rFonts w:hint="eastAsia" w:ascii="宋体" w:hAnsi="宋体" w:eastAsia="宋体" w:cs="宋体"/>
          <w:b w:val="0"/>
          <w:bCs w:val="0"/>
          <w:snapToGrid w:val="0"/>
          <w:color w:val="0000FF"/>
          <w:spacing w:val="8"/>
          <w:kern w:val="0"/>
          <w:sz w:val="21"/>
          <w:szCs w:val="21"/>
          <w:lang w:val="en-US" w:eastAsia="zh-CN" w:bidi="ar-SA"/>
        </w:rPr>
        <w:t>附件：</w:t>
      </w:r>
    </w:p>
    <w:p w14:paraId="0C9C26BB">
      <w:pPr>
        <w:spacing w:before="35" w:line="219" w:lineRule="auto"/>
        <w:ind w:left="3678"/>
        <w:rPr>
          <w:rFonts w:ascii="宋体" w:hAnsi="宋体" w:eastAsia="宋体" w:cs="宋体"/>
          <w:color w:val="0000FF"/>
          <w:sz w:val="21"/>
          <w:szCs w:val="21"/>
        </w:rPr>
      </w:pPr>
      <w:bookmarkStart w:id="2" w:name="bookmark50"/>
      <w:bookmarkEnd w:id="2"/>
      <w:bookmarkStart w:id="3" w:name="bookmark49"/>
      <w:bookmarkEnd w:id="3"/>
      <w:r>
        <w:rPr>
          <w:rFonts w:ascii="宋体" w:hAnsi="宋体" w:eastAsia="宋体" w:cs="宋体"/>
          <w:b/>
          <w:bCs/>
          <w:color w:val="0000FF"/>
          <w:spacing w:val="-5"/>
          <w:sz w:val="21"/>
          <w:szCs w:val="21"/>
        </w:rPr>
        <w:t>保密承诺书</w:t>
      </w:r>
    </w:p>
    <w:p w14:paraId="6285DE56">
      <w:pPr>
        <w:spacing w:before="19" w:line="227" w:lineRule="auto"/>
        <w:rPr>
          <w:rFonts w:ascii="宋体" w:hAnsi="宋体" w:eastAsia="宋体" w:cs="宋体"/>
          <w:color w:val="0000FF"/>
          <w:sz w:val="21"/>
          <w:szCs w:val="21"/>
        </w:rPr>
      </w:pPr>
      <w:r>
        <w:rPr>
          <w:rFonts w:ascii="宋体" w:hAnsi="宋体" w:eastAsia="宋体" w:cs="宋体"/>
          <w:color w:val="0000FF"/>
          <w:spacing w:val="17"/>
          <w:sz w:val="21"/>
          <w:szCs w:val="21"/>
        </w:rPr>
        <w:t>致</w:t>
      </w:r>
      <w:r>
        <w:rPr>
          <w:rFonts w:ascii="宋体" w:hAnsi="宋体" w:eastAsia="宋体" w:cs="宋体"/>
          <w:color w:val="0000FF"/>
          <w:spacing w:val="-17"/>
          <w:sz w:val="21"/>
          <w:szCs w:val="21"/>
        </w:rPr>
        <w:t>：</w:t>
      </w:r>
      <w:r>
        <w:rPr>
          <w:rFonts w:ascii="宋体" w:hAnsi="宋体" w:eastAsia="宋体" w:cs="宋体"/>
          <w:color w:val="0000FF"/>
          <w:spacing w:val="5"/>
          <w:sz w:val="21"/>
          <w:szCs w:val="21"/>
          <w:u w:val="single" w:color="auto"/>
        </w:rPr>
        <w:t xml:space="preserve">           </w:t>
      </w:r>
      <w:r>
        <w:rPr>
          <w:rFonts w:ascii="宋体" w:hAnsi="宋体" w:eastAsia="宋体" w:cs="宋体"/>
          <w:color w:val="0000FF"/>
          <w:spacing w:val="-17"/>
          <w:sz w:val="21"/>
          <w:szCs w:val="21"/>
        </w:rPr>
        <w:t>（</w:t>
      </w:r>
      <w:r>
        <w:rPr>
          <w:rFonts w:ascii="宋体" w:hAnsi="宋体" w:eastAsia="宋体" w:cs="宋体"/>
          <w:color w:val="0000FF"/>
          <w:spacing w:val="17"/>
          <w:sz w:val="21"/>
          <w:szCs w:val="21"/>
        </w:rPr>
        <w:t>采购人）</w:t>
      </w:r>
    </w:p>
    <w:p w14:paraId="49DC504F">
      <w:pPr>
        <w:spacing w:before="156" w:line="372" w:lineRule="auto"/>
        <w:ind w:left="8" w:right="39" w:firstLine="400"/>
        <w:rPr>
          <w:rFonts w:ascii="宋体" w:hAnsi="宋体" w:eastAsia="宋体" w:cs="宋体"/>
          <w:color w:val="0000FF"/>
          <w:sz w:val="21"/>
          <w:szCs w:val="21"/>
        </w:rPr>
      </w:pPr>
      <w:r>
        <w:rPr>
          <w:rFonts w:ascii="宋体" w:hAnsi="宋体" w:eastAsia="宋体" w:cs="宋体"/>
          <w:color w:val="0000FF"/>
          <w:spacing w:val="8"/>
          <w:sz w:val="21"/>
          <w:szCs w:val="21"/>
        </w:rPr>
        <w:t>为参加</w:t>
      </w:r>
      <w:r>
        <w:rPr>
          <w:rFonts w:ascii="宋体" w:hAnsi="宋体" w:eastAsia="宋体" w:cs="宋体"/>
          <w:color w:val="0000FF"/>
          <w:spacing w:val="-94"/>
          <w:sz w:val="21"/>
          <w:szCs w:val="21"/>
        </w:rPr>
        <w:t xml:space="preserve"> </w:t>
      </w:r>
      <w:r>
        <w:rPr>
          <w:rFonts w:ascii="宋体" w:hAnsi="宋体" w:eastAsia="宋体" w:cs="宋体"/>
          <w:color w:val="0000FF"/>
          <w:spacing w:val="8"/>
          <w:sz w:val="21"/>
          <w:szCs w:val="21"/>
          <w:u w:val="single" w:color="auto"/>
        </w:rPr>
        <w:t xml:space="preserve">          </w:t>
      </w:r>
      <w:r>
        <w:rPr>
          <w:rFonts w:ascii="宋体" w:hAnsi="宋体" w:eastAsia="宋体" w:cs="宋体"/>
          <w:color w:val="0000FF"/>
          <w:spacing w:val="8"/>
          <w:sz w:val="21"/>
          <w:szCs w:val="21"/>
        </w:rPr>
        <w:t>（采购人）的</w:t>
      </w:r>
      <w:r>
        <w:rPr>
          <w:rFonts w:ascii="宋体" w:hAnsi="宋体" w:eastAsia="宋体" w:cs="宋体"/>
          <w:color w:val="0000FF"/>
          <w:spacing w:val="8"/>
          <w:sz w:val="21"/>
          <w:szCs w:val="21"/>
          <w:u w:val="single" w:color="auto"/>
        </w:rPr>
        <w:t xml:space="preserve">         </w:t>
      </w:r>
      <w:r>
        <w:rPr>
          <w:rFonts w:ascii="宋体" w:hAnsi="宋体" w:eastAsia="宋体" w:cs="宋体"/>
          <w:color w:val="0000FF"/>
          <w:spacing w:val="-83"/>
          <w:sz w:val="21"/>
          <w:szCs w:val="21"/>
        </w:rPr>
        <w:t xml:space="preserve"> </w:t>
      </w:r>
      <w:r>
        <w:rPr>
          <w:rFonts w:ascii="宋体" w:hAnsi="宋体" w:eastAsia="宋体" w:cs="宋体"/>
          <w:color w:val="0000FF"/>
          <w:spacing w:val="8"/>
          <w:sz w:val="21"/>
          <w:szCs w:val="21"/>
        </w:rPr>
        <w:t>项目招</w:t>
      </w:r>
      <w:r>
        <w:rPr>
          <w:rFonts w:ascii="宋体" w:hAnsi="宋体" w:eastAsia="宋体" w:cs="宋体"/>
          <w:color w:val="0000FF"/>
          <w:spacing w:val="7"/>
          <w:sz w:val="21"/>
          <w:szCs w:val="21"/>
        </w:rPr>
        <w:t>投标</w:t>
      </w:r>
      <w:r>
        <w:rPr>
          <w:rFonts w:ascii="宋体" w:hAnsi="宋体" w:eastAsia="宋体" w:cs="宋体"/>
          <w:color w:val="0000FF"/>
          <w:spacing w:val="-18"/>
          <w:sz w:val="21"/>
          <w:szCs w:val="21"/>
        </w:rPr>
        <w:t>，</w:t>
      </w:r>
      <w:r>
        <w:rPr>
          <w:rFonts w:ascii="宋体" w:hAnsi="宋体" w:eastAsia="宋体" w:cs="宋体"/>
          <w:color w:val="0000FF"/>
          <w:spacing w:val="5"/>
          <w:sz w:val="21"/>
          <w:szCs w:val="21"/>
          <w:u w:val="single" w:color="auto"/>
        </w:rPr>
        <w:t xml:space="preserve">         </w:t>
      </w:r>
      <w:r>
        <w:rPr>
          <w:rFonts w:ascii="宋体" w:hAnsi="宋体" w:eastAsia="宋体" w:cs="宋体"/>
          <w:color w:val="0000FF"/>
          <w:spacing w:val="-18"/>
          <w:sz w:val="21"/>
          <w:szCs w:val="21"/>
        </w:rPr>
        <w:t>（</w:t>
      </w:r>
      <w:r>
        <w:rPr>
          <w:rFonts w:ascii="宋体" w:hAnsi="宋体" w:eastAsia="宋体" w:cs="宋体"/>
          <w:color w:val="0000FF"/>
          <w:spacing w:val="7"/>
          <w:sz w:val="21"/>
          <w:szCs w:val="21"/>
        </w:rPr>
        <w:t>采购人）</w:t>
      </w:r>
      <w:r>
        <w:rPr>
          <w:rFonts w:ascii="宋体" w:hAnsi="宋体" w:eastAsia="宋体" w:cs="宋体"/>
          <w:color w:val="0000FF"/>
          <w:spacing w:val="-55"/>
          <w:sz w:val="21"/>
          <w:szCs w:val="21"/>
        </w:rPr>
        <w:t xml:space="preserve"> </w:t>
      </w:r>
      <w:r>
        <w:rPr>
          <w:rFonts w:ascii="宋体" w:hAnsi="宋体" w:eastAsia="宋体" w:cs="宋体"/>
          <w:color w:val="0000FF"/>
          <w:spacing w:val="7"/>
          <w:sz w:val="21"/>
          <w:szCs w:val="21"/>
        </w:rPr>
        <w:t>向我公司提供有关</w:t>
      </w:r>
      <w:r>
        <w:rPr>
          <w:rFonts w:ascii="宋体" w:hAnsi="宋体" w:eastAsia="宋体" w:cs="宋体"/>
          <w:color w:val="0000FF"/>
          <w:sz w:val="21"/>
          <w:szCs w:val="21"/>
        </w:rPr>
        <w:t xml:space="preserve"> </w:t>
      </w:r>
      <w:r>
        <w:rPr>
          <w:rFonts w:ascii="宋体" w:hAnsi="宋体" w:eastAsia="宋体" w:cs="宋体"/>
          <w:color w:val="0000FF"/>
          <w:spacing w:val="10"/>
          <w:sz w:val="21"/>
          <w:szCs w:val="21"/>
        </w:rPr>
        <w:t>（项目名称）相关信息和资料，前提是我公司必须根据本承诺</w:t>
      </w:r>
      <w:r>
        <w:rPr>
          <w:rFonts w:ascii="宋体" w:hAnsi="宋体" w:eastAsia="宋体" w:cs="宋体"/>
          <w:color w:val="0000FF"/>
          <w:spacing w:val="9"/>
          <w:sz w:val="21"/>
          <w:szCs w:val="21"/>
        </w:rPr>
        <w:t>书的规定对所提供的信息和资料严格</w:t>
      </w:r>
      <w:r>
        <w:rPr>
          <w:rFonts w:ascii="宋体" w:hAnsi="宋体" w:eastAsia="宋体" w:cs="宋体"/>
          <w:color w:val="0000FF"/>
          <w:spacing w:val="10"/>
          <w:sz w:val="21"/>
          <w:szCs w:val="21"/>
        </w:rPr>
        <w:t>履行保密责任，并且仅对本项目的招投标项目之实施之目的而</w:t>
      </w:r>
      <w:r>
        <w:rPr>
          <w:rFonts w:ascii="宋体" w:hAnsi="宋体" w:eastAsia="宋体" w:cs="宋体"/>
          <w:color w:val="0000FF"/>
          <w:spacing w:val="9"/>
          <w:sz w:val="21"/>
          <w:szCs w:val="21"/>
        </w:rPr>
        <w:t>使用，我公司同意进一步做出以下承</w:t>
      </w:r>
      <w:r>
        <w:rPr>
          <w:rFonts w:ascii="宋体" w:hAnsi="宋体" w:eastAsia="宋体" w:cs="宋体"/>
          <w:color w:val="0000FF"/>
          <w:spacing w:val="7"/>
          <w:sz w:val="21"/>
          <w:szCs w:val="21"/>
        </w:rPr>
        <w:t>诺：本承诺书所称的“相关信息和资料</w:t>
      </w:r>
      <w:r>
        <w:rPr>
          <w:rFonts w:ascii="宋体" w:hAnsi="宋体" w:eastAsia="宋体" w:cs="宋体"/>
          <w:color w:val="0000FF"/>
          <w:spacing w:val="-56"/>
          <w:sz w:val="21"/>
          <w:szCs w:val="21"/>
        </w:rPr>
        <w:t xml:space="preserve"> </w:t>
      </w:r>
      <w:r>
        <w:rPr>
          <w:rFonts w:ascii="宋体" w:hAnsi="宋体" w:eastAsia="宋体" w:cs="宋体"/>
          <w:color w:val="0000FF"/>
          <w:spacing w:val="7"/>
          <w:sz w:val="21"/>
          <w:szCs w:val="21"/>
        </w:rPr>
        <w:t>”是指基于</w:t>
      </w:r>
      <w:r>
        <w:rPr>
          <w:rFonts w:ascii="宋体" w:hAnsi="宋体" w:eastAsia="宋体" w:cs="宋体"/>
          <w:color w:val="0000FF"/>
          <w:spacing w:val="-92"/>
          <w:sz w:val="21"/>
          <w:szCs w:val="21"/>
        </w:rPr>
        <w:t xml:space="preserve"> </w:t>
      </w:r>
      <w:r>
        <w:rPr>
          <w:rFonts w:ascii="宋体" w:hAnsi="宋体" w:eastAsia="宋体" w:cs="宋体"/>
          <w:color w:val="0000FF"/>
          <w:spacing w:val="7"/>
          <w:sz w:val="21"/>
          <w:szCs w:val="21"/>
          <w:u w:val="single" w:color="auto"/>
        </w:rPr>
        <w:t xml:space="preserve">          </w:t>
      </w:r>
      <w:r>
        <w:rPr>
          <w:rFonts w:ascii="宋体" w:hAnsi="宋体" w:eastAsia="宋体" w:cs="宋体"/>
          <w:color w:val="0000FF"/>
          <w:spacing w:val="7"/>
          <w:sz w:val="21"/>
          <w:szCs w:val="21"/>
        </w:rPr>
        <w:t>（采购人）</w:t>
      </w:r>
      <w:r>
        <w:rPr>
          <w:rFonts w:ascii="宋体" w:hAnsi="宋体" w:eastAsia="宋体" w:cs="宋体"/>
          <w:color w:val="0000FF"/>
          <w:spacing w:val="7"/>
          <w:sz w:val="21"/>
          <w:szCs w:val="21"/>
          <w:u w:val="single" w:color="auto"/>
        </w:rPr>
        <w:t xml:space="preserve">         </w:t>
      </w:r>
      <w:r>
        <w:rPr>
          <w:rFonts w:ascii="宋体" w:hAnsi="宋体" w:eastAsia="宋体" w:cs="宋体"/>
          <w:color w:val="0000FF"/>
          <w:spacing w:val="-86"/>
          <w:sz w:val="21"/>
          <w:szCs w:val="21"/>
        </w:rPr>
        <w:t xml:space="preserve"> </w:t>
      </w:r>
      <w:r>
        <w:rPr>
          <w:rFonts w:ascii="宋体" w:hAnsi="宋体" w:eastAsia="宋体" w:cs="宋体"/>
          <w:color w:val="0000FF"/>
          <w:spacing w:val="7"/>
          <w:sz w:val="21"/>
          <w:szCs w:val="21"/>
        </w:rPr>
        <w:t>招投标向我公司</w:t>
      </w:r>
      <w:r>
        <w:rPr>
          <w:rFonts w:ascii="宋体" w:hAnsi="宋体" w:eastAsia="宋体" w:cs="宋体"/>
          <w:color w:val="0000FF"/>
          <w:sz w:val="21"/>
          <w:szCs w:val="21"/>
        </w:rPr>
        <w:t xml:space="preserve"> </w:t>
      </w:r>
      <w:r>
        <w:rPr>
          <w:rFonts w:ascii="宋体" w:hAnsi="宋体" w:eastAsia="宋体" w:cs="宋体"/>
          <w:color w:val="0000FF"/>
          <w:spacing w:val="9"/>
          <w:sz w:val="21"/>
          <w:szCs w:val="21"/>
        </w:rPr>
        <w:t>提供的招标文件内容以及有关实施本项目过程中涉及的全部未向社会公开的信息。</w:t>
      </w:r>
    </w:p>
    <w:p w14:paraId="2D58C4E4">
      <w:pPr>
        <w:spacing w:before="30" w:line="228" w:lineRule="auto"/>
        <w:ind w:left="409"/>
        <w:rPr>
          <w:rFonts w:ascii="宋体" w:hAnsi="宋体" w:eastAsia="宋体" w:cs="宋体"/>
          <w:color w:val="0000FF"/>
          <w:sz w:val="21"/>
          <w:szCs w:val="21"/>
        </w:rPr>
      </w:pPr>
      <w:r>
        <w:rPr>
          <w:rFonts w:ascii="宋体" w:hAnsi="宋体" w:eastAsia="宋体" w:cs="宋体"/>
          <w:color w:val="0000FF"/>
          <w:spacing w:val="8"/>
          <w:sz w:val="21"/>
          <w:szCs w:val="21"/>
        </w:rPr>
        <w:t>一、保密义务</w:t>
      </w:r>
    </w:p>
    <w:p w14:paraId="2368DFC0">
      <w:pPr>
        <w:spacing w:before="155" w:line="227" w:lineRule="auto"/>
        <w:ind w:left="421"/>
        <w:rPr>
          <w:rFonts w:ascii="宋体" w:hAnsi="宋体" w:eastAsia="宋体" w:cs="宋体"/>
          <w:color w:val="0000FF"/>
          <w:sz w:val="21"/>
          <w:szCs w:val="21"/>
        </w:rPr>
      </w:pPr>
      <w:r>
        <w:rPr>
          <w:rFonts w:ascii="宋体" w:hAnsi="宋体" w:eastAsia="宋体" w:cs="宋体"/>
          <w:color w:val="0000FF"/>
          <w:spacing w:val="9"/>
          <w:sz w:val="21"/>
          <w:szCs w:val="21"/>
        </w:rPr>
        <w:t>1、我公司同意严格保密本次项目招投标所提供的货物采购相关</w:t>
      </w:r>
      <w:r>
        <w:rPr>
          <w:rFonts w:ascii="宋体" w:hAnsi="宋体" w:eastAsia="宋体" w:cs="宋体"/>
          <w:color w:val="0000FF"/>
          <w:spacing w:val="8"/>
          <w:sz w:val="21"/>
          <w:szCs w:val="21"/>
        </w:rPr>
        <w:t>信息和资料。</w:t>
      </w:r>
    </w:p>
    <w:p w14:paraId="281DAB67">
      <w:pPr>
        <w:spacing w:before="154" w:line="303" w:lineRule="auto"/>
        <w:ind w:left="9" w:right="339" w:firstLine="399"/>
        <w:rPr>
          <w:rFonts w:ascii="宋体" w:hAnsi="宋体" w:eastAsia="宋体" w:cs="宋体"/>
          <w:color w:val="0000FF"/>
          <w:sz w:val="21"/>
          <w:szCs w:val="21"/>
        </w:rPr>
      </w:pPr>
      <w:r>
        <w:rPr>
          <w:rFonts w:ascii="宋体" w:hAnsi="宋体" w:eastAsia="宋体" w:cs="宋体"/>
          <w:color w:val="0000FF"/>
          <w:spacing w:val="10"/>
          <w:sz w:val="21"/>
          <w:szCs w:val="21"/>
        </w:rPr>
        <w:t>2、我公司保证采取所有必要的方法对本次项目招投标</w:t>
      </w:r>
      <w:r>
        <w:rPr>
          <w:rFonts w:ascii="宋体" w:hAnsi="宋体" w:eastAsia="宋体" w:cs="宋体"/>
          <w:color w:val="0000FF"/>
          <w:spacing w:val="9"/>
          <w:sz w:val="21"/>
          <w:szCs w:val="21"/>
        </w:rPr>
        <w:t>提供的货物采购相关信息和资料进行保</w:t>
      </w:r>
      <w:r>
        <w:rPr>
          <w:rFonts w:ascii="宋体" w:hAnsi="宋体" w:eastAsia="宋体" w:cs="宋体"/>
          <w:color w:val="0000FF"/>
          <w:sz w:val="21"/>
          <w:szCs w:val="21"/>
        </w:rPr>
        <w:t xml:space="preserve"> </w:t>
      </w:r>
      <w:r>
        <w:rPr>
          <w:rFonts w:ascii="宋体" w:hAnsi="宋体" w:eastAsia="宋体" w:cs="宋体"/>
          <w:color w:val="0000FF"/>
          <w:spacing w:val="9"/>
          <w:sz w:val="21"/>
          <w:szCs w:val="21"/>
        </w:rPr>
        <w:t>密，严格非授权透露、使用、复制本次项目招投标所提供的相关信息和资料。</w:t>
      </w:r>
    </w:p>
    <w:p w14:paraId="6F14982F">
      <w:pPr>
        <w:spacing w:before="155" w:line="348" w:lineRule="auto"/>
        <w:ind w:left="9" w:right="39" w:firstLine="401"/>
        <w:rPr>
          <w:rFonts w:ascii="宋体" w:hAnsi="宋体" w:eastAsia="宋体" w:cs="宋体"/>
          <w:color w:val="0000FF"/>
          <w:sz w:val="21"/>
          <w:szCs w:val="21"/>
        </w:rPr>
      </w:pPr>
      <w:r>
        <w:rPr>
          <w:rFonts w:ascii="宋体" w:hAnsi="宋体" w:eastAsia="宋体" w:cs="宋体"/>
          <w:color w:val="0000FF"/>
          <w:spacing w:val="9"/>
          <w:sz w:val="21"/>
          <w:szCs w:val="21"/>
        </w:rPr>
        <w:t>3、未经</w:t>
      </w:r>
      <w:r>
        <w:rPr>
          <w:rFonts w:ascii="宋体" w:hAnsi="宋体" w:eastAsia="宋体" w:cs="宋体"/>
          <w:color w:val="0000FF"/>
          <w:spacing w:val="9"/>
          <w:sz w:val="21"/>
          <w:szCs w:val="21"/>
          <w:u w:val="single" w:color="auto"/>
        </w:rPr>
        <w:t xml:space="preserve">         </w:t>
      </w:r>
      <w:r>
        <w:rPr>
          <w:rFonts w:ascii="宋体" w:hAnsi="宋体" w:eastAsia="宋体" w:cs="宋体"/>
          <w:color w:val="0000FF"/>
          <w:spacing w:val="9"/>
          <w:sz w:val="21"/>
          <w:szCs w:val="21"/>
        </w:rPr>
        <w:t>（采购人）书面同意，我公司不得因任</w:t>
      </w:r>
      <w:r>
        <w:rPr>
          <w:rFonts w:ascii="宋体" w:hAnsi="宋体" w:eastAsia="宋体" w:cs="宋体"/>
          <w:color w:val="0000FF"/>
          <w:spacing w:val="8"/>
          <w:sz w:val="21"/>
          <w:szCs w:val="21"/>
        </w:rPr>
        <w:t>何理由以任何方式透露本次项目招投标</w:t>
      </w:r>
      <w:r>
        <w:rPr>
          <w:rFonts w:ascii="宋体" w:hAnsi="宋体" w:eastAsia="宋体" w:cs="宋体"/>
          <w:color w:val="0000FF"/>
          <w:sz w:val="21"/>
          <w:szCs w:val="21"/>
        </w:rPr>
        <w:t xml:space="preserve"> </w:t>
      </w:r>
      <w:r>
        <w:rPr>
          <w:rFonts w:ascii="宋体" w:hAnsi="宋体" w:eastAsia="宋体" w:cs="宋体"/>
          <w:color w:val="0000FF"/>
          <w:spacing w:val="9"/>
          <w:sz w:val="21"/>
          <w:szCs w:val="21"/>
        </w:rPr>
        <w:t xml:space="preserve">提供的货物采购相关信息和资料，在服务期间，因特殊情况 </w:t>
      </w:r>
      <w:r>
        <w:rPr>
          <w:rFonts w:ascii="宋体" w:hAnsi="宋体" w:eastAsia="宋体" w:cs="宋体"/>
          <w:color w:val="0000FF"/>
          <w:spacing w:val="9"/>
          <w:sz w:val="21"/>
          <w:szCs w:val="21"/>
          <w:u w:val="single" w:color="auto"/>
        </w:rPr>
        <w:t xml:space="preserve">         </w:t>
      </w:r>
      <w:r>
        <w:rPr>
          <w:rFonts w:ascii="宋体" w:hAnsi="宋体" w:eastAsia="宋体" w:cs="宋体"/>
          <w:color w:val="0000FF"/>
          <w:spacing w:val="8"/>
          <w:sz w:val="21"/>
          <w:szCs w:val="21"/>
        </w:rPr>
        <w:t>（采购人）需收回本次项目招</w:t>
      </w:r>
      <w:r>
        <w:rPr>
          <w:rFonts w:ascii="宋体" w:hAnsi="宋体" w:eastAsia="宋体" w:cs="宋体"/>
          <w:color w:val="0000FF"/>
          <w:sz w:val="21"/>
          <w:szCs w:val="21"/>
        </w:rPr>
        <w:t xml:space="preserve"> </w:t>
      </w:r>
      <w:r>
        <w:rPr>
          <w:rFonts w:ascii="宋体" w:hAnsi="宋体" w:eastAsia="宋体" w:cs="宋体"/>
          <w:color w:val="0000FF"/>
          <w:spacing w:val="10"/>
          <w:sz w:val="21"/>
          <w:szCs w:val="21"/>
        </w:rPr>
        <w:t>投标提供的货物采购相关信息和资料时，我公司应立即交回所有书面的或</w:t>
      </w:r>
      <w:r>
        <w:rPr>
          <w:rFonts w:ascii="宋体" w:hAnsi="宋体" w:eastAsia="宋体" w:cs="宋体"/>
          <w:color w:val="0000FF"/>
          <w:spacing w:val="9"/>
          <w:sz w:val="21"/>
          <w:szCs w:val="21"/>
        </w:rPr>
        <w:t>其他有形的相关信息和资料</w:t>
      </w:r>
      <w:r>
        <w:rPr>
          <w:rFonts w:ascii="宋体" w:hAnsi="宋体" w:eastAsia="宋体" w:cs="宋体"/>
          <w:color w:val="0000FF"/>
          <w:sz w:val="21"/>
          <w:szCs w:val="21"/>
        </w:rPr>
        <w:t xml:space="preserve"> </w:t>
      </w:r>
      <w:r>
        <w:rPr>
          <w:rFonts w:ascii="宋体" w:hAnsi="宋体" w:eastAsia="宋体" w:cs="宋体"/>
          <w:color w:val="0000FF"/>
          <w:spacing w:val="9"/>
          <w:sz w:val="21"/>
          <w:szCs w:val="21"/>
        </w:rPr>
        <w:t>以及所有描述和概括该相关信息和资料的文件，我公司在交回以上有关材料前未经</w:t>
      </w:r>
      <w:r>
        <w:rPr>
          <w:rFonts w:ascii="宋体" w:hAnsi="宋体" w:eastAsia="宋体" w:cs="宋体"/>
          <w:color w:val="0000FF"/>
          <w:spacing w:val="8"/>
          <w:sz w:val="21"/>
          <w:szCs w:val="21"/>
        </w:rPr>
        <w:t xml:space="preserve"> </w:t>
      </w:r>
      <w:r>
        <w:rPr>
          <w:rFonts w:ascii="宋体" w:hAnsi="宋体" w:eastAsia="宋体" w:cs="宋体"/>
          <w:color w:val="0000FF"/>
          <w:spacing w:val="8"/>
          <w:sz w:val="21"/>
          <w:szCs w:val="21"/>
          <w:u w:val="single" w:color="auto"/>
        </w:rPr>
        <w:t xml:space="preserve">         </w:t>
      </w:r>
      <w:r>
        <w:rPr>
          <w:rFonts w:ascii="宋体" w:hAnsi="宋体" w:eastAsia="宋体" w:cs="宋体"/>
          <w:color w:val="0000FF"/>
          <w:spacing w:val="8"/>
          <w:sz w:val="21"/>
          <w:szCs w:val="21"/>
        </w:rPr>
        <w:t>（采购</w:t>
      </w:r>
      <w:r>
        <w:rPr>
          <w:rFonts w:ascii="宋体" w:hAnsi="宋体" w:eastAsia="宋体" w:cs="宋体"/>
          <w:color w:val="0000FF"/>
          <w:sz w:val="21"/>
          <w:szCs w:val="21"/>
        </w:rPr>
        <w:t xml:space="preserve"> </w:t>
      </w:r>
      <w:r>
        <w:rPr>
          <w:rFonts w:ascii="宋体" w:hAnsi="宋体" w:eastAsia="宋体" w:cs="宋体"/>
          <w:color w:val="0000FF"/>
          <w:spacing w:val="9"/>
          <w:sz w:val="21"/>
          <w:szCs w:val="21"/>
        </w:rPr>
        <w:t>人）的允许不得采取抄写、复印、拷贝等方式留存相关信息和资料。</w:t>
      </w:r>
    </w:p>
    <w:p w14:paraId="71D100F8">
      <w:pPr>
        <w:spacing w:before="155" w:line="303" w:lineRule="auto"/>
        <w:ind w:left="8" w:right="39" w:firstLine="397"/>
        <w:rPr>
          <w:rFonts w:ascii="宋体" w:hAnsi="宋体" w:eastAsia="宋体" w:cs="宋体"/>
          <w:color w:val="0000FF"/>
          <w:sz w:val="21"/>
          <w:szCs w:val="21"/>
        </w:rPr>
      </w:pPr>
      <w:r>
        <w:rPr>
          <w:rFonts w:ascii="宋体" w:hAnsi="宋体" w:eastAsia="宋体" w:cs="宋体"/>
          <w:color w:val="0000FF"/>
          <w:spacing w:val="9"/>
          <w:sz w:val="21"/>
          <w:szCs w:val="21"/>
        </w:rPr>
        <w:t>4、没有</w:t>
      </w:r>
      <w:r>
        <w:rPr>
          <w:rFonts w:ascii="宋体" w:hAnsi="宋体" w:eastAsia="宋体" w:cs="宋体"/>
          <w:color w:val="0000FF"/>
          <w:spacing w:val="9"/>
          <w:sz w:val="21"/>
          <w:szCs w:val="21"/>
          <w:u w:val="single" w:color="auto"/>
        </w:rPr>
        <w:t xml:space="preserve">           </w:t>
      </w:r>
      <w:r>
        <w:rPr>
          <w:rFonts w:ascii="宋体" w:hAnsi="宋体" w:eastAsia="宋体" w:cs="宋体"/>
          <w:color w:val="0000FF"/>
          <w:spacing w:val="9"/>
          <w:sz w:val="21"/>
          <w:szCs w:val="21"/>
        </w:rPr>
        <w:t>（采购人）书面许可，我公</w:t>
      </w:r>
      <w:r>
        <w:rPr>
          <w:rFonts w:ascii="宋体" w:hAnsi="宋体" w:eastAsia="宋体" w:cs="宋体"/>
          <w:color w:val="0000FF"/>
          <w:spacing w:val="8"/>
          <w:sz w:val="21"/>
          <w:szCs w:val="21"/>
        </w:rPr>
        <w:t>司不得丢弃和处理任何书面的或其他有形的相关</w:t>
      </w:r>
      <w:r>
        <w:rPr>
          <w:rFonts w:ascii="宋体" w:hAnsi="宋体" w:eastAsia="宋体" w:cs="宋体"/>
          <w:color w:val="0000FF"/>
          <w:sz w:val="21"/>
          <w:szCs w:val="21"/>
        </w:rPr>
        <w:t xml:space="preserve"> </w:t>
      </w:r>
      <w:r>
        <w:rPr>
          <w:rFonts w:ascii="宋体" w:hAnsi="宋体" w:eastAsia="宋体" w:cs="宋体"/>
          <w:color w:val="0000FF"/>
          <w:spacing w:val="6"/>
          <w:sz w:val="21"/>
          <w:szCs w:val="21"/>
        </w:rPr>
        <w:t>信息和资料。</w:t>
      </w:r>
    </w:p>
    <w:p w14:paraId="389CC4EA">
      <w:pPr>
        <w:spacing w:before="154" w:line="228" w:lineRule="auto"/>
        <w:ind w:left="409"/>
        <w:rPr>
          <w:rFonts w:ascii="宋体" w:hAnsi="宋体" w:eastAsia="宋体" w:cs="宋体"/>
          <w:color w:val="0000FF"/>
          <w:sz w:val="21"/>
          <w:szCs w:val="21"/>
        </w:rPr>
      </w:pPr>
      <w:r>
        <w:rPr>
          <w:rFonts w:ascii="宋体" w:hAnsi="宋体" w:eastAsia="宋体" w:cs="宋体"/>
          <w:color w:val="0000FF"/>
          <w:spacing w:val="9"/>
          <w:sz w:val="21"/>
          <w:szCs w:val="21"/>
        </w:rPr>
        <w:t>二、相关信息和资料的交回</w:t>
      </w:r>
    </w:p>
    <w:p w14:paraId="7388B781">
      <w:pPr>
        <w:spacing w:before="156" w:line="370" w:lineRule="auto"/>
        <w:ind w:left="8" w:right="39" w:firstLine="410"/>
        <w:rPr>
          <w:rFonts w:ascii="宋体" w:hAnsi="宋体" w:eastAsia="宋体" w:cs="宋体"/>
          <w:color w:val="0000FF"/>
          <w:sz w:val="21"/>
          <w:szCs w:val="21"/>
        </w:rPr>
      </w:pPr>
      <w:r>
        <w:rPr>
          <w:rFonts w:ascii="宋体" w:hAnsi="宋体" w:eastAsia="宋体" w:cs="宋体"/>
          <w:color w:val="0000FF"/>
          <w:spacing w:val="8"/>
          <w:sz w:val="21"/>
          <w:szCs w:val="21"/>
        </w:rPr>
        <w:t>当贵</w:t>
      </w:r>
      <w:r>
        <w:rPr>
          <w:rFonts w:ascii="宋体" w:hAnsi="宋体" w:eastAsia="宋体" w:cs="宋体"/>
          <w:color w:val="0000FF"/>
          <w:spacing w:val="-93"/>
          <w:sz w:val="21"/>
          <w:szCs w:val="21"/>
        </w:rPr>
        <w:t xml:space="preserve"> </w:t>
      </w:r>
      <w:r>
        <w:rPr>
          <w:rFonts w:ascii="宋体" w:hAnsi="宋体" w:eastAsia="宋体" w:cs="宋体"/>
          <w:color w:val="0000FF"/>
          <w:spacing w:val="8"/>
          <w:sz w:val="21"/>
          <w:szCs w:val="21"/>
          <w:u w:val="single" w:color="auto"/>
        </w:rPr>
        <w:t xml:space="preserve">        </w:t>
      </w:r>
      <w:r>
        <w:rPr>
          <w:rFonts w:ascii="宋体" w:hAnsi="宋体" w:eastAsia="宋体" w:cs="宋体"/>
          <w:color w:val="0000FF"/>
          <w:spacing w:val="8"/>
          <w:sz w:val="21"/>
          <w:szCs w:val="21"/>
        </w:rPr>
        <w:t>（采购人）</w:t>
      </w:r>
      <w:r>
        <w:rPr>
          <w:rFonts w:ascii="宋体" w:hAnsi="宋体" w:eastAsia="宋体" w:cs="宋体"/>
          <w:color w:val="0000FF"/>
          <w:spacing w:val="-53"/>
          <w:sz w:val="21"/>
          <w:szCs w:val="21"/>
        </w:rPr>
        <w:t xml:space="preserve"> </w:t>
      </w:r>
      <w:r>
        <w:rPr>
          <w:rFonts w:ascii="宋体" w:hAnsi="宋体" w:eastAsia="宋体" w:cs="宋体"/>
          <w:color w:val="0000FF"/>
          <w:spacing w:val="8"/>
          <w:sz w:val="21"/>
          <w:szCs w:val="21"/>
        </w:rPr>
        <w:t>以书面形式要求我公司交回本次项目招</w:t>
      </w:r>
      <w:r>
        <w:rPr>
          <w:rFonts w:ascii="宋体" w:hAnsi="宋体" w:eastAsia="宋体" w:cs="宋体"/>
          <w:color w:val="0000FF"/>
          <w:spacing w:val="7"/>
          <w:sz w:val="21"/>
          <w:szCs w:val="21"/>
        </w:rPr>
        <w:t>投标所提供的相关信息和技术资</w:t>
      </w:r>
      <w:r>
        <w:rPr>
          <w:rFonts w:ascii="宋体" w:hAnsi="宋体" w:eastAsia="宋体" w:cs="宋体"/>
          <w:color w:val="0000FF"/>
          <w:sz w:val="21"/>
          <w:szCs w:val="21"/>
        </w:rPr>
        <w:t xml:space="preserve"> </w:t>
      </w:r>
      <w:r>
        <w:rPr>
          <w:rFonts w:ascii="宋体" w:hAnsi="宋体" w:eastAsia="宋体" w:cs="宋体"/>
          <w:color w:val="0000FF"/>
          <w:spacing w:val="10"/>
          <w:sz w:val="21"/>
          <w:szCs w:val="21"/>
        </w:rPr>
        <w:t>料时，我公司应立即交回所有书面的或其他有形的相关信息和资料以及所有</w:t>
      </w:r>
      <w:r>
        <w:rPr>
          <w:rFonts w:ascii="宋体" w:hAnsi="宋体" w:eastAsia="宋体" w:cs="宋体"/>
          <w:color w:val="0000FF"/>
          <w:spacing w:val="9"/>
          <w:sz w:val="21"/>
          <w:szCs w:val="21"/>
        </w:rPr>
        <w:t>描述和概括该相关信息和</w:t>
      </w:r>
      <w:r>
        <w:rPr>
          <w:rFonts w:ascii="宋体" w:hAnsi="宋体" w:eastAsia="宋体" w:cs="宋体"/>
          <w:color w:val="0000FF"/>
          <w:sz w:val="21"/>
          <w:szCs w:val="21"/>
        </w:rPr>
        <w:t xml:space="preserve"> </w:t>
      </w:r>
      <w:r>
        <w:rPr>
          <w:rFonts w:ascii="宋体" w:hAnsi="宋体" w:eastAsia="宋体" w:cs="宋体"/>
          <w:color w:val="0000FF"/>
          <w:spacing w:val="9"/>
          <w:sz w:val="21"/>
          <w:szCs w:val="21"/>
        </w:rPr>
        <w:t>资料的文件。我公司在交回以上有关资料前未经贵</w:t>
      </w:r>
      <w:r>
        <w:rPr>
          <w:rFonts w:ascii="宋体" w:hAnsi="宋体" w:eastAsia="宋体" w:cs="宋体"/>
          <w:color w:val="0000FF"/>
          <w:spacing w:val="9"/>
          <w:sz w:val="21"/>
          <w:szCs w:val="21"/>
          <w:u w:val="single" w:color="auto"/>
        </w:rPr>
        <w:t xml:space="preserve">        </w:t>
      </w:r>
      <w:r>
        <w:rPr>
          <w:rFonts w:ascii="宋体" w:hAnsi="宋体" w:eastAsia="宋体" w:cs="宋体"/>
          <w:color w:val="0000FF"/>
          <w:spacing w:val="9"/>
          <w:sz w:val="21"/>
          <w:szCs w:val="21"/>
        </w:rPr>
        <w:t>（采购人）的允许不得采取抄写、</w:t>
      </w:r>
      <w:r>
        <w:rPr>
          <w:rFonts w:ascii="宋体" w:hAnsi="宋体" w:eastAsia="宋体" w:cs="宋体"/>
          <w:color w:val="0000FF"/>
          <w:spacing w:val="8"/>
          <w:sz w:val="21"/>
          <w:szCs w:val="21"/>
        </w:rPr>
        <w:t>复印、</w:t>
      </w:r>
      <w:r>
        <w:rPr>
          <w:rFonts w:ascii="宋体" w:hAnsi="宋体" w:eastAsia="宋体" w:cs="宋体"/>
          <w:color w:val="0000FF"/>
          <w:sz w:val="21"/>
          <w:szCs w:val="21"/>
        </w:rPr>
        <w:t xml:space="preserve"> </w:t>
      </w:r>
      <w:r>
        <w:rPr>
          <w:rFonts w:ascii="宋体" w:hAnsi="宋体" w:eastAsia="宋体" w:cs="宋体"/>
          <w:color w:val="0000FF"/>
          <w:spacing w:val="8"/>
          <w:sz w:val="21"/>
          <w:szCs w:val="21"/>
        </w:rPr>
        <w:t>拷贝等任何方式留存相关信息和资料。</w:t>
      </w:r>
    </w:p>
    <w:p w14:paraId="71FC38D4">
      <w:pPr>
        <w:spacing w:before="31" w:line="363" w:lineRule="auto"/>
        <w:ind w:left="16" w:right="39" w:firstLine="393"/>
        <w:rPr>
          <w:rFonts w:ascii="宋体" w:hAnsi="宋体" w:eastAsia="宋体" w:cs="宋体"/>
          <w:color w:val="0000FF"/>
          <w:sz w:val="21"/>
          <w:szCs w:val="21"/>
        </w:rPr>
      </w:pPr>
      <w:r>
        <w:rPr>
          <w:rFonts w:ascii="宋体" w:hAnsi="宋体" w:eastAsia="宋体" w:cs="宋体"/>
          <w:color w:val="0000FF"/>
          <w:spacing w:val="9"/>
          <w:sz w:val="21"/>
          <w:szCs w:val="21"/>
        </w:rPr>
        <w:t>没有贵</w:t>
      </w:r>
      <w:r>
        <w:rPr>
          <w:rFonts w:ascii="宋体" w:hAnsi="宋体" w:eastAsia="宋体" w:cs="宋体"/>
          <w:color w:val="0000FF"/>
          <w:spacing w:val="-95"/>
          <w:sz w:val="21"/>
          <w:szCs w:val="21"/>
        </w:rPr>
        <w:t xml:space="preserve"> </w:t>
      </w:r>
      <w:r>
        <w:rPr>
          <w:rFonts w:ascii="宋体" w:hAnsi="宋体" w:eastAsia="宋体" w:cs="宋体"/>
          <w:color w:val="0000FF"/>
          <w:spacing w:val="9"/>
          <w:sz w:val="21"/>
          <w:szCs w:val="21"/>
          <w:u w:val="single" w:color="auto"/>
        </w:rPr>
        <w:t xml:space="preserve">        </w:t>
      </w:r>
      <w:r>
        <w:rPr>
          <w:rFonts w:ascii="宋体" w:hAnsi="宋体" w:eastAsia="宋体" w:cs="宋体"/>
          <w:color w:val="0000FF"/>
          <w:spacing w:val="9"/>
          <w:sz w:val="21"/>
          <w:szCs w:val="21"/>
        </w:rPr>
        <w:t>（采购人）的书面许可，我公司不得丢弃和处理任何书面的或其</w:t>
      </w:r>
      <w:r>
        <w:rPr>
          <w:rFonts w:ascii="宋体" w:hAnsi="宋体" w:eastAsia="宋体" w:cs="宋体"/>
          <w:color w:val="0000FF"/>
          <w:spacing w:val="8"/>
          <w:sz w:val="21"/>
          <w:szCs w:val="21"/>
        </w:rPr>
        <w:t>他有形的相关信</w:t>
      </w:r>
      <w:r>
        <w:rPr>
          <w:rFonts w:ascii="宋体" w:hAnsi="宋体" w:eastAsia="宋体" w:cs="宋体"/>
          <w:color w:val="0000FF"/>
          <w:sz w:val="21"/>
          <w:szCs w:val="21"/>
        </w:rPr>
        <w:t xml:space="preserve"> </w:t>
      </w:r>
      <w:r>
        <w:rPr>
          <w:rFonts w:ascii="宋体" w:hAnsi="宋体" w:eastAsia="宋体" w:cs="宋体"/>
          <w:color w:val="0000FF"/>
          <w:spacing w:val="4"/>
          <w:sz w:val="21"/>
          <w:szCs w:val="21"/>
        </w:rPr>
        <w:t>息和资料。</w:t>
      </w:r>
    </w:p>
    <w:p w14:paraId="6FB30779">
      <w:pPr>
        <w:spacing w:before="32" w:line="228" w:lineRule="auto"/>
        <w:ind w:left="406"/>
        <w:rPr>
          <w:rFonts w:ascii="宋体" w:hAnsi="宋体" w:eastAsia="宋体" w:cs="宋体"/>
          <w:color w:val="0000FF"/>
          <w:sz w:val="21"/>
          <w:szCs w:val="21"/>
        </w:rPr>
      </w:pPr>
      <w:r>
        <w:rPr>
          <w:rFonts w:ascii="宋体" w:hAnsi="宋体" w:eastAsia="宋体" w:cs="宋体"/>
          <w:color w:val="0000FF"/>
          <w:spacing w:val="8"/>
          <w:sz w:val="21"/>
          <w:szCs w:val="21"/>
        </w:rPr>
        <w:t>三、违约责任</w:t>
      </w:r>
    </w:p>
    <w:p w14:paraId="0F52EF7C">
      <w:pPr>
        <w:spacing w:before="154" w:line="328" w:lineRule="auto"/>
        <w:ind w:left="6" w:right="39" w:firstLine="414"/>
        <w:rPr>
          <w:rFonts w:ascii="宋体" w:hAnsi="宋体" w:eastAsia="宋体" w:cs="宋体"/>
          <w:color w:val="0000FF"/>
          <w:sz w:val="21"/>
          <w:szCs w:val="21"/>
        </w:rPr>
      </w:pPr>
      <w:r>
        <w:rPr>
          <w:rFonts w:ascii="宋体" w:hAnsi="宋体" w:eastAsia="宋体" w:cs="宋体"/>
          <w:color w:val="0000FF"/>
          <w:spacing w:val="9"/>
          <w:sz w:val="21"/>
          <w:szCs w:val="21"/>
        </w:rPr>
        <w:t>1、我公司如违约泄露本次项目招投标提供的</w:t>
      </w:r>
      <w:r>
        <w:rPr>
          <w:rFonts w:ascii="宋体" w:hAnsi="宋体" w:eastAsia="宋体" w:cs="宋体"/>
          <w:color w:val="0000FF"/>
          <w:spacing w:val="8"/>
          <w:sz w:val="21"/>
          <w:szCs w:val="21"/>
        </w:rPr>
        <w:t>货物采购相关信息和资料，应当按照</w:t>
      </w:r>
      <w:r>
        <w:rPr>
          <w:rFonts w:ascii="宋体" w:hAnsi="宋体" w:eastAsia="宋体" w:cs="宋体"/>
          <w:color w:val="0000FF"/>
          <w:spacing w:val="-93"/>
          <w:sz w:val="21"/>
          <w:szCs w:val="21"/>
        </w:rPr>
        <w:t xml:space="preserve"> </w:t>
      </w:r>
      <w:r>
        <w:rPr>
          <w:rFonts w:ascii="宋体" w:hAnsi="宋体" w:eastAsia="宋体" w:cs="宋体"/>
          <w:color w:val="0000FF"/>
          <w:spacing w:val="8"/>
          <w:sz w:val="21"/>
          <w:szCs w:val="21"/>
          <w:u w:val="single" w:color="auto"/>
        </w:rPr>
        <w:t xml:space="preserve">        </w:t>
      </w:r>
      <w:r>
        <w:rPr>
          <w:rFonts w:ascii="宋体" w:hAnsi="宋体" w:eastAsia="宋体" w:cs="宋体"/>
          <w:color w:val="0000FF"/>
          <w:spacing w:val="8"/>
          <w:sz w:val="21"/>
          <w:szCs w:val="21"/>
        </w:rPr>
        <w:t>（采</w:t>
      </w:r>
      <w:r>
        <w:rPr>
          <w:rFonts w:ascii="宋体" w:hAnsi="宋体" w:eastAsia="宋体" w:cs="宋体"/>
          <w:color w:val="0000FF"/>
          <w:sz w:val="21"/>
          <w:szCs w:val="21"/>
        </w:rPr>
        <w:t xml:space="preserve">  </w:t>
      </w:r>
      <w:r>
        <w:rPr>
          <w:rFonts w:ascii="宋体" w:hAnsi="宋体" w:eastAsia="宋体" w:cs="宋体"/>
          <w:color w:val="0000FF"/>
          <w:spacing w:val="10"/>
          <w:sz w:val="21"/>
          <w:szCs w:val="21"/>
        </w:rPr>
        <w:t>购人）的指示采取一切必要措施对违约行为予以补救，包括采取一切方法对该</w:t>
      </w:r>
      <w:r>
        <w:rPr>
          <w:rFonts w:ascii="宋体" w:hAnsi="宋体" w:eastAsia="宋体" w:cs="宋体"/>
          <w:color w:val="0000FF"/>
          <w:spacing w:val="9"/>
          <w:sz w:val="21"/>
          <w:szCs w:val="21"/>
        </w:rPr>
        <w:t>专有信息进行保密，所</w:t>
      </w:r>
      <w:r>
        <w:rPr>
          <w:rFonts w:ascii="宋体" w:hAnsi="宋体" w:eastAsia="宋体" w:cs="宋体"/>
          <w:color w:val="0000FF"/>
          <w:sz w:val="21"/>
          <w:szCs w:val="21"/>
        </w:rPr>
        <w:t xml:space="preserve"> </w:t>
      </w:r>
      <w:r>
        <w:rPr>
          <w:rFonts w:ascii="宋体" w:hAnsi="宋体" w:eastAsia="宋体" w:cs="宋体"/>
          <w:color w:val="0000FF"/>
          <w:spacing w:val="8"/>
          <w:sz w:val="21"/>
          <w:szCs w:val="21"/>
        </w:rPr>
        <w:t>需费用由我公司承担。</w:t>
      </w:r>
    </w:p>
    <w:p w14:paraId="533CEE3D">
      <w:pPr>
        <w:spacing w:before="154" w:line="360" w:lineRule="auto"/>
        <w:ind w:left="409"/>
        <w:rPr>
          <w:rFonts w:ascii="宋体" w:hAnsi="宋体" w:eastAsia="宋体" w:cs="宋体"/>
          <w:color w:val="0000FF"/>
          <w:sz w:val="21"/>
          <w:szCs w:val="21"/>
        </w:rPr>
      </w:pPr>
      <w:r>
        <w:rPr>
          <w:rFonts w:ascii="宋体" w:hAnsi="宋体" w:eastAsia="宋体" w:cs="宋体"/>
          <w:color w:val="0000FF"/>
          <w:spacing w:val="8"/>
          <w:sz w:val="21"/>
          <w:szCs w:val="21"/>
        </w:rPr>
        <w:t>2、我公司应当赔偿</w:t>
      </w:r>
      <w:r>
        <w:rPr>
          <w:rFonts w:ascii="宋体" w:hAnsi="宋体" w:eastAsia="宋体" w:cs="宋体"/>
          <w:color w:val="0000FF"/>
          <w:spacing w:val="-88"/>
          <w:sz w:val="21"/>
          <w:szCs w:val="21"/>
        </w:rPr>
        <w:t xml:space="preserve"> </w:t>
      </w:r>
      <w:r>
        <w:rPr>
          <w:rFonts w:ascii="宋体" w:hAnsi="宋体" w:eastAsia="宋体" w:cs="宋体"/>
          <w:color w:val="0000FF"/>
          <w:spacing w:val="8"/>
          <w:sz w:val="21"/>
          <w:szCs w:val="21"/>
          <w:u w:val="single" w:color="auto"/>
        </w:rPr>
        <w:t xml:space="preserve">        </w:t>
      </w:r>
      <w:r>
        <w:rPr>
          <w:rFonts w:ascii="宋体" w:hAnsi="宋体" w:eastAsia="宋体" w:cs="宋体"/>
          <w:color w:val="0000FF"/>
          <w:spacing w:val="8"/>
          <w:sz w:val="21"/>
          <w:szCs w:val="21"/>
        </w:rPr>
        <w:t>（采购人）因我公司违约而造成的所有损失。</w:t>
      </w:r>
    </w:p>
    <w:p w14:paraId="5B46A320">
      <w:pPr>
        <w:spacing w:before="155" w:line="360" w:lineRule="auto"/>
        <w:ind w:left="425"/>
        <w:rPr>
          <w:rFonts w:ascii="宋体" w:hAnsi="宋体" w:eastAsia="宋体" w:cs="宋体"/>
          <w:color w:val="0000FF"/>
          <w:sz w:val="21"/>
          <w:szCs w:val="21"/>
        </w:rPr>
      </w:pPr>
      <w:r>
        <w:rPr>
          <w:rFonts w:ascii="宋体" w:hAnsi="宋体" w:eastAsia="宋体" w:cs="宋体"/>
          <w:color w:val="0000FF"/>
          <w:spacing w:val="5"/>
          <w:sz w:val="21"/>
          <w:szCs w:val="21"/>
        </w:rPr>
        <w:t>四、保密期限</w:t>
      </w:r>
    </w:p>
    <w:p w14:paraId="20CAC743">
      <w:pPr>
        <w:spacing w:line="360" w:lineRule="auto"/>
        <w:ind w:firstLine="448" w:firstLineChars="200"/>
        <w:rPr>
          <w:rFonts w:ascii="Arial"/>
          <w:color w:val="0000FF"/>
          <w:sz w:val="21"/>
          <w:szCs w:val="21"/>
        </w:rPr>
      </w:pPr>
      <w:r>
        <w:rPr>
          <w:rFonts w:ascii="宋体" w:hAnsi="宋体" w:eastAsia="宋体" w:cs="宋体"/>
          <w:color w:val="0000FF"/>
          <w:spacing w:val="7"/>
          <w:sz w:val="21"/>
          <w:szCs w:val="21"/>
        </w:rPr>
        <w:t>1、</w:t>
      </w:r>
      <w:r>
        <w:rPr>
          <w:rFonts w:ascii="宋体" w:hAnsi="宋体" w:eastAsia="宋体" w:cs="宋体"/>
          <w:color w:val="0000FF"/>
          <w:spacing w:val="-38"/>
          <w:sz w:val="21"/>
          <w:szCs w:val="21"/>
        </w:rPr>
        <w:t xml:space="preserve"> </w:t>
      </w:r>
      <w:r>
        <w:rPr>
          <w:rFonts w:ascii="宋体" w:hAnsi="宋体" w:eastAsia="宋体" w:cs="宋体"/>
          <w:color w:val="0000FF"/>
          <w:spacing w:val="7"/>
          <w:sz w:val="21"/>
          <w:szCs w:val="21"/>
        </w:rPr>
        <w:t>自本承诺书生效之日起，双方的合作交流都要符合本承诺书的约定。</w:t>
      </w:r>
    </w:p>
    <w:p w14:paraId="093E4A33">
      <w:pPr>
        <w:spacing w:before="61" w:line="360" w:lineRule="auto"/>
        <w:ind w:left="409"/>
        <w:rPr>
          <w:rFonts w:ascii="宋体" w:hAnsi="宋体" w:eastAsia="宋体" w:cs="宋体"/>
          <w:color w:val="0000FF"/>
          <w:sz w:val="21"/>
          <w:szCs w:val="21"/>
        </w:rPr>
      </w:pPr>
      <w:r>
        <w:rPr>
          <w:rFonts w:ascii="宋体" w:hAnsi="宋体" w:eastAsia="宋体" w:cs="宋体"/>
          <w:color w:val="0000FF"/>
          <w:spacing w:val="9"/>
          <w:sz w:val="21"/>
          <w:szCs w:val="21"/>
        </w:rPr>
        <w:t>2、除非</w:t>
      </w:r>
      <w:r>
        <w:rPr>
          <w:rFonts w:ascii="宋体" w:hAnsi="宋体" w:eastAsia="宋体" w:cs="宋体"/>
          <w:color w:val="0000FF"/>
          <w:spacing w:val="9"/>
          <w:sz w:val="21"/>
          <w:szCs w:val="21"/>
          <w:u w:val="single" w:color="auto"/>
        </w:rPr>
        <w:t xml:space="preserve">        </w:t>
      </w:r>
      <w:r>
        <w:rPr>
          <w:rFonts w:ascii="宋体" w:hAnsi="宋体" w:eastAsia="宋体" w:cs="宋体"/>
          <w:color w:val="0000FF"/>
          <w:spacing w:val="9"/>
          <w:sz w:val="21"/>
          <w:szCs w:val="21"/>
        </w:rPr>
        <w:t>（采购人）书面通知明确说明本承诺书所涉及的</w:t>
      </w:r>
      <w:r>
        <w:rPr>
          <w:rFonts w:ascii="宋体" w:hAnsi="宋体" w:eastAsia="宋体" w:cs="宋体"/>
          <w:color w:val="0000FF"/>
          <w:spacing w:val="8"/>
          <w:sz w:val="21"/>
          <w:szCs w:val="21"/>
        </w:rPr>
        <w:t>某项信息和资料可以不用保</w:t>
      </w:r>
      <w:r>
        <w:rPr>
          <w:rFonts w:ascii="宋体" w:hAnsi="宋体" w:eastAsia="宋体" w:cs="宋体"/>
          <w:color w:val="0000FF"/>
          <w:spacing w:val="10"/>
          <w:sz w:val="21"/>
          <w:szCs w:val="21"/>
        </w:rPr>
        <w:t>密，我公司必须按照本承诺书所承担的保密义务在所接受的信息和资料被</w:t>
      </w:r>
      <w:r>
        <w:rPr>
          <w:rFonts w:ascii="宋体" w:hAnsi="宋体" w:eastAsia="宋体" w:cs="宋体"/>
          <w:color w:val="0000FF"/>
          <w:spacing w:val="9"/>
          <w:sz w:val="21"/>
          <w:szCs w:val="21"/>
        </w:rPr>
        <w:t>社会公知前对所收到的相关</w:t>
      </w:r>
      <w:r>
        <w:rPr>
          <w:rFonts w:ascii="宋体" w:hAnsi="宋体" w:eastAsia="宋体" w:cs="宋体"/>
          <w:color w:val="0000FF"/>
          <w:sz w:val="21"/>
          <w:szCs w:val="21"/>
        </w:rPr>
        <w:t xml:space="preserve"> </w:t>
      </w:r>
      <w:r>
        <w:rPr>
          <w:rFonts w:ascii="宋体" w:hAnsi="宋体" w:eastAsia="宋体" w:cs="宋体"/>
          <w:color w:val="0000FF"/>
          <w:spacing w:val="9"/>
          <w:sz w:val="21"/>
          <w:szCs w:val="21"/>
        </w:rPr>
        <w:t>信息和资料进行保密，保密期限不受本承诺书有限期限的限制。</w:t>
      </w:r>
    </w:p>
    <w:p w14:paraId="291BCFB1">
      <w:pPr>
        <w:spacing w:before="30" w:line="360" w:lineRule="auto"/>
        <w:ind w:left="409"/>
        <w:rPr>
          <w:rFonts w:ascii="宋体" w:hAnsi="宋体" w:eastAsia="宋体" w:cs="宋体"/>
          <w:color w:val="0000FF"/>
          <w:sz w:val="21"/>
          <w:szCs w:val="21"/>
        </w:rPr>
      </w:pPr>
      <w:r>
        <w:rPr>
          <w:rFonts w:ascii="宋体" w:hAnsi="宋体" w:eastAsia="宋体" w:cs="宋体"/>
          <w:color w:val="0000FF"/>
          <w:spacing w:val="7"/>
          <w:sz w:val="21"/>
          <w:szCs w:val="21"/>
        </w:rPr>
        <w:t>五、其他</w:t>
      </w:r>
    </w:p>
    <w:p w14:paraId="055EB539">
      <w:pPr>
        <w:spacing w:before="154" w:line="360" w:lineRule="auto"/>
        <w:ind w:left="421"/>
        <w:rPr>
          <w:rFonts w:ascii="宋体" w:hAnsi="宋体" w:eastAsia="宋体" w:cs="宋体"/>
          <w:color w:val="0000FF"/>
          <w:sz w:val="21"/>
          <w:szCs w:val="21"/>
        </w:rPr>
      </w:pPr>
      <w:r>
        <w:rPr>
          <w:rFonts w:ascii="宋体" w:hAnsi="宋体" w:eastAsia="宋体" w:cs="宋体"/>
          <w:color w:val="0000FF"/>
          <w:spacing w:val="9"/>
          <w:sz w:val="21"/>
          <w:szCs w:val="21"/>
        </w:rPr>
        <w:t>1、本承诺书受中华人民共和国法律管辖，并在所有方面</w:t>
      </w:r>
      <w:r>
        <w:rPr>
          <w:rFonts w:ascii="宋体" w:hAnsi="宋体" w:eastAsia="宋体" w:cs="宋体"/>
          <w:color w:val="0000FF"/>
          <w:spacing w:val="8"/>
          <w:sz w:val="21"/>
          <w:szCs w:val="21"/>
        </w:rPr>
        <w:t>依其进行解释。</w:t>
      </w:r>
    </w:p>
    <w:p w14:paraId="661EC345">
      <w:pPr>
        <w:spacing w:before="155" w:line="360" w:lineRule="auto"/>
        <w:ind w:left="9" w:right="140" w:firstLine="399"/>
        <w:rPr>
          <w:rFonts w:ascii="宋体" w:hAnsi="宋体" w:eastAsia="宋体" w:cs="宋体"/>
          <w:color w:val="0000FF"/>
          <w:sz w:val="21"/>
          <w:szCs w:val="21"/>
        </w:rPr>
      </w:pPr>
      <w:r>
        <w:rPr>
          <w:rFonts w:ascii="宋体" w:hAnsi="宋体" w:eastAsia="宋体" w:cs="宋体"/>
          <w:color w:val="0000FF"/>
          <w:spacing w:val="10"/>
          <w:sz w:val="21"/>
          <w:szCs w:val="21"/>
        </w:rPr>
        <w:t>2、由本承诺书产生的一切争议由双方友好协商解决，</w:t>
      </w:r>
      <w:r>
        <w:rPr>
          <w:rFonts w:ascii="宋体" w:hAnsi="宋体" w:eastAsia="宋体" w:cs="宋体"/>
          <w:color w:val="0000FF"/>
          <w:spacing w:val="9"/>
          <w:sz w:val="21"/>
          <w:szCs w:val="21"/>
        </w:rPr>
        <w:t>协商不成，双方可向有管辖权的人民法院</w:t>
      </w:r>
      <w:r>
        <w:rPr>
          <w:rFonts w:ascii="宋体" w:hAnsi="宋体" w:eastAsia="宋体" w:cs="宋体"/>
          <w:color w:val="0000FF"/>
          <w:sz w:val="21"/>
          <w:szCs w:val="21"/>
        </w:rPr>
        <w:t xml:space="preserve"> </w:t>
      </w:r>
      <w:r>
        <w:rPr>
          <w:rFonts w:ascii="宋体" w:hAnsi="宋体" w:eastAsia="宋体" w:cs="宋体"/>
          <w:color w:val="0000FF"/>
          <w:spacing w:val="6"/>
          <w:sz w:val="21"/>
          <w:szCs w:val="21"/>
        </w:rPr>
        <w:t>提起诉讼。</w:t>
      </w:r>
    </w:p>
    <w:p w14:paraId="2A97BF32">
      <w:pPr>
        <w:spacing w:before="154" w:line="360" w:lineRule="auto"/>
        <w:ind w:left="410"/>
        <w:rPr>
          <w:rFonts w:ascii="Arial"/>
          <w:color w:val="0000FF"/>
          <w:sz w:val="21"/>
          <w:szCs w:val="21"/>
        </w:rPr>
      </w:pPr>
      <w:r>
        <w:rPr>
          <w:rFonts w:ascii="宋体" w:hAnsi="宋体" w:eastAsia="宋体" w:cs="宋体"/>
          <w:color w:val="0000FF"/>
          <w:spacing w:val="8"/>
          <w:sz w:val="21"/>
          <w:szCs w:val="21"/>
        </w:rPr>
        <w:t>3、本承诺书自我公司加盖公章之日起生效。</w:t>
      </w:r>
    </w:p>
    <w:p w14:paraId="6F38C35C">
      <w:pPr>
        <w:spacing w:line="360" w:lineRule="auto"/>
        <w:rPr>
          <w:rFonts w:ascii="Arial"/>
          <w:color w:val="0000FF"/>
          <w:sz w:val="21"/>
          <w:szCs w:val="21"/>
        </w:rPr>
      </w:pPr>
    </w:p>
    <w:p w14:paraId="5221FA2C">
      <w:pPr>
        <w:spacing w:before="62" w:line="360" w:lineRule="auto"/>
        <w:ind w:left="407" w:right="5691"/>
        <w:rPr>
          <w:rFonts w:ascii="宋体" w:hAnsi="宋体" w:eastAsia="宋体" w:cs="宋体"/>
          <w:color w:val="0000FF"/>
          <w:spacing w:val="8"/>
          <w:sz w:val="21"/>
          <w:szCs w:val="21"/>
        </w:rPr>
      </w:pPr>
      <w:r>
        <w:rPr>
          <w:rFonts w:ascii="宋体" w:hAnsi="宋体" w:eastAsia="宋体" w:cs="宋体"/>
          <w:color w:val="0000FF"/>
          <w:spacing w:val="5"/>
          <w:sz w:val="21"/>
          <w:szCs w:val="21"/>
        </w:rPr>
        <w:t>法定代表人或委托代理人签字：</w:t>
      </w:r>
      <w:r>
        <w:rPr>
          <w:rFonts w:ascii="宋体" w:hAnsi="宋体" w:eastAsia="宋体" w:cs="宋体"/>
          <w:color w:val="0000FF"/>
          <w:spacing w:val="8"/>
          <w:sz w:val="21"/>
          <w:szCs w:val="21"/>
        </w:rPr>
        <w:t xml:space="preserve"> </w:t>
      </w:r>
    </w:p>
    <w:p w14:paraId="564998D7">
      <w:pPr>
        <w:spacing w:before="62" w:line="360" w:lineRule="auto"/>
        <w:ind w:left="407" w:right="5691"/>
        <w:rPr>
          <w:rFonts w:ascii="宋体" w:hAnsi="宋体" w:eastAsia="宋体" w:cs="宋体"/>
          <w:color w:val="0000FF"/>
          <w:sz w:val="21"/>
          <w:szCs w:val="21"/>
        </w:rPr>
      </w:pPr>
      <w:r>
        <w:rPr>
          <w:rFonts w:ascii="宋体" w:hAnsi="宋体" w:eastAsia="宋体" w:cs="宋体"/>
          <w:color w:val="0000FF"/>
          <w:spacing w:val="5"/>
          <w:sz w:val="21"/>
          <w:szCs w:val="21"/>
        </w:rPr>
        <w:t>单位公章：</w:t>
      </w:r>
    </w:p>
    <w:p w14:paraId="17FD00EE">
      <w:pPr>
        <w:spacing w:before="33" w:line="360" w:lineRule="auto"/>
        <w:ind w:left="440"/>
        <w:outlineLvl w:val="0"/>
        <w:rPr>
          <w:sz w:val="21"/>
          <w:szCs w:val="21"/>
        </w:rPr>
      </w:pPr>
      <w:bookmarkStart w:id="4" w:name="_Toc8833"/>
      <w:r>
        <w:rPr>
          <w:rFonts w:ascii="宋体" w:hAnsi="宋体" w:eastAsia="宋体" w:cs="宋体"/>
          <w:color w:val="0000FF"/>
          <w:spacing w:val="-8"/>
          <w:sz w:val="21"/>
          <w:szCs w:val="21"/>
        </w:rPr>
        <w:t>日期</w:t>
      </w:r>
      <w:bookmarkEnd w:id="4"/>
      <w:r>
        <w:rPr>
          <w:rFonts w:hint="eastAsia" w:ascii="宋体" w:hAnsi="宋体" w:eastAsia="宋体" w:cs="宋体"/>
          <w:color w:val="0000FF"/>
          <w:spacing w:val="-8"/>
          <w:sz w:val="21"/>
          <w:szCs w:val="21"/>
          <w:lang w:eastAsia="zh-CN"/>
        </w:rPr>
        <w:t>：</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319A6">
    <w:pPr>
      <w:pStyle w:val="5"/>
      <w:spacing w:before="64" w:line="170" w:lineRule="auto"/>
      <w:ind w:left="4237"/>
      <w:rPr>
        <w:sz w:val="18"/>
        <w:szCs w:val="18"/>
      </w:rPr>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3DDA5F">
                          <w:pPr>
                            <w:pStyle w:val="7"/>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23DDA5F">
                    <w:pPr>
                      <w:pStyle w:val="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F03A16"/>
    <w:multiLevelType w:val="singleLevel"/>
    <w:tmpl w:val="A5F03A16"/>
    <w:lvl w:ilvl="0" w:tentative="0">
      <w:start w:val="2"/>
      <w:numFmt w:val="chineseCounting"/>
      <w:suff w:val="nothing"/>
      <w:lvlText w:val="%1、"/>
      <w:lvlJc w:val="left"/>
      <w:rPr>
        <w:rFonts w:hint="eastAsia"/>
      </w:rPr>
    </w:lvl>
  </w:abstractNum>
  <w:abstractNum w:abstractNumId="1">
    <w:nsid w:val="D65145BC"/>
    <w:multiLevelType w:val="singleLevel"/>
    <w:tmpl w:val="D65145BC"/>
    <w:lvl w:ilvl="0" w:tentative="0">
      <w:start w:val="1"/>
      <w:numFmt w:val="chineseCounting"/>
      <w:suff w:val="space"/>
      <w:lvlText w:val="第%1节"/>
      <w:lvlJc w:val="left"/>
      <w:rPr>
        <w:rFonts w:hint="eastAsia"/>
      </w:rPr>
    </w:lvl>
  </w:abstractNum>
  <w:abstractNum w:abstractNumId="2">
    <w:nsid w:val="EB7EBB5A"/>
    <w:multiLevelType w:val="singleLevel"/>
    <w:tmpl w:val="EB7EBB5A"/>
    <w:lvl w:ilvl="0" w:tentative="0">
      <w:start w:val="15"/>
      <w:numFmt w:val="decimal"/>
      <w:suff w:val="nothing"/>
      <w:lvlText w:val="%1、"/>
      <w:lvlJc w:val="left"/>
    </w:lvl>
  </w:abstractNum>
  <w:abstractNum w:abstractNumId="3">
    <w:nsid w:val="EF6E2BB7"/>
    <w:multiLevelType w:val="singleLevel"/>
    <w:tmpl w:val="EF6E2BB7"/>
    <w:lvl w:ilvl="0" w:tentative="0">
      <w:start w:val="17"/>
      <w:numFmt w:val="decimal"/>
      <w:suff w:val="nothing"/>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14475F"/>
    <w:rsid w:val="0356532F"/>
    <w:rsid w:val="079254DA"/>
    <w:rsid w:val="07E01DA1"/>
    <w:rsid w:val="08F6574E"/>
    <w:rsid w:val="09097997"/>
    <w:rsid w:val="0A0D21C8"/>
    <w:rsid w:val="0A3F73AB"/>
    <w:rsid w:val="0AA068F7"/>
    <w:rsid w:val="10460CC2"/>
    <w:rsid w:val="118C5512"/>
    <w:rsid w:val="124F0EBB"/>
    <w:rsid w:val="13C23368"/>
    <w:rsid w:val="16601EA1"/>
    <w:rsid w:val="17A17AD1"/>
    <w:rsid w:val="1BF34341"/>
    <w:rsid w:val="1CDE306A"/>
    <w:rsid w:val="21993CAD"/>
    <w:rsid w:val="224867F4"/>
    <w:rsid w:val="228D6B72"/>
    <w:rsid w:val="257E5E07"/>
    <w:rsid w:val="259057E9"/>
    <w:rsid w:val="25CC3712"/>
    <w:rsid w:val="285B7244"/>
    <w:rsid w:val="299F4584"/>
    <w:rsid w:val="2A527985"/>
    <w:rsid w:val="2C2C61DF"/>
    <w:rsid w:val="2EA331CB"/>
    <w:rsid w:val="2FE83639"/>
    <w:rsid w:val="37993C7C"/>
    <w:rsid w:val="37FD6D6A"/>
    <w:rsid w:val="3A4524EC"/>
    <w:rsid w:val="3A4C5DD6"/>
    <w:rsid w:val="3D471D92"/>
    <w:rsid w:val="3DAF38E5"/>
    <w:rsid w:val="3EE065B4"/>
    <w:rsid w:val="3F2B65FD"/>
    <w:rsid w:val="41F91DC9"/>
    <w:rsid w:val="443F4B94"/>
    <w:rsid w:val="458F54F7"/>
    <w:rsid w:val="47EA7AF7"/>
    <w:rsid w:val="48334175"/>
    <w:rsid w:val="48F12592"/>
    <w:rsid w:val="49A95C97"/>
    <w:rsid w:val="49B760FE"/>
    <w:rsid w:val="4C267C2F"/>
    <w:rsid w:val="4D102D7B"/>
    <w:rsid w:val="4EFD16EC"/>
    <w:rsid w:val="4F14475F"/>
    <w:rsid w:val="50192AC1"/>
    <w:rsid w:val="548D1C59"/>
    <w:rsid w:val="56E5461B"/>
    <w:rsid w:val="57401EA9"/>
    <w:rsid w:val="59747984"/>
    <w:rsid w:val="59E44CEE"/>
    <w:rsid w:val="59F667CF"/>
    <w:rsid w:val="5B914A01"/>
    <w:rsid w:val="5C1C543E"/>
    <w:rsid w:val="67DE2B8C"/>
    <w:rsid w:val="6EF41151"/>
    <w:rsid w:val="701D794D"/>
    <w:rsid w:val="73CE25F3"/>
    <w:rsid w:val="741705EF"/>
    <w:rsid w:val="765606D8"/>
    <w:rsid w:val="77C10D1D"/>
    <w:rsid w:val="78192E32"/>
    <w:rsid w:val="787D1ED5"/>
    <w:rsid w:val="789F29FB"/>
    <w:rsid w:val="79FA156C"/>
    <w:rsid w:val="7AAD320A"/>
    <w:rsid w:val="7B4622B2"/>
    <w:rsid w:val="7E0155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link w:val="14"/>
    <w:autoRedefine/>
    <w:qFormat/>
    <w:uiPriority w:val="0"/>
    <w:pPr>
      <w:spacing w:before="0" w:beforeAutospacing="1" w:after="0" w:afterAutospacing="1"/>
      <w:jc w:val="left"/>
      <w:outlineLvl w:val="0"/>
    </w:pPr>
    <w:rPr>
      <w:rFonts w:hint="eastAsia" w:ascii="宋体" w:hAnsi="宋体" w:eastAsia="宋体" w:cs="宋体"/>
      <w:b/>
      <w:bCs/>
      <w:kern w:val="44"/>
      <w:sz w:val="30"/>
      <w:szCs w:val="48"/>
      <w:lang w:bidi="ar"/>
    </w:rPr>
  </w:style>
  <w:style w:type="paragraph" w:styleId="3">
    <w:name w:val="heading 2"/>
    <w:basedOn w:val="1"/>
    <w:next w:val="1"/>
    <w:link w:val="15"/>
    <w:autoRedefine/>
    <w:semiHidden/>
    <w:unhideWhenUsed/>
    <w:qFormat/>
    <w:uiPriority w:val="0"/>
    <w:pPr>
      <w:keepNext/>
      <w:keepLines/>
      <w:spacing w:before="260" w:after="260" w:line="416" w:lineRule="auto"/>
      <w:outlineLvl w:val="1"/>
    </w:pPr>
    <w:rPr>
      <w:rFonts w:ascii="Arial" w:hAnsi="Arial" w:eastAsia="黑体"/>
      <w:b/>
      <w:bCs/>
      <w:sz w:val="30"/>
      <w:szCs w:val="32"/>
    </w:rPr>
  </w:style>
  <w:style w:type="paragraph" w:styleId="4">
    <w:name w:val="heading 3"/>
    <w:basedOn w:val="1"/>
    <w:next w:val="1"/>
    <w:link w:val="16"/>
    <w:autoRedefine/>
    <w:semiHidden/>
    <w:unhideWhenUsed/>
    <w:qFormat/>
    <w:uiPriority w:val="0"/>
    <w:pPr>
      <w:keepNext/>
      <w:keepLines/>
      <w:widowControl/>
      <w:spacing w:before="260" w:beforeLines="0" w:after="260" w:afterLines="0" w:line="413" w:lineRule="auto"/>
      <w:jc w:val="center"/>
      <w:outlineLvl w:val="2"/>
    </w:pPr>
    <w:rPr>
      <w:rFonts w:ascii="Times New Roman" w:hAnsi="Times New Roman" w:eastAsia="宋体"/>
      <w:b/>
      <w:sz w:val="28"/>
    </w:rPr>
  </w:style>
  <w:style w:type="character" w:default="1" w:styleId="11">
    <w:name w:val="Default Paragraph Font"/>
    <w:link w:val="12"/>
    <w:autoRedefine/>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5">
    <w:name w:val="Body Text"/>
    <w:basedOn w:val="1"/>
    <w:semiHidden/>
    <w:qFormat/>
    <w:uiPriority w:val="0"/>
    <w:rPr>
      <w:rFonts w:ascii="Calibri" w:hAnsi="Calibri" w:eastAsia="Calibri" w:cs="Calibri"/>
      <w:sz w:val="22"/>
      <w:szCs w:val="22"/>
      <w:lang w:val="en-US" w:eastAsia="en-US" w:bidi="ar-SA"/>
    </w:rPr>
  </w:style>
  <w:style w:type="paragraph" w:styleId="6">
    <w:name w:val="Body Text Indent 2"/>
    <w:basedOn w:val="1"/>
    <w:qFormat/>
    <w:uiPriority w:val="0"/>
    <w:pPr>
      <w:spacing w:after="120" w:line="480" w:lineRule="auto"/>
      <w:ind w:left="420" w:left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toc 1"/>
    <w:basedOn w:val="1"/>
    <w:next w:val="1"/>
    <w:autoRedefine/>
    <w:qFormat/>
    <w:uiPriority w:val="0"/>
    <w:pPr>
      <w:jc w:val="center"/>
    </w:pPr>
    <w:rPr>
      <w:rFonts w:ascii="Times New Roman" w:hAnsi="Times New Roman" w:eastAsia="宋体" w:cs="Times New Roman"/>
      <w:sz w:val="30"/>
      <w:szCs w:val="21"/>
    </w:rPr>
  </w:style>
  <w:style w:type="paragraph" w:styleId="9">
    <w:name w:val="toc 2"/>
    <w:basedOn w:val="1"/>
    <w:next w:val="1"/>
    <w:autoRedefine/>
    <w:qFormat/>
    <w:uiPriority w:val="0"/>
    <w:pPr>
      <w:widowControl/>
      <w:tabs>
        <w:tab w:val="right" w:leader="dot" w:pos="8777"/>
      </w:tabs>
      <w:ind w:left="480" w:leftChars="150" w:hanging="120" w:hangingChars="50"/>
      <w:jc w:val="center"/>
    </w:pPr>
    <w:rPr>
      <w:rFonts w:ascii="Times New Roman" w:hAnsi="Times New Roman" w:eastAsia="宋体"/>
      <w:b/>
      <w:sz w:val="30"/>
    </w:rPr>
  </w:style>
  <w:style w:type="paragraph" w:customStyle="1" w:styleId="12">
    <w:name w:val="_Style 46"/>
    <w:basedOn w:val="1"/>
    <w:link w:val="11"/>
    <w:autoRedefine/>
    <w:qFormat/>
    <w:uiPriority w:val="0"/>
    <w:pPr>
      <w:snapToGrid w:val="0"/>
      <w:spacing w:line="360" w:lineRule="auto"/>
      <w:ind w:firstLine="200" w:firstLineChars="200"/>
    </w:pPr>
    <w:rPr>
      <w:sz w:val="24"/>
    </w:rPr>
  </w:style>
  <w:style w:type="paragraph" w:customStyle="1" w:styleId="13">
    <w:name w:val="列出段落1"/>
    <w:basedOn w:val="1"/>
    <w:autoRedefine/>
    <w:qFormat/>
    <w:uiPriority w:val="0"/>
    <w:pPr>
      <w:ind w:firstLine="420" w:firstLineChars="200"/>
    </w:pPr>
    <w:rPr>
      <w:szCs w:val="21"/>
    </w:rPr>
  </w:style>
  <w:style w:type="character" w:customStyle="1" w:styleId="14">
    <w:name w:val=" Char Char55"/>
    <w:link w:val="2"/>
    <w:autoRedefine/>
    <w:qFormat/>
    <w:locked/>
    <w:uiPriority w:val="0"/>
    <w:rPr>
      <w:rFonts w:ascii="宋体" w:hAnsi="宋体" w:eastAsia="宋体" w:cs="Times New Roman"/>
      <w:b/>
      <w:bCs/>
      <w:snapToGrid w:val="0"/>
      <w:color w:val="000000"/>
      <w:kern w:val="44"/>
      <w:sz w:val="32"/>
      <w:szCs w:val="44"/>
      <w:lang w:val="en-US" w:eastAsia="zh-CN" w:bidi="ar-SA"/>
    </w:rPr>
  </w:style>
  <w:style w:type="character" w:customStyle="1" w:styleId="15">
    <w:name w:val=" Char Char51"/>
    <w:basedOn w:val="11"/>
    <w:link w:val="3"/>
    <w:autoRedefine/>
    <w:qFormat/>
    <w:locked/>
    <w:uiPriority w:val="0"/>
    <w:rPr>
      <w:rFonts w:ascii="Arial" w:hAnsi="Arial" w:eastAsia="宋体" w:cs="Arial"/>
      <w:b/>
      <w:bCs/>
      <w:snapToGrid w:val="0"/>
      <w:color w:val="000000"/>
      <w:kern w:val="0"/>
      <w:sz w:val="32"/>
      <w:szCs w:val="21"/>
      <w:lang w:val="en-US" w:eastAsia="zh-CN" w:bidi="ar-SA"/>
    </w:rPr>
  </w:style>
  <w:style w:type="character" w:customStyle="1" w:styleId="16">
    <w:name w:val="标题 3 Char"/>
    <w:basedOn w:val="11"/>
    <w:link w:val="4"/>
    <w:autoRedefine/>
    <w:qFormat/>
    <w:uiPriority w:val="0"/>
    <w:rPr>
      <w:rFonts w:ascii="Times New Roman" w:hAnsi="Times New Roman" w:eastAsia="宋体"/>
      <w:b/>
      <w:kern w:val="2"/>
      <w:sz w:val="28"/>
      <w:lang w:val="en-US" w:eastAsia="zh-CN" w:bidi="ar-SA"/>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正文.表格"/>
    <w:basedOn w:val="1"/>
    <w:next w:val="1"/>
    <w:qFormat/>
    <w:uiPriority w:val="0"/>
    <w:pPr>
      <w:widowControl/>
      <w:spacing w:after="0" w:afterLines="0" w:line="240" w:lineRule="auto"/>
      <w:ind w:firstLine="0" w:firstLineChars="0"/>
      <w:jc w:val="center"/>
    </w:pPr>
    <w:rPr>
      <w:kern w:val="21"/>
      <w:sz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2</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2024-12-19T00:56:00Z</dcterms:created>
  <dc:creator>小M1415153835</dc:creator>
  <cp:lastModifiedBy>小M1415153835</cp:lastModifiedBy>
  <dcterms:modified xsi:type="dcterms:W3CDTF">2024-12-19T00:59:40Z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2CC87C5E20D64E2DB4A19E2140A78705_11</vt:lpwstr>
  </property>
</Properties>
</file>