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第三章 技术、服务及其他要求</w:t>
      </w:r>
    </w:p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（注:本章的技术、服务及其他要求中，带“★”的要求为实质性要求。采购人、代理机构应当根据项目实际要求合理设定，并在第四章符合性审查中明确响应要求。）</w:t>
      </w:r>
    </w:p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3.1.采购内容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采购包预算金额（元）: 435,640.00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采购包最高限价（元）: 435,640.00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9"/>
        <w:gridCol w:w="1116"/>
        <w:gridCol w:w="745"/>
        <w:gridCol w:w="820"/>
        <w:gridCol w:w="1216"/>
        <w:gridCol w:w="745"/>
        <w:gridCol w:w="745"/>
        <w:gridCol w:w="745"/>
        <w:gridCol w:w="745"/>
        <w:gridCol w:w="598"/>
        <w:gridCol w:w="59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>(计量单位)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是否涉及核心产品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是否涉及采购进口产品</w:t>
            </w:r>
          </w:p>
        </w:tc>
        <w:tc>
          <w:tcPr>
            <w:tcW w:w="82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是否涉及强制采购节能产品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是否涉及优先采购节能产品</w:t>
            </w:r>
          </w:p>
        </w:tc>
        <w:tc>
          <w:tcPr>
            <w:tcW w:w="639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是否涉及优先采购环境标志产品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A05010504 保密柜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保险柜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2.00（个）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3,920.00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A05010502 文件柜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文件柜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52.00（组）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47,840.00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A05010502 文件柜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图书架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30.00（组）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35,400.00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会议桌椅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29,600.00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二人会议条桌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40.00（张）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24,800.00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三人会议条桌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7.00（张）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5,320.00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主席桌椅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16,300.00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发言台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1.00（块）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1,940.00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A05010201 办公桌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教师办公桌椅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156.00（套）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168,480.00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A05010203 教学、实验用桌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讲桌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39.00（套）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27,300.00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阶梯椅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101.00（张）</w:t>
            </w:r>
          </w:p>
        </w:tc>
        <w:tc>
          <w:tcPr>
            <w:tcW w:w="821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74,740.00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2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39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报价要求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1707"/>
        <w:gridCol w:w="1138"/>
        <w:gridCol w:w="1365"/>
        <w:gridCol w:w="1138"/>
        <w:gridCol w:w="193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报价内容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数量（计量单位）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最高限价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价款形式</w:t>
            </w:r>
          </w:p>
        </w:tc>
        <w:tc>
          <w:tcPr>
            <w:tcW w:w="193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报价说明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保险柜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2.00（个）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3,920.00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文件柜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52.00（组）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47,840.00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图书架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30.00（组）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35,400.00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会议桌椅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29,600.00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二人会议条桌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40.00（张）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24,800.00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三人会议条桌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7.00（张）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5,320.00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主席桌椅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16,300.00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发言台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1.00（块）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1,940.00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教师办公桌椅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156.00（套）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168,480.00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讲桌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39.00（套）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27,300.00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11</w:t>
            </w:r>
          </w:p>
        </w:tc>
        <w:tc>
          <w:tcPr>
            <w:tcW w:w="1707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阶梯椅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101.00（张）</w:t>
            </w:r>
          </w:p>
        </w:tc>
        <w:tc>
          <w:tcPr>
            <w:tcW w:w="136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74,740.00</w:t>
            </w:r>
          </w:p>
        </w:tc>
        <w:tc>
          <w:tcPr>
            <w:tcW w:w="1138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总价</w:t>
            </w:r>
          </w:p>
        </w:tc>
        <w:tc>
          <w:tcPr>
            <w:tcW w:w="193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★注：供应商响应产品应当明确品牌和规格型号并指向唯一产品，不能指向唯一产品的，应通过报价表唯一产品说明栏补充说明。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本项目涉及核心产品：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A05010201 办公桌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教师办公桌椅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教师办公桌椅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注：涉及核心产品的，具体评审规定见第四章。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本项目涉及采购进口产品：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★注：不涉及采购进口产品时，供应商不得提供进口产品进行响应；涉及采购进口产品时，如国产产品满足采购需求，也可提供国产产品进行响应。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本项目涉及强制采购节能产品：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★注：响应产品属于《节能产品政府采购品目清单》中政府强制采购的产品，供应商应当提供由国家确定的认证机构出具的、处于有效期之内的节能产品认证证书的原件扫描件或“全国认证认可信息公共服务平台”（http://cx.cnca.cn）的认证信息截图，否则作无效响应处理。具体要求详见第四章符合性审查表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本项目涉及优先采购节能产品：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7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不涉及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节能产品政府采购品目清单》中优先采购的产品，供应商提供由国家确定的认证机构出具的、处于有效期之内的节能产品认证证书的原件扫描件或“全国认证认可信息公共服务平台”（http://cx.cnca.cn）的认证信息截图，可以享受优先采购政策。具体要求详见第四章规定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  <w:b/>
        </w:rPr>
        <w:t>本项目涉及优先采购环境标志产品：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2492"/>
        <w:gridCol w:w="2492"/>
        <w:gridCol w:w="2492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采购品目名称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2492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产品名称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A05010504 保密柜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保险柜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保险柜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A05010502 文件柜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文件柜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文件柜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会议桌椅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会议桌椅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二人会议条桌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二人会议条桌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三人会议条桌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三人会议条桌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主席桌椅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主席桌椅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发言台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发言台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A05010201 办公桌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教师办公桌椅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教师办公桌椅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9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A05010203 教学、实验用桌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讲桌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讲桌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10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A05010202 会议桌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阶梯椅</w:t>
            </w:r>
          </w:p>
        </w:tc>
        <w:tc>
          <w:tcPr>
            <w:tcW w:w="2492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阶梯椅</w:t>
            </w:r>
          </w:p>
        </w:tc>
      </w:tr>
    </w:tbl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注：响应产品属于《环境标志产品政府采购品目清单》中的产品，供应商提供由国家确定的认证机构出具的、处于有效期之内的环境标志产品认证证书的原件扫描件或“全国认证认可信息公共服务平台”（http://cx.cnca.cn）的认证信息截图，可以享受优先采购政策。具体要求详见第四章规定。</w:t>
      </w:r>
    </w:p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3.2.技术要求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标的名称：保险柜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保险柜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1、外观尺寸：900mm*420mm*1850mm(±10mm）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结构：双节柜设计，上层带有抽屉，便于分类存放物品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2、开锁方式：保险柜应具备多种开锁方式，如密码、钥匙、指纹等联合开锁模式，以确保安全性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3、材质：冷轧钢板，厚度应达到1.2mm以上，以确保坚固耐用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4、防撬性能：门板厚度应达到10mm以上，箱体厚度6mm以上5、报警功能：部分保险柜配备携带自动报警功能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标的名称：文件柜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文件柜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1、规格：900mm*2000mm*400mm(±10mm）。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2、柜体边框连续4道折弯，圆边宽度为12mm,圆边左侧边第一台阶为压制成型一条高2.5mm加强弧边、半圆顶为R5.5，结构合理，美观大方，坚固耐用，不易变形。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搁板：采用连续四次折弯一体成形多筋式搁板，结构新颖，承重能力强。搁板正面压制4组圆筋，每组压1条筋，主筋深度尺寸10*1.0mm，第一条筋离边45mm,第二条筋离边90mm，隔板侧边高23mm,两侧分别再压制一条加强筋,搁板侧面也要带有圆筋槽，压筋工艺不能导致搁板变形，从而使搁板即美观又能增加搁板承重强度，而且不影响搁板结构性能。加强筋：采用自动拉筋机配套专用型材磨具拉制而成，承重能力强，正中间拉制1条圆凹槽，尺寸宽度10mm 深度3.5mm，拉筋工艺不能导致加强筋变形，从而使搁板筋与格板底完全贴合，即美观又能增加搁板承重强度，而且不影响搁板结构性能。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4、拉手：采用pp材料一次成型，拉手造型为梯形弧边内扣式设计，总长度为230mm（±2mm），内扣式设计符合人体力学，中间扣手处宽度达到35mm（±1mm）,高度达到80mm（±1mm），深度达到12mm（±1mm）,使得开门轻便。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5、整体采用0.6mm冷轧钢板精制而成，配件性能插销、锁 开启灵活，结构完全符合检测标准，金属喷漆硬度≥6H，冲击强度400MM高度，无剥落、裂纹、皱纹，耐腐蚀符合检测标准，涂层附着力不低于2级。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6、冷轧钢板：检测项目【耐腐蚀等级中性盐雾试验≥10级、耐腐蚀等级乙酸盐雾试验≥10级，可迁移元素：镉≤75mg/kg，铬≤60mg/kg，,铅≤6mg/kg，汞≤60mg/kg，金属喷漆（塑）涂层硬度≥5H,金属喷漆（塑）涂层附着力≥1级】，检验结论合格或符合 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7、锁具：检测项目【外观性能要求金属件电镀层，表面无剥落、返锈、毛刺、烧焦、起泡、针孔、裂纹、花斑和划痕均合格，中性盐雾试验（NSS）法及乙酸盐雾试验（ASS）连续喷雾≥100h耐腐蚀等级达到10级】，检验结论合格或符合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8、塑粉：色泽均匀，无异物，呈松散粉末状；通过125μm筛余物测试；附着力≤1级；铅笔硬度≥3H；正向冲击试验通过；杯突试验≥6mm；弯曲试验≤3mm；≥72h耐酸性试验无异常；≥72h耐碱性试验无异常；≥72h耐湿性试验合格；可溶性铅、可溶性镉、可溶性铬、可溶性汞未检出；金黄色葡萄球菌和白色念珠菌抗菌率不低于99%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 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标的名称：图书架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图书架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1、结构形式和规格尺寸：双柱双面钢护板书架结构，每架六层，每层高度可调。具体规格尺寸为宽950mm、深450mm、高2000mm(±10mm），任意两架可拼接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材质要求：优质低碳A3冷轧钢板制作，主架（立柱）钢板厚度为1.5mm，搁板钢板厚度为1.2mm，侧板钢板厚度为1.0mm。制造工艺采用模具化钣金流水线冲压、冲剪成形，并使用二氧化碳保护焊接工艺进行焊接，确保结构稳定，不易变形和摇晃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3、冷轧钢板符合：耐腐蚀等级中性盐雾试验≥10级、耐腐蚀等级乙酸盐雾试验≥10级，可迁移元素：镉≤75mg/kg，铬≤60mg/kg，,铅≤6mg/kg，汞≤60mg/kg，金属喷漆（塑）涂层硬度≥5H,金属喷漆（塑）涂层附着力≥1级 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4、表面处理：绿色环保型粉末喷涂材料，通过全自动静电喷涂处理，颜色为亚光浅灰白色，漆膜附着力强，表面光滑平整，不出现脱漆、褪色现象。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5、粉末符合：色泽均匀，无异物，呈松散粉末状；流动性、漆膜外观,筛余物(125 μm)全部合格，铅笔硬度（内聚破坏中擦伤）≥6H；附着力-干附着力≤1级；耐冲击性（正向冲击）：未观察到裂纹、皱纹及剥落现象；耐磨性，均合格；杯突试验≥9mm；弯曲试验；耐酸性[3%（质量分数）盐酸溶液]≥120h：无异常；耐碱性[5%（质量分数）氢氧化钠溶液]≥240h：无异常；耐人工气候老化性合格：无粉化、起泡、开裂、剥落等异常现象；耐湿热合格：可溶性重金属含量：镉含量、铬含量、汞含量，均未检出；金属喷漆（塑）涂层理化性能：冲击强度：冲击高度400mm，无剥落、裂纹、皱纹；耐腐蚀：≥120h内，观察在溶液中样板上划道两侧3mm以外，应无鼓泡产生；≥120h后，检查划道两侧3mm外，应无锈迹、剥落、起皱、变色和失光等现象；白色葡萄球菌抗细菌率均≥99%(I级）；表皮葡萄球菌抗细菌率≥99%；抗霉菌性能（耐霉菌性）：长枝木霉、出芽短梗霉、链格孢等长霉等级（耐霉菌性等级）均0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6、承重能力：满足承重要求，结构稳定，不易变形和摇晃，确保在使用过程中安全可靠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7、书架间距和层高设计：16开书籍的层板高度为280mm~300mm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标的名称：会议桌椅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会议桌椅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一、会议桌（规格mm：5600mm*1800mm*750mm(±10mm）1张，配15把会议椅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1、基材：采用厚度≥15mm中密度纤维板，检测项目【密度（g/cm³）≥0.71，板内密度偏差≤0.2%，含水率（%）≤8.5%，静曲强度≥24.0MPa，弹性模量≥2900MPa，表面结合强度（MPa)≥1.0，防潮性能：循环试验后内结合强度≥0.25MPa，表面吸收性能≥83mm，甲醛释放量（mg/m³）≤0.019，总挥发性有机化合物（TVOC）≤0.15mg/(㎡.h)(72h)】，检验结论合格或符合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木皮:符合含水率为8%~11%，无孔洞、无夹皮、无虫洞、无树脂道、无树胶道等；不允许变色、不允许腐朽；气干密度≤0.7g/cm³；甲醛释放量未检出；有害物质限量(重金属含量）可溶性铅、可溶性镉、可溶性铬、可溶性汞未检出；抗菌性能座疮丙酸杆抑菌率不小于99%；出芽短梗霉耐霉菌性等级0级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水性油漆：检测依据为【包含但不限于VOC含量、甲醛含量、总铅含量、可溶性重金属含量{镉Cd、铬Cr、汞Hg}、苯系物总和含量{苯、甲苯、二甲苯、乙苯}、多环芳烃总和含量、乙二醇醚及醚酯总和含量、游离二异氰酸酯总和含量、烷基酚聚氧乙烯醚总和含量，卤代烃总和含量≤0.1%。】检验结论合格或符合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4、紧固件：中性盐雾试验连续喷雾≥150h，镀（涂）层对基体保护等级≥10级，耐腐蚀等级≥10级，乙酸盐雾试验连续喷雾≥150h，镀（涂）层对基体保护等级≥10级，耐腐蚀等级≥10级；玩具材料中可迁移元素中锑≤18mg/kg、砷≤9mg/kg、镉≤28mg/kg、铬≤22mg/kg、铅≤41mg/kg、汞≤29mg/kg、硒≤39mg/kg、钡≤50mg/kg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二、会议椅（规格：标准）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1、面料：采用人造皮革，检测项目【游离甲醛≤1.8mg/kg，气味（级）≤2，挥发性有机化合物（VOC）≤0.20mg/kg,可萃取的重金属：镉≤0.1mg/kg，铜≤0.40mg/kg，六价铬≤4.0mg/kg，汞≤0.02mg/kg，钴≤4.0mg/kg,镍≤4.0mg/kg，铅≤0.8mg/kg，可分解致癌芳香胺染料：4-氨基联苯[92-67-1]≤30.0mg/kg，联苯胺[92-87-5]≤30.0mg/kg，4-氯-邻甲苯胺[95-69 -2]≤30.0mg/kg，2- 萘胺[91-59-8]≤30.0mg/kg，邻氨基偶氮甲苯[97-56-3]≤30.0mg/kg，3,3’-二甲氧基联苯胺[119-90-4]≤30.0mg/kg，对氯苯胺[106-47-8]≤30.0mg/kg】，检验结论合格或符合。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椅架采用橡胶木：橡胶木宏观特征符合橡胶木特征描述；木材含水率8%—11%；木材吸水率7%—8%；抗细菌性能白色葡萄球、乙型副伤寒沙门氏菌抗菌率≥99%；防霉性能产黄青霉0级、光抱短柄帚霉0级；木制件外观无贯通裂缝、无虫蛀、无腐朽材、无树脂囊、无其他轻微材质缺陷；气干密度≥0.63g/cm³、绝干密度≥0.61g/cm³、基本密度≥0.6g/cm³；木材硬度端面不低于6500N；弦面不低于6400N；径面不低于6000N；抗弯强度不低于90MPa；冲击韧性不低于60kJ/㎡；抗劈力不低于8N/mm；顺纹抗拉强度不低于70MPa；甲醛释放量 (1m³气候箱法)未检出；72小时挥发性有机化合物苯、甲苯、二甲苯未检出；总挥发性有机化合物 (TVOC)未检出；五氯苯酚含量未检出；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水性油漆：检测依据为【包含但不限于VOC含量、甲醛含量、总铅含量、可溶性重金属含量{镉Cd、铬Cr、汞Hg}、苯系物总和含量{苯、甲苯、二甲苯、乙苯}、多环芳烃总和含量、乙二醇醚及醚酯总和含量、游离二异氰酸酯总和含量、烷基酚聚氧乙烯醚总和含量，卤代烃总和含量≤0.1%。】检验结论合格或符合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4、阻燃海绵:需符合长度、宽度极限偏差±10mm，厚度极限偏差±0.2mm，回弹率≥54%，拉伸强度≥180kpa，伸长率≥180%，撕裂强度≥5.4N/cm,干热老化后拉伸强度≥150kpa，湿热老化后拉伸强度≥150kpa，表观密度≥55kg/m³，游离甲醛（mg/kg）未检出，75%压缩永久变形≤3%，65%/25%压缩比≥3%，感官要求：无刺激性气味，颜色均匀，每平方米内弥合裂缝总长小于100mm，最大裂缝小于30mm，干热老化后拉伸强度变化率±30%，湿热老化后拉伸强度变化率±30%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标的名称：二人会议条桌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二人会议条桌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1、规格：1160*600*760mm(±10mm）    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采用胡桃木皮贴面，经烘干、防虫、防腐处理，不开裂所有板材均经过防虫防潮处理，游离甲醛释放量小于30mg/100g，符合国家环保E1级标准，木材干燥至9%的含水率，优质五金配件，台湾大宝环保聚脂漆，硬度达到3H级以上，保证光亮平整,耐磨耐压耐高温，可长期保持表面效果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3、五金配件：选用紧固件，表面无剥落、返锈、毛刺，无烧焦、气泡。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标的名称：三人会议条桌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三人会议条桌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1、规格：1740*600*760mm(±10mm）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采用胡桃木皮贴面，经烘干、防虫、防腐处理，不开裂所有板材均经过防虫防潮处理，游离甲醛释放量小于30mg/100g，符合国家环保E1级标准，木材干燥至9%的含水率，优质五金配件，台湾大宝环保聚脂漆，硬度达到3H级以上，保证光亮平整,耐磨耐压耐高温，可长期保持表面效果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3、五金配件：选用紧固件，表面无剥落、返锈、毛刺，无烧焦、气泡。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标的名称：主席桌椅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主席桌椅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1、规格：2400*600*760mm(±10mm）1组+1400*600*760mm(±5mm）2组，配7把主席椅。          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采用胡桃木皮贴面，经烘干、防虫、防腐处理，不开裂所有板材均经过防虫防潮处理，游离甲醛释放量小于30mg/100g，符合国家环保E1级标准，木材干燥至9%的含水率，优质五金配件，环保聚脂漆，硬度达到3H级以上，保证光亮平整,耐磨耐压耐高温，须保持表面效果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3、五金配件：选用紧固件，表面无剥落、返锈、毛刺，无烧焦、气泡。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标的名称：发言台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发言台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1、规格:730*540*1170mm(±10mm），颜色：红胡桃色；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采用胡桃木皮贴面，经烘干、防虫、防腐处理，不开裂所有板材均经过防虫防潮处理，游离甲醛释放量小于30mg/100g，符合国家环保E1级标准，木材干燥至9%的含水率，优质五金配件，环保聚脂漆，硬度达到3H级以上，保证光亮平整,耐磨耐压耐高温，须保持表面效果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3、五金配件：选用紧固件，表面无剥落、返锈、毛刺，无烧焦、气泡。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标的名称：教师办公桌椅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教师办公桌椅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一、办公桌（规格mm：1500mm*600mm*750mm（±10mm）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1、主材：采用25mm+16mm厚E0级三聚氰氨板制作，E0级三聚氰氨板符合：静曲强度≥25MPa，弹性模量≥2900MPa，内结合强度≥0.7MPa，表面胶合强度≥1.0MPa，2h吸水厚度膨胀率≤2%，含水率，密度≤0.8g/cm³，握螺钉力中板面≥1600N、板边≥1000N，磨耗值≤33mg/100r，表面耐香火因灼烧、表面耐干热、表面耐污染腐蚀、表面耐龟裂、表面耐水蒸气、耐光色牢度≥5级，抗拉强度≥54MPa，苯、甲苯+二甲苯未检出，总挥发性有机化合物未检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2、封边条：采用≥1.5mm厚PVC封边条，表面应无皱纹、裂纹、折痕、暗条痕、染色线、刀线、 油渍、污点、黑斑、粘胶和杂质、无明显的气泡、针孔、划痕、波纹 等瑕疵，背胶处理均匀合格，理化性能（塑料封边条）检测项目合格，多环芳烃：苯并[a]芘、16种多环芳烃(PAH)总量检测项目合格，多溴联苯未检出，多溴联苯醚未检出，封边条甲醛释放量E1≤0.05mg/L,可迁移元素（可溶性重金属）：铅（Pb)≤2mg/kg,镉(Cd)≤2mg/kg,铬(Cr)≤2mg/kg,汞(Hg)≤2mg/kg,砷(As)≤2mg/kg,钡(Ba)≤2mg/kg,锑(Sb)≤12mg/kg,硒(Se)≤2mg/k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三合一连接件：符合：主要尺寸与角度、外观、理化性能等检测合格，力学性能（三合一偏心连接件偏心体抗压强度≥260N、三合一偏心连接件预埋螺母抗拉强度≥630N、三合一偏心连接件中连接螺杆螺纹与预埋螺母的抗拉强度≥1000N），经人造气氛腐蚀试验（盐雾试验）保护评级达到10级，外观评级达到10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4、抽屉导轨：采用缓冲导轨，检测项目【过载垂直向下静载荷商用型/300N、水平侧向静载荷商用型/150N检测合格，耐久性商用型≥60000次试验合格，18h耐腐蚀试验无锈点产生，中性盐雾试验（NSS）法及乙酸盐雾试验（ASS）连续喷雾≥120h耐腐蚀等级达到10级】检验结论合格或符合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5、缓冲铰链：符合：过载垂直静载荷商用型/30kg、水平静载荷商用型/70N,耐久性试验前后，打开力和关闭力不应大于20N，耐久性商用型≥80000次试验合格，18h耐腐蚀试验无锈点产生，中性盐雾试验（NSS）法及乙酸盐雾试验（ASS）连续喷雾≥130h耐腐蚀等级达到10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6、铝合金拉手：符合：涂层中可溶性重金属可溶性铅、镉、铬、汞均要小于3 mg/kg；金属喷漆（塑）涂层硬度≥4H；金属喷漆（塑）涂层冲击强度：冲击高度400mm，应无剥落、裂纹、皱纹；耐腐蚀等级（乙酸盐雾试验（ASS））：连续喷雾18h，简易10级制定级法不低于8级（10级为最好，0 级最差）。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二、办公椅（规格：标准）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1、网布：采用双层网布，检测项目【双层网布达B1级阻燃等级，燃烧性能损毁长度≤90mm；阴燃时间≤3S；续燃时间≤3S；土曲霉防霉性能0级、宛氏拟青霉防霉性能0级、球毛壳霉防霉性能0级；肺炎克雷伯氏菌抑菌带宽度0-1mm；枯草芽抱杆菌抑菌带宽度0-1mm；鼠伤寒沙门氏菌抑菌带宽度0-1mm；甲醛含量未检出；5≤pH小于等于6；无异味；24项禁用可分解致癌芳香胺染料未检出；纺织产品中有害物质限制要求可萃取的重金属砷 (As）、铅(Pb)、铬(Cr)、钴 (Co)、铜 (Cu)、镍(Ni)、铬 (Cr)(VI)、镉(Cd)、锑(Sb)、汞(Hg)未检出；邻苯基苯酚(OPP)未检出；印花色浆中挥发性有机化合物(VOCs)未检出；六价铭[Cr(VI)]含量未检出】，检验结论合格或符合。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海绵：采用阻燃海绵检测项目【长度、宽度极限偏差±10mm，厚度极限偏差±0.2mm，回弹率≥54%，拉伸强度≥180kpa，伸长率≥180%，撕裂强度≥5.4N/cm,干热老化后拉伸强度≥150kpa，湿热老化后拉伸强度≥150kpa，表观密度≥55kg/m³，游离甲醛（mg/kg）未检出，75%压缩永久变形≤3%，65%/25%压缩比≥3，感官要求：无刺激性气味，颜色均匀，每平方米内弥合裂缝总长小于100mm，最大裂缝小于30mm，干热老化后拉伸强度变化率±30%，湿热老化后拉伸强度变化率±30%】，检验结论合格或符合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座板内衬垫板：采用实木多层板，板材外观应无干花、无湿花、无污斑、无表面划痕、无表面压痕、无表面孔隙、无颜色不匹配、无光泽不均、无鼓泡、无鼓包、无分层、无表面波纹；弹性模量≥3600MPa；0.7g/cm³≤密度≤0.8/cm³；内结合强度≥0.5MPa；抗拉强度≥50MPa；24h吸水厚度膨胀率≤9%；耐沸水性能不低于5级；甲醛释放量(1m³气候箱法)≤0.020mg/m³；72h挥发性有机化合物苯、甲苯、二甲苯未检出；总挥发性有机化合物 (TVOC)未检出。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4、椅架：符合白色念珠菌抗菌率≥99%；绳状青霉耐霉菌性等级0级；金属件外观性能要求管材、焊接件、喷涂层合格；弯曲试验合格；金属喷漆（塑）涂层400mm冲击高度，应无剥落、裂纹、皱纹；有害物质限量(产品涂层和覆面层中可溶性重金属)可溶性铅、可溶性镉、可溶性铬、可溶性汞未检出；≥24h连续喷雾中性盐雾试验(NSS)10级；≥24h连续喷雾铜加速乙酸盐雾试验(CASS)10级；≥24h耐盐浴漆膜无膨胀、鼓泡剥落、生锈、变色、失光中任一缺陷；可迁移元素锑(Sb)、砷(As)、钡(Ba)、镉(cd)、钴(Cr)、铅(Pb)、汞(Hg)、硒(Se)未检出；280MPa≤上屈服强度≤350MPa；280MPa≤下屈服强度≤320MPa；400MPa≤抗拉强度≤500MPa；240≤塑性延伸强度≤300；50%≤断后伸长率≤60%；元素分析C≤0.04，Si≤0.02，Mn≤0.2，P≤0.015，S≤0.015，Cr≤0.025，Ni≤0.02；白色念珠菌抗菌率≥99%；绳状青霉耐霉菌性等级0级；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标的名称：讲桌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讲桌</w:t>
            </w:r>
          </w:p>
        </w:tc>
        <w:tc>
          <w:tcPr>
            <w:tcW w:w="5814" w:type="dxa"/>
          </w:tcPr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1、规格：1200*600*900mm（±10mm）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2、台面基材：选用25mm厚E0级实木颗粒板，规格尺寸及其偏差合格；密度0.68～0.80g/cm³，板内密度偏差±10%，含水率5～9%；2h吸水厚度膨胀率≤3％，24h吸水厚度膨胀率≤6 %，表面胶合强度≥1.8MPa，静曲强度≥36.8MPa，内胶合强度≥0.85MPa，弹性模量≥4600MPa，表面磨耗值≤20mg/100r，板面握螺钉力≥1650N，板边握螺钉力≥1220N；甲醛释放量达E0级；挥发性有机化合物（72h）苯、甲苯、二甲苯、TVOC未检出；燃烧性能等级达B1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3、台面面材：采用优质贴面防火板，检测项目【燃烧增长速率指数FIGRAO.2MJ≤ 117W/s；600s的总放热量THR600s≤7.3MJ;60s内焰尖高度Fs≤145mm;烟气毒性等级t1:达到准安全三级ZA3;表面耐污染腐蚀（素色）达到4级以上；抗大球冲击凹痕直径≤6.5mm；耐干热（外观光泽，其他）达到1级；尺寸稳定性（纵向最大值、横向最大值）合格；表面耐划痕≥1.5N表面无大于90%的连续划痕；耐沸水（质量增加率、厚度增加率、外观）；表面耐水蒸气达到5级；耐光色牢度；表面耐香烟灼烧达到5级；耐开裂性（2mm以下薄板）达到1级；甲醛释放量≤0.01mg/m³；总挥发性有机化合物（TVOC）≤20μg/m³；苯、甲苯、二甲苯未检出；金黄色葡萄球菌、大肠埃希氏菌、肺炎克雷伯氏菌抗细菌性能≥99.5%；产黄青霉、宛氏拟青霉、黑曲霉耐霉菌性0级】，检验结论合格或符合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4、桌体：采用16mm厚E0级三聚氰氨板制作，E0级三聚氰氨板符合：静曲强度≥25MPa，弹性模量≥2900MPa，内结合强度≥0.7MPa，表面胶合强度≥1.0MPa，2h吸水厚度膨胀率≤2%，含水率，密度≤0.8g/cm³，握螺钉力中板面≥1600N、板边≥1000N，磨耗值≤33mg/100r，表面耐香火因灼烧、表面耐干热、表面耐污染腐蚀、表面耐龟裂、表面耐水蒸气、耐光色牢度≥5级，抗拉强度≥54MPa，苯、甲苯+二甲苯未检出，总挥发性有机化合物未检出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5、封边条：采用≥1.5mm厚PVC封边条，表面应无皱纹、裂纹、折痕、暗条痕、染色线、刀线、 油渍、污点、黑斑、粘胶和杂质、无明显的气泡、针孔、划痕、波纹 等瑕疵，背胶处理均匀合格，理化性能（塑料封边条）检测项目合格，多环芳烃：苯并[a]芘、16种多环芳烃(PAH)总量检测项目合格，多溴联苯未检出，多溴联苯醚未检出，封边条甲醛释放量E1≤0.05mg/L,可迁移元素（可溶性重金属）：铅（Pb)≤2mg/kg,镉(Cd)≤2mg/kg,铬(Cr)≤2mg/kg,汞(Hg)≤2mg/kg,砷(As)≤2mg/kg,钡(Ba)≤2mg/kg,锑(Sb)≤12mg/kg,硒(Se)≤2mg/kg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6、三合一连接件：符合：主要尺寸与角度、外观、理化性能等检测合格，力学性能（三合一偏心连接件偏心体抗压强度≥260N、三合一偏心连接件预埋螺母抗拉强度≥630N、三合一偏心连接件中连接螺杆螺纹与预埋螺母的抗拉强度≥1000N），经人造气氛腐蚀试验（盐雾试验）保护评级达到10级，外观评级达到10级。</w:t>
            </w:r>
          </w:p>
        </w:tc>
      </w:tr>
    </w:tbl>
    <w:p>
      <w:pPr>
        <w:pStyle w:val="4"/>
        <w:jc w:val="left"/>
      </w:pPr>
      <w:r>
        <w:rPr>
          <w:rFonts w:ascii="仿宋_GB2312" w:hAnsi="仿宋_GB2312" w:eastAsia="仿宋_GB2312" w:cs="仿宋_GB2312"/>
        </w:rPr>
        <w:t>标的名称：阶梯椅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技术参数与性能指标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阶梯椅/礼堂椅</w:t>
            </w:r>
          </w:p>
        </w:tc>
        <w:tc>
          <w:tcPr>
            <w:tcW w:w="5814" w:type="dxa"/>
          </w:tcPr>
          <w:p>
            <w:pPr>
              <w:pStyle w:val="4"/>
              <w:numPr>
                <w:ilvl w:val="0"/>
                <w:numId w:val="1"/>
              </w:numPr>
              <w:jc w:val="left"/>
            </w:pPr>
            <w:r>
              <w:rPr>
                <w:rFonts w:ascii="仿宋_GB2312" w:hAnsi="仿宋_GB2312" w:eastAsia="仿宋_GB2312" w:cs="仿宋_GB2312"/>
                <w:sz w:val="21"/>
              </w:rPr>
              <w:t>扶手架站脚：扶手框架长410mm，宽80mm，高350mm，采用1.5mm厚优质钢板冲压成型；立柱采用80x40x1.5mm矩管；站脚长310mm，宽78mm，高27mm，采用2mm厚优质钢板冲压成型，隐蔽式安装固定螺丝孔矩233mm。站脚、扶手框架与立柱焊接成扶手架。内藏式侧封板，永不脱落。表面采用除油除锈磷化处理，经环氧-聚酯粉末涂料静电喷涂，高温塑化处理，外观平整不生锈，防腐蚀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2、坐背胶壳：进口聚丙烯，座壳:厚4.5mm，最长510mm,最宽420 mm，最高83 mm，384个吸音孔和排气孔。背壳:厚3.5mm，最长745mm,最宽448 mm， 303个吸音孔和排气孔。采用流线型设计，不褪色、不脆裂、经久耐用不易老化。 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3、座背软包：PU料，不规则体，PU料模具冷泡成型，座背定型棉采用聚氨酯冷固发泡一体成型，座棉密度55-60㎏/ ｍ3，长度达到460ｍｍ，宽度达到450ｍｍ，最厚度达到100ｍｍ；背棉密度50-55㎏/ｍ3,，长度达到690ｍｍ，宽度达到460ｍｍ，最厚度达到100ｍｍ。高回弹不变型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4、写字板机构：铝合金，不规则体，铝合金压铸成型，强力轻质。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5、回复机构：采用弹簧回复。回复快捷、零故障。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6、写字板：中密度纤维板，长度为290mm，宽度为230mm，厚度为18mm；中密板成型，PVC多元素复合材料高温封边。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7、扶手板：实木，扶手盖长度为417mm，宽度为82mm，厚度为25mm；采用实木加工成型，采用脱水干燥缓冲处理，外履环保烤漆后能有效的耐磨、耐污、不易退色外。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8、面料：麻绒，抗静电，不起球，耐磨擦、不褪色安全环保。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9、固定装置：拉爆丝，采用内爆压紧螺丝不突出外扣胶塞，安全美观。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  <w:sz w:val="21"/>
              </w:rPr>
              <w:t>10、依据GB 8624-2012《建筑材料及制品燃烧性能分级》标准，测试结果符合指标要求。</w:t>
            </w:r>
          </w:p>
          <w:p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3.3.服务要求</w:t>
      </w:r>
    </w:p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3.3.1.服务内容要求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服务要求内容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8305" w:type="dxa"/>
            <w:gridSpan w:val="4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>
      <w:pPr>
        <w:pStyle w:val="4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3.3.2.商务要求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581"/>
        <w:gridCol w:w="1495"/>
        <w:gridCol w:w="5814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81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符号标识</w:t>
            </w:r>
          </w:p>
        </w:tc>
        <w:tc>
          <w:tcPr>
            <w:tcW w:w="149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商务要求名称</w:t>
            </w:r>
          </w:p>
        </w:tc>
        <w:tc>
          <w:tcPr>
            <w:tcW w:w="5814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商务要求内容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交货时间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自合同签订之日起20日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交货地点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资中一中香炉山校区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支付方式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分期付款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付款进度安排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1、合同签订后，达到付款条件起10日内，支付合同总金额的40.00%</w:t>
            </w:r>
          </w:p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2、安装完成，采购人验收合格后，达到付款条件起30日内，支付合同总金额的60.00%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验收、交付标准和方法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成交供应商与采购人严格按照政府采购相关法律法规以及《政府采购需求管理办法》（财库【2021】22号）的要求，采购文件技术要求、成交供应商的响应文件及承诺以及合同约定标准进行验收。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质量保修范围和保修期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质保期自验收合格之日起3年。质保期内，质保期内出现质量问题，成交供应商在接到通知后24 小时内响应到场，48小时内完成维修或更换 ，并承担修理调换的费用。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7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违约责任与解决争议的方法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一、违约责任： 1、甲乙双方必须遵守本合同并执行合同中的各项规定，保证本合同 的正常履行。2、甲方违约责任：甲方在本合同约定的时间内无故拖延付款，每逾期 一个工作日，甲方应按应付金额的0.1‰支付违约金。3、乙方违约责任：（1）乙方 不履行或不按合同约定履行的，甲方有权要求乙方立即整改，在接到甲方要求后，乙 方应三日内立即采取补救措施，提供本合同约定的服务。 超过三日，乙方未能及时采 取补救措施有效解决时，甲方有权另行聘请第三方进行服务，由此产生的所有费用由 乙方承担。（2）如因乙方故意或者过失原因给甲方造成损失或侵害，包括但不限于 甲方本身的财产损失、由此而导致的甲方对任何第三方的法律责任等，乙方均应承担 全部的赔偿责任和法律责任。如因乙方工作人员在履行职务过程中故意或者过失原因 给甲方造成损失或侵害，包括但不限于甲方本身的财产损失、由此而导致的甲方对任 何第三方的法律责任等，乙方对此均应承担全部的赔偿责任。 二、解决争议的方法： 1、在执行本合同中发生的或与本合同有关的争端，双方应通过友好协商解决，经协 商不能达成协议时，任何一方可选择向采购人所在地有管辖权的人民法院提起诉讼。 2、守约方为实现权益而产生的诉讼费、律师代理费等全部费用由违约方承担。3、在 法院审理期间，除有争议部分外，本合同其他部分可以履行的仍应按合同条款继续履行。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" w:type="dxa"/>
          </w:tcPr>
          <w:p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</w:t>
            </w:r>
          </w:p>
        </w:tc>
        <w:tc>
          <w:tcPr>
            <w:tcW w:w="581" w:type="dxa"/>
          </w:tcPr>
          <w:p/>
        </w:tc>
        <w:tc>
          <w:tcPr>
            <w:tcW w:w="1495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包装方式及运输</w:t>
            </w:r>
          </w:p>
        </w:tc>
        <w:tc>
          <w:tcPr>
            <w:tcW w:w="5814" w:type="dxa"/>
          </w:tcPr>
          <w:p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</w:rPr>
      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      </w:r>
          </w:p>
        </w:tc>
      </w:tr>
    </w:tbl>
    <w:p>
      <w:pPr>
        <w:pStyle w:val="4"/>
        <w:jc w:val="left"/>
        <w:outlineLvl w:val="2"/>
      </w:pPr>
      <w:r>
        <w:rPr>
          <w:rFonts w:ascii="仿宋_GB2312" w:hAnsi="仿宋_GB2312" w:eastAsia="仿宋_GB2312" w:cs="仿宋_GB2312"/>
          <w:b/>
          <w:sz w:val="28"/>
        </w:rPr>
        <w:t>3.4.其他要求</w:t>
      </w:r>
    </w:p>
    <w:p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  <w:jc w:val="left"/>
      </w:pPr>
      <w:r>
        <w:rPr>
          <w:rFonts w:ascii="仿宋_GB2312" w:hAnsi="仿宋_GB2312" w:eastAsia="仿宋_GB2312" w:cs="仿宋_GB2312"/>
        </w:rPr>
        <w:t>中标后签订合同前提供（三聚氰氨板、封边条、三合一连接件、抽屉导轨、缓冲铰链、铝合金拉手、网布、海绵、实木多层板、椅架、实木颗粒板、防火板、中密度纤维板、木皮、水性油漆、紧固件、人造皮革、橡胶木、礼堂椅、锁具、冷轧钢板、塑料粉末等）国家认可的第三方检测机构出具的检测报告原件佐证。</w:t>
      </w:r>
    </w:p>
    <w:p>
      <w:pPr>
        <w:pStyle w:val="4"/>
      </w:pPr>
      <w:r>
        <w:rPr>
          <w:rFonts w:ascii="仿宋_GB2312" w:hAnsi="仿宋_GB2312" w:eastAsia="仿宋_GB2312" w:cs="仿宋_GB2312"/>
        </w:rPr>
        <w:t xml:space="preserve"> </w:t>
      </w:r>
      <w:r>
        <w:rPr>
          <w:rFonts w:ascii="仿宋_GB2312" w:hAnsi="仿宋_GB2312" w:eastAsia="仿宋_GB2312" w:cs="仿宋_GB2312"/>
        </w:rPr>
        <w:br w:type="textWrapping"/>
      </w:r>
      <w:r>
        <w:rPr>
          <w:rFonts w:ascii="仿宋_GB2312" w:hAnsi="仿宋_GB2312" w:eastAsia="仿宋_GB2312" w:cs="仿宋_GB2312"/>
        </w:rPr>
        <w:br w:type="page"/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yYTY5OWVmYmZhYTgwNDAwOWIyMjVjMzJhMzFiOTIifQ=="/>
  </w:docVars>
  <w:rsids>
    <w:rsidRoot w:val="00000000"/>
    <w:rsid w:val="2547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2025-07-09T02:20:22Z</dcterms:created>
  <dc:creator>Administrator</dc:creator>
  <cp:lastModifiedBy>黄曼巴Viper</cp:lastModifiedBy>
  <dcterms:modified xsi:type="dcterms:W3CDTF">2025-07-09T02:20:32Z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4FC72D7083294503B6C34A3A175738DF</vt:lpwstr>
  </property>
</Properties>
</file>