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版本号：N513411202600008120260414001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公务用车购置采购项目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N5134112026000081</w:t>
      </w:r>
    </w:p>
    <w:p>
      <w:pPr>
        <w:pStyle w:val="null3"/>
        <w:jc w:val="left"/>
        <w:outlineLvl w:val="2"/>
      </w:pPr>
      <w:r>
        <w:rPr>
          <w:rFonts w:ascii="仿宋_GB2312" w:hAnsi="仿宋_GB2312" w:cs="仿宋_GB2312" w:eastAsia="仿宋_GB2312"/>
          <w:sz w:val="28"/>
          <w:b/>
        </w:rPr>
        <w:t>凉山彝族自治州就业服务管理局</w:t>
      </w:r>
    </w:p>
    <w:p>
      <w:pPr>
        <w:pStyle w:val="null3"/>
        <w:jc w:val="center"/>
        <w:outlineLvl w:val="2"/>
      </w:pPr>
      <w:r>
        <w:rPr>
          <w:rFonts w:ascii="仿宋_GB2312" w:hAnsi="仿宋_GB2312" w:cs="仿宋_GB2312" w:eastAsia="仿宋_GB2312"/>
          <w:sz w:val="28"/>
          <w:b/>
        </w:rPr>
        <w:t>凉山州政府采购中心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凉山州政府采购中心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凉山彝族自治州就业服务管理局</w:t>
      </w:r>
      <w:r>
        <w:rPr>
          <w:rFonts w:ascii="仿宋_GB2312" w:hAnsi="仿宋_GB2312" w:cs="仿宋_GB2312" w:eastAsia="仿宋_GB2312"/>
        </w:rPr>
        <w:t xml:space="preserve"> 委托，拟对 </w:t>
      </w:r>
      <w:r>
        <w:rPr>
          <w:rFonts w:ascii="仿宋_GB2312" w:hAnsi="仿宋_GB2312" w:cs="仿宋_GB2312" w:eastAsia="仿宋_GB2312"/>
        </w:rPr>
        <w:t>公务用车购置采购项目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凉山彝族自治州州本级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N5134112026000081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公务用车购置采购项目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更新一台应急保障用车，满足日常应急保障需求，确保车辆合理高效使用与安全运行。</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凉山彝族自治州就业服务管理局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四川省西昌市花园路165号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丁老师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0834-3223787</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凉山州政府采购中心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四川省凉山彝族自治州西昌市凉山州政务服务和公共资源交易服务中心（西昌市马水河街5号）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阿西</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0834--2169776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采购包1：350,000.00元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60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凉山彝族自治州就业服务管理局</w:t>
      </w:r>
      <w:r>
        <w:rPr>
          <w:rFonts w:ascii="仿宋_GB2312" w:hAnsi="仿宋_GB2312" w:cs="仿宋_GB2312" w:eastAsia="仿宋_GB2312"/>
        </w:rPr>
        <w:t xml:space="preserve"> 和 </w:t>
      </w:r>
      <w:r>
        <w:rPr>
          <w:rFonts w:ascii="仿宋_GB2312" w:hAnsi="仿宋_GB2312" w:cs="仿宋_GB2312" w:eastAsia="仿宋_GB2312"/>
        </w:rPr>
        <w:t>凉山州政府采购中心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凉山彝族自治州就业服务管理局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凉山州政府采购中心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按照采购文件的质量要求和技术指标、供应商的响应文件及承诺与合同约定标准进行验收。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按照采购文件商务要求及供应商响应商务要求内容进行验收。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 205号)、《政府采购需求管理办法》(财库(2021) 22号)的要求及国家行业主管部门规定的标准、方法和内容及采购文件的质量要求和技术指标、供应商的响应文件及承诺与合同约定标准进行验收。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凉山彝族自治州就业服务管理局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凉山州政府采购中心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凉山州政府采购中心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联系人：丁老师</w:t>
      </w:r>
    </w:p>
    <w:p>
      <w:pPr>
        <w:pStyle w:val="null3"/>
        <w:jc w:val="left"/>
      </w:pPr>
      <w:r>
        <w:rPr>
          <w:rFonts w:ascii="仿宋_GB2312" w:hAnsi="仿宋_GB2312" w:cs="仿宋_GB2312" w:eastAsia="仿宋_GB2312"/>
        </w:rPr>
        <w:t>联系电话：0834-3223787</w:t>
      </w:r>
    </w:p>
    <w:p>
      <w:pPr>
        <w:pStyle w:val="null3"/>
        <w:jc w:val="left"/>
      </w:pPr>
      <w:r>
        <w:rPr>
          <w:rFonts w:ascii="仿宋_GB2312" w:hAnsi="仿宋_GB2312" w:cs="仿宋_GB2312" w:eastAsia="仿宋_GB2312"/>
        </w:rPr>
        <w:t>地址：四川省西昌市花园路165号</w:t>
      </w:r>
    </w:p>
    <w:p>
      <w:pPr>
        <w:pStyle w:val="null3"/>
        <w:jc w:val="left"/>
      </w:pPr>
      <w:r>
        <w:rPr>
          <w:rFonts w:ascii="仿宋_GB2312" w:hAnsi="仿宋_GB2312" w:cs="仿宋_GB2312" w:eastAsia="仿宋_GB2312"/>
        </w:rPr>
        <w:t>邮编：615000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 阿西</w:t>
      </w:r>
    </w:p>
    <w:p>
      <w:pPr>
        <w:pStyle w:val="null3"/>
        <w:jc w:val="left"/>
      </w:pPr>
      <w:r>
        <w:rPr>
          <w:rFonts w:ascii="仿宋_GB2312" w:hAnsi="仿宋_GB2312" w:cs="仿宋_GB2312" w:eastAsia="仿宋_GB2312"/>
        </w:rPr>
        <w:t>联系电话：0834--2169776</w:t>
      </w:r>
    </w:p>
    <w:p>
      <w:pPr>
        <w:pStyle w:val="null3"/>
        <w:jc w:val="left"/>
      </w:pPr>
      <w:r>
        <w:rPr>
          <w:rFonts w:ascii="仿宋_GB2312" w:hAnsi="仿宋_GB2312" w:cs="仿宋_GB2312" w:eastAsia="仿宋_GB2312"/>
        </w:rPr>
        <w:t>地址：四川省凉山彝族自治州西昌市凉山州政务服务和公共资源交易服务中心（西昌市马水河街5号）</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350,000.00</w:t>
      </w:r>
    </w:p>
    <w:p>
      <w:pPr>
        <w:pStyle w:val="null3"/>
        <w:jc w:val="left"/>
      </w:pPr>
      <w:r>
        <w:rPr>
          <w:rFonts w:ascii="仿宋_GB2312" w:hAnsi="仿宋_GB2312" w:cs="仿宋_GB2312" w:eastAsia="仿宋_GB2312"/>
        </w:rPr>
        <w:t>采购包最高限价（元）: 350,000.00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A02030502 越野车</w:t>
            </w:r>
          </w:p>
        </w:tc>
        <w:tc>
          <w:tcPr>
            <w:tcW w:type="dxa" w:w="821"/>
          </w:tcPr>
          <w:p>
            <w:pPr>
              <w:pStyle w:val="null3"/>
              <w:jc w:val="left"/>
            </w:pPr>
            <w:r>
              <w:rPr>
                <w:rFonts w:ascii="仿宋_GB2312" w:hAnsi="仿宋_GB2312" w:cs="仿宋_GB2312" w:eastAsia="仿宋_GB2312"/>
              </w:rPr>
              <w:t>公务用车</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公务用车</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（1）预算控制价金额为350000元，供应商报价需符合预算控制价要求，超出预算控制价的报价为无效竞标。 （2）本项目报价是履行合同的最终价格，应包括货款、运输配送、安装调试、货到就位等完成本项目所需的一切费用，采购人不再支付任何费用；报价估算错误等引起的风险由竞标人自行承担。</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A02030502 越野车</w:t>
            </w:r>
          </w:p>
        </w:tc>
        <w:tc>
          <w:tcPr>
            <w:tcW w:type="dxa" w:w="2492"/>
          </w:tcPr>
          <w:p>
            <w:pPr>
              <w:pStyle w:val="null3"/>
              <w:jc w:val="left"/>
            </w:pPr>
            <w:r>
              <w:rPr>
                <w:rFonts w:ascii="仿宋_GB2312" w:hAnsi="仿宋_GB2312" w:cs="仿宋_GB2312" w:eastAsia="仿宋_GB2312"/>
              </w:rPr>
              <w:t>公务用车</w:t>
            </w:r>
          </w:p>
        </w:tc>
        <w:tc>
          <w:tcPr>
            <w:tcW w:type="dxa" w:w="2492"/>
          </w:tcPr>
          <w:p>
            <w:pPr>
              <w:pStyle w:val="null3"/>
              <w:jc w:val="left"/>
            </w:pPr>
            <w:r>
              <w:rPr>
                <w:rFonts w:ascii="仿宋_GB2312" w:hAnsi="仿宋_GB2312" w:cs="仿宋_GB2312" w:eastAsia="仿宋_GB2312"/>
              </w:rPr>
              <w:t>公务用车</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标的名称：公务用车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tbl>
            <w:tblPr>
              <w:tblInd w:type="dxa" w:w="105"/>
              <w:tblBorders>
                <w:top w:val="none" w:color="000000" w:sz="4"/>
                <w:left w:val="none" w:color="000000" w:sz="4"/>
                <w:bottom w:val="none" w:color="000000" w:sz="4"/>
                <w:right w:val="none" w:color="000000" w:sz="4"/>
                <w:insideH w:val="none"/>
                <w:insideV w:val="none"/>
              </w:tblBorders>
            </w:tblPr>
            <w:tblGrid>
              <w:gridCol w:w="483"/>
              <w:gridCol w:w="5104"/>
            </w:tblGrid>
            <w:tr>
              <w:tc>
                <w:tcPr>
                  <w:tcW w:type="dxa" w:w="48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序号</w:t>
                  </w:r>
                </w:p>
              </w:tc>
              <w:tc>
                <w:tcPr>
                  <w:tcW w:type="dxa" w:w="510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b/>
                    </w:rPr>
                    <w:t>车辆参数</w:t>
                  </w: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1</w:t>
                  </w:r>
                </w:p>
              </w:tc>
              <w:tc>
                <w:tcPr>
                  <w:tcW w:type="dxa" w:w="51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级别：中大型</w:t>
                  </w:r>
                  <w:r>
                    <w:rPr>
                      <w:rFonts w:ascii="仿宋_GB2312" w:hAnsi="仿宋_GB2312" w:cs="仿宋_GB2312" w:eastAsia="仿宋_GB2312"/>
                      <w:sz w:val="22"/>
                    </w:rPr>
                    <w:t>SUV</w:t>
                  </w: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2</w:t>
                  </w:r>
                </w:p>
              </w:tc>
              <w:tc>
                <w:tcPr>
                  <w:tcW w:type="dxa" w:w="51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外形尺寸</w:t>
                  </w:r>
                  <w:r>
                    <w:rPr>
                      <w:rFonts w:ascii="仿宋_GB2312" w:hAnsi="仿宋_GB2312" w:cs="仿宋_GB2312" w:eastAsia="仿宋_GB2312"/>
                      <w:sz w:val="22"/>
                    </w:rPr>
                    <w:t>(mm) 长： ≥5070 宽：≥1930 高：≥</w:t>
                  </w:r>
                  <w:r>
                    <w:rPr>
                      <w:rFonts w:ascii="仿宋_GB2312" w:hAnsi="仿宋_GB2312" w:cs="仿宋_GB2312" w:eastAsia="仿宋_GB2312"/>
                      <w:sz w:val="22"/>
                    </w:rPr>
                    <w:t>1905</w:t>
                  </w: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3</w:t>
                  </w:r>
                </w:p>
              </w:tc>
              <w:tc>
                <w:tcPr>
                  <w:tcW w:type="dxa" w:w="51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轴距</w:t>
                  </w:r>
                  <w:r>
                    <w:rPr>
                      <w:rFonts w:ascii="仿宋_GB2312" w:hAnsi="仿宋_GB2312" w:cs="仿宋_GB2312" w:eastAsia="仿宋_GB2312"/>
                      <w:sz w:val="22"/>
                    </w:rPr>
                    <w:t>(mm) ： ≥2850</w:t>
                  </w: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4</w:t>
                  </w:r>
                </w:p>
              </w:tc>
              <w:tc>
                <w:tcPr>
                  <w:tcW w:type="dxa" w:w="51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环保标准：国</w:t>
                  </w:r>
                  <w:r>
                    <w:rPr>
                      <w:rFonts w:ascii="仿宋_GB2312" w:hAnsi="仿宋_GB2312" w:cs="仿宋_GB2312" w:eastAsia="仿宋_GB2312"/>
                      <w:sz w:val="21"/>
                    </w:rPr>
                    <w:t>Ⅵ</w:t>
                  </w: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5</w:t>
                  </w:r>
                </w:p>
              </w:tc>
              <w:tc>
                <w:tcPr>
                  <w:tcW w:type="dxa" w:w="51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车身结构：</w:t>
                  </w:r>
                  <w:r>
                    <w:rPr>
                      <w:rFonts w:ascii="仿宋_GB2312" w:hAnsi="仿宋_GB2312" w:cs="仿宋_GB2312" w:eastAsia="仿宋_GB2312"/>
                      <w:sz w:val="22"/>
                    </w:rPr>
                    <w:t>5门</w:t>
                  </w:r>
                  <w:r>
                    <w:rPr>
                      <w:rFonts w:ascii="仿宋_GB2312" w:hAnsi="仿宋_GB2312" w:cs="仿宋_GB2312" w:eastAsia="仿宋_GB2312"/>
                      <w:sz w:val="22"/>
                    </w:rPr>
                    <w:t>5</w:t>
                  </w:r>
                  <w:r>
                    <w:rPr>
                      <w:rFonts w:ascii="仿宋_GB2312" w:hAnsi="仿宋_GB2312" w:cs="仿宋_GB2312" w:eastAsia="仿宋_GB2312"/>
                      <w:sz w:val="22"/>
                    </w:rPr>
                    <w:t>座</w:t>
                  </w:r>
                  <w:r>
                    <w:rPr>
                      <w:rFonts w:ascii="仿宋_GB2312" w:hAnsi="仿宋_GB2312" w:cs="仿宋_GB2312" w:eastAsia="仿宋_GB2312"/>
                      <w:sz w:val="22"/>
                    </w:rPr>
                    <w:t>SUV</w:t>
                  </w: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6</w:t>
                  </w:r>
                </w:p>
              </w:tc>
              <w:tc>
                <w:tcPr>
                  <w:tcW w:type="dxa" w:w="51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排量</w:t>
                  </w:r>
                  <w:r>
                    <w:rPr>
                      <w:rFonts w:ascii="仿宋_GB2312" w:hAnsi="仿宋_GB2312" w:cs="仿宋_GB2312" w:eastAsia="仿宋_GB2312"/>
                      <w:sz w:val="22"/>
                    </w:rPr>
                    <w:t>(ml)：≥</w:t>
                  </w:r>
                  <w:r>
                    <w:rPr>
                      <w:rFonts w:ascii="仿宋_GB2312" w:hAnsi="仿宋_GB2312" w:cs="仿宋_GB2312" w:eastAsia="仿宋_GB2312"/>
                      <w:sz w:val="22"/>
                    </w:rPr>
                    <w:t>199</w:t>
                  </w:r>
                  <w:r>
                    <w:rPr>
                      <w:rFonts w:ascii="仿宋_GB2312" w:hAnsi="仿宋_GB2312" w:cs="仿宋_GB2312" w:eastAsia="仿宋_GB2312"/>
                      <w:sz w:val="22"/>
                    </w:rPr>
                    <w:t>5</w:t>
                  </w: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7</w:t>
                  </w:r>
                </w:p>
              </w:tc>
              <w:tc>
                <w:tcPr>
                  <w:tcW w:type="dxa" w:w="51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进气形式</w:t>
                  </w:r>
                  <w:r>
                    <w:rPr>
                      <w:rFonts w:ascii="仿宋_GB2312" w:hAnsi="仿宋_GB2312" w:cs="仿宋_GB2312" w:eastAsia="仿宋_GB2312"/>
                      <w:sz w:val="22"/>
                    </w:rPr>
                    <w:t>:涡轮增压</w:t>
                  </w: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8</w:t>
                  </w:r>
                </w:p>
              </w:tc>
              <w:tc>
                <w:tcPr>
                  <w:tcW w:type="dxa" w:w="51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能源内型</w:t>
                  </w:r>
                  <w:r>
                    <w:rPr>
                      <w:rFonts w:ascii="仿宋_GB2312" w:hAnsi="仿宋_GB2312" w:cs="仿宋_GB2312" w:eastAsia="仿宋_GB2312"/>
                      <w:sz w:val="22"/>
                    </w:rPr>
                    <w:t>:汽油</w:t>
                  </w:r>
                  <w:r>
                    <w:rPr>
                      <w:rFonts w:ascii="仿宋_GB2312" w:hAnsi="仿宋_GB2312" w:cs="仿宋_GB2312" w:eastAsia="仿宋_GB2312"/>
                      <w:sz w:val="22"/>
                    </w:rPr>
                    <w:t>+48V轻混或插电式混动</w:t>
                  </w: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9</w:t>
                  </w:r>
                </w:p>
              </w:tc>
              <w:tc>
                <w:tcPr>
                  <w:tcW w:type="dxa" w:w="51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额定功率</w:t>
                  </w:r>
                  <w:r>
                    <w:rPr>
                      <w:rFonts w:ascii="仿宋_GB2312" w:hAnsi="仿宋_GB2312" w:cs="仿宋_GB2312" w:eastAsia="仿宋_GB2312"/>
                      <w:sz w:val="22"/>
                    </w:rPr>
                    <w:t>(kw/rpm): ≥265</w:t>
                  </w: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10</w:t>
                  </w:r>
                </w:p>
              </w:tc>
              <w:tc>
                <w:tcPr>
                  <w:tcW w:type="dxa" w:w="51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最大扭矩</w:t>
                  </w:r>
                  <w:r>
                    <w:rPr>
                      <w:rFonts w:ascii="仿宋_GB2312" w:hAnsi="仿宋_GB2312" w:cs="仿宋_GB2312" w:eastAsia="仿宋_GB2312"/>
                      <w:sz w:val="22"/>
                    </w:rPr>
                    <w:t>(N ·m/rpm): ≥5</w:t>
                  </w:r>
                  <w:r>
                    <w:rPr>
                      <w:rFonts w:ascii="仿宋_GB2312" w:hAnsi="仿宋_GB2312" w:cs="仿宋_GB2312" w:eastAsia="仿宋_GB2312"/>
                      <w:sz w:val="22"/>
                    </w:rPr>
                    <w:t>1</w:t>
                  </w:r>
                  <w:r>
                    <w:rPr>
                      <w:rFonts w:ascii="仿宋_GB2312" w:hAnsi="仿宋_GB2312" w:cs="仿宋_GB2312" w:eastAsia="仿宋_GB2312"/>
                      <w:sz w:val="22"/>
                    </w:rPr>
                    <w:t>0</w:t>
                  </w: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11</w:t>
                  </w:r>
                </w:p>
              </w:tc>
              <w:tc>
                <w:tcPr>
                  <w:tcW w:type="dxa" w:w="51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前悬类型</w:t>
                  </w:r>
                  <w:r>
                    <w:rPr>
                      <w:rFonts w:ascii="仿宋_GB2312" w:hAnsi="仿宋_GB2312" w:cs="仿宋_GB2312" w:eastAsia="仿宋_GB2312"/>
                      <w:sz w:val="22"/>
                    </w:rPr>
                    <w:t>:双叉臂独立悬架或优于</w:t>
                  </w: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12</w:t>
                  </w:r>
                </w:p>
              </w:tc>
              <w:tc>
                <w:tcPr>
                  <w:tcW w:type="dxa" w:w="51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后悬类型</w:t>
                  </w:r>
                  <w:r>
                    <w:rPr>
                      <w:rFonts w:ascii="仿宋_GB2312" w:hAnsi="仿宋_GB2312" w:cs="仿宋_GB2312" w:eastAsia="仿宋_GB2312"/>
                      <w:sz w:val="22"/>
                    </w:rPr>
                    <w:t>:整体桥非独立悬架或优于</w:t>
                  </w: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13</w:t>
                  </w:r>
                </w:p>
              </w:tc>
              <w:tc>
                <w:tcPr>
                  <w:tcW w:type="dxa" w:w="51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车身结构：非承载式</w:t>
                  </w: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14</w:t>
                  </w:r>
                </w:p>
              </w:tc>
              <w:tc>
                <w:tcPr>
                  <w:tcW w:type="dxa" w:w="51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前置四驱：有</w:t>
                  </w: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15</w:t>
                  </w:r>
                </w:p>
              </w:tc>
              <w:tc>
                <w:tcPr>
                  <w:tcW w:type="dxa" w:w="51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全地形控制系统：有</w:t>
                  </w: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16</w:t>
                  </w:r>
                </w:p>
              </w:tc>
              <w:tc>
                <w:tcPr>
                  <w:tcW w:type="dxa" w:w="51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后桥差速锁：有</w:t>
                  </w: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17</w:t>
                  </w:r>
                </w:p>
              </w:tc>
              <w:tc>
                <w:tcPr>
                  <w:tcW w:type="dxa" w:w="51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尾门电吸：有</w:t>
                  </w: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18</w:t>
                  </w:r>
                </w:p>
              </w:tc>
              <w:tc>
                <w:tcPr>
                  <w:tcW w:type="dxa" w:w="51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前后排多层隔音玻璃：有</w:t>
                  </w: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19</w:t>
                  </w:r>
                </w:p>
              </w:tc>
              <w:tc>
                <w:tcPr>
                  <w:tcW w:type="dxa" w:w="51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自动大灯：有</w:t>
                  </w: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20</w:t>
                  </w:r>
                </w:p>
              </w:tc>
              <w:tc>
                <w:tcPr>
                  <w:tcW w:type="dxa" w:w="51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远近光灯自动切换：有</w:t>
                  </w: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21</w:t>
                  </w:r>
                </w:p>
              </w:tc>
              <w:tc>
                <w:tcPr>
                  <w:tcW w:type="dxa" w:w="51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自动高度调节大灯：有</w:t>
                  </w: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22</w:t>
                  </w:r>
                </w:p>
              </w:tc>
              <w:tc>
                <w:tcPr>
                  <w:tcW w:type="dxa" w:w="51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中控屏幕尺寸：</w:t>
                  </w:r>
                  <w:r>
                    <w:rPr>
                      <w:rFonts w:ascii="仿宋_GB2312" w:hAnsi="仿宋_GB2312" w:cs="仿宋_GB2312" w:eastAsia="仿宋_GB2312"/>
                      <w:sz w:val="22"/>
                    </w:rPr>
                    <w:t>≥</w:t>
                  </w:r>
                  <w:r>
                    <w:rPr>
                      <w:rFonts w:ascii="仿宋_GB2312" w:hAnsi="仿宋_GB2312" w:cs="仿宋_GB2312" w:eastAsia="仿宋_GB2312"/>
                      <w:sz w:val="22"/>
                    </w:rPr>
                    <w:t>15.6英寸</w:t>
                  </w: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23</w:t>
                  </w:r>
                </w:p>
              </w:tc>
              <w:tc>
                <w:tcPr>
                  <w:tcW w:type="dxa" w:w="51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多色律动氛围灯：有</w:t>
                  </w: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24</w:t>
                  </w:r>
                </w:p>
              </w:tc>
              <w:tc>
                <w:tcPr>
                  <w:tcW w:type="dxa" w:w="51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天窗类型：全景天窗</w:t>
                  </w: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25</w:t>
                  </w:r>
                </w:p>
              </w:tc>
              <w:tc>
                <w:tcPr>
                  <w:tcW w:type="dxa" w:w="51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电动侧踏板</w:t>
                  </w:r>
                  <w:r>
                    <w:rPr>
                      <w:rFonts w:ascii="仿宋_GB2312" w:hAnsi="仿宋_GB2312" w:cs="仿宋_GB2312" w:eastAsia="仿宋_GB2312"/>
                      <w:sz w:val="22"/>
                    </w:rPr>
                    <w:t>;有</w:t>
                  </w: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26</w:t>
                  </w:r>
                </w:p>
              </w:tc>
              <w:tc>
                <w:tcPr>
                  <w:tcW w:type="dxa" w:w="51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外后视镜电动折叠、加热、记忆：有</w:t>
                  </w: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27</w:t>
                  </w:r>
                </w:p>
              </w:tc>
              <w:tc>
                <w:tcPr>
                  <w:tcW w:type="dxa" w:w="51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电子防眩目内后视镜：有</w:t>
                  </w: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28</w:t>
                  </w:r>
                </w:p>
              </w:tc>
              <w:tc>
                <w:tcPr>
                  <w:tcW w:type="dxa" w:w="51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座椅材质：真皮</w:t>
                  </w: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29</w:t>
                  </w:r>
                </w:p>
              </w:tc>
              <w:tc>
                <w:tcPr>
                  <w:tcW w:type="dxa" w:w="51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方向盘电动调节</w:t>
                  </w:r>
                  <w:r>
                    <w:rPr>
                      <w:rFonts w:ascii="仿宋_GB2312" w:hAnsi="仿宋_GB2312" w:cs="仿宋_GB2312" w:eastAsia="仿宋_GB2312"/>
                      <w:sz w:val="22"/>
                    </w:rPr>
                    <w:t>:有</w:t>
                  </w: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30</w:t>
                  </w:r>
                </w:p>
              </w:tc>
              <w:tc>
                <w:tcPr>
                  <w:tcW w:type="dxa" w:w="51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驾驶辅助等级：</w:t>
                  </w:r>
                  <w:r>
                    <w:rPr>
                      <w:rFonts w:ascii="仿宋_GB2312" w:hAnsi="仿宋_GB2312" w:cs="仿宋_GB2312" w:eastAsia="仿宋_GB2312"/>
                      <w:sz w:val="22"/>
                    </w:rPr>
                    <w:t>L2(投标时提供国家认可的检验机构出具的检验报告复印件并进行电子签章。签订合同前提供原件供采购人查验，不能提供原件或者原件与响应文件里响应情况不符合的，视作虚假响应，采购人将上报监管部门。）</w:t>
                  </w: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31</w:t>
                  </w:r>
                </w:p>
              </w:tc>
              <w:tc>
                <w:tcPr>
                  <w:tcW w:type="dxa" w:w="51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前后碰撞预警：有</w:t>
                  </w: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32</w:t>
                  </w:r>
                </w:p>
              </w:tc>
              <w:tc>
                <w:tcPr>
                  <w:tcW w:type="dxa" w:w="51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标配油箱容积：</w:t>
                  </w:r>
                  <w:r>
                    <w:rPr>
                      <w:rFonts w:ascii="仿宋_GB2312" w:hAnsi="仿宋_GB2312" w:cs="仿宋_GB2312" w:eastAsia="仿宋_GB2312"/>
                      <w:sz w:val="22"/>
                    </w:rPr>
                    <w:t>≥80L</w:t>
                  </w:r>
                </w:p>
              </w:tc>
            </w:tr>
            <w:tr>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33</w:t>
                  </w:r>
                </w:p>
              </w:tc>
              <w:tc>
                <w:tcPr>
                  <w:tcW w:type="dxa" w:w="51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2"/>
                    </w:rPr>
                    <w:t>360°全景影像：有</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rPr>
              <w:t>若本项目提供的产品属于3C强制认证产品需提供证明材料（提供认证证书）并进行供应商电子签章。</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rPr>
              <w:t>详见3.2技术要求。</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采购人指定地点（凉山彝族自治州就业服务管理局）</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1、合同签订后车辆交付，达到付款条件起15日内，据实结算说明为完成验收后</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按照《财政部关于进一步加强政府采购需求和履约验收管理的指导意见》(财库(2016) 205号)、《政府采购需求管理办法》(财库(2021) 22号)的要求及国家行业主管部门规定的标准、方法和内容及采购文件的质量要求和技术指标、供应商的响应文件及承诺与合同约定标准进行验收。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（1）质保期：3年或10万公里（整车按随车保修手册及国家三包政策执行，若随车保修手册和国家三包政策不一致时，择优执行）。 （2）保修期内所更换零部件由成交供应商及时提供，费用包含在报价中。 （3）供应商需指派专人负责与采购人联系售后服务事宜。</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（3）解决合同纠纷的方式：因本合同履行过程中产生的争议，双方应友好协商解决。经协商不能解决的，任何一方均可以向甲方所在地的有管辖权的法院提起诉讼。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第三章“技术、服务及其他要求”中“3.2.技术要求”，“3.3.服务要求”均可变。</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第七章“拟签订采购合同文本”均可变。</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注：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相关证照复印件及法人身份证复印件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以下材料任选其一：①可提供2024或2025年度经审计的财务报告（包含审计报告和审计报告中所涉及的财务报表和报表附注）；②可提供2024或2025年度供应商完整的全套财务报表（应当包括资产负债表、利润表、现金流量表）；③可提供截至采购文件提交截止之日前一年内银行出具的资信证明；④供应商注册时间截至采购文件提交截止之日前不足一年的，也可提供加盖备案主管部门印章的公司章程（扫描件）。供应商需在项目电子化交易系统中按要求上传相应证明文件并进行电子签章。（本条资格审查以以上内容为准）</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需供应商单独提供材料进行响应的实质性要求。</w:t>
            </w:r>
          </w:p>
        </w:tc>
        <w:tc>
          <w:tcPr>
            <w:tcW w:type="dxa" w:w="1661"/>
          </w:tcPr>
          <w:p>
            <w:pPr>
              <w:pStyle w:val="null3"/>
              <w:jc w:val="left"/>
            </w:pPr>
            <w:r>
              <w:rPr>
                <w:rFonts w:ascii="仿宋_GB2312" w:hAnsi="仿宋_GB2312" w:cs="仿宋_GB2312" w:eastAsia="仿宋_GB2312"/>
              </w:rPr>
              <w:t>产品技术参数响应表,供应商应提交的相关证明材料,服务应答表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