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Fonts w:hint="eastAsia" w:asciiTheme="minorEastAsia" w:hAnsiTheme="minorEastAsia" w:eastAsiaTheme="minorEastAsia" w:cstheme="minorEastAsia"/>
          <w:bCs/>
          <w:color w:val="auto"/>
          <w:szCs w:val="21"/>
          <w:highlight w:val="none"/>
        </w:rPr>
      </w:pPr>
    </w:p>
    <w:p>
      <w:pPr>
        <w:pStyle w:val="18"/>
        <w:rPr>
          <w:rFonts w:hint="eastAsia" w:asciiTheme="minorEastAsia" w:hAnsiTheme="minorEastAsia" w:eastAsiaTheme="minorEastAsia" w:cstheme="minorEastAsia"/>
          <w:color w:val="auto"/>
          <w:sz w:val="21"/>
          <w:szCs w:val="21"/>
          <w:highlight w:val="none"/>
        </w:rPr>
      </w:pPr>
    </w:p>
    <w:p>
      <w:pPr>
        <w:pStyle w:val="18"/>
        <w:rPr>
          <w:color w:val="auto"/>
          <w:sz w:val="21"/>
          <w:szCs w:val="21"/>
          <w:highlight w:val="none"/>
        </w:rPr>
      </w:pPr>
    </w:p>
    <w:p>
      <w:pPr>
        <w:jc w:val="center"/>
        <w:rPr>
          <w:color w:val="auto"/>
          <w:sz w:val="44"/>
          <w:szCs w:val="44"/>
          <w:highlight w:val="none"/>
        </w:rPr>
      </w:pPr>
      <w:bookmarkStart w:id="0" w:name="OLE_LINK5"/>
      <w:r>
        <w:rPr>
          <w:rFonts w:hint="eastAsia" w:ascii="宋体" w:hAnsi="宋体" w:cs="宋体"/>
          <w:b/>
          <w:bCs/>
          <w:color w:val="auto"/>
          <w:sz w:val="44"/>
          <w:szCs w:val="44"/>
          <w:highlight w:val="none"/>
          <w:lang w:val="en-US" w:eastAsia="zh-CN"/>
        </w:rPr>
        <w:t>麒麟区2026秋季-2027春季</w:t>
      </w:r>
      <w:r>
        <w:rPr>
          <w:rFonts w:hint="eastAsia" w:ascii="宋体" w:hAnsi="宋体" w:eastAsia="宋体" w:cs="宋体"/>
          <w:b/>
          <w:bCs/>
          <w:color w:val="auto"/>
          <w:sz w:val="44"/>
          <w:szCs w:val="44"/>
          <w:highlight w:val="none"/>
          <w:lang w:val="en-US" w:eastAsia="zh-CN"/>
        </w:rPr>
        <w:t>学期农村义务教育</w:t>
      </w:r>
      <w:r>
        <w:rPr>
          <w:rFonts w:hint="eastAsia" w:ascii="宋体" w:hAnsi="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lang w:val="en-US" w:eastAsia="zh-CN"/>
        </w:rPr>
        <w:t>学生营养改善计划大宗食材采购项目</w:t>
      </w:r>
    </w:p>
    <w:bookmarkEnd w:id="0"/>
    <w:p>
      <w:pPr>
        <w:pStyle w:val="18"/>
        <w:rPr>
          <w:color w:val="auto"/>
          <w:highlight w:val="none"/>
        </w:rPr>
      </w:pPr>
    </w:p>
    <w:p>
      <w:pPr>
        <w:pStyle w:val="22"/>
        <w:ind w:left="1470" w:right="1470"/>
        <w:jc w:val="center"/>
        <w:rPr>
          <w:color w:val="auto"/>
          <w:highlight w:val="none"/>
        </w:rPr>
      </w:pPr>
    </w:p>
    <w:p>
      <w:pPr>
        <w:jc w:val="center"/>
        <w:rPr>
          <w:rFonts w:hint="eastAsia" w:ascii="宋体"/>
          <w:b/>
          <w:color w:val="auto"/>
          <w:sz w:val="96"/>
          <w:szCs w:val="96"/>
          <w:highlight w:val="none"/>
          <w:lang w:eastAsia="zh-CN"/>
        </w:rPr>
      </w:pPr>
    </w:p>
    <w:p>
      <w:pPr>
        <w:jc w:val="center"/>
        <w:rPr>
          <w:rFonts w:ascii="宋体"/>
          <w:b/>
          <w:color w:val="auto"/>
          <w:sz w:val="96"/>
          <w:szCs w:val="96"/>
          <w:highlight w:val="none"/>
        </w:rPr>
      </w:pPr>
      <w:r>
        <w:rPr>
          <w:rFonts w:hint="eastAsia" w:ascii="宋体"/>
          <w:b/>
          <w:color w:val="auto"/>
          <w:sz w:val="96"/>
          <w:szCs w:val="96"/>
          <w:highlight w:val="none"/>
          <w:lang w:val="en-US" w:eastAsia="zh-CN"/>
        </w:rPr>
        <w:t>招</w:t>
      </w:r>
      <w:r>
        <w:rPr>
          <w:rFonts w:hint="eastAsia" w:ascii="宋体"/>
          <w:b/>
          <w:color w:val="auto"/>
          <w:sz w:val="96"/>
          <w:szCs w:val="96"/>
          <w:highlight w:val="none"/>
        </w:rPr>
        <w:t xml:space="preserve"> </w:t>
      </w:r>
      <w:r>
        <w:rPr>
          <w:rFonts w:hint="eastAsia" w:ascii="宋体"/>
          <w:b/>
          <w:color w:val="auto"/>
          <w:sz w:val="96"/>
          <w:szCs w:val="96"/>
          <w:highlight w:val="none"/>
          <w:lang w:val="en-US" w:eastAsia="zh-CN"/>
        </w:rPr>
        <w:t>标</w:t>
      </w:r>
      <w:r>
        <w:rPr>
          <w:rFonts w:hint="eastAsia" w:ascii="宋体"/>
          <w:b/>
          <w:color w:val="auto"/>
          <w:sz w:val="96"/>
          <w:szCs w:val="96"/>
          <w:highlight w:val="none"/>
        </w:rPr>
        <w:t xml:space="preserve"> 文 件</w:t>
      </w:r>
    </w:p>
    <w:p>
      <w:pPr>
        <w:ind w:left="0" w:leftChars="0" w:firstLine="1680" w:firstLineChars="800"/>
        <w:jc w:val="left"/>
        <w:rPr>
          <w:rFonts w:hint="eastAsia" w:ascii="宋体"/>
          <w:color w:val="auto"/>
          <w:sz w:val="32"/>
          <w:szCs w:val="32"/>
          <w:highlight w:val="none"/>
        </w:rPr>
      </w:pPr>
      <w:r>
        <w:rPr>
          <w:rFonts w:hint="eastAsia" w:ascii="宋体"/>
          <w:color w:val="auto"/>
          <w:szCs w:val="21"/>
          <w:highlight w:val="none"/>
        </w:rPr>
        <w:t xml:space="preserve">      </w:t>
      </w:r>
      <w:r>
        <w:rPr>
          <w:rFonts w:hint="eastAsia" w:ascii="宋体"/>
          <w:color w:val="auto"/>
          <w:sz w:val="32"/>
          <w:szCs w:val="32"/>
          <w:highlight w:val="none"/>
        </w:rPr>
        <w:t xml:space="preserve"> </w:t>
      </w:r>
    </w:p>
    <w:p>
      <w:pPr>
        <w:ind w:left="0" w:leftChars="0" w:firstLine="0" w:firstLineChars="0"/>
        <w:jc w:val="center"/>
        <w:rPr>
          <w:rFonts w:hint="default"/>
          <w:color w:val="auto"/>
          <w:highlight w:val="none"/>
          <w:lang w:val="en-US"/>
        </w:rPr>
      </w:pPr>
      <w:r>
        <w:rPr>
          <w:rFonts w:hint="eastAsia" w:ascii="宋体" w:hAnsi="宋体" w:eastAsia="宋体" w:cs="宋体"/>
          <w:b/>
          <w:bCs/>
          <w:color w:val="auto"/>
          <w:sz w:val="28"/>
          <w:szCs w:val="28"/>
          <w:highlight w:val="none"/>
          <w:lang w:eastAsia="zh-CN"/>
        </w:rPr>
        <w:t>项目</w:t>
      </w:r>
      <w:r>
        <w:rPr>
          <w:rFonts w:hint="eastAsia" w:ascii="宋体" w:hAnsi="宋体" w:cs="宋体"/>
          <w:b/>
          <w:bCs/>
          <w:color w:val="auto"/>
          <w:sz w:val="28"/>
          <w:szCs w:val="28"/>
          <w:highlight w:val="none"/>
          <w:lang w:val="en-US" w:eastAsia="zh-CN"/>
        </w:rPr>
        <w:t>标段</w:t>
      </w:r>
      <w:r>
        <w:rPr>
          <w:rFonts w:hint="eastAsia" w:ascii="宋体" w:hAnsi="宋体" w:eastAsia="宋体" w:cs="宋体"/>
          <w:b/>
          <w:bCs/>
          <w:color w:val="auto"/>
          <w:sz w:val="28"/>
          <w:szCs w:val="28"/>
          <w:highlight w:val="none"/>
        </w:rPr>
        <w:t>编号：</w:t>
      </w:r>
      <w:r>
        <w:rPr>
          <w:rFonts w:hint="eastAsia" w:ascii="宋体" w:hAnsi="宋体" w:cs="宋体"/>
          <w:b/>
          <w:bCs/>
          <w:color w:val="auto"/>
          <w:sz w:val="28"/>
          <w:szCs w:val="28"/>
          <w:highlight w:val="none"/>
          <w:lang w:val="en-US" w:eastAsia="zh-CN"/>
        </w:rPr>
        <w:t>福招字1451-2026-43至1458-2026-50</w:t>
      </w:r>
    </w:p>
    <w:p>
      <w:pPr>
        <w:rPr>
          <w:rFonts w:ascii="宋体"/>
          <w:color w:val="auto"/>
          <w:sz w:val="24"/>
          <w:highlight w:val="none"/>
        </w:rPr>
      </w:pPr>
    </w:p>
    <w:p>
      <w:pPr>
        <w:rPr>
          <w:rFonts w:ascii="宋体"/>
          <w:color w:val="auto"/>
          <w:sz w:val="24"/>
          <w:highlight w:val="none"/>
        </w:rPr>
      </w:pPr>
    </w:p>
    <w:p>
      <w:pPr>
        <w:pStyle w:val="61"/>
        <w:rPr>
          <w:rFonts w:ascii="宋体"/>
          <w:color w:val="auto"/>
          <w:sz w:val="24"/>
          <w:highlight w:val="none"/>
        </w:rPr>
      </w:pPr>
    </w:p>
    <w:p>
      <w:pPr>
        <w:rPr>
          <w:rFonts w:ascii="宋体"/>
          <w:color w:val="auto"/>
          <w:sz w:val="24"/>
          <w:highlight w:val="none"/>
        </w:rPr>
      </w:pPr>
    </w:p>
    <w:p>
      <w:pPr>
        <w:pStyle w:val="18"/>
        <w:rPr>
          <w:rFonts w:ascii="宋体"/>
          <w:color w:val="auto"/>
          <w:sz w:val="24"/>
          <w:highlight w:val="none"/>
        </w:rPr>
      </w:pPr>
    </w:p>
    <w:p>
      <w:pPr>
        <w:rPr>
          <w:rFonts w:ascii="宋体"/>
          <w:color w:val="auto"/>
          <w:sz w:val="24"/>
          <w:highlight w:val="none"/>
        </w:rPr>
      </w:pPr>
    </w:p>
    <w:p>
      <w:pPr>
        <w:pStyle w:val="18"/>
        <w:rPr>
          <w:color w:val="auto"/>
          <w:highlight w:val="none"/>
        </w:rPr>
      </w:pPr>
    </w:p>
    <w:p>
      <w:pPr>
        <w:pStyle w:val="18"/>
        <w:rPr>
          <w:rFonts w:ascii="宋体"/>
          <w:color w:val="auto"/>
          <w:sz w:val="24"/>
          <w:highlight w:val="none"/>
        </w:rPr>
      </w:pPr>
    </w:p>
    <w:p>
      <w:pPr>
        <w:keepNext w:val="0"/>
        <w:keepLines w:val="0"/>
        <w:pageBreakBefore w:val="0"/>
        <w:widowControl w:val="0"/>
        <w:kinsoku/>
        <w:wordWrap/>
        <w:overflowPunct/>
        <w:topLinePunct w:val="0"/>
        <w:autoSpaceDE/>
        <w:autoSpaceDN/>
        <w:bidi w:val="0"/>
        <w:adjustRightInd/>
        <w:snapToGrid/>
        <w:spacing w:line="900" w:lineRule="exact"/>
        <w:jc w:val="left"/>
        <w:textAlignment w:val="auto"/>
        <w:rPr>
          <w:rFonts w:hint="eastAsia" w:ascii="宋体" w:hAnsi="宋体" w:cs="宋体"/>
          <w:color w:val="auto"/>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900" w:lineRule="exact"/>
        <w:ind w:left="0" w:leftChars="0" w:firstLine="842" w:firstLineChars="262"/>
        <w:jc w:val="left"/>
        <w:textAlignment w:val="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采</w:t>
      </w:r>
      <w:r>
        <w:rPr>
          <w:rFonts w:hint="eastAsia" w:ascii="宋体" w:hAnsi="宋体" w:eastAsia="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val="en-US" w:eastAsia="zh-CN"/>
        </w:rPr>
        <w:t xml:space="preserve">购 </w:t>
      </w:r>
      <w:r>
        <w:rPr>
          <w:rFonts w:hint="eastAsia" w:ascii="宋体" w:hAnsi="宋体" w:eastAsia="宋体" w:cs="宋体"/>
          <w:b/>
          <w:bCs/>
          <w:color w:val="auto"/>
          <w:sz w:val="32"/>
          <w:szCs w:val="32"/>
          <w:highlight w:val="none"/>
          <w:lang w:eastAsia="zh-CN"/>
        </w:rPr>
        <w:t xml:space="preserve">  人：</w:t>
      </w:r>
      <w:r>
        <w:rPr>
          <w:rFonts w:hint="eastAsia" w:ascii="宋体" w:hAnsi="宋体" w:eastAsia="宋体" w:cs="宋体"/>
          <w:b/>
          <w:bCs/>
          <w:color w:val="auto"/>
          <w:sz w:val="32"/>
          <w:szCs w:val="32"/>
          <w:highlight w:val="none"/>
          <w:lang w:val="en-US" w:eastAsia="zh-CN"/>
        </w:rPr>
        <w:t>曲靖市麒麟区教育体育局</w:t>
      </w:r>
    </w:p>
    <w:p>
      <w:pPr>
        <w:keepNext w:val="0"/>
        <w:keepLines w:val="0"/>
        <w:pageBreakBefore w:val="0"/>
        <w:widowControl w:val="0"/>
        <w:kinsoku/>
        <w:wordWrap/>
        <w:overflowPunct/>
        <w:topLinePunct w:val="0"/>
        <w:autoSpaceDE/>
        <w:autoSpaceDN/>
        <w:bidi w:val="0"/>
        <w:adjustRightInd/>
        <w:snapToGrid/>
        <w:spacing w:line="900" w:lineRule="exact"/>
        <w:ind w:left="0" w:leftChars="0" w:firstLine="842" w:firstLineChars="262"/>
        <w:jc w:val="left"/>
        <w:textAlignment w:val="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采购</w:t>
      </w:r>
      <w:r>
        <w:rPr>
          <w:rFonts w:hint="eastAsia" w:ascii="宋体" w:hAnsi="宋体" w:eastAsia="宋体" w:cs="宋体"/>
          <w:b/>
          <w:bCs/>
          <w:color w:val="auto"/>
          <w:sz w:val="32"/>
          <w:szCs w:val="32"/>
          <w:highlight w:val="none"/>
        </w:rPr>
        <w:t>代理机构：</w:t>
      </w:r>
      <w:r>
        <w:rPr>
          <w:rFonts w:hint="eastAsia" w:ascii="宋体" w:hAnsi="宋体" w:eastAsia="宋体" w:cs="宋体"/>
          <w:b/>
          <w:bCs/>
          <w:color w:val="auto"/>
          <w:sz w:val="32"/>
          <w:szCs w:val="32"/>
          <w:highlight w:val="none"/>
          <w:lang w:eastAsia="zh-CN"/>
        </w:rPr>
        <w:t>曲靖市福宁建设工程招标有限公司</w:t>
      </w:r>
    </w:p>
    <w:p>
      <w:pPr>
        <w:keepNext w:val="0"/>
        <w:keepLines w:val="0"/>
        <w:pageBreakBefore w:val="0"/>
        <w:widowControl w:val="0"/>
        <w:kinsoku/>
        <w:wordWrap/>
        <w:overflowPunct/>
        <w:topLinePunct w:val="0"/>
        <w:autoSpaceDE/>
        <w:autoSpaceDN/>
        <w:bidi w:val="0"/>
        <w:adjustRightInd/>
        <w:snapToGrid/>
        <w:spacing w:line="900" w:lineRule="exact"/>
        <w:ind w:left="0" w:leftChars="0" w:firstLine="842" w:firstLineChars="262"/>
        <w:jc w:val="lef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日</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期：</w:t>
      </w:r>
      <w:r>
        <w:rPr>
          <w:rFonts w:hint="eastAsia" w:ascii="宋体" w:hAnsi="宋体" w:eastAsia="宋体" w:cs="宋体"/>
          <w:b/>
          <w:bCs/>
          <w:color w:val="auto"/>
          <w:sz w:val="32"/>
          <w:szCs w:val="32"/>
          <w:highlight w:val="none"/>
        </w:rPr>
        <w:t>202</w:t>
      </w:r>
      <w:r>
        <w:rPr>
          <w:rFonts w:hint="eastAsia" w:ascii="宋体" w:hAnsi="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7</w:t>
      </w:r>
      <w:r>
        <w:rPr>
          <w:rFonts w:hint="eastAsia" w:ascii="宋体" w:hAnsi="宋体" w:eastAsia="宋体" w:cs="宋体"/>
          <w:b/>
          <w:bCs/>
          <w:color w:val="auto"/>
          <w:sz w:val="32"/>
          <w:szCs w:val="32"/>
          <w:highlight w:val="none"/>
        </w:rPr>
        <w:t>月</w:t>
      </w:r>
    </w:p>
    <w:p>
      <w:pPr>
        <w:rPr>
          <w:rFonts w:hint="eastAsia"/>
          <w:b/>
          <w:bCs/>
          <w:color w:val="auto"/>
          <w:highlight w:val="none"/>
        </w:rPr>
        <w:sectPr>
          <w:footerReference r:id="rId5" w:type="first"/>
          <w:headerReference r:id="rId3" w:type="default"/>
          <w:footerReference r:id="rId4" w:type="default"/>
          <w:pgSz w:w="11906" w:h="16838"/>
          <w:pgMar w:top="680" w:right="1134" w:bottom="680" w:left="1134" w:header="720" w:footer="720" w:gutter="0"/>
          <w:pgNumType w:fmt="decimal" w:start="0"/>
          <w:cols w:space="720" w:num="1"/>
          <w:docGrid w:type="lines" w:linePitch="331" w:charSpace="0"/>
        </w:sectPr>
      </w:pPr>
    </w:p>
    <w:p>
      <w:pPr>
        <w:pStyle w:val="4"/>
        <w:numPr>
          <w:ilvl w:val="1"/>
          <w:numId w:val="0"/>
        </w:numPr>
        <w:ind w:left="425" w:leftChars="0"/>
        <w:rPr>
          <w:rFonts w:hint="eastAsia"/>
          <w:color w:val="auto"/>
          <w:highlight w:val="none"/>
        </w:rPr>
      </w:pPr>
    </w:p>
    <w:p>
      <w:pPr>
        <w:pStyle w:val="25"/>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heme="minorEastAsia" w:hAnsiTheme="minorEastAsia" w:eastAsiaTheme="minorEastAsia" w:cstheme="minorEastAsia"/>
          <w:b/>
          <w:bCs w:val="0"/>
          <w:color w:val="auto"/>
          <w:kern w:val="0"/>
          <w:sz w:val="44"/>
          <w:szCs w:val="44"/>
          <w:highlight w:val="none"/>
        </w:rPr>
      </w:pPr>
      <w:r>
        <w:rPr>
          <w:rFonts w:hint="eastAsia" w:asciiTheme="minorEastAsia" w:hAnsiTheme="minorEastAsia" w:eastAsiaTheme="minorEastAsia" w:cstheme="minorEastAsia"/>
          <w:b/>
          <w:bCs w:val="0"/>
          <w:color w:val="auto"/>
          <w:kern w:val="0"/>
          <w:sz w:val="44"/>
          <w:szCs w:val="44"/>
          <w:highlight w:val="none"/>
        </w:rPr>
        <w:t>目</w:t>
      </w:r>
      <w:r>
        <w:rPr>
          <w:rFonts w:hint="eastAsia" w:asciiTheme="minorEastAsia" w:hAnsiTheme="minorEastAsia" w:eastAsiaTheme="minorEastAsia" w:cstheme="minorEastAsia"/>
          <w:b/>
          <w:bCs w:val="0"/>
          <w:color w:val="auto"/>
          <w:kern w:val="0"/>
          <w:sz w:val="44"/>
          <w:szCs w:val="44"/>
          <w:highlight w:val="none"/>
          <w:lang w:val="en-US" w:eastAsia="zh-CN"/>
        </w:rPr>
        <w:t xml:space="preserve">   </w:t>
      </w:r>
      <w:r>
        <w:rPr>
          <w:rFonts w:hint="eastAsia" w:asciiTheme="minorEastAsia" w:hAnsiTheme="minorEastAsia" w:eastAsiaTheme="minorEastAsia" w:cstheme="minorEastAsia"/>
          <w:b/>
          <w:bCs w:val="0"/>
          <w:color w:val="auto"/>
          <w:kern w:val="0"/>
          <w:sz w:val="44"/>
          <w:szCs w:val="44"/>
          <w:highlight w:val="none"/>
        </w:rPr>
        <w:t>录</w:t>
      </w:r>
    </w:p>
    <w:p>
      <w:pPr>
        <w:rPr>
          <w:rFonts w:hint="eastAsia"/>
          <w:color w:val="auto"/>
          <w:highlight w:val="none"/>
        </w:rPr>
      </w:pPr>
    </w:p>
    <w:p>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840" w:lineRule="exact"/>
        <w:textAlignment w:val="auto"/>
        <w:rPr>
          <w:rFonts w:hint="eastAsia" w:ascii="宋体" w:hAnsi="宋体" w:eastAsia="宋体" w:cs="宋体"/>
          <w:color w:val="auto"/>
          <w:sz w:val="30"/>
          <w:szCs w:val="30"/>
          <w:highlight w:val="none"/>
        </w:rPr>
      </w:pPr>
      <w:r>
        <w:rPr>
          <w:rFonts w:hint="eastAsia" w:ascii="宋体" w:hAnsi="宋体" w:eastAsia="宋体" w:cs="宋体"/>
          <w:b w:val="0"/>
          <w:bCs w:val="0"/>
          <w:caps w:val="0"/>
          <w:smallCaps/>
          <w:color w:val="auto"/>
          <w:kern w:val="2"/>
          <w:sz w:val="30"/>
          <w:szCs w:val="30"/>
          <w:highlight w:val="none"/>
          <w:lang w:val="en-US" w:eastAsia="zh-CN" w:bidi="ar-SA"/>
        </w:rPr>
        <w:fldChar w:fldCharType="begin"/>
      </w:r>
      <w:r>
        <w:rPr>
          <w:rFonts w:hint="eastAsia" w:ascii="宋体" w:hAnsi="宋体" w:eastAsia="宋体" w:cs="宋体"/>
          <w:b w:val="0"/>
          <w:bCs w:val="0"/>
          <w:caps w:val="0"/>
          <w:smallCaps/>
          <w:color w:val="auto"/>
          <w:kern w:val="2"/>
          <w:sz w:val="30"/>
          <w:szCs w:val="30"/>
          <w:highlight w:val="none"/>
          <w:lang w:val="en-US" w:eastAsia="zh-CN" w:bidi="ar-SA"/>
        </w:rPr>
        <w:instrText xml:space="preserve"> TOC \o "1-2" \h \z \u </w:instrText>
      </w:r>
      <w:r>
        <w:rPr>
          <w:rFonts w:hint="eastAsia" w:ascii="宋体" w:hAnsi="宋体" w:eastAsia="宋体" w:cs="宋体"/>
          <w:b w:val="0"/>
          <w:bCs w:val="0"/>
          <w:caps w:val="0"/>
          <w:smallCaps/>
          <w:color w:val="auto"/>
          <w:kern w:val="2"/>
          <w:sz w:val="30"/>
          <w:szCs w:val="30"/>
          <w:highlight w:val="none"/>
          <w:lang w:val="en-US" w:eastAsia="zh-CN" w:bidi="ar-SA"/>
        </w:rPr>
        <w:fldChar w:fldCharType="separate"/>
      </w:r>
      <w:bookmarkStart w:id="1" w:name="OLE_LINK32"/>
      <w:r>
        <w:rPr>
          <w:rFonts w:hint="eastAsia" w:ascii="宋体" w:hAnsi="宋体" w:eastAsia="宋体" w:cs="宋体"/>
          <w:bCs w:val="0"/>
          <w:caps w:val="0"/>
          <w:smallCaps/>
          <w:color w:val="auto"/>
          <w:kern w:val="2"/>
          <w:sz w:val="30"/>
          <w:szCs w:val="30"/>
          <w:highlight w:val="none"/>
          <w:lang w:val="en-US" w:eastAsia="zh-CN" w:bidi="ar-SA"/>
        </w:rPr>
        <w:fldChar w:fldCharType="begin"/>
      </w:r>
      <w:r>
        <w:rPr>
          <w:rFonts w:hint="eastAsia" w:ascii="宋体" w:hAnsi="宋体" w:eastAsia="宋体" w:cs="宋体"/>
          <w:bCs w:val="0"/>
          <w:caps w:val="0"/>
          <w:smallCaps/>
          <w:color w:val="auto"/>
          <w:kern w:val="2"/>
          <w:sz w:val="30"/>
          <w:szCs w:val="30"/>
          <w:highlight w:val="none"/>
          <w:lang w:val="en-US" w:eastAsia="zh-CN" w:bidi="ar-SA"/>
        </w:rPr>
        <w:instrText xml:space="preserve"> HYPERLINK \l _Toc12730 </w:instrText>
      </w:r>
      <w:r>
        <w:rPr>
          <w:rFonts w:hint="eastAsia" w:ascii="宋体" w:hAnsi="宋体" w:eastAsia="宋体" w:cs="宋体"/>
          <w:bCs w:val="0"/>
          <w:caps w:val="0"/>
          <w:smallCaps/>
          <w:color w:val="auto"/>
          <w:kern w:val="2"/>
          <w:sz w:val="30"/>
          <w:szCs w:val="30"/>
          <w:highlight w:val="none"/>
          <w:lang w:val="en-US" w:eastAsia="zh-CN" w:bidi="ar-SA"/>
        </w:rPr>
        <w:fldChar w:fldCharType="separate"/>
      </w:r>
      <w:r>
        <w:rPr>
          <w:rFonts w:hint="eastAsia" w:ascii="宋体" w:hAnsi="宋体" w:eastAsia="宋体" w:cs="宋体"/>
          <w:bCs/>
          <w:color w:val="auto"/>
          <w:kern w:val="0"/>
          <w:sz w:val="30"/>
          <w:szCs w:val="30"/>
          <w:highlight w:val="none"/>
        </w:rPr>
        <w:t xml:space="preserve">第一章 </w:t>
      </w:r>
      <w:r>
        <w:rPr>
          <w:rFonts w:hint="eastAsia" w:ascii="宋体" w:hAnsi="宋体" w:eastAsia="宋体" w:cs="宋体"/>
          <w:bCs/>
          <w:color w:val="auto"/>
          <w:sz w:val="30"/>
          <w:szCs w:val="30"/>
          <w:highlight w:val="none"/>
        </w:rPr>
        <w:t>招标公告</w:t>
      </w:r>
      <w:bookmarkStart w:id="2" w:name="OLE_LINK31"/>
      <w:r>
        <w:rPr>
          <w:rFonts w:hint="eastAsia" w:ascii="宋体" w:hAnsi="宋体" w:eastAsia="宋体" w:cs="宋体"/>
          <w:color w:val="auto"/>
          <w:sz w:val="30"/>
          <w:szCs w:val="30"/>
          <w:highlight w:val="none"/>
        </w:rPr>
        <w:tab/>
      </w:r>
      <w:bookmarkEnd w:id="2"/>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_Toc12730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w:t>
      </w:r>
      <w:r>
        <w:rPr>
          <w:rFonts w:hint="eastAsia" w:ascii="宋体" w:hAnsi="宋体" w:eastAsia="宋体" w:cs="宋体"/>
          <w:color w:val="auto"/>
          <w:sz w:val="30"/>
          <w:szCs w:val="30"/>
          <w:highlight w:val="none"/>
        </w:rPr>
        <w:fldChar w:fldCharType="end"/>
      </w:r>
      <w:r>
        <w:rPr>
          <w:rFonts w:hint="eastAsia" w:ascii="宋体" w:hAnsi="宋体" w:eastAsia="宋体" w:cs="宋体"/>
          <w:bCs w:val="0"/>
          <w:caps w:val="0"/>
          <w:smallCaps/>
          <w:color w:val="auto"/>
          <w:kern w:val="2"/>
          <w:sz w:val="30"/>
          <w:szCs w:val="30"/>
          <w:highlight w:val="none"/>
          <w:lang w:val="en-US" w:eastAsia="zh-CN" w:bidi="ar-SA"/>
        </w:rPr>
        <w:fldChar w:fldCharType="end"/>
      </w:r>
      <w:bookmarkEnd w:id="1"/>
    </w:p>
    <w:p>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840" w:lineRule="exact"/>
        <w:textAlignment w:val="auto"/>
        <w:rPr>
          <w:rFonts w:hint="eastAsia" w:ascii="宋体" w:hAnsi="宋体" w:eastAsia="宋体" w:cs="宋体"/>
          <w:color w:val="auto"/>
          <w:sz w:val="30"/>
          <w:szCs w:val="30"/>
          <w:highlight w:val="none"/>
        </w:rPr>
      </w:pPr>
      <w:r>
        <w:rPr>
          <w:rFonts w:hint="eastAsia" w:ascii="宋体" w:hAnsi="宋体" w:eastAsia="宋体" w:cs="宋体"/>
          <w:bCs w:val="0"/>
          <w:caps w:val="0"/>
          <w:smallCaps/>
          <w:color w:val="auto"/>
          <w:kern w:val="2"/>
          <w:sz w:val="30"/>
          <w:szCs w:val="30"/>
          <w:highlight w:val="none"/>
          <w:lang w:val="en-US" w:eastAsia="zh-CN" w:bidi="ar-SA"/>
        </w:rPr>
        <w:fldChar w:fldCharType="begin"/>
      </w:r>
      <w:r>
        <w:rPr>
          <w:rFonts w:hint="eastAsia" w:ascii="宋体" w:hAnsi="宋体" w:eastAsia="宋体" w:cs="宋体"/>
          <w:bCs w:val="0"/>
          <w:caps w:val="0"/>
          <w:smallCaps/>
          <w:color w:val="auto"/>
          <w:kern w:val="2"/>
          <w:sz w:val="30"/>
          <w:szCs w:val="30"/>
          <w:highlight w:val="none"/>
          <w:lang w:val="en-US" w:eastAsia="zh-CN" w:bidi="ar-SA"/>
        </w:rPr>
        <w:instrText xml:space="preserve"> HYPERLINK \l _Toc22625 </w:instrText>
      </w:r>
      <w:r>
        <w:rPr>
          <w:rFonts w:hint="eastAsia" w:ascii="宋体" w:hAnsi="宋体" w:eastAsia="宋体" w:cs="宋体"/>
          <w:bCs w:val="0"/>
          <w:caps w:val="0"/>
          <w:smallCaps/>
          <w:color w:val="auto"/>
          <w:kern w:val="2"/>
          <w:sz w:val="30"/>
          <w:szCs w:val="30"/>
          <w:highlight w:val="none"/>
          <w:lang w:val="en-US" w:eastAsia="zh-CN" w:bidi="ar-SA"/>
        </w:rPr>
        <w:fldChar w:fldCharType="separate"/>
      </w:r>
      <w:r>
        <w:rPr>
          <w:rFonts w:hint="eastAsia" w:ascii="宋体" w:hAnsi="宋体" w:eastAsia="宋体" w:cs="宋体"/>
          <w:bCs/>
          <w:color w:val="auto"/>
          <w:kern w:val="0"/>
          <w:sz w:val="30"/>
          <w:szCs w:val="30"/>
          <w:highlight w:val="none"/>
          <w:lang w:val="en-US" w:eastAsia="zh-CN" w:bidi="ar-SA"/>
        </w:rPr>
        <w:t xml:space="preserve">第二章 </w:t>
      </w:r>
      <w:r>
        <w:rPr>
          <w:rFonts w:hint="eastAsia" w:ascii="宋体" w:hAnsi="宋体" w:cs="宋体"/>
          <w:bCs/>
          <w:color w:val="auto"/>
          <w:kern w:val="0"/>
          <w:sz w:val="30"/>
          <w:szCs w:val="30"/>
          <w:highlight w:val="none"/>
          <w:lang w:val="en-US" w:eastAsia="zh-CN" w:bidi="ar-SA"/>
        </w:rPr>
        <w:t>供应商</w:t>
      </w:r>
      <w:r>
        <w:rPr>
          <w:rFonts w:hint="eastAsia" w:ascii="宋体" w:hAnsi="宋体" w:eastAsia="宋体" w:cs="宋体"/>
          <w:bCs/>
          <w:color w:val="auto"/>
          <w:kern w:val="0"/>
          <w:sz w:val="30"/>
          <w:szCs w:val="30"/>
          <w:highlight w:val="none"/>
          <w:lang w:val="en-US" w:eastAsia="zh-CN" w:bidi="ar-SA"/>
        </w:rPr>
        <w:t>须知前附表及</w:t>
      </w:r>
      <w:r>
        <w:rPr>
          <w:rFonts w:hint="eastAsia" w:ascii="宋体" w:hAnsi="宋体" w:cs="宋体"/>
          <w:bCs/>
          <w:color w:val="auto"/>
          <w:kern w:val="0"/>
          <w:sz w:val="30"/>
          <w:szCs w:val="30"/>
          <w:highlight w:val="none"/>
          <w:lang w:val="en-US" w:eastAsia="zh-CN" w:bidi="ar-SA"/>
        </w:rPr>
        <w:t>供应商</w:t>
      </w:r>
      <w:r>
        <w:rPr>
          <w:rFonts w:hint="eastAsia" w:ascii="宋体" w:hAnsi="宋体" w:eastAsia="宋体" w:cs="宋体"/>
          <w:bCs/>
          <w:color w:val="auto"/>
          <w:kern w:val="0"/>
          <w:sz w:val="30"/>
          <w:szCs w:val="30"/>
          <w:highlight w:val="none"/>
          <w:lang w:val="en-US" w:eastAsia="zh-CN" w:bidi="ar-SA"/>
        </w:rPr>
        <w:t>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_Toc22625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8</w:t>
      </w:r>
      <w:r>
        <w:rPr>
          <w:rFonts w:hint="eastAsia" w:ascii="宋体" w:hAnsi="宋体" w:eastAsia="宋体" w:cs="宋体"/>
          <w:color w:val="auto"/>
          <w:sz w:val="30"/>
          <w:szCs w:val="30"/>
          <w:highlight w:val="none"/>
        </w:rPr>
        <w:fldChar w:fldCharType="end"/>
      </w:r>
      <w:r>
        <w:rPr>
          <w:rFonts w:hint="eastAsia" w:ascii="宋体" w:hAnsi="宋体" w:eastAsia="宋体" w:cs="宋体"/>
          <w:bCs w:val="0"/>
          <w:caps w:val="0"/>
          <w:smallCaps/>
          <w:color w:val="auto"/>
          <w:kern w:val="2"/>
          <w:sz w:val="30"/>
          <w:szCs w:val="30"/>
          <w:highlight w:val="none"/>
          <w:lang w:val="en-US" w:eastAsia="zh-CN" w:bidi="ar-SA"/>
        </w:rPr>
        <w:fldChar w:fldCharType="end"/>
      </w:r>
    </w:p>
    <w:p>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840" w:lineRule="exact"/>
        <w:textAlignment w:val="auto"/>
        <w:rPr>
          <w:rFonts w:hint="default" w:ascii="宋体" w:hAnsi="宋体" w:eastAsia="宋体" w:cs="宋体"/>
          <w:color w:val="auto"/>
          <w:sz w:val="30"/>
          <w:szCs w:val="30"/>
          <w:highlight w:val="none"/>
          <w:lang w:val="en-US"/>
        </w:rPr>
      </w:pPr>
      <w:r>
        <w:rPr>
          <w:rFonts w:hint="eastAsia" w:ascii="宋体" w:hAnsi="宋体" w:eastAsia="宋体" w:cs="宋体"/>
          <w:bCs w:val="0"/>
          <w:caps w:val="0"/>
          <w:smallCaps/>
          <w:color w:val="auto"/>
          <w:kern w:val="2"/>
          <w:sz w:val="30"/>
          <w:szCs w:val="30"/>
          <w:highlight w:val="none"/>
          <w:lang w:val="en-US" w:eastAsia="zh-CN" w:bidi="ar-SA"/>
        </w:rPr>
        <w:fldChar w:fldCharType="begin"/>
      </w:r>
      <w:r>
        <w:rPr>
          <w:rFonts w:hint="eastAsia" w:ascii="宋体" w:hAnsi="宋体" w:eastAsia="宋体" w:cs="宋体"/>
          <w:bCs w:val="0"/>
          <w:caps w:val="0"/>
          <w:smallCaps/>
          <w:color w:val="auto"/>
          <w:kern w:val="2"/>
          <w:sz w:val="30"/>
          <w:szCs w:val="30"/>
          <w:highlight w:val="none"/>
          <w:lang w:val="en-US" w:eastAsia="zh-CN" w:bidi="ar-SA"/>
        </w:rPr>
        <w:instrText xml:space="preserve"> HYPERLINK \l _Toc24090 </w:instrText>
      </w:r>
      <w:r>
        <w:rPr>
          <w:rFonts w:hint="eastAsia" w:ascii="宋体" w:hAnsi="宋体" w:eastAsia="宋体" w:cs="宋体"/>
          <w:bCs w:val="0"/>
          <w:caps w:val="0"/>
          <w:smallCaps/>
          <w:color w:val="auto"/>
          <w:kern w:val="2"/>
          <w:sz w:val="30"/>
          <w:szCs w:val="30"/>
          <w:highlight w:val="none"/>
          <w:lang w:val="en-US" w:eastAsia="zh-CN" w:bidi="ar-SA"/>
        </w:rPr>
        <w:fldChar w:fldCharType="separate"/>
      </w:r>
      <w:r>
        <w:rPr>
          <w:rFonts w:hint="eastAsia" w:ascii="宋体" w:hAnsi="宋体" w:eastAsia="宋体" w:cs="宋体"/>
          <w:color w:val="auto"/>
          <w:kern w:val="0"/>
          <w:sz w:val="30"/>
          <w:szCs w:val="30"/>
          <w:highlight w:val="none"/>
        </w:rPr>
        <w:t>第三章 合同书样式及主要条款</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2</w:t>
      </w:r>
      <w:r>
        <w:rPr>
          <w:rFonts w:hint="eastAsia" w:ascii="宋体" w:hAnsi="宋体" w:eastAsia="宋体" w:cs="宋体"/>
          <w:bCs w:val="0"/>
          <w:caps w:val="0"/>
          <w:smallCaps/>
          <w:color w:val="auto"/>
          <w:kern w:val="2"/>
          <w:sz w:val="30"/>
          <w:szCs w:val="30"/>
          <w:highlight w:val="none"/>
          <w:lang w:val="en-US" w:eastAsia="zh-CN" w:bidi="ar-SA"/>
        </w:rPr>
        <w:fldChar w:fldCharType="end"/>
      </w:r>
      <w:r>
        <w:rPr>
          <w:rFonts w:hint="eastAsia" w:ascii="宋体" w:hAnsi="宋体" w:cs="宋体"/>
          <w:bCs w:val="0"/>
          <w:caps w:val="0"/>
          <w:smallCaps/>
          <w:color w:val="auto"/>
          <w:kern w:val="2"/>
          <w:sz w:val="30"/>
          <w:szCs w:val="30"/>
          <w:highlight w:val="none"/>
          <w:lang w:val="en-US" w:eastAsia="zh-CN" w:bidi="ar-SA"/>
        </w:rPr>
        <w:t>5</w:t>
      </w:r>
    </w:p>
    <w:p>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840" w:lineRule="exact"/>
        <w:textAlignment w:val="auto"/>
        <w:rPr>
          <w:rFonts w:hint="default" w:ascii="宋体" w:hAnsi="宋体" w:eastAsia="宋体" w:cs="宋体"/>
          <w:color w:val="auto"/>
          <w:sz w:val="30"/>
          <w:szCs w:val="30"/>
          <w:highlight w:val="none"/>
          <w:lang w:val="en-US"/>
        </w:rPr>
      </w:pPr>
      <w:r>
        <w:rPr>
          <w:rFonts w:hint="eastAsia" w:ascii="宋体" w:hAnsi="宋体" w:eastAsia="宋体" w:cs="宋体"/>
          <w:bCs w:val="0"/>
          <w:caps w:val="0"/>
          <w:smallCaps/>
          <w:color w:val="auto"/>
          <w:kern w:val="2"/>
          <w:sz w:val="30"/>
          <w:szCs w:val="30"/>
          <w:highlight w:val="none"/>
          <w:lang w:val="en-US" w:eastAsia="zh-CN" w:bidi="ar-SA"/>
        </w:rPr>
        <w:fldChar w:fldCharType="begin"/>
      </w:r>
      <w:r>
        <w:rPr>
          <w:rFonts w:hint="eastAsia" w:ascii="宋体" w:hAnsi="宋体" w:eastAsia="宋体" w:cs="宋体"/>
          <w:bCs w:val="0"/>
          <w:caps w:val="0"/>
          <w:smallCaps/>
          <w:color w:val="auto"/>
          <w:kern w:val="2"/>
          <w:sz w:val="30"/>
          <w:szCs w:val="30"/>
          <w:highlight w:val="none"/>
          <w:lang w:val="en-US" w:eastAsia="zh-CN" w:bidi="ar-SA"/>
        </w:rPr>
        <w:instrText xml:space="preserve"> HYPERLINK \l _Toc30573 </w:instrText>
      </w:r>
      <w:r>
        <w:rPr>
          <w:rFonts w:hint="eastAsia" w:ascii="宋体" w:hAnsi="宋体" w:eastAsia="宋体" w:cs="宋体"/>
          <w:bCs w:val="0"/>
          <w:caps w:val="0"/>
          <w:smallCaps/>
          <w:color w:val="auto"/>
          <w:kern w:val="2"/>
          <w:sz w:val="30"/>
          <w:szCs w:val="30"/>
          <w:highlight w:val="none"/>
          <w:lang w:val="en-US" w:eastAsia="zh-CN" w:bidi="ar-SA"/>
        </w:rPr>
        <w:fldChar w:fldCharType="separate"/>
      </w:r>
      <w:r>
        <w:rPr>
          <w:rFonts w:hint="eastAsia" w:ascii="宋体" w:hAnsi="宋体" w:eastAsia="宋体" w:cs="宋体"/>
          <w:bCs/>
          <w:color w:val="auto"/>
          <w:kern w:val="0"/>
          <w:sz w:val="30"/>
          <w:szCs w:val="30"/>
          <w:highlight w:val="none"/>
          <w:lang w:eastAsia="zh-CN"/>
        </w:rPr>
        <w:t>第四章 评标办法（综合评分法）</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4</w:t>
      </w:r>
      <w:r>
        <w:rPr>
          <w:rFonts w:hint="eastAsia" w:ascii="宋体" w:hAnsi="宋体" w:eastAsia="宋体" w:cs="宋体"/>
          <w:bCs w:val="0"/>
          <w:caps w:val="0"/>
          <w:smallCaps/>
          <w:color w:val="auto"/>
          <w:kern w:val="2"/>
          <w:sz w:val="30"/>
          <w:szCs w:val="30"/>
          <w:highlight w:val="none"/>
          <w:lang w:val="en-US" w:eastAsia="zh-CN" w:bidi="ar-SA"/>
        </w:rPr>
        <w:fldChar w:fldCharType="end"/>
      </w:r>
      <w:r>
        <w:rPr>
          <w:rFonts w:hint="eastAsia" w:ascii="宋体" w:hAnsi="宋体" w:cs="宋体"/>
          <w:bCs w:val="0"/>
          <w:caps w:val="0"/>
          <w:smallCaps/>
          <w:color w:val="auto"/>
          <w:kern w:val="2"/>
          <w:sz w:val="30"/>
          <w:szCs w:val="30"/>
          <w:highlight w:val="none"/>
          <w:lang w:val="en-US" w:eastAsia="zh-CN" w:bidi="ar-SA"/>
        </w:rPr>
        <w:t>2</w:t>
      </w:r>
    </w:p>
    <w:p>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840" w:lineRule="exact"/>
        <w:textAlignment w:val="auto"/>
        <w:rPr>
          <w:rFonts w:hint="default" w:ascii="宋体" w:hAnsi="宋体" w:cs="宋体"/>
          <w:bCs w:val="0"/>
          <w:caps w:val="0"/>
          <w:smallCaps/>
          <w:color w:val="auto"/>
          <w:kern w:val="2"/>
          <w:sz w:val="30"/>
          <w:szCs w:val="30"/>
          <w:highlight w:val="none"/>
          <w:lang w:val="en-US" w:eastAsia="zh-CN" w:bidi="ar-SA"/>
        </w:rPr>
      </w:pPr>
      <w:r>
        <w:rPr>
          <w:rFonts w:hint="eastAsia" w:ascii="宋体" w:hAnsi="宋体" w:eastAsia="宋体" w:cs="宋体"/>
          <w:bCs w:val="0"/>
          <w:caps w:val="0"/>
          <w:smallCaps/>
          <w:color w:val="auto"/>
          <w:kern w:val="2"/>
          <w:sz w:val="30"/>
          <w:szCs w:val="30"/>
          <w:highlight w:val="none"/>
          <w:lang w:val="en-US" w:eastAsia="zh-CN" w:bidi="ar-SA"/>
        </w:rPr>
        <w:fldChar w:fldCharType="begin"/>
      </w:r>
      <w:r>
        <w:rPr>
          <w:rFonts w:hint="eastAsia" w:ascii="宋体" w:hAnsi="宋体" w:eastAsia="宋体" w:cs="宋体"/>
          <w:bCs w:val="0"/>
          <w:caps w:val="0"/>
          <w:smallCaps/>
          <w:color w:val="auto"/>
          <w:kern w:val="2"/>
          <w:sz w:val="30"/>
          <w:szCs w:val="30"/>
          <w:highlight w:val="none"/>
          <w:lang w:val="en-US" w:eastAsia="zh-CN" w:bidi="ar-SA"/>
        </w:rPr>
        <w:instrText xml:space="preserve"> HYPERLINK \l _Toc9394 </w:instrText>
      </w:r>
      <w:r>
        <w:rPr>
          <w:rFonts w:hint="eastAsia" w:ascii="宋体" w:hAnsi="宋体" w:eastAsia="宋体" w:cs="宋体"/>
          <w:bCs w:val="0"/>
          <w:caps w:val="0"/>
          <w:smallCaps/>
          <w:color w:val="auto"/>
          <w:kern w:val="2"/>
          <w:sz w:val="30"/>
          <w:szCs w:val="30"/>
          <w:highlight w:val="none"/>
          <w:lang w:val="en-US" w:eastAsia="zh-CN" w:bidi="ar-SA"/>
        </w:rPr>
        <w:fldChar w:fldCharType="separate"/>
      </w:r>
      <w:r>
        <w:rPr>
          <w:rFonts w:hint="eastAsia" w:ascii="宋体" w:hAnsi="宋体" w:eastAsia="宋体" w:cs="宋体"/>
          <w:bCs/>
          <w:color w:val="auto"/>
          <w:kern w:val="0"/>
          <w:sz w:val="30"/>
          <w:szCs w:val="30"/>
          <w:highlight w:val="none"/>
          <w:lang w:eastAsia="zh-CN"/>
        </w:rPr>
        <w:t>第五章 投标文件格式</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6</w:t>
      </w:r>
      <w:r>
        <w:rPr>
          <w:rFonts w:hint="eastAsia" w:ascii="宋体" w:hAnsi="宋体" w:eastAsia="宋体" w:cs="宋体"/>
          <w:bCs w:val="0"/>
          <w:caps w:val="0"/>
          <w:smallCaps/>
          <w:color w:val="auto"/>
          <w:kern w:val="2"/>
          <w:sz w:val="30"/>
          <w:szCs w:val="30"/>
          <w:highlight w:val="none"/>
          <w:lang w:val="en-US" w:eastAsia="zh-CN" w:bidi="ar-SA"/>
        </w:rPr>
        <w:fldChar w:fldCharType="end"/>
      </w:r>
      <w:r>
        <w:rPr>
          <w:rFonts w:hint="eastAsia" w:ascii="宋体" w:hAnsi="宋体" w:cs="宋体"/>
          <w:bCs w:val="0"/>
          <w:caps w:val="0"/>
          <w:smallCaps/>
          <w:color w:val="auto"/>
          <w:kern w:val="2"/>
          <w:sz w:val="30"/>
          <w:szCs w:val="30"/>
          <w:highlight w:val="none"/>
          <w:lang w:val="en-US" w:eastAsia="zh-CN" w:bidi="ar-SA"/>
        </w:rPr>
        <w:t>2</w:t>
      </w:r>
    </w:p>
    <w:p>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840" w:lineRule="exact"/>
        <w:textAlignment w:val="auto"/>
        <w:rPr>
          <w:rFonts w:hint="default" w:ascii="宋体" w:hAnsi="宋体" w:eastAsia="宋体" w:cs="宋体"/>
          <w:b/>
          <w:bCs/>
          <w:caps/>
          <w:color w:val="auto"/>
          <w:kern w:val="0"/>
          <w:sz w:val="30"/>
          <w:szCs w:val="30"/>
          <w:highlight w:val="none"/>
          <w:lang w:val="en-US" w:eastAsia="zh-CN" w:bidi="ar-SA"/>
        </w:rPr>
      </w:pPr>
      <w:r>
        <w:rPr>
          <w:rFonts w:hint="eastAsia" w:ascii="宋体" w:hAnsi="宋体" w:eastAsia="宋体" w:cs="宋体"/>
          <w:bCs w:val="0"/>
          <w:caps w:val="0"/>
          <w:smallCaps/>
          <w:color w:val="auto"/>
          <w:kern w:val="2"/>
          <w:sz w:val="30"/>
          <w:szCs w:val="30"/>
          <w:highlight w:val="none"/>
          <w:lang w:val="en-US" w:eastAsia="zh-CN" w:bidi="ar-SA"/>
        </w:rPr>
        <w:fldChar w:fldCharType="begin"/>
      </w:r>
      <w:r>
        <w:rPr>
          <w:rFonts w:hint="eastAsia" w:ascii="宋体" w:hAnsi="宋体" w:eastAsia="宋体" w:cs="宋体"/>
          <w:bCs w:val="0"/>
          <w:caps w:val="0"/>
          <w:smallCaps/>
          <w:color w:val="auto"/>
          <w:kern w:val="2"/>
          <w:sz w:val="30"/>
          <w:szCs w:val="30"/>
          <w:highlight w:val="none"/>
          <w:lang w:val="en-US" w:eastAsia="zh-CN" w:bidi="ar-SA"/>
        </w:rPr>
        <w:instrText xml:space="preserve"> HYPERLINK \l _Toc12730 </w:instrText>
      </w:r>
      <w:r>
        <w:rPr>
          <w:rFonts w:hint="eastAsia" w:ascii="宋体" w:hAnsi="宋体" w:eastAsia="宋体" w:cs="宋体"/>
          <w:bCs w:val="0"/>
          <w:caps w:val="0"/>
          <w:smallCaps/>
          <w:color w:val="auto"/>
          <w:kern w:val="2"/>
          <w:sz w:val="30"/>
          <w:szCs w:val="30"/>
          <w:highlight w:val="none"/>
          <w:lang w:val="en-US" w:eastAsia="zh-CN" w:bidi="ar-SA"/>
        </w:rPr>
        <w:fldChar w:fldCharType="separate"/>
      </w:r>
      <w:r>
        <w:rPr>
          <w:rFonts w:hint="eastAsia" w:ascii="宋体" w:hAnsi="宋体" w:eastAsia="宋体" w:cs="宋体"/>
          <w:bCs/>
          <w:color w:val="auto"/>
          <w:kern w:val="0"/>
          <w:sz w:val="30"/>
          <w:szCs w:val="30"/>
          <w:highlight w:val="none"/>
        </w:rPr>
        <w:t>第</w:t>
      </w:r>
      <w:r>
        <w:rPr>
          <w:rFonts w:hint="eastAsia" w:ascii="宋体" w:hAnsi="宋体" w:cs="宋体"/>
          <w:bCs/>
          <w:color w:val="auto"/>
          <w:kern w:val="0"/>
          <w:sz w:val="30"/>
          <w:szCs w:val="30"/>
          <w:highlight w:val="none"/>
          <w:lang w:val="en-US" w:eastAsia="zh-CN"/>
        </w:rPr>
        <w:t>六</w:t>
      </w:r>
      <w:r>
        <w:rPr>
          <w:rFonts w:hint="eastAsia" w:ascii="宋体" w:hAnsi="宋体" w:eastAsia="宋体" w:cs="宋体"/>
          <w:bCs/>
          <w:color w:val="auto"/>
          <w:kern w:val="0"/>
          <w:sz w:val="30"/>
          <w:szCs w:val="30"/>
          <w:highlight w:val="none"/>
        </w:rPr>
        <w:t xml:space="preserve">章 </w:t>
      </w:r>
      <w:r>
        <w:rPr>
          <w:rFonts w:hint="eastAsia" w:ascii="宋体" w:hAnsi="宋体" w:eastAsia="宋体" w:cs="宋体"/>
          <w:b/>
          <w:bCs/>
          <w:caps/>
          <w:color w:val="auto"/>
          <w:kern w:val="0"/>
          <w:sz w:val="30"/>
          <w:szCs w:val="30"/>
          <w:highlight w:val="none"/>
          <w:lang w:val="en-US" w:eastAsia="zh-CN" w:bidi="ar-SA"/>
        </w:rPr>
        <w:t>采购需求</w:t>
      </w:r>
      <w:r>
        <w:rPr>
          <w:rFonts w:hint="eastAsia" w:ascii="宋体" w:hAnsi="宋体" w:eastAsia="宋体" w:cs="宋体"/>
          <w:color w:val="auto"/>
          <w:sz w:val="30"/>
          <w:szCs w:val="30"/>
          <w:highlight w:val="none"/>
        </w:rPr>
        <w:tab/>
      </w:r>
      <w:r>
        <w:rPr>
          <w:rFonts w:hint="eastAsia" w:ascii="宋体" w:hAnsi="宋体" w:eastAsia="宋体" w:cs="宋体"/>
          <w:bCs w:val="0"/>
          <w:caps w:val="0"/>
          <w:smallCaps/>
          <w:color w:val="auto"/>
          <w:kern w:val="2"/>
          <w:sz w:val="30"/>
          <w:szCs w:val="30"/>
          <w:highlight w:val="none"/>
          <w:lang w:val="en-US" w:eastAsia="zh-CN" w:bidi="ar-SA"/>
        </w:rPr>
        <w:fldChar w:fldCharType="end"/>
      </w:r>
      <w:r>
        <w:rPr>
          <w:rFonts w:hint="eastAsia" w:ascii="宋体" w:hAnsi="宋体" w:cs="宋体"/>
          <w:bCs w:val="0"/>
          <w:caps w:val="0"/>
          <w:smallCaps/>
          <w:color w:val="auto"/>
          <w:kern w:val="2"/>
          <w:sz w:val="30"/>
          <w:szCs w:val="30"/>
          <w:highlight w:val="none"/>
          <w:lang w:val="en-US" w:eastAsia="zh-CN" w:bidi="ar-SA"/>
        </w:rPr>
        <w:t>83</w:t>
      </w:r>
    </w:p>
    <w:p>
      <w:pPr>
        <w:pStyle w:val="38"/>
        <w:keepNext w:val="0"/>
        <w:keepLines w:val="0"/>
        <w:pageBreakBefore w:val="0"/>
        <w:widowControl w:val="0"/>
        <w:kinsoku/>
        <w:wordWrap/>
        <w:overflowPunct/>
        <w:topLinePunct w:val="0"/>
        <w:autoSpaceDE/>
        <w:autoSpaceDN/>
        <w:bidi w:val="0"/>
        <w:adjustRightInd/>
        <w:snapToGrid/>
        <w:spacing w:line="840" w:lineRule="exact"/>
        <w:textAlignment w:val="auto"/>
        <w:rPr>
          <w:rFonts w:hint="eastAsia" w:asciiTheme="minorEastAsia" w:hAnsiTheme="minorEastAsia" w:eastAsiaTheme="minorEastAsia" w:cstheme="minorEastAsia"/>
          <w:b w:val="0"/>
          <w:bCs w:val="0"/>
          <w:caps w:val="0"/>
          <w:smallCaps/>
          <w:color w:val="auto"/>
          <w:kern w:val="2"/>
          <w:sz w:val="24"/>
          <w:szCs w:val="24"/>
          <w:highlight w:val="none"/>
          <w:lang w:val="en-US" w:eastAsia="zh-CN" w:bidi="ar-SA"/>
        </w:rPr>
      </w:pPr>
      <w:r>
        <w:rPr>
          <w:rFonts w:hint="eastAsia" w:ascii="宋体" w:hAnsi="宋体" w:eastAsia="宋体" w:cs="宋体"/>
          <w:bCs w:val="0"/>
          <w:caps w:val="0"/>
          <w:smallCaps/>
          <w:color w:val="auto"/>
          <w:kern w:val="2"/>
          <w:sz w:val="30"/>
          <w:szCs w:val="30"/>
          <w:highlight w:val="none"/>
          <w:lang w:val="en-US" w:eastAsia="zh-CN" w:bidi="ar-SA"/>
        </w:rPr>
        <w:fldChar w:fldCharType="end"/>
      </w:r>
    </w:p>
    <w:p>
      <w:pPr>
        <w:pStyle w:val="38"/>
        <w:keepNext w:val="0"/>
        <w:keepLines w:val="0"/>
        <w:pageBreakBefore w:val="0"/>
        <w:widowControl w:val="0"/>
        <w:kinsoku/>
        <w:wordWrap/>
        <w:overflowPunct/>
        <w:topLinePunct w:val="0"/>
        <w:autoSpaceDE/>
        <w:autoSpaceDN/>
        <w:bidi w:val="0"/>
        <w:adjustRightInd/>
        <w:snapToGrid/>
        <w:spacing w:line="800" w:lineRule="atLeast"/>
        <w:textAlignment w:val="auto"/>
        <w:rPr>
          <w:rFonts w:hint="eastAsia" w:asciiTheme="minorEastAsia" w:hAnsiTheme="minorEastAsia" w:eastAsiaTheme="minorEastAsia" w:cstheme="minorEastAsia"/>
          <w:b w:val="0"/>
          <w:bCs w:val="0"/>
          <w:caps w:val="0"/>
          <w:smallCaps/>
          <w:color w:val="auto"/>
          <w:kern w:val="2"/>
          <w:sz w:val="24"/>
          <w:szCs w:val="24"/>
          <w:highlight w:val="none"/>
          <w:lang w:val="en-US" w:eastAsia="zh-CN" w:bidi="ar-SA"/>
        </w:rPr>
        <w:sectPr>
          <w:footerReference r:id="rId6" w:type="default"/>
          <w:pgSz w:w="11906" w:h="16838"/>
          <w:pgMar w:top="680" w:right="1134" w:bottom="680" w:left="1134" w:header="720" w:footer="720" w:gutter="0"/>
          <w:pgNumType w:fmt="decimal" w:start="1"/>
          <w:cols w:space="720" w:num="1"/>
          <w:docGrid w:type="lines" w:linePitch="331" w:charSpace="0"/>
        </w:sectPr>
      </w:pPr>
    </w:p>
    <w:p>
      <w:pPr>
        <w:pStyle w:val="3"/>
        <w:keepNext/>
        <w:keepLines/>
        <w:pageBreakBefore w:val="0"/>
        <w:widowControl w:val="0"/>
        <w:numPr>
          <w:ilvl w:val="0"/>
          <w:numId w:val="0"/>
        </w:numPr>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b/>
          <w:bCs/>
          <w:color w:val="auto"/>
          <w:sz w:val="36"/>
          <w:highlight w:val="none"/>
        </w:rPr>
      </w:pPr>
      <w:bookmarkStart w:id="3" w:name="_Toc12730"/>
      <w:r>
        <w:rPr>
          <w:rFonts w:hint="eastAsia" w:ascii="宋体" w:hAnsi="宋体" w:eastAsia="宋体" w:cs="宋体"/>
          <w:b/>
          <w:bCs/>
          <w:color w:val="auto"/>
          <w:kern w:val="0"/>
          <w:sz w:val="36"/>
          <w:highlight w:val="none"/>
        </w:rPr>
        <w:t xml:space="preserve">第一章 </w:t>
      </w:r>
      <w:r>
        <w:rPr>
          <w:rFonts w:hint="eastAsia" w:ascii="宋体" w:hAnsi="宋体" w:eastAsia="宋体" w:cs="宋体"/>
          <w:b/>
          <w:bCs/>
          <w:color w:val="auto"/>
          <w:sz w:val="36"/>
          <w:highlight w:val="none"/>
        </w:rPr>
        <w:t>招标公告</w:t>
      </w:r>
      <w:bookmarkEnd w:id="3"/>
    </w:p>
    <w:p>
      <w:pPr>
        <w:pStyle w:val="3"/>
        <w:keepNext/>
        <w:keepLines/>
        <w:pageBreakBefore w:val="0"/>
        <w:widowControl w:val="0"/>
        <w:numPr>
          <w:ilvl w:val="0"/>
          <w:numId w:val="0"/>
        </w:numPr>
        <w:kinsoku/>
        <w:wordWrap/>
        <w:overflowPunct/>
        <w:topLinePunct w:val="0"/>
        <w:autoSpaceDE/>
        <w:autoSpaceDN/>
        <w:bidi w:val="0"/>
        <w:adjustRightInd w:val="0"/>
        <w:snapToGrid/>
        <w:spacing w:line="500" w:lineRule="exact"/>
        <w:jc w:val="center"/>
        <w:textAlignment w:val="baseline"/>
        <w:rPr>
          <w:rFonts w:hint="eastAsia" w:ascii="宋体" w:hAnsi="宋体" w:eastAsia="宋体" w:cs="宋体"/>
          <w:b/>
          <w:bCs/>
          <w:color w:val="auto"/>
          <w:kern w:val="0"/>
          <w:sz w:val="32"/>
          <w:szCs w:val="18"/>
          <w:highlight w:val="none"/>
          <w:lang w:val="en-US" w:eastAsia="zh-CN"/>
        </w:rPr>
      </w:pPr>
      <w:bookmarkStart w:id="4" w:name="_Toc27324"/>
      <w:bookmarkStart w:id="5" w:name="_Toc3291"/>
      <w:bookmarkStart w:id="6" w:name="_Toc21158"/>
      <w:bookmarkStart w:id="7" w:name="OLE_LINK72"/>
      <w:r>
        <w:rPr>
          <w:rFonts w:hint="eastAsia" w:ascii="宋体" w:hAnsi="宋体" w:eastAsia="宋体" w:cs="宋体"/>
          <w:b/>
          <w:bCs/>
          <w:color w:val="auto"/>
          <w:kern w:val="0"/>
          <w:sz w:val="32"/>
          <w:szCs w:val="18"/>
          <w:highlight w:val="none"/>
          <w:lang w:val="en-US" w:eastAsia="zh-CN"/>
        </w:rPr>
        <w:t>麒麟区2026秋季-2027春季学期农村义务教育学生营养改善计划       大宗食材采购项目招标公告</w:t>
      </w:r>
      <w:bookmarkEnd w:id="4"/>
      <w:bookmarkEnd w:id="5"/>
      <w:bookmarkEnd w:id="6"/>
    </w:p>
    <w:p>
      <w:pPr>
        <w:keepNext w:val="0"/>
        <w:keepLines w:val="0"/>
        <w:pageBreakBefore w:val="0"/>
        <w:widowControl w:val="0"/>
        <w:pBdr>
          <w:top w:val="single" w:color="auto" w:sz="4" w:space="1"/>
          <w:left w:val="single" w:color="auto" w:sz="4" w:space="4"/>
          <w:bottom w:val="single" w:color="auto" w:sz="4" w:space="9"/>
          <w:right w:val="single" w:color="auto" w:sz="4" w:space="4"/>
        </w:pBd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项目概况</w:t>
      </w:r>
      <w:r>
        <w:rPr>
          <w:rFonts w:hint="eastAsia" w:ascii="宋体" w:hAnsi="宋体" w:eastAsia="宋体" w:cs="宋体"/>
          <w:b/>
          <w:bCs/>
          <w:color w:val="auto"/>
          <w:sz w:val="24"/>
          <w:szCs w:val="24"/>
          <w:highlight w:val="none"/>
          <w:lang w:eastAsia="zh-CN"/>
        </w:rPr>
        <w:t>：</w:t>
      </w:r>
    </w:p>
    <w:p>
      <w:pPr>
        <w:keepNext w:val="0"/>
        <w:keepLines w:val="0"/>
        <w:pageBreakBefore w:val="0"/>
        <w:widowControl w:val="0"/>
        <w:pBdr>
          <w:top w:val="single" w:color="auto" w:sz="4" w:space="1"/>
          <w:left w:val="single" w:color="auto" w:sz="4" w:space="4"/>
          <w:bottom w:val="single" w:color="auto" w:sz="4" w:space="9"/>
          <w:right w:val="single" w:color="auto" w:sz="4" w:space="4"/>
        </w:pBd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val="en-US" w:eastAsia="zh-CN"/>
        </w:rPr>
        <w:t>麒麟区2026秋季-2027春季</w:t>
      </w:r>
      <w:r>
        <w:rPr>
          <w:rFonts w:hint="eastAsia" w:ascii="宋体" w:hAnsi="宋体" w:eastAsia="宋体" w:cs="宋体"/>
          <w:color w:val="auto"/>
          <w:sz w:val="24"/>
          <w:szCs w:val="24"/>
          <w:highlight w:val="none"/>
          <w:u w:val="single"/>
          <w:lang w:val="en-US" w:eastAsia="zh-CN"/>
        </w:rPr>
        <w:t>学期农村义务教育学生营养改善计划大宗食材采购项目</w:t>
      </w:r>
      <w:r>
        <w:rPr>
          <w:rFonts w:hint="eastAsia" w:ascii="宋体" w:hAnsi="宋体" w:eastAsia="宋体" w:cs="宋体"/>
          <w:color w:val="auto"/>
          <w:sz w:val="24"/>
          <w:szCs w:val="24"/>
          <w:highlight w:val="none"/>
          <w:u w:val="none"/>
          <w:lang w:eastAsia="zh-CN"/>
        </w:rPr>
        <w:t>的</w:t>
      </w:r>
      <w:r>
        <w:rPr>
          <w:rFonts w:hint="eastAsia" w:ascii="宋体" w:hAnsi="宋体" w:eastAsia="宋体" w:cs="宋体"/>
          <w:color w:val="auto"/>
          <w:sz w:val="24"/>
          <w:szCs w:val="24"/>
          <w:highlight w:val="none"/>
        </w:rPr>
        <w:t>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应在</w:t>
      </w:r>
      <w:r>
        <w:rPr>
          <w:rFonts w:hint="eastAsia" w:ascii="宋体" w:hAnsi="宋体" w:cs="宋体"/>
          <w:color w:val="auto"/>
          <w:sz w:val="24"/>
          <w:szCs w:val="24"/>
          <w:highlight w:val="none"/>
          <w:u w:val="single"/>
          <w:lang w:eastAsia="zh-CN"/>
        </w:rPr>
        <w:t>政府采购云平台</w:t>
      </w:r>
      <w:r>
        <w:rPr>
          <w:rFonts w:hint="eastAsia" w:ascii="宋体" w:hAnsi="宋体" w:eastAsia="宋体" w:cs="宋体"/>
          <w:color w:val="auto"/>
          <w:sz w:val="24"/>
          <w:szCs w:val="24"/>
          <w:highlight w:val="none"/>
          <w:u w:val="single"/>
        </w:rPr>
        <w:t>（https://www.zcygov.cn/</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获取</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 xml:space="preserve">08:30 </w:t>
      </w:r>
      <w:r>
        <w:rPr>
          <w:rFonts w:hint="eastAsia" w:ascii="宋体" w:hAnsi="宋体" w:eastAsia="宋体" w:cs="宋体"/>
          <w:bCs/>
          <w:color w:val="auto"/>
          <w:sz w:val="24"/>
          <w:szCs w:val="24"/>
          <w:highlight w:val="none"/>
        </w:rPr>
        <w:t>（北京时间）前</w:t>
      </w:r>
      <w:r>
        <w:rPr>
          <w:rFonts w:hint="eastAsia" w:ascii="宋体" w:hAnsi="宋体" w:cs="宋体"/>
          <w:bCs/>
          <w:color w:val="auto"/>
          <w:sz w:val="24"/>
          <w:szCs w:val="24"/>
          <w:highlight w:val="none"/>
          <w:lang w:eastAsia="zh-CN"/>
        </w:rPr>
        <w:t>提交</w:t>
      </w:r>
      <w:r>
        <w:rPr>
          <w:rFonts w:hint="eastAsia" w:ascii="宋体" w:hAnsi="宋体" w:eastAsia="宋体" w:cs="宋体"/>
          <w:bCs/>
          <w:color w:val="auto"/>
          <w:sz w:val="24"/>
          <w:szCs w:val="24"/>
          <w:highlight w:val="none"/>
          <w:lang w:eastAsia="zh-CN"/>
        </w:rPr>
        <w:t>投标</w:t>
      </w:r>
      <w:r>
        <w:rPr>
          <w:rFonts w:hint="eastAsia" w:ascii="宋体" w:hAnsi="宋体" w:eastAsia="宋体" w:cs="宋体"/>
          <w:bCs/>
          <w:color w:val="auto"/>
          <w:sz w:val="24"/>
          <w:szCs w:val="24"/>
          <w:highlight w:val="none"/>
        </w:rPr>
        <w:t>文件</w:t>
      </w:r>
      <w:r>
        <w:rPr>
          <w:rFonts w:hint="eastAsia" w:ascii="宋体" w:hAnsi="宋体" w:eastAsia="宋体" w:cs="宋体"/>
          <w:color w:val="auto"/>
          <w:sz w:val="24"/>
          <w:szCs w:val="24"/>
          <w:highlight w:val="none"/>
        </w:rPr>
        <w:t>。</w:t>
      </w:r>
    </w:p>
    <w:p>
      <w:pPr>
        <w:pStyle w:val="4"/>
        <w:keepLines w:val="0"/>
        <w:pageBreakBefore w:val="0"/>
        <w:widowControl w:val="0"/>
        <w:numPr>
          <w:ilvl w:val="0"/>
          <w:numId w:val="0"/>
        </w:numPr>
        <w:tabs>
          <w:tab w:val="left" w:pos="360"/>
          <w:tab w:val="left" w:pos="840"/>
          <w:tab w:val="left" w:pos="3999"/>
        </w:tabs>
        <w:kinsoku/>
        <w:wordWrap/>
        <w:overflowPunct/>
        <w:topLinePunct w:val="0"/>
        <w:autoSpaceDE/>
        <w:autoSpaceDN/>
        <w:bidi w:val="0"/>
        <w:snapToGrid/>
        <w:spacing w:line="500" w:lineRule="exact"/>
        <w:ind w:left="425"/>
        <w:jc w:val="left"/>
        <w:rPr>
          <w:rFonts w:hint="eastAsia" w:ascii="宋体" w:hAnsi="宋体" w:eastAsia="宋体" w:cs="宋体"/>
          <w:b/>
          <w:bCs/>
          <w:color w:val="auto"/>
          <w:sz w:val="24"/>
          <w:szCs w:val="20"/>
          <w:highlight w:val="none"/>
        </w:rPr>
      </w:pPr>
      <w:bookmarkStart w:id="8" w:name="_Toc6981"/>
      <w:bookmarkStart w:id="9" w:name="_Toc25048"/>
      <w:bookmarkStart w:id="10" w:name="_Toc14220"/>
      <w:bookmarkStart w:id="11" w:name="_Toc3424"/>
      <w:bookmarkStart w:id="12" w:name="_Toc17541"/>
      <w:bookmarkStart w:id="13" w:name="_Toc35393621"/>
      <w:bookmarkStart w:id="14" w:name="_Toc15019"/>
      <w:bookmarkStart w:id="15" w:name="_Toc20993"/>
      <w:bookmarkStart w:id="16" w:name="_Toc4838"/>
      <w:bookmarkStart w:id="17" w:name="_Toc11011"/>
      <w:bookmarkStart w:id="18" w:name="_Toc23931"/>
      <w:bookmarkStart w:id="19" w:name="_Toc29188"/>
      <w:bookmarkStart w:id="20" w:name="_Toc35393790"/>
      <w:bookmarkStart w:id="21" w:name="_Toc15210"/>
      <w:bookmarkStart w:id="22" w:name="_Toc5980"/>
      <w:bookmarkStart w:id="23" w:name="_Toc31512"/>
      <w:bookmarkStart w:id="24" w:name="_Toc6706"/>
      <w:bookmarkStart w:id="25" w:name="_Toc24946"/>
      <w:bookmarkStart w:id="26" w:name="_Toc17829"/>
      <w:bookmarkStart w:id="27" w:name="_Toc198"/>
      <w:bookmarkStart w:id="28" w:name="_Toc25107"/>
      <w:bookmarkStart w:id="29" w:name="_Toc14936903"/>
      <w:bookmarkStart w:id="30" w:name="_Toc6030"/>
      <w:bookmarkStart w:id="31" w:name="_Toc17814"/>
      <w:bookmarkStart w:id="32" w:name="_Toc28359079"/>
      <w:bookmarkStart w:id="33" w:name="_Toc20547"/>
      <w:bookmarkStart w:id="34" w:name="_Toc31452"/>
      <w:bookmarkStart w:id="35" w:name="_Toc24576"/>
      <w:bookmarkStart w:id="36" w:name="_Toc9818"/>
      <w:bookmarkStart w:id="37" w:name="_Toc24604"/>
      <w:bookmarkStart w:id="38" w:name="_Toc28085"/>
      <w:bookmarkStart w:id="39" w:name="_Toc25806"/>
      <w:bookmarkStart w:id="40" w:name="_Toc31832"/>
      <w:bookmarkStart w:id="41" w:name="_Toc10120"/>
      <w:bookmarkStart w:id="42" w:name="_Toc28359002"/>
      <w:bookmarkStart w:id="43" w:name="_Toc23040"/>
      <w:bookmarkStart w:id="44" w:name="_Hlk24379207"/>
      <w:r>
        <w:rPr>
          <w:rFonts w:hint="eastAsia" w:ascii="宋体" w:hAnsi="宋体" w:eastAsia="宋体" w:cs="宋体"/>
          <w:b/>
          <w:bCs/>
          <w:color w:val="auto"/>
          <w:sz w:val="24"/>
          <w:szCs w:val="20"/>
          <w:highlight w:val="none"/>
        </w:rPr>
        <w:t>一、项目基本情况</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1.项目名</w:t>
      </w:r>
      <w:r>
        <w:rPr>
          <w:rFonts w:hint="eastAsia" w:ascii="宋体" w:hAnsi="宋体" w:cs="宋体"/>
          <w:color w:val="auto"/>
          <w:sz w:val="24"/>
          <w:szCs w:val="24"/>
          <w:highlight w:val="none"/>
        </w:rPr>
        <w:t>称：</w:t>
      </w:r>
      <w:r>
        <w:rPr>
          <w:rFonts w:hint="eastAsia" w:ascii="宋体" w:hAnsi="宋体" w:cs="宋体"/>
          <w:color w:val="auto"/>
          <w:spacing w:val="-6"/>
          <w:sz w:val="24"/>
          <w:szCs w:val="24"/>
          <w:highlight w:val="none"/>
          <w:lang w:val="en-US" w:eastAsia="zh-CN"/>
        </w:rPr>
        <w:t>麒麟区2026秋季-2027春季</w:t>
      </w:r>
      <w:r>
        <w:rPr>
          <w:rFonts w:hint="eastAsia" w:ascii="宋体" w:hAnsi="宋体" w:eastAsia="宋体" w:cs="宋体"/>
          <w:color w:val="auto"/>
          <w:spacing w:val="-6"/>
          <w:sz w:val="24"/>
          <w:szCs w:val="24"/>
          <w:highlight w:val="none"/>
          <w:lang w:val="en-US" w:eastAsia="zh-CN"/>
        </w:rPr>
        <w:t>学期农村义务教育学生营养改善计划大宗食材采购项目</w:t>
      </w:r>
    </w:p>
    <w:p>
      <w:pPr>
        <w:keepLines w:val="0"/>
        <w:pageBreakBefore w:val="0"/>
        <w:widowControl w:val="0"/>
        <w:kinsoku/>
        <w:wordWrap/>
        <w:overflowPunct/>
        <w:topLinePunct w:val="0"/>
        <w:autoSpaceDE/>
        <w:autoSpaceDN/>
        <w:bidi w:val="0"/>
        <w:snapToGrid/>
        <w:spacing w:line="500" w:lineRule="exact"/>
        <w:ind w:firstLine="480" w:firstLineChars="200"/>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w:t>
      </w:r>
      <w:r>
        <w:rPr>
          <w:rFonts w:hint="eastAsia" w:ascii="宋体" w:hAnsi="宋体" w:cs="宋体"/>
          <w:color w:val="auto"/>
          <w:sz w:val="24"/>
          <w:szCs w:val="24"/>
          <w:highlight w:val="none"/>
          <w:lang w:val="en-US" w:eastAsia="zh-CN"/>
        </w:rPr>
        <w:t>标段</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lang w:val="en-US" w:eastAsia="zh-CN"/>
        </w:rPr>
        <w:t>福招字</w:t>
      </w:r>
      <w:r>
        <w:rPr>
          <w:rFonts w:hint="eastAsia" w:ascii="宋体" w:hAnsi="宋体" w:cs="宋体"/>
          <w:color w:val="auto"/>
          <w:spacing w:val="-6"/>
          <w:sz w:val="24"/>
          <w:szCs w:val="24"/>
          <w:highlight w:val="none"/>
          <w:lang w:val="en-US" w:eastAsia="zh-CN"/>
        </w:rPr>
        <w:t>1451-2026-43至1458-2026-50</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采购方式：公开招标</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4.资金来源：财政资金</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5.预算金额</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26085748.97元</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.采购</w:t>
      </w:r>
      <w:bookmarkEnd w:id="44"/>
      <w:r>
        <w:rPr>
          <w:rFonts w:hint="eastAsia" w:ascii="宋体" w:hAnsi="宋体" w:cs="宋体"/>
          <w:color w:val="auto"/>
          <w:sz w:val="24"/>
          <w:szCs w:val="24"/>
          <w:highlight w:val="none"/>
          <w:lang w:val="en-US" w:eastAsia="zh-CN"/>
        </w:rPr>
        <w:t>内容：麒麟区2026秋季-2027春季学期农村义务教育学生营养改善计划大宗食材采购，包括大米、食用油、鸡蛋、猪肉，详细信息如下</w:t>
      </w:r>
      <w:r>
        <w:rPr>
          <w:rFonts w:hint="eastAsia" w:ascii="宋体" w:hAnsi="宋体" w:eastAsia="宋体" w:cs="宋体"/>
          <w:color w:val="auto"/>
          <w:sz w:val="24"/>
          <w:szCs w:val="24"/>
          <w:highlight w:val="none"/>
          <w:lang w:val="en-US" w:eastAsia="zh-CN"/>
        </w:rPr>
        <w:t>：</w:t>
      </w:r>
    </w:p>
    <w:tbl>
      <w:tblPr>
        <w:tblStyle w:val="47"/>
        <w:tblW w:w="10204" w:type="dxa"/>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
        <w:gridCol w:w="629"/>
        <w:gridCol w:w="2310"/>
        <w:gridCol w:w="1305"/>
        <w:gridCol w:w="1155"/>
        <w:gridCol w:w="1275"/>
        <w:gridCol w:w="780"/>
        <w:gridCol w:w="2270"/>
        <w:gridCol w:w="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79"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标段号</w:t>
            </w:r>
          </w:p>
        </w:tc>
        <w:tc>
          <w:tcPr>
            <w:tcW w:w="629"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食材品类</w:t>
            </w:r>
          </w:p>
        </w:tc>
        <w:tc>
          <w:tcPr>
            <w:tcW w:w="2310"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标段名称</w:t>
            </w:r>
          </w:p>
        </w:tc>
        <w:tc>
          <w:tcPr>
            <w:tcW w:w="1305"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标段编号</w:t>
            </w:r>
          </w:p>
        </w:tc>
        <w:tc>
          <w:tcPr>
            <w:tcW w:w="1155"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就餐人数（人）</w:t>
            </w:r>
          </w:p>
        </w:tc>
        <w:tc>
          <w:tcPr>
            <w:tcW w:w="1275"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预算金额（元）</w:t>
            </w:r>
          </w:p>
        </w:tc>
        <w:tc>
          <w:tcPr>
            <w:tcW w:w="780" w:type="dxa"/>
            <w:vAlign w:val="center"/>
          </w:tcPr>
          <w:p>
            <w:pPr>
              <w:jc w:val="center"/>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采购内容</w:t>
            </w:r>
          </w:p>
        </w:tc>
        <w:tc>
          <w:tcPr>
            <w:tcW w:w="2271" w:type="dxa"/>
            <w:gridSpan w:val="2"/>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供货地点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69" w:hRule="atLeast"/>
        </w:trPr>
        <w:tc>
          <w:tcPr>
            <w:tcW w:w="479"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一标</w:t>
            </w:r>
          </w:p>
        </w:tc>
        <w:tc>
          <w:tcPr>
            <w:tcW w:w="629" w:type="dxa"/>
            <w:vMerge w:val="restart"/>
            <w:vAlign w:val="center"/>
          </w:tcPr>
          <w:p>
            <w:pPr>
              <w:ind w:right="-21" w:rightChars="-1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大米</w:t>
            </w:r>
            <w:r>
              <w:rPr>
                <w:rFonts w:hint="eastAsia" w:ascii="宋体" w:hAnsi="宋体" w:cs="宋体"/>
                <w:color w:val="auto"/>
                <w:sz w:val="24"/>
                <w:szCs w:val="24"/>
                <w:highlight w:val="none"/>
                <w:lang w:val="en-US" w:eastAsia="zh-CN"/>
              </w:rPr>
              <w:t>类</w:t>
            </w:r>
          </w:p>
        </w:tc>
        <w:tc>
          <w:tcPr>
            <w:tcW w:w="231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学期农村义务教育学生营养改善计划大宗食材采购项目一标段（大米）</w:t>
            </w:r>
          </w:p>
        </w:tc>
        <w:tc>
          <w:tcPr>
            <w:tcW w:w="130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451</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43</w:t>
            </w:r>
          </w:p>
        </w:tc>
        <w:tc>
          <w:tcPr>
            <w:tcW w:w="115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w:t>
            </w:r>
            <w:r>
              <w:rPr>
                <w:rFonts w:hint="eastAsia" w:ascii="宋体" w:hAnsi="宋体" w:cs="宋体"/>
                <w:color w:val="auto"/>
                <w:sz w:val="24"/>
                <w:szCs w:val="24"/>
                <w:highlight w:val="none"/>
                <w:vertAlign w:val="baseline"/>
                <w:lang w:val="en-US" w:eastAsia="zh-CN"/>
              </w:rPr>
              <w:t>18683</w:t>
            </w:r>
          </w:p>
        </w:tc>
        <w:tc>
          <w:tcPr>
            <w:tcW w:w="1275"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2158403.8</w:t>
            </w:r>
          </w:p>
        </w:tc>
        <w:tc>
          <w:tcPr>
            <w:tcW w:w="780" w:type="dxa"/>
            <w:vAlign w:val="center"/>
          </w:tcPr>
          <w:p>
            <w:pPr>
              <w:widowControl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大米</w:t>
            </w:r>
          </w:p>
        </w:tc>
        <w:tc>
          <w:tcPr>
            <w:tcW w:w="2271" w:type="dxa"/>
            <w:gridSpan w:val="2"/>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茨营中心学校、茨营中学、东山中心学校、东山一中、东山二中、东山三中、三宝中心学校、三宝三中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65" w:hRule="atLeast"/>
        </w:trPr>
        <w:tc>
          <w:tcPr>
            <w:tcW w:w="479"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二标</w:t>
            </w:r>
          </w:p>
        </w:tc>
        <w:tc>
          <w:tcPr>
            <w:tcW w:w="629"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231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学期农村义务教育学生营养改善计划大宗食材采购项目二标段（大米）</w:t>
            </w:r>
          </w:p>
        </w:tc>
        <w:tc>
          <w:tcPr>
            <w:tcW w:w="130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452</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44</w:t>
            </w:r>
          </w:p>
        </w:tc>
        <w:tc>
          <w:tcPr>
            <w:tcW w:w="115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w:t>
            </w:r>
            <w:r>
              <w:rPr>
                <w:rFonts w:hint="eastAsia" w:ascii="宋体" w:hAnsi="宋体" w:cs="宋体"/>
                <w:color w:val="auto"/>
                <w:sz w:val="24"/>
                <w:szCs w:val="24"/>
                <w:highlight w:val="none"/>
                <w:vertAlign w:val="baseline"/>
                <w:lang w:val="en-US" w:eastAsia="zh-CN"/>
              </w:rPr>
              <w:t>15243</w:t>
            </w:r>
          </w:p>
        </w:tc>
        <w:tc>
          <w:tcPr>
            <w:tcW w:w="1275"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1747595.5</w:t>
            </w:r>
          </w:p>
        </w:tc>
        <w:tc>
          <w:tcPr>
            <w:tcW w:w="780" w:type="dxa"/>
            <w:vAlign w:val="center"/>
          </w:tcPr>
          <w:p>
            <w:pPr>
              <w:widowControl w:val="0"/>
              <w:jc w:val="center"/>
              <w:rPr>
                <w:rFonts w:hint="default"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大米</w:t>
            </w:r>
          </w:p>
        </w:tc>
        <w:tc>
          <w:tcPr>
            <w:tcW w:w="227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南宁中心学校、益宁中心学校、白石江中心学校、文华中心学校、潇湘中心学校、潇湘中学、越州中心学校、越州一中、越州二中、沿江中心学校、珠街中心学校、珠街二中、麒麟区特殊教育学校、麒麟区启智爱心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88" w:hRule="atLeast"/>
        </w:trPr>
        <w:tc>
          <w:tcPr>
            <w:tcW w:w="479"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三标</w:t>
            </w:r>
          </w:p>
        </w:tc>
        <w:tc>
          <w:tcPr>
            <w:tcW w:w="629" w:type="dxa"/>
            <w:vMerge w:val="restart"/>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食用油</w:t>
            </w:r>
            <w:r>
              <w:rPr>
                <w:rFonts w:hint="eastAsia" w:ascii="宋体" w:hAnsi="宋体" w:cs="宋体"/>
                <w:color w:val="auto"/>
                <w:sz w:val="24"/>
                <w:szCs w:val="24"/>
                <w:highlight w:val="none"/>
                <w:vertAlign w:val="baseline"/>
                <w:lang w:val="en-US" w:eastAsia="zh-CN"/>
              </w:rPr>
              <w:t>、鸡蛋类</w:t>
            </w:r>
          </w:p>
        </w:tc>
        <w:tc>
          <w:tcPr>
            <w:tcW w:w="231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学期农村义务教育学生营养改善计划大宗食材采购项目三标段（食用油</w:t>
            </w:r>
            <w:r>
              <w:rPr>
                <w:rFonts w:hint="eastAsia" w:ascii="宋体" w:hAnsi="宋体" w:cs="宋体"/>
                <w:color w:val="auto"/>
                <w:sz w:val="24"/>
                <w:szCs w:val="24"/>
                <w:highlight w:val="none"/>
                <w:lang w:val="en-US" w:eastAsia="zh-CN"/>
              </w:rPr>
              <w:t>、鸡蛋</w:t>
            </w:r>
            <w:r>
              <w:rPr>
                <w:rFonts w:hint="eastAsia" w:ascii="宋体" w:hAnsi="宋体" w:eastAsia="宋体" w:cs="宋体"/>
                <w:color w:val="auto"/>
                <w:sz w:val="24"/>
                <w:szCs w:val="24"/>
                <w:highlight w:val="none"/>
                <w:lang w:val="en-US" w:eastAsia="zh-CN"/>
              </w:rPr>
              <w:t>）</w:t>
            </w:r>
          </w:p>
        </w:tc>
        <w:tc>
          <w:tcPr>
            <w:tcW w:w="130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453</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45</w:t>
            </w:r>
          </w:p>
        </w:tc>
        <w:tc>
          <w:tcPr>
            <w:tcW w:w="115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约1</w:t>
            </w:r>
            <w:r>
              <w:rPr>
                <w:rFonts w:hint="eastAsia" w:ascii="宋体" w:hAnsi="宋体" w:cs="宋体"/>
                <w:color w:val="auto"/>
                <w:sz w:val="24"/>
                <w:szCs w:val="24"/>
                <w:highlight w:val="none"/>
                <w:vertAlign w:val="baseline"/>
                <w:lang w:val="en-US" w:eastAsia="zh-CN"/>
              </w:rPr>
              <w:t>5243</w:t>
            </w:r>
          </w:p>
        </w:tc>
        <w:tc>
          <w:tcPr>
            <w:tcW w:w="1275"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1317636.47</w:t>
            </w:r>
          </w:p>
        </w:tc>
        <w:tc>
          <w:tcPr>
            <w:tcW w:w="780" w:type="dxa"/>
            <w:vAlign w:val="center"/>
          </w:tcPr>
          <w:p>
            <w:pPr>
              <w:widowControl w:val="0"/>
              <w:jc w:val="center"/>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食用油</w:t>
            </w:r>
            <w:r>
              <w:rPr>
                <w:rFonts w:hint="eastAsia" w:ascii="宋体" w:hAnsi="宋体" w:cs="宋体"/>
                <w:color w:val="auto"/>
                <w:sz w:val="24"/>
                <w:szCs w:val="24"/>
                <w:highlight w:val="none"/>
                <w:vertAlign w:val="baseline"/>
                <w:lang w:val="en-US" w:eastAsia="zh-CN"/>
              </w:rPr>
              <w:t>、鸡蛋</w:t>
            </w:r>
          </w:p>
        </w:tc>
        <w:tc>
          <w:tcPr>
            <w:tcW w:w="2271" w:type="dxa"/>
            <w:gridSpan w:val="2"/>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lang w:val="en-US" w:eastAsia="zh-CN"/>
              </w:rPr>
              <w:t>南宁中心学校、益宁中心学校、白石江中心学校、文华中心学校、潇湘中心学校、潇湘中学、越州中心学校、越州一中、越州二中、沿江中心学校、珠街中心学校、珠街二中、麒麟区特殊教育学校、麒麟区启智爱心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59" w:hRule="atLeast"/>
        </w:trPr>
        <w:tc>
          <w:tcPr>
            <w:tcW w:w="479"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四标</w:t>
            </w:r>
          </w:p>
        </w:tc>
        <w:tc>
          <w:tcPr>
            <w:tcW w:w="629"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231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学期农村义务教育学生营养改善计划大宗食材采购项目四标段（食用油</w:t>
            </w:r>
            <w:r>
              <w:rPr>
                <w:rFonts w:hint="eastAsia" w:ascii="宋体" w:hAnsi="宋体" w:cs="宋体"/>
                <w:color w:val="auto"/>
                <w:sz w:val="24"/>
                <w:szCs w:val="24"/>
                <w:highlight w:val="none"/>
                <w:lang w:val="en-US" w:eastAsia="zh-CN"/>
              </w:rPr>
              <w:t>、鸡蛋</w:t>
            </w:r>
            <w:r>
              <w:rPr>
                <w:rFonts w:hint="eastAsia" w:ascii="宋体" w:hAnsi="宋体" w:eastAsia="宋体" w:cs="宋体"/>
                <w:color w:val="auto"/>
                <w:sz w:val="24"/>
                <w:szCs w:val="24"/>
                <w:highlight w:val="none"/>
                <w:lang w:val="en-US" w:eastAsia="zh-CN"/>
              </w:rPr>
              <w:t>）</w:t>
            </w:r>
          </w:p>
        </w:tc>
        <w:tc>
          <w:tcPr>
            <w:tcW w:w="130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454</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46</w:t>
            </w:r>
          </w:p>
        </w:tc>
        <w:tc>
          <w:tcPr>
            <w:tcW w:w="115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w:t>
            </w:r>
            <w:r>
              <w:rPr>
                <w:rFonts w:hint="eastAsia" w:ascii="宋体" w:hAnsi="宋体" w:cs="宋体"/>
                <w:color w:val="auto"/>
                <w:sz w:val="24"/>
                <w:szCs w:val="24"/>
                <w:highlight w:val="none"/>
                <w:vertAlign w:val="baseline"/>
                <w:lang w:val="en-US" w:eastAsia="zh-CN"/>
              </w:rPr>
              <w:t>18683</w:t>
            </w:r>
          </w:p>
        </w:tc>
        <w:tc>
          <w:tcPr>
            <w:tcW w:w="1275"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1314333.2</w:t>
            </w:r>
          </w:p>
        </w:tc>
        <w:tc>
          <w:tcPr>
            <w:tcW w:w="780"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食用油</w:t>
            </w:r>
            <w:r>
              <w:rPr>
                <w:rFonts w:hint="eastAsia" w:ascii="宋体" w:hAnsi="宋体" w:cs="宋体"/>
                <w:color w:val="auto"/>
                <w:sz w:val="24"/>
                <w:szCs w:val="24"/>
                <w:highlight w:val="none"/>
                <w:vertAlign w:val="baseline"/>
                <w:lang w:val="en-US" w:eastAsia="zh-CN"/>
              </w:rPr>
              <w:t>、鸡蛋</w:t>
            </w:r>
          </w:p>
        </w:tc>
        <w:tc>
          <w:tcPr>
            <w:tcW w:w="2271" w:type="dxa"/>
            <w:gridSpan w:val="2"/>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茨营中心学校、茨营中学、东山中心学校、东山一中、东山二中、东山三中、三宝中心学校、三宝三中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66" w:hRule="atLeast"/>
        </w:trPr>
        <w:tc>
          <w:tcPr>
            <w:tcW w:w="479"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五</w:t>
            </w:r>
            <w:r>
              <w:rPr>
                <w:rFonts w:hint="eastAsia" w:ascii="宋体" w:hAnsi="宋体" w:eastAsia="宋体" w:cs="宋体"/>
                <w:color w:val="auto"/>
                <w:sz w:val="24"/>
                <w:szCs w:val="24"/>
                <w:highlight w:val="none"/>
                <w:vertAlign w:val="baseline"/>
                <w:lang w:val="en-US" w:eastAsia="zh-CN"/>
              </w:rPr>
              <w:t>标</w:t>
            </w:r>
          </w:p>
        </w:tc>
        <w:tc>
          <w:tcPr>
            <w:tcW w:w="629" w:type="dxa"/>
            <w:vMerge w:val="restart"/>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猪肉</w:t>
            </w:r>
            <w:r>
              <w:rPr>
                <w:rFonts w:hint="eastAsia" w:ascii="宋体" w:hAnsi="宋体" w:cs="宋体"/>
                <w:color w:val="auto"/>
                <w:sz w:val="24"/>
                <w:szCs w:val="24"/>
                <w:highlight w:val="none"/>
                <w:vertAlign w:val="baseline"/>
                <w:lang w:val="en-US" w:eastAsia="zh-CN"/>
              </w:rPr>
              <w:t>类</w:t>
            </w:r>
          </w:p>
        </w:tc>
        <w:tc>
          <w:tcPr>
            <w:tcW w:w="231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w:t>
            </w: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lang w:val="en-US" w:eastAsia="zh-CN"/>
              </w:rPr>
              <w:t>标段（猪肉）</w:t>
            </w:r>
          </w:p>
        </w:tc>
        <w:tc>
          <w:tcPr>
            <w:tcW w:w="130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w:t>
            </w:r>
            <w:r>
              <w:rPr>
                <w:rFonts w:hint="eastAsia" w:ascii="宋体" w:hAnsi="宋体" w:cs="宋体"/>
                <w:color w:val="auto"/>
                <w:sz w:val="24"/>
                <w:szCs w:val="24"/>
                <w:highlight w:val="none"/>
                <w:vertAlign w:val="baseline"/>
                <w:lang w:val="en-US" w:eastAsia="zh-CN"/>
              </w:rPr>
              <w:t>1455-2026-47</w:t>
            </w:r>
          </w:p>
        </w:tc>
        <w:tc>
          <w:tcPr>
            <w:tcW w:w="115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约1</w:t>
            </w:r>
            <w:r>
              <w:rPr>
                <w:rFonts w:hint="eastAsia" w:ascii="宋体" w:hAnsi="宋体" w:cs="宋体"/>
                <w:color w:val="auto"/>
                <w:sz w:val="24"/>
                <w:szCs w:val="24"/>
                <w:highlight w:val="none"/>
                <w:vertAlign w:val="baseline"/>
                <w:lang w:val="en-US" w:eastAsia="zh-CN"/>
              </w:rPr>
              <w:t>2542</w:t>
            </w:r>
          </w:p>
        </w:tc>
        <w:tc>
          <w:tcPr>
            <w:tcW w:w="1275"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8122240</w:t>
            </w:r>
          </w:p>
        </w:tc>
        <w:tc>
          <w:tcPr>
            <w:tcW w:w="780"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猪肉</w:t>
            </w:r>
          </w:p>
        </w:tc>
        <w:tc>
          <w:tcPr>
            <w:tcW w:w="2271" w:type="dxa"/>
            <w:gridSpan w:val="2"/>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东山中心学校、东山一中、东山二中、东山三中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22" w:hRule="atLeast"/>
        </w:trPr>
        <w:tc>
          <w:tcPr>
            <w:tcW w:w="479"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六</w:t>
            </w:r>
            <w:r>
              <w:rPr>
                <w:rFonts w:hint="eastAsia" w:ascii="宋体" w:hAnsi="宋体" w:eastAsia="宋体" w:cs="宋体"/>
                <w:color w:val="auto"/>
                <w:sz w:val="24"/>
                <w:szCs w:val="24"/>
                <w:highlight w:val="none"/>
                <w:vertAlign w:val="baseline"/>
                <w:lang w:val="en-US" w:eastAsia="zh-CN"/>
              </w:rPr>
              <w:t>标</w:t>
            </w:r>
          </w:p>
        </w:tc>
        <w:tc>
          <w:tcPr>
            <w:tcW w:w="629"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231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lang w:val="en-US" w:eastAsia="zh-CN"/>
              </w:rPr>
              <w:t>标段（猪肉）</w:t>
            </w:r>
          </w:p>
        </w:tc>
        <w:tc>
          <w:tcPr>
            <w:tcW w:w="1305"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456</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48</w:t>
            </w:r>
          </w:p>
        </w:tc>
        <w:tc>
          <w:tcPr>
            <w:tcW w:w="115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约9</w:t>
            </w:r>
            <w:r>
              <w:rPr>
                <w:rFonts w:hint="eastAsia" w:ascii="宋体" w:hAnsi="宋体" w:cs="宋体"/>
                <w:color w:val="auto"/>
                <w:sz w:val="24"/>
                <w:szCs w:val="24"/>
                <w:highlight w:val="none"/>
                <w:vertAlign w:val="baseline"/>
                <w:lang w:val="en-US" w:eastAsia="zh-CN"/>
              </w:rPr>
              <w:t>014</w:t>
            </w:r>
          </w:p>
        </w:tc>
        <w:tc>
          <w:tcPr>
            <w:tcW w:w="1275"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4840024</w:t>
            </w:r>
          </w:p>
        </w:tc>
        <w:tc>
          <w:tcPr>
            <w:tcW w:w="780"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猪肉</w:t>
            </w:r>
          </w:p>
        </w:tc>
        <w:tc>
          <w:tcPr>
            <w:tcW w:w="2271" w:type="dxa"/>
            <w:gridSpan w:val="2"/>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越州中心学校、越州一中、越州二中、茨营中心学校、茨营中学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60" w:hRule="atLeast"/>
        </w:trPr>
        <w:tc>
          <w:tcPr>
            <w:tcW w:w="479"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七</w:t>
            </w:r>
            <w:r>
              <w:rPr>
                <w:rFonts w:hint="eastAsia" w:ascii="宋体" w:hAnsi="宋体" w:eastAsia="宋体" w:cs="宋体"/>
                <w:color w:val="auto"/>
                <w:sz w:val="24"/>
                <w:szCs w:val="24"/>
                <w:highlight w:val="none"/>
                <w:vertAlign w:val="baseline"/>
                <w:lang w:val="en-US" w:eastAsia="zh-CN"/>
              </w:rPr>
              <w:t>标</w:t>
            </w:r>
          </w:p>
        </w:tc>
        <w:tc>
          <w:tcPr>
            <w:tcW w:w="629"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231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w:t>
            </w:r>
            <w:r>
              <w:rPr>
                <w:rFonts w:hint="eastAsia" w:ascii="宋体" w:hAnsi="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eastAsia="zh-CN"/>
              </w:rPr>
              <w:t>标段（猪肉）</w:t>
            </w:r>
          </w:p>
        </w:tc>
        <w:tc>
          <w:tcPr>
            <w:tcW w:w="130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457</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49</w:t>
            </w:r>
          </w:p>
        </w:tc>
        <w:tc>
          <w:tcPr>
            <w:tcW w:w="115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约6</w:t>
            </w:r>
            <w:r>
              <w:rPr>
                <w:rFonts w:hint="eastAsia" w:ascii="宋体" w:hAnsi="宋体" w:cs="宋体"/>
                <w:color w:val="auto"/>
                <w:sz w:val="24"/>
                <w:szCs w:val="24"/>
                <w:highlight w:val="none"/>
                <w:vertAlign w:val="baseline"/>
                <w:lang w:val="en-US" w:eastAsia="zh-CN"/>
              </w:rPr>
              <w:t>246</w:t>
            </w:r>
          </w:p>
        </w:tc>
        <w:tc>
          <w:tcPr>
            <w:tcW w:w="1275"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3465616</w:t>
            </w:r>
          </w:p>
        </w:tc>
        <w:tc>
          <w:tcPr>
            <w:tcW w:w="780"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猪肉</w:t>
            </w:r>
          </w:p>
        </w:tc>
        <w:tc>
          <w:tcPr>
            <w:tcW w:w="2271" w:type="dxa"/>
            <w:gridSpan w:val="2"/>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潇湘中心学校、潇湘中学、沿江中心学校、三宝中心学校、三宝三中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4" w:hRule="atLeast"/>
        </w:trPr>
        <w:tc>
          <w:tcPr>
            <w:tcW w:w="479"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八</w:t>
            </w:r>
            <w:r>
              <w:rPr>
                <w:rFonts w:hint="eastAsia" w:ascii="宋体" w:hAnsi="宋体" w:eastAsia="宋体" w:cs="宋体"/>
                <w:color w:val="auto"/>
                <w:sz w:val="24"/>
                <w:szCs w:val="24"/>
                <w:highlight w:val="none"/>
                <w:vertAlign w:val="baseline"/>
                <w:lang w:val="en-US" w:eastAsia="zh-CN"/>
              </w:rPr>
              <w:t>标</w:t>
            </w:r>
          </w:p>
        </w:tc>
        <w:tc>
          <w:tcPr>
            <w:tcW w:w="629"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231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w:t>
            </w:r>
            <w:r>
              <w:rPr>
                <w:rFonts w:hint="eastAsia" w:ascii="宋体" w:hAnsi="宋体" w:cs="宋体"/>
                <w:color w:val="auto"/>
                <w:sz w:val="24"/>
                <w:szCs w:val="24"/>
                <w:highlight w:val="none"/>
                <w:lang w:val="en-US" w:eastAsia="zh-CN"/>
              </w:rPr>
              <w:t>八</w:t>
            </w:r>
            <w:r>
              <w:rPr>
                <w:rFonts w:hint="eastAsia" w:ascii="宋体" w:hAnsi="宋体" w:eastAsia="宋体" w:cs="宋体"/>
                <w:color w:val="auto"/>
                <w:sz w:val="24"/>
                <w:szCs w:val="24"/>
                <w:highlight w:val="none"/>
                <w:lang w:val="en-US" w:eastAsia="zh-CN"/>
              </w:rPr>
              <w:t>标段（猪肉）</w:t>
            </w:r>
          </w:p>
        </w:tc>
        <w:tc>
          <w:tcPr>
            <w:tcW w:w="130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458</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50</w:t>
            </w:r>
          </w:p>
        </w:tc>
        <w:tc>
          <w:tcPr>
            <w:tcW w:w="115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约6</w:t>
            </w:r>
            <w:r>
              <w:rPr>
                <w:rFonts w:hint="eastAsia" w:ascii="宋体" w:hAnsi="宋体" w:cs="宋体"/>
                <w:color w:val="auto"/>
                <w:sz w:val="24"/>
                <w:szCs w:val="24"/>
                <w:highlight w:val="none"/>
                <w:vertAlign w:val="baseline"/>
                <w:lang w:val="en-US" w:eastAsia="zh-CN"/>
              </w:rPr>
              <w:t>124</w:t>
            </w:r>
          </w:p>
        </w:tc>
        <w:tc>
          <w:tcPr>
            <w:tcW w:w="1275" w:type="dxa"/>
            <w:vAlign w:val="center"/>
          </w:tcPr>
          <w:p>
            <w:pPr>
              <w:widowControl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pacing w:val="-6"/>
                <w:sz w:val="24"/>
                <w:szCs w:val="24"/>
                <w:highlight w:val="none"/>
                <w:vertAlign w:val="baseline"/>
                <w:lang w:val="en-US" w:eastAsia="zh-CN"/>
              </w:rPr>
              <w:t>3119900</w:t>
            </w:r>
          </w:p>
        </w:tc>
        <w:tc>
          <w:tcPr>
            <w:tcW w:w="780"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猪肉</w:t>
            </w:r>
          </w:p>
        </w:tc>
        <w:tc>
          <w:tcPr>
            <w:tcW w:w="2271" w:type="dxa"/>
            <w:gridSpan w:val="2"/>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南宁中心学校、益宁中心学校、白石江中心学校、文华中心学校、珠街中心学校、珠街二中、麒麟区特殊教育学校</w:t>
            </w:r>
            <w:r>
              <w:rPr>
                <w:rFonts w:hint="eastAsia" w:ascii="宋体" w:hAnsi="宋体" w:eastAsia="宋体" w:cs="宋体"/>
                <w:color w:val="auto"/>
                <w:spacing w:val="-6"/>
                <w:sz w:val="24"/>
                <w:szCs w:val="24"/>
                <w:highlight w:val="none"/>
                <w:lang w:val="en-US" w:eastAsia="zh-CN"/>
              </w:rPr>
              <w:t>、麒麟区启智爱心学校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525" w:hRule="atLeast"/>
        </w:trPr>
        <w:tc>
          <w:tcPr>
            <w:tcW w:w="10203" w:type="dxa"/>
            <w:gridSpan w:val="8"/>
            <w:vAlign w:val="center"/>
          </w:tcPr>
          <w:p>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总计：</w:t>
            </w:r>
            <w:r>
              <w:rPr>
                <w:rFonts w:hint="eastAsia" w:ascii="宋体" w:hAnsi="宋体" w:cs="宋体"/>
                <w:b/>
                <w:bCs/>
                <w:color w:val="auto"/>
                <w:sz w:val="24"/>
                <w:szCs w:val="24"/>
                <w:highlight w:val="none"/>
                <w:lang w:val="en-US" w:eastAsia="zh-CN"/>
              </w:rPr>
              <w:t>26085748.97元</w:t>
            </w:r>
          </w:p>
        </w:tc>
      </w:tr>
    </w:tbl>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eastAsia="zh-CN"/>
        </w:rPr>
        <w:t>合同履行期限（供货期限）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一个学年度（202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年秋季及202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年春季学期，具体期限以学校学年度期限为准）</w:t>
      </w:r>
      <w:r>
        <w:rPr>
          <w:rFonts w:hint="eastAsia" w:ascii="宋体" w:hAnsi="宋体" w:eastAsia="宋体" w:cs="宋体"/>
          <w:color w:val="auto"/>
          <w:sz w:val="24"/>
          <w:szCs w:val="24"/>
          <w:highlight w:val="none"/>
          <w:lang w:eastAsia="zh-CN"/>
        </w:rPr>
        <w:t>。</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质量</w:t>
      </w:r>
      <w:r>
        <w:rPr>
          <w:rFonts w:hint="eastAsia" w:ascii="宋体" w:hAnsi="宋体" w:cs="宋体"/>
          <w:color w:val="auto"/>
          <w:sz w:val="24"/>
          <w:szCs w:val="24"/>
          <w:highlight w:val="none"/>
          <w:lang w:val="en-US" w:eastAsia="zh-CN"/>
        </w:rPr>
        <w:t>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符合</w:t>
      </w:r>
      <w:r>
        <w:rPr>
          <w:rFonts w:hint="eastAsia" w:ascii="宋体" w:hAnsi="宋体" w:cs="宋体"/>
          <w:color w:val="auto"/>
          <w:sz w:val="24"/>
          <w:szCs w:val="24"/>
          <w:highlight w:val="none"/>
          <w:lang w:val="en-US" w:eastAsia="zh-CN"/>
        </w:rPr>
        <w:t>《食品安全国家标准》</w:t>
      </w:r>
      <w:r>
        <w:rPr>
          <w:rFonts w:hint="eastAsia" w:ascii="宋体" w:hAnsi="宋体" w:eastAsia="宋体" w:cs="宋体"/>
          <w:color w:val="auto"/>
          <w:sz w:val="24"/>
          <w:szCs w:val="24"/>
          <w:highlight w:val="none"/>
          <w:lang w:val="en-US" w:eastAsia="zh-CN"/>
        </w:rPr>
        <w:t>及相关行业标准</w:t>
      </w:r>
      <w:r>
        <w:rPr>
          <w:rFonts w:hint="eastAsia" w:ascii="宋体" w:hAnsi="宋体" w:cs="宋体"/>
          <w:color w:val="auto"/>
          <w:sz w:val="24"/>
          <w:szCs w:val="24"/>
          <w:highlight w:val="none"/>
          <w:lang w:val="en-US" w:eastAsia="zh-CN"/>
        </w:rPr>
        <w:t>，按照采购人指定的供货批次每批次验收合格。</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供货地点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采购人指定的各学校具体实施营养改善计划校点。</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w:t>
      </w:r>
      <w:bookmarkStart w:id="45" w:name="_Toc17229"/>
      <w:bookmarkStart w:id="46" w:name="_Toc28317"/>
      <w:bookmarkStart w:id="47" w:name="_Toc27100"/>
      <w:bookmarkStart w:id="48" w:name="_Toc32427"/>
      <w:bookmarkStart w:id="49" w:name="_Toc31564"/>
      <w:bookmarkStart w:id="50" w:name="_Toc28359003"/>
      <w:bookmarkStart w:id="51" w:name="_Toc15712"/>
      <w:bookmarkStart w:id="52" w:name="_Toc17830"/>
      <w:bookmarkStart w:id="53" w:name="_Toc1894"/>
      <w:bookmarkStart w:id="54" w:name="_Toc9231"/>
      <w:bookmarkStart w:id="55" w:name="_Toc7104"/>
      <w:bookmarkStart w:id="56" w:name="_Toc25926"/>
      <w:bookmarkStart w:id="57" w:name="_Toc3731"/>
      <w:bookmarkStart w:id="58" w:name="_Toc35393791"/>
      <w:bookmarkStart w:id="59" w:name="_Toc29474"/>
      <w:bookmarkStart w:id="60" w:name="_Toc30513"/>
      <w:bookmarkStart w:id="61" w:name="_Toc15814"/>
      <w:bookmarkStart w:id="62" w:name="_Toc10335"/>
      <w:bookmarkStart w:id="63" w:name="_Toc14067"/>
      <w:bookmarkStart w:id="64" w:name="_Toc21426"/>
      <w:bookmarkStart w:id="65" w:name="_Toc27439"/>
      <w:bookmarkStart w:id="66" w:name="_Toc14936904"/>
      <w:bookmarkStart w:id="67" w:name="_Toc21828"/>
      <w:bookmarkStart w:id="68" w:name="_Toc3449"/>
      <w:bookmarkStart w:id="69" w:name="_Toc28359080"/>
      <w:bookmarkStart w:id="70" w:name="_Toc29603"/>
      <w:bookmarkStart w:id="71" w:name="_Toc1722"/>
      <w:bookmarkStart w:id="72" w:name="_Toc8392"/>
      <w:bookmarkStart w:id="73" w:name="_Toc28592"/>
      <w:bookmarkStart w:id="74" w:name="_Toc18972"/>
      <w:bookmarkStart w:id="75" w:name="_Toc2176"/>
      <w:bookmarkStart w:id="76" w:name="_Toc35393622"/>
      <w:bookmarkStart w:id="77" w:name="_Toc32699"/>
      <w:r>
        <w:rPr>
          <w:rFonts w:hint="eastAsia" w:ascii="宋体" w:hAnsi="宋体" w:eastAsia="宋体" w:cs="宋体"/>
          <w:color w:val="auto"/>
          <w:sz w:val="24"/>
          <w:szCs w:val="24"/>
          <w:highlight w:val="none"/>
          <w:lang w:val="en-US" w:eastAsia="zh-CN"/>
        </w:rPr>
        <w:t>本项目拒绝联合体投标。</w:t>
      </w:r>
    </w:p>
    <w:p>
      <w:pPr>
        <w:pStyle w:val="4"/>
        <w:keepLines w:val="0"/>
        <w:pageBreakBefore w:val="0"/>
        <w:widowControl w:val="0"/>
        <w:numPr>
          <w:ilvl w:val="0"/>
          <w:numId w:val="0"/>
        </w:numPr>
        <w:tabs>
          <w:tab w:val="left" w:pos="360"/>
          <w:tab w:val="left" w:pos="840"/>
          <w:tab w:val="left" w:pos="3999"/>
        </w:tabs>
        <w:kinsoku/>
        <w:wordWrap/>
        <w:overflowPunct/>
        <w:topLinePunct w:val="0"/>
        <w:autoSpaceDE/>
        <w:autoSpaceDN/>
        <w:bidi w:val="0"/>
        <w:snapToGrid/>
        <w:spacing w:line="500" w:lineRule="exact"/>
        <w:ind w:left="425"/>
        <w:jc w:val="left"/>
        <w:rPr>
          <w:rFonts w:hint="eastAsia" w:ascii="宋体" w:hAnsi="宋体" w:eastAsia="宋体" w:cs="宋体"/>
          <w:b/>
          <w:bCs/>
          <w:color w:val="auto"/>
          <w:sz w:val="24"/>
          <w:szCs w:val="20"/>
          <w:highlight w:val="none"/>
        </w:rPr>
      </w:pPr>
      <w:bookmarkStart w:id="78" w:name="_Toc20846"/>
      <w:bookmarkStart w:id="79" w:name="_Toc30799"/>
      <w:bookmarkStart w:id="80" w:name="_Toc1551"/>
      <w:r>
        <w:rPr>
          <w:rFonts w:hint="eastAsia" w:ascii="宋体" w:hAnsi="宋体" w:eastAsia="宋体" w:cs="宋体"/>
          <w:b/>
          <w:bCs/>
          <w:color w:val="auto"/>
          <w:sz w:val="24"/>
          <w:szCs w:val="20"/>
          <w:highlight w:val="none"/>
        </w:rPr>
        <w:t>二、</w:t>
      </w:r>
      <w:r>
        <w:rPr>
          <w:rFonts w:hint="eastAsia" w:ascii="宋体" w:hAnsi="宋体" w:eastAsia="宋体" w:cs="宋体"/>
          <w:b/>
          <w:bCs/>
          <w:color w:val="auto"/>
          <w:sz w:val="24"/>
          <w:szCs w:val="20"/>
          <w:highlight w:val="none"/>
          <w:lang w:eastAsia="zh-CN"/>
        </w:rPr>
        <w:t>供应商资格要求</w:t>
      </w:r>
      <w:r>
        <w:rPr>
          <w:rFonts w:hint="eastAsia" w:ascii="宋体" w:hAnsi="宋体" w:eastAsia="宋体" w:cs="宋体"/>
          <w:b/>
          <w:bCs/>
          <w:color w:val="auto"/>
          <w:sz w:val="24"/>
          <w:szCs w:val="20"/>
          <w:highlight w:val="none"/>
        </w:rPr>
        <w:t>：</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pPr>
        <w:keepLines w:val="0"/>
        <w:pageBreakBefore w:val="0"/>
        <w:kinsoku/>
        <w:wordWrap/>
        <w:overflowPunct/>
        <w:topLinePunct w:val="0"/>
        <w:autoSpaceDE/>
        <w:autoSpaceDN/>
        <w:bidi w:val="0"/>
        <w:snapToGrid/>
        <w:spacing w:line="500" w:lineRule="exact"/>
        <w:ind w:firstLine="482" w:firstLineChars="200"/>
        <w:rPr>
          <w:rFonts w:hint="eastAsia" w:ascii="宋体" w:hAnsi="宋体" w:eastAsia="宋体" w:cs="宋体"/>
          <w:color w:val="auto"/>
          <w:sz w:val="24"/>
          <w:szCs w:val="24"/>
          <w:highlight w:val="none"/>
          <w:lang w:val="en-US" w:eastAsia="zh-CN"/>
        </w:rPr>
      </w:pPr>
      <w:bookmarkStart w:id="81" w:name="OLE_LINK46"/>
      <w:bookmarkStart w:id="82" w:name="_Toc20661"/>
      <w:bookmarkStart w:id="83" w:name="_Toc22599"/>
      <w:bookmarkStart w:id="84" w:name="_Toc2094"/>
      <w:bookmarkStart w:id="85" w:name="_Toc24490"/>
      <w:bookmarkStart w:id="86" w:name="_Toc9024"/>
      <w:bookmarkStart w:id="87" w:name="_Toc18053"/>
      <w:bookmarkStart w:id="88" w:name="_Toc25310"/>
      <w:bookmarkStart w:id="89" w:name="_Toc29759"/>
      <w:bookmarkStart w:id="90" w:name="_Toc421"/>
      <w:bookmarkStart w:id="91" w:name="_Toc6320"/>
      <w:bookmarkStart w:id="92" w:name="_Toc32362"/>
      <w:bookmarkStart w:id="93" w:name="_Toc10060"/>
      <w:bookmarkStart w:id="94" w:name="_Toc14244"/>
      <w:bookmarkStart w:id="95" w:name="_Toc8631"/>
      <w:bookmarkStart w:id="96" w:name="_Toc14936905"/>
      <w:bookmarkStart w:id="97" w:name="_Toc12950"/>
      <w:bookmarkStart w:id="98" w:name="_Toc15202"/>
      <w:bookmarkStart w:id="99" w:name="_Toc21719"/>
      <w:bookmarkStart w:id="100" w:name="_Toc11975"/>
      <w:bookmarkStart w:id="101" w:name="_Toc1316"/>
      <w:bookmarkStart w:id="102" w:name="_Toc31243"/>
      <w:bookmarkStart w:id="103" w:name="_Toc28359004"/>
      <w:bookmarkStart w:id="104" w:name="_Toc28359081"/>
      <w:bookmarkStart w:id="105" w:name="_Toc26551"/>
      <w:bookmarkStart w:id="106" w:name="_Toc16774"/>
      <w:bookmarkStart w:id="107" w:name="_Toc35393623"/>
      <w:bookmarkStart w:id="108" w:name="_Toc29652"/>
      <w:bookmarkStart w:id="109" w:name="_Toc16450"/>
      <w:bookmarkStart w:id="110" w:name="_Toc15986"/>
      <w:bookmarkStart w:id="111" w:name="_Toc35393792"/>
      <w:bookmarkStart w:id="112" w:name="_Toc23555"/>
      <w:bookmarkStart w:id="113" w:name="_Toc17173"/>
      <w:bookmarkStart w:id="114" w:name="_Toc1201"/>
      <w:bookmarkStart w:id="115" w:name="_Toc27732"/>
      <w:bookmarkStart w:id="116" w:name="_Toc12895"/>
      <w:bookmarkStart w:id="117" w:name="_Toc8516"/>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满足《中华人民共和国政府采购法》第二十二条及其他相关规定：</w:t>
      </w:r>
    </w:p>
    <w:p>
      <w:pPr>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（1）具有独立承担民事责任的能力；</w:t>
      </w:r>
    </w:p>
    <w:p>
      <w:pPr>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（2）具有良好的商业信誉和健全的财务会计制度；</w:t>
      </w:r>
    </w:p>
    <w:p>
      <w:pPr>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（3）具有依法缴纳税收和社会保障资金的良好记录；</w:t>
      </w:r>
    </w:p>
    <w:p>
      <w:pPr>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（4）具有履行合同所必需的设备和专业技术能力；</w:t>
      </w:r>
    </w:p>
    <w:p>
      <w:pPr>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（5）参加本次政府采购活动前三年内，在经营活动中没有重大违法记录（重大违法记录，是指服务商因违法经营受到刑事处罚或者责令停产停业、吊销许可证或者营业执照、较大数额罚款等行政处罚）；</w:t>
      </w:r>
    </w:p>
    <w:p>
      <w:pPr>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pPr>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（7）在投标（响应）截止日期前未被列入失信被执行人名单、</w:t>
      </w:r>
      <w:r>
        <w:rPr>
          <w:rFonts w:hint="eastAsia" w:ascii="宋体" w:hAnsi="宋体" w:cs="宋体"/>
          <w:color w:val="auto"/>
          <w:sz w:val="24"/>
          <w:szCs w:val="24"/>
          <w:highlight w:val="none"/>
          <w:lang w:val="en-US" w:eastAsia="zh-CN"/>
        </w:rPr>
        <w:t>重大税收违法失信主体名单</w:t>
      </w:r>
      <w:r>
        <w:rPr>
          <w:rFonts w:hint="eastAsia" w:ascii="宋体" w:hAnsi="宋体" w:eastAsia="宋体" w:cs="宋体"/>
          <w:color w:val="auto"/>
          <w:sz w:val="24"/>
          <w:szCs w:val="24"/>
          <w:highlight w:val="none"/>
          <w:lang w:val="en-US" w:eastAsia="zh-CN"/>
        </w:rPr>
        <w:t>、政府采购严重违法失信行为记录名单。</w:t>
      </w:r>
    </w:p>
    <w:p>
      <w:pPr>
        <w:pStyle w:val="42"/>
        <w:keepLines w:val="0"/>
        <w:pageBreakBefore w:val="0"/>
        <w:kinsoku/>
        <w:wordWrap/>
        <w:overflowPunct/>
        <w:topLinePunct w:val="0"/>
        <w:autoSpaceDE/>
        <w:autoSpaceDN/>
        <w:bidi w:val="0"/>
        <w:snapToGrid/>
        <w:spacing w:before="0" w:beforeAutospacing="0" w:after="0" w:afterAutospacing="0" w:line="500" w:lineRule="exact"/>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信用信息查询渠道：</w:t>
      </w:r>
    </w:p>
    <w:p>
      <w:pPr>
        <w:pStyle w:val="42"/>
        <w:keepLines w:val="0"/>
        <w:pageBreakBefore w:val="0"/>
        <w:kinsoku/>
        <w:wordWrap/>
        <w:overflowPunct/>
        <w:topLinePunct w:val="0"/>
        <w:autoSpaceDE/>
        <w:autoSpaceDN/>
        <w:bidi w:val="0"/>
        <w:snapToGrid/>
        <w:spacing w:before="0" w:beforeAutospacing="0" w:after="0" w:afterAutospacing="0" w:line="500" w:lineRule="exact"/>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①</w:t>
      </w:r>
      <w:r>
        <w:rPr>
          <w:rFonts w:hint="eastAsia" w:cs="宋体"/>
          <w:color w:val="auto"/>
          <w:highlight w:val="none"/>
          <w:lang w:eastAsia="zh-CN"/>
        </w:rPr>
        <w:t>《</w:t>
      </w:r>
      <w:r>
        <w:rPr>
          <w:rFonts w:hint="eastAsia" w:ascii="宋体" w:hAnsi="宋体" w:eastAsia="宋体" w:cs="宋体"/>
          <w:color w:val="auto"/>
          <w:highlight w:val="none"/>
          <w:lang w:val="en-US" w:eastAsia="zh-CN"/>
        </w:rPr>
        <w:t>中国执行信息公开网</w:t>
      </w:r>
      <w:r>
        <w:rPr>
          <w:rFonts w:hint="eastAsia" w:cs="宋体"/>
          <w:color w:val="auto"/>
          <w:highlight w:val="none"/>
          <w:lang w:eastAsia="zh-CN"/>
        </w:rPr>
        <w:t>》</w:t>
      </w:r>
      <w:r>
        <w:rPr>
          <w:rFonts w:hint="eastAsia" w:ascii="宋体" w:hAnsi="宋体" w:eastAsia="宋体" w:cs="宋体"/>
          <w:color w:val="auto"/>
          <w:highlight w:val="none"/>
          <w:lang w:eastAsia="zh-CN"/>
        </w:rPr>
        <w:t>查询“</w:t>
      </w:r>
      <w:r>
        <w:rPr>
          <w:rFonts w:hint="eastAsia" w:ascii="宋体" w:hAnsi="宋体" w:eastAsia="宋体" w:cs="宋体"/>
          <w:color w:val="auto"/>
          <w:highlight w:val="none"/>
        </w:rPr>
        <w:t>失信被执行人名单</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w:t>
      </w:r>
    </w:p>
    <w:p>
      <w:pPr>
        <w:pStyle w:val="42"/>
        <w:keepLines w:val="0"/>
        <w:pageBreakBefore w:val="0"/>
        <w:kinsoku/>
        <w:wordWrap/>
        <w:overflowPunct/>
        <w:topLinePunct w:val="0"/>
        <w:autoSpaceDE/>
        <w:autoSpaceDN/>
        <w:bidi w:val="0"/>
        <w:snapToGrid/>
        <w:spacing w:before="0" w:beforeAutospacing="0" w:after="0" w:afterAutospacing="0" w:line="500" w:lineRule="exact"/>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②《信用中国网》查询</w:t>
      </w:r>
      <w:r>
        <w:rPr>
          <w:rFonts w:hint="eastAsia" w:cs="宋体"/>
          <w:color w:val="auto"/>
          <w:highlight w:val="none"/>
          <w:lang w:eastAsia="zh-CN"/>
        </w:rPr>
        <w:t>“</w:t>
      </w:r>
      <w:r>
        <w:rPr>
          <w:rFonts w:hint="eastAsia" w:ascii="宋体" w:hAnsi="宋体" w:eastAsia="宋体" w:cs="宋体"/>
          <w:color w:val="auto"/>
          <w:highlight w:val="none"/>
          <w:lang w:eastAsia="zh-CN"/>
        </w:rPr>
        <w:t>重大税收违法失信主体名</w:t>
      </w:r>
      <w:r>
        <w:rPr>
          <w:rFonts w:hint="eastAsia" w:ascii="宋体" w:hAnsi="宋体" w:eastAsia="宋体" w:cs="宋体"/>
          <w:color w:val="auto"/>
          <w:highlight w:val="none"/>
        </w:rPr>
        <w:t>单</w:t>
      </w:r>
      <w:r>
        <w:rPr>
          <w:rFonts w:hint="eastAsia" w:ascii="宋体" w:hAnsi="宋体" w:eastAsia="宋体" w:cs="宋体"/>
          <w:color w:val="auto"/>
          <w:highlight w:val="none"/>
          <w:lang w:eastAsia="zh-CN"/>
        </w:rPr>
        <w:t>”</w:t>
      </w:r>
      <w:r>
        <w:rPr>
          <w:rFonts w:hint="eastAsia" w:cs="宋体"/>
          <w:color w:val="auto"/>
          <w:highlight w:val="none"/>
          <w:lang w:val="en-US" w:eastAsia="zh-CN"/>
        </w:rPr>
        <w:t>；</w:t>
      </w:r>
    </w:p>
    <w:p>
      <w:pPr>
        <w:pStyle w:val="42"/>
        <w:keepLines w:val="0"/>
        <w:pageBreakBefore w:val="0"/>
        <w:kinsoku/>
        <w:wordWrap/>
        <w:overflowPunct/>
        <w:topLinePunct w:val="0"/>
        <w:autoSpaceDE/>
        <w:autoSpaceDN/>
        <w:bidi w:val="0"/>
        <w:snapToGrid/>
        <w:spacing w:before="0" w:beforeAutospacing="0" w:after="0" w:afterAutospacing="0" w:line="500" w:lineRule="exact"/>
        <w:ind w:firstLine="480" w:firstLineChars="200"/>
        <w:rPr>
          <w:rFonts w:hint="eastAsia" w:ascii="宋体" w:hAnsi="宋体" w:eastAsia="宋体" w:cs="宋体"/>
          <w:color w:val="auto"/>
          <w:sz w:val="24"/>
          <w:szCs w:val="24"/>
          <w:highlight w:val="none"/>
          <w:lang w:val="en-US" w:eastAsia="zh-CN"/>
        </w:rPr>
      </w:pPr>
      <w:r>
        <w:rPr>
          <w:rFonts w:hint="eastAsia" w:cs="宋体"/>
          <w:color w:val="auto"/>
          <w:highlight w:val="none"/>
          <w:lang w:eastAsia="zh-CN"/>
        </w:rPr>
        <w:t>③《</w:t>
      </w:r>
      <w:r>
        <w:rPr>
          <w:rFonts w:hint="eastAsia" w:ascii="宋体" w:hAnsi="宋体" w:eastAsia="宋体" w:cs="宋体"/>
          <w:color w:val="auto"/>
          <w:highlight w:val="none"/>
          <w:lang w:eastAsia="zh-CN"/>
        </w:rPr>
        <w:t>中国政府采购网</w:t>
      </w:r>
      <w:r>
        <w:rPr>
          <w:rFonts w:hint="eastAsia" w:cs="宋体"/>
          <w:color w:val="auto"/>
          <w:highlight w:val="none"/>
          <w:lang w:eastAsia="zh-CN"/>
        </w:rPr>
        <w:t>》</w:t>
      </w:r>
      <w:r>
        <w:rPr>
          <w:rFonts w:hint="eastAsia" w:ascii="宋体" w:hAnsi="宋体" w:eastAsia="宋体" w:cs="宋体"/>
          <w:color w:val="auto"/>
          <w:highlight w:val="none"/>
          <w:lang w:eastAsia="zh-CN"/>
        </w:rPr>
        <w:t>查询“</w:t>
      </w:r>
      <w:r>
        <w:rPr>
          <w:rFonts w:hint="eastAsia" w:ascii="宋体" w:hAnsi="宋体" w:eastAsia="宋体" w:cs="宋体"/>
          <w:color w:val="auto"/>
          <w:highlight w:val="none"/>
        </w:rPr>
        <w:t>政府采购严重违法失信行为记录名单</w:t>
      </w:r>
      <w:r>
        <w:rPr>
          <w:rFonts w:hint="eastAsia" w:ascii="宋体" w:hAnsi="宋体" w:eastAsia="宋体" w:cs="宋体"/>
          <w:color w:val="auto"/>
          <w:highlight w:val="none"/>
          <w:lang w:eastAsia="zh-CN"/>
        </w:rPr>
        <w:t>”。</w:t>
      </w:r>
    </w:p>
    <w:p>
      <w:pPr>
        <w:keepLines w:val="0"/>
        <w:pageBreakBefore w:val="0"/>
        <w:numPr>
          <w:ilvl w:val="0"/>
          <w:numId w:val="0"/>
        </w:numPr>
        <w:kinsoku/>
        <w:wordWrap/>
        <w:overflowPunct/>
        <w:topLinePunct w:val="0"/>
        <w:autoSpaceDE/>
        <w:autoSpaceDN/>
        <w:bidi w:val="0"/>
        <w:snapToGrid/>
        <w:spacing w:line="500" w:lineRule="exact"/>
        <w:ind w:firstLine="482" w:firstLineChars="200"/>
        <w:rPr>
          <w:rFonts w:hint="eastAsia" w:ascii="宋体" w:hAnsi="宋体" w:eastAsia="宋体" w:cs="宋体"/>
          <w:sz w:val="24"/>
          <w:highlight w:val="none"/>
          <w:lang w:val="en-US" w:eastAsia="zh-CN"/>
        </w:rPr>
      </w:pPr>
      <w:r>
        <w:rPr>
          <w:rFonts w:hint="eastAsia" w:ascii="宋体" w:hAnsi="宋体" w:eastAsia="宋体" w:cs="宋体"/>
          <w:b/>
          <w:bCs/>
          <w:color w:val="auto"/>
          <w:sz w:val="24"/>
          <w:szCs w:val="24"/>
          <w:highlight w:val="none"/>
          <w:lang w:val="en-US" w:eastAsia="zh-CN"/>
        </w:rPr>
        <w:t>2、落实政府采购政策需满足的资格要求：</w:t>
      </w:r>
      <w:r>
        <w:rPr>
          <w:rFonts w:hint="eastAsia" w:ascii="宋体" w:hAnsi="宋体" w:eastAsia="宋体" w:cs="宋体"/>
          <w:sz w:val="24"/>
          <w:highlight w:val="none"/>
          <w:lang w:val="en-US" w:eastAsia="zh-CN"/>
        </w:rPr>
        <w:t>本项目不属于专门面向中小企业采购的项目。（1）扶持中小企业政策：按照“根据《关于印发《政府采购促进中小企业发展管理办法》的通知》（财库〔2020〕46 号）和《关于进一步加大政府采购支持中小企业力度的通知》（财库〔2022〕19 号）的规定”执行。（2）支持监狱企业政策：按照根据财政部《司法部关于政府采购支持监狱企业发展有关问题》的通知（财库〔2014〕68 号）执行。（3）支持残疾人福利性单位政策：根据《三部门联合发布关于促进残疾人就业政府采购政策的通知》（财库〔2017〕141号）执行。</w:t>
      </w:r>
    </w:p>
    <w:p>
      <w:pPr>
        <w:keepLines w:val="0"/>
        <w:pageBreakBefore w:val="0"/>
        <w:numPr>
          <w:ilvl w:val="0"/>
          <w:numId w:val="0"/>
        </w:numPr>
        <w:kinsoku/>
        <w:wordWrap/>
        <w:overflowPunct/>
        <w:topLinePunct w:val="0"/>
        <w:autoSpaceDE/>
        <w:autoSpaceDN/>
        <w:bidi w:val="0"/>
        <w:snapToGrid/>
        <w:spacing w:line="50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本项目的特定资格要求：</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eastAsia="宋体" w:cs="宋体"/>
          <w:b/>
          <w:bCs/>
          <w:color w:val="auto"/>
          <w:kern w:val="2"/>
          <w:sz w:val="24"/>
          <w:szCs w:val="24"/>
          <w:highlight w:val="none"/>
          <w:lang w:val="en-US" w:eastAsia="zh-CN" w:bidi="ar-SA"/>
        </w:rPr>
        <w:t>一</w:t>
      </w:r>
      <w:r>
        <w:rPr>
          <w:rFonts w:hint="eastAsia" w:ascii="宋体" w:hAnsi="宋体" w:cs="宋体"/>
          <w:b/>
          <w:bCs/>
          <w:color w:val="auto"/>
          <w:kern w:val="2"/>
          <w:sz w:val="24"/>
          <w:szCs w:val="24"/>
          <w:highlight w:val="none"/>
          <w:lang w:val="en-US" w:eastAsia="zh-CN" w:bidi="ar-SA"/>
        </w:rPr>
        <w:t>至二</w:t>
      </w:r>
      <w:r>
        <w:rPr>
          <w:rFonts w:hint="eastAsia" w:ascii="宋体" w:hAnsi="宋体" w:eastAsia="宋体" w:cs="宋体"/>
          <w:b/>
          <w:bCs/>
          <w:color w:val="auto"/>
          <w:kern w:val="2"/>
          <w:sz w:val="24"/>
          <w:szCs w:val="24"/>
          <w:highlight w:val="none"/>
          <w:lang w:val="en-US" w:eastAsia="zh-CN" w:bidi="ar-SA"/>
        </w:rPr>
        <w:t>标段（大米）：</w:t>
      </w:r>
      <w:r>
        <w:rPr>
          <w:rFonts w:hint="eastAsia" w:ascii="宋体" w:hAnsi="宋体" w:eastAsia="宋体" w:cs="宋体"/>
          <w:color w:val="auto"/>
          <w:sz w:val="24"/>
          <w:szCs w:val="24"/>
          <w:highlight w:val="none"/>
          <w:lang w:val="en-US" w:eastAsia="zh-CN"/>
        </w:rPr>
        <w:t>生产厂家参加投标的，须提供《食品生产许可证》；</w:t>
      </w:r>
      <w:r>
        <w:rPr>
          <w:rFonts w:hint="eastAsia" w:ascii="宋体" w:hAnsi="宋体" w:cs="宋体"/>
          <w:color w:val="auto"/>
          <w:sz w:val="24"/>
          <w:szCs w:val="24"/>
          <w:highlight w:val="none"/>
          <w:lang w:val="en-US" w:eastAsia="zh-CN"/>
        </w:rPr>
        <w:t>经销</w:t>
      </w:r>
      <w:r>
        <w:rPr>
          <w:rFonts w:hint="eastAsia" w:ascii="宋体" w:hAnsi="宋体" w:eastAsia="宋体" w:cs="宋体"/>
          <w:color w:val="auto"/>
          <w:sz w:val="24"/>
          <w:szCs w:val="24"/>
          <w:highlight w:val="none"/>
          <w:lang w:val="en-US" w:eastAsia="zh-CN"/>
        </w:rPr>
        <w:t>商参加投标的，须提供</w:t>
      </w:r>
      <w:r>
        <w:rPr>
          <w:rFonts w:hint="eastAsia" w:ascii="宋体" w:hAnsi="宋体" w:cs="宋体"/>
          <w:color w:val="auto"/>
          <w:sz w:val="24"/>
          <w:szCs w:val="24"/>
          <w:highlight w:val="none"/>
          <w:lang w:val="en-US" w:eastAsia="zh-CN"/>
        </w:rPr>
        <w:t>大米</w:t>
      </w:r>
      <w:r>
        <w:rPr>
          <w:rFonts w:hint="eastAsia" w:ascii="宋体" w:hAnsi="宋体" w:eastAsia="宋体" w:cs="宋体"/>
          <w:color w:val="auto"/>
          <w:sz w:val="24"/>
          <w:szCs w:val="24"/>
          <w:highlight w:val="none"/>
          <w:lang w:val="en-US" w:eastAsia="zh-CN"/>
        </w:rPr>
        <w:t>生产厂家的《食品生产许可证》、</w:t>
      </w:r>
      <w:r>
        <w:rPr>
          <w:rFonts w:hint="eastAsia" w:ascii="宋体" w:hAnsi="宋体" w:cs="宋体"/>
          <w:color w:val="auto"/>
          <w:sz w:val="24"/>
          <w:szCs w:val="24"/>
          <w:highlight w:val="none"/>
          <w:lang w:val="en-US" w:eastAsia="zh-CN"/>
        </w:rPr>
        <w:t>经销</w:t>
      </w:r>
      <w:r>
        <w:rPr>
          <w:rFonts w:hint="eastAsia" w:ascii="宋体" w:hAnsi="宋体" w:eastAsia="宋体" w:cs="宋体"/>
          <w:color w:val="auto"/>
          <w:sz w:val="24"/>
          <w:szCs w:val="24"/>
          <w:highlight w:val="none"/>
          <w:lang w:val="en-US" w:eastAsia="zh-CN"/>
        </w:rPr>
        <w:t>商的《食品经营许可证》或《仅销售预包装食品经营者备案》。</w:t>
      </w:r>
    </w:p>
    <w:p>
      <w:pPr>
        <w:keepLines w:val="0"/>
        <w:pageBreakBefore w:val="0"/>
        <w:kinsoku/>
        <w:wordWrap/>
        <w:overflowPunct/>
        <w:topLinePunct w:val="0"/>
        <w:autoSpaceDE/>
        <w:autoSpaceDN/>
        <w:bidi w:val="0"/>
        <w:snapToGrid/>
        <w:spacing w:line="500" w:lineRule="exact"/>
        <w:ind w:firstLine="482"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cs="宋体"/>
          <w:b/>
          <w:bCs/>
          <w:color w:val="auto"/>
          <w:kern w:val="2"/>
          <w:sz w:val="24"/>
          <w:szCs w:val="24"/>
          <w:highlight w:val="none"/>
          <w:lang w:val="en-US" w:eastAsia="zh-CN" w:bidi="ar-SA"/>
        </w:rPr>
        <w:t>三至四</w:t>
      </w:r>
      <w:r>
        <w:rPr>
          <w:rFonts w:hint="eastAsia" w:ascii="宋体" w:hAnsi="宋体" w:eastAsia="宋体" w:cs="宋体"/>
          <w:b/>
          <w:bCs/>
          <w:color w:val="auto"/>
          <w:kern w:val="2"/>
          <w:sz w:val="24"/>
          <w:szCs w:val="24"/>
          <w:highlight w:val="none"/>
          <w:lang w:val="en-US" w:eastAsia="zh-CN" w:bidi="ar-SA"/>
        </w:rPr>
        <w:t>标段（食用油、鸡蛋）：</w:t>
      </w:r>
      <w:r>
        <w:rPr>
          <w:rFonts w:hint="eastAsia" w:ascii="宋体" w:hAnsi="宋体" w:cs="宋体"/>
          <w:color w:val="auto"/>
          <w:kern w:val="2"/>
          <w:sz w:val="24"/>
          <w:szCs w:val="24"/>
          <w:highlight w:val="none"/>
          <w:lang w:val="en-US" w:eastAsia="zh-CN" w:bidi="ar-SA"/>
        </w:rPr>
        <w:t>生产厂家参加投标的，须</w:t>
      </w:r>
      <w:r>
        <w:rPr>
          <w:rFonts w:hint="eastAsia" w:ascii="宋体" w:hAnsi="宋体" w:eastAsia="宋体" w:cs="宋体"/>
          <w:color w:val="auto"/>
          <w:kern w:val="2"/>
          <w:sz w:val="24"/>
          <w:szCs w:val="24"/>
          <w:highlight w:val="none"/>
          <w:lang w:val="en-US" w:eastAsia="zh-CN" w:bidi="ar-SA"/>
        </w:rPr>
        <w:t>提供</w:t>
      </w:r>
      <w:r>
        <w:rPr>
          <w:rFonts w:hint="eastAsia" w:ascii="宋体" w:hAnsi="宋体" w:cs="宋体"/>
          <w:color w:val="auto"/>
          <w:kern w:val="2"/>
          <w:sz w:val="24"/>
          <w:szCs w:val="24"/>
          <w:highlight w:val="none"/>
          <w:lang w:val="en-US" w:eastAsia="zh-CN" w:bidi="ar-SA"/>
        </w:rPr>
        <w:t>食用油的</w:t>
      </w:r>
      <w:r>
        <w:rPr>
          <w:rFonts w:hint="eastAsia" w:ascii="宋体" w:hAnsi="宋体" w:eastAsia="宋体" w:cs="宋体"/>
          <w:color w:val="auto"/>
          <w:kern w:val="2"/>
          <w:sz w:val="24"/>
          <w:szCs w:val="24"/>
          <w:highlight w:val="none"/>
          <w:lang w:val="en-US" w:eastAsia="zh-CN" w:bidi="ar-SA"/>
        </w:rPr>
        <w:t>《食品生产许可证》、</w:t>
      </w:r>
      <w:r>
        <w:rPr>
          <w:rFonts w:hint="eastAsia" w:ascii="宋体" w:hAnsi="宋体" w:cs="宋体"/>
          <w:color w:val="auto"/>
          <w:kern w:val="2"/>
          <w:sz w:val="24"/>
          <w:szCs w:val="24"/>
          <w:highlight w:val="none"/>
          <w:lang w:val="en-US" w:eastAsia="zh-CN" w:bidi="ar-SA"/>
        </w:rPr>
        <w:t>鸡蛋的</w:t>
      </w:r>
      <w:r>
        <w:rPr>
          <w:rFonts w:hint="eastAsia" w:ascii="宋体" w:hAnsi="宋体" w:eastAsia="宋体" w:cs="宋体"/>
          <w:color w:val="auto"/>
          <w:kern w:val="2"/>
          <w:sz w:val="24"/>
          <w:szCs w:val="24"/>
          <w:highlight w:val="none"/>
          <w:lang w:val="en-US" w:eastAsia="zh-CN" w:bidi="ar-SA"/>
        </w:rPr>
        <w:t>《动物防疫条件合格证》</w:t>
      </w:r>
      <w:r>
        <w:rPr>
          <w:rFonts w:hint="eastAsia" w:ascii="宋体" w:hAnsi="宋体" w:cs="宋体"/>
          <w:color w:val="auto"/>
          <w:kern w:val="2"/>
          <w:sz w:val="24"/>
          <w:szCs w:val="24"/>
          <w:highlight w:val="none"/>
          <w:lang w:val="en-US" w:eastAsia="zh-CN" w:bidi="ar-SA"/>
        </w:rPr>
        <w:t>；</w:t>
      </w:r>
      <w:r>
        <w:rPr>
          <w:rFonts w:hint="eastAsia" w:ascii="宋体" w:hAnsi="宋体" w:cs="宋体"/>
          <w:color w:val="auto"/>
          <w:sz w:val="24"/>
          <w:szCs w:val="24"/>
          <w:highlight w:val="none"/>
          <w:lang w:val="en-US" w:eastAsia="zh-CN"/>
        </w:rPr>
        <w:t>经销</w:t>
      </w:r>
      <w:r>
        <w:rPr>
          <w:rFonts w:hint="eastAsia" w:ascii="宋体" w:hAnsi="宋体" w:eastAsia="宋体" w:cs="宋体"/>
          <w:color w:val="auto"/>
          <w:sz w:val="24"/>
          <w:szCs w:val="24"/>
          <w:highlight w:val="none"/>
          <w:lang w:val="en-US" w:eastAsia="zh-CN"/>
        </w:rPr>
        <w:t>商参加投标的</w:t>
      </w:r>
      <w:r>
        <w:rPr>
          <w:rFonts w:hint="eastAsia" w:ascii="宋体" w:hAnsi="宋体" w:cs="宋体"/>
          <w:color w:val="auto"/>
          <w:sz w:val="24"/>
          <w:szCs w:val="24"/>
          <w:highlight w:val="none"/>
          <w:lang w:val="en-US" w:eastAsia="zh-CN"/>
        </w:rPr>
        <w:t>，</w:t>
      </w:r>
      <w:r>
        <w:rPr>
          <w:rFonts w:hint="eastAsia" w:ascii="宋体" w:hAnsi="宋体" w:eastAsia="宋体" w:cs="宋体"/>
          <w:color w:val="auto"/>
          <w:kern w:val="2"/>
          <w:sz w:val="24"/>
          <w:szCs w:val="24"/>
          <w:highlight w:val="none"/>
          <w:lang w:val="en-US" w:eastAsia="zh-CN" w:bidi="ar-SA"/>
        </w:rPr>
        <w:t>须提供食用油生产厂家的《食品生产许可证》、鸡蛋生产厂家的《动物防疫条件合格证》、</w:t>
      </w:r>
      <w:r>
        <w:rPr>
          <w:rFonts w:hint="eastAsia" w:ascii="宋体" w:hAnsi="宋体" w:cs="宋体"/>
          <w:color w:val="auto"/>
          <w:sz w:val="24"/>
          <w:szCs w:val="24"/>
          <w:highlight w:val="none"/>
          <w:lang w:val="en-US" w:eastAsia="zh-CN"/>
        </w:rPr>
        <w:t>经销</w:t>
      </w:r>
      <w:r>
        <w:rPr>
          <w:rFonts w:hint="eastAsia" w:ascii="宋体" w:hAnsi="宋体" w:eastAsia="宋体" w:cs="宋体"/>
          <w:color w:val="auto"/>
          <w:sz w:val="24"/>
          <w:szCs w:val="24"/>
          <w:highlight w:val="none"/>
          <w:lang w:val="en-US" w:eastAsia="zh-CN"/>
        </w:rPr>
        <w:t>商</w:t>
      </w:r>
      <w:r>
        <w:rPr>
          <w:rFonts w:hint="eastAsia" w:ascii="宋体" w:hAnsi="宋体" w:eastAsia="宋体" w:cs="宋体"/>
          <w:color w:val="auto"/>
          <w:kern w:val="2"/>
          <w:sz w:val="24"/>
          <w:szCs w:val="24"/>
          <w:highlight w:val="none"/>
          <w:lang w:val="en-US" w:eastAsia="zh-CN" w:bidi="ar-SA"/>
        </w:rPr>
        <w:t>的《食品经营许可证》或《仅销售预包装食品经营者备案》。</w:t>
      </w:r>
    </w:p>
    <w:p>
      <w:pPr>
        <w:keepLines w:val="0"/>
        <w:pageBreakBefore w:val="0"/>
        <w:widowControl w:val="0"/>
        <w:kinsoku/>
        <w:wordWrap/>
        <w:overflowPunct/>
        <w:topLinePunct w:val="0"/>
        <w:autoSpaceDE/>
        <w:autoSpaceDN/>
        <w:bidi w:val="0"/>
        <w:snapToGrid/>
        <w:spacing w:line="500" w:lineRule="exact"/>
        <w:ind w:firstLine="482" w:firstLineChars="200"/>
        <w:rPr>
          <w:rFonts w:hint="eastAsia" w:ascii="宋体" w:hAnsi="宋体" w:eastAsia="宋体" w:cs="宋体"/>
          <w:color w:val="auto"/>
          <w:sz w:val="24"/>
          <w:szCs w:val="24"/>
          <w:highlight w:val="none"/>
          <w:lang w:val="en-US" w:eastAsia="zh-CN"/>
        </w:rPr>
      </w:pPr>
      <w:r>
        <w:rPr>
          <w:rFonts w:hint="eastAsia" w:ascii="宋体" w:hAnsi="宋体" w:cs="宋体"/>
          <w:b/>
          <w:bCs/>
          <w:color w:val="auto"/>
          <w:kern w:val="2"/>
          <w:sz w:val="24"/>
          <w:szCs w:val="24"/>
          <w:highlight w:val="none"/>
          <w:lang w:val="en-US" w:eastAsia="zh-CN" w:bidi="ar-SA"/>
        </w:rPr>
        <w:t>五至八</w:t>
      </w:r>
      <w:r>
        <w:rPr>
          <w:rFonts w:hint="eastAsia" w:ascii="宋体" w:hAnsi="宋体" w:eastAsia="宋体" w:cs="宋体"/>
          <w:b/>
          <w:bCs/>
          <w:color w:val="auto"/>
          <w:kern w:val="2"/>
          <w:sz w:val="24"/>
          <w:szCs w:val="24"/>
          <w:highlight w:val="none"/>
          <w:lang w:val="en-US" w:eastAsia="zh-CN" w:bidi="ar-SA"/>
        </w:rPr>
        <w:t>标段（猪肉）：</w:t>
      </w:r>
      <w:r>
        <w:rPr>
          <w:rFonts w:hint="eastAsia" w:ascii="宋体" w:hAnsi="宋体" w:eastAsia="宋体" w:cs="宋体"/>
          <w:color w:val="auto"/>
          <w:sz w:val="24"/>
          <w:szCs w:val="24"/>
          <w:highlight w:val="none"/>
          <w:lang w:val="en-US" w:eastAsia="zh-CN"/>
        </w:rPr>
        <w:t>生产厂家参加投标的，须提供《动物防疫条件合格证》；</w:t>
      </w:r>
      <w:r>
        <w:rPr>
          <w:rFonts w:hint="eastAsia" w:ascii="宋体" w:hAnsi="宋体" w:cs="宋体"/>
          <w:color w:val="auto"/>
          <w:sz w:val="24"/>
          <w:szCs w:val="24"/>
          <w:highlight w:val="none"/>
          <w:lang w:val="en-US" w:eastAsia="zh-CN"/>
        </w:rPr>
        <w:t>经销</w:t>
      </w:r>
      <w:r>
        <w:rPr>
          <w:rFonts w:hint="eastAsia" w:ascii="宋体" w:hAnsi="宋体" w:eastAsia="宋体" w:cs="宋体"/>
          <w:color w:val="auto"/>
          <w:sz w:val="24"/>
          <w:szCs w:val="24"/>
          <w:highlight w:val="none"/>
          <w:lang w:val="en-US" w:eastAsia="zh-CN"/>
        </w:rPr>
        <w:t>商参加投标的，须提供</w:t>
      </w:r>
      <w:r>
        <w:rPr>
          <w:rFonts w:hint="eastAsia" w:ascii="宋体" w:hAnsi="宋体" w:cs="宋体"/>
          <w:color w:val="auto"/>
          <w:sz w:val="24"/>
          <w:szCs w:val="24"/>
          <w:highlight w:val="none"/>
          <w:lang w:val="en-US" w:eastAsia="zh-CN"/>
        </w:rPr>
        <w:t>猪肉</w:t>
      </w:r>
      <w:r>
        <w:rPr>
          <w:rFonts w:hint="eastAsia" w:ascii="宋体" w:hAnsi="宋体" w:eastAsia="宋体" w:cs="宋体"/>
          <w:color w:val="auto"/>
          <w:sz w:val="24"/>
          <w:szCs w:val="24"/>
          <w:highlight w:val="none"/>
          <w:lang w:val="en-US" w:eastAsia="zh-CN"/>
        </w:rPr>
        <w:t>生产厂家的《动物防疫条件合格证》、</w:t>
      </w:r>
      <w:r>
        <w:rPr>
          <w:rFonts w:hint="eastAsia" w:ascii="宋体" w:hAnsi="宋体" w:cs="宋体"/>
          <w:color w:val="auto"/>
          <w:sz w:val="24"/>
          <w:szCs w:val="24"/>
          <w:highlight w:val="none"/>
          <w:lang w:val="en-US" w:eastAsia="zh-CN"/>
        </w:rPr>
        <w:t>经销</w:t>
      </w:r>
      <w:r>
        <w:rPr>
          <w:rFonts w:hint="eastAsia" w:ascii="宋体" w:hAnsi="宋体" w:eastAsia="宋体" w:cs="宋体"/>
          <w:color w:val="auto"/>
          <w:sz w:val="24"/>
          <w:szCs w:val="24"/>
          <w:highlight w:val="none"/>
          <w:lang w:val="en-US" w:eastAsia="zh-CN"/>
        </w:rPr>
        <w:t>商的《食品经营许可证》。</w:t>
      </w:r>
    </w:p>
    <w:bookmarkEnd w:id="81"/>
    <w:p>
      <w:pPr>
        <w:pStyle w:val="4"/>
        <w:keepLines w:val="0"/>
        <w:pageBreakBefore w:val="0"/>
        <w:widowControl w:val="0"/>
        <w:numPr>
          <w:ilvl w:val="0"/>
          <w:numId w:val="0"/>
        </w:numPr>
        <w:tabs>
          <w:tab w:val="left" w:pos="360"/>
          <w:tab w:val="left" w:pos="840"/>
          <w:tab w:val="left" w:pos="3999"/>
        </w:tabs>
        <w:kinsoku/>
        <w:wordWrap/>
        <w:overflowPunct/>
        <w:topLinePunct w:val="0"/>
        <w:autoSpaceDE/>
        <w:autoSpaceDN/>
        <w:bidi w:val="0"/>
        <w:snapToGrid/>
        <w:spacing w:line="500" w:lineRule="exact"/>
        <w:ind w:left="425"/>
        <w:jc w:val="lef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三、获取</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hint="eastAsia" w:ascii="宋体" w:hAnsi="宋体" w:eastAsia="宋体" w:cs="宋体"/>
          <w:b/>
          <w:bCs/>
          <w:color w:val="auto"/>
          <w:sz w:val="24"/>
          <w:szCs w:val="20"/>
          <w:highlight w:val="none"/>
          <w:lang w:eastAsia="zh-CN"/>
        </w:rPr>
        <w:t>招标文件</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bookmarkStart w:id="118" w:name="OLE_LINK1"/>
      <w:bookmarkStart w:id="119" w:name="_Toc28359082"/>
      <w:bookmarkStart w:id="120" w:name="_Toc28359005"/>
      <w:bookmarkStart w:id="121" w:name="_Toc24910"/>
      <w:bookmarkStart w:id="122" w:name="_Toc35393624"/>
      <w:bookmarkStart w:id="123" w:name="_Toc35393793"/>
      <w:bookmarkStart w:id="124" w:name="_Toc30067"/>
      <w:r>
        <w:rPr>
          <w:rFonts w:hint="eastAsia" w:ascii="宋体" w:hAnsi="宋体" w:eastAsia="宋体" w:cs="宋体"/>
          <w:color w:val="auto"/>
          <w:sz w:val="24"/>
          <w:szCs w:val="24"/>
          <w:highlight w:val="none"/>
          <w:lang w:val="en-US" w:eastAsia="zh-CN"/>
        </w:rPr>
        <w:t>1.时间：</w:t>
      </w:r>
      <w:r>
        <w:rPr>
          <w:rFonts w:hint="eastAsia" w:ascii="宋体" w:hAnsi="宋体" w:eastAsia="宋体" w:cs="宋体"/>
          <w:color w:val="auto"/>
          <w:sz w:val="24"/>
          <w:szCs w:val="24"/>
          <w:highlight w:val="none"/>
          <w:u w:val="single"/>
          <w:lang w:val="en-US" w:eastAsia="zh-CN"/>
        </w:rPr>
        <w:t xml:space="preserve"> 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en-US" w:eastAsia="zh-CN"/>
        </w:rPr>
        <w:t>年</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val="en-US" w:eastAsia="zh-CN"/>
        </w:rPr>
        <w:t>月</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val="en-US" w:eastAsia="zh-CN"/>
        </w:rPr>
        <w:t>日至 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en-US" w:eastAsia="zh-CN"/>
        </w:rPr>
        <w:t>年</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val="en-US" w:eastAsia="zh-CN"/>
        </w:rPr>
        <w:t>月</w:t>
      </w:r>
      <w:r>
        <w:rPr>
          <w:rFonts w:hint="eastAsia" w:ascii="宋体" w:hAnsi="宋体" w:cs="宋体"/>
          <w:color w:val="auto"/>
          <w:sz w:val="24"/>
          <w:szCs w:val="24"/>
          <w:highlight w:val="none"/>
          <w:u w:val="single"/>
          <w:lang w:val="en-US" w:eastAsia="zh-CN"/>
        </w:rPr>
        <w:t>17</w:t>
      </w:r>
      <w:r>
        <w:rPr>
          <w:rFonts w:hint="eastAsia" w:ascii="宋体" w:hAnsi="宋体" w:eastAsia="宋体" w:cs="宋体"/>
          <w:color w:val="auto"/>
          <w:sz w:val="24"/>
          <w:szCs w:val="24"/>
          <w:highlight w:val="none"/>
          <w:u w:val="single"/>
          <w:lang w:val="en-US" w:eastAsia="zh-CN"/>
        </w:rPr>
        <w:t>日。</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bookmarkStart w:id="125" w:name="_Toc15750"/>
      <w:bookmarkStart w:id="126" w:name="_Toc25340"/>
      <w:bookmarkStart w:id="127" w:name="_Toc9020"/>
      <w:bookmarkStart w:id="128" w:name="_Toc22638"/>
      <w:bookmarkStart w:id="129" w:name="_Toc18011"/>
      <w:bookmarkStart w:id="130" w:name="_Toc7915"/>
      <w:bookmarkStart w:id="131" w:name="_Toc5324"/>
      <w:bookmarkStart w:id="132" w:name="_Toc14771"/>
      <w:r>
        <w:rPr>
          <w:rFonts w:hint="eastAsia" w:ascii="宋体" w:hAnsi="宋体" w:eastAsia="宋体" w:cs="宋体"/>
          <w:color w:val="auto"/>
          <w:sz w:val="24"/>
          <w:szCs w:val="24"/>
          <w:highlight w:val="none"/>
          <w:lang w:val="en-US" w:eastAsia="zh-CN"/>
        </w:rPr>
        <w:t>2.地点：供应商可自行在</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（http：//www.zcygov.cn）下载</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，电子投标文件制作需要基于</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（http：//www.zcygov.cn）获取的</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编制。</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3.方式：凡有意参加投标者，须在</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办理数字证书（CA），并在</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绑定数字证书（CA）后线上获取</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及其它采购资料。CA申领链接：https://middle.zcygov.cn/ca/apply/list?_app_=zcy.sys，CA申领后需登陆“政府采购云平台”完成数字证书（CA）绑定才可以使用。</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4.售价：无。</w:t>
      </w:r>
    </w:p>
    <w:bookmarkEnd w:id="118"/>
    <w:p>
      <w:pPr>
        <w:pStyle w:val="4"/>
        <w:keepLines w:val="0"/>
        <w:pageBreakBefore w:val="0"/>
        <w:widowControl w:val="0"/>
        <w:numPr>
          <w:ilvl w:val="1"/>
          <w:numId w:val="0"/>
        </w:numPr>
        <w:tabs>
          <w:tab w:val="left" w:pos="360"/>
          <w:tab w:val="left" w:pos="3999"/>
        </w:tabs>
        <w:kinsoku/>
        <w:wordWrap/>
        <w:overflowPunct/>
        <w:topLinePunct w:val="0"/>
        <w:autoSpaceDE/>
        <w:autoSpaceDN/>
        <w:bidi w:val="0"/>
        <w:adjustRightInd/>
        <w:snapToGrid/>
        <w:spacing w:afterLines="0" w:line="500" w:lineRule="exact"/>
        <w:ind w:leftChars="200"/>
        <w:jc w:val="both"/>
        <w:textAlignment w:val="auto"/>
        <w:rPr>
          <w:rFonts w:hint="eastAsia" w:ascii="宋体" w:hAnsi="宋体" w:eastAsia="宋体" w:cs="宋体"/>
          <w:b/>
          <w:bCs/>
          <w:color w:val="auto"/>
          <w:sz w:val="24"/>
          <w:szCs w:val="20"/>
          <w:highlight w:val="none"/>
          <w:lang w:val="en-US" w:eastAsia="zh-CN"/>
        </w:rPr>
      </w:pPr>
      <w:bookmarkStart w:id="133" w:name="_Toc14884"/>
      <w:bookmarkStart w:id="134" w:name="_Toc9261"/>
      <w:bookmarkStart w:id="135" w:name="_Toc6393"/>
      <w:r>
        <w:rPr>
          <w:rFonts w:hint="eastAsia" w:ascii="宋体" w:hAnsi="宋体" w:eastAsia="宋体" w:cs="宋体"/>
          <w:b/>
          <w:bCs/>
          <w:color w:val="auto"/>
          <w:sz w:val="24"/>
          <w:szCs w:val="24"/>
          <w:highlight w:val="none"/>
        </w:rPr>
        <w:t>四</w:t>
      </w:r>
      <w:r>
        <w:rPr>
          <w:rFonts w:hint="eastAsia" w:ascii="宋体" w:hAnsi="宋体" w:eastAsia="宋体" w:cs="宋体"/>
          <w:b/>
          <w:bCs/>
          <w:color w:val="auto"/>
          <w:sz w:val="24"/>
          <w:szCs w:val="20"/>
          <w:highlight w:val="none"/>
        </w:rPr>
        <w:t>、</w:t>
      </w:r>
      <w:bookmarkEnd w:id="125"/>
      <w:bookmarkEnd w:id="126"/>
      <w:bookmarkEnd w:id="127"/>
      <w:bookmarkEnd w:id="128"/>
      <w:bookmarkEnd w:id="129"/>
      <w:bookmarkEnd w:id="130"/>
      <w:bookmarkEnd w:id="131"/>
      <w:bookmarkEnd w:id="132"/>
      <w:bookmarkStart w:id="136" w:name="OLE_LINK2"/>
      <w:r>
        <w:rPr>
          <w:rFonts w:hint="eastAsia" w:ascii="宋体" w:hAnsi="宋体" w:eastAsia="宋体" w:cs="宋体"/>
          <w:b/>
          <w:bCs/>
          <w:color w:val="auto"/>
          <w:sz w:val="24"/>
          <w:szCs w:val="20"/>
          <w:highlight w:val="none"/>
          <w:lang w:eastAsia="zh-CN"/>
        </w:rPr>
        <w:t>提</w:t>
      </w:r>
      <w:r>
        <w:rPr>
          <w:rFonts w:hint="eastAsia" w:ascii="宋体" w:hAnsi="宋体" w:eastAsia="宋体" w:cs="宋体"/>
          <w:b/>
          <w:bCs/>
          <w:color w:val="auto"/>
          <w:sz w:val="24"/>
          <w:szCs w:val="20"/>
          <w:highlight w:val="none"/>
          <w:lang w:val="en-US" w:eastAsia="zh-CN"/>
        </w:rPr>
        <w:t>交电子投标文件截止时间、地点</w:t>
      </w:r>
      <w:bookmarkEnd w:id="133"/>
      <w:bookmarkEnd w:id="134"/>
      <w:bookmarkEnd w:id="135"/>
    </w:p>
    <w:p>
      <w:pPr>
        <w:keepLines w:val="0"/>
        <w:pageBreakBefore w:val="0"/>
        <w:widowControl w:val="0"/>
        <w:kinsoku/>
        <w:wordWrap/>
        <w:overflowPunct/>
        <w:topLinePunct w:val="0"/>
        <w:autoSpaceDE/>
        <w:autoSpaceDN/>
        <w:bidi w:val="0"/>
        <w:snapToGrid/>
        <w:spacing w:line="500" w:lineRule="exact"/>
        <w:ind w:left="0" w:leftChars="0"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截止</w:t>
      </w: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kern w:val="0"/>
          <w:sz w:val="24"/>
          <w:szCs w:val="24"/>
          <w:highlight w:val="none"/>
          <w:u w:val="single"/>
          <w:lang w:val="en-US" w:eastAsia="zh-CN" w:bidi="ar-SA"/>
        </w:rPr>
        <w:t>202</w:t>
      </w:r>
      <w:r>
        <w:rPr>
          <w:rFonts w:hint="eastAsia" w:ascii="宋体" w:hAnsi="宋体" w:cs="宋体"/>
          <w:color w:val="auto"/>
          <w:kern w:val="0"/>
          <w:sz w:val="24"/>
          <w:szCs w:val="24"/>
          <w:highlight w:val="none"/>
          <w:u w:val="single"/>
          <w:lang w:val="en-US" w:eastAsia="zh-CN" w:bidi="ar-SA"/>
        </w:rPr>
        <w:t>6</w:t>
      </w:r>
      <w:r>
        <w:rPr>
          <w:rFonts w:hint="eastAsia" w:ascii="宋体" w:hAnsi="宋体" w:eastAsia="宋体" w:cs="宋体"/>
          <w:color w:val="auto"/>
          <w:kern w:val="0"/>
          <w:sz w:val="24"/>
          <w:szCs w:val="24"/>
          <w:highlight w:val="none"/>
          <w:u w:val="single"/>
          <w:lang w:val="en-US" w:eastAsia="zh-CN" w:bidi="ar-SA"/>
        </w:rPr>
        <w:t>年</w:t>
      </w:r>
      <w:r>
        <w:rPr>
          <w:rFonts w:hint="eastAsia" w:ascii="宋体" w:hAnsi="宋体" w:cs="宋体"/>
          <w:color w:val="auto"/>
          <w:kern w:val="0"/>
          <w:sz w:val="24"/>
          <w:szCs w:val="24"/>
          <w:highlight w:val="none"/>
          <w:u w:val="single"/>
          <w:lang w:val="en-US" w:eastAsia="zh-CN" w:bidi="ar-SA"/>
        </w:rPr>
        <w:t>8</w:t>
      </w:r>
      <w:r>
        <w:rPr>
          <w:rFonts w:hint="eastAsia" w:ascii="宋体" w:hAnsi="宋体" w:eastAsia="宋体" w:cs="宋体"/>
          <w:color w:val="auto"/>
          <w:kern w:val="0"/>
          <w:sz w:val="24"/>
          <w:szCs w:val="24"/>
          <w:highlight w:val="none"/>
          <w:u w:val="single"/>
          <w:lang w:val="en-US" w:eastAsia="zh-CN" w:bidi="ar-SA"/>
        </w:rPr>
        <w:t>月</w:t>
      </w:r>
      <w:r>
        <w:rPr>
          <w:rFonts w:hint="eastAsia" w:ascii="宋体" w:hAnsi="宋体" w:cs="宋体"/>
          <w:color w:val="auto"/>
          <w:kern w:val="0"/>
          <w:sz w:val="24"/>
          <w:szCs w:val="24"/>
          <w:highlight w:val="none"/>
          <w:u w:val="single"/>
          <w:lang w:val="en-US" w:eastAsia="zh-CN" w:bidi="ar-SA"/>
        </w:rPr>
        <w:t>4</w:t>
      </w:r>
      <w:r>
        <w:rPr>
          <w:rFonts w:hint="eastAsia" w:ascii="宋体" w:hAnsi="宋体" w:eastAsia="宋体" w:cs="宋体"/>
          <w:color w:val="auto"/>
          <w:kern w:val="0"/>
          <w:sz w:val="24"/>
          <w:szCs w:val="24"/>
          <w:highlight w:val="none"/>
          <w:u w:val="single"/>
          <w:lang w:val="en-US" w:eastAsia="zh-CN" w:bidi="ar-SA"/>
        </w:rPr>
        <w:t>日0</w:t>
      </w:r>
      <w:r>
        <w:rPr>
          <w:rFonts w:hint="eastAsia" w:ascii="宋体" w:hAnsi="宋体" w:cs="宋体"/>
          <w:color w:val="auto"/>
          <w:kern w:val="0"/>
          <w:sz w:val="24"/>
          <w:szCs w:val="24"/>
          <w:highlight w:val="none"/>
          <w:u w:val="single"/>
          <w:lang w:val="en-US" w:eastAsia="zh-CN" w:bidi="ar-SA"/>
        </w:rPr>
        <w:t>8</w:t>
      </w:r>
      <w:r>
        <w:rPr>
          <w:rFonts w:hint="eastAsia" w:ascii="宋体" w:hAnsi="宋体" w:eastAsia="宋体" w:cs="宋体"/>
          <w:color w:val="auto"/>
          <w:kern w:val="0"/>
          <w:sz w:val="24"/>
          <w:szCs w:val="24"/>
          <w:highlight w:val="none"/>
          <w:u w:val="single"/>
          <w:lang w:val="en-US" w:eastAsia="zh-CN" w:bidi="ar-SA"/>
        </w:rPr>
        <w:t>:</w:t>
      </w:r>
      <w:r>
        <w:rPr>
          <w:rFonts w:hint="eastAsia" w:ascii="宋体" w:hAnsi="宋体" w:cs="宋体"/>
          <w:color w:val="auto"/>
          <w:kern w:val="0"/>
          <w:sz w:val="24"/>
          <w:szCs w:val="24"/>
          <w:highlight w:val="none"/>
          <w:u w:val="single"/>
          <w:lang w:val="en-US" w:eastAsia="zh-CN" w:bidi="ar-SA"/>
        </w:rPr>
        <w:t>3</w:t>
      </w:r>
      <w:r>
        <w:rPr>
          <w:rFonts w:hint="eastAsia" w:ascii="宋体" w:hAnsi="宋体" w:eastAsia="宋体" w:cs="宋体"/>
          <w:color w:val="auto"/>
          <w:kern w:val="0"/>
          <w:sz w:val="24"/>
          <w:szCs w:val="24"/>
          <w:highlight w:val="none"/>
          <w:u w:val="single"/>
          <w:lang w:val="en-US" w:eastAsia="zh-CN" w:bidi="ar-SA"/>
        </w:rPr>
        <w:t>0</w:t>
      </w:r>
      <w:r>
        <w:rPr>
          <w:rFonts w:hint="eastAsia" w:ascii="宋体" w:hAnsi="宋体" w:eastAsia="宋体" w:cs="宋体"/>
          <w:color w:val="auto"/>
          <w:sz w:val="24"/>
          <w:szCs w:val="24"/>
          <w:highlight w:val="none"/>
          <w:lang w:val="en-US" w:eastAsia="zh-CN"/>
        </w:rPr>
        <w:t>（北京时间）；</w:t>
      </w:r>
    </w:p>
    <w:p>
      <w:pPr>
        <w:keepLines w:val="0"/>
        <w:pageBreakBefore w:val="0"/>
        <w:widowControl w:val="0"/>
        <w:kinsoku/>
        <w:wordWrap/>
        <w:overflowPunct/>
        <w:topLinePunct w:val="0"/>
        <w:autoSpaceDE/>
        <w:autoSpaceDN/>
        <w:bidi w:val="0"/>
        <w:snapToGrid/>
        <w:spacing w:line="500" w:lineRule="exact"/>
        <w:ind w:left="0" w:leftChars="0" w:firstLine="420" w:firstLineChars="1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2.地点：供应商应按照本项目</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和“</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”的要求编制、加密后在</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提交截止时间前上传至</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提交截止时间前未完成</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上传的，视为撤回</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。供应商在</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提交电子版</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时，请填写参加远程采购活动经办人</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联系方式</w:t>
      </w:r>
      <w:r>
        <w:rPr>
          <w:rFonts w:hint="eastAsia" w:ascii="宋体" w:hAnsi="宋体" w:cs="宋体"/>
          <w:color w:val="auto"/>
          <w:sz w:val="24"/>
          <w:szCs w:val="24"/>
          <w:highlight w:val="none"/>
          <w:lang w:val="en-US" w:eastAsia="zh-CN"/>
        </w:rPr>
        <w:t>。</w:t>
      </w:r>
    </w:p>
    <w:bookmarkEnd w:id="136"/>
    <w:p>
      <w:pPr>
        <w:keepLines w:val="0"/>
        <w:pageBreakBefore w:val="0"/>
        <w:widowControl w:val="0"/>
        <w:kinsoku/>
        <w:wordWrap/>
        <w:overflowPunct/>
        <w:topLinePunct w:val="0"/>
        <w:autoSpaceDE/>
        <w:autoSpaceDN/>
        <w:bidi w:val="0"/>
        <w:snapToGrid/>
        <w:spacing w:line="500" w:lineRule="exact"/>
        <w:ind w:firstLine="482" w:firstLineChars="200"/>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w:t>
      </w:r>
      <w:r>
        <w:rPr>
          <w:rFonts w:hint="eastAsia" w:ascii="宋体" w:hAnsi="宋体" w:cs="宋体"/>
          <w:b/>
          <w:bCs/>
          <w:color w:val="auto"/>
          <w:sz w:val="24"/>
          <w:szCs w:val="24"/>
          <w:highlight w:val="none"/>
          <w:lang w:val="en-US" w:eastAsia="zh-CN"/>
        </w:rPr>
        <w:t>开启</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bookmarkStart w:id="137" w:name="OLE_LINK3"/>
      <w:r>
        <w:rPr>
          <w:rFonts w:hint="eastAsia" w:ascii="宋体" w:hAnsi="宋体" w:eastAsia="宋体" w:cs="宋体"/>
          <w:color w:val="auto"/>
          <w:sz w:val="24"/>
          <w:szCs w:val="24"/>
          <w:highlight w:val="none"/>
          <w:lang w:val="en-US" w:eastAsia="zh-CN"/>
        </w:rPr>
        <w:t>1.时间：</w:t>
      </w:r>
      <w:r>
        <w:rPr>
          <w:rFonts w:hint="eastAsia" w:ascii="宋体" w:hAnsi="宋体" w:eastAsia="宋体" w:cs="宋体"/>
          <w:color w:val="auto"/>
          <w:sz w:val="24"/>
          <w:szCs w:val="24"/>
          <w:highlight w:val="none"/>
          <w:u w:val="single"/>
          <w:lang w:val="en-US" w:eastAsia="zh-CN"/>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en-US" w:eastAsia="zh-CN"/>
        </w:rPr>
        <w:t>年</w:t>
      </w:r>
      <w:r>
        <w:rPr>
          <w:rFonts w:hint="eastAsia" w:ascii="宋体" w:hAnsi="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lang w:val="en-US" w:eastAsia="zh-CN"/>
        </w:rPr>
        <w:t>月</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val="en-US" w:eastAsia="zh-CN"/>
        </w:rPr>
        <w:t>日0</w:t>
      </w:r>
      <w:r>
        <w:rPr>
          <w:rFonts w:hint="eastAsia" w:ascii="宋体" w:hAnsi="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lang w:val="en-US" w:eastAsia="zh-CN"/>
        </w:rPr>
        <w:t>:</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lang w:val="en-US" w:eastAsia="zh-CN"/>
        </w:rPr>
        <w:t>（北京时间）；</w:t>
      </w:r>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2.网上开标地点：“政府采购云平台”开标大厅。</w:t>
      </w:r>
    </w:p>
    <w:bookmarkEnd w:id="119"/>
    <w:bookmarkEnd w:id="120"/>
    <w:bookmarkEnd w:id="121"/>
    <w:bookmarkEnd w:id="122"/>
    <w:bookmarkEnd w:id="123"/>
    <w:bookmarkEnd w:id="124"/>
    <w:bookmarkEnd w:id="137"/>
    <w:p>
      <w:pPr>
        <w:keepLines w:val="0"/>
        <w:pageBreakBefore w:val="0"/>
        <w:widowControl w:val="0"/>
        <w:kinsoku/>
        <w:wordWrap/>
        <w:overflowPunct/>
        <w:topLinePunct w:val="0"/>
        <w:autoSpaceDE/>
        <w:autoSpaceDN/>
        <w:bidi w:val="0"/>
        <w:snapToGrid/>
        <w:spacing w:line="500" w:lineRule="exact"/>
        <w:ind w:firstLine="482" w:firstLineChars="200"/>
        <w:rPr>
          <w:rFonts w:hint="eastAsia" w:ascii="宋体" w:hAnsi="宋体" w:eastAsia="宋体" w:cs="宋体"/>
          <w:b/>
          <w:bCs/>
          <w:color w:val="auto"/>
          <w:sz w:val="24"/>
          <w:szCs w:val="24"/>
          <w:highlight w:val="none"/>
        </w:rPr>
      </w:pPr>
      <w:bookmarkStart w:id="138" w:name="_Toc35393625"/>
      <w:bookmarkStart w:id="139" w:name="_Toc4161"/>
      <w:bookmarkStart w:id="140" w:name="_Toc35393794"/>
      <w:bookmarkStart w:id="141" w:name="_Toc28359084"/>
      <w:bookmarkStart w:id="142" w:name="_Toc28359007"/>
      <w:bookmarkStart w:id="143" w:name="_Toc18827"/>
      <w:r>
        <w:rPr>
          <w:rFonts w:hint="eastAsia" w:ascii="宋体" w:hAnsi="宋体" w:cs="宋体"/>
          <w:b/>
          <w:bCs/>
          <w:color w:val="auto"/>
          <w:sz w:val="24"/>
          <w:szCs w:val="24"/>
          <w:highlight w:val="none"/>
          <w:lang w:eastAsia="zh-CN"/>
        </w:rPr>
        <w:t>六</w:t>
      </w:r>
      <w:r>
        <w:rPr>
          <w:rFonts w:hint="eastAsia" w:ascii="宋体" w:hAnsi="宋体" w:eastAsia="宋体" w:cs="宋体"/>
          <w:b/>
          <w:bCs/>
          <w:color w:val="auto"/>
          <w:sz w:val="24"/>
          <w:szCs w:val="24"/>
          <w:highlight w:val="none"/>
        </w:rPr>
        <w:t>、公告期限</w:t>
      </w:r>
      <w:bookmarkEnd w:id="138"/>
      <w:bookmarkEnd w:id="139"/>
      <w:bookmarkEnd w:id="140"/>
      <w:bookmarkEnd w:id="141"/>
      <w:bookmarkEnd w:id="142"/>
      <w:bookmarkEnd w:id="143"/>
    </w:p>
    <w:p>
      <w:pPr>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个工作日。</w:t>
      </w:r>
      <w:bookmarkStart w:id="144" w:name="_Toc9748"/>
      <w:bookmarkStart w:id="145" w:name="_Toc7483"/>
      <w:bookmarkStart w:id="146" w:name="_Toc35393626"/>
      <w:bookmarkStart w:id="147" w:name="_Toc35393795"/>
    </w:p>
    <w:p>
      <w:pPr>
        <w:keepLines w:val="0"/>
        <w:pageBreakBefore w:val="0"/>
        <w:widowControl w:val="0"/>
        <w:kinsoku/>
        <w:wordWrap/>
        <w:overflowPunct/>
        <w:topLinePunct w:val="0"/>
        <w:autoSpaceDE/>
        <w:autoSpaceDN/>
        <w:bidi w:val="0"/>
        <w:snapToGrid/>
        <w:spacing w:line="500" w:lineRule="exact"/>
        <w:ind w:firstLine="482" w:firstLineChars="200"/>
        <w:rPr>
          <w:rFonts w:hint="eastAsia" w:ascii="宋体" w:hAnsi="宋体" w:eastAsia="宋体" w:cs="宋体"/>
          <w:b/>
          <w:bCs/>
          <w:color w:val="auto"/>
          <w:kern w:val="0"/>
          <w:sz w:val="24"/>
          <w:szCs w:val="24"/>
          <w:highlight w:val="none"/>
        </w:rPr>
      </w:pPr>
      <w:r>
        <w:rPr>
          <w:rFonts w:hint="eastAsia" w:ascii="宋体" w:hAnsi="宋体" w:cs="宋体"/>
          <w:b/>
          <w:bCs/>
          <w:color w:val="auto"/>
          <w:sz w:val="24"/>
          <w:szCs w:val="24"/>
          <w:highlight w:val="none"/>
          <w:lang w:eastAsia="zh-CN"/>
        </w:rPr>
        <w:t>七</w:t>
      </w:r>
      <w:r>
        <w:rPr>
          <w:rFonts w:hint="eastAsia" w:ascii="宋体" w:hAnsi="宋体" w:eastAsia="宋体" w:cs="宋体"/>
          <w:b/>
          <w:bCs/>
          <w:color w:val="auto"/>
          <w:sz w:val="24"/>
          <w:szCs w:val="24"/>
          <w:highlight w:val="none"/>
        </w:rPr>
        <w:t>、其他补充事宜</w:t>
      </w:r>
      <w:bookmarkEnd w:id="144"/>
      <w:bookmarkEnd w:id="145"/>
      <w:bookmarkEnd w:id="146"/>
      <w:bookmarkEnd w:id="147"/>
    </w:p>
    <w:p>
      <w:pPr>
        <w:keepLines w:val="0"/>
        <w:pageBreakBefore w:val="0"/>
        <w:widowControl w:val="0"/>
        <w:kinsoku/>
        <w:wordWrap/>
        <w:overflowPunct/>
        <w:topLinePunct w:val="0"/>
        <w:autoSpaceDE/>
        <w:autoSpaceDN/>
        <w:bidi w:val="0"/>
        <w:snapToGrid/>
        <w:spacing w:line="440" w:lineRule="exact"/>
        <w:ind w:firstLine="480" w:firstLineChars="200"/>
        <w:jc w:val="left"/>
        <w:rPr>
          <w:rFonts w:hint="eastAsia" w:asciiTheme="minorEastAsia" w:hAnsiTheme="minorEastAsia" w:eastAsiaTheme="minorEastAsia" w:cstheme="minorEastAsia"/>
          <w:b w:val="0"/>
          <w:bCs w:val="0"/>
          <w:color w:val="auto"/>
          <w:sz w:val="24"/>
          <w:szCs w:val="24"/>
          <w:highlight w:val="none"/>
          <w:vertAlign w:val="baseline"/>
          <w:lang w:val="en-US" w:eastAsia="zh-CN"/>
        </w:rPr>
      </w:pPr>
      <w:bookmarkStart w:id="148" w:name="OLE_LINK4"/>
      <w:bookmarkStart w:id="149" w:name="_Toc30101"/>
      <w:bookmarkStart w:id="150" w:name="_Toc28359008"/>
      <w:bookmarkStart w:id="151" w:name="_Toc35393796"/>
      <w:bookmarkStart w:id="152" w:name="_Toc35393627"/>
      <w:bookmarkStart w:id="153" w:name="_Toc28359085"/>
      <w:r>
        <w:rPr>
          <w:rFonts w:hint="eastAsia" w:ascii="宋体" w:hAnsi="宋体" w:cs="宋体"/>
          <w:b w:val="0"/>
          <w:bCs w:val="0"/>
          <w:color w:val="auto"/>
          <w:sz w:val="24"/>
          <w:szCs w:val="24"/>
          <w:highlight w:val="none"/>
          <w:lang w:val="en-US" w:eastAsia="zh-CN"/>
        </w:rPr>
        <w:t>1.为分散食材供应履约风险，保障学校食品安全稳定供应，本项目采取兼投不兼中的原则，即满足资格条件</w:t>
      </w:r>
      <w:r>
        <w:rPr>
          <w:rFonts w:hint="eastAsia" w:asciiTheme="minorEastAsia" w:hAnsiTheme="minorEastAsia" w:eastAsiaTheme="minorEastAsia" w:cstheme="minorEastAsia"/>
          <w:b w:val="0"/>
          <w:bCs w:val="0"/>
          <w:color w:val="auto"/>
          <w:sz w:val="24"/>
          <w:szCs w:val="24"/>
          <w:highlight w:val="none"/>
          <w:vertAlign w:val="baseline"/>
          <w:lang w:val="en-US" w:eastAsia="zh-CN"/>
        </w:rPr>
        <w:t>的供应商均可对所有标段进行报名，但是，对于相同品类的标段，限制中标数量。其中一、二标段（大米类）一家供应商只允许中标1个标段，三、四标段（食用油、鸡蛋类）一家供应商只允许中标1个标段，五至八标段（猪肉类）一家供应商允许中标2个标段，评审时评审专家按标段顺序开始评审，若供应商已在同一品类的前一个标段或前两个标段中标，则不再参与该品类后面标段的评审。</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本次招标公告在云南省政府采购网（http://www.yngp.com/）、政府采购云平台（https://www.zcygov.cn/）上发布，采购人及采购代理机构对其他网站发布或转载的公告内容不承担任何责任。</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应在开标前确保成为</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供应商，并完成CA数字证书申领。因未注册入库、未办理CA数字证书等原因造成无法投标或投标失败等后果由供应商自行承担。凡有意参加投标的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，须在</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pacing w:val="-17"/>
          <w:sz w:val="24"/>
          <w:szCs w:val="24"/>
          <w:highlight w:val="none"/>
          <w:lang w:val="en-US" w:eastAsia="zh-CN"/>
        </w:rPr>
        <w:t>办理数字证书（CA）CA申领链接：https://middle.zcygov.cn/ca/apply/list?_app_=zcy.sys，</w:t>
      </w:r>
      <w:r>
        <w:rPr>
          <w:rFonts w:hint="eastAsia" w:ascii="宋体" w:hAnsi="宋体" w:eastAsia="宋体" w:cs="宋体"/>
          <w:color w:val="auto"/>
          <w:sz w:val="24"/>
          <w:szCs w:val="24"/>
          <w:highlight w:val="none"/>
          <w:lang w:val="en-US" w:eastAsia="zh-CN"/>
        </w:rPr>
        <w:t>并通过</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绑定数字证书（CA）后在网上获取</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及其它采购资料，数字证书（CA）详见其办理流程；</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.供应商将</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电子交易客户端下载、安装完成后，可通过账号密码或CA登录客户端进行投标文件的制作。在使用</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投标客户端时，建议使用WIN7（64位）及以上操作系统。客户端请至</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公司网站（https://edu.zcygov.cn/luban/yunnan-dzjy-gys）进行查看下载，如有问题可拨打</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客户服务热线400-881-7190进行咨询以及云南CA操作问题：请致电云南CA，4006727666；云南CA紧急联系方式：15288315056；云南壹证通CA联系方式：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bookmarkEnd w:id="148"/>
    </w:p>
    <w:p>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八</w:t>
      </w:r>
      <w:r>
        <w:rPr>
          <w:rFonts w:hint="eastAsia" w:ascii="宋体" w:hAnsi="宋体" w:eastAsia="宋体" w:cs="宋体"/>
          <w:b/>
          <w:bCs/>
          <w:color w:val="auto"/>
          <w:sz w:val="24"/>
          <w:szCs w:val="24"/>
          <w:highlight w:val="none"/>
        </w:rPr>
        <w:t>、对本次</w:t>
      </w:r>
      <w:r>
        <w:rPr>
          <w:rFonts w:hint="eastAsia" w:ascii="宋体" w:hAnsi="宋体" w:eastAsia="宋体" w:cs="宋体"/>
          <w:b/>
          <w:bCs/>
          <w:color w:val="auto"/>
          <w:sz w:val="24"/>
          <w:szCs w:val="24"/>
          <w:highlight w:val="none"/>
          <w:lang w:eastAsia="zh-CN"/>
        </w:rPr>
        <w:t>招标</w:t>
      </w:r>
      <w:r>
        <w:rPr>
          <w:rFonts w:hint="eastAsia" w:ascii="宋体" w:hAnsi="宋体" w:eastAsia="宋体" w:cs="宋体"/>
          <w:b/>
          <w:bCs/>
          <w:color w:val="auto"/>
          <w:sz w:val="24"/>
          <w:szCs w:val="24"/>
          <w:highlight w:val="none"/>
        </w:rPr>
        <w:t>提出询问，请按以下方式联系</w:t>
      </w:r>
      <w:bookmarkEnd w:id="149"/>
      <w:bookmarkEnd w:id="150"/>
      <w:bookmarkEnd w:id="151"/>
      <w:bookmarkEnd w:id="152"/>
      <w:bookmarkEnd w:id="153"/>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bookmarkEnd w:id="7"/>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w:t>
      </w:r>
      <w:bookmarkStart w:id="154" w:name="_Toc28359009"/>
      <w:bookmarkStart w:id="155" w:name="_Toc28359086"/>
      <w:r>
        <w:rPr>
          <w:rFonts w:hint="eastAsia" w:ascii="宋体" w:hAnsi="宋体" w:eastAsia="宋体" w:cs="宋体"/>
          <w:color w:val="auto"/>
          <w:sz w:val="24"/>
          <w:szCs w:val="24"/>
          <w:highlight w:val="none"/>
          <w:lang w:val="en-US" w:eastAsia="zh-CN"/>
        </w:rPr>
        <w:t>曲靖市麒麟区教育体育局</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址：曲靖市麒麟区南宁西路334号</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联系电话：0874-3315028</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bookmarkEnd w:id="154"/>
      <w:bookmarkEnd w:id="155"/>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称：曲靖市福宁建设工程招标有限公司</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址：曲靖市寥廓南路莫家新区院内</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bookmarkStart w:id="156" w:name="_Toc28359010"/>
      <w:bookmarkStart w:id="157" w:name="_Toc28359087"/>
      <w:r>
        <w:rPr>
          <w:rFonts w:hint="eastAsia" w:ascii="宋体" w:hAnsi="宋体" w:eastAsia="宋体" w:cs="宋体"/>
          <w:color w:val="auto"/>
          <w:sz w:val="24"/>
          <w:szCs w:val="24"/>
          <w:highlight w:val="none"/>
          <w:lang w:val="en-US" w:eastAsia="zh-CN"/>
        </w:rPr>
        <w:t>0874-3322293</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bookmarkEnd w:id="156"/>
      <w:bookmarkEnd w:id="157"/>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项目联系人：官春玲</w:t>
      </w:r>
      <w:r>
        <w:rPr>
          <w:rFonts w:hint="eastAsia" w:ascii="宋体" w:hAnsi="宋体" w:cs="宋体"/>
          <w:color w:val="auto"/>
          <w:sz w:val="24"/>
          <w:szCs w:val="24"/>
          <w:highlight w:val="none"/>
          <w:lang w:val="en-US" w:eastAsia="zh-CN"/>
        </w:rPr>
        <w:t>、李晟</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Theme="minorEastAsia" w:hAnsiTheme="minorEastAsia" w:eastAsiaTheme="minorEastAsia" w:cstheme="minorEastAsia"/>
          <w:b/>
          <w:bCs/>
          <w:color w:val="auto"/>
          <w:kern w:val="0"/>
          <w:sz w:val="32"/>
          <w:szCs w:val="32"/>
          <w:highlight w:val="none"/>
          <w:lang w:val="en-US" w:eastAsia="zh-CN" w:bidi="ar-SA"/>
        </w:rPr>
      </w:pPr>
      <w:r>
        <w:rPr>
          <w:rFonts w:hint="eastAsia" w:ascii="宋体" w:hAnsi="宋体" w:eastAsia="宋体" w:cs="宋体"/>
          <w:color w:val="auto"/>
          <w:sz w:val="24"/>
          <w:szCs w:val="24"/>
          <w:highlight w:val="none"/>
          <w:lang w:val="en-US" w:eastAsia="zh-CN"/>
        </w:rPr>
        <w:t>电　话：</w:t>
      </w:r>
      <w:r>
        <w:rPr>
          <w:rFonts w:hint="eastAsia" w:ascii="宋体" w:hAnsi="宋体" w:cs="宋体"/>
          <w:color w:val="auto"/>
          <w:sz w:val="24"/>
          <w:szCs w:val="24"/>
          <w:highlight w:val="none"/>
          <w:lang w:val="en-US" w:eastAsia="zh-CN"/>
        </w:rPr>
        <w:t>0874-3322293、</w:t>
      </w:r>
      <w:r>
        <w:rPr>
          <w:rFonts w:hint="eastAsia" w:ascii="宋体" w:hAnsi="宋体" w:eastAsia="宋体" w:cs="宋体"/>
          <w:color w:val="auto"/>
          <w:sz w:val="24"/>
          <w:szCs w:val="24"/>
          <w:highlight w:val="none"/>
          <w:lang w:val="en-US" w:eastAsia="zh-CN"/>
        </w:rPr>
        <w:t>15924700495</w:t>
      </w:r>
      <w:bookmarkStart w:id="158" w:name="_Toc22625"/>
    </w:p>
    <w:p>
      <w:pPr>
        <w:pStyle w:val="3"/>
        <w:numPr>
          <w:ilvl w:val="0"/>
          <w:numId w:val="0"/>
        </w:numPr>
        <w:spacing w:before="0" w:line="240" w:lineRule="auto"/>
        <w:ind w:left="0" w:leftChars="0" w:right="218" w:rightChars="104"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bidi="ar-SA"/>
        </w:rPr>
      </w:pPr>
    </w:p>
    <w:p>
      <w:pPr>
        <w:pStyle w:val="3"/>
        <w:numPr>
          <w:ilvl w:val="0"/>
          <w:numId w:val="0"/>
        </w:numPr>
        <w:spacing w:before="0" w:line="240" w:lineRule="auto"/>
        <w:ind w:left="0" w:leftChars="0" w:right="218" w:rightChars="104"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bidi="ar-SA"/>
        </w:rPr>
      </w:pPr>
    </w:p>
    <w:p>
      <w:pPr>
        <w:pStyle w:val="3"/>
        <w:numPr>
          <w:ilvl w:val="0"/>
          <w:numId w:val="0"/>
        </w:numPr>
        <w:spacing w:before="0" w:line="240" w:lineRule="auto"/>
        <w:ind w:left="0" w:leftChars="0" w:right="218" w:rightChars="104"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bidi="ar-SA"/>
        </w:rPr>
      </w:pPr>
    </w:p>
    <w:p>
      <w:pPr>
        <w:pStyle w:val="3"/>
        <w:numPr>
          <w:ilvl w:val="0"/>
          <w:numId w:val="0"/>
        </w:numPr>
        <w:spacing w:before="0" w:line="240" w:lineRule="auto"/>
        <w:ind w:left="0" w:leftChars="0" w:right="218" w:rightChars="104"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bidi="ar-SA"/>
        </w:rPr>
      </w:pPr>
    </w:p>
    <w:p>
      <w:pPr>
        <w:pStyle w:val="3"/>
        <w:numPr>
          <w:ilvl w:val="0"/>
          <w:numId w:val="0"/>
        </w:numPr>
        <w:spacing w:before="0" w:line="240" w:lineRule="auto"/>
        <w:ind w:left="0" w:leftChars="0" w:right="218" w:rightChars="104"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bidi="ar-SA"/>
        </w:rPr>
      </w:pPr>
    </w:p>
    <w:p>
      <w:pPr>
        <w:pStyle w:val="3"/>
        <w:numPr>
          <w:ilvl w:val="0"/>
          <w:numId w:val="0"/>
        </w:numPr>
        <w:spacing w:before="0" w:line="240" w:lineRule="auto"/>
        <w:ind w:left="0" w:leftChars="0" w:right="218" w:rightChars="104"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bidi="ar-SA"/>
        </w:rPr>
      </w:pPr>
    </w:p>
    <w:p>
      <w:pPr>
        <w:pStyle w:val="3"/>
        <w:numPr>
          <w:ilvl w:val="0"/>
          <w:numId w:val="0"/>
        </w:numPr>
        <w:spacing w:before="0" w:line="240" w:lineRule="auto"/>
        <w:ind w:left="0" w:leftChars="0" w:right="218" w:rightChars="104"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bidi="ar-SA"/>
        </w:rPr>
      </w:pPr>
    </w:p>
    <w:p>
      <w:pPr>
        <w:pStyle w:val="3"/>
        <w:numPr>
          <w:ilvl w:val="0"/>
          <w:numId w:val="0"/>
        </w:numPr>
        <w:spacing w:before="0" w:line="240" w:lineRule="auto"/>
        <w:ind w:left="0" w:leftChars="0" w:right="218" w:rightChars="104" w:firstLine="0" w:firstLineChars="0"/>
        <w:jc w:val="both"/>
        <w:rPr>
          <w:rFonts w:hint="eastAsia" w:asciiTheme="minorEastAsia" w:hAnsiTheme="minorEastAsia" w:eastAsiaTheme="minorEastAsia" w:cstheme="minorEastAsia"/>
          <w:b/>
          <w:bCs/>
          <w:color w:val="auto"/>
          <w:kern w:val="0"/>
          <w:sz w:val="32"/>
          <w:szCs w:val="32"/>
          <w:highlight w:val="none"/>
          <w:lang w:val="en-US" w:eastAsia="zh-CN" w:bidi="ar-SA"/>
        </w:rPr>
      </w:pPr>
    </w:p>
    <w:p>
      <w:pPr>
        <w:rPr>
          <w:rFonts w:hint="eastAsia" w:asciiTheme="minorEastAsia" w:hAnsiTheme="minorEastAsia" w:eastAsiaTheme="minorEastAsia" w:cstheme="minorEastAsia"/>
          <w:b/>
          <w:bCs/>
          <w:color w:val="auto"/>
          <w:kern w:val="0"/>
          <w:sz w:val="32"/>
          <w:szCs w:val="32"/>
          <w:highlight w:val="none"/>
          <w:lang w:val="en-US" w:eastAsia="zh-CN" w:bidi="ar-SA"/>
        </w:rPr>
      </w:pPr>
    </w:p>
    <w:p>
      <w:pPr>
        <w:pStyle w:val="3"/>
        <w:keepNext/>
        <w:pageBreakBefore w:val="0"/>
        <w:widowControl w:val="0"/>
        <w:numPr>
          <w:ilvl w:val="0"/>
          <w:numId w:val="0"/>
        </w:numPr>
        <w:kinsoku/>
        <w:wordWrap/>
        <w:overflowPunct/>
        <w:topLinePunct w:val="0"/>
        <w:autoSpaceDE/>
        <w:autoSpaceDN/>
        <w:bidi w:val="0"/>
        <w:adjustRightInd w:val="0"/>
        <w:snapToGrid/>
        <w:spacing w:before="0" w:line="360" w:lineRule="auto"/>
        <w:ind w:left="0" w:leftChars="0" w:right="218" w:rightChars="104" w:firstLine="0" w:firstLineChars="0"/>
        <w:jc w:val="center"/>
        <w:textAlignment w:val="baseline"/>
        <w:rPr>
          <w:rFonts w:hint="eastAsia" w:asciiTheme="minorEastAsia" w:hAnsiTheme="minorEastAsia" w:eastAsiaTheme="minorEastAsia" w:cstheme="minorEastAsia"/>
          <w:b/>
          <w:bCs/>
          <w:color w:val="auto"/>
          <w:kern w:val="0"/>
          <w:sz w:val="32"/>
          <w:szCs w:val="32"/>
          <w:highlight w:val="none"/>
          <w:lang w:val="en-US" w:eastAsia="zh-CN" w:bidi="ar-SA"/>
        </w:rPr>
      </w:pPr>
      <w:bookmarkStart w:id="426" w:name="_GoBack"/>
      <w:bookmarkEnd w:id="426"/>
      <w:r>
        <w:rPr>
          <w:rFonts w:hint="eastAsia" w:asciiTheme="minorEastAsia" w:hAnsiTheme="minorEastAsia" w:eastAsiaTheme="minorEastAsia" w:cstheme="minorEastAsia"/>
          <w:b/>
          <w:bCs/>
          <w:color w:val="auto"/>
          <w:kern w:val="0"/>
          <w:sz w:val="32"/>
          <w:szCs w:val="32"/>
          <w:highlight w:val="none"/>
          <w:lang w:val="en-US" w:eastAsia="zh-CN" w:bidi="ar-SA"/>
        </w:rPr>
        <w:t xml:space="preserve"> 第二章 供应商须知前附表及供应商须知</w:t>
      </w:r>
      <w:bookmarkEnd w:id="158"/>
    </w:p>
    <w:p>
      <w:pPr>
        <w:pStyle w:val="4"/>
        <w:keepNext/>
        <w:pageBreakBefore w:val="0"/>
        <w:widowControl w:val="0"/>
        <w:numPr>
          <w:ilvl w:val="0"/>
          <w:numId w:val="0"/>
        </w:numPr>
        <w:kinsoku/>
        <w:wordWrap/>
        <w:overflowPunct/>
        <w:topLinePunct w:val="0"/>
        <w:autoSpaceDE/>
        <w:autoSpaceDN/>
        <w:bidi w:val="0"/>
        <w:adjustRightInd w:val="0"/>
        <w:snapToGrid/>
        <w:spacing w:before="0" w:line="360" w:lineRule="auto"/>
        <w:ind w:firstLine="3534" w:firstLineChars="1100"/>
        <w:jc w:val="both"/>
        <w:textAlignment w:val="baseline"/>
        <w:rPr>
          <w:rFonts w:hint="eastAsia" w:asciiTheme="minorEastAsia" w:hAnsiTheme="minorEastAsia" w:eastAsiaTheme="minorEastAsia" w:cstheme="minorEastAsia"/>
          <w:b/>
          <w:bCs/>
          <w:color w:val="auto"/>
          <w:kern w:val="0"/>
          <w:sz w:val="32"/>
          <w:szCs w:val="32"/>
          <w:highlight w:val="none"/>
        </w:rPr>
      </w:pPr>
      <w:bookmarkStart w:id="159" w:name="_Toc11773"/>
      <w:bookmarkStart w:id="160" w:name="_Toc2557"/>
      <w:bookmarkStart w:id="161" w:name="_Toc7002"/>
      <w:bookmarkStart w:id="162" w:name="_Toc28005"/>
      <w:r>
        <w:rPr>
          <w:rFonts w:hint="eastAsia" w:asciiTheme="minorEastAsia" w:hAnsiTheme="minorEastAsia" w:eastAsiaTheme="minorEastAsia" w:cstheme="minorEastAsia"/>
          <w:b/>
          <w:bCs/>
          <w:color w:val="auto"/>
          <w:kern w:val="0"/>
          <w:sz w:val="32"/>
          <w:szCs w:val="32"/>
          <w:highlight w:val="none"/>
          <w:lang w:eastAsia="zh-CN"/>
        </w:rPr>
        <w:t>一、供应商</w:t>
      </w:r>
      <w:r>
        <w:rPr>
          <w:rFonts w:hint="eastAsia" w:asciiTheme="minorEastAsia" w:hAnsiTheme="minorEastAsia" w:eastAsiaTheme="minorEastAsia" w:cstheme="minorEastAsia"/>
          <w:b/>
          <w:bCs/>
          <w:color w:val="auto"/>
          <w:kern w:val="0"/>
          <w:sz w:val="32"/>
          <w:szCs w:val="32"/>
          <w:highlight w:val="none"/>
        </w:rPr>
        <w:t>须知前附表</w:t>
      </w:r>
      <w:bookmarkEnd w:id="159"/>
      <w:bookmarkEnd w:id="160"/>
      <w:bookmarkEnd w:id="161"/>
      <w:bookmarkEnd w:id="162"/>
    </w:p>
    <w:tbl>
      <w:tblPr>
        <w:tblStyle w:val="46"/>
        <w:tblW w:w="1041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
        <w:gridCol w:w="1050"/>
        <w:gridCol w:w="390"/>
        <w:gridCol w:w="705"/>
        <w:gridCol w:w="1650"/>
        <w:gridCol w:w="1200"/>
        <w:gridCol w:w="1005"/>
        <w:gridCol w:w="1290"/>
        <w:gridCol w:w="780"/>
        <w:gridCol w:w="1894"/>
        <w:gridCol w:w="1"/>
        <w:gridCol w:w="1"/>
        <w:gridCol w:w="14"/>
        <w:gridCol w:w="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17" w:type="dxa"/>
          <w:trHeight w:val="48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序号</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条款名称</w:t>
            </w:r>
          </w:p>
        </w:tc>
        <w:tc>
          <w:tcPr>
            <w:tcW w:w="8914" w:type="dxa"/>
            <w:gridSpan w:val="8"/>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17" w:type="dxa"/>
          <w:cantSplit/>
          <w:trHeight w:val="708" w:hRule="atLeast"/>
          <w:jc w:val="center"/>
        </w:trPr>
        <w:tc>
          <w:tcPr>
            <w:tcW w:w="436" w:type="dxa"/>
            <w:vMerge w:val="restart"/>
            <w:tcBorders>
              <w:top w:val="single" w:color="auto" w:sz="4" w:space="0"/>
              <w:left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bCs/>
                <w:color w:val="auto"/>
                <w:kern w:val="0"/>
                <w:sz w:val="21"/>
                <w:szCs w:val="21"/>
                <w:highlight w:val="none"/>
                <w:lang w:eastAsia="zh-CN"/>
              </w:rPr>
              <w:t>采购</w:t>
            </w:r>
            <w:r>
              <w:rPr>
                <w:rFonts w:hint="eastAsia" w:hAnsi="宋体" w:cs="宋体"/>
                <w:bCs/>
                <w:color w:val="auto"/>
                <w:kern w:val="0"/>
                <w:sz w:val="21"/>
                <w:szCs w:val="21"/>
                <w:highlight w:val="none"/>
                <w:lang w:val="en-US" w:eastAsia="zh-CN"/>
              </w:rPr>
              <w:t>人</w:t>
            </w:r>
          </w:p>
        </w:tc>
        <w:tc>
          <w:tcPr>
            <w:tcW w:w="8914" w:type="dxa"/>
            <w:gridSpan w:val="8"/>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en-US" w:eastAsia="zh-CN"/>
              </w:rPr>
              <w:t xml:space="preserve">    称：曲靖市麒麟区教育体育局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17" w:type="dxa"/>
          <w:cantSplit/>
          <w:trHeight w:val="1555" w:hRule="atLeast"/>
          <w:jc w:val="center"/>
        </w:trPr>
        <w:tc>
          <w:tcPr>
            <w:tcW w:w="436" w:type="dxa"/>
            <w:vMerge w:val="continue"/>
            <w:tcBorders>
              <w:left w:val="single" w:color="auto" w:sz="4" w:space="0"/>
              <w:right w:val="single" w:color="auto" w:sz="4" w:space="0"/>
            </w:tcBorders>
            <w:noWrap/>
            <w:vAlign w:val="center"/>
          </w:tcPr>
          <w:p>
            <w:pPr>
              <w:rPr>
                <w:rFonts w:hint="eastAsia" w:ascii="宋体" w:hAnsi="宋体" w:eastAsia="宋体" w:cs="宋体"/>
                <w:color w:val="auto"/>
                <w:sz w:val="21"/>
                <w:szCs w:val="21"/>
                <w:highlight w:val="none"/>
              </w:rPr>
            </w:pP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Cs/>
                <w:color w:val="auto"/>
                <w:kern w:val="0"/>
                <w:sz w:val="21"/>
                <w:szCs w:val="21"/>
                <w:highlight w:val="none"/>
              </w:rPr>
            </w:pPr>
            <w:r>
              <w:rPr>
                <w:rFonts w:hint="eastAsia" w:hAnsi="宋体" w:cs="宋体"/>
                <w:bCs/>
                <w:color w:val="auto"/>
                <w:kern w:val="0"/>
                <w:sz w:val="21"/>
                <w:szCs w:val="21"/>
                <w:highlight w:val="none"/>
                <w:lang w:val="en-US" w:eastAsia="zh-CN"/>
              </w:rPr>
              <w:t>采购</w:t>
            </w:r>
            <w:r>
              <w:rPr>
                <w:rFonts w:hint="eastAsia" w:ascii="宋体" w:hAnsi="宋体" w:eastAsia="宋体" w:cs="宋体"/>
                <w:bCs/>
                <w:color w:val="auto"/>
                <w:kern w:val="0"/>
                <w:sz w:val="21"/>
                <w:szCs w:val="21"/>
                <w:highlight w:val="none"/>
                <w:lang w:eastAsia="zh-CN"/>
              </w:rPr>
              <w:t>代理机构</w:t>
            </w:r>
          </w:p>
        </w:tc>
        <w:tc>
          <w:tcPr>
            <w:tcW w:w="8914" w:type="dxa"/>
            <w:gridSpan w:val="8"/>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曲靖市福宁建设工程招标有限公司</w:t>
            </w:r>
          </w:p>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址：曲靖市</w:t>
            </w:r>
            <w:r>
              <w:rPr>
                <w:rFonts w:hint="eastAsia" w:ascii="宋体" w:hAnsi="宋体" w:eastAsia="宋体" w:cs="宋体"/>
                <w:color w:val="auto"/>
                <w:sz w:val="21"/>
                <w:szCs w:val="21"/>
                <w:highlight w:val="none"/>
                <w:lang w:eastAsia="zh-CN"/>
              </w:rPr>
              <w:t>寥廓南路莫家新区院内</w:t>
            </w:r>
          </w:p>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 系 人：</w:t>
            </w:r>
            <w:r>
              <w:rPr>
                <w:rFonts w:hint="eastAsia" w:ascii="宋体" w:hAnsi="宋体" w:eastAsia="宋体" w:cs="宋体"/>
                <w:color w:val="auto"/>
                <w:sz w:val="21"/>
                <w:szCs w:val="21"/>
                <w:highlight w:val="none"/>
                <w:lang w:eastAsia="zh-CN"/>
              </w:rPr>
              <w:t>官春玲</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李晟</w:t>
            </w:r>
          </w:p>
          <w:p>
            <w:pPr>
              <w:pStyle w:val="25"/>
              <w:keepNext w:val="0"/>
              <w:keepLines w:val="0"/>
              <w:pageBreakBefore w:val="0"/>
              <w:kinsoku/>
              <w:wordWrap/>
              <w:overflowPunct/>
              <w:topLinePunct w:val="0"/>
              <w:autoSpaceDE/>
              <w:autoSpaceDN/>
              <w:bidi w:val="0"/>
              <w:adjustRightInd/>
              <w:snapToGrid/>
              <w:spacing w:line="34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联系方式：0874-</w:t>
            </w:r>
            <w:r>
              <w:rPr>
                <w:rFonts w:hint="eastAsia" w:ascii="宋体" w:hAnsi="宋体" w:eastAsia="宋体" w:cs="宋体"/>
                <w:color w:val="auto"/>
                <w:sz w:val="21"/>
                <w:szCs w:val="21"/>
                <w:highlight w:val="none"/>
                <w:lang w:val="en-US" w:eastAsia="zh-CN"/>
              </w:rPr>
              <w:t>3322293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hAnsi="宋体" w:cs="宋体"/>
                <w:color w:val="auto"/>
                <w:sz w:val="21"/>
                <w:szCs w:val="21"/>
                <w:highlight w:val="none"/>
                <w:lang w:val="en-US" w:eastAsia="zh-CN"/>
              </w:rPr>
              <w:t>5924700495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17" w:type="dxa"/>
          <w:cantSplit/>
          <w:trHeight w:val="733" w:hRule="atLeast"/>
          <w:jc w:val="center"/>
        </w:trPr>
        <w:tc>
          <w:tcPr>
            <w:tcW w:w="436" w:type="dxa"/>
            <w:vMerge w:val="restart"/>
            <w:tcBorders>
              <w:left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050" w:type="dxa"/>
            <w:vMerge w:val="restart"/>
            <w:tcBorders>
              <w:top w:val="single" w:color="auto" w:sz="4" w:space="0"/>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rPr>
            </w:pPr>
            <w:r>
              <w:rPr>
                <w:rFonts w:hint="eastAsia" w:hAnsi="宋体" w:cs="宋体"/>
                <w:bCs/>
                <w:color w:val="auto"/>
                <w:kern w:val="0"/>
                <w:sz w:val="21"/>
                <w:szCs w:val="21"/>
                <w:highlight w:val="none"/>
                <w:lang w:val="en-US" w:eastAsia="zh-CN"/>
              </w:rPr>
              <w:t>项目名称及项目标段编号</w:t>
            </w:r>
          </w:p>
        </w:tc>
        <w:tc>
          <w:tcPr>
            <w:tcW w:w="8914" w:type="dxa"/>
            <w:gridSpan w:val="8"/>
            <w:tcBorders>
              <w:top w:val="single" w:color="auto" w:sz="4" w:space="0"/>
              <w:left w:val="single" w:color="auto" w:sz="4" w:space="0"/>
              <w:bottom w:val="single" w:color="auto" w:sz="4" w:space="0"/>
              <w:right w:val="single" w:color="auto" w:sz="4" w:space="0"/>
            </w:tcBorders>
            <w:noWrap/>
            <w:vAlign w:val="center"/>
          </w:tcPr>
          <w:p>
            <w:pPr>
              <w:keepLines w:val="0"/>
              <w:pageBreakBefore w:val="0"/>
              <w:widowControl w:val="0"/>
              <w:kinsoku/>
              <w:wordWrap/>
              <w:overflowPunct/>
              <w:topLinePunct w:val="0"/>
              <w:autoSpaceDE/>
              <w:autoSpaceDN/>
              <w:bidi w:val="0"/>
              <w:snapToGrid/>
              <w:spacing w:line="500" w:lineRule="exact"/>
              <w:rPr>
                <w:rFonts w:hint="eastAsia"/>
                <w:sz w:val="21"/>
                <w:szCs w:val="21"/>
                <w:highlight w:val="none"/>
                <w:lang w:val="en-US" w:eastAsia="zh-CN"/>
              </w:rPr>
            </w:pPr>
            <w:r>
              <w:rPr>
                <w:rFonts w:hint="eastAsia" w:ascii="宋体" w:hAnsi="宋体" w:eastAsia="宋体" w:cs="宋体"/>
                <w:color w:val="auto"/>
                <w:spacing w:val="0"/>
                <w:sz w:val="21"/>
                <w:szCs w:val="21"/>
                <w:highlight w:val="none"/>
                <w:lang w:val="en-US" w:eastAsia="zh-CN"/>
              </w:rPr>
              <w:t>项目名称：麒麟区</w:t>
            </w:r>
            <w:r>
              <w:rPr>
                <w:rFonts w:hint="eastAsia" w:ascii="宋体" w:hAnsi="宋体" w:cs="宋体"/>
                <w:color w:val="auto"/>
                <w:spacing w:val="0"/>
                <w:sz w:val="21"/>
                <w:szCs w:val="21"/>
                <w:highlight w:val="none"/>
                <w:lang w:val="en-US" w:eastAsia="zh-CN"/>
              </w:rPr>
              <w:t>2026秋季-2027春季</w:t>
            </w:r>
            <w:r>
              <w:rPr>
                <w:rFonts w:hint="eastAsia" w:ascii="宋体" w:hAnsi="宋体" w:eastAsia="宋体" w:cs="宋体"/>
                <w:color w:val="auto"/>
                <w:spacing w:val="0"/>
                <w:sz w:val="21"/>
                <w:szCs w:val="21"/>
                <w:highlight w:val="none"/>
                <w:lang w:val="en-US" w:eastAsia="zh-CN"/>
              </w:rPr>
              <w:t>学期农村义务教育学生营养改善计划大宗食材采购项目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17" w:type="dxa"/>
          <w:cantSplit/>
          <w:trHeight w:val="742" w:hRule="atLeast"/>
          <w:jc w:val="center"/>
        </w:trPr>
        <w:tc>
          <w:tcPr>
            <w:tcW w:w="436" w:type="dxa"/>
            <w:vMerge w:val="continue"/>
            <w:tcBorders>
              <w:left w:val="single" w:color="auto" w:sz="4" w:space="0"/>
              <w:right w:val="single" w:color="auto" w:sz="4" w:space="0"/>
            </w:tcBorders>
            <w:noWrap/>
            <w:vAlign w:val="center"/>
          </w:tcPr>
          <w:p>
            <w:pPr>
              <w:jc w:val="center"/>
              <w:rPr>
                <w:rFonts w:hint="eastAsia" w:ascii="宋体" w:hAnsi="宋体" w:cs="宋体"/>
                <w:color w:val="auto"/>
                <w:sz w:val="21"/>
                <w:szCs w:val="21"/>
                <w:highlight w:val="none"/>
                <w:lang w:val="en-US" w:eastAsia="zh-CN"/>
              </w:rPr>
            </w:pPr>
          </w:p>
        </w:tc>
        <w:tc>
          <w:tcPr>
            <w:tcW w:w="1050" w:type="dxa"/>
            <w:vMerge w:val="continue"/>
            <w:tcBorders>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8914" w:type="dxa"/>
            <w:gridSpan w:val="8"/>
            <w:tcBorders>
              <w:top w:val="single" w:color="auto" w:sz="4" w:space="0"/>
              <w:left w:val="single" w:color="auto" w:sz="4" w:space="0"/>
              <w:bottom w:val="single" w:color="auto" w:sz="4" w:space="0"/>
              <w:right w:val="single" w:color="auto" w:sz="4" w:space="0"/>
            </w:tcBorders>
            <w:noWrap/>
            <w:vAlign w:val="center"/>
          </w:tcPr>
          <w:p>
            <w:pPr>
              <w:keepLines w:val="0"/>
              <w:pageBreakBefore w:val="0"/>
              <w:widowControl w:val="0"/>
              <w:kinsoku/>
              <w:wordWrap/>
              <w:overflowPunct/>
              <w:topLinePunct w:val="0"/>
              <w:autoSpaceDE/>
              <w:autoSpaceDN/>
              <w:bidi w:val="0"/>
              <w:snapToGrid/>
              <w:spacing w:line="500" w:lineRule="exact"/>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项目</w:t>
            </w:r>
            <w:r>
              <w:rPr>
                <w:rFonts w:hint="eastAsia" w:ascii="宋体" w:hAnsi="宋体" w:cs="宋体"/>
                <w:color w:val="auto"/>
                <w:sz w:val="21"/>
                <w:szCs w:val="21"/>
                <w:highlight w:val="none"/>
                <w:lang w:val="en-US" w:eastAsia="zh-CN"/>
              </w:rPr>
              <w:t>标段</w:t>
            </w:r>
            <w:r>
              <w:rPr>
                <w:rFonts w:hint="eastAsia" w:ascii="宋体" w:hAnsi="宋体" w:eastAsia="宋体" w:cs="宋体"/>
                <w:color w:val="auto"/>
                <w:sz w:val="21"/>
                <w:szCs w:val="21"/>
                <w:highlight w:val="none"/>
              </w:rPr>
              <w:t>编号</w:t>
            </w:r>
            <w:r>
              <w:rPr>
                <w:rFonts w:hint="eastAsia" w:ascii="宋体" w:hAnsi="宋体" w:eastAsia="宋体" w:cs="宋体"/>
                <w:color w:val="auto"/>
                <w:spacing w:val="0"/>
                <w:sz w:val="21"/>
                <w:szCs w:val="21"/>
                <w:highlight w:val="none"/>
                <w:lang w:val="en-US" w:eastAsia="zh-CN"/>
              </w:rPr>
              <w:t>：福招字1451-2026-43至1458-2026-50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17" w:type="dxa"/>
          <w:cantSplit/>
          <w:trHeight w:val="983" w:hRule="atLeast"/>
          <w:jc w:val="center"/>
        </w:trPr>
        <w:tc>
          <w:tcPr>
            <w:tcW w:w="436" w:type="dxa"/>
            <w:tcBorders>
              <w:left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采购  方式</w:t>
            </w:r>
          </w:p>
        </w:tc>
        <w:tc>
          <w:tcPr>
            <w:tcW w:w="8914" w:type="dxa"/>
            <w:gridSpan w:val="8"/>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17" w:type="dxa"/>
          <w:cantSplit/>
          <w:trHeight w:val="910" w:hRule="atLeast"/>
          <w:jc w:val="center"/>
        </w:trPr>
        <w:tc>
          <w:tcPr>
            <w:tcW w:w="436" w:type="dxa"/>
            <w:vMerge w:val="restart"/>
            <w:tcBorders>
              <w:left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4</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资金  来源</w:t>
            </w:r>
          </w:p>
        </w:tc>
        <w:tc>
          <w:tcPr>
            <w:tcW w:w="8914" w:type="dxa"/>
            <w:gridSpan w:val="8"/>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17" w:type="dxa"/>
          <w:cantSplit/>
          <w:trHeight w:val="898" w:hRule="atLeast"/>
          <w:jc w:val="center"/>
        </w:trPr>
        <w:tc>
          <w:tcPr>
            <w:tcW w:w="436" w:type="dxa"/>
            <w:vMerge w:val="continue"/>
            <w:tcBorders>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预算  金额</w:t>
            </w:r>
          </w:p>
        </w:tc>
        <w:tc>
          <w:tcPr>
            <w:tcW w:w="8914" w:type="dxa"/>
            <w:gridSpan w:val="8"/>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26085748.97元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895" w:hRule="atLeast"/>
          <w:jc w:val="center"/>
        </w:trPr>
        <w:tc>
          <w:tcPr>
            <w:tcW w:w="436" w:type="dxa"/>
            <w:vMerge w:val="restart"/>
            <w:tcBorders>
              <w:top w:val="single" w:color="auto" w:sz="4" w:space="0"/>
              <w:left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5</w:t>
            </w:r>
          </w:p>
        </w:tc>
        <w:tc>
          <w:tcPr>
            <w:tcW w:w="1050" w:type="dxa"/>
            <w:vMerge w:val="restart"/>
            <w:tcBorders>
              <w:top w:val="single" w:color="auto" w:sz="4" w:space="0"/>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采购  内容</w:t>
            </w:r>
          </w:p>
        </w:tc>
        <w:tc>
          <w:tcPr>
            <w:tcW w:w="8930" w:type="dxa"/>
            <w:gridSpan w:val="11"/>
            <w:tcBorders>
              <w:top w:val="single" w:color="auto" w:sz="4" w:space="0"/>
              <w:left w:val="single" w:color="auto" w:sz="4" w:space="0"/>
              <w:bottom w:val="single" w:color="auto" w:sz="4" w:space="0"/>
              <w:right w:val="single" w:color="auto" w:sz="4" w:space="0"/>
            </w:tcBorders>
            <w:noWrap/>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麒麟区2026秋季-2027春季学期农村义务教育学生营养改善计划大宗食材采购，包括大米、食用油、鸡蛋、猪肉，详细信息如下</w:t>
            </w:r>
            <w:r>
              <w:rPr>
                <w:rFonts w:hint="eastAsia" w:ascii="宋体" w:hAnsi="宋体" w:eastAsia="宋体" w:cs="宋体"/>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1246"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39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标段号</w:t>
            </w:r>
          </w:p>
        </w:tc>
        <w:tc>
          <w:tcPr>
            <w:tcW w:w="705" w:type="dxa"/>
            <w:tcBorders>
              <w:top w:val="single" w:color="auto" w:sz="4" w:space="0"/>
              <w:left w:val="single" w:color="auto" w:sz="4" w:space="0"/>
              <w:bottom w:val="single" w:color="auto" w:sz="4" w:space="0"/>
              <w:right w:val="single" w:color="auto" w:sz="4" w:space="0"/>
            </w:tcBorders>
            <w:noWrap/>
            <w:vAlign w:val="center"/>
          </w:tcPr>
          <w:p>
            <w:pPr>
              <w:jc w:val="center"/>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食材品类</w:t>
            </w:r>
          </w:p>
        </w:tc>
        <w:tc>
          <w:tcPr>
            <w:tcW w:w="165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标段名称</w:t>
            </w:r>
          </w:p>
        </w:tc>
        <w:tc>
          <w:tcPr>
            <w:tcW w:w="120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color w:val="auto"/>
                <w:sz w:val="21"/>
                <w:szCs w:val="21"/>
                <w:highlight w:val="none"/>
                <w:lang w:val="en-US" w:eastAsia="zh-CN"/>
              </w:rPr>
              <w:t>标段编号</w:t>
            </w:r>
          </w:p>
        </w:tc>
        <w:tc>
          <w:tcPr>
            <w:tcW w:w="1005"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就餐人数（人）</w:t>
            </w:r>
          </w:p>
        </w:tc>
        <w:tc>
          <w:tcPr>
            <w:tcW w:w="1290" w:type="dxa"/>
            <w:tcBorders>
              <w:top w:val="single" w:color="auto" w:sz="4" w:space="0"/>
              <w:left w:val="single" w:color="auto" w:sz="4" w:space="0"/>
              <w:bottom w:val="single" w:color="auto" w:sz="4" w:space="0"/>
              <w:right w:val="single" w:color="auto" w:sz="4" w:space="0"/>
            </w:tcBorders>
            <w:noWrap/>
            <w:vAlign w:val="center"/>
          </w:tcPr>
          <w:p>
            <w:pPr>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预算金额（元）</w:t>
            </w:r>
          </w:p>
        </w:tc>
        <w:tc>
          <w:tcPr>
            <w:tcW w:w="7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采购内容</w:t>
            </w:r>
          </w:p>
        </w:tc>
        <w:tc>
          <w:tcPr>
            <w:tcW w:w="1910" w:type="dxa"/>
            <w:gridSpan w:val="4"/>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供货地点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2075"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39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一标</w:t>
            </w:r>
          </w:p>
        </w:tc>
        <w:tc>
          <w:tcPr>
            <w:tcW w:w="705" w:type="dxa"/>
            <w:vMerge w:val="restart"/>
            <w:tcBorders>
              <w:top w:val="single" w:color="auto" w:sz="4" w:space="0"/>
              <w:left w:val="single" w:color="auto" w:sz="4" w:space="0"/>
              <w:bottom w:val="single" w:color="auto" w:sz="4" w:space="0"/>
              <w:right w:val="single" w:color="auto" w:sz="4" w:space="0"/>
            </w:tcBorders>
            <w:noWrap/>
            <w:vAlign w:val="center"/>
          </w:tcPr>
          <w:p>
            <w:pPr>
              <w:ind w:right="-21" w:rightChars="-10"/>
              <w:jc w:val="center"/>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大米类</w:t>
            </w:r>
          </w:p>
        </w:tc>
        <w:tc>
          <w:tcPr>
            <w:tcW w:w="16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麒麟区2026秋季-2027春季学期农村义务教育学生营养改善计划大宗食材采购项目一标段（大米）</w:t>
            </w:r>
          </w:p>
        </w:tc>
        <w:tc>
          <w:tcPr>
            <w:tcW w:w="120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福招字1451-2026-43</w:t>
            </w:r>
          </w:p>
        </w:tc>
        <w:tc>
          <w:tcPr>
            <w:tcW w:w="1005"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约18683</w:t>
            </w:r>
          </w:p>
        </w:tc>
        <w:tc>
          <w:tcPr>
            <w:tcW w:w="129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cs="宋体"/>
                <w:color w:val="auto"/>
                <w:spacing w:val="-6"/>
                <w:sz w:val="21"/>
                <w:szCs w:val="21"/>
                <w:highlight w:val="none"/>
                <w:vertAlign w:val="baseline"/>
                <w:lang w:val="en-US" w:eastAsia="zh-CN"/>
              </w:rPr>
              <w:t>2158403.8</w:t>
            </w:r>
          </w:p>
        </w:tc>
        <w:tc>
          <w:tcPr>
            <w:tcW w:w="78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大米</w:t>
            </w:r>
          </w:p>
        </w:tc>
        <w:tc>
          <w:tcPr>
            <w:tcW w:w="1910" w:type="dxa"/>
            <w:gridSpan w:val="4"/>
            <w:tcBorders>
              <w:top w:val="single" w:color="auto" w:sz="4" w:space="0"/>
              <w:left w:val="single" w:color="auto" w:sz="4" w:space="0"/>
              <w:bottom w:val="single" w:color="auto" w:sz="4" w:space="0"/>
              <w:right w:val="single" w:color="auto" w:sz="4" w:space="0"/>
            </w:tcBorders>
            <w:noWrap/>
            <w:vAlign w:val="center"/>
          </w:tcPr>
          <w:p>
            <w:pPr>
              <w:widowControl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茨营中心学校、茨营中学、东山中心学校、东山一中、东山二中、东山三中、三宝中心学校、三宝三中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2301"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39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二标</w:t>
            </w:r>
          </w:p>
        </w:tc>
        <w:tc>
          <w:tcPr>
            <w:tcW w:w="705" w:type="dxa"/>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color w:val="auto"/>
                <w:sz w:val="21"/>
                <w:szCs w:val="21"/>
                <w:highlight w:val="none"/>
                <w:lang w:val="en-US" w:eastAsia="zh-CN"/>
              </w:rPr>
            </w:pPr>
          </w:p>
        </w:tc>
        <w:tc>
          <w:tcPr>
            <w:tcW w:w="16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麒麟区2026秋季-2027春季学期农村义务教育学生营养改善计划大宗食材采购项目二标段（大米）</w:t>
            </w:r>
          </w:p>
        </w:tc>
        <w:tc>
          <w:tcPr>
            <w:tcW w:w="120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福招字1452-2026-44</w:t>
            </w:r>
          </w:p>
        </w:tc>
        <w:tc>
          <w:tcPr>
            <w:tcW w:w="1005"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约15243</w:t>
            </w:r>
          </w:p>
        </w:tc>
        <w:tc>
          <w:tcPr>
            <w:tcW w:w="129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cs="宋体"/>
                <w:color w:val="auto"/>
                <w:spacing w:val="-6"/>
                <w:sz w:val="21"/>
                <w:szCs w:val="21"/>
                <w:highlight w:val="none"/>
                <w:vertAlign w:val="baseline"/>
                <w:lang w:val="en-US" w:eastAsia="zh-CN"/>
              </w:rPr>
              <w:t>1747595.5</w:t>
            </w:r>
          </w:p>
        </w:tc>
        <w:tc>
          <w:tcPr>
            <w:tcW w:w="78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大米</w:t>
            </w:r>
          </w:p>
        </w:tc>
        <w:tc>
          <w:tcPr>
            <w:tcW w:w="1910" w:type="dxa"/>
            <w:gridSpan w:val="4"/>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rPr>
              <w:t>南宁中心学校、益宁中心学校、白石江中心学校、文华中心学校、潇湘中心学校、潇湘中学、越州中心学校、越州一中、越州二中、沿江中心学校、珠街中心学校、珠街二中、麒麟区特殊教育学校、麒麟区启智爱心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2301"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39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三标</w:t>
            </w:r>
          </w:p>
        </w:tc>
        <w:tc>
          <w:tcPr>
            <w:tcW w:w="705" w:type="dxa"/>
            <w:vMerge w:val="restart"/>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食用油、鸡蛋类</w:t>
            </w:r>
          </w:p>
        </w:tc>
        <w:tc>
          <w:tcPr>
            <w:tcW w:w="16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麒麟区2026秋季-2027春季学期农村义务教育学生营养改善计划大宗食材采购项目三标段（食用油、鸡蛋）</w:t>
            </w:r>
          </w:p>
        </w:tc>
        <w:tc>
          <w:tcPr>
            <w:tcW w:w="120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福招字1453-2026-45</w:t>
            </w:r>
          </w:p>
        </w:tc>
        <w:tc>
          <w:tcPr>
            <w:tcW w:w="1005" w:type="dxa"/>
            <w:tcBorders>
              <w:top w:val="single" w:color="auto" w:sz="4" w:space="0"/>
              <w:left w:val="single" w:color="auto" w:sz="4" w:space="0"/>
              <w:bottom w:val="single" w:color="auto" w:sz="4" w:space="0"/>
              <w:right w:val="single" w:color="auto" w:sz="4" w:space="0"/>
            </w:tcBorders>
            <w:noWrap/>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约15243</w:t>
            </w:r>
          </w:p>
        </w:tc>
        <w:tc>
          <w:tcPr>
            <w:tcW w:w="129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cs="宋体"/>
                <w:color w:val="auto"/>
                <w:spacing w:val="-6"/>
                <w:sz w:val="21"/>
                <w:szCs w:val="21"/>
                <w:highlight w:val="none"/>
                <w:vertAlign w:val="baseline"/>
                <w:lang w:val="en-US" w:eastAsia="zh-CN"/>
              </w:rPr>
              <w:t>1317636.47</w:t>
            </w:r>
          </w:p>
        </w:tc>
        <w:tc>
          <w:tcPr>
            <w:tcW w:w="78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食用油、鸡蛋</w:t>
            </w:r>
          </w:p>
        </w:tc>
        <w:tc>
          <w:tcPr>
            <w:tcW w:w="1910" w:type="dxa"/>
            <w:gridSpan w:val="4"/>
            <w:tcBorders>
              <w:top w:val="single" w:color="auto" w:sz="4" w:space="0"/>
              <w:left w:val="single" w:color="auto" w:sz="4" w:space="0"/>
              <w:bottom w:val="single" w:color="auto" w:sz="4" w:space="0"/>
              <w:right w:val="single" w:color="auto" w:sz="4" w:space="0"/>
            </w:tcBorders>
            <w:noWrap/>
            <w:vAlign w:val="center"/>
          </w:tcPr>
          <w:p>
            <w:pPr>
              <w:widowControl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南宁中心学校、益宁中心学校、白石江中心学校、文华中心学校、潇湘中心学校、潇湘中学、越州中心学校、越州一中、越州二中、沿江中心学校、珠街中心学校、珠街二中、麒麟区特殊教育学校、麒麟区启智爱心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2073"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39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四标</w:t>
            </w:r>
          </w:p>
        </w:tc>
        <w:tc>
          <w:tcPr>
            <w:tcW w:w="705" w:type="dxa"/>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color w:val="auto"/>
                <w:sz w:val="21"/>
                <w:szCs w:val="21"/>
                <w:highlight w:val="none"/>
                <w:lang w:val="en-US" w:eastAsia="zh-CN"/>
              </w:rPr>
            </w:pPr>
          </w:p>
        </w:tc>
        <w:tc>
          <w:tcPr>
            <w:tcW w:w="16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麒麟区2026秋季-2027春季学期农村义务教育学生营养改善计划大宗食材采购项目四标段（食用油、鸡蛋）</w:t>
            </w:r>
          </w:p>
        </w:tc>
        <w:tc>
          <w:tcPr>
            <w:tcW w:w="120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福招字1454-2026-46</w:t>
            </w:r>
          </w:p>
        </w:tc>
        <w:tc>
          <w:tcPr>
            <w:tcW w:w="1005" w:type="dxa"/>
            <w:tcBorders>
              <w:top w:val="single" w:color="auto" w:sz="4" w:space="0"/>
              <w:left w:val="single" w:color="auto" w:sz="4" w:space="0"/>
              <w:bottom w:val="single" w:color="auto" w:sz="4" w:space="0"/>
              <w:right w:val="single" w:color="auto" w:sz="4" w:space="0"/>
            </w:tcBorders>
            <w:noWrap/>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约18683</w:t>
            </w:r>
          </w:p>
        </w:tc>
        <w:tc>
          <w:tcPr>
            <w:tcW w:w="129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cs="宋体"/>
                <w:color w:val="auto"/>
                <w:spacing w:val="-6"/>
                <w:sz w:val="21"/>
                <w:szCs w:val="21"/>
                <w:highlight w:val="none"/>
                <w:vertAlign w:val="baseline"/>
                <w:lang w:val="en-US" w:eastAsia="zh-CN"/>
              </w:rPr>
              <w:t>1314333.2</w:t>
            </w:r>
          </w:p>
        </w:tc>
        <w:tc>
          <w:tcPr>
            <w:tcW w:w="78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食用油、鸡蛋</w:t>
            </w:r>
          </w:p>
        </w:tc>
        <w:tc>
          <w:tcPr>
            <w:tcW w:w="1910" w:type="dxa"/>
            <w:gridSpan w:val="4"/>
            <w:tcBorders>
              <w:top w:val="single" w:color="auto" w:sz="4" w:space="0"/>
              <w:left w:val="single" w:color="auto" w:sz="4" w:space="0"/>
              <w:bottom w:val="single" w:color="auto" w:sz="4" w:space="0"/>
              <w:right w:val="single" w:color="auto" w:sz="4" w:space="0"/>
            </w:tcBorders>
            <w:noWrap/>
            <w:vAlign w:val="center"/>
          </w:tcPr>
          <w:p>
            <w:pPr>
              <w:widowControl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茨营中心学校、茨营中学、东山中心学校、东山一中、东山二中、东山三中、三宝中心学校、三宝三中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1780"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39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五标</w:t>
            </w:r>
          </w:p>
        </w:tc>
        <w:tc>
          <w:tcPr>
            <w:tcW w:w="705" w:type="dxa"/>
            <w:vMerge w:val="restart"/>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猪肉类</w:t>
            </w:r>
          </w:p>
        </w:tc>
        <w:tc>
          <w:tcPr>
            <w:tcW w:w="16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麒麟区2026秋季-2027春季学期农村义务教育学生营养改善计划大宗食材采购项目五标段（猪肉）</w:t>
            </w:r>
          </w:p>
        </w:tc>
        <w:tc>
          <w:tcPr>
            <w:tcW w:w="120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福招字1455-2026-47</w:t>
            </w:r>
          </w:p>
        </w:tc>
        <w:tc>
          <w:tcPr>
            <w:tcW w:w="1005"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约12542</w:t>
            </w:r>
          </w:p>
        </w:tc>
        <w:tc>
          <w:tcPr>
            <w:tcW w:w="129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default" w:ascii="宋体" w:hAnsi="宋体" w:eastAsia="宋体" w:cs="宋体"/>
                <w:color w:val="auto"/>
                <w:sz w:val="21"/>
                <w:szCs w:val="21"/>
                <w:highlight w:val="none"/>
                <w:lang w:val="en-US" w:eastAsia="zh-CN"/>
              </w:rPr>
            </w:pPr>
            <w:r>
              <w:rPr>
                <w:rFonts w:hint="eastAsia" w:ascii="宋体" w:hAnsi="宋体" w:cs="宋体"/>
                <w:color w:val="auto"/>
                <w:spacing w:val="-6"/>
                <w:sz w:val="21"/>
                <w:szCs w:val="21"/>
                <w:highlight w:val="none"/>
                <w:vertAlign w:val="baseline"/>
                <w:lang w:val="en-US" w:eastAsia="zh-CN"/>
              </w:rPr>
              <w:t>8122240</w:t>
            </w:r>
          </w:p>
        </w:tc>
        <w:tc>
          <w:tcPr>
            <w:tcW w:w="78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猪肉</w:t>
            </w:r>
          </w:p>
        </w:tc>
        <w:tc>
          <w:tcPr>
            <w:tcW w:w="1910" w:type="dxa"/>
            <w:gridSpan w:val="4"/>
            <w:tcBorders>
              <w:top w:val="single" w:color="auto" w:sz="4" w:space="0"/>
              <w:left w:val="single" w:color="auto" w:sz="4" w:space="0"/>
              <w:bottom w:val="single" w:color="auto" w:sz="4" w:space="0"/>
              <w:right w:val="single" w:color="auto" w:sz="4" w:space="0"/>
            </w:tcBorders>
            <w:noWrap/>
            <w:vAlign w:val="center"/>
          </w:tcPr>
          <w:p>
            <w:pPr>
              <w:widowControl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东山中心学校、东山一中、东山二中、东山三中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2301"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390" w:type="dxa"/>
            <w:tcBorders>
              <w:top w:val="single" w:color="auto" w:sz="4" w:space="0"/>
              <w:left w:val="single" w:color="auto" w:sz="4" w:space="0"/>
              <w:bottom w:val="single" w:color="auto" w:sz="4" w:space="0"/>
              <w:right w:val="single" w:color="auto" w:sz="4" w:space="0"/>
            </w:tcBorders>
            <w:noWrap/>
            <w:vAlign w:val="center"/>
          </w:tcPr>
          <w:p>
            <w:pPr>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vertAlign w:val="baseline"/>
                <w:lang w:val="en-US" w:eastAsia="zh-CN"/>
              </w:rPr>
              <w:t>六标</w:t>
            </w:r>
          </w:p>
        </w:tc>
        <w:tc>
          <w:tcPr>
            <w:tcW w:w="705" w:type="dxa"/>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color w:val="auto"/>
                <w:sz w:val="21"/>
                <w:szCs w:val="21"/>
                <w:highlight w:val="none"/>
                <w:lang w:val="en-US" w:eastAsia="zh-CN"/>
              </w:rPr>
            </w:pPr>
          </w:p>
        </w:tc>
        <w:tc>
          <w:tcPr>
            <w:tcW w:w="16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麒麟区2026秋季-2027春季学期农村义务教育学生营养改善计划大宗食材采购项目六标段（猪肉）</w:t>
            </w:r>
          </w:p>
        </w:tc>
        <w:tc>
          <w:tcPr>
            <w:tcW w:w="120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福招字1456-2026-48</w:t>
            </w:r>
          </w:p>
        </w:tc>
        <w:tc>
          <w:tcPr>
            <w:tcW w:w="1005"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约9014</w:t>
            </w:r>
          </w:p>
        </w:tc>
        <w:tc>
          <w:tcPr>
            <w:tcW w:w="129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pacing w:val="-6"/>
                <w:sz w:val="21"/>
                <w:szCs w:val="21"/>
                <w:highlight w:val="none"/>
                <w:vertAlign w:val="baseline"/>
                <w:lang w:val="en-US" w:eastAsia="zh-CN"/>
              </w:rPr>
              <w:t>4840024</w:t>
            </w:r>
          </w:p>
        </w:tc>
        <w:tc>
          <w:tcPr>
            <w:tcW w:w="78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猪肉</w:t>
            </w:r>
          </w:p>
        </w:tc>
        <w:tc>
          <w:tcPr>
            <w:tcW w:w="1910" w:type="dxa"/>
            <w:gridSpan w:val="4"/>
            <w:tcBorders>
              <w:top w:val="single" w:color="auto" w:sz="4" w:space="0"/>
              <w:left w:val="single" w:color="auto" w:sz="4" w:space="0"/>
              <w:bottom w:val="single" w:color="auto" w:sz="4" w:space="0"/>
              <w:right w:val="single" w:color="auto" w:sz="4" w:space="0"/>
            </w:tcBorders>
            <w:noWrap/>
            <w:vAlign w:val="center"/>
          </w:tcPr>
          <w:p>
            <w:pPr>
              <w:widowControl w:val="0"/>
              <w:jc w:val="left"/>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z w:val="21"/>
                <w:szCs w:val="21"/>
                <w:highlight w:val="none"/>
                <w:lang w:val="en-US" w:eastAsia="zh-CN"/>
              </w:rPr>
              <w:t>越州中心学校、越州一中、越州二中、茨营中心学校、茨营中学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1941"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39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七标</w:t>
            </w:r>
          </w:p>
        </w:tc>
        <w:tc>
          <w:tcPr>
            <w:tcW w:w="705" w:type="dxa"/>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color w:val="auto"/>
                <w:sz w:val="21"/>
                <w:szCs w:val="21"/>
                <w:highlight w:val="none"/>
                <w:lang w:val="en-US" w:eastAsia="zh-CN"/>
              </w:rPr>
            </w:pPr>
          </w:p>
        </w:tc>
        <w:tc>
          <w:tcPr>
            <w:tcW w:w="16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麒麟区2026秋季-2027春季学期农村义务教育学生营养改善计划大宗食材采购项目七标段（猪肉）</w:t>
            </w:r>
          </w:p>
        </w:tc>
        <w:tc>
          <w:tcPr>
            <w:tcW w:w="120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福招字1457-2026-49</w:t>
            </w:r>
          </w:p>
        </w:tc>
        <w:tc>
          <w:tcPr>
            <w:tcW w:w="1005"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约6246</w:t>
            </w:r>
          </w:p>
        </w:tc>
        <w:tc>
          <w:tcPr>
            <w:tcW w:w="129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cs="宋体"/>
                <w:color w:val="auto"/>
                <w:spacing w:val="-6"/>
                <w:sz w:val="21"/>
                <w:szCs w:val="21"/>
                <w:highlight w:val="none"/>
                <w:vertAlign w:val="baseline"/>
                <w:lang w:val="en-US" w:eastAsia="zh-CN"/>
              </w:rPr>
              <w:t>3465616</w:t>
            </w:r>
          </w:p>
        </w:tc>
        <w:tc>
          <w:tcPr>
            <w:tcW w:w="78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猪肉</w:t>
            </w:r>
          </w:p>
        </w:tc>
        <w:tc>
          <w:tcPr>
            <w:tcW w:w="1910" w:type="dxa"/>
            <w:gridSpan w:val="4"/>
            <w:tcBorders>
              <w:top w:val="single" w:color="auto" w:sz="4" w:space="0"/>
              <w:left w:val="single" w:color="auto" w:sz="4" w:space="0"/>
              <w:bottom w:val="single" w:color="auto" w:sz="4" w:space="0"/>
              <w:right w:val="single" w:color="auto" w:sz="4" w:space="0"/>
            </w:tcBorders>
            <w:noWrap/>
            <w:vAlign w:val="center"/>
          </w:tcPr>
          <w:p>
            <w:pPr>
              <w:widowControl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潇湘中心学校、潇湘中学、沿江中心学校、三宝中心学校、三宝三中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cantSplit/>
          <w:trHeight w:val="1898"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39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八标</w:t>
            </w:r>
          </w:p>
        </w:tc>
        <w:tc>
          <w:tcPr>
            <w:tcW w:w="705" w:type="dxa"/>
            <w:vMerge w:val="continue"/>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cs="宋体"/>
                <w:color w:val="auto"/>
                <w:sz w:val="21"/>
                <w:szCs w:val="21"/>
                <w:highlight w:val="none"/>
                <w:lang w:val="en-US" w:eastAsia="zh-CN"/>
              </w:rPr>
            </w:pPr>
          </w:p>
        </w:tc>
        <w:tc>
          <w:tcPr>
            <w:tcW w:w="16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麒麟区2026秋季-2027春季学期农村义务教育学生营养改善计划大宗食材采购项目八标段（猪肉）</w:t>
            </w:r>
          </w:p>
        </w:tc>
        <w:tc>
          <w:tcPr>
            <w:tcW w:w="120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福招字1458-2026-50</w:t>
            </w:r>
          </w:p>
        </w:tc>
        <w:tc>
          <w:tcPr>
            <w:tcW w:w="1005"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约6124</w:t>
            </w:r>
          </w:p>
        </w:tc>
        <w:tc>
          <w:tcPr>
            <w:tcW w:w="129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cs="宋体"/>
                <w:color w:val="auto"/>
                <w:spacing w:val="-6"/>
                <w:sz w:val="21"/>
                <w:szCs w:val="21"/>
                <w:highlight w:val="none"/>
                <w:vertAlign w:val="baseline"/>
                <w:lang w:val="en-US" w:eastAsia="zh-CN"/>
              </w:rPr>
              <w:t>3119900</w:t>
            </w:r>
          </w:p>
        </w:tc>
        <w:tc>
          <w:tcPr>
            <w:tcW w:w="780" w:type="dxa"/>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猪肉</w:t>
            </w:r>
          </w:p>
        </w:tc>
        <w:tc>
          <w:tcPr>
            <w:tcW w:w="1910" w:type="dxa"/>
            <w:gridSpan w:val="4"/>
            <w:tcBorders>
              <w:top w:val="single" w:color="auto" w:sz="4" w:space="0"/>
              <w:left w:val="single" w:color="auto" w:sz="4" w:space="0"/>
              <w:bottom w:val="single" w:color="auto" w:sz="4" w:space="0"/>
              <w:right w:val="single" w:color="auto" w:sz="4" w:space="0"/>
            </w:tcBorders>
            <w:noWrap/>
            <w:vAlign w:val="center"/>
          </w:tcPr>
          <w:p>
            <w:pPr>
              <w:widowControl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南宁中心学校、益宁中心学校、白石江中心学校、文华中心学校、珠街中心学校、珠街二中、麒麟区特殊教育学校</w:t>
            </w:r>
            <w:r>
              <w:rPr>
                <w:rFonts w:hint="eastAsia" w:ascii="宋体" w:hAnsi="宋体" w:eastAsia="宋体" w:cs="宋体"/>
                <w:color w:val="auto"/>
                <w:spacing w:val="-6"/>
                <w:sz w:val="21"/>
                <w:szCs w:val="21"/>
                <w:highlight w:val="none"/>
                <w:lang w:val="en-US" w:eastAsia="zh-CN"/>
              </w:rPr>
              <w:t>、麒麟区启智爱心学校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2" w:hRule="atLeast"/>
          <w:jc w:val="center"/>
        </w:trPr>
        <w:tc>
          <w:tcPr>
            <w:tcW w:w="436" w:type="dxa"/>
            <w:vMerge w:val="continue"/>
            <w:tcBorders>
              <w:left w:val="single" w:color="auto" w:sz="4" w:space="0"/>
              <w:right w:val="single" w:color="auto" w:sz="4" w:space="0"/>
            </w:tcBorders>
            <w:noWrap/>
            <w:vAlign w:val="center"/>
          </w:tcPr>
          <w:p>
            <w:pPr>
              <w:pStyle w:val="25"/>
              <w:spacing w:line="360" w:lineRule="exact"/>
              <w:jc w:val="center"/>
              <w:rPr>
                <w:rFonts w:hint="eastAsia" w:hAnsi="宋体" w:cs="宋体"/>
                <w:color w:val="auto"/>
                <w:kern w:val="0"/>
                <w:sz w:val="21"/>
                <w:szCs w:val="21"/>
                <w:highlight w:val="none"/>
                <w:lang w:val="en-US" w:eastAsia="zh-CN"/>
              </w:rPr>
            </w:pPr>
          </w:p>
        </w:tc>
        <w:tc>
          <w:tcPr>
            <w:tcW w:w="1050" w:type="dxa"/>
            <w:vMerge w:val="continue"/>
            <w:tcBorders>
              <w:left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lang w:eastAsia="zh-CN"/>
              </w:rPr>
            </w:pPr>
          </w:p>
        </w:tc>
        <w:tc>
          <w:tcPr>
            <w:tcW w:w="8931" w:type="dxa"/>
            <w:gridSpan w:val="12"/>
            <w:tcBorders>
              <w:top w:val="single" w:color="auto" w:sz="4" w:space="0"/>
              <w:left w:val="single" w:color="auto" w:sz="4" w:space="0"/>
              <w:bottom w:val="single" w:color="auto" w:sz="4" w:space="0"/>
              <w:right w:val="single" w:color="auto" w:sz="4" w:space="0"/>
            </w:tcBorders>
            <w:noWrap/>
            <w:vAlign w:val="center"/>
          </w:tcPr>
          <w:p>
            <w:pPr>
              <w:widowControl w:val="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总计：</w:t>
            </w:r>
            <w:r>
              <w:rPr>
                <w:rFonts w:hint="eastAsia" w:ascii="宋体" w:hAnsi="宋体" w:cs="宋体"/>
                <w:b/>
                <w:bCs/>
                <w:color w:val="auto"/>
                <w:sz w:val="21"/>
                <w:szCs w:val="21"/>
                <w:highlight w:val="none"/>
                <w:lang w:val="en-US" w:eastAsia="zh-CN"/>
              </w:rPr>
              <w:t>26085748.97元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33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6</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合同履行期限（供货期限）</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一个学年度（202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年秋季及202</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年春季学期，具体期限以学校学年度期限为准）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949"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7</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w:t>
            </w:r>
            <w:r>
              <w:rPr>
                <w:rFonts w:hint="eastAsia" w:ascii="宋体" w:hAnsi="宋体" w:cs="宋体"/>
                <w:color w:val="auto"/>
                <w:sz w:val="21"/>
                <w:szCs w:val="21"/>
                <w:highlight w:val="none"/>
                <w:lang w:val="en-US" w:eastAsia="zh-CN"/>
              </w:rPr>
              <w:t xml:space="preserve">  标准</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符合《食品安全国家标准》及相关行业标准</w:t>
            </w:r>
            <w:r>
              <w:rPr>
                <w:rFonts w:hint="eastAsia" w:ascii="宋体" w:hAnsi="宋体" w:eastAsia="宋体" w:cs="宋体"/>
                <w:color w:val="auto"/>
                <w:spacing w:val="-6"/>
                <w:kern w:val="0"/>
                <w:sz w:val="21"/>
                <w:szCs w:val="21"/>
                <w:highlight w:val="none"/>
                <w:lang w:val="en-US" w:eastAsia="zh-CN" w:bidi="ar-SA"/>
              </w:rPr>
              <w:t>，按照采购人指定的供货批次每批次验收合格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124"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供</w:t>
            </w:r>
            <w:r>
              <w:rPr>
                <w:rFonts w:hint="eastAsia" w:ascii="宋体" w:hAnsi="宋体" w:eastAsia="宋体" w:cs="宋体"/>
                <w:color w:val="auto"/>
                <w:sz w:val="21"/>
                <w:szCs w:val="21"/>
                <w:highlight w:val="none"/>
                <w:lang w:val="en-US" w:eastAsia="zh-CN"/>
              </w:rPr>
              <w:t>货</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地点</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采购人指定的各学校具体实施营养改善计划校点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12312"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9</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资格要求</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1、满足《中华人民共和国政府采购法》第二十二条及其他相关规定：</w:t>
            </w:r>
          </w:p>
          <w:p>
            <w:pPr>
              <w:keepNext w:val="0"/>
              <w:keepLines w:val="0"/>
              <w:pageBreakBefore w:val="0"/>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（1）具有独立承担民事责任的能力；</w:t>
            </w:r>
          </w:p>
          <w:p>
            <w:pPr>
              <w:keepNext w:val="0"/>
              <w:keepLines w:val="0"/>
              <w:pageBreakBefore w:val="0"/>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（2）具有良好的商业信誉和健全的财务会计制度；</w:t>
            </w:r>
          </w:p>
          <w:p>
            <w:pPr>
              <w:keepNext w:val="0"/>
              <w:keepLines w:val="0"/>
              <w:pageBreakBefore w:val="0"/>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（3）具有依法缴纳税收和社会保障资金的良好记录；</w:t>
            </w:r>
          </w:p>
          <w:p>
            <w:pPr>
              <w:keepNext w:val="0"/>
              <w:keepLines w:val="0"/>
              <w:pageBreakBefore w:val="0"/>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（4）具有履行合同所必需的设备和专业技术能力；</w:t>
            </w:r>
          </w:p>
          <w:p>
            <w:pPr>
              <w:keepNext w:val="0"/>
              <w:keepLines w:val="0"/>
              <w:pageBreakBefore w:val="0"/>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（5）参加本次政府采购活动前三年内，在经营活动中没有重大违法记录（重大违法记录，是指服务商因违法经营受到刑事处罚或者责令停产停业、吊销许可证或者营业执照、较大数额罚款等行政处罚）；</w:t>
            </w:r>
          </w:p>
          <w:p>
            <w:pPr>
              <w:keepNext w:val="0"/>
              <w:keepLines w:val="0"/>
              <w:pageBreakBefore w:val="0"/>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pPr>
              <w:keepNext w:val="0"/>
              <w:keepLines w:val="0"/>
              <w:pageBreakBefore w:val="0"/>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（7）在投标（响应）截止日期前未被列入失信被执行人名单、重大税收违法失信主体名单、政府采购严重违法失信行为记录名单。</w:t>
            </w:r>
          </w:p>
          <w:p>
            <w:pPr>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信用信息查询渠道：</w:t>
            </w:r>
          </w:p>
          <w:p>
            <w:pPr>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①</w:t>
            </w:r>
            <w:r>
              <w:rPr>
                <w:rFonts w:hint="eastAsia" w:ascii="宋体" w:hAnsi="Times New Roman"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中国执行信息公开网</w:t>
            </w:r>
            <w:r>
              <w:rPr>
                <w:rFonts w:hint="eastAsia" w:ascii="宋体" w:hAnsi="Times New Roman"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查询“失信被执行人名单”；</w:t>
            </w:r>
          </w:p>
          <w:p>
            <w:pPr>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②《信用中国网》查询</w:t>
            </w:r>
            <w:r>
              <w:rPr>
                <w:rFonts w:hint="eastAsia" w:ascii="宋体" w:hAnsi="Times New Roman"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重大税收违法失信主体名单”</w:t>
            </w:r>
            <w:r>
              <w:rPr>
                <w:rFonts w:hint="eastAsia" w:ascii="宋体" w:hAnsi="Times New Roman" w:eastAsia="宋体" w:cs="宋体"/>
                <w:color w:val="auto"/>
                <w:kern w:val="0"/>
                <w:sz w:val="21"/>
                <w:szCs w:val="21"/>
                <w:highlight w:val="none"/>
                <w:lang w:val="en-US" w:eastAsia="zh-CN" w:bidi="ar-SA"/>
              </w:rPr>
              <w:t>；</w:t>
            </w:r>
          </w:p>
          <w:p>
            <w:pPr>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Times New Roman" w:eastAsia="宋体" w:cs="宋体"/>
                <w:color w:val="auto"/>
                <w:kern w:val="0"/>
                <w:sz w:val="21"/>
                <w:szCs w:val="21"/>
                <w:highlight w:val="none"/>
                <w:lang w:val="en-US" w:eastAsia="zh-CN" w:bidi="ar-SA"/>
              </w:rPr>
              <w:t>③《</w:t>
            </w:r>
            <w:r>
              <w:rPr>
                <w:rFonts w:hint="eastAsia" w:ascii="宋体" w:hAnsi="宋体" w:eastAsia="宋体" w:cs="宋体"/>
                <w:color w:val="auto"/>
                <w:kern w:val="0"/>
                <w:sz w:val="21"/>
                <w:szCs w:val="21"/>
                <w:highlight w:val="none"/>
                <w:lang w:val="en-US" w:eastAsia="zh-CN" w:bidi="ar-SA"/>
              </w:rPr>
              <w:t>中国政府采购网</w:t>
            </w:r>
            <w:r>
              <w:rPr>
                <w:rFonts w:hint="eastAsia" w:ascii="宋体" w:hAnsi="Times New Roman"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查询“政府采购严重违法失信行为记录名单”。</w:t>
            </w:r>
          </w:p>
          <w:p>
            <w:pPr>
              <w:keepNext w:val="0"/>
              <w:keepLines w:val="0"/>
              <w:pageBreakBefore w:val="0"/>
              <w:numPr>
                <w:ilvl w:val="0"/>
                <w:numId w:val="0"/>
              </w:numPr>
              <w:kinsoku/>
              <w:wordWrap/>
              <w:overflowPunct/>
              <w:topLinePunct w:val="0"/>
              <w:autoSpaceDE/>
              <w:autoSpaceDN/>
              <w:bidi w:val="0"/>
              <w:adjustRightInd/>
              <w:snapToGrid/>
              <w:spacing w:line="340" w:lineRule="exact"/>
              <w:ind w:firstLine="422"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2、落实政府采购政策需满足的资格要求：</w:t>
            </w:r>
            <w:r>
              <w:rPr>
                <w:rFonts w:hint="eastAsia" w:ascii="宋体" w:hAnsi="宋体" w:eastAsia="宋体" w:cs="宋体"/>
                <w:sz w:val="21"/>
                <w:szCs w:val="21"/>
                <w:highlight w:val="none"/>
                <w:lang w:val="en-US" w:eastAsia="zh-CN"/>
              </w:rPr>
              <w:t>本项目不属于专门面向中小企业采购的项目。（1）扶持中小企业政策：按照“根据《关于印发《政府采购促进中小企业发展管理办法》的通知》（财库〔2020〕46 号）和《关于进一步加大政府采购支持中小企业力度的通知》（财库〔2022〕19 号）的规定”执行。（2）支持监狱企业政策：按照根据财政部《司法部关于政府采购支持监狱企业发展有关问题》的通知（财库〔2014〕68 号）执行。（3）支持残疾人福利性单位政策：根据《三部门联合发布关于促进残疾人就业政府采购政策的通知》（财库〔2017〕141号）执行。</w:t>
            </w:r>
          </w:p>
          <w:p>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spacing w:line="340" w:lineRule="exact"/>
              <w:ind w:firstLine="422"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一</w:t>
            </w:r>
            <w:r>
              <w:rPr>
                <w:rFonts w:hint="eastAsia" w:ascii="宋体" w:hAnsi="宋体" w:cs="宋体"/>
                <w:b/>
                <w:bCs/>
                <w:color w:val="auto"/>
                <w:kern w:val="2"/>
                <w:sz w:val="21"/>
                <w:szCs w:val="21"/>
                <w:highlight w:val="none"/>
                <w:lang w:val="en-US" w:eastAsia="zh-CN" w:bidi="ar-SA"/>
              </w:rPr>
              <w:t>至二</w:t>
            </w:r>
            <w:r>
              <w:rPr>
                <w:rFonts w:hint="eastAsia" w:ascii="宋体" w:hAnsi="宋体" w:eastAsia="宋体" w:cs="宋体"/>
                <w:b/>
                <w:bCs/>
                <w:color w:val="auto"/>
                <w:kern w:val="2"/>
                <w:sz w:val="21"/>
                <w:szCs w:val="21"/>
                <w:highlight w:val="none"/>
                <w:lang w:val="en-US" w:eastAsia="zh-CN" w:bidi="ar-SA"/>
              </w:rPr>
              <w:t>标段（大米）：</w:t>
            </w:r>
            <w:r>
              <w:rPr>
                <w:rFonts w:hint="eastAsia" w:ascii="宋体" w:hAnsi="宋体" w:eastAsia="宋体" w:cs="宋体"/>
                <w:color w:val="auto"/>
                <w:sz w:val="21"/>
                <w:szCs w:val="21"/>
                <w:highlight w:val="none"/>
                <w:lang w:val="en-US" w:eastAsia="zh-CN"/>
              </w:rPr>
              <w:t>生产厂家参加投标的，须提供《食品生产许可证》；</w:t>
            </w:r>
            <w:r>
              <w:rPr>
                <w:rFonts w:hint="eastAsia" w:ascii="宋体" w:hAnsi="宋体" w:cs="宋体"/>
                <w:color w:val="auto"/>
                <w:sz w:val="21"/>
                <w:szCs w:val="21"/>
                <w:highlight w:val="none"/>
                <w:lang w:val="en-US" w:eastAsia="zh-CN"/>
              </w:rPr>
              <w:t>经销</w:t>
            </w:r>
            <w:r>
              <w:rPr>
                <w:rFonts w:hint="eastAsia" w:ascii="宋体" w:hAnsi="宋体" w:eastAsia="宋体" w:cs="宋体"/>
                <w:color w:val="auto"/>
                <w:sz w:val="21"/>
                <w:szCs w:val="21"/>
                <w:highlight w:val="none"/>
                <w:lang w:val="en-US" w:eastAsia="zh-CN"/>
              </w:rPr>
              <w:t>商参加投标的，须提供</w:t>
            </w:r>
            <w:r>
              <w:rPr>
                <w:rFonts w:hint="eastAsia" w:ascii="宋体" w:hAnsi="宋体" w:cs="宋体"/>
                <w:color w:val="auto"/>
                <w:sz w:val="21"/>
                <w:szCs w:val="21"/>
                <w:highlight w:val="none"/>
                <w:lang w:val="en-US" w:eastAsia="zh-CN"/>
              </w:rPr>
              <w:t>大米</w:t>
            </w:r>
            <w:r>
              <w:rPr>
                <w:rFonts w:hint="eastAsia" w:ascii="宋体" w:hAnsi="宋体" w:eastAsia="宋体" w:cs="宋体"/>
                <w:color w:val="auto"/>
                <w:sz w:val="21"/>
                <w:szCs w:val="21"/>
                <w:highlight w:val="none"/>
                <w:lang w:val="en-US" w:eastAsia="zh-CN"/>
              </w:rPr>
              <w:t>生产厂家的《食品生产许可证》、</w:t>
            </w:r>
            <w:r>
              <w:rPr>
                <w:rFonts w:hint="eastAsia" w:ascii="宋体" w:hAnsi="宋体" w:cs="宋体"/>
                <w:color w:val="auto"/>
                <w:sz w:val="21"/>
                <w:szCs w:val="21"/>
                <w:highlight w:val="none"/>
                <w:lang w:val="en-US" w:eastAsia="zh-CN"/>
              </w:rPr>
              <w:t>经销</w:t>
            </w:r>
            <w:r>
              <w:rPr>
                <w:rFonts w:hint="eastAsia" w:ascii="宋体" w:hAnsi="宋体" w:eastAsia="宋体" w:cs="宋体"/>
                <w:color w:val="auto"/>
                <w:sz w:val="21"/>
                <w:szCs w:val="21"/>
                <w:highlight w:val="none"/>
                <w:lang w:val="en-US" w:eastAsia="zh-CN"/>
              </w:rPr>
              <w:t>商的《食品经营许可证》或《仅销售预包装食品经营者备案》。</w:t>
            </w:r>
          </w:p>
          <w:p>
            <w:pPr>
              <w:keepNext w:val="0"/>
              <w:keepLines w:val="0"/>
              <w:pageBreakBefore w:val="0"/>
              <w:widowControl w:val="0"/>
              <w:kinsoku/>
              <w:wordWrap/>
              <w:overflowPunct/>
              <w:topLinePunct w:val="0"/>
              <w:autoSpaceDE/>
              <w:autoSpaceDN/>
              <w:bidi w:val="0"/>
              <w:adjustRightInd/>
              <w:snapToGrid/>
              <w:spacing w:line="340" w:lineRule="exact"/>
              <w:ind w:firstLine="422"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 xml:space="preserve"> </w:t>
            </w:r>
            <w:r>
              <w:rPr>
                <w:rFonts w:hint="eastAsia" w:ascii="宋体" w:hAnsi="宋体" w:cs="宋体"/>
                <w:b/>
                <w:bCs/>
                <w:color w:val="auto"/>
                <w:kern w:val="2"/>
                <w:sz w:val="21"/>
                <w:szCs w:val="21"/>
                <w:highlight w:val="none"/>
                <w:lang w:val="en-US" w:eastAsia="zh-CN" w:bidi="ar-SA"/>
              </w:rPr>
              <w:t>三至四</w:t>
            </w:r>
            <w:r>
              <w:rPr>
                <w:rFonts w:hint="eastAsia" w:ascii="宋体" w:hAnsi="宋体" w:eastAsia="宋体" w:cs="宋体"/>
                <w:b/>
                <w:bCs/>
                <w:color w:val="auto"/>
                <w:kern w:val="2"/>
                <w:sz w:val="21"/>
                <w:szCs w:val="21"/>
                <w:highlight w:val="none"/>
                <w:lang w:val="en-US" w:eastAsia="zh-CN" w:bidi="ar-SA"/>
              </w:rPr>
              <w:t>标段（食用油、鸡蛋）：</w:t>
            </w:r>
            <w:r>
              <w:rPr>
                <w:rFonts w:hint="eastAsia" w:ascii="宋体" w:hAnsi="宋体" w:cs="宋体"/>
                <w:color w:val="auto"/>
                <w:kern w:val="2"/>
                <w:sz w:val="21"/>
                <w:szCs w:val="21"/>
                <w:highlight w:val="none"/>
                <w:lang w:val="en-US" w:eastAsia="zh-CN" w:bidi="ar-SA"/>
              </w:rPr>
              <w:t>生产厂家参加投标的，须</w:t>
            </w:r>
            <w:r>
              <w:rPr>
                <w:rFonts w:hint="eastAsia" w:ascii="宋体" w:hAnsi="宋体" w:eastAsia="宋体" w:cs="宋体"/>
                <w:color w:val="auto"/>
                <w:kern w:val="2"/>
                <w:sz w:val="21"/>
                <w:szCs w:val="21"/>
                <w:highlight w:val="none"/>
                <w:lang w:val="en-US" w:eastAsia="zh-CN" w:bidi="ar-SA"/>
              </w:rPr>
              <w:t>提供</w:t>
            </w:r>
            <w:r>
              <w:rPr>
                <w:rFonts w:hint="eastAsia" w:ascii="宋体" w:hAnsi="宋体" w:cs="宋体"/>
                <w:color w:val="auto"/>
                <w:kern w:val="2"/>
                <w:sz w:val="21"/>
                <w:szCs w:val="21"/>
                <w:highlight w:val="none"/>
                <w:lang w:val="en-US" w:eastAsia="zh-CN" w:bidi="ar-SA"/>
              </w:rPr>
              <w:t>食用油的</w:t>
            </w:r>
            <w:r>
              <w:rPr>
                <w:rFonts w:hint="eastAsia" w:ascii="宋体" w:hAnsi="宋体" w:eastAsia="宋体" w:cs="宋体"/>
                <w:color w:val="auto"/>
                <w:kern w:val="2"/>
                <w:sz w:val="21"/>
                <w:szCs w:val="21"/>
                <w:highlight w:val="none"/>
                <w:lang w:val="en-US" w:eastAsia="zh-CN" w:bidi="ar-SA"/>
              </w:rPr>
              <w:t>《食品生产许可证》、</w:t>
            </w:r>
            <w:r>
              <w:rPr>
                <w:rFonts w:hint="eastAsia" w:ascii="宋体" w:hAnsi="宋体" w:cs="宋体"/>
                <w:color w:val="auto"/>
                <w:kern w:val="2"/>
                <w:sz w:val="21"/>
                <w:szCs w:val="21"/>
                <w:highlight w:val="none"/>
                <w:lang w:val="en-US" w:eastAsia="zh-CN" w:bidi="ar-SA"/>
              </w:rPr>
              <w:t>鸡蛋的</w:t>
            </w:r>
            <w:r>
              <w:rPr>
                <w:rFonts w:hint="eastAsia" w:ascii="宋体" w:hAnsi="宋体" w:eastAsia="宋体" w:cs="宋体"/>
                <w:color w:val="auto"/>
                <w:kern w:val="2"/>
                <w:sz w:val="21"/>
                <w:szCs w:val="21"/>
                <w:highlight w:val="none"/>
                <w:lang w:val="en-US" w:eastAsia="zh-CN" w:bidi="ar-SA"/>
              </w:rPr>
              <w:t>《动物防疫条件合格证》</w:t>
            </w:r>
            <w:r>
              <w:rPr>
                <w:rFonts w:hint="eastAsia" w:ascii="宋体" w:hAnsi="宋体" w:cs="宋体"/>
                <w:color w:val="auto"/>
                <w:kern w:val="2"/>
                <w:sz w:val="21"/>
                <w:szCs w:val="21"/>
                <w:highlight w:val="none"/>
                <w:lang w:val="en-US" w:eastAsia="zh-CN" w:bidi="ar-SA"/>
              </w:rPr>
              <w:t>；</w:t>
            </w:r>
            <w:r>
              <w:rPr>
                <w:rFonts w:hint="eastAsia" w:ascii="宋体" w:hAnsi="宋体" w:cs="宋体"/>
                <w:color w:val="auto"/>
                <w:sz w:val="21"/>
                <w:szCs w:val="21"/>
                <w:highlight w:val="none"/>
                <w:lang w:val="en-US" w:eastAsia="zh-CN"/>
              </w:rPr>
              <w:t>经销</w:t>
            </w:r>
            <w:r>
              <w:rPr>
                <w:rFonts w:hint="eastAsia" w:ascii="宋体" w:hAnsi="宋体" w:eastAsia="宋体" w:cs="宋体"/>
                <w:color w:val="auto"/>
                <w:sz w:val="21"/>
                <w:szCs w:val="21"/>
                <w:highlight w:val="none"/>
                <w:lang w:val="en-US" w:eastAsia="zh-CN"/>
              </w:rPr>
              <w:t>商参加投标的</w:t>
            </w:r>
            <w:r>
              <w:rPr>
                <w:rFonts w:hint="eastAsia" w:ascii="宋体" w:hAnsi="宋体" w:cs="宋体"/>
                <w:color w:val="auto"/>
                <w:sz w:val="21"/>
                <w:szCs w:val="21"/>
                <w:highlight w:val="none"/>
                <w:lang w:val="en-US" w:eastAsia="zh-CN"/>
              </w:rPr>
              <w:t>，</w:t>
            </w:r>
            <w:r>
              <w:rPr>
                <w:rFonts w:hint="eastAsia" w:ascii="宋体" w:hAnsi="宋体" w:eastAsia="宋体" w:cs="宋体"/>
                <w:color w:val="auto"/>
                <w:kern w:val="2"/>
                <w:sz w:val="21"/>
                <w:szCs w:val="21"/>
                <w:highlight w:val="none"/>
                <w:lang w:val="en-US" w:eastAsia="zh-CN" w:bidi="ar-SA"/>
              </w:rPr>
              <w:t>须提供食用油生产厂家的《食品生产许可证》、鸡蛋生产厂家的《动物防疫条件合格证》、</w:t>
            </w:r>
            <w:r>
              <w:rPr>
                <w:rFonts w:hint="eastAsia" w:ascii="宋体" w:hAnsi="宋体" w:cs="宋体"/>
                <w:color w:val="auto"/>
                <w:sz w:val="21"/>
                <w:szCs w:val="21"/>
                <w:highlight w:val="none"/>
                <w:lang w:val="en-US" w:eastAsia="zh-CN"/>
              </w:rPr>
              <w:t>经销</w:t>
            </w:r>
            <w:r>
              <w:rPr>
                <w:rFonts w:hint="eastAsia" w:ascii="宋体" w:hAnsi="宋体" w:eastAsia="宋体" w:cs="宋体"/>
                <w:color w:val="auto"/>
                <w:sz w:val="21"/>
                <w:szCs w:val="21"/>
                <w:highlight w:val="none"/>
                <w:lang w:val="en-US" w:eastAsia="zh-CN"/>
              </w:rPr>
              <w:t>商</w:t>
            </w:r>
            <w:r>
              <w:rPr>
                <w:rFonts w:hint="eastAsia" w:ascii="宋体" w:hAnsi="宋体" w:eastAsia="宋体" w:cs="宋体"/>
                <w:color w:val="auto"/>
                <w:kern w:val="2"/>
                <w:sz w:val="21"/>
                <w:szCs w:val="21"/>
                <w:highlight w:val="none"/>
                <w:lang w:val="en-US" w:eastAsia="zh-CN" w:bidi="ar-SA"/>
              </w:rPr>
              <w:t>的《食品经营许可证》或《仅销售预包装食品经营者备案》。</w:t>
            </w:r>
          </w:p>
          <w:p>
            <w:pPr>
              <w:keepNext w:val="0"/>
              <w:keepLines w:val="0"/>
              <w:pageBreakBefore w:val="0"/>
              <w:widowControl w:val="0"/>
              <w:kinsoku/>
              <w:wordWrap/>
              <w:overflowPunct/>
              <w:topLinePunct w:val="0"/>
              <w:autoSpaceDE/>
              <w:autoSpaceDN/>
              <w:bidi w:val="0"/>
              <w:adjustRightInd/>
              <w:snapToGrid/>
              <w:spacing w:line="34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kern w:val="2"/>
                <w:sz w:val="21"/>
                <w:szCs w:val="21"/>
                <w:highlight w:val="none"/>
                <w:lang w:val="en-US" w:eastAsia="zh-CN" w:bidi="ar-SA"/>
              </w:rPr>
              <w:t>五至八</w:t>
            </w:r>
            <w:r>
              <w:rPr>
                <w:rFonts w:hint="eastAsia" w:ascii="宋体" w:hAnsi="宋体" w:eastAsia="宋体" w:cs="宋体"/>
                <w:b/>
                <w:bCs/>
                <w:color w:val="auto"/>
                <w:kern w:val="2"/>
                <w:sz w:val="21"/>
                <w:szCs w:val="21"/>
                <w:highlight w:val="none"/>
                <w:lang w:val="en-US" w:eastAsia="zh-CN" w:bidi="ar-SA"/>
              </w:rPr>
              <w:t>标段（猪肉）：</w:t>
            </w:r>
            <w:r>
              <w:rPr>
                <w:rFonts w:hint="eastAsia" w:ascii="宋体" w:hAnsi="宋体" w:eastAsia="宋体" w:cs="宋体"/>
                <w:color w:val="auto"/>
                <w:sz w:val="21"/>
                <w:szCs w:val="21"/>
                <w:highlight w:val="none"/>
                <w:lang w:val="en-US" w:eastAsia="zh-CN"/>
              </w:rPr>
              <w:t>生产厂家参加投标的，须提供《动物防疫条件合格证》；</w:t>
            </w:r>
            <w:r>
              <w:rPr>
                <w:rFonts w:hint="eastAsia" w:ascii="宋体" w:hAnsi="宋体" w:cs="宋体"/>
                <w:color w:val="auto"/>
                <w:sz w:val="21"/>
                <w:szCs w:val="21"/>
                <w:highlight w:val="none"/>
                <w:lang w:val="en-US" w:eastAsia="zh-CN"/>
              </w:rPr>
              <w:t>经销</w:t>
            </w:r>
            <w:r>
              <w:rPr>
                <w:rFonts w:hint="eastAsia" w:ascii="宋体" w:hAnsi="宋体" w:eastAsia="宋体" w:cs="宋体"/>
                <w:color w:val="auto"/>
                <w:sz w:val="21"/>
                <w:szCs w:val="21"/>
                <w:highlight w:val="none"/>
                <w:lang w:val="en-US" w:eastAsia="zh-CN"/>
              </w:rPr>
              <w:t>商参加投标的，须提供</w:t>
            </w:r>
            <w:r>
              <w:rPr>
                <w:rFonts w:hint="eastAsia" w:ascii="宋体" w:hAnsi="宋体" w:cs="宋体"/>
                <w:color w:val="auto"/>
                <w:sz w:val="21"/>
                <w:szCs w:val="21"/>
                <w:highlight w:val="none"/>
                <w:lang w:val="en-US" w:eastAsia="zh-CN"/>
              </w:rPr>
              <w:t>猪肉</w:t>
            </w:r>
            <w:r>
              <w:rPr>
                <w:rFonts w:hint="eastAsia" w:ascii="宋体" w:hAnsi="宋体" w:eastAsia="宋体" w:cs="宋体"/>
                <w:color w:val="auto"/>
                <w:sz w:val="21"/>
                <w:szCs w:val="21"/>
                <w:highlight w:val="none"/>
                <w:lang w:val="en-US" w:eastAsia="zh-CN"/>
              </w:rPr>
              <w:t>生产厂家的《动物防疫条件合格证》、</w:t>
            </w:r>
            <w:r>
              <w:rPr>
                <w:rFonts w:hint="eastAsia" w:ascii="宋体" w:hAnsi="宋体" w:cs="宋体"/>
                <w:color w:val="auto"/>
                <w:sz w:val="21"/>
                <w:szCs w:val="21"/>
                <w:highlight w:val="none"/>
                <w:lang w:val="en-US" w:eastAsia="zh-CN"/>
              </w:rPr>
              <w:t>经销</w:t>
            </w:r>
            <w:r>
              <w:rPr>
                <w:rFonts w:hint="eastAsia" w:ascii="宋体" w:hAnsi="宋体" w:eastAsia="宋体" w:cs="宋体"/>
                <w:color w:val="auto"/>
                <w:sz w:val="21"/>
                <w:szCs w:val="21"/>
                <w:highlight w:val="none"/>
                <w:lang w:val="en-US" w:eastAsia="zh-CN"/>
              </w:rPr>
              <w:t>商的《食品经营许可证》。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674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10</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42"/>
              <w:keepNext w:val="0"/>
              <w:keepLines w:val="0"/>
              <w:pageBreakBefore w:val="0"/>
              <w:kinsoku/>
              <w:wordWrap/>
              <w:overflowPunct/>
              <w:topLinePunct w:val="0"/>
              <w:autoSpaceDE/>
              <w:autoSpaceDN/>
              <w:bidi w:val="0"/>
              <w:adjustRightInd/>
              <w:snapToGrid/>
              <w:spacing w:before="0" w:beforeAutospacing="0" w:after="0" w:afterAutospacing="0" w:line="300" w:lineRule="exact"/>
              <w:ind w:left="0" w:leftChars="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hAnsi="宋体" w:cs="宋体"/>
                <w:bCs/>
                <w:color w:val="auto"/>
                <w:kern w:val="2"/>
                <w:sz w:val="21"/>
                <w:szCs w:val="21"/>
                <w:highlight w:val="none"/>
                <w:lang w:val="en-US" w:eastAsia="zh-CN" w:bidi="ar-SA"/>
              </w:rPr>
              <w:t>投标</w:t>
            </w:r>
            <w:r>
              <w:rPr>
                <w:rFonts w:hint="eastAsia" w:ascii="宋体" w:hAnsi="宋体" w:eastAsia="宋体" w:cs="宋体"/>
                <w:bCs/>
                <w:color w:val="auto"/>
                <w:kern w:val="2"/>
                <w:sz w:val="21"/>
                <w:szCs w:val="21"/>
                <w:highlight w:val="none"/>
                <w:lang w:val="en-US" w:eastAsia="zh-CN" w:bidi="ar-SA"/>
              </w:rPr>
              <w:t>报价及其他说</w:t>
            </w:r>
            <w:r>
              <w:rPr>
                <w:rFonts w:hint="eastAsia" w:ascii="宋体" w:hAnsi="宋体" w:eastAsia="宋体" w:cs="宋体"/>
                <w:color w:val="auto"/>
                <w:kern w:val="2"/>
                <w:sz w:val="21"/>
                <w:szCs w:val="21"/>
                <w:highlight w:val="none"/>
                <w:lang w:val="en-US" w:eastAsia="zh-CN" w:bidi="ar-SA"/>
              </w:rPr>
              <w:t>明</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40" w:lineRule="exact"/>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1、本项目</w:t>
            </w:r>
            <w:r>
              <w:rPr>
                <w:rFonts w:hint="eastAsia" w:ascii="宋体" w:hAnsi="宋体" w:cs="宋体"/>
                <w:color w:val="auto"/>
                <w:highlight w:val="none"/>
                <w:lang w:val="en-US" w:eastAsia="zh-CN"/>
              </w:rPr>
              <w:t>招标</w:t>
            </w:r>
            <w:r>
              <w:rPr>
                <w:rFonts w:hint="eastAsia" w:ascii="宋体" w:hAnsi="宋体" w:eastAsia="宋体" w:cs="宋体"/>
                <w:color w:val="auto"/>
                <w:highlight w:val="none"/>
                <w:lang w:val="en-US" w:eastAsia="zh-CN"/>
              </w:rPr>
              <w:t>控制价（最低限价）：1%。</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2、供应商以固定下浮率进行报价，下浮率必须</w:t>
            </w:r>
            <w:r>
              <w:rPr>
                <w:rFonts w:hint="eastAsia" w:ascii="宋体" w:hAnsi="宋体" w:cs="宋体"/>
                <w:highlight w:val="none"/>
                <w:lang w:val="en-US" w:eastAsia="zh-CN"/>
              </w:rPr>
              <w:t>≥</w:t>
            </w:r>
            <w:r>
              <w:rPr>
                <w:rFonts w:hint="eastAsia" w:ascii="宋体" w:hAnsi="宋体" w:eastAsia="宋体" w:cs="宋体"/>
                <w:highlight w:val="none"/>
                <w:lang w:val="en-US" w:eastAsia="zh-CN"/>
              </w:rPr>
              <w:t>1%，否则</w:t>
            </w:r>
            <w:r>
              <w:rPr>
                <w:rFonts w:hint="eastAsia" w:ascii="宋体" w:hAnsi="宋体" w:cs="宋体"/>
                <w:highlight w:val="none"/>
                <w:lang w:val="en-US" w:eastAsia="zh-CN"/>
              </w:rPr>
              <w:t>投标</w:t>
            </w:r>
            <w:r>
              <w:rPr>
                <w:rFonts w:hint="eastAsia" w:ascii="宋体" w:hAnsi="宋体" w:eastAsia="宋体" w:cs="宋体"/>
                <w:highlight w:val="none"/>
                <w:lang w:val="en-US" w:eastAsia="zh-CN"/>
              </w:rPr>
              <w:t>无效，例如：</w:t>
            </w:r>
            <w:r>
              <w:rPr>
                <w:rFonts w:hint="eastAsia" w:ascii="宋体" w:hAnsi="宋体" w:cs="宋体"/>
                <w:highlight w:val="none"/>
                <w:lang w:val="en-US" w:eastAsia="zh-CN"/>
              </w:rPr>
              <w:t>1%、1</w:t>
            </w:r>
            <w:r>
              <w:rPr>
                <w:rFonts w:hint="eastAsia" w:ascii="宋体" w:hAnsi="宋体" w:eastAsia="宋体" w:cs="宋体"/>
                <w:highlight w:val="none"/>
                <w:lang w:val="en-US" w:eastAsia="zh-CN"/>
              </w:rPr>
              <w:t>.5%、2%、5%……</w:t>
            </w:r>
            <w:r>
              <w:rPr>
                <w:rFonts w:hint="eastAsia" w:ascii="宋体" w:hAnsi="宋体" w:cs="宋体"/>
                <w:highlight w:val="none"/>
                <w:lang w:val="en-US" w:eastAsia="zh-CN"/>
              </w:rPr>
              <w:t>等等为有效报价</w:t>
            </w:r>
            <w:r>
              <w:rPr>
                <w:rFonts w:hint="eastAsia" w:ascii="宋体" w:hAnsi="宋体" w:eastAsia="宋体" w:cs="宋体"/>
                <w:highlight w:val="none"/>
                <w:lang w:val="en-US" w:eastAsia="zh-CN"/>
              </w:rPr>
              <w:t>。</w:t>
            </w:r>
          </w:p>
          <w:p>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b/>
                <w:bCs/>
                <w:highlight w:val="none"/>
                <w:lang w:val="en-US" w:eastAsia="zh-CN"/>
              </w:rPr>
            </w:pPr>
            <w:r>
              <w:rPr>
                <w:rFonts w:hint="eastAsia" w:ascii="宋体" w:hAnsi="宋体" w:eastAsia="宋体" w:cs="宋体"/>
                <w:highlight w:val="none"/>
                <w:lang w:val="en-US" w:eastAsia="zh-CN"/>
              </w:rPr>
              <w:t>3、投标报价为货至项目现场完税价（包括供应商所投产品的生产、采购、加工、运输、配送、税费、检验检疫、售后服务等一切费用的总和）。</w:t>
            </w:r>
          </w:p>
          <w:p>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4、</w:t>
            </w:r>
            <w:r>
              <w:rPr>
                <w:rFonts w:hint="eastAsia" w:ascii="宋体" w:hAnsi="宋体" w:cs="宋体"/>
                <w:highlight w:val="none"/>
                <w:lang w:val="en-US" w:eastAsia="zh-CN"/>
              </w:rPr>
              <w:t>供应商的投标报价必须是</w:t>
            </w:r>
            <w:r>
              <w:rPr>
                <w:rFonts w:hint="eastAsia" w:ascii="宋体" w:hAnsi="宋体" w:eastAsia="宋体" w:cs="宋体"/>
                <w:highlight w:val="none"/>
                <w:lang w:val="en-US" w:eastAsia="zh-CN"/>
              </w:rPr>
              <w:t>完整唯一</w:t>
            </w:r>
            <w:r>
              <w:rPr>
                <w:rFonts w:hint="eastAsia" w:ascii="宋体" w:hAnsi="宋体" w:cs="宋体"/>
                <w:highlight w:val="none"/>
                <w:lang w:val="en-US" w:eastAsia="zh-CN"/>
              </w:rPr>
              <w:t>的</w:t>
            </w:r>
            <w:r>
              <w:rPr>
                <w:rFonts w:hint="eastAsia" w:ascii="宋体" w:hAnsi="宋体" w:eastAsia="宋体" w:cs="宋体"/>
                <w:highlight w:val="none"/>
                <w:lang w:val="en-US" w:eastAsia="zh-CN"/>
              </w:rPr>
              <w:t>报价</w:t>
            </w:r>
            <w:r>
              <w:rPr>
                <w:rFonts w:hint="eastAsia" w:ascii="宋体" w:hAnsi="宋体" w:cs="宋体"/>
                <w:highlight w:val="none"/>
                <w:lang w:val="en-US" w:eastAsia="zh-CN"/>
              </w:rPr>
              <w:t>，不允许有多个报价</w:t>
            </w:r>
            <w:r>
              <w:rPr>
                <w:rFonts w:hint="eastAsia" w:ascii="宋体" w:hAnsi="宋体" w:eastAsia="宋体" w:cs="宋体"/>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40" w:lineRule="exact"/>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5</w:t>
            </w:r>
            <w:r>
              <w:rPr>
                <w:rFonts w:hint="eastAsia" w:ascii="宋体" w:hAnsi="宋体" w:eastAsia="宋体" w:cs="宋体"/>
                <w:color w:val="auto"/>
                <w:highlight w:val="none"/>
                <w:lang w:val="en-US" w:eastAsia="zh-CN"/>
              </w:rPr>
              <w:t>、食材基准价</w:t>
            </w:r>
            <w:r>
              <w:rPr>
                <w:rFonts w:hint="eastAsia" w:ascii="宋体" w:hAnsi="宋体" w:cs="宋体"/>
                <w:color w:val="auto"/>
                <w:highlight w:val="none"/>
                <w:lang w:val="en-US" w:eastAsia="zh-CN"/>
              </w:rPr>
              <w:t>的确定方式</w:t>
            </w:r>
            <w:r>
              <w:rPr>
                <w:rFonts w:hint="eastAsia" w:ascii="宋体" w:hAnsi="宋体" w:eastAsia="宋体" w:cs="宋体"/>
                <w:color w:val="auto"/>
                <w:highlight w:val="none"/>
                <w:lang w:val="en-US" w:eastAsia="zh-CN"/>
              </w:rPr>
              <w:t>：采用询价小组市场询价，以供货当月在麒麟区内不少于三家大型商超或大型农贸市场内进行产品询价为准，以询价的平均数作为基准价（经核实的大型商超、农贸市场的引流价及特价食材、处理食材不作询价标准）；原则上每月询价1次。</w:t>
            </w:r>
          </w:p>
          <w:p>
            <w:pPr>
              <w:keepNext w:val="0"/>
              <w:keepLines w:val="0"/>
              <w:pageBreakBefore w:val="0"/>
              <w:kinsoku/>
              <w:wordWrap/>
              <w:overflowPunct/>
              <w:topLinePunct w:val="0"/>
              <w:autoSpaceDE/>
              <w:autoSpaceDN/>
              <w:bidi w:val="0"/>
              <w:adjustRightInd/>
              <w:snapToGrid/>
              <w:spacing w:line="340" w:lineRule="exact"/>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、当月食材的实际执行价格=基准价×（1-下浮率），本价格不得高于市场公允价格。</w:t>
            </w:r>
          </w:p>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7</w:t>
            </w:r>
            <w:r>
              <w:rPr>
                <w:rFonts w:hint="eastAsia" w:ascii="宋体" w:hAnsi="宋体" w:eastAsia="宋体" w:cs="宋体"/>
                <w:color w:val="auto"/>
                <w:highlight w:val="none"/>
                <w:lang w:val="en-US" w:eastAsia="zh-CN"/>
              </w:rPr>
              <w:t>、在价格执行周期内，如遇市场价格波动较大情况，则启动临时询价，重新确定同期食材价格。如遇特殊情况需延长或缩短价格执行周期，须甲、乙双方提前协商确定，乙方须配合。</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highlight w:val="none"/>
                <w:lang w:val="en-US" w:eastAsia="zh-CN"/>
              </w:rPr>
            </w:pP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w:t>
            </w:r>
            <w:r>
              <w:rPr>
                <w:rFonts w:hint="eastAsia" w:ascii="宋体" w:hAnsi="宋体" w:eastAsia="宋体" w:cs="宋体"/>
                <w:highlight w:val="none"/>
                <w:lang w:val="en-US" w:eastAsia="zh-CN"/>
              </w:rPr>
              <w:t>下单时间：</w:t>
            </w:r>
            <w:r>
              <w:rPr>
                <w:rFonts w:hint="eastAsia" w:ascii="宋体" w:hAnsi="宋体" w:eastAsia="宋体" w:cs="宋体"/>
                <w:color w:val="auto"/>
                <w:highlight w:val="none"/>
                <w:lang w:val="en-US" w:eastAsia="zh-CN"/>
              </w:rPr>
              <w:t>学校提前一周向供应商发送食材采购计划，供应商依据采购计划按时保质保量配送到校。</w:t>
            </w:r>
          </w:p>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9</w:t>
            </w:r>
            <w:r>
              <w:rPr>
                <w:rFonts w:hint="eastAsia" w:ascii="宋体" w:hAnsi="宋体" w:eastAsia="宋体" w:cs="宋体"/>
                <w:color w:val="auto"/>
                <w:highlight w:val="none"/>
                <w:lang w:val="en-US" w:eastAsia="zh-CN"/>
              </w:rPr>
              <w:t>、结算付款方式:采购人所属各校每月末按照实际完成的食材供应数量及当月食材的实际执行价格与供应商进行结算</w:t>
            </w:r>
            <w:r>
              <w:rPr>
                <w:rFonts w:hint="eastAsia" w:ascii="宋体" w:hAnsi="宋体" w:cs="宋体"/>
                <w:color w:val="auto"/>
                <w:highlight w:val="none"/>
                <w:lang w:val="en-US" w:eastAsia="zh-CN"/>
              </w:rPr>
              <w:t>，</w:t>
            </w:r>
            <w:r>
              <w:rPr>
                <w:rFonts w:hint="eastAsia" w:ascii="宋体" w:hAnsi="宋体" w:cs="宋体"/>
                <w:b w:val="0"/>
                <w:bCs w:val="0"/>
                <w:color w:val="auto"/>
                <w:sz w:val="21"/>
                <w:szCs w:val="21"/>
                <w:highlight w:val="none"/>
                <w:lang w:val="en-US" w:eastAsia="zh-CN"/>
              </w:rPr>
              <w:t>根据财政部门拨款进度情况进行支付</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color w:val="auto"/>
                <w:highlight w:val="none"/>
                <w:lang w:val="en-US" w:eastAsia="zh-CN"/>
              </w:rPr>
              <w:t>如遇供餐学校所数、供餐天数、学生人数、供货量等增减变动，按实际供货量据实结算。</w:t>
            </w:r>
          </w:p>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当月食材实际结算金额 =基准价×（1-下浮率）×实际完成的食材供应数量进行结算。</w:t>
            </w:r>
          </w:p>
          <w:p>
            <w:pPr>
              <w:pStyle w:val="42"/>
              <w:keepNext w:val="0"/>
              <w:keepLines w:val="0"/>
              <w:pageBreakBefore w:val="0"/>
              <w:kinsoku/>
              <w:wordWrap/>
              <w:overflowPunct/>
              <w:topLinePunct w:val="0"/>
              <w:autoSpaceDE/>
              <w:autoSpaceDN/>
              <w:bidi w:val="0"/>
              <w:adjustRightInd/>
              <w:snapToGrid/>
              <w:spacing w:before="0" w:beforeAutospacing="0" w:after="0" w:afterAutospacing="0" w:line="300" w:lineRule="exact"/>
              <w:jc w:val="both"/>
              <w:textAlignment w:val="auto"/>
              <w:rPr>
                <w:rFonts w:hint="default"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10、</w:t>
            </w:r>
            <w:r>
              <w:rPr>
                <w:rFonts w:hint="eastAsia" w:ascii="宋体" w:hAnsi="宋体" w:eastAsia="宋体" w:cs="宋体"/>
                <w:color w:val="auto"/>
                <w:kern w:val="2"/>
                <w:sz w:val="21"/>
                <w:szCs w:val="21"/>
                <w:highlight w:val="none"/>
                <w:lang w:val="en-US" w:eastAsia="zh-CN" w:bidi="ar-SA"/>
              </w:rPr>
              <w:t>询价小组由麒麟区教体局、区发改局、学校代表（教体局指定）、供应商组成。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088"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bookmarkStart w:id="163" w:name="OLE_LINK6" w:colFirst="1" w:colLast="2"/>
            <w:r>
              <w:rPr>
                <w:rFonts w:hint="eastAsia" w:hAnsi="宋体" w:cs="宋体"/>
                <w:color w:val="auto"/>
                <w:kern w:val="0"/>
                <w:sz w:val="21"/>
                <w:szCs w:val="21"/>
                <w:highlight w:val="none"/>
                <w:lang w:val="en-US" w:eastAsia="zh-CN"/>
              </w:rPr>
              <w:t>11</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是否允许</w:t>
            </w:r>
            <w:r>
              <w:rPr>
                <w:rFonts w:hint="eastAsia" w:ascii="宋体" w:hAnsi="宋体" w:cs="宋体"/>
                <w:bCs/>
                <w:color w:val="auto"/>
                <w:sz w:val="21"/>
                <w:szCs w:val="21"/>
                <w:highlight w:val="none"/>
                <w:lang w:eastAsia="zh-CN"/>
              </w:rPr>
              <w:t>提交</w:t>
            </w:r>
            <w:r>
              <w:rPr>
                <w:rFonts w:hint="eastAsia" w:ascii="宋体" w:hAnsi="宋体" w:eastAsia="宋体" w:cs="宋体"/>
                <w:bCs/>
                <w:color w:val="auto"/>
                <w:sz w:val="21"/>
                <w:szCs w:val="21"/>
                <w:highlight w:val="none"/>
              </w:rPr>
              <w:t>备选投标方案</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■不允许</w:t>
            </w:r>
          </w:p>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□允许，……。</w:t>
            </w:r>
          </w:p>
        </w:tc>
      </w:tr>
      <w:bookmarkEnd w:id="16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733"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12</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资格审查方式</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088"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13</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是否接受联合体投标</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bookmarkStart w:id="164" w:name="OLE_LINK7"/>
            <w:r>
              <w:rPr>
                <w:rFonts w:hint="eastAsia" w:ascii="宋体" w:hAnsi="宋体" w:eastAsia="宋体" w:cs="宋体"/>
                <w:color w:val="auto"/>
                <w:kern w:val="0"/>
                <w:sz w:val="21"/>
                <w:szCs w:val="21"/>
                <w:highlight w:val="none"/>
              </w:rPr>
              <w:t>■不接受</w:t>
            </w:r>
          </w:p>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□接受，……。</w:t>
            </w:r>
            <w:bookmarkEnd w:id="1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80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14</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踏勘现场</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■不组织</w:t>
            </w:r>
          </w:p>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80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15</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投标预备会</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■不召开</w:t>
            </w:r>
          </w:p>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801"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16</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提出问题的</w:t>
            </w:r>
            <w:r>
              <w:rPr>
                <w:rFonts w:hint="eastAsia" w:ascii="宋体" w:hAnsi="宋体" w:cs="宋体"/>
                <w:bCs/>
                <w:color w:val="auto"/>
                <w:sz w:val="21"/>
                <w:szCs w:val="21"/>
                <w:highlight w:val="none"/>
                <w:lang w:val="en-US" w:eastAsia="zh-CN"/>
              </w:rPr>
              <w:t>方式及</w:t>
            </w:r>
            <w:r>
              <w:rPr>
                <w:rFonts w:hint="eastAsia" w:ascii="宋体" w:hAnsi="宋体" w:eastAsia="宋体" w:cs="宋体"/>
                <w:bCs/>
                <w:color w:val="auto"/>
                <w:sz w:val="21"/>
                <w:szCs w:val="21"/>
                <w:highlight w:val="none"/>
              </w:rPr>
              <w:t>时间</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117"/>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方式：供应商以邮件方式</w:t>
            </w:r>
            <w:r>
              <w:rPr>
                <w:rFonts w:hint="eastAsia" w:ascii="宋体" w:hAnsi="宋体" w:eastAsia="宋体" w:cs="宋体"/>
                <w:color w:val="auto"/>
                <w:sz w:val="21"/>
                <w:szCs w:val="21"/>
                <w:highlight w:val="none"/>
                <w:lang w:val="en-US" w:eastAsia="en-US"/>
              </w:rPr>
              <w:t>提</w:t>
            </w:r>
            <w:r>
              <w:rPr>
                <w:rFonts w:hint="eastAsia" w:ascii="宋体" w:hAnsi="宋体" w:eastAsia="宋体" w:cs="宋体"/>
                <w:color w:val="auto"/>
                <w:sz w:val="21"/>
                <w:szCs w:val="21"/>
                <w:highlight w:val="none"/>
                <w:lang w:val="en-US" w:eastAsia="zh-CN"/>
              </w:rPr>
              <w:t>出</w:t>
            </w:r>
            <w:r>
              <w:rPr>
                <w:rFonts w:hint="eastAsia" w:ascii="宋体" w:hAnsi="宋体" w:eastAsia="宋体" w:cs="宋体"/>
                <w:color w:val="auto"/>
                <w:sz w:val="21"/>
                <w:szCs w:val="21"/>
                <w:highlight w:val="none"/>
                <w:lang w:val="en-US" w:eastAsia="en-US"/>
              </w:rPr>
              <w:t>，</w:t>
            </w:r>
            <w:r>
              <w:rPr>
                <w:rFonts w:hint="eastAsia" w:ascii="宋体" w:hAnsi="宋体" w:eastAsia="宋体" w:cs="宋体"/>
                <w:color w:val="auto"/>
                <w:sz w:val="21"/>
                <w:szCs w:val="21"/>
                <w:highlight w:val="none"/>
                <w:lang w:val="en-US" w:eastAsia="zh-CN"/>
              </w:rPr>
              <w:t>并电话通知代理机构，</w:t>
            </w:r>
            <w:r>
              <w:rPr>
                <w:rFonts w:hint="eastAsia" w:ascii="宋体" w:hAnsi="宋体" w:eastAsia="宋体" w:cs="宋体"/>
                <w:color w:val="auto"/>
                <w:sz w:val="21"/>
                <w:szCs w:val="21"/>
                <w:highlight w:val="none"/>
                <w:lang w:val="en-US" w:eastAsia="en-US"/>
              </w:rPr>
              <w:t>采购人或者采购代理机构</w:t>
            </w:r>
            <w:r>
              <w:rPr>
                <w:rFonts w:hint="eastAsia" w:ascii="宋体" w:hAnsi="宋体" w:eastAsia="宋体" w:cs="宋体"/>
                <w:color w:val="auto"/>
                <w:sz w:val="21"/>
                <w:szCs w:val="21"/>
                <w:highlight w:val="none"/>
                <w:lang w:val="en-US" w:eastAsia="zh-CN"/>
              </w:rPr>
              <w:t>在</w:t>
            </w:r>
            <w:r>
              <w:rPr>
                <w:rFonts w:hint="eastAsia" w:ascii="宋体" w:hAnsi="宋体" w:eastAsia="宋体" w:cs="宋体"/>
                <w:color w:val="auto"/>
                <w:sz w:val="21"/>
                <w:szCs w:val="21"/>
                <w:highlight w:val="none"/>
                <w:lang w:val="en-US" w:eastAsia="en-US"/>
              </w:rPr>
              <w:t xml:space="preserve"> 3 个工作日内对</w:t>
            </w:r>
            <w:r>
              <w:rPr>
                <w:rFonts w:hint="eastAsia" w:ascii="宋体" w:hAnsi="宋体" w:eastAsia="宋体" w:cs="宋体"/>
                <w:color w:val="auto"/>
                <w:sz w:val="21"/>
                <w:szCs w:val="21"/>
                <w:highlight w:val="none"/>
                <w:lang w:val="en-US" w:eastAsia="zh-CN"/>
              </w:rPr>
              <w:t>供应商的提问</w:t>
            </w:r>
            <w:r>
              <w:rPr>
                <w:rFonts w:hint="eastAsia" w:ascii="宋体" w:hAnsi="宋体" w:eastAsia="宋体" w:cs="宋体"/>
                <w:color w:val="auto"/>
                <w:sz w:val="21"/>
                <w:szCs w:val="21"/>
                <w:highlight w:val="none"/>
                <w:lang w:val="en-US" w:eastAsia="en-US"/>
              </w:rPr>
              <w:t>作出答复，但答复的内容不涉及商业秘密。</w:t>
            </w:r>
          </w:p>
          <w:p>
            <w:pPr>
              <w:pStyle w:val="117"/>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时间：投标截止时间前10日</w:t>
            </w:r>
          </w:p>
          <w:p>
            <w:pPr>
              <w:pStyle w:val="117"/>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邮箱：</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"mailto:qjfuning@163.com"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qjfuning@163.com</w:t>
            </w:r>
            <w:r>
              <w:rPr>
                <w:rFonts w:hint="eastAsia" w:ascii="宋体" w:hAnsi="宋体" w:eastAsia="宋体" w:cs="宋体"/>
                <w:color w:val="auto"/>
                <w:sz w:val="21"/>
                <w:szCs w:val="21"/>
                <w:highlight w:val="none"/>
                <w:lang w:val="en-US" w:eastAsia="zh-CN"/>
              </w:rPr>
              <w:fldChar w:fldCharType="end"/>
            </w:r>
          </w:p>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电话：0874-3322293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44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17</w:t>
            </w:r>
          </w:p>
        </w:tc>
        <w:tc>
          <w:tcPr>
            <w:tcW w:w="1050" w:type="dxa"/>
            <w:tcBorders>
              <w:top w:val="single" w:color="auto" w:sz="4" w:space="0"/>
              <w:left w:val="single" w:color="auto" w:sz="4" w:space="0"/>
              <w:bottom w:val="single" w:color="auto" w:sz="4" w:space="0"/>
              <w:right w:val="single" w:color="auto" w:sz="4" w:space="0"/>
            </w:tcBorders>
            <w:noWrap/>
            <w:vAlign w:val="center"/>
          </w:tcPr>
          <w:p>
            <w:pPr>
              <w:spacing w:line="380" w:lineRule="exact"/>
              <w:jc w:val="center"/>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招标文件</w:t>
            </w:r>
            <w:r>
              <w:rPr>
                <w:rFonts w:hint="eastAsia" w:ascii="宋体" w:hAnsi="宋体" w:eastAsia="宋体" w:cs="宋体"/>
                <w:bCs/>
                <w:color w:val="auto"/>
                <w:sz w:val="21"/>
                <w:szCs w:val="21"/>
                <w:highlight w:val="none"/>
              </w:rPr>
              <w:t>的澄清</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修改</w:t>
            </w:r>
            <w:r>
              <w:rPr>
                <w:rFonts w:hint="eastAsia" w:ascii="宋体" w:hAnsi="宋体" w:eastAsia="宋体" w:cs="宋体"/>
                <w:bCs/>
                <w:color w:val="auto"/>
                <w:sz w:val="21"/>
                <w:szCs w:val="21"/>
                <w:highlight w:val="none"/>
                <w:lang w:eastAsia="zh-CN"/>
              </w:rPr>
              <w:t>、补充</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采购人或者</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en-US" w:eastAsia="zh-CN"/>
              </w:rPr>
              <w:t>代理机构可在投标文件</w:t>
            </w:r>
            <w:r>
              <w:rPr>
                <w:rFonts w:hint="eastAsia" w:ascii="宋体" w:hAnsi="宋体" w:cs="宋体"/>
                <w:color w:val="auto"/>
                <w:sz w:val="21"/>
                <w:szCs w:val="21"/>
                <w:highlight w:val="none"/>
                <w:lang w:val="en-US" w:eastAsia="zh-CN"/>
              </w:rPr>
              <w:t>提</w:t>
            </w:r>
            <w:r>
              <w:rPr>
                <w:rFonts w:hint="eastAsia" w:ascii="宋体" w:hAnsi="宋体" w:eastAsia="宋体" w:cs="宋体"/>
                <w:color w:val="auto"/>
                <w:sz w:val="21"/>
                <w:szCs w:val="21"/>
                <w:highlight w:val="none"/>
                <w:lang w:val="en-US" w:eastAsia="zh-CN"/>
              </w:rPr>
              <w:t>交截止时间前，在云南省政府采购网（</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HYPERLINK "http://www.purchase.gov.cn/"</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www.yngp.</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com）、政府采购云平台（www.zcygov.cn）对已发出的招标文件进行必要澄清、修改、补充，供应商自行登录下载和查看，无须回函确认；澄清、修改、补充的内容可能影响投标文件编制的，且距离投标截止时间不足15日的，采购人或者</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en-US" w:eastAsia="zh-CN"/>
              </w:rPr>
              <w:t>代理机构应当顺延提交投标文件的截止时间。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780"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18</w:t>
            </w:r>
          </w:p>
        </w:tc>
        <w:tc>
          <w:tcPr>
            <w:tcW w:w="1050" w:type="dxa"/>
            <w:tcBorders>
              <w:top w:val="single" w:color="auto" w:sz="4" w:space="0"/>
              <w:left w:val="single" w:color="auto" w:sz="4" w:space="0"/>
              <w:bottom w:val="single" w:color="auto" w:sz="4" w:space="0"/>
              <w:right w:val="single" w:color="auto" w:sz="4" w:space="0"/>
            </w:tcBorders>
            <w:noWrap/>
            <w:vAlign w:val="center"/>
          </w:tcPr>
          <w:p>
            <w:pPr>
              <w:spacing w:line="3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分包</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转包</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■不允许</w:t>
            </w:r>
          </w:p>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90"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hAnsi="宋体" w:cs="宋体"/>
                <w:color w:val="auto"/>
                <w:kern w:val="0"/>
                <w:sz w:val="21"/>
                <w:szCs w:val="21"/>
                <w:highlight w:val="none"/>
                <w:lang w:val="en-US" w:eastAsia="zh-CN"/>
              </w:rPr>
              <w:t>9</w:t>
            </w:r>
          </w:p>
        </w:tc>
        <w:tc>
          <w:tcPr>
            <w:tcW w:w="1050" w:type="dxa"/>
            <w:tcBorders>
              <w:top w:val="single" w:color="auto" w:sz="4" w:space="0"/>
              <w:left w:val="single" w:color="auto" w:sz="4" w:space="0"/>
              <w:bottom w:val="single" w:color="auto" w:sz="4" w:space="0"/>
              <w:right w:val="single" w:color="auto" w:sz="4" w:space="0"/>
            </w:tcBorders>
            <w:noWrap/>
            <w:vAlign w:val="center"/>
          </w:tcPr>
          <w:p>
            <w:pPr>
              <w:spacing w:line="3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w:t>
            </w:r>
            <w:r>
              <w:rPr>
                <w:rFonts w:hint="eastAsia" w:ascii="宋体" w:hAnsi="宋体" w:eastAsia="宋体" w:cs="宋体"/>
                <w:color w:val="auto"/>
                <w:sz w:val="21"/>
                <w:szCs w:val="21"/>
                <w:highlight w:val="none"/>
                <w:lang w:eastAsia="zh-CN"/>
              </w:rPr>
              <w:t>编制及加密</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117"/>
              <w:numPr>
                <w:ilvl w:val="0"/>
                <w:numId w:val="0"/>
              </w:numPr>
              <w:wordWrap/>
              <w:spacing w:line="340" w:lineRule="exact"/>
              <w:ind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电子投标文件制作需要基于“</w:t>
            </w:r>
            <w:r>
              <w:rPr>
                <w:rFonts w:hint="eastAsia" w:ascii="宋体" w:hAnsi="宋体" w:eastAsia="宋体" w:cs="宋体"/>
                <w:color w:val="auto"/>
                <w:sz w:val="21"/>
                <w:szCs w:val="21"/>
                <w:highlight w:val="none"/>
                <w:lang w:val="en-US" w:eastAsia="zh-CN"/>
              </w:rPr>
              <w:t>政府采购云平台</w:t>
            </w:r>
            <w:r>
              <w:rPr>
                <w:rFonts w:hint="eastAsia" w:ascii="宋体" w:hAnsi="宋体" w:eastAsia="宋体" w:cs="宋体"/>
                <w:color w:val="auto"/>
                <w:sz w:val="21"/>
                <w:szCs w:val="21"/>
                <w:highlight w:val="none"/>
              </w:rPr>
              <w:t>”（http：//www.zcygov.cn）获取的</w:t>
            </w:r>
            <w:r>
              <w:rPr>
                <w:rFonts w:hint="eastAsia" w:ascii="宋体" w:hAnsi="宋体" w:cs="宋体"/>
                <w:color w:val="auto"/>
                <w:sz w:val="21"/>
                <w:szCs w:val="21"/>
                <w:highlight w:val="none"/>
                <w:lang w:eastAsia="zh-CN"/>
              </w:rPr>
              <w:t>招标文件</w:t>
            </w:r>
            <w:r>
              <w:rPr>
                <w:rFonts w:hint="eastAsia" w:ascii="宋体" w:hAnsi="宋体" w:eastAsia="宋体" w:cs="宋体"/>
                <w:color w:val="auto"/>
                <w:sz w:val="21"/>
                <w:szCs w:val="21"/>
                <w:highlight w:val="none"/>
              </w:rPr>
              <w:t>编制。</w:t>
            </w:r>
          </w:p>
          <w:p>
            <w:pPr>
              <w:pStyle w:val="117"/>
              <w:numPr>
                <w:ilvl w:val="0"/>
                <w:numId w:val="0"/>
              </w:numPr>
              <w:wordWrap/>
              <w:spacing w:line="340" w:lineRule="exact"/>
              <w:ind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供应商进行电子交易</w:t>
            </w:r>
            <w:r>
              <w:rPr>
                <w:rFonts w:hint="eastAsia" w:ascii="宋体" w:hAnsi="宋体" w:eastAsia="宋体" w:cs="宋体"/>
                <w:color w:val="auto"/>
                <w:sz w:val="21"/>
                <w:szCs w:val="21"/>
                <w:highlight w:val="none"/>
              </w:rPr>
              <w:t>应</w:t>
            </w:r>
            <w:r>
              <w:rPr>
                <w:rFonts w:hint="eastAsia" w:ascii="宋体" w:hAnsi="宋体" w:eastAsia="宋体" w:cs="宋体"/>
                <w:color w:val="auto"/>
                <w:sz w:val="21"/>
                <w:szCs w:val="21"/>
                <w:highlight w:val="none"/>
                <w:lang w:eastAsia="zh-CN"/>
              </w:rPr>
              <w:t>在“政府采购云平台”登记入驻，申领 CA 数字证书，并且</w:t>
            </w:r>
            <w:r>
              <w:rPr>
                <w:rFonts w:hint="eastAsia" w:ascii="宋体" w:hAnsi="宋体" w:eastAsia="宋体" w:cs="宋体"/>
                <w:color w:val="auto"/>
                <w:sz w:val="21"/>
                <w:szCs w:val="21"/>
                <w:highlight w:val="none"/>
              </w:rPr>
              <w:t>按照</w:t>
            </w:r>
            <w:r>
              <w:rPr>
                <w:rFonts w:hint="eastAsia" w:ascii="宋体" w:hAnsi="宋体" w:cs="宋体"/>
                <w:color w:val="auto"/>
                <w:sz w:val="21"/>
                <w:szCs w:val="21"/>
                <w:highlight w:val="none"/>
                <w:lang w:eastAsia="zh-CN"/>
              </w:rPr>
              <w:t>招标文件</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val="en-US" w:eastAsia="zh-CN"/>
              </w:rPr>
              <w:t>政府采购云平台</w:t>
            </w:r>
            <w:r>
              <w:rPr>
                <w:rFonts w:hint="eastAsia" w:ascii="宋体" w:hAnsi="宋体" w:eastAsia="宋体" w:cs="宋体"/>
                <w:color w:val="auto"/>
                <w:sz w:val="21"/>
                <w:szCs w:val="21"/>
                <w:highlight w:val="none"/>
              </w:rPr>
              <w:t>”的要求编制</w:t>
            </w:r>
            <w:r>
              <w:rPr>
                <w:rFonts w:hint="eastAsia" w:ascii="宋体" w:hAnsi="宋体" w:eastAsia="宋体" w:cs="宋体"/>
                <w:color w:val="auto"/>
                <w:sz w:val="21"/>
                <w:szCs w:val="21"/>
                <w:highlight w:val="none"/>
                <w:lang w:eastAsia="zh-CN"/>
              </w:rPr>
              <w:t>并加密投标文件。供应商未按规定加密的投标文件，电子交易平台将拒收并提示；</w:t>
            </w:r>
          </w:p>
          <w:p>
            <w:pPr>
              <w:pStyle w:val="117"/>
              <w:numPr>
                <w:ilvl w:val="0"/>
                <w:numId w:val="0"/>
              </w:numPr>
              <w:wordWrap/>
              <w:spacing w:line="340" w:lineRule="exact"/>
              <w:ind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eastAsia="zh-CN"/>
              </w:rPr>
              <w:t>提交的电子</w:t>
            </w:r>
            <w:r>
              <w:rPr>
                <w:rFonts w:hint="eastAsia" w:ascii="宋体" w:hAnsi="宋体" w:eastAsia="宋体" w:cs="宋体"/>
                <w:color w:val="auto"/>
                <w:sz w:val="21"/>
                <w:szCs w:val="21"/>
                <w:highlight w:val="none"/>
              </w:rPr>
              <w:t>投标文件不满足</w:t>
            </w:r>
            <w:r>
              <w:rPr>
                <w:rFonts w:hint="eastAsia" w:ascii="宋体" w:hAnsi="宋体" w:cs="宋体"/>
                <w:color w:val="auto"/>
                <w:sz w:val="21"/>
                <w:szCs w:val="21"/>
                <w:highlight w:val="none"/>
                <w:lang w:eastAsia="zh-CN"/>
              </w:rPr>
              <w:t>招标文件</w:t>
            </w:r>
            <w:r>
              <w:rPr>
                <w:rFonts w:hint="eastAsia" w:ascii="宋体" w:hAnsi="宋体" w:eastAsia="宋体" w:cs="宋体"/>
                <w:color w:val="auto"/>
                <w:sz w:val="21"/>
                <w:szCs w:val="21"/>
                <w:highlight w:val="none"/>
              </w:rPr>
              <w:t xml:space="preserve">要求或开标时无法读取导入或解密，其投标文件将不予受理； </w:t>
            </w:r>
          </w:p>
          <w:p>
            <w:pPr>
              <w:pStyle w:val="117"/>
              <w:numPr>
                <w:ilvl w:val="0"/>
                <w:numId w:val="0"/>
              </w:numPr>
              <w:wordWrap/>
              <w:spacing w:line="340" w:lineRule="exact"/>
              <w:ind w:lef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投标文件中提供的资料（</w:t>
            </w:r>
            <w:r>
              <w:rPr>
                <w:rFonts w:hint="eastAsia" w:ascii="宋体" w:hAnsi="宋体" w:cs="宋体"/>
                <w:color w:val="auto"/>
                <w:sz w:val="21"/>
                <w:szCs w:val="21"/>
                <w:highlight w:val="none"/>
                <w:lang w:val="en-US" w:eastAsia="zh-CN"/>
              </w:rPr>
              <w:t>复印件或</w:t>
            </w:r>
            <w:r>
              <w:rPr>
                <w:rFonts w:hint="eastAsia" w:ascii="宋体" w:hAnsi="宋体" w:eastAsia="宋体" w:cs="宋体"/>
                <w:color w:val="auto"/>
                <w:sz w:val="21"/>
                <w:szCs w:val="21"/>
                <w:highlight w:val="none"/>
              </w:rPr>
              <w:t>扫描件），内容必须清晰可辨，若内容模糊，无法辨识，均视为未提供。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151"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20</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构成投标文件的其他材料</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（1）投标</w:t>
            </w:r>
            <w:r>
              <w:rPr>
                <w:rFonts w:hint="eastAsia" w:ascii="宋体" w:hAnsi="宋体" w:eastAsia="宋体" w:cs="宋体"/>
                <w:color w:val="auto"/>
                <w:sz w:val="21"/>
                <w:szCs w:val="21"/>
                <w:highlight w:val="none"/>
                <w:lang w:val="en-US" w:eastAsia="zh-CN"/>
              </w:rPr>
              <w:t>截止时间前供应商按规定上传的电子修改、补充文件</w:t>
            </w:r>
            <w:r>
              <w:rPr>
                <w:rFonts w:hint="eastAsia" w:hAnsi="宋体" w:cs="宋体"/>
                <w:color w:val="auto"/>
                <w:sz w:val="21"/>
                <w:szCs w:val="21"/>
                <w:highlight w:val="none"/>
                <w:lang w:val="en-US" w:eastAsia="zh-CN"/>
              </w:rPr>
              <w:t>；</w:t>
            </w:r>
          </w:p>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rPr>
            </w:pP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2</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按评标委员会要求</w:t>
            </w:r>
            <w:r>
              <w:rPr>
                <w:rFonts w:hint="eastAsia" w:hAnsi="宋体" w:cs="宋体"/>
                <w:color w:val="auto"/>
                <w:sz w:val="21"/>
                <w:szCs w:val="21"/>
                <w:highlight w:val="none"/>
                <w:lang w:eastAsia="zh-CN"/>
              </w:rPr>
              <w:t>提交</w:t>
            </w:r>
            <w:r>
              <w:rPr>
                <w:rFonts w:hint="eastAsia" w:ascii="宋体" w:hAnsi="宋体" w:eastAsia="宋体" w:cs="宋体"/>
                <w:color w:val="auto"/>
                <w:sz w:val="21"/>
                <w:szCs w:val="21"/>
                <w:highlight w:val="none"/>
              </w:rPr>
              <w:t>的合格的书面澄清、补正文件。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77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21</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投标有效期</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从</w:t>
            </w:r>
            <w:r>
              <w:rPr>
                <w:rFonts w:hint="eastAsia" w:hAnsi="宋体" w:cs="宋体"/>
                <w:color w:val="auto"/>
                <w:sz w:val="21"/>
                <w:szCs w:val="21"/>
                <w:highlight w:val="none"/>
                <w:lang w:eastAsia="zh-CN"/>
              </w:rPr>
              <w:t>提交</w:t>
            </w:r>
            <w:r>
              <w:rPr>
                <w:rFonts w:hint="eastAsia" w:ascii="宋体" w:hAnsi="宋体" w:eastAsia="宋体" w:cs="宋体"/>
                <w:color w:val="auto"/>
                <w:sz w:val="21"/>
                <w:szCs w:val="21"/>
                <w:highlight w:val="none"/>
              </w:rPr>
              <w:t>投标文件截止之日起</w:t>
            </w: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44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hAnsi="宋体" w:cs="宋体"/>
                <w:color w:val="auto"/>
                <w:kern w:val="0"/>
                <w:sz w:val="21"/>
                <w:szCs w:val="21"/>
                <w:highlight w:val="none"/>
                <w:lang w:val="en-US" w:eastAsia="zh-CN"/>
              </w:rPr>
              <w:t>2</w:t>
            </w:r>
          </w:p>
        </w:tc>
        <w:tc>
          <w:tcPr>
            <w:tcW w:w="105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bCs/>
                <w:color w:val="auto"/>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bCs/>
                <w:color w:val="auto"/>
                <w:kern w:val="2"/>
                <w:sz w:val="21"/>
                <w:szCs w:val="21"/>
                <w:highlight w:val="none"/>
                <w:lang w:val="en-US" w:eastAsia="zh-CN" w:bidi="ar-SA"/>
              </w:rPr>
              <w:t>投标文件的签章和签</w:t>
            </w:r>
            <w:r>
              <w:rPr>
                <w:rFonts w:hint="eastAsia" w:ascii="宋体" w:hAnsi="宋体" w:cs="宋体"/>
                <w:bCs/>
                <w:color w:val="auto"/>
                <w:kern w:val="2"/>
                <w:sz w:val="21"/>
                <w:szCs w:val="21"/>
                <w:highlight w:val="none"/>
                <w:lang w:val="en-US" w:eastAsia="zh-CN" w:bidi="ar-SA"/>
              </w:rPr>
              <w:t>字</w:t>
            </w:r>
            <w:r>
              <w:rPr>
                <w:rFonts w:hint="eastAsia" w:ascii="宋体" w:hAnsi="宋体" w:eastAsia="宋体" w:cs="宋体"/>
                <w:bCs/>
                <w:color w:val="auto"/>
                <w:kern w:val="2"/>
                <w:sz w:val="21"/>
                <w:szCs w:val="21"/>
                <w:highlight w:val="none"/>
                <w:lang w:val="en-US" w:eastAsia="zh-CN" w:bidi="ar-SA"/>
              </w:rPr>
              <w:t>要求</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按照投标文件格式，采用企业、法定代表人电子签章及数字证书电子签</w:t>
            </w:r>
            <w:r>
              <w:rPr>
                <w:rFonts w:hint="eastAsia" w:ascii="宋体" w:hAnsi="宋体" w:cs="宋体"/>
                <w:color w:val="auto"/>
                <w:sz w:val="21"/>
                <w:szCs w:val="21"/>
                <w:highlight w:val="none"/>
                <w:lang w:val="en-US" w:eastAsia="zh-CN"/>
              </w:rPr>
              <w:t>字</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注：1、在需要</w:t>
            </w:r>
            <w:r>
              <w:rPr>
                <w:rFonts w:hint="eastAsia" w:ascii="宋体" w:hAnsi="宋体" w:eastAsia="宋体" w:cs="宋体"/>
                <w:color w:val="auto"/>
                <w:sz w:val="21"/>
                <w:szCs w:val="21"/>
                <w:highlight w:val="none"/>
                <w:lang w:eastAsia="zh-CN"/>
              </w:rPr>
              <w:t>单位</w:t>
            </w:r>
            <w:r>
              <w:rPr>
                <w:rFonts w:hint="eastAsia" w:ascii="宋体" w:hAnsi="宋体" w:eastAsia="宋体" w:cs="宋体"/>
                <w:color w:val="auto"/>
                <w:sz w:val="21"/>
                <w:szCs w:val="21"/>
                <w:highlight w:val="none"/>
              </w:rPr>
              <w:t>电子签章的地方进行电子签章，并逐页电子签章。</w:t>
            </w:r>
          </w:p>
          <w:p>
            <w:pPr>
              <w:keepNext w:val="0"/>
              <w:keepLines w:val="0"/>
              <w:pageBreakBefore w:val="0"/>
              <w:numPr>
                <w:ilvl w:val="0"/>
                <w:numId w:val="0"/>
              </w:numPr>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在规定由法定代表人或委托代理人签章或签字的地方进行电子签章或签</w:t>
            </w:r>
            <w:r>
              <w:rPr>
                <w:rFonts w:hint="eastAsia" w:ascii="宋体" w:hAnsi="宋体" w:cs="宋体"/>
                <w:color w:val="auto"/>
                <w:sz w:val="21"/>
                <w:szCs w:val="21"/>
                <w:highlight w:val="none"/>
                <w:lang w:val="en-US" w:eastAsia="zh-CN"/>
              </w:rPr>
              <w:t>字</w:t>
            </w:r>
            <w:r>
              <w:rPr>
                <w:rFonts w:hint="eastAsia" w:ascii="宋体" w:hAnsi="宋体" w:eastAsia="宋体" w:cs="宋体"/>
                <w:color w:val="auto"/>
                <w:sz w:val="21"/>
                <w:szCs w:val="21"/>
                <w:highlight w:val="none"/>
                <w:lang w:eastAsia="zh-CN"/>
              </w:rPr>
              <w:t>，或由委托代理人签</w:t>
            </w:r>
            <w:r>
              <w:rPr>
                <w:rFonts w:hint="eastAsia" w:ascii="宋体" w:hAnsi="宋体" w:cs="宋体"/>
                <w:color w:val="auto"/>
                <w:sz w:val="21"/>
                <w:szCs w:val="21"/>
                <w:highlight w:val="none"/>
                <w:lang w:val="en-US" w:eastAsia="zh-CN"/>
              </w:rPr>
              <w:t>字</w:t>
            </w:r>
            <w:r>
              <w:rPr>
                <w:rFonts w:hint="eastAsia" w:ascii="宋体" w:hAnsi="宋体" w:eastAsia="宋体" w:cs="宋体"/>
                <w:color w:val="auto"/>
                <w:sz w:val="21"/>
                <w:szCs w:val="21"/>
                <w:highlight w:val="none"/>
                <w:lang w:eastAsia="zh-CN"/>
              </w:rPr>
              <w:t>；委托代理人签</w:t>
            </w:r>
            <w:r>
              <w:rPr>
                <w:rFonts w:hint="eastAsia" w:ascii="宋体" w:hAnsi="宋体" w:cs="宋体"/>
                <w:color w:val="auto"/>
                <w:sz w:val="21"/>
                <w:szCs w:val="21"/>
                <w:highlight w:val="none"/>
                <w:lang w:val="en-US" w:eastAsia="zh-CN"/>
              </w:rPr>
              <w:t>字</w:t>
            </w:r>
            <w:r>
              <w:rPr>
                <w:rFonts w:hint="eastAsia" w:ascii="宋体" w:hAnsi="宋体" w:eastAsia="宋体" w:cs="宋体"/>
                <w:color w:val="auto"/>
                <w:sz w:val="21"/>
                <w:szCs w:val="21"/>
                <w:highlight w:val="none"/>
                <w:lang w:eastAsia="zh-CN"/>
              </w:rPr>
              <w:t>的投标文件</w:t>
            </w:r>
            <w:r>
              <w:rPr>
                <w:rFonts w:hint="eastAsia" w:ascii="宋体" w:hAnsi="宋体" w:eastAsia="宋体" w:cs="宋体"/>
                <w:color w:val="auto"/>
                <w:sz w:val="21"/>
                <w:szCs w:val="21"/>
                <w:highlight w:val="none"/>
                <w:lang w:val="en-US" w:eastAsia="zh-CN"/>
              </w:rPr>
              <w:t>须同时提交授权委托书。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548"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hAnsi="宋体" w:cs="宋体"/>
                <w:color w:val="auto"/>
                <w:kern w:val="0"/>
                <w:sz w:val="21"/>
                <w:szCs w:val="21"/>
                <w:highlight w:val="none"/>
                <w:lang w:val="en-US" w:eastAsia="zh-CN"/>
              </w:rPr>
              <w:t>3</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投标保证金</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本项目不收取投标保证金。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1853"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24</w:t>
            </w:r>
          </w:p>
        </w:tc>
        <w:tc>
          <w:tcPr>
            <w:tcW w:w="105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b/>
                <w:color w:val="auto"/>
                <w:kern w:val="0"/>
                <w:sz w:val="21"/>
                <w:szCs w:val="21"/>
                <w:highlight w:val="none"/>
                <w:lang w:eastAsia="zh-CN"/>
              </w:rPr>
            </w:pPr>
            <w:r>
              <w:rPr>
                <w:rFonts w:hint="eastAsia" w:ascii="宋体" w:hAnsi="宋体" w:cs="宋体"/>
                <w:color w:val="auto"/>
                <w:sz w:val="21"/>
                <w:szCs w:val="21"/>
                <w:highlight w:val="none"/>
                <w:lang w:val="en-US" w:eastAsia="zh-CN"/>
              </w:rPr>
              <w:t>提交电子</w:t>
            </w:r>
            <w:r>
              <w:rPr>
                <w:rFonts w:hint="eastAsia" w:ascii="宋体" w:hAnsi="宋体" w:eastAsia="宋体" w:cs="宋体"/>
                <w:color w:val="auto"/>
                <w:sz w:val="21"/>
                <w:szCs w:val="21"/>
                <w:highlight w:val="none"/>
              </w:rPr>
              <w:t>投标文件截止时间</w:t>
            </w:r>
            <w:r>
              <w:rPr>
                <w:rFonts w:hint="eastAsia" w:ascii="宋体" w:hAnsi="宋体" w:cs="宋体"/>
                <w:color w:val="auto"/>
                <w:sz w:val="21"/>
                <w:szCs w:val="21"/>
                <w:highlight w:val="none"/>
                <w:lang w:eastAsia="zh-CN"/>
              </w:rPr>
              <w:t>、地点</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截止</w:t>
            </w:r>
            <w:r>
              <w:rPr>
                <w:rFonts w:hint="eastAsia" w:ascii="宋体" w:hAnsi="宋体" w:eastAsia="宋体" w:cs="宋体"/>
                <w:color w:val="auto"/>
                <w:sz w:val="21"/>
                <w:szCs w:val="21"/>
                <w:highlight w:val="none"/>
                <w:lang w:val="en-US" w:eastAsia="zh-CN"/>
              </w:rPr>
              <w:t>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kern w:val="0"/>
                <w:sz w:val="21"/>
                <w:szCs w:val="21"/>
                <w:highlight w:val="none"/>
                <w:u w:val="single"/>
                <w:lang w:val="en-US" w:eastAsia="zh-CN" w:bidi="ar-SA"/>
              </w:rPr>
              <w:t>2026</w:t>
            </w:r>
            <w:r>
              <w:rPr>
                <w:rFonts w:hint="eastAsia" w:ascii="宋体" w:hAnsi="宋体" w:eastAsia="宋体" w:cs="宋体"/>
                <w:color w:val="auto"/>
                <w:kern w:val="0"/>
                <w:sz w:val="21"/>
                <w:szCs w:val="21"/>
                <w:highlight w:val="none"/>
                <w:u w:val="single"/>
                <w:lang w:val="en-US" w:eastAsia="zh-CN" w:bidi="ar-SA"/>
              </w:rPr>
              <w:t>年</w:t>
            </w:r>
            <w:r>
              <w:rPr>
                <w:rFonts w:hint="eastAsia" w:ascii="宋体" w:hAnsi="宋体" w:cs="宋体"/>
                <w:color w:val="auto"/>
                <w:kern w:val="0"/>
                <w:sz w:val="21"/>
                <w:szCs w:val="21"/>
                <w:highlight w:val="none"/>
                <w:u w:val="single"/>
                <w:lang w:val="en-US" w:eastAsia="zh-CN" w:bidi="ar-SA"/>
              </w:rPr>
              <w:t>8</w:t>
            </w:r>
            <w:r>
              <w:rPr>
                <w:rFonts w:hint="eastAsia" w:ascii="宋体" w:hAnsi="宋体" w:eastAsia="宋体" w:cs="宋体"/>
                <w:color w:val="auto"/>
                <w:kern w:val="0"/>
                <w:sz w:val="21"/>
                <w:szCs w:val="21"/>
                <w:highlight w:val="none"/>
                <w:u w:val="single"/>
                <w:lang w:val="en-US" w:eastAsia="zh-CN" w:bidi="ar-SA"/>
              </w:rPr>
              <w:t>月</w:t>
            </w:r>
            <w:r>
              <w:rPr>
                <w:rFonts w:hint="eastAsia" w:ascii="宋体" w:hAnsi="宋体" w:cs="宋体"/>
                <w:color w:val="auto"/>
                <w:kern w:val="0"/>
                <w:sz w:val="21"/>
                <w:szCs w:val="21"/>
                <w:highlight w:val="none"/>
                <w:u w:val="single"/>
                <w:lang w:val="en-US" w:eastAsia="zh-CN" w:bidi="ar-SA"/>
              </w:rPr>
              <w:t xml:space="preserve">4 </w:t>
            </w:r>
            <w:r>
              <w:rPr>
                <w:rFonts w:hint="eastAsia" w:ascii="宋体" w:hAnsi="宋体" w:eastAsia="宋体" w:cs="宋体"/>
                <w:color w:val="auto"/>
                <w:kern w:val="0"/>
                <w:sz w:val="21"/>
                <w:szCs w:val="21"/>
                <w:highlight w:val="none"/>
                <w:u w:val="single"/>
                <w:lang w:val="en-US" w:eastAsia="zh-CN" w:bidi="ar-SA"/>
              </w:rPr>
              <w:t>日</w:t>
            </w:r>
            <w:r>
              <w:rPr>
                <w:rFonts w:hint="eastAsia" w:ascii="宋体" w:hAnsi="宋体" w:cs="宋体"/>
                <w:color w:val="auto"/>
                <w:kern w:val="0"/>
                <w:sz w:val="21"/>
                <w:szCs w:val="21"/>
                <w:highlight w:val="none"/>
                <w:u w:val="single"/>
                <w:lang w:val="en-US" w:eastAsia="zh-CN" w:bidi="ar-SA"/>
              </w:rPr>
              <w:t>8:30</w:t>
            </w:r>
            <w:r>
              <w:rPr>
                <w:rFonts w:hint="eastAsia" w:ascii="宋体" w:hAnsi="宋体" w:eastAsia="宋体" w:cs="宋体"/>
                <w:color w:val="auto"/>
                <w:sz w:val="21"/>
                <w:szCs w:val="21"/>
                <w:highlight w:val="none"/>
                <w:lang w:val="en-US" w:eastAsia="zh-CN"/>
              </w:rPr>
              <w:t>（北京时间）；</w:t>
            </w:r>
          </w:p>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2.地点：供应商应按照本项目</w:t>
            </w:r>
            <w:r>
              <w:rPr>
                <w:rFonts w:hint="eastAsia" w:ascii="宋体" w:hAnsi="宋体" w:cs="宋体"/>
                <w:color w:val="auto"/>
                <w:sz w:val="21"/>
                <w:szCs w:val="21"/>
                <w:highlight w:val="none"/>
                <w:lang w:val="en-US" w:eastAsia="zh-CN"/>
              </w:rPr>
              <w:t>招标文件</w:t>
            </w:r>
            <w:r>
              <w:rPr>
                <w:rFonts w:hint="eastAsia" w:ascii="宋体" w:hAnsi="宋体" w:eastAsia="宋体" w:cs="宋体"/>
                <w:color w:val="auto"/>
                <w:sz w:val="21"/>
                <w:szCs w:val="21"/>
                <w:highlight w:val="none"/>
                <w:lang w:val="en-US" w:eastAsia="zh-CN"/>
              </w:rPr>
              <w:t>和“政府采购云平台”的要求编制、加密后在投标文件提交截止时间前上传至“政府采购云平台”，投标文件提交截止时间前未完成投标文件上传的，视为撤回投标文件。供应商在“政府采购云平台”提交电子版投标文件时，请填写参加远程采购活动经办人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90"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hAnsi="宋体" w:cs="宋体"/>
                <w:color w:val="auto"/>
                <w:kern w:val="0"/>
                <w:sz w:val="21"/>
                <w:szCs w:val="21"/>
                <w:highlight w:val="none"/>
                <w:lang w:val="en-US" w:eastAsia="zh-CN"/>
              </w:rPr>
              <w:t>5</w:t>
            </w:r>
          </w:p>
        </w:tc>
        <w:tc>
          <w:tcPr>
            <w:tcW w:w="105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是否退还投标文件</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■否</w:t>
            </w:r>
          </w:p>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□是，退还安排：/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1104"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hAnsi="宋体" w:cs="宋体"/>
                <w:color w:val="auto"/>
                <w:kern w:val="0"/>
                <w:sz w:val="21"/>
                <w:szCs w:val="21"/>
                <w:highlight w:val="none"/>
                <w:lang w:val="en-US" w:eastAsia="zh-CN"/>
              </w:rPr>
              <w:t>6</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开标时间和地点</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US" w:eastAsia="zh-CN" w:bidi="ar-SA"/>
              </w:rPr>
              <w:t>202</w:t>
            </w:r>
            <w:r>
              <w:rPr>
                <w:rFonts w:hint="eastAsia" w:hAnsi="宋体" w:cs="宋体"/>
                <w:color w:val="auto"/>
                <w:kern w:val="0"/>
                <w:sz w:val="21"/>
                <w:szCs w:val="21"/>
                <w:highlight w:val="none"/>
                <w:u w:val="single"/>
                <w:lang w:val="en-US" w:eastAsia="zh-CN" w:bidi="ar-SA"/>
              </w:rPr>
              <w:t>6</w:t>
            </w:r>
            <w:r>
              <w:rPr>
                <w:rFonts w:hint="eastAsia" w:ascii="宋体" w:hAnsi="宋体" w:eastAsia="宋体" w:cs="宋体"/>
                <w:color w:val="auto"/>
                <w:kern w:val="0"/>
                <w:sz w:val="21"/>
                <w:szCs w:val="21"/>
                <w:highlight w:val="none"/>
                <w:u w:val="single"/>
                <w:lang w:val="en-US" w:eastAsia="zh-CN" w:bidi="ar-SA"/>
              </w:rPr>
              <w:t>年</w:t>
            </w:r>
            <w:r>
              <w:rPr>
                <w:rFonts w:hint="eastAsia" w:hAnsi="宋体" w:cs="宋体"/>
                <w:color w:val="auto"/>
                <w:kern w:val="0"/>
                <w:sz w:val="21"/>
                <w:szCs w:val="21"/>
                <w:highlight w:val="none"/>
                <w:u w:val="single"/>
                <w:lang w:val="en-US" w:eastAsia="zh-CN" w:bidi="ar-SA"/>
              </w:rPr>
              <w:t>8</w:t>
            </w:r>
            <w:r>
              <w:rPr>
                <w:rFonts w:hint="eastAsia" w:ascii="宋体" w:hAnsi="宋体" w:eastAsia="宋体" w:cs="宋体"/>
                <w:color w:val="auto"/>
                <w:kern w:val="0"/>
                <w:sz w:val="21"/>
                <w:szCs w:val="21"/>
                <w:highlight w:val="none"/>
                <w:u w:val="single"/>
                <w:lang w:val="en-US" w:eastAsia="zh-CN" w:bidi="ar-SA"/>
              </w:rPr>
              <w:t>月</w:t>
            </w:r>
            <w:r>
              <w:rPr>
                <w:rFonts w:hint="eastAsia" w:hAnsi="宋体" w:cs="宋体"/>
                <w:color w:val="auto"/>
                <w:kern w:val="0"/>
                <w:sz w:val="21"/>
                <w:szCs w:val="21"/>
                <w:highlight w:val="none"/>
                <w:u w:val="single"/>
                <w:lang w:val="en-US" w:eastAsia="zh-CN" w:bidi="ar-SA"/>
              </w:rPr>
              <w:t>4</w:t>
            </w:r>
            <w:r>
              <w:rPr>
                <w:rFonts w:hint="eastAsia" w:ascii="宋体" w:hAnsi="宋体" w:eastAsia="宋体" w:cs="宋体"/>
                <w:color w:val="auto"/>
                <w:kern w:val="0"/>
                <w:sz w:val="21"/>
                <w:szCs w:val="21"/>
                <w:highlight w:val="none"/>
                <w:u w:val="single"/>
                <w:lang w:val="en-US" w:eastAsia="zh-CN" w:bidi="ar-SA"/>
              </w:rPr>
              <w:t>日</w:t>
            </w:r>
            <w:r>
              <w:rPr>
                <w:rFonts w:hint="eastAsia" w:ascii="宋体" w:hAnsi="宋体" w:cs="宋体"/>
                <w:color w:val="auto"/>
                <w:kern w:val="0"/>
                <w:sz w:val="21"/>
                <w:szCs w:val="21"/>
                <w:highlight w:val="none"/>
                <w:u w:val="single"/>
                <w:lang w:val="en-US" w:eastAsia="zh-CN" w:bidi="ar-SA"/>
              </w:rPr>
              <w:t>0</w:t>
            </w:r>
            <w:r>
              <w:rPr>
                <w:rFonts w:hint="eastAsia" w:hAnsi="宋体" w:cs="宋体"/>
                <w:color w:val="auto"/>
                <w:kern w:val="0"/>
                <w:sz w:val="21"/>
                <w:szCs w:val="21"/>
                <w:highlight w:val="none"/>
                <w:u w:val="single"/>
                <w:lang w:val="en-US" w:eastAsia="zh-CN" w:bidi="ar-SA"/>
              </w:rPr>
              <w:t>8</w:t>
            </w:r>
            <w:r>
              <w:rPr>
                <w:rFonts w:hint="eastAsia" w:ascii="宋体" w:hAnsi="宋体" w:cs="宋体"/>
                <w:color w:val="auto"/>
                <w:kern w:val="0"/>
                <w:sz w:val="21"/>
                <w:szCs w:val="21"/>
                <w:highlight w:val="none"/>
                <w:u w:val="single"/>
                <w:lang w:val="en-US" w:eastAsia="zh-CN" w:bidi="ar-SA"/>
              </w:rPr>
              <w:t>:</w:t>
            </w:r>
            <w:r>
              <w:rPr>
                <w:rFonts w:hint="eastAsia" w:hAnsi="宋体" w:cs="宋体"/>
                <w:color w:val="auto"/>
                <w:kern w:val="0"/>
                <w:sz w:val="21"/>
                <w:szCs w:val="21"/>
                <w:highlight w:val="none"/>
                <w:u w:val="single"/>
                <w:lang w:val="en-US" w:eastAsia="zh-CN" w:bidi="ar-SA"/>
              </w:rPr>
              <w:t>3</w:t>
            </w:r>
            <w:r>
              <w:rPr>
                <w:rFonts w:hint="eastAsia" w:ascii="宋体" w:hAnsi="宋体" w:cs="宋体"/>
                <w:color w:val="auto"/>
                <w:kern w:val="0"/>
                <w:sz w:val="21"/>
                <w:szCs w:val="21"/>
                <w:highlight w:val="none"/>
                <w:u w:val="single"/>
                <w:lang w:val="en-US" w:eastAsia="zh-CN" w:bidi="ar-SA"/>
              </w:rPr>
              <w:t>0</w:t>
            </w:r>
            <w:r>
              <w:rPr>
                <w:rFonts w:hint="eastAsia" w:ascii="宋体" w:hAnsi="宋体" w:eastAsia="宋体" w:cs="宋体"/>
                <w:color w:val="auto"/>
                <w:sz w:val="21"/>
                <w:szCs w:val="21"/>
                <w:highlight w:val="none"/>
              </w:rPr>
              <w:t>（北京时间）</w:t>
            </w:r>
          </w:p>
          <w:p>
            <w:pPr>
              <w:pStyle w:val="25"/>
              <w:keepNext w:val="0"/>
              <w:keepLines w:val="0"/>
              <w:pageBreakBefore w:val="0"/>
              <w:kinsoku/>
              <w:wordWrap/>
              <w:overflowPunct/>
              <w:topLinePunct w:val="0"/>
              <w:autoSpaceDE/>
              <w:autoSpaceDN/>
              <w:bidi w:val="0"/>
              <w:adjustRightInd/>
              <w:snapToGrid/>
              <w:spacing w:line="340" w:lineRule="exact"/>
              <w:ind w:left="0" w:leftChars="0" w:firstLine="0" w:firstLineChars="0"/>
              <w:textAlignment w:val="auto"/>
              <w:rPr>
                <w:rFonts w:hint="eastAsia" w:hAnsi="宋体" w:cs="宋体"/>
                <w:color w:val="auto"/>
                <w:kern w:val="0"/>
                <w:sz w:val="21"/>
                <w:szCs w:val="21"/>
                <w:highlight w:val="none"/>
                <w:lang w:eastAsia="zh-CN"/>
              </w:rPr>
            </w:pPr>
            <w:r>
              <w:rPr>
                <w:rFonts w:hint="eastAsia" w:hAnsi="宋体" w:cs="宋体"/>
                <w:color w:val="auto"/>
                <w:kern w:val="0"/>
                <w:sz w:val="21"/>
                <w:szCs w:val="21"/>
                <w:highlight w:val="none"/>
                <w:lang w:eastAsia="zh-CN"/>
              </w:rPr>
              <w:t>网上开标地点：</w:t>
            </w:r>
            <w:r>
              <w:rPr>
                <w:rFonts w:hint="eastAsia" w:hAnsi="宋体" w:cs="宋体"/>
                <w:color w:val="auto"/>
                <w:kern w:val="0"/>
                <w:sz w:val="21"/>
                <w:szCs w:val="21"/>
                <w:highlight w:val="none"/>
                <w:lang w:val="en-US" w:eastAsia="zh-CN"/>
              </w:rPr>
              <w:t>“政府采购云平台”开标大厅</w:t>
            </w:r>
          </w:p>
          <w:p>
            <w:pPr>
              <w:pStyle w:val="25"/>
              <w:keepNext w:val="0"/>
              <w:keepLines w:val="0"/>
              <w:pageBreakBefore w:val="0"/>
              <w:kinsoku/>
              <w:wordWrap/>
              <w:overflowPunct/>
              <w:topLinePunct w:val="0"/>
              <w:autoSpaceDE/>
              <w:autoSpaceDN/>
              <w:bidi w:val="0"/>
              <w:adjustRightInd/>
              <w:snapToGrid/>
              <w:spacing w:line="340" w:lineRule="exact"/>
              <w:ind w:left="0" w:leftChars="0" w:firstLine="0" w:firstLineChars="0"/>
              <w:textAlignment w:val="auto"/>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eastAsia="zh-CN"/>
              </w:rPr>
              <w:t>线下</w:t>
            </w:r>
            <w:r>
              <w:rPr>
                <w:rFonts w:hint="eastAsia" w:ascii="宋体" w:hAnsi="宋体" w:eastAsia="宋体" w:cs="宋体"/>
                <w:color w:val="auto"/>
                <w:kern w:val="0"/>
                <w:sz w:val="21"/>
                <w:szCs w:val="21"/>
                <w:highlight w:val="none"/>
              </w:rPr>
              <w:t>开标地点：曲靖市</w:t>
            </w:r>
            <w:r>
              <w:rPr>
                <w:rFonts w:hint="eastAsia" w:hAnsi="宋体" w:cs="宋体"/>
                <w:color w:val="auto"/>
                <w:kern w:val="0"/>
                <w:sz w:val="21"/>
                <w:szCs w:val="21"/>
                <w:highlight w:val="none"/>
                <w:lang w:val="en-US" w:eastAsia="zh-CN"/>
              </w:rPr>
              <w:t>公共资源交易中心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563"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hAnsi="宋体" w:cs="宋体"/>
                <w:color w:val="auto"/>
                <w:kern w:val="0"/>
                <w:sz w:val="21"/>
                <w:szCs w:val="21"/>
                <w:highlight w:val="none"/>
                <w:lang w:val="en-US" w:eastAsia="zh-CN"/>
              </w:rPr>
              <w:t>7</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w:t>
            </w:r>
            <w:r>
              <w:rPr>
                <w:rFonts w:hint="eastAsia" w:hAnsi="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办法</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1812"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hAnsi="宋体" w:cs="宋体"/>
                <w:color w:val="auto"/>
                <w:kern w:val="0"/>
                <w:sz w:val="21"/>
                <w:szCs w:val="21"/>
                <w:highlight w:val="none"/>
                <w:lang w:val="en-US" w:eastAsia="zh-CN"/>
              </w:rPr>
              <w:t>8</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评标委员会的组建</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评标委员会由采购人代表和评审专家组成，成员人数为5人以上单数，其中评审专家不得少于成员总数的三分之二。</w:t>
            </w:r>
          </w:p>
          <w:p>
            <w:pPr>
              <w:pStyle w:val="25"/>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SA"/>
              </w:rPr>
              <w:t>评标专家确定方式：在政府采购评审专家库中随机抽取，对技术复杂、专业性强的采购项目，通过抽取方式难以确定合适评审专家的，经主管单位同意，采购人可以自行选定相应专业领域的评审专家。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144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hAnsi="宋体" w:cs="宋体"/>
                <w:color w:val="auto"/>
                <w:kern w:val="0"/>
                <w:sz w:val="21"/>
                <w:szCs w:val="21"/>
                <w:highlight w:val="none"/>
                <w:lang w:val="en-US" w:eastAsia="zh-CN"/>
              </w:rPr>
              <w:t>9</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en-US"/>
              </w:rPr>
              <w:t>价格扣除</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default"/>
                <w:b/>
                <w:bCs/>
                <w:highlight w:val="none"/>
                <w:lang w:val="en-US" w:eastAsia="zh-CN"/>
              </w:rPr>
            </w:pPr>
            <w:r>
              <w:rPr>
                <w:rFonts w:hint="eastAsia"/>
                <w:b/>
                <w:bCs/>
                <w:highlight w:val="none"/>
                <w:lang w:val="en-US" w:eastAsia="en-US"/>
              </w:rPr>
              <w:t>小型和微型</w:t>
            </w:r>
            <w:r>
              <w:rPr>
                <w:rFonts w:hint="eastAsia"/>
                <w:b/>
                <w:bCs/>
                <w:highlight w:val="none"/>
                <w:lang w:val="en-US" w:eastAsia="zh-CN"/>
              </w:rPr>
              <w:t>企业、残疾人福利性单位、监狱企业</w:t>
            </w:r>
          </w:p>
          <w:p>
            <w:pPr>
              <w:pStyle w:val="25"/>
              <w:keepNext w:val="0"/>
              <w:keepLines w:val="0"/>
              <w:pageBreakBefore w:val="0"/>
              <w:numPr>
                <w:ilvl w:val="0"/>
                <w:numId w:val="0"/>
              </w:numPr>
              <w:kinsoku/>
              <w:wordWrap/>
              <w:overflowPunct/>
              <w:topLinePunct w:val="0"/>
              <w:autoSpaceDE/>
              <w:autoSpaceDN/>
              <w:bidi w:val="0"/>
              <w:adjustRightInd/>
              <w:snapToGrid/>
              <w:spacing w:line="340" w:lineRule="exact"/>
              <w:textAlignment w:val="auto"/>
              <w:rPr>
                <w:rFonts w:hint="eastAsia" w:ascii="宋体" w:hAnsi="Times New Roman" w:eastAsia="宋体" w:cs="Times New Roman"/>
                <w:highlight w:val="none"/>
                <w:lang w:val="en-US" w:eastAsia="en-US"/>
              </w:rPr>
            </w:pPr>
            <w:r>
              <w:rPr>
                <w:rFonts w:hint="eastAsia" w:ascii="宋体" w:hAnsi="Times New Roman" w:eastAsia="宋体" w:cs="Times New Roman"/>
                <w:highlight w:val="none"/>
                <w:lang w:val="en-US" w:eastAsia="zh-CN"/>
              </w:rPr>
              <w:t>1.</w:t>
            </w:r>
            <w:r>
              <w:rPr>
                <w:rFonts w:hint="eastAsia" w:ascii="宋体" w:hAnsi="Times New Roman" w:eastAsia="宋体" w:cs="Times New Roman"/>
                <w:highlight w:val="none"/>
                <w:lang w:val="en-US" w:eastAsia="en-US"/>
              </w:rPr>
              <w:t>对</w:t>
            </w:r>
            <w:r>
              <w:rPr>
                <w:rFonts w:hint="eastAsia" w:ascii="宋体" w:hAnsi="Times New Roman" w:eastAsia="宋体" w:cs="Times New Roman"/>
                <w:highlight w:val="none"/>
                <w:lang w:val="en-US" w:eastAsia="zh-CN"/>
              </w:rPr>
              <w:t>符合条件的</w:t>
            </w:r>
            <w:r>
              <w:rPr>
                <w:rFonts w:hint="eastAsia" w:ascii="宋体" w:hAnsi="Times New Roman" w:eastAsia="宋体" w:cs="Times New Roman"/>
                <w:highlight w:val="none"/>
                <w:lang w:val="en-US" w:eastAsia="en-US"/>
              </w:rPr>
              <w:t>小型和微型企业的价格给予10%的扣除，用扣除后的价格参与评审。</w:t>
            </w:r>
          </w:p>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Times New Roman" w:eastAsia="宋体" w:cs="Times New Roman"/>
                <w:highlight w:val="none"/>
                <w:lang w:val="en-US" w:eastAsia="zh-CN"/>
              </w:rPr>
            </w:pPr>
            <w:r>
              <w:rPr>
                <w:rFonts w:hint="eastAsia" w:ascii="宋体" w:hAnsi="Times New Roman" w:eastAsia="宋体" w:cs="Times New Roman"/>
                <w:highlight w:val="none"/>
                <w:lang w:val="en-US" w:eastAsia="zh-CN"/>
              </w:rPr>
              <w:t xml:space="preserve">2.残疾人福利性单位、监狱企业视同小型、微型企业。 </w:t>
            </w:r>
          </w:p>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rPr>
            </w:pPr>
            <w:r>
              <w:rPr>
                <w:rFonts w:hint="eastAsia" w:ascii="宋体" w:hAnsi="Times New Roman" w:eastAsia="宋体" w:cs="Times New Roman"/>
                <w:highlight w:val="none"/>
                <w:lang w:val="en-US" w:eastAsia="zh-CN"/>
              </w:rPr>
              <w:t>3.</w:t>
            </w:r>
            <w:r>
              <w:rPr>
                <w:rFonts w:hint="eastAsia" w:ascii="宋体" w:hAnsi="Times New Roman" w:eastAsia="宋体" w:cs="Times New Roman"/>
                <w:spacing w:val="-6"/>
                <w:highlight w:val="none"/>
                <w:lang w:val="en-US" w:eastAsia="zh-CN"/>
              </w:rPr>
              <w:t>残疾人福利性单位或监狱企业属于小型、微型企业的，不重复享受政策，只进行一次价格扣除。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792"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30</w:t>
            </w:r>
          </w:p>
        </w:tc>
        <w:tc>
          <w:tcPr>
            <w:tcW w:w="10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hint="eastAsia" w:ascii="宋体" w:hAnsi="宋体" w:eastAsia="宋体" w:cs="宋体"/>
                <w:color w:val="auto"/>
                <w:kern w:val="0"/>
                <w:sz w:val="21"/>
                <w:szCs w:val="21"/>
                <w:highlight w:val="none"/>
                <w:lang w:val="en-US" w:eastAsia="en-US"/>
              </w:rPr>
            </w:pPr>
            <w:r>
              <w:rPr>
                <w:rFonts w:hint="eastAsia" w:ascii="宋体" w:hAnsi="宋体" w:eastAsia="宋体" w:cs="宋体"/>
                <w:color w:val="auto"/>
                <w:spacing w:val="-6"/>
                <w:sz w:val="21"/>
                <w:szCs w:val="21"/>
                <w:highlight w:val="none"/>
                <w:lang w:val="en-US" w:eastAsia="zh-CN"/>
              </w:rPr>
              <w:t>采购标的物所属行业</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spacing w:line="300" w:lineRule="exact"/>
              <w:jc w:val="left"/>
              <w:rPr>
                <w:rFonts w:hint="eastAsia"/>
                <w:color w:val="auto"/>
                <w:highlight w:val="none"/>
                <w:lang w:val="en-US" w:eastAsia="zh-CN"/>
              </w:rPr>
            </w:pPr>
            <w:r>
              <w:rPr>
                <w:rFonts w:hint="eastAsia"/>
                <w:color w:val="auto"/>
                <w:highlight w:val="none"/>
                <w:lang w:val="en-US" w:eastAsia="zh-CN"/>
              </w:rPr>
              <w:t>（1）大米、食用油类，属于</w:t>
            </w:r>
            <w:r>
              <w:rPr>
                <w:rFonts w:hint="eastAsia"/>
                <w:color w:val="auto"/>
                <w:highlight w:val="none"/>
                <w:u w:val="single"/>
                <w:lang w:val="en-US" w:eastAsia="zh-CN"/>
              </w:rPr>
              <w:t xml:space="preserve"> 工业（农副食品制造业） </w:t>
            </w:r>
            <w:r>
              <w:rPr>
                <w:rFonts w:hint="eastAsia"/>
                <w:color w:val="auto"/>
                <w:highlight w:val="none"/>
                <w:lang w:val="en-US" w:eastAsia="zh-CN"/>
              </w:rPr>
              <w:t xml:space="preserve">行业 </w:t>
            </w:r>
          </w:p>
          <w:p>
            <w:pPr>
              <w:spacing w:line="300" w:lineRule="exact"/>
              <w:jc w:val="left"/>
              <w:rPr>
                <w:rFonts w:hint="eastAsia" w:ascii="宋体" w:hAnsi="宋体" w:eastAsia="宋体" w:cs="宋体"/>
                <w:color w:val="auto"/>
                <w:kern w:val="0"/>
                <w:sz w:val="21"/>
                <w:szCs w:val="21"/>
                <w:highlight w:val="none"/>
                <w:lang w:val="en-US" w:eastAsia="en-US"/>
              </w:rPr>
            </w:pPr>
            <w:r>
              <w:rPr>
                <w:rFonts w:hint="eastAsia"/>
                <w:color w:val="auto"/>
                <w:highlight w:val="none"/>
                <w:lang w:val="en-US" w:eastAsia="zh-CN"/>
              </w:rPr>
              <w:t>（2）猪肉、鸡蛋类，属于</w:t>
            </w:r>
            <w:r>
              <w:rPr>
                <w:rFonts w:hint="eastAsia"/>
                <w:color w:val="auto"/>
                <w:highlight w:val="none"/>
                <w:u w:val="single"/>
                <w:lang w:val="en-US" w:eastAsia="zh-CN"/>
              </w:rPr>
              <w:t xml:space="preserve"> 批发业 </w:t>
            </w:r>
            <w:r>
              <w:rPr>
                <w:rFonts w:hint="eastAsia"/>
                <w:color w:val="auto"/>
                <w:highlight w:val="none"/>
                <w:lang w:val="en-US" w:eastAsia="zh-CN"/>
              </w:rPr>
              <w:t>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792"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31</w:t>
            </w:r>
          </w:p>
        </w:tc>
        <w:tc>
          <w:tcPr>
            <w:tcW w:w="105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color w:val="auto"/>
                <w:spacing w:val="-6"/>
                <w:sz w:val="21"/>
                <w:szCs w:val="21"/>
                <w:highlight w:val="none"/>
                <w:lang w:val="en-US" w:eastAsia="zh-CN"/>
              </w:rPr>
            </w:pPr>
            <w:r>
              <w:rPr>
                <w:rFonts w:hint="eastAsia" w:ascii="Times New Roman" w:hAnsi="Times New Roman" w:eastAsia="宋体" w:cs="Times New Roman"/>
                <w:highlight w:val="none"/>
                <w:lang w:val="en-US" w:eastAsia="zh-CN"/>
              </w:rPr>
              <w:t>核心产品</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left"/>
              <w:textAlignment w:val="auto"/>
              <w:rPr>
                <w:rFonts w:hint="eastAsia"/>
                <w:highlight w:val="none"/>
                <w:lang w:val="en-US" w:eastAsia="zh-CN"/>
              </w:rPr>
            </w:pPr>
            <w:r>
              <w:rPr>
                <w:rFonts w:hint="eastAsia"/>
                <w:highlight w:val="none"/>
                <w:lang w:val="en-US" w:eastAsia="zh-CN"/>
              </w:rPr>
              <w:t xml:space="preserve">三、四标段核心产品：食用油， 其他标段无核心产品。                                                               </w:t>
            </w:r>
          </w:p>
          <w:p>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left"/>
              <w:textAlignment w:val="auto"/>
              <w:rPr>
                <w:rFonts w:hint="eastAsia"/>
                <w:color w:val="auto"/>
                <w:highlight w:val="none"/>
                <w:lang w:val="en-US" w:eastAsia="zh-CN"/>
              </w:rPr>
            </w:pPr>
            <w:r>
              <w:rPr>
                <w:rFonts w:hint="eastAsia"/>
                <w:highlight w:val="none"/>
                <w:lang w:val="en-US" w:eastAsia="zh-CN"/>
              </w:rPr>
              <w:t xml:space="preserve">注：提供相同品牌产品（核心产品）（如有）且通过资格审查、符合性审查的不同供应商参加同一标段投标的，按一家供应商计算，评审后得分最高的同品牌供应商获得中标人推荐资格。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4490"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hAnsi="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32</w:t>
            </w:r>
          </w:p>
        </w:tc>
        <w:tc>
          <w:tcPr>
            <w:tcW w:w="1050" w:type="dxa"/>
            <w:tcBorders>
              <w:top w:val="single" w:color="auto" w:sz="4" w:space="0"/>
              <w:left w:val="single" w:color="auto" w:sz="4" w:space="0"/>
              <w:bottom w:val="single" w:color="auto" w:sz="4" w:space="0"/>
              <w:right w:val="single" w:color="auto" w:sz="4" w:space="0"/>
            </w:tcBorders>
            <w:noWrap/>
            <w:vAlign w:val="center"/>
          </w:tcPr>
          <w:p>
            <w:pPr>
              <w:ind w:left="0" w:leftChars="0" w:firstLine="0" w:firstLineChars="0"/>
              <w:rPr>
                <w:rFonts w:hint="eastAsia" w:ascii="宋体" w:hAnsi="宋体" w:eastAsia="宋体" w:cs="宋体"/>
                <w:color w:val="auto"/>
                <w:spacing w:val="-6"/>
                <w:sz w:val="21"/>
                <w:szCs w:val="21"/>
                <w:highlight w:val="none"/>
                <w:lang w:val="en-US" w:eastAsia="zh-CN"/>
              </w:rPr>
            </w:pPr>
            <w:r>
              <w:rPr>
                <w:rFonts w:hint="eastAsia" w:ascii="宋体" w:hAnsi="宋体" w:eastAsia="宋体" w:cs="宋体"/>
                <w:kern w:val="0"/>
                <w:szCs w:val="21"/>
                <w:highlight w:val="none"/>
                <w:lang w:val="en-US" w:eastAsia="zh-CN"/>
              </w:rPr>
              <w:t>异常低价</w:t>
            </w:r>
            <w:r>
              <w:rPr>
                <w:rFonts w:hint="eastAsia" w:ascii="宋体" w:hAnsi="宋体" w:cs="宋体"/>
                <w:szCs w:val="21"/>
                <w:highlight w:val="none"/>
                <w:lang w:val="en-US" w:eastAsia="zh-CN"/>
              </w:rPr>
              <w:t>投标</w:t>
            </w:r>
            <w:r>
              <w:rPr>
                <w:rFonts w:hint="eastAsia" w:ascii="宋体" w:hAnsi="宋体" w:eastAsia="宋体" w:cs="宋体"/>
                <w:szCs w:val="21"/>
                <w:highlight w:val="none"/>
                <w:lang w:val="en-US" w:eastAsia="zh-CN"/>
              </w:rPr>
              <w:t>审查</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sz w:val="21"/>
                <w:szCs w:val="21"/>
                <w:highlight w:val="none"/>
              </w:rPr>
            </w:pPr>
            <w:r>
              <w:rPr>
                <w:rFonts w:hint="eastAsia"/>
                <w:sz w:val="21"/>
                <w:szCs w:val="21"/>
                <w:highlight w:val="none"/>
                <w:lang w:val="en-US" w:eastAsia="zh-CN"/>
              </w:rPr>
              <w:t>1、</w:t>
            </w:r>
            <w:r>
              <w:rPr>
                <w:rFonts w:hint="eastAsia"/>
                <w:b/>
                <w:bCs/>
                <w:sz w:val="21"/>
                <w:szCs w:val="21"/>
                <w:highlight w:val="none"/>
              </w:rPr>
              <w:t>启动审查的情形</w:t>
            </w:r>
            <w:r>
              <w:rPr>
                <w:rFonts w:hint="eastAsia"/>
                <w:sz w:val="21"/>
                <w:szCs w:val="21"/>
                <w:highlight w:val="none"/>
              </w:rPr>
              <w:t xml:space="preserve"> </w:t>
            </w:r>
          </w:p>
          <w:p>
            <w:pPr>
              <w:ind w:firstLine="420" w:firstLineChars="200"/>
              <w:rPr>
                <w:rFonts w:hint="eastAsia"/>
                <w:highlight w:val="none"/>
                <w:lang w:val="en-US" w:eastAsia="zh-CN"/>
              </w:rPr>
            </w:pPr>
            <w:r>
              <w:rPr>
                <w:rFonts w:hint="eastAsia"/>
                <w:highlight w:val="none"/>
                <w:lang w:val="en-US" w:eastAsia="zh-CN"/>
              </w:rPr>
              <w:t>出现下列情形之一的，评标委员会应当根据财库[2026]第2号《关于推动解决政府采购异常低价问题的通知》启动异常低价投标审查程序：</w:t>
            </w:r>
          </w:p>
          <w:p>
            <w:pPr>
              <w:rPr>
                <w:rFonts w:hint="default"/>
                <w:highlight w:val="none"/>
                <w:lang w:val="en-US" w:eastAsia="zh-CN"/>
              </w:rPr>
            </w:pPr>
            <w:r>
              <w:rPr>
                <w:rFonts w:hint="eastAsia"/>
                <w:highlight w:val="none"/>
                <w:lang w:val="en-US" w:eastAsia="zh-CN"/>
              </w:rPr>
              <w:t>（1）</w:t>
            </w:r>
            <w:r>
              <w:rPr>
                <w:rFonts w:hint="eastAsia"/>
                <w:highlight w:val="none"/>
                <w:lang w:eastAsia="zh-CN"/>
              </w:rPr>
              <w:t>投标报价＜全部通过符合性审查供应商投标报价平均值×50%</w:t>
            </w:r>
          </w:p>
          <w:p>
            <w:pPr>
              <w:rPr>
                <w:rFonts w:hint="default"/>
                <w:highlight w:val="none"/>
                <w:lang w:val="en-US" w:eastAsia="zh-CN"/>
              </w:rPr>
            </w:pPr>
            <w:r>
              <w:rPr>
                <w:rFonts w:hint="eastAsia"/>
                <w:highlight w:val="none"/>
                <w:lang w:val="en-US" w:eastAsia="zh-CN"/>
              </w:rPr>
              <w:t>（2）</w:t>
            </w:r>
            <w:r>
              <w:rPr>
                <w:rFonts w:hint="eastAsia"/>
                <w:highlight w:val="none"/>
                <w:lang w:eastAsia="zh-CN"/>
              </w:rPr>
              <w:t>投标报价＜通过符合性审查的次低报价供应商投标报价×50%</w:t>
            </w:r>
          </w:p>
          <w:p>
            <w:pPr>
              <w:rPr>
                <w:rFonts w:hint="default"/>
                <w:highlight w:val="none"/>
                <w:lang w:val="en-US" w:eastAsia="zh-CN"/>
              </w:rPr>
            </w:pPr>
            <w:r>
              <w:rPr>
                <w:rFonts w:hint="eastAsia"/>
                <w:highlight w:val="none"/>
                <w:lang w:val="en-US" w:eastAsia="zh-CN"/>
              </w:rPr>
              <w:t>（3）</w:t>
            </w:r>
            <w:r>
              <w:rPr>
                <w:rFonts w:hint="eastAsia"/>
                <w:highlight w:val="none"/>
                <w:lang w:eastAsia="zh-CN"/>
              </w:rPr>
              <w:t>投标报价＜采购项目最</w:t>
            </w:r>
            <w:r>
              <w:rPr>
                <w:rFonts w:hint="eastAsia"/>
                <w:highlight w:val="none"/>
                <w:lang w:val="en-US" w:eastAsia="zh-CN"/>
              </w:rPr>
              <w:t>低</w:t>
            </w:r>
            <w:r>
              <w:rPr>
                <w:rFonts w:hint="eastAsia"/>
                <w:highlight w:val="none"/>
                <w:lang w:eastAsia="zh-CN"/>
              </w:rPr>
              <w:t>限价×45%</w:t>
            </w:r>
          </w:p>
          <w:p>
            <w:pPr>
              <w:rPr>
                <w:rFonts w:hint="eastAsia"/>
                <w:highlight w:val="none"/>
                <w:lang w:val="en-US" w:eastAsia="zh-CN"/>
              </w:rPr>
            </w:pPr>
            <w:r>
              <w:rPr>
                <w:rFonts w:hint="eastAsia"/>
                <w:highlight w:val="none"/>
                <w:lang w:val="en-US" w:eastAsia="zh-CN"/>
              </w:rPr>
              <w:t>（4）评标委员会基于专业判断，认为供应商报价过低，有可能影响商品质量或者不能诚信履约的其他情形。</w:t>
            </w:r>
          </w:p>
          <w:p>
            <w:pPr>
              <w:pStyle w:val="18"/>
              <w:rPr>
                <w:rFonts w:hint="default" w:ascii="Calibri" w:hAnsi="Calibri" w:eastAsia="宋体" w:cs="Times New Roman"/>
                <w:b/>
                <w:bCs/>
                <w:kern w:val="2"/>
                <w:sz w:val="21"/>
                <w:szCs w:val="21"/>
                <w:highlight w:val="none"/>
                <w:lang w:val="en-US" w:eastAsia="zh-CN" w:bidi="ar-SA"/>
              </w:rPr>
            </w:pPr>
            <w:r>
              <w:rPr>
                <w:rFonts w:hint="eastAsia" w:ascii="Calibri" w:hAnsi="Calibri" w:eastAsia="宋体" w:cs="Times New Roman"/>
                <w:b/>
                <w:bCs/>
                <w:kern w:val="2"/>
                <w:sz w:val="21"/>
                <w:szCs w:val="21"/>
                <w:highlight w:val="none"/>
                <w:lang w:val="en-US" w:eastAsia="zh-CN" w:bidi="ar-SA"/>
              </w:rPr>
              <w:t>2、审查流程与要求</w:t>
            </w:r>
          </w:p>
          <w:p>
            <w:pPr>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评标委员会</w:t>
            </w:r>
            <w:r>
              <w:rPr>
                <w:rFonts w:hint="eastAsia"/>
                <w:highlight w:val="none"/>
                <w:lang w:val="en-US" w:eastAsia="zh-CN"/>
              </w:rPr>
              <w:t>启动异常低价投标审查后，应当要求相关供应商在评审现场合理时间内对响应价格作出解释，提供项目具体成本测算等与报价合理性相关的书面说明及必要的证明材料</w:t>
            </w:r>
            <w:r>
              <w:rPr>
                <w:rFonts w:hint="eastAsia" w:ascii="宋体" w:hAnsi="宋体" w:eastAsia="宋体" w:cs="宋体"/>
                <w:color w:val="auto"/>
                <w:sz w:val="21"/>
                <w:szCs w:val="21"/>
                <w:highlight w:val="none"/>
                <w:lang w:val="en-US" w:eastAsia="zh-CN"/>
              </w:rPr>
              <w:t>（包括但不限于原材料成本、人工成本、制造费用等），给予相关供应商的合理时间为 30 分钟。其中，属于第（3）项情形，供应商已随响应文件一并提交相关书面说明及必要的证明材料的，在评审现场可不再重复提交。</w:t>
            </w:r>
          </w:p>
          <w:p>
            <w:pPr>
              <w:ind w:firstLine="420" w:firstLineChars="200"/>
              <w:rPr>
                <w:rFonts w:hint="eastAsia"/>
                <w:color w:val="auto"/>
                <w:highlight w:val="none"/>
                <w:lang w:val="en-US" w:eastAsia="zh-CN"/>
              </w:rPr>
            </w:pPr>
            <w:r>
              <w:rPr>
                <w:rFonts w:hint="eastAsia" w:ascii="宋体" w:hAnsi="宋体" w:eastAsia="宋体" w:cs="宋体"/>
                <w:color w:val="auto"/>
                <w:sz w:val="21"/>
                <w:szCs w:val="21"/>
                <w:highlight w:val="none"/>
                <w:lang w:val="en-US" w:eastAsia="zh-CN"/>
              </w:rPr>
              <w:t>供应商不能提供书面说明、证明材料，或者提供的书面说明、证明材料不能证明其报价合理性的，</w:t>
            </w:r>
            <w:r>
              <w:rPr>
                <w:rFonts w:hint="eastAsia" w:ascii="宋体" w:hAnsi="宋体" w:cs="宋体"/>
                <w:color w:val="auto"/>
                <w:sz w:val="21"/>
                <w:szCs w:val="21"/>
                <w:highlight w:val="none"/>
                <w:lang w:val="en-US" w:eastAsia="zh-CN"/>
              </w:rPr>
              <w:t>评标委员会</w:t>
            </w:r>
            <w:r>
              <w:rPr>
                <w:rFonts w:hint="eastAsia" w:ascii="宋体" w:hAnsi="宋体" w:eastAsia="宋体" w:cs="宋体"/>
                <w:color w:val="auto"/>
                <w:sz w:val="21"/>
                <w:szCs w:val="21"/>
                <w:highlight w:val="none"/>
                <w:lang w:val="en-US" w:eastAsia="zh-CN"/>
              </w:rPr>
              <w:t>应当将其作为无效响应处理。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209"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33</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是否授权评标委员会确定中标人</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w:t>
            </w:r>
          </w:p>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■否，推荐</w:t>
            </w:r>
            <w:r>
              <w:rPr>
                <w:rFonts w:hint="eastAsia" w:hAnsi="宋体" w:cs="宋体"/>
                <w:color w:val="auto"/>
                <w:kern w:val="0"/>
                <w:sz w:val="21"/>
                <w:szCs w:val="21"/>
                <w:highlight w:val="none"/>
                <w:lang w:val="en-US" w:eastAsia="zh-CN"/>
              </w:rPr>
              <w:t>有效</w:t>
            </w:r>
            <w:r>
              <w:rPr>
                <w:rFonts w:hint="eastAsia" w:ascii="宋体" w:hAnsi="宋体" w:eastAsia="宋体" w:cs="宋体"/>
                <w:color w:val="auto"/>
                <w:kern w:val="0"/>
                <w:sz w:val="21"/>
                <w:szCs w:val="21"/>
                <w:highlight w:val="none"/>
              </w:rPr>
              <w:t>中标候选人</w:t>
            </w:r>
            <w:r>
              <w:rPr>
                <w:rFonts w:hint="eastAsia" w:hAnsi="宋体" w:cs="宋体"/>
                <w:color w:val="auto"/>
                <w:kern w:val="0"/>
                <w:sz w:val="21"/>
                <w:szCs w:val="21"/>
                <w:highlight w:val="none"/>
                <w:lang w:val="en-US" w:eastAsia="zh-CN"/>
              </w:rPr>
              <w:t>3人/标段</w:t>
            </w:r>
            <w:r>
              <w:rPr>
                <w:rFonts w:hint="eastAsia" w:hAnsi="宋体" w:cs="宋体"/>
                <w:color w:val="auto"/>
                <w:kern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590" w:hRule="atLeast"/>
          <w:jc w:val="center"/>
        </w:trPr>
        <w:tc>
          <w:tcPr>
            <w:tcW w:w="436" w:type="dxa"/>
            <w:tcBorders>
              <w:top w:val="single" w:color="auto" w:sz="4" w:space="0"/>
              <w:left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34</w:t>
            </w:r>
          </w:p>
        </w:tc>
        <w:tc>
          <w:tcPr>
            <w:tcW w:w="1050" w:type="dxa"/>
            <w:tcBorders>
              <w:top w:val="single" w:color="auto" w:sz="4" w:space="0"/>
              <w:left w:val="single" w:color="auto" w:sz="4" w:space="0"/>
              <w:right w:val="single" w:color="auto" w:sz="4" w:space="0"/>
            </w:tcBorders>
            <w:noWrap/>
            <w:vAlign w:val="center"/>
          </w:tcPr>
          <w:p>
            <w:pPr>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履约保证金</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775" w:hRule="atLeast"/>
          <w:jc w:val="center"/>
        </w:trPr>
        <w:tc>
          <w:tcPr>
            <w:tcW w:w="436" w:type="dxa"/>
            <w:tcBorders>
              <w:top w:val="single" w:color="auto" w:sz="4" w:space="0"/>
              <w:left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35</w:t>
            </w:r>
          </w:p>
        </w:tc>
        <w:tc>
          <w:tcPr>
            <w:tcW w:w="1050" w:type="dxa"/>
            <w:tcBorders>
              <w:top w:val="single" w:color="auto" w:sz="4" w:space="0"/>
              <w:left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结果公</w:t>
            </w:r>
            <w:r>
              <w:rPr>
                <w:rFonts w:hint="eastAsia" w:hAnsi="宋体" w:cs="宋体"/>
                <w:color w:val="auto"/>
                <w:sz w:val="21"/>
                <w:szCs w:val="21"/>
                <w:highlight w:val="none"/>
                <w:lang w:val="en-US" w:eastAsia="zh-CN"/>
              </w:rPr>
              <w:t>告</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采购人将中标结果在本采购项目</w:t>
            </w:r>
            <w:r>
              <w:rPr>
                <w:rFonts w:hint="eastAsia" w:ascii="宋体" w:hAnsi="宋体" w:eastAsia="宋体" w:cs="宋体"/>
                <w:color w:val="auto"/>
                <w:sz w:val="21"/>
                <w:szCs w:val="21"/>
                <w:highlight w:val="none"/>
                <w:lang w:eastAsia="zh-CN"/>
              </w:rPr>
              <w:t>招标公告</w:t>
            </w:r>
            <w:r>
              <w:rPr>
                <w:rFonts w:hint="eastAsia" w:ascii="宋体" w:hAnsi="宋体" w:eastAsia="宋体" w:cs="宋体"/>
                <w:color w:val="auto"/>
                <w:sz w:val="21"/>
                <w:szCs w:val="21"/>
                <w:highlight w:val="none"/>
              </w:rPr>
              <w:t>发布的同一媒介予以公告，公告期1个工作日，同时发出中标通知书。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trHeight w:val="3226"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r>
              <w:rPr>
                <w:rFonts w:hint="eastAsia" w:hAnsi="宋体" w:cs="宋体"/>
                <w:color w:val="auto"/>
                <w:kern w:val="0"/>
                <w:sz w:val="21"/>
                <w:szCs w:val="21"/>
                <w:highlight w:val="none"/>
                <w:lang w:val="en-US" w:eastAsia="zh-CN"/>
              </w:rPr>
              <w:t>6</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中标服务</w:t>
            </w:r>
            <w:r>
              <w:rPr>
                <w:rFonts w:hint="eastAsia" w:ascii="宋体" w:hAnsi="宋体" w:eastAsia="宋体" w:cs="宋体"/>
                <w:color w:val="auto"/>
                <w:sz w:val="21"/>
                <w:szCs w:val="21"/>
                <w:highlight w:val="none"/>
              </w:rPr>
              <w:t>费</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numPr>
                <w:ilvl w:val="0"/>
                <w:numId w:val="5"/>
              </w:numPr>
              <w:kinsoku/>
              <w:wordWrap/>
              <w:overflowPunct/>
              <w:topLinePunct w:val="0"/>
              <w:autoSpaceDE/>
              <w:autoSpaceDN/>
              <w:bidi w:val="0"/>
              <w:adjustRightInd/>
              <w:snapToGrid/>
              <w:spacing w:line="340" w:lineRule="exact"/>
              <w:textAlignment w:val="auto"/>
              <w:rPr>
                <w:rFonts w:hint="eastAsia"/>
                <w:color w:val="auto"/>
                <w:highlight w:val="none"/>
                <w:lang w:val="en-US" w:eastAsia="zh-CN"/>
              </w:rPr>
            </w:pPr>
            <w:r>
              <w:rPr>
                <w:rFonts w:hint="eastAsia"/>
                <w:color w:val="auto"/>
                <w:highlight w:val="none"/>
                <w:lang w:val="en-US" w:eastAsia="zh-CN"/>
              </w:rPr>
              <w:t>金额：玖万陆仟元整（96000.00元），其中：一标段：捌仟元整（8000.00元）；二标段：柒仟元整（7000.00元）；三、四标段：每个标段陆仟元整（6000.00元）；五标段：贰万陆仟元整（26000.00元）；六标段：壹万捌仟元整（18000.00元）；七标段：壹万叁仟元整（13000.00元）；八标段：壹万贰仟元整（12000.00元）。</w:t>
            </w:r>
          </w:p>
          <w:p>
            <w:pPr>
              <w:pStyle w:val="25"/>
              <w:keepNext w:val="0"/>
              <w:keepLines w:val="0"/>
              <w:pageBreakBefore w:val="0"/>
              <w:numPr>
                <w:ilvl w:val="0"/>
                <w:numId w:val="0"/>
              </w:numPr>
              <w:kinsoku/>
              <w:wordWrap/>
              <w:overflowPunct/>
              <w:topLinePunct w:val="0"/>
              <w:autoSpaceDE/>
              <w:autoSpaceDN/>
              <w:bidi w:val="0"/>
              <w:adjustRightInd/>
              <w:snapToGrid/>
              <w:spacing w:line="340" w:lineRule="exact"/>
              <w:textAlignment w:val="auto"/>
              <w:rPr>
                <w:rFonts w:hint="eastAsia"/>
                <w:color w:val="auto"/>
                <w:highlight w:val="none"/>
                <w:lang w:val="en-US" w:eastAsia="zh-CN"/>
              </w:rPr>
            </w:pPr>
            <w:r>
              <w:rPr>
                <w:rFonts w:hint="eastAsia"/>
                <w:color w:val="auto"/>
                <w:highlight w:val="none"/>
                <w:lang w:val="en-US" w:eastAsia="zh-CN"/>
              </w:rPr>
              <w:t>（2）支付方式：由中标人在领取中标通知书时一次性支付。</w:t>
            </w:r>
          </w:p>
          <w:p>
            <w:pPr>
              <w:pStyle w:val="25"/>
              <w:keepNext w:val="0"/>
              <w:keepLines w:val="0"/>
              <w:pageBreakBefore w:val="0"/>
              <w:numPr>
                <w:ilvl w:val="0"/>
                <w:numId w:val="0"/>
              </w:numPr>
              <w:kinsoku/>
              <w:wordWrap/>
              <w:overflowPunct/>
              <w:topLinePunct w:val="0"/>
              <w:autoSpaceDE/>
              <w:autoSpaceDN/>
              <w:bidi w:val="0"/>
              <w:adjustRightInd/>
              <w:snapToGrid/>
              <w:spacing w:line="340" w:lineRule="exact"/>
              <w:textAlignment w:val="auto"/>
              <w:rPr>
                <w:rFonts w:hint="default"/>
                <w:color w:val="auto"/>
                <w:highlight w:val="none"/>
                <w:lang w:val="en-US" w:eastAsia="zh-CN"/>
              </w:rPr>
            </w:pPr>
            <w:r>
              <w:rPr>
                <w:rFonts w:hint="eastAsia"/>
                <w:color w:val="auto"/>
                <w:highlight w:val="none"/>
                <w:lang w:val="en-US" w:eastAsia="zh-CN"/>
              </w:rPr>
              <w:t>（3）支付账号：</w:t>
            </w:r>
          </w:p>
          <w:p>
            <w:pPr>
              <w:pStyle w:val="25"/>
              <w:keepNext w:val="0"/>
              <w:keepLines w:val="0"/>
              <w:pageBreakBefore w:val="0"/>
              <w:numPr>
                <w:ilvl w:val="0"/>
                <w:numId w:val="0"/>
              </w:numPr>
              <w:kinsoku/>
              <w:wordWrap/>
              <w:overflowPunct/>
              <w:topLinePunct w:val="0"/>
              <w:autoSpaceDE/>
              <w:autoSpaceDN/>
              <w:bidi w:val="0"/>
              <w:adjustRightInd/>
              <w:snapToGrid/>
              <w:spacing w:line="340" w:lineRule="exact"/>
              <w:ind w:firstLine="210" w:firstLineChars="100"/>
              <w:textAlignment w:val="auto"/>
              <w:rPr>
                <w:rFonts w:hint="eastAsia"/>
                <w:color w:val="auto"/>
                <w:highlight w:val="none"/>
                <w:lang w:val="en-US" w:eastAsia="zh-CN"/>
              </w:rPr>
            </w:pPr>
            <w:r>
              <w:rPr>
                <w:rFonts w:hint="eastAsia"/>
                <w:color w:val="auto"/>
                <w:highlight w:val="none"/>
                <w:lang w:val="en-US" w:eastAsia="zh-CN"/>
              </w:rPr>
              <w:t>户名：曲靖市福宁建设工程招标有限公司</w:t>
            </w:r>
          </w:p>
          <w:p>
            <w:pPr>
              <w:pStyle w:val="25"/>
              <w:keepNext w:val="0"/>
              <w:keepLines w:val="0"/>
              <w:pageBreakBefore w:val="0"/>
              <w:numPr>
                <w:ilvl w:val="0"/>
                <w:numId w:val="0"/>
              </w:numPr>
              <w:kinsoku/>
              <w:wordWrap/>
              <w:overflowPunct/>
              <w:topLinePunct w:val="0"/>
              <w:autoSpaceDE/>
              <w:autoSpaceDN/>
              <w:bidi w:val="0"/>
              <w:adjustRightInd/>
              <w:snapToGrid/>
              <w:spacing w:line="340" w:lineRule="exact"/>
              <w:ind w:firstLine="210" w:firstLineChars="100"/>
              <w:textAlignment w:val="auto"/>
              <w:rPr>
                <w:rFonts w:hint="eastAsia"/>
                <w:color w:val="auto"/>
                <w:highlight w:val="none"/>
                <w:lang w:val="en-US" w:eastAsia="zh-CN"/>
              </w:rPr>
            </w:pPr>
            <w:r>
              <w:rPr>
                <w:rFonts w:hint="eastAsia"/>
                <w:color w:val="auto"/>
                <w:highlight w:val="none"/>
                <w:lang w:val="en-US" w:eastAsia="zh-CN"/>
              </w:rPr>
              <w:t>帐号：53001646138050409960</w:t>
            </w:r>
          </w:p>
          <w:p>
            <w:pPr>
              <w:pStyle w:val="25"/>
              <w:keepNext w:val="0"/>
              <w:keepLines w:val="0"/>
              <w:pageBreakBefore w:val="0"/>
              <w:kinsoku/>
              <w:wordWrap/>
              <w:overflowPunct/>
              <w:topLinePunct w:val="0"/>
              <w:autoSpaceDE/>
              <w:autoSpaceDN/>
              <w:bidi w:val="0"/>
              <w:adjustRightInd/>
              <w:snapToGrid/>
              <w:spacing w:line="340" w:lineRule="exact"/>
              <w:ind w:firstLine="210" w:firstLineChars="100"/>
              <w:textAlignment w:val="auto"/>
              <w:rPr>
                <w:rFonts w:hint="eastAsia" w:ascii="宋体" w:hAnsi="宋体" w:eastAsia="宋体" w:cs="宋体"/>
                <w:color w:val="auto"/>
                <w:sz w:val="21"/>
                <w:szCs w:val="21"/>
                <w:highlight w:val="none"/>
              </w:rPr>
            </w:pPr>
            <w:r>
              <w:rPr>
                <w:rFonts w:hint="eastAsia"/>
                <w:color w:val="auto"/>
                <w:highlight w:val="none"/>
                <w:lang w:val="en-US" w:eastAsia="zh-CN"/>
              </w:rPr>
              <w:t>开户银行：中国建设银行股份有限公司曲靖玄坛支行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5" w:type="dxa"/>
          <w:cantSplit/>
          <w:trHeight w:val="603" w:hRule="atLeast"/>
          <w:jc w:val="center"/>
        </w:trPr>
        <w:tc>
          <w:tcPr>
            <w:tcW w:w="10402" w:type="dxa"/>
            <w:gridSpan w:val="12"/>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其他事项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874"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bookmarkStart w:id="165" w:name="OLE_LINK57" w:colFirst="1" w:colLast="2"/>
            <w:r>
              <w:rPr>
                <w:rFonts w:hint="eastAsia" w:ascii="宋体" w:hAnsi="宋体" w:eastAsia="宋体" w:cs="宋体"/>
                <w:color w:val="auto"/>
                <w:kern w:val="0"/>
                <w:sz w:val="21"/>
                <w:szCs w:val="21"/>
                <w:highlight w:val="none"/>
                <w:lang w:val="en-US" w:eastAsia="zh-CN"/>
              </w:rPr>
              <w:t>1</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是否要求提交样品</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■不要求</w:t>
            </w:r>
          </w:p>
          <w:p>
            <w:pPr>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597"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技术方案是否采用“暗标”评审方式</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■不采用</w:t>
            </w:r>
          </w:p>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889"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是否要求述标或演示</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■不要求</w:t>
            </w:r>
          </w:p>
          <w:p>
            <w:pPr>
              <w:pStyle w:val="25"/>
              <w:keepNext w:val="0"/>
              <w:keepLines w:val="0"/>
              <w:pageBreakBefore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203"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1050" w:type="dxa"/>
            <w:tcBorders>
              <w:top w:val="single" w:color="auto" w:sz="4" w:space="0"/>
              <w:left w:val="single" w:color="auto" w:sz="4" w:space="0"/>
              <w:bottom w:val="single" w:color="auto" w:sz="4" w:space="0"/>
              <w:right w:val="single" w:color="auto" w:sz="4" w:space="0"/>
            </w:tcBorders>
            <w:noWrap/>
            <w:vAlign w:val="center"/>
          </w:tcPr>
          <w:p>
            <w:pPr>
              <w:spacing w:line="34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投标文件份数</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lang w:val="en-US" w:eastAsia="zh-CN"/>
              </w:rPr>
              <w:t>在投标时</w:t>
            </w:r>
            <w:r>
              <w:rPr>
                <w:rFonts w:hint="eastAsia" w:ascii="宋体" w:hAnsi="宋体" w:eastAsia="宋体" w:cs="宋体"/>
                <w:color w:val="auto"/>
                <w:sz w:val="21"/>
                <w:szCs w:val="21"/>
                <w:highlight w:val="none"/>
              </w:rPr>
              <w:t>无需提供纸质投标文件；</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2.中标人在领取中标通知书时提供</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份纸质投标文件，纸质投标文件</w:t>
            </w:r>
            <w:r>
              <w:rPr>
                <w:rFonts w:hint="eastAsia" w:ascii="宋体" w:hAnsi="宋体" w:cs="宋体"/>
                <w:color w:val="auto"/>
                <w:sz w:val="21"/>
                <w:szCs w:val="21"/>
                <w:highlight w:val="none"/>
                <w:lang w:val="en-US" w:eastAsia="zh-CN"/>
              </w:rPr>
              <w:t>应</w:t>
            </w:r>
            <w:r>
              <w:rPr>
                <w:rFonts w:hint="eastAsia" w:ascii="宋体" w:hAnsi="宋体" w:eastAsia="宋体" w:cs="宋体"/>
                <w:color w:val="auto"/>
                <w:sz w:val="21"/>
                <w:szCs w:val="21"/>
                <w:highlight w:val="none"/>
              </w:rPr>
              <w:t>与网上上传成功的电子投标文件完全一致。</w:t>
            </w:r>
          </w:p>
        </w:tc>
      </w:tr>
      <w:bookmarkEnd w:id="16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1905"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知识产权</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构成本</w:t>
            </w:r>
            <w:r>
              <w:rPr>
                <w:rFonts w:hint="eastAsia" w:ascii="宋体" w:hAnsi="宋体" w:cs="宋体"/>
                <w:color w:val="auto"/>
                <w:spacing w:val="-6"/>
                <w:sz w:val="21"/>
                <w:szCs w:val="21"/>
                <w:highlight w:val="none"/>
                <w:lang w:eastAsia="zh-CN"/>
              </w:rPr>
              <w:t>招标文件</w:t>
            </w:r>
            <w:r>
              <w:rPr>
                <w:rFonts w:hint="eastAsia" w:ascii="宋体" w:hAnsi="宋体" w:eastAsia="宋体" w:cs="宋体"/>
                <w:color w:val="auto"/>
                <w:spacing w:val="-6"/>
                <w:sz w:val="21"/>
                <w:szCs w:val="21"/>
                <w:highlight w:val="none"/>
              </w:rPr>
              <w:t>各个组成部分的文件，未经采购人书面同意，</w:t>
            </w:r>
            <w:r>
              <w:rPr>
                <w:rFonts w:hint="eastAsia" w:ascii="宋体" w:hAnsi="宋体" w:eastAsia="宋体" w:cs="宋体"/>
                <w:color w:val="auto"/>
                <w:spacing w:val="-6"/>
                <w:sz w:val="21"/>
                <w:szCs w:val="21"/>
                <w:highlight w:val="none"/>
                <w:lang w:eastAsia="zh-CN"/>
              </w:rPr>
              <w:t>供应商</w:t>
            </w:r>
            <w:r>
              <w:rPr>
                <w:rFonts w:hint="eastAsia" w:ascii="宋体" w:hAnsi="宋体" w:eastAsia="宋体" w:cs="宋体"/>
                <w:color w:val="auto"/>
                <w:spacing w:val="-6"/>
                <w:sz w:val="21"/>
                <w:szCs w:val="21"/>
                <w:highlight w:val="none"/>
              </w:rPr>
              <w:t>不得擅自复印和用于非本采购项目所需的其他目的。采购人全部或者部分使用未中标人投标文件中的技术成果或技术方案时，需征得其书面同意，并不得擅自复印或提供给第三人。</w:t>
            </w:r>
          </w:p>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eastAsia="zh-CN"/>
              </w:rPr>
              <w:t>供应商</w:t>
            </w:r>
            <w:r>
              <w:rPr>
                <w:rFonts w:hint="eastAsia" w:ascii="宋体" w:hAnsi="宋体" w:eastAsia="宋体" w:cs="宋体"/>
                <w:color w:val="auto"/>
                <w:spacing w:val="-6"/>
                <w:sz w:val="21"/>
                <w:szCs w:val="21"/>
                <w:highlight w:val="none"/>
              </w:rPr>
              <w:t>在投标文件中采用的第三方知识产权，由</w:t>
            </w:r>
            <w:r>
              <w:rPr>
                <w:rFonts w:hint="eastAsia" w:ascii="宋体" w:hAnsi="宋体" w:eastAsia="宋体" w:cs="宋体"/>
                <w:color w:val="auto"/>
                <w:spacing w:val="-6"/>
                <w:sz w:val="21"/>
                <w:szCs w:val="21"/>
                <w:highlight w:val="none"/>
                <w:lang w:eastAsia="zh-CN"/>
              </w:rPr>
              <w:t>供应商</w:t>
            </w:r>
            <w:r>
              <w:rPr>
                <w:rFonts w:hint="eastAsia" w:ascii="宋体" w:hAnsi="宋体" w:eastAsia="宋体" w:cs="宋体"/>
                <w:color w:val="auto"/>
                <w:spacing w:val="-6"/>
                <w:sz w:val="21"/>
                <w:szCs w:val="21"/>
                <w:highlight w:val="none"/>
              </w:rPr>
              <w:t>自行办理知识产权的使用权，任何涉及知识产权的争议与纠纷，采购人不承担责任。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849"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同义词语</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w:t>
            </w:r>
            <w:r>
              <w:rPr>
                <w:rFonts w:hint="eastAsia" w:hAnsi="宋体" w:cs="宋体"/>
                <w:color w:val="auto"/>
                <w:sz w:val="21"/>
                <w:szCs w:val="21"/>
                <w:highlight w:val="none"/>
                <w:lang w:eastAsia="zh-CN"/>
              </w:rPr>
              <w:t>招标文件</w:t>
            </w:r>
            <w:r>
              <w:rPr>
                <w:rFonts w:hint="eastAsia" w:ascii="宋体" w:hAnsi="宋体" w:eastAsia="宋体" w:cs="宋体"/>
                <w:color w:val="auto"/>
                <w:sz w:val="21"/>
                <w:szCs w:val="21"/>
                <w:highlight w:val="none"/>
              </w:rPr>
              <w:t>组成部分的“合同条款”和“采购需求”等章节中出现的措辞“发包人”和“承包人”，在采购投标阶段应当分别按“采购人”和“</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”进行理解。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2283"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解释权</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构成本</w:t>
            </w:r>
            <w:r>
              <w:rPr>
                <w:rFonts w:hint="eastAsia" w:hAnsi="宋体" w:cs="宋体"/>
                <w:color w:val="auto"/>
                <w:spacing w:val="-6"/>
                <w:sz w:val="21"/>
                <w:szCs w:val="21"/>
                <w:highlight w:val="none"/>
                <w:lang w:eastAsia="zh-CN"/>
              </w:rPr>
              <w:t>招标文件</w:t>
            </w:r>
            <w:r>
              <w:rPr>
                <w:rFonts w:hint="eastAsia" w:ascii="宋体" w:hAnsi="宋体" w:eastAsia="宋体" w:cs="宋体"/>
                <w:color w:val="auto"/>
                <w:spacing w:val="-6"/>
                <w:sz w:val="21"/>
                <w:szCs w:val="21"/>
                <w:highlight w:val="none"/>
              </w:rPr>
              <w:t>的各个组成文件应互为解释，互为说明；如有不明确或不一致，构成合同文件组成内容的，以合同文件约定内容为准，且以专用合同条款约定的合同文件优先顺序解释；除</w:t>
            </w:r>
            <w:r>
              <w:rPr>
                <w:rFonts w:hint="eastAsia" w:hAnsi="宋体" w:cs="宋体"/>
                <w:color w:val="auto"/>
                <w:spacing w:val="-6"/>
                <w:sz w:val="21"/>
                <w:szCs w:val="21"/>
                <w:highlight w:val="none"/>
                <w:lang w:eastAsia="zh-CN"/>
              </w:rPr>
              <w:t>招标文件</w:t>
            </w:r>
            <w:r>
              <w:rPr>
                <w:rFonts w:hint="eastAsia" w:ascii="宋体" w:hAnsi="宋体" w:eastAsia="宋体" w:cs="宋体"/>
                <w:color w:val="auto"/>
                <w:spacing w:val="-6"/>
                <w:sz w:val="21"/>
                <w:szCs w:val="21"/>
                <w:highlight w:val="none"/>
              </w:rPr>
              <w:t>中有特别规定外，仅适用于采购投标阶段的规定，按招标公告（投标邀请书）、</w:t>
            </w:r>
            <w:r>
              <w:rPr>
                <w:rFonts w:hint="eastAsia" w:ascii="宋体" w:hAnsi="宋体" w:eastAsia="宋体" w:cs="宋体"/>
                <w:color w:val="auto"/>
                <w:spacing w:val="-6"/>
                <w:sz w:val="21"/>
                <w:szCs w:val="21"/>
                <w:highlight w:val="none"/>
                <w:lang w:eastAsia="zh-CN"/>
              </w:rPr>
              <w:t>供应商</w:t>
            </w:r>
            <w:r>
              <w:rPr>
                <w:rFonts w:hint="eastAsia" w:ascii="宋体" w:hAnsi="宋体" w:eastAsia="宋体" w:cs="宋体"/>
                <w:color w:val="auto"/>
                <w:spacing w:val="-6"/>
                <w:sz w:val="21"/>
                <w:szCs w:val="21"/>
                <w:highlight w:val="none"/>
              </w:rPr>
              <w:t>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886"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8</w:t>
            </w:r>
          </w:p>
        </w:tc>
        <w:tc>
          <w:tcPr>
            <w:tcW w:w="10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重大违法记录</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highlight w:val="none"/>
                <w:lang w:val="en-US" w:eastAsia="zh-CN"/>
              </w:rPr>
              <w:t>是指服务商因违法经营受到刑事处罚或者责令停产停业、吊销许可证或者营业执照、较大数额罚款等行政处罚。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807" w:hRule="atLeast"/>
          <w:jc w:val="center"/>
        </w:trPr>
        <w:tc>
          <w:tcPr>
            <w:tcW w:w="436"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9</w:t>
            </w:r>
          </w:p>
        </w:tc>
        <w:tc>
          <w:tcPr>
            <w:tcW w:w="1050" w:type="dxa"/>
            <w:tcBorders>
              <w:top w:val="single" w:color="auto" w:sz="4" w:space="0"/>
              <w:left w:val="single" w:color="auto" w:sz="4" w:space="0"/>
              <w:bottom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实质性要求</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招标文件</w:t>
            </w:r>
            <w:r>
              <w:rPr>
                <w:rFonts w:hint="eastAsia" w:ascii="宋体" w:hAnsi="宋体" w:eastAsia="宋体" w:cs="宋体"/>
                <w:color w:val="auto"/>
                <w:sz w:val="21"/>
                <w:szCs w:val="21"/>
                <w:highlight w:val="none"/>
              </w:rPr>
              <w:t>中</w:t>
            </w:r>
            <w:r>
              <w:rPr>
                <w:rFonts w:hint="eastAsia" w:ascii="宋体" w:hAnsi="宋体" w:eastAsia="宋体" w:cs="宋体"/>
                <w:color w:val="auto"/>
                <w:sz w:val="21"/>
                <w:szCs w:val="21"/>
                <w:highlight w:val="none"/>
                <w:lang w:val="en-US" w:eastAsia="zh-CN"/>
              </w:rPr>
              <w:t>标“</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为</w:t>
            </w:r>
            <w:r>
              <w:rPr>
                <w:rFonts w:hint="eastAsia" w:ascii="宋体" w:hAnsi="宋体" w:eastAsia="宋体" w:cs="宋体"/>
                <w:color w:val="auto"/>
                <w:sz w:val="21"/>
                <w:szCs w:val="21"/>
                <w:highlight w:val="none"/>
              </w:rPr>
              <w:t>实质性要求和条件</w:t>
            </w:r>
            <w:r>
              <w:rPr>
                <w:rFonts w:hint="eastAsia" w:ascii="宋体" w:hAnsi="宋体" w:eastAsia="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16" w:type="dxa"/>
          <w:cantSplit/>
          <w:trHeight w:val="8459" w:hRule="exact"/>
          <w:jc w:val="center"/>
        </w:trPr>
        <w:tc>
          <w:tcPr>
            <w:tcW w:w="436" w:type="dxa"/>
            <w:tcBorders>
              <w:top w:val="single" w:color="auto" w:sz="4" w:space="0"/>
              <w:left w:val="single" w:color="auto" w:sz="4" w:space="0"/>
              <w:right w:val="single" w:color="auto" w:sz="4" w:space="0"/>
            </w:tcBorders>
            <w:noWrap/>
            <w:vAlign w:val="center"/>
          </w:tcPr>
          <w:p>
            <w:pPr>
              <w:pStyle w:val="25"/>
              <w:spacing w:line="360" w:lineRule="exact"/>
              <w:jc w:val="center"/>
              <w:rPr>
                <w:rFonts w:hint="default" w:ascii="宋体" w:hAnsi="宋体" w:eastAsia="宋体" w:cs="宋体"/>
                <w:color w:val="auto"/>
                <w:kern w:val="0"/>
                <w:sz w:val="21"/>
                <w:szCs w:val="21"/>
                <w:highlight w:val="none"/>
                <w:lang w:val="en-US" w:eastAsia="zh-CN"/>
              </w:rPr>
            </w:pPr>
            <w:r>
              <w:rPr>
                <w:rFonts w:hint="eastAsia" w:hAnsi="宋体" w:cs="宋体"/>
                <w:color w:val="auto"/>
                <w:kern w:val="0"/>
                <w:sz w:val="21"/>
                <w:szCs w:val="21"/>
                <w:highlight w:val="none"/>
                <w:lang w:val="en-US" w:eastAsia="zh-CN"/>
              </w:rPr>
              <w:t>10</w:t>
            </w:r>
          </w:p>
        </w:tc>
        <w:tc>
          <w:tcPr>
            <w:tcW w:w="1050" w:type="dxa"/>
            <w:tcBorders>
              <w:top w:val="single" w:color="auto" w:sz="4" w:space="0"/>
              <w:left w:val="single" w:color="auto" w:sz="4" w:space="0"/>
              <w:right w:val="single" w:color="auto" w:sz="4" w:space="0"/>
            </w:tcBorders>
            <w:noWrap/>
            <w:vAlign w:val="center"/>
          </w:tcPr>
          <w:p>
            <w:pPr>
              <w:pStyle w:val="25"/>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其他</w:t>
            </w:r>
          </w:p>
        </w:tc>
        <w:tc>
          <w:tcPr>
            <w:tcW w:w="8915" w:type="dxa"/>
            <w:gridSpan w:val="9"/>
            <w:tcBorders>
              <w:top w:val="single" w:color="auto" w:sz="4" w:space="0"/>
              <w:left w:val="single" w:color="auto" w:sz="4" w:space="0"/>
              <w:bottom w:val="single" w:color="auto" w:sz="4" w:space="0"/>
              <w:right w:val="single" w:color="auto" w:sz="4" w:space="0"/>
            </w:tcBorders>
            <w:noWrap/>
            <w:vAlign w:val="center"/>
          </w:tcPr>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olor w:val="auto"/>
                <w:highlight w:val="none"/>
                <w:lang w:val="en-US" w:eastAsia="zh-CN"/>
              </w:rPr>
            </w:pPr>
            <w:bookmarkStart w:id="166" w:name="OLE_LINK9"/>
            <w:r>
              <w:rPr>
                <w:rFonts w:hint="eastAsia"/>
                <w:color w:val="auto"/>
                <w:highlight w:val="none"/>
                <w:lang w:val="en-US" w:eastAsia="zh-CN"/>
              </w:rPr>
              <w:t>①采购人和采购代理机构需要在曲靖市公共资源交易中心现场组织开标会议；供应商应根据招标文件要求，以远程解密方式参与开标，非必要不到现场，并在规定的时间内完成网上智能开标远程解密。本项目无需供应商到现场提交纸质文件，也无需提交公司相关证书原件。各供应商对上传的相关证件及证明资料真实性负责（确保上传的相关资料清晰可辨，如评审过程中，评标委员会无法辨别影响评审的，责任由供应商自行承担），如发现提供虚假材料的，一经查实取消投标资格，并依据相关法律、法规进行处罚。</w:t>
            </w:r>
          </w:p>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olor w:val="auto"/>
                <w:highlight w:val="none"/>
                <w:lang w:val="en-US" w:eastAsia="zh-CN"/>
              </w:rPr>
            </w:pPr>
            <w:r>
              <w:rPr>
                <w:rFonts w:hint="eastAsia"/>
                <w:color w:val="auto"/>
                <w:highlight w:val="none"/>
                <w:lang w:val="en-US" w:eastAsia="zh-CN"/>
              </w:rPr>
              <w:t>②采购代理机构将依托电子交易平台发起开始解密指令，供应商的法定代表人或其委托代理人须携带加密时所用的CA锁按平台提示和招标文件的规定登录到“政府采购云平台”电子开标大厅签到并在发起解密指令之时对电子投标文件在线解密，解密时间30分钟。投标文件未按时解密的，视为投标文件无效。</w:t>
            </w:r>
          </w:p>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olor w:val="auto"/>
                <w:highlight w:val="none"/>
                <w:lang w:val="en-US" w:eastAsia="zh-CN"/>
              </w:rPr>
            </w:pPr>
            <w:r>
              <w:rPr>
                <w:rFonts w:hint="eastAsia"/>
                <w:color w:val="auto"/>
                <w:highlight w:val="none"/>
                <w:lang w:val="en-US" w:eastAsia="zh-CN"/>
              </w:rPr>
              <w:t>③供应商应当在投标文件提交截止时间前完成电子投标文件的上传、提交，投标文件提交截止时间前可以补充、修改或者撤回。补充或者修改的，应当先行撤回原文件，补充、修改后重新上传。投标文件提交截止时间前未完成上传的，视为撤回投标文件。投标文件提交截止时间以后上传提交的，视为无效。供应商上传的投标文件须完整（含封面至尾页）。</w:t>
            </w:r>
          </w:p>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olor w:val="auto"/>
                <w:highlight w:val="none"/>
                <w:lang w:val="en-US" w:eastAsia="zh-CN"/>
              </w:rPr>
            </w:pPr>
            <w:r>
              <w:rPr>
                <w:rFonts w:hint="eastAsia"/>
                <w:color w:val="auto"/>
                <w:highlight w:val="none"/>
                <w:lang w:val="en-US" w:eastAsia="zh-CN"/>
              </w:rPr>
              <w:t>④通过资格审查、符合性审查的供应商，方可参与详细评审。</w:t>
            </w:r>
          </w:p>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olor w:val="auto"/>
                <w:highlight w:val="none"/>
                <w:lang w:val="en-US" w:eastAsia="zh-CN"/>
              </w:rPr>
            </w:pPr>
            <w:r>
              <w:rPr>
                <w:rFonts w:hint="eastAsia"/>
                <w:color w:val="auto"/>
                <w:highlight w:val="none"/>
                <w:lang w:val="en-US" w:eastAsia="zh-CN"/>
              </w:rPr>
              <w:t>⑤供应商须提前在自有场地配置有音视频通话（带摄像头及话筒的电脑）功能的相应设备及稳定网络的环境，并按政府采购云平台开标大厅中的提示完成采购活动。</w:t>
            </w:r>
          </w:p>
          <w:p>
            <w:pPr>
              <w:pStyle w:val="25"/>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olor w:val="auto"/>
                <w:highlight w:val="none"/>
                <w:lang w:val="en-US" w:eastAsia="zh-CN"/>
              </w:rPr>
            </w:pPr>
            <w:r>
              <w:rPr>
                <w:rFonts w:hint="eastAsia"/>
                <w:color w:val="auto"/>
                <w:highlight w:val="none"/>
                <w:lang w:val="en-US" w:eastAsia="zh-CN"/>
              </w:rPr>
              <w:t>⑥为分散食材供应履约风险，保障学校食品安全稳定供应，本项目采取兼投不兼中的原则，即满足资格条件的供应商均可对所有标段进行报名，但是，对于相同品类的标段，限制中标数量。其中一、二标段（大米类）一家供应商只允许中标1个标段，三、四标段（食用油、鸡蛋类）一家供应商只允许中标1个标段，五至八标段（猪肉类）一家供应商允许中标2个标段，评审时评审专家按标段顺序开始评审，若供应商已在同一品类的前一个标段或前两个标段中标，则不再参与该品类后面标段的评审。</w:t>
            </w:r>
            <w:bookmarkEnd w:id="166"/>
          </w:p>
        </w:tc>
      </w:tr>
    </w:tbl>
    <w:p>
      <w:pPr>
        <w:pStyle w:val="4"/>
        <w:numPr>
          <w:ilvl w:val="1"/>
          <w:numId w:val="0"/>
        </w:numPr>
        <w:jc w:val="center"/>
        <w:rPr>
          <w:rFonts w:hint="eastAsia" w:asciiTheme="minorEastAsia" w:hAnsiTheme="minorEastAsia" w:eastAsiaTheme="minorEastAsia" w:cstheme="minorEastAsia"/>
          <w:color w:val="auto"/>
          <w:kern w:val="0"/>
          <w:sz w:val="30"/>
          <w:szCs w:val="30"/>
          <w:highlight w:val="none"/>
          <w:lang w:eastAsia="zh-CN"/>
        </w:rPr>
      </w:pPr>
      <w:bookmarkStart w:id="167" w:name="_Toc9075"/>
      <w:bookmarkStart w:id="168" w:name="_Toc8070"/>
      <w:bookmarkStart w:id="169" w:name="_Toc6237"/>
      <w:r>
        <w:rPr>
          <w:rFonts w:hint="eastAsia" w:asciiTheme="minorEastAsia" w:hAnsiTheme="minorEastAsia" w:eastAsiaTheme="minorEastAsia" w:cstheme="minorEastAsia"/>
          <w:b/>
          <w:color w:val="auto"/>
          <w:kern w:val="0"/>
          <w:sz w:val="30"/>
          <w:szCs w:val="30"/>
          <w:highlight w:val="none"/>
          <w:lang w:val="en-US" w:eastAsia="zh-CN" w:bidi="ar-SA"/>
        </w:rPr>
        <w:t>二、供应商须知</w:t>
      </w:r>
      <w:bookmarkEnd w:id="167"/>
      <w:bookmarkEnd w:id="168"/>
      <w:bookmarkEnd w:id="169"/>
    </w:p>
    <w:p>
      <w:pPr>
        <w:numPr>
          <w:ilvl w:val="0"/>
          <w:numId w:val="0"/>
        </w:num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color w:val="auto"/>
          <w:kern w:val="0"/>
          <w:sz w:val="30"/>
          <w:szCs w:val="30"/>
          <w:highlight w:val="none"/>
          <w:lang w:val="en-US" w:eastAsia="zh-CN" w:bidi="ar-SA"/>
        </w:rPr>
        <w:t>（一）总则</w:t>
      </w:r>
    </w:p>
    <w:p>
      <w:pPr>
        <w:pStyle w:val="25"/>
        <w:keepNext w:val="0"/>
        <w:keepLines w:val="0"/>
        <w:pageBreakBefore w:val="0"/>
        <w:widowControl w:val="0"/>
        <w:kinsoku/>
        <w:wordWrap/>
        <w:overflowPunct/>
        <w:topLinePunct w:val="0"/>
        <w:autoSpaceDE/>
        <w:autoSpaceDN/>
        <w:bidi w:val="0"/>
        <w:adjustRightInd/>
        <w:snapToGrid/>
        <w:spacing w:line="360" w:lineRule="auto"/>
        <w:ind w:left="242" w:hanging="243" w:hangingChars="101"/>
        <w:jc w:val="left"/>
        <w:textAlignment w:val="auto"/>
        <w:rPr>
          <w:rFonts w:hint="eastAsia" w:asciiTheme="minorEastAsia" w:hAnsiTheme="minorEastAsia" w:eastAsiaTheme="minorEastAsia" w:cstheme="minorEastAsia"/>
          <w:color w:val="auto"/>
          <w:spacing w:val="-6"/>
          <w:kern w:val="0"/>
          <w:sz w:val="24"/>
          <w:highlight w:val="none"/>
          <w:lang w:val="en-US" w:eastAsia="zh-CN"/>
        </w:rPr>
      </w:pPr>
      <w:r>
        <w:rPr>
          <w:rFonts w:hint="eastAsia" w:asciiTheme="minorEastAsia" w:hAnsiTheme="minorEastAsia" w:eastAsiaTheme="minorEastAsia" w:cstheme="minorEastAsia"/>
          <w:b/>
          <w:bCs w:val="0"/>
          <w:color w:val="auto"/>
          <w:kern w:val="0"/>
          <w:sz w:val="24"/>
          <w:highlight w:val="none"/>
        </w:rPr>
        <w:t>1.</w:t>
      </w:r>
      <w:r>
        <w:rPr>
          <w:rFonts w:hint="eastAsia" w:asciiTheme="minorEastAsia" w:hAnsiTheme="minorEastAsia" w:eastAsiaTheme="minorEastAsia" w:cstheme="minorEastAsia"/>
          <w:b/>
          <w:bCs w:val="0"/>
          <w:color w:val="auto"/>
          <w:spacing w:val="-6"/>
          <w:kern w:val="0"/>
          <w:sz w:val="24"/>
          <w:highlight w:val="none"/>
        </w:rPr>
        <w:t>采购人、</w:t>
      </w:r>
      <w:r>
        <w:rPr>
          <w:rFonts w:hint="eastAsia" w:asciiTheme="minorEastAsia" w:hAnsiTheme="minorEastAsia" w:eastAsiaTheme="minorEastAsia" w:cstheme="minorEastAsia"/>
          <w:b/>
          <w:bCs w:val="0"/>
          <w:color w:val="auto"/>
          <w:spacing w:val="-6"/>
          <w:kern w:val="0"/>
          <w:sz w:val="24"/>
          <w:highlight w:val="none"/>
          <w:lang w:val="en-US" w:eastAsia="zh-CN"/>
        </w:rPr>
        <w:t>采购</w:t>
      </w:r>
      <w:r>
        <w:rPr>
          <w:rFonts w:hint="eastAsia" w:asciiTheme="minorEastAsia" w:hAnsiTheme="minorEastAsia" w:eastAsiaTheme="minorEastAsia" w:cstheme="minorEastAsia"/>
          <w:b/>
          <w:bCs w:val="0"/>
          <w:color w:val="auto"/>
          <w:spacing w:val="-6"/>
          <w:kern w:val="0"/>
          <w:sz w:val="24"/>
          <w:highlight w:val="none"/>
          <w:lang w:eastAsia="zh-CN"/>
        </w:rPr>
        <w:t>代理机构：</w:t>
      </w:r>
      <w:bookmarkStart w:id="170" w:name="OLE_LINK17"/>
      <w:r>
        <w:rPr>
          <w:rFonts w:hint="eastAsia" w:asciiTheme="minorEastAsia" w:hAnsiTheme="minorEastAsia" w:eastAsiaTheme="minorEastAsia" w:cstheme="minorEastAsia"/>
          <w:color w:val="auto"/>
          <w:spacing w:val="-6"/>
          <w:kern w:val="0"/>
          <w:sz w:val="24"/>
          <w:highlight w:val="none"/>
        </w:rPr>
        <w:t>详见</w:t>
      </w:r>
      <w:r>
        <w:rPr>
          <w:rFonts w:hint="eastAsia" w:asciiTheme="minorEastAsia" w:hAnsiTheme="minorEastAsia" w:eastAsiaTheme="minorEastAsia" w:cstheme="minorEastAsia"/>
          <w:color w:val="auto"/>
          <w:spacing w:val="-6"/>
          <w:kern w:val="0"/>
          <w:sz w:val="24"/>
          <w:highlight w:val="none"/>
          <w:lang w:eastAsia="zh-CN"/>
        </w:rPr>
        <w:t>招标文件</w:t>
      </w:r>
      <w:r>
        <w:rPr>
          <w:rFonts w:hint="eastAsia" w:asciiTheme="minorEastAsia" w:hAnsiTheme="minorEastAsia" w:eastAsiaTheme="minorEastAsia" w:cstheme="minorEastAsia"/>
          <w:color w:val="auto"/>
          <w:spacing w:val="-6"/>
          <w:kern w:val="0"/>
          <w:sz w:val="24"/>
          <w:highlight w:val="none"/>
        </w:rPr>
        <w:t>“</w:t>
      </w:r>
      <w:r>
        <w:rPr>
          <w:rFonts w:hint="eastAsia" w:asciiTheme="minorEastAsia" w:hAnsiTheme="minorEastAsia" w:eastAsiaTheme="minorEastAsia" w:cstheme="minorEastAsia"/>
          <w:b w:val="0"/>
          <w:bCs/>
          <w:color w:val="auto"/>
          <w:spacing w:val="-6"/>
          <w:kern w:val="0"/>
          <w:sz w:val="24"/>
          <w:highlight w:val="none"/>
          <w:lang w:eastAsia="zh-CN"/>
        </w:rPr>
        <w:t>供应商</w:t>
      </w:r>
      <w:r>
        <w:rPr>
          <w:rFonts w:hint="eastAsia" w:asciiTheme="minorEastAsia" w:hAnsiTheme="minorEastAsia" w:eastAsiaTheme="minorEastAsia" w:cstheme="minorEastAsia"/>
          <w:b w:val="0"/>
          <w:bCs/>
          <w:color w:val="auto"/>
          <w:spacing w:val="-6"/>
          <w:kern w:val="0"/>
          <w:sz w:val="24"/>
          <w:highlight w:val="none"/>
        </w:rPr>
        <w:t>须知前附表”</w:t>
      </w:r>
      <w:r>
        <w:rPr>
          <w:rFonts w:hint="eastAsia" w:asciiTheme="minorEastAsia" w:hAnsiTheme="minorEastAsia" w:eastAsiaTheme="minorEastAsia" w:cstheme="minorEastAsia"/>
          <w:color w:val="auto"/>
          <w:spacing w:val="-6"/>
          <w:kern w:val="0"/>
          <w:sz w:val="24"/>
          <w:highlight w:val="none"/>
        </w:rPr>
        <w:t>。</w:t>
      </w:r>
      <w:bookmarkEnd w:id="170"/>
      <w:r>
        <w:rPr>
          <w:rFonts w:hint="eastAsia" w:asciiTheme="minorEastAsia" w:hAnsiTheme="minorEastAsia" w:eastAsiaTheme="minorEastAsia" w:cstheme="minorEastAsia"/>
          <w:color w:val="auto"/>
          <w:spacing w:val="-6"/>
          <w:kern w:val="0"/>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lang w:val="en-US" w:eastAsia="zh-CN"/>
        </w:rPr>
      </w:pPr>
      <w:r>
        <w:rPr>
          <w:rFonts w:hint="eastAsia" w:asciiTheme="minorEastAsia" w:hAnsiTheme="minorEastAsia" w:eastAsiaTheme="minorEastAsia" w:cstheme="minorEastAsia"/>
          <w:b/>
          <w:bCs w:val="0"/>
          <w:color w:val="auto"/>
          <w:spacing w:val="-6"/>
          <w:kern w:val="0"/>
          <w:sz w:val="24"/>
          <w:highlight w:val="none"/>
          <w:lang w:val="en-US" w:eastAsia="zh-CN"/>
        </w:rPr>
        <w:t>2.</w:t>
      </w:r>
      <w:r>
        <w:rPr>
          <w:rFonts w:hint="eastAsia" w:asciiTheme="minorEastAsia" w:hAnsiTheme="minorEastAsia" w:eastAsiaTheme="minorEastAsia" w:cstheme="minorEastAsia"/>
          <w:b/>
          <w:bCs w:val="0"/>
          <w:color w:val="auto"/>
          <w:spacing w:val="-11"/>
          <w:kern w:val="0"/>
          <w:sz w:val="24"/>
          <w:highlight w:val="none"/>
          <w:lang w:eastAsia="zh-CN"/>
        </w:rPr>
        <w:t>项目</w:t>
      </w:r>
      <w:r>
        <w:rPr>
          <w:rFonts w:hint="eastAsia" w:asciiTheme="minorEastAsia" w:hAnsiTheme="minorEastAsia" w:eastAsiaTheme="minorEastAsia" w:cstheme="minorEastAsia"/>
          <w:b/>
          <w:bCs w:val="0"/>
          <w:color w:val="auto"/>
          <w:spacing w:val="-11"/>
          <w:kern w:val="0"/>
          <w:sz w:val="24"/>
          <w:highlight w:val="none"/>
        </w:rPr>
        <w:t>名称及项目</w:t>
      </w:r>
      <w:r>
        <w:rPr>
          <w:rFonts w:hint="eastAsia" w:asciiTheme="minorEastAsia" w:hAnsiTheme="minorEastAsia" w:eastAsiaTheme="minorEastAsia" w:cstheme="minorEastAsia"/>
          <w:b/>
          <w:bCs w:val="0"/>
          <w:color w:val="auto"/>
          <w:spacing w:val="-11"/>
          <w:kern w:val="0"/>
          <w:sz w:val="24"/>
          <w:highlight w:val="none"/>
          <w:lang w:val="en-US" w:eastAsia="zh-CN"/>
        </w:rPr>
        <w:t>标段</w:t>
      </w:r>
      <w:r>
        <w:rPr>
          <w:rFonts w:hint="eastAsia" w:asciiTheme="minorEastAsia" w:hAnsiTheme="minorEastAsia" w:eastAsiaTheme="minorEastAsia" w:cstheme="minorEastAsia"/>
          <w:b/>
          <w:bCs w:val="0"/>
          <w:color w:val="auto"/>
          <w:spacing w:val="-11"/>
          <w:kern w:val="0"/>
          <w:sz w:val="24"/>
          <w:highlight w:val="none"/>
          <w:lang w:eastAsia="zh-CN"/>
        </w:rPr>
        <w:t>编号</w:t>
      </w:r>
      <w:r>
        <w:rPr>
          <w:rFonts w:hint="eastAsia" w:asciiTheme="minorEastAsia" w:hAnsiTheme="minorEastAsia" w:eastAsiaTheme="minorEastAsia" w:cstheme="minorEastAsia"/>
          <w:color w:val="auto"/>
          <w:spacing w:val="-11"/>
          <w:kern w:val="0"/>
          <w:sz w:val="24"/>
          <w:highlight w:val="none"/>
          <w:lang w:eastAsia="zh-CN"/>
        </w:rPr>
        <w:t>：</w:t>
      </w:r>
      <w:r>
        <w:rPr>
          <w:rFonts w:hint="eastAsia" w:asciiTheme="minorEastAsia" w:hAnsiTheme="minorEastAsia" w:eastAsiaTheme="minorEastAsia" w:cstheme="minorEastAsia"/>
          <w:color w:val="auto"/>
          <w:spacing w:val="-6"/>
          <w:kern w:val="0"/>
          <w:sz w:val="24"/>
          <w:highlight w:val="none"/>
        </w:rPr>
        <w:t>详见</w:t>
      </w:r>
      <w:r>
        <w:rPr>
          <w:rFonts w:hint="eastAsia" w:asciiTheme="minorEastAsia" w:hAnsiTheme="minorEastAsia" w:eastAsiaTheme="minorEastAsia" w:cstheme="minorEastAsia"/>
          <w:color w:val="auto"/>
          <w:spacing w:val="-6"/>
          <w:kern w:val="0"/>
          <w:sz w:val="24"/>
          <w:highlight w:val="none"/>
          <w:lang w:eastAsia="zh-CN"/>
        </w:rPr>
        <w:t>招标文件</w:t>
      </w:r>
      <w:r>
        <w:rPr>
          <w:rFonts w:hint="eastAsia" w:asciiTheme="minorEastAsia" w:hAnsiTheme="minorEastAsia" w:eastAsiaTheme="minorEastAsia" w:cstheme="minorEastAsia"/>
          <w:color w:val="auto"/>
          <w:spacing w:val="-6"/>
          <w:kern w:val="0"/>
          <w:sz w:val="24"/>
          <w:highlight w:val="none"/>
        </w:rPr>
        <w:t>“</w:t>
      </w:r>
      <w:r>
        <w:rPr>
          <w:rFonts w:hint="eastAsia" w:asciiTheme="minorEastAsia" w:hAnsiTheme="minorEastAsia" w:eastAsiaTheme="minorEastAsia" w:cstheme="minorEastAsia"/>
          <w:b w:val="0"/>
          <w:bCs/>
          <w:color w:val="auto"/>
          <w:spacing w:val="-6"/>
          <w:kern w:val="0"/>
          <w:sz w:val="24"/>
          <w:highlight w:val="none"/>
          <w:lang w:eastAsia="zh-CN"/>
        </w:rPr>
        <w:t>供应商</w:t>
      </w:r>
      <w:r>
        <w:rPr>
          <w:rFonts w:hint="eastAsia" w:asciiTheme="minorEastAsia" w:hAnsiTheme="minorEastAsia" w:eastAsiaTheme="minorEastAsia" w:cstheme="minorEastAsia"/>
          <w:b w:val="0"/>
          <w:bCs/>
          <w:color w:val="auto"/>
          <w:spacing w:val="-6"/>
          <w:kern w:val="0"/>
          <w:sz w:val="24"/>
          <w:highlight w:val="none"/>
        </w:rPr>
        <w:t>须知前附表”</w:t>
      </w:r>
      <w:r>
        <w:rPr>
          <w:rFonts w:hint="eastAsia" w:asciiTheme="minorEastAsia" w:hAnsiTheme="minorEastAsia" w:eastAsiaTheme="minorEastAsia" w:cstheme="minorEastAsia"/>
          <w:color w:val="auto"/>
          <w:spacing w:val="-6"/>
          <w:kern w:val="0"/>
          <w:sz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lang w:val="en-US" w:eastAsia="zh-CN"/>
        </w:rPr>
        <w:t>3</w:t>
      </w:r>
      <w:r>
        <w:rPr>
          <w:rFonts w:hint="eastAsia" w:asciiTheme="minorEastAsia" w:hAnsiTheme="minorEastAsia" w:eastAsiaTheme="minorEastAsia" w:cstheme="minorEastAsia"/>
          <w:b/>
          <w:color w:val="auto"/>
          <w:kern w:val="0"/>
          <w:sz w:val="24"/>
          <w:highlight w:val="none"/>
        </w:rPr>
        <w:t>.</w:t>
      </w:r>
      <w:r>
        <w:rPr>
          <w:rFonts w:hint="eastAsia" w:asciiTheme="minorEastAsia" w:hAnsiTheme="minorEastAsia" w:eastAsiaTheme="minorEastAsia" w:cstheme="minorEastAsia"/>
          <w:b/>
          <w:bCs w:val="0"/>
          <w:color w:val="auto"/>
          <w:spacing w:val="-11"/>
          <w:kern w:val="0"/>
          <w:sz w:val="24"/>
          <w:highlight w:val="none"/>
          <w:lang w:val="en-US" w:eastAsia="zh-CN"/>
        </w:rPr>
        <w:t>采购方式</w:t>
      </w:r>
      <w:r>
        <w:rPr>
          <w:rFonts w:hint="eastAsia" w:asciiTheme="minorEastAsia" w:hAnsiTheme="minorEastAsia" w:eastAsiaTheme="minorEastAsia" w:cstheme="minorEastAsia"/>
          <w:color w:val="auto"/>
          <w:spacing w:val="-11"/>
          <w:kern w:val="0"/>
          <w:sz w:val="24"/>
          <w:highlight w:val="none"/>
          <w:lang w:eastAsia="zh-CN"/>
        </w:rPr>
        <w:t>：</w:t>
      </w:r>
      <w:r>
        <w:rPr>
          <w:rFonts w:hint="eastAsia" w:asciiTheme="minorEastAsia" w:hAnsiTheme="minorEastAsia" w:eastAsiaTheme="minorEastAsia" w:cstheme="minorEastAsia"/>
          <w:color w:val="auto"/>
          <w:spacing w:val="-6"/>
          <w:kern w:val="0"/>
          <w:sz w:val="24"/>
          <w:highlight w:val="none"/>
        </w:rPr>
        <w:t>详见</w:t>
      </w:r>
      <w:r>
        <w:rPr>
          <w:rFonts w:hint="eastAsia" w:asciiTheme="minorEastAsia" w:hAnsiTheme="minorEastAsia" w:eastAsiaTheme="minorEastAsia" w:cstheme="minorEastAsia"/>
          <w:color w:val="auto"/>
          <w:spacing w:val="-6"/>
          <w:kern w:val="0"/>
          <w:sz w:val="24"/>
          <w:highlight w:val="none"/>
          <w:lang w:eastAsia="zh-CN"/>
        </w:rPr>
        <w:t>招标文件</w:t>
      </w:r>
      <w:r>
        <w:rPr>
          <w:rFonts w:hint="eastAsia" w:asciiTheme="minorEastAsia" w:hAnsiTheme="minorEastAsia" w:eastAsiaTheme="minorEastAsia" w:cstheme="minorEastAsia"/>
          <w:color w:val="auto"/>
          <w:spacing w:val="-6"/>
          <w:kern w:val="0"/>
          <w:sz w:val="24"/>
          <w:highlight w:val="none"/>
        </w:rPr>
        <w:t>“</w:t>
      </w:r>
      <w:r>
        <w:rPr>
          <w:rFonts w:hint="eastAsia" w:asciiTheme="minorEastAsia" w:hAnsiTheme="minorEastAsia" w:eastAsiaTheme="minorEastAsia" w:cstheme="minorEastAsia"/>
          <w:b w:val="0"/>
          <w:bCs/>
          <w:color w:val="auto"/>
          <w:spacing w:val="-6"/>
          <w:kern w:val="0"/>
          <w:sz w:val="24"/>
          <w:highlight w:val="none"/>
          <w:lang w:eastAsia="zh-CN"/>
        </w:rPr>
        <w:t>供应商</w:t>
      </w:r>
      <w:r>
        <w:rPr>
          <w:rFonts w:hint="eastAsia" w:asciiTheme="minorEastAsia" w:hAnsiTheme="minorEastAsia" w:eastAsiaTheme="minorEastAsia" w:cstheme="minorEastAsia"/>
          <w:b w:val="0"/>
          <w:bCs/>
          <w:color w:val="auto"/>
          <w:spacing w:val="-6"/>
          <w:kern w:val="0"/>
          <w:sz w:val="24"/>
          <w:highlight w:val="none"/>
        </w:rPr>
        <w:t>须知前附表”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color w:val="auto"/>
          <w:kern w:val="0"/>
          <w:sz w:val="24"/>
          <w:highlight w:val="none"/>
        </w:rPr>
      </w:pPr>
      <w:r>
        <w:rPr>
          <w:rFonts w:hint="eastAsia" w:asciiTheme="minorEastAsia" w:hAnsiTheme="minorEastAsia" w:eastAsiaTheme="minorEastAsia" w:cstheme="minorEastAsia"/>
          <w:b/>
          <w:bCs w:val="0"/>
          <w:color w:val="auto"/>
          <w:spacing w:val="-11"/>
          <w:kern w:val="0"/>
          <w:sz w:val="24"/>
          <w:highlight w:val="none"/>
          <w:lang w:val="en-US" w:eastAsia="zh-CN"/>
        </w:rPr>
        <w:t>4.资金来源</w:t>
      </w:r>
      <w:r>
        <w:rPr>
          <w:rFonts w:hint="eastAsia" w:asciiTheme="minorEastAsia" w:hAnsiTheme="minorEastAsia" w:eastAsiaTheme="minorEastAsia" w:cstheme="minorEastAsia"/>
          <w:b/>
          <w:color w:val="auto"/>
          <w:kern w:val="0"/>
          <w:sz w:val="24"/>
          <w:highlight w:val="none"/>
          <w:lang w:val="en-US" w:eastAsia="zh-CN"/>
        </w:rPr>
        <w:t>、预算金额：</w:t>
      </w:r>
      <w:r>
        <w:rPr>
          <w:rFonts w:hint="eastAsia" w:asciiTheme="minorEastAsia" w:hAnsiTheme="minorEastAsia" w:eastAsiaTheme="minorEastAsia" w:cstheme="minorEastAsia"/>
          <w:color w:val="auto"/>
          <w:kern w:val="0"/>
          <w:sz w:val="24"/>
          <w:highlight w:val="none"/>
        </w:rPr>
        <w:t>详见</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b w:val="0"/>
          <w:bCs w:val="0"/>
          <w:color w:val="auto"/>
          <w:kern w:val="0"/>
          <w:sz w:val="24"/>
          <w:highlight w:val="none"/>
        </w:rPr>
        <w:t>“</w:t>
      </w:r>
      <w:r>
        <w:rPr>
          <w:rFonts w:hint="eastAsia" w:asciiTheme="minorEastAsia" w:hAnsiTheme="minorEastAsia" w:eastAsiaTheme="minorEastAsia" w:cstheme="minorEastAsia"/>
          <w:b w:val="0"/>
          <w:bCs w:val="0"/>
          <w:color w:val="auto"/>
          <w:kern w:val="0"/>
          <w:sz w:val="24"/>
          <w:highlight w:val="none"/>
          <w:lang w:eastAsia="zh-CN"/>
        </w:rPr>
        <w:t>供应商</w:t>
      </w:r>
      <w:r>
        <w:rPr>
          <w:rFonts w:hint="eastAsia" w:asciiTheme="minorEastAsia" w:hAnsiTheme="minorEastAsia" w:eastAsiaTheme="minorEastAsia" w:cstheme="minorEastAsia"/>
          <w:b w:val="0"/>
          <w:bCs w:val="0"/>
          <w:color w:val="auto"/>
          <w:kern w:val="0"/>
          <w:sz w:val="24"/>
          <w:highlight w:val="none"/>
        </w:rPr>
        <w:t>须知前附表”。</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b/>
          <w:color w:val="auto"/>
          <w:kern w:val="0"/>
          <w:sz w:val="24"/>
          <w:highlight w:val="none"/>
          <w:lang w:val="en-US" w:eastAsia="zh-CN"/>
        </w:rPr>
        <w:t>5.</w:t>
      </w:r>
      <w:r>
        <w:rPr>
          <w:rFonts w:hint="eastAsia" w:asciiTheme="minorEastAsia" w:hAnsiTheme="minorEastAsia" w:eastAsiaTheme="minorEastAsia" w:cstheme="minorEastAsia"/>
          <w:b/>
          <w:color w:val="auto"/>
          <w:kern w:val="0"/>
          <w:sz w:val="24"/>
          <w:highlight w:val="none"/>
          <w:lang w:eastAsia="zh-CN"/>
        </w:rPr>
        <w:t>采购</w:t>
      </w:r>
      <w:r>
        <w:rPr>
          <w:rFonts w:hint="eastAsia" w:asciiTheme="minorEastAsia" w:hAnsiTheme="minorEastAsia" w:eastAsiaTheme="minorEastAsia" w:cstheme="minorEastAsia"/>
          <w:b/>
          <w:color w:val="auto"/>
          <w:kern w:val="0"/>
          <w:sz w:val="24"/>
          <w:highlight w:val="none"/>
          <w:lang w:val="en-US" w:eastAsia="zh-CN"/>
        </w:rPr>
        <w:t>内容</w:t>
      </w:r>
      <w:r>
        <w:rPr>
          <w:rFonts w:hint="eastAsia" w:asciiTheme="minorEastAsia" w:hAnsiTheme="minorEastAsia" w:eastAsiaTheme="minorEastAsia" w:cstheme="minorEastAsia"/>
          <w:b/>
          <w:color w:val="auto"/>
          <w:kern w:val="0"/>
          <w:sz w:val="24"/>
          <w:highlight w:val="none"/>
          <w:lang w:eastAsia="zh-CN"/>
        </w:rPr>
        <w:t>：</w:t>
      </w:r>
      <w:r>
        <w:rPr>
          <w:rFonts w:hint="eastAsia" w:asciiTheme="minorEastAsia" w:hAnsiTheme="minorEastAsia" w:eastAsiaTheme="minorEastAsia" w:cstheme="minorEastAsia"/>
          <w:color w:val="auto"/>
          <w:kern w:val="0"/>
          <w:sz w:val="24"/>
          <w:highlight w:val="none"/>
        </w:rPr>
        <w:t>详见</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b w:val="0"/>
          <w:bCs/>
          <w:color w:val="auto"/>
          <w:kern w:val="0"/>
          <w:sz w:val="24"/>
          <w:highlight w:val="none"/>
          <w:lang w:eastAsia="zh-CN"/>
        </w:rPr>
        <w:t>供应商</w:t>
      </w:r>
      <w:r>
        <w:rPr>
          <w:rFonts w:hint="eastAsia" w:asciiTheme="minorEastAsia" w:hAnsiTheme="minorEastAsia" w:eastAsiaTheme="minorEastAsia" w:cstheme="minorEastAsia"/>
          <w:b w:val="0"/>
          <w:bCs/>
          <w:color w:val="auto"/>
          <w:kern w:val="0"/>
          <w:sz w:val="24"/>
          <w:highlight w:val="none"/>
        </w:rPr>
        <w:t>须知前附表”</w:t>
      </w:r>
      <w:r>
        <w:rPr>
          <w:rFonts w:hint="eastAsia" w:asciiTheme="minorEastAsia" w:hAnsiTheme="minorEastAsia" w:eastAsiaTheme="minorEastAsia" w:cstheme="minorEastAsia"/>
          <w:color w:val="auto"/>
          <w:kern w:val="0"/>
          <w:sz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color w:val="auto"/>
          <w:kern w:val="0"/>
          <w:sz w:val="24"/>
          <w:highlight w:val="none"/>
        </w:rPr>
      </w:pPr>
      <w:r>
        <w:rPr>
          <w:rFonts w:hint="eastAsia" w:asciiTheme="minorEastAsia" w:hAnsiTheme="minorEastAsia" w:eastAsiaTheme="minorEastAsia" w:cstheme="minorEastAsia"/>
          <w:b/>
          <w:color w:val="auto"/>
          <w:kern w:val="0"/>
          <w:sz w:val="24"/>
          <w:highlight w:val="none"/>
          <w:lang w:val="en-US" w:eastAsia="zh-CN"/>
        </w:rPr>
        <w:t>6</w:t>
      </w:r>
      <w:r>
        <w:rPr>
          <w:rFonts w:hint="eastAsia" w:asciiTheme="minorEastAsia" w:hAnsiTheme="minorEastAsia" w:eastAsiaTheme="minorEastAsia" w:cstheme="minorEastAsia"/>
          <w:b/>
          <w:color w:val="auto"/>
          <w:kern w:val="0"/>
          <w:sz w:val="24"/>
          <w:highlight w:val="none"/>
        </w:rPr>
        <w:t>.</w:t>
      </w:r>
      <w:bookmarkStart w:id="171" w:name="OLE_LINK19"/>
      <w:r>
        <w:rPr>
          <w:rFonts w:hint="eastAsia" w:asciiTheme="minorEastAsia" w:hAnsiTheme="minorEastAsia" w:eastAsiaTheme="minorEastAsia" w:cstheme="minorEastAsia"/>
          <w:b/>
          <w:color w:val="auto"/>
          <w:kern w:val="0"/>
          <w:sz w:val="24"/>
          <w:highlight w:val="none"/>
          <w:lang w:val="en-US" w:eastAsia="zh-CN"/>
        </w:rPr>
        <w:t>合同履行期限（供货期限）：</w:t>
      </w:r>
      <w:r>
        <w:rPr>
          <w:rFonts w:hint="eastAsia" w:asciiTheme="minorEastAsia" w:hAnsiTheme="minorEastAsia" w:eastAsiaTheme="minorEastAsia" w:cstheme="minorEastAsia"/>
          <w:color w:val="auto"/>
          <w:kern w:val="0"/>
          <w:sz w:val="24"/>
          <w:highlight w:val="none"/>
        </w:rPr>
        <w:t>详见</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b w:val="0"/>
          <w:bCs w:val="0"/>
          <w:color w:val="auto"/>
          <w:kern w:val="0"/>
          <w:sz w:val="24"/>
          <w:highlight w:val="none"/>
        </w:rPr>
        <w:t>“</w:t>
      </w:r>
      <w:r>
        <w:rPr>
          <w:rFonts w:hint="eastAsia" w:asciiTheme="minorEastAsia" w:hAnsiTheme="minorEastAsia" w:eastAsiaTheme="minorEastAsia" w:cstheme="minorEastAsia"/>
          <w:b w:val="0"/>
          <w:bCs w:val="0"/>
          <w:color w:val="auto"/>
          <w:kern w:val="0"/>
          <w:sz w:val="24"/>
          <w:highlight w:val="none"/>
          <w:lang w:eastAsia="zh-CN"/>
        </w:rPr>
        <w:t>供应商</w:t>
      </w:r>
      <w:r>
        <w:rPr>
          <w:rFonts w:hint="eastAsia" w:asciiTheme="minorEastAsia" w:hAnsiTheme="minorEastAsia" w:eastAsiaTheme="minorEastAsia" w:cstheme="minorEastAsia"/>
          <w:b w:val="0"/>
          <w:bCs w:val="0"/>
          <w:color w:val="auto"/>
          <w:kern w:val="0"/>
          <w:sz w:val="24"/>
          <w:highlight w:val="none"/>
        </w:rPr>
        <w:t>须知前附表”。</w:t>
      </w:r>
      <w:bookmarkEnd w:id="171"/>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color w:val="auto"/>
          <w:kern w:val="0"/>
          <w:sz w:val="24"/>
          <w:highlight w:val="none"/>
        </w:rPr>
      </w:pPr>
      <w:r>
        <w:rPr>
          <w:rFonts w:hint="eastAsia" w:asciiTheme="minorEastAsia" w:hAnsiTheme="minorEastAsia" w:eastAsiaTheme="minorEastAsia" w:cstheme="minorEastAsia"/>
          <w:b/>
          <w:color w:val="auto"/>
          <w:kern w:val="0"/>
          <w:sz w:val="24"/>
          <w:highlight w:val="none"/>
          <w:lang w:val="en-US" w:eastAsia="zh-CN"/>
        </w:rPr>
        <w:t>7.质量标准：</w:t>
      </w:r>
      <w:bookmarkStart w:id="172" w:name="OLE_LINK18"/>
      <w:r>
        <w:rPr>
          <w:rFonts w:hint="eastAsia" w:asciiTheme="minorEastAsia" w:hAnsiTheme="minorEastAsia" w:eastAsiaTheme="minorEastAsia" w:cstheme="minorEastAsia"/>
          <w:color w:val="auto"/>
          <w:kern w:val="0"/>
          <w:sz w:val="24"/>
          <w:highlight w:val="none"/>
        </w:rPr>
        <w:t>详见</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b w:val="0"/>
          <w:bCs w:val="0"/>
          <w:color w:val="auto"/>
          <w:kern w:val="0"/>
          <w:sz w:val="24"/>
          <w:highlight w:val="none"/>
        </w:rPr>
        <w:t>“</w:t>
      </w:r>
      <w:r>
        <w:rPr>
          <w:rFonts w:hint="eastAsia" w:asciiTheme="minorEastAsia" w:hAnsiTheme="minorEastAsia" w:eastAsiaTheme="minorEastAsia" w:cstheme="minorEastAsia"/>
          <w:b w:val="0"/>
          <w:bCs w:val="0"/>
          <w:color w:val="auto"/>
          <w:kern w:val="0"/>
          <w:sz w:val="24"/>
          <w:highlight w:val="none"/>
          <w:lang w:eastAsia="zh-CN"/>
        </w:rPr>
        <w:t>供应商</w:t>
      </w:r>
      <w:r>
        <w:rPr>
          <w:rFonts w:hint="eastAsia" w:asciiTheme="minorEastAsia" w:hAnsiTheme="minorEastAsia" w:eastAsiaTheme="minorEastAsia" w:cstheme="minorEastAsia"/>
          <w:b w:val="0"/>
          <w:bCs w:val="0"/>
          <w:color w:val="auto"/>
          <w:kern w:val="0"/>
          <w:sz w:val="24"/>
          <w:highlight w:val="none"/>
        </w:rPr>
        <w:t>须知前附表”。</w:t>
      </w:r>
      <w:bookmarkEnd w:id="172"/>
    </w:p>
    <w:p>
      <w:pPr>
        <w:pStyle w:val="1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Theme="minorEastAsia"/>
          <w:color w:val="auto"/>
          <w:highlight w:val="none"/>
          <w:lang w:val="en-US" w:eastAsia="zh-CN"/>
        </w:rPr>
      </w:pPr>
      <w:r>
        <w:rPr>
          <w:rFonts w:hint="eastAsia" w:asciiTheme="minorEastAsia" w:hAnsiTheme="minorEastAsia" w:eastAsiaTheme="minorEastAsia" w:cstheme="minorEastAsia"/>
          <w:b/>
          <w:bCs/>
          <w:color w:val="auto"/>
          <w:kern w:val="0"/>
          <w:sz w:val="24"/>
          <w:highlight w:val="none"/>
          <w:lang w:val="en-US" w:eastAsia="zh-CN"/>
        </w:rPr>
        <w:t>8.</w:t>
      </w:r>
      <w:r>
        <w:rPr>
          <w:rFonts w:hint="eastAsia" w:asciiTheme="minorEastAsia" w:hAnsiTheme="minorEastAsia" w:eastAsiaTheme="minorEastAsia" w:cstheme="minorEastAsia"/>
          <w:b/>
          <w:color w:val="auto"/>
          <w:kern w:val="0"/>
          <w:sz w:val="24"/>
          <w:highlight w:val="none"/>
          <w:lang w:val="en-US" w:eastAsia="zh-CN"/>
        </w:rPr>
        <w:t>供货地点：</w:t>
      </w:r>
      <w:r>
        <w:rPr>
          <w:rFonts w:hint="eastAsia" w:asciiTheme="minorEastAsia" w:hAnsiTheme="minorEastAsia" w:eastAsiaTheme="minorEastAsia" w:cstheme="minorEastAsia"/>
          <w:b w:val="0"/>
          <w:bCs/>
          <w:color w:val="auto"/>
          <w:kern w:val="0"/>
          <w:sz w:val="24"/>
          <w:highlight w:val="none"/>
        </w:rPr>
        <w:t>详见</w:t>
      </w:r>
      <w:r>
        <w:rPr>
          <w:rFonts w:hint="eastAsia" w:asciiTheme="minorEastAsia" w:hAnsiTheme="minorEastAsia" w:eastAsiaTheme="minorEastAsia" w:cstheme="minorEastAsia"/>
          <w:b w:val="0"/>
          <w:bCs/>
          <w:color w:val="auto"/>
          <w:kern w:val="0"/>
          <w:sz w:val="24"/>
          <w:highlight w:val="none"/>
          <w:lang w:eastAsia="zh-CN"/>
        </w:rPr>
        <w:t>招标文件</w:t>
      </w:r>
      <w:r>
        <w:rPr>
          <w:rFonts w:hint="eastAsia" w:asciiTheme="minorEastAsia" w:hAnsiTheme="minorEastAsia" w:eastAsiaTheme="minorEastAsia" w:cstheme="minorEastAsia"/>
          <w:b w:val="0"/>
          <w:bCs/>
          <w:color w:val="auto"/>
          <w:kern w:val="0"/>
          <w:sz w:val="24"/>
          <w:highlight w:val="none"/>
        </w:rPr>
        <w:t>“</w:t>
      </w:r>
      <w:r>
        <w:rPr>
          <w:rFonts w:hint="eastAsia" w:asciiTheme="minorEastAsia" w:hAnsiTheme="minorEastAsia" w:eastAsiaTheme="minorEastAsia" w:cstheme="minorEastAsia"/>
          <w:b w:val="0"/>
          <w:bCs/>
          <w:color w:val="auto"/>
          <w:kern w:val="0"/>
          <w:sz w:val="24"/>
          <w:highlight w:val="none"/>
          <w:lang w:eastAsia="zh-CN"/>
        </w:rPr>
        <w:t>供应商</w:t>
      </w:r>
      <w:r>
        <w:rPr>
          <w:rFonts w:hint="eastAsia" w:asciiTheme="minorEastAsia" w:hAnsiTheme="minorEastAsia" w:eastAsiaTheme="minorEastAsia" w:cstheme="minorEastAsia"/>
          <w:b w:val="0"/>
          <w:bCs/>
          <w:color w:val="auto"/>
          <w:kern w:val="0"/>
          <w:sz w:val="24"/>
          <w:highlight w:val="none"/>
        </w:rPr>
        <w:t>须知前附表”</w:t>
      </w:r>
      <w:r>
        <w:rPr>
          <w:rFonts w:hint="eastAsia" w:asciiTheme="minorEastAsia" w:hAnsiTheme="minorEastAsia" w:eastAsiaTheme="minorEastAsia" w:cstheme="minorEastAsia"/>
          <w:b w:val="0"/>
          <w:bCs w:val="0"/>
          <w:color w:val="auto"/>
          <w:kern w:val="0"/>
          <w:sz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color w:val="auto"/>
          <w:kern w:val="0"/>
          <w:sz w:val="24"/>
          <w:highlight w:val="none"/>
          <w:lang w:val="en-US" w:eastAsia="zh-CN"/>
        </w:rPr>
      </w:pPr>
      <w:r>
        <w:rPr>
          <w:rFonts w:hint="eastAsia" w:asciiTheme="minorEastAsia" w:hAnsiTheme="minorEastAsia" w:eastAsiaTheme="minorEastAsia" w:cstheme="minorEastAsia"/>
          <w:b/>
          <w:color w:val="auto"/>
          <w:kern w:val="0"/>
          <w:sz w:val="24"/>
          <w:highlight w:val="none"/>
        </w:rPr>
        <w:t>★</w:t>
      </w:r>
      <w:r>
        <w:rPr>
          <w:rFonts w:hint="eastAsia" w:asciiTheme="minorEastAsia" w:hAnsiTheme="minorEastAsia" w:eastAsiaTheme="minorEastAsia" w:cstheme="minorEastAsia"/>
          <w:b/>
          <w:color w:val="auto"/>
          <w:kern w:val="0"/>
          <w:sz w:val="24"/>
          <w:highlight w:val="none"/>
          <w:lang w:val="en-US" w:eastAsia="zh-CN"/>
        </w:rPr>
        <w:t>9.</w:t>
      </w:r>
      <w:r>
        <w:rPr>
          <w:rFonts w:hint="eastAsia" w:asciiTheme="minorEastAsia" w:hAnsiTheme="minorEastAsia" w:eastAsiaTheme="minorEastAsia" w:cstheme="minorEastAsia"/>
          <w:b/>
          <w:color w:val="auto"/>
          <w:kern w:val="0"/>
          <w:sz w:val="24"/>
          <w:highlight w:val="none"/>
          <w:lang w:eastAsia="zh-CN"/>
        </w:rPr>
        <w:t>供应商资格要求：</w:t>
      </w:r>
      <w:r>
        <w:rPr>
          <w:rFonts w:hint="eastAsia" w:asciiTheme="minorEastAsia" w:hAnsiTheme="minorEastAsia" w:eastAsiaTheme="minorEastAsia" w:cstheme="minorEastAsia"/>
          <w:b w:val="0"/>
          <w:color w:val="auto"/>
          <w:spacing w:val="0"/>
          <w:kern w:val="0"/>
          <w:sz w:val="24"/>
          <w:szCs w:val="24"/>
          <w:highlight w:val="none"/>
          <w:lang w:val="en-US" w:eastAsia="zh-CN" w:bidi="ar-SA"/>
        </w:rPr>
        <w:t>详见招标文件</w:t>
      </w: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b w:val="0"/>
          <w:bCs/>
          <w:color w:val="auto"/>
          <w:spacing w:val="0"/>
          <w:kern w:val="0"/>
          <w:sz w:val="24"/>
          <w:szCs w:val="24"/>
          <w:highlight w:val="none"/>
          <w:lang w:val="en-US" w:eastAsia="zh-CN" w:bidi="ar-SA"/>
        </w:rPr>
        <w:t>供应商须知前附表”。</w:t>
      </w:r>
      <w:r>
        <w:rPr>
          <w:rFonts w:hint="eastAsia" w:asciiTheme="minorEastAsia" w:hAnsiTheme="minorEastAsia" w:eastAsiaTheme="minorEastAsia" w:cstheme="minorEastAsia"/>
          <w:b w:val="0"/>
          <w:bCs/>
          <w:color w:val="auto"/>
          <w:spacing w:val="0"/>
          <w:kern w:val="0"/>
          <w:sz w:val="24"/>
          <w:szCs w:val="24"/>
          <w:highlight w:val="none"/>
          <w:lang w:val="en-US" w:eastAsia="zh-CN" w:bidi="ar-SA"/>
        </w:rPr>
        <w:cr/>
      </w:r>
      <w:r>
        <w:rPr>
          <w:rFonts w:hint="eastAsia" w:asciiTheme="minorEastAsia" w:hAnsiTheme="minorEastAsia" w:eastAsiaTheme="minorEastAsia" w:cstheme="minorEastAsia"/>
          <w:b/>
          <w:color w:val="auto"/>
          <w:kern w:val="0"/>
          <w:sz w:val="24"/>
          <w:highlight w:val="none"/>
          <w:lang w:val="en-US" w:eastAsia="zh-CN"/>
        </w:rPr>
        <w:t>10.投标费用：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Theme="minorEastAsia" w:hAnsiTheme="minorEastAsia" w:eastAsiaTheme="minorEastAsia" w:cstheme="minorEastAsia"/>
          <w:color w:val="auto"/>
          <w:sz w:val="24"/>
          <w:highlight w:val="none"/>
        </w:rPr>
      </w:pPr>
      <w:bookmarkStart w:id="173" w:name="_Toc232509427"/>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应承担所有与准备和参加投标有关的费用。不论投标结果如何，</w:t>
      </w:r>
      <w:r>
        <w:rPr>
          <w:rFonts w:hint="eastAsia" w:asciiTheme="minorEastAsia" w:hAnsiTheme="minorEastAsia" w:eastAsiaTheme="minorEastAsia" w:cstheme="minorEastAsia"/>
          <w:color w:val="auto"/>
          <w:sz w:val="24"/>
          <w:highlight w:val="none"/>
          <w:lang w:eastAsia="zh-CN"/>
        </w:rPr>
        <w:t>采购人</w:t>
      </w:r>
      <w:r>
        <w:rPr>
          <w:rFonts w:hint="eastAsia" w:asciiTheme="minorEastAsia" w:hAnsiTheme="minorEastAsia" w:eastAsiaTheme="minorEastAsia" w:cstheme="minorEastAsia"/>
          <w:color w:val="auto"/>
          <w:sz w:val="24"/>
          <w:highlight w:val="none"/>
        </w:rPr>
        <w:t>均无义务和责任承担</w:t>
      </w:r>
      <w:r>
        <w:rPr>
          <w:rFonts w:hint="eastAsia" w:asciiTheme="minorEastAsia" w:hAnsiTheme="minorEastAsia" w:eastAsiaTheme="minorEastAsia" w:cstheme="minorEastAsia"/>
          <w:color w:val="auto"/>
          <w:sz w:val="24"/>
          <w:highlight w:val="none"/>
          <w:lang w:eastAsia="zh-CN"/>
        </w:rPr>
        <w:t>此费用</w:t>
      </w:r>
      <w:r>
        <w:rPr>
          <w:rFonts w:hint="eastAsia" w:asciiTheme="minorEastAsia" w:hAnsiTheme="minorEastAsia" w:eastAsiaTheme="minorEastAsia" w:cstheme="minorEastAsia"/>
          <w:color w:val="auto"/>
          <w:sz w:val="24"/>
          <w:highlight w:val="none"/>
        </w:rPr>
        <w:t>。</w:t>
      </w:r>
    </w:p>
    <w:p>
      <w:pPr>
        <w:pStyle w:val="4"/>
        <w:numPr>
          <w:ilvl w:val="0"/>
          <w:numId w:val="0"/>
        </w:numPr>
        <w:ind w:left="0" w:leftChars="0" w:firstLine="0" w:firstLineChars="0"/>
        <w:jc w:val="center"/>
        <w:rPr>
          <w:rFonts w:hint="eastAsia" w:asciiTheme="minorEastAsia" w:hAnsiTheme="minorEastAsia" w:eastAsiaTheme="minorEastAsia" w:cstheme="minorEastAsia"/>
          <w:b/>
          <w:color w:val="auto"/>
          <w:kern w:val="0"/>
          <w:sz w:val="30"/>
          <w:szCs w:val="30"/>
          <w:highlight w:val="none"/>
          <w:lang w:val="en-US" w:eastAsia="zh-CN" w:bidi="ar-SA"/>
        </w:rPr>
      </w:pPr>
      <w:bookmarkStart w:id="174" w:name="_Toc25463"/>
      <w:bookmarkStart w:id="175" w:name="_Toc2787"/>
      <w:bookmarkStart w:id="176" w:name="_Toc14936909"/>
      <w:bookmarkStart w:id="177" w:name="_Toc27411"/>
      <w:bookmarkStart w:id="178" w:name="_Toc22814"/>
      <w:r>
        <w:rPr>
          <w:rFonts w:hint="eastAsia" w:asciiTheme="minorEastAsia" w:hAnsiTheme="minorEastAsia" w:eastAsiaTheme="minorEastAsia" w:cstheme="minorEastAsia"/>
          <w:b/>
          <w:color w:val="auto"/>
          <w:kern w:val="0"/>
          <w:sz w:val="30"/>
          <w:szCs w:val="30"/>
          <w:highlight w:val="none"/>
          <w:lang w:val="en-US" w:eastAsia="zh-CN" w:bidi="ar-SA"/>
        </w:rPr>
        <w:t>（二）</w:t>
      </w:r>
      <w:bookmarkEnd w:id="173"/>
      <w:bookmarkEnd w:id="174"/>
      <w:bookmarkEnd w:id="175"/>
      <w:bookmarkEnd w:id="176"/>
      <w:bookmarkEnd w:id="177"/>
      <w:bookmarkEnd w:id="178"/>
      <w:r>
        <w:rPr>
          <w:rFonts w:hint="eastAsia" w:asciiTheme="minorEastAsia" w:hAnsiTheme="minorEastAsia" w:eastAsiaTheme="minorEastAsia" w:cstheme="minorEastAsia"/>
          <w:b/>
          <w:color w:val="auto"/>
          <w:kern w:val="0"/>
          <w:sz w:val="30"/>
          <w:szCs w:val="30"/>
          <w:highlight w:val="none"/>
          <w:lang w:val="en-US" w:eastAsia="zh-CN" w:bidi="ar-SA"/>
        </w:rPr>
        <w:t>招标文件</w:t>
      </w:r>
    </w:p>
    <w:p>
      <w:pPr>
        <w:pStyle w:val="25"/>
        <w:spacing w:line="360" w:lineRule="auto"/>
        <w:rPr>
          <w:rFonts w:hint="eastAsia"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lang w:val="en-US" w:eastAsia="zh-CN"/>
        </w:rPr>
        <w:t>11</w:t>
      </w:r>
      <w:r>
        <w:rPr>
          <w:rFonts w:hint="eastAsia" w:asciiTheme="minorEastAsia" w:hAnsiTheme="minorEastAsia" w:eastAsiaTheme="minorEastAsia" w:cstheme="minorEastAsia"/>
          <w:b/>
          <w:bCs/>
          <w:color w:val="auto"/>
          <w:kern w:val="0"/>
          <w:sz w:val="24"/>
          <w:highlight w:val="none"/>
        </w:rPr>
        <w:t>.</w:t>
      </w:r>
      <w:r>
        <w:rPr>
          <w:rFonts w:hint="eastAsia" w:asciiTheme="minorEastAsia" w:hAnsiTheme="minorEastAsia" w:eastAsiaTheme="minorEastAsia" w:cstheme="minorEastAsia"/>
          <w:b/>
          <w:bCs/>
          <w:color w:val="auto"/>
          <w:kern w:val="0"/>
          <w:sz w:val="24"/>
          <w:highlight w:val="none"/>
          <w:lang w:eastAsia="zh-CN"/>
        </w:rPr>
        <w:t>招标文件</w:t>
      </w:r>
      <w:r>
        <w:rPr>
          <w:rFonts w:hint="eastAsia" w:asciiTheme="minorEastAsia" w:hAnsiTheme="minorEastAsia" w:eastAsiaTheme="minorEastAsia" w:cstheme="minorEastAsia"/>
          <w:b/>
          <w:bCs/>
          <w:color w:val="auto"/>
          <w:kern w:val="0"/>
          <w:sz w:val="24"/>
          <w:highlight w:val="none"/>
        </w:rPr>
        <w:t>构成</w:t>
      </w:r>
    </w:p>
    <w:p>
      <w:pPr>
        <w:spacing w:line="360" w:lineRule="auto"/>
        <w:ind w:firstLine="480" w:firstLineChars="200"/>
        <w:jc w:val="lef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11</w:t>
      </w: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内容如下：</w:t>
      </w:r>
    </w:p>
    <w:p>
      <w:pPr>
        <w:spacing w:line="360" w:lineRule="auto"/>
        <w:ind w:firstLine="480" w:firstLineChars="200"/>
        <w:jc w:val="lef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第一章</w:t>
      </w:r>
      <w:r>
        <w:rPr>
          <w:rFonts w:hint="eastAsia" w:asciiTheme="minorEastAsia" w:hAnsiTheme="minorEastAsia" w:eastAsiaTheme="minorEastAsia" w:cstheme="minorEastAsia"/>
          <w:color w:val="auto"/>
          <w:kern w:val="0"/>
          <w:sz w:val="24"/>
          <w:highlight w:val="none"/>
          <w:lang w:val="en-US" w:eastAsia="zh-CN"/>
        </w:rPr>
        <w:t xml:space="preserve"> </w:t>
      </w:r>
      <w:r>
        <w:rPr>
          <w:rFonts w:hint="eastAsia" w:asciiTheme="minorEastAsia" w:hAnsiTheme="minorEastAsia" w:eastAsiaTheme="minorEastAsia" w:cstheme="minorEastAsia"/>
          <w:color w:val="auto"/>
          <w:kern w:val="0"/>
          <w:sz w:val="24"/>
          <w:highlight w:val="none"/>
        </w:rPr>
        <w:t>招标公告</w:t>
      </w:r>
    </w:p>
    <w:p>
      <w:pPr>
        <w:pStyle w:val="25"/>
        <w:spacing w:line="360" w:lineRule="auto"/>
        <w:ind w:firstLine="480" w:firstLineChars="200"/>
        <w:rPr>
          <w:rFonts w:hint="eastAsia" w:asciiTheme="minorEastAsia" w:hAnsiTheme="minorEastAsia" w:eastAsiaTheme="minorEastAsia" w:cstheme="minorEastAsia"/>
          <w:color w:val="auto"/>
          <w:kern w:val="0"/>
          <w:sz w:val="24"/>
          <w:highlight w:val="none"/>
          <w:lang w:eastAsia="zh-CN"/>
        </w:rPr>
      </w:pPr>
      <w:r>
        <w:rPr>
          <w:rFonts w:hint="eastAsia" w:asciiTheme="minorEastAsia" w:hAnsiTheme="minorEastAsia" w:eastAsiaTheme="minorEastAsia" w:cstheme="minorEastAsia"/>
          <w:color w:val="auto"/>
          <w:kern w:val="0"/>
          <w:sz w:val="24"/>
          <w:highlight w:val="none"/>
        </w:rPr>
        <w:t>第二章</w:t>
      </w:r>
      <w:r>
        <w:rPr>
          <w:rFonts w:hint="eastAsia" w:asciiTheme="minorEastAsia" w:hAnsiTheme="minorEastAsia" w:eastAsiaTheme="minorEastAsia" w:cstheme="minorEastAsia"/>
          <w:color w:val="auto"/>
          <w:kern w:val="0"/>
          <w:sz w:val="24"/>
          <w:highlight w:val="none"/>
          <w:lang w:val="en-US" w:eastAsia="zh-CN"/>
        </w:rPr>
        <w:t xml:space="preserve"> </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须知</w:t>
      </w:r>
      <w:r>
        <w:rPr>
          <w:rFonts w:hint="eastAsia" w:asciiTheme="minorEastAsia" w:hAnsiTheme="minorEastAsia" w:eastAsiaTheme="minorEastAsia" w:cstheme="minorEastAsia"/>
          <w:color w:val="auto"/>
          <w:kern w:val="0"/>
          <w:sz w:val="24"/>
          <w:highlight w:val="none"/>
          <w:lang w:eastAsia="zh-CN"/>
        </w:rPr>
        <w:t>前附表及供应商须知</w:t>
      </w:r>
    </w:p>
    <w:p>
      <w:pPr>
        <w:pStyle w:val="25"/>
        <w:spacing w:line="360" w:lineRule="auto"/>
        <w:ind w:firstLine="480" w:firstLineChars="200"/>
        <w:rPr>
          <w:rFonts w:hint="eastAsia" w:asciiTheme="minorEastAsia" w:hAnsiTheme="minorEastAsia" w:eastAsiaTheme="minorEastAsia" w:cstheme="minorEastAsia"/>
          <w:color w:val="auto"/>
          <w:kern w:val="0"/>
          <w:sz w:val="24"/>
          <w:highlight w:val="none"/>
          <w:lang w:eastAsia="zh-CN"/>
        </w:rPr>
      </w:pPr>
      <w:r>
        <w:rPr>
          <w:rFonts w:hint="eastAsia" w:asciiTheme="minorEastAsia" w:hAnsiTheme="minorEastAsia" w:eastAsiaTheme="minorEastAsia" w:cstheme="minorEastAsia"/>
          <w:color w:val="auto"/>
          <w:kern w:val="0"/>
          <w:sz w:val="24"/>
          <w:highlight w:val="none"/>
        </w:rPr>
        <w:t>第三章</w:t>
      </w:r>
      <w:r>
        <w:rPr>
          <w:rFonts w:hint="eastAsia" w:asciiTheme="minorEastAsia" w:hAnsiTheme="minorEastAsia" w:eastAsiaTheme="minorEastAsia" w:cstheme="minorEastAsia"/>
          <w:color w:val="auto"/>
          <w:kern w:val="0"/>
          <w:sz w:val="24"/>
          <w:highlight w:val="none"/>
          <w:lang w:val="en-US" w:eastAsia="zh-CN"/>
        </w:rPr>
        <w:t xml:space="preserve"> </w:t>
      </w:r>
      <w:r>
        <w:rPr>
          <w:rFonts w:hint="eastAsia" w:asciiTheme="minorEastAsia" w:hAnsiTheme="minorEastAsia" w:eastAsiaTheme="minorEastAsia" w:cstheme="minorEastAsia"/>
          <w:color w:val="auto"/>
          <w:kern w:val="0"/>
          <w:sz w:val="24"/>
          <w:highlight w:val="none"/>
        </w:rPr>
        <w:t>合同书样式及主要条款</w:t>
      </w:r>
    </w:p>
    <w:p>
      <w:pPr>
        <w:spacing w:line="360" w:lineRule="auto"/>
        <w:ind w:firstLine="480" w:firstLineChars="200"/>
        <w:jc w:val="left"/>
        <w:rPr>
          <w:rFonts w:hint="eastAsia" w:asciiTheme="minorEastAsia" w:hAnsiTheme="minorEastAsia" w:eastAsiaTheme="minorEastAsia" w:cstheme="minorEastAsia"/>
          <w:color w:val="auto"/>
          <w:kern w:val="0"/>
          <w:sz w:val="24"/>
          <w:highlight w:val="none"/>
          <w:lang w:eastAsia="zh-CN"/>
        </w:rPr>
      </w:pPr>
      <w:r>
        <w:rPr>
          <w:rFonts w:hint="eastAsia" w:asciiTheme="minorEastAsia" w:hAnsiTheme="minorEastAsia" w:eastAsiaTheme="minorEastAsia" w:cstheme="minorEastAsia"/>
          <w:color w:val="auto"/>
          <w:kern w:val="0"/>
          <w:sz w:val="24"/>
          <w:highlight w:val="none"/>
        </w:rPr>
        <w:t>第四章</w:t>
      </w:r>
      <w:r>
        <w:rPr>
          <w:rFonts w:hint="eastAsia" w:asciiTheme="minorEastAsia" w:hAnsiTheme="minorEastAsia" w:eastAsiaTheme="minorEastAsia" w:cstheme="minorEastAsia"/>
          <w:color w:val="auto"/>
          <w:kern w:val="0"/>
          <w:sz w:val="24"/>
          <w:highlight w:val="none"/>
          <w:lang w:val="en-US" w:eastAsia="zh-CN"/>
        </w:rPr>
        <w:t xml:space="preserve"> </w:t>
      </w:r>
      <w:r>
        <w:rPr>
          <w:rFonts w:hint="eastAsia" w:asciiTheme="minorEastAsia" w:hAnsiTheme="minorEastAsia" w:eastAsiaTheme="minorEastAsia" w:cstheme="minorEastAsia"/>
          <w:color w:val="auto"/>
          <w:kern w:val="0"/>
          <w:sz w:val="24"/>
          <w:highlight w:val="none"/>
        </w:rPr>
        <w:t>评标办法</w:t>
      </w:r>
      <w:r>
        <w:rPr>
          <w:rFonts w:hint="eastAsia" w:asciiTheme="minorEastAsia" w:hAnsiTheme="minorEastAsia" w:eastAsiaTheme="minorEastAsia" w:cstheme="minorEastAsia"/>
          <w:color w:val="auto"/>
          <w:kern w:val="0"/>
          <w:sz w:val="24"/>
          <w:highlight w:val="none"/>
          <w:lang w:eastAsia="zh-CN"/>
        </w:rPr>
        <w:t>（综合评分法）</w:t>
      </w:r>
    </w:p>
    <w:p>
      <w:pPr>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rPr>
        <w:t>第五章</w:t>
      </w:r>
      <w:r>
        <w:rPr>
          <w:rFonts w:hint="eastAsia" w:asciiTheme="minorEastAsia" w:hAnsiTheme="minorEastAsia" w:eastAsiaTheme="minorEastAsia" w:cstheme="minorEastAsia"/>
          <w:color w:val="auto"/>
          <w:kern w:val="0"/>
          <w:sz w:val="24"/>
          <w:highlight w:val="none"/>
          <w:lang w:val="en-US" w:eastAsia="zh-CN"/>
        </w:rPr>
        <w:t xml:space="preserve"> 投标文件格式</w:t>
      </w:r>
    </w:p>
    <w:p>
      <w:pPr>
        <w:spacing w:line="360" w:lineRule="auto"/>
        <w:ind w:left="0" w:leftChars="0" w:firstLine="218" w:firstLineChars="91"/>
        <w:jc w:val="left"/>
        <w:rPr>
          <w:rFonts w:hint="default" w:asciiTheme="minorEastAsia" w:hAnsiTheme="minorEastAsia" w:eastAsiaTheme="minorEastAsia" w:cstheme="minorEastAsia"/>
          <w:color w:val="auto"/>
          <w:kern w:val="0"/>
          <w:sz w:val="24"/>
          <w:highlight w:val="none"/>
          <w:lang w:val="en-US"/>
        </w:rPr>
      </w:pPr>
      <w:r>
        <w:rPr>
          <w:rFonts w:hint="eastAsia" w:asciiTheme="minorEastAsia" w:hAnsiTheme="minorEastAsia" w:eastAsiaTheme="minorEastAsia" w:cstheme="minorEastAsia"/>
          <w:color w:val="auto"/>
          <w:kern w:val="0"/>
          <w:sz w:val="24"/>
          <w:highlight w:val="none"/>
          <w:lang w:val="en-US" w:eastAsia="zh-CN"/>
        </w:rPr>
        <w:t xml:space="preserve">  第六章 采购需求</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11</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lang w:val="en-US" w:eastAsia="zh-CN"/>
        </w:rPr>
        <w:t>除第11.1款内容外，采购人以书面形式发出的对招标文件的澄清、修改或补充内容，均为招标文件的组成部分，对采购人和供应商均起约束作用。</w:t>
      </w:r>
    </w:p>
    <w:p>
      <w:pPr>
        <w:pStyle w:val="25"/>
        <w:spacing w:line="360" w:lineRule="auto"/>
        <w:ind w:left="0" w:leftChars="0" w:firstLine="0" w:firstLineChars="0"/>
        <w:jc w:val="left"/>
        <w:rPr>
          <w:rFonts w:hint="eastAsia" w:ascii="宋体" w:hAnsi="宋体" w:eastAsia="宋体" w:cs="宋体"/>
          <w:b/>
          <w:bCs/>
          <w:color w:val="auto"/>
          <w:kern w:val="0"/>
          <w:sz w:val="24"/>
          <w:szCs w:val="24"/>
          <w:highlight w:val="none"/>
          <w:lang w:eastAsia="zh-CN"/>
        </w:rPr>
      </w:pPr>
      <w:r>
        <w:rPr>
          <w:rFonts w:hint="eastAsia" w:hAnsi="宋体" w:cs="宋体"/>
          <w:b/>
          <w:bCs/>
          <w:color w:val="auto"/>
          <w:kern w:val="0"/>
          <w:sz w:val="24"/>
          <w:szCs w:val="24"/>
          <w:highlight w:val="none"/>
          <w:lang w:val="en-US" w:eastAsia="zh-CN"/>
        </w:rPr>
        <w:t>12</w:t>
      </w:r>
      <w:r>
        <w:rPr>
          <w:rFonts w:hint="eastAsia" w:ascii="宋体" w:hAnsi="宋体" w:eastAsia="宋体" w:cs="宋体"/>
          <w:b/>
          <w:bCs/>
          <w:color w:val="auto"/>
          <w:kern w:val="0"/>
          <w:sz w:val="24"/>
          <w:szCs w:val="24"/>
          <w:highlight w:val="none"/>
        </w:rPr>
        <w:t>.</w:t>
      </w:r>
      <w:r>
        <w:rPr>
          <w:rFonts w:hint="eastAsia" w:hAnsi="宋体" w:cs="宋体"/>
          <w:b/>
          <w:bCs/>
          <w:color w:val="auto"/>
          <w:kern w:val="0"/>
          <w:sz w:val="24"/>
          <w:szCs w:val="24"/>
          <w:highlight w:val="none"/>
          <w:lang w:eastAsia="zh-CN"/>
        </w:rPr>
        <w:t>招标文件</w:t>
      </w:r>
      <w:r>
        <w:rPr>
          <w:rFonts w:hint="eastAsia" w:ascii="宋体" w:hAnsi="宋体" w:eastAsia="宋体" w:cs="宋体"/>
          <w:b/>
          <w:bCs/>
          <w:color w:val="auto"/>
          <w:kern w:val="0"/>
          <w:sz w:val="24"/>
          <w:szCs w:val="24"/>
          <w:highlight w:val="none"/>
        </w:rPr>
        <w:t>的澄清</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修改</w:t>
      </w:r>
      <w:r>
        <w:rPr>
          <w:rFonts w:hint="eastAsia" w:hAnsi="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eastAsia="zh-CN"/>
        </w:rPr>
        <w:t>补充</w:t>
      </w:r>
    </w:p>
    <w:p>
      <w:pPr>
        <w:pStyle w:val="25"/>
        <w:spacing w:line="360" w:lineRule="auto"/>
        <w:ind w:left="0" w:leftChars="0" w:firstLine="480" w:firstLineChars="200"/>
        <w:jc w:val="left"/>
        <w:rPr>
          <w:rFonts w:hint="eastAsia" w:ascii="宋体" w:hAnsi="宋体" w:eastAsia="宋体" w:cs="宋体"/>
          <w:color w:val="auto"/>
          <w:kern w:val="2"/>
          <w:sz w:val="24"/>
          <w:szCs w:val="24"/>
          <w:highlight w:val="none"/>
          <w:lang w:val="en-US" w:eastAsia="zh-CN" w:bidi="ar-SA"/>
        </w:rPr>
      </w:pPr>
      <w:r>
        <w:rPr>
          <w:rFonts w:hint="eastAsia" w:hAnsi="宋体" w:cs="宋体"/>
          <w:color w:val="auto"/>
          <w:kern w:val="2"/>
          <w:sz w:val="24"/>
          <w:szCs w:val="24"/>
          <w:highlight w:val="none"/>
          <w:lang w:val="en-US" w:eastAsia="zh-CN" w:bidi="ar-SA"/>
        </w:rPr>
        <w:t>12</w:t>
      </w:r>
      <w:r>
        <w:rPr>
          <w:rFonts w:hint="eastAsia" w:ascii="宋体" w:hAnsi="宋体" w:eastAsia="宋体" w:cs="宋体"/>
          <w:color w:val="auto"/>
          <w:kern w:val="2"/>
          <w:sz w:val="24"/>
          <w:szCs w:val="24"/>
          <w:highlight w:val="none"/>
          <w:lang w:val="en-US" w:eastAsia="zh-CN" w:bidi="ar-SA"/>
        </w:rPr>
        <w:t>.1</w:t>
      </w:r>
      <w:r>
        <w:rPr>
          <w:rFonts w:hint="eastAsia" w:hAnsi="宋体"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应认真</w:t>
      </w:r>
      <w:r>
        <w:rPr>
          <w:rFonts w:hint="eastAsia" w:hAnsi="宋体" w:cs="宋体"/>
          <w:color w:val="auto"/>
          <w:kern w:val="2"/>
          <w:sz w:val="24"/>
          <w:szCs w:val="24"/>
          <w:highlight w:val="none"/>
          <w:lang w:val="en-US" w:eastAsia="zh-CN" w:bidi="ar-SA"/>
        </w:rPr>
        <w:t>研究招标文件</w:t>
      </w:r>
      <w:r>
        <w:rPr>
          <w:rFonts w:hint="eastAsia" w:ascii="宋体" w:hAnsi="宋体" w:eastAsia="宋体" w:cs="宋体"/>
          <w:color w:val="auto"/>
          <w:kern w:val="2"/>
          <w:sz w:val="24"/>
          <w:szCs w:val="24"/>
          <w:highlight w:val="none"/>
          <w:lang w:val="en-US" w:eastAsia="zh-CN" w:bidi="ar-SA"/>
        </w:rPr>
        <w:t>中全部内容，如发现缺页或有误或不合理的，</w:t>
      </w:r>
      <w:r>
        <w:rPr>
          <w:rFonts w:hint="eastAsia" w:hAnsi="宋体"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必须在“</w:t>
      </w:r>
      <w:r>
        <w:rPr>
          <w:rFonts w:hint="eastAsia" w:hAnsi="宋体"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en-US" w:eastAsia="zh-CN" w:bidi="ar-SA"/>
        </w:rPr>
        <w:t>须知前附表”规定时间</w:t>
      </w:r>
      <w:r>
        <w:rPr>
          <w:rFonts w:hint="eastAsia" w:hAnsi="宋体" w:cs="宋体"/>
          <w:color w:val="auto"/>
          <w:kern w:val="2"/>
          <w:sz w:val="24"/>
          <w:szCs w:val="24"/>
          <w:highlight w:val="none"/>
          <w:lang w:val="en-US" w:eastAsia="zh-CN" w:bidi="ar-SA"/>
        </w:rPr>
        <w:t>和</w:t>
      </w:r>
      <w:r>
        <w:rPr>
          <w:rFonts w:hint="eastAsia" w:ascii="宋体" w:hAnsi="宋体" w:eastAsia="宋体" w:cs="宋体"/>
          <w:color w:val="auto"/>
          <w:kern w:val="2"/>
          <w:sz w:val="24"/>
          <w:szCs w:val="24"/>
          <w:highlight w:val="none"/>
          <w:lang w:val="en-US" w:eastAsia="zh-CN" w:bidi="ar-SA"/>
        </w:rPr>
        <w:t>方式向采购代理机构提出。</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.2采购代理机构对已发出的</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进行必要</w:t>
      </w:r>
      <w:r>
        <w:rPr>
          <w:rFonts w:hint="eastAsia" w:ascii="宋体" w:hAnsi="宋体" w:cs="宋体"/>
          <w:color w:val="auto"/>
          <w:sz w:val="24"/>
          <w:szCs w:val="24"/>
          <w:highlight w:val="none"/>
          <w:lang w:val="en-US" w:eastAsia="zh-CN"/>
        </w:rPr>
        <w:t>澄清、修改、补充</w:t>
      </w:r>
      <w:r>
        <w:rPr>
          <w:rFonts w:hint="eastAsia" w:ascii="宋体" w:hAnsi="宋体" w:eastAsia="宋体" w:cs="宋体"/>
          <w:color w:val="auto"/>
          <w:sz w:val="24"/>
          <w:szCs w:val="24"/>
          <w:highlight w:val="none"/>
          <w:lang w:val="en-US" w:eastAsia="zh-CN"/>
        </w:rPr>
        <w:t>的，不得改变采购标的和资格条件。</w:t>
      </w:r>
      <w:r>
        <w:rPr>
          <w:rFonts w:hint="eastAsia" w:ascii="宋体" w:hAnsi="宋体" w:cs="宋体"/>
          <w:color w:val="auto"/>
          <w:sz w:val="24"/>
          <w:szCs w:val="24"/>
          <w:highlight w:val="none"/>
          <w:lang w:val="en-US" w:eastAsia="zh-CN"/>
        </w:rPr>
        <w:t>澄清、修改、补充</w:t>
      </w:r>
      <w:r>
        <w:rPr>
          <w:rFonts w:hint="eastAsia" w:ascii="宋体" w:hAnsi="宋体" w:eastAsia="宋体" w:cs="宋体"/>
          <w:color w:val="auto"/>
          <w:sz w:val="24"/>
          <w:szCs w:val="24"/>
          <w:highlight w:val="none"/>
          <w:lang w:val="en-US" w:eastAsia="zh-CN"/>
        </w:rPr>
        <w:t>应当于</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须知前附表规定的时间前，在云南省政府采购网（</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HYPERLINK "http://www.purchase.gov.cn/"</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www.yngp.</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com）、</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https://www.zcygov.cn/</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上发布。该</w:t>
      </w:r>
      <w:r>
        <w:rPr>
          <w:rFonts w:hint="eastAsia" w:ascii="宋体" w:hAnsi="宋体" w:cs="宋体"/>
          <w:color w:val="auto"/>
          <w:sz w:val="24"/>
          <w:szCs w:val="24"/>
          <w:highlight w:val="none"/>
          <w:lang w:val="en-US" w:eastAsia="zh-CN"/>
        </w:rPr>
        <w:t>澄清、修改、补充</w:t>
      </w:r>
      <w:r>
        <w:rPr>
          <w:rFonts w:hint="eastAsia" w:ascii="宋体" w:hAnsi="宋体" w:eastAsia="宋体" w:cs="宋体"/>
          <w:color w:val="auto"/>
          <w:sz w:val="24"/>
          <w:szCs w:val="24"/>
          <w:highlight w:val="none"/>
          <w:lang w:val="en-US" w:eastAsia="zh-CN"/>
        </w:rPr>
        <w:t>的内容为</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lang w:val="en-US" w:eastAsia="zh-CN"/>
        </w:rPr>
        <w:t>的组成部分。</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采购代理机构和采购</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rPr>
        <w:t>可以视采购具体情况，延长投标截止时间和开标时间，但至少在</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要求提交投标文件的截止时间</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日前，在云南省政府采购网（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"http://www.purchase.gov.cn/"</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www.yngp.</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com）、</w:t>
      </w:r>
      <w:r>
        <w:rPr>
          <w:rFonts w:hint="eastAsia" w:ascii="宋体" w:hAnsi="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lang w:val="en-US" w:eastAsia="zh-CN"/>
        </w:rPr>
        <w:t>https://www.zcygov.cn/</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上发布变更公告。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招标文件澄清、修改、补充</w:t>
      </w:r>
      <w:r>
        <w:rPr>
          <w:rFonts w:hint="eastAsia" w:ascii="宋体" w:hAnsi="宋体" w:eastAsia="宋体" w:cs="宋体"/>
          <w:color w:val="auto"/>
          <w:sz w:val="24"/>
          <w:szCs w:val="24"/>
          <w:highlight w:val="none"/>
        </w:rPr>
        <w:t>全部通过网络送达，请</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在投标截止日前，务必查询云南省政府采购网（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"http://www.purchase.gov.cn/"</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www.yngp.</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com）、</w:t>
      </w:r>
      <w:r>
        <w:rPr>
          <w:rFonts w:hint="eastAsia" w:ascii="宋体" w:hAnsi="宋体" w:cs="宋体"/>
          <w:color w:val="auto"/>
          <w:sz w:val="24"/>
          <w:szCs w:val="24"/>
          <w:highlight w:val="none"/>
          <w:lang w:eastAsia="zh-CN"/>
        </w:rPr>
        <w:t>政府采购云平台（https://www.zcygov.cn/）</w:t>
      </w:r>
      <w:r>
        <w:rPr>
          <w:rFonts w:hint="eastAsia" w:ascii="宋体" w:hAnsi="宋体" w:eastAsia="宋体" w:cs="宋体"/>
          <w:color w:val="auto"/>
          <w:sz w:val="24"/>
          <w:szCs w:val="24"/>
          <w:highlight w:val="none"/>
        </w:rPr>
        <w:t>获取</w:t>
      </w:r>
      <w:r>
        <w:rPr>
          <w:rFonts w:hint="eastAsia" w:ascii="宋体" w:hAnsi="宋体" w:cs="宋体"/>
          <w:color w:val="auto"/>
          <w:sz w:val="24"/>
          <w:szCs w:val="24"/>
          <w:highlight w:val="none"/>
          <w:lang w:val="en-US" w:eastAsia="zh-CN"/>
        </w:rPr>
        <w:t>澄清、修改、补充</w:t>
      </w:r>
      <w:r>
        <w:rPr>
          <w:rFonts w:hint="eastAsia" w:ascii="宋体" w:hAnsi="宋体" w:eastAsia="宋体" w:cs="宋体"/>
          <w:color w:val="auto"/>
          <w:sz w:val="24"/>
          <w:szCs w:val="24"/>
          <w:highlight w:val="none"/>
          <w:lang w:eastAsia="zh-CN"/>
        </w:rPr>
        <w:t>内容</w:t>
      </w:r>
      <w:r>
        <w:rPr>
          <w:rFonts w:hint="eastAsia" w:ascii="宋体" w:hAnsi="宋体" w:eastAsia="宋体" w:cs="宋体"/>
          <w:color w:val="auto"/>
          <w:sz w:val="24"/>
          <w:szCs w:val="24"/>
          <w:highlight w:val="none"/>
        </w:rPr>
        <w:t>，无须回复确认已收到，</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也</w:t>
      </w:r>
      <w:r>
        <w:rPr>
          <w:rFonts w:hint="eastAsia" w:ascii="宋体" w:hAnsi="宋体" w:eastAsia="宋体" w:cs="宋体"/>
          <w:color w:val="auto"/>
          <w:sz w:val="24"/>
          <w:szCs w:val="24"/>
          <w:highlight w:val="none"/>
        </w:rPr>
        <w:t>不再另行通知。</w:t>
      </w:r>
    </w:p>
    <w:p>
      <w:pPr>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12.5当招标文件、招标文件的澄清、修改、补充等在同一内容表述上不一致时，以最后上传文件为准。</w:t>
      </w:r>
    </w:p>
    <w:p>
      <w:pPr>
        <w:pStyle w:val="4"/>
        <w:numPr>
          <w:ilvl w:val="0"/>
          <w:numId w:val="0"/>
        </w:numPr>
        <w:ind w:left="0" w:leftChars="0" w:firstLine="0" w:firstLineChars="0"/>
        <w:jc w:val="center"/>
        <w:rPr>
          <w:rFonts w:hint="eastAsia" w:asciiTheme="minorEastAsia" w:hAnsiTheme="minorEastAsia" w:eastAsiaTheme="minorEastAsia" w:cstheme="minorEastAsia"/>
          <w:b/>
          <w:color w:val="auto"/>
          <w:kern w:val="0"/>
          <w:sz w:val="30"/>
          <w:szCs w:val="30"/>
          <w:highlight w:val="none"/>
          <w:lang w:val="en-US" w:eastAsia="zh-CN" w:bidi="ar-SA"/>
        </w:rPr>
      </w:pPr>
      <w:bookmarkStart w:id="179" w:name="_Toc25776"/>
      <w:bookmarkStart w:id="180" w:name="_Toc2647"/>
      <w:bookmarkStart w:id="181" w:name="_Toc14936910"/>
      <w:bookmarkStart w:id="182" w:name="_Toc11662"/>
      <w:bookmarkStart w:id="183" w:name="_Toc798"/>
      <w:bookmarkStart w:id="184" w:name="_Toc232509428"/>
      <w:r>
        <w:rPr>
          <w:rFonts w:hint="eastAsia" w:asciiTheme="minorEastAsia" w:hAnsiTheme="minorEastAsia" w:eastAsiaTheme="minorEastAsia" w:cstheme="minorEastAsia"/>
          <w:b/>
          <w:color w:val="auto"/>
          <w:kern w:val="0"/>
          <w:sz w:val="30"/>
          <w:szCs w:val="30"/>
          <w:highlight w:val="none"/>
          <w:lang w:val="en-US" w:eastAsia="zh-CN" w:bidi="ar-SA"/>
        </w:rPr>
        <w:t>（三）投标文件的编制</w:t>
      </w:r>
      <w:bookmarkEnd w:id="179"/>
      <w:bookmarkEnd w:id="180"/>
      <w:bookmarkEnd w:id="181"/>
      <w:bookmarkEnd w:id="182"/>
      <w:bookmarkEnd w:id="183"/>
      <w:bookmarkEnd w:id="184"/>
    </w:p>
    <w:p>
      <w:pPr>
        <w:spacing w:line="360" w:lineRule="auto"/>
        <w:jc w:val="left"/>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lang w:val="en-US" w:eastAsia="zh-CN"/>
        </w:rPr>
        <w:t>13.</w:t>
      </w:r>
      <w:r>
        <w:rPr>
          <w:rFonts w:hint="eastAsia" w:asciiTheme="minorEastAsia" w:hAnsiTheme="minorEastAsia" w:eastAsiaTheme="minorEastAsia" w:cstheme="minorEastAsia"/>
          <w:b/>
          <w:color w:val="auto"/>
          <w:kern w:val="0"/>
          <w:sz w:val="24"/>
          <w:highlight w:val="none"/>
        </w:rPr>
        <w:t xml:space="preserve"> 投标文件编写注意事项</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13</w:t>
      </w:r>
      <w:r>
        <w:rPr>
          <w:rFonts w:hint="eastAsia" w:asciiTheme="minorEastAsia" w:hAnsiTheme="minorEastAsia" w:eastAsiaTheme="minorEastAsia" w:cstheme="minorEastAsia"/>
          <w:color w:val="auto"/>
          <w:sz w:val="24"/>
          <w:highlight w:val="none"/>
        </w:rPr>
        <w:t>.1本项目所述的投标文件为电子投标文件。</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13</w:t>
      </w:r>
      <w:r>
        <w:rPr>
          <w:rFonts w:hint="eastAsia" w:asciiTheme="minorEastAsia" w:hAnsiTheme="minorEastAsia" w:eastAsiaTheme="minorEastAsia" w:cstheme="minorEastAsia"/>
          <w:color w:val="auto"/>
          <w:sz w:val="24"/>
          <w:highlight w:val="none"/>
        </w:rPr>
        <w:t xml:space="preserve">.2 </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应仔细阅读</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，在完全了解</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的全部内容</w:t>
      </w:r>
      <w:r>
        <w:rPr>
          <w:rFonts w:hint="eastAsia" w:asciiTheme="minorEastAsia" w:hAnsiTheme="minorEastAsia" w:eastAsiaTheme="minorEastAsia" w:cstheme="minorEastAsia"/>
          <w:color w:val="auto"/>
          <w:sz w:val="24"/>
          <w:highlight w:val="none"/>
          <w:lang w:eastAsia="zh-CN"/>
        </w:rPr>
        <w:t>后</w:t>
      </w:r>
      <w:r>
        <w:rPr>
          <w:rFonts w:hint="eastAsia" w:asciiTheme="minorEastAsia" w:hAnsiTheme="minorEastAsia" w:eastAsiaTheme="minorEastAsia" w:cstheme="minorEastAsia"/>
          <w:color w:val="auto"/>
          <w:sz w:val="24"/>
          <w:highlight w:val="none"/>
        </w:rPr>
        <w:t>，编写投标文件。如果没有按照</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要求提交全部投标文件或者资料，没有对</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实质性要求和条件作出响应</w:t>
      </w:r>
      <w:r>
        <w:rPr>
          <w:rFonts w:hint="eastAsia" w:asciiTheme="minorEastAsia" w:hAnsiTheme="minorEastAsia" w:eastAsiaTheme="minorEastAsia" w:cstheme="minorEastAsia"/>
          <w:color w:val="auto"/>
          <w:sz w:val="24"/>
          <w:highlight w:val="none"/>
          <w:lang w:eastAsia="zh-CN"/>
        </w:rPr>
        <w:t>的，属于供应商</w:t>
      </w:r>
      <w:r>
        <w:rPr>
          <w:rFonts w:hint="eastAsia" w:asciiTheme="minorEastAsia" w:hAnsiTheme="minorEastAsia" w:eastAsiaTheme="minorEastAsia" w:cstheme="minorEastAsia"/>
          <w:color w:val="auto"/>
          <w:sz w:val="24"/>
          <w:highlight w:val="none"/>
        </w:rPr>
        <w:t>的风险，可能导致该投标无效。</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13</w:t>
      </w:r>
      <w:r>
        <w:rPr>
          <w:rFonts w:hint="eastAsia" w:asciiTheme="minorEastAsia" w:hAnsiTheme="minorEastAsia" w:eastAsiaTheme="minorEastAsia" w:cstheme="minorEastAsia"/>
          <w:color w:val="auto"/>
          <w:sz w:val="24"/>
          <w:highlight w:val="none"/>
        </w:rPr>
        <w:t>.3 对</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提出的实质性要求和条件作出响应是指</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必须对</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中标明的实质性要求、数量、合同主要条款及其它要求等内容作出满足或者优于原要求和条件的承诺。</w:t>
      </w:r>
    </w:p>
    <w:p>
      <w:pPr>
        <w:spacing w:line="360" w:lineRule="auto"/>
        <w:jc w:val="left"/>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1</w:t>
      </w:r>
      <w:r>
        <w:rPr>
          <w:rFonts w:hint="eastAsia" w:asciiTheme="minorEastAsia" w:hAnsiTheme="minorEastAsia" w:eastAsiaTheme="minorEastAsia" w:cstheme="minorEastAsia"/>
          <w:b/>
          <w:color w:val="auto"/>
          <w:kern w:val="0"/>
          <w:sz w:val="24"/>
          <w:highlight w:val="none"/>
          <w:lang w:val="en-US" w:eastAsia="zh-CN"/>
        </w:rPr>
        <w:t>4</w:t>
      </w:r>
      <w:r>
        <w:rPr>
          <w:rFonts w:hint="eastAsia" w:asciiTheme="minorEastAsia" w:hAnsiTheme="minorEastAsia" w:eastAsiaTheme="minorEastAsia" w:cstheme="minorEastAsia"/>
          <w:b/>
          <w:color w:val="auto"/>
          <w:kern w:val="0"/>
          <w:sz w:val="24"/>
          <w:highlight w:val="none"/>
        </w:rPr>
        <w:t>. 投标的语言及计量单位</w:t>
      </w:r>
    </w:p>
    <w:p>
      <w:pPr>
        <w:spacing w:line="360" w:lineRule="auto"/>
        <w:ind w:firstLine="480" w:firstLineChars="200"/>
        <w:jc w:val="lef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lang w:val="en-US" w:eastAsia="zh-CN"/>
        </w:rPr>
        <w:t>4</w:t>
      </w: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的投标文件以及</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与采购代理机构就有关投标的所有来往函电统一使用中文（特别规定除外）。</w:t>
      </w:r>
    </w:p>
    <w:p>
      <w:pPr>
        <w:widowControl/>
        <w:spacing w:line="360" w:lineRule="auto"/>
        <w:ind w:firstLine="43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pacing w:val="-6"/>
          <w:sz w:val="24"/>
          <w:highlight w:val="none"/>
          <w:lang w:val="en-US" w:eastAsia="zh-CN"/>
        </w:rPr>
        <w:t>4</w:t>
      </w:r>
      <w:r>
        <w:rPr>
          <w:rFonts w:hint="eastAsia" w:asciiTheme="minorEastAsia" w:hAnsiTheme="minorEastAsia" w:eastAsiaTheme="minorEastAsia" w:cstheme="minorEastAsia"/>
          <w:color w:val="auto"/>
          <w:spacing w:val="-6"/>
          <w:sz w:val="24"/>
          <w:highlight w:val="none"/>
        </w:rPr>
        <w:t>.2投标文件中使用的计量单位除</w:t>
      </w:r>
      <w:r>
        <w:rPr>
          <w:rFonts w:hint="eastAsia" w:asciiTheme="minorEastAsia" w:hAnsiTheme="minorEastAsia" w:eastAsiaTheme="minorEastAsia" w:cstheme="minorEastAsia"/>
          <w:color w:val="auto"/>
          <w:spacing w:val="-6"/>
          <w:sz w:val="24"/>
          <w:highlight w:val="none"/>
          <w:lang w:eastAsia="zh-CN"/>
        </w:rPr>
        <w:t>招标文件</w:t>
      </w:r>
      <w:r>
        <w:rPr>
          <w:rFonts w:hint="eastAsia" w:asciiTheme="minorEastAsia" w:hAnsiTheme="minorEastAsia" w:eastAsiaTheme="minorEastAsia" w:cstheme="minorEastAsia"/>
          <w:color w:val="auto"/>
          <w:spacing w:val="-6"/>
          <w:sz w:val="24"/>
          <w:highlight w:val="none"/>
        </w:rPr>
        <w:t>中有特殊规定外，一律使用中国法定计量单位。</w:t>
      </w:r>
    </w:p>
    <w:p>
      <w:pPr>
        <w:spacing w:line="360" w:lineRule="auto"/>
        <w:jc w:val="left"/>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1</w:t>
      </w:r>
      <w:r>
        <w:rPr>
          <w:rFonts w:hint="eastAsia" w:asciiTheme="minorEastAsia" w:hAnsiTheme="minorEastAsia" w:eastAsiaTheme="minorEastAsia" w:cstheme="minorEastAsia"/>
          <w:b/>
          <w:color w:val="auto"/>
          <w:kern w:val="0"/>
          <w:sz w:val="24"/>
          <w:highlight w:val="none"/>
          <w:lang w:val="en-US" w:eastAsia="zh-CN"/>
        </w:rPr>
        <w:t>5</w:t>
      </w:r>
      <w:r>
        <w:rPr>
          <w:rFonts w:hint="eastAsia" w:asciiTheme="minorEastAsia" w:hAnsiTheme="minorEastAsia" w:eastAsiaTheme="minorEastAsia" w:cstheme="minorEastAsia"/>
          <w:b/>
          <w:color w:val="auto"/>
          <w:kern w:val="0"/>
          <w:sz w:val="24"/>
          <w:highlight w:val="none"/>
        </w:rPr>
        <w:t>. 投标文件构成</w:t>
      </w:r>
    </w:p>
    <w:p>
      <w:pPr>
        <w:spacing w:line="360" w:lineRule="auto"/>
        <w:ind w:firstLine="480" w:firstLineChars="200"/>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stheme="minorEastAsia"/>
          <w:color w:val="auto"/>
          <w:kern w:val="0"/>
          <w:sz w:val="24"/>
          <w:highlight w:val="none"/>
          <w:lang w:val="en-US" w:eastAsia="zh-CN"/>
        </w:rPr>
        <w:t>15</w:t>
      </w:r>
      <w:r>
        <w:rPr>
          <w:rFonts w:hint="eastAsia" w:asciiTheme="minorEastAsia" w:hAnsiTheme="minorEastAsia" w:eastAsiaTheme="minorEastAsia" w:cstheme="minorEastAsia"/>
          <w:color w:val="auto"/>
          <w:kern w:val="0"/>
          <w:sz w:val="24"/>
          <w:highlight w:val="none"/>
        </w:rPr>
        <w:t>.1</w:t>
      </w:r>
      <w:r>
        <w:rPr>
          <w:rFonts w:hint="eastAsia" w:cs="宋体" w:asciiTheme="minorEastAsia" w:hAnsiTheme="minorEastAsia" w:eastAsiaTheme="minorEastAsia"/>
          <w:color w:val="auto"/>
          <w:kern w:val="0"/>
          <w:sz w:val="24"/>
          <w:szCs w:val="24"/>
          <w:highlight w:val="none"/>
        </w:rPr>
        <w:t>投标文件应由下列部分构成：</w:t>
      </w:r>
    </w:p>
    <w:p>
      <w:pPr>
        <w:spacing w:line="360" w:lineRule="auto"/>
        <w:ind w:firstLine="480" w:firstLineChars="200"/>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（1）资格审查部分</w:t>
      </w:r>
    </w:p>
    <w:p>
      <w:pPr>
        <w:spacing w:line="360" w:lineRule="auto"/>
        <w:ind w:firstLine="480" w:firstLineChars="200"/>
        <w:rPr>
          <w:rFonts w:hint="eastAsia" w:cs="宋体" w:asciiTheme="minorEastAsia" w:hAnsiTheme="minorEastAsia" w:eastAsiaTheme="minorEastAsia"/>
          <w:color w:val="auto"/>
          <w:kern w:val="0"/>
          <w:sz w:val="24"/>
          <w:szCs w:val="24"/>
          <w:highlight w:val="none"/>
          <w:lang w:eastAsia="zh-CN"/>
        </w:rPr>
      </w:pPr>
      <w:r>
        <w:rPr>
          <w:rFonts w:hint="eastAsia" w:cs="宋体" w:asciiTheme="minorEastAsia" w:hAnsiTheme="minorEastAsia" w:eastAsiaTheme="minorEastAsia"/>
          <w:color w:val="auto"/>
          <w:kern w:val="0"/>
          <w:sz w:val="24"/>
          <w:szCs w:val="24"/>
          <w:highlight w:val="none"/>
        </w:rPr>
        <w:t>（2）</w:t>
      </w:r>
      <w:r>
        <w:rPr>
          <w:rFonts w:hint="eastAsia" w:cs="宋体" w:asciiTheme="minorEastAsia" w:hAnsiTheme="minorEastAsia" w:eastAsiaTheme="minorEastAsia"/>
          <w:color w:val="auto"/>
          <w:kern w:val="0"/>
          <w:sz w:val="24"/>
          <w:szCs w:val="24"/>
          <w:highlight w:val="none"/>
          <w:lang w:eastAsia="zh-CN"/>
        </w:rPr>
        <w:t>投标报价部分</w:t>
      </w:r>
    </w:p>
    <w:p>
      <w:pPr>
        <w:spacing w:line="360" w:lineRule="auto"/>
        <w:ind w:firstLine="480" w:firstLineChars="200"/>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lang w:eastAsia="zh-CN"/>
        </w:rPr>
        <w:t>（</w:t>
      </w:r>
      <w:r>
        <w:rPr>
          <w:rFonts w:hint="eastAsia" w:cs="宋体" w:asciiTheme="minorEastAsia" w:hAnsiTheme="minorEastAsia" w:eastAsiaTheme="minorEastAsia"/>
          <w:color w:val="auto"/>
          <w:kern w:val="0"/>
          <w:sz w:val="24"/>
          <w:szCs w:val="24"/>
          <w:highlight w:val="none"/>
          <w:lang w:val="en-US" w:eastAsia="zh-CN"/>
        </w:rPr>
        <w:t>3</w:t>
      </w:r>
      <w:r>
        <w:rPr>
          <w:rFonts w:hint="eastAsia" w:cs="宋体" w:asciiTheme="minorEastAsia" w:hAnsiTheme="minorEastAsia" w:eastAsiaTheme="minorEastAsia"/>
          <w:color w:val="auto"/>
          <w:kern w:val="0"/>
          <w:sz w:val="24"/>
          <w:szCs w:val="24"/>
          <w:highlight w:val="none"/>
          <w:lang w:eastAsia="zh-CN"/>
        </w:rPr>
        <w:t>）</w:t>
      </w:r>
      <w:r>
        <w:rPr>
          <w:rFonts w:hint="eastAsia" w:cs="宋体" w:asciiTheme="minorEastAsia" w:hAnsiTheme="minorEastAsia" w:eastAsiaTheme="minorEastAsia"/>
          <w:color w:val="auto"/>
          <w:kern w:val="0"/>
          <w:sz w:val="24"/>
          <w:szCs w:val="24"/>
          <w:highlight w:val="none"/>
          <w:lang w:val="en-US" w:eastAsia="zh-CN"/>
        </w:rPr>
        <w:t>商务、</w:t>
      </w:r>
      <w:r>
        <w:rPr>
          <w:rFonts w:hint="eastAsia" w:cs="宋体" w:asciiTheme="minorEastAsia" w:hAnsiTheme="minorEastAsia" w:eastAsiaTheme="minorEastAsia"/>
          <w:color w:val="auto"/>
          <w:kern w:val="0"/>
          <w:sz w:val="24"/>
          <w:szCs w:val="24"/>
          <w:highlight w:val="none"/>
        </w:rPr>
        <w:t>技术部分</w:t>
      </w:r>
    </w:p>
    <w:p>
      <w:pPr>
        <w:spacing w:line="360" w:lineRule="auto"/>
        <w:jc w:val="left"/>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1</w:t>
      </w:r>
      <w:r>
        <w:rPr>
          <w:rFonts w:hint="eastAsia" w:asciiTheme="minorEastAsia" w:hAnsiTheme="minorEastAsia" w:eastAsiaTheme="minorEastAsia" w:cstheme="minorEastAsia"/>
          <w:b/>
          <w:color w:val="auto"/>
          <w:kern w:val="0"/>
          <w:sz w:val="24"/>
          <w:highlight w:val="none"/>
          <w:lang w:val="en-US" w:eastAsia="zh-CN"/>
        </w:rPr>
        <w:t>6</w:t>
      </w:r>
      <w:r>
        <w:rPr>
          <w:rFonts w:hint="eastAsia" w:asciiTheme="minorEastAsia" w:hAnsiTheme="minorEastAsia" w:eastAsiaTheme="minorEastAsia" w:cstheme="minorEastAsia"/>
          <w:b/>
          <w:color w:val="auto"/>
          <w:kern w:val="0"/>
          <w:sz w:val="24"/>
          <w:highlight w:val="none"/>
        </w:rPr>
        <w:t>. 投标文件的格式要求</w:t>
      </w:r>
    </w:p>
    <w:p>
      <w:pPr>
        <w:pStyle w:val="25"/>
        <w:tabs>
          <w:tab w:val="left" w:pos="3030"/>
        </w:tabs>
        <w:spacing w:line="360" w:lineRule="auto"/>
        <w:ind w:firstLine="480" w:firstLineChars="200"/>
        <w:rPr>
          <w:rFonts w:hint="default" w:asciiTheme="minorEastAsia" w:hAnsiTheme="minorEastAsia" w:eastAsiaTheme="minorEastAsia" w:cstheme="minorEastAsia"/>
          <w:bCs/>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lang w:val="en-US" w:eastAsia="zh-CN"/>
        </w:rPr>
        <w:t>6</w:t>
      </w: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应按“投标文件格式”提供的格式完整地填写，如有必要，可以增加附页，作为投标文件的组成部分</w:t>
      </w:r>
      <w:r>
        <w:rPr>
          <w:rFonts w:hint="eastAsia" w:asciiTheme="minorEastAsia" w:hAnsiTheme="minorEastAsia" w:eastAsiaTheme="minorEastAsia" w:cstheme="minorEastAsia"/>
          <w:color w:val="auto"/>
          <w:kern w:val="0"/>
          <w:sz w:val="24"/>
          <w:highlight w:val="none"/>
          <w:lang w:eastAsia="zh-CN"/>
        </w:rPr>
        <w:t>，</w:t>
      </w:r>
      <w:r>
        <w:rPr>
          <w:rFonts w:hint="eastAsia" w:asciiTheme="minorEastAsia" w:hAnsiTheme="minorEastAsia" w:eastAsiaTheme="minorEastAsia" w:cstheme="minorEastAsia"/>
          <w:color w:val="auto"/>
          <w:kern w:val="0"/>
          <w:sz w:val="24"/>
          <w:highlight w:val="none"/>
          <w:lang w:val="en-US" w:eastAsia="zh-CN"/>
        </w:rPr>
        <w:t>未提供指定格式的部分由供应商根据自己的实际情况自行确定。</w:t>
      </w:r>
    </w:p>
    <w:p>
      <w:pPr>
        <w:spacing w:line="360" w:lineRule="auto"/>
        <w:jc w:val="left"/>
        <w:rPr>
          <w:rFonts w:hint="default" w:asciiTheme="minorEastAsia" w:hAnsiTheme="minorEastAsia" w:eastAsiaTheme="minorEastAsia" w:cstheme="minorEastAsia"/>
          <w:b/>
          <w:color w:val="auto"/>
          <w:kern w:val="0"/>
          <w:sz w:val="24"/>
          <w:highlight w:val="none"/>
          <w:lang w:val="en-US" w:eastAsia="zh-CN"/>
        </w:rPr>
      </w:pPr>
      <w:r>
        <w:rPr>
          <w:rFonts w:hint="eastAsia" w:asciiTheme="minorEastAsia" w:hAnsiTheme="minorEastAsia" w:eastAsiaTheme="minorEastAsia" w:cstheme="minorEastAsia"/>
          <w:b/>
          <w:color w:val="auto"/>
          <w:kern w:val="0"/>
          <w:sz w:val="24"/>
          <w:highlight w:val="none"/>
        </w:rPr>
        <w:t>1</w:t>
      </w:r>
      <w:r>
        <w:rPr>
          <w:rFonts w:hint="eastAsia" w:asciiTheme="minorEastAsia" w:hAnsiTheme="minorEastAsia" w:eastAsiaTheme="minorEastAsia" w:cstheme="minorEastAsia"/>
          <w:b/>
          <w:color w:val="auto"/>
          <w:kern w:val="0"/>
          <w:sz w:val="24"/>
          <w:highlight w:val="none"/>
          <w:lang w:val="en-US" w:eastAsia="zh-CN"/>
        </w:rPr>
        <w:t>7</w:t>
      </w:r>
      <w:r>
        <w:rPr>
          <w:rFonts w:hint="eastAsia" w:asciiTheme="minorEastAsia" w:hAnsiTheme="minorEastAsia" w:eastAsiaTheme="minorEastAsia" w:cstheme="minorEastAsia"/>
          <w:b/>
          <w:color w:val="auto"/>
          <w:kern w:val="0"/>
          <w:sz w:val="24"/>
          <w:highlight w:val="none"/>
        </w:rPr>
        <w:t>. 投标报价</w:t>
      </w:r>
      <w:r>
        <w:rPr>
          <w:rFonts w:hint="eastAsia" w:asciiTheme="minorEastAsia" w:hAnsiTheme="minorEastAsia" w:eastAsiaTheme="minorEastAsia" w:cstheme="minorEastAsia"/>
          <w:b/>
          <w:color w:val="auto"/>
          <w:kern w:val="0"/>
          <w:sz w:val="24"/>
          <w:highlight w:val="none"/>
          <w:lang w:val="en-US" w:eastAsia="zh-CN"/>
        </w:rPr>
        <w:t>及其他说明：</w:t>
      </w:r>
      <w:r>
        <w:rPr>
          <w:rFonts w:hint="eastAsia" w:asciiTheme="minorEastAsia" w:hAnsiTheme="minorEastAsia" w:eastAsiaTheme="minorEastAsia" w:cstheme="minorEastAsia"/>
          <w:color w:val="auto"/>
          <w:spacing w:val="-6"/>
          <w:kern w:val="0"/>
          <w:sz w:val="24"/>
          <w:highlight w:val="none"/>
        </w:rPr>
        <w:t>详见</w:t>
      </w:r>
      <w:r>
        <w:rPr>
          <w:rFonts w:hint="eastAsia" w:asciiTheme="minorEastAsia" w:hAnsiTheme="minorEastAsia" w:eastAsiaTheme="minorEastAsia" w:cstheme="minorEastAsia"/>
          <w:color w:val="auto"/>
          <w:spacing w:val="-6"/>
          <w:kern w:val="0"/>
          <w:sz w:val="24"/>
          <w:highlight w:val="none"/>
          <w:lang w:eastAsia="zh-CN"/>
        </w:rPr>
        <w:t>招标文件</w:t>
      </w:r>
      <w:r>
        <w:rPr>
          <w:rFonts w:hint="eastAsia" w:asciiTheme="minorEastAsia" w:hAnsiTheme="minorEastAsia" w:eastAsiaTheme="minorEastAsia" w:cstheme="minorEastAsia"/>
          <w:color w:val="auto"/>
          <w:spacing w:val="-6"/>
          <w:kern w:val="0"/>
          <w:sz w:val="24"/>
          <w:highlight w:val="none"/>
        </w:rPr>
        <w:t>“</w:t>
      </w:r>
      <w:r>
        <w:rPr>
          <w:rFonts w:hint="eastAsia" w:asciiTheme="minorEastAsia" w:hAnsiTheme="minorEastAsia" w:eastAsiaTheme="minorEastAsia" w:cstheme="minorEastAsia"/>
          <w:b w:val="0"/>
          <w:bCs/>
          <w:color w:val="auto"/>
          <w:spacing w:val="-6"/>
          <w:kern w:val="0"/>
          <w:sz w:val="24"/>
          <w:highlight w:val="none"/>
          <w:lang w:eastAsia="zh-CN"/>
        </w:rPr>
        <w:t>供应商</w:t>
      </w:r>
      <w:r>
        <w:rPr>
          <w:rFonts w:hint="eastAsia" w:asciiTheme="minorEastAsia" w:hAnsiTheme="minorEastAsia" w:eastAsiaTheme="minorEastAsia" w:cstheme="minorEastAsia"/>
          <w:b w:val="0"/>
          <w:bCs/>
          <w:color w:val="auto"/>
          <w:spacing w:val="-6"/>
          <w:kern w:val="0"/>
          <w:sz w:val="24"/>
          <w:highlight w:val="none"/>
        </w:rPr>
        <w:t>须知前附表”</w:t>
      </w:r>
      <w:r>
        <w:rPr>
          <w:rFonts w:hint="eastAsia" w:asciiTheme="minorEastAsia" w:hAnsiTheme="minorEastAsia" w:eastAsiaTheme="minorEastAsia" w:cstheme="minorEastAsia"/>
          <w:color w:val="auto"/>
          <w:spacing w:val="-6"/>
          <w:kern w:val="0"/>
          <w:sz w:val="24"/>
          <w:highlight w:val="none"/>
        </w:rPr>
        <w:t>。</w:t>
      </w:r>
      <w:r>
        <w:rPr>
          <w:rFonts w:hint="eastAsia" w:asciiTheme="minorEastAsia" w:hAnsiTheme="minorEastAsia" w:eastAsiaTheme="minorEastAsia" w:cstheme="minorEastAsia"/>
          <w:color w:val="auto"/>
          <w:spacing w:val="-6"/>
          <w:kern w:val="0"/>
          <w:sz w:val="24"/>
          <w:highlight w:val="none"/>
          <w:lang w:val="en-US" w:eastAsia="zh-CN"/>
        </w:rPr>
        <w:t xml:space="preserve"> </w:t>
      </w:r>
    </w:p>
    <w:p>
      <w:pPr>
        <w:spacing w:line="360" w:lineRule="auto"/>
        <w:jc w:val="left"/>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1</w:t>
      </w:r>
      <w:r>
        <w:rPr>
          <w:rFonts w:hint="eastAsia" w:asciiTheme="minorEastAsia" w:hAnsiTheme="minorEastAsia" w:eastAsiaTheme="minorEastAsia" w:cstheme="minorEastAsia"/>
          <w:b/>
          <w:color w:val="auto"/>
          <w:kern w:val="0"/>
          <w:sz w:val="24"/>
          <w:highlight w:val="none"/>
          <w:lang w:val="en-US" w:eastAsia="zh-CN"/>
        </w:rPr>
        <w:t>8</w:t>
      </w:r>
      <w:r>
        <w:rPr>
          <w:rFonts w:hint="eastAsia" w:asciiTheme="minorEastAsia" w:hAnsiTheme="minorEastAsia" w:eastAsiaTheme="minorEastAsia" w:cstheme="minorEastAsia"/>
          <w:b/>
          <w:color w:val="auto"/>
          <w:kern w:val="0"/>
          <w:sz w:val="24"/>
          <w:highlight w:val="none"/>
        </w:rPr>
        <w:t>. 投标货币</w:t>
      </w:r>
    </w:p>
    <w:p>
      <w:pPr>
        <w:pStyle w:val="25"/>
        <w:spacing w:line="360" w:lineRule="auto"/>
        <w:ind w:firstLine="480" w:firstLineChars="200"/>
        <w:rPr>
          <w:rFonts w:hint="eastAsia" w:asciiTheme="minorEastAsia" w:hAnsiTheme="minorEastAsia" w:eastAsiaTheme="minorEastAsia" w:cstheme="minorEastAsia"/>
          <w:bCs/>
          <w:color w:val="auto"/>
          <w:kern w:val="0"/>
          <w:sz w:val="24"/>
          <w:highlight w:val="none"/>
        </w:rPr>
      </w:pP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lang w:val="en-US" w:eastAsia="zh-CN"/>
        </w:rPr>
        <w:t>8</w:t>
      </w:r>
      <w:r>
        <w:rPr>
          <w:rFonts w:hint="eastAsia" w:asciiTheme="minorEastAsia" w:hAnsiTheme="minorEastAsia" w:eastAsiaTheme="minorEastAsia" w:cstheme="minorEastAsia"/>
          <w:color w:val="auto"/>
          <w:kern w:val="0"/>
          <w:sz w:val="24"/>
          <w:highlight w:val="none"/>
        </w:rPr>
        <w:t>.1投标应以人民币报价。</w:t>
      </w:r>
    </w:p>
    <w:p>
      <w:pPr>
        <w:spacing w:line="360" w:lineRule="auto"/>
        <w:rPr>
          <w:rFonts w:hint="eastAsia" w:asciiTheme="minorEastAsia" w:hAnsiTheme="minorEastAsia" w:eastAsiaTheme="minorEastAsia" w:cstheme="minorEastAsia"/>
          <w:b/>
          <w:color w:val="auto"/>
          <w:kern w:val="0"/>
          <w:sz w:val="24"/>
          <w:highlight w:val="none"/>
        </w:rPr>
      </w:pPr>
      <w:bookmarkStart w:id="185" w:name="_Toc259449743"/>
      <w:bookmarkStart w:id="186" w:name="_Toc372105047"/>
      <w:r>
        <w:rPr>
          <w:rFonts w:hint="eastAsia" w:asciiTheme="minorEastAsia" w:hAnsiTheme="minorEastAsia" w:eastAsiaTheme="minorEastAsia" w:cstheme="minorEastAsia"/>
          <w:b/>
          <w:color w:val="auto"/>
          <w:kern w:val="0"/>
          <w:sz w:val="24"/>
          <w:highlight w:val="none"/>
        </w:rPr>
        <w:t>1</w:t>
      </w:r>
      <w:r>
        <w:rPr>
          <w:rFonts w:hint="eastAsia" w:asciiTheme="minorEastAsia" w:hAnsiTheme="minorEastAsia" w:eastAsiaTheme="minorEastAsia" w:cstheme="minorEastAsia"/>
          <w:b/>
          <w:color w:val="auto"/>
          <w:kern w:val="0"/>
          <w:sz w:val="24"/>
          <w:highlight w:val="none"/>
          <w:lang w:val="en-US" w:eastAsia="zh-CN"/>
        </w:rPr>
        <w:t>9</w:t>
      </w:r>
      <w:r>
        <w:rPr>
          <w:rFonts w:hint="eastAsia" w:asciiTheme="minorEastAsia" w:hAnsiTheme="minorEastAsia" w:eastAsiaTheme="minorEastAsia" w:cstheme="minorEastAsia"/>
          <w:b/>
          <w:color w:val="auto"/>
          <w:kern w:val="0"/>
          <w:sz w:val="24"/>
          <w:highlight w:val="none"/>
        </w:rPr>
        <w:t>．备选投标方案</w:t>
      </w:r>
      <w:bookmarkEnd w:id="185"/>
      <w:bookmarkEnd w:id="186"/>
    </w:p>
    <w:p>
      <w:pPr>
        <w:spacing w:line="360" w:lineRule="auto"/>
        <w:ind w:left="0" w:leftChars="0" w:firstLine="420" w:firstLineChars="175"/>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19.1</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不得</w:t>
      </w:r>
      <w:r>
        <w:rPr>
          <w:rFonts w:hint="eastAsia" w:asciiTheme="minorEastAsia" w:hAnsiTheme="minorEastAsia" w:eastAsiaTheme="minorEastAsia" w:cstheme="minorEastAsia"/>
          <w:color w:val="auto"/>
          <w:kern w:val="0"/>
          <w:sz w:val="24"/>
          <w:highlight w:val="none"/>
          <w:lang w:eastAsia="zh-CN"/>
        </w:rPr>
        <w:t>提交</w:t>
      </w:r>
      <w:r>
        <w:rPr>
          <w:rFonts w:hint="eastAsia" w:asciiTheme="minorEastAsia" w:hAnsiTheme="minorEastAsia" w:eastAsiaTheme="minorEastAsia" w:cstheme="minorEastAsia"/>
          <w:color w:val="auto"/>
          <w:kern w:val="0"/>
          <w:sz w:val="24"/>
          <w:highlight w:val="none"/>
        </w:rPr>
        <w:t>备选投标方案。</w:t>
      </w:r>
    </w:p>
    <w:p>
      <w:pPr>
        <w:spacing w:line="360" w:lineRule="auto"/>
        <w:jc w:val="left"/>
        <w:rPr>
          <w:rFonts w:hint="eastAsia" w:asciiTheme="minorEastAsia" w:hAnsiTheme="minorEastAsia" w:eastAsiaTheme="minorEastAsia" w:cstheme="minorEastAsia"/>
          <w:b/>
          <w:color w:val="auto"/>
          <w:kern w:val="0"/>
          <w:sz w:val="24"/>
          <w:highlight w:val="none"/>
          <w:lang w:eastAsia="zh-CN"/>
        </w:rPr>
      </w:pPr>
      <w:r>
        <w:rPr>
          <w:rFonts w:hint="eastAsia" w:asciiTheme="minorEastAsia" w:hAnsiTheme="minorEastAsia" w:eastAsiaTheme="minorEastAsia" w:cstheme="minorEastAsia"/>
          <w:b/>
          <w:color w:val="auto"/>
          <w:kern w:val="0"/>
          <w:sz w:val="24"/>
          <w:highlight w:val="none"/>
          <w:lang w:val="en-US" w:eastAsia="zh-CN"/>
        </w:rPr>
        <w:t>20</w:t>
      </w:r>
      <w:r>
        <w:rPr>
          <w:rFonts w:hint="eastAsia" w:asciiTheme="minorEastAsia" w:hAnsiTheme="minorEastAsia" w:eastAsiaTheme="minorEastAsia" w:cstheme="minorEastAsia"/>
          <w:b/>
          <w:color w:val="auto"/>
          <w:kern w:val="0"/>
          <w:sz w:val="24"/>
          <w:highlight w:val="none"/>
        </w:rPr>
        <w:t xml:space="preserve">. </w:t>
      </w:r>
      <w:r>
        <w:rPr>
          <w:rFonts w:hint="eastAsia" w:asciiTheme="minorEastAsia" w:hAnsiTheme="minorEastAsia" w:eastAsiaTheme="minorEastAsia" w:cstheme="minorEastAsia"/>
          <w:b/>
          <w:color w:val="auto"/>
          <w:kern w:val="0"/>
          <w:sz w:val="24"/>
          <w:highlight w:val="none"/>
          <w:lang w:eastAsia="zh-CN"/>
        </w:rPr>
        <w:t>投标有效期</w:t>
      </w:r>
    </w:p>
    <w:p>
      <w:pPr>
        <w:pStyle w:val="25"/>
        <w:spacing w:line="360" w:lineRule="auto"/>
        <w:ind w:left="719" w:leftChars="228" w:hanging="240" w:hangingChars="1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20</w:t>
      </w: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lang w:eastAsia="zh-CN"/>
        </w:rPr>
        <w:t>投标有效期</w:t>
      </w:r>
      <w:r>
        <w:rPr>
          <w:rFonts w:hint="eastAsia" w:asciiTheme="minorEastAsia" w:hAnsiTheme="minorEastAsia" w:eastAsiaTheme="minorEastAsia" w:cstheme="minorEastAsia"/>
          <w:color w:val="auto"/>
          <w:kern w:val="0"/>
          <w:sz w:val="24"/>
          <w:highlight w:val="none"/>
        </w:rPr>
        <w:t>必须</w:t>
      </w:r>
      <w:r>
        <w:rPr>
          <w:rFonts w:hint="eastAsia" w:asciiTheme="minorEastAsia" w:hAnsiTheme="minorEastAsia" w:eastAsiaTheme="minorEastAsia" w:cstheme="minorEastAsia"/>
          <w:color w:val="auto"/>
          <w:spacing w:val="-4"/>
          <w:sz w:val="24"/>
          <w:highlight w:val="none"/>
          <w:lang w:eastAsia="zh-CN"/>
        </w:rPr>
        <w:t>与</w:t>
      </w:r>
      <w:r>
        <w:rPr>
          <w:rFonts w:hint="eastAsia" w:asciiTheme="minorEastAsia" w:hAnsiTheme="minorEastAsia" w:eastAsiaTheme="minorEastAsia" w:cstheme="minorEastAsia"/>
          <w:color w:val="auto"/>
          <w:spacing w:val="-4"/>
          <w:sz w:val="24"/>
          <w:highlight w:val="none"/>
        </w:rPr>
        <w:t>“</w:t>
      </w:r>
      <w:r>
        <w:rPr>
          <w:rFonts w:hint="eastAsia" w:asciiTheme="minorEastAsia" w:hAnsiTheme="minorEastAsia" w:eastAsiaTheme="minorEastAsia" w:cstheme="minorEastAsia"/>
          <w:color w:val="auto"/>
          <w:spacing w:val="-4"/>
          <w:sz w:val="24"/>
          <w:highlight w:val="none"/>
          <w:lang w:eastAsia="zh-CN"/>
        </w:rPr>
        <w:t>供应商</w:t>
      </w:r>
      <w:r>
        <w:rPr>
          <w:rFonts w:hint="eastAsia" w:asciiTheme="minorEastAsia" w:hAnsiTheme="minorEastAsia" w:eastAsiaTheme="minorEastAsia" w:cstheme="minorEastAsia"/>
          <w:color w:val="auto"/>
          <w:spacing w:val="-4"/>
          <w:sz w:val="24"/>
          <w:highlight w:val="none"/>
        </w:rPr>
        <w:t>须知前附表”规</w:t>
      </w:r>
      <w:r>
        <w:rPr>
          <w:rFonts w:hint="eastAsia" w:asciiTheme="minorEastAsia" w:hAnsiTheme="minorEastAsia" w:eastAsiaTheme="minorEastAsia" w:cstheme="minorEastAsia"/>
          <w:color w:val="auto"/>
          <w:kern w:val="0"/>
          <w:sz w:val="24"/>
          <w:highlight w:val="none"/>
        </w:rPr>
        <w:t>定的时间保持</w:t>
      </w:r>
      <w:r>
        <w:rPr>
          <w:rFonts w:hint="eastAsia" w:asciiTheme="minorEastAsia" w:hAnsiTheme="minorEastAsia" w:eastAsiaTheme="minorEastAsia" w:cstheme="minorEastAsia"/>
          <w:color w:val="auto"/>
          <w:kern w:val="0"/>
          <w:sz w:val="24"/>
          <w:highlight w:val="none"/>
          <w:lang w:eastAsia="zh-CN"/>
        </w:rPr>
        <w:t>一致</w:t>
      </w:r>
      <w:r>
        <w:rPr>
          <w:rFonts w:hint="eastAsia" w:asciiTheme="minorEastAsia" w:hAnsiTheme="minorEastAsia" w:eastAsiaTheme="minorEastAsia" w:cstheme="minorEastAsia"/>
          <w:color w:val="auto"/>
          <w:kern w:val="0"/>
          <w:sz w:val="24"/>
          <w:highlight w:val="none"/>
        </w:rPr>
        <w:t>。</w:t>
      </w:r>
    </w:p>
    <w:p>
      <w:pPr>
        <w:pStyle w:val="25"/>
        <w:spacing w:line="360" w:lineRule="auto"/>
        <w:ind w:firstLine="480" w:firstLineChars="200"/>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20</w:t>
      </w:r>
      <w:r>
        <w:rPr>
          <w:rFonts w:hint="eastAsia" w:asciiTheme="minorEastAsia" w:hAnsiTheme="minorEastAsia" w:eastAsiaTheme="minorEastAsia" w:cstheme="minorEastAsia"/>
          <w:color w:val="auto"/>
          <w:kern w:val="0"/>
          <w:sz w:val="24"/>
          <w:highlight w:val="none"/>
        </w:rPr>
        <w:t>.2在特殊情况下，采购人可与</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协商延长投标文件的有效期，这种要求与答复均应以书面形式提交。</w:t>
      </w:r>
    </w:p>
    <w:p>
      <w:pPr>
        <w:spacing w:line="360" w:lineRule="auto"/>
        <w:jc w:val="left"/>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21</w:t>
      </w:r>
      <w:r>
        <w:rPr>
          <w:rFonts w:hint="eastAsia" w:asciiTheme="minorEastAsia" w:hAnsiTheme="minorEastAsia" w:eastAsiaTheme="minorEastAsia" w:cstheme="minorEastAsia"/>
          <w:b/>
          <w:bCs/>
          <w:color w:val="auto"/>
          <w:sz w:val="24"/>
          <w:highlight w:val="none"/>
        </w:rPr>
        <w:t>.</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color w:val="auto"/>
          <w:kern w:val="0"/>
          <w:sz w:val="24"/>
          <w:highlight w:val="none"/>
        </w:rPr>
        <w:t>投标文件的签章和签</w:t>
      </w:r>
      <w:r>
        <w:rPr>
          <w:rFonts w:hint="eastAsia" w:asciiTheme="minorEastAsia" w:hAnsiTheme="minorEastAsia" w:eastAsiaTheme="minorEastAsia" w:cstheme="minorEastAsia"/>
          <w:b/>
          <w:color w:val="auto"/>
          <w:kern w:val="0"/>
          <w:sz w:val="24"/>
          <w:highlight w:val="none"/>
          <w:lang w:val="en-US" w:eastAsia="zh-CN"/>
        </w:rPr>
        <w:t>字</w:t>
      </w:r>
      <w:r>
        <w:rPr>
          <w:rFonts w:hint="eastAsia" w:asciiTheme="minorEastAsia" w:hAnsiTheme="minorEastAsia" w:eastAsiaTheme="minorEastAsia" w:cstheme="minorEastAsia"/>
          <w:b/>
          <w:color w:val="auto"/>
          <w:kern w:val="0"/>
          <w:sz w:val="24"/>
          <w:highlight w:val="none"/>
        </w:rPr>
        <w:t>要求</w:t>
      </w:r>
      <w:r>
        <w:rPr>
          <w:rFonts w:hint="eastAsia" w:asciiTheme="minorEastAsia" w:hAnsiTheme="minorEastAsia" w:eastAsiaTheme="minorEastAsia" w:cstheme="minorEastAsia"/>
          <w:b/>
          <w:color w:val="auto"/>
          <w:kern w:val="0"/>
          <w:sz w:val="24"/>
          <w:highlight w:val="none"/>
          <w:lang w:eastAsia="zh-CN"/>
        </w:rPr>
        <w:t>：</w:t>
      </w:r>
      <w:r>
        <w:rPr>
          <w:rFonts w:hint="eastAsia" w:asciiTheme="minorEastAsia" w:hAnsiTheme="minorEastAsia" w:eastAsiaTheme="minorEastAsia" w:cstheme="minorEastAsia"/>
          <w:color w:val="auto"/>
          <w:sz w:val="24"/>
          <w:highlight w:val="none"/>
        </w:rPr>
        <w:t>见</w:t>
      </w: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须知前附表”</w:t>
      </w:r>
    </w:p>
    <w:p>
      <w:pPr>
        <w:numPr>
          <w:ilvl w:val="0"/>
          <w:numId w:val="6"/>
        </w:numPr>
        <w:spacing w:line="360" w:lineRule="auto"/>
        <w:jc w:val="left"/>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投标保证金</w:t>
      </w:r>
    </w:p>
    <w:p>
      <w:pPr>
        <w:pStyle w:val="25"/>
        <w:tabs>
          <w:tab w:val="left" w:pos="710"/>
        </w:tabs>
        <w:spacing w:line="360" w:lineRule="auto"/>
        <w:ind w:firstLine="480" w:firstLineChars="200"/>
        <w:rPr>
          <w:rFonts w:hint="eastAsia" w:asciiTheme="minorEastAsia" w:hAnsiTheme="minorEastAsia" w:eastAsiaTheme="minorEastAsia" w:cstheme="minorEastAsia"/>
          <w:color w:val="auto"/>
          <w:kern w:val="0"/>
          <w:sz w:val="24"/>
          <w:highlight w:val="none"/>
        </w:rPr>
      </w:pPr>
      <w:bookmarkStart w:id="187" w:name="_Toc232509429"/>
      <w:r>
        <w:rPr>
          <w:rFonts w:hint="eastAsia" w:asciiTheme="minorEastAsia" w:hAnsiTheme="minorEastAsia" w:eastAsiaTheme="minorEastAsia" w:cstheme="minorEastAsia"/>
          <w:color w:val="auto"/>
          <w:kern w:val="0"/>
          <w:sz w:val="24"/>
          <w:highlight w:val="none"/>
          <w:lang w:val="en-US" w:eastAsia="zh-CN"/>
        </w:rPr>
        <w:t>22</w:t>
      </w:r>
      <w:r>
        <w:rPr>
          <w:rFonts w:hint="eastAsia" w:asciiTheme="minorEastAsia" w:hAnsiTheme="minorEastAsia" w:eastAsiaTheme="minorEastAsia" w:cstheme="minorEastAsia"/>
          <w:color w:val="auto"/>
          <w:kern w:val="0"/>
          <w:sz w:val="24"/>
          <w:highlight w:val="none"/>
        </w:rPr>
        <w:t>.1本项目不收取投标保证金。</w:t>
      </w:r>
    </w:p>
    <w:bookmarkEnd w:id="187"/>
    <w:p>
      <w:pPr>
        <w:pStyle w:val="4"/>
        <w:numPr>
          <w:ilvl w:val="0"/>
          <w:numId w:val="0"/>
        </w:numPr>
        <w:ind w:left="0" w:leftChars="0" w:firstLine="0" w:firstLineChars="0"/>
        <w:jc w:val="center"/>
        <w:rPr>
          <w:rFonts w:hint="eastAsia" w:asciiTheme="minorEastAsia" w:hAnsiTheme="minorEastAsia" w:eastAsiaTheme="minorEastAsia" w:cstheme="minorEastAsia"/>
          <w:color w:val="auto"/>
          <w:kern w:val="0"/>
          <w:sz w:val="30"/>
          <w:szCs w:val="30"/>
          <w:highlight w:val="none"/>
        </w:rPr>
      </w:pPr>
      <w:bookmarkStart w:id="188" w:name="_Toc26953"/>
      <w:bookmarkStart w:id="189" w:name="_Toc4204"/>
      <w:bookmarkStart w:id="190" w:name="_Toc14552"/>
      <w:bookmarkStart w:id="191" w:name="_Toc11626"/>
      <w:bookmarkStart w:id="192" w:name="_Toc30865"/>
      <w:bookmarkStart w:id="193" w:name="_Toc17726"/>
      <w:bookmarkStart w:id="194" w:name="_Toc14936911"/>
      <w:bookmarkStart w:id="195" w:name="_Toc213141090"/>
      <w:r>
        <w:rPr>
          <w:rFonts w:hint="eastAsia" w:asciiTheme="minorEastAsia" w:hAnsiTheme="minorEastAsia" w:eastAsiaTheme="minorEastAsia" w:cstheme="minorEastAsia"/>
          <w:b/>
          <w:bCs/>
          <w:color w:val="auto"/>
          <w:kern w:val="0"/>
          <w:sz w:val="30"/>
          <w:szCs w:val="30"/>
          <w:highlight w:val="none"/>
          <w:lang w:eastAsia="zh-CN"/>
        </w:rPr>
        <w:t>（</w:t>
      </w:r>
      <w:r>
        <w:rPr>
          <w:rFonts w:hint="eastAsia" w:asciiTheme="minorEastAsia" w:hAnsiTheme="minorEastAsia" w:eastAsiaTheme="minorEastAsia" w:cstheme="minorEastAsia"/>
          <w:b/>
          <w:bCs/>
          <w:color w:val="auto"/>
          <w:kern w:val="0"/>
          <w:sz w:val="30"/>
          <w:szCs w:val="30"/>
          <w:highlight w:val="none"/>
        </w:rPr>
        <w:t>四</w:t>
      </w:r>
      <w:r>
        <w:rPr>
          <w:rFonts w:hint="eastAsia" w:asciiTheme="minorEastAsia" w:hAnsiTheme="minorEastAsia" w:eastAsiaTheme="minorEastAsia" w:cstheme="minorEastAsia"/>
          <w:b/>
          <w:bCs/>
          <w:color w:val="auto"/>
          <w:kern w:val="0"/>
          <w:sz w:val="30"/>
          <w:szCs w:val="30"/>
          <w:highlight w:val="none"/>
          <w:lang w:eastAsia="zh-CN"/>
        </w:rPr>
        <w:t>）</w:t>
      </w:r>
      <w:r>
        <w:rPr>
          <w:rFonts w:hint="eastAsia" w:asciiTheme="minorEastAsia" w:hAnsiTheme="minorEastAsia" w:eastAsiaTheme="minorEastAsia" w:cstheme="minorEastAsia"/>
          <w:b/>
          <w:bCs/>
          <w:color w:val="auto"/>
          <w:kern w:val="0"/>
          <w:sz w:val="30"/>
          <w:szCs w:val="30"/>
          <w:highlight w:val="none"/>
        </w:rPr>
        <w:t>投标文件的提交</w:t>
      </w:r>
      <w:bookmarkEnd w:id="188"/>
      <w:bookmarkEnd w:id="189"/>
      <w:bookmarkEnd w:id="190"/>
      <w:bookmarkEnd w:id="191"/>
      <w:bookmarkEnd w:id="192"/>
      <w:bookmarkEnd w:id="193"/>
      <w:bookmarkEnd w:id="194"/>
    </w:p>
    <w:p>
      <w:pPr>
        <w:pStyle w:val="25"/>
        <w:spacing w:line="360" w:lineRule="auto"/>
        <w:rPr>
          <w:rFonts w:hint="eastAsia" w:asciiTheme="minorEastAsia" w:hAnsiTheme="minorEastAsia" w:eastAsiaTheme="minorEastAsia" w:cstheme="minorEastAsia"/>
          <w:b/>
          <w:bCs/>
          <w:color w:val="auto"/>
          <w:kern w:val="0"/>
          <w:sz w:val="24"/>
          <w:highlight w:val="none"/>
          <w:lang w:eastAsia="zh-CN"/>
        </w:rPr>
      </w:pPr>
      <w:r>
        <w:rPr>
          <w:rFonts w:hint="eastAsia" w:asciiTheme="minorEastAsia" w:hAnsiTheme="minorEastAsia" w:eastAsiaTheme="minorEastAsia" w:cstheme="minorEastAsia"/>
          <w:b/>
          <w:bCs/>
          <w:color w:val="auto"/>
          <w:kern w:val="0"/>
          <w:sz w:val="24"/>
          <w:highlight w:val="none"/>
        </w:rPr>
        <w:t>2</w:t>
      </w:r>
      <w:r>
        <w:rPr>
          <w:rFonts w:hint="eastAsia" w:asciiTheme="minorEastAsia" w:hAnsiTheme="minorEastAsia" w:eastAsiaTheme="minorEastAsia" w:cstheme="minorEastAsia"/>
          <w:b/>
          <w:bCs/>
          <w:color w:val="auto"/>
          <w:kern w:val="0"/>
          <w:sz w:val="24"/>
          <w:highlight w:val="none"/>
          <w:lang w:val="en-US" w:eastAsia="zh-CN"/>
        </w:rPr>
        <w:t>3</w:t>
      </w:r>
      <w:r>
        <w:rPr>
          <w:rFonts w:hint="eastAsia" w:asciiTheme="minorEastAsia" w:hAnsiTheme="minorEastAsia" w:eastAsiaTheme="minorEastAsia" w:cstheme="minorEastAsia"/>
          <w:b/>
          <w:bCs/>
          <w:color w:val="auto"/>
          <w:kern w:val="0"/>
          <w:sz w:val="24"/>
          <w:highlight w:val="none"/>
        </w:rPr>
        <w:t>. 投标文件的</w:t>
      </w:r>
      <w:r>
        <w:rPr>
          <w:rFonts w:hint="eastAsia" w:asciiTheme="minorEastAsia" w:hAnsiTheme="minorEastAsia" w:eastAsiaTheme="minorEastAsia" w:cstheme="minorEastAsia"/>
          <w:b/>
          <w:bCs/>
          <w:color w:val="auto"/>
          <w:kern w:val="0"/>
          <w:sz w:val="24"/>
          <w:highlight w:val="none"/>
          <w:lang w:eastAsia="zh-CN"/>
        </w:rPr>
        <w:t>提交</w:t>
      </w:r>
    </w:p>
    <w:p>
      <w:pPr>
        <w:spacing w:line="360" w:lineRule="auto"/>
        <w:ind w:firstLine="360" w:firstLineChars="150"/>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lang w:val="en-US" w:eastAsia="zh-CN"/>
        </w:rPr>
        <w:t>23.1供应商应在</w:t>
      </w: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须知前附表”</w:t>
      </w:r>
      <w:r>
        <w:rPr>
          <w:rFonts w:hint="eastAsia" w:asciiTheme="minorEastAsia" w:hAnsiTheme="minorEastAsia" w:eastAsiaTheme="minorEastAsia" w:cstheme="minorEastAsia"/>
          <w:color w:val="auto"/>
          <w:kern w:val="0"/>
          <w:sz w:val="24"/>
          <w:highlight w:val="none"/>
          <w:lang w:val="en-US" w:eastAsia="zh-CN"/>
        </w:rPr>
        <w:t>规定的投标截止时间前提交投标文件。</w:t>
      </w:r>
    </w:p>
    <w:p>
      <w:pPr>
        <w:spacing w:line="360" w:lineRule="auto"/>
        <w:ind w:firstLine="360" w:firstLineChars="150"/>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lang w:val="en-US" w:eastAsia="zh-CN"/>
        </w:rPr>
        <w:t>23.2供应商提交投标文件的时间和地点：见</w:t>
      </w: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须知前附表”</w:t>
      </w:r>
      <w:r>
        <w:rPr>
          <w:rFonts w:hint="eastAsia" w:asciiTheme="minorEastAsia" w:hAnsiTheme="minorEastAsia" w:eastAsiaTheme="minorEastAsia" w:cstheme="minorEastAsia"/>
          <w:color w:val="auto"/>
          <w:kern w:val="0"/>
          <w:sz w:val="24"/>
          <w:highlight w:val="none"/>
          <w:lang w:val="en-US" w:eastAsia="zh-CN"/>
        </w:rPr>
        <w:t>。</w:t>
      </w:r>
    </w:p>
    <w:p>
      <w:pPr>
        <w:spacing w:line="360" w:lineRule="auto"/>
        <w:ind w:firstLine="360" w:firstLineChars="150"/>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lang w:val="en-US" w:eastAsia="zh-CN"/>
        </w:rPr>
        <w:t>23.3在投标截止时间前，供应商可以修改或撤回已在网上提交的电子投标文件，无须书面形式通知采购人。修改的电子投标文件应按照有关电子投标文件规定进行编制、标记和提交。</w:t>
      </w:r>
    </w:p>
    <w:p>
      <w:pPr>
        <w:spacing w:line="360" w:lineRule="auto"/>
        <w:rPr>
          <w:rFonts w:hint="eastAsia" w:asciiTheme="minorEastAsia" w:hAnsiTheme="minorEastAsia" w:eastAsiaTheme="minorEastAsia" w:cstheme="minorEastAsia"/>
          <w:b/>
          <w:color w:val="auto"/>
          <w:kern w:val="0"/>
          <w:sz w:val="24"/>
          <w:highlight w:val="none"/>
          <w:lang w:eastAsia="zh-CN"/>
        </w:rPr>
      </w:pPr>
      <w:bookmarkStart w:id="196" w:name="_Toc372105048"/>
      <w:bookmarkStart w:id="197" w:name="_Toc259449744"/>
      <w:r>
        <w:rPr>
          <w:rFonts w:hint="eastAsia" w:asciiTheme="minorEastAsia" w:hAnsiTheme="minorEastAsia" w:eastAsiaTheme="minorEastAsia" w:cstheme="minorEastAsia"/>
          <w:b/>
          <w:color w:val="auto"/>
          <w:kern w:val="0"/>
          <w:sz w:val="24"/>
          <w:highlight w:val="none"/>
          <w:lang w:val="en-US" w:eastAsia="zh-CN"/>
        </w:rPr>
        <w:t>24</w:t>
      </w:r>
      <w:r>
        <w:rPr>
          <w:rFonts w:hint="eastAsia" w:asciiTheme="minorEastAsia" w:hAnsiTheme="minorEastAsia" w:eastAsiaTheme="minorEastAsia" w:cstheme="minorEastAsia"/>
          <w:b/>
          <w:color w:val="auto"/>
          <w:kern w:val="0"/>
          <w:sz w:val="24"/>
          <w:highlight w:val="none"/>
        </w:rPr>
        <w:t>．投标文件的</w:t>
      </w:r>
      <w:bookmarkEnd w:id="196"/>
      <w:bookmarkEnd w:id="197"/>
      <w:r>
        <w:rPr>
          <w:rFonts w:hint="eastAsia" w:asciiTheme="minorEastAsia" w:hAnsiTheme="minorEastAsia" w:eastAsiaTheme="minorEastAsia" w:cstheme="minorEastAsia"/>
          <w:b/>
          <w:color w:val="auto"/>
          <w:kern w:val="0"/>
          <w:sz w:val="24"/>
          <w:highlight w:val="none"/>
          <w:lang w:eastAsia="zh-CN"/>
        </w:rPr>
        <w:t>退还</w:t>
      </w:r>
    </w:p>
    <w:p>
      <w:pPr>
        <w:spacing w:line="360" w:lineRule="auto"/>
        <w:ind w:firstLine="360" w:firstLineChars="150"/>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lang w:val="en-US" w:eastAsia="zh-CN"/>
        </w:rPr>
        <w:t>详“供应商须知前附表”</w:t>
      </w:r>
    </w:p>
    <w:p>
      <w:pPr>
        <w:pStyle w:val="4"/>
        <w:numPr>
          <w:ilvl w:val="0"/>
          <w:numId w:val="0"/>
        </w:numPr>
        <w:ind w:left="0" w:leftChars="0" w:firstLine="0" w:firstLineChars="0"/>
        <w:jc w:val="center"/>
        <w:rPr>
          <w:rFonts w:hint="eastAsia" w:asciiTheme="minorEastAsia" w:hAnsiTheme="minorEastAsia" w:eastAsiaTheme="minorEastAsia" w:cstheme="minorEastAsia"/>
          <w:color w:val="auto"/>
          <w:kern w:val="0"/>
          <w:sz w:val="30"/>
          <w:szCs w:val="30"/>
          <w:highlight w:val="none"/>
        </w:rPr>
      </w:pPr>
      <w:bookmarkStart w:id="198" w:name="_Toc5252"/>
      <w:bookmarkStart w:id="199" w:name="_Toc194"/>
      <w:bookmarkStart w:id="200" w:name="_Toc32466"/>
      <w:bookmarkStart w:id="201" w:name="_Toc25081"/>
      <w:bookmarkStart w:id="202" w:name="_Toc14936912"/>
      <w:bookmarkStart w:id="203" w:name="_Toc15705"/>
      <w:bookmarkStart w:id="204" w:name="_Toc11890"/>
      <w:r>
        <w:rPr>
          <w:rFonts w:hint="eastAsia" w:asciiTheme="minorEastAsia" w:hAnsiTheme="minorEastAsia" w:eastAsiaTheme="minorEastAsia" w:cstheme="minorEastAsia"/>
          <w:b/>
          <w:bCs/>
          <w:color w:val="auto"/>
          <w:kern w:val="0"/>
          <w:sz w:val="30"/>
          <w:szCs w:val="30"/>
          <w:highlight w:val="none"/>
          <w:lang w:eastAsia="zh-CN"/>
        </w:rPr>
        <w:t>（</w:t>
      </w:r>
      <w:r>
        <w:rPr>
          <w:rFonts w:hint="eastAsia" w:asciiTheme="minorEastAsia" w:hAnsiTheme="minorEastAsia" w:eastAsiaTheme="minorEastAsia" w:cstheme="minorEastAsia"/>
          <w:b/>
          <w:bCs/>
          <w:color w:val="auto"/>
          <w:kern w:val="0"/>
          <w:sz w:val="30"/>
          <w:szCs w:val="30"/>
          <w:highlight w:val="none"/>
        </w:rPr>
        <w:t>五</w:t>
      </w:r>
      <w:r>
        <w:rPr>
          <w:rFonts w:hint="eastAsia" w:asciiTheme="minorEastAsia" w:hAnsiTheme="minorEastAsia" w:eastAsiaTheme="minorEastAsia" w:cstheme="minorEastAsia"/>
          <w:b/>
          <w:bCs/>
          <w:color w:val="auto"/>
          <w:kern w:val="0"/>
          <w:sz w:val="30"/>
          <w:szCs w:val="30"/>
          <w:highlight w:val="none"/>
          <w:lang w:eastAsia="zh-CN"/>
        </w:rPr>
        <w:t>）</w:t>
      </w:r>
      <w:r>
        <w:rPr>
          <w:rFonts w:hint="eastAsia" w:asciiTheme="minorEastAsia" w:hAnsiTheme="minorEastAsia" w:eastAsiaTheme="minorEastAsia" w:cstheme="minorEastAsia"/>
          <w:b/>
          <w:bCs/>
          <w:color w:val="auto"/>
          <w:kern w:val="0"/>
          <w:sz w:val="30"/>
          <w:szCs w:val="30"/>
          <w:highlight w:val="none"/>
        </w:rPr>
        <w:t>开标与评标</w:t>
      </w:r>
      <w:bookmarkEnd w:id="198"/>
      <w:bookmarkEnd w:id="199"/>
      <w:bookmarkEnd w:id="200"/>
      <w:bookmarkEnd w:id="201"/>
      <w:bookmarkEnd w:id="202"/>
      <w:bookmarkEnd w:id="203"/>
      <w:bookmarkEnd w:id="204"/>
    </w:p>
    <w:p>
      <w:pPr>
        <w:spacing w:line="360" w:lineRule="auto"/>
        <w:jc w:val="left"/>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2</w:t>
      </w:r>
      <w:r>
        <w:rPr>
          <w:rFonts w:hint="eastAsia" w:asciiTheme="minorEastAsia" w:hAnsiTheme="minorEastAsia" w:eastAsiaTheme="minorEastAsia" w:cstheme="minorEastAsia"/>
          <w:b/>
          <w:color w:val="auto"/>
          <w:kern w:val="0"/>
          <w:sz w:val="24"/>
          <w:highlight w:val="none"/>
          <w:lang w:val="en-US" w:eastAsia="zh-CN"/>
        </w:rPr>
        <w:t>5</w:t>
      </w:r>
      <w:r>
        <w:rPr>
          <w:rFonts w:hint="eastAsia" w:asciiTheme="minorEastAsia" w:hAnsiTheme="minorEastAsia" w:eastAsiaTheme="minorEastAsia" w:cstheme="minorEastAsia"/>
          <w:b/>
          <w:color w:val="auto"/>
          <w:kern w:val="0"/>
          <w:sz w:val="24"/>
          <w:highlight w:val="none"/>
        </w:rPr>
        <w:t>. 开标</w:t>
      </w:r>
    </w:p>
    <w:p>
      <w:pPr>
        <w:pStyle w:val="25"/>
        <w:spacing w:line="360" w:lineRule="auto"/>
        <w:ind w:firstLine="480" w:firstLineChars="200"/>
        <w:rPr>
          <w:rFonts w:hint="eastAsia" w:asciiTheme="minorEastAsia" w:hAnsiTheme="minorEastAsia" w:eastAsiaTheme="minorEastAsia" w:cstheme="minorEastAsia"/>
          <w:b/>
          <w:bCs/>
          <w:color w:val="auto"/>
          <w:kern w:val="0"/>
          <w:sz w:val="24"/>
          <w:highlight w:val="none"/>
        </w:rPr>
      </w:pPr>
      <w:bookmarkStart w:id="205" w:name="_Toc3391"/>
      <w:r>
        <w:rPr>
          <w:rFonts w:hint="eastAsia" w:asciiTheme="minorEastAsia" w:hAnsiTheme="minorEastAsia" w:eastAsiaTheme="minorEastAsia" w:cstheme="minorEastAsia"/>
          <w:color w:val="auto"/>
          <w:kern w:val="0"/>
          <w:sz w:val="24"/>
          <w:highlight w:val="none"/>
          <w:lang w:val="en-US" w:eastAsia="zh-CN"/>
        </w:rPr>
        <w:t>25</w:t>
      </w:r>
      <w:r>
        <w:rPr>
          <w:rFonts w:hint="eastAsia" w:asciiTheme="minorEastAsia" w:hAnsiTheme="minorEastAsia" w:eastAsiaTheme="minorEastAsia" w:cstheme="minorEastAsia"/>
          <w:color w:val="auto"/>
          <w:kern w:val="0"/>
          <w:sz w:val="24"/>
          <w:highlight w:val="none"/>
        </w:rPr>
        <w:t>.1采购</w:t>
      </w:r>
      <w:r>
        <w:rPr>
          <w:rFonts w:hint="eastAsia" w:asciiTheme="minorEastAsia" w:hAnsiTheme="minorEastAsia" w:eastAsiaTheme="minorEastAsia" w:cstheme="minorEastAsia"/>
          <w:color w:val="auto"/>
          <w:kern w:val="0"/>
          <w:sz w:val="24"/>
          <w:highlight w:val="none"/>
          <w:lang w:val="en-US" w:eastAsia="zh-CN"/>
        </w:rPr>
        <w:t>人和采购</w:t>
      </w:r>
      <w:r>
        <w:rPr>
          <w:rFonts w:hint="eastAsia" w:asciiTheme="minorEastAsia" w:hAnsiTheme="minorEastAsia" w:eastAsiaTheme="minorEastAsia" w:cstheme="minorEastAsia"/>
          <w:color w:val="auto"/>
          <w:kern w:val="0"/>
          <w:sz w:val="24"/>
          <w:highlight w:val="none"/>
        </w:rPr>
        <w:t>代理机构将在</w:t>
      </w:r>
      <w:r>
        <w:rPr>
          <w:rFonts w:hint="eastAsia" w:asciiTheme="minorEastAsia" w:hAnsiTheme="minorEastAsia" w:eastAsiaTheme="minorEastAsia" w:cstheme="minorEastAsia"/>
          <w:b w:val="0"/>
          <w:bCs w:val="0"/>
          <w:color w:val="auto"/>
          <w:kern w:val="0"/>
          <w:sz w:val="24"/>
          <w:highlight w:val="none"/>
        </w:rPr>
        <w:t>“</w:t>
      </w:r>
      <w:r>
        <w:rPr>
          <w:rFonts w:hint="eastAsia" w:asciiTheme="minorEastAsia" w:hAnsiTheme="minorEastAsia" w:eastAsiaTheme="minorEastAsia" w:cstheme="minorEastAsia"/>
          <w:b w:val="0"/>
          <w:bCs w:val="0"/>
          <w:color w:val="auto"/>
          <w:kern w:val="0"/>
          <w:sz w:val="24"/>
          <w:highlight w:val="none"/>
          <w:lang w:eastAsia="zh-CN"/>
        </w:rPr>
        <w:t>供应商</w:t>
      </w:r>
      <w:r>
        <w:rPr>
          <w:rFonts w:hint="eastAsia" w:asciiTheme="minorEastAsia" w:hAnsiTheme="minorEastAsia" w:eastAsiaTheme="minorEastAsia" w:cstheme="minorEastAsia"/>
          <w:b w:val="0"/>
          <w:bCs w:val="0"/>
          <w:color w:val="auto"/>
          <w:kern w:val="0"/>
          <w:sz w:val="24"/>
          <w:highlight w:val="none"/>
        </w:rPr>
        <w:t>须知前附表”规定</w:t>
      </w:r>
      <w:r>
        <w:rPr>
          <w:rFonts w:hint="eastAsia" w:asciiTheme="minorEastAsia" w:hAnsiTheme="minorEastAsia" w:eastAsiaTheme="minorEastAsia" w:cstheme="minorEastAsia"/>
          <w:color w:val="auto"/>
          <w:kern w:val="0"/>
          <w:sz w:val="24"/>
          <w:highlight w:val="none"/>
        </w:rPr>
        <w:t>的</w:t>
      </w:r>
      <w:r>
        <w:rPr>
          <w:rFonts w:hint="eastAsia" w:asciiTheme="minorEastAsia" w:hAnsiTheme="minorEastAsia" w:eastAsiaTheme="minorEastAsia" w:cstheme="minorEastAsia"/>
          <w:b w:val="0"/>
          <w:bCs w:val="0"/>
          <w:color w:val="auto"/>
          <w:kern w:val="0"/>
          <w:sz w:val="24"/>
          <w:highlight w:val="none"/>
        </w:rPr>
        <w:t>时间和地点</w:t>
      </w:r>
      <w:r>
        <w:rPr>
          <w:rFonts w:hint="eastAsia" w:asciiTheme="minorEastAsia" w:hAnsiTheme="minorEastAsia" w:eastAsiaTheme="minorEastAsia" w:cstheme="minorEastAsia"/>
          <w:b w:val="0"/>
          <w:bCs w:val="0"/>
          <w:color w:val="auto"/>
          <w:kern w:val="0"/>
          <w:sz w:val="24"/>
          <w:highlight w:val="none"/>
          <w:lang w:val="en-US" w:eastAsia="zh-CN"/>
        </w:rPr>
        <w:t>组织</w:t>
      </w:r>
      <w:r>
        <w:rPr>
          <w:rFonts w:hint="eastAsia" w:asciiTheme="minorEastAsia" w:hAnsiTheme="minorEastAsia" w:eastAsiaTheme="minorEastAsia" w:cstheme="minorEastAsia"/>
          <w:b w:val="0"/>
          <w:bCs w:val="0"/>
          <w:color w:val="auto"/>
          <w:kern w:val="0"/>
          <w:sz w:val="24"/>
          <w:highlight w:val="none"/>
        </w:rPr>
        <w:t>开标</w:t>
      </w:r>
      <w:r>
        <w:rPr>
          <w:rFonts w:hint="eastAsia" w:asciiTheme="minorEastAsia" w:hAnsiTheme="minorEastAsia" w:eastAsiaTheme="minorEastAsia" w:cstheme="minorEastAsia"/>
          <w:b w:val="0"/>
          <w:bCs w:val="0"/>
          <w:color w:val="auto"/>
          <w:kern w:val="0"/>
          <w:sz w:val="24"/>
          <w:highlight w:val="none"/>
          <w:lang w:val="en-US" w:eastAsia="zh-CN"/>
        </w:rPr>
        <w:t>会议</w:t>
      </w:r>
      <w:r>
        <w:rPr>
          <w:rFonts w:hint="eastAsia" w:asciiTheme="minorEastAsia" w:hAnsiTheme="minorEastAsia" w:eastAsiaTheme="minorEastAsia" w:cstheme="minorEastAsia"/>
          <w:b w:val="0"/>
          <w:bCs w:val="0"/>
          <w:color w:val="auto"/>
          <w:kern w:val="0"/>
          <w:sz w:val="24"/>
          <w:highlight w:val="none"/>
        </w:rPr>
        <w:t>。</w:t>
      </w:r>
    </w:p>
    <w:p>
      <w:pPr>
        <w:spacing w:line="360" w:lineRule="auto"/>
        <w:ind w:firstLine="480" w:firstLineChars="200"/>
        <w:jc w:val="lef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.2开标程序</w:t>
      </w:r>
      <w:r>
        <w:rPr>
          <w:rFonts w:hint="eastAsia" w:asciiTheme="minorEastAsia" w:hAnsiTheme="minorEastAsia" w:eastAsiaTheme="minorEastAsia" w:cstheme="minorEastAsia"/>
          <w:color w:val="auto"/>
          <w:sz w:val="24"/>
          <w:highlight w:val="none"/>
          <w:lang w:eastAsia="zh-CN"/>
        </w:rPr>
        <w:t>：</w:t>
      </w:r>
    </w:p>
    <w:p>
      <w:pPr>
        <w:numPr>
          <w:ilvl w:val="0"/>
          <w:numId w:val="0"/>
        </w:numPr>
        <w:spacing w:line="360" w:lineRule="auto"/>
        <w:ind w:firstLine="480" w:firstLineChars="200"/>
        <w:jc w:val="lef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(1)开标会由采购代理机构主持。</w:t>
      </w:r>
    </w:p>
    <w:p>
      <w:pPr>
        <w:numPr>
          <w:ilvl w:val="0"/>
          <w:numId w:val="0"/>
        </w:numPr>
        <w:spacing w:line="360" w:lineRule="auto"/>
        <w:ind w:firstLine="480" w:firstLineChars="200"/>
        <w:jc w:val="lef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(2)开标:顺序按照政采云平台自动提取所有供应商的顺序当众开标。</w:t>
      </w:r>
    </w:p>
    <w:p>
      <w:pPr>
        <w:numPr>
          <w:ilvl w:val="0"/>
          <w:numId w:val="0"/>
        </w:numPr>
        <w:spacing w:line="360" w:lineRule="auto"/>
        <w:ind w:firstLine="480" w:firstLineChars="200"/>
        <w:jc w:val="lef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(3)唱标：智能播报/由唱标人宣读</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在其电子投标文件中投标价格和</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规定的需要宣布的其他内容。</w:t>
      </w:r>
    </w:p>
    <w:p>
      <w:pPr>
        <w:spacing w:line="360" w:lineRule="auto"/>
        <w:ind w:firstLine="480" w:firstLineChars="2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(4)开标异议：开标过程中如有问题，可以在线提出异议，由代理机构给予回复。在规定的异议询问时间内未提出异议的，则视为对开标结果无异议。</w:t>
      </w:r>
    </w:p>
    <w:p>
      <w:pPr>
        <w:spacing w:line="360" w:lineRule="auto"/>
        <w:ind w:firstLine="480" w:firstLineChars="200"/>
        <w:jc w:val="left"/>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(5)开标工作人员将做开标记录，参加开标的各相关工作人员须签字确认。</w:t>
      </w:r>
    </w:p>
    <w:p>
      <w:pPr>
        <w:spacing w:line="360" w:lineRule="auto"/>
        <w:ind w:firstLine="480" w:firstLineChars="2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(6)开标会议结束。</w:t>
      </w:r>
    </w:p>
    <w:p>
      <w:pPr>
        <w:numPr>
          <w:ilvl w:val="0"/>
          <w:numId w:val="0"/>
        </w:numPr>
        <w:spacing w:line="360" w:lineRule="auto"/>
        <w:jc w:val="left"/>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26.资格审查</w:t>
      </w:r>
      <w:bookmarkEnd w:id="205"/>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开标结束后，采购人或者采购代理机构应当依法对</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的资格进行审查。</w:t>
      </w:r>
    </w:p>
    <w:p>
      <w:pPr>
        <w:numPr>
          <w:ilvl w:val="0"/>
          <w:numId w:val="0"/>
        </w:numPr>
        <w:spacing w:line="360" w:lineRule="auto"/>
        <w:jc w:val="left"/>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27.评标</w:t>
      </w:r>
    </w:p>
    <w:p>
      <w:pPr>
        <w:numPr>
          <w:ilvl w:val="0"/>
          <w:numId w:val="0"/>
        </w:numPr>
        <w:spacing w:line="360" w:lineRule="auto"/>
        <w:ind w:firstLine="480" w:firstLineChars="200"/>
        <w:jc w:val="lef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评标委员会按照</w:t>
      </w:r>
      <w:r>
        <w:rPr>
          <w:rFonts w:hint="eastAsia" w:asciiTheme="minorEastAsia" w:hAnsiTheme="minorEastAsia" w:eastAsiaTheme="minorEastAsia" w:cstheme="minorEastAsia"/>
          <w:b w:val="0"/>
          <w:bCs w:val="0"/>
          <w:color w:val="auto"/>
          <w:kern w:val="0"/>
          <w:sz w:val="24"/>
          <w:highlight w:val="none"/>
        </w:rPr>
        <w:t>第</w:t>
      </w:r>
      <w:r>
        <w:rPr>
          <w:rFonts w:hint="eastAsia" w:asciiTheme="minorEastAsia" w:hAnsiTheme="minorEastAsia" w:eastAsiaTheme="minorEastAsia" w:cstheme="minorEastAsia"/>
          <w:b w:val="0"/>
          <w:bCs w:val="0"/>
          <w:color w:val="auto"/>
          <w:kern w:val="0"/>
          <w:sz w:val="24"/>
          <w:highlight w:val="none"/>
          <w:lang w:eastAsia="zh-CN"/>
        </w:rPr>
        <w:t>四</w:t>
      </w:r>
      <w:r>
        <w:rPr>
          <w:rFonts w:hint="eastAsia" w:asciiTheme="minorEastAsia" w:hAnsiTheme="minorEastAsia" w:eastAsiaTheme="minorEastAsia" w:cstheme="minorEastAsia"/>
          <w:b w:val="0"/>
          <w:bCs w:val="0"/>
          <w:color w:val="auto"/>
          <w:kern w:val="0"/>
          <w:sz w:val="24"/>
          <w:highlight w:val="none"/>
        </w:rPr>
        <w:t>章“评标办法”规定的</w:t>
      </w:r>
      <w:r>
        <w:rPr>
          <w:rFonts w:hint="eastAsia" w:asciiTheme="minorEastAsia" w:hAnsiTheme="minorEastAsia" w:eastAsiaTheme="minorEastAsia" w:cstheme="minorEastAsia"/>
          <w:color w:val="auto"/>
          <w:kern w:val="0"/>
          <w:sz w:val="24"/>
          <w:highlight w:val="none"/>
        </w:rPr>
        <w:t>方法、评审因素、标准和程序对投标文件进行评审。</w:t>
      </w:r>
    </w:p>
    <w:p>
      <w:pPr>
        <w:spacing w:line="360" w:lineRule="auto"/>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2"/>
          <w:sz w:val="24"/>
          <w:szCs w:val="24"/>
          <w:highlight w:val="none"/>
          <w:lang w:val="en-US" w:eastAsia="zh-CN" w:bidi="ar-SA"/>
        </w:rPr>
        <w:t>28.投标文件报价出现前后不一致的，除招标文件另有规定外，按照下列规定修正：</w:t>
      </w:r>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（1）投标文件中</w:t>
      </w:r>
      <w:r>
        <w:rPr>
          <w:rFonts w:hint="eastAsia" w:asciiTheme="minorEastAsia" w:hAnsiTheme="minorEastAsia" w:eastAsiaTheme="minorEastAsia" w:cstheme="minorEastAsia"/>
          <w:color w:val="auto"/>
          <w:sz w:val="24"/>
          <w:highlight w:val="none"/>
          <w:lang w:eastAsia="zh-CN"/>
        </w:rPr>
        <w:t>开标（报价）一览表</w:t>
      </w:r>
      <w:r>
        <w:rPr>
          <w:rFonts w:hint="eastAsia" w:asciiTheme="minorEastAsia" w:hAnsiTheme="minorEastAsia" w:eastAsiaTheme="minorEastAsia" w:cstheme="minorEastAsia"/>
          <w:color w:val="auto"/>
          <w:sz w:val="24"/>
          <w:highlight w:val="none"/>
        </w:rPr>
        <w:t>内容与投标文件中相应内容不一致的，以</w:t>
      </w:r>
      <w:r>
        <w:rPr>
          <w:rFonts w:hint="eastAsia" w:asciiTheme="minorEastAsia" w:hAnsiTheme="minorEastAsia" w:eastAsiaTheme="minorEastAsia" w:cstheme="minorEastAsia"/>
          <w:color w:val="auto"/>
          <w:sz w:val="24"/>
          <w:highlight w:val="none"/>
          <w:lang w:eastAsia="zh-CN"/>
        </w:rPr>
        <w:t>开标（报价）一览表</w:t>
      </w:r>
      <w:r>
        <w:rPr>
          <w:rFonts w:hint="eastAsia" w:asciiTheme="minorEastAsia" w:hAnsiTheme="minorEastAsia" w:eastAsiaTheme="minorEastAsia" w:cstheme="minorEastAsia"/>
          <w:color w:val="auto"/>
          <w:sz w:val="24"/>
          <w:highlight w:val="none"/>
        </w:rPr>
        <w:t>为准；</w:t>
      </w:r>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（2）大写金额和小写金额不一致的，以大写金额为准；</w:t>
      </w:r>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（3）单价金额小数点或者百分比有明显错位的，以</w:t>
      </w:r>
      <w:r>
        <w:rPr>
          <w:rFonts w:hint="eastAsia" w:asciiTheme="minorEastAsia" w:hAnsiTheme="minorEastAsia" w:eastAsiaTheme="minorEastAsia" w:cstheme="minorEastAsia"/>
          <w:color w:val="auto"/>
          <w:sz w:val="24"/>
          <w:highlight w:val="none"/>
          <w:lang w:eastAsia="zh-CN"/>
        </w:rPr>
        <w:t>开标（报价）一览表</w:t>
      </w:r>
      <w:r>
        <w:rPr>
          <w:rFonts w:hint="eastAsia" w:asciiTheme="minorEastAsia" w:hAnsiTheme="minorEastAsia" w:eastAsiaTheme="minorEastAsia" w:cstheme="minorEastAsia"/>
          <w:color w:val="auto"/>
          <w:sz w:val="24"/>
          <w:highlight w:val="none"/>
        </w:rPr>
        <w:t>的总价为准，并修改单价；</w:t>
      </w:r>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（4）总价金额与按单价汇总金额不一致的，以单价金额计算结果为准；</w:t>
      </w:r>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（5）按上述修正错误的原则及方法调整或修正投标文件的投标报价，</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同意后，调整后的投标报价对</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起约束作用。如果</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不接受修正后的报价，则其投标将被拒绝。</w:t>
      </w:r>
    </w:p>
    <w:p>
      <w:pPr>
        <w:pStyle w:val="5"/>
        <w:numPr>
          <w:ilvl w:val="0"/>
          <w:numId w:val="0"/>
        </w:numPr>
        <w:tabs>
          <w:tab w:val="left" w:pos="420"/>
          <w:tab w:val="left" w:pos="1588"/>
        </w:tabs>
        <w:spacing w:before="0"/>
        <w:rPr>
          <w:rFonts w:hint="eastAsia" w:asciiTheme="minorEastAsia" w:hAnsiTheme="minorEastAsia" w:eastAsiaTheme="minorEastAsia" w:cstheme="minorEastAsia"/>
          <w:color w:val="auto"/>
          <w:sz w:val="24"/>
          <w:highlight w:val="none"/>
        </w:rPr>
      </w:pPr>
      <w:bookmarkStart w:id="206" w:name="_Toc12074"/>
      <w:bookmarkStart w:id="207" w:name="_Toc523475494"/>
      <w:bookmarkStart w:id="208" w:name="_Toc523476051"/>
      <w:bookmarkStart w:id="209" w:name="_Toc19749"/>
      <w:bookmarkStart w:id="210" w:name="_Toc523475411"/>
      <w:bookmarkStart w:id="211" w:name="_Toc523475336"/>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存在下列情况之一的，投标无效：</w:t>
      </w:r>
      <w:bookmarkEnd w:id="206"/>
      <w:bookmarkEnd w:id="207"/>
      <w:bookmarkEnd w:id="208"/>
      <w:bookmarkEnd w:id="209"/>
      <w:bookmarkEnd w:id="210"/>
      <w:bookmarkEnd w:id="211"/>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（1）投标文件未按</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要求签署、盖章的；</w:t>
      </w:r>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）不具备</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中规定的资格要求的；</w:t>
      </w:r>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w:t>
      </w:r>
      <w:bookmarkStart w:id="212" w:name="OLE_LINK20"/>
      <w:r>
        <w:rPr>
          <w:rFonts w:hint="eastAsia" w:asciiTheme="minorEastAsia" w:hAnsiTheme="minorEastAsia" w:eastAsiaTheme="minorEastAsia" w:cstheme="minorEastAsia"/>
          <w:color w:val="auto"/>
          <w:sz w:val="24"/>
          <w:highlight w:val="none"/>
        </w:rPr>
        <w:t>报价</w:t>
      </w:r>
      <w:r>
        <w:rPr>
          <w:rFonts w:hint="eastAsia" w:asciiTheme="minorEastAsia" w:hAnsiTheme="minorEastAsia" w:eastAsiaTheme="minorEastAsia" w:cstheme="minorEastAsia"/>
          <w:color w:val="auto"/>
          <w:sz w:val="24"/>
          <w:highlight w:val="none"/>
          <w:lang w:val="en-US" w:eastAsia="zh-CN"/>
        </w:rPr>
        <w:t>低</w:t>
      </w:r>
      <w:r>
        <w:rPr>
          <w:rFonts w:hint="eastAsia" w:asciiTheme="minorEastAsia" w:hAnsiTheme="minorEastAsia" w:eastAsiaTheme="minorEastAsia" w:cstheme="minorEastAsia"/>
          <w:color w:val="auto"/>
          <w:sz w:val="24"/>
          <w:highlight w:val="none"/>
          <w:lang w:eastAsia="zh-CN"/>
        </w:rPr>
        <w:t>于</w:t>
      </w:r>
      <w:r>
        <w:rPr>
          <w:rFonts w:hint="eastAsia" w:asciiTheme="minorEastAsia" w:hAnsiTheme="minorEastAsia" w:eastAsiaTheme="minorEastAsia" w:cstheme="minorEastAsia"/>
          <w:color w:val="auto"/>
          <w:sz w:val="24"/>
          <w:highlight w:val="none"/>
          <w:lang w:val="en-US" w:eastAsia="zh-CN"/>
        </w:rPr>
        <w:t>招标文件</w:t>
      </w:r>
      <w:r>
        <w:rPr>
          <w:rFonts w:hint="eastAsia" w:asciiTheme="minorEastAsia" w:hAnsiTheme="minorEastAsia" w:eastAsiaTheme="minorEastAsia" w:cstheme="minorEastAsia"/>
          <w:color w:val="auto"/>
          <w:sz w:val="24"/>
          <w:highlight w:val="none"/>
        </w:rPr>
        <w:t>中规定的</w:t>
      </w:r>
      <w:r>
        <w:rPr>
          <w:rFonts w:hint="eastAsia" w:asciiTheme="minorEastAsia" w:hAnsiTheme="minorEastAsia" w:eastAsiaTheme="minorEastAsia" w:cstheme="minorEastAsia"/>
          <w:color w:val="auto"/>
          <w:sz w:val="24"/>
          <w:highlight w:val="none"/>
          <w:lang w:eastAsia="zh-CN"/>
        </w:rPr>
        <w:t>最</w:t>
      </w:r>
      <w:r>
        <w:rPr>
          <w:rFonts w:hint="eastAsia" w:asciiTheme="minorEastAsia" w:hAnsiTheme="minorEastAsia" w:eastAsiaTheme="minorEastAsia" w:cstheme="minorEastAsia"/>
          <w:color w:val="auto"/>
          <w:sz w:val="24"/>
          <w:highlight w:val="none"/>
          <w:lang w:val="en-US" w:eastAsia="zh-CN"/>
        </w:rPr>
        <w:t>低</w:t>
      </w:r>
      <w:r>
        <w:rPr>
          <w:rFonts w:hint="eastAsia" w:asciiTheme="minorEastAsia" w:hAnsiTheme="minorEastAsia" w:eastAsiaTheme="minorEastAsia" w:cstheme="minorEastAsia"/>
          <w:color w:val="auto"/>
          <w:sz w:val="24"/>
          <w:highlight w:val="none"/>
          <w:lang w:eastAsia="zh-CN"/>
        </w:rPr>
        <w:t>限价</w:t>
      </w:r>
      <w:r>
        <w:rPr>
          <w:rFonts w:hint="eastAsia" w:asciiTheme="minorEastAsia" w:hAnsiTheme="minorEastAsia" w:eastAsiaTheme="minorEastAsia" w:cstheme="minorEastAsia"/>
          <w:color w:val="auto"/>
          <w:sz w:val="24"/>
          <w:highlight w:val="none"/>
        </w:rPr>
        <w:t>的</w:t>
      </w:r>
      <w:bookmarkEnd w:id="212"/>
      <w:r>
        <w:rPr>
          <w:rFonts w:hint="eastAsia" w:asciiTheme="minorEastAsia" w:hAnsiTheme="minorEastAsia" w:eastAsiaTheme="minorEastAsia" w:cstheme="minorEastAsia"/>
          <w:color w:val="auto"/>
          <w:sz w:val="24"/>
          <w:highlight w:val="none"/>
        </w:rPr>
        <w:t>；</w:t>
      </w:r>
      <w:bookmarkStart w:id="213" w:name="_Toc523475412"/>
      <w:bookmarkStart w:id="214" w:name="_Toc523475495"/>
      <w:bookmarkStart w:id="215" w:name="_Toc523476052"/>
      <w:bookmarkStart w:id="216" w:name="_Toc2732"/>
      <w:bookmarkStart w:id="217" w:name="_Toc523475337"/>
      <w:bookmarkStart w:id="218" w:name="_Toc15965"/>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w:t>
      </w:r>
      <w:r>
        <w:rPr>
          <w:rFonts w:hint="eastAsia" w:ascii="宋体" w:hAnsi="宋体" w:eastAsia="宋体" w:cs="宋体"/>
          <w:b w:val="0"/>
          <w:bCs/>
          <w:color w:val="000000"/>
          <w:sz w:val="24"/>
          <w:highlight w:val="none"/>
          <w:lang w:val="en-US" w:eastAsia="zh-CN"/>
        </w:rPr>
        <w:t>启动异常低价投标审查后不通过的；</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投标文件含有采购人不能接受的附加条件的；</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）法律、法规和</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规定的其他无效情形。</w:t>
      </w:r>
    </w:p>
    <w:p>
      <w:pPr>
        <w:pStyle w:val="5"/>
        <w:numPr>
          <w:ilvl w:val="0"/>
          <w:numId w:val="0"/>
        </w:numPr>
        <w:tabs>
          <w:tab w:val="left" w:pos="420"/>
          <w:tab w:val="left" w:pos="1588"/>
        </w:tabs>
        <w:spacing w:before="0"/>
        <w:ind w:left="0" w:leftChars="0"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30</w:t>
      </w:r>
      <w:r>
        <w:rPr>
          <w:rFonts w:hint="eastAsia" w:asciiTheme="minorEastAsia" w:hAnsiTheme="minorEastAsia" w:eastAsiaTheme="minorEastAsia" w:cstheme="minorEastAsia"/>
          <w:color w:val="auto"/>
          <w:sz w:val="24"/>
          <w:highlight w:val="none"/>
        </w:rPr>
        <w:t>.</w:t>
      </w:r>
      <w:bookmarkEnd w:id="213"/>
      <w:bookmarkEnd w:id="214"/>
      <w:bookmarkEnd w:id="215"/>
      <w:bookmarkEnd w:id="216"/>
      <w:bookmarkEnd w:id="217"/>
      <w:bookmarkEnd w:id="218"/>
      <w:r>
        <w:rPr>
          <w:rFonts w:hint="eastAsia" w:asciiTheme="minorEastAsia" w:hAnsiTheme="minorEastAsia" w:eastAsiaTheme="minorEastAsia" w:cstheme="minorEastAsia"/>
          <w:color w:val="auto"/>
          <w:sz w:val="24"/>
          <w:highlight w:val="none"/>
        </w:rPr>
        <w:t>投标文件有下列情形之一的，可认定为</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串通投标，其投标无效：</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lang w:val="en-US" w:eastAsia="zh-CN"/>
        </w:rPr>
        <w:t>1</w:t>
      </w:r>
      <w:r>
        <w:rPr>
          <w:rFonts w:hint="eastAsia" w:asciiTheme="minorEastAsia" w:hAnsiTheme="minorEastAsia" w:eastAsiaTheme="minorEastAsia" w:cstheme="minorEastAsia"/>
          <w:color w:val="auto"/>
          <w:kern w:val="0"/>
          <w:sz w:val="24"/>
          <w:highlight w:val="none"/>
        </w:rPr>
        <w:t>）不同</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的投标文件由同一单位或者个人编制；</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lang w:val="en-US" w:eastAsia="zh-CN"/>
        </w:rPr>
        <w:t>2</w:t>
      </w:r>
      <w:r>
        <w:rPr>
          <w:rFonts w:hint="eastAsia" w:asciiTheme="minorEastAsia" w:hAnsiTheme="minorEastAsia" w:eastAsiaTheme="minorEastAsia" w:cstheme="minorEastAsia"/>
          <w:color w:val="auto"/>
          <w:kern w:val="0"/>
          <w:sz w:val="24"/>
          <w:highlight w:val="none"/>
        </w:rPr>
        <w:t>）不同</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委托同一单位或者个人办理投标事宜；</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lang w:val="en-US" w:eastAsia="zh-CN"/>
        </w:rPr>
        <w:t>3</w:t>
      </w:r>
      <w:r>
        <w:rPr>
          <w:rFonts w:hint="eastAsia" w:asciiTheme="minorEastAsia" w:hAnsiTheme="minorEastAsia" w:eastAsiaTheme="minorEastAsia" w:cstheme="minorEastAsia"/>
          <w:color w:val="auto"/>
          <w:kern w:val="0"/>
          <w:sz w:val="24"/>
          <w:highlight w:val="none"/>
        </w:rPr>
        <w:t>）不同</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的投标文件载明的项目管理成员或者联系人员为同一人；</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lang w:val="en-US" w:eastAsia="zh-CN"/>
        </w:rPr>
        <w:t>4</w:t>
      </w:r>
      <w:r>
        <w:rPr>
          <w:rFonts w:hint="eastAsia" w:asciiTheme="minorEastAsia" w:hAnsiTheme="minorEastAsia" w:eastAsiaTheme="minorEastAsia" w:cstheme="minorEastAsia"/>
          <w:color w:val="auto"/>
          <w:kern w:val="0"/>
          <w:sz w:val="24"/>
          <w:highlight w:val="none"/>
        </w:rPr>
        <w:t>）不同</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的投标文件异常一致或者投标报价呈规律性差异；</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lang w:eastAsia="zh-CN"/>
        </w:rPr>
      </w:pPr>
      <w:r>
        <w:rPr>
          <w:rFonts w:hint="eastAsia" w:asciiTheme="minorEastAsia" w:hAnsiTheme="minorEastAsia" w:eastAsiaTheme="minorEastAsia" w:cstheme="minorEastAsia"/>
          <w:color w:val="auto"/>
          <w:kern w:val="0"/>
          <w:sz w:val="24"/>
          <w:highlight w:val="none"/>
          <w:lang w:eastAsia="zh-CN"/>
        </w:rPr>
        <w:t>（</w:t>
      </w:r>
      <w:r>
        <w:rPr>
          <w:rFonts w:hint="eastAsia" w:asciiTheme="minorEastAsia" w:hAnsiTheme="minorEastAsia" w:eastAsiaTheme="minorEastAsia" w:cstheme="minorEastAsia"/>
          <w:color w:val="auto"/>
          <w:kern w:val="0"/>
          <w:sz w:val="24"/>
          <w:highlight w:val="none"/>
          <w:lang w:val="en-US" w:eastAsia="zh-CN"/>
        </w:rPr>
        <w:t>5</w:t>
      </w:r>
      <w:r>
        <w:rPr>
          <w:rFonts w:hint="eastAsia" w:asciiTheme="minorEastAsia" w:hAnsiTheme="minorEastAsia" w:eastAsiaTheme="minorEastAsia" w:cstheme="minorEastAsia"/>
          <w:color w:val="auto"/>
          <w:kern w:val="0"/>
          <w:sz w:val="24"/>
          <w:highlight w:val="none"/>
          <w:lang w:eastAsia="zh-CN"/>
        </w:rPr>
        <w:t>）不同供应商的投标文件相互混装。</w:t>
      </w:r>
    </w:p>
    <w:p>
      <w:pPr>
        <w:pStyle w:val="5"/>
        <w:numPr>
          <w:ilvl w:val="0"/>
          <w:numId w:val="0"/>
        </w:numPr>
        <w:tabs>
          <w:tab w:val="left" w:pos="420"/>
          <w:tab w:val="left" w:pos="1588"/>
        </w:tabs>
        <w:spacing w:before="0"/>
        <w:rPr>
          <w:rFonts w:ascii="宋体" w:hAnsi="宋体" w:eastAsia="宋体" w:cs="宋体"/>
          <w:color w:val="auto"/>
          <w:sz w:val="24"/>
          <w:highlight w:val="none"/>
        </w:rPr>
      </w:pPr>
      <w:r>
        <w:rPr>
          <w:rFonts w:hint="eastAsia" w:asciiTheme="minorEastAsia" w:hAnsiTheme="minorEastAsia" w:eastAsiaTheme="minorEastAsia" w:cstheme="minorEastAsia"/>
          <w:b/>
          <w:color w:val="auto"/>
          <w:kern w:val="2"/>
          <w:sz w:val="24"/>
          <w:szCs w:val="24"/>
          <w:highlight w:val="none"/>
          <w:lang w:val="en-US" w:eastAsia="zh-CN" w:bidi="ar-SA"/>
        </w:rPr>
        <w:t>31.</w:t>
      </w:r>
      <w:r>
        <w:rPr>
          <w:rFonts w:hint="eastAsia" w:ascii="宋体" w:hAnsi="宋体" w:eastAsia="宋体" w:cs="宋体"/>
          <w:color w:val="auto"/>
          <w:sz w:val="24"/>
          <w:highlight w:val="none"/>
        </w:rPr>
        <w:t>废标：</w:t>
      </w:r>
    </w:p>
    <w:p>
      <w:pPr>
        <w:spacing w:line="360" w:lineRule="auto"/>
        <w:ind w:firstLine="480" w:firstLineChars="2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31.1在招标采购中，出现下列情形之一的，应予废标：</w:t>
      </w:r>
    </w:p>
    <w:p>
      <w:pPr>
        <w:spacing w:line="360" w:lineRule="auto"/>
        <w:ind w:firstLine="456" w:firstLineChars="2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pacing w:val="-6"/>
          <w:sz w:val="24"/>
          <w:highlight w:val="none"/>
          <w:lang w:val="en-US" w:eastAsia="zh-CN"/>
        </w:rPr>
        <w:t>（1）符合专业条件的供应商或者对招标文件作实质响应的供应商不足3家的；</w:t>
      </w:r>
    </w:p>
    <w:p>
      <w:pPr>
        <w:spacing w:line="360" w:lineRule="auto"/>
        <w:ind w:firstLine="480" w:firstLineChars="2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（2）出现影响采购公正的违法、违规行为的；</w:t>
      </w:r>
    </w:p>
    <w:p>
      <w:pPr>
        <w:spacing w:line="360" w:lineRule="auto"/>
        <w:ind w:firstLine="480" w:firstLineChars="2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lang w:eastAsia="zh-CN"/>
        </w:rPr>
        <w:t>供应商的报价均</w:t>
      </w:r>
      <w:r>
        <w:rPr>
          <w:rFonts w:hint="eastAsia" w:asciiTheme="minorEastAsia" w:hAnsiTheme="minorEastAsia" w:eastAsiaTheme="minorEastAsia" w:cstheme="minorEastAsia"/>
          <w:color w:val="auto"/>
          <w:sz w:val="24"/>
          <w:highlight w:val="none"/>
          <w:lang w:val="en-US" w:eastAsia="zh-CN"/>
        </w:rPr>
        <w:t>低于最低限价</w:t>
      </w:r>
      <w:r>
        <w:rPr>
          <w:rFonts w:hint="eastAsia" w:asciiTheme="minorEastAsia" w:hAnsiTheme="minorEastAsia" w:eastAsiaTheme="minorEastAsia" w:cstheme="minorEastAsia"/>
          <w:color w:val="auto"/>
          <w:sz w:val="24"/>
          <w:highlight w:val="none"/>
          <w:lang w:eastAsia="zh-CN"/>
        </w:rPr>
        <w:t>，采购人不能支付的</w:t>
      </w:r>
      <w:r>
        <w:rPr>
          <w:rFonts w:hint="eastAsia" w:asciiTheme="minorEastAsia" w:hAnsiTheme="minorEastAsia" w:eastAsiaTheme="minorEastAsia" w:cstheme="minorEastAsia"/>
          <w:color w:val="auto"/>
          <w:sz w:val="24"/>
          <w:highlight w:val="none"/>
        </w:rPr>
        <w:t>；</w:t>
      </w:r>
    </w:p>
    <w:p>
      <w:pPr>
        <w:spacing w:line="360" w:lineRule="auto"/>
        <w:ind w:firstLine="480" w:firstLineChars="2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（4）因重大变故，采购任务取消的。</w:t>
      </w:r>
    </w:p>
    <w:p>
      <w:pPr>
        <w:spacing w:line="360" w:lineRule="auto"/>
        <w:ind w:firstLine="480" w:firstLineChars="2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废标后，采购人应当将废标理由通知所有供应商。</w:t>
      </w:r>
    </w:p>
    <w:p>
      <w:pPr>
        <w:spacing w:line="360" w:lineRule="auto"/>
        <w:ind w:firstLine="480" w:firstLineChars="200"/>
        <w:jc w:val="lef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lang w:val="en-US" w:eastAsia="zh-CN"/>
        </w:rPr>
        <w:t>31.2废标后，除采购任务取消外，应当重新组织开标；需要采取其他方式采购的，应当在采购活动开始前获得设区的市、自治州以上人民政府采购监督管理部门或者政府有关部门批准。</w:t>
      </w:r>
    </w:p>
    <w:p>
      <w:pPr>
        <w:pStyle w:val="25"/>
        <w:spacing w:line="360" w:lineRule="auto"/>
        <w:jc w:val="center"/>
        <w:rPr>
          <w:rFonts w:hint="eastAsia" w:asciiTheme="minorEastAsia" w:hAnsiTheme="minorEastAsia" w:eastAsiaTheme="minorEastAsia" w:cstheme="minorEastAsia"/>
          <w:b/>
          <w:bCs/>
          <w:color w:val="auto"/>
          <w:kern w:val="0"/>
          <w:sz w:val="30"/>
          <w:szCs w:val="30"/>
          <w:highlight w:val="none"/>
        </w:rPr>
      </w:pPr>
      <w:bookmarkStart w:id="219" w:name="_Toc26118"/>
      <w:bookmarkStart w:id="220" w:name="_Toc5944"/>
      <w:bookmarkStart w:id="221" w:name="_Toc2102"/>
      <w:bookmarkStart w:id="222" w:name="_Toc14936913"/>
      <w:bookmarkStart w:id="223" w:name="_Toc7989"/>
      <w:bookmarkStart w:id="224" w:name="_Toc232509431"/>
      <w:bookmarkStart w:id="225" w:name="_Toc27838"/>
      <w:bookmarkStart w:id="226" w:name="_Toc11927"/>
      <w:r>
        <w:rPr>
          <w:rFonts w:hint="eastAsia" w:asciiTheme="minorEastAsia" w:hAnsiTheme="minorEastAsia" w:eastAsiaTheme="minorEastAsia" w:cstheme="minorEastAsia"/>
          <w:b/>
          <w:bCs/>
          <w:color w:val="auto"/>
          <w:kern w:val="0"/>
          <w:sz w:val="30"/>
          <w:szCs w:val="30"/>
          <w:highlight w:val="none"/>
          <w:lang w:eastAsia="zh-CN"/>
        </w:rPr>
        <w:t>（</w:t>
      </w:r>
      <w:r>
        <w:rPr>
          <w:rFonts w:hint="eastAsia" w:asciiTheme="minorEastAsia" w:hAnsiTheme="minorEastAsia" w:eastAsiaTheme="minorEastAsia" w:cstheme="minorEastAsia"/>
          <w:b/>
          <w:bCs/>
          <w:color w:val="auto"/>
          <w:kern w:val="0"/>
          <w:sz w:val="30"/>
          <w:szCs w:val="30"/>
          <w:highlight w:val="none"/>
        </w:rPr>
        <w:t>六</w:t>
      </w:r>
      <w:r>
        <w:rPr>
          <w:rFonts w:hint="eastAsia" w:asciiTheme="minorEastAsia" w:hAnsiTheme="minorEastAsia" w:eastAsiaTheme="minorEastAsia" w:cstheme="minorEastAsia"/>
          <w:b/>
          <w:bCs/>
          <w:color w:val="auto"/>
          <w:kern w:val="0"/>
          <w:sz w:val="30"/>
          <w:szCs w:val="30"/>
          <w:highlight w:val="none"/>
          <w:lang w:eastAsia="zh-CN"/>
        </w:rPr>
        <w:t>）</w:t>
      </w:r>
      <w:r>
        <w:rPr>
          <w:rFonts w:hint="eastAsia" w:asciiTheme="minorEastAsia" w:hAnsiTheme="minorEastAsia" w:eastAsiaTheme="minorEastAsia" w:cstheme="minorEastAsia"/>
          <w:b/>
          <w:bCs/>
          <w:color w:val="auto"/>
          <w:kern w:val="0"/>
          <w:sz w:val="30"/>
          <w:szCs w:val="30"/>
          <w:highlight w:val="none"/>
        </w:rPr>
        <w:t>中标结果</w:t>
      </w:r>
      <w:bookmarkEnd w:id="219"/>
      <w:bookmarkEnd w:id="220"/>
      <w:bookmarkEnd w:id="221"/>
      <w:bookmarkEnd w:id="222"/>
      <w:bookmarkEnd w:id="223"/>
      <w:bookmarkEnd w:id="224"/>
      <w:bookmarkEnd w:id="225"/>
      <w:bookmarkEnd w:id="226"/>
    </w:p>
    <w:p>
      <w:pPr>
        <w:pStyle w:val="25"/>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32.</w:t>
      </w:r>
      <w:r>
        <w:rPr>
          <w:rFonts w:hint="eastAsia" w:asciiTheme="minorEastAsia" w:hAnsiTheme="minorEastAsia" w:eastAsiaTheme="minorEastAsia" w:cstheme="minorEastAsia"/>
          <w:b/>
          <w:color w:val="auto"/>
          <w:sz w:val="24"/>
          <w:highlight w:val="none"/>
        </w:rPr>
        <w:t xml:space="preserve"> 中标人的确定</w:t>
      </w:r>
    </w:p>
    <w:p>
      <w:pPr>
        <w:spacing w:line="360" w:lineRule="auto"/>
        <w:ind w:firstLine="480" w:firstLineChars="200"/>
        <w:rPr>
          <w:rFonts w:hint="eastAsia" w:ascii="宋体" w:hAnsi="Times New Roman" w:eastAsia="宋体" w:cs="Times New Roman"/>
          <w:color w:val="auto"/>
          <w:kern w:val="2"/>
          <w:sz w:val="24"/>
          <w:szCs w:val="24"/>
          <w:highlight w:val="none"/>
          <w:lang w:val="en-US" w:eastAsia="zh-CN" w:bidi="ar-SA"/>
        </w:rPr>
      </w:pPr>
      <w:r>
        <w:rPr>
          <w:rFonts w:hint="eastAsia" w:ascii="宋体" w:cs="Times New Roman"/>
          <w:color w:val="auto"/>
          <w:kern w:val="2"/>
          <w:sz w:val="24"/>
          <w:szCs w:val="24"/>
          <w:highlight w:val="none"/>
          <w:lang w:val="en-US" w:eastAsia="zh-CN" w:bidi="ar-SA"/>
        </w:rPr>
        <w:t>32</w:t>
      </w:r>
      <w:r>
        <w:rPr>
          <w:rFonts w:hint="eastAsia" w:ascii="宋体" w:hAnsi="Times New Roman" w:eastAsia="宋体" w:cs="Times New Roman"/>
          <w:color w:val="auto"/>
          <w:kern w:val="2"/>
          <w:sz w:val="24"/>
          <w:szCs w:val="24"/>
          <w:highlight w:val="none"/>
          <w:lang w:val="en-US" w:eastAsia="zh-CN" w:bidi="ar-SA"/>
        </w:rPr>
        <w:t>.1</w:t>
      </w:r>
      <w:r>
        <w:rPr>
          <w:rFonts w:hint="eastAsia" w:ascii="宋体" w:hAnsi="Times New Roman" w:eastAsia="宋体" w:cs="Times New Roman"/>
          <w:color w:val="auto"/>
          <w:spacing w:val="-6"/>
          <w:kern w:val="2"/>
          <w:sz w:val="24"/>
          <w:szCs w:val="24"/>
          <w:highlight w:val="none"/>
          <w:lang w:val="en-US" w:eastAsia="zh-CN" w:bidi="ar-SA"/>
        </w:rPr>
        <w:t>采购代理机构应当在评标结束后</w:t>
      </w:r>
      <w:r>
        <w:rPr>
          <w:rFonts w:hint="eastAsia" w:ascii="宋体" w:cs="Times New Roman"/>
          <w:color w:val="auto"/>
          <w:spacing w:val="-6"/>
          <w:kern w:val="2"/>
          <w:sz w:val="24"/>
          <w:szCs w:val="24"/>
          <w:highlight w:val="none"/>
          <w:lang w:val="en-US" w:eastAsia="zh-CN" w:bidi="ar-SA"/>
        </w:rPr>
        <w:t>2</w:t>
      </w:r>
      <w:r>
        <w:rPr>
          <w:rFonts w:hint="eastAsia" w:ascii="宋体" w:hAnsi="Times New Roman" w:eastAsia="宋体" w:cs="Times New Roman"/>
          <w:color w:val="auto"/>
          <w:spacing w:val="-6"/>
          <w:kern w:val="2"/>
          <w:sz w:val="24"/>
          <w:szCs w:val="24"/>
          <w:highlight w:val="none"/>
          <w:lang w:val="en-US" w:eastAsia="zh-CN" w:bidi="ar-SA"/>
        </w:rPr>
        <w:t>个工作日内将评标报告送采购人确认。</w:t>
      </w:r>
    </w:p>
    <w:p>
      <w:pPr>
        <w:spacing w:line="360" w:lineRule="auto"/>
        <w:ind w:firstLine="480" w:firstLineChars="200"/>
        <w:jc w:val="left"/>
        <w:rPr>
          <w:rFonts w:hint="eastAsia" w:ascii="宋体" w:hAnsi="Times New Roman" w:eastAsia="宋体" w:cs="Times New Roman"/>
          <w:color w:val="auto"/>
          <w:kern w:val="2"/>
          <w:sz w:val="24"/>
          <w:szCs w:val="24"/>
          <w:highlight w:val="none"/>
          <w:lang w:val="en-US" w:eastAsia="zh-CN" w:bidi="ar-SA"/>
        </w:rPr>
      </w:pPr>
      <w:r>
        <w:rPr>
          <w:rFonts w:hint="eastAsia" w:ascii="宋体" w:cs="Times New Roman"/>
          <w:color w:val="auto"/>
          <w:kern w:val="2"/>
          <w:sz w:val="24"/>
          <w:szCs w:val="24"/>
          <w:highlight w:val="none"/>
          <w:lang w:val="en-US" w:eastAsia="zh-CN" w:bidi="ar-SA"/>
        </w:rPr>
        <w:t>32</w:t>
      </w:r>
      <w:r>
        <w:rPr>
          <w:rFonts w:hint="eastAsia" w:ascii="宋体" w:hAnsi="Times New Roman" w:eastAsia="宋体" w:cs="Times New Roman"/>
          <w:color w:val="auto"/>
          <w:kern w:val="2"/>
          <w:sz w:val="24"/>
          <w:szCs w:val="24"/>
          <w:highlight w:val="none"/>
          <w:lang w:val="en-US" w:eastAsia="zh-CN" w:bidi="ar-SA"/>
        </w:rPr>
        <w:t>.2采购人应当在收到评标报告后</w:t>
      </w:r>
      <w:r>
        <w:rPr>
          <w:rFonts w:hint="eastAsia" w:ascii="宋体" w:cs="Times New Roman"/>
          <w:color w:val="auto"/>
          <w:kern w:val="2"/>
          <w:sz w:val="24"/>
          <w:szCs w:val="24"/>
          <w:highlight w:val="none"/>
          <w:lang w:val="en-US" w:eastAsia="zh-CN" w:bidi="ar-SA"/>
        </w:rPr>
        <w:t>5</w:t>
      </w:r>
      <w:r>
        <w:rPr>
          <w:rFonts w:hint="eastAsia" w:ascii="宋体" w:hAnsi="Times New Roman" w:eastAsia="宋体" w:cs="Times New Roman"/>
          <w:color w:val="auto"/>
          <w:kern w:val="2"/>
          <w:sz w:val="24"/>
          <w:szCs w:val="24"/>
          <w:highlight w:val="none"/>
          <w:lang w:val="en-US" w:eastAsia="zh-CN" w:bidi="ar-SA"/>
        </w:rPr>
        <w:t>个工作日内，按照评标报告中推荐的中标人顺序确定中标人。</w:t>
      </w:r>
    </w:p>
    <w:p>
      <w:pPr>
        <w:pStyle w:val="25"/>
        <w:spacing w:line="360" w:lineRule="auto"/>
        <w:rPr>
          <w:rFonts w:hint="eastAsia" w:asciiTheme="minorEastAsia" w:hAnsiTheme="minorEastAsia" w:eastAsiaTheme="minorEastAsia" w:cstheme="minorEastAsia"/>
          <w:b/>
          <w:bCs/>
          <w:color w:val="auto"/>
          <w:sz w:val="24"/>
          <w:highlight w:val="none"/>
        </w:rPr>
      </w:pPr>
      <w:bookmarkStart w:id="227" w:name="OLE_LINK71"/>
      <w:r>
        <w:rPr>
          <w:rFonts w:hint="eastAsia" w:asciiTheme="minorEastAsia" w:hAnsiTheme="minorEastAsia" w:eastAsiaTheme="minorEastAsia" w:cstheme="minorEastAsia"/>
          <w:b/>
          <w:bCs/>
          <w:color w:val="auto"/>
          <w:sz w:val="24"/>
          <w:highlight w:val="none"/>
        </w:rPr>
        <w:t>3</w:t>
      </w:r>
      <w:r>
        <w:rPr>
          <w:rFonts w:hint="eastAsia" w:asciiTheme="minorEastAsia" w:hAnsiTheme="minorEastAsia" w:eastAsiaTheme="minorEastAsia" w:cstheme="minorEastAsia"/>
          <w:b/>
          <w:bCs/>
          <w:color w:val="auto"/>
          <w:sz w:val="24"/>
          <w:highlight w:val="none"/>
          <w:lang w:val="en-US" w:eastAsia="zh-CN"/>
        </w:rPr>
        <w:t>3</w:t>
      </w:r>
      <w:r>
        <w:rPr>
          <w:rFonts w:hint="eastAsia" w:asciiTheme="minorEastAsia" w:hAnsiTheme="minorEastAsia" w:eastAsiaTheme="minorEastAsia" w:cstheme="minorEastAsia"/>
          <w:b/>
          <w:bCs/>
          <w:color w:val="auto"/>
          <w:sz w:val="24"/>
          <w:highlight w:val="none"/>
        </w:rPr>
        <w:t xml:space="preserve">. </w:t>
      </w:r>
      <w:r>
        <w:rPr>
          <w:rFonts w:hint="eastAsia" w:asciiTheme="minorEastAsia" w:hAnsiTheme="minorEastAsia" w:eastAsiaTheme="minorEastAsia" w:cstheme="minorEastAsia"/>
          <w:b/>
          <w:bCs/>
          <w:color w:val="auto"/>
          <w:sz w:val="24"/>
          <w:highlight w:val="none"/>
          <w:lang w:eastAsia="zh-CN"/>
        </w:rPr>
        <w:t>中标</w:t>
      </w:r>
      <w:r>
        <w:rPr>
          <w:rFonts w:hint="eastAsia" w:asciiTheme="minorEastAsia" w:hAnsiTheme="minorEastAsia" w:eastAsiaTheme="minorEastAsia" w:cstheme="minorEastAsia"/>
          <w:b/>
          <w:bCs/>
          <w:color w:val="auto"/>
          <w:sz w:val="24"/>
          <w:highlight w:val="none"/>
          <w:lang w:val="en-US" w:eastAsia="zh-CN"/>
        </w:rPr>
        <w:t>结果</w:t>
      </w:r>
      <w:r>
        <w:rPr>
          <w:rFonts w:hint="eastAsia" w:asciiTheme="minorEastAsia" w:hAnsiTheme="minorEastAsia" w:eastAsiaTheme="minorEastAsia" w:cstheme="minorEastAsia"/>
          <w:b/>
          <w:bCs/>
          <w:color w:val="auto"/>
          <w:sz w:val="24"/>
          <w:highlight w:val="none"/>
          <w:lang w:eastAsia="zh-CN"/>
        </w:rPr>
        <w:t>公告及</w:t>
      </w:r>
      <w:r>
        <w:rPr>
          <w:rFonts w:hint="eastAsia" w:asciiTheme="minorEastAsia" w:hAnsiTheme="minorEastAsia" w:eastAsiaTheme="minorEastAsia" w:cstheme="minorEastAsia"/>
          <w:b/>
          <w:bCs/>
          <w:color w:val="auto"/>
          <w:sz w:val="24"/>
          <w:highlight w:val="none"/>
        </w:rPr>
        <w:t>中标通知书</w:t>
      </w:r>
    </w:p>
    <w:p>
      <w:pPr>
        <w:pStyle w:val="25"/>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33</w:t>
      </w: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sz w:val="24"/>
          <w:highlight w:val="none"/>
        </w:rPr>
        <w:t>采购代理机构应当自中标人确定之日起2个工作日内</w:t>
      </w:r>
      <w:r>
        <w:rPr>
          <w:rFonts w:hint="eastAsia" w:asciiTheme="minorEastAsia" w:hAnsiTheme="minorEastAsia" w:eastAsiaTheme="minorEastAsia" w:cstheme="minorEastAsia"/>
          <w:color w:val="auto"/>
          <w:kern w:val="0"/>
          <w:sz w:val="24"/>
          <w:highlight w:val="none"/>
        </w:rPr>
        <w:t>，</w:t>
      </w:r>
      <w:r>
        <w:rPr>
          <w:rFonts w:hint="eastAsia"/>
          <w:color w:val="auto"/>
          <w:kern w:val="0"/>
          <w:sz w:val="24"/>
          <w:highlight w:val="none"/>
        </w:rPr>
        <w:t>在</w:t>
      </w:r>
      <w:r>
        <w:rPr>
          <w:rFonts w:hint="eastAsia"/>
          <w:color w:val="auto"/>
          <w:sz w:val="24"/>
          <w:highlight w:val="none"/>
        </w:rPr>
        <w:t>云南省政府采购网（www.yngp.com）、</w:t>
      </w:r>
      <w:r>
        <w:rPr>
          <w:rFonts w:hint="eastAsia" w:hAnsi="宋体" w:cs="宋体"/>
          <w:color w:val="auto"/>
          <w:kern w:val="0"/>
          <w:sz w:val="24"/>
          <w:highlight w:val="none"/>
          <w:lang w:eastAsia="zh-CN"/>
        </w:rPr>
        <w:t>政府采购云平台（https://www.zcygov.cn/）</w:t>
      </w:r>
      <w:r>
        <w:rPr>
          <w:rFonts w:hint="eastAsia"/>
          <w:color w:val="auto"/>
          <w:kern w:val="0"/>
          <w:sz w:val="24"/>
          <w:highlight w:val="none"/>
        </w:rPr>
        <w:t>上</w:t>
      </w:r>
      <w:r>
        <w:rPr>
          <w:rFonts w:hint="eastAsia"/>
          <w:color w:val="auto"/>
          <w:kern w:val="0"/>
          <w:sz w:val="24"/>
          <w:highlight w:val="none"/>
          <w:lang w:eastAsia="zh-CN"/>
        </w:rPr>
        <w:t>发出中标结果</w:t>
      </w:r>
      <w:r>
        <w:rPr>
          <w:rFonts w:hint="eastAsia"/>
          <w:color w:val="auto"/>
          <w:kern w:val="0"/>
          <w:sz w:val="24"/>
          <w:highlight w:val="none"/>
        </w:rPr>
        <w:t>公告</w:t>
      </w:r>
      <w:r>
        <w:rPr>
          <w:rFonts w:hint="eastAsia"/>
          <w:color w:val="auto"/>
          <w:kern w:val="0"/>
          <w:sz w:val="24"/>
          <w:highlight w:val="none"/>
          <w:lang w:eastAsia="zh-CN"/>
        </w:rPr>
        <w:t>，</w:t>
      </w:r>
      <w:r>
        <w:rPr>
          <w:rFonts w:hint="eastAsia" w:asciiTheme="minorEastAsia" w:hAnsiTheme="minorEastAsia" w:eastAsiaTheme="minorEastAsia" w:cstheme="minorEastAsia"/>
          <w:color w:val="auto"/>
          <w:sz w:val="24"/>
          <w:highlight w:val="none"/>
        </w:rPr>
        <w:t>内容应当包括采购人及其委托的采购代理机构的名称、地址、联系方式，项目名称和</w:t>
      </w:r>
      <w:r>
        <w:rPr>
          <w:rFonts w:hint="eastAsia" w:asciiTheme="minorEastAsia" w:hAnsiTheme="minorEastAsia" w:eastAsiaTheme="minorEastAsia" w:cstheme="minorEastAsia"/>
          <w:color w:val="auto"/>
          <w:sz w:val="24"/>
          <w:highlight w:val="none"/>
          <w:lang w:eastAsia="zh-CN"/>
        </w:rPr>
        <w:t>项目编号</w:t>
      </w:r>
      <w:r>
        <w:rPr>
          <w:rFonts w:hint="eastAsia" w:asciiTheme="minorEastAsia" w:hAnsiTheme="minorEastAsia" w:eastAsiaTheme="minorEastAsia" w:cstheme="minorEastAsia"/>
          <w:color w:val="auto"/>
          <w:sz w:val="24"/>
          <w:highlight w:val="none"/>
        </w:rPr>
        <w:t>，中标人名称、地址和中标金额，主要中标标的名称、</w:t>
      </w:r>
      <w:r>
        <w:rPr>
          <w:rFonts w:hint="eastAsia" w:asciiTheme="minorEastAsia" w:hAnsiTheme="minorEastAsia" w:eastAsiaTheme="minorEastAsia" w:cstheme="minorEastAsia"/>
          <w:color w:val="auto"/>
          <w:sz w:val="24"/>
          <w:highlight w:val="none"/>
          <w:lang w:val="en-US" w:eastAsia="zh-CN"/>
        </w:rPr>
        <w:t>规格型号、数量</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单价、服务要求</w:t>
      </w:r>
      <w:r>
        <w:rPr>
          <w:rFonts w:hint="eastAsia" w:asciiTheme="minorEastAsia" w:hAnsiTheme="minorEastAsia" w:eastAsiaTheme="minorEastAsia" w:cstheme="minorEastAsia"/>
          <w:color w:val="auto"/>
          <w:sz w:val="24"/>
          <w:highlight w:val="none"/>
        </w:rPr>
        <w:t>，中标公告期限</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评审专家名单</w:t>
      </w:r>
      <w:r>
        <w:rPr>
          <w:rFonts w:hint="eastAsia" w:asciiTheme="minorEastAsia" w:hAnsiTheme="minorEastAsia" w:eastAsiaTheme="minorEastAsia" w:cstheme="minorEastAsia"/>
          <w:color w:val="auto"/>
          <w:kern w:val="0"/>
          <w:sz w:val="24"/>
          <w:highlight w:val="none"/>
          <w:lang w:val="en-US" w:eastAsia="zh-CN"/>
        </w:rPr>
        <w:t>及《中小企业声明函》（若中标供应商享受中小企业扶持政策的）</w:t>
      </w:r>
      <w:r>
        <w:rPr>
          <w:rFonts w:hint="eastAsia" w:asciiTheme="minorEastAsia" w:hAnsiTheme="minorEastAsia" w:eastAsiaTheme="minorEastAsia" w:cstheme="minorEastAsia"/>
          <w:color w:val="auto"/>
          <w:kern w:val="0"/>
          <w:sz w:val="24"/>
          <w:highlight w:val="none"/>
        </w:rPr>
        <w:t>。</w:t>
      </w:r>
    </w:p>
    <w:p>
      <w:pPr>
        <w:pStyle w:val="25"/>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eastAsia="zh-CN"/>
        </w:rPr>
        <w:t>采购代理机构在发布中标结果公告的</w:t>
      </w:r>
      <w:r>
        <w:rPr>
          <w:rFonts w:hint="eastAsia"/>
          <w:color w:val="auto"/>
          <w:kern w:val="0"/>
          <w:sz w:val="24"/>
          <w:highlight w:val="none"/>
        </w:rPr>
        <w:t>同时向中标人发出中标通知书</w:t>
      </w:r>
      <w:r>
        <w:rPr>
          <w:rFonts w:hint="eastAsia"/>
          <w:color w:val="auto"/>
          <w:kern w:val="0"/>
          <w:sz w:val="24"/>
          <w:highlight w:val="none"/>
          <w:lang w:eastAsia="zh-CN"/>
        </w:rPr>
        <w:t>，</w:t>
      </w:r>
      <w:r>
        <w:rPr>
          <w:rFonts w:hint="eastAsia" w:asciiTheme="minorEastAsia" w:hAnsiTheme="minorEastAsia" w:eastAsiaTheme="minorEastAsia" w:cstheme="minorEastAsia"/>
          <w:color w:val="auto"/>
          <w:sz w:val="24"/>
          <w:highlight w:val="none"/>
        </w:rPr>
        <w:t>中标通知书是合同的一个组成部分。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3</w:t>
      </w:r>
      <w:r>
        <w:rPr>
          <w:rFonts w:hint="eastAsia" w:asciiTheme="minorEastAsia" w:hAnsiTheme="minorEastAsia" w:eastAsiaTheme="minorEastAsia" w:cstheme="minorEastAsia"/>
          <w:b/>
          <w:bCs/>
          <w:color w:val="auto"/>
          <w:sz w:val="24"/>
          <w:highlight w:val="none"/>
          <w:lang w:val="en-US" w:eastAsia="zh-CN"/>
        </w:rPr>
        <w:t>4</w:t>
      </w:r>
      <w:r>
        <w:rPr>
          <w:rFonts w:hint="eastAsia" w:asciiTheme="minorEastAsia" w:hAnsiTheme="minorEastAsia" w:eastAsiaTheme="minorEastAsia" w:cstheme="minorEastAsia"/>
          <w:b/>
          <w:bCs/>
          <w:color w:val="auto"/>
          <w:sz w:val="24"/>
          <w:highlight w:val="none"/>
        </w:rPr>
        <w:t>. 签订合同</w:t>
      </w:r>
      <w:r>
        <w:rPr>
          <w:rFonts w:hint="eastAsia" w:ascii="宋体" w:hAnsi="宋体" w:eastAsia="宋体" w:cs="宋体"/>
          <w:b/>
          <w:bCs w:val="0"/>
          <w:kern w:val="2"/>
          <w:sz w:val="24"/>
          <w:szCs w:val="24"/>
          <w:highlight w:val="none"/>
          <w:lang w:val="en-US" w:eastAsia="zh-CN" w:bidi="ar"/>
        </w:rPr>
        <w:t>及履约验收管理</w:t>
      </w:r>
    </w:p>
    <w:p>
      <w:pPr>
        <w:pStyle w:val="25"/>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.1采购人与中标人应当在</w:t>
      </w:r>
      <w:r>
        <w:rPr>
          <w:rFonts w:hint="eastAsia" w:asciiTheme="minorEastAsia" w:hAnsiTheme="minorEastAsia" w:eastAsiaTheme="minorEastAsia" w:cstheme="minorEastAsia"/>
          <w:color w:val="auto"/>
          <w:sz w:val="24"/>
          <w:highlight w:val="none"/>
          <w:lang w:eastAsia="zh-CN"/>
        </w:rPr>
        <w:t>中标公示结束无异议后</w:t>
      </w:r>
      <w:r>
        <w:rPr>
          <w:rFonts w:hint="eastAsia" w:asciiTheme="minorEastAsia" w:hAnsiTheme="minorEastAsia" w:eastAsiaTheme="minorEastAsia" w:cstheme="minorEastAsia"/>
          <w:color w:val="auto"/>
          <w:sz w:val="24"/>
          <w:highlight w:val="none"/>
        </w:rPr>
        <w:t>30日内，按照</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和中标人投标文件的规定签订政府采购合同。</w:t>
      </w:r>
    </w:p>
    <w:p>
      <w:pPr>
        <w:pStyle w:val="25"/>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34.2</w:t>
      </w:r>
      <w:r>
        <w:rPr>
          <w:rFonts w:hint="eastAsia" w:asciiTheme="minorEastAsia" w:hAnsiTheme="minorEastAsia" w:eastAsiaTheme="minorEastAsia" w:cstheme="minorEastAsia"/>
          <w:color w:val="auto"/>
          <w:sz w:val="24"/>
          <w:highlight w:val="none"/>
        </w:rPr>
        <w:t>中标人的投标报价为</w:t>
      </w:r>
      <w:r>
        <w:rPr>
          <w:rFonts w:hint="eastAsia" w:asciiTheme="minorEastAsia" w:hAnsiTheme="minorEastAsia" w:eastAsiaTheme="minorEastAsia" w:cstheme="minorEastAsia"/>
          <w:color w:val="auto"/>
          <w:sz w:val="24"/>
          <w:highlight w:val="none"/>
          <w:lang w:eastAsia="zh-CN"/>
        </w:rPr>
        <w:t>合同</w:t>
      </w:r>
      <w:r>
        <w:rPr>
          <w:rFonts w:hint="eastAsia" w:asciiTheme="minorEastAsia" w:hAnsiTheme="minorEastAsia" w:eastAsiaTheme="minorEastAsia" w:cstheme="minorEastAsia"/>
          <w:color w:val="auto"/>
          <w:sz w:val="24"/>
          <w:highlight w:val="none"/>
        </w:rPr>
        <w:t>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w:t>
      </w:r>
      <w:r>
        <w:rPr>
          <w:rFonts w:hint="eastAsia" w:ascii="宋体" w:hAnsi="宋体" w:eastAsia="宋体" w:cs="宋体"/>
          <w:color w:val="auto"/>
          <w:sz w:val="24"/>
          <w:highlight w:val="none"/>
        </w:rPr>
        <w:t>采购人不得向</w:t>
      </w:r>
      <w:r>
        <w:rPr>
          <w:rFonts w:hint="eastAsia" w:ascii="宋体" w:hAnsi="宋体" w:cs="宋体"/>
          <w:color w:val="auto"/>
          <w:sz w:val="24"/>
          <w:highlight w:val="none"/>
          <w:lang w:val="en-US" w:eastAsia="zh-CN"/>
        </w:rPr>
        <w:t>中标</w:t>
      </w:r>
      <w:r>
        <w:rPr>
          <w:rFonts w:hint="eastAsia" w:ascii="宋体" w:hAnsi="宋体" w:eastAsia="宋体" w:cs="宋体"/>
          <w:color w:val="auto"/>
          <w:sz w:val="24"/>
          <w:highlight w:val="none"/>
        </w:rPr>
        <w:t>人提出超出</w:t>
      </w:r>
      <w:r>
        <w:rPr>
          <w:rFonts w:hint="eastAsia" w:ascii="宋体" w:hAnsi="宋体" w:cs="宋体"/>
          <w:color w:val="auto"/>
          <w:sz w:val="24"/>
          <w:highlight w:val="none"/>
          <w:lang w:val="en-US" w:eastAsia="zh-CN"/>
        </w:rPr>
        <w:t>招标</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以外的任何要求作为签订合同的条件，不得与</w:t>
      </w:r>
      <w:r>
        <w:rPr>
          <w:rFonts w:hint="eastAsia" w:ascii="宋体" w:hAnsi="宋体" w:cs="宋体"/>
          <w:color w:val="auto"/>
          <w:sz w:val="24"/>
          <w:highlight w:val="none"/>
          <w:lang w:val="en-US" w:eastAsia="zh-CN"/>
        </w:rPr>
        <w:t>中标</w:t>
      </w:r>
      <w:r>
        <w:rPr>
          <w:rFonts w:hint="eastAsia" w:ascii="宋体" w:hAnsi="宋体" w:eastAsia="宋体" w:cs="宋体"/>
          <w:color w:val="auto"/>
          <w:sz w:val="24"/>
          <w:highlight w:val="none"/>
        </w:rPr>
        <w:t>人订立背离</w:t>
      </w:r>
      <w:r>
        <w:rPr>
          <w:rFonts w:hint="eastAsia" w:ascii="宋体" w:hAnsi="宋体" w:cs="宋体"/>
          <w:color w:val="auto"/>
          <w:sz w:val="24"/>
          <w:highlight w:val="none"/>
          <w:lang w:val="en-US" w:eastAsia="zh-CN"/>
        </w:rPr>
        <w:t>招标</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实质性内容的协议。</w:t>
      </w:r>
    </w:p>
    <w:p>
      <w:pPr>
        <w:pStyle w:val="25"/>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34.4</w:t>
      </w:r>
      <w:r>
        <w:rPr>
          <w:rFonts w:hint="eastAsia" w:asciiTheme="minorEastAsia" w:hAnsiTheme="minorEastAsia" w:eastAsiaTheme="minorEastAsia" w:cstheme="minorEastAsia"/>
          <w:color w:val="auto"/>
          <w:sz w:val="24"/>
          <w:highlight w:val="none"/>
        </w:rPr>
        <w:t>中标人因不可抗力或者自身原因不能履行政府采购合同的，或中标人拒绝与采购人签订合同</w:t>
      </w:r>
      <w:r>
        <w:rPr>
          <w:rFonts w:hint="eastAsia" w:asciiTheme="minorEastAsia" w:hAnsiTheme="minorEastAsia" w:eastAsiaTheme="minorEastAsia" w:cstheme="minorEastAsia"/>
          <w:color w:val="auto"/>
          <w:sz w:val="24"/>
          <w:highlight w:val="none"/>
          <w:lang w:eastAsia="zh-CN"/>
        </w:rPr>
        <w:t>的，</w:t>
      </w:r>
      <w:r>
        <w:rPr>
          <w:rFonts w:hint="eastAsia" w:asciiTheme="minorEastAsia" w:hAnsiTheme="minorEastAsia" w:eastAsiaTheme="minorEastAsia" w:cstheme="minorEastAsia"/>
          <w:color w:val="auto"/>
          <w:sz w:val="24"/>
          <w:highlight w:val="none"/>
        </w:rPr>
        <w:t>采购人可以按照评标报告推荐的中标候选人名单排序，确定下一候选人为中标人，也可以重新开展政府采购活动。</w:t>
      </w:r>
    </w:p>
    <w:p>
      <w:pPr>
        <w:pStyle w:val="25"/>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34.5政府采购合同履行中，采购人需追加与合同标的相同的货物、工程或者服务的，在不改变合同其他条款的前提下，可以与供应商协商签订补充合同，但所有补充合同的采购金额不得超过原合同采购金额的百分之十。</w:t>
      </w:r>
    </w:p>
    <w:p>
      <w:pPr>
        <w:pStyle w:val="25"/>
        <w:spacing w:line="360" w:lineRule="auto"/>
        <w:ind w:firstLine="480" w:firstLineChars="200"/>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34.6</w:t>
      </w:r>
      <w:r>
        <w:rPr>
          <w:rFonts w:hint="eastAsia" w:asciiTheme="minorEastAsia" w:hAnsiTheme="minorEastAsia" w:eastAsiaTheme="minorEastAsia" w:cstheme="minorEastAsia"/>
          <w:color w:val="auto"/>
          <w:spacing w:val="-6"/>
          <w:sz w:val="24"/>
          <w:highlight w:val="none"/>
          <w:lang w:val="en-US" w:eastAsia="zh-CN"/>
        </w:rPr>
        <w:t>采购人应当落</w:t>
      </w:r>
      <w:r>
        <w:rPr>
          <w:rFonts w:hint="eastAsia" w:asciiTheme="minorEastAsia" w:hAnsiTheme="minorEastAsia" w:eastAsiaTheme="minorEastAsia" w:cstheme="minorEastAsia"/>
          <w:color w:val="auto"/>
          <w:spacing w:val="-6"/>
          <w:sz w:val="24"/>
          <w:highlight w:val="none"/>
        </w:rPr>
        <w:t>实履约验收责任，依法组织履约验收工作，验收内容要包括每一项技术和商务要求的履约情况。对报价触发异常低价</w:t>
      </w:r>
      <w:r>
        <w:rPr>
          <w:rFonts w:hint="eastAsia" w:asciiTheme="minorEastAsia" w:hAnsiTheme="minorEastAsia" w:eastAsiaTheme="minorEastAsia" w:cstheme="minorEastAsia"/>
          <w:color w:val="auto"/>
          <w:spacing w:val="-6"/>
          <w:sz w:val="24"/>
          <w:highlight w:val="none"/>
          <w:lang w:val="en-US" w:eastAsia="zh-CN"/>
        </w:rPr>
        <w:t>投标</w:t>
      </w:r>
      <w:r>
        <w:rPr>
          <w:rFonts w:hint="eastAsia" w:asciiTheme="minorEastAsia" w:hAnsiTheme="minorEastAsia" w:eastAsiaTheme="minorEastAsia" w:cstheme="minorEastAsia"/>
          <w:color w:val="auto"/>
          <w:spacing w:val="-6"/>
          <w:sz w:val="24"/>
          <w:highlight w:val="none"/>
        </w:rPr>
        <w:t>审查程序后仍</w:t>
      </w:r>
      <w:r>
        <w:rPr>
          <w:rFonts w:hint="eastAsia" w:asciiTheme="minorEastAsia" w:hAnsiTheme="minorEastAsia" w:eastAsiaTheme="minorEastAsia" w:cstheme="minorEastAsia"/>
          <w:color w:val="auto"/>
          <w:spacing w:val="-6"/>
          <w:sz w:val="24"/>
          <w:highlight w:val="none"/>
          <w:lang w:val="en-US" w:eastAsia="zh-CN"/>
        </w:rPr>
        <w:t>中标</w:t>
      </w:r>
      <w:r>
        <w:rPr>
          <w:rFonts w:hint="eastAsia" w:asciiTheme="minorEastAsia" w:hAnsiTheme="minorEastAsia" w:eastAsiaTheme="minorEastAsia" w:cstheme="minorEastAsia"/>
          <w:color w:val="auto"/>
          <w:spacing w:val="-6"/>
          <w:sz w:val="24"/>
          <w:highlight w:val="none"/>
        </w:rPr>
        <w:t xml:space="preserve">的供应商，采购人要重点关注其履约承诺、实际履约情况等。如供应商不履行合同或者未按合同约定履行合同导致验收不合格的，采购人应当依法追究其违约责任。 </w:t>
      </w:r>
    </w:p>
    <w:bookmarkEnd w:id="227"/>
    <w:p>
      <w:pPr>
        <w:pStyle w:val="25"/>
        <w:spacing w:line="360" w:lineRule="auto"/>
        <w:rPr>
          <w:rFonts w:hint="eastAsia" w:asciiTheme="minorEastAsia" w:hAnsiTheme="minorEastAsia" w:eastAsiaTheme="minorEastAsia" w:cstheme="minorEastAsia"/>
          <w:b w:val="0"/>
          <w:bCs w:val="0"/>
          <w:color w:val="auto"/>
          <w:kern w:val="0"/>
          <w:sz w:val="24"/>
          <w:highlight w:val="none"/>
        </w:rPr>
      </w:pPr>
      <w:r>
        <w:rPr>
          <w:rFonts w:hint="eastAsia" w:asciiTheme="minorEastAsia" w:hAnsiTheme="minorEastAsia" w:eastAsiaTheme="minorEastAsia" w:cstheme="minorEastAsia"/>
          <w:b/>
          <w:bCs/>
          <w:color w:val="auto"/>
          <w:kern w:val="0"/>
          <w:sz w:val="24"/>
          <w:highlight w:val="none"/>
        </w:rPr>
        <w:t>3</w:t>
      </w:r>
      <w:r>
        <w:rPr>
          <w:rFonts w:hint="eastAsia" w:asciiTheme="minorEastAsia" w:hAnsiTheme="minorEastAsia" w:eastAsiaTheme="minorEastAsia" w:cstheme="minorEastAsia"/>
          <w:b/>
          <w:bCs/>
          <w:color w:val="auto"/>
          <w:kern w:val="0"/>
          <w:sz w:val="24"/>
          <w:highlight w:val="none"/>
          <w:lang w:val="en-US" w:eastAsia="zh-CN"/>
        </w:rPr>
        <w:t>5</w:t>
      </w:r>
      <w:r>
        <w:rPr>
          <w:rFonts w:hint="eastAsia" w:asciiTheme="minorEastAsia" w:hAnsiTheme="minorEastAsia" w:eastAsiaTheme="minorEastAsia" w:cstheme="minorEastAsia"/>
          <w:b/>
          <w:bCs/>
          <w:color w:val="auto"/>
          <w:kern w:val="0"/>
          <w:sz w:val="24"/>
          <w:highlight w:val="none"/>
        </w:rPr>
        <w:t xml:space="preserve">. </w:t>
      </w:r>
      <w:r>
        <w:rPr>
          <w:rFonts w:hint="eastAsia" w:asciiTheme="minorEastAsia" w:hAnsiTheme="minorEastAsia" w:eastAsiaTheme="minorEastAsia" w:cstheme="minorEastAsia"/>
          <w:b/>
          <w:bCs/>
          <w:color w:val="auto"/>
          <w:sz w:val="24"/>
          <w:highlight w:val="none"/>
        </w:rPr>
        <w:t>履约</w:t>
      </w:r>
      <w:r>
        <w:rPr>
          <w:rFonts w:hint="eastAsia" w:asciiTheme="minorEastAsia" w:hAnsiTheme="minorEastAsia" w:eastAsiaTheme="minorEastAsia" w:cstheme="minorEastAsia"/>
          <w:b/>
          <w:bCs/>
          <w:color w:val="auto"/>
          <w:sz w:val="24"/>
          <w:highlight w:val="none"/>
          <w:lang w:eastAsia="zh-CN"/>
        </w:rPr>
        <w:t>保证金</w:t>
      </w:r>
      <w:r>
        <w:rPr>
          <w:rFonts w:hint="eastAsia" w:asciiTheme="minorEastAsia" w:hAnsiTheme="minorEastAsia" w:eastAsiaTheme="minorEastAsia" w:cstheme="minorEastAsia"/>
          <w:b/>
          <w:bCs/>
          <w:color w:val="auto"/>
          <w:sz w:val="24"/>
          <w:highlight w:val="none"/>
          <w:lang w:val="en-US" w:eastAsia="zh-CN"/>
        </w:rPr>
        <w:t>：</w:t>
      </w:r>
      <w:r>
        <w:rPr>
          <w:rFonts w:hint="eastAsia" w:asciiTheme="minorEastAsia" w:hAnsiTheme="minorEastAsia" w:eastAsiaTheme="minorEastAsia" w:cstheme="minorEastAsia"/>
          <w:b w:val="0"/>
          <w:bCs w:val="0"/>
          <w:color w:val="auto"/>
          <w:kern w:val="0"/>
          <w:sz w:val="24"/>
          <w:highlight w:val="none"/>
        </w:rPr>
        <w:t>详见“</w:t>
      </w:r>
      <w:r>
        <w:rPr>
          <w:rFonts w:hint="eastAsia" w:asciiTheme="minorEastAsia" w:hAnsiTheme="minorEastAsia" w:eastAsiaTheme="minorEastAsia" w:cstheme="minorEastAsia"/>
          <w:b w:val="0"/>
          <w:bCs w:val="0"/>
          <w:color w:val="auto"/>
          <w:kern w:val="0"/>
          <w:sz w:val="24"/>
          <w:highlight w:val="none"/>
          <w:lang w:eastAsia="zh-CN"/>
        </w:rPr>
        <w:t>供应商</w:t>
      </w:r>
      <w:r>
        <w:rPr>
          <w:rFonts w:hint="eastAsia" w:asciiTheme="minorEastAsia" w:hAnsiTheme="minorEastAsia" w:eastAsiaTheme="minorEastAsia" w:cstheme="minorEastAsia"/>
          <w:b w:val="0"/>
          <w:bCs w:val="0"/>
          <w:color w:val="auto"/>
          <w:kern w:val="0"/>
          <w:sz w:val="24"/>
          <w:highlight w:val="none"/>
        </w:rPr>
        <w:t>须知前附表”。</w:t>
      </w:r>
    </w:p>
    <w:p>
      <w:pPr>
        <w:pStyle w:val="25"/>
        <w:spacing w:line="360" w:lineRule="auto"/>
        <w:rPr>
          <w:rFonts w:hint="eastAsia"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3</w:t>
      </w:r>
      <w:r>
        <w:rPr>
          <w:rFonts w:hint="eastAsia" w:asciiTheme="minorEastAsia" w:hAnsiTheme="minorEastAsia" w:eastAsiaTheme="minorEastAsia" w:cstheme="minorEastAsia"/>
          <w:b/>
          <w:bCs/>
          <w:color w:val="auto"/>
          <w:kern w:val="0"/>
          <w:sz w:val="24"/>
          <w:highlight w:val="none"/>
          <w:lang w:val="en-US" w:eastAsia="zh-CN"/>
        </w:rPr>
        <w:t>6</w:t>
      </w:r>
      <w:r>
        <w:rPr>
          <w:rFonts w:hint="eastAsia" w:asciiTheme="minorEastAsia" w:hAnsiTheme="minorEastAsia" w:eastAsiaTheme="minorEastAsia" w:cstheme="minorEastAsia"/>
          <w:b/>
          <w:bCs/>
          <w:color w:val="auto"/>
          <w:kern w:val="0"/>
          <w:sz w:val="24"/>
          <w:highlight w:val="none"/>
        </w:rPr>
        <w:t xml:space="preserve">. </w:t>
      </w:r>
      <w:r>
        <w:rPr>
          <w:rFonts w:hint="eastAsia" w:asciiTheme="minorEastAsia" w:hAnsiTheme="minorEastAsia" w:eastAsiaTheme="minorEastAsia" w:cstheme="minorEastAsia"/>
          <w:b/>
          <w:bCs/>
          <w:color w:val="auto"/>
          <w:kern w:val="0"/>
          <w:sz w:val="24"/>
          <w:highlight w:val="none"/>
          <w:lang w:eastAsia="zh-CN"/>
        </w:rPr>
        <w:t>中标</w:t>
      </w:r>
      <w:r>
        <w:rPr>
          <w:rFonts w:hint="eastAsia" w:asciiTheme="minorEastAsia" w:hAnsiTheme="minorEastAsia" w:eastAsiaTheme="minorEastAsia" w:cstheme="minorEastAsia"/>
          <w:b/>
          <w:bCs/>
          <w:color w:val="auto"/>
          <w:kern w:val="0"/>
          <w:sz w:val="24"/>
          <w:highlight w:val="none"/>
        </w:rPr>
        <w:t>服务费</w:t>
      </w:r>
    </w:p>
    <w:p>
      <w:pPr>
        <w:pStyle w:val="25"/>
        <w:spacing w:line="360" w:lineRule="auto"/>
        <w:ind w:firstLine="480" w:firstLineChars="200"/>
        <w:rPr>
          <w:rFonts w:hint="eastAsia" w:asciiTheme="minorEastAsia" w:hAnsiTheme="minorEastAsia" w:eastAsiaTheme="minorEastAsia" w:cstheme="minorEastAsia"/>
          <w:b w:val="0"/>
          <w:bCs w:val="0"/>
          <w:color w:val="auto"/>
          <w:kern w:val="0"/>
          <w:sz w:val="24"/>
          <w:highlight w:val="none"/>
        </w:rPr>
      </w:pPr>
      <w:r>
        <w:rPr>
          <w:rFonts w:hint="eastAsia" w:asciiTheme="minorEastAsia" w:hAnsiTheme="minorEastAsia" w:eastAsiaTheme="minorEastAsia" w:cstheme="minorEastAsia"/>
          <w:color w:val="auto"/>
          <w:kern w:val="0"/>
          <w:sz w:val="24"/>
          <w:highlight w:val="none"/>
        </w:rPr>
        <w:t>3</w:t>
      </w:r>
      <w:r>
        <w:rPr>
          <w:rFonts w:hint="eastAsia" w:asciiTheme="minorEastAsia" w:hAnsiTheme="minorEastAsia" w:eastAsiaTheme="minorEastAsia" w:cstheme="minorEastAsia"/>
          <w:color w:val="auto"/>
          <w:kern w:val="0"/>
          <w:sz w:val="24"/>
          <w:highlight w:val="none"/>
          <w:lang w:val="en-US" w:eastAsia="zh-CN"/>
        </w:rPr>
        <w:t>6</w:t>
      </w: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lang w:eastAsia="zh-CN"/>
        </w:rPr>
        <w:t>中标</w:t>
      </w:r>
      <w:r>
        <w:rPr>
          <w:rFonts w:hint="eastAsia" w:asciiTheme="minorEastAsia" w:hAnsiTheme="minorEastAsia" w:eastAsiaTheme="minorEastAsia" w:cstheme="minorEastAsia"/>
          <w:color w:val="auto"/>
          <w:kern w:val="0"/>
          <w:sz w:val="24"/>
          <w:highlight w:val="none"/>
        </w:rPr>
        <w:t>服务费收取标准详</w:t>
      </w:r>
      <w:r>
        <w:rPr>
          <w:rFonts w:hint="eastAsia" w:asciiTheme="minorEastAsia" w:hAnsiTheme="minorEastAsia" w:eastAsiaTheme="minorEastAsia" w:cstheme="minorEastAsia"/>
          <w:b w:val="0"/>
          <w:bCs w:val="0"/>
          <w:color w:val="auto"/>
          <w:kern w:val="0"/>
          <w:sz w:val="24"/>
          <w:highlight w:val="none"/>
        </w:rPr>
        <w:t>见“</w:t>
      </w:r>
      <w:r>
        <w:rPr>
          <w:rFonts w:hint="eastAsia" w:asciiTheme="minorEastAsia" w:hAnsiTheme="minorEastAsia" w:eastAsiaTheme="minorEastAsia" w:cstheme="minorEastAsia"/>
          <w:b w:val="0"/>
          <w:bCs w:val="0"/>
          <w:color w:val="auto"/>
          <w:kern w:val="0"/>
          <w:sz w:val="24"/>
          <w:highlight w:val="none"/>
          <w:lang w:eastAsia="zh-CN"/>
        </w:rPr>
        <w:t>供应商</w:t>
      </w:r>
      <w:r>
        <w:rPr>
          <w:rFonts w:hint="eastAsia" w:asciiTheme="minorEastAsia" w:hAnsiTheme="minorEastAsia" w:eastAsiaTheme="minorEastAsia" w:cstheme="minorEastAsia"/>
          <w:b w:val="0"/>
          <w:bCs w:val="0"/>
          <w:color w:val="auto"/>
          <w:kern w:val="0"/>
          <w:sz w:val="24"/>
          <w:highlight w:val="none"/>
        </w:rPr>
        <w:t>须知前附表”。</w:t>
      </w:r>
    </w:p>
    <w:p>
      <w:pPr>
        <w:pStyle w:val="4"/>
        <w:numPr>
          <w:ilvl w:val="0"/>
          <w:numId w:val="0"/>
        </w:numPr>
        <w:ind w:left="0" w:leftChars="0" w:firstLine="0" w:firstLineChars="0"/>
        <w:jc w:val="center"/>
        <w:rPr>
          <w:rFonts w:hint="eastAsia" w:asciiTheme="minorEastAsia" w:hAnsiTheme="minorEastAsia" w:eastAsiaTheme="minorEastAsia" w:cstheme="minorEastAsia"/>
          <w:b/>
          <w:bCs/>
          <w:color w:val="auto"/>
          <w:kern w:val="0"/>
          <w:sz w:val="30"/>
          <w:szCs w:val="30"/>
          <w:highlight w:val="none"/>
          <w:lang w:eastAsia="zh-CN"/>
        </w:rPr>
      </w:pPr>
      <w:bookmarkStart w:id="228" w:name="_Toc14936914"/>
      <w:bookmarkStart w:id="229" w:name="_Toc16707"/>
      <w:bookmarkStart w:id="230" w:name="_Toc15646"/>
      <w:bookmarkStart w:id="231" w:name="_Toc24961"/>
      <w:bookmarkStart w:id="232" w:name="_Toc966"/>
      <w:bookmarkStart w:id="233" w:name="_Toc27701"/>
      <w:bookmarkStart w:id="234" w:name="_Toc232509432"/>
      <w:bookmarkStart w:id="235" w:name="_Toc8180"/>
      <w:r>
        <w:rPr>
          <w:rFonts w:hint="eastAsia" w:asciiTheme="minorEastAsia" w:hAnsiTheme="minorEastAsia" w:eastAsiaTheme="minorEastAsia" w:cstheme="minorEastAsia"/>
          <w:b/>
          <w:bCs/>
          <w:color w:val="auto"/>
          <w:kern w:val="0"/>
          <w:sz w:val="30"/>
          <w:szCs w:val="30"/>
          <w:highlight w:val="none"/>
          <w:lang w:eastAsia="zh-CN"/>
        </w:rPr>
        <w:t>（七）其他事项</w:t>
      </w:r>
      <w:bookmarkEnd w:id="228"/>
      <w:bookmarkEnd w:id="229"/>
      <w:bookmarkEnd w:id="230"/>
      <w:bookmarkEnd w:id="231"/>
      <w:bookmarkEnd w:id="232"/>
      <w:bookmarkEnd w:id="233"/>
      <w:bookmarkEnd w:id="234"/>
      <w:bookmarkEnd w:id="235"/>
    </w:p>
    <w:p>
      <w:pPr>
        <w:pStyle w:val="25"/>
        <w:spacing w:line="360" w:lineRule="auto"/>
        <w:rPr>
          <w:rFonts w:hint="eastAsia" w:asciiTheme="minorEastAsia" w:hAnsiTheme="minorEastAsia" w:eastAsiaTheme="minorEastAsia" w:cstheme="minorEastAsia"/>
          <w:b/>
          <w:bCs/>
          <w:color w:val="auto"/>
          <w:kern w:val="0"/>
          <w:sz w:val="24"/>
          <w:highlight w:val="none"/>
        </w:rPr>
      </w:pPr>
      <w:bookmarkStart w:id="236" w:name="_Toc9527"/>
      <w:bookmarkStart w:id="237" w:name="_Toc450077288"/>
      <w:r>
        <w:rPr>
          <w:rFonts w:hint="eastAsia" w:asciiTheme="minorEastAsia" w:hAnsiTheme="minorEastAsia" w:eastAsiaTheme="minorEastAsia" w:cstheme="minorEastAsia"/>
          <w:b/>
          <w:bCs/>
          <w:color w:val="auto"/>
          <w:kern w:val="0"/>
          <w:sz w:val="24"/>
          <w:highlight w:val="none"/>
        </w:rPr>
        <w:t>3</w:t>
      </w:r>
      <w:r>
        <w:rPr>
          <w:rFonts w:hint="eastAsia" w:asciiTheme="minorEastAsia" w:hAnsiTheme="minorEastAsia" w:eastAsiaTheme="minorEastAsia" w:cstheme="minorEastAsia"/>
          <w:b/>
          <w:bCs/>
          <w:color w:val="auto"/>
          <w:kern w:val="0"/>
          <w:sz w:val="24"/>
          <w:highlight w:val="none"/>
          <w:lang w:val="en-US" w:eastAsia="zh-CN"/>
        </w:rPr>
        <w:t>7</w:t>
      </w:r>
      <w:r>
        <w:rPr>
          <w:rFonts w:hint="eastAsia" w:asciiTheme="minorEastAsia" w:hAnsiTheme="minorEastAsia" w:eastAsiaTheme="minorEastAsia" w:cstheme="minorEastAsia"/>
          <w:b/>
          <w:bCs/>
          <w:color w:val="auto"/>
          <w:kern w:val="0"/>
          <w:sz w:val="24"/>
          <w:highlight w:val="none"/>
        </w:rPr>
        <w:t>. 解释权</w:t>
      </w:r>
    </w:p>
    <w:p>
      <w:pPr>
        <w:pStyle w:val="25"/>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w:t>
      </w:r>
      <w:r>
        <w:rPr>
          <w:rFonts w:hint="eastAsia" w:asciiTheme="minorEastAsia" w:hAnsiTheme="minorEastAsia" w:eastAsiaTheme="minorEastAsia" w:cstheme="minorEastAsia"/>
          <w:color w:val="auto"/>
          <w:kern w:val="0"/>
          <w:sz w:val="24"/>
          <w:highlight w:val="none"/>
          <w:lang w:val="en-US" w:eastAsia="zh-CN"/>
        </w:rPr>
        <w:t>7</w:t>
      </w:r>
      <w:r>
        <w:rPr>
          <w:rFonts w:hint="eastAsia" w:asciiTheme="minorEastAsia" w:hAnsiTheme="minorEastAsia" w:eastAsiaTheme="minorEastAsia" w:cstheme="minorEastAsia"/>
          <w:color w:val="auto"/>
          <w:kern w:val="0"/>
          <w:sz w:val="24"/>
          <w:highlight w:val="none"/>
        </w:rPr>
        <w:t>.1本</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是根据《中华人民共和国政府采购法》及相关法律法规编制，解释权</w:t>
      </w:r>
      <w:r>
        <w:rPr>
          <w:rFonts w:hint="eastAsia" w:asciiTheme="minorEastAsia" w:hAnsiTheme="minorEastAsia" w:eastAsiaTheme="minorEastAsia" w:cstheme="minorEastAsia"/>
          <w:b w:val="0"/>
          <w:bCs w:val="0"/>
          <w:color w:val="auto"/>
          <w:kern w:val="0"/>
          <w:sz w:val="24"/>
          <w:highlight w:val="none"/>
        </w:rPr>
        <w:t>详见“</w:t>
      </w:r>
      <w:r>
        <w:rPr>
          <w:rFonts w:hint="eastAsia" w:asciiTheme="minorEastAsia" w:hAnsiTheme="minorEastAsia" w:eastAsiaTheme="minorEastAsia" w:cstheme="minorEastAsia"/>
          <w:b w:val="0"/>
          <w:bCs w:val="0"/>
          <w:color w:val="auto"/>
          <w:kern w:val="0"/>
          <w:sz w:val="24"/>
          <w:highlight w:val="none"/>
          <w:lang w:eastAsia="zh-CN"/>
        </w:rPr>
        <w:t>供应商</w:t>
      </w:r>
      <w:r>
        <w:rPr>
          <w:rFonts w:hint="eastAsia" w:asciiTheme="minorEastAsia" w:hAnsiTheme="minorEastAsia" w:eastAsiaTheme="minorEastAsia" w:cstheme="minorEastAsia"/>
          <w:b w:val="0"/>
          <w:bCs w:val="0"/>
          <w:color w:val="auto"/>
          <w:kern w:val="0"/>
          <w:sz w:val="24"/>
          <w:highlight w:val="none"/>
        </w:rPr>
        <w:t>须知前附表”。</w:t>
      </w:r>
    </w:p>
    <w:p>
      <w:pPr>
        <w:spacing w:after="166" w:afterLines="50"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kern w:val="0"/>
          <w:sz w:val="24"/>
          <w:highlight w:val="none"/>
        </w:rPr>
        <w:t>3</w:t>
      </w:r>
      <w:r>
        <w:rPr>
          <w:rFonts w:hint="eastAsia" w:asciiTheme="minorEastAsia" w:hAnsiTheme="minorEastAsia" w:eastAsiaTheme="minorEastAsia" w:cstheme="minorEastAsia"/>
          <w:b/>
          <w:color w:val="auto"/>
          <w:kern w:val="0"/>
          <w:sz w:val="24"/>
          <w:highlight w:val="none"/>
          <w:lang w:val="en-US" w:eastAsia="zh-CN"/>
        </w:rPr>
        <w:t>8</w:t>
      </w:r>
      <w:r>
        <w:rPr>
          <w:rFonts w:hint="eastAsia" w:asciiTheme="minorEastAsia" w:hAnsiTheme="minorEastAsia" w:eastAsiaTheme="minorEastAsia" w:cstheme="minorEastAsia"/>
          <w:b/>
          <w:color w:val="auto"/>
          <w:sz w:val="24"/>
          <w:highlight w:val="none"/>
        </w:rPr>
        <w:t>.</w:t>
      </w:r>
      <w:bookmarkStart w:id="238" w:name="_Toc372105061"/>
      <w:bookmarkStart w:id="239" w:name="_Toc297023889"/>
      <w:r>
        <w:rPr>
          <w:rFonts w:hint="eastAsia" w:asciiTheme="minorEastAsia" w:hAnsiTheme="minorEastAsia" w:eastAsiaTheme="minorEastAsia" w:cstheme="minorEastAsia"/>
          <w:b/>
          <w:color w:val="auto"/>
          <w:sz w:val="24"/>
          <w:highlight w:val="none"/>
        </w:rPr>
        <w:t>质疑</w:t>
      </w:r>
    </w:p>
    <w:p>
      <w:pPr>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38.1质疑说明：</w:t>
      </w:r>
    </w:p>
    <w:p>
      <w:pPr>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供应商认为招标文件、采购过程、中标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应在法定质疑期内一次性提出针对同一采购程序环节的质疑。</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（3）提出质疑的</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应当是参与本项目采购活动的</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（4）潜在</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已依法获取其可质疑的</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的，可以对该文件提出质疑。对</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提出质疑的，应当在获取</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或者</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公告期限届满之日起7个工作日内提出。</w:t>
      </w:r>
    </w:p>
    <w:p>
      <w:pPr>
        <w:spacing w:line="360" w:lineRule="auto"/>
        <w:ind w:left="239" w:leftChars="114" w:firstLine="240" w:firstLineChars="1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提出质疑应当按财政部94号令提交质疑函和必要的证明材料。</w:t>
      </w:r>
    </w:p>
    <w:p>
      <w:pPr>
        <w:spacing w:line="360" w:lineRule="auto"/>
        <w:ind w:left="0" w:leftChars="0"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val="0"/>
          <w:bCs w:val="0"/>
          <w:color w:val="auto"/>
          <w:sz w:val="24"/>
          <w:highlight w:val="none"/>
          <w:u w:val="none"/>
        </w:rPr>
        <w:t>3</w:t>
      </w:r>
      <w:r>
        <w:rPr>
          <w:rFonts w:hint="eastAsia" w:asciiTheme="minorEastAsia" w:hAnsiTheme="minorEastAsia" w:eastAsiaTheme="minorEastAsia" w:cstheme="minorEastAsia"/>
          <w:b w:val="0"/>
          <w:bCs w:val="0"/>
          <w:color w:val="auto"/>
          <w:sz w:val="24"/>
          <w:highlight w:val="none"/>
          <w:u w:val="none"/>
          <w:lang w:val="en-US" w:eastAsia="zh-CN"/>
        </w:rPr>
        <w:t>8</w:t>
      </w:r>
      <w:r>
        <w:rPr>
          <w:rFonts w:hint="eastAsia" w:asciiTheme="minorEastAsia" w:hAnsiTheme="minorEastAsia" w:eastAsiaTheme="minorEastAsia" w:cstheme="minorEastAsia"/>
          <w:b w:val="0"/>
          <w:bCs w:val="0"/>
          <w:color w:val="auto"/>
          <w:sz w:val="24"/>
          <w:highlight w:val="none"/>
          <w:u w:val="none"/>
        </w:rPr>
        <w:t>.</w:t>
      </w:r>
      <w:r>
        <w:rPr>
          <w:rFonts w:hint="eastAsia" w:asciiTheme="minorEastAsia" w:hAnsiTheme="minorEastAsia" w:eastAsiaTheme="minorEastAsia" w:cstheme="minorEastAsia"/>
          <w:b w:val="0"/>
          <w:bCs w:val="0"/>
          <w:color w:val="auto"/>
          <w:sz w:val="24"/>
          <w:highlight w:val="none"/>
          <w:u w:val="none"/>
          <w:lang w:val="en-US" w:eastAsia="zh-CN"/>
        </w:rPr>
        <w:t>2</w:t>
      </w:r>
      <w:r>
        <w:rPr>
          <w:rFonts w:hint="eastAsia" w:asciiTheme="minorEastAsia" w:hAnsiTheme="minorEastAsia" w:eastAsiaTheme="minorEastAsia" w:cstheme="minorEastAsia"/>
          <w:b w:val="0"/>
          <w:bCs w:val="0"/>
          <w:color w:val="auto"/>
          <w:sz w:val="24"/>
          <w:highlight w:val="none"/>
          <w:u w:val="none"/>
          <w:lang w:eastAsia="zh-CN"/>
        </w:rPr>
        <w:t>供应商</w:t>
      </w:r>
      <w:r>
        <w:rPr>
          <w:rFonts w:hint="eastAsia" w:asciiTheme="minorEastAsia" w:hAnsiTheme="minorEastAsia" w:eastAsiaTheme="minorEastAsia" w:cstheme="minorEastAsia"/>
          <w:b w:val="0"/>
          <w:bCs w:val="0"/>
          <w:color w:val="auto"/>
          <w:sz w:val="24"/>
          <w:highlight w:val="none"/>
          <w:u w:val="none"/>
        </w:rPr>
        <w:t>提供的质疑书应符合中华人民共和国财政部94号令《政府采购质疑和投诉办法》的规定。</w:t>
      </w:r>
      <w:r>
        <w:rPr>
          <w:rFonts w:hint="eastAsia" w:asciiTheme="minorEastAsia" w:hAnsiTheme="minorEastAsia" w:eastAsiaTheme="minorEastAsia" w:cstheme="minorEastAsia"/>
          <w:color w:val="auto"/>
          <w:sz w:val="24"/>
          <w:highlight w:val="none"/>
          <w:u w:val="none"/>
          <w:lang w:eastAsia="zh-CN"/>
        </w:rPr>
        <w:t>供应商</w:t>
      </w:r>
      <w:r>
        <w:rPr>
          <w:rFonts w:hint="eastAsia" w:asciiTheme="minorEastAsia" w:hAnsiTheme="minorEastAsia" w:eastAsiaTheme="minorEastAsia" w:cstheme="minorEastAsia"/>
          <w:color w:val="auto"/>
          <w:sz w:val="24"/>
          <w:highlight w:val="none"/>
        </w:rPr>
        <w:t>提供的质疑书（如材料中有外文资料应同时附上中文译本）应当包括以下主要内容：</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的姓名或者名称、地址、邮编、联系人及联系电话；</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(2)质疑项目的名称、编号；</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(3)具体、明确的质疑事项和与质疑事项相关的请求；</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(4)事实依据；</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(5)必要的法律依据；</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(6)提出质疑的日期。</w:t>
      </w:r>
    </w:p>
    <w:p>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为自然人的，应当由本人签字；</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为法人或者其他组织的，应当由法定代表人、主要负责人，或者其授权代表签字或者盖章，并加盖公章。</w:t>
      </w:r>
    </w:p>
    <w:p>
      <w:pPr>
        <w:spacing w:line="360" w:lineRule="auto"/>
        <w:ind w:firstLine="480" w:firstLineChars="200"/>
        <w:jc w:val="lef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采购人、采购代理机构将在收到</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的书面质疑后7个工作日内作出答复，但答复的内容不</w:t>
      </w:r>
      <w:r>
        <w:rPr>
          <w:rFonts w:hint="eastAsia" w:asciiTheme="minorEastAsia" w:hAnsiTheme="minorEastAsia" w:eastAsiaTheme="minorEastAsia" w:cstheme="minorEastAsia"/>
          <w:bCs/>
          <w:color w:val="auto"/>
          <w:sz w:val="24"/>
          <w:highlight w:val="none"/>
        </w:rPr>
        <w:t>涉及商业秘密。</w:t>
      </w:r>
    </w:p>
    <w:p>
      <w:pPr>
        <w:pStyle w:val="5"/>
        <w:numPr>
          <w:ilvl w:val="0"/>
          <w:numId w:val="0"/>
        </w:numPr>
        <w:spacing w:before="0"/>
        <w:ind w:firstLine="480" w:firstLineChars="200"/>
        <w:rPr>
          <w:rFonts w:hint="eastAsia" w:asciiTheme="minorEastAsia" w:hAnsiTheme="minorEastAsia" w:eastAsiaTheme="minorEastAsia" w:cstheme="minorEastAsia"/>
          <w:b w:val="0"/>
          <w:color w:val="auto"/>
          <w:sz w:val="24"/>
          <w:highlight w:val="none"/>
        </w:rPr>
      </w:pPr>
      <w:r>
        <w:rPr>
          <w:rFonts w:hint="eastAsia" w:asciiTheme="minorEastAsia" w:hAnsiTheme="minorEastAsia" w:eastAsiaTheme="minorEastAsia" w:cstheme="minorEastAsia"/>
          <w:b w:val="0"/>
          <w:color w:val="auto"/>
          <w:sz w:val="24"/>
          <w:highlight w:val="none"/>
        </w:rPr>
        <w:t>3</w:t>
      </w:r>
      <w:r>
        <w:rPr>
          <w:rFonts w:hint="eastAsia" w:asciiTheme="minorEastAsia" w:hAnsiTheme="minorEastAsia" w:eastAsiaTheme="minorEastAsia" w:cstheme="minorEastAsia"/>
          <w:b w:val="0"/>
          <w:color w:val="auto"/>
          <w:sz w:val="24"/>
          <w:highlight w:val="none"/>
          <w:lang w:val="en-US" w:eastAsia="zh-CN"/>
        </w:rPr>
        <w:t>8</w:t>
      </w:r>
      <w:r>
        <w:rPr>
          <w:rFonts w:hint="eastAsia" w:asciiTheme="minorEastAsia" w:hAnsiTheme="minorEastAsia" w:eastAsiaTheme="minorEastAsia" w:cstheme="minorEastAsia"/>
          <w:b w:val="0"/>
          <w:color w:val="auto"/>
          <w:sz w:val="24"/>
          <w:highlight w:val="none"/>
        </w:rPr>
        <w:t>.</w:t>
      </w:r>
      <w:r>
        <w:rPr>
          <w:rFonts w:hint="eastAsia" w:asciiTheme="minorEastAsia" w:hAnsiTheme="minorEastAsia" w:eastAsiaTheme="minorEastAsia" w:cstheme="minorEastAsia"/>
          <w:b w:val="0"/>
          <w:color w:val="auto"/>
          <w:sz w:val="24"/>
          <w:highlight w:val="none"/>
          <w:lang w:val="en-US" w:eastAsia="zh-CN"/>
        </w:rPr>
        <w:t>4</w:t>
      </w:r>
      <w:r>
        <w:rPr>
          <w:rFonts w:hint="eastAsia" w:asciiTheme="minorEastAsia" w:hAnsiTheme="minorEastAsia" w:eastAsiaTheme="minorEastAsia" w:cstheme="minorEastAsia"/>
          <w:b w:val="0"/>
          <w:color w:val="auto"/>
          <w:sz w:val="24"/>
          <w:highlight w:val="none"/>
        </w:rPr>
        <w:t>参与政府采购活动的</w:t>
      </w:r>
      <w:r>
        <w:rPr>
          <w:rFonts w:hint="eastAsia" w:asciiTheme="minorEastAsia" w:hAnsiTheme="minorEastAsia" w:eastAsiaTheme="minorEastAsia" w:cstheme="minorEastAsia"/>
          <w:b w:val="0"/>
          <w:color w:val="auto"/>
          <w:sz w:val="24"/>
          <w:highlight w:val="none"/>
          <w:lang w:eastAsia="zh-CN"/>
        </w:rPr>
        <w:t>供应商</w:t>
      </w:r>
      <w:r>
        <w:rPr>
          <w:rFonts w:hint="eastAsia" w:asciiTheme="minorEastAsia" w:hAnsiTheme="minorEastAsia" w:eastAsiaTheme="minorEastAsia" w:cstheme="minorEastAsia"/>
          <w:b w:val="0"/>
          <w:color w:val="auto"/>
          <w:sz w:val="24"/>
          <w:highlight w:val="none"/>
        </w:rPr>
        <w:t>对评审过程或者结果提出质疑的，采购人或采购代理机构可以组织原评审委员会协助处理质疑事项，并依据评审委员会出具的意见进行答复。质疑答复导致中标或成交结果改变的，采购人或采购代理机构应当将相关情况报</w:t>
      </w:r>
      <w:r>
        <w:rPr>
          <w:rFonts w:hint="eastAsia" w:asciiTheme="minorEastAsia" w:hAnsiTheme="minorEastAsia" w:eastAsiaTheme="minorEastAsia" w:cstheme="minorEastAsia"/>
          <w:b w:val="0"/>
          <w:color w:val="auto"/>
          <w:sz w:val="24"/>
          <w:highlight w:val="none"/>
          <w:lang w:eastAsia="zh-CN"/>
        </w:rPr>
        <w:t>主管</w:t>
      </w:r>
      <w:r>
        <w:rPr>
          <w:rFonts w:hint="eastAsia" w:asciiTheme="minorEastAsia" w:hAnsiTheme="minorEastAsia" w:eastAsiaTheme="minorEastAsia" w:cstheme="minorEastAsia"/>
          <w:b w:val="0"/>
          <w:color w:val="auto"/>
          <w:sz w:val="24"/>
          <w:highlight w:val="none"/>
        </w:rPr>
        <w:t>部门备案。</w:t>
      </w:r>
    </w:p>
    <w:p>
      <w:pPr>
        <w:pStyle w:val="5"/>
        <w:numPr>
          <w:ilvl w:val="0"/>
          <w:numId w:val="0"/>
        </w:numPr>
        <w:spacing w:before="0"/>
        <w:rPr>
          <w:rFonts w:hint="eastAsia" w:asciiTheme="minorEastAsia" w:hAnsiTheme="minorEastAsia" w:eastAsiaTheme="minorEastAsia" w:cstheme="minorEastAsia"/>
          <w:color w:val="auto"/>
          <w:sz w:val="24"/>
          <w:highlight w:val="none"/>
        </w:rPr>
      </w:pPr>
      <w:bookmarkStart w:id="240" w:name="_Toc321836357"/>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.投诉</w:t>
      </w:r>
      <w:bookmarkEnd w:id="240"/>
    </w:p>
    <w:p>
      <w:pPr>
        <w:pStyle w:val="25"/>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pacing w:val="-6"/>
          <w:sz w:val="24"/>
          <w:highlight w:val="none"/>
        </w:rPr>
        <w:t>投诉必须首先经过质疑程序。质疑人对采购人、采购代理机构的答复不满意，或者采购人、采购代理机构未在规定的时间内做出答复的，可以在答复期满后15个工作日内书面向</w:t>
      </w:r>
      <w:r>
        <w:rPr>
          <w:rFonts w:hint="eastAsia" w:asciiTheme="minorEastAsia" w:hAnsiTheme="minorEastAsia" w:eastAsiaTheme="minorEastAsia" w:cstheme="minorEastAsia"/>
          <w:color w:val="auto"/>
          <w:spacing w:val="-6"/>
          <w:sz w:val="24"/>
          <w:highlight w:val="none"/>
          <w:lang w:eastAsia="zh-CN"/>
        </w:rPr>
        <w:t>主管</w:t>
      </w:r>
      <w:r>
        <w:rPr>
          <w:rFonts w:hint="eastAsia" w:asciiTheme="minorEastAsia" w:hAnsiTheme="minorEastAsia" w:eastAsiaTheme="minorEastAsia" w:cstheme="minorEastAsia"/>
          <w:color w:val="auto"/>
          <w:spacing w:val="-6"/>
          <w:sz w:val="24"/>
          <w:highlight w:val="none"/>
        </w:rPr>
        <w:t>部门提出投诉。</w:t>
      </w:r>
    </w:p>
    <w:bookmarkEnd w:id="238"/>
    <w:bookmarkEnd w:id="239"/>
    <w:p>
      <w:pPr>
        <w:spacing w:line="360" w:lineRule="auto"/>
        <w:rPr>
          <w:rFonts w:hint="eastAsia" w:asciiTheme="minorEastAsia" w:hAnsiTheme="minorEastAsia" w:eastAsiaTheme="minorEastAsia" w:cstheme="minorEastAsia"/>
          <w:b/>
          <w:color w:val="auto"/>
          <w:sz w:val="24"/>
          <w:highlight w:val="none"/>
        </w:rPr>
      </w:pPr>
      <w:bookmarkStart w:id="241" w:name="_Toc372105070"/>
      <w:bookmarkStart w:id="242" w:name="_Toc259449762"/>
      <w:r>
        <w:rPr>
          <w:rFonts w:hint="eastAsia" w:asciiTheme="minorEastAsia" w:hAnsiTheme="minorEastAsia" w:eastAsiaTheme="minorEastAsia" w:cstheme="minorEastAsia"/>
          <w:b/>
          <w:color w:val="auto"/>
          <w:sz w:val="24"/>
          <w:highlight w:val="none"/>
          <w:lang w:val="en-US" w:eastAsia="zh-CN"/>
        </w:rPr>
        <w:t>40</w:t>
      </w:r>
      <w:r>
        <w:rPr>
          <w:rFonts w:hint="eastAsia" w:asciiTheme="minorEastAsia" w:hAnsiTheme="minorEastAsia" w:eastAsiaTheme="minorEastAsia" w:cstheme="minorEastAsia"/>
          <w:b/>
          <w:color w:val="auto"/>
          <w:sz w:val="24"/>
          <w:highlight w:val="none"/>
        </w:rPr>
        <w:t>. 纪律和监督</w:t>
      </w:r>
      <w:bookmarkEnd w:id="241"/>
      <w:bookmarkEnd w:id="242"/>
    </w:p>
    <w:p>
      <w:pPr>
        <w:spacing w:line="360" w:lineRule="auto"/>
        <w:ind w:firstLine="480" w:firstLineChars="200"/>
        <w:rPr>
          <w:rFonts w:hint="eastAsia" w:asciiTheme="minorEastAsia" w:hAnsiTheme="minorEastAsia" w:eastAsiaTheme="minorEastAsia" w:cstheme="minorEastAsia"/>
          <w:color w:val="auto"/>
          <w:sz w:val="24"/>
          <w:highlight w:val="none"/>
        </w:rPr>
      </w:pPr>
      <w:bookmarkStart w:id="243" w:name="_Toc372105071"/>
      <w:bookmarkStart w:id="244" w:name="_Toc259449763"/>
      <w:r>
        <w:rPr>
          <w:rFonts w:hint="eastAsia" w:asciiTheme="minorEastAsia" w:hAnsiTheme="minorEastAsia" w:eastAsiaTheme="minorEastAsia" w:cstheme="minorEastAsia"/>
          <w:color w:val="auto"/>
          <w:sz w:val="24"/>
          <w:highlight w:val="none"/>
          <w:lang w:val="en-US" w:eastAsia="zh-CN"/>
        </w:rPr>
        <w:t>40</w:t>
      </w:r>
      <w:r>
        <w:rPr>
          <w:rFonts w:hint="eastAsia" w:asciiTheme="minorEastAsia" w:hAnsiTheme="minorEastAsia" w:eastAsiaTheme="minorEastAsia" w:cstheme="minorEastAsia"/>
          <w:color w:val="auto"/>
          <w:sz w:val="24"/>
          <w:highlight w:val="none"/>
        </w:rPr>
        <w:t>.1对采购人的纪律要求</w:t>
      </w:r>
      <w:bookmarkEnd w:id="243"/>
      <w:bookmarkEnd w:id="244"/>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采购人不得泄漏采购投标活动中应当保密的情况和资料，不得与</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串通损害国家利益、社会公共利益或者他人合法权益。</w:t>
      </w:r>
    </w:p>
    <w:p>
      <w:pPr>
        <w:spacing w:line="360" w:lineRule="auto"/>
        <w:ind w:firstLine="480" w:firstLineChars="200"/>
        <w:rPr>
          <w:rFonts w:hint="eastAsia" w:asciiTheme="minorEastAsia" w:hAnsiTheme="minorEastAsia" w:eastAsiaTheme="minorEastAsia" w:cstheme="minorEastAsia"/>
          <w:color w:val="auto"/>
          <w:sz w:val="24"/>
          <w:highlight w:val="none"/>
        </w:rPr>
      </w:pPr>
      <w:bookmarkStart w:id="245" w:name="_Toc372105072"/>
      <w:bookmarkStart w:id="246" w:name="_Toc259449764"/>
      <w:r>
        <w:rPr>
          <w:rFonts w:hint="eastAsia" w:asciiTheme="minorEastAsia" w:hAnsiTheme="minorEastAsia" w:eastAsiaTheme="minorEastAsia" w:cstheme="minorEastAsia"/>
          <w:color w:val="auto"/>
          <w:sz w:val="24"/>
          <w:highlight w:val="none"/>
          <w:lang w:val="en-US" w:eastAsia="zh-CN"/>
        </w:rPr>
        <w:t>40</w:t>
      </w:r>
      <w:r>
        <w:rPr>
          <w:rFonts w:hint="eastAsia" w:asciiTheme="minorEastAsia" w:hAnsiTheme="minorEastAsia" w:eastAsiaTheme="minorEastAsia" w:cstheme="minorEastAsia"/>
          <w:color w:val="auto"/>
          <w:sz w:val="24"/>
          <w:highlight w:val="none"/>
        </w:rPr>
        <w:t>.2对</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的纪律要求</w:t>
      </w:r>
      <w:bookmarkEnd w:id="245"/>
      <w:bookmarkEnd w:id="246"/>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不得相互串通投标或者与采购人串通投标，不得向采购人或者评标委员会成员行贿谋取中标，不得以他人名义投标或者以其他方式弄虚作假骗取中标；供货商不得以任何方式干扰、影响评标工作。</w:t>
      </w:r>
    </w:p>
    <w:p>
      <w:pPr>
        <w:spacing w:line="360" w:lineRule="auto"/>
        <w:ind w:firstLine="480" w:firstLineChars="200"/>
        <w:rPr>
          <w:rFonts w:hint="eastAsia" w:asciiTheme="minorEastAsia" w:hAnsiTheme="minorEastAsia" w:eastAsiaTheme="minorEastAsia" w:cstheme="minorEastAsia"/>
          <w:color w:val="auto"/>
          <w:sz w:val="24"/>
          <w:highlight w:val="none"/>
        </w:rPr>
      </w:pPr>
      <w:bookmarkStart w:id="247" w:name="_Toc372105073"/>
      <w:bookmarkStart w:id="248" w:name="_Toc259449765"/>
      <w:r>
        <w:rPr>
          <w:rFonts w:hint="eastAsia" w:asciiTheme="minorEastAsia" w:hAnsiTheme="minorEastAsia" w:eastAsiaTheme="minorEastAsia" w:cstheme="minorEastAsia"/>
          <w:color w:val="auto"/>
          <w:sz w:val="24"/>
          <w:highlight w:val="none"/>
          <w:lang w:val="en-US" w:eastAsia="zh-CN"/>
        </w:rPr>
        <w:t>40</w:t>
      </w:r>
      <w:r>
        <w:rPr>
          <w:rFonts w:hint="eastAsia" w:asciiTheme="minorEastAsia" w:hAnsiTheme="minorEastAsia" w:eastAsiaTheme="minorEastAsia" w:cstheme="minorEastAsia"/>
          <w:color w:val="auto"/>
          <w:sz w:val="24"/>
          <w:highlight w:val="none"/>
        </w:rPr>
        <w:t>.3对评标委员会成员的纪律要求</w:t>
      </w:r>
      <w:bookmarkEnd w:id="247"/>
      <w:bookmarkEnd w:id="248"/>
    </w:p>
    <w:p>
      <w:pPr>
        <w:spacing w:line="360" w:lineRule="auto"/>
        <w:ind w:firstLine="480" w:firstLineChars="200"/>
        <w:rPr>
          <w:rFonts w:ascii="宋体" w:hAnsi="宋体"/>
          <w:color w:val="auto"/>
          <w:sz w:val="24"/>
          <w:szCs w:val="24"/>
          <w:highlight w:val="none"/>
        </w:rPr>
      </w:pPr>
      <w:bookmarkStart w:id="249" w:name="_Toc372105074"/>
      <w:bookmarkStart w:id="250" w:name="_Toc259449766"/>
      <w:r>
        <w:rPr>
          <w:rFonts w:hint="eastAsia" w:ascii="宋体" w:hAnsi="宋体"/>
          <w:color w:val="auto"/>
          <w:sz w:val="24"/>
          <w:szCs w:val="24"/>
          <w:highlight w:val="none"/>
        </w:rPr>
        <w:t>评标委员会及其成员不得有下列行为：</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(1)确定参与评标至评标结束前私自接触投标人；</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(2)接受投标人提出的与投标文件不一致的澄清或者说明；</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(3)违反评标纪律发表倾向性意见或者征询采购人的倾向性意见；</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(4)对需要专业判断的主观评审因素协商评分；</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(5)在评标过程中擅离职守，影响评标程序正常进行的；</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(6)记录、复制或者带走任何评标资料；</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(7)其他不遵守评标纪律的行为。</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评标委员会成员有前款第(1)至(7)项行为之一的，其评审意见无效。</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40</w:t>
      </w:r>
      <w:r>
        <w:rPr>
          <w:rFonts w:hint="eastAsia" w:asciiTheme="minorEastAsia" w:hAnsiTheme="minorEastAsia" w:eastAsiaTheme="minorEastAsia" w:cstheme="minorEastAsia"/>
          <w:color w:val="auto"/>
          <w:sz w:val="24"/>
          <w:highlight w:val="none"/>
        </w:rPr>
        <w:t>.4对与评标活动有关的工作人员的纪律要求</w:t>
      </w:r>
      <w:bookmarkEnd w:id="249"/>
      <w:bookmarkEnd w:id="250"/>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与评标活动有关的工作人员不得收受他人的财物或者其他好处，不得向他人透漏对投标文件的评审和比较、</w:t>
      </w:r>
      <w:r>
        <w:rPr>
          <w:rFonts w:hint="eastAsia" w:asciiTheme="minorEastAsia" w:hAnsiTheme="minorEastAsia" w:eastAsiaTheme="minorEastAsia" w:cstheme="minorEastAsia"/>
          <w:color w:val="auto"/>
          <w:sz w:val="24"/>
          <w:highlight w:val="none"/>
          <w:lang w:val="en-US" w:eastAsia="zh-CN"/>
        </w:rPr>
        <w:t>有效</w:t>
      </w:r>
      <w:r>
        <w:rPr>
          <w:rFonts w:hint="eastAsia" w:asciiTheme="minorEastAsia" w:hAnsiTheme="minorEastAsia" w:eastAsiaTheme="minorEastAsia" w:cstheme="minorEastAsia"/>
          <w:color w:val="auto"/>
          <w:sz w:val="24"/>
          <w:highlight w:val="none"/>
        </w:rPr>
        <w:t>中标候选人的推荐情况以及评标有关的其他情况。在评标活动中，与评标活动有关的工作人员不得擅离职守，影响评标程序正常进行。</w:t>
      </w:r>
    </w:p>
    <w:p>
      <w:pPr>
        <w:pStyle w:val="5"/>
        <w:numPr>
          <w:ilvl w:val="0"/>
          <w:numId w:val="7"/>
        </w:numPr>
        <w:tabs>
          <w:tab w:val="left" w:pos="420"/>
          <w:tab w:val="left" w:pos="1588"/>
          <w:tab w:val="clear" w:pos="312"/>
        </w:tabs>
        <w:spacing w:before="0"/>
        <w:rPr>
          <w:rFonts w:hint="eastAsia" w:asciiTheme="minorEastAsia" w:hAnsiTheme="minorEastAsia" w:eastAsiaTheme="minorEastAsia" w:cstheme="minorEastAsia"/>
          <w:b/>
          <w:bCs/>
          <w:color w:val="auto"/>
          <w:kern w:val="0"/>
          <w:sz w:val="24"/>
          <w:szCs w:val="24"/>
          <w:highlight w:val="none"/>
          <w:lang w:val="en-US" w:eastAsia="zh-CN" w:bidi="ar-SA"/>
        </w:rPr>
      </w:pPr>
      <w:bookmarkStart w:id="251" w:name="OLE_LINK60"/>
      <w:r>
        <w:rPr>
          <w:rFonts w:hint="eastAsia" w:asciiTheme="minorEastAsia" w:hAnsiTheme="minorEastAsia" w:eastAsiaTheme="minorEastAsia" w:cstheme="minorEastAsia"/>
          <w:b/>
          <w:bCs/>
          <w:color w:val="auto"/>
          <w:kern w:val="0"/>
          <w:sz w:val="24"/>
          <w:szCs w:val="24"/>
          <w:highlight w:val="none"/>
          <w:lang w:val="en-US" w:eastAsia="zh-CN" w:bidi="ar-SA"/>
        </w:rPr>
        <w:t>依法重新招标的情形</w:t>
      </w:r>
    </w:p>
    <w:p>
      <w:pPr>
        <w:spacing w:line="360" w:lineRule="auto"/>
        <w:ind w:firstLine="420" w:firstLineChars="200"/>
        <w:rPr>
          <w:rFonts w:hint="default"/>
          <w:color w:val="auto"/>
          <w:highlight w:val="none"/>
          <w:lang w:val="en-US" w:eastAsia="zh-CN"/>
        </w:rPr>
      </w:pPr>
      <w:bookmarkStart w:id="252" w:name="OLE_LINK12"/>
      <w:r>
        <w:rPr>
          <w:rFonts w:hint="eastAsia"/>
          <w:color w:val="auto"/>
          <w:highlight w:val="none"/>
          <w:lang w:val="en-US" w:eastAsia="zh-CN"/>
        </w:rPr>
        <w:t xml:space="preserve"> </w:t>
      </w:r>
      <w:r>
        <w:rPr>
          <w:rFonts w:hint="eastAsia" w:asciiTheme="minorEastAsia" w:hAnsiTheme="minorEastAsia" w:eastAsiaTheme="minorEastAsia" w:cstheme="minorEastAsia"/>
          <w:color w:val="auto"/>
          <w:sz w:val="24"/>
          <w:highlight w:val="none"/>
          <w:lang w:val="en-US" w:eastAsia="zh-CN"/>
        </w:rPr>
        <w:t>41.1出现下列情形之一的，采购人依法重新组织招标：</w:t>
      </w:r>
      <w:bookmarkEnd w:id="252"/>
    </w:p>
    <w:p>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（1）在招标文件要求提交投标文件的截止时间后，供应商少于3个的；</w:t>
      </w:r>
    </w:p>
    <w:p>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（2）同意延长投标有效期的供应商少于3个的；</w:t>
      </w:r>
    </w:p>
    <w:p>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（3）评标委员会界定为不合格标或废标后，因有效投标不足3个使得投标明显缺乏竞争，评标委员会决定否决全部投标的；</w:t>
      </w:r>
    </w:p>
    <w:p>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（4）排名前三名的有效中标候选人放弃中标，因不可抗力不能履行合同；</w:t>
      </w:r>
    </w:p>
    <w:p>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（5）采购任务失败后，由于招标文件存在不合理条款或采购程序不符合规定的，改正后依法重新采购；招标文件没有不合理条款、采购程序符合规定的，采购人报相关管理部门批准后变更采购方式。</w:t>
      </w:r>
    </w:p>
    <w:p>
      <w:pPr>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41.2采购失败所产生的责任和费用，由责任人承担。</w:t>
      </w:r>
    </w:p>
    <w:bookmarkEnd w:id="251"/>
    <w:p>
      <w:pPr>
        <w:spacing w:line="360" w:lineRule="auto"/>
        <w:ind w:left="0" w:leftChars="0" w:firstLine="0" w:firstLineChars="0"/>
        <w:jc w:val="left"/>
        <w:rPr>
          <w:rFonts w:hint="eastAsia"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color w:val="auto"/>
          <w:kern w:val="0"/>
          <w:sz w:val="24"/>
          <w:highlight w:val="none"/>
          <w:lang w:val="en-US" w:eastAsia="zh-CN"/>
        </w:rPr>
        <w:t>42.</w:t>
      </w:r>
      <w:r>
        <w:rPr>
          <w:rFonts w:hint="eastAsia" w:asciiTheme="minorEastAsia" w:hAnsiTheme="minorEastAsia" w:eastAsiaTheme="minorEastAsia" w:cstheme="minorEastAsia"/>
          <w:b/>
          <w:color w:val="auto"/>
          <w:kern w:val="0"/>
          <w:sz w:val="24"/>
          <w:highlight w:val="none"/>
        </w:rPr>
        <w:t>需要补充的其他内容</w:t>
      </w:r>
    </w:p>
    <w:p>
      <w:pPr>
        <w:pStyle w:val="25"/>
        <w:spacing w:line="360" w:lineRule="auto"/>
        <w:ind w:firstLine="480" w:firstLineChars="200"/>
        <w:rPr>
          <w:rFonts w:hint="default"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42</w:t>
      </w:r>
      <w:r>
        <w:rPr>
          <w:rFonts w:hint="eastAsia" w:asciiTheme="minorEastAsia" w:hAnsiTheme="minorEastAsia" w:eastAsiaTheme="minorEastAsia" w:cstheme="minorEastAsia"/>
          <w:color w:val="auto"/>
          <w:sz w:val="24"/>
          <w:highlight w:val="none"/>
        </w:rPr>
        <w:t>.1需要补充的其他内容：</w:t>
      </w:r>
      <w:r>
        <w:rPr>
          <w:rFonts w:hint="eastAsia" w:asciiTheme="minorEastAsia" w:hAnsiTheme="minorEastAsia" w:eastAsiaTheme="minorEastAsia" w:cstheme="minorEastAsia"/>
          <w:b w:val="0"/>
          <w:bCs w:val="0"/>
          <w:color w:val="auto"/>
          <w:sz w:val="24"/>
          <w:highlight w:val="none"/>
        </w:rPr>
        <w:t>见“</w:t>
      </w:r>
      <w:r>
        <w:rPr>
          <w:rFonts w:hint="eastAsia" w:asciiTheme="minorEastAsia" w:hAnsiTheme="minorEastAsia" w:eastAsiaTheme="minorEastAsia" w:cstheme="minorEastAsia"/>
          <w:b w:val="0"/>
          <w:bCs w:val="0"/>
          <w:color w:val="auto"/>
          <w:sz w:val="24"/>
          <w:highlight w:val="none"/>
          <w:lang w:eastAsia="zh-CN"/>
        </w:rPr>
        <w:t>供应商</w:t>
      </w:r>
      <w:r>
        <w:rPr>
          <w:rFonts w:hint="eastAsia" w:asciiTheme="minorEastAsia" w:hAnsiTheme="minorEastAsia" w:eastAsiaTheme="minorEastAsia" w:cstheme="minorEastAsia"/>
          <w:b w:val="0"/>
          <w:bCs w:val="0"/>
          <w:color w:val="auto"/>
          <w:sz w:val="24"/>
          <w:highlight w:val="none"/>
        </w:rPr>
        <w:t>须知前附表”。</w:t>
      </w:r>
    </w:p>
    <w:p>
      <w:pPr>
        <w:pStyle w:val="25"/>
        <w:spacing w:line="360" w:lineRule="auto"/>
        <w:jc w:val="center"/>
        <w:outlineLvl w:val="0"/>
        <w:rPr>
          <w:b/>
          <w:bCs/>
          <w:color w:val="auto"/>
          <w:kern w:val="0"/>
          <w:sz w:val="24"/>
          <w:highlight w:val="none"/>
        </w:rPr>
      </w:pPr>
      <w:bookmarkStart w:id="253" w:name="_Toc24090"/>
      <w:r>
        <w:rPr>
          <w:rFonts w:hint="eastAsia" w:asciiTheme="minorEastAsia" w:hAnsiTheme="minorEastAsia" w:eastAsiaTheme="minorEastAsia" w:cstheme="minorEastAsia"/>
          <w:b/>
          <w:color w:val="auto"/>
          <w:kern w:val="0"/>
          <w:sz w:val="36"/>
          <w:highlight w:val="none"/>
        </w:rPr>
        <w:t xml:space="preserve">第三章 </w:t>
      </w:r>
      <w:bookmarkEnd w:id="195"/>
      <w:bookmarkEnd w:id="236"/>
      <w:bookmarkEnd w:id="237"/>
      <w:r>
        <w:rPr>
          <w:rFonts w:hint="eastAsia" w:asciiTheme="minorEastAsia" w:hAnsiTheme="minorEastAsia" w:eastAsiaTheme="minorEastAsia" w:cstheme="minorEastAsia"/>
          <w:b/>
          <w:color w:val="auto"/>
          <w:kern w:val="0"/>
          <w:sz w:val="36"/>
          <w:highlight w:val="none"/>
        </w:rPr>
        <w:t xml:space="preserve"> </w:t>
      </w:r>
      <w:bookmarkStart w:id="254" w:name="_Toc297194313"/>
      <w:bookmarkStart w:id="255" w:name="_Toc288204621"/>
      <w:r>
        <w:rPr>
          <w:rFonts w:hint="eastAsia"/>
          <w:b/>
          <w:color w:val="auto"/>
          <w:kern w:val="0"/>
          <w:sz w:val="36"/>
          <w:highlight w:val="none"/>
        </w:rPr>
        <w:t>合同书样式及主要条款</w:t>
      </w:r>
      <w:bookmarkEnd w:id="253"/>
    </w:p>
    <w:p>
      <w:pPr>
        <w:spacing w:before="57"/>
        <w:ind w:left="0" w:right="16" w:firstLine="0"/>
        <w:jc w:val="center"/>
        <w:rPr>
          <w:rFonts w:hint="eastAsia" w:ascii="宋体" w:hAnsi="宋体" w:eastAsia="宋体" w:cs="宋体"/>
          <w:color w:val="auto"/>
          <w:sz w:val="28"/>
          <w:szCs w:val="28"/>
          <w:highlight w:val="none"/>
        </w:rPr>
      </w:pPr>
      <w:bookmarkStart w:id="256" w:name="_Toc30573"/>
      <w:r>
        <w:rPr>
          <w:rFonts w:hint="eastAsia" w:ascii="宋体" w:hAnsi="宋体" w:eastAsia="宋体" w:cs="宋体"/>
          <w:b/>
          <w:color w:val="auto"/>
          <w:kern w:val="0"/>
          <w:sz w:val="28"/>
          <w:szCs w:val="28"/>
          <w:highlight w:val="none"/>
          <w:lang w:eastAsia="zh-CN"/>
        </w:rPr>
        <w:t>（</w:t>
      </w:r>
      <w:r>
        <w:rPr>
          <w:rFonts w:hint="eastAsia" w:ascii="宋体" w:hAnsi="宋体" w:eastAsia="宋体" w:cs="宋体"/>
          <w:b/>
          <w:color w:val="auto"/>
          <w:kern w:val="0"/>
          <w:sz w:val="28"/>
          <w:szCs w:val="28"/>
          <w:highlight w:val="none"/>
          <w:lang w:val="en-US" w:eastAsia="zh-CN"/>
        </w:rPr>
        <w:t>仅供参考，以双方签订合同为准</w:t>
      </w:r>
      <w:r>
        <w:rPr>
          <w:rFonts w:hint="eastAsia" w:ascii="宋体" w:hAnsi="宋体" w:eastAsia="宋体" w:cs="宋体"/>
          <w:b/>
          <w:color w:val="auto"/>
          <w:kern w:val="0"/>
          <w:sz w:val="28"/>
          <w:szCs w:val="28"/>
          <w:highlight w:val="none"/>
          <w:lang w:eastAsia="zh-CN"/>
        </w:rPr>
        <w:t>）</w:t>
      </w:r>
    </w:p>
    <w:p>
      <w:pPr>
        <w:spacing w:before="57"/>
        <w:ind w:left="0" w:right="16" w:firstLine="0"/>
        <w:jc w:val="center"/>
        <w:rPr>
          <w:rFonts w:hint="eastAsia" w:ascii="宋体" w:hAnsi="宋体" w:eastAsia="宋体" w:cs="宋体"/>
          <w:color w:val="auto"/>
          <w:sz w:val="44"/>
          <w:highlight w:val="none"/>
        </w:rPr>
      </w:pPr>
    </w:p>
    <w:p>
      <w:pPr>
        <w:spacing w:before="57"/>
        <w:ind w:left="0" w:right="16" w:firstLine="0"/>
        <w:jc w:val="center"/>
        <w:rPr>
          <w:rFonts w:hint="default" w:ascii="宋体" w:hAnsi="宋体" w:eastAsia="宋体" w:cs="宋体"/>
          <w:color w:val="auto"/>
          <w:sz w:val="44"/>
          <w:highlight w:val="none"/>
          <w:lang w:val="en-US" w:eastAsia="zh-CN"/>
        </w:rPr>
      </w:pPr>
      <w:r>
        <w:rPr>
          <w:rFonts w:hint="eastAsia" w:ascii="宋体" w:hAnsi="宋体" w:eastAsia="宋体" w:cs="宋体"/>
          <w:color w:val="auto"/>
          <w:sz w:val="44"/>
          <w:highlight w:val="none"/>
          <w:lang w:val="en-US" w:eastAsia="zh-CN"/>
        </w:rPr>
        <w:t xml:space="preserve">  </w:t>
      </w:r>
    </w:p>
    <w:p>
      <w:pPr>
        <w:spacing w:before="57"/>
        <w:ind w:left="0" w:right="16" w:firstLine="0"/>
        <w:jc w:val="center"/>
        <w:rPr>
          <w:rFonts w:hint="eastAsia" w:ascii="宋体" w:hAnsi="宋体" w:eastAsia="宋体" w:cs="宋体"/>
          <w:color w:val="auto"/>
          <w:sz w:val="44"/>
          <w:highlight w:val="none"/>
        </w:rPr>
      </w:pPr>
      <w:r>
        <w:rPr>
          <w:rFonts w:hint="eastAsia" w:ascii="宋体" w:hAnsi="宋体" w:eastAsia="宋体" w:cs="宋体"/>
          <w:color w:val="auto"/>
          <w:sz w:val="44"/>
          <w:highlight w:val="none"/>
        </w:rPr>
        <w:t>学校食堂食材采购合同</w:t>
      </w:r>
    </w:p>
    <w:p>
      <w:pPr>
        <w:spacing w:before="240"/>
        <w:ind w:left="0" w:right="17" w:firstLine="0"/>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（示范文本）</w:t>
      </w: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lang w:val="en-US" w:eastAsia="zh-CN"/>
        </w:rPr>
      </w:pPr>
      <w:r>
        <w:rPr>
          <w:rFonts w:hint="eastAsia" w:ascii="宋体" w:hAnsi="宋体" w:eastAsia="宋体" w:cs="宋体"/>
          <w:color w:val="auto"/>
          <w:sz w:val="36"/>
          <w:highlight w:val="none"/>
          <w:lang w:val="en-US" w:eastAsia="zh-CN"/>
        </w:rPr>
        <w:t xml:space="preserve"> </w:t>
      </w: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rPr>
      </w:pPr>
    </w:p>
    <w:p>
      <w:pPr>
        <w:pStyle w:val="18"/>
        <w:rPr>
          <w:rFonts w:hint="eastAsia" w:ascii="宋体" w:hAnsi="宋体" w:eastAsia="宋体" w:cs="宋体"/>
          <w:color w:val="auto"/>
          <w:sz w:val="36"/>
          <w:highlight w:val="none"/>
        </w:rPr>
      </w:pPr>
    </w:p>
    <w:p>
      <w:pPr>
        <w:pStyle w:val="18"/>
        <w:spacing w:before="10"/>
        <w:rPr>
          <w:rFonts w:hint="eastAsia" w:ascii="宋体" w:hAnsi="宋体" w:eastAsia="宋体" w:cs="宋体"/>
          <w:color w:val="auto"/>
          <w:sz w:val="52"/>
          <w:highlight w:val="none"/>
        </w:rPr>
      </w:pPr>
    </w:p>
    <w:p>
      <w:pPr>
        <w:rPr>
          <w:rFonts w:hint="eastAsia" w:ascii="宋体" w:hAnsi="宋体" w:eastAsia="宋体" w:cs="宋体"/>
          <w:color w:val="auto"/>
          <w:sz w:val="52"/>
          <w:highlight w:val="none"/>
        </w:rPr>
      </w:pPr>
    </w:p>
    <w:p>
      <w:pPr>
        <w:pStyle w:val="4"/>
        <w:numPr>
          <w:ilvl w:val="1"/>
          <w:numId w:val="0"/>
        </w:numPr>
        <w:ind w:left="425" w:leftChars="0"/>
        <w:rPr>
          <w:rFonts w:hint="eastAsia"/>
          <w:color w:val="auto"/>
          <w:highlight w:val="none"/>
        </w:rPr>
      </w:pPr>
    </w:p>
    <w:p>
      <w:pPr>
        <w:spacing w:before="0"/>
        <w:ind w:left="3236" w:right="0" w:firstLine="0"/>
        <w:jc w:val="left"/>
        <w:rPr>
          <w:rFonts w:hint="eastAsia" w:ascii="宋体" w:hAnsi="宋体" w:eastAsia="宋体" w:cs="宋体"/>
          <w:color w:val="auto"/>
          <w:sz w:val="24"/>
          <w:szCs w:val="24"/>
          <w:highlight w:val="none"/>
        </w:rPr>
      </w:pPr>
      <w:r>
        <w:rPr>
          <w:rFonts w:hint="eastAsia" w:ascii="宋体" w:hAnsi="宋体" w:eastAsia="宋体" w:cs="宋体"/>
          <w:color w:val="auto"/>
          <w:spacing w:val="40"/>
          <w:sz w:val="24"/>
          <w:szCs w:val="24"/>
          <w:highlight w:val="none"/>
        </w:rPr>
        <w:t>云南省市场监督管理局</w:t>
      </w:r>
      <w:r>
        <w:rPr>
          <w:rFonts w:hint="eastAsia" w:ascii="宋体" w:hAnsi="宋体" w:eastAsia="宋体" w:cs="宋体"/>
          <w:color w:val="auto"/>
          <w:spacing w:val="-41"/>
          <w:sz w:val="24"/>
          <w:szCs w:val="24"/>
          <w:highlight w:val="none"/>
        </w:rPr>
        <w:t xml:space="preserve"> </w:t>
      </w:r>
    </w:p>
    <w:p>
      <w:pPr>
        <w:tabs>
          <w:tab w:val="left" w:pos="3809"/>
          <w:tab w:val="left" w:pos="4385"/>
          <w:tab w:val="left" w:pos="4961"/>
          <w:tab w:val="left" w:pos="5537"/>
          <w:tab w:val="left" w:pos="6113"/>
          <w:tab w:val="left" w:pos="6593"/>
        </w:tabs>
        <w:spacing w:before="133" w:line="343" w:lineRule="auto"/>
        <w:ind w:left="3236" w:right="3249" w:hanging="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云</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南</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省</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育</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厅</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制</w:t>
      </w:r>
      <w:r>
        <w:rPr>
          <w:rFonts w:hint="eastAsia" w:ascii="宋体" w:hAnsi="宋体" w:eastAsia="宋体" w:cs="宋体"/>
          <w:color w:val="auto"/>
          <w:spacing w:val="-18"/>
          <w:sz w:val="24"/>
          <w:szCs w:val="24"/>
          <w:highlight w:val="none"/>
        </w:rPr>
        <w:t>定</w:t>
      </w:r>
      <w:r>
        <w:rPr>
          <w:rFonts w:hint="eastAsia" w:ascii="宋体" w:hAnsi="宋体" w:eastAsia="宋体" w:cs="宋体"/>
          <w:color w:val="auto"/>
          <w:sz w:val="24"/>
          <w:szCs w:val="24"/>
          <w:highlight w:val="none"/>
        </w:rPr>
        <w:t>云南省人力资源和社会保障厅</w:t>
      </w:r>
    </w:p>
    <w:p>
      <w:pPr>
        <w:spacing w:after="0"/>
        <w:jc w:val="center"/>
        <w:rPr>
          <w:rFonts w:hint="eastAsia" w:ascii="宋体" w:hAnsi="宋体" w:eastAsia="宋体" w:cs="宋体"/>
          <w:color w:val="auto"/>
          <w:sz w:val="24"/>
          <w:szCs w:val="24"/>
          <w:highlight w:val="none"/>
        </w:rPr>
        <w:sectPr>
          <w:footerReference r:id="rId7" w:type="default"/>
          <w:footerReference r:id="rId8" w:type="even"/>
          <w:pgSz w:w="11910" w:h="16840"/>
          <w:pgMar w:top="1600" w:right="780" w:bottom="1740" w:left="800" w:header="0" w:footer="1552" w:gutter="0"/>
          <w:pgNumType w:fmt="decimal"/>
          <w:cols w:space="720" w:num="1"/>
        </w:sectPr>
      </w:pPr>
    </w:p>
    <w:p>
      <w:pPr>
        <w:tabs>
          <w:tab w:val="left" w:pos="559"/>
        </w:tabs>
        <w:spacing w:before="73"/>
        <w:ind w:left="0" w:right="17" w:firstLine="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说</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t>明</w:t>
      </w:r>
    </w:p>
    <w:p>
      <w:pPr>
        <w:pStyle w:val="18"/>
        <w:rPr>
          <w:rFonts w:hint="eastAsia" w:ascii="宋体" w:hAnsi="宋体" w:eastAsia="宋体" w:cs="宋体"/>
          <w:color w:val="auto"/>
          <w:sz w:val="32"/>
          <w:highlight w:val="none"/>
        </w:rPr>
      </w:pPr>
    </w:p>
    <w:p>
      <w:pPr>
        <w:pStyle w:val="18"/>
        <w:spacing w:before="2"/>
        <w:rPr>
          <w:rFonts w:hint="eastAsia" w:ascii="宋体" w:hAnsi="宋体" w:eastAsia="宋体" w:cs="宋体"/>
          <w:color w:val="auto"/>
          <w:sz w:val="28"/>
          <w:highlight w:val="none"/>
        </w:rPr>
      </w:pPr>
    </w:p>
    <w:p>
      <w:pPr>
        <w:pStyle w:val="133"/>
        <w:numPr>
          <w:ilvl w:val="0"/>
          <w:numId w:val="8"/>
        </w:numPr>
        <w:tabs>
          <w:tab w:val="left" w:pos="1414"/>
        </w:tabs>
        <w:spacing w:before="0" w:after="0" w:line="463" w:lineRule="auto"/>
        <w:ind w:left="731" w:right="928" w:firstLine="420"/>
        <w:jc w:val="lef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本合同文本为示范文本，由云南省市场监督管理局、云南省教育厅、云南省人力资源和</w:t>
      </w:r>
      <w:r>
        <w:rPr>
          <w:rFonts w:hint="eastAsia" w:ascii="宋体" w:hAnsi="宋体" w:eastAsia="宋体" w:cs="宋体"/>
          <w:color w:val="auto"/>
          <w:sz w:val="24"/>
          <w:szCs w:val="24"/>
          <w:highlight w:val="none"/>
        </w:rPr>
        <w:t>社会保障厅联合制定，供云南省范围内学校食堂签订食材采购合同使用。</w:t>
      </w:r>
    </w:p>
    <w:p>
      <w:pPr>
        <w:pStyle w:val="133"/>
        <w:numPr>
          <w:ilvl w:val="0"/>
          <w:numId w:val="8"/>
        </w:numPr>
        <w:tabs>
          <w:tab w:val="left" w:pos="1414"/>
        </w:tabs>
        <w:spacing w:before="2" w:after="0" w:line="463" w:lineRule="auto"/>
        <w:ind w:left="731" w:right="928" w:firstLine="420"/>
        <w:jc w:val="lef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双方当事人在签约之前应当仔细阅读本合同文本全部内容，结合具体情况确定具有选择</w:t>
      </w:r>
      <w:r>
        <w:rPr>
          <w:rFonts w:hint="eastAsia" w:ascii="宋体" w:hAnsi="宋体" w:eastAsia="宋体" w:cs="宋体"/>
          <w:color w:val="auto"/>
          <w:sz w:val="24"/>
          <w:szCs w:val="24"/>
          <w:highlight w:val="none"/>
        </w:rPr>
        <w:t>性、补充性、填充性、修改性的内容，并承担合同订立、履行所产生的法律后果。</w:t>
      </w:r>
    </w:p>
    <w:p>
      <w:pPr>
        <w:pStyle w:val="133"/>
        <w:numPr>
          <w:ilvl w:val="0"/>
          <w:numId w:val="8"/>
        </w:numPr>
        <w:tabs>
          <w:tab w:val="left" w:pos="1414"/>
        </w:tabs>
        <w:spacing w:before="0" w:after="0" w:line="465" w:lineRule="auto"/>
        <w:ind w:left="731" w:right="928" w:firstLine="420"/>
        <w:jc w:val="lef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双方当事人可以根据实际情况对本合同文本进行修改、增补或者删除，实际使用时应当</w:t>
      </w:r>
      <w:r>
        <w:rPr>
          <w:rFonts w:hint="eastAsia" w:ascii="宋体" w:hAnsi="宋体" w:eastAsia="宋体" w:cs="宋体"/>
          <w:color w:val="auto"/>
          <w:sz w:val="24"/>
          <w:szCs w:val="24"/>
          <w:highlight w:val="none"/>
        </w:rPr>
        <w:t>删除“示范文本”字样。</w:t>
      </w:r>
    </w:p>
    <w:p>
      <w:pPr>
        <w:pStyle w:val="133"/>
        <w:numPr>
          <w:ilvl w:val="0"/>
          <w:numId w:val="8"/>
        </w:numPr>
        <w:tabs>
          <w:tab w:val="left" w:pos="1414"/>
        </w:tabs>
        <w:spacing w:before="0" w:after="0" w:line="463" w:lineRule="auto"/>
        <w:ind w:left="731" w:right="928" w:firstLine="420"/>
        <w:jc w:val="lef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当事人对本合同文本的条款理解发生争议时，应当按照有关法律法规规定对合同条款进</w:t>
      </w:r>
      <w:r>
        <w:rPr>
          <w:rFonts w:hint="eastAsia" w:ascii="宋体" w:hAnsi="宋体" w:eastAsia="宋体" w:cs="宋体"/>
          <w:color w:val="auto"/>
          <w:sz w:val="24"/>
          <w:szCs w:val="24"/>
          <w:highlight w:val="none"/>
        </w:rPr>
        <w:t>行解释。市场监管、教育部门、人社部门不负责对当事人订立的合同进行解释。</w:t>
      </w: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20"/>
          <w:highlight w:val="none"/>
        </w:rPr>
      </w:pPr>
    </w:p>
    <w:p>
      <w:pPr>
        <w:pStyle w:val="18"/>
        <w:rPr>
          <w:rFonts w:hint="eastAsia" w:ascii="宋体" w:hAnsi="宋体" w:eastAsia="宋体" w:cs="宋体"/>
          <w:color w:val="auto"/>
          <w:sz w:val="19"/>
          <w:highlight w:val="none"/>
        </w:rPr>
      </w:pPr>
    </w:p>
    <w:p>
      <w:pPr>
        <w:pStyle w:val="18"/>
        <w:spacing w:before="71"/>
        <w:ind w:left="731"/>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pPr>
        <w:pStyle w:val="18"/>
        <w:tabs>
          <w:tab w:val="left" w:pos="3611"/>
        </w:tabs>
        <w:spacing w:before="65"/>
        <w:ind w:left="731"/>
        <w:rPr>
          <w:rFonts w:hint="eastAsia" w:ascii="宋体" w:hAnsi="宋体" w:eastAsia="宋体" w:cs="宋体"/>
          <w:color w:val="auto"/>
          <w:sz w:val="28"/>
          <w:szCs w:val="28"/>
          <w:highlight w:val="none"/>
        </w:rPr>
      </w:pPr>
      <w:r>
        <w:rPr>
          <w:rFonts w:hint="eastAsia" w:ascii="宋体" w:hAnsi="宋体" w:eastAsia="宋体" w:cs="宋体"/>
          <w:color w:val="auto"/>
          <w:highlight w:val="none"/>
        </w:rPr>
        <w:t xml:space="preserve"> </w:t>
      </w:r>
    </w:p>
    <w:p>
      <w:pPr>
        <w:spacing w:before="69"/>
        <w:ind w:left="0" w:right="17" w:firstLine="0"/>
        <w:jc w:val="center"/>
        <w:rPr>
          <w:rFonts w:hint="eastAsia" w:ascii="宋体" w:hAnsi="宋体" w:eastAsia="宋体" w:cs="宋体"/>
          <w:color w:val="auto"/>
          <w:sz w:val="28"/>
          <w:szCs w:val="28"/>
          <w:highlight w:val="none"/>
        </w:rPr>
      </w:pPr>
    </w:p>
    <w:p>
      <w:pPr>
        <w:spacing w:before="69"/>
        <w:ind w:left="0" w:right="17" w:firstLine="0"/>
        <w:jc w:val="center"/>
        <w:rPr>
          <w:rFonts w:hint="eastAsia" w:ascii="宋体" w:hAnsi="宋体" w:eastAsia="宋体" w:cs="宋体"/>
          <w:color w:val="auto"/>
          <w:sz w:val="28"/>
          <w:szCs w:val="28"/>
          <w:highlight w:val="none"/>
        </w:rPr>
      </w:pPr>
    </w:p>
    <w:p>
      <w:pPr>
        <w:spacing w:before="69"/>
        <w:ind w:left="0" w:right="17"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学校食堂食材采购合同</w:t>
      </w:r>
    </w:p>
    <w:p>
      <w:pPr>
        <w:pStyle w:val="18"/>
        <w:spacing w:before="9"/>
        <w:rPr>
          <w:rFonts w:hint="eastAsia" w:ascii="宋体" w:hAnsi="宋体" w:eastAsia="宋体" w:cs="宋体"/>
          <w:color w:val="auto"/>
          <w:sz w:val="24"/>
          <w:szCs w:val="24"/>
          <w:highlight w:val="none"/>
        </w:rPr>
      </w:pPr>
    </w:p>
    <w:p>
      <w:pPr>
        <w:pStyle w:val="18"/>
        <w:tabs>
          <w:tab w:val="left" w:pos="5088"/>
        </w:tabs>
        <w:ind w:left="731"/>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甲方名称（学校</w:t>
      </w:r>
      <w:r>
        <w:rPr>
          <w:rFonts w:hint="eastAsia" w:ascii="宋体" w:hAnsi="宋体" w:eastAsia="宋体" w:cs="宋体"/>
          <w:b w:val="0"/>
          <w:bCs/>
          <w:color w:val="auto"/>
          <w:spacing w:val="-105"/>
          <w:sz w:val="24"/>
          <w:szCs w:val="24"/>
          <w:highlight w:val="none"/>
        </w:rPr>
        <w:t>）</w:t>
      </w:r>
      <w:r>
        <w:rPr>
          <w:rFonts w:hint="eastAsia" w:ascii="宋体" w:hAnsi="宋体" w:eastAsia="宋体" w:cs="宋体"/>
          <w:b w:val="0"/>
          <w:bCs/>
          <w:color w:val="auto"/>
          <w:sz w:val="24"/>
          <w:szCs w:val="24"/>
          <w:highlight w:val="none"/>
          <w:u w:val="none"/>
        </w:rPr>
        <w:t xml:space="preserve"> </w:t>
      </w:r>
      <w:r>
        <w:rPr>
          <w:rFonts w:hint="eastAsia" w:ascii="宋体" w:hAnsi="宋体" w:cs="宋体"/>
          <w:b w:val="0"/>
          <w:bCs/>
          <w:color w:val="auto"/>
          <w:sz w:val="24"/>
          <w:szCs w:val="24"/>
          <w:highlight w:val="none"/>
          <w:u w:val="none"/>
          <w:lang w:eastAsia="zh-CN"/>
        </w:rPr>
        <w:t>：</w:t>
      </w:r>
      <w:r>
        <w:rPr>
          <w:rFonts w:hint="eastAsia" w:ascii="宋体" w:hAnsi="宋体" w:eastAsia="宋体" w:cs="宋体"/>
          <w:b w:val="0"/>
          <w:bCs/>
          <w:color w:val="auto"/>
          <w:sz w:val="24"/>
          <w:szCs w:val="24"/>
          <w:highlight w:val="none"/>
          <w:u w:val="single"/>
        </w:rPr>
        <w:tab/>
      </w:r>
    </w:p>
    <w:p>
      <w:pPr>
        <w:pStyle w:val="18"/>
        <w:rPr>
          <w:rFonts w:hint="eastAsia" w:ascii="宋体" w:hAnsi="宋体" w:eastAsia="宋体" w:cs="宋体"/>
          <w:b w:val="0"/>
          <w:bCs/>
          <w:color w:val="auto"/>
          <w:sz w:val="24"/>
          <w:szCs w:val="24"/>
          <w:highlight w:val="none"/>
        </w:rPr>
      </w:pPr>
    </w:p>
    <w:p>
      <w:pPr>
        <w:pStyle w:val="18"/>
        <w:tabs>
          <w:tab w:val="left" w:pos="5193"/>
        </w:tabs>
        <w:spacing w:before="77"/>
        <w:ind w:left="731"/>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乙方名称（供货人</w:t>
      </w:r>
      <w:r>
        <w:rPr>
          <w:rFonts w:hint="eastAsia" w:ascii="宋体" w:hAnsi="宋体" w:eastAsia="宋体" w:cs="宋体"/>
          <w:b w:val="0"/>
          <w:bCs/>
          <w:color w:val="auto"/>
          <w:spacing w:val="-105"/>
          <w:sz w:val="24"/>
          <w:szCs w:val="24"/>
          <w:highlight w:val="none"/>
        </w:rPr>
        <w:t>）</w:t>
      </w:r>
      <w:r>
        <w:rPr>
          <w:rFonts w:hint="eastAsia" w:ascii="宋体" w:hAnsi="宋体" w:eastAsia="宋体" w:cs="宋体"/>
          <w:b w:val="0"/>
          <w:bCs/>
          <w:color w:val="auto"/>
          <w:sz w:val="24"/>
          <w:szCs w:val="24"/>
          <w:highlight w:val="none"/>
          <w:u w:val="none"/>
        </w:rPr>
        <w:t xml:space="preserve"> </w:t>
      </w:r>
      <w:r>
        <w:rPr>
          <w:rFonts w:hint="eastAsia" w:ascii="宋体" w:hAnsi="宋体" w:cs="宋体"/>
          <w:b w:val="0"/>
          <w:bCs/>
          <w:color w:val="auto"/>
          <w:sz w:val="24"/>
          <w:szCs w:val="24"/>
          <w:highlight w:val="none"/>
          <w:u w:val="none"/>
          <w:lang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p>
    <w:p>
      <w:pPr>
        <w:pStyle w:val="18"/>
        <w:spacing w:before="7"/>
        <w:rPr>
          <w:rFonts w:hint="eastAsia" w:ascii="宋体" w:hAnsi="宋体" w:eastAsia="宋体" w:cs="宋体"/>
          <w:b w:val="0"/>
          <w:bCs/>
          <w:color w:val="auto"/>
          <w:sz w:val="24"/>
          <w:szCs w:val="24"/>
          <w:highlight w:val="none"/>
        </w:rPr>
      </w:pPr>
    </w:p>
    <w:p>
      <w:pPr>
        <w:pStyle w:val="18"/>
        <w:keepNext w:val="0"/>
        <w:keepLines w:val="0"/>
        <w:pageBreakBefore w:val="0"/>
        <w:widowControl w:val="0"/>
        <w:kinsoku/>
        <w:wordWrap/>
        <w:overflowPunct/>
        <w:topLinePunct w:val="0"/>
        <w:autoSpaceDE/>
        <w:autoSpaceDN/>
        <w:bidi w:val="0"/>
        <w:adjustRightInd/>
        <w:snapToGrid/>
        <w:spacing w:before="70" w:line="440" w:lineRule="exact"/>
        <w:ind w:left="731" w:right="449" w:rightChars="214" w:firstLine="420"/>
        <w:jc w:val="both"/>
        <w:textAlignment w:val="auto"/>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依据《中华人民共和国民法典》《中华人民共和国食品安全法》《中华人民共和国农产品质量安全法》《学校食品安全与营养健康规定》等有关法律法规、规章规定，甲乙双方遵循平等、自愿、公平和诚信原则，经协商一致，就学校食堂食材采购事宜签订本合同。</w:t>
      </w:r>
    </w:p>
    <w:p>
      <w:pPr>
        <w:pStyle w:val="18"/>
        <w:keepNext w:val="0"/>
        <w:keepLines w:val="0"/>
        <w:pageBreakBefore w:val="0"/>
        <w:widowControl w:val="0"/>
        <w:kinsoku/>
        <w:wordWrap/>
        <w:overflowPunct/>
        <w:topLinePunct w:val="0"/>
        <w:autoSpaceDE/>
        <w:autoSpaceDN/>
        <w:bidi w:val="0"/>
        <w:adjustRightInd/>
        <w:snapToGrid/>
        <w:spacing w:line="440" w:lineRule="exact"/>
        <w:ind w:left="1151" w:right="449" w:rightChars="214"/>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一、合同文件构成</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1151" w:right="449" w:rightChars="214"/>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构成本合同的文件包括：</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1046" w:right="449" w:rightChars="214"/>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1"/>
          <w:sz w:val="24"/>
          <w:szCs w:val="24"/>
          <w:highlight w:val="none"/>
        </w:rPr>
        <w:t>（一</w:t>
      </w:r>
      <w:r>
        <w:rPr>
          <w:rFonts w:hint="eastAsia" w:ascii="宋体" w:hAnsi="宋体" w:eastAsia="宋体" w:cs="宋体"/>
          <w:b w:val="0"/>
          <w:bCs/>
          <w:color w:val="auto"/>
          <w:sz w:val="24"/>
          <w:szCs w:val="24"/>
          <w:highlight w:val="none"/>
        </w:rPr>
        <w:t>）本合同、补充协议；</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104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w:t>
      </w:r>
      <w:r>
        <w:rPr>
          <w:rFonts w:hint="eastAsia" w:ascii="宋体" w:hAnsi="宋体" w:eastAsia="宋体" w:cs="宋体"/>
          <w:b w:val="0"/>
          <w:bCs/>
          <w:color w:val="auto"/>
          <w:spacing w:val="-1"/>
          <w:sz w:val="24"/>
          <w:szCs w:val="24"/>
          <w:highlight w:val="none"/>
        </w:rPr>
        <w:t>中标通知书</w:t>
      </w:r>
      <w:r>
        <w:rPr>
          <w:rFonts w:hint="eastAsia" w:ascii="宋体" w:hAnsi="宋体" w:eastAsia="宋体" w:cs="宋体"/>
          <w:b w:val="0"/>
          <w:bCs/>
          <w:color w:val="auto"/>
          <w:sz w:val="24"/>
          <w:szCs w:val="24"/>
          <w:highlight w:val="none"/>
        </w:rPr>
        <w:t>（含乙方承诺函等</w:t>
      </w:r>
      <w:r>
        <w:rPr>
          <w:rFonts w:hint="eastAsia" w:ascii="宋体" w:hAnsi="宋体" w:eastAsia="宋体" w:cs="宋体"/>
          <w:b w:val="0"/>
          <w:bCs/>
          <w:color w:val="auto"/>
          <w:spacing w:val="-106"/>
          <w:sz w:val="24"/>
          <w:szCs w:val="24"/>
          <w:highlight w:val="none"/>
        </w:rPr>
        <w:t>）</w:t>
      </w:r>
      <w:r>
        <w:rPr>
          <w:rFonts w:hint="eastAsia" w:ascii="宋体" w:hAnsi="宋体" w:eastAsia="宋体" w:cs="宋体"/>
          <w:b w:val="0"/>
          <w:bCs/>
          <w:color w:val="auto"/>
          <w:sz w:val="24"/>
          <w:szCs w:val="24"/>
          <w:highlight w:val="none"/>
        </w:rPr>
        <w:t>；</w:t>
      </w:r>
    </w:p>
    <w:p>
      <w:pPr>
        <w:pStyle w:val="18"/>
        <w:keepNext w:val="0"/>
        <w:keepLines w:val="0"/>
        <w:pageBreakBefore w:val="0"/>
        <w:widowControl w:val="0"/>
        <w:tabs>
          <w:tab w:val="left" w:pos="5402"/>
        </w:tabs>
        <w:kinsoku/>
        <w:wordWrap/>
        <w:overflowPunct/>
        <w:topLinePunct w:val="0"/>
        <w:autoSpaceDE/>
        <w:autoSpaceDN/>
        <w:bidi w:val="0"/>
        <w:adjustRightInd/>
        <w:snapToGrid/>
        <w:spacing w:before="163" w:line="440" w:lineRule="exact"/>
        <w:ind w:left="104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（三）甲方</w:t>
      </w:r>
      <w:r>
        <w:rPr>
          <w:rFonts w:hint="eastAsia" w:ascii="宋体" w:hAnsi="宋体" w:eastAsia="宋体" w:cs="宋体"/>
          <w:b w:val="0"/>
          <w:bCs/>
          <w:color w:val="auto"/>
          <w:spacing w:val="-2"/>
          <w:sz w:val="24"/>
          <w:szCs w:val="24"/>
          <w:highlight w:val="none"/>
        </w:rPr>
        <w:t>发</w:t>
      </w:r>
      <w:r>
        <w:rPr>
          <w:rFonts w:hint="eastAsia" w:ascii="宋体" w:hAnsi="宋体" w:eastAsia="宋体" w:cs="宋体"/>
          <w:b w:val="0"/>
          <w:bCs/>
          <w:color w:val="auto"/>
          <w:sz w:val="24"/>
          <w:szCs w:val="24"/>
          <w:highlight w:val="none"/>
        </w:rPr>
        <w:t>出的招标文件（项目编号</w:t>
      </w:r>
      <w:r>
        <w:rPr>
          <w:rFonts w:hint="eastAsia" w:ascii="宋体" w:hAnsi="宋体" w:eastAsia="宋体" w:cs="宋体"/>
          <w:b w:val="0"/>
          <w:bCs/>
          <w:color w:val="auto"/>
          <w:spacing w:val="1"/>
          <w:sz w:val="24"/>
          <w:szCs w:val="24"/>
          <w:highlight w:val="none"/>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pacing w:val="-105"/>
          <w:sz w:val="24"/>
          <w:szCs w:val="24"/>
          <w:highlight w:val="none"/>
        </w:rPr>
        <w:t>）</w:t>
      </w:r>
      <w:r>
        <w:rPr>
          <w:rFonts w:hint="eastAsia" w:ascii="宋体" w:hAnsi="宋体" w:eastAsia="宋体" w:cs="宋体"/>
          <w:b w:val="0"/>
          <w:bCs/>
          <w:color w:val="auto"/>
          <w:sz w:val="24"/>
          <w:szCs w:val="24"/>
          <w:highlight w:val="none"/>
        </w:rPr>
        <w:t>（含招标补充文件等</w:t>
      </w:r>
      <w:r>
        <w:rPr>
          <w:rFonts w:hint="eastAsia" w:ascii="宋体" w:hAnsi="宋体" w:eastAsia="宋体" w:cs="宋体"/>
          <w:b w:val="0"/>
          <w:bCs/>
          <w:color w:val="auto"/>
          <w:spacing w:val="-105"/>
          <w:sz w:val="24"/>
          <w:szCs w:val="24"/>
          <w:highlight w:val="none"/>
        </w:rPr>
        <w:t>）</w:t>
      </w:r>
      <w:r>
        <w:rPr>
          <w:rFonts w:hint="eastAsia" w:ascii="宋体" w:hAnsi="宋体" w:eastAsia="宋体" w:cs="宋体"/>
          <w:b w:val="0"/>
          <w:bCs/>
          <w:color w:val="auto"/>
          <w:sz w:val="24"/>
          <w:szCs w:val="24"/>
          <w:highlight w:val="none"/>
        </w:rPr>
        <w:t>；</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1046"/>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（四）</w:t>
      </w:r>
      <w:r>
        <w:rPr>
          <w:rFonts w:hint="eastAsia" w:ascii="宋体" w:hAnsi="宋体" w:eastAsia="宋体" w:cs="宋体"/>
          <w:b w:val="0"/>
          <w:bCs/>
          <w:color w:val="auto"/>
          <w:spacing w:val="-1"/>
          <w:sz w:val="24"/>
          <w:szCs w:val="24"/>
          <w:highlight w:val="none"/>
        </w:rPr>
        <w:t>乙方提供的投标文件</w:t>
      </w:r>
      <w:r>
        <w:rPr>
          <w:rFonts w:hint="eastAsia" w:ascii="宋体" w:hAnsi="宋体" w:eastAsia="宋体" w:cs="宋体"/>
          <w:b w:val="0"/>
          <w:bCs/>
          <w:color w:val="auto"/>
          <w:sz w:val="24"/>
          <w:szCs w:val="24"/>
          <w:highlight w:val="none"/>
        </w:rPr>
        <w:t>（含澄清文件及承诺等</w:t>
      </w:r>
      <w:r>
        <w:rPr>
          <w:rFonts w:hint="eastAsia" w:ascii="宋体" w:hAnsi="宋体" w:eastAsia="宋体" w:cs="宋体"/>
          <w:b w:val="0"/>
          <w:bCs/>
          <w:color w:val="auto"/>
          <w:spacing w:val="-105"/>
          <w:sz w:val="24"/>
          <w:szCs w:val="24"/>
          <w:highlight w:val="none"/>
        </w:rPr>
        <w:t>）</w:t>
      </w:r>
      <w:r>
        <w:rPr>
          <w:rFonts w:hint="eastAsia" w:ascii="宋体" w:hAnsi="宋体" w:eastAsia="宋体" w:cs="宋体"/>
          <w:b w:val="0"/>
          <w:bCs/>
          <w:color w:val="auto"/>
          <w:sz w:val="24"/>
          <w:szCs w:val="24"/>
          <w:highlight w:val="none"/>
          <w:u w:val="none"/>
        </w:rPr>
        <w:t xml:space="preserve"> </w:t>
      </w:r>
      <w:r>
        <w:rPr>
          <w:rFonts w:hint="eastAsia" w:ascii="宋体" w:hAnsi="宋体" w:cs="宋体"/>
          <w:b w:val="0"/>
          <w:bCs/>
          <w:color w:val="auto"/>
          <w:sz w:val="24"/>
          <w:szCs w:val="24"/>
          <w:highlight w:val="none"/>
          <w:u w:val="none"/>
          <w:lang w:eastAsia="zh-CN"/>
        </w:rPr>
        <w:t>；</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104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（五）本合同的附件或经双方确认的采购清单。</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731" w:right="250" w:rightChars="119" w:firstLine="42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在合同订立及履行过程中形成的与合同有关的文件均构成合同文件组成部分，属于同一类内容的文件，应以最新签署的为准。</w:t>
      </w:r>
    </w:p>
    <w:p>
      <w:pPr>
        <w:keepNext w:val="0"/>
        <w:keepLines w:val="0"/>
        <w:pageBreakBefore w:val="0"/>
        <w:widowControl w:val="0"/>
        <w:tabs>
          <w:tab w:val="left" w:pos="1353"/>
        </w:tabs>
        <w:kinsoku/>
        <w:wordWrap/>
        <w:overflowPunct/>
        <w:topLinePunct w:val="0"/>
        <w:autoSpaceDE/>
        <w:autoSpaceDN/>
        <w:bidi w:val="0"/>
        <w:adjustRightInd/>
        <w:snapToGrid/>
        <w:spacing w:line="440" w:lineRule="exact"/>
        <w:ind w:right="250" w:rightChars="119" w:firstLine="1200" w:firstLineChars="5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附件须经合同当事人签</w:t>
      </w:r>
      <w:r>
        <w:rPr>
          <w:rFonts w:hint="eastAsia" w:ascii="宋体" w:hAnsi="宋体" w:cs="宋体"/>
          <w:b w:val="0"/>
          <w:bCs/>
          <w:color w:val="auto"/>
          <w:sz w:val="24"/>
          <w:szCs w:val="24"/>
          <w:highlight w:val="none"/>
          <w:lang w:val="en-US" w:eastAsia="zh-CN"/>
        </w:rPr>
        <w:t>字</w:t>
      </w:r>
      <w:r>
        <w:rPr>
          <w:rFonts w:hint="eastAsia" w:ascii="宋体" w:hAnsi="宋体" w:eastAsia="宋体" w:cs="宋体"/>
          <w:b w:val="0"/>
          <w:bCs/>
          <w:color w:val="auto"/>
          <w:sz w:val="24"/>
          <w:szCs w:val="24"/>
          <w:highlight w:val="none"/>
        </w:rPr>
        <w:t>并盖章。</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1151" w:right="250" w:rightChars="119"/>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二、合同期限</w:t>
      </w:r>
    </w:p>
    <w:p>
      <w:pPr>
        <w:pStyle w:val="18"/>
        <w:keepNext w:val="0"/>
        <w:keepLines w:val="0"/>
        <w:pageBreakBefore w:val="0"/>
        <w:widowControl w:val="0"/>
        <w:tabs>
          <w:tab w:val="left" w:pos="3249"/>
          <w:tab w:val="left" w:pos="4614"/>
          <w:tab w:val="left" w:pos="5348"/>
          <w:tab w:val="left" w:pos="6083"/>
          <w:tab w:val="left" w:pos="6818"/>
          <w:tab w:val="left" w:pos="7553"/>
          <w:tab w:val="left" w:pos="8287"/>
        </w:tabs>
        <w:kinsoku/>
        <w:wordWrap/>
        <w:overflowPunct/>
        <w:topLinePunct w:val="0"/>
        <w:autoSpaceDE/>
        <w:autoSpaceDN/>
        <w:bidi w:val="0"/>
        <w:adjustRightInd/>
        <w:snapToGrid/>
        <w:spacing w:before="163" w:line="440" w:lineRule="exact"/>
        <w:ind w:left="1046" w:right="250" w:rightChars="119"/>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（一）供货服务期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年，即：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至</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日止。</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731" w:right="250" w:rightChars="119" w:firstLine="317"/>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pacing w:val="-8"/>
          <w:sz w:val="24"/>
          <w:szCs w:val="24"/>
          <w:highlight w:val="none"/>
        </w:rPr>
        <w:t>服务期内，如遇规章或相关政策调整，导致本合同无法继续履行的，乙方应无条件配合</w:t>
      </w:r>
      <w:r>
        <w:rPr>
          <w:rFonts w:hint="eastAsia" w:ascii="宋体" w:hAnsi="宋体" w:eastAsia="宋体" w:cs="宋体"/>
          <w:b w:val="0"/>
          <w:bCs/>
          <w:color w:val="auto"/>
          <w:spacing w:val="-1"/>
          <w:sz w:val="24"/>
          <w:szCs w:val="24"/>
          <w:highlight w:val="none"/>
        </w:rPr>
        <w:t>甲方提前终止本合同，甲方提前终止本合同的行为不视为违约，不按照本合同相关约定承担违约</w:t>
      </w:r>
      <w:r>
        <w:rPr>
          <w:rFonts w:hint="eastAsia" w:ascii="宋体" w:hAnsi="宋体" w:eastAsia="宋体" w:cs="宋体"/>
          <w:b w:val="0"/>
          <w:bCs/>
          <w:color w:val="auto"/>
          <w:sz w:val="24"/>
          <w:szCs w:val="24"/>
          <w:highlight w:val="none"/>
        </w:rPr>
        <w:t>责任。</w:t>
      </w:r>
    </w:p>
    <w:p>
      <w:pPr>
        <w:pStyle w:val="18"/>
        <w:keepNext w:val="0"/>
        <w:keepLines w:val="0"/>
        <w:pageBreakBefore w:val="0"/>
        <w:widowControl w:val="0"/>
        <w:kinsoku/>
        <w:wordWrap/>
        <w:overflowPunct/>
        <w:topLinePunct w:val="0"/>
        <w:autoSpaceDE/>
        <w:autoSpaceDN/>
        <w:bidi w:val="0"/>
        <w:adjustRightInd/>
        <w:snapToGrid/>
        <w:spacing w:line="440" w:lineRule="exact"/>
        <w:ind w:left="1151" w:right="250" w:rightChars="119"/>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三、合同金额、食材供应的品种及单价</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731" w:right="250" w:rightChars="119" w:firstLine="317"/>
        <w:jc w:val="both"/>
        <w:textAlignment w:val="auto"/>
        <w:rPr>
          <w:rFonts w:hint="eastAsia" w:ascii="宋体" w:hAnsi="宋体" w:eastAsia="宋体" w:cs="宋体"/>
          <w:b w:val="0"/>
          <w:bCs/>
          <w:color w:val="auto"/>
          <w:spacing w:val="-8"/>
          <w:sz w:val="24"/>
          <w:szCs w:val="24"/>
          <w:highlight w:val="none"/>
        </w:rPr>
      </w:pPr>
      <w:r>
        <w:rPr>
          <w:rFonts w:hint="eastAsia" w:ascii="宋体" w:hAnsi="宋体" w:eastAsia="宋体" w:cs="宋体"/>
          <w:b w:val="0"/>
          <w:bCs/>
          <w:color w:val="auto"/>
          <w:sz w:val="24"/>
          <w:szCs w:val="24"/>
          <w:highlight w:val="none"/>
        </w:rPr>
        <w:t>（一）预计年采购金额为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万元（本合同实际金额以双方结算为准）。乙方在</w:t>
      </w:r>
      <w:r>
        <w:rPr>
          <w:rFonts w:hint="eastAsia" w:ascii="宋体" w:hAnsi="宋体" w:eastAsia="宋体" w:cs="宋体"/>
          <w:b w:val="0"/>
          <w:bCs/>
          <w:color w:val="auto"/>
          <w:spacing w:val="-8"/>
          <w:sz w:val="24"/>
          <w:szCs w:val="24"/>
          <w:highlight w:val="none"/>
        </w:rPr>
        <w:t>供应甲方食品过程中所报价格应根据市场供需及经营成本合理定价，实际食材价格以本合同附件所列单价为准。</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731" w:right="250" w:rightChars="119" w:firstLine="317"/>
        <w:jc w:val="both"/>
        <w:textAlignment w:val="auto"/>
        <w:rPr>
          <w:rFonts w:hint="eastAsia" w:ascii="宋体" w:hAnsi="宋体" w:eastAsia="宋体" w:cs="宋体"/>
          <w:b w:val="0"/>
          <w:bCs/>
          <w:color w:val="auto"/>
          <w:spacing w:val="-8"/>
          <w:sz w:val="24"/>
          <w:szCs w:val="24"/>
          <w:highlight w:val="none"/>
        </w:rPr>
      </w:pPr>
      <w:r>
        <w:rPr>
          <w:rFonts w:hint="eastAsia" w:ascii="宋体" w:hAnsi="宋体" w:eastAsia="宋体" w:cs="宋体"/>
          <w:b w:val="0"/>
          <w:bCs/>
          <w:color w:val="auto"/>
          <w:spacing w:val="-8"/>
          <w:sz w:val="24"/>
          <w:szCs w:val="24"/>
          <w:highlight w:val="none"/>
        </w:rPr>
        <w:t>（二）食材种类：包括但不限于蔬菜水果类、肉制品类、蛋奶类、米面粮油类、调味品类等。</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731" w:right="250" w:rightChars="119" w:firstLine="317"/>
        <w:jc w:val="both"/>
        <w:textAlignment w:val="auto"/>
        <w:rPr>
          <w:rFonts w:hint="eastAsia" w:ascii="宋体" w:hAnsi="宋体" w:eastAsia="宋体" w:cs="宋体"/>
          <w:b w:val="0"/>
          <w:bCs/>
          <w:color w:val="auto"/>
          <w:spacing w:val="-8"/>
          <w:sz w:val="24"/>
          <w:szCs w:val="24"/>
          <w:highlight w:val="none"/>
        </w:rPr>
      </w:pPr>
      <w:r>
        <w:rPr>
          <w:rFonts w:hint="eastAsia" w:ascii="宋体" w:hAnsi="宋体" w:eastAsia="宋体" w:cs="宋体"/>
          <w:b w:val="0"/>
          <w:bCs/>
          <w:color w:val="auto"/>
          <w:spacing w:val="-8"/>
          <w:sz w:val="24"/>
          <w:szCs w:val="24"/>
          <w:highlight w:val="none"/>
        </w:rPr>
        <w:t>（三）采购食材的具体品种、单价及交货时间：详见本合同附件。</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731" w:right="250" w:rightChars="119" w:firstLine="317"/>
        <w:jc w:val="both"/>
        <w:textAlignment w:val="auto"/>
        <w:rPr>
          <w:rFonts w:hint="eastAsia" w:ascii="宋体" w:hAnsi="宋体" w:eastAsia="宋体" w:cs="宋体"/>
          <w:b w:val="0"/>
          <w:bCs/>
          <w:color w:val="auto"/>
          <w:spacing w:val="-8"/>
          <w:sz w:val="24"/>
          <w:szCs w:val="24"/>
          <w:highlight w:val="none"/>
        </w:rPr>
      </w:pPr>
      <w:r>
        <w:rPr>
          <w:rFonts w:hint="eastAsia" w:ascii="宋体" w:hAnsi="宋体" w:eastAsia="宋体" w:cs="宋体"/>
          <w:b w:val="0"/>
          <w:bCs/>
          <w:color w:val="auto"/>
          <w:spacing w:val="-8"/>
          <w:sz w:val="24"/>
          <w:szCs w:val="24"/>
          <w:highlight w:val="none"/>
        </w:rPr>
        <w:t>（四）食材价格调整：甲乙双方均知悉并理解食材价格受市场因素影响的基本规则，因此，双方按照如下方式对采购食材的价格进行月度调整：乙方在每月 15 日为甲方提供《月度报价单》， 甲方根据市场进行询价后与乙方商定次月供货价格。乙方按商定价格为甲方提供食材配送，双方在次月结算时按双方于每月确定的报价单定价进行结算。甲方可不定期去市场询价，如果乙方报价低于市场价格，以乙方报价确定食材价格，如果乙方报价高于市场价格，则按市场价格确定价格。未经报价商品，以最新市场报价为准。送货价格包含税费、货物运输和搬运过程中产生的所有费用，甲方在此过程中不再支付其它任何费用。</w:t>
      </w:r>
    </w:p>
    <w:p>
      <w:pPr>
        <w:pStyle w:val="18"/>
        <w:keepNext w:val="0"/>
        <w:keepLines w:val="0"/>
        <w:pageBreakBefore w:val="0"/>
        <w:widowControl w:val="0"/>
        <w:kinsoku/>
        <w:wordWrap/>
        <w:overflowPunct/>
        <w:topLinePunct w:val="0"/>
        <w:autoSpaceDE/>
        <w:autoSpaceDN/>
        <w:bidi w:val="0"/>
        <w:adjustRightInd/>
        <w:snapToGrid/>
        <w:spacing w:before="163" w:line="440" w:lineRule="exact"/>
        <w:ind w:left="731" w:right="250" w:rightChars="119" w:firstLine="315"/>
        <w:jc w:val="both"/>
        <w:textAlignment w:val="auto"/>
        <w:rPr>
          <w:rFonts w:hint="eastAsia" w:ascii="宋体" w:hAnsi="宋体" w:eastAsia="宋体" w:cs="宋体"/>
          <w:b/>
          <w:bCs w:val="0"/>
          <w:color w:val="auto"/>
          <w:spacing w:val="-8"/>
          <w:sz w:val="24"/>
          <w:szCs w:val="24"/>
          <w:highlight w:val="none"/>
        </w:rPr>
      </w:pPr>
      <w:r>
        <w:rPr>
          <w:rFonts w:hint="eastAsia" w:ascii="宋体" w:hAnsi="宋体" w:eastAsia="宋体" w:cs="宋体"/>
          <w:b/>
          <w:bCs w:val="0"/>
          <w:color w:val="auto"/>
          <w:spacing w:val="-8"/>
          <w:sz w:val="24"/>
          <w:szCs w:val="24"/>
          <w:highlight w:val="none"/>
        </w:rPr>
        <w:t>四、资质及票证索取要求</w:t>
      </w:r>
    </w:p>
    <w:p>
      <w:pPr>
        <w:pStyle w:val="18"/>
        <w:keepNext w:val="0"/>
        <w:keepLines w:val="0"/>
        <w:pageBreakBefore w:val="0"/>
        <w:widowControl w:val="0"/>
        <w:tabs>
          <w:tab w:val="left" w:pos="5364"/>
          <w:tab w:val="left" w:pos="9870"/>
        </w:tabs>
        <w:kinsoku/>
        <w:wordWrap/>
        <w:overflowPunct/>
        <w:topLinePunct w:val="0"/>
        <w:autoSpaceDE/>
        <w:autoSpaceDN/>
        <w:bidi w:val="0"/>
        <w:adjustRightInd/>
        <w:snapToGrid/>
        <w:spacing w:before="163" w:line="440" w:lineRule="exact"/>
        <w:ind w:left="1046" w:right="449" w:rightChars="214"/>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（一）资质要求：乙方应于本协议签订前</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个工作日内提供的相关证件：</w:t>
      </w:r>
      <w:r>
        <w:rPr>
          <w:rFonts w:hint="eastAsia" w:ascii="宋体" w:hAnsi="宋体" w:eastAsia="宋体" w:cs="宋体"/>
          <w:b w:val="0"/>
          <w:bCs/>
          <w:color w:val="auto"/>
          <w:sz w:val="24"/>
          <w:szCs w:val="24"/>
          <w:highlight w:val="none"/>
        </w:rPr>
        <w:sym w:font="Wingdings 2" w:char="0052"/>
      </w:r>
      <w:r>
        <w:rPr>
          <w:rFonts w:hint="eastAsia" w:ascii="宋体" w:hAnsi="宋体" w:eastAsia="宋体" w:cs="宋体"/>
          <w:b w:val="0"/>
          <w:bCs/>
          <w:color w:val="auto"/>
          <w:sz w:val="24"/>
          <w:szCs w:val="24"/>
          <w:highlight w:val="none"/>
        </w:rPr>
        <w:t>《营业执照》</w:t>
      </w:r>
    </w:p>
    <w:p>
      <w:pPr>
        <w:pStyle w:val="18"/>
        <w:keepNext w:val="0"/>
        <w:keepLines w:val="0"/>
        <w:pageBreakBefore w:val="0"/>
        <w:widowControl w:val="0"/>
        <w:tabs>
          <w:tab w:val="left" w:pos="1571"/>
          <w:tab w:val="left" w:pos="3459"/>
        </w:tabs>
        <w:kinsoku/>
        <w:wordWrap/>
        <w:overflowPunct/>
        <w:topLinePunct w:val="0"/>
        <w:autoSpaceDE/>
        <w:autoSpaceDN/>
        <w:bidi w:val="0"/>
        <w:adjustRightInd/>
        <w:snapToGrid/>
        <w:spacing w:before="163" w:line="440" w:lineRule="exact"/>
        <w:ind w:left="731" w:right="747"/>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21"/>
          <w:sz w:val="24"/>
          <w:szCs w:val="24"/>
          <w:highlight w:val="none"/>
        </w:rPr>
        <w:sym w:font="Wingdings 2" w:char="0052"/>
      </w:r>
      <w:r>
        <w:rPr>
          <w:rFonts w:hint="eastAsia" w:ascii="宋体" w:hAnsi="宋体" w:eastAsia="宋体" w:cs="宋体"/>
          <w:b w:val="0"/>
          <w:bCs/>
          <w:color w:val="auto"/>
          <w:sz w:val="24"/>
          <w:szCs w:val="24"/>
          <w:highlight w:val="none"/>
        </w:rPr>
        <w:t>《食品经营许可证》</w:t>
      </w:r>
      <w:r>
        <w:rPr>
          <w:rFonts w:hint="eastAsia" w:ascii="宋体" w:hAnsi="宋体" w:eastAsia="宋体" w:cs="宋体"/>
          <w:b w:val="0"/>
          <w:bCs/>
          <w:color w:val="auto"/>
          <w:spacing w:val="83"/>
          <w:sz w:val="24"/>
          <w:szCs w:val="24"/>
          <w:highlight w:val="none"/>
        </w:rPr>
        <w:t xml:space="preserve"> </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z w:val="24"/>
          <w:szCs w:val="24"/>
          <w:highlight w:val="none"/>
        </w:rPr>
        <w:t>《开户许可证》</w:t>
      </w:r>
      <w:r>
        <w:rPr>
          <w:rFonts w:hint="eastAsia" w:ascii="宋体" w:hAnsi="宋体" w:eastAsia="宋体" w:cs="宋体"/>
          <w:b w:val="0"/>
          <w:bCs/>
          <w:color w:val="auto"/>
          <w:spacing w:val="84"/>
          <w:sz w:val="24"/>
          <w:szCs w:val="24"/>
          <w:highlight w:val="none"/>
        </w:rPr>
        <w:t xml:space="preserve"> </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z w:val="24"/>
          <w:szCs w:val="24"/>
          <w:highlight w:val="none"/>
        </w:rPr>
        <w:t>《食品生产许可证》</w:t>
      </w:r>
      <w:r>
        <w:rPr>
          <w:rFonts w:hint="eastAsia" w:ascii="宋体" w:hAnsi="宋体" w:eastAsia="宋体" w:cs="宋体"/>
          <w:b w:val="0"/>
          <w:bCs/>
          <w:color w:val="auto"/>
          <w:spacing w:val="84"/>
          <w:sz w:val="24"/>
          <w:szCs w:val="24"/>
          <w:highlight w:val="none"/>
        </w:rPr>
        <w:t xml:space="preserve"> </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z w:val="24"/>
          <w:szCs w:val="24"/>
          <w:highlight w:val="none"/>
        </w:rPr>
        <w:t>《检验报告》</w:t>
      </w:r>
      <w:r>
        <w:rPr>
          <w:rFonts w:hint="eastAsia" w:ascii="宋体" w:hAnsi="宋体" w:eastAsia="宋体" w:cs="宋体"/>
          <w:b w:val="0"/>
          <w:bCs/>
          <w:color w:val="auto"/>
          <w:spacing w:val="83"/>
          <w:sz w:val="24"/>
          <w:szCs w:val="24"/>
          <w:highlight w:val="none"/>
        </w:rPr>
        <w:t xml:space="preserve"> </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z w:val="24"/>
          <w:szCs w:val="24"/>
          <w:highlight w:val="none"/>
        </w:rPr>
        <w:t>《检</w:t>
      </w:r>
      <w:r>
        <w:rPr>
          <w:rFonts w:hint="eastAsia" w:ascii="宋体" w:hAnsi="宋体" w:eastAsia="宋体" w:cs="宋体"/>
          <w:b w:val="0"/>
          <w:bCs/>
          <w:color w:val="auto"/>
          <w:spacing w:val="-13"/>
          <w:sz w:val="24"/>
          <w:szCs w:val="24"/>
          <w:highlight w:val="none"/>
        </w:rPr>
        <w:t>疫</w:t>
      </w:r>
      <w:r>
        <w:rPr>
          <w:rFonts w:hint="eastAsia" w:ascii="宋体" w:hAnsi="宋体" w:eastAsia="宋体" w:cs="宋体"/>
          <w:b w:val="0"/>
          <w:bCs/>
          <w:color w:val="auto"/>
          <w:sz w:val="24"/>
          <w:szCs w:val="24"/>
          <w:highlight w:val="none"/>
        </w:rPr>
        <w:t>证明》</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pacing w:val="-1"/>
          <w:sz w:val="24"/>
          <w:szCs w:val="24"/>
          <w:highlight w:val="none"/>
        </w:rPr>
        <w:t xml:space="preserve"> </w:t>
      </w:r>
      <w:r>
        <w:rPr>
          <w:rFonts w:hint="eastAsia" w:ascii="宋体" w:hAnsi="宋体" w:eastAsia="宋体" w:cs="宋体"/>
          <w:b w:val="0"/>
          <w:bCs/>
          <w:color w:val="auto"/>
          <w:sz w:val="24"/>
          <w:szCs w:val="24"/>
          <w:highlight w:val="none"/>
        </w:rPr>
        <w:t>其他</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w:t>
      </w:r>
    </w:p>
    <w:p>
      <w:pPr>
        <w:pStyle w:val="18"/>
        <w:keepNext w:val="0"/>
        <w:keepLines w:val="0"/>
        <w:pageBreakBefore w:val="0"/>
        <w:widowControl w:val="0"/>
        <w:kinsoku/>
        <w:wordWrap/>
        <w:overflowPunct/>
        <w:topLinePunct w:val="0"/>
        <w:autoSpaceDE/>
        <w:autoSpaceDN/>
        <w:bidi w:val="0"/>
        <w:adjustRightInd/>
        <w:snapToGrid/>
        <w:spacing w:line="440" w:lineRule="exact"/>
        <w:ind w:left="731" w:right="671" w:firstLine="31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（二）乙方必须提供采购点经营者的相关证件及食品质量的相关证件，供应蔬菜水果、肉制品类的，还应提供食用农产品产地证明、农残检测报告、检验检疫报告等。</w:t>
      </w:r>
    </w:p>
    <w:p>
      <w:pPr>
        <w:pStyle w:val="18"/>
        <w:keepNext w:val="0"/>
        <w:keepLines w:val="0"/>
        <w:pageBreakBefore w:val="0"/>
        <w:widowControl w:val="0"/>
        <w:kinsoku/>
        <w:wordWrap/>
        <w:overflowPunct/>
        <w:topLinePunct w:val="0"/>
        <w:autoSpaceDE/>
        <w:autoSpaceDN/>
        <w:bidi w:val="0"/>
        <w:adjustRightInd/>
        <w:snapToGrid/>
        <w:spacing w:line="440" w:lineRule="exact"/>
        <w:ind w:left="731" w:right="250" w:rightChars="0" w:firstLine="315"/>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（三</w:t>
      </w:r>
      <w:r>
        <w:rPr>
          <w:rFonts w:hint="eastAsia" w:ascii="宋体" w:hAnsi="宋体" w:eastAsia="宋体" w:cs="宋体"/>
          <w:b w:val="0"/>
          <w:bCs/>
          <w:color w:val="auto"/>
          <w:spacing w:val="-28"/>
          <w:sz w:val="24"/>
          <w:szCs w:val="24"/>
          <w:highlight w:val="none"/>
        </w:rPr>
        <w:t>）</w:t>
      </w:r>
      <w:r>
        <w:rPr>
          <w:rFonts w:hint="eastAsia" w:ascii="宋体" w:hAnsi="宋体" w:eastAsia="宋体" w:cs="宋体"/>
          <w:b w:val="0"/>
          <w:bCs/>
          <w:color w:val="auto"/>
          <w:spacing w:val="-2"/>
          <w:sz w:val="24"/>
          <w:szCs w:val="24"/>
          <w:highlight w:val="none"/>
        </w:rPr>
        <w:t>乙方必须提供本次所供应食材的相关票证</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pacing w:val="-5"/>
          <w:sz w:val="24"/>
          <w:szCs w:val="24"/>
          <w:highlight w:val="none"/>
        </w:rPr>
        <w:t>包括但不限于发票、收据等购货凭证以及产</w:t>
      </w:r>
      <w:r>
        <w:rPr>
          <w:rFonts w:hint="eastAsia" w:ascii="宋体" w:hAnsi="宋体" w:eastAsia="宋体" w:cs="宋体"/>
          <w:b w:val="0"/>
          <w:bCs/>
          <w:color w:val="auto"/>
          <w:sz w:val="24"/>
          <w:szCs w:val="24"/>
          <w:highlight w:val="none"/>
        </w:rPr>
        <w:t>品合格证明文件等</w:t>
      </w:r>
      <w:r>
        <w:rPr>
          <w:rFonts w:hint="eastAsia" w:ascii="宋体" w:hAnsi="宋体" w:cs="宋体"/>
          <w:b w:val="0"/>
          <w:bCs/>
          <w:color w:val="auto"/>
          <w:spacing w:val="-105"/>
          <w:sz w:val="24"/>
          <w:szCs w:val="24"/>
          <w:highlight w:val="none"/>
          <w:lang w:eastAsia="zh-CN"/>
        </w:rPr>
        <w:t>）</w:t>
      </w:r>
    </w:p>
    <w:p>
      <w:pPr>
        <w:pStyle w:val="18"/>
        <w:keepNext w:val="0"/>
        <w:keepLines w:val="0"/>
        <w:pageBreakBefore w:val="0"/>
        <w:widowControl w:val="0"/>
        <w:tabs>
          <w:tab w:val="left" w:pos="3775"/>
        </w:tabs>
        <w:kinsoku/>
        <w:wordWrap/>
        <w:overflowPunct/>
        <w:topLinePunct w:val="0"/>
        <w:autoSpaceDE/>
        <w:autoSpaceDN/>
        <w:bidi w:val="0"/>
        <w:adjustRightInd/>
        <w:snapToGrid/>
        <w:spacing w:line="440" w:lineRule="exact"/>
        <w:ind w:left="731" w:right="747" w:firstLine="31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（四</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z w:val="24"/>
          <w:szCs w:val="24"/>
          <w:highlight w:val="none"/>
        </w:rPr>
        <w:t>甲方有权随时对乙方供应的食材进行抽查</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z w:val="24"/>
          <w:szCs w:val="24"/>
          <w:highlight w:val="none"/>
        </w:rPr>
        <w:t>抽检</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z w:val="24"/>
          <w:szCs w:val="24"/>
          <w:highlight w:val="none"/>
        </w:rPr>
        <w:t>发现食材不符合标准的</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z w:val="24"/>
          <w:szCs w:val="24"/>
          <w:highlight w:val="none"/>
        </w:rPr>
        <w:t>甲方有权</w:t>
      </w:r>
      <w:r>
        <w:rPr>
          <w:rFonts w:hint="eastAsia" w:ascii="宋体" w:hAnsi="宋体" w:eastAsia="宋体" w:cs="宋体"/>
          <w:b w:val="0"/>
          <w:bCs/>
          <w:color w:val="auto"/>
          <w:spacing w:val="-15"/>
          <w:sz w:val="24"/>
          <w:szCs w:val="24"/>
          <w:highlight w:val="none"/>
        </w:rPr>
        <w:t>退</w:t>
      </w:r>
      <w:r>
        <w:rPr>
          <w:rFonts w:hint="eastAsia" w:ascii="宋体" w:hAnsi="宋体" w:eastAsia="宋体" w:cs="宋体"/>
          <w:b w:val="0"/>
          <w:bCs/>
          <w:color w:val="auto"/>
          <w:sz w:val="24"/>
          <w:szCs w:val="24"/>
          <w:highlight w:val="none"/>
        </w:rPr>
        <w:t>回且不支付对应款项，发现</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次以上的，甲方有权解除合同。</w:t>
      </w:r>
    </w:p>
    <w:p>
      <w:pPr>
        <w:pStyle w:val="18"/>
        <w:keepNext w:val="0"/>
        <w:keepLines w:val="0"/>
        <w:pageBreakBefore w:val="0"/>
        <w:widowControl w:val="0"/>
        <w:kinsoku/>
        <w:wordWrap/>
        <w:overflowPunct/>
        <w:topLinePunct w:val="0"/>
        <w:autoSpaceDE/>
        <w:autoSpaceDN/>
        <w:bidi w:val="0"/>
        <w:adjustRightInd/>
        <w:snapToGrid/>
        <w:spacing w:line="440" w:lineRule="exact"/>
        <w:ind w:left="731" w:right="671" w:firstLine="315"/>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五、食材质量要求</w:t>
      </w:r>
    </w:p>
    <w:p>
      <w:pPr>
        <w:pStyle w:val="18"/>
        <w:keepNext w:val="0"/>
        <w:keepLines w:val="0"/>
        <w:pageBreakBefore w:val="0"/>
        <w:widowControl w:val="0"/>
        <w:kinsoku/>
        <w:wordWrap/>
        <w:overflowPunct/>
        <w:topLinePunct w:val="0"/>
        <w:autoSpaceDE/>
        <w:autoSpaceDN/>
        <w:bidi w:val="0"/>
        <w:adjustRightInd/>
        <w:snapToGrid/>
        <w:spacing w:line="440" w:lineRule="exact"/>
        <w:ind w:left="731" w:right="671" w:firstLine="31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食材提供者应当依照食品安全标准从事生产经营活动，落实食品安全主体责任，诚信自律，</w:t>
      </w:r>
      <w:r>
        <w:rPr>
          <w:rFonts w:hint="eastAsia" w:ascii="宋体" w:hAnsi="宋体" w:eastAsia="宋体" w:cs="宋体"/>
          <w:b w:val="0"/>
          <w:bCs/>
          <w:color w:val="auto"/>
          <w:sz w:val="24"/>
          <w:szCs w:val="24"/>
          <w:highlight w:val="none"/>
          <w:lang w:val="en-US" w:eastAsia="zh-CN"/>
        </w:rPr>
        <w:t>食</w:t>
      </w:r>
      <w:r>
        <w:rPr>
          <w:rFonts w:hint="eastAsia" w:ascii="宋体" w:hAnsi="宋体" w:eastAsia="宋体" w:cs="宋体"/>
          <w:b w:val="0"/>
          <w:bCs/>
          <w:color w:val="auto"/>
          <w:sz w:val="24"/>
          <w:szCs w:val="24"/>
          <w:highlight w:val="none"/>
        </w:rPr>
        <w:t>品安全，对社会和公众负责，接受社会监督。</w:t>
      </w:r>
    </w:p>
    <w:p>
      <w:pPr>
        <w:pStyle w:val="18"/>
        <w:keepNext w:val="0"/>
        <w:keepLines w:val="0"/>
        <w:pageBreakBefore w:val="0"/>
        <w:widowControl w:val="0"/>
        <w:kinsoku/>
        <w:wordWrap/>
        <w:overflowPunct/>
        <w:topLinePunct w:val="0"/>
        <w:autoSpaceDE/>
        <w:autoSpaceDN/>
        <w:bidi w:val="0"/>
        <w:adjustRightInd/>
        <w:snapToGrid/>
        <w:spacing w:line="440" w:lineRule="exact"/>
        <w:ind w:left="731" w:right="671" w:firstLine="31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（一）食材安全标准：乙方提供的食材必须符合国家食品</w:t>
      </w:r>
      <w:r>
        <w:rPr>
          <w:rFonts w:hint="eastAsia" w:ascii="宋体" w:hAnsi="宋体" w:eastAsia="宋体" w:cs="宋体"/>
          <w:b w:val="0"/>
          <w:bCs/>
          <w:color w:val="auto"/>
          <w:spacing w:val="-1"/>
          <w:sz w:val="24"/>
          <w:szCs w:val="24"/>
          <w:highlight w:val="none"/>
        </w:rPr>
        <w:t>安全标准，乙方须提供所供食材的合格证明、检验检疫合格等文件；没有国家标准的，按省、市相关职能部门或检验部门规定执行，且必须符合行业标准；既没有国家标准和行业标准的应确保食材的新鲜、健康、无杂质、无国家明令禁止的添加剂、色泽味道正常，不得提供临近保质期的食材。不得提供无生产日期、无质量</w:t>
      </w:r>
      <w:r>
        <w:rPr>
          <w:rFonts w:hint="eastAsia" w:ascii="宋体" w:hAnsi="宋体" w:eastAsia="宋体" w:cs="宋体"/>
          <w:b w:val="0"/>
          <w:bCs/>
          <w:color w:val="auto"/>
          <w:sz w:val="24"/>
          <w:szCs w:val="24"/>
          <w:highlight w:val="none"/>
        </w:rPr>
        <w:t>合格证/</w:t>
      </w:r>
      <w:r>
        <w:rPr>
          <w:rFonts w:hint="eastAsia" w:ascii="宋体" w:hAnsi="宋体" w:eastAsia="宋体" w:cs="宋体"/>
          <w:b w:val="0"/>
          <w:bCs/>
          <w:color w:val="auto"/>
          <w:spacing w:val="-7"/>
          <w:sz w:val="24"/>
          <w:szCs w:val="24"/>
          <w:highlight w:val="none"/>
        </w:rPr>
        <w:t>检验报告、无生产厂家的“三无产品”。</w:t>
      </w:r>
    </w:p>
    <w:p>
      <w:pPr>
        <w:pStyle w:val="18"/>
        <w:keepNext w:val="0"/>
        <w:keepLines w:val="0"/>
        <w:pageBreakBefore w:val="0"/>
        <w:widowControl w:val="0"/>
        <w:kinsoku/>
        <w:wordWrap/>
        <w:overflowPunct/>
        <w:topLinePunct w:val="0"/>
        <w:autoSpaceDE/>
        <w:autoSpaceDN/>
        <w:bidi w:val="0"/>
        <w:adjustRightInd/>
        <w:snapToGrid/>
        <w:spacing w:before="3" w:line="440" w:lineRule="exact"/>
        <w:ind w:left="731" w:right="744" w:firstLine="315"/>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w:t>
      </w:r>
      <w:r>
        <w:rPr>
          <w:rFonts w:hint="eastAsia" w:ascii="宋体" w:hAnsi="宋体" w:eastAsia="宋体" w:cs="宋体"/>
          <w:b w:val="0"/>
          <w:bCs/>
          <w:color w:val="auto"/>
          <w:spacing w:val="8"/>
          <w:sz w:val="24"/>
          <w:szCs w:val="24"/>
          <w:highlight w:val="none"/>
        </w:rPr>
        <w:t>食材质量凭证：乙方向甲方提供所需食材同时需随货附带加盖相应产品生产厂家资</w:t>
      </w:r>
      <w:r>
        <w:rPr>
          <w:rFonts w:hint="eastAsia" w:ascii="宋体" w:hAnsi="宋体" w:eastAsia="宋体" w:cs="宋体"/>
          <w:b w:val="0"/>
          <w:bCs/>
          <w:color w:val="auto"/>
          <w:spacing w:val="-18"/>
          <w:sz w:val="24"/>
          <w:szCs w:val="24"/>
          <w:highlight w:val="none"/>
        </w:rPr>
        <w:t>质</w:t>
      </w:r>
      <w:r>
        <w:rPr>
          <w:rFonts w:hint="eastAsia" w:ascii="宋体" w:hAnsi="宋体" w:eastAsia="宋体" w:cs="宋体"/>
          <w:b w:val="0"/>
          <w:bCs/>
          <w:color w:val="auto"/>
          <w:spacing w:val="7"/>
          <w:sz w:val="24"/>
          <w:szCs w:val="24"/>
          <w:highlight w:val="none"/>
        </w:rPr>
        <w:t>（</w:t>
      </w:r>
      <w:r>
        <w:rPr>
          <w:rFonts w:hint="eastAsia" w:ascii="宋体" w:hAnsi="宋体" w:eastAsia="宋体" w:cs="宋体"/>
          <w:b w:val="0"/>
          <w:bCs/>
          <w:color w:val="auto"/>
          <w:sz w:val="24"/>
          <w:szCs w:val="24"/>
          <w:highlight w:val="none"/>
        </w:rPr>
        <w:t>若乙方为经销商则应提供厂家资质及经销商资质</w:t>
      </w:r>
      <w:r>
        <w:rPr>
          <w:rFonts w:hint="eastAsia" w:ascii="宋体" w:hAnsi="宋体" w:eastAsia="宋体" w:cs="宋体"/>
          <w:b w:val="0"/>
          <w:bCs/>
          <w:color w:val="auto"/>
          <w:spacing w:val="-105"/>
          <w:sz w:val="24"/>
          <w:szCs w:val="24"/>
          <w:highlight w:val="none"/>
        </w:rPr>
        <w:t>）</w:t>
      </w:r>
      <w:r>
        <w:rPr>
          <w:rFonts w:hint="eastAsia" w:ascii="宋体" w:hAnsi="宋体" w:eastAsia="宋体" w:cs="宋体"/>
          <w:b w:val="0"/>
          <w:bCs/>
          <w:color w:val="auto"/>
          <w:spacing w:val="-11"/>
          <w:sz w:val="24"/>
          <w:szCs w:val="24"/>
          <w:highlight w:val="none"/>
        </w:rPr>
        <w:t>、产品合格证、质量承诺保证书、及检验检</w:t>
      </w:r>
      <w:r>
        <w:rPr>
          <w:rFonts w:hint="eastAsia" w:ascii="宋体" w:hAnsi="宋体" w:eastAsia="宋体" w:cs="宋体"/>
          <w:b w:val="0"/>
          <w:bCs/>
          <w:color w:val="auto"/>
          <w:sz w:val="24"/>
          <w:szCs w:val="24"/>
          <w:highlight w:val="none"/>
        </w:rPr>
        <w:t>疫报告、进货台账记录及其他甲方要求提供的证明文件。</w:t>
      </w:r>
    </w:p>
    <w:p>
      <w:pPr>
        <w:pStyle w:val="18"/>
        <w:keepNext w:val="0"/>
        <w:keepLines w:val="0"/>
        <w:pageBreakBefore w:val="0"/>
        <w:widowControl w:val="0"/>
        <w:kinsoku/>
        <w:wordWrap/>
        <w:overflowPunct/>
        <w:topLinePunct w:val="0"/>
        <w:autoSpaceDE/>
        <w:autoSpaceDN/>
        <w:bidi w:val="0"/>
        <w:adjustRightInd/>
        <w:snapToGrid/>
        <w:spacing w:before="2" w:line="440" w:lineRule="exact"/>
        <w:ind w:right="4029"/>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（三）食材外包装应符合食品标签标注规定。</w:t>
      </w:r>
    </w:p>
    <w:p>
      <w:pPr>
        <w:pStyle w:val="18"/>
        <w:keepNext w:val="0"/>
        <w:keepLines w:val="0"/>
        <w:pageBreakBefore w:val="0"/>
        <w:widowControl w:val="0"/>
        <w:kinsoku/>
        <w:wordWrap/>
        <w:overflowPunct/>
        <w:topLinePunct w:val="0"/>
        <w:autoSpaceDE/>
        <w:autoSpaceDN/>
        <w:bidi w:val="0"/>
        <w:adjustRightInd/>
        <w:snapToGrid/>
        <w:spacing w:line="440" w:lineRule="exact"/>
        <w:ind w:left="1151"/>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六、</w:t>
      </w:r>
      <w:r>
        <w:rPr>
          <w:rFonts w:hint="eastAsia" w:ascii="宋体" w:hAnsi="宋体" w:eastAsia="宋体" w:cs="宋体"/>
          <w:b/>
          <w:bCs w:val="0"/>
          <w:color w:val="auto"/>
          <w:sz w:val="24"/>
          <w:szCs w:val="24"/>
          <w:highlight w:val="none"/>
          <w:lang w:eastAsia="zh-CN"/>
        </w:rPr>
        <w:t>供货地点</w:t>
      </w:r>
      <w:r>
        <w:rPr>
          <w:rFonts w:hint="eastAsia" w:ascii="宋体" w:hAnsi="宋体" w:eastAsia="宋体" w:cs="宋体"/>
          <w:b/>
          <w:bCs w:val="0"/>
          <w:color w:val="auto"/>
          <w:sz w:val="24"/>
          <w:szCs w:val="24"/>
          <w:highlight w:val="none"/>
        </w:rPr>
        <w:t>、时间、数量及验收</w:t>
      </w:r>
    </w:p>
    <w:p>
      <w:pPr>
        <w:pStyle w:val="18"/>
        <w:keepNext w:val="0"/>
        <w:keepLines w:val="0"/>
        <w:pageBreakBefore w:val="0"/>
        <w:widowControl w:val="0"/>
        <w:tabs>
          <w:tab w:val="left" w:pos="3987"/>
        </w:tabs>
        <w:kinsoku/>
        <w:wordWrap/>
        <w:overflowPunct/>
        <w:topLinePunct w:val="0"/>
        <w:autoSpaceDE/>
        <w:autoSpaceDN/>
        <w:bidi w:val="0"/>
        <w:adjustRightInd/>
        <w:snapToGrid/>
        <w:spacing w:line="440" w:lineRule="exact"/>
        <w:ind w:right="4031"/>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w:t>
      </w:r>
      <w:r>
        <w:rPr>
          <w:rFonts w:hint="eastAsia" w:ascii="宋体" w:hAnsi="宋体" w:eastAsia="宋体" w:cs="宋体"/>
          <w:b w:val="0"/>
          <w:bCs/>
          <w:color w:val="auto"/>
          <w:sz w:val="24"/>
          <w:szCs w:val="24"/>
          <w:highlight w:val="none"/>
          <w:lang w:eastAsia="zh-CN"/>
        </w:rPr>
        <w:t>供货地点</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w:t>
      </w:r>
    </w:p>
    <w:p>
      <w:pPr>
        <w:pStyle w:val="18"/>
        <w:keepNext w:val="0"/>
        <w:keepLines w:val="0"/>
        <w:pageBreakBefore w:val="0"/>
        <w:widowControl w:val="0"/>
        <w:tabs>
          <w:tab w:val="left" w:pos="420"/>
        </w:tabs>
        <w:kinsoku/>
        <w:wordWrap/>
        <w:overflowPunct/>
        <w:topLinePunct w:val="0"/>
        <w:autoSpaceDE/>
        <w:autoSpaceDN/>
        <w:bidi w:val="0"/>
        <w:adjustRightInd/>
        <w:snapToGrid/>
        <w:spacing w:before="78" w:line="440" w:lineRule="exact"/>
        <w:ind w:left="426" w:leftChars="0" w:firstLine="577" w:firstLineChars="258"/>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w:t>
      </w:r>
      <w:r>
        <w:rPr>
          <w:rFonts w:hint="eastAsia" w:ascii="宋体" w:hAnsi="宋体" w:eastAsia="宋体" w:cs="宋体"/>
          <w:b w:val="0"/>
          <w:bCs/>
          <w:color w:val="auto"/>
          <w:spacing w:val="-17"/>
          <w:sz w:val="24"/>
          <w:szCs w:val="24"/>
          <w:highlight w:val="none"/>
        </w:rPr>
        <w:t>）</w:t>
      </w:r>
      <w:r>
        <w:rPr>
          <w:rFonts w:hint="eastAsia" w:ascii="宋体" w:hAnsi="宋体" w:eastAsia="宋体" w:cs="宋体"/>
          <w:b w:val="0"/>
          <w:bCs/>
          <w:color w:val="auto"/>
          <w:sz w:val="24"/>
          <w:szCs w:val="24"/>
          <w:highlight w:val="none"/>
        </w:rPr>
        <w:t>交货日</w:t>
      </w:r>
      <w:r>
        <w:rPr>
          <w:rFonts w:hint="eastAsia" w:ascii="宋体" w:hAnsi="宋体" w:eastAsia="宋体" w:cs="宋体"/>
          <w:b w:val="0"/>
          <w:bCs/>
          <w:color w:val="auto"/>
          <w:spacing w:val="-16"/>
          <w:sz w:val="24"/>
          <w:szCs w:val="24"/>
          <w:highlight w:val="none"/>
        </w:rPr>
        <w:t>期</w:t>
      </w:r>
      <w:r>
        <w:rPr>
          <w:rFonts w:hint="eastAsia" w:ascii="宋体" w:hAnsi="宋体" w:eastAsia="宋体" w:cs="宋体"/>
          <w:b w:val="0"/>
          <w:bCs/>
          <w:color w:val="auto"/>
          <w:sz w:val="24"/>
          <w:szCs w:val="24"/>
          <w:highlight w:val="none"/>
        </w:rPr>
        <w:t>（周期</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ab/>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pacing w:val="-17"/>
          <w:sz w:val="24"/>
          <w:szCs w:val="24"/>
          <w:highlight w:val="none"/>
        </w:rPr>
        <w:t>。</w:t>
      </w:r>
      <w:r>
        <w:rPr>
          <w:rFonts w:hint="eastAsia" w:ascii="宋体" w:hAnsi="宋体" w:eastAsia="宋体" w:cs="宋体"/>
          <w:b w:val="0"/>
          <w:bCs/>
          <w:color w:val="auto"/>
          <w:sz w:val="24"/>
          <w:szCs w:val="24"/>
          <w:highlight w:val="none"/>
        </w:rPr>
        <w:t>如遇特殊情形或其它原因</w:t>
      </w:r>
      <w:r>
        <w:rPr>
          <w:rFonts w:hint="eastAsia" w:ascii="宋体" w:hAnsi="宋体" w:eastAsia="宋体" w:cs="宋体"/>
          <w:b w:val="0"/>
          <w:bCs/>
          <w:color w:val="auto"/>
          <w:spacing w:val="-17"/>
          <w:sz w:val="24"/>
          <w:szCs w:val="24"/>
          <w:highlight w:val="none"/>
        </w:rPr>
        <w:t>，</w:t>
      </w:r>
      <w:r>
        <w:rPr>
          <w:rFonts w:hint="eastAsia" w:ascii="宋体" w:hAnsi="宋体" w:eastAsia="宋体" w:cs="宋体"/>
          <w:b w:val="0"/>
          <w:bCs/>
          <w:color w:val="auto"/>
          <w:sz w:val="24"/>
          <w:szCs w:val="24"/>
          <w:highlight w:val="none"/>
        </w:rPr>
        <w:t>乙方按照本合同约定</w:t>
      </w:r>
      <w:r>
        <w:rPr>
          <w:rFonts w:hint="eastAsia" w:ascii="宋体" w:hAnsi="宋体" w:eastAsia="宋体" w:cs="宋体"/>
          <w:b w:val="0"/>
          <w:bCs/>
          <w:color w:val="auto"/>
          <w:spacing w:val="-8"/>
          <w:sz w:val="24"/>
          <w:szCs w:val="24"/>
          <w:highlight w:val="none"/>
        </w:rPr>
        <w:t>时</w:t>
      </w:r>
    </w:p>
    <w:p>
      <w:pPr>
        <w:pStyle w:val="18"/>
        <w:keepNext w:val="0"/>
        <w:keepLines w:val="0"/>
        <w:pageBreakBefore w:val="0"/>
        <w:widowControl w:val="0"/>
        <w:kinsoku/>
        <w:wordWrap/>
        <w:overflowPunct/>
        <w:topLinePunct w:val="0"/>
        <w:autoSpaceDE/>
        <w:autoSpaceDN/>
        <w:bidi w:val="0"/>
        <w:adjustRightInd/>
        <w:snapToGrid/>
        <w:spacing w:before="77" w:line="440" w:lineRule="exact"/>
        <w:ind w:left="718" w:leftChars="342" w:right="747" w:firstLine="44" w:firstLineChars="2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8"/>
          <w:sz w:val="24"/>
          <w:szCs w:val="24"/>
          <w:highlight w:val="none"/>
        </w:rPr>
        <w:t xml:space="preserve">间供货确有困难的，乙方应至少在供货时点前 </w:t>
      </w:r>
      <w:r>
        <w:rPr>
          <w:rFonts w:hint="eastAsia" w:ascii="宋体" w:hAnsi="宋体" w:eastAsia="宋体" w:cs="宋体"/>
          <w:b w:val="0"/>
          <w:bCs/>
          <w:color w:val="auto"/>
          <w:sz w:val="24"/>
          <w:szCs w:val="24"/>
          <w:highlight w:val="none"/>
        </w:rPr>
        <w:t xml:space="preserve">72 </w:t>
      </w:r>
      <w:r>
        <w:rPr>
          <w:rFonts w:hint="eastAsia" w:ascii="宋体" w:hAnsi="宋体" w:eastAsia="宋体" w:cs="宋体"/>
          <w:b w:val="0"/>
          <w:bCs/>
          <w:color w:val="auto"/>
          <w:spacing w:val="-4"/>
          <w:sz w:val="24"/>
          <w:szCs w:val="24"/>
          <w:highlight w:val="none"/>
        </w:rPr>
        <w:t>小时书面告知甲方并获得甲方同意，若乙方未</w:t>
      </w:r>
      <w:r>
        <w:rPr>
          <w:rFonts w:hint="eastAsia" w:ascii="宋体" w:hAnsi="宋体" w:eastAsia="宋体" w:cs="宋体"/>
          <w:b w:val="0"/>
          <w:bCs/>
          <w:color w:val="auto"/>
          <w:spacing w:val="-1"/>
          <w:sz w:val="24"/>
          <w:szCs w:val="24"/>
          <w:highlight w:val="none"/>
        </w:rPr>
        <w:t>按照前述时间告知甲方或虽然已经按照前述时间告知甲方但仍给甲方造成额外支出或损失的，乙</w:t>
      </w:r>
      <w:r>
        <w:rPr>
          <w:rFonts w:hint="eastAsia" w:ascii="宋体" w:hAnsi="宋体" w:eastAsia="宋体" w:cs="宋体"/>
          <w:b w:val="0"/>
          <w:bCs/>
          <w:color w:val="auto"/>
          <w:sz w:val="24"/>
          <w:szCs w:val="24"/>
          <w:highlight w:val="none"/>
        </w:rPr>
        <w:t>方应赔偿甲方因此遭受的全部损失。</w:t>
      </w:r>
    </w:p>
    <w:p>
      <w:pPr>
        <w:pStyle w:val="18"/>
        <w:keepNext w:val="0"/>
        <w:keepLines w:val="0"/>
        <w:pageBreakBefore w:val="0"/>
        <w:widowControl w:val="0"/>
        <w:kinsoku/>
        <w:wordWrap/>
        <w:overflowPunct/>
        <w:topLinePunct w:val="0"/>
        <w:autoSpaceDE/>
        <w:autoSpaceDN/>
        <w:bidi w:val="0"/>
        <w:adjustRightInd/>
        <w:snapToGrid/>
        <w:spacing w:before="2" w:line="440" w:lineRule="exact"/>
        <w:ind w:left="731" w:right="748" w:firstLine="315"/>
        <w:jc w:val="both"/>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（三</w:t>
      </w:r>
      <w:r>
        <w:rPr>
          <w:rFonts w:hint="eastAsia" w:ascii="宋体" w:hAnsi="宋体" w:eastAsia="宋体" w:cs="宋体"/>
          <w:b w:val="0"/>
          <w:bCs/>
          <w:color w:val="auto"/>
          <w:spacing w:val="-27"/>
          <w:sz w:val="24"/>
          <w:szCs w:val="24"/>
          <w:highlight w:val="none"/>
        </w:rPr>
        <w:t>）</w:t>
      </w:r>
      <w:r>
        <w:rPr>
          <w:rFonts w:hint="eastAsia" w:ascii="宋体" w:hAnsi="宋体" w:eastAsia="宋体" w:cs="宋体"/>
          <w:b w:val="0"/>
          <w:bCs/>
          <w:color w:val="auto"/>
          <w:spacing w:val="-7"/>
          <w:sz w:val="24"/>
          <w:szCs w:val="24"/>
          <w:highlight w:val="none"/>
        </w:rPr>
        <w:t>数量：以甲乙双方委托代理人签字并加盖公章确认后的配送验收单为准</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pacing w:val="-3"/>
          <w:sz w:val="24"/>
          <w:szCs w:val="24"/>
          <w:highlight w:val="none"/>
        </w:rPr>
        <w:t>甲方委托代理</w:t>
      </w:r>
      <w:r>
        <w:rPr>
          <w:rFonts w:hint="eastAsia" w:ascii="宋体" w:hAnsi="宋体" w:eastAsia="宋体" w:cs="宋体"/>
          <w:b w:val="0"/>
          <w:bCs/>
          <w:color w:val="auto"/>
          <w:spacing w:val="-11"/>
          <w:sz w:val="24"/>
          <w:szCs w:val="24"/>
          <w:highlight w:val="none"/>
        </w:rPr>
        <w:t>人：</w:t>
      </w:r>
      <w:r>
        <w:rPr>
          <w:rFonts w:hint="eastAsia" w:ascii="宋体" w:hAnsi="宋体" w:eastAsia="宋体" w:cs="宋体"/>
          <w:b w:val="0"/>
          <w:bCs/>
          <w:color w:val="auto"/>
          <w:spacing w:val="-11"/>
          <w:sz w:val="24"/>
          <w:szCs w:val="24"/>
          <w:highlight w:val="none"/>
          <w:u w:val="single"/>
        </w:rPr>
        <w:t xml:space="preserve"> </w:t>
      </w:r>
      <w:r>
        <w:rPr>
          <w:rFonts w:hint="eastAsia" w:ascii="宋体" w:hAnsi="宋体" w:eastAsia="宋体" w:cs="宋体"/>
          <w:b w:val="0"/>
          <w:bCs/>
          <w:color w:val="auto"/>
          <w:spacing w:val="-11"/>
          <w:sz w:val="24"/>
          <w:szCs w:val="24"/>
          <w:highlight w:val="none"/>
          <w:u w:val="single"/>
          <w:lang w:val="en-US" w:eastAsia="zh-CN"/>
        </w:rPr>
        <w:t xml:space="preserve">         </w:t>
      </w:r>
      <w:r>
        <w:rPr>
          <w:rFonts w:hint="eastAsia" w:ascii="宋体" w:hAnsi="宋体" w:eastAsia="宋体" w:cs="宋体"/>
          <w:b w:val="0"/>
          <w:bCs/>
          <w:color w:val="auto"/>
          <w:spacing w:val="-8"/>
          <w:sz w:val="24"/>
          <w:szCs w:val="24"/>
          <w:highlight w:val="none"/>
        </w:rPr>
        <w:t>，联系电话：</w:t>
      </w:r>
      <w:r>
        <w:rPr>
          <w:rFonts w:hint="eastAsia" w:ascii="宋体" w:hAnsi="宋体" w:eastAsia="宋体" w:cs="宋体"/>
          <w:b w:val="0"/>
          <w:bCs/>
          <w:color w:val="auto"/>
          <w:spacing w:val="-8"/>
          <w:sz w:val="24"/>
          <w:szCs w:val="24"/>
          <w:highlight w:val="none"/>
          <w:u w:val="single"/>
        </w:rPr>
        <w:t xml:space="preserve"> </w:t>
      </w:r>
      <w:r>
        <w:rPr>
          <w:rFonts w:hint="eastAsia" w:ascii="宋体" w:hAnsi="宋体" w:eastAsia="宋体" w:cs="宋体"/>
          <w:b w:val="0"/>
          <w:bCs/>
          <w:color w:val="auto"/>
          <w:spacing w:val="-8"/>
          <w:sz w:val="24"/>
          <w:szCs w:val="24"/>
          <w:highlight w:val="none"/>
          <w:u w:val="single"/>
          <w:lang w:val="en-US" w:eastAsia="zh-CN"/>
        </w:rPr>
        <w:t xml:space="preserve">        </w:t>
      </w:r>
      <w:r>
        <w:rPr>
          <w:rFonts w:hint="eastAsia" w:ascii="宋体" w:hAnsi="宋体" w:eastAsia="宋体" w:cs="宋体"/>
          <w:b w:val="0"/>
          <w:bCs/>
          <w:color w:val="auto"/>
          <w:spacing w:val="-8"/>
          <w:sz w:val="24"/>
          <w:szCs w:val="24"/>
          <w:highlight w:val="none"/>
        </w:rPr>
        <w:t>，签字样式：</w:t>
      </w:r>
      <w:r>
        <w:rPr>
          <w:rFonts w:hint="eastAsia" w:ascii="宋体" w:hAnsi="宋体" w:eastAsia="宋体" w:cs="宋体"/>
          <w:b w:val="0"/>
          <w:bCs/>
          <w:color w:val="auto"/>
          <w:spacing w:val="-8"/>
          <w:sz w:val="24"/>
          <w:szCs w:val="24"/>
          <w:highlight w:val="none"/>
          <w:u w:val="single"/>
        </w:rPr>
        <w:t xml:space="preserve"> </w:t>
      </w:r>
      <w:r>
        <w:rPr>
          <w:rFonts w:hint="eastAsia" w:ascii="宋体" w:hAnsi="宋体" w:eastAsia="宋体" w:cs="宋体"/>
          <w:b w:val="0"/>
          <w:bCs/>
          <w:color w:val="auto"/>
          <w:spacing w:val="-8"/>
          <w:sz w:val="24"/>
          <w:szCs w:val="24"/>
          <w:highlight w:val="none"/>
          <w:u w:val="single"/>
          <w:lang w:val="en-US" w:eastAsia="zh-CN"/>
        </w:rPr>
        <w:t xml:space="preserve">         </w:t>
      </w:r>
      <w:r>
        <w:rPr>
          <w:rFonts w:hint="eastAsia" w:ascii="宋体" w:hAnsi="宋体" w:eastAsia="宋体" w:cs="宋体"/>
          <w:b w:val="0"/>
          <w:bCs/>
          <w:color w:val="auto"/>
          <w:spacing w:val="-7"/>
          <w:sz w:val="24"/>
          <w:szCs w:val="24"/>
          <w:highlight w:val="none"/>
        </w:rPr>
        <w:t>；乙方委托代理人：</w:t>
      </w:r>
      <w:r>
        <w:rPr>
          <w:rFonts w:hint="eastAsia" w:ascii="宋体" w:hAnsi="宋体" w:eastAsia="宋体" w:cs="宋体"/>
          <w:b w:val="0"/>
          <w:bCs/>
          <w:color w:val="auto"/>
          <w:spacing w:val="-7"/>
          <w:sz w:val="24"/>
          <w:szCs w:val="24"/>
          <w:highlight w:val="none"/>
          <w:u w:val="single"/>
          <w:lang w:val="en-US" w:eastAsia="zh-CN"/>
        </w:rPr>
        <w:t xml:space="preserve">      </w:t>
      </w:r>
      <w:r>
        <w:rPr>
          <w:rFonts w:hint="eastAsia" w:ascii="宋体" w:hAnsi="宋体" w:eastAsia="宋体" w:cs="宋体"/>
          <w:b w:val="0"/>
          <w:bCs/>
          <w:color w:val="auto"/>
          <w:spacing w:val="-4"/>
          <w:sz w:val="24"/>
          <w:szCs w:val="24"/>
          <w:highlight w:val="none"/>
          <w:u w:val="single"/>
        </w:rPr>
        <w:t xml:space="preserve"> </w:t>
      </w:r>
      <w:r>
        <w:rPr>
          <w:rFonts w:hint="eastAsia" w:ascii="宋体" w:hAnsi="宋体" w:eastAsia="宋体" w:cs="宋体"/>
          <w:b w:val="0"/>
          <w:bCs/>
          <w:color w:val="auto"/>
          <w:spacing w:val="-4"/>
          <w:sz w:val="24"/>
          <w:szCs w:val="24"/>
          <w:highlight w:val="none"/>
        </w:rPr>
        <w:t>；联系电话：</w:t>
      </w:r>
      <w:r>
        <w:rPr>
          <w:rFonts w:hint="eastAsia" w:ascii="宋体" w:hAnsi="宋体" w:eastAsia="宋体" w:cs="宋体"/>
          <w:b w:val="0"/>
          <w:bCs/>
          <w:color w:val="auto"/>
          <w:spacing w:val="-4"/>
          <w:sz w:val="24"/>
          <w:szCs w:val="24"/>
          <w:highlight w:val="none"/>
          <w:u w:val="single"/>
        </w:rPr>
        <w:t xml:space="preserve"> </w:t>
      </w:r>
      <w:r>
        <w:rPr>
          <w:rFonts w:hint="eastAsia" w:ascii="宋体" w:hAnsi="宋体" w:eastAsia="宋体" w:cs="宋体"/>
          <w:b w:val="0"/>
          <w:bCs/>
          <w:color w:val="auto"/>
          <w:spacing w:val="-4"/>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，签字样式：</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pacing w:val="-105"/>
          <w:sz w:val="24"/>
          <w:szCs w:val="24"/>
          <w:highlight w:val="none"/>
        </w:rPr>
        <w:t>）</w:t>
      </w:r>
      <w:r>
        <w:rPr>
          <w:rFonts w:hint="eastAsia" w:ascii="宋体" w:hAnsi="宋体" w:cs="宋体"/>
          <w:b w:val="0"/>
          <w:bCs/>
          <w:color w:val="auto"/>
          <w:sz w:val="24"/>
          <w:szCs w:val="24"/>
          <w:highlight w:val="none"/>
          <w:lang w:eastAsia="zh-CN"/>
        </w:rPr>
        <w:t>。</w:t>
      </w:r>
    </w:p>
    <w:p>
      <w:pPr>
        <w:pStyle w:val="18"/>
        <w:keepNext w:val="0"/>
        <w:keepLines w:val="0"/>
        <w:pageBreakBefore w:val="0"/>
        <w:widowControl w:val="0"/>
        <w:kinsoku/>
        <w:wordWrap/>
        <w:overflowPunct/>
        <w:topLinePunct w:val="0"/>
        <w:autoSpaceDE/>
        <w:autoSpaceDN/>
        <w:bidi w:val="0"/>
        <w:adjustRightInd/>
        <w:snapToGrid/>
        <w:spacing w:before="77" w:line="440" w:lineRule="exact"/>
        <w:ind w:left="718" w:leftChars="342" w:right="747" w:firstLine="285" w:firstLineChars="120"/>
        <w:jc w:val="both"/>
        <w:textAlignment w:val="auto"/>
        <w:rPr>
          <w:rFonts w:hint="eastAsia" w:ascii="宋体" w:hAnsi="宋体" w:eastAsia="宋体" w:cs="宋体"/>
          <w:b w:val="0"/>
          <w:bCs/>
          <w:color w:val="auto"/>
          <w:spacing w:val="-1"/>
          <w:sz w:val="24"/>
          <w:szCs w:val="24"/>
          <w:highlight w:val="none"/>
        </w:rPr>
      </w:pPr>
      <w:r>
        <w:rPr>
          <w:rFonts w:hint="eastAsia" w:ascii="宋体" w:hAnsi="宋体" w:eastAsia="宋体" w:cs="宋体"/>
          <w:b w:val="0"/>
          <w:bCs/>
          <w:color w:val="auto"/>
          <w:spacing w:val="-1"/>
          <w:sz w:val="24"/>
          <w:szCs w:val="24"/>
          <w:highlight w:val="none"/>
        </w:rPr>
        <w:t>（四）验收：</w:t>
      </w:r>
    </w:p>
    <w:p>
      <w:pPr>
        <w:pStyle w:val="18"/>
        <w:keepNext w:val="0"/>
        <w:keepLines w:val="0"/>
        <w:pageBreakBefore w:val="0"/>
        <w:widowControl w:val="0"/>
        <w:kinsoku/>
        <w:wordWrap/>
        <w:overflowPunct/>
        <w:topLinePunct w:val="0"/>
        <w:autoSpaceDE/>
        <w:autoSpaceDN/>
        <w:bidi w:val="0"/>
        <w:adjustRightInd/>
        <w:snapToGrid/>
        <w:spacing w:before="77" w:line="440" w:lineRule="exact"/>
        <w:ind w:left="716" w:leftChars="341" w:right="747" w:firstLine="406" w:firstLineChars="171"/>
        <w:jc w:val="both"/>
        <w:textAlignment w:val="auto"/>
        <w:rPr>
          <w:rFonts w:hint="eastAsia" w:ascii="宋体" w:hAnsi="宋体" w:eastAsia="宋体" w:cs="宋体"/>
          <w:b w:val="0"/>
          <w:bCs/>
          <w:color w:val="auto"/>
          <w:spacing w:val="-1"/>
          <w:sz w:val="24"/>
          <w:szCs w:val="24"/>
          <w:highlight w:val="none"/>
        </w:rPr>
      </w:pPr>
      <w:r>
        <w:rPr>
          <w:rFonts w:hint="eastAsia" w:ascii="宋体" w:hAnsi="宋体" w:eastAsia="宋体" w:cs="宋体"/>
          <w:b w:val="0"/>
          <w:bCs/>
          <w:color w:val="auto"/>
          <w:spacing w:val="-1"/>
          <w:sz w:val="24"/>
          <w:szCs w:val="24"/>
          <w:highlight w:val="none"/>
          <w:lang w:val="en-US" w:eastAsia="zh-CN"/>
        </w:rPr>
        <w:t>1.</w:t>
      </w:r>
      <w:r>
        <w:rPr>
          <w:rFonts w:hint="eastAsia" w:ascii="宋体" w:hAnsi="宋体" w:eastAsia="宋体" w:cs="宋体"/>
          <w:b w:val="0"/>
          <w:bCs/>
          <w:color w:val="auto"/>
          <w:spacing w:val="-1"/>
          <w:sz w:val="24"/>
          <w:szCs w:val="24"/>
          <w:highlight w:val="none"/>
        </w:rPr>
        <w:t>甲方在收到配送货物的现场，由甲方指定委托代理人按照确定的订货清单验收；</w:t>
      </w:r>
    </w:p>
    <w:p>
      <w:pPr>
        <w:pStyle w:val="18"/>
        <w:keepNext w:val="0"/>
        <w:keepLines w:val="0"/>
        <w:pageBreakBefore w:val="0"/>
        <w:widowControl w:val="0"/>
        <w:kinsoku/>
        <w:wordWrap/>
        <w:overflowPunct/>
        <w:topLinePunct w:val="0"/>
        <w:autoSpaceDE/>
        <w:autoSpaceDN/>
        <w:bidi w:val="0"/>
        <w:adjustRightInd/>
        <w:snapToGrid/>
        <w:spacing w:before="77" w:line="440" w:lineRule="exact"/>
        <w:ind w:left="716" w:leftChars="341" w:right="747" w:firstLine="406" w:firstLineChars="171"/>
        <w:jc w:val="both"/>
        <w:textAlignment w:val="auto"/>
        <w:rPr>
          <w:rFonts w:hint="eastAsia" w:ascii="宋体" w:hAnsi="宋体" w:eastAsia="宋体" w:cs="宋体"/>
          <w:b w:val="0"/>
          <w:bCs/>
          <w:color w:val="auto"/>
          <w:spacing w:val="-1"/>
          <w:sz w:val="24"/>
          <w:szCs w:val="24"/>
          <w:highlight w:val="none"/>
        </w:rPr>
      </w:pPr>
      <w:r>
        <w:rPr>
          <w:rFonts w:hint="eastAsia" w:ascii="宋体" w:hAnsi="宋体" w:eastAsia="宋体" w:cs="宋体"/>
          <w:b w:val="0"/>
          <w:bCs/>
          <w:color w:val="auto"/>
          <w:spacing w:val="-1"/>
          <w:sz w:val="24"/>
          <w:szCs w:val="24"/>
          <w:highlight w:val="none"/>
          <w:lang w:val="en-US" w:eastAsia="zh-CN"/>
        </w:rPr>
        <w:t>2.</w:t>
      </w:r>
      <w:r>
        <w:rPr>
          <w:rFonts w:hint="eastAsia" w:ascii="宋体" w:hAnsi="宋体" w:eastAsia="宋体" w:cs="宋体"/>
          <w:b w:val="0"/>
          <w:bCs/>
          <w:color w:val="auto"/>
          <w:spacing w:val="-1"/>
          <w:sz w:val="24"/>
          <w:szCs w:val="24"/>
          <w:highlight w:val="none"/>
        </w:rPr>
        <w:t>甲方应对产品的质量、数量、等级、包装、外观等进行验收确认，不得采购腐败变质、有毒有害、来历不明的食品原料及食品。发现采购的食品（食材）有腐败变质或不符合食品安全要求的，应拒绝接收。</w:t>
      </w:r>
    </w:p>
    <w:p>
      <w:pPr>
        <w:pStyle w:val="18"/>
        <w:keepNext w:val="0"/>
        <w:keepLines w:val="0"/>
        <w:pageBreakBefore w:val="0"/>
        <w:widowControl w:val="0"/>
        <w:kinsoku/>
        <w:wordWrap/>
        <w:overflowPunct/>
        <w:topLinePunct w:val="0"/>
        <w:autoSpaceDE/>
        <w:autoSpaceDN/>
        <w:bidi w:val="0"/>
        <w:adjustRightInd/>
        <w:snapToGrid/>
        <w:spacing w:before="77" w:line="440" w:lineRule="exact"/>
        <w:ind w:left="716" w:leftChars="341" w:right="747" w:firstLine="406" w:firstLineChars="171"/>
        <w:jc w:val="both"/>
        <w:textAlignment w:val="auto"/>
        <w:rPr>
          <w:rFonts w:hint="eastAsia" w:ascii="宋体" w:hAnsi="宋体" w:eastAsia="宋体" w:cs="宋体"/>
          <w:b w:val="0"/>
          <w:bCs/>
          <w:color w:val="auto"/>
          <w:spacing w:val="-1"/>
          <w:sz w:val="24"/>
          <w:szCs w:val="24"/>
          <w:highlight w:val="none"/>
        </w:rPr>
      </w:pPr>
      <w:r>
        <w:rPr>
          <w:rFonts w:hint="eastAsia" w:ascii="宋体" w:hAnsi="宋体" w:eastAsia="宋体" w:cs="宋体"/>
          <w:b w:val="0"/>
          <w:bCs/>
          <w:color w:val="auto"/>
          <w:spacing w:val="-1"/>
          <w:sz w:val="24"/>
          <w:szCs w:val="24"/>
          <w:highlight w:val="none"/>
          <w:lang w:val="en-US" w:eastAsia="zh-CN"/>
        </w:rPr>
        <w:t>3.</w:t>
      </w:r>
      <w:r>
        <w:rPr>
          <w:rFonts w:hint="eastAsia" w:ascii="宋体" w:hAnsi="宋体" w:eastAsia="宋体" w:cs="宋体"/>
          <w:b w:val="0"/>
          <w:bCs/>
          <w:color w:val="auto"/>
          <w:spacing w:val="-1"/>
          <w:sz w:val="24"/>
          <w:szCs w:val="24"/>
          <w:highlight w:val="none"/>
        </w:rPr>
        <w:t>甲乙双方验收合格后，应在配送验收清单上由委托代理人签字并加盖公章确认；</w:t>
      </w:r>
    </w:p>
    <w:p>
      <w:pPr>
        <w:pStyle w:val="18"/>
        <w:keepNext w:val="0"/>
        <w:keepLines w:val="0"/>
        <w:pageBreakBefore w:val="0"/>
        <w:widowControl w:val="0"/>
        <w:kinsoku/>
        <w:wordWrap/>
        <w:overflowPunct/>
        <w:topLinePunct w:val="0"/>
        <w:autoSpaceDE/>
        <w:autoSpaceDN/>
        <w:bidi w:val="0"/>
        <w:adjustRightInd/>
        <w:snapToGrid/>
        <w:spacing w:before="77" w:line="440" w:lineRule="exact"/>
        <w:ind w:left="716" w:leftChars="341" w:right="747" w:firstLine="406" w:firstLineChars="171"/>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1"/>
          <w:sz w:val="24"/>
          <w:szCs w:val="24"/>
          <w:highlight w:val="none"/>
          <w:lang w:val="en-US" w:eastAsia="zh-CN"/>
        </w:rPr>
        <w:t>4.</w:t>
      </w:r>
      <w:r>
        <w:rPr>
          <w:rFonts w:hint="eastAsia" w:ascii="宋体" w:hAnsi="宋体" w:eastAsia="宋体" w:cs="宋体"/>
          <w:b w:val="0"/>
          <w:bCs/>
          <w:color w:val="auto"/>
          <w:spacing w:val="-1"/>
          <w:sz w:val="24"/>
          <w:szCs w:val="24"/>
          <w:highlight w:val="none"/>
        </w:rPr>
        <w:t>对不符合质量要求的品种，甲方有权退货并要求乙方换货，乙方应及时处理并提供符合合同及相关标准要求的食材，不得影响学校为学</w:t>
      </w:r>
      <w:r>
        <w:rPr>
          <w:rFonts w:hint="eastAsia" w:ascii="宋体" w:hAnsi="宋体" w:eastAsia="宋体" w:cs="宋体"/>
          <w:b w:val="0"/>
          <w:bCs/>
          <w:color w:val="auto"/>
          <w:sz w:val="24"/>
          <w:szCs w:val="24"/>
          <w:highlight w:val="none"/>
        </w:rPr>
        <w:t>生供餐；</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2" w:after="0" w:line="440" w:lineRule="exact"/>
        <w:ind w:left="716" w:leftChars="341" w:right="747" w:rightChars="0" w:firstLine="396" w:firstLineChars="171"/>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4"/>
          <w:sz w:val="24"/>
          <w:szCs w:val="24"/>
          <w:highlight w:val="none"/>
          <w:lang w:val="en-US" w:eastAsia="zh-CN"/>
        </w:rPr>
        <w:t>5.</w:t>
      </w:r>
      <w:r>
        <w:rPr>
          <w:rFonts w:hint="eastAsia" w:ascii="宋体" w:hAnsi="宋体" w:eastAsia="宋体" w:cs="宋体"/>
          <w:b w:val="0"/>
          <w:bCs/>
          <w:color w:val="auto"/>
          <w:spacing w:val="-4"/>
          <w:sz w:val="24"/>
          <w:szCs w:val="24"/>
          <w:highlight w:val="none"/>
        </w:rPr>
        <w:t>对现场无法发现的质量问题，甲方可以在合理期限内主张退货和要求乙方换货，若因此导</w:t>
      </w:r>
      <w:r>
        <w:rPr>
          <w:rFonts w:hint="eastAsia" w:ascii="宋体" w:hAnsi="宋体" w:eastAsia="宋体" w:cs="宋体"/>
          <w:b w:val="0"/>
          <w:bCs/>
          <w:color w:val="auto"/>
          <w:sz w:val="24"/>
          <w:szCs w:val="24"/>
          <w:highlight w:val="none"/>
        </w:rPr>
        <w:t>致食品安全或其他问题，乙方应承担因此给甲方及甲方教师和学生造成的全部损失。</w:t>
      </w:r>
    </w:p>
    <w:p>
      <w:pPr>
        <w:keepNext w:val="0"/>
        <w:keepLines w:val="0"/>
        <w:pageBreakBefore w:val="0"/>
        <w:widowControl w:val="0"/>
        <w:tabs>
          <w:tab w:val="left" w:pos="348"/>
        </w:tabs>
        <w:kinsoku/>
        <w:wordWrap/>
        <w:overflowPunct/>
        <w:topLinePunct w:val="0"/>
        <w:autoSpaceDE/>
        <w:autoSpaceDN/>
        <w:bidi w:val="0"/>
        <w:adjustRightInd/>
        <w:snapToGrid/>
        <w:spacing w:line="440" w:lineRule="exact"/>
        <w:ind w:firstLine="964" w:firstLineChars="40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rPr>
        <w:t>、结算及付款方式</w:t>
      </w:r>
    </w:p>
    <w:p>
      <w:pPr>
        <w:pStyle w:val="18"/>
        <w:keepNext w:val="0"/>
        <w:keepLines w:val="0"/>
        <w:pageBreakBefore w:val="0"/>
        <w:widowControl w:val="0"/>
        <w:kinsoku/>
        <w:wordWrap/>
        <w:overflowPunct/>
        <w:topLinePunct w:val="0"/>
        <w:autoSpaceDE/>
        <w:autoSpaceDN/>
        <w:bidi w:val="0"/>
        <w:adjustRightInd/>
        <w:snapToGrid/>
        <w:spacing w:before="150" w:line="440" w:lineRule="exact"/>
        <w:ind w:left="731" w:right="747" w:firstLine="315"/>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pacing w:val="-5"/>
          <w:sz w:val="24"/>
          <w:szCs w:val="24"/>
          <w:highlight w:val="none"/>
        </w:rPr>
        <w:t>甲乙双方按月进行货款结算，双方应在次月</w:t>
      </w:r>
      <w:r>
        <w:rPr>
          <w:rFonts w:hint="eastAsia" w:ascii="宋体" w:hAnsi="宋体" w:eastAsia="宋体" w:cs="宋体"/>
          <w:b w:val="0"/>
          <w:bCs/>
          <w:color w:val="auto"/>
          <w:spacing w:val="-5"/>
          <w:sz w:val="24"/>
          <w:szCs w:val="24"/>
          <w:highlight w:val="none"/>
          <w:u w:val="single"/>
          <w:lang w:val="en-US" w:eastAsia="zh-CN"/>
        </w:rPr>
        <w:t xml:space="preserve">    </w:t>
      </w:r>
      <w:r>
        <w:rPr>
          <w:rFonts w:hint="eastAsia" w:ascii="宋体" w:hAnsi="宋体" w:eastAsia="宋体" w:cs="宋体"/>
          <w:b w:val="0"/>
          <w:bCs/>
          <w:color w:val="auto"/>
          <w:spacing w:val="-11"/>
          <w:sz w:val="24"/>
          <w:szCs w:val="24"/>
          <w:highlight w:val="none"/>
        </w:rPr>
        <w:t>日前</w:t>
      </w:r>
      <w:r>
        <w:rPr>
          <w:rFonts w:hint="eastAsia" w:ascii="宋体" w:hAnsi="宋体" w:eastAsia="宋体" w:cs="宋体"/>
          <w:b w:val="0"/>
          <w:bCs/>
          <w:color w:val="auto"/>
          <w:sz w:val="24"/>
          <w:szCs w:val="24"/>
          <w:highlight w:val="none"/>
        </w:rPr>
        <w:t>（如遇周末及法定节假日则顺延</w:t>
      </w:r>
      <w:r>
        <w:rPr>
          <w:rFonts w:hint="eastAsia" w:ascii="宋体" w:hAnsi="宋体" w:eastAsia="宋体" w:cs="宋体"/>
          <w:b w:val="0"/>
          <w:bCs/>
          <w:color w:val="auto"/>
          <w:spacing w:val="-21"/>
          <w:sz w:val="24"/>
          <w:szCs w:val="24"/>
          <w:highlight w:val="none"/>
        </w:rPr>
        <w:t>）</w:t>
      </w:r>
      <w:r>
        <w:rPr>
          <w:rFonts w:hint="eastAsia" w:ascii="宋体" w:hAnsi="宋体" w:eastAsia="宋体" w:cs="宋体"/>
          <w:b w:val="0"/>
          <w:bCs/>
          <w:color w:val="auto"/>
          <w:spacing w:val="-14"/>
          <w:sz w:val="24"/>
          <w:szCs w:val="24"/>
          <w:highlight w:val="none"/>
        </w:rPr>
        <w:t>对</w:t>
      </w:r>
      <w:r>
        <w:rPr>
          <w:rFonts w:hint="eastAsia" w:ascii="宋体" w:hAnsi="宋体" w:eastAsia="宋体" w:cs="宋体"/>
          <w:b w:val="0"/>
          <w:bCs/>
          <w:color w:val="auto"/>
          <w:sz w:val="24"/>
          <w:szCs w:val="24"/>
          <w:highlight w:val="none"/>
        </w:rPr>
        <w:t>上月供货情况及对应价款进行核对确认（</w:t>
      </w:r>
      <w:r>
        <w:rPr>
          <w:rFonts w:hint="eastAsia" w:ascii="宋体" w:hAnsi="宋体" w:eastAsia="宋体" w:cs="宋体"/>
          <w:b w:val="0"/>
          <w:bCs/>
          <w:color w:val="auto"/>
          <w:spacing w:val="-1"/>
          <w:sz w:val="24"/>
          <w:szCs w:val="24"/>
          <w:highlight w:val="none"/>
        </w:rPr>
        <w:t>以甲方授权委托代理人签字确认的配送验收清单所载内</w:t>
      </w:r>
      <w:r>
        <w:rPr>
          <w:rFonts w:hint="eastAsia" w:ascii="宋体" w:hAnsi="宋体" w:eastAsia="宋体" w:cs="宋体"/>
          <w:b w:val="0"/>
          <w:bCs/>
          <w:color w:val="auto"/>
          <w:sz w:val="24"/>
          <w:szCs w:val="24"/>
          <w:highlight w:val="none"/>
        </w:rPr>
        <w:t>容为准）并确定上月最终结算价款。</w:t>
      </w:r>
    </w:p>
    <w:p>
      <w:pPr>
        <w:pStyle w:val="18"/>
        <w:keepNext w:val="0"/>
        <w:keepLines w:val="0"/>
        <w:pageBreakBefore w:val="0"/>
        <w:widowControl w:val="0"/>
        <w:kinsoku/>
        <w:wordWrap/>
        <w:overflowPunct/>
        <w:topLinePunct w:val="0"/>
        <w:autoSpaceDE/>
        <w:autoSpaceDN/>
        <w:bidi w:val="0"/>
        <w:adjustRightInd/>
        <w:snapToGrid/>
        <w:spacing w:before="1" w:line="440" w:lineRule="exact"/>
        <w:ind w:left="731" w:right="737" w:firstLine="315"/>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w:t>
      </w:r>
      <w:r>
        <w:rPr>
          <w:rFonts w:hint="eastAsia" w:ascii="宋体" w:hAnsi="宋体" w:eastAsia="宋体" w:cs="宋体"/>
          <w:b w:val="0"/>
          <w:bCs/>
          <w:color w:val="auto"/>
          <w:spacing w:val="-9"/>
          <w:sz w:val="24"/>
          <w:szCs w:val="24"/>
          <w:highlight w:val="none"/>
        </w:rPr>
        <w:t>最终结算价款确认后，乙方应按照甲方的要求向甲方提供对应金额的正规增值税发票</w:t>
      </w:r>
      <w:r>
        <w:rPr>
          <w:rFonts w:hint="eastAsia" w:ascii="宋体" w:hAnsi="宋体" w:eastAsia="宋体" w:cs="宋体"/>
          <w:b w:val="0"/>
          <w:bCs/>
          <w:color w:val="auto"/>
          <w:spacing w:val="-10"/>
          <w:sz w:val="24"/>
          <w:szCs w:val="24"/>
          <w:highlight w:val="none"/>
        </w:rPr>
        <w:t>（</w:t>
      </w:r>
      <w:r>
        <w:rPr>
          <w:rFonts w:hint="eastAsia" w:ascii="宋体" w:hAnsi="宋体" w:eastAsia="宋体" w:cs="宋体"/>
          <w:b w:val="0"/>
          <w:bCs/>
          <w:color w:val="auto"/>
          <w:sz w:val="24"/>
          <w:szCs w:val="24"/>
          <w:highlight w:val="none"/>
        </w:rPr>
        <w:t>普通发票</w:t>
      </w:r>
      <w:r>
        <w:rPr>
          <w:rFonts w:hint="eastAsia" w:ascii="宋体" w:hAnsi="宋体" w:eastAsia="宋体" w:cs="宋体"/>
          <w:b w:val="0"/>
          <w:bCs/>
          <w:color w:val="auto"/>
          <w:spacing w:val="-1"/>
          <w:sz w:val="24"/>
          <w:szCs w:val="24"/>
          <w:highlight w:val="none"/>
        </w:rPr>
        <w:t>/</w:t>
      </w:r>
      <w:r>
        <w:rPr>
          <w:rFonts w:hint="eastAsia" w:ascii="宋体" w:hAnsi="宋体" w:eastAsia="宋体" w:cs="宋体"/>
          <w:b w:val="0"/>
          <w:bCs/>
          <w:color w:val="auto"/>
          <w:sz w:val="24"/>
          <w:szCs w:val="24"/>
          <w:highlight w:val="none"/>
        </w:rPr>
        <w:t>专用发票</w:t>
      </w:r>
      <w:r>
        <w:rPr>
          <w:rFonts w:hint="eastAsia" w:ascii="宋体" w:hAnsi="宋体" w:eastAsia="宋体" w:cs="宋体"/>
          <w:b w:val="0"/>
          <w:bCs/>
          <w:color w:val="auto"/>
          <w:spacing w:val="-105"/>
          <w:sz w:val="24"/>
          <w:szCs w:val="24"/>
          <w:highlight w:val="none"/>
        </w:rPr>
        <w:t>）</w:t>
      </w:r>
      <w:r>
        <w:rPr>
          <w:rFonts w:hint="eastAsia" w:ascii="宋体" w:hAnsi="宋体" w:eastAsia="宋体" w:cs="宋体"/>
          <w:b w:val="0"/>
          <w:bCs/>
          <w:color w:val="auto"/>
          <w:spacing w:val="-7"/>
          <w:sz w:val="24"/>
          <w:szCs w:val="24"/>
          <w:highlight w:val="none"/>
        </w:rPr>
        <w:t>，</w:t>
      </w:r>
      <w:r>
        <w:rPr>
          <w:rFonts w:hint="eastAsia" w:ascii="宋体" w:hAnsi="宋体" w:eastAsia="宋体" w:cs="宋体"/>
          <w:b w:val="0"/>
          <w:bCs/>
          <w:color w:val="auto"/>
          <w:spacing w:val="-7"/>
          <w:sz w:val="24"/>
          <w:szCs w:val="24"/>
          <w:highlight w:val="none"/>
          <w:lang w:eastAsia="zh-CN"/>
        </w:rPr>
        <w:t>，</w:t>
      </w:r>
      <w:r>
        <w:rPr>
          <w:rFonts w:hint="eastAsia" w:ascii="宋体" w:hAnsi="宋体" w:eastAsia="宋体" w:cs="宋体"/>
          <w:b w:val="0"/>
          <w:bCs/>
          <w:color w:val="auto"/>
          <w:spacing w:val="-7"/>
          <w:sz w:val="24"/>
          <w:szCs w:val="24"/>
          <w:highlight w:val="none"/>
        </w:rPr>
        <w:t>甲方经核实无异议后，</w:t>
      </w:r>
      <w:r>
        <w:rPr>
          <w:rFonts w:hint="eastAsia" w:ascii="宋体" w:hAnsi="宋体" w:eastAsia="宋体" w:cs="宋体"/>
          <w:b w:val="0"/>
          <w:bCs/>
          <w:color w:val="auto"/>
          <w:spacing w:val="-7"/>
          <w:sz w:val="24"/>
          <w:szCs w:val="24"/>
          <w:highlight w:val="none"/>
          <w:lang w:val="en-US" w:eastAsia="zh-CN"/>
        </w:rPr>
        <w:t>根据财政拨款进度情况</w:t>
      </w:r>
      <w:r>
        <w:rPr>
          <w:rFonts w:hint="eastAsia" w:ascii="宋体" w:hAnsi="宋体" w:eastAsia="宋体" w:cs="宋体"/>
          <w:b w:val="0"/>
          <w:bCs/>
          <w:color w:val="auto"/>
          <w:spacing w:val="-7"/>
          <w:sz w:val="24"/>
          <w:szCs w:val="24"/>
          <w:highlight w:val="none"/>
        </w:rPr>
        <w:t>支</w:t>
      </w:r>
      <w:r>
        <w:rPr>
          <w:rFonts w:hint="eastAsia" w:ascii="宋体" w:hAnsi="宋体" w:eastAsia="宋体" w:cs="宋体"/>
          <w:b w:val="0"/>
          <w:bCs/>
          <w:color w:val="auto"/>
          <w:sz w:val="24"/>
          <w:szCs w:val="24"/>
          <w:highlight w:val="none"/>
        </w:rPr>
        <w:t>付至乙方指定银行账户。</w:t>
      </w:r>
    </w:p>
    <w:p>
      <w:pPr>
        <w:pStyle w:val="18"/>
        <w:keepNext w:val="0"/>
        <w:keepLines w:val="0"/>
        <w:pageBreakBefore w:val="0"/>
        <w:widowControl w:val="0"/>
        <w:tabs>
          <w:tab w:val="left" w:pos="4614"/>
          <w:tab w:val="left" w:pos="5034"/>
          <w:tab w:val="left" w:pos="5139"/>
        </w:tabs>
        <w:kinsoku/>
        <w:wordWrap/>
        <w:overflowPunct/>
        <w:topLinePunct w:val="0"/>
        <w:autoSpaceDE/>
        <w:autoSpaceDN/>
        <w:bidi w:val="0"/>
        <w:adjustRightInd/>
        <w:snapToGrid/>
        <w:spacing w:before="1" w:line="440" w:lineRule="exact"/>
        <w:ind w:left="1151" w:right="5078" w:hanging="10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（三）付款</w:t>
      </w:r>
      <w:r>
        <w:rPr>
          <w:rFonts w:hint="eastAsia" w:ascii="宋体" w:hAnsi="宋体" w:eastAsia="宋体" w:cs="宋体"/>
          <w:b w:val="0"/>
          <w:bCs/>
          <w:color w:val="auto"/>
          <w:spacing w:val="-2"/>
          <w:sz w:val="24"/>
          <w:szCs w:val="24"/>
          <w:highlight w:val="none"/>
        </w:rPr>
        <w:t>方</w:t>
      </w:r>
      <w:r>
        <w:rPr>
          <w:rFonts w:hint="eastAsia" w:ascii="宋体" w:hAnsi="宋体" w:eastAsia="宋体" w:cs="宋体"/>
          <w:b w:val="0"/>
          <w:bCs/>
          <w:color w:val="auto"/>
          <w:sz w:val="24"/>
          <w:szCs w:val="24"/>
          <w:highlight w:val="none"/>
        </w:rPr>
        <w:t>式（银行转账</w:t>
      </w:r>
      <w:r>
        <w:rPr>
          <w:rFonts w:hint="eastAsia" w:ascii="宋体" w:hAnsi="宋体" w:eastAsia="宋体" w:cs="宋体"/>
          <w:b w:val="0"/>
          <w:bCs/>
          <w:color w:val="auto"/>
          <w:spacing w:val="-105"/>
          <w:sz w:val="24"/>
          <w:szCs w:val="24"/>
          <w:highlight w:val="none"/>
        </w:rPr>
        <w:t>）</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pacing w:val="-18"/>
          <w:sz w:val="24"/>
          <w:szCs w:val="24"/>
          <w:highlight w:val="none"/>
        </w:rPr>
        <w:t>。</w:t>
      </w:r>
      <w:r>
        <w:rPr>
          <w:rFonts w:hint="eastAsia" w:ascii="宋体" w:hAnsi="宋体" w:eastAsia="宋体" w:cs="宋体"/>
          <w:b w:val="0"/>
          <w:bCs/>
          <w:color w:val="auto"/>
          <w:sz w:val="24"/>
          <w:szCs w:val="24"/>
          <w:highlight w:val="none"/>
        </w:rPr>
        <w:t>乙方银行账户名称：</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开户行：</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p>
    <w:p>
      <w:pPr>
        <w:pStyle w:val="18"/>
        <w:keepNext w:val="0"/>
        <w:keepLines w:val="0"/>
        <w:pageBreakBefore w:val="0"/>
        <w:widowControl w:val="0"/>
        <w:tabs>
          <w:tab w:val="left" w:pos="4614"/>
        </w:tabs>
        <w:kinsoku/>
        <w:wordWrap/>
        <w:overflowPunct/>
        <w:topLinePunct w:val="0"/>
        <w:autoSpaceDE/>
        <w:autoSpaceDN/>
        <w:bidi w:val="0"/>
        <w:adjustRightInd/>
        <w:snapToGrid/>
        <w:spacing w:before="1" w:line="440" w:lineRule="exact"/>
        <w:ind w:left="1151"/>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p>
    <w:p>
      <w:pPr>
        <w:pStyle w:val="18"/>
        <w:keepNext w:val="0"/>
        <w:keepLines w:val="0"/>
        <w:pageBreakBefore w:val="0"/>
        <w:widowControl w:val="0"/>
        <w:kinsoku/>
        <w:wordWrap/>
        <w:overflowPunct/>
        <w:topLinePunct w:val="0"/>
        <w:autoSpaceDE/>
        <w:autoSpaceDN/>
        <w:bidi w:val="0"/>
        <w:adjustRightInd/>
        <w:snapToGrid/>
        <w:spacing w:before="151" w:line="440" w:lineRule="exact"/>
        <w:ind w:left="115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八、双方权利义务</w:t>
      </w:r>
    </w:p>
    <w:p>
      <w:pPr>
        <w:pStyle w:val="18"/>
        <w:keepNext w:val="0"/>
        <w:keepLines w:val="0"/>
        <w:pageBreakBefore w:val="0"/>
        <w:widowControl w:val="0"/>
        <w:kinsoku/>
        <w:wordWrap/>
        <w:overflowPunct/>
        <w:topLinePunct w:val="0"/>
        <w:autoSpaceDE/>
        <w:autoSpaceDN/>
        <w:bidi w:val="0"/>
        <w:adjustRightInd/>
        <w:snapToGrid/>
        <w:spacing w:before="151" w:line="440" w:lineRule="exact"/>
        <w:ind w:left="1046"/>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（一</w:t>
      </w:r>
      <w:r>
        <w:rPr>
          <w:rFonts w:hint="eastAsia" w:ascii="宋体" w:hAnsi="宋体" w:eastAsia="宋体" w:cs="宋体"/>
          <w:color w:val="auto"/>
          <w:sz w:val="24"/>
          <w:szCs w:val="24"/>
          <w:highlight w:val="none"/>
        </w:rPr>
        <w:t>）甲方权利义务</w:t>
      </w:r>
    </w:p>
    <w:p>
      <w:pPr>
        <w:pStyle w:val="133"/>
        <w:keepNext w:val="0"/>
        <w:keepLines w:val="0"/>
        <w:pageBreakBefore w:val="0"/>
        <w:widowControl w:val="0"/>
        <w:numPr>
          <w:ilvl w:val="0"/>
          <w:numId w:val="9"/>
        </w:numPr>
        <w:tabs>
          <w:tab w:val="left" w:pos="1415"/>
        </w:tabs>
        <w:kinsoku/>
        <w:wordWrap/>
        <w:overflowPunct/>
        <w:topLinePunct w:val="0"/>
        <w:autoSpaceDE/>
        <w:autoSpaceDN/>
        <w:bidi w:val="0"/>
        <w:adjustRightInd/>
        <w:snapToGrid/>
        <w:spacing w:before="151" w:after="0" w:line="440" w:lineRule="exact"/>
        <w:ind w:left="731" w:right="747"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甲方应按约定时间向乙方下达次日或次周订单，以便乙方提前安排准备。乙方未按约定时</w:t>
      </w:r>
      <w:r>
        <w:rPr>
          <w:rFonts w:hint="eastAsia" w:ascii="宋体" w:hAnsi="宋体" w:eastAsia="宋体" w:cs="宋体"/>
          <w:color w:val="auto"/>
          <w:sz w:val="24"/>
          <w:szCs w:val="24"/>
          <w:highlight w:val="none"/>
        </w:rPr>
        <w:t>间将食材运送到指定地点，甲方可拒绝验货，不予支付货款。</w:t>
      </w:r>
    </w:p>
    <w:p>
      <w:pPr>
        <w:pStyle w:val="133"/>
        <w:keepNext w:val="0"/>
        <w:keepLines w:val="0"/>
        <w:pageBreakBefore w:val="0"/>
        <w:widowControl w:val="0"/>
        <w:numPr>
          <w:ilvl w:val="0"/>
          <w:numId w:val="9"/>
        </w:numPr>
        <w:tabs>
          <w:tab w:val="left" w:pos="1415"/>
        </w:tabs>
        <w:kinsoku/>
        <w:wordWrap/>
        <w:overflowPunct/>
        <w:topLinePunct w:val="0"/>
        <w:autoSpaceDE/>
        <w:autoSpaceDN/>
        <w:bidi w:val="0"/>
        <w:adjustRightInd/>
        <w:snapToGrid/>
        <w:spacing w:before="0" w:after="0" w:line="440" w:lineRule="exact"/>
        <w:ind w:left="731" w:right="747"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甲方应依据订单和供货清单对食材进行清点验收。对不符合甲方订单要求的食材，甲方有</w:t>
      </w:r>
      <w:r>
        <w:rPr>
          <w:rFonts w:hint="eastAsia" w:ascii="宋体" w:hAnsi="宋体" w:eastAsia="宋体" w:cs="宋体"/>
          <w:color w:val="auto"/>
          <w:sz w:val="24"/>
          <w:szCs w:val="24"/>
          <w:highlight w:val="none"/>
        </w:rPr>
        <w:t>权拒收，由此产生的损失由乙方承担。</w:t>
      </w:r>
    </w:p>
    <w:p>
      <w:pPr>
        <w:pStyle w:val="133"/>
        <w:keepNext w:val="0"/>
        <w:keepLines w:val="0"/>
        <w:pageBreakBefore w:val="0"/>
        <w:widowControl w:val="0"/>
        <w:numPr>
          <w:ilvl w:val="0"/>
          <w:numId w:val="9"/>
        </w:numPr>
        <w:tabs>
          <w:tab w:val="left" w:pos="1415"/>
        </w:tabs>
        <w:kinsoku/>
        <w:wordWrap/>
        <w:overflowPunct/>
        <w:topLinePunct w:val="0"/>
        <w:autoSpaceDE/>
        <w:autoSpaceDN/>
        <w:bidi w:val="0"/>
        <w:adjustRightInd/>
        <w:snapToGrid/>
        <w:spacing w:before="1" w:after="0" w:line="440" w:lineRule="exact"/>
        <w:ind w:left="731" w:right="747"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甲方有权将乙方供应食材送到相关质检部门进行质量检验。经检验，如存在质量达不到标</w:t>
      </w:r>
      <w:r>
        <w:rPr>
          <w:rFonts w:hint="eastAsia" w:ascii="宋体" w:hAnsi="宋体" w:eastAsia="宋体" w:cs="宋体"/>
          <w:color w:val="auto"/>
          <w:spacing w:val="-1"/>
          <w:sz w:val="24"/>
          <w:szCs w:val="24"/>
          <w:highlight w:val="none"/>
        </w:rPr>
        <w:t>准的，货款不予结算；如存在严重质量问题的，不予结算货款外，甲方有权单方终止本合同并要</w:t>
      </w:r>
      <w:r>
        <w:rPr>
          <w:rFonts w:hint="eastAsia" w:ascii="宋体" w:hAnsi="宋体" w:eastAsia="宋体" w:cs="宋体"/>
          <w:color w:val="auto"/>
          <w:sz w:val="24"/>
          <w:szCs w:val="24"/>
          <w:highlight w:val="none"/>
        </w:rPr>
        <w:t>求乙方承担相应经济赔偿责任。</w:t>
      </w:r>
    </w:p>
    <w:p>
      <w:pPr>
        <w:pStyle w:val="133"/>
        <w:keepNext w:val="0"/>
        <w:keepLines w:val="0"/>
        <w:pageBreakBefore w:val="0"/>
        <w:widowControl w:val="0"/>
        <w:numPr>
          <w:ilvl w:val="0"/>
          <w:numId w:val="9"/>
        </w:numPr>
        <w:tabs>
          <w:tab w:val="left" w:pos="1415"/>
        </w:tabs>
        <w:kinsoku/>
        <w:wordWrap/>
        <w:overflowPunct/>
        <w:topLinePunct w:val="0"/>
        <w:autoSpaceDE/>
        <w:autoSpaceDN/>
        <w:bidi w:val="0"/>
        <w:adjustRightInd/>
        <w:snapToGrid/>
        <w:spacing w:before="0" w:after="0" w:line="440" w:lineRule="exact"/>
        <w:ind w:left="731" w:right="747"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甲方依据订单和供货清单进行验收，验收合格后，应当场在供货清单上签字确认；甲方应</w:t>
      </w:r>
      <w:r>
        <w:rPr>
          <w:rFonts w:hint="eastAsia" w:ascii="宋体" w:hAnsi="宋体" w:eastAsia="宋体" w:cs="宋体"/>
          <w:color w:val="auto"/>
          <w:sz w:val="24"/>
          <w:szCs w:val="24"/>
          <w:highlight w:val="none"/>
        </w:rPr>
        <w:t>在乙方提供发票信息与实际发生信息一致时，按时向乙方支付费用。</w:t>
      </w:r>
    </w:p>
    <w:p>
      <w:pPr>
        <w:pStyle w:val="133"/>
        <w:keepNext w:val="0"/>
        <w:keepLines w:val="0"/>
        <w:pageBreakBefore w:val="0"/>
        <w:widowControl w:val="0"/>
        <w:numPr>
          <w:ilvl w:val="0"/>
          <w:numId w:val="9"/>
        </w:numPr>
        <w:tabs>
          <w:tab w:val="left" w:pos="1415"/>
        </w:tabs>
        <w:kinsoku/>
        <w:wordWrap/>
        <w:overflowPunct/>
        <w:topLinePunct w:val="0"/>
        <w:autoSpaceDE/>
        <w:autoSpaceDN/>
        <w:bidi w:val="0"/>
        <w:adjustRightInd/>
        <w:snapToGrid/>
        <w:spacing w:before="1" w:after="0" w:line="440" w:lineRule="exact"/>
        <w:ind w:left="731" w:right="747"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甲方验收食材后，应当按照保证食品安全的要求贮存食品，防止食品污染，定期检查库存</w:t>
      </w:r>
      <w:r>
        <w:rPr>
          <w:rFonts w:hint="eastAsia" w:ascii="宋体" w:hAnsi="宋体" w:eastAsia="宋体" w:cs="宋体"/>
          <w:color w:val="auto"/>
          <w:sz w:val="24"/>
          <w:szCs w:val="24"/>
          <w:highlight w:val="none"/>
        </w:rPr>
        <w:t>食品。</w:t>
      </w:r>
    </w:p>
    <w:p>
      <w:pPr>
        <w:pStyle w:val="133"/>
        <w:keepNext w:val="0"/>
        <w:keepLines w:val="0"/>
        <w:pageBreakBefore w:val="0"/>
        <w:widowControl w:val="0"/>
        <w:numPr>
          <w:ilvl w:val="0"/>
          <w:numId w:val="9"/>
        </w:numPr>
        <w:tabs>
          <w:tab w:val="left" w:pos="1415"/>
        </w:tabs>
        <w:kinsoku/>
        <w:wordWrap/>
        <w:overflowPunct/>
        <w:topLinePunct w:val="0"/>
        <w:autoSpaceDE/>
        <w:autoSpaceDN/>
        <w:bidi w:val="0"/>
        <w:adjustRightInd/>
        <w:snapToGrid/>
        <w:spacing w:before="1" w:after="0" w:line="440" w:lineRule="exact"/>
        <w:ind w:left="731" w:right="747"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甲方应当在食品</w:t>
      </w:r>
      <w:r>
        <w:rPr>
          <w:rFonts w:hint="eastAsia" w:ascii="宋体" w:hAnsi="宋体" w:eastAsia="宋体" w:cs="宋体"/>
          <w:color w:val="auto"/>
          <w:sz w:val="24"/>
          <w:szCs w:val="24"/>
          <w:highlight w:val="none"/>
        </w:rPr>
        <w:t>（食材</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5"/>
          <w:sz w:val="24"/>
          <w:szCs w:val="24"/>
          <w:highlight w:val="none"/>
        </w:rPr>
        <w:t>贮存、加工区域配齐防蝇、防尘、防鼠等“三防”设备设施，做</w:t>
      </w:r>
      <w:r>
        <w:rPr>
          <w:rFonts w:hint="eastAsia" w:ascii="宋体" w:hAnsi="宋体" w:eastAsia="宋体" w:cs="宋体"/>
          <w:color w:val="auto"/>
          <w:sz w:val="24"/>
          <w:szCs w:val="24"/>
          <w:highlight w:val="none"/>
        </w:rPr>
        <w:t>好老鼠、蟑螂、蝇（虫）等病媒生物防护工作，采取有效措施消除四害孽生条件。</w:t>
      </w:r>
    </w:p>
    <w:p>
      <w:pPr>
        <w:pStyle w:val="133"/>
        <w:keepNext w:val="0"/>
        <w:keepLines w:val="0"/>
        <w:pageBreakBefore w:val="0"/>
        <w:widowControl w:val="0"/>
        <w:numPr>
          <w:ilvl w:val="0"/>
          <w:numId w:val="0"/>
        </w:numPr>
        <w:tabs>
          <w:tab w:val="left" w:pos="1415"/>
        </w:tabs>
        <w:kinsoku/>
        <w:wordWrap/>
        <w:overflowPunct/>
        <w:topLinePunct w:val="0"/>
        <w:autoSpaceDE/>
        <w:autoSpaceDN/>
        <w:bidi w:val="0"/>
        <w:adjustRightInd/>
        <w:snapToGrid/>
        <w:spacing w:before="0" w:after="0" w:line="440" w:lineRule="exact"/>
        <w:ind w:leftChars="200" w:right="250" w:rightChars="119" w:firstLine="720" w:firstLineChars="3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甲方学校监督小组或膳食委员会应不定期对乙方经营的食材品质及来源进行检查。</w:t>
      </w:r>
    </w:p>
    <w:p>
      <w:pPr>
        <w:pStyle w:val="18"/>
        <w:keepNext w:val="0"/>
        <w:keepLines w:val="0"/>
        <w:pageBreakBefore w:val="0"/>
        <w:widowControl w:val="0"/>
        <w:kinsoku/>
        <w:wordWrap/>
        <w:overflowPunct/>
        <w:topLinePunct w:val="0"/>
        <w:autoSpaceDE/>
        <w:autoSpaceDN/>
        <w:bidi w:val="0"/>
        <w:adjustRightInd/>
        <w:snapToGrid/>
        <w:spacing w:before="151" w:line="440" w:lineRule="exact"/>
        <w:ind w:left="10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（二）乙方权利义务</w:t>
      </w:r>
    </w:p>
    <w:p>
      <w:pPr>
        <w:pStyle w:val="133"/>
        <w:keepNext w:val="0"/>
        <w:keepLines w:val="0"/>
        <w:pageBreakBefore w:val="0"/>
        <w:widowControl w:val="0"/>
        <w:numPr>
          <w:ilvl w:val="0"/>
          <w:numId w:val="0"/>
        </w:numPr>
        <w:tabs>
          <w:tab w:val="left" w:pos="1415"/>
        </w:tabs>
        <w:kinsoku/>
        <w:wordWrap/>
        <w:overflowPunct/>
        <w:topLinePunct w:val="0"/>
        <w:autoSpaceDE/>
        <w:autoSpaceDN/>
        <w:bidi w:val="0"/>
        <w:adjustRightInd/>
        <w:snapToGrid/>
        <w:spacing w:before="151" w:after="0" w:line="440" w:lineRule="exact"/>
        <w:ind w:left="638" w:leftChars="304" w:right="250" w:rightChars="119" w:firstLine="580" w:firstLineChars="246"/>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rPr>
        <w:t>乙方应严格按照《中华人民共和国食品安全法</w:t>
      </w:r>
      <w:r>
        <w:rPr>
          <w:rFonts w:hint="eastAsia" w:ascii="宋体" w:hAnsi="宋体" w:eastAsia="宋体" w:cs="宋体"/>
          <w:color w:val="auto"/>
          <w:spacing w:val="-18"/>
          <w:sz w:val="24"/>
          <w:szCs w:val="24"/>
          <w:highlight w:val="none"/>
        </w:rPr>
        <w:t>》《中华人民共和国农产品质量安全法》《中</w:t>
      </w:r>
      <w:r>
        <w:rPr>
          <w:rFonts w:hint="eastAsia" w:ascii="宋体" w:hAnsi="宋体" w:eastAsia="宋体" w:cs="宋体"/>
          <w:color w:val="auto"/>
          <w:spacing w:val="-1"/>
          <w:sz w:val="24"/>
          <w:szCs w:val="24"/>
          <w:highlight w:val="none"/>
        </w:rPr>
        <w:t>华人民共和国产品质量法》等法律和食品安全规范要求，向甲方提供符合质量标准和安全要求的</w:t>
      </w:r>
      <w:r>
        <w:rPr>
          <w:rFonts w:hint="eastAsia" w:ascii="宋体" w:hAnsi="宋体" w:eastAsia="宋体" w:cs="宋体"/>
          <w:color w:val="auto"/>
          <w:sz w:val="24"/>
          <w:szCs w:val="24"/>
          <w:highlight w:val="none"/>
        </w:rPr>
        <w:t>食品。建立健全食品进货查验记录、销售记录，并保存相关凭证。</w:t>
      </w:r>
    </w:p>
    <w:p>
      <w:pPr>
        <w:keepNext w:val="0"/>
        <w:keepLines w:val="0"/>
        <w:pageBreakBefore w:val="0"/>
        <w:widowControl w:val="0"/>
        <w:tabs>
          <w:tab w:val="left" w:pos="230"/>
        </w:tabs>
        <w:kinsoku/>
        <w:wordWrap/>
        <w:overflowPunct/>
        <w:topLinePunct w:val="0"/>
        <w:autoSpaceDE/>
        <w:autoSpaceDN/>
        <w:bidi w:val="0"/>
        <w:adjustRightInd/>
        <w:snapToGrid/>
        <w:spacing w:line="440" w:lineRule="exact"/>
        <w:ind w:left="632" w:leftChars="301" w:right="250" w:rightChars="119" w:firstLine="424" w:firstLineChars="177"/>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乙方属食品生产企业的，应建立产品（含名称、执行标准及标准内容、配料、生产工艺、标签标识等</w:t>
      </w:r>
      <w:r>
        <w:rPr>
          <w:rFonts w:hint="eastAsia" w:ascii="宋体" w:hAnsi="宋体" w:eastAsia="宋体" w:cs="宋体"/>
          <w:color w:val="auto"/>
          <w:spacing w:val="-105"/>
          <w:sz w:val="24"/>
          <w:szCs w:val="24"/>
          <w:highlight w:val="none"/>
        </w:rPr>
        <w:t>）</w:t>
      </w:r>
      <w:r>
        <w:rPr>
          <w:rFonts w:hint="eastAsia" w:ascii="宋体" w:hAnsi="宋体" w:eastAsia="宋体" w:cs="宋体"/>
          <w:color w:val="auto"/>
          <w:spacing w:val="-1"/>
          <w:sz w:val="24"/>
          <w:szCs w:val="24"/>
          <w:highlight w:val="none"/>
        </w:rPr>
        <w:t>、原辅料、生产、销售、设备、设施、人员、召回、销毁、投诉等信息以供甲方备查。</w:t>
      </w:r>
    </w:p>
    <w:p>
      <w:pPr>
        <w:pStyle w:val="18"/>
        <w:keepNext w:val="0"/>
        <w:keepLines w:val="0"/>
        <w:pageBreakBefore w:val="0"/>
        <w:widowControl w:val="0"/>
        <w:kinsoku/>
        <w:wordWrap/>
        <w:overflowPunct/>
        <w:topLinePunct w:val="0"/>
        <w:autoSpaceDE/>
        <w:autoSpaceDN/>
        <w:bidi w:val="0"/>
        <w:adjustRightInd/>
        <w:snapToGrid/>
        <w:spacing w:line="440" w:lineRule="exact"/>
        <w:ind w:left="632" w:leftChars="301" w:right="250" w:rightChars="119" w:firstLine="396" w:firstLineChars="177"/>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乙方属食品销售企业的，应建立进货、贮存、销售等信息以供甲方备查。</w:t>
      </w:r>
    </w:p>
    <w:p>
      <w:pPr>
        <w:pStyle w:val="133"/>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1" w:after="0" w:line="440" w:lineRule="exact"/>
        <w:ind w:left="718" w:leftChars="342" w:right="250" w:rightChars="119"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2.乙方应按照《企业落实食品安全主体责任监督管理办法》规定配备食品安全总监/食品安全员，落实“日管控、周排查、月调度”制度要求。</w:t>
      </w:r>
    </w:p>
    <w:p>
      <w:pPr>
        <w:pStyle w:val="133"/>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1" w:after="0" w:line="440" w:lineRule="exact"/>
        <w:ind w:left="718" w:leftChars="342" w:right="250" w:rightChars="119"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3.乙方应当在食品（食材）贮存、加工区域配齐防蝇、防尘、防鼠等“三防”设备设施，做好老鼠</w:t>
      </w:r>
      <w:r>
        <w:rPr>
          <w:rFonts w:hint="eastAsia" w:ascii="宋体" w:hAnsi="宋体" w:eastAsia="宋体" w:cs="宋体"/>
          <w:color w:val="auto"/>
          <w:sz w:val="24"/>
          <w:szCs w:val="24"/>
          <w:highlight w:val="none"/>
        </w:rPr>
        <w:t>、蟑螂、蝇（虫）等病媒生物防护工作，采取有效措施消除四害孽生条件。</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636" w:leftChars="303" w:right="250" w:rightChars="119" w:firstLine="487" w:firstLineChars="21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4.</w:t>
      </w:r>
      <w:r>
        <w:rPr>
          <w:rFonts w:hint="eastAsia" w:ascii="宋体" w:hAnsi="宋体" w:eastAsia="宋体" w:cs="宋体"/>
          <w:color w:val="auto"/>
          <w:spacing w:val="-4"/>
          <w:sz w:val="24"/>
          <w:szCs w:val="24"/>
          <w:highlight w:val="none"/>
        </w:rPr>
        <w:t>乙方应严格按照甲方订单中的品类、规格、质量及数量等进行配送，验收时甲方若发现食</w:t>
      </w:r>
      <w:r>
        <w:rPr>
          <w:rFonts w:hint="eastAsia" w:ascii="宋体" w:hAnsi="宋体" w:eastAsia="宋体" w:cs="宋体"/>
          <w:color w:val="auto"/>
          <w:sz w:val="24"/>
          <w:szCs w:val="24"/>
          <w:highlight w:val="none"/>
        </w:rPr>
        <w:t>材质量不达标、重量不足或出现缺货漏货等情况，乙方应按照甲方的要求立即更换及补货。</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1" w:after="0" w:line="440" w:lineRule="exact"/>
        <w:ind w:left="659" w:leftChars="314" w:right="250" w:rightChars="119" w:firstLine="471" w:firstLineChars="20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rPr>
        <w:t>乙方应保证送货车辆内外整洁，防止食品污染。在运输货物过程中，严禁踩、踏、抛、摔</w:t>
      </w:r>
      <w:r>
        <w:rPr>
          <w:rFonts w:hint="eastAsia" w:ascii="宋体" w:hAnsi="宋体" w:eastAsia="宋体" w:cs="宋体"/>
          <w:color w:val="auto"/>
          <w:sz w:val="24"/>
          <w:szCs w:val="24"/>
          <w:highlight w:val="none"/>
        </w:rPr>
        <w:t>货物，保持货物的完整性。</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659" w:leftChars="314" w:right="250" w:rightChars="119" w:firstLine="484" w:firstLineChars="20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乙方承担从开始运输至经甲方验收合格前的一切损毁、变质风险，以及运输货物过程中所</w:t>
      </w:r>
      <w:r>
        <w:rPr>
          <w:rFonts w:hint="eastAsia" w:ascii="宋体" w:hAnsi="宋体" w:eastAsia="宋体" w:cs="宋体"/>
          <w:color w:val="auto"/>
          <w:sz w:val="24"/>
          <w:szCs w:val="24"/>
          <w:highlight w:val="none"/>
        </w:rPr>
        <w:t>产生的一切费用和责任。</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1" w:after="0" w:line="440" w:lineRule="exact"/>
        <w:ind w:left="659" w:leftChars="314" w:right="250" w:rightChars="0" w:firstLine="484" w:firstLineChars="207"/>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7.</w:t>
      </w:r>
      <w:r>
        <w:rPr>
          <w:rFonts w:hint="eastAsia" w:ascii="宋体" w:hAnsi="宋体" w:eastAsia="宋体" w:cs="宋体"/>
          <w:color w:val="auto"/>
          <w:spacing w:val="-3"/>
          <w:sz w:val="24"/>
          <w:szCs w:val="24"/>
          <w:highlight w:val="none"/>
        </w:rPr>
        <w:t>乙方出入校园须严格遵守甲方学校规章制度及要求，按甲方指定出入通道出入，若因不按</w:t>
      </w:r>
      <w:r>
        <w:rPr>
          <w:rFonts w:hint="eastAsia" w:ascii="宋体" w:hAnsi="宋体" w:eastAsia="宋体" w:cs="宋体"/>
          <w:color w:val="auto"/>
          <w:sz w:val="24"/>
          <w:szCs w:val="24"/>
          <w:highlight w:val="none"/>
        </w:rPr>
        <w:t>规定行驶造成的一切法律责任由乙方承担，给甲方带来恶劣影响的，甲方可单方面解除本合同。</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659" w:leftChars="314" w:right="250" w:rightChars="119" w:firstLine="464"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8.</w:t>
      </w:r>
      <w:r>
        <w:rPr>
          <w:rFonts w:hint="eastAsia" w:ascii="宋体" w:hAnsi="宋体" w:eastAsia="宋体" w:cs="宋体"/>
          <w:color w:val="auto"/>
          <w:spacing w:val="-4"/>
          <w:sz w:val="24"/>
          <w:szCs w:val="24"/>
          <w:highlight w:val="none"/>
        </w:rPr>
        <w:t>乙方将货物运抵甲方，须随货提供当批次有效检验检疫合格证明、产品合格证、进货查验</w:t>
      </w:r>
      <w:r>
        <w:rPr>
          <w:rFonts w:hint="eastAsia" w:ascii="宋体" w:hAnsi="宋体" w:eastAsia="宋体" w:cs="宋体"/>
          <w:color w:val="auto"/>
          <w:spacing w:val="-15"/>
          <w:sz w:val="24"/>
          <w:szCs w:val="24"/>
          <w:highlight w:val="none"/>
        </w:rPr>
        <w:t xml:space="preserve">记录等文件，经甲方相关人员验收合格并签字确认后，乙方应将货物按规范摆放到甲方指定位置， </w:t>
      </w:r>
      <w:r>
        <w:rPr>
          <w:rFonts w:hint="eastAsia" w:ascii="宋体" w:hAnsi="宋体" w:eastAsia="宋体" w:cs="宋体"/>
          <w:color w:val="auto"/>
          <w:sz w:val="24"/>
          <w:szCs w:val="24"/>
          <w:highlight w:val="none"/>
        </w:rPr>
        <w:t>并向甲方提供合规发票。</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1" w:after="0" w:line="440" w:lineRule="exact"/>
        <w:ind w:leftChars="200" w:right="250" w:rightChars="119" w:firstLine="720" w:firstLineChars="3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乙方将货物送达甲方指定收货点后，若给甲方场地造成污染的，乙方须及时清理。</w:t>
      </w:r>
    </w:p>
    <w:p>
      <w:pPr>
        <w:pStyle w:val="18"/>
        <w:keepNext w:val="0"/>
        <w:keepLines w:val="0"/>
        <w:pageBreakBefore w:val="0"/>
        <w:widowControl w:val="0"/>
        <w:kinsoku/>
        <w:wordWrap/>
        <w:overflowPunct/>
        <w:topLinePunct w:val="0"/>
        <w:autoSpaceDE/>
        <w:autoSpaceDN/>
        <w:bidi w:val="0"/>
        <w:adjustRightInd/>
        <w:snapToGrid/>
        <w:spacing w:before="151" w:line="440" w:lineRule="exact"/>
        <w:ind w:right="250" w:rightChars="119" w:firstLine="90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九、违约责任及合同解除</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151" w:after="0" w:line="440" w:lineRule="exact"/>
        <w:ind w:leftChars="200" w:right="250" w:rightChars="119" w:firstLine="480" w:firstLineChars="200"/>
        <w:jc w:val="both"/>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（一）</w:t>
      </w:r>
      <w:r>
        <w:rPr>
          <w:rFonts w:hint="eastAsia" w:ascii="宋体" w:hAnsi="宋体" w:eastAsia="宋体" w:cs="宋体"/>
          <w:sz w:val="24"/>
          <w:szCs w:val="24"/>
          <w:highlight w:val="none"/>
        </w:rPr>
        <w:t>甲乙双方协商一致可以解除本合同。</w:t>
      </w:r>
    </w:p>
    <w:p>
      <w:pPr>
        <w:pStyle w:val="133"/>
        <w:keepNext w:val="0"/>
        <w:keepLines w:val="0"/>
        <w:pageBreakBefore w:val="0"/>
        <w:widowControl w:val="0"/>
        <w:numPr>
          <w:ilvl w:val="0"/>
          <w:numId w:val="0"/>
        </w:numPr>
        <w:tabs>
          <w:tab w:val="left" w:pos="1417"/>
        </w:tabs>
        <w:kinsoku/>
        <w:wordWrap/>
        <w:overflowPunct/>
        <w:topLinePunct w:val="0"/>
        <w:autoSpaceDE/>
        <w:autoSpaceDN/>
        <w:bidi w:val="0"/>
        <w:adjustRightInd/>
        <w:snapToGrid/>
        <w:spacing w:before="151" w:after="0" w:line="440" w:lineRule="exact"/>
        <w:ind w:leftChars="200" w:right="250" w:rightChars="119" w:firstLine="496" w:firstLineChars="200"/>
        <w:jc w:val="both"/>
        <w:textAlignment w:val="auto"/>
        <w:rPr>
          <w:rFonts w:hint="eastAsia" w:ascii="宋体" w:hAnsi="宋体" w:eastAsia="宋体" w:cs="宋体"/>
          <w:sz w:val="24"/>
          <w:szCs w:val="24"/>
          <w:highlight w:val="none"/>
        </w:rPr>
      </w:pP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lang w:val="en-US" w:eastAsia="zh-CN"/>
        </w:rPr>
        <w:t>二</w:t>
      </w:r>
      <w:r>
        <w:rPr>
          <w:rFonts w:hint="eastAsia" w:ascii="宋体" w:hAnsi="宋体" w:cs="宋体"/>
          <w:spacing w:val="4"/>
          <w:sz w:val="24"/>
          <w:szCs w:val="24"/>
          <w:highlight w:val="none"/>
          <w:lang w:eastAsia="zh-CN"/>
        </w:rPr>
        <w:t>）</w:t>
      </w:r>
      <w:r>
        <w:rPr>
          <w:rFonts w:hint="eastAsia" w:ascii="宋体" w:hAnsi="宋体" w:eastAsia="宋体" w:cs="宋体"/>
          <w:spacing w:val="4"/>
          <w:sz w:val="24"/>
          <w:szCs w:val="24"/>
          <w:highlight w:val="none"/>
        </w:rPr>
        <w:t>乙方未按合同约定时间供货的，每延迟一次按延迟供货金额</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u w:val="single"/>
          <w:lang w:val="en-US" w:eastAsia="zh-CN"/>
        </w:rPr>
        <w:t xml:space="preserve">  </w:t>
      </w:r>
      <w:r>
        <w:rPr>
          <w:rFonts w:hint="eastAsia" w:ascii="宋体" w:hAnsi="宋体" w:eastAsia="宋体" w:cs="宋体"/>
          <w:spacing w:val="5"/>
          <w:sz w:val="24"/>
          <w:szCs w:val="24"/>
          <w:highlight w:val="none"/>
        </w:rPr>
        <w:t>%</w:t>
      </w:r>
      <w:r>
        <w:rPr>
          <w:rFonts w:hint="eastAsia" w:ascii="宋体" w:hAnsi="宋体" w:eastAsia="宋体" w:cs="宋体"/>
          <w:spacing w:val="3"/>
          <w:sz w:val="24"/>
          <w:szCs w:val="24"/>
          <w:highlight w:val="none"/>
        </w:rPr>
        <w:t>支付违约金，如发生</w:t>
      </w:r>
      <w:r>
        <w:rPr>
          <w:rFonts w:hint="eastAsia" w:ascii="宋体" w:hAnsi="宋体" w:eastAsia="宋体" w:cs="宋体"/>
          <w:sz w:val="24"/>
          <w:szCs w:val="24"/>
          <w:highlight w:val="none"/>
        </w:rPr>
        <w:t>次延迟供货，甲方有权解除合同，并要求乙方承担违约责任。</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56" w:firstLineChars="200"/>
        <w:jc w:val="both"/>
        <w:textAlignment w:val="auto"/>
        <w:rPr>
          <w:rFonts w:hint="eastAsia" w:ascii="宋体" w:hAnsi="宋体" w:eastAsia="宋体" w:cs="宋体"/>
          <w:sz w:val="24"/>
          <w:szCs w:val="24"/>
          <w:highlight w:val="none"/>
        </w:rPr>
      </w:pPr>
      <w:r>
        <w:rPr>
          <w:rFonts w:hint="eastAsia" w:ascii="宋体" w:hAnsi="宋体" w:cs="宋体"/>
          <w:spacing w:val="-6"/>
          <w:sz w:val="24"/>
          <w:szCs w:val="24"/>
          <w:highlight w:val="none"/>
          <w:lang w:eastAsia="zh-CN"/>
        </w:rPr>
        <w:t>（</w:t>
      </w:r>
      <w:r>
        <w:rPr>
          <w:rFonts w:hint="eastAsia" w:ascii="宋体" w:hAnsi="宋体" w:cs="宋体"/>
          <w:spacing w:val="-6"/>
          <w:sz w:val="24"/>
          <w:szCs w:val="24"/>
          <w:highlight w:val="none"/>
          <w:lang w:val="en-US" w:eastAsia="zh-CN"/>
        </w:rPr>
        <w:t>三</w:t>
      </w:r>
      <w:r>
        <w:rPr>
          <w:rFonts w:hint="eastAsia" w:ascii="宋体" w:hAnsi="宋体" w:cs="宋体"/>
          <w:spacing w:val="-6"/>
          <w:sz w:val="24"/>
          <w:szCs w:val="24"/>
          <w:highlight w:val="none"/>
          <w:lang w:eastAsia="zh-CN"/>
        </w:rPr>
        <w:t>）</w:t>
      </w:r>
      <w:r>
        <w:rPr>
          <w:rFonts w:hint="eastAsia" w:ascii="宋体" w:hAnsi="宋体" w:eastAsia="宋体" w:cs="宋体"/>
          <w:spacing w:val="-6"/>
          <w:sz w:val="24"/>
          <w:szCs w:val="24"/>
          <w:highlight w:val="none"/>
        </w:rPr>
        <w:t>甲方未按合同约定时间支付价款的，自逾期之日起，每日按逾期支付货款的</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%向乙方支付违约金，如发生</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次逾期支付，乙方有权解除合同，并要求甲方返还保证金及承担违约责任。</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1" w:after="0" w:line="440" w:lineRule="exact"/>
        <w:ind w:leftChars="200" w:right="250" w:rightChars="119" w:firstLine="456" w:firstLineChars="200"/>
        <w:jc w:val="both"/>
        <w:textAlignment w:val="auto"/>
        <w:rPr>
          <w:rFonts w:hint="eastAsia" w:ascii="宋体" w:hAnsi="宋体" w:eastAsia="宋体" w:cs="宋体"/>
          <w:sz w:val="24"/>
          <w:szCs w:val="24"/>
          <w:highlight w:val="none"/>
        </w:rPr>
      </w:pPr>
      <w:r>
        <w:rPr>
          <w:rFonts w:hint="eastAsia" w:ascii="宋体" w:hAnsi="宋体" w:cs="宋体"/>
          <w:spacing w:val="-6"/>
          <w:sz w:val="24"/>
          <w:szCs w:val="24"/>
          <w:highlight w:val="none"/>
          <w:lang w:eastAsia="zh-CN"/>
        </w:rPr>
        <w:t>（</w:t>
      </w:r>
      <w:r>
        <w:rPr>
          <w:rFonts w:hint="eastAsia" w:ascii="宋体" w:hAnsi="宋体" w:cs="宋体"/>
          <w:spacing w:val="-6"/>
          <w:sz w:val="24"/>
          <w:szCs w:val="24"/>
          <w:highlight w:val="none"/>
          <w:lang w:val="en-US" w:eastAsia="zh-CN"/>
        </w:rPr>
        <w:t>四</w:t>
      </w:r>
      <w:r>
        <w:rPr>
          <w:rFonts w:hint="eastAsia" w:ascii="宋体" w:hAnsi="宋体" w:cs="宋体"/>
          <w:spacing w:val="-6"/>
          <w:sz w:val="24"/>
          <w:szCs w:val="24"/>
          <w:highlight w:val="none"/>
          <w:lang w:eastAsia="zh-CN"/>
        </w:rPr>
        <w:t>）合</w:t>
      </w:r>
      <w:r>
        <w:rPr>
          <w:rFonts w:hint="eastAsia" w:ascii="宋体" w:hAnsi="宋体" w:eastAsia="宋体" w:cs="宋体"/>
          <w:spacing w:val="-11"/>
          <w:sz w:val="24"/>
          <w:szCs w:val="24"/>
          <w:highlight w:val="none"/>
        </w:rPr>
        <w:t>同履行期限届满前，如乙方提出解除合同，需要提前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pacing w:val="3"/>
          <w:sz w:val="24"/>
          <w:szCs w:val="24"/>
          <w:highlight w:val="none"/>
        </w:rPr>
        <w:t>个月以书面方式向甲方提出。</w:t>
      </w:r>
      <w:r>
        <w:rPr>
          <w:rFonts w:hint="eastAsia" w:ascii="宋体" w:hAnsi="宋体" w:eastAsia="宋体" w:cs="宋体"/>
          <w:spacing w:val="-4"/>
          <w:sz w:val="24"/>
          <w:szCs w:val="24"/>
          <w:highlight w:val="none"/>
        </w:rPr>
        <w:t>甲方重新组织招标采购或者集中定点采购。同时，乙方应向甲方支付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pacing w:val="3"/>
          <w:sz w:val="24"/>
          <w:szCs w:val="24"/>
          <w:highlight w:val="none"/>
        </w:rPr>
        <w:t>违约金。在未接到甲方</w:t>
      </w:r>
      <w:r>
        <w:rPr>
          <w:rFonts w:hint="eastAsia" w:ascii="宋体" w:hAnsi="宋体" w:eastAsia="宋体" w:cs="宋体"/>
          <w:sz w:val="24"/>
          <w:szCs w:val="24"/>
          <w:highlight w:val="none"/>
        </w:rPr>
        <w:t>书面同意解除合同前，乙方仍须按照本合同条款继续履行。</w:t>
      </w:r>
    </w:p>
    <w:p>
      <w:pPr>
        <w:pStyle w:val="133"/>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1" w:after="0" w:line="440" w:lineRule="exact"/>
        <w:ind w:left="420" w:leftChars="200" w:right="250" w:rightChars="119" w:firstLine="493" w:firstLineChars="209"/>
        <w:jc w:val="both"/>
        <w:textAlignment w:val="auto"/>
        <w:rPr>
          <w:rFonts w:hint="eastAsia" w:ascii="宋体" w:hAnsi="宋体" w:eastAsia="宋体" w:cs="宋体"/>
          <w:sz w:val="24"/>
          <w:szCs w:val="24"/>
          <w:highlight w:val="none"/>
        </w:rPr>
      </w:pPr>
      <w:r>
        <w:rPr>
          <w:rFonts w:hint="eastAsia" w:ascii="宋体" w:hAnsi="宋体" w:cs="宋体"/>
          <w:spacing w:val="-2"/>
          <w:sz w:val="24"/>
          <w:szCs w:val="24"/>
          <w:highlight w:val="none"/>
          <w:lang w:val="en-US" w:eastAsia="zh-CN"/>
        </w:rPr>
        <w:t>（五）</w:t>
      </w:r>
      <w:r>
        <w:rPr>
          <w:rFonts w:hint="eastAsia" w:ascii="宋体" w:hAnsi="宋体" w:eastAsia="宋体" w:cs="宋体"/>
          <w:spacing w:val="-2"/>
          <w:sz w:val="24"/>
          <w:szCs w:val="24"/>
          <w:highlight w:val="none"/>
        </w:rPr>
        <w:t>如乙方所提供的食品经国家认证的检测机构检测不符合食品安全标准，甲方有权解除合同</w:t>
      </w:r>
      <w:r>
        <w:rPr>
          <w:rFonts w:hint="eastAsia" w:ascii="宋体" w:hAnsi="宋体" w:eastAsia="宋体" w:cs="宋体"/>
          <w:sz w:val="24"/>
          <w:szCs w:val="24"/>
          <w:highlight w:val="none"/>
        </w:rPr>
        <w:t>并要求乙方向甲方支付</w:t>
      </w:r>
      <w:r>
        <w:rPr>
          <w:rFonts w:hint="eastAsia" w:ascii="宋体" w:hAnsi="宋体" w:eastAsia="宋体" w:cs="宋体"/>
          <w:spacing w:val="20"/>
          <w:sz w:val="24"/>
          <w:szCs w:val="24"/>
          <w:highlight w:val="none"/>
          <w:u w:val="single"/>
        </w:rPr>
        <w:t xml:space="preserve"> </w:t>
      </w:r>
      <w:r>
        <w:rPr>
          <w:rFonts w:hint="eastAsia" w:ascii="宋体" w:hAnsi="宋体" w:eastAsia="宋体" w:cs="宋体"/>
          <w:spacing w:val="20"/>
          <w:sz w:val="24"/>
          <w:szCs w:val="24"/>
          <w:highlight w:val="none"/>
          <w:u w:val="single"/>
          <w:lang w:val="en-US" w:eastAsia="zh-CN"/>
        </w:rPr>
        <w:t xml:space="preserve">  </w:t>
      </w:r>
      <w:r>
        <w:rPr>
          <w:rFonts w:hint="eastAsia" w:ascii="宋体" w:hAnsi="宋体" w:eastAsia="宋体" w:cs="宋体"/>
          <w:spacing w:val="20"/>
          <w:sz w:val="24"/>
          <w:szCs w:val="24"/>
          <w:highlight w:val="none"/>
        </w:rPr>
        <w:t>违约金。</w:t>
      </w:r>
    </w:p>
    <w:p>
      <w:pPr>
        <w:keepNext w:val="0"/>
        <w:keepLines w:val="0"/>
        <w:pageBreakBefore w:val="0"/>
        <w:widowControl w:val="0"/>
        <w:tabs>
          <w:tab w:val="left" w:pos="313"/>
        </w:tabs>
        <w:kinsoku/>
        <w:wordWrap/>
        <w:overflowPunct/>
        <w:topLinePunct w:val="0"/>
        <w:autoSpaceDE/>
        <w:autoSpaceDN/>
        <w:bidi w:val="0"/>
        <w:adjustRightInd/>
        <w:snapToGrid/>
        <w:spacing w:line="440" w:lineRule="exact"/>
        <w:ind w:left="479" w:leftChars="228" w:right="250" w:rightChars="119" w:firstLine="417" w:firstLineChars="180"/>
        <w:jc w:val="left"/>
        <w:textAlignment w:val="auto"/>
        <w:rPr>
          <w:rFonts w:hint="eastAsia" w:ascii="宋体" w:hAnsi="宋体" w:eastAsia="宋体" w:cs="宋体"/>
          <w:sz w:val="24"/>
          <w:szCs w:val="24"/>
          <w:highlight w:val="none"/>
        </w:rPr>
      </w:pPr>
      <w:r>
        <w:rPr>
          <w:rFonts w:hint="eastAsia" w:ascii="宋体" w:hAnsi="宋体" w:cs="宋体"/>
          <w:spacing w:val="-4"/>
          <w:sz w:val="24"/>
          <w:szCs w:val="24"/>
          <w:highlight w:val="none"/>
          <w:lang w:val="en-US" w:eastAsia="zh-CN"/>
        </w:rPr>
        <w:t>（六）</w:t>
      </w:r>
      <w:r>
        <w:rPr>
          <w:rFonts w:hint="eastAsia" w:ascii="宋体" w:hAnsi="宋体" w:eastAsia="宋体" w:cs="宋体"/>
          <w:spacing w:val="-4"/>
          <w:sz w:val="24"/>
          <w:szCs w:val="24"/>
          <w:highlight w:val="none"/>
        </w:rPr>
        <w:t>若发生食品安全事故，甲方人员因食用食堂饭菜致使食物中毒，经卫生检疫部门确认因乙</w:t>
      </w:r>
      <w:r>
        <w:rPr>
          <w:rFonts w:hint="eastAsia" w:ascii="宋体" w:hAnsi="宋体" w:eastAsia="宋体" w:cs="宋体"/>
          <w:spacing w:val="-1"/>
          <w:sz w:val="24"/>
          <w:szCs w:val="24"/>
          <w:highlight w:val="none"/>
        </w:rPr>
        <w:t>方提供的食材质量问题所引发，乙方除承担医药费外还需承担其他法律责任，且甲方有权解除合</w:t>
      </w:r>
      <w:r>
        <w:rPr>
          <w:rFonts w:hint="eastAsia" w:ascii="宋体" w:hAnsi="宋体" w:eastAsia="宋体" w:cs="宋体"/>
          <w:sz w:val="24"/>
          <w:szCs w:val="24"/>
          <w:highlight w:val="none"/>
        </w:rPr>
        <w:t>同。如果由于甲方加工过程所导致，由甲方承担全部责任。</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z w:val="24"/>
          <w:szCs w:val="24"/>
          <w:highlight w:val="none"/>
        </w:rPr>
      </w:pPr>
      <w:r>
        <w:rPr>
          <w:rFonts w:hint="eastAsia" w:ascii="宋体" w:hAnsi="宋体" w:cs="宋体"/>
          <w:spacing w:val="-3"/>
          <w:sz w:val="24"/>
          <w:szCs w:val="24"/>
          <w:highlight w:val="none"/>
          <w:lang w:val="en-US" w:eastAsia="zh-CN"/>
        </w:rPr>
        <w:t>（七）</w:t>
      </w:r>
      <w:r>
        <w:rPr>
          <w:rFonts w:hint="eastAsia" w:ascii="宋体" w:hAnsi="宋体" w:eastAsia="宋体" w:cs="宋体"/>
          <w:spacing w:val="-3"/>
          <w:sz w:val="24"/>
          <w:szCs w:val="24"/>
          <w:highlight w:val="none"/>
        </w:rPr>
        <w:t>如乙方所提供的食材经甲方进行抽检不合格的，该批次产品一律无条件退回且乙方无权要</w:t>
      </w:r>
      <w:r>
        <w:rPr>
          <w:rFonts w:hint="eastAsia" w:ascii="宋体" w:hAnsi="宋体" w:eastAsia="宋体" w:cs="宋体"/>
          <w:spacing w:val="-8"/>
          <w:sz w:val="24"/>
          <w:szCs w:val="24"/>
          <w:highlight w:val="none"/>
        </w:rPr>
        <w:t>求甲方支付该批次产品费用。如果</w:t>
      </w:r>
      <w:r>
        <w:rPr>
          <w:rFonts w:hint="eastAsia" w:ascii="宋体" w:hAnsi="宋体" w:eastAsia="宋体" w:cs="宋体"/>
          <w:sz w:val="24"/>
          <w:szCs w:val="24"/>
          <w:highlight w:val="none"/>
          <w:u w:val="single"/>
        </w:rPr>
        <w:t xml:space="preserve"> </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次抽检不合格，甲方有权解除合同，乙方应承担违约责任， </w:t>
      </w:r>
      <w:r>
        <w:rPr>
          <w:rFonts w:hint="eastAsia" w:ascii="宋体" w:hAnsi="宋体" w:eastAsia="宋体" w:cs="宋体"/>
          <w:sz w:val="24"/>
          <w:szCs w:val="24"/>
          <w:highlight w:val="none"/>
        </w:rPr>
        <w:t>向甲方支付</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违约金，若造成甲方损失的，还应承担赔偿责任。</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1" w:after="0" w:line="440" w:lineRule="exact"/>
        <w:ind w:leftChars="200" w:right="250" w:rightChars="119" w:firstLine="416" w:firstLineChars="200"/>
        <w:jc w:val="both"/>
        <w:textAlignment w:val="auto"/>
        <w:rPr>
          <w:rFonts w:hint="eastAsia" w:ascii="宋体" w:hAnsi="宋体" w:eastAsia="宋体" w:cs="宋体"/>
          <w:sz w:val="24"/>
          <w:szCs w:val="24"/>
          <w:highlight w:val="none"/>
        </w:rPr>
      </w:pPr>
      <w:r>
        <w:rPr>
          <w:rFonts w:hint="eastAsia" w:ascii="宋体" w:hAnsi="宋体" w:cs="宋体"/>
          <w:spacing w:val="-16"/>
          <w:sz w:val="24"/>
          <w:szCs w:val="24"/>
          <w:highlight w:val="none"/>
          <w:lang w:val="en-US" w:eastAsia="zh-CN"/>
        </w:rPr>
        <w:t>（八）</w:t>
      </w:r>
      <w:r>
        <w:rPr>
          <w:rFonts w:hint="eastAsia" w:ascii="宋体" w:hAnsi="宋体" w:eastAsia="宋体" w:cs="宋体"/>
          <w:spacing w:val="-3"/>
          <w:sz w:val="24"/>
          <w:szCs w:val="24"/>
          <w:highlight w:val="none"/>
        </w:rPr>
        <w:t>如甲、乙双方中有一方不接受调整价格，可提出解除合同，不属于违约行为。如解除合同， 乙方仍需按照本合同的标准，</w:t>
      </w:r>
      <w:r>
        <w:rPr>
          <w:rFonts w:hint="eastAsia" w:ascii="宋体" w:hAnsi="宋体" w:eastAsia="宋体" w:cs="宋体"/>
          <w:spacing w:val="-4"/>
          <w:sz w:val="24"/>
          <w:szCs w:val="24"/>
          <w:highlight w:val="none"/>
        </w:rPr>
        <w:t>以上一个供货周期的价格为甲方供货</w:t>
      </w:r>
      <w:r>
        <w:rPr>
          <w:rFonts w:hint="eastAsia" w:ascii="宋体" w:hAnsi="宋体" w:eastAsia="宋体" w:cs="宋体"/>
          <w:sz w:val="24"/>
          <w:szCs w:val="24"/>
          <w:highlight w:val="none"/>
          <w:u w:val="single"/>
        </w:rPr>
        <w:t xml:space="preserve">  </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2"/>
          <w:sz w:val="24"/>
          <w:szCs w:val="24"/>
          <w:highlight w:val="none"/>
        </w:rPr>
        <w:t>个月，如因乙方无法供货</w:t>
      </w:r>
      <w:r>
        <w:rPr>
          <w:rFonts w:hint="eastAsia" w:ascii="宋体" w:hAnsi="宋体" w:eastAsia="宋体" w:cs="宋体"/>
          <w:sz w:val="24"/>
          <w:szCs w:val="24"/>
          <w:highlight w:val="none"/>
        </w:rPr>
        <w:t>给甲方造成损失，则视为违约行为。</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1" w:after="0" w:line="440" w:lineRule="exact"/>
        <w:ind w:leftChars="200" w:right="250" w:rightChars="119" w:firstLine="416" w:firstLineChars="200"/>
        <w:jc w:val="both"/>
        <w:textAlignment w:val="auto"/>
        <w:rPr>
          <w:rFonts w:hint="eastAsia" w:ascii="宋体" w:hAnsi="宋体" w:cs="宋体"/>
          <w:spacing w:val="-16"/>
          <w:sz w:val="24"/>
          <w:szCs w:val="24"/>
          <w:highlight w:val="none"/>
          <w:lang w:val="en-US" w:eastAsia="zh-CN"/>
        </w:rPr>
      </w:pPr>
      <w:r>
        <w:rPr>
          <w:rFonts w:hint="eastAsia" w:ascii="宋体" w:hAnsi="宋体" w:cs="宋体"/>
          <w:spacing w:val="-16"/>
          <w:sz w:val="24"/>
          <w:szCs w:val="24"/>
          <w:highlight w:val="none"/>
          <w:lang w:val="en-US" w:eastAsia="zh-CN"/>
        </w:rPr>
        <w:t>（九）乙方具有下列情形之一的，甲方可以单方面解除本合同并不再向乙方支付当月货款：</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1.使用非食品原料生产的食品或者添加食品添加剂以外的化学物质和其他可能危害人体健康物质的食品，或者使用回收食品作为原料生产的食品；</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2.使用含有致病性微生物，农药残留、兽药残留、生物毒素、重金属等污染物质以及其他危害人体健康的物质含量超过食品安全标准限量的食品、食品添加剂、食品相关产品；</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3.使用超过保质期的食品原料、食品添加剂生产的食品、食品添加剂；</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4.超范围、超限量使用食品添加剂的食品；</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5.使用腐败变质、油脂酸败、霉变生虫、污秽不洁、混有异物、掺假掺杂或者感官性状异常的食品、食品添加剂；</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6.采购、使用病死、毒死或者死因不明的禽、畜、兽、水产动物肉类及其制品；</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7.采购、使用未按规定进行检疫或者检疫不合格的肉类，或者未经检验或者检验不合格的肉类制品；</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8.使用被污染的包装材料、容器、运输工具等包装、贮存、运输食品、食品添加剂；</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9.篡改、标注虚假食品、食品添加剂生产日期、保质期，或者使用超过保质期的食品、食品添加剂；</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10.使用无标签的预包装食品、食品添加剂；</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11.使用国家为防病等特殊需要明令禁止生产经营的食品；</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12.采购、使用其他不符合法律、法规或者食品安全标准的食品、食品添加剂、食品相关产品；</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13.乙方在一年内累计</w:t>
      </w:r>
      <w:r>
        <w:rPr>
          <w:rFonts w:hint="eastAsia" w:ascii="宋体" w:hAnsi="宋体" w:eastAsia="宋体" w:cs="宋体"/>
          <w:spacing w:val="-3"/>
          <w:sz w:val="24"/>
          <w:szCs w:val="24"/>
          <w:highlight w:val="none"/>
          <w:u w:val="single"/>
          <w:lang w:val="en-US" w:eastAsia="zh-CN"/>
        </w:rPr>
        <w:t xml:space="preserve">    </w:t>
      </w:r>
      <w:r>
        <w:rPr>
          <w:rFonts w:hint="eastAsia" w:ascii="宋体" w:hAnsi="宋体" w:eastAsia="宋体" w:cs="宋体"/>
          <w:spacing w:val="-3"/>
          <w:sz w:val="24"/>
          <w:szCs w:val="24"/>
          <w:highlight w:val="none"/>
          <w:lang w:val="en-US" w:eastAsia="zh-CN"/>
        </w:rPr>
        <w:t>次因违反食品安全法规定受到行政处罚或因食品安全犯罪被判处有期徒刑以上刑罚的，甲方有权立即解除合同。由此造成甲方的损失和影响，由乙方承担全部责任。</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14.发生转包、分包，或擅自更换履约人的；</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15.发生食品安全事件（舆情）影响恶劣的；</w:t>
      </w:r>
    </w:p>
    <w:p>
      <w:pPr>
        <w:pStyle w:val="133"/>
        <w:keepNext w:val="0"/>
        <w:keepLines w:val="0"/>
        <w:pageBreakBefore w:val="0"/>
        <w:widowControl w:val="0"/>
        <w:numPr>
          <w:ilvl w:val="0"/>
          <w:numId w:val="0"/>
        </w:numPr>
        <w:tabs>
          <w:tab w:val="left" w:pos="1414"/>
        </w:tabs>
        <w:kinsoku/>
        <w:wordWrap/>
        <w:overflowPunct/>
        <w:topLinePunct w:val="0"/>
        <w:autoSpaceDE/>
        <w:autoSpaceDN/>
        <w:bidi w:val="0"/>
        <w:adjustRightInd/>
        <w:snapToGrid/>
        <w:spacing w:before="0" w:after="0" w:line="440" w:lineRule="exact"/>
        <w:ind w:leftChars="200" w:right="250" w:rightChars="119" w:firstLine="468" w:firstLineChars="200"/>
        <w:jc w:val="both"/>
        <w:textAlignment w:val="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16.其他：</w:t>
      </w:r>
      <w:r>
        <w:rPr>
          <w:rFonts w:hint="eastAsia" w:ascii="宋体" w:hAnsi="宋体" w:eastAsia="宋体" w:cs="宋体"/>
          <w:spacing w:val="-3"/>
          <w:sz w:val="24"/>
          <w:szCs w:val="24"/>
          <w:highlight w:val="none"/>
          <w:u w:val="single"/>
          <w:lang w:val="en-US" w:eastAsia="zh-CN"/>
        </w:rPr>
        <w:t xml:space="preserve"> </w:t>
      </w:r>
      <w:r>
        <w:rPr>
          <w:rFonts w:hint="eastAsia" w:ascii="宋体" w:hAnsi="宋体" w:eastAsia="宋体" w:cs="宋体"/>
          <w:spacing w:val="-3"/>
          <w:sz w:val="24"/>
          <w:szCs w:val="24"/>
          <w:highlight w:val="none"/>
          <w:u w:val="single"/>
          <w:lang w:val="en-US" w:eastAsia="zh-CN"/>
        </w:rPr>
        <w:tab/>
      </w:r>
      <w:r>
        <w:rPr>
          <w:rFonts w:hint="eastAsia" w:ascii="宋体" w:hAnsi="宋体" w:eastAsia="宋体" w:cs="宋体"/>
          <w:spacing w:val="-3"/>
          <w:sz w:val="24"/>
          <w:szCs w:val="24"/>
          <w:highlight w:val="none"/>
          <w:u w:val="single"/>
          <w:lang w:val="en-US" w:eastAsia="zh-CN"/>
        </w:rPr>
        <w:t xml:space="preserve">    </w:t>
      </w:r>
      <w:r>
        <w:rPr>
          <w:rFonts w:hint="eastAsia" w:ascii="宋体" w:hAnsi="宋体" w:eastAsia="宋体" w:cs="宋体"/>
          <w:spacing w:val="-3"/>
          <w:sz w:val="24"/>
          <w:szCs w:val="24"/>
          <w:highlight w:val="none"/>
          <w:lang w:val="en-US" w:eastAsia="zh-CN"/>
        </w:rPr>
        <w:t>。</w:t>
      </w:r>
    </w:p>
    <w:p>
      <w:pPr>
        <w:pStyle w:val="18"/>
        <w:keepNext w:val="0"/>
        <w:keepLines w:val="0"/>
        <w:pageBreakBefore w:val="0"/>
        <w:widowControl w:val="0"/>
        <w:kinsoku/>
        <w:wordWrap/>
        <w:overflowPunct/>
        <w:topLinePunct w:val="0"/>
        <w:autoSpaceDE/>
        <w:autoSpaceDN/>
        <w:bidi w:val="0"/>
        <w:adjustRightInd/>
        <w:snapToGrid/>
        <w:spacing w:before="151" w:line="440" w:lineRule="exact"/>
        <w:ind w:left="115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十、不可抗力</w:t>
      </w:r>
    </w:p>
    <w:p>
      <w:pPr>
        <w:pStyle w:val="18"/>
        <w:keepNext w:val="0"/>
        <w:keepLines w:val="0"/>
        <w:pageBreakBefore w:val="0"/>
        <w:widowControl w:val="0"/>
        <w:kinsoku/>
        <w:wordWrap/>
        <w:overflowPunct/>
        <w:topLinePunct w:val="0"/>
        <w:autoSpaceDE/>
        <w:autoSpaceDN/>
        <w:bidi w:val="0"/>
        <w:adjustRightInd/>
        <w:snapToGrid/>
        <w:spacing w:before="151" w:line="440" w:lineRule="exact"/>
        <w:ind w:left="731" w:right="250" w:rightChars="0" w:firstLine="315"/>
        <w:textAlignment w:val="auto"/>
        <w:rPr>
          <w:rFonts w:hint="default"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rPr>
        <w:t>（一）甲乙任何一方因不可抗力不能履行合同的，根据不可抗力的影响，部分或者全部免除责任，但法律另有规定的除外。</w:t>
      </w:r>
      <w:r>
        <w:rPr>
          <w:rFonts w:hint="eastAsia" w:ascii="宋体" w:hAnsi="宋体" w:eastAsia="宋体" w:cs="宋体"/>
          <w:b w:val="0"/>
          <w:bCs/>
          <w:color w:val="auto"/>
          <w:sz w:val="24"/>
          <w:szCs w:val="24"/>
          <w:highlight w:val="none"/>
          <w:lang w:val="en-US" w:eastAsia="zh-CN"/>
        </w:rPr>
        <w:t>在履行合同期间，若上级调整农村义务教育学生营养改善计划实施范围，导致不能继续履行合同，麒麟区教育体育局及甲方均不承担任何责任。</w:t>
      </w:r>
    </w:p>
    <w:p>
      <w:pPr>
        <w:pStyle w:val="18"/>
        <w:keepNext w:val="0"/>
        <w:keepLines w:val="0"/>
        <w:pageBreakBefore w:val="0"/>
        <w:widowControl w:val="0"/>
        <w:kinsoku/>
        <w:wordWrap/>
        <w:overflowPunct/>
        <w:topLinePunct w:val="0"/>
        <w:autoSpaceDE/>
        <w:autoSpaceDN/>
        <w:bidi w:val="0"/>
        <w:adjustRightInd/>
        <w:snapToGrid/>
        <w:spacing w:before="1" w:line="440" w:lineRule="exact"/>
        <w:ind w:left="731" w:right="250" w:rightChars="119" w:firstLine="31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（二）甲乙任何一方遇到不可抗力使其履行合同义务受到阻碍的，应及时通知合同另一方，书面说明不可抗力和受阻碍的详细情况，并在合理期限内提供必要的证明。</w:t>
      </w:r>
    </w:p>
    <w:p>
      <w:pPr>
        <w:pStyle w:val="18"/>
        <w:keepNext w:val="0"/>
        <w:keepLines w:val="0"/>
        <w:pageBreakBefore w:val="0"/>
        <w:widowControl w:val="0"/>
        <w:kinsoku/>
        <w:wordWrap/>
        <w:overflowPunct/>
        <w:topLinePunct w:val="0"/>
        <w:autoSpaceDE/>
        <w:autoSpaceDN/>
        <w:bidi w:val="0"/>
        <w:adjustRightInd/>
        <w:snapToGrid/>
        <w:spacing w:line="440" w:lineRule="exact"/>
        <w:ind w:left="731" w:right="250" w:rightChars="119" w:firstLine="31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w:t>
      </w:r>
      <w:r>
        <w:rPr>
          <w:rFonts w:hint="eastAsia" w:ascii="宋体" w:hAnsi="宋体" w:eastAsia="宋体" w:cs="宋体"/>
          <w:b w:val="0"/>
          <w:bCs/>
          <w:color w:val="auto"/>
          <w:spacing w:val="-27"/>
          <w:sz w:val="24"/>
          <w:szCs w:val="24"/>
          <w:highlight w:val="none"/>
        </w:rPr>
        <w:t>）</w:t>
      </w:r>
      <w:r>
        <w:rPr>
          <w:rFonts w:hint="eastAsia" w:ascii="宋体" w:hAnsi="宋体" w:eastAsia="宋体" w:cs="宋体"/>
          <w:b w:val="0"/>
          <w:bCs/>
          <w:color w:val="auto"/>
          <w:spacing w:val="-6"/>
          <w:sz w:val="24"/>
          <w:szCs w:val="24"/>
          <w:highlight w:val="none"/>
        </w:rPr>
        <w:t>不可抗力发生后，甲乙双方均应采取措施尽量避免和减少损失的扩大，任何一方没有采</w:t>
      </w:r>
      <w:r>
        <w:rPr>
          <w:rFonts w:hint="eastAsia" w:ascii="宋体" w:hAnsi="宋体" w:eastAsia="宋体" w:cs="宋体"/>
          <w:b w:val="0"/>
          <w:bCs/>
          <w:color w:val="auto"/>
          <w:sz w:val="24"/>
          <w:szCs w:val="24"/>
          <w:highlight w:val="none"/>
        </w:rPr>
        <w:t>取适当措施导致损失扩大的，应对扩大的损失承担责任。</w:t>
      </w:r>
    </w:p>
    <w:p>
      <w:pPr>
        <w:pStyle w:val="18"/>
        <w:keepNext w:val="0"/>
        <w:keepLines w:val="0"/>
        <w:pageBreakBefore w:val="0"/>
        <w:widowControl w:val="0"/>
        <w:kinsoku/>
        <w:wordWrap/>
        <w:overflowPunct/>
        <w:topLinePunct w:val="0"/>
        <w:autoSpaceDE/>
        <w:autoSpaceDN/>
        <w:bidi w:val="0"/>
        <w:adjustRightInd/>
        <w:snapToGrid/>
        <w:spacing w:before="1" w:line="440" w:lineRule="exact"/>
        <w:ind w:left="731" w:right="250" w:rightChars="119" w:firstLine="31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（四</w:t>
      </w:r>
      <w:r>
        <w:rPr>
          <w:rFonts w:hint="eastAsia" w:ascii="宋体" w:hAnsi="宋体" w:eastAsia="宋体" w:cs="宋体"/>
          <w:b w:val="0"/>
          <w:bCs/>
          <w:color w:val="auto"/>
          <w:spacing w:val="-27"/>
          <w:sz w:val="24"/>
          <w:szCs w:val="24"/>
          <w:highlight w:val="none"/>
        </w:rPr>
        <w:t>）</w:t>
      </w:r>
      <w:r>
        <w:rPr>
          <w:rFonts w:hint="eastAsia" w:ascii="宋体" w:hAnsi="宋体" w:eastAsia="宋体" w:cs="宋体"/>
          <w:b w:val="0"/>
          <w:bCs/>
          <w:color w:val="auto"/>
          <w:spacing w:val="-5"/>
          <w:sz w:val="24"/>
          <w:szCs w:val="24"/>
          <w:highlight w:val="none"/>
        </w:rPr>
        <w:t>因一方迟延履行合同义务，在迟延履行期间遭遇不可抗力的，不免除迟延履行方的违约</w:t>
      </w:r>
      <w:r>
        <w:rPr>
          <w:rFonts w:hint="eastAsia" w:ascii="宋体" w:hAnsi="宋体" w:eastAsia="宋体" w:cs="宋体"/>
          <w:b w:val="0"/>
          <w:bCs/>
          <w:color w:val="auto"/>
          <w:sz w:val="24"/>
          <w:szCs w:val="24"/>
          <w:highlight w:val="none"/>
        </w:rPr>
        <w:t>责任。</w:t>
      </w:r>
    </w:p>
    <w:p>
      <w:pPr>
        <w:pStyle w:val="18"/>
        <w:keepNext w:val="0"/>
        <w:keepLines w:val="0"/>
        <w:pageBreakBefore w:val="0"/>
        <w:widowControl w:val="0"/>
        <w:kinsoku/>
        <w:wordWrap/>
        <w:overflowPunct/>
        <w:topLinePunct w:val="0"/>
        <w:autoSpaceDE/>
        <w:autoSpaceDN/>
        <w:bidi w:val="0"/>
        <w:adjustRightInd/>
        <w:snapToGrid/>
        <w:spacing w:line="440" w:lineRule="exact"/>
        <w:ind w:left="1046" w:right="250" w:rightChars="119"/>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（五）不可抗力发生前已完成的供货服务应按照合同约定进行货款支付。</w:t>
      </w:r>
    </w:p>
    <w:p>
      <w:pPr>
        <w:pStyle w:val="18"/>
        <w:keepNext w:val="0"/>
        <w:keepLines w:val="0"/>
        <w:pageBreakBefore w:val="0"/>
        <w:widowControl w:val="0"/>
        <w:kinsoku/>
        <w:wordWrap/>
        <w:overflowPunct/>
        <w:topLinePunct w:val="0"/>
        <w:autoSpaceDE/>
        <w:autoSpaceDN/>
        <w:bidi w:val="0"/>
        <w:adjustRightInd/>
        <w:snapToGrid/>
        <w:spacing w:before="151" w:line="400" w:lineRule="exact"/>
        <w:ind w:left="1151" w:right="250" w:rightChars="11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十一、争议解决</w:t>
      </w:r>
    </w:p>
    <w:p>
      <w:pPr>
        <w:pStyle w:val="18"/>
        <w:keepNext w:val="0"/>
        <w:keepLines w:val="0"/>
        <w:pageBreakBefore w:val="0"/>
        <w:widowControl w:val="0"/>
        <w:tabs>
          <w:tab w:val="left" w:pos="8942"/>
        </w:tabs>
        <w:kinsoku/>
        <w:wordWrap/>
        <w:overflowPunct/>
        <w:topLinePunct w:val="0"/>
        <w:autoSpaceDE/>
        <w:autoSpaceDN/>
        <w:bidi w:val="0"/>
        <w:adjustRightInd/>
        <w:snapToGrid/>
        <w:spacing w:before="151" w:line="400" w:lineRule="exact"/>
        <w:ind w:left="731" w:right="450" w:rightChars="0" w:firstLine="42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因本合同项下发生的争议</w:t>
      </w:r>
      <w:r>
        <w:rPr>
          <w:rFonts w:hint="eastAsia" w:ascii="宋体" w:hAnsi="宋体" w:eastAsia="宋体" w:cs="宋体"/>
          <w:b w:val="0"/>
          <w:bCs/>
          <w:color w:val="auto"/>
          <w:spacing w:val="-27"/>
          <w:sz w:val="24"/>
          <w:szCs w:val="24"/>
          <w:highlight w:val="none"/>
        </w:rPr>
        <w:t>，</w:t>
      </w:r>
      <w:r>
        <w:rPr>
          <w:rFonts w:hint="eastAsia" w:ascii="宋体" w:hAnsi="宋体" w:eastAsia="宋体" w:cs="宋体"/>
          <w:b w:val="0"/>
          <w:bCs/>
          <w:color w:val="auto"/>
          <w:sz w:val="24"/>
          <w:szCs w:val="24"/>
          <w:highlight w:val="none"/>
        </w:rPr>
        <w:t>双方应当协商解决</w:t>
      </w:r>
      <w:r>
        <w:rPr>
          <w:rFonts w:hint="eastAsia" w:ascii="宋体" w:hAnsi="宋体" w:eastAsia="宋体" w:cs="宋体"/>
          <w:b w:val="0"/>
          <w:bCs/>
          <w:color w:val="auto"/>
          <w:spacing w:val="-28"/>
          <w:sz w:val="24"/>
          <w:szCs w:val="24"/>
          <w:highlight w:val="none"/>
        </w:rPr>
        <w:t>，</w:t>
      </w:r>
      <w:r>
        <w:rPr>
          <w:rFonts w:hint="eastAsia" w:ascii="宋体" w:hAnsi="宋体" w:eastAsia="宋体" w:cs="宋体"/>
          <w:b w:val="0"/>
          <w:bCs/>
          <w:color w:val="auto"/>
          <w:sz w:val="24"/>
          <w:szCs w:val="24"/>
          <w:highlight w:val="none"/>
        </w:rPr>
        <w:t>协商解决不成</w:t>
      </w:r>
      <w:r>
        <w:rPr>
          <w:rFonts w:hint="eastAsia" w:ascii="宋体" w:hAnsi="宋体" w:eastAsia="宋体" w:cs="宋体"/>
          <w:b w:val="0"/>
          <w:bCs/>
          <w:color w:val="auto"/>
          <w:spacing w:val="-28"/>
          <w:sz w:val="24"/>
          <w:szCs w:val="24"/>
          <w:highlight w:val="none"/>
        </w:rPr>
        <w:t>，</w:t>
      </w:r>
      <w:r>
        <w:rPr>
          <w:rFonts w:hint="eastAsia" w:ascii="宋体" w:hAnsi="宋体" w:eastAsia="宋体" w:cs="宋体"/>
          <w:b w:val="0"/>
          <w:bCs/>
          <w:color w:val="auto"/>
          <w:sz w:val="24"/>
          <w:szCs w:val="24"/>
          <w:highlight w:val="none"/>
        </w:rPr>
        <w:t>双方选择下列第</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种方式解决：</w:t>
      </w:r>
    </w:p>
    <w:p>
      <w:pPr>
        <w:pStyle w:val="18"/>
        <w:keepNext w:val="0"/>
        <w:keepLines w:val="0"/>
        <w:pageBreakBefore w:val="0"/>
        <w:widowControl w:val="0"/>
        <w:tabs>
          <w:tab w:val="left" w:pos="3984"/>
        </w:tabs>
        <w:kinsoku/>
        <w:wordWrap/>
        <w:overflowPunct/>
        <w:topLinePunct w:val="0"/>
        <w:autoSpaceDE/>
        <w:autoSpaceDN/>
        <w:bidi w:val="0"/>
        <w:adjustRightInd/>
        <w:snapToGrid/>
        <w:spacing w:before="1" w:line="400" w:lineRule="exact"/>
        <w:ind w:left="104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（一）向</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仲裁委员会申请仲裁。</w:t>
      </w:r>
    </w:p>
    <w:p>
      <w:pPr>
        <w:pStyle w:val="18"/>
        <w:keepNext w:val="0"/>
        <w:keepLines w:val="0"/>
        <w:pageBreakBefore w:val="0"/>
        <w:widowControl w:val="0"/>
        <w:tabs>
          <w:tab w:val="left" w:pos="3984"/>
        </w:tabs>
        <w:kinsoku/>
        <w:wordWrap/>
        <w:overflowPunct/>
        <w:topLinePunct w:val="0"/>
        <w:autoSpaceDE/>
        <w:autoSpaceDN/>
        <w:bidi w:val="0"/>
        <w:adjustRightInd/>
        <w:snapToGrid/>
        <w:spacing w:before="151" w:line="400" w:lineRule="exact"/>
        <w:ind w:left="104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（二）向</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人民法院起诉。</w:t>
      </w:r>
    </w:p>
    <w:p>
      <w:pPr>
        <w:pStyle w:val="18"/>
        <w:keepNext w:val="0"/>
        <w:keepLines w:val="0"/>
        <w:pageBreakBefore w:val="0"/>
        <w:widowControl w:val="0"/>
        <w:kinsoku/>
        <w:wordWrap/>
        <w:overflowPunct/>
        <w:topLinePunct w:val="0"/>
        <w:autoSpaceDE/>
        <w:autoSpaceDN/>
        <w:bidi w:val="0"/>
        <w:adjustRightInd/>
        <w:snapToGrid/>
        <w:spacing w:before="151" w:line="400" w:lineRule="exact"/>
        <w:ind w:left="1151"/>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在诉讼或仲裁期间，本合同不涉及争议的条款仍然有效，双方应继续履行。</w:t>
      </w:r>
    </w:p>
    <w:p>
      <w:pPr>
        <w:pStyle w:val="18"/>
        <w:keepNext w:val="0"/>
        <w:keepLines w:val="0"/>
        <w:pageBreakBefore w:val="0"/>
        <w:widowControl w:val="0"/>
        <w:kinsoku/>
        <w:wordWrap/>
        <w:overflowPunct/>
        <w:topLinePunct w:val="0"/>
        <w:autoSpaceDE/>
        <w:autoSpaceDN/>
        <w:bidi w:val="0"/>
        <w:adjustRightInd/>
        <w:snapToGrid/>
        <w:spacing w:before="151" w:line="400" w:lineRule="exact"/>
        <w:ind w:left="115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十二、合同生效方式</w:t>
      </w:r>
    </w:p>
    <w:p>
      <w:pPr>
        <w:pStyle w:val="18"/>
        <w:keepNext w:val="0"/>
        <w:keepLines w:val="0"/>
        <w:pageBreakBefore w:val="0"/>
        <w:widowControl w:val="0"/>
        <w:kinsoku/>
        <w:wordWrap/>
        <w:overflowPunct/>
        <w:topLinePunct w:val="0"/>
        <w:autoSpaceDE/>
        <w:autoSpaceDN/>
        <w:bidi w:val="0"/>
        <w:adjustRightInd/>
        <w:snapToGrid/>
        <w:spacing w:before="151" w:line="400" w:lineRule="exact"/>
        <w:ind w:left="104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（一）本合同经双方法定代表人或者委托代理人签</w:t>
      </w:r>
      <w:r>
        <w:rPr>
          <w:rFonts w:hint="eastAsia" w:ascii="宋体" w:hAnsi="宋体" w:eastAsia="宋体" w:cs="宋体"/>
          <w:b w:val="0"/>
          <w:bCs/>
          <w:color w:val="auto"/>
          <w:sz w:val="24"/>
          <w:szCs w:val="24"/>
          <w:highlight w:val="none"/>
          <w:lang w:val="en-US" w:eastAsia="zh-CN"/>
        </w:rPr>
        <w:t>字</w:t>
      </w:r>
      <w:r>
        <w:rPr>
          <w:rFonts w:hint="eastAsia" w:ascii="宋体" w:hAnsi="宋体" w:eastAsia="宋体" w:cs="宋体"/>
          <w:b w:val="0"/>
          <w:bCs/>
          <w:color w:val="auto"/>
          <w:sz w:val="24"/>
          <w:szCs w:val="24"/>
          <w:highlight w:val="none"/>
        </w:rPr>
        <w:t>并加盖公章后生效。</w:t>
      </w:r>
    </w:p>
    <w:p>
      <w:pPr>
        <w:pStyle w:val="18"/>
        <w:keepNext w:val="0"/>
        <w:keepLines w:val="0"/>
        <w:pageBreakBefore w:val="0"/>
        <w:widowControl w:val="0"/>
        <w:tabs>
          <w:tab w:val="left" w:pos="3257"/>
          <w:tab w:val="left" w:pos="7153"/>
          <w:tab w:val="left" w:pos="8732"/>
        </w:tabs>
        <w:kinsoku/>
        <w:wordWrap/>
        <w:overflowPunct/>
        <w:topLinePunct w:val="0"/>
        <w:autoSpaceDE/>
        <w:autoSpaceDN/>
        <w:bidi w:val="0"/>
        <w:adjustRightInd/>
        <w:snapToGrid/>
        <w:spacing w:before="150" w:line="400" w:lineRule="exact"/>
        <w:ind w:left="731" w:right="746" w:firstLine="315"/>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（二）本合同一式</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eastAsia="宋体" w:cs="宋体"/>
          <w:b w:val="0"/>
          <w:bCs/>
          <w:color w:val="auto"/>
          <w:sz w:val="24"/>
          <w:szCs w:val="24"/>
          <w:highlight w:val="none"/>
        </w:rPr>
        <w:t>份，具有同等法律效力；其中甲方执</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份，乙方执</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rPr>
        <w:tab/>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份，均</w:t>
      </w:r>
      <w:r>
        <w:rPr>
          <w:rFonts w:hint="eastAsia" w:ascii="宋体" w:hAnsi="宋体" w:eastAsia="宋体" w:cs="宋体"/>
          <w:b w:val="0"/>
          <w:bCs/>
          <w:color w:val="auto"/>
          <w:spacing w:val="-16"/>
          <w:sz w:val="24"/>
          <w:szCs w:val="24"/>
          <w:highlight w:val="none"/>
        </w:rPr>
        <w:t>具</w:t>
      </w:r>
      <w:r>
        <w:rPr>
          <w:rFonts w:hint="eastAsia" w:ascii="宋体" w:hAnsi="宋体" w:eastAsia="宋体" w:cs="宋体"/>
          <w:b w:val="0"/>
          <w:bCs/>
          <w:color w:val="auto"/>
          <w:sz w:val="24"/>
          <w:szCs w:val="24"/>
          <w:highlight w:val="none"/>
        </w:rPr>
        <w:t>有相同的法律效力。</w:t>
      </w:r>
    </w:p>
    <w:p>
      <w:pPr>
        <w:pStyle w:val="18"/>
        <w:keepNext w:val="0"/>
        <w:keepLines w:val="0"/>
        <w:pageBreakBefore w:val="0"/>
        <w:widowControl w:val="0"/>
        <w:kinsoku/>
        <w:wordWrap/>
        <w:overflowPunct/>
        <w:topLinePunct w:val="0"/>
        <w:autoSpaceDE/>
        <w:autoSpaceDN/>
        <w:bidi w:val="0"/>
        <w:adjustRightInd/>
        <w:snapToGrid/>
        <w:spacing w:before="1" w:line="400" w:lineRule="exact"/>
        <w:ind w:left="1046"/>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（三）本合同包含如下附件：</w:t>
      </w:r>
    </w:p>
    <w:p>
      <w:pPr>
        <w:pStyle w:val="133"/>
        <w:keepNext w:val="0"/>
        <w:keepLines w:val="0"/>
        <w:pageBreakBefore w:val="0"/>
        <w:widowControl w:val="0"/>
        <w:numPr>
          <w:ilvl w:val="1"/>
          <w:numId w:val="10"/>
        </w:numPr>
        <w:tabs>
          <w:tab w:val="left" w:pos="1415"/>
        </w:tabs>
        <w:kinsoku/>
        <w:wordWrap/>
        <w:overflowPunct/>
        <w:topLinePunct w:val="0"/>
        <w:autoSpaceDE/>
        <w:autoSpaceDN/>
        <w:bidi w:val="0"/>
        <w:adjustRightInd/>
        <w:snapToGrid/>
        <w:spacing w:before="151" w:after="0" w:line="400" w:lineRule="exact"/>
        <w:ind w:left="2048" w:leftChars="0" w:right="0" w:hanging="264"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蔬菜水果类供货及验收清单。</w:t>
      </w:r>
    </w:p>
    <w:p>
      <w:pPr>
        <w:pStyle w:val="133"/>
        <w:keepNext w:val="0"/>
        <w:keepLines w:val="0"/>
        <w:pageBreakBefore w:val="0"/>
        <w:widowControl w:val="0"/>
        <w:numPr>
          <w:ilvl w:val="1"/>
          <w:numId w:val="10"/>
        </w:numPr>
        <w:tabs>
          <w:tab w:val="left" w:pos="1415"/>
        </w:tabs>
        <w:kinsoku/>
        <w:wordWrap/>
        <w:overflowPunct/>
        <w:topLinePunct w:val="0"/>
        <w:autoSpaceDE/>
        <w:autoSpaceDN/>
        <w:bidi w:val="0"/>
        <w:adjustRightInd/>
        <w:snapToGrid/>
        <w:spacing w:before="151" w:after="0" w:line="400" w:lineRule="exact"/>
        <w:ind w:left="2048" w:leftChars="0" w:right="0" w:hanging="264"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肉制品供货及验收清单。</w:t>
      </w:r>
    </w:p>
    <w:p>
      <w:pPr>
        <w:pStyle w:val="133"/>
        <w:keepNext w:val="0"/>
        <w:keepLines w:val="0"/>
        <w:pageBreakBefore w:val="0"/>
        <w:widowControl w:val="0"/>
        <w:numPr>
          <w:ilvl w:val="1"/>
          <w:numId w:val="10"/>
        </w:numPr>
        <w:tabs>
          <w:tab w:val="left" w:pos="1415"/>
        </w:tabs>
        <w:kinsoku/>
        <w:wordWrap/>
        <w:overflowPunct/>
        <w:topLinePunct w:val="0"/>
        <w:autoSpaceDE/>
        <w:autoSpaceDN/>
        <w:bidi w:val="0"/>
        <w:adjustRightInd/>
        <w:snapToGrid/>
        <w:spacing w:before="151" w:after="0" w:line="400" w:lineRule="exact"/>
        <w:ind w:left="2048" w:leftChars="0" w:right="0" w:hanging="264"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蛋奶类供货及验收清单。</w:t>
      </w:r>
    </w:p>
    <w:p>
      <w:pPr>
        <w:pStyle w:val="133"/>
        <w:keepNext w:val="0"/>
        <w:keepLines w:val="0"/>
        <w:pageBreakBefore w:val="0"/>
        <w:widowControl w:val="0"/>
        <w:numPr>
          <w:ilvl w:val="1"/>
          <w:numId w:val="10"/>
        </w:numPr>
        <w:tabs>
          <w:tab w:val="left" w:pos="1416"/>
        </w:tabs>
        <w:kinsoku/>
        <w:wordWrap/>
        <w:overflowPunct/>
        <w:topLinePunct w:val="0"/>
        <w:autoSpaceDE/>
        <w:autoSpaceDN/>
        <w:bidi w:val="0"/>
        <w:adjustRightInd/>
        <w:snapToGrid/>
        <w:spacing w:before="151" w:after="0" w:line="400" w:lineRule="exact"/>
        <w:ind w:left="2049" w:leftChars="0" w:right="0" w:hanging="265"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米面粮油供货及验收清单。</w:t>
      </w:r>
    </w:p>
    <w:p>
      <w:pPr>
        <w:pStyle w:val="133"/>
        <w:keepNext w:val="0"/>
        <w:keepLines w:val="0"/>
        <w:pageBreakBefore w:val="0"/>
        <w:widowControl w:val="0"/>
        <w:numPr>
          <w:ilvl w:val="1"/>
          <w:numId w:val="10"/>
        </w:numPr>
        <w:tabs>
          <w:tab w:val="left" w:pos="1415"/>
        </w:tabs>
        <w:kinsoku/>
        <w:wordWrap/>
        <w:overflowPunct/>
        <w:topLinePunct w:val="0"/>
        <w:autoSpaceDE/>
        <w:autoSpaceDN/>
        <w:bidi w:val="0"/>
        <w:adjustRightInd/>
        <w:snapToGrid/>
        <w:spacing w:before="151" w:after="0" w:line="400" w:lineRule="exact"/>
        <w:ind w:left="2048" w:leftChars="0" w:right="0" w:hanging="264"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调味品供货及验收清单。</w:t>
      </w:r>
    </w:p>
    <w:p>
      <w:pPr>
        <w:pStyle w:val="133"/>
        <w:keepNext w:val="0"/>
        <w:keepLines w:val="0"/>
        <w:pageBreakBefore w:val="0"/>
        <w:widowControl w:val="0"/>
        <w:numPr>
          <w:ilvl w:val="1"/>
          <w:numId w:val="10"/>
        </w:numPr>
        <w:tabs>
          <w:tab w:val="left" w:pos="1415"/>
        </w:tabs>
        <w:kinsoku/>
        <w:wordWrap/>
        <w:overflowPunct/>
        <w:topLinePunct w:val="0"/>
        <w:autoSpaceDE/>
        <w:autoSpaceDN/>
        <w:bidi w:val="0"/>
        <w:adjustRightInd/>
        <w:snapToGrid/>
        <w:spacing w:before="151" w:after="0" w:line="400" w:lineRule="exact"/>
        <w:ind w:left="2048" w:leftChars="0" w:right="0" w:hanging="264"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供货时间进度表。</w:t>
      </w:r>
    </w:p>
    <w:p>
      <w:pPr>
        <w:pStyle w:val="18"/>
        <w:keepNext w:val="0"/>
        <w:keepLines w:val="0"/>
        <w:pageBreakBefore w:val="0"/>
        <w:widowControl w:val="0"/>
        <w:kinsoku/>
        <w:wordWrap/>
        <w:overflowPunct/>
        <w:topLinePunct w:val="0"/>
        <w:autoSpaceDE/>
        <w:autoSpaceDN/>
        <w:bidi w:val="0"/>
        <w:adjustRightInd/>
        <w:snapToGrid/>
        <w:spacing w:before="151" w:line="400" w:lineRule="exact"/>
        <w:ind w:left="1151"/>
        <w:textAlignment w:val="auto"/>
        <w:rPr>
          <w:rFonts w:hint="eastAsia" w:ascii="宋体" w:hAnsi="宋体" w:eastAsia="宋体" w:cs="宋体"/>
          <w:color w:val="auto"/>
          <w:sz w:val="24"/>
          <w:szCs w:val="24"/>
          <w:highlight w:val="none"/>
        </w:rPr>
        <w:sectPr>
          <w:pgSz w:w="11910" w:h="16840"/>
          <w:pgMar w:top="1600" w:right="780" w:bottom="1740" w:left="800" w:header="0" w:footer="1552" w:gutter="0"/>
          <w:pgNumType w:fmt="decimal"/>
          <w:cols w:space="720" w:num="1"/>
        </w:sectPr>
      </w:pPr>
      <w:r>
        <w:rPr>
          <w:rFonts w:hint="eastAsia" w:ascii="宋体" w:hAnsi="宋体" w:eastAsia="宋体" w:cs="宋体"/>
          <w:color w:val="auto"/>
          <w:sz w:val="24"/>
          <w:szCs w:val="24"/>
          <w:highlight w:val="none"/>
        </w:rPr>
        <w:t>十三、其它约定</w:t>
      </w:r>
    </w:p>
    <w:p>
      <w:pPr>
        <w:pStyle w:val="18"/>
        <w:spacing w:before="70"/>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本页无正文，为签字页。</w:t>
      </w:r>
    </w:p>
    <w:p>
      <w:pPr>
        <w:pStyle w:val="18"/>
        <w:rPr>
          <w:rFonts w:hint="eastAsia" w:ascii="宋体" w:hAnsi="宋体" w:eastAsia="宋体" w:cs="宋体"/>
          <w:color w:val="auto"/>
          <w:sz w:val="24"/>
          <w:szCs w:val="24"/>
          <w:highlight w:val="none"/>
        </w:rPr>
      </w:pPr>
    </w:p>
    <w:p>
      <w:pPr>
        <w:pStyle w:val="18"/>
        <w:rPr>
          <w:rFonts w:hint="eastAsia" w:ascii="宋体" w:hAnsi="宋体" w:eastAsia="宋体" w:cs="宋体"/>
          <w:color w:val="auto"/>
          <w:sz w:val="24"/>
          <w:szCs w:val="24"/>
          <w:highlight w:val="none"/>
        </w:rPr>
      </w:pPr>
    </w:p>
    <w:p>
      <w:pPr>
        <w:pStyle w:val="18"/>
        <w:keepNext w:val="0"/>
        <w:keepLines w:val="0"/>
        <w:pageBreakBefore w:val="0"/>
        <w:widowControl w:val="0"/>
        <w:tabs>
          <w:tab w:val="left" w:pos="4614"/>
        </w:tabs>
        <w:kinsoku/>
        <w:wordWrap/>
        <w:overflowPunct/>
        <w:topLinePunct w:val="0"/>
        <w:autoSpaceDE/>
        <w:autoSpaceDN/>
        <w:bidi w:val="0"/>
        <w:adjustRightInd/>
        <w:snapToGrid/>
        <w:spacing w:line="50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甲方（盖章</w:t>
      </w:r>
      <w:r>
        <w:rPr>
          <w:rFonts w:hint="eastAsia" w:ascii="宋体" w:hAnsi="宋体" w:cs="宋体"/>
          <w:sz w:val="24"/>
          <w:szCs w:val="24"/>
          <w:highlight w:val="non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6353"/>
        </w:tabs>
        <w:kinsoku/>
        <w:wordWrap/>
        <w:overflowPunct/>
        <w:topLinePunct w:val="0"/>
        <w:autoSpaceDE/>
        <w:autoSpaceDN/>
        <w:bidi w:val="0"/>
        <w:adjustRightInd/>
        <w:snapToGrid/>
        <w:spacing w:before="77" w:line="50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w:t>
      </w:r>
      <w:r>
        <w:rPr>
          <w:rFonts w:hint="eastAsia" w:ascii="宋体" w:hAnsi="宋体" w:eastAsia="宋体" w:cs="宋体"/>
          <w:spacing w:val="1"/>
          <w:sz w:val="24"/>
          <w:szCs w:val="24"/>
          <w:highlight w:val="none"/>
        </w:rPr>
        <w:t>人</w:t>
      </w:r>
      <w:r>
        <w:rPr>
          <w:rFonts w:hint="eastAsia" w:ascii="宋体" w:hAnsi="宋体" w:eastAsia="宋体" w:cs="宋体"/>
          <w:spacing w:val="-1"/>
          <w:sz w:val="24"/>
          <w:szCs w:val="24"/>
          <w:highlight w:val="none"/>
        </w:rPr>
        <w:t>/</w:t>
      </w:r>
      <w:r>
        <w:rPr>
          <w:rFonts w:hint="eastAsia" w:ascii="宋体" w:hAnsi="宋体" w:eastAsia="宋体" w:cs="宋体"/>
          <w:sz w:val="24"/>
          <w:szCs w:val="24"/>
          <w:highlight w:val="none"/>
        </w:rPr>
        <w:t>委托代理人（签字</w:t>
      </w:r>
      <w:r>
        <w:rPr>
          <w:rFonts w:hint="eastAsia" w:ascii="宋体" w:hAnsi="宋体" w:eastAsia="宋体" w:cs="宋体"/>
          <w:spacing w:val="-105"/>
          <w:sz w:val="24"/>
          <w:szCs w:val="24"/>
          <w:highlight w:val="none"/>
        </w:rPr>
        <w:t>）</w:t>
      </w:r>
      <w:r>
        <w:rPr>
          <w:rFonts w:hint="eastAsia" w:ascii="宋体" w:hAnsi="宋体" w:eastAsia="宋体" w:cs="宋体"/>
          <w:sz w:val="24"/>
          <w:szCs w:val="24"/>
          <w:highlight w:val="none"/>
          <w:u w:val="none"/>
        </w:rPr>
        <w:t xml:space="preserve"> </w:t>
      </w:r>
      <w:r>
        <w:rPr>
          <w:rFonts w:hint="eastAsia" w:ascii="宋体" w:hAnsi="宋体" w:cs="宋体"/>
          <w:sz w:val="24"/>
          <w:szCs w:val="24"/>
          <w:highlight w:val="none"/>
          <w:u w:val="non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4614"/>
        </w:tabs>
        <w:kinsoku/>
        <w:wordWrap/>
        <w:overflowPunct/>
        <w:topLinePunct w:val="0"/>
        <w:autoSpaceDE/>
        <w:autoSpaceDN/>
        <w:bidi w:val="0"/>
        <w:adjustRightInd/>
        <w:snapToGrid/>
        <w:spacing w:line="500" w:lineRule="exact"/>
        <w:ind w:left="1151"/>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统一社会信用代码：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p>
    <w:p>
      <w:pPr>
        <w:pStyle w:val="18"/>
        <w:keepNext w:val="0"/>
        <w:keepLines w:val="0"/>
        <w:pageBreakBefore w:val="0"/>
        <w:widowControl w:val="0"/>
        <w:tabs>
          <w:tab w:val="left" w:pos="4614"/>
        </w:tabs>
        <w:kinsoku/>
        <w:wordWrap/>
        <w:overflowPunct/>
        <w:topLinePunct w:val="0"/>
        <w:autoSpaceDE/>
        <w:autoSpaceDN/>
        <w:bidi w:val="0"/>
        <w:adjustRightInd/>
        <w:snapToGrid/>
        <w:spacing w:line="500" w:lineRule="exact"/>
        <w:ind w:left="1151"/>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食品经营许可证编号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p>
    <w:p>
      <w:pPr>
        <w:pStyle w:val="18"/>
        <w:keepNext w:val="0"/>
        <w:keepLines w:val="0"/>
        <w:pageBreakBefore w:val="0"/>
        <w:widowControl w:val="0"/>
        <w:tabs>
          <w:tab w:val="left" w:pos="4614"/>
        </w:tabs>
        <w:kinsoku/>
        <w:wordWrap/>
        <w:overflowPunct/>
        <w:topLinePunct w:val="0"/>
        <w:autoSpaceDE/>
        <w:autoSpaceDN/>
        <w:bidi w:val="0"/>
        <w:adjustRightInd/>
        <w:snapToGrid/>
        <w:spacing w:line="50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4614"/>
        </w:tabs>
        <w:kinsoku/>
        <w:wordWrap/>
        <w:overflowPunct/>
        <w:topLinePunct w:val="0"/>
        <w:autoSpaceDE/>
        <w:autoSpaceDN/>
        <w:bidi w:val="0"/>
        <w:adjustRightInd/>
        <w:snapToGrid/>
        <w:spacing w:line="50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 户 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1781"/>
          <w:tab w:val="left" w:pos="4299"/>
        </w:tabs>
        <w:kinsoku/>
        <w:wordWrap/>
        <w:overflowPunct/>
        <w:topLinePunct w:val="0"/>
        <w:autoSpaceDE/>
        <w:autoSpaceDN/>
        <w:bidi w:val="0"/>
        <w:adjustRightInd/>
        <w:snapToGrid/>
        <w:spacing w:before="77" w:line="50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税</w:t>
      </w:r>
      <w:r>
        <w:rPr>
          <w:rFonts w:hint="eastAsia" w:ascii="宋体" w:hAnsi="宋体" w:eastAsia="宋体" w:cs="宋体"/>
          <w:sz w:val="24"/>
          <w:szCs w:val="24"/>
          <w:highlight w:val="none"/>
        </w:rPr>
        <w:tab/>
      </w:r>
      <w:r>
        <w:rPr>
          <w:rFonts w:hint="eastAsia" w:ascii="宋体" w:hAnsi="宋体" w:eastAsia="宋体" w:cs="宋体"/>
          <w:sz w:val="24"/>
          <w:szCs w:val="24"/>
          <w:highlight w:val="none"/>
        </w:rPr>
        <w:t>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1781"/>
          <w:tab w:val="left" w:pos="4299"/>
        </w:tabs>
        <w:kinsoku/>
        <w:wordWrap/>
        <w:overflowPunct/>
        <w:topLinePunct w:val="0"/>
        <w:autoSpaceDE/>
        <w:autoSpaceDN/>
        <w:bidi w:val="0"/>
        <w:adjustRightInd/>
        <w:snapToGrid/>
        <w:spacing w:before="77" w:line="50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地</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址</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4299"/>
        </w:tabs>
        <w:kinsoku/>
        <w:wordWrap/>
        <w:overflowPunct/>
        <w:topLinePunct w:val="0"/>
        <w:autoSpaceDE/>
        <w:autoSpaceDN/>
        <w:bidi w:val="0"/>
        <w:adjustRightInd/>
        <w:snapToGrid/>
        <w:spacing w:before="77" w:line="50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系 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4299"/>
        </w:tabs>
        <w:kinsoku/>
        <w:wordWrap/>
        <w:overflowPunct/>
        <w:topLinePunct w:val="0"/>
        <w:autoSpaceDE/>
        <w:autoSpaceDN/>
        <w:bidi w:val="0"/>
        <w:adjustRightInd/>
        <w:snapToGrid/>
        <w:spacing w:before="77" w:line="50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highlight w:val="none"/>
        </w:rPr>
      </w:pPr>
    </w:p>
    <w:p>
      <w:pPr>
        <w:pStyle w:val="18"/>
        <w:keepNext w:val="0"/>
        <w:keepLines w:val="0"/>
        <w:pageBreakBefore w:val="0"/>
        <w:widowControl w:val="0"/>
        <w:kinsoku/>
        <w:wordWrap/>
        <w:overflowPunct/>
        <w:topLinePunct w:val="0"/>
        <w:autoSpaceDE/>
        <w:autoSpaceDN/>
        <w:bidi w:val="0"/>
        <w:adjustRightInd/>
        <w:snapToGrid/>
        <w:spacing w:before="10" w:line="520" w:lineRule="exact"/>
        <w:textAlignment w:val="auto"/>
        <w:rPr>
          <w:rFonts w:hint="eastAsia" w:ascii="宋体" w:hAnsi="宋体" w:eastAsia="宋体" w:cs="宋体"/>
          <w:sz w:val="24"/>
          <w:szCs w:val="24"/>
          <w:highlight w:val="none"/>
        </w:rPr>
      </w:pPr>
    </w:p>
    <w:p>
      <w:pPr>
        <w:pStyle w:val="18"/>
        <w:keepNext w:val="0"/>
        <w:keepLines w:val="0"/>
        <w:pageBreakBefore w:val="0"/>
        <w:widowControl w:val="0"/>
        <w:tabs>
          <w:tab w:val="left" w:pos="5558"/>
        </w:tabs>
        <w:kinsoku/>
        <w:wordWrap/>
        <w:overflowPunct/>
        <w:topLinePunct w:val="0"/>
        <w:autoSpaceDE/>
        <w:autoSpaceDN/>
        <w:bidi w:val="0"/>
        <w:adjustRightInd/>
        <w:snapToGrid/>
        <w:spacing w:before="77" w:line="52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乙方（盖章</w:t>
      </w:r>
      <w:r>
        <w:rPr>
          <w:rFonts w:hint="eastAsia" w:ascii="宋体" w:hAnsi="宋体" w:cs="宋体"/>
          <w:sz w:val="24"/>
          <w:szCs w:val="24"/>
          <w:highlight w:val="none"/>
          <w:lang w:eastAsia="zh-CN"/>
        </w:rPr>
        <w:t>）</w:t>
      </w:r>
      <w:r>
        <w:rPr>
          <w:rFonts w:hint="eastAsia" w:ascii="宋体" w:hAnsi="宋体" w:cs="宋体"/>
          <w:sz w:val="24"/>
          <w:szCs w:val="24"/>
          <w:highlight w:val="none"/>
          <w:u w:val="non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6924"/>
        </w:tabs>
        <w:kinsoku/>
        <w:wordWrap/>
        <w:overflowPunct/>
        <w:topLinePunct w:val="0"/>
        <w:autoSpaceDE/>
        <w:autoSpaceDN/>
        <w:bidi w:val="0"/>
        <w:adjustRightInd/>
        <w:snapToGrid/>
        <w:spacing w:before="77" w:line="52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委托代理人（签字</w:t>
      </w:r>
      <w:r>
        <w:rPr>
          <w:rFonts w:hint="eastAsia" w:ascii="宋体" w:hAnsi="宋体" w:eastAsia="宋体" w:cs="宋体"/>
          <w:spacing w:val="-105"/>
          <w:sz w:val="24"/>
          <w:szCs w:val="24"/>
          <w:highlight w:val="none"/>
        </w:rPr>
        <w:t>）</w:t>
      </w:r>
      <w:r>
        <w:rPr>
          <w:rFonts w:hint="eastAsia" w:ascii="宋体" w:hAnsi="宋体" w:eastAsia="宋体" w:cs="宋体"/>
          <w:sz w:val="24"/>
          <w:szCs w:val="24"/>
          <w:highlight w:val="none"/>
          <w:u w:val="none"/>
        </w:rPr>
        <w:t xml:space="preserve"> </w:t>
      </w:r>
      <w:r>
        <w:rPr>
          <w:rFonts w:hint="eastAsia" w:ascii="宋体" w:hAnsi="宋体" w:cs="宋体"/>
          <w:sz w:val="24"/>
          <w:szCs w:val="24"/>
          <w:highlight w:val="none"/>
          <w:u w:val="none"/>
          <w:lang w:eastAsia="zh-CN"/>
        </w:rPr>
        <w:t>：</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6924"/>
        </w:tabs>
        <w:kinsoku/>
        <w:wordWrap/>
        <w:overflowPunct/>
        <w:topLinePunct w:val="0"/>
        <w:autoSpaceDE/>
        <w:autoSpaceDN/>
        <w:bidi w:val="0"/>
        <w:adjustRightInd/>
        <w:snapToGrid/>
        <w:spacing w:before="77" w:line="52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统一社会信用代码：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ab/>
      </w:r>
    </w:p>
    <w:p>
      <w:pPr>
        <w:pStyle w:val="18"/>
        <w:keepNext w:val="0"/>
        <w:keepLines w:val="0"/>
        <w:pageBreakBefore w:val="0"/>
        <w:widowControl w:val="0"/>
        <w:tabs>
          <w:tab w:val="left" w:pos="6924"/>
        </w:tabs>
        <w:kinsoku/>
        <w:wordWrap/>
        <w:overflowPunct/>
        <w:topLinePunct w:val="0"/>
        <w:autoSpaceDE/>
        <w:autoSpaceDN/>
        <w:bidi w:val="0"/>
        <w:adjustRightInd/>
        <w:snapToGrid/>
        <w:spacing w:before="77" w:line="520" w:lineRule="exact"/>
        <w:ind w:left="1151"/>
        <w:textAlignment w:val="auto"/>
        <w:rPr>
          <w:rFonts w:hint="default" w:eastAsia="宋体"/>
          <w:highlight w:val="none"/>
          <w:lang w:val="en-US" w:eastAsia="zh-CN"/>
        </w:rPr>
      </w:pPr>
      <w:r>
        <w:rPr>
          <w:rFonts w:hint="eastAsia" w:ascii="宋体" w:hAnsi="宋体" w:eastAsia="宋体" w:cs="宋体"/>
          <w:sz w:val="24"/>
          <w:szCs w:val="24"/>
          <w:highlight w:val="none"/>
        </w:rPr>
        <w:t xml:space="preserve">食品生产许可证或食品经营许可证编号： </w:t>
      </w:r>
      <w:r>
        <w:rPr>
          <w:rFonts w:hint="eastAsia" w:ascii="宋体" w:hAnsi="宋体" w:eastAsia="宋体" w:cs="宋体"/>
          <w:b w:val="0"/>
          <w:bCs/>
          <w:sz w:val="24"/>
          <w:szCs w:val="24"/>
          <w:highlight w:val="none"/>
          <w:u w:val="single"/>
        </w:rPr>
        <w:tab/>
      </w:r>
    </w:p>
    <w:p>
      <w:pPr>
        <w:pStyle w:val="18"/>
        <w:keepNext w:val="0"/>
        <w:keepLines w:val="0"/>
        <w:pageBreakBefore w:val="0"/>
        <w:widowControl w:val="0"/>
        <w:tabs>
          <w:tab w:val="left" w:pos="4299"/>
        </w:tabs>
        <w:kinsoku/>
        <w:wordWrap/>
        <w:overflowPunct/>
        <w:topLinePunct w:val="0"/>
        <w:autoSpaceDE/>
        <w:autoSpaceDN/>
        <w:bidi w:val="0"/>
        <w:adjustRightInd/>
        <w:snapToGrid/>
        <w:spacing w:before="77" w:line="52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4299"/>
        </w:tabs>
        <w:kinsoku/>
        <w:wordWrap/>
        <w:overflowPunct/>
        <w:topLinePunct w:val="0"/>
        <w:autoSpaceDE/>
        <w:autoSpaceDN/>
        <w:bidi w:val="0"/>
        <w:adjustRightInd/>
        <w:snapToGrid/>
        <w:spacing w:before="77" w:line="52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户 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1781"/>
          <w:tab w:val="left" w:pos="4299"/>
        </w:tabs>
        <w:kinsoku/>
        <w:wordWrap/>
        <w:overflowPunct/>
        <w:topLinePunct w:val="0"/>
        <w:autoSpaceDE/>
        <w:autoSpaceDN/>
        <w:bidi w:val="0"/>
        <w:adjustRightInd/>
        <w:snapToGrid/>
        <w:spacing w:before="77" w:line="52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税</w:t>
      </w:r>
      <w:r>
        <w:rPr>
          <w:rFonts w:hint="eastAsia" w:ascii="宋体" w:hAnsi="宋体" w:eastAsia="宋体" w:cs="宋体"/>
          <w:sz w:val="24"/>
          <w:szCs w:val="24"/>
          <w:highlight w:val="none"/>
        </w:rPr>
        <w:tab/>
      </w:r>
      <w:r>
        <w:rPr>
          <w:rFonts w:hint="eastAsia" w:ascii="宋体" w:hAnsi="宋体" w:eastAsia="宋体" w:cs="宋体"/>
          <w:sz w:val="24"/>
          <w:szCs w:val="24"/>
          <w:highlight w:val="none"/>
        </w:rPr>
        <w:t>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1781"/>
          <w:tab w:val="left" w:pos="4299"/>
        </w:tabs>
        <w:kinsoku/>
        <w:wordWrap/>
        <w:overflowPunct/>
        <w:topLinePunct w:val="0"/>
        <w:autoSpaceDE/>
        <w:autoSpaceDN/>
        <w:bidi w:val="0"/>
        <w:adjustRightInd/>
        <w:snapToGrid/>
        <w:spacing w:before="77" w:line="52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地</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址</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tabs>
          <w:tab w:val="left" w:pos="4299"/>
        </w:tabs>
        <w:kinsoku/>
        <w:wordWrap/>
        <w:overflowPunct/>
        <w:topLinePunct w:val="0"/>
        <w:autoSpaceDE/>
        <w:autoSpaceDN/>
        <w:bidi w:val="0"/>
        <w:adjustRightInd/>
        <w:snapToGrid/>
        <w:spacing w:before="77" w:line="520" w:lineRule="exact"/>
        <w:ind w:left="115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系 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pStyle w:val="18"/>
        <w:keepNext w:val="0"/>
        <w:keepLines w:val="0"/>
        <w:pageBreakBefore w:val="0"/>
        <w:widowControl w:val="0"/>
        <w:kinsoku/>
        <w:wordWrap/>
        <w:overflowPunct/>
        <w:topLinePunct w:val="0"/>
        <w:autoSpaceDE/>
        <w:autoSpaceDN/>
        <w:bidi w:val="0"/>
        <w:adjustRightInd/>
        <w:snapToGrid/>
        <w:spacing w:line="520" w:lineRule="exact"/>
        <w:ind w:firstLine="1125" w:firstLineChars="500"/>
        <w:textAlignment w:val="auto"/>
        <w:rPr>
          <w:rFonts w:hint="eastAsia" w:ascii="宋体" w:hAnsi="宋体" w:eastAsia="宋体" w:cs="宋体"/>
          <w:color w:val="auto"/>
          <w:sz w:val="20"/>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ab/>
      </w:r>
    </w:p>
    <w:p>
      <w:pPr>
        <w:pStyle w:val="18"/>
        <w:spacing w:before="197"/>
        <w:ind w:left="73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表 1蔬菜水果类供货及验收清单</w:t>
      </w:r>
    </w:p>
    <w:p>
      <w:pPr>
        <w:pStyle w:val="18"/>
        <w:spacing w:before="2"/>
        <w:rPr>
          <w:rFonts w:hint="eastAsia" w:ascii="宋体" w:hAnsi="宋体" w:eastAsia="宋体" w:cs="宋体"/>
          <w:color w:val="auto"/>
          <w:sz w:val="29"/>
          <w:highlight w:val="none"/>
        </w:rPr>
      </w:pPr>
    </w:p>
    <w:tbl>
      <w:tblPr>
        <w:tblStyle w:val="46"/>
        <w:tblW w:w="9923" w:type="dxa"/>
        <w:tblInd w:w="20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50"/>
        <w:gridCol w:w="791"/>
        <w:gridCol w:w="1009"/>
        <w:gridCol w:w="841"/>
        <w:gridCol w:w="1017"/>
        <w:gridCol w:w="1163"/>
        <w:gridCol w:w="1036"/>
        <w:gridCol w:w="744"/>
        <w:gridCol w:w="953"/>
        <w:gridCol w:w="847"/>
        <w:gridCol w:w="87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719" w:hRule="atLeast"/>
        </w:trPr>
        <w:tc>
          <w:tcPr>
            <w:tcW w:w="650" w:type="dxa"/>
            <w:tcBorders>
              <w:bottom w:val="single" w:color="000000" w:sz="6" w:space="0"/>
              <w:right w:val="single" w:color="000000" w:sz="6" w:space="0"/>
            </w:tcBorders>
            <w:noWrap w:val="0"/>
            <w:vAlign w:val="top"/>
          </w:tcPr>
          <w:p>
            <w:pPr>
              <w:pStyle w:val="147"/>
              <w:rPr>
                <w:rFonts w:hint="eastAsia" w:ascii="宋体" w:hAnsi="宋体" w:eastAsia="宋体" w:cs="宋体"/>
                <w:color w:val="auto"/>
                <w:sz w:val="18"/>
                <w:highlight w:val="none"/>
              </w:rPr>
            </w:pPr>
          </w:p>
          <w:p>
            <w:pPr>
              <w:pStyle w:val="147"/>
              <w:ind w:left="144"/>
              <w:rPr>
                <w:rFonts w:hint="eastAsia"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791" w:type="dxa"/>
            <w:tcBorders>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18"/>
                <w:highlight w:val="none"/>
              </w:rPr>
            </w:pPr>
          </w:p>
          <w:p>
            <w:pPr>
              <w:pStyle w:val="147"/>
              <w:ind w:left="222"/>
              <w:rPr>
                <w:rFonts w:hint="eastAsia" w:ascii="宋体" w:hAnsi="宋体" w:eastAsia="宋体" w:cs="宋体"/>
                <w:color w:val="auto"/>
                <w:sz w:val="18"/>
                <w:highlight w:val="none"/>
              </w:rPr>
            </w:pPr>
            <w:r>
              <w:rPr>
                <w:rFonts w:hint="eastAsia" w:ascii="宋体" w:hAnsi="宋体" w:eastAsia="宋体" w:cs="宋体"/>
                <w:color w:val="auto"/>
                <w:sz w:val="18"/>
                <w:highlight w:val="none"/>
              </w:rPr>
              <w:t>品名</w:t>
            </w:r>
          </w:p>
        </w:tc>
        <w:tc>
          <w:tcPr>
            <w:tcW w:w="1009" w:type="dxa"/>
            <w:tcBorders>
              <w:left w:val="single" w:color="000000" w:sz="6" w:space="0"/>
              <w:bottom w:val="single" w:color="000000" w:sz="6" w:space="0"/>
              <w:right w:val="single" w:color="000000" w:sz="6" w:space="0"/>
            </w:tcBorders>
            <w:noWrap w:val="0"/>
            <w:vAlign w:val="top"/>
          </w:tcPr>
          <w:p>
            <w:pPr>
              <w:pStyle w:val="147"/>
              <w:spacing w:before="132"/>
              <w:ind w:left="105" w:right="77"/>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数量</w:t>
            </w:r>
          </w:p>
          <w:p>
            <w:pPr>
              <w:pStyle w:val="147"/>
              <w:spacing w:before="9"/>
              <w:ind w:left="105" w:right="77"/>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（斤/个）</w:t>
            </w:r>
          </w:p>
        </w:tc>
        <w:tc>
          <w:tcPr>
            <w:tcW w:w="841" w:type="dxa"/>
            <w:tcBorders>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18"/>
                <w:highlight w:val="none"/>
              </w:rPr>
            </w:pPr>
          </w:p>
          <w:p>
            <w:pPr>
              <w:pStyle w:val="147"/>
              <w:ind w:left="247"/>
              <w:rPr>
                <w:rFonts w:hint="eastAsia" w:ascii="宋体" w:hAnsi="宋体" w:eastAsia="宋体" w:cs="宋体"/>
                <w:color w:val="auto"/>
                <w:sz w:val="18"/>
                <w:highlight w:val="none"/>
              </w:rPr>
            </w:pPr>
            <w:r>
              <w:rPr>
                <w:rFonts w:hint="eastAsia" w:ascii="宋体" w:hAnsi="宋体" w:eastAsia="宋体" w:cs="宋体"/>
                <w:color w:val="auto"/>
                <w:sz w:val="18"/>
                <w:highlight w:val="none"/>
              </w:rPr>
              <w:t>产地</w:t>
            </w:r>
          </w:p>
        </w:tc>
        <w:tc>
          <w:tcPr>
            <w:tcW w:w="1017" w:type="dxa"/>
            <w:tcBorders>
              <w:left w:val="single" w:color="000000" w:sz="6" w:space="0"/>
              <w:bottom w:val="single" w:color="000000" w:sz="6" w:space="0"/>
              <w:right w:val="single" w:color="000000" w:sz="6" w:space="0"/>
            </w:tcBorders>
            <w:noWrap w:val="0"/>
            <w:vAlign w:val="top"/>
          </w:tcPr>
          <w:p>
            <w:pPr>
              <w:pStyle w:val="147"/>
              <w:spacing w:before="132" w:line="249" w:lineRule="auto"/>
              <w:ind w:left="336" w:right="213" w:hanging="90"/>
              <w:rPr>
                <w:rFonts w:hint="eastAsia" w:ascii="宋体" w:hAnsi="宋体" w:eastAsia="宋体" w:cs="宋体"/>
                <w:color w:val="auto"/>
                <w:sz w:val="18"/>
                <w:highlight w:val="none"/>
              </w:rPr>
            </w:pPr>
            <w:r>
              <w:rPr>
                <w:rFonts w:hint="eastAsia" w:ascii="宋体" w:hAnsi="宋体" w:eastAsia="宋体" w:cs="宋体"/>
                <w:color w:val="auto"/>
                <w:sz w:val="18"/>
                <w:highlight w:val="none"/>
              </w:rPr>
              <w:t>生产者名称</w:t>
            </w:r>
          </w:p>
        </w:tc>
        <w:tc>
          <w:tcPr>
            <w:tcW w:w="1163" w:type="dxa"/>
            <w:tcBorders>
              <w:left w:val="single" w:color="000000" w:sz="6" w:space="0"/>
              <w:bottom w:val="single" w:color="000000" w:sz="6" w:space="0"/>
              <w:right w:val="single" w:color="000000" w:sz="6" w:space="0"/>
            </w:tcBorders>
            <w:noWrap w:val="0"/>
            <w:vAlign w:val="top"/>
          </w:tcPr>
          <w:p>
            <w:pPr>
              <w:pStyle w:val="147"/>
              <w:spacing w:before="132" w:line="249" w:lineRule="auto"/>
              <w:ind w:left="410" w:right="285" w:hanging="90"/>
              <w:rPr>
                <w:rFonts w:hint="eastAsia" w:ascii="宋体" w:hAnsi="宋体" w:eastAsia="宋体" w:cs="宋体"/>
                <w:color w:val="auto"/>
                <w:sz w:val="18"/>
                <w:highlight w:val="none"/>
              </w:rPr>
            </w:pPr>
            <w:r>
              <w:rPr>
                <w:rFonts w:hint="eastAsia" w:ascii="宋体" w:hAnsi="宋体" w:eastAsia="宋体" w:cs="宋体"/>
                <w:color w:val="auto"/>
                <w:sz w:val="18"/>
                <w:highlight w:val="none"/>
              </w:rPr>
              <w:t>生产者地址</w:t>
            </w:r>
          </w:p>
        </w:tc>
        <w:tc>
          <w:tcPr>
            <w:tcW w:w="1036" w:type="dxa"/>
            <w:tcBorders>
              <w:left w:val="single" w:color="000000" w:sz="6" w:space="0"/>
              <w:bottom w:val="single" w:color="000000" w:sz="6" w:space="0"/>
              <w:right w:val="single" w:color="000000" w:sz="6" w:space="0"/>
            </w:tcBorders>
            <w:noWrap w:val="0"/>
            <w:vAlign w:val="top"/>
          </w:tcPr>
          <w:p>
            <w:pPr>
              <w:pStyle w:val="147"/>
              <w:spacing w:before="132" w:line="249" w:lineRule="auto"/>
              <w:ind w:left="256" w:right="132" w:hanging="90"/>
              <w:rPr>
                <w:rFonts w:hint="eastAsia" w:ascii="宋体" w:hAnsi="宋体" w:eastAsia="宋体" w:cs="宋体"/>
                <w:color w:val="auto"/>
                <w:sz w:val="18"/>
                <w:highlight w:val="none"/>
              </w:rPr>
            </w:pPr>
            <w:r>
              <w:rPr>
                <w:rFonts w:hint="eastAsia" w:ascii="宋体" w:hAnsi="宋体" w:eastAsia="宋体" w:cs="宋体"/>
                <w:color w:val="auto"/>
                <w:sz w:val="18"/>
                <w:highlight w:val="none"/>
              </w:rPr>
              <w:t>包装标准及要求</w:t>
            </w:r>
          </w:p>
        </w:tc>
        <w:tc>
          <w:tcPr>
            <w:tcW w:w="744" w:type="dxa"/>
            <w:tcBorders>
              <w:left w:val="single" w:color="000000" w:sz="6" w:space="0"/>
              <w:bottom w:val="single" w:color="000000" w:sz="6" w:space="0"/>
              <w:right w:val="single" w:color="000000" w:sz="6" w:space="0"/>
            </w:tcBorders>
            <w:noWrap w:val="0"/>
            <w:vAlign w:val="top"/>
          </w:tcPr>
          <w:p>
            <w:pPr>
              <w:pStyle w:val="147"/>
              <w:spacing w:before="2" w:line="240" w:lineRule="atLeast"/>
              <w:ind w:left="203" w:right="163"/>
              <w:jc w:val="both"/>
              <w:rPr>
                <w:rFonts w:hint="eastAsia" w:ascii="宋体" w:hAnsi="宋体" w:eastAsia="宋体" w:cs="宋体"/>
                <w:color w:val="auto"/>
                <w:sz w:val="18"/>
                <w:highlight w:val="none"/>
              </w:rPr>
            </w:pPr>
            <w:r>
              <w:rPr>
                <w:rFonts w:hint="eastAsia" w:ascii="宋体" w:hAnsi="宋体" w:eastAsia="宋体" w:cs="宋体"/>
                <w:color w:val="auto"/>
                <w:sz w:val="18"/>
                <w:highlight w:val="none"/>
              </w:rPr>
              <w:t>运输保管条件</w:t>
            </w:r>
          </w:p>
        </w:tc>
        <w:tc>
          <w:tcPr>
            <w:tcW w:w="953" w:type="dxa"/>
            <w:tcBorders>
              <w:left w:val="single" w:color="000000" w:sz="6" w:space="0"/>
              <w:bottom w:val="single" w:color="000000" w:sz="6" w:space="0"/>
              <w:right w:val="single" w:color="000000" w:sz="6" w:space="0"/>
            </w:tcBorders>
            <w:noWrap w:val="0"/>
            <w:vAlign w:val="top"/>
          </w:tcPr>
          <w:p>
            <w:pPr>
              <w:pStyle w:val="147"/>
              <w:spacing w:before="132" w:line="249" w:lineRule="auto"/>
              <w:ind w:left="307" w:right="88" w:hanging="180"/>
              <w:rPr>
                <w:rFonts w:hint="eastAsia" w:ascii="宋体" w:hAnsi="宋体" w:eastAsia="宋体" w:cs="宋体"/>
                <w:color w:val="auto"/>
                <w:sz w:val="18"/>
                <w:highlight w:val="none"/>
              </w:rPr>
            </w:pPr>
            <w:r>
              <w:rPr>
                <w:rFonts w:hint="eastAsia" w:ascii="宋体" w:hAnsi="宋体" w:eastAsia="宋体" w:cs="宋体"/>
                <w:color w:val="auto"/>
                <w:sz w:val="18"/>
                <w:highlight w:val="none"/>
              </w:rPr>
              <w:t>农残检测结果</w:t>
            </w:r>
          </w:p>
        </w:tc>
        <w:tc>
          <w:tcPr>
            <w:tcW w:w="847" w:type="dxa"/>
            <w:tcBorders>
              <w:left w:val="single" w:color="000000" w:sz="6" w:space="0"/>
              <w:bottom w:val="single" w:color="000000" w:sz="6" w:space="0"/>
              <w:right w:val="single" w:color="000000" w:sz="6" w:space="0"/>
            </w:tcBorders>
            <w:noWrap w:val="0"/>
            <w:vAlign w:val="top"/>
          </w:tcPr>
          <w:p>
            <w:pPr>
              <w:pStyle w:val="147"/>
              <w:spacing w:before="132"/>
              <w:ind w:left="255"/>
              <w:rPr>
                <w:rFonts w:hint="eastAsia" w:ascii="宋体" w:hAnsi="宋体" w:eastAsia="宋体" w:cs="宋体"/>
                <w:color w:val="auto"/>
                <w:sz w:val="18"/>
                <w:highlight w:val="none"/>
              </w:rPr>
            </w:pPr>
            <w:r>
              <w:rPr>
                <w:rFonts w:hint="eastAsia" w:ascii="宋体" w:hAnsi="宋体" w:eastAsia="宋体" w:cs="宋体"/>
                <w:color w:val="auto"/>
                <w:sz w:val="18"/>
                <w:highlight w:val="none"/>
              </w:rPr>
              <w:t>单价</w:t>
            </w:r>
          </w:p>
          <w:p>
            <w:pPr>
              <w:pStyle w:val="147"/>
              <w:spacing w:before="9"/>
              <w:ind w:left="165"/>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c>
          <w:tcPr>
            <w:tcW w:w="872" w:type="dxa"/>
            <w:tcBorders>
              <w:left w:val="single" w:color="000000" w:sz="6" w:space="0"/>
              <w:bottom w:val="single" w:color="000000" w:sz="6" w:space="0"/>
            </w:tcBorders>
            <w:noWrap w:val="0"/>
            <w:vAlign w:val="top"/>
          </w:tcPr>
          <w:p>
            <w:pPr>
              <w:pStyle w:val="147"/>
              <w:spacing w:before="132"/>
              <w:ind w:left="270"/>
              <w:rPr>
                <w:rFonts w:hint="eastAsia" w:ascii="宋体" w:hAnsi="宋体" w:eastAsia="宋体" w:cs="宋体"/>
                <w:color w:val="auto"/>
                <w:sz w:val="18"/>
                <w:highlight w:val="none"/>
              </w:rPr>
            </w:pPr>
            <w:r>
              <w:rPr>
                <w:rFonts w:hint="eastAsia" w:ascii="宋体" w:hAnsi="宋体" w:eastAsia="宋体" w:cs="宋体"/>
                <w:color w:val="auto"/>
                <w:sz w:val="18"/>
                <w:highlight w:val="none"/>
              </w:rPr>
              <w:t>总价</w:t>
            </w:r>
          </w:p>
          <w:p>
            <w:pPr>
              <w:pStyle w:val="147"/>
              <w:spacing w:before="9"/>
              <w:ind w:left="180"/>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3"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1"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09"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1"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7"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163"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36"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44"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53"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47"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2" w:type="dxa"/>
            <w:tcBorders>
              <w:top w:val="single" w:color="000000" w:sz="6" w:space="0"/>
              <w:left w:val="single" w:color="000000" w:sz="6" w:space="0"/>
            </w:tcBorders>
            <w:noWrap w:val="0"/>
            <w:vAlign w:val="top"/>
          </w:tcPr>
          <w:p>
            <w:pPr>
              <w:pStyle w:val="147"/>
              <w:rPr>
                <w:rFonts w:hint="eastAsia" w:ascii="宋体" w:hAnsi="宋体" w:eastAsia="宋体" w:cs="宋体"/>
                <w:color w:val="auto"/>
                <w:sz w:val="22"/>
                <w:highlight w:val="none"/>
              </w:rPr>
            </w:pPr>
          </w:p>
        </w:tc>
      </w:tr>
    </w:tbl>
    <w:p>
      <w:pPr>
        <w:pStyle w:val="18"/>
        <w:tabs>
          <w:tab w:val="left" w:pos="2411"/>
          <w:tab w:val="left" w:pos="3355"/>
          <w:tab w:val="left" w:pos="5978"/>
          <w:tab w:val="left" w:pos="7763"/>
          <w:tab w:val="left" w:pos="8707"/>
        </w:tabs>
        <w:spacing w:before="98"/>
        <w:ind w:left="731"/>
        <w:rPr>
          <w:rFonts w:hint="eastAsia" w:ascii="宋体" w:hAnsi="宋体" w:eastAsia="宋体" w:cs="宋体"/>
          <w:color w:val="auto"/>
          <w:sz w:val="24"/>
          <w:szCs w:val="24"/>
          <w:highlight w:val="none"/>
        </w:rPr>
      </w:pPr>
    </w:p>
    <w:p>
      <w:pPr>
        <w:pStyle w:val="18"/>
        <w:tabs>
          <w:tab w:val="left" w:pos="2411"/>
          <w:tab w:val="left" w:pos="3355"/>
          <w:tab w:val="left" w:pos="5978"/>
          <w:tab w:val="left" w:pos="7763"/>
          <w:tab w:val="left" w:pos="8707"/>
        </w:tabs>
        <w:spacing w:before="98"/>
        <w:ind w:left="731"/>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甲方（盖章</w:t>
      </w:r>
      <w:r>
        <w:rPr>
          <w:rFonts w:hint="eastAsia" w:ascii="宋体" w:hAnsi="宋体" w:eastAsia="宋体" w:cs="宋体"/>
          <w:color w:val="auto"/>
          <w:spacing w:val="-106"/>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乙方（盖章</w:t>
      </w:r>
      <w:r>
        <w:rPr>
          <w:rFonts w:hint="eastAsia" w:ascii="宋体" w:hAnsi="宋体" w:eastAsia="宋体" w:cs="宋体"/>
          <w:color w:val="auto"/>
          <w:spacing w:val="-105"/>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p>
    <w:p>
      <w:pPr>
        <w:pStyle w:val="18"/>
        <w:spacing w:before="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p>
      <w:pPr>
        <w:pStyle w:val="18"/>
        <w:tabs>
          <w:tab w:val="left" w:pos="3355"/>
          <w:tab w:val="left" w:pos="5978"/>
          <w:tab w:val="left" w:pos="8708"/>
        </w:tabs>
        <w:spacing w:before="77"/>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委托代理人签字：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p>
    <w:p>
      <w:pPr>
        <w:pStyle w:val="18"/>
        <w:spacing w:before="2"/>
        <w:rPr>
          <w:rFonts w:hint="eastAsia" w:ascii="宋体" w:hAnsi="宋体" w:eastAsia="宋体" w:cs="宋体"/>
          <w:color w:val="auto"/>
          <w:sz w:val="24"/>
          <w:szCs w:val="24"/>
          <w:highlight w:val="none"/>
        </w:rPr>
      </w:pPr>
    </w:p>
    <w:p>
      <w:pPr>
        <w:pStyle w:val="18"/>
        <w:tabs>
          <w:tab w:val="left" w:pos="1151"/>
          <w:tab w:val="left" w:pos="1781"/>
          <w:tab w:val="left" w:pos="2411"/>
          <w:tab w:val="left" w:pos="5979"/>
          <w:tab w:val="left" w:pos="6398"/>
          <w:tab w:val="left" w:pos="7028"/>
          <w:tab w:val="left" w:pos="7657"/>
        </w:tabs>
        <w:spacing w:before="70"/>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pPr>
        <w:spacing w:after="0"/>
        <w:rPr>
          <w:rFonts w:hint="eastAsia" w:ascii="宋体" w:hAnsi="宋体" w:eastAsia="宋体" w:cs="宋体"/>
          <w:color w:val="auto"/>
          <w:sz w:val="24"/>
          <w:szCs w:val="24"/>
          <w:highlight w:val="none"/>
        </w:rPr>
        <w:sectPr>
          <w:pgSz w:w="11910" w:h="16840"/>
          <w:pgMar w:top="1600" w:right="780" w:bottom="1740" w:left="800" w:header="0" w:footer="1552" w:gutter="0"/>
          <w:pgNumType w:fmt="decimal"/>
          <w:cols w:space="720" w:num="1"/>
        </w:sectPr>
      </w:pPr>
    </w:p>
    <w:p>
      <w:pPr>
        <w:pStyle w:val="18"/>
        <w:spacing w:before="3"/>
        <w:rPr>
          <w:rFonts w:hint="eastAsia" w:ascii="宋体" w:hAnsi="宋体" w:eastAsia="宋体" w:cs="宋体"/>
          <w:color w:val="auto"/>
          <w:sz w:val="27"/>
          <w:highlight w:val="none"/>
        </w:rPr>
      </w:pPr>
    </w:p>
    <w:p>
      <w:pPr>
        <w:pStyle w:val="18"/>
        <w:spacing w:before="78"/>
        <w:ind w:left="73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表 2肉制品供货及验收清单</w:t>
      </w:r>
    </w:p>
    <w:p>
      <w:pPr>
        <w:pStyle w:val="18"/>
        <w:spacing w:before="2"/>
        <w:rPr>
          <w:rFonts w:hint="eastAsia" w:ascii="宋体" w:hAnsi="宋体" w:eastAsia="宋体" w:cs="宋体"/>
          <w:color w:val="auto"/>
          <w:sz w:val="29"/>
          <w:highlight w:val="none"/>
        </w:rPr>
      </w:pPr>
    </w:p>
    <w:tbl>
      <w:tblPr>
        <w:tblStyle w:val="46"/>
        <w:tblW w:w="9883" w:type="dxa"/>
        <w:tblInd w:w="22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50"/>
        <w:gridCol w:w="791"/>
        <w:gridCol w:w="1009"/>
        <w:gridCol w:w="805"/>
        <w:gridCol w:w="1017"/>
        <w:gridCol w:w="1009"/>
        <w:gridCol w:w="1127"/>
        <w:gridCol w:w="973"/>
        <w:gridCol w:w="900"/>
        <w:gridCol w:w="775"/>
        <w:gridCol w:w="827"/>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31" w:hRule="atLeast"/>
        </w:trPr>
        <w:tc>
          <w:tcPr>
            <w:tcW w:w="650" w:type="dxa"/>
            <w:tcBorders>
              <w:bottom w:val="single" w:color="000000" w:sz="6" w:space="0"/>
              <w:right w:val="single" w:color="000000" w:sz="6" w:space="0"/>
            </w:tcBorders>
            <w:noWrap w:val="0"/>
            <w:vAlign w:val="top"/>
          </w:tcPr>
          <w:p>
            <w:pPr>
              <w:pStyle w:val="147"/>
              <w:spacing w:before="158"/>
              <w:ind w:left="144"/>
              <w:rPr>
                <w:rFonts w:hint="eastAsia"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791" w:type="dxa"/>
            <w:tcBorders>
              <w:left w:val="single" w:color="000000" w:sz="6" w:space="0"/>
              <w:bottom w:val="single" w:color="000000" w:sz="6" w:space="0"/>
              <w:right w:val="single" w:color="000000" w:sz="6" w:space="0"/>
            </w:tcBorders>
            <w:noWrap w:val="0"/>
            <w:vAlign w:val="top"/>
          </w:tcPr>
          <w:p>
            <w:pPr>
              <w:pStyle w:val="147"/>
              <w:spacing w:before="158"/>
              <w:ind w:left="222"/>
              <w:rPr>
                <w:rFonts w:hint="eastAsia" w:ascii="宋体" w:hAnsi="宋体" w:eastAsia="宋体" w:cs="宋体"/>
                <w:color w:val="auto"/>
                <w:sz w:val="18"/>
                <w:highlight w:val="none"/>
              </w:rPr>
            </w:pPr>
            <w:r>
              <w:rPr>
                <w:rFonts w:hint="eastAsia" w:ascii="宋体" w:hAnsi="宋体" w:eastAsia="宋体" w:cs="宋体"/>
                <w:color w:val="auto"/>
                <w:sz w:val="18"/>
                <w:highlight w:val="none"/>
              </w:rPr>
              <w:t>品名</w:t>
            </w:r>
          </w:p>
        </w:tc>
        <w:tc>
          <w:tcPr>
            <w:tcW w:w="1009" w:type="dxa"/>
            <w:tcBorders>
              <w:left w:val="single" w:color="000000" w:sz="6" w:space="0"/>
              <w:bottom w:val="single" w:color="000000" w:sz="6" w:space="0"/>
              <w:right w:val="single" w:color="000000" w:sz="6" w:space="0"/>
            </w:tcBorders>
            <w:noWrap w:val="0"/>
            <w:vAlign w:val="top"/>
          </w:tcPr>
          <w:p>
            <w:pPr>
              <w:pStyle w:val="147"/>
              <w:spacing w:before="38"/>
              <w:ind w:left="105" w:right="77"/>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数量</w:t>
            </w:r>
          </w:p>
          <w:p>
            <w:pPr>
              <w:pStyle w:val="147"/>
              <w:spacing w:before="9"/>
              <w:ind w:left="105" w:right="77"/>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（斤/个）</w:t>
            </w:r>
          </w:p>
        </w:tc>
        <w:tc>
          <w:tcPr>
            <w:tcW w:w="805" w:type="dxa"/>
            <w:tcBorders>
              <w:left w:val="single" w:color="000000" w:sz="6" w:space="0"/>
              <w:bottom w:val="single" w:color="000000" w:sz="6" w:space="0"/>
              <w:right w:val="single" w:color="000000" w:sz="6" w:space="0"/>
            </w:tcBorders>
            <w:noWrap w:val="0"/>
            <w:vAlign w:val="top"/>
          </w:tcPr>
          <w:p>
            <w:pPr>
              <w:pStyle w:val="147"/>
              <w:spacing w:before="158"/>
              <w:ind w:left="229"/>
              <w:rPr>
                <w:rFonts w:hint="eastAsia" w:ascii="宋体" w:hAnsi="宋体" w:eastAsia="宋体" w:cs="宋体"/>
                <w:color w:val="auto"/>
                <w:sz w:val="18"/>
                <w:highlight w:val="none"/>
              </w:rPr>
            </w:pPr>
            <w:r>
              <w:rPr>
                <w:rFonts w:hint="eastAsia" w:ascii="宋体" w:hAnsi="宋体" w:eastAsia="宋体" w:cs="宋体"/>
                <w:color w:val="auto"/>
                <w:sz w:val="18"/>
                <w:highlight w:val="none"/>
              </w:rPr>
              <w:t>产地</w:t>
            </w:r>
          </w:p>
        </w:tc>
        <w:tc>
          <w:tcPr>
            <w:tcW w:w="1017" w:type="dxa"/>
            <w:tcBorders>
              <w:left w:val="single" w:color="000000" w:sz="6" w:space="0"/>
              <w:bottom w:val="single" w:color="000000" w:sz="6" w:space="0"/>
              <w:right w:val="single" w:color="000000" w:sz="6" w:space="0"/>
            </w:tcBorders>
            <w:noWrap w:val="0"/>
            <w:vAlign w:val="top"/>
          </w:tcPr>
          <w:p>
            <w:pPr>
              <w:pStyle w:val="147"/>
              <w:spacing w:before="29" w:line="240" w:lineRule="atLeast"/>
              <w:ind w:left="336" w:right="213" w:hanging="90"/>
              <w:rPr>
                <w:rFonts w:hint="eastAsia" w:ascii="宋体" w:hAnsi="宋体" w:eastAsia="宋体" w:cs="宋体"/>
                <w:color w:val="auto"/>
                <w:sz w:val="18"/>
                <w:highlight w:val="none"/>
              </w:rPr>
            </w:pPr>
            <w:r>
              <w:rPr>
                <w:rFonts w:hint="eastAsia" w:ascii="宋体" w:hAnsi="宋体" w:eastAsia="宋体" w:cs="宋体"/>
                <w:color w:val="auto"/>
                <w:sz w:val="18"/>
                <w:highlight w:val="none"/>
              </w:rPr>
              <w:t>生产者名称</w:t>
            </w:r>
          </w:p>
        </w:tc>
        <w:tc>
          <w:tcPr>
            <w:tcW w:w="1009" w:type="dxa"/>
            <w:tcBorders>
              <w:left w:val="single" w:color="000000" w:sz="6" w:space="0"/>
              <w:bottom w:val="single" w:color="000000" w:sz="6" w:space="0"/>
              <w:right w:val="single" w:color="000000" w:sz="6" w:space="0"/>
            </w:tcBorders>
            <w:noWrap w:val="0"/>
            <w:vAlign w:val="top"/>
          </w:tcPr>
          <w:p>
            <w:pPr>
              <w:pStyle w:val="147"/>
              <w:spacing w:before="29" w:line="240" w:lineRule="atLeast"/>
              <w:ind w:left="332" w:right="209" w:hanging="90"/>
              <w:rPr>
                <w:rFonts w:hint="eastAsia" w:ascii="宋体" w:hAnsi="宋体" w:eastAsia="宋体" w:cs="宋体"/>
                <w:color w:val="auto"/>
                <w:sz w:val="18"/>
                <w:highlight w:val="none"/>
              </w:rPr>
            </w:pPr>
            <w:r>
              <w:rPr>
                <w:rFonts w:hint="eastAsia" w:ascii="宋体" w:hAnsi="宋体" w:eastAsia="宋体" w:cs="宋体"/>
                <w:color w:val="auto"/>
                <w:sz w:val="18"/>
                <w:highlight w:val="none"/>
              </w:rPr>
              <w:t>生产者地址</w:t>
            </w:r>
          </w:p>
        </w:tc>
        <w:tc>
          <w:tcPr>
            <w:tcW w:w="1127" w:type="dxa"/>
            <w:tcBorders>
              <w:left w:val="single" w:color="000000" w:sz="6" w:space="0"/>
              <w:bottom w:val="single" w:color="000000" w:sz="6" w:space="0"/>
              <w:right w:val="single" w:color="000000" w:sz="6" w:space="0"/>
            </w:tcBorders>
            <w:noWrap w:val="0"/>
            <w:vAlign w:val="top"/>
          </w:tcPr>
          <w:p>
            <w:pPr>
              <w:pStyle w:val="147"/>
              <w:spacing w:before="29" w:line="240" w:lineRule="atLeast"/>
              <w:ind w:left="391" w:right="88" w:hanging="270"/>
              <w:rPr>
                <w:rFonts w:hint="eastAsia" w:ascii="宋体" w:hAnsi="宋体" w:eastAsia="宋体" w:cs="宋体"/>
                <w:color w:val="auto"/>
                <w:sz w:val="18"/>
                <w:highlight w:val="none"/>
              </w:rPr>
            </w:pPr>
            <w:r>
              <w:rPr>
                <w:rFonts w:hint="eastAsia" w:ascii="宋体" w:hAnsi="宋体" w:eastAsia="宋体" w:cs="宋体"/>
                <w:color w:val="auto"/>
                <w:sz w:val="18"/>
                <w:highlight w:val="none"/>
              </w:rPr>
              <w:t>包装标准及要求</w:t>
            </w:r>
          </w:p>
        </w:tc>
        <w:tc>
          <w:tcPr>
            <w:tcW w:w="973" w:type="dxa"/>
            <w:tcBorders>
              <w:left w:val="single" w:color="000000" w:sz="6" w:space="0"/>
              <w:bottom w:val="single" w:color="000000" w:sz="6" w:space="0"/>
              <w:right w:val="single" w:color="000000" w:sz="6" w:space="0"/>
            </w:tcBorders>
            <w:noWrap w:val="0"/>
            <w:vAlign w:val="top"/>
          </w:tcPr>
          <w:p>
            <w:pPr>
              <w:pStyle w:val="147"/>
              <w:spacing w:before="29" w:line="240" w:lineRule="atLeast"/>
              <w:ind w:left="314" w:right="101" w:hanging="180"/>
              <w:rPr>
                <w:rFonts w:hint="eastAsia" w:ascii="宋体" w:hAnsi="宋体" w:eastAsia="宋体" w:cs="宋体"/>
                <w:color w:val="auto"/>
                <w:sz w:val="18"/>
                <w:highlight w:val="none"/>
              </w:rPr>
            </w:pPr>
            <w:r>
              <w:rPr>
                <w:rFonts w:hint="eastAsia" w:ascii="宋体" w:hAnsi="宋体" w:eastAsia="宋体" w:cs="宋体"/>
                <w:color w:val="auto"/>
                <w:sz w:val="18"/>
                <w:highlight w:val="none"/>
              </w:rPr>
              <w:t>运输保管条件</w:t>
            </w:r>
          </w:p>
        </w:tc>
        <w:tc>
          <w:tcPr>
            <w:tcW w:w="900" w:type="dxa"/>
            <w:tcBorders>
              <w:left w:val="single" w:color="000000" w:sz="6" w:space="0"/>
              <w:bottom w:val="single" w:color="000000" w:sz="6" w:space="0"/>
              <w:right w:val="single" w:color="000000" w:sz="6" w:space="0"/>
            </w:tcBorders>
            <w:noWrap w:val="0"/>
            <w:vAlign w:val="top"/>
          </w:tcPr>
          <w:p>
            <w:pPr>
              <w:pStyle w:val="147"/>
              <w:spacing w:before="29" w:line="240" w:lineRule="atLeast"/>
              <w:ind w:left="188" w:right="154"/>
              <w:rPr>
                <w:rFonts w:hint="eastAsia" w:ascii="宋体" w:hAnsi="宋体" w:eastAsia="宋体" w:cs="宋体"/>
                <w:color w:val="auto"/>
                <w:sz w:val="18"/>
                <w:highlight w:val="none"/>
              </w:rPr>
            </w:pPr>
            <w:r>
              <w:rPr>
                <w:rFonts w:hint="eastAsia" w:ascii="宋体" w:hAnsi="宋体" w:eastAsia="宋体" w:cs="宋体"/>
                <w:color w:val="auto"/>
                <w:sz w:val="18"/>
                <w:highlight w:val="none"/>
              </w:rPr>
              <w:t>检验检疫结果</w:t>
            </w:r>
          </w:p>
        </w:tc>
        <w:tc>
          <w:tcPr>
            <w:tcW w:w="775" w:type="dxa"/>
            <w:tcBorders>
              <w:left w:val="single" w:color="000000" w:sz="6" w:space="0"/>
              <w:bottom w:val="single" w:color="000000" w:sz="6" w:space="0"/>
              <w:right w:val="single" w:color="000000" w:sz="6" w:space="0"/>
            </w:tcBorders>
            <w:noWrap w:val="0"/>
            <w:vAlign w:val="top"/>
          </w:tcPr>
          <w:p>
            <w:pPr>
              <w:pStyle w:val="147"/>
              <w:spacing w:before="38"/>
              <w:ind w:left="215"/>
              <w:rPr>
                <w:rFonts w:hint="eastAsia" w:ascii="宋体" w:hAnsi="宋体" w:eastAsia="宋体" w:cs="宋体"/>
                <w:color w:val="auto"/>
                <w:sz w:val="18"/>
                <w:highlight w:val="none"/>
              </w:rPr>
            </w:pPr>
            <w:r>
              <w:rPr>
                <w:rFonts w:hint="eastAsia" w:ascii="宋体" w:hAnsi="宋体" w:eastAsia="宋体" w:cs="宋体"/>
                <w:color w:val="auto"/>
                <w:sz w:val="18"/>
                <w:highlight w:val="none"/>
              </w:rPr>
              <w:t>单价</w:t>
            </w:r>
          </w:p>
          <w:p>
            <w:pPr>
              <w:pStyle w:val="147"/>
              <w:spacing w:before="9"/>
              <w:ind w:left="125"/>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c>
          <w:tcPr>
            <w:tcW w:w="827" w:type="dxa"/>
            <w:tcBorders>
              <w:left w:val="single" w:color="000000" w:sz="6" w:space="0"/>
              <w:bottom w:val="single" w:color="000000" w:sz="6" w:space="0"/>
            </w:tcBorders>
            <w:noWrap w:val="0"/>
            <w:vAlign w:val="top"/>
          </w:tcPr>
          <w:p>
            <w:pPr>
              <w:pStyle w:val="147"/>
              <w:spacing w:before="38"/>
              <w:ind w:left="242"/>
              <w:rPr>
                <w:rFonts w:hint="eastAsia" w:ascii="宋体" w:hAnsi="宋体" w:eastAsia="宋体" w:cs="宋体"/>
                <w:color w:val="auto"/>
                <w:sz w:val="18"/>
                <w:highlight w:val="none"/>
              </w:rPr>
            </w:pPr>
            <w:r>
              <w:rPr>
                <w:rFonts w:hint="eastAsia" w:ascii="宋体" w:hAnsi="宋体" w:eastAsia="宋体" w:cs="宋体"/>
                <w:color w:val="auto"/>
                <w:sz w:val="18"/>
                <w:highlight w:val="none"/>
              </w:rPr>
              <w:t>总价</w:t>
            </w:r>
          </w:p>
          <w:p>
            <w:pPr>
              <w:pStyle w:val="147"/>
              <w:spacing w:before="9"/>
              <w:ind w:left="152"/>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650"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0"/>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650" w:type="dxa"/>
            <w:tcBorders>
              <w:top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91"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05"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17"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009"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1127"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73"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900"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775"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0"/>
                <w:highlight w:val="none"/>
              </w:rPr>
            </w:pPr>
          </w:p>
        </w:tc>
        <w:tc>
          <w:tcPr>
            <w:tcW w:w="827" w:type="dxa"/>
            <w:tcBorders>
              <w:top w:val="single" w:color="000000" w:sz="6" w:space="0"/>
              <w:left w:val="single" w:color="000000" w:sz="6" w:space="0"/>
            </w:tcBorders>
            <w:noWrap w:val="0"/>
            <w:vAlign w:val="top"/>
          </w:tcPr>
          <w:p>
            <w:pPr>
              <w:pStyle w:val="147"/>
              <w:rPr>
                <w:rFonts w:hint="eastAsia" w:ascii="宋体" w:hAnsi="宋体" w:eastAsia="宋体" w:cs="宋体"/>
                <w:color w:val="auto"/>
                <w:sz w:val="20"/>
                <w:highlight w:val="none"/>
              </w:rPr>
            </w:pPr>
          </w:p>
        </w:tc>
      </w:tr>
    </w:tbl>
    <w:p>
      <w:pPr>
        <w:pStyle w:val="18"/>
        <w:tabs>
          <w:tab w:val="left" w:pos="2411"/>
          <w:tab w:val="left" w:pos="3355"/>
          <w:tab w:val="left" w:pos="5978"/>
          <w:tab w:val="left" w:pos="7763"/>
          <w:tab w:val="left" w:pos="8707"/>
        </w:tabs>
        <w:spacing w:before="98"/>
        <w:ind w:left="731"/>
        <w:rPr>
          <w:rFonts w:hint="eastAsia" w:ascii="宋体" w:hAnsi="宋体" w:eastAsia="宋体" w:cs="宋体"/>
          <w:color w:val="auto"/>
          <w:sz w:val="24"/>
          <w:szCs w:val="24"/>
          <w:highlight w:val="none"/>
        </w:rPr>
      </w:pPr>
    </w:p>
    <w:p>
      <w:pPr>
        <w:pStyle w:val="18"/>
        <w:tabs>
          <w:tab w:val="left" w:pos="2411"/>
          <w:tab w:val="left" w:pos="3355"/>
          <w:tab w:val="left" w:pos="5978"/>
          <w:tab w:val="left" w:pos="7763"/>
          <w:tab w:val="left" w:pos="8707"/>
        </w:tabs>
        <w:spacing w:before="98"/>
        <w:ind w:left="731"/>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甲方（盖章</w:t>
      </w:r>
      <w:r>
        <w:rPr>
          <w:rFonts w:hint="eastAsia" w:ascii="宋体" w:hAnsi="宋体" w:eastAsia="宋体" w:cs="宋体"/>
          <w:color w:val="auto"/>
          <w:spacing w:val="-106"/>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乙方（盖章</w:t>
      </w:r>
      <w:r>
        <w:rPr>
          <w:rFonts w:hint="eastAsia" w:ascii="宋体" w:hAnsi="宋体" w:eastAsia="宋体" w:cs="宋体"/>
          <w:color w:val="auto"/>
          <w:spacing w:val="-105"/>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p>
    <w:p>
      <w:pPr>
        <w:pStyle w:val="18"/>
        <w:spacing w:before="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p>
      <w:pPr>
        <w:pStyle w:val="18"/>
        <w:tabs>
          <w:tab w:val="left" w:pos="3355"/>
          <w:tab w:val="left" w:pos="5978"/>
          <w:tab w:val="left" w:pos="8708"/>
        </w:tabs>
        <w:spacing w:before="77"/>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委托代理人签字：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p>
    <w:p>
      <w:pPr>
        <w:pStyle w:val="18"/>
        <w:spacing w:before="2"/>
        <w:rPr>
          <w:rFonts w:hint="eastAsia" w:ascii="宋体" w:hAnsi="宋体" w:eastAsia="宋体" w:cs="宋体"/>
          <w:color w:val="auto"/>
          <w:sz w:val="24"/>
          <w:szCs w:val="24"/>
          <w:highlight w:val="none"/>
        </w:rPr>
      </w:pPr>
    </w:p>
    <w:p>
      <w:pPr>
        <w:pStyle w:val="18"/>
        <w:tabs>
          <w:tab w:val="left" w:pos="1151"/>
          <w:tab w:val="left" w:pos="1781"/>
          <w:tab w:val="left" w:pos="2411"/>
          <w:tab w:val="left" w:pos="5979"/>
          <w:tab w:val="left" w:pos="6398"/>
          <w:tab w:val="left" w:pos="7028"/>
          <w:tab w:val="left" w:pos="7657"/>
        </w:tabs>
        <w:spacing w:before="70"/>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pPr>
        <w:spacing w:after="0"/>
        <w:rPr>
          <w:rFonts w:hint="eastAsia" w:ascii="宋体" w:hAnsi="宋体" w:eastAsia="宋体" w:cs="宋体"/>
          <w:color w:val="auto"/>
          <w:sz w:val="24"/>
          <w:szCs w:val="24"/>
          <w:highlight w:val="none"/>
        </w:rPr>
        <w:sectPr>
          <w:pgSz w:w="11910" w:h="16840"/>
          <w:pgMar w:top="1600" w:right="780" w:bottom="1740" w:left="800" w:header="0" w:footer="1552" w:gutter="0"/>
          <w:pgNumType w:fmt="decimal"/>
          <w:cols w:space="720" w:num="1"/>
        </w:sectPr>
      </w:pPr>
    </w:p>
    <w:p>
      <w:pPr>
        <w:pStyle w:val="18"/>
        <w:spacing w:before="3"/>
        <w:rPr>
          <w:rFonts w:hint="eastAsia" w:ascii="宋体" w:hAnsi="宋体" w:eastAsia="宋体" w:cs="宋体"/>
          <w:color w:val="auto"/>
          <w:sz w:val="27"/>
          <w:highlight w:val="none"/>
        </w:rPr>
      </w:pPr>
    </w:p>
    <w:p>
      <w:pPr>
        <w:pStyle w:val="18"/>
        <w:spacing w:before="78"/>
        <w:ind w:left="73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表 3蛋奶类供货及验收清单</w:t>
      </w:r>
    </w:p>
    <w:p>
      <w:pPr>
        <w:pStyle w:val="18"/>
        <w:spacing w:before="2"/>
        <w:rPr>
          <w:rFonts w:hint="eastAsia" w:ascii="宋体" w:hAnsi="宋体" w:eastAsia="宋体" w:cs="宋体"/>
          <w:color w:val="auto"/>
          <w:sz w:val="29"/>
          <w:highlight w:val="none"/>
        </w:rPr>
      </w:pPr>
    </w:p>
    <w:tbl>
      <w:tblPr>
        <w:tblStyle w:val="46"/>
        <w:tblW w:w="9853" w:type="dxa"/>
        <w:tblInd w:w="24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77"/>
        <w:gridCol w:w="668"/>
        <w:gridCol w:w="874"/>
        <w:gridCol w:w="620"/>
        <w:gridCol w:w="735"/>
        <w:gridCol w:w="1021"/>
        <w:gridCol w:w="801"/>
        <w:gridCol w:w="1064"/>
        <w:gridCol w:w="855"/>
        <w:gridCol w:w="1019"/>
        <w:gridCol w:w="829"/>
        <w:gridCol w:w="79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31" w:hRule="atLeast"/>
        </w:trPr>
        <w:tc>
          <w:tcPr>
            <w:tcW w:w="577" w:type="dxa"/>
            <w:tcBorders>
              <w:bottom w:val="single" w:color="000000" w:sz="6" w:space="0"/>
              <w:right w:val="single" w:color="000000" w:sz="6" w:space="0"/>
            </w:tcBorders>
            <w:noWrap w:val="0"/>
            <w:vAlign w:val="top"/>
          </w:tcPr>
          <w:p>
            <w:pPr>
              <w:pStyle w:val="147"/>
              <w:spacing w:before="158"/>
              <w:ind w:left="108"/>
              <w:rPr>
                <w:rFonts w:hint="eastAsia"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668" w:type="dxa"/>
            <w:tcBorders>
              <w:left w:val="single" w:color="000000" w:sz="6" w:space="0"/>
              <w:bottom w:val="single" w:color="000000" w:sz="6" w:space="0"/>
              <w:right w:val="single" w:color="000000" w:sz="6" w:space="0"/>
            </w:tcBorders>
            <w:noWrap w:val="0"/>
            <w:vAlign w:val="top"/>
          </w:tcPr>
          <w:p>
            <w:pPr>
              <w:pStyle w:val="147"/>
              <w:spacing w:before="158"/>
              <w:ind w:left="160"/>
              <w:rPr>
                <w:rFonts w:hint="eastAsia" w:ascii="宋体" w:hAnsi="宋体" w:eastAsia="宋体" w:cs="宋体"/>
                <w:color w:val="auto"/>
                <w:sz w:val="18"/>
                <w:highlight w:val="none"/>
              </w:rPr>
            </w:pPr>
            <w:r>
              <w:rPr>
                <w:rFonts w:hint="eastAsia" w:ascii="宋体" w:hAnsi="宋体" w:eastAsia="宋体" w:cs="宋体"/>
                <w:color w:val="auto"/>
                <w:sz w:val="18"/>
                <w:highlight w:val="none"/>
              </w:rPr>
              <w:t>品名</w:t>
            </w:r>
          </w:p>
        </w:tc>
        <w:tc>
          <w:tcPr>
            <w:tcW w:w="874" w:type="dxa"/>
            <w:tcBorders>
              <w:left w:val="single" w:color="000000" w:sz="6" w:space="0"/>
              <w:bottom w:val="single" w:color="000000" w:sz="6" w:space="0"/>
              <w:right w:val="single" w:color="000000" w:sz="6" w:space="0"/>
            </w:tcBorders>
            <w:noWrap w:val="0"/>
            <w:vAlign w:val="top"/>
          </w:tcPr>
          <w:p>
            <w:pPr>
              <w:pStyle w:val="147"/>
              <w:spacing w:before="38"/>
              <w:ind w:left="263"/>
              <w:rPr>
                <w:rFonts w:hint="eastAsia" w:ascii="宋体" w:hAnsi="宋体" w:eastAsia="宋体" w:cs="宋体"/>
                <w:color w:val="auto"/>
                <w:sz w:val="18"/>
                <w:highlight w:val="none"/>
              </w:rPr>
            </w:pPr>
            <w:r>
              <w:rPr>
                <w:rFonts w:hint="eastAsia" w:ascii="宋体" w:hAnsi="宋体" w:eastAsia="宋体" w:cs="宋体"/>
                <w:color w:val="auto"/>
                <w:sz w:val="18"/>
                <w:highlight w:val="none"/>
              </w:rPr>
              <w:t>数量</w:t>
            </w:r>
          </w:p>
          <w:p>
            <w:pPr>
              <w:pStyle w:val="147"/>
              <w:spacing w:before="9"/>
              <w:ind w:left="237"/>
              <w:rPr>
                <w:rFonts w:hint="eastAsia" w:ascii="宋体" w:hAnsi="宋体" w:eastAsia="宋体" w:cs="宋体"/>
                <w:color w:val="auto"/>
                <w:sz w:val="18"/>
                <w:highlight w:val="none"/>
              </w:rPr>
            </w:pPr>
            <w:r>
              <w:rPr>
                <w:rFonts w:hint="eastAsia" w:ascii="宋体" w:hAnsi="宋体" w:eastAsia="宋体" w:cs="宋体"/>
                <w:color w:val="auto"/>
                <w:sz w:val="18"/>
                <w:highlight w:val="none"/>
              </w:rPr>
              <w:t>（/）</w:t>
            </w:r>
          </w:p>
        </w:tc>
        <w:tc>
          <w:tcPr>
            <w:tcW w:w="620" w:type="dxa"/>
            <w:tcBorders>
              <w:left w:val="single" w:color="000000" w:sz="6" w:space="0"/>
              <w:bottom w:val="single" w:color="000000" w:sz="6" w:space="0"/>
              <w:right w:val="single" w:color="000000" w:sz="6" w:space="0"/>
            </w:tcBorders>
            <w:noWrap w:val="0"/>
            <w:vAlign w:val="top"/>
          </w:tcPr>
          <w:p>
            <w:pPr>
              <w:pStyle w:val="147"/>
              <w:spacing w:before="158"/>
              <w:ind w:left="135"/>
              <w:rPr>
                <w:rFonts w:hint="eastAsia" w:ascii="宋体" w:hAnsi="宋体" w:eastAsia="宋体" w:cs="宋体"/>
                <w:color w:val="auto"/>
                <w:sz w:val="18"/>
                <w:highlight w:val="none"/>
              </w:rPr>
            </w:pPr>
            <w:r>
              <w:rPr>
                <w:rFonts w:hint="eastAsia" w:ascii="宋体" w:hAnsi="宋体" w:eastAsia="宋体" w:cs="宋体"/>
                <w:color w:val="auto"/>
                <w:sz w:val="18"/>
                <w:highlight w:val="none"/>
              </w:rPr>
              <w:t>产地</w:t>
            </w:r>
          </w:p>
        </w:tc>
        <w:tc>
          <w:tcPr>
            <w:tcW w:w="735" w:type="dxa"/>
            <w:tcBorders>
              <w:left w:val="single" w:color="000000" w:sz="6" w:space="0"/>
              <w:bottom w:val="single" w:color="000000" w:sz="6" w:space="0"/>
              <w:right w:val="single" w:color="000000" w:sz="6" w:space="0"/>
            </w:tcBorders>
            <w:noWrap w:val="0"/>
            <w:vAlign w:val="top"/>
          </w:tcPr>
          <w:p>
            <w:pPr>
              <w:pStyle w:val="147"/>
              <w:spacing w:before="158"/>
              <w:ind w:left="192"/>
              <w:rPr>
                <w:rFonts w:hint="eastAsia" w:ascii="宋体" w:hAnsi="宋体" w:eastAsia="宋体" w:cs="宋体"/>
                <w:color w:val="auto"/>
                <w:sz w:val="18"/>
                <w:highlight w:val="none"/>
              </w:rPr>
            </w:pPr>
            <w:r>
              <w:rPr>
                <w:rFonts w:hint="eastAsia" w:ascii="宋体" w:hAnsi="宋体" w:eastAsia="宋体" w:cs="宋体"/>
                <w:color w:val="auto"/>
                <w:sz w:val="18"/>
                <w:highlight w:val="none"/>
              </w:rPr>
              <w:t>品牌</w:t>
            </w:r>
          </w:p>
        </w:tc>
        <w:tc>
          <w:tcPr>
            <w:tcW w:w="1021" w:type="dxa"/>
            <w:tcBorders>
              <w:left w:val="single" w:color="000000" w:sz="6" w:space="0"/>
              <w:bottom w:val="single" w:color="000000" w:sz="6" w:space="0"/>
              <w:right w:val="single" w:color="000000" w:sz="6" w:space="0"/>
            </w:tcBorders>
            <w:noWrap w:val="0"/>
            <w:vAlign w:val="top"/>
          </w:tcPr>
          <w:p>
            <w:pPr>
              <w:pStyle w:val="147"/>
              <w:spacing w:before="158"/>
              <w:ind w:left="154"/>
              <w:rPr>
                <w:rFonts w:hint="eastAsia" w:ascii="宋体" w:hAnsi="宋体" w:eastAsia="宋体" w:cs="宋体"/>
                <w:color w:val="auto"/>
                <w:sz w:val="18"/>
                <w:highlight w:val="none"/>
              </w:rPr>
            </w:pPr>
            <w:r>
              <w:rPr>
                <w:rFonts w:hint="eastAsia" w:ascii="宋体" w:hAnsi="宋体" w:eastAsia="宋体" w:cs="宋体"/>
                <w:color w:val="auto"/>
                <w:sz w:val="18"/>
                <w:highlight w:val="none"/>
              </w:rPr>
              <w:t>执行标准</w:t>
            </w:r>
          </w:p>
        </w:tc>
        <w:tc>
          <w:tcPr>
            <w:tcW w:w="801" w:type="dxa"/>
            <w:tcBorders>
              <w:left w:val="single" w:color="000000" w:sz="6" w:space="0"/>
              <w:bottom w:val="single" w:color="000000" w:sz="6" w:space="0"/>
              <w:right w:val="single" w:color="000000" w:sz="6" w:space="0"/>
            </w:tcBorders>
            <w:noWrap w:val="0"/>
            <w:vAlign w:val="top"/>
          </w:tcPr>
          <w:p>
            <w:pPr>
              <w:pStyle w:val="147"/>
              <w:spacing w:before="158"/>
              <w:ind w:left="133"/>
              <w:rPr>
                <w:rFonts w:hint="eastAsia" w:ascii="宋体" w:hAnsi="宋体" w:eastAsia="宋体" w:cs="宋体"/>
                <w:color w:val="auto"/>
                <w:sz w:val="18"/>
                <w:highlight w:val="none"/>
              </w:rPr>
            </w:pPr>
            <w:r>
              <w:rPr>
                <w:rFonts w:hint="eastAsia" w:ascii="宋体" w:hAnsi="宋体" w:eastAsia="宋体" w:cs="宋体"/>
                <w:color w:val="auto"/>
                <w:sz w:val="18"/>
                <w:highlight w:val="none"/>
              </w:rPr>
              <w:t>生产商</w:t>
            </w:r>
          </w:p>
        </w:tc>
        <w:tc>
          <w:tcPr>
            <w:tcW w:w="1064" w:type="dxa"/>
            <w:tcBorders>
              <w:left w:val="single" w:color="000000" w:sz="6" w:space="0"/>
              <w:bottom w:val="single" w:color="000000" w:sz="6" w:space="0"/>
              <w:right w:val="single" w:color="000000" w:sz="6" w:space="0"/>
            </w:tcBorders>
            <w:noWrap w:val="0"/>
            <w:vAlign w:val="top"/>
          </w:tcPr>
          <w:p>
            <w:pPr>
              <w:pStyle w:val="147"/>
              <w:spacing w:before="29" w:line="240" w:lineRule="atLeast"/>
              <w:ind w:left="264" w:right="152" w:hanging="90"/>
              <w:rPr>
                <w:rFonts w:hint="eastAsia" w:ascii="宋体" w:hAnsi="宋体" w:eastAsia="宋体" w:cs="宋体"/>
                <w:color w:val="auto"/>
                <w:sz w:val="18"/>
                <w:highlight w:val="none"/>
              </w:rPr>
            </w:pPr>
            <w:r>
              <w:rPr>
                <w:rFonts w:hint="eastAsia" w:ascii="宋体" w:hAnsi="宋体" w:eastAsia="宋体" w:cs="宋体"/>
                <w:color w:val="auto"/>
                <w:sz w:val="18"/>
                <w:highlight w:val="none"/>
              </w:rPr>
              <w:t>包装标准及要求</w:t>
            </w:r>
          </w:p>
        </w:tc>
        <w:tc>
          <w:tcPr>
            <w:tcW w:w="855" w:type="dxa"/>
            <w:tcBorders>
              <w:left w:val="single" w:color="000000" w:sz="6" w:space="0"/>
              <w:bottom w:val="single" w:color="000000" w:sz="6" w:space="0"/>
              <w:right w:val="single" w:color="000000" w:sz="6" w:space="0"/>
            </w:tcBorders>
            <w:noWrap w:val="0"/>
            <w:vAlign w:val="top"/>
          </w:tcPr>
          <w:p>
            <w:pPr>
              <w:pStyle w:val="147"/>
              <w:spacing w:before="29" w:line="240" w:lineRule="atLeast"/>
              <w:ind w:left="159" w:right="138"/>
              <w:rPr>
                <w:rFonts w:hint="eastAsia" w:ascii="宋体" w:hAnsi="宋体" w:eastAsia="宋体" w:cs="宋体"/>
                <w:color w:val="auto"/>
                <w:sz w:val="18"/>
                <w:highlight w:val="none"/>
              </w:rPr>
            </w:pPr>
            <w:r>
              <w:rPr>
                <w:rFonts w:hint="eastAsia" w:ascii="宋体" w:hAnsi="宋体" w:eastAsia="宋体" w:cs="宋体"/>
                <w:color w:val="auto"/>
                <w:sz w:val="18"/>
                <w:highlight w:val="none"/>
              </w:rPr>
              <w:t>运输保管条件</w:t>
            </w:r>
          </w:p>
        </w:tc>
        <w:tc>
          <w:tcPr>
            <w:tcW w:w="1019" w:type="dxa"/>
            <w:tcBorders>
              <w:left w:val="single" w:color="000000" w:sz="6" w:space="0"/>
              <w:bottom w:val="single" w:color="000000" w:sz="6" w:space="0"/>
              <w:right w:val="single" w:color="000000" w:sz="6" w:space="0"/>
            </w:tcBorders>
            <w:noWrap w:val="0"/>
            <w:vAlign w:val="top"/>
          </w:tcPr>
          <w:p>
            <w:pPr>
              <w:pStyle w:val="147"/>
              <w:spacing w:before="29" w:line="240" w:lineRule="atLeast"/>
              <w:ind w:left="240" w:right="221" w:firstLine="90"/>
              <w:rPr>
                <w:rFonts w:hint="eastAsia" w:ascii="宋体" w:hAnsi="宋体" w:eastAsia="宋体" w:cs="宋体"/>
                <w:color w:val="auto"/>
                <w:sz w:val="18"/>
                <w:highlight w:val="none"/>
              </w:rPr>
            </w:pPr>
            <w:r>
              <w:rPr>
                <w:rFonts w:hint="eastAsia" w:ascii="宋体" w:hAnsi="宋体" w:eastAsia="宋体" w:cs="宋体"/>
                <w:color w:val="auto"/>
                <w:sz w:val="18"/>
                <w:highlight w:val="none"/>
              </w:rPr>
              <w:t>产品合格证</w:t>
            </w:r>
          </w:p>
        </w:tc>
        <w:tc>
          <w:tcPr>
            <w:tcW w:w="829" w:type="dxa"/>
            <w:tcBorders>
              <w:left w:val="single" w:color="000000" w:sz="6" w:space="0"/>
              <w:bottom w:val="single" w:color="000000" w:sz="6" w:space="0"/>
              <w:right w:val="single" w:color="000000" w:sz="6" w:space="0"/>
            </w:tcBorders>
            <w:noWrap w:val="0"/>
            <w:vAlign w:val="top"/>
          </w:tcPr>
          <w:p>
            <w:pPr>
              <w:pStyle w:val="147"/>
              <w:spacing w:before="38"/>
              <w:ind w:left="235"/>
              <w:rPr>
                <w:rFonts w:hint="eastAsia" w:ascii="宋体" w:hAnsi="宋体" w:eastAsia="宋体" w:cs="宋体"/>
                <w:color w:val="auto"/>
                <w:sz w:val="18"/>
                <w:highlight w:val="none"/>
              </w:rPr>
            </w:pPr>
            <w:r>
              <w:rPr>
                <w:rFonts w:hint="eastAsia" w:ascii="宋体" w:hAnsi="宋体" w:eastAsia="宋体" w:cs="宋体"/>
                <w:color w:val="auto"/>
                <w:sz w:val="18"/>
                <w:highlight w:val="none"/>
              </w:rPr>
              <w:t>单价</w:t>
            </w:r>
          </w:p>
          <w:p>
            <w:pPr>
              <w:pStyle w:val="147"/>
              <w:spacing w:before="9"/>
              <w:ind w:left="145"/>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c>
          <w:tcPr>
            <w:tcW w:w="790" w:type="dxa"/>
            <w:tcBorders>
              <w:left w:val="single" w:color="000000" w:sz="6" w:space="0"/>
              <w:bottom w:val="single" w:color="000000" w:sz="6" w:space="0"/>
            </w:tcBorders>
            <w:noWrap w:val="0"/>
            <w:vAlign w:val="top"/>
          </w:tcPr>
          <w:p>
            <w:pPr>
              <w:pStyle w:val="147"/>
              <w:spacing w:before="38"/>
              <w:ind w:left="216"/>
              <w:rPr>
                <w:rFonts w:hint="eastAsia" w:ascii="宋体" w:hAnsi="宋体" w:eastAsia="宋体" w:cs="宋体"/>
                <w:color w:val="auto"/>
                <w:sz w:val="18"/>
                <w:highlight w:val="none"/>
              </w:rPr>
            </w:pPr>
            <w:r>
              <w:rPr>
                <w:rFonts w:hint="eastAsia" w:ascii="宋体" w:hAnsi="宋体" w:eastAsia="宋体" w:cs="宋体"/>
                <w:color w:val="auto"/>
                <w:sz w:val="18"/>
                <w:highlight w:val="none"/>
              </w:rPr>
              <w:t>总价</w:t>
            </w:r>
          </w:p>
          <w:p>
            <w:pPr>
              <w:pStyle w:val="147"/>
              <w:spacing w:before="9"/>
              <w:ind w:left="126"/>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20"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35"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21"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01"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4"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5"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29"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0" w:type="dxa"/>
            <w:tcBorders>
              <w:top w:val="single" w:color="000000" w:sz="6" w:space="0"/>
              <w:left w:val="single" w:color="000000" w:sz="6" w:space="0"/>
            </w:tcBorders>
            <w:noWrap w:val="0"/>
            <w:vAlign w:val="top"/>
          </w:tcPr>
          <w:p>
            <w:pPr>
              <w:pStyle w:val="147"/>
              <w:rPr>
                <w:rFonts w:hint="eastAsia" w:ascii="宋体" w:hAnsi="宋体" w:eastAsia="宋体" w:cs="宋体"/>
                <w:color w:val="auto"/>
                <w:sz w:val="22"/>
                <w:highlight w:val="none"/>
              </w:rPr>
            </w:pPr>
          </w:p>
        </w:tc>
      </w:tr>
    </w:tbl>
    <w:p>
      <w:pPr>
        <w:pStyle w:val="18"/>
        <w:tabs>
          <w:tab w:val="left" w:pos="2411"/>
          <w:tab w:val="left" w:pos="3355"/>
          <w:tab w:val="left" w:pos="5978"/>
          <w:tab w:val="left" w:pos="7763"/>
          <w:tab w:val="left" w:pos="8707"/>
        </w:tabs>
        <w:spacing w:before="98"/>
        <w:ind w:left="731"/>
        <w:rPr>
          <w:rFonts w:hint="eastAsia" w:ascii="宋体" w:hAnsi="宋体" w:eastAsia="宋体" w:cs="宋体"/>
          <w:color w:val="auto"/>
          <w:sz w:val="24"/>
          <w:szCs w:val="24"/>
          <w:highlight w:val="none"/>
        </w:rPr>
      </w:pPr>
    </w:p>
    <w:p>
      <w:pPr>
        <w:pStyle w:val="18"/>
        <w:tabs>
          <w:tab w:val="left" w:pos="2411"/>
          <w:tab w:val="left" w:pos="3355"/>
          <w:tab w:val="left" w:pos="5978"/>
          <w:tab w:val="left" w:pos="7763"/>
          <w:tab w:val="left" w:pos="8707"/>
        </w:tabs>
        <w:spacing w:before="98"/>
        <w:ind w:left="731"/>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甲方（盖章</w:t>
      </w:r>
      <w:r>
        <w:rPr>
          <w:rFonts w:hint="eastAsia" w:ascii="宋体" w:hAnsi="宋体" w:eastAsia="宋体" w:cs="宋体"/>
          <w:color w:val="auto"/>
          <w:spacing w:val="-106"/>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乙方（盖章</w:t>
      </w:r>
      <w:r>
        <w:rPr>
          <w:rFonts w:hint="eastAsia" w:ascii="宋体" w:hAnsi="宋体" w:eastAsia="宋体" w:cs="宋体"/>
          <w:color w:val="auto"/>
          <w:spacing w:val="-105"/>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p>
    <w:p>
      <w:pPr>
        <w:pStyle w:val="18"/>
        <w:spacing w:before="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p>
      <w:pPr>
        <w:pStyle w:val="18"/>
        <w:tabs>
          <w:tab w:val="left" w:pos="3355"/>
          <w:tab w:val="left" w:pos="5978"/>
          <w:tab w:val="left" w:pos="8708"/>
        </w:tabs>
        <w:spacing w:before="77"/>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委托代理人签字：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p>
    <w:p>
      <w:pPr>
        <w:pStyle w:val="18"/>
        <w:spacing w:before="2"/>
        <w:rPr>
          <w:rFonts w:hint="eastAsia" w:ascii="宋体" w:hAnsi="宋体" w:eastAsia="宋体" w:cs="宋体"/>
          <w:color w:val="auto"/>
          <w:sz w:val="24"/>
          <w:szCs w:val="24"/>
          <w:highlight w:val="none"/>
        </w:rPr>
      </w:pPr>
    </w:p>
    <w:p>
      <w:pPr>
        <w:pStyle w:val="18"/>
        <w:tabs>
          <w:tab w:val="left" w:pos="1151"/>
          <w:tab w:val="left" w:pos="1781"/>
          <w:tab w:val="left" w:pos="2411"/>
          <w:tab w:val="left" w:pos="5979"/>
          <w:tab w:val="left" w:pos="6398"/>
          <w:tab w:val="left" w:pos="7028"/>
          <w:tab w:val="left" w:pos="7657"/>
        </w:tabs>
        <w:spacing w:before="70"/>
        <w:ind w:left="731"/>
        <w:rPr>
          <w:rFonts w:hint="eastAsia" w:ascii="宋体" w:hAnsi="宋体" w:eastAsia="宋体" w:cs="宋体"/>
          <w:color w:val="auto"/>
          <w:sz w:val="24"/>
          <w:szCs w:val="24"/>
          <w:highlight w:val="none"/>
        </w:rPr>
        <w:sectPr>
          <w:pgSz w:w="11910" w:h="16840"/>
          <w:pgMar w:top="1600" w:right="780" w:bottom="1740" w:left="800" w:header="0" w:footer="1552" w:gutter="0"/>
          <w:pgNumType w:fmt="decimal"/>
          <w:cols w:space="720" w:num="1"/>
        </w:sect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pPr>
        <w:pStyle w:val="18"/>
        <w:spacing w:before="3"/>
        <w:rPr>
          <w:rFonts w:hint="eastAsia" w:ascii="宋体" w:hAnsi="宋体" w:eastAsia="宋体" w:cs="宋体"/>
          <w:color w:val="auto"/>
          <w:sz w:val="30"/>
          <w:szCs w:val="30"/>
          <w:highlight w:val="none"/>
        </w:rPr>
      </w:pPr>
    </w:p>
    <w:p>
      <w:pPr>
        <w:pStyle w:val="18"/>
        <w:spacing w:before="78"/>
        <w:ind w:left="73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表 4米面粮油供货及验收清单</w:t>
      </w:r>
    </w:p>
    <w:p>
      <w:pPr>
        <w:pStyle w:val="18"/>
        <w:spacing w:before="2"/>
        <w:rPr>
          <w:rFonts w:hint="eastAsia" w:ascii="宋体" w:hAnsi="宋体" w:eastAsia="宋体" w:cs="宋体"/>
          <w:color w:val="auto"/>
          <w:sz w:val="29"/>
          <w:highlight w:val="none"/>
        </w:rPr>
      </w:pPr>
    </w:p>
    <w:tbl>
      <w:tblPr>
        <w:tblStyle w:val="46"/>
        <w:tblW w:w="10052"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95"/>
        <w:gridCol w:w="650"/>
        <w:gridCol w:w="874"/>
        <w:gridCol w:w="704"/>
        <w:gridCol w:w="856"/>
        <w:gridCol w:w="1066"/>
        <w:gridCol w:w="764"/>
        <w:gridCol w:w="1092"/>
        <w:gridCol w:w="792"/>
        <w:gridCol w:w="992"/>
        <w:gridCol w:w="885"/>
        <w:gridCol w:w="78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31" w:hRule="atLeast"/>
        </w:trPr>
        <w:tc>
          <w:tcPr>
            <w:tcW w:w="595" w:type="dxa"/>
            <w:tcBorders>
              <w:bottom w:val="single" w:color="000000" w:sz="6" w:space="0"/>
              <w:right w:val="single" w:color="000000" w:sz="6" w:space="0"/>
            </w:tcBorders>
            <w:noWrap w:val="0"/>
            <w:vAlign w:val="top"/>
          </w:tcPr>
          <w:p>
            <w:pPr>
              <w:pStyle w:val="147"/>
              <w:spacing w:before="158"/>
              <w:ind w:left="118"/>
              <w:rPr>
                <w:rFonts w:hint="eastAsia"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650" w:type="dxa"/>
            <w:tcBorders>
              <w:left w:val="single" w:color="000000" w:sz="6" w:space="0"/>
              <w:bottom w:val="single" w:color="000000" w:sz="6" w:space="0"/>
              <w:right w:val="single" w:color="000000" w:sz="6" w:space="0"/>
            </w:tcBorders>
            <w:noWrap w:val="0"/>
            <w:vAlign w:val="top"/>
          </w:tcPr>
          <w:p>
            <w:pPr>
              <w:pStyle w:val="147"/>
              <w:spacing w:before="158"/>
              <w:ind w:left="152"/>
              <w:rPr>
                <w:rFonts w:hint="eastAsia" w:ascii="宋体" w:hAnsi="宋体" w:eastAsia="宋体" w:cs="宋体"/>
                <w:color w:val="auto"/>
                <w:sz w:val="18"/>
                <w:highlight w:val="none"/>
              </w:rPr>
            </w:pPr>
            <w:r>
              <w:rPr>
                <w:rFonts w:hint="eastAsia" w:ascii="宋体" w:hAnsi="宋体" w:eastAsia="宋体" w:cs="宋体"/>
                <w:color w:val="auto"/>
                <w:sz w:val="18"/>
                <w:highlight w:val="none"/>
              </w:rPr>
              <w:t>品名</w:t>
            </w:r>
          </w:p>
        </w:tc>
        <w:tc>
          <w:tcPr>
            <w:tcW w:w="874" w:type="dxa"/>
            <w:tcBorders>
              <w:left w:val="single" w:color="000000" w:sz="6" w:space="0"/>
              <w:bottom w:val="single" w:color="000000" w:sz="6" w:space="0"/>
              <w:right w:val="single" w:color="000000" w:sz="6" w:space="0"/>
            </w:tcBorders>
            <w:noWrap w:val="0"/>
            <w:vAlign w:val="top"/>
          </w:tcPr>
          <w:p>
            <w:pPr>
              <w:pStyle w:val="147"/>
              <w:spacing w:before="38"/>
              <w:ind w:left="264"/>
              <w:rPr>
                <w:rFonts w:hint="eastAsia" w:ascii="宋体" w:hAnsi="宋体" w:eastAsia="宋体" w:cs="宋体"/>
                <w:color w:val="auto"/>
                <w:sz w:val="18"/>
                <w:highlight w:val="none"/>
              </w:rPr>
            </w:pPr>
            <w:r>
              <w:rPr>
                <w:rFonts w:hint="eastAsia" w:ascii="宋体" w:hAnsi="宋体" w:eastAsia="宋体" w:cs="宋体"/>
                <w:color w:val="auto"/>
                <w:sz w:val="18"/>
                <w:highlight w:val="none"/>
              </w:rPr>
              <w:t>数量</w:t>
            </w:r>
          </w:p>
          <w:p>
            <w:pPr>
              <w:pStyle w:val="147"/>
              <w:spacing w:before="9"/>
              <w:ind w:left="239"/>
              <w:rPr>
                <w:rFonts w:hint="eastAsia" w:ascii="宋体" w:hAnsi="宋体" w:eastAsia="宋体" w:cs="宋体"/>
                <w:color w:val="auto"/>
                <w:sz w:val="18"/>
                <w:highlight w:val="none"/>
              </w:rPr>
            </w:pPr>
            <w:r>
              <w:rPr>
                <w:rFonts w:hint="eastAsia" w:ascii="宋体" w:hAnsi="宋体" w:eastAsia="宋体" w:cs="宋体"/>
                <w:color w:val="auto"/>
                <w:sz w:val="18"/>
                <w:highlight w:val="none"/>
              </w:rPr>
              <w:t>（/）</w:t>
            </w:r>
          </w:p>
        </w:tc>
        <w:tc>
          <w:tcPr>
            <w:tcW w:w="704" w:type="dxa"/>
            <w:tcBorders>
              <w:left w:val="single" w:color="000000" w:sz="6" w:space="0"/>
              <w:bottom w:val="single" w:color="000000" w:sz="6" w:space="0"/>
              <w:right w:val="single" w:color="000000" w:sz="6" w:space="0"/>
            </w:tcBorders>
            <w:noWrap w:val="0"/>
            <w:vAlign w:val="top"/>
          </w:tcPr>
          <w:p>
            <w:pPr>
              <w:pStyle w:val="147"/>
              <w:spacing w:before="158"/>
              <w:ind w:left="177"/>
              <w:rPr>
                <w:rFonts w:hint="eastAsia" w:ascii="宋体" w:hAnsi="宋体" w:eastAsia="宋体" w:cs="宋体"/>
                <w:color w:val="auto"/>
                <w:sz w:val="18"/>
                <w:highlight w:val="none"/>
              </w:rPr>
            </w:pPr>
            <w:r>
              <w:rPr>
                <w:rFonts w:hint="eastAsia" w:ascii="宋体" w:hAnsi="宋体" w:eastAsia="宋体" w:cs="宋体"/>
                <w:color w:val="auto"/>
                <w:sz w:val="18"/>
                <w:highlight w:val="none"/>
              </w:rPr>
              <w:t>产地</w:t>
            </w:r>
          </w:p>
        </w:tc>
        <w:tc>
          <w:tcPr>
            <w:tcW w:w="856" w:type="dxa"/>
            <w:tcBorders>
              <w:left w:val="single" w:color="000000" w:sz="6" w:space="0"/>
              <w:bottom w:val="single" w:color="000000" w:sz="6" w:space="0"/>
              <w:right w:val="single" w:color="000000" w:sz="6" w:space="0"/>
            </w:tcBorders>
            <w:noWrap w:val="0"/>
            <w:vAlign w:val="top"/>
          </w:tcPr>
          <w:p>
            <w:pPr>
              <w:pStyle w:val="147"/>
              <w:spacing w:before="158"/>
              <w:ind w:left="252"/>
              <w:rPr>
                <w:rFonts w:hint="eastAsia" w:ascii="宋体" w:hAnsi="宋体" w:eastAsia="宋体" w:cs="宋体"/>
                <w:color w:val="auto"/>
                <w:sz w:val="18"/>
                <w:highlight w:val="none"/>
              </w:rPr>
            </w:pPr>
            <w:r>
              <w:rPr>
                <w:rFonts w:hint="eastAsia" w:ascii="宋体" w:hAnsi="宋体" w:eastAsia="宋体" w:cs="宋体"/>
                <w:color w:val="auto"/>
                <w:sz w:val="18"/>
                <w:highlight w:val="none"/>
              </w:rPr>
              <w:t>品牌</w:t>
            </w:r>
          </w:p>
        </w:tc>
        <w:tc>
          <w:tcPr>
            <w:tcW w:w="1066" w:type="dxa"/>
            <w:tcBorders>
              <w:left w:val="single" w:color="000000" w:sz="6" w:space="0"/>
              <w:bottom w:val="single" w:color="000000" w:sz="6" w:space="0"/>
              <w:right w:val="single" w:color="000000" w:sz="6" w:space="0"/>
            </w:tcBorders>
            <w:noWrap w:val="0"/>
            <w:vAlign w:val="top"/>
          </w:tcPr>
          <w:p>
            <w:pPr>
              <w:pStyle w:val="147"/>
              <w:spacing w:before="158"/>
              <w:ind w:left="177"/>
              <w:rPr>
                <w:rFonts w:hint="eastAsia" w:ascii="宋体" w:hAnsi="宋体" w:eastAsia="宋体" w:cs="宋体"/>
                <w:color w:val="auto"/>
                <w:sz w:val="18"/>
                <w:highlight w:val="none"/>
              </w:rPr>
            </w:pPr>
            <w:r>
              <w:rPr>
                <w:rFonts w:hint="eastAsia" w:ascii="宋体" w:hAnsi="宋体" w:eastAsia="宋体" w:cs="宋体"/>
                <w:color w:val="auto"/>
                <w:sz w:val="18"/>
                <w:highlight w:val="none"/>
              </w:rPr>
              <w:t>执行标准</w:t>
            </w:r>
          </w:p>
        </w:tc>
        <w:tc>
          <w:tcPr>
            <w:tcW w:w="764" w:type="dxa"/>
            <w:tcBorders>
              <w:left w:val="single" w:color="000000" w:sz="6" w:space="0"/>
              <w:bottom w:val="single" w:color="000000" w:sz="6" w:space="0"/>
              <w:right w:val="single" w:color="000000" w:sz="6" w:space="0"/>
            </w:tcBorders>
            <w:noWrap w:val="0"/>
            <w:vAlign w:val="top"/>
          </w:tcPr>
          <w:p>
            <w:pPr>
              <w:pStyle w:val="147"/>
              <w:spacing w:before="158"/>
              <w:ind w:left="117"/>
              <w:rPr>
                <w:rFonts w:hint="eastAsia" w:ascii="宋体" w:hAnsi="宋体" w:eastAsia="宋体" w:cs="宋体"/>
                <w:color w:val="auto"/>
                <w:sz w:val="18"/>
                <w:highlight w:val="none"/>
              </w:rPr>
            </w:pPr>
            <w:r>
              <w:rPr>
                <w:rFonts w:hint="eastAsia" w:ascii="宋体" w:hAnsi="宋体" w:eastAsia="宋体" w:cs="宋体"/>
                <w:color w:val="auto"/>
                <w:sz w:val="18"/>
                <w:highlight w:val="none"/>
              </w:rPr>
              <w:t>生产商</w:t>
            </w:r>
          </w:p>
        </w:tc>
        <w:tc>
          <w:tcPr>
            <w:tcW w:w="1092" w:type="dxa"/>
            <w:tcBorders>
              <w:left w:val="single" w:color="000000" w:sz="6" w:space="0"/>
              <w:bottom w:val="single" w:color="000000" w:sz="6" w:space="0"/>
              <w:right w:val="single" w:color="000000" w:sz="6" w:space="0"/>
            </w:tcBorders>
            <w:noWrap w:val="0"/>
            <w:vAlign w:val="top"/>
          </w:tcPr>
          <w:p>
            <w:pPr>
              <w:pStyle w:val="147"/>
              <w:spacing w:before="29" w:line="240" w:lineRule="atLeast"/>
              <w:ind w:left="278" w:right="166" w:hanging="90"/>
              <w:rPr>
                <w:rFonts w:hint="eastAsia" w:ascii="宋体" w:hAnsi="宋体" w:eastAsia="宋体" w:cs="宋体"/>
                <w:color w:val="auto"/>
                <w:sz w:val="18"/>
                <w:highlight w:val="none"/>
              </w:rPr>
            </w:pPr>
            <w:r>
              <w:rPr>
                <w:rFonts w:hint="eastAsia" w:ascii="宋体" w:hAnsi="宋体" w:eastAsia="宋体" w:cs="宋体"/>
                <w:color w:val="auto"/>
                <w:sz w:val="18"/>
                <w:highlight w:val="none"/>
              </w:rPr>
              <w:t>包装标准及要求</w:t>
            </w:r>
          </w:p>
        </w:tc>
        <w:tc>
          <w:tcPr>
            <w:tcW w:w="792" w:type="dxa"/>
            <w:tcBorders>
              <w:left w:val="single" w:color="000000" w:sz="6" w:space="0"/>
              <w:bottom w:val="single" w:color="000000" w:sz="6" w:space="0"/>
              <w:right w:val="single" w:color="000000" w:sz="6" w:space="0"/>
            </w:tcBorders>
            <w:noWrap w:val="0"/>
            <w:vAlign w:val="top"/>
          </w:tcPr>
          <w:p>
            <w:pPr>
              <w:pStyle w:val="147"/>
              <w:spacing w:before="29" w:line="240" w:lineRule="atLeast"/>
              <w:ind w:left="128" w:right="106"/>
              <w:rPr>
                <w:rFonts w:hint="eastAsia" w:ascii="宋体" w:hAnsi="宋体" w:eastAsia="宋体" w:cs="宋体"/>
                <w:color w:val="auto"/>
                <w:sz w:val="18"/>
                <w:highlight w:val="none"/>
              </w:rPr>
            </w:pPr>
            <w:r>
              <w:rPr>
                <w:rFonts w:hint="eastAsia" w:ascii="宋体" w:hAnsi="宋体" w:eastAsia="宋体" w:cs="宋体"/>
                <w:color w:val="auto"/>
                <w:sz w:val="18"/>
                <w:highlight w:val="none"/>
              </w:rPr>
              <w:t>运输保管条件</w:t>
            </w:r>
          </w:p>
        </w:tc>
        <w:tc>
          <w:tcPr>
            <w:tcW w:w="992" w:type="dxa"/>
            <w:tcBorders>
              <w:left w:val="single" w:color="000000" w:sz="6" w:space="0"/>
              <w:bottom w:val="single" w:color="000000" w:sz="6" w:space="0"/>
              <w:right w:val="single" w:color="000000" w:sz="6" w:space="0"/>
            </w:tcBorders>
            <w:noWrap w:val="0"/>
            <w:vAlign w:val="top"/>
          </w:tcPr>
          <w:p>
            <w:pPr>
              <w:pStyle w:val="147"/>
              <w:spacing w:before="29" w:line="240" w:lineRule="atLeast"/>
              <w:ind w:left="227" w:right="207" w:firstLine="90"/>
              <w:rPr>
                <w:rFonts w:hint="eastAsia" w:ascii="宋体" w:hAnsi="宋体" w:eastAsia="宋体" w:cs="宋体"/>
                <w:color w:val="auto"/>
                <w:sz w:val="18"/>
                <w:highlight w:val="none"/>
              </w:rPr>
            </w:pPr>
            <w:r>
              <w:rPr>
                <w:rFonts w:hint="eastAsia" w:ascii="宋体" w:hAnsi="宋体" w:eastAsia="宋体" w:cs="宋体"/>
                <w:color w:val="auto"/>
                <w:sz w:val="18"/>
                <w:highlight w:val="none"/>
              </w:rPr>
              <w:t>产品合格证</w:t>
            </w:r>
          </w:p>
        </w:tc>
        <w:tc>
          <w:tcPr>
            <w:tcW w:w="885" w:type="dxa"/>
            <w:tcBorders>
              <w:left w:val="single" w:color="000000" w:sz="6" w:space="0"/>
              <w:bottom w:val="single" w:color="000000" w:sz="6" w:space="0"/>
              <w:right w:val="single" w:color="000000" w:sz="6" w:space="0"/>
            </w:tcBorders>
            <w:noWrap w:val="0"/>
            <w:vAlign w:val="top"/>
          </w:tcPr>
          <w:p>
            <w:pPr>
              <w:pStyle w:val="147"/>
              <w:spacing w:before="38"/>
              <w:ind w:left="263"/>
              <w:rPr>
                <w:rFonts w:hint="eastAsia" w:ascii="宋体" w:hAnsi="宋体" w:eastAsia="宋体" w:cs="宋体"/>
                <w:color w:val="auto"/>
                <w:sz w:val="18"/>
                <w:highlight w:val="none"/>
              </w:rPr>
            </w:pPr>
            <w:r>
              <w:rPr>
                <w:rFonts w:hint="eastAsia" w:ascii="宋体" w:hAnsi="宋体" w:eastAsia="宋体" w:cs="宋体"/>
                <w:color w:val="auto"/>
                <w:sz w:val="18"/>
                <w:highlight w:val="none"/>
              </w:rPr>
              <w:t>单价</w:t>
            </w:r>
          </w:p>
          <w:p>
            <w:pPr>
              <w:pStyle w:val="147"/>
              <w:spacing w:before="9"/>
              <w:ind w:left="173"/>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c>
          <w:tcPr>
            <w:tcW w:w="782" w:type="dxa"/>
            <w:tcBorders>
              <w:left w:val="single" w:color="000000" w:sz="6" w:space="0"/>
              <w:bottom w:val="single" w:color="000000" w:sz="6" w:space="0"/>
            </w:tcBorders>
            <w:noWrap w:val="0"/>
            <w:vAlign w:val="top"/>
          </w:tcPr>
          <w:p>
            <w:pPr>
              <w:pStyle w:val="147"/>
              <w:spacing w:before="38"/>
              <w:ind w:left="210"/>
              <w:rPr>
                <w:rFonts w:hint="eastAsia" w:ascii="宋体" w:hAnsi="宋体" w:eastAsia="宋体" w:cs="宋体"/>
                <w:color w:val="auto"/>
                <w:sz w:val="18"/>
                <w:highlight w:val="none"/>
              </w:rPr>
            </w:pPr>
            <w:r>
              <w:rPr>
                <w:rFonts w:hint="eastAsia" w:ascii="宋体" w:hAnsi="宋体" w:eastAsia="宋体" w:cs="宋体"/>
                <w:color w:val="auto"/>
                <w:sz w:val="18"/>
                <w:highlight w:val="none"/>
              </w:rPr>
              <w:t>总价</w:t>
            </w:r>
          </w:p>
          <w:p>
            <w:pPr>
              <w:pStyle w:val="147"/>
              <w:spacing w:before="9"/>
              <w:ind w:left="120"/>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95" w:type="dxa"/>
            <w:tcBorders>
              <w:top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50"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74"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04"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56"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66"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4"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92"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92"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92"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5"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tcBorders>
            <w:noWrap w:val="0"/>
            <w:vAlign w:val="top"/>
          </w:tcPr>
          <w:p>
            <w:pPr>
              <w:pStyle w:val="147"/>
              <w:rPr>
                <w:rFonts w:hint="eastAsia" w:ascii="宋体" w:hAnsi="宋体" w:eastAsia="宋体" w:cs="宋体"/>
                <w:color w:val="auto"/>
                <w:sz w:val="22"/>
                <w:highlight w:val="none"/>
              </w:rPr>
            </w:pPr>
          </w:p>
        </w:tc>
      </w:tr>
    </w:tbl>
    <w:p>
      <w:pPr>
        <w:pStyle w:val="18"/>
        <w:tabs>
          <w:tab w:val="left" w:pos="2411"/>
          <w:tab w:val="left" w:pos="3355"/>
          <w:tab w:val="left" w:pos="5978"/>
          <w:tab w:val="left" w:pos="7763"/>
          <w:tab w:val="left" w:pos="8707"/>
        </w:tabs>
        <w:spacing w:before="98"/>
        <w:ind w:left="731"/>
        <w:rPr>
          <w:rFonts w:hint="eastAsia" w:ascii="宋体" w:hAnsi="宋体" w:eastAsia="宋体" w:cs="宋体"/>
          <w:color w:val="auto"/>
          <w:sz w:val="24"/>
          <w:szCs w:val="24"/>
          <w:highlight w:val="none"/>
        </w:rPr>
      </w:pPr>
    </w:p>
    <w:p>
      <w:pPr>
        <w:pStyle w:val="18"/>
        <w:tabs>
          <w:tab w:val="left" w:pos="2411"/>
          <w:tab w:val="left" w:pos="3355"/>
          <w:tab w:val="left" w:pos="5978"/>
          <w:tab w:val="left" w:pos="7763"/>
          <w:tab w:val="left" w:pos="8707"/>
        </w:tabs>
        <w:spacing w:before="98"/>
        <w:ind w:left="731"/>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甲方（盖章</w:t>
      </w:r>
      <w:r>
        <w:rPr>
          <w:rFonts w:hint="eastAsia" w:ascii="宋体" w:hAnsi="宋体" w:eastAsia="宋体" w:cs="宋体"/>
          <w:color w:val="auto"/>
          <w:spacing w:val="-106"/>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乙方（盖章</w:t>
      </w:r>
      <w:r>
        <w:rPr>
          <w:rFonts w:hint="eastAsia" w:ascii="宋体" w:hAnsi="宋体" w:eastAsia="宋体" w:cs="宋体"/>
          <w:color w:val="auto"/>
          <w:spacing w:val="-105"/>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p>
    <w:p>
      <w:pPr>
        <w:pStyle w:val="18"/>
        <w:spacing w:before="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p>
      <w:pPr>
        <w:pStyle w:val="18"/>
        <w:tabs>
          <w:tab w:val="left" w:pos="3355"/>
          <w:tab w:val="left" w:pos="5978"/>
          <w:tab w:val="left" w:pos="8708"/>
        </w:tabs>
        <w:spacing w:before="77"/>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委托代理人签字：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p>
    <w:p>
      <w:pPr>
        <w:pStyle w:val="18"/>
        <w:spacing w:before="2"/>
        <w:rPr>
          <w:rFonts w:hint="eastAsia" w:ascii="宋体" w:hAnsi="宋体" w:eastAsia="宋体" w:cs="宋体"/>
          <w:color w:val="auto"/>
          <w:sz w:val="24"/>
          <w:szCs w:val="24"/>
          <w:highlight w:val="none"/>
        </w:rPr>
      </w:pPr>
    </w:p>
    <w:p>
      <w:pPr>
        <w:pStyle w:val="18"/>
        <w:tabs>
          <w:tab w:val="left" w:pos="1151"/>
          <w:tab w:val="left" w:pos="1781"/>
          <w:tab w:val="left" w:pos="2411"/>
          <w:tab w:val="left" w:pos="5979"/>
          <w:tab w:val="left" w:pos="6398"/>
          <w:tab w:val="left" w:pos="7028"/>
          <w:tab w:val="left" w:pos="7657"/>
        </w:tabs>
        <w:spacing w:before="70"/>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pPr>
        <w:spacing w:after="0"/>
        <w:rPr>
          <w:rFonts w:hint="eastAsia" w:ascii="宋体" w:hAnsi="宋体" w:eastAsia="宋体" w:cs="宋体"/>
          <w:color w:val="auto"/>
          <w:sz w:val="24"/>
          <w:szCs w:val="24"/>
          <w:highlight w:val="none"/>
        </w:rPr>
        <w:sectPr>
          <w:pgSz w:w="11910" w:h="16840"/>
          <w:pgMar w:top="1600" w:right="780" w:bottom="1740" w:left="800" w:header="0" w:footer="1552" w:gutter="0"/>
          <w:pgNumType w:fmt="decimal"/>
          <w:cols w:space="720" w:num="1"/>
        </w:sectPr>
      </w:pPr>
    </w:p>
    <w:p>
      <w:pPr>
        <w:pStyle w:val="18"/>
        <w:spacing w:before="3"/>
        <w:rPr>
          <w:rFonts w:hint="eastAsia" w:ascii="宋体" w:hAnsi="宋体" w:eastAsia="宋体" w:cs="宋体"/>
          <w:color w:val="auto"/>
          <w:sz w:val="27"/>
          <w:highlight w:val="none"/>
        </w:rPr>
      </w:pPr>
    </w:p>
    <w:p>
      <w:pPr>
        <w:pStyle w:val="18"/>
        <w:spacing w:before="78"/>
        <w:ind w:left="73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表 5调味品供货及验收清单</w:t>
      </w:r>
    </w:p>
    <w:p>
      <w:pPr>
        <w:pStyle w:val="18"/>
        <w:spacing w:before="2"/>
        <w:rPr>
          <w:rFonts w:hint="eastAsia" w:ascii="宋体" w:hAnsi="宋体" w:eastAsia="宋体" w:cs="宋体"/>
          <w:color w:val="auto"/>
          <w:sz w:val="30"/>
          <w:szCs w:val="30"/>
          <w:highlight w:val="none"/>
        </w:rPr>
      </w:pPr>
    </w:p>
    <w:tbl>
      <w:tblPr>
        <w:tblStyle w:val="46"/>
        <w:tblW w:w="9917" w:type="dxa"/>
        <w:tblInd w:w="2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577"/>
        <w:gridCol w:w="668"/>
        <w:gridCol w:w="766"/>
        <w:gridCol w:w="782"/>
        <w:gridCol w:w="681"/>
        <w:gridCol w:w="1076"/>
        <w:gridCol w:w="883"/>
        <w:gridCol w:w="1019"/>
        <w:gridCol w:w="937"/>
        <w:gridCol w:w="937"/>
        <w:gridCol w:w="811"/>
        <w:gridCol w:w="78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531" w:hRule="atLeast"/>
        </w:trPr>
        <w:tc>
          <w:tcPr>
            <w:tcW w:w="577" w:type="dxa"/>
            <w:tcBorders>
              <w:bottom w:val="single" w:color="000000" w:sz="6" w:space="0"/>
              <w:right w:val="single" w:color="000000" w:sz="6" w:space="0"/>
            </w:tcBorders>
            <w:noWrap w:val="0"/>
            <w:vAlign w:val="top"/>
          </w:tcPr>
          <w:p>
            <w:pPr>
              <w:pStyle w:val="147"/>
              <w:spacing w:before="158"/>
              <w:ind w:left="108"/>
              <w:rPr>
                <w:rFonts w:hint="eastAsia"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668" w:type="dxa"/>
            <w:tcBorders>
              <w:left w:val="single" w:color="000000" w:sz="6" w:space="0"/>
              <w:bottom w:val="single" w:color="000000" w:sz="6" w:space="0"/>
              <w:right w:val="single" w:color="000000" w:sz="6" w:space="0"/>
            </w:tcBorders>
            <w:noWrap w:val="0"/>
            <w:vAlign w:val="top"/>
          </w:tcPr>
          <w:p>
            <w:pPr>
              <w:pStyle w:val="147"/>
              <w:spacing w:before="158"/>
              <w:ind w:left="160"/>
              <w:rPr>
                <w:rFonts w:hint="eastAsia" w:ascii="宋体" w:hAnsi="宋体" w:eastAsia="宋体" w:cs="宋体"/>
                <w:color w:val="auto"/>
                <w:sz w:val="18"/>
                <w:highlight w:val="none"/>
              </w:rPr>
            </w:pPr>
            <w:r>
              <w:rPr>
                <w:rFonts w:hint="eastAsia" w:ascii="宋体" w:hAnsi="宋体" w:eastAsia="宋体" w:cs="宋体"/>
                <w:color w:val="auto"/>
                <w:sz w:val="18"/>
                <w:highlight w:val="none"/>
              </w:rPr>
              <w:t>品名</w:t>
            </w:r>
          </w:p>
        </w:tc>
        <w:tc>
          <w:tcPr>
            <w:tcW w:w="766" w:type="dxa"/>
            <w:tcBorders>
              <w:left w:val="single" w:color="000000" w:sz="6" w:space="0"/>
              <w:bottom w:val="single" w:color="000000" w:sz="6" w:space="0"/>
              <w:right w:val="single" w:color="000000" w:sz="6" w:space="0"/>
            </w:tcBorders>
            <w:noWrap w:val="0"/>
            <w:vAlign w:val="top"/>
          </w:tcPr>
          <w:p>
            <w:pPr>
              <w:pStyle w:val="147"/>
              <w:spacing w:before="38"/>
              <w:ind w:left="207"/>
              <w:rPr>
                <w:rFonts w:hint="eastAsia" w:ascii="宋体" w:hAnsi="宋体" w:eastAsia="宋体" w:cs="宋体"/>
                <w:color w:val="auto"/>
                <w:sz w:val="18"/>
                <w:highlight w:val="none"/>
              </w:rPr>
            </w:pPr>
            <w:r>
              <w:rPr>
                <w:rFonts w:hint="eastAsia" w:ascii="宋体" w:hAnsi="宋体" w:eastAsia="宋体" w:cs="宋体"/>
                <w:color w:val="auto"/>
                <w:sz w:val="18"/>
                <w:highlight w:val="none"/>
              </w:rPr>
              <w:t>数量</w:t>
            </w:r>
          </w:p>
          <w:p>
            <w:pPr>
              <w:pStyle w:val="147"/>
              <w:spacing w:before="9"/>
              <w:ind w:left="182"/>
              <w:rPr>
                <w:rFonts w:hint="eastAsia" w:ascii="宋体" w:hAnsi="宋体" w:eastAsia="宋体" w:cs="宋体"/>
                <w:color w:val="auto"/>
                <w:sz w:val="18"/>
                <w:highlight w:val="none"/>
              </w:rPr>
            </w:pPr>
            <w:r>
              <w:rPr>
                <w:rFonts w:hint="eastAsia" w:ascii="宋体" w:hAnsi="宋体" w:eastAsia="宋体" w:cs="宋体"/>
                <w:color w:val="auto"/>
                <w:sz w:val="18"/>
                <w:highlight w:val="none"/>
              </w:rPr>
              <w:t>（/）</w:t>
            </w:r>
          </w:p>
        </w:tc>
        <w:tc>
          <w:tcPr>
            <w:tcW w:w="782" w:type="dxa"/>
            <w:tcBorders>
              <w:left w:val="single" w:color="000000" w:sz="6" w:space="0"/>
              <w:bottom w:val="single" w:color="000000" w:sz="6" w:space="0"/>
              <w:right w:val="single" w:color="000000" w:sz="6" w:space="0"/>
            </w:tcBorders>
            <w:noWrap w:val="0"/>
            <w:vAlign w:val="top"/>
          </w:tcPr>
          <w:p>
            <w:pPr>
              <w:pStyle w:val="147"/>
              <w:spacing w:before="158"/>
              <w:ind w:left="217"/>
              <w:rPr>
                <w:rFonts w:hint="eastAsia" w:ascii="宋体" w:hAnsi="宋体" w:eastAsia="宋体" w:cs="宋体"/>
                <w:color w:val="auto"/>
                <w:sz w:val="18"/>
                <w:highlight w:val="none"/>
              </w:rPr>
            </w:pPr>
            <w:r>
              <w:rPr>
                <w:rFonts w:hint="eastAsia" w:ascii="宋体" w:hAnsi="宋体" w:eastAsia="宋体" w:cs="宋体"/>
                <w:color w:val="auto"/>
                <w:sz w:val="18"/>
                <w:highlight w:val="none"/>
              </w:rPr>
              <w:t>产地</w:t>
            </w:r>
          </w:p>
        </w:tc>
        <w:tc>
          <w:tcPr>
            <w:tcW w:w="681" w:type="dxa"/>
            <w:tcBorders>
              <w:left w:val="single" w:color="000000" w:sz="6" w:space="0"/>
              <w:bottom w:val="single" w:color="000000" w:sz="6" w:space="0"/>
              <w:right w:val="single" w:color="000000" w:sz="6" w:space="0"/>
            </w:tcBorders>
            <w:noWrap w:val="0"/>
            <w:vAlign w:val="top"/>
          </w:tcPr>
          <w:p>
            <w:pPr>
              <w:pStyle w:val="147"/>
              <w:spacing w:before="158"/>
              <w:ind w:left="164"/>
              <w:rPr>
                <w:rFonts w:hint="eastAsia" w:ascii="宋体" w:hAnsi="宋体" w:eastAsia="宋体" w:cs="宋体"/>
                <w:color w:val="auto"/>
                <w:sz w:val="18"/>
                <w:highlight w:val="none"/>
              </w:rPr>
            </w:pPr>
            <w:r>
              <w:rPr>
                <w:rFonts w:hint="eastAsia" w:ascii="宋体" w:hAnsi="宋体" w:eastAsia="宋体" w:cs="宋体"/>
                <w:color w:val="auto"/>
                <w:sz w:val="18"/>
                <w:highlight w:val="none"/>
              </w:rPr>
              <w:t>品牌</w:t>
            </w:r>
          </w:p>
        </w:tc>
        <w:tc>
          <w:tcPr>
            <w:tcW w:w="1076" w:type="dxa"/>
            <w:tcBorders>
              <w:left w:val="single" w:color="000000" w:sz="6" w:space="0"/>
              <w:bottom w:val="single" w:color="000000" w:sz="6" w:space="0"/>
              <w:right w:val="single" w:color="000000" w:sz="6" w:space="0"/>
            </w:tcBorders>
            <w:noWrap w:val="0"/>
            <w:vAlign w:val="top"/>
          </w:tcPr>
          <w:p>
            <w:pPr>
              <w:pStyle w:val="147"/>
              <w:spacing w:before="158"/>
              <w:ind w:left="182"/>
              <w:rPr>
                <w:rFonts w:hint="eastAsia" w:ascii="宋体" w:hAnsi="宋体" w:eastAsia="宋体" w:cs="宋体"/>
                <w:color w:val="auto"/>
                <w:sz w:val="18"/>
                <w:highlight w:val="none"/>
              </w:rPr>
            </w:pPr>
            <w:r>
              <w:rPr>
                <w:rFonts w:hint="eastAsia" w:ascii="宋体" w:hAnsi="宋体" w:eastAsia="宋体" w:cs="宋体"/>
                <w:color w:val="auto"/>
                <w:sz w:val="18"/>
                <w:highlight w:val="none"/>
              </w:rPr>
              <w:t>执行标准</w:t>
            </w:r>
          </w:p>
        </w:tc>
        <w:tc>
          <w:tcPr>
            <w:tcW w:w="883" w:type="dxa"/>
            <w:tcBorders>
              <w:left w:val="single" w:color="000000" w:sz="6" w:space="0"/>
              <w:bottom w:val="single" w:color="000000" w:sz="6" w:space="0"/>
              <w:right w:val="single" w:color="000000" w:sz="6" w:space="0"/>
            </w:tcBorders>
            <w:noWrap w:val="0"/>
            <w:vAlign w:val="top"/>
          </w:tcPr>
          <w:p>
            <w:pPr>
              <w:pStyle w:val="147"/>
              <w:spacing w:before="158"/>
              <w:ind w:left="174"/>
              <w:rPr>
                <w:rFonts w:hint="eastAsia" w:ascii="宋体" w:hAnsi="宋体" w:eastAsia="宋体" w:cs="宋体"/>
                <w:color w:val="auto"/>
                <w:sz w:val="18"/>
                <w:highlight w:val="none"/>
              </w:rPr>
            </w:pPr>
            <w:r>
              <w:rPr>
                <w:rFonts w:hint="eastAsia" w:ascii="宋体" w:hAnsi="宋体" w:eastAsia="宋体" w:cs="宋体"/>
                <w:color w:val="auto"/>
                <w:sz w:val="18"/>
                <w:highlight w:val="none"/>
              </w:rPr>
              <w:t>生产商</w:t>
            </w:r>
          </w:p>
        </w:tc>
        <w:tc>
          <w:tcPr>
            <w:tcW w:w="1019" w:type="dxa"/>
            <w:tcBorders>
              <w:left w:val="single" w:color="000000" w:sz="6" w:space="0"/>
              <w:bottom w:val="single" w:color="000000" w:sz="6" w:space="0"/>
              <w:right w:val="single" w:color="000000" w:sz="6" w:space="0"/>
            </w:tcBorders>
            <w:noWrap w:val="0"/>
            <w:vAlign w:val="top"/>
          </w:tcPr>
          <w:p>
            <w:pPr>
              <w:pStyle w:val="147"/>
              <w:spacing w:before="29" w:line="240" w:lineRule="atLeast"/>
              <w:ind w:left="241" w:right="130" w:hanging="90"/>
              <w:rPr>
                <w:rFonts w:hint="eastAsia" w:ascii="宋体" w:hAnsi="宋体" w:eastAsia="宋体" w:cs="宋体"/>
                <w:color w:val="auto"/>
                <w:sz w:val="18"/>
                <w:highlight w:val="none"/>
              </w:rPr>
            </w:pPr>
            <w:r>
              <w:rPr>
                <w:rFonts w:hint="eastAsia" w:ascii="宋体" w:hAnsi="宋体" w:eastAsia="宋体" w:cs="宋体"/>
                <w:color w:val="auto"/>
                <w:sz w:val="18"/>
                <w:highlight w:val="none"/>
              </w:rPr>
              <w:t>包装标准及要求</w:t>
            </w:r>
          </w:p>
        </w:tc>
        <w:tc>
          <w:tcPr>
            <w:tcW w:w="937" w:type="dxa"/>
            <w:tcBorders>
              <w:left w:val="single" w:color="000000" w:sz="6" w:space="0"/>
              <w:bottom w:val="single" w:color="000000" w:sz="6" w:space="0"/>
              <w:right w:val="single" w:color="000000" w:sz="6" w:space="0"/>
            </w:tcBorders>
            <w:noWrap w:val="0"/>
            <w:vAlign w:val="top"/>
          </w:tcPr>
          <w:p>
            <w:pPr>
              <w:pStyle w:val="147"/>
              <w:spacing w:before="29" w:line="240" w:lineRule="atLeast"/>
              <w:ind w:left="289" w:right="90" w:hanging="180"/>
              <w:rPr>
                <w:rFonts w:hint="eastAsia" w:ascii="宋体" w:hAnsi="宋体" w:eastAsia="宋体" w:cs="宋体"/>
                <w:color w:val="auto"/>
                <w:sz w:val="18"/>
                <w:highlight w:val="none"/>
              </w:rPr>
            </w:pPr>
            <w:r>
              <w:rPr>
                <w:rFonts w:hint="eastAsia" w:ascii="宋体" w:hAnsi="宋体" w:eastAsia="宋体" w:cs="宋体"/>
                <w:color w:val="auto"/>
                <w:sz w:val="18"/>
                <w:highlight w:val="none"/>
              </w:rPr>
              <w:t>运输保管条件</w:t>
            </w:r>
          </w:p>
        </w:tc>
        <w:tc>
          <w:tcPr>
            <w:tcW w:w="937" w:type="dxa"/>
            <w:tcBorders>
              <w:left w:val="single" w:color="000000" w:sz="6" w:space="0"/>
              <w:bottom w:val="single" w:color="000000" w:sz="6" w:space="0"/>
              <w:right w:val="single" w:color="000000" w:sz="6" w:space="0"/>
            </w:tcBorders>
            <w:noWrap w:val="0"/>
            <w:vAlign w:val="top"/>
          </w:tcPr>
          <w:p>
            <w:pPr>
              <w:pStyle w:val="147"/>
              <w:spacing w:before="29" w:line="240" w:lineRule="atLeast"/>
              <w:ind w:left="198" w:right="181" w:firstLine="90"/>
              <w:rPr>
                <w:rFonts w:hint="eastAsia" w:ascii="宋体" w:hAnsi="宋体" w:eastAsia="宋体" w:cs="宋体"/>
                <w:color w:val="auto"/>
                <w:sz w:val="18"/>
                <w:highlight w:val="none"/>
              </w:rPr>
            </w:pPr>
            <w:r>
              <w:rPr>
                <w:rFonts w:hint="eastAsia" w:ascii="宋体" w:hAnsi="宋体" w:eastAsia="宋体" w:cs="宋体"/>
                <w:color w:val="auto"/>
                <w:sz w:val="18"/>
                <w:highlight w:val="none"/>
              </w:rPr>
              <w:t>产品合格证</w:t>
            </w:r>
          </w:p>
        </w:tc>
        <w:tc>
          <w:tcPr>
            <w:tcW w:w="811" w:type="dxa"/>
            <w:tcBorders>
              <w:left w:val="single" w:color="000000" w:sz="6" w:space="0"/>
              <w:bottom w:val="single" w:color="000000" w:sz="6" w:space="0"/>
              <w:right w:val="single" w:color="000000" w:sz="6" w:space="0"/>
            </w:tcBorders>
            <w:noWrap w:val="0"/>
            <w:vAlign w:val="top"/>
          </w:tcPr>
          <w:p>
            <w:pPr>
              <w:pStyle w:val="147"/>
              <w:spacing w:before="38"/>
              <w:ind w:left="223"/>
              <w:rPr>
                <w:rFonts w:hint="eastAsia" w:ascii="宋体" w:hAnsi="宋体" w:eastAsia="宋体" w:cs="宋体"/>
                <w:color w:val="auto"/>
                <w:sz w:val="18"/>
                <w:highlight w:val="none"/>
              </w:rPr>
            </w:pPr>
            <w:r>
              <w:rPr>
                <w:rFonts w:hint="eastAsia" w:ascii="宋体" w:hAnsi="宋体" w:eastAsia="宋体" w:cs="宋体"/>
                <w:color w:val="auto"/>
                <w:sz w:val="18"/>
                <w:highlight w:val="none"/>
              </w:rPr>
              <w:t>单价</w:t>
            </w:r>
          </w:p>
          <w:p>
            <w:pPr>
              <w:pStyle w:val="147"/>
              <w:spacing w:before="9"/>
              <w:ind w:left="133"/>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c>
          <w:tcPr>
            <w:tcW w:w="780" w:type="dxa"/>
            <w:tcBorders>
              <w:left w:val="single" w:color="000000" w:sz="6" w:space="0"/>
              <w:bottom w:val="single" w:color="000000" w:sz="6" w:space="0"/>
            </w:tcBorders>
            <w:noWrap w:val="0"/>
            <w:vAlign w:val="top"/>
          </w:tcPr>
          <w:p>
            <w:pPr>
              <w:pStyle w:val="147"/>
              <w:spacing w:before="38"/>
              <w:ind w:left="208"/>
              <w:rPr>
                <w:rFonts w:hint="eastAsia" w:ascii="宋体" w:hAnsi="宋体" w:eastAsia="宋体" w:cs="宋体"/>
                <w:color w:val="auto"/>
                <w:sz w:val="18"/>
                <w:highlight w:val="none"/>
              </w:rPr>
            </w:pPr>
            <w:r>
              <w:rPr>
                <w:rFonts w:hint="eastAsia" w:ascii="宋体" w:hAnsi="宋体" w:eastAsia="宋体" w:cs="宋体"/>
                <w:color w:val="auto"/>
                <w:sz w:val="18"/>
                <w:highlight w:val="none"/>
              </w:rPr>
              <w:t>总价</w:t>
            </w:r>
          </w:p>
          <w:p>
            <w:pPr>
              <w:pStyle w:val="147"/>
              <w:spacing w:before="9"/>
              <w:ind w:left="118"/>
              <w:rPr>
                <w:rFonts w:hint="eastAsia" w:ascii="宋体" w:hAnsi="宋体" w:eastAsia="宋体" w:cs="宋体"/>
                <w:color w:val="auto"/>
                <w:sz w:val="18"/>
                <w:highlight w:val="none"/>
              </w:rPr>
            </w:pPr>
            <w:r>
              <w:rPr>
                <w:rFonts w:hint="eastAsia" w:ascii="宋体" w:hAnsi="宋体" w:eastAsia="宋体" w:cs="宋体"/>
                <w:color w:val="auto"/>
                <w:sz w:val="18"/>
                <w:highlight w:val="none"/>
              </w:rPr>
              <w:t>（元）</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5"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bottom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bottom w:val="single" w:color="000000" w:sz="6" w:space="0"/>
            </w:tcBorders>
            <w:noWrap w:val="0"/>
            <w:vAlign w:val="top"/>
          </w:tcPr>
          <w:p>
            <w:pPr>
              <w:pStyle w:val="147"/>
              <w:rPr>
                <w:rFonts w:hint="eastAsia" w:ascii="宋体" w:hAnsi="宋体" w:eastAsia="宋体" w:cs="宋体"/>
                <w:color w:val="auto"/>
                <w:sz w:val="22"/>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Ex>
        <w:trPr>
          <w:trHeight w:val="324" w:hRule="atLeast"/>
        </w:trPr>
        <w:tc>
          <w:tcPr>
            <w:tcW w:w="577" w:type="dxa"/>
            <w:tcBorders>
              <w:top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68"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66"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2"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681"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76"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83"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1019"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937"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811" w:type="dxa"/>
            <w:tcBorders>
              <w:top w:val="single" w:color="000000" w:sz="6" w:space="0"/>
              <w:left w:val="single" w:color="000000" w:sz="6" w:space="0"/>
              <w:right w:val="single" w:color="000000" w:sz="6" w:space="0"/>
            </w:tcBorders>
            <w:noWrap w:val="0"/>
            <w:vAlign w:val="top"/>
          </w:tcPr>
          <w:p>
            <w:pPr>
              <w:pStyle w:val="147"/>
              <w:rPr>
                <w:rFonts w:hint="eastAsia" w:ascii="宋体" w:hAnsi="宋体" w:eastAsia="宋体" w:cs="宋体"/>
                <w:color w:val="auto"/>
                <w:sz w:val="22"/>
                <w:highlight w:val="none"/>
              </w:rPr>
            </w:pPr>
          </w:p>
        </w:tc>
        <w:tc>
          <w:tcPr>
            <w:tcW w:w="780" w:type="dxa"/>
            <w:tcBorders>
              <w:top w:val="single" w:color="000000" w:sz="6" w:space="0"/>
              <w:left w:val="single" w:color="000000" w:sz="6" w:space="0"/>
            </w:tcBorders>
            <w:noWrap w:val="0"/>
            <w:vAlign w:val="top"/>
          </w:tcPr>
          <w:p>
            <w:pPr>
              <w:pStyle w:val="147"/>
              <w:rPr>
                <w:rFonts w:hint="eastAsia" w:ascii="宋体" w:hAnsi="宋体" w:eastAsia="宋体" w:cs="宋体"/>
                <w:color w:val="auto"/>
                <w:sz w:val="22"/>
                <w:highlight w:val="none"/>
              </w:rPr>
            </w:pPr>
          </w:p>
        </w:tc>
      </w:tr>
    </w:tbl>
    <w:p>
      <w:pPr>
        <w:pStyle w:val="18"/>
        <w:tabs>
          <w:tab w:val="left" w:pos="2411"/>
          <w:tab w:val="left" w:pos="3355"/>
          <w:tab w:val="left" w:pos="5978"/>
          <w:tab w:val="left" w:pos="7763"/>
          <w:tab w:val="left" w:pos="8707"/>
        </w:tabs>
        <w:spacing w:before="98"/>
        <w:ind w:left="731"/>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甲方（盖章</w:t>
      </w:r>
      <w:r>
        <w:rPr>
          <w:rFonts w:hint="eastAsia" w:ascii="宋体" w:hAnsi="宋体" w:eastAsia="宋体" w:cs="宋体"/>
          <w:color w:val="auto"/>
          <w:spacing w:val="-106"/>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乙方（盖章</w:t>
      </w:r>
      <w:r>
        <w:rPr>
          <w:rFonts w:hint="eastAsia" w:ascii="宋体" w:hAnsi="宋体" w:eastAsia="宋体" w:cs="宋体"/>
          <w:color w:val="auto"/>
          <w:spacing w:val="-105"/>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p>
    <w:p>
      <w:pPr>
        <w:pStyle w:val="18"/>
        <w:spacing w:before="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p>
      <w:pPr>
        <w:pStyle w:val="18"/>
        <w:tabs>
          <w:tab w:val="left" w:pos="3355"/>
          <w:tab w:val="left" w:pos="5978"/>
          <w:tab w:val="left" w:pos="8708"/>
        </w:tabs>
        <w:spacing w:before="77"/>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委托代理人签字：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p>
    <w:p>
      <w:pPr>
        <w:pStyle w:val="18"/>
        <w:spacing w:before="2"/>
        <w:rPr>
          <w:rFonts w:hint="eastAsia" w:ascii="宋体" w:hAnsi="宋体" w:eastAsia="宋体" w:cs="宋体"/>
          <w:color w:val="auto"/>
          <w:sz w:val="24"/>
          <w:szCs w:val="24"/>
          <w:highlight w:val="none"/>
        </w:rPr>
      </w:pPr>
    </w:p>
    <w:p>
      <w:pPr>
        <w:pStyle w:val="18"/>
        <w:tabs>
          <w:tab w:val="left" w:pos="1151"/>
          <w:tab w:val="left" w:pos="1781"/>
          <w:tab w:val="left" w:pos="2411"/>
          <w:tab w:val="left" w:pos="5979"/>
          <w:tab w:val="left" w:pos="6398"/>
          <w:tab w:val="left" w:pos="7028"/>
          <w:tab w:val="left" w:pos="7657"/>
        </w:tabs>
        <w:spacing w:before="70"/>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pPr>
        <w:spacing w:after="0"/>
        <w:rPr>
          <w:rFonts w:hint="eastAsia" w:ascii="宋体" w:hAnsi="宋体" w:eastAsia="宋体" w:cs="宋体"/>
          <w:color w:val="auto"/>
          <w:sz w:val="24"/>
          <w:szCs w:val="24"/>
          <w:highlight w:val="none"/>
        </w:rPr>
        <w:sectPr>
          <w:pgSz w:w="11910" w:h="16840"/>
          <w:pgMar w:top="1600" w:right="780" w:bottom="1740" w:left="800" w:header="0" w:footer="1552" w:gutter="0"/>
          <w:pgNumType w:fmt="decimal"/>
          <w:cols w:space="720" w:num="1"/>
        </w:sectPr>
      </w:pPr>
    </w:p>
    <w:p>
      <w:pPr>
        <w:pStyle w:val="18"/>
        <w:spacing w:before="3"/>
        <w:rPr>
          <w:rFonts w:hint="eastAsia" w:ascii="宋体" w:hAnsi="宋体" w:eastAsia="宋体" w:cs="宋体"/>
          <w:color w:val="auto"/>
          <w:sz w:val="27"/>
          <w:highlight w:val="none"/>
        </w:rPr>
      </w:pPr>
    </w:p>
    <w:p>
      <w:pPr>
        <w:pStyle w:val="18"/>
        <w:spacing w:before="78"/>
        <w:ind w:left="73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表 6供货时间进度表</w:t>
      </w:r>
    </w:p>
    <w:p>
      <w:pPr>
        <w:pStyle w:val="18"/>
        <w:spacing w:before="2"/>
        <w:rPr>
          <w:rFonts w:hint="eastAsia" w:ascii="宋体" w:hAnsi="宋体" w:eastAsia="宋体" w:cs="宋体"/>
          <w:color w:val="auto"/>
          <w:sz w:val="29"/>
          <w:highlight w:val="none"/>
        </w:rPr>
      </w:pPr>
    </w:p>
    <w:tbl>
      <w:tblPr>
        <w:tblStyle w:val="46"/>
        <w:tblW w:w="917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2851"/>
        <w:gridCol w:w="2136"/>
        <w:gridCol w:w="2426"/>
        <w:gridCol w:w="10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83" w:hRule="atLeast"/>
        </w:trPr>
        <w:tc>
          <w:tcPr>
            <w:tcW w:w="733" w:type="dxa"/>
            <w:noWrap w:val="0"/>
            <w:vAlign w:val="top"/>
          </w:tcPr>
          <w:p>
            <w:pPr>
              <w:pStyle w:val="147"/>
              <w:spacing w:before="83"/>
              <w:ind w:left="165" w:right="157"/>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2851" w:type="dxa"/>
            <w:noWrap w:val="0"/>
            <w:vAlign w:val="top"/>
          </w:tcPr>
          <w:p>
            <w:pPr>
              <w:pStyle w:val="147"/>
              <w:spacing w:before="83"/>
              <w:ind w:left="955" w:right="94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供货时间</w:t>
            </w:r>
          </w:p>
        </w:tc>
        <w:tc>
          <w:tcPr>
            <w:tcW w:w="2136" w:type="dxa"/>
            <w:noWrap w:val="0"/>
            <w:vAlign w:val="top"/>
          </w:tcPr>
          <w:p>
            <w:pPr>
              <w:pStyle w:val="147"/>
              <w:spacing w:before="83"/>
              <w:ind w:left="688" w:right="678"/>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支付时间</w:t>
            </w:r>
          </w:p>
        </w:tc>
        <w:tc>
          <w:tcPr>
            <w:tcW w:w="2426" w:type="dxa"/>
            <w:noWrap w:val="0"/>
            <w:vAlign w:val="top"/>
          </w:tcPr>
          <w:p>
            <w:pPr>
              <w:pStyle w:val="147"/>
              <w:spacing w:before="83"/>
              <w:ind w:left="833" w:right="823"/>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支付价款</w:t>
            </w:r>
          </w:p>
        </w:tc>
        <w:tc>
          <w:tcPr>
            <w:tcW w:w="1027" w:type="dxa"/>
            <w:noWrap w:val="0"/>
            <w:vAlign w:val="top"/>
          </w:tcPr>
          <w:p>
            <w:pPr>
              <w:pStyle w:val="147"/>
              <w:spacing w:before="83"/>
              <w:ind w:left="314" w:right="301"/>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7" w:hRule="atLeast"/>
        </w:trPr>
        <w:tc>
          <w:tcPr>
            <w:tcW w:w="733" w:type="dxa"/>
            <w:noWrap w:val="0"/>
            <w:vAlign w:val="top"/>
          </w:tcPr>
          <w:p>
            <w:pPr>
              <w:pStyle w:val="147"/>
              <w:spacing w:before="128"/>
              <w:ind w:left="9"/>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1</w:t>
            </w:r>
          </w:p>
        </w:tc>
        <w:tc>
          <w:tcPr>
            <w:tcW w:w="2851" w:type="dxa"/>
            <w:noWrap w:val="0"/>
            <w:vAlign w:val="top"/>
          </w:tcPr>
          <w:p>
            <w:pPr>
              <w:pStyle w:val="147"/>
              <w:spacing w:before="118"/>
              <w:ind w:left="955" w:right="94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第一次供货</w:t>
            </w: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7" w:hRule="atLeast"/>
        </w:trPr>
        <w:tc>
          <w:tcPr>
            <w:tcW w:w="733" w:type="dxa"/>
            <w:noWrap w:val="0"/>
            <w:vAlign w:val="top"/>
          </w:tcPr>
          <w:p>
            <w:pPr>
              <w:pStyle w:val="147"/>
              <w:spacing w:before="128"/>
              <w:ind w:left="165" w:right="157"/>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w:t>
            </w:r>
          </w:p>
        </w:tc>
        <w:tc>
          <w:tcPr>
            <w:tcW w:w="2851" w:type="dxa"/>
            <w:noWrap w:val="0"/>
            <w:vAlign w:val="top"/>
          </w:tcPr>
          <w:p>
            <w:pPr>
              <w:pStyle w:val="147"/>
              <w:spacing w:before="128"/>
              <w:ind w:left="955" w:right="94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w:t>
            </w:r>
          </w:p>
        </w:tc>
        <w:tc>
          <w:tcPr>
            <w:tcW w:w="2136" w:type="dxa"/>
            <w:noWrap w:val="0"/>
            <w:vAlign w:val="top"/>
          </w:tcPr>
          <w:p>
            <w:pPr>
              <w:pStyle w:val="147"/>
              <w:spacing w:before="128"/>
              <w:ind w:left="688" w:right="678"/>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w:t>
            </w:r>
          </w:p>
        </w:tc>
        <w:tc>
          <w:tcPr>
            <w:tcW w:w="2426" w:type="dxa"/>
            <w:noWrap w:val="0"/>
            <w:vAlign w:val="top"/>
          </w:tcPr>
          <w:p>
            <w:pPr>
              <w:pStyle w:val="147"/>
              <w:spacing w:before="128"/>
              <w:ind w:left="833" w:right="823"/>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w:t>
            </w:r>
          </w:p>
        </w:tc>
        <w:tc>
          <w:tcPr>
            <w:tcW w:w="1027" w:type="dxa"/>
            <w:noWrap w:val="0"/>
            <w:vAlign w:val="top"/>
          </w:tcPr>
          <w:p>
            <w:pPr>
              <w:pStyle w:val="147"/>
              <w:spacing w:before="128"/>
              <w:ind w:left="314" w:right="301"/>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8"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7"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7"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8"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7"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7"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8"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7"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7"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8"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7" w:hRule="atLeast"/>
        </w:trPr>
        <w:tc>
          <w:tcPr>
            <w:tcW w:w="733" w:type="dxa"/>
            <w:noWrap w:val="0"/>
            <w:vAlign w:val="top"/>
          </w:tcPr>
          <w:p>
            <w:pPr>
              <w:pStyle w:val="147"/>
              <w:rPr>
                <w:rFonts w:hint="eastAsia" w:ascii="宋体" w:hAnsi="宋体" w:eastAsia="宋体" w:cs="宋体"/>
                <w:color w:val="auto"/>
                <w:sz w:val="20"/>
                <w:highlight w:val="none"/>
              </w:rPr>
            </w:pPr>
          </w:p>
        </w:tc>
        <w:tc>
          <w:tcPr>
            <w:tcW w:w="2851" w:type="dxa"/>
            <w:noWrap w:val="0"/>
            <w:vAlign w:val="top"/>
          </w:tcPr>
          <w:p>
            <w:pPr>
              <w:pStyle w:val="147"/>
              <w:rPr>
                <w:rFonts w:hint="eastAsia" w:ascii="宋体" w:hAnsi="宋体" w:eastAsia="宋体" w:cs="宋体"/>
                <w:color w:val="auto"/>
                <w:sz w:val="20"/>
                <w:highlight w:val="none"/>
              </w:rPr>
            </w:pPr>
          </w:p>
        </w:tc>
        <w:tc>
          <w:tcPr>
            <w:tcW w:w="2136" w:type="dxa"/>
            <w:noWrap w:val="0"/>
            <w:vAlign w:val="top"/>
          </w:tcPr>
          <w:p>
            <w:pPr>
              <w:pStyle w:val="147"/>
              <w:rPr>
                <w:rFonts w:hint="eastAsia" w:ascii="宋体" w:hAnsi="宋体" w:eastAsia="宋体" w:cs="宋体"/>
                <w:color w:val="auto"/>
                <w:sz w:val="20"/>
                <w:highlight w:val="none"/>
              </w:rPr>
            </w:pPr>
          </w:p>
        </w:tc>
        <w:tc>
          <w:tcPr>
            <w:tcW w:w="2426" w:type="dxa"/>
            <w:noWrap w:val="0"/>
            <w:vAlign w:val="top"/>
          </w:tcPr>
          <w:p>
            <w:pPr>
              <w:pStyle w:val="147"/>
              <w:rPr>
                <w:rFonts w:hint="eastAsia" w:ascii="宋体" w:hAnsi="宋体" w:eastAsia="宋体" w:cs="宋体"/>
                <w:color w:val="auto"/>
                <w:sz w:val="20"/>
                <w:highlight w:val="none"/>
              </w:rPr>
            </w:pPr>
          </w:p>
        </w:tc>
        <w:tc>
          <w:tcPr>
            <w:tcW w:w="1027" w:type="dxa"/>
            <w:noWrap w:val="0"/>
            <w:vAlign w:val="top"/>
          </w:tcPr>
          <w:p>
            <w:pPr>
              <w:pStyle w:val="147"/>
              <w:rPr>
                <w:rFonts w:hint="eastAsia" w:ascii="宋体" w:hAnsi="宋体" w:eastAsia="宋体" w:cs="宋体"/>
                <w:color w:val="auto"/>
                <w:sz w:val="20"/>
                <w:highlight w:val="none"/>
              </w:rPr>
            </w:pPr>
          </w:p>
        </w:tc>
      </w:tr>
    </w:tbl>
    <w:p>
      <w:pPr>
        <w:pStyle w:val="18"/>
        <w:tabs>
          <w:tab w:val="left" w:pos="2411"/>
          <w:tab w:val="left" w:pos="3355"/>
          <w:tab w:val="left" w:pos="5978"/>
          <w:tab w:val="left" w:pos="7763"/>
          <w:tab w:val="left" w:pos="8707"/>
        </w:tabs>
        <w:spacing w:before="98"/>
        <w:ind w:left="731"/>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甲方（盖章</w:t>
      </w:r>
      <w:r>
        <w:rPr>
          <w:rFonts w:hint="eastAsia" w:ascii="宋体" w:hAnsi="宋体" w:eastAsia="宋体" w:cs="宋体"/>
          <w:color w:val="auto"/>
          <w:spacing w:val="-106"/>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乙方（盖章</w:t>
      </w:r>
      <w:r>
        <w:rPr>
          <w:rFonts w:hint="eastAsia" w:ascii="宋体" w:hAnsi="宋体" w:eastAsia="宋体" w:cs="宋体"/>
          <w:color w:val="auto"/>
          <w:spacing w:val="-105"/>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p>
    <w:p>
      <w:pPr>
        <w:pStyle w:val="18"/>
        <w:spacing w:before="7"/>
        <w:rPr>
          <w:rFonts w:hint="eastAsia" w:ascii="宋体" w:hAnsi="宋体" w:eastAsia="宋体" w:cs="宋体"/>
          <w:color w:val="auto"/>
          <w:sz w:val="24"/>
          <w:szCs w:val="24"/>
          <w:highlight w:val="none"/>
        </w:rPr>
      </w:pPr>
    </w:p>
    <w:p>
      <w:pPr>
        <w:pStyle w:val="18"/>
        <w:tabs>
          <w:tab w:val="left" w:pos="3355"/>
          <w:tab w:val="left" w:pos="5978"/>
          <w:tab w:val="left" w:pos="8708"/>
        </w:tabs>
        <w:spacing w:before="77"/>
        <w:ind w:left="7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委托代理人签字：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p>
    <w:p>
      <w:pPr>
        <w:pStyle w:val="18"/>
        <w:spacing w:before="2"/>
        <w:rPr>
          <w:rFonts w:hint="eastAsia" w:ascii="宋体" w:hAnsi="宋体" w:eastAsia="宋体" w:cs="宋体"/>
          <w:color w:val="auto"/>
          <w:sz w:val="24"/>
          <w:szCs w:val="24"/>
          <w:highlight w:val="none"/>
        </w:rPr>
      </w:pPr>
    </w:p>
    <w:p>
      <w:pPr>
        <w:pStyle w:val="18"/>
        <w:tabs>
          <w:tab w:val="left" w:pos="1151"/>
          <w:tab w:val="left" w:pos="1781"/>
          <w:tab w:val="left" w:pos="2411"/>
          <w:tab w:val="left" w:pos="5979"/>
          <w:tab w:val="left" w:pos="6398"/>
          <w:tab w:val="left" w:pos="7028"/>
          <w:tab w:val="left" w:pos="7657"/>
        </w:tabs>
        <w:spacing w:before="70"/>
        <w:ind w:left="731"/>
        <w:rPr>
          <w:rFonts w:hint="eastAsia" w:ascii="宋体" w:hAnsi="宋体" w:eastAsia="宋体" w:cs="宋体"/>
          <w:color w:val="auto"/>
          <w:sz w:val="24"/>
          <w:szCs w:val="24"/>
          <w:highlight w:val="none"/>
        </w:rPr>
        <w:sectPr>
          <w:pgSz w:w="11910" w:h="16840"/>
          <w:pgMar w:top="1600" w:right="780" w:bottom="1740" w:left="800" w:header="0" w:footer="1552" w:gutter="0"/>
          <w:pgNumType w:fmt="decimal"/>
          <w:cols w:space="720" w:num="1"/>
        </w:sect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pPr>
        <w:pStyle w:val="3"/>
        <w:numPr>
          <w:ilvl w:val="0"/>
          <w:numId w:val="0"/>
        </w:numPr>
        <w:ind w:leftChars="0"/>
        <w:jc w:val="center"/>
        <w:rPr>
          <w:rFonts w:hint="eastAsia" w:asciiTheme="minorEastAsia" w:hAnsiTheme="minorEastAsia" w:eastAsiaTheme="minorEastAsia" w:cstheme="minorEastAsia"/>
          <w:b/>
          <w:bCs/>
          <w:color w:val="auto"/>
          <w:kern w:val="0"/>
          <w:sz w:val="36"/>
          <w:highlight w:val="none"/>
          <w:lang w:eastAsia="zh-CN"/>
        </w:rPr>
      </w:pPr>
      <w:r>
        <w:rPr>
          <w:rFonts w:hint="eastAsia" w:asciiTheme="minorEastAsia" w:hAnsiTheme="minorEastAsia" w:eastAsiaTheme="minorEastAsia" w:cstheme="minorEastAsia"/>
          <w:b/>
          <w:bCs/>
          <w:color w:val="auto"/>
          <w:kern w:val="0"/>
          <w:sz w:val="36"/>
          <w:highlight w:val="none"/>
          <w:lang w:eastAsia="zh-CN"/>
        </w:rPr>
        <w:t>第四章 评标办法（综合评分法）</w:t>
      </w:r>
      <w:bookmarkEnd w:id="254"/>
      <w:bookmarkEnd w:id="255"/>
      <w:bookmarkEnd w:id="256"/>
    </w:p>
    <w:p>
      <w:pPr>
        <w:pStyle w:val="4"/>
        <w:numPr>
          <w:ilvl w:val="0"/>
          <w:numId w:val="0"/>
        </w:numPr>
        <w:jc w:val="center"/>
        <w:rPr>
          <w:rFonts w:hint="eastAsia" w:asciiTheme="minorEastAsia" w:hAnsiTheme="minorEastAsia" w:eastAsiaTheme="minorEastAsia" w:cstheme="minorEastAsia"/>
          <w:color w:val="auto"/>
          <w:kern w:val="0"/>
          <w:highlight w:val="none"/>
        </w:rPr>
      </w:pPr>
      <w:bookmarkStart w:id="257" w:name="_Toc890"/>
      <w:bookmarkStart w:id="258" w:name="_Toc16946"/>
      <w:bookmarkStart w:id="259" w:name="_Toc213141119"/>
      <w:bookmarkStart w:id="260" w:name="_Toc16891"/>
      <w:bookmarkStart w:id="261" w:name="_Toc288204622"/>
      <w:bookmarkStart w:id="262" w:name="_Toc3586"/>
      <w:bookmarkStart w:id="263" w:name="_Toc17546"/>
      <w:bookmarkStart w:id="264" w:name="_Toc28386"/>
      <w:r>
        <w:rPr>
          <w:rFonts w:hint="eastAsia" w:asciiTheme="minorEastAsia" w:hAnsiTheme="minorEastAsia" w:eastAsiaTheme="minorEastAsia" w:cstheme="minorEastAsia"/>
          <w:color w:val="auto"/>
          <w:kern w:val="0"/>
          <w:highlight w:val="none"/>
          <w:lang w:eastAsia="zh-CN"/>
        </w:rPr>
        <w:t>一、</w:t>
      </w:r>
      <w:r>
        <w:rPr>
          <w:rFonts w:hint="eastAsia" w:asciiTheme="minorEastAsia" w:hAnsiTheme="minorEastAsia" w:eastAsiaTheme="minorEastAsia" w:cstheme="minorEastAsia"/>
          <w:color w:val="auto"/>
          <w:kern w:val="0"/>
          <w:highlight w:val="none"/>
        </w:rPr>
        <w:t>评标办法前附表</w:t>
      </w:r>
      <w:bookmarkEnd w:id="257"/>
      <w:bookmarkEnd w:id="258"/>
      <w:bookmarkEnd w:id="259"/>
      <w:bookmarkEnd w:id="260"/>
      <w:bookmarkEnd w:id="261"/>
      <w:bookmarkEnd w:id="262"/>
      <w:bookmarkEnd w:id="263"/>
      <w:bookmarkEnd w:id="264"/>
    </w:p>
    <w:tbl>
      <w:tblPr>
        <w:tblStyle w:val="46"/>
        <w:tblW w:w="8499" w:type="dxa"/>
        <w:jc w:val="center"/>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
      <w:tblGrid>
        <w:gridCol w:w="580"/>
        <w:gridCol w:w="917"/>
        <w:gridCol w:w="1389"/>
        <w:gridCol w:w="5594"/>
        <w:gridCol w:w="19"/>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469" w:hRule="atLeast"/>
          <w:jc w:val="center"/>
        </w:trPr>
        <w:tc>
          <w:tcPr>
            <w:tcW w:w="8480"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eastAsia="zh-CN"/>
              </w:rPr>
              <w:t>初步审查</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468" w:hRule="atLeast"/>
          <w:jc w:val="center"/>
        </w:trPr>
        <w:tc>
          <w:tcPr>
            <w:tcW w:w="1497"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条款号</w:t>
            </w:r>
          </w:p>
        </w:tc>
        <w:tc>
          <w:tcPr>
            <w:tcW w:w="138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评审因素</w:t>
            </w:r>
          </w:p>
        </w:tc>
        <w:tc>
          <w:tcPr>
            <w:tcW w:w="5594"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评审标准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664" w:hRule="atLeast"/>
          <w:jc w:val="center"/>
        </w:trPr>
        <w:tc>
          <w:tcPr>
            <w:tcW w:w="580" w:type="dxa"/>
            <w:vMerge w:val="restar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917" w:type="dxa"/>
            <w:vMerge w:val="restar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资格审</w:t>
            </w:r>
            <w:r>
              <w:rPr>
                <w:rFonts w:hint="eastAsia" w:ascii="宋体" w:hAnsi="宋体" w:cs="宋体"/>
                <w:color w:val="auto"/>
                <w:sz w:val="21"/>
                <w:szCs w:val="21"/>
                <w:highlight w:val="none"/>
                <w:lang w:val="en-US" w:eastAsia="zh-CN"/>
              </w:rPr>
              <w:t>查</w:t>
            </w:r>
            <w:r>
              <w:rPr>
                <w:rFonts w:hint="eastAsia" w:ascii="宋体" w:hAnsi="宋体" w:eastAsia="宋体" w:cs="宋体"/>
                <w:color w:val="auto"/>
                <w:sz w:val="21"/>
                <w:szCs w:val="21"/>
                <w:highlight w:val="none"/>
              </w:rPr>
              <w:t>标准</w:t>
            </w: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法定代表人身份证明书</w:t>
            </w:r>
          </w:p>
        </w:tc>
        <w:tc>
          <w:tcPr>
            <w:tcW w:w="55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按</w:t>
            </w:r>
            <w:r>
              <w:rPr>
                <w:rFonts w:hint="eastAsia" w:ascii="宋体" w:hAnsi="宋体" w:cs="宋体"/>
                <w:b w:val="0"/>
                <w:bCs w:val="0"/>
                <w:color w:val="auto"/>
                <w:sz w:val="21"/>
                <w:szCs w:val="21"/>
                <w:highlight w:val="none"/>
                <w:lang w:val="en-US" w:eastAsia="zh-CN"/>
              </w:rPr>
              <w:t>招标文件</w:t>
            </w:r>
            <w:r>
              <w:rPr>
                <w:rFonts w:hint="eastAsia" w:ascii="宋体" w:hAnsi="宋体" w:eastAsia="宋体" w:cs="宋体"/>
                <w:b w:val="0"/>
                <w:bCs w:val="0"/>
                <w:color w:val="auto"/>
                <w:sz w:val="21"/>
                <w:szCs w:val="21"/>
                <w:highlight w:val="none"/>
                <w:lang w:val="en-US" w:eastAsia="zh-CN"/>
              </w:rPr>
              <w:t>的要求提供法定代表人身份证明书。</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720"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法定代表人授权委托书</w:t>
            </w:r>
          </w:p>
        </w:tc>
        <w:tc>
          <w:tcPr>
            <w:tcW w:w="55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若非法定代表人签署投标文件时，法定代表人按</w:t>
            </w:r>
            <w:r>
              <w:rPr>
                <w:rFonts w:hint="eastAsia" w:ascii="宋体" w:hAnsi="宋体" w:cs="宋体"/>
                <w:b w:val="0"/>
                <w:bCs w:val="0"/>
                <w:color w:val="auto"/>
                <w:sz w:val="21"/>
                <w:szCs w:val="21"/>
                <w:highlight w:val="none"/>
                <w:lang w:val="en-US" w:eastAsia="zh-CN"/>
              </w:rPr>
              <w:t>招标文件</w:t>
            </w:r>
            <w:r>
              <w:rPr>
                <w:rFonts w:hint="eastAsia" w:ascii="宋体" w:hAnsi="宋体" w:eastAsia="宋体" w:cs="宋体"/>
                <w:b w:val="0"/>
                <w:bCs w:val="0"/>
                <w:color w:val="auto"/>
                <w:sz w:val="21"/>
                <w:szCs w:val="21"/>
                <w:highlight w:val="none"/>
                <w:lang w:val="en-US" w:eastAsia="zh-CN"/>
              </w:rPr>
              <w:t>要求签署授权委托书。</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513"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营业执照</w:t>
            </w:r>
          </w:p>
        </w:tc>
        <w:tc>
          <w:tcPr>
            <w:tcW w:w="55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提供有效的法人营业执照。</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723"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特定资格要求的</w:t>
            </w:r>
            <w:r>
              <w:rPr>
                <w:rFonts w:hint="eastAsia" w:ascii="宋体" w:hAnsi="宋体" w:cs="宋体"/>
                <w:b w:val="0"/>
                <w:bCs w:val="0"/>
                <w:color w:val="auto"/>
                <w:sz w:val="21"/>
                <w:szCs w:val="21"/>
                <w:highlight w:val="none"/>
                <w:lang w:val="en-US" w:eastAsia="zh-CN"/>
              </w:rPr>
              <w:t>相关</w:t>
            </w:r>
            <w:r>
              <w:rPr>
                <w:rFonts w:hint="eastAsia" w:ascii="宋体" w:hAnsi="宋体" w:eastAsia="宋体" w:cs="宋体"/>
                <w:b w:val="0"/>
                <w:bCs w:val="0"/>
                <w:color w:val="auto"/>
                <w:sz w:val="21"/>
                <w:szCs w:val="21"/>
                <w:highlight w:val="none"/>
                <w:lang w:val="en-US" w:eastAsia="zh-CN"/>
              </w:rPr>
              <w:t>证书证件</w:t>
            </w:r>
          </w:p>
        </w:tc>
        <w:tc>
          <w:tcPr>
            <w:tcW w:w="5594" w:type="dxa"/>
            <w:tcBorders>
              <w:top w:val="single" w:color="auto" w:sz="4" w:space="0"/>
              <w:left w:val="single" w:color="auto" w:sz="4" w:space="0"/>
              <w:bottom w:val="single" w:color="auto" w:sz="4" w:space="0"/>
              <w:right w:val="single" w:color="auto" w:sz="4" w:space="0"/>
            </w:tcBorders>
            <w:vAlign w:val="center"/>
          </w:tcPr>
          <w:p>
            <w:pPr>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提供有效</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证书证件。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690"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iCs/>
                <w:color w:val="auto"/>
                <w:sz w:val="21"/>
                <w:szCs w:val="21"/>
                <w:highlight w:val="none"/>
                <w:lang w:val="en-US" w:eastAsia="zh-CN"/>
              </w:rPr>
              <w:t>资格条件承诺函或资格审查相关资料</w:t>
            </w:r>
          </w:p>
        </w:tc>
        <w:tc>
          <w:tcPr>
            <w:tcW w:w="55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参</w:t>
            </w:r>
            <w:r>
              <w:rPr>
                <w:rFonts w:hint="eastAsia" w:ascii="宋体" w:hAnsi="宋体" w:eastAsia="宋体" w:cs="宋体"/>
                <w:color w:val="auto"/>
                <w:sz w:val="21"/>
                <w:szCs w:val="21"/>
                <w:highlight w:val="none"/>
                <w:lang w:val="en-US" w:eastAsia="zh-CN"/>
              </w:rPr>
              <w:t>加投标</w:t>
            </w:r>
            <w:r>
              <w:rPr>
                <w:rFonts w:hint="eastAsia" w:ascii="宋体" w:hAnsi="宋体" w:eastAsia="宋体" w:cs="宋体"/>
                <w:color w:val="auto"/>
                <w:sz w:val="21"/>
                <w:szCs w:val="21"/>
                <w:highlight w:val="none"/>
              </w:rPr>
              <w:t>的供应商必须具备《政府采购法》第二十二条规定的条件，依据《曲靖市财政局关于对政府采购供应商资格条件试行“承诺+信用管理”准入管理制的通知》(曲财采【2023】16号)规定，</w:t>
            </w:r>
            <w:r>
              <w:rPr>
                <w:rFonts w:hint="eastAsia" w:ascii="宋体" w:hAnsi="宋体" w:eastAsia="宋体" w:cs="宋体"/>
                <w:b/>
                <w:bCs/>
                <w:color w:val="auto"/>
                <w:sz w:val="21"/>
                <w:szCs w:val="21"/>
                <w:highlight w:val="none"/>
              </w:rPr>
              <w:t>在政府采购活动中，供应商在资格审查环节提供资格</w:t>
            </w:r>
            <w:r>
              <w:rPr>
                <w:rFonts w:hint="eastAsia" w:ascii="宋体" w:hAnsi="宋体" w:eastAsia="宋体" w:cs="宋体"/>
                <w:b/>
                <w:bCs/>
                <w:color w:val="auto"/>
                <w:sz w:val="21"/>
                <w:szCs w:val="21"/>
                <w:highlight w:val="none"/>
                <w:lang w:val="en-US" w:eastAsia="zh-CN"/>
              </w:rPr>
              <w:t>条件</w:t>
            </w:r>
            <w:r>
              <w:rPr>
                <w:rFonts w:hint="eastAsia" w:ascii="宋体" w:hAnsi="宋体" w:eastAsia="宋体" w:cs="宋体"/>
                <w:b/>
                <w:bCs/>
                <w:color w:val="auto"/>
                <w:sz w:val="21"/>
                <w:szCs w:val="21"/>
                <w:highlight w:val="none"/>
              </w:rPr>
              <w:t>承诺函</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不再需要提供相应证明资料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若供应商未提供</w:t>
            </w:r>
            <w:r>
              <w:rPr>
                <w:rFonts w:hint="eastAsia" w:ascii="宋体" w:hAnsi="宋体" w:eastAsia="宋体" w:cs="宋体"/>
                <w:color w:val="auto"/>
                <w:sz w:val="21"/>
                <w:szCs w:val="21"/>
                <w:highlight w:val="none"/>
              </w:rPr>
              <w:t>资格</w:t>
            </w:r>
            <w:r>
              <w:rPr>
                <w:rFonts w:hint="eastAsia" w:ascii="宋体" w:hAnsi="宋体" w:eastAsia="宋体" w:cs="宋体"/>
                <w:color w:val="auto"/>
                <w:sz w:val="21"/>
                <w:szCs w:val="21"/>
                <w:highlight w:val="none"/>
                <w:lang w:val="en-US" w:eastAsia="zh-CN"/>
              </w:rPr>
              <w:t>条件</w:t>
            </w:r>
            <w:r>
              <w:rPr>
                <w:rFonts w:hint="eastAsia" w:ascii="宋体" w:hAnsi="宋体" w:eastAsia="宋体" w:cs="宋体"/>
                <w:color w:val="auto"/>
                <w:sz w:val="21"/>
                <w:szCs w:val="21"/>
                <w:highlight w:val="none"/>
              </w:rPr>
              <w:t>承诺函</w:t>
            </w:r>
            <w:r>
              <w:rPr>
                <w:rFonts w:hint="eastAsia" w:ascii="宋体" w:hAnsi="宋体" w:eastAsia="宋体" w:cs="宋体"/>
                <w:color w:val="auto"/>
                <w:sz w:val="21"/>
                <w:szCs w:val="21"/>
                <w:highlight w:val="none"/>
                <w:lang w:val="en-US" w:eastAsia="zh-CN"/>
              </w:rPr>
              <w:t>的应当按照《中华人民共和国政府采购法》及其实施条例的相关规定提供以下资料。</w:t>
            </w:r>
          </w:p>
          <w:p>
            <w:pPr>
              <w:keepNext w:val="0"/>
              <w:keepLines w:val="0"/>
              <w:pageBreakBefore w:val="0"/>
              <w:widowControl w:val="0"/>
              <w:kinsoku/>
              <w:wordWrap/>
              <w:overflowPunct/>
              <w:topLinePunct w:val="0"/>
              <w:autoSpaceDE/>
              <w:autoSpaceDN/>
              <w:bidi w:val="0"/>
              <w:adjustRightInd/>
              <w:snapToGrid/>
              <w:spacing w:line="300" w:lineRule="exact"/>
              <w:ind w:firstLine="422" w:firstLineChars="200"/>
              <w:jc w:val="both"/>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存在不良信用记录的供应商，在信用修复前不适用承诺制</w:t>
            </w:r>
            <w:r>
              <w:rPr>
                <w:rFonts w:hint="eastAsia" w:ascii="宋体" w:hAnsi="宋体" w:cs="宋体"/>
                <w:b/>
                <w:bCs/>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（1）具有良好的商业信誉和健全的财务会计制度：提供202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年度或202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年度经审计的</w:t>
            </w:r>
            <w:r>
              <w:rPr>
                <w:rFonts w:hint="eastAsia" w:ascii="宋体" w:hAnsi="宋体" w:cs="宋体"/>
                <w:color w:val="auto"/>
                <w:sz w:val="21"/>
                <w:szCs w:val="21"/>
                <w:highlight w:val="none"/>
                <w:lang w:val="en-US" w:eastAsia="zh-CN"/>
              </w:rPr>
              <w:t>财务报告（</w:t>
            </w: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含</w:t>
            </w:r>
            <w:r>
              <w:rPr>
                <w:rFonts w:hint="eastAsia" w:ascii="宋体" w:hAnsi="宋体" w:eastAsia="宋体" w:cs="宋体"/>
                <w:color w:val="auto"/>
                <w:sz w:val="21"/>
                <w:szCs w:val="21"/>
                <w:highlight w:val="none"/>
                <w:lang w:val="en-US" w:eastAsia="zh-CN"/>
              </w:rPr>
              <w:t>资产负债表、现金流量表、利润表</w:t>
            </w:r>
            <w:r>
              <w:rPr>
                <w:rFonts w:hint="eastAsia" w:ascii="宋体" w:hAnsi="宋体" w:cs="宋体"/>
                <w:color w:val="auto"/>
                <w:sz w:val="21"/>
                <w:szCs w:val="21"/>
                <w:highlight w:val="none"/>
                <w:lang w:val="en-US" w:eastAsia="zh-CN"/>
              </w:rPr>
              <w:t>/损益表）</w:t>
            </w:r>
            <w:r>
              <w:rPr>
                <w:rFonts w:hint="eastAsia" w:ascii="宋体" w:hAnsi="宋体" w:eastAsia="宋体" w:cs="宋体"/>
                <w:color w:val="auto"/>
                <w:sz w:val="21"/>
                <w:szCs w:val="21"/>
                <w:highlight w:val="none"/>
                <w:lang w:val="en-US" w:eastAsia="zh-CN"/>
              </w:rPr>
              <w:t>，提供的资料必须清晰可辨，否则不予通过；</w:t>
            </w:r>
            <w:r>
              <w:rPr>
                <w:rFonts w:hint="eastAsia" w:ascii="宋体" w:hAnsi="宋体" w:cs="宋体"/>
                <w:color w:val="auto"/>
                <w:sz w:val="21"/>
                <w:szCs w:val="21"/>
                <w:highlight w:val="none"/>
                <w:lang w:val="en-US" w:eastAsia="zh-CN"/>
              </w:rPr>
              <w:t>新</w:t>
            </w:r>
            <w:r>
              <w:rPr>
                <w:rFonts w:hint="eastAsia" w:ascii="宋体" w:hAnsi="宋体" w:eastAsia="宋体" w:cs="宋体"/>
                <w:color w:val="auto"/>
                <w:sz w:val="21"/>
                <w:szCs w:val="21"/>
                <w:highlight w:val="none"/>
                <w:lang w:val="en-US" w:eastAsia="zh-CN"/>
              </w:rPr>
              <w:t>成立企业</w:t>
            </w:r>
            <w:r>
              <w:rPr>
                <w:rFonts w:hint="eastAsia" w:ascii="宋体" w:hAnsi="宋体" w:cs="宋体"/>
                <w:color w:val="auto"/>
                <w:sz w:val="21"/>
                <w:szCs w:val="21"/>
                <w:highlight w:val="none"/>
                <w:lang w:val="en-US" w:eastAsia="zh-CN"/>
              </w:rPr>
              <w:t>不满一年的</w:t>
            </w:r>
            <w:r>
              <w:rPr>
                <w:rFonts w:hint="eastAsia" w:ascii="宋体" w:hAnsi="宋体" w:eastAsia="宋体" w:cs="宋体"/>
                <w:color w:val="auto"/>
                <w:sz w:val="21"/>
                <w:szCs w:val="21"/>
                <w:highlight w:val="none"/>
                <w:lang w:val="en-US" w:eastAsia="zh-CN"/>
              </w:rPr>
              <w:t>提供自成立至</w:t>
            </w:r>
            <w:r>
              <w:rPr>
                <w:rFonts w:hint="eastAsia" w:ascii="宋体" w:hAnsi="宋体" w:cs="宋体"/>
                <w:color w:val="auto"/>
                <w:sz w:val="21"/>
                <w:szCs w:val="21"/>
                <w:highlight w:val="none"/>
                <w:lang w:val="en-US" w:eastAsia="zh-CN"/>
              </w:rPr>
              <w:t>今加盖公章的财务报表（</w:t>
            </w: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含</w:t>
            </w:r>
            <w:r>
              <w:rPr>
                <w:rFonts w:hint="eastAsia" w:ascii="宋体" w:hAnsi="宋体" w:eastAsia="宋体" w:cs="宋体"/>
                <w:color w:val="auto"/>
                <w:sz w:val="21"/>
                <w:szCs w:val="21"/>
                <w:highlight w:val="none"/>
                <w:lang w:val="en-US" w:eastAsia="zh-CN"/>
              </w:rPr>
              <w:t>资产负债表、现金流量表、利润表</w:t>
            </w:r>
            <w:r>
              <w:rPr>
                <w:rFonts w:hint="eastAsia" w:ascii="宋体" w:hAnsi="宋体" w:cs="宋体"/>
                <w:color w:val="auto"/>
                <w:sz w:val="21"/>
                <w:szCs w:val="21"/>
                <w:highlight w:val="none"/>
                <w:lang w:val="en-US" w:eastAsia="zh-CN"/>
              </w:rPr>
              <w:t>/损益表）</w:t>
            </w:r>
            <w:r>
              <w:rPr>
                <w:rFonts w:hint="eastAsia" w:ascii="宋体" w:hAnsi="宋体" w:eastAsia="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（2）有依法缴纳税收和社会保障资金的良好记录： ①提供依法缴纳税收的相关证明材料（提供缴税所属时间在2025年</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月至本项目投标文件递交截止时间前任意1个月的税务局税收通用缴款书或银行电子缴税（费）凭证或税务局</w:t>
            </w:r>
            <w:r>
              <w:rPr>
                <w:rFonts w:hint="eastAsia" w:ascii="宋体" w:hAnsi="宋体" w:cs="宋体"/>
                <w:color w:val="auto"/>
                <w:sz w:val="21"/>
                <w:szCs w:val="21"/>
                <w:highlight w:val="none"/>
                <w:lang w:val="en-US" w:eastAsia="zh-CN"/>
              </w:rPr>
              <w:t>提供</w:t>
            </w:r>
            <w:r>
              <w:rPr>
                <w:rFonts w:hint="eastAsia" w:ascii="宋体" w:hAnsi="宋体" w:eastAsia="宋体" w:cs="宋体"/>
                <w:color w:val="auto"/>
                <w:sz w:val="21"/>
                <w:szCs w:val="21"/>
                <w:highlight w:val="none"/>
                <w:lang w:val="en-US" w:eastAsia="zh-CN"/>
              </w:rPr>
              <w:t>纳税情况的相关证明），依法免税的，应提供依法免税的相关证明文件；（成立不足6个月的企业可不提供）②提供依法缴纳社会保障资金的相关证明材料（提供缴费所属时间在2025年</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月至本项目投标文件递交截止时间前任意1个月的社会保险费缴款书或银行电子缴税（费）凭证或社保管理部门</w:t>
            </w:r>
            <w:r>
              <w:rPr>
                <w:rFonts w:hint="eastAsia" w:ascii="宋体" w:hAnsi="宋体" w:cs="宋体"/>
                <w:color w:val="auto"/>
                <w:sz w:val="21"/>
                <w:szCs w:val="21"/>
                <w:highlight w:val="none"/>
                <w:lang w:val="en-US" w:eastAsia="zh-CN"/>
              </w:rPr>
              <w:t>提供</w:t>
            </w:r>
            <w:r>
              <w:rPr>
                <w:rFonts w:hint="eastAsia" w:ascii="宋体" w:hAnsi="宋体" w:eastAsia="宋体" w:cs="宋体"/>
                <w:color w:val="auto"/>
                <w:sz w:val="21"/>
                <w:szCs w:val="21"/>
                <w:highlight w:val="none"/>
                <w:lang w:val="en-US" w:eastAsia="zh-CN"/>
              </w:rPr>
              <w:t>的有效的缴款证明），依法免缴社会保障资金的，应提供依法免缴的相关证明文件。（成立不足6个月的企业可不提供）</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（3）具有履行合同所必需的设备和专业技术能力：提供经法定代表人或委托代理人签字或签章并加盖公章的具有履行合同所必需的设备和专业技术能力的承诺书或相关证明材料。</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6"/>
                <w:sz w:val="21"/>
                <w:szCs w:val="21"/>
                <w:highlight w:val="none"/>
                <w:lang w:val="en-US" w:eastAsia="zh-CN"/>
              </w:rPr>
              <w:t>参加政府采购活动前三年内，在经营活动中没有重大违法记录：重大违法记录，是指申请人因违法经营受到刑事处罚或者责令停产停业、吊销许可证或者执照、较大数额罚款等行政处罚，</w:t>
            </w:r>
            <w:r>
              <w:rPr>
                <w:rFonts w:hint="eastAsia" w:ascii="宋体" w:hAnsi="宋体" w:cs="宋体"/>
                <w:color w:val="auto"/>
                <w:spacing w:val="-6"/>
                <w:sz w:val="21"/>
                <w:szCs w:val="21"/>
                <w:highlight w:val="none"/>
                <w:lang w:val="en-US" w:eastAsia="zh-CN"/>
              </w:rPr>
              <w:t>提供</w:t>
            </w:r>
            <w:r>
              <w:rPr>
                <w:rFonts w:hint="eastAsia" w:ascii="宋体" w:hAnsi="宋体" w:eastAsia="宋体" w:cs="宋体"/>
                <w:color w:val="auto"/>
                <w:spacing w:val="-6"/>
                <w:sz w:val="21"/>
                <w:szCs w:val="21"/>
                <w:highlight w:val="none"/>
                <w:lang w:val="en-US" w:eastAsia="zh-CN"/>
              </w:rPr>
              <w:t>经法定代表人或委托代理人签字或</w:t>
            </w:r>
            <w:r>
              <w:rPr>
                <w:rFonts w:hint="eastAsia" w:ascii="宋体" w:hAnsi="宋体" w:eastAsia="宋体" w:cs="宋体"/>
                <w:color w:val="auto"/>
                <w:sz w:val="21"/>
                <w:szCs w:val="21"/>
                <w:highlight w:val="none"/>
                <w:lang w:val="en-US" w:eastAsia="zh-CN"/>
              </w:rPr>
              <w:t>盖章并加盖公章的在经营活动中没有重大违法记录声明。</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r>
              <w:rPr>
                <w:rFonts w:hint="eastAsia" w:ascii="宋体" w:hAnsi="宋体" w:cs="宋体"/>
                <w:color w:val="auto"/>
                <w:sz w:val="21"/>
                <w:szCs w:val="21"/>
                <w:highlight w:val="none"/>
                <w:lang w:val="en-US" w:eastAsia="zh-CN"/>
              </w:rPr>
              <w:t>提供</w:t>
            </w:r>
            <w:r>
              <w:rPr>
                <w:rFonts w:hint="eastAsia" w:ascii="宋体" w:hAnsi="宋体" w:eastAsia="宋体" w:cs="宋体"/>
                <w:color w:val="auto"/>
                <w:sz w:val="21"/>
                <w:szCs w:val="21"/>
                <w:highlight w:val="none"/>
                <w:lang w:val="en-US" w:eastAsia="zh-CN"/>
              </w:rPr>
              <w:t>经法定代表人或委托代理人签字或盖章并加盖公章的声明。</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（6）在投标（响应）截止日期前未被列入失信被执行人名单、</w:t>
            </w:r>
            <w:r>
              <w:rPr>
                <w:rFonts w:hint="eastAsia" w:ascii="宋体" w:hAnsi="宋体" w:cs="宋体"/>
                <w:color w:val="auto"/>
                <w:sz w:val="21"/>
                <w:szCs w:val="21"/>
                <w:highlight w:val="none"/>
                <w:lang w:val="en-US" w:eastAsia="zh-CN"/>
              </w:rPr>
              <w:t>重大税收违法失信主体名单</w:t>
            </w:r>
            <w:r>
              <w:rPr>
                <w:rFonts w:hint="eastAsia" w:ascii="宋体" w:hAnsi="宋体" w:eastAsia="宋体" w:cs="宋体"/>
                <w:color w:val="auto"/>
                <w:sz w:val="21"/>
                <w:szCs w:val="21"/>
                <w:highlight w:val="none"/>
                <w:lang w:val="en-US" w:eastAsia="zh-CN"/>
              </w:rPr>
              <w:t>、政府采购严重违法失信行为记录名单：提供加盖公章的网上截图。</w:t>
            </w:r>
          </w:p>
          <w:p>
            <w:pPr>
              <w:keepNext w:val="0"/>
              <w:keepLines w:val="0"/>
              <w:pageBreakBefore w:val="0"/>
              <w:widowControl w:val="0"/>
              <w:kinsoku/>
              <w:wordWrap/>
              <w:overflowPunct/>
              <w:topLinePunct w:val="0"/>
              <w:autoSpaceDE/>
              <w:autoSpaceDN/>
              <w:bidi w:val="0"/>
              <w:adjustRightInd/>
              <w:snapToGrid/>
              <w:spacing w:line="3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信用信息查询渠道：</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①《中国执行信息公开网》查询“失信被执行人名单”；</w:t>
            </w:r>
          </w:p>
          <w:p>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②《信用中国网》查询“重大税收违法</w:t>
            </w:r>
            <w:r>
              <w:rPr>
                <w:rFonts w:hint="eastAsia" w:ascii="宋体" w:hAnsi="宋体" w:cs="宋体"/>
                <w:b w:val="0"/>
                <w:bCs w:val="0"/>
                <w:color w:val="auto"/>
                <w:sz w:val="21"/>
                <w:szCs w:val="21"/>
                <w:highlight w:val="none"/>
                <w:lang w:val="en-US" w:eastAsia="zh-CN"/>
              </w:rPr>
              <w:t>失信主体</w:t>
            </w:r>
            <w:r>
              <w:rPr>
                <w:rFonts w:hint="eastAsia" w:ascii="宋体" w:hAnsi="宋体" w:eastAsia="宋体" w:cs="宋体"/>
                <w:b w:val="0"/>
                <w:bCs w:val="0"/>
                <w:color w:val="auto"/>
                <w:sz w:val="21"/>
                <w:szCs w:val="21"/>
                <w:highlight w:val="none"/>
                <w:lang w:val="en-US" w:eastAsia="zh-CN"/>
              </w:rPr>
              <w:t>名单”；</w:t>
            </w:r>
          </w:p>
          <w:p>
            <w:pPr>
              <w:keepNext w:val="0"/>
              <w:keepLines w:val="0"/>
              <w:pageBreakBefore w:val="0"/>
              <w:kinsoku/>
              <w:wordWrap/>
              <w:overflowPunct/>
              <w:topLinePunct w:val="0"/>
              <w:autoSpaceDE/>
              <w:autoSpaceDN/>
              <w:bidi w:val="0"/>
              <w:adjustRightInd/>
              <w:snapToGrid/>
              <w:spacing w:line="340" w:lineRule="exact"/>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③《中国政府采购网》查询“政府采购严重违法失信行为记录名单”。</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480" w:hRule="atLeast"/>
          <w:jc w:val="center"/>
        </w:trPr>
        <w:tc>
          <w:tcPr>
            <w:tcW w:w="580" w:type="dxa"/>
            <w:vMerge w:val="restar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917" w:type="dxa"/>
            <w:vMerge w:val="restar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bookmarkStart w:id="265" w:name="_Toc232074642"/>
            <w:r>
              <w:rPr>
                <w:rFonts w:hint="eastAsia" w:ascii="宋体" w:hAnsi="宋体" w:eastAsia="宋体" w:cs="宋体"/>
                <w:color w:val="auto"/>
                <w:sz w:val="21"/>
                <w:szCs w:val="21"/>
                <w:highlight w:val="none"/>
                <w:lang w:val="en-US" w:eastAsia="zh-CN"/>
              </w:rPr>
              <w:t>符合性审查</w:t>
            </w:r>
            <w:r>
              <w:rPr>
                <w:rFonts w:hint="eastAsia" w:ascii="宋体" w:hAnsi="宋体" w:eastAsia="宋体" w:cs="宋体"/>
                <w:color w:val="auto"/>
                <w:sz w:val="21"/>
                <w:szCs w:val="21"/>
                <w:highlight w:val="none"/>
              </w:rPr>
              <w:t>标准</w:t>
            </w:r>
            <w:bookmarkEnd w:id="265"/>
          </w:p>
        </w:tc>
        <w:tc>
          <w:tcPr>
            <w:tcW w:w="698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Cs w:val="21"/>
                <w:highlight w:val="none"/>
                <w:lang w:val="en-US" w:eastAsia="zh-CN"/>
              </w:rPr>
              <w:t>报价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420"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vMerge w:val="restart"/>
            <w:tcBorders>
              <w:top w:val="single" w:color="auto" w:sz="4" w:space="0"/>
              <w:left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投标报价</w:t>
            </w:r>
          </w:p>
        </w:tc>
        <w:tc>
          <w:tcPr>
            <w:tcW w:w="5594" w:type="dxa"/>
            <w:tcBorders>
              <w:top w:val="single" w:color="auto" w:sz="4" w:space="0"/>
              <w:left w:val="single" w:color="auto" w:sz="4" w:space="0"/>
              <w:bottom w:val="single" w:color="auto" w:sz="4" w:space="0"/>
              <w:right w:val="single" w:color="auto" w:sz="4" w:space="0"/>
            </w:tcBorders>
            <w:vAlign w:val="center"/>
          </w:tcPr>
          <w:p>
            <w:pPr>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投标文件</w:t>
            </w:r>
            <w:r>
              <w:rPr>
                <w:rFonts w:hint="eastAsia" w:ascii="宋体" w:hAnsi="宋体" w:cs="宋体"/>
                <w:b w:val="0"/>
                <w:bCs w:val="0"/>
                <w:color w:val="auto"/>
                <w:sz w:val="21"/>
                <w:szCs w:val="21"/>
                <w:highlight w:val="none"/>
                <w:lang w:val="en-US" w:eastAsia="zh-CN"/>
              </w:rPr>
              <w:t>不允许</w:t>
            </w:r>
            <w:r>
              <w:rPr>
                <w:rFonts w:hint="eastAsia" w:ascii="宋体" w:hAnsi="宋体" w:eastAsia="宋体" w:cs="宋体"/>
                <w:b w:val="0"/>
                <w:bCs w:val="0"/>
                <w:color w:val="auto"/>
                <w:sz w:val="21"/>
                <w:szCs w:val="21"/>
                <w:highlight w:val="none"/>
                <w:lang w:val="en-US" w:eastAsia="zh-CN"/>
              </w:rPr>
              <w:t>有多个投标报价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490"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p>
        </w:tc>
        <w:tc>
          <w:tcPr>
            <w:tcW w:w="5594"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投标报价</w:t>
            </w:r>
            <w:r>
              <w:rPr>
                <w:rFonts w:hint="eastAsia" w:ascii="宋体" w:hAnsi="宋体" w:cs="宋体"/>
                <w:b w:val="0"/>
                <w:bCs w:val="0"/>
                <w:color w:val="auto"/>
                <w:sz w:val="21"/>
                <w:szCs w:val="21"/>
                <w:highlight w:val="none"/>
                <w:lang w:val="en-US" w:eastAsia="zh-CN"/>
              </w:rPr>
              <w:t>不得</w:t>
            </w:r>
            <w:r>
              <w:rPr>
                <w:rFonts w:hint="eastAsia" w:ascii="宋体" w:hAnsi="宋体" w:eastAsia="宋体" w:cs="宋体"/>
                <w:b w:val="0"/>
                <w:bCs w:val="0"/>
                <w:color w:val="auto"/>
                <w:sz w:val="21"/>
                <w:szCs w:val="21"/>
                <w:highlight w:val="none"/>
                <w:lang w:val="en-US" w:eastAsia="zh-CN"/>
              </w:rPr>
              <w:t>低于</w:t>
            </w:r>
            <w:r>
              <w:rPr>
                <w:rFonts w:hint="eastAsia" w:ascii="宋体" w:hAnsi="宋体" w:cs="宋体"/>
                <w:b w:val="0"/>
                <w:bCs w:val="0"/>
                <w:color w:val="auto"/>
                <w:sz w:val="21"/>
                <w:szCs w:val="21"/>
                <w:highlight w:val="none"/>
                <w:lang w:val="en-US" w:eastAsia="zh-CN"/>
              </w:rPr>
              <w:t>最低限价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381"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698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lang w:eastAsia="zh-CN"/>
              </w:rPr>
            </w:pPr>
            <w:r>
              <w:rPr>
                <w:rFonts w:hint="eastAsia" w:ascii="宋体" w:hAnsi="宋体" w:cs="宋体"/>
                <w:b/>
                <w:bCs/>
                <w:color w:val="auto"/>
                <w:spacing w:val="-6"/>
                <w:kern w:val="0"/>
                <w:szCs w:val="21"/>
                <w:highlight w:val="none"/>
                <w:lang w:eastAsia="zh-CN"/>
              </w:rPr>
              <w:t>商务</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727"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Cs/>
                <w:color w:val="auto"/>
                <w:kern w:val="2"/>
                <w:sz w:val="21"/>
                <w:szCs w:val="21"/>
                <w:highlight w:val="none"/>
                <w:lang w:val="en-US" w:eastAsia="zh-CN" w:bidi="ar-SA"/>
              </w:rPr>
              <w:t>投标文件的签章和签</w:t>
            </w:r>
            <w:r>
              <w:rPr>
                <w:rFonts w:hint="eastAsia" w:ascii="宋体" w:hAnsi="宋体" w:cs="宋体"/>
                <w:bCs/>
                <w:color w:val="auto"/>
                <w:kern w:val="2"/>
                <w:sz w:val="21"/>
                <w:szCs w:val="21"/>
                <w:highlight w:val="none"/>
                <w:lang w:val="en-US" w:eastAsia="zh-CN" w:bidi="ar-SA"/>
              </w:rPr>
              <w:t>字</w:t>
            </w:r>
          </w:p>
        </w:tc>
        <w:tc>
          <w:tcPr>
            <w:tcW w:w="5594"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lang w:eastAsia="zh-CN"/>
              </w:rPr>
            </w:pPr>
            <w:bookmarkStart w:id="266" w:name="OLE_LINK53"/>
            <w:r>
              <w:rPr>
                <w:rFonts w:hint="eastAsia" w:ascii="宋体" w:hAnsi="宋体" w:eastAsia="宋体" w:cs="宋体"/>
                <w:color w:val="auto"/>
                <w:sz w:val="21"/>
                <w:szCs w:val="21"/>
                <w:highlight w:val="none"/>
                <w:lang w:eastAsia="zh-CN"/>
              </w:rPr>
              <w:t>投标文件</w:t>
            </w:r>
            <w:r>
              <w:rPr>
                <w:rFonts w:hint="eastAsia" w:ascii="宋体" w:hAnsi="宋体" w:cs="宋体"/>
                <w:color w:val="auto"/>
                <w:sz w:val="21"/>
                <w:szCs w:val="21"/>
                <w:highlight w:val="none"/>
                <w:lang w:val="en-US" w:eastAsia="zh-CN"/>
              </w:rPr>
              <w:t>应</w:t>
            </w:r>
            <w:r>
              <w:rPr>
                <w:rFonts w:hint="eastAsia" w:ascii="宋体" w:hAnsi="宋体" w:cs="宋体"/>
                <w:color w:val="auto"/>
                <w:sz w:val="21"/>
                <w:szCs w:val="21"/>
                <w:highlight w:val="none"/>
                <w:lang w:eastAsia="zh-CN"/>
              </w:rPr>
              <w:t>由单位</w:t>
            </w:r>
            <w:r>
              <w:rPr>
                <w:rFonts w:hint="eastAsia" w:ascii="宋体" w:hAnsi="宋体" w:eastAsia="宋体" w:cs="宋体"/>
                <w:b w:val="0"/>
                <w:bCs/>
                <w:color w:val="auto"/>
                <w:spacing w:val="-6"/>
                <w:kern w:val="2"/>
                <w:sz w:val="21"/>
                <w:szCs w:val="21"/>
                <w:highlight w:val="none"/>
                <w:lang w:val="en-US" w:eastAsia="zh-CN" w:bidi="ar-SA"/>
              </w:rPr>
              <w:t>加盖电子公章，法定代表人或委托代理人电子签章或签字</w:t>
            </w:r>
            <w:r>
              <w:rPr>
                <w:rFonts w:hint="eastAsia" w:ascii="宋体" w:hAnsi="宋体" w:cs="宋体"/>
                <w:b w:val="0"/>
                <w:bCs/>
                <w:color w:val="auto"/>
                <w:spacing w:val="-6"/>
                <w:kern w:val="2"/>
                <w:sz w:val="21"/>
                <w:szCs w:val="21"/>
                <w:highlight w:val="none"/>
                <w:lang w:val="en-US" w:eastAsia="zh-CN" w:bidi="ar-SA"/>
              </w:rPr>
              <w:t>。</w:t>
            </w:r>
            <w:bookmarkEnd w:id="266"/>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542"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kern w:val="2"/>
                <w:sz w:val="21"/>
                <w:szCs w:val="21"/>
                <w:highlight w:val="none"/>
                <w:lang w:val="en-US" w:eastAsia="zh-CN" w:bidi="ar-SA"/>
              </w:rPr>
            </w:pPr>
            <w:r>
              <w:rPr>
                <w:rFonts w:hint="eastAsia" w:ascii="宋体" w:hAnsi="宋体" w:cs="宋体"/>
                <w:b w:val="0"/>
                <w:bCs w:val="0"/>
                <w:color w:val="auto"/>
                <w:sz w:val="21"/>
                <w:szCs w:val="21"/>
                <w:highlight w:val="none"/>
                <w:lang w:eastAsia="zh-CN"/>
              </w:rPr>
              <w:t>投标有效期</w:t>
            </w:r>
          </w:p>
        </w:tc>
        <w:tc>
          <w:tcPr>
            <w:tcW w:w="5594"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投标有效期</w:t>
            </w:r>
            <w:r>
              <w:rPr>
                <w:rFonts w:hint="eastAsia" w:ascii="宋体" w:hAnsi="宋体" w:cs="宋体"/>
                <w:color w:val="auto"/>
                <w:sz w:val="21"/>
                <w:szCs w:val="21"/>
                <w:highlight w:val="none"/>
                <w:lang w:val="en-US" w:eastAsia="zh-CN"/>
              </w:rPr>
              <w:t>必须</w:t>
            </w:r>
            <w:r>
              <w:rPr>
                <w:rFonts w:hint="eastAsia" w:ascii="宋体" w:hAnsi="宋体" w:eastAsia="宋体" w:cs="宋体"/>
                <w:color w:val="auto"/>
                <w:sz w:val="21"/>
                <w:szCs w:val="21"/>
                <w:highlight w:val="none"/>
                <w:lang w:eastAsia="zh-CN"/>
              </w:rPr>
              <w:t>满足</w:t>
            </w:r>
            <w:r>
              <w:rPr>
                <w:rFonts w:hint="eastAsia" w:ascii="宋体" w:hAnsi="宋体" w:cs="宋体"/>
                <w:color w:val="auto"/>
                <w:sz w:val="21"/>
                <w:szCs w:val="21"/>
                <w:highlight w:val="none"/>
                <w:lang w:eastAsia="zh-CN"/>
              </w:rPr>
              <w:t>招标文件</w:t>
            </w:r>
            <w:r>
              <w:rPr>
                <w:rFonts w:hint="eastAsia" w:ascii="宋体" w:hAnsi="宋体" w:eastAsia="宋体" w:cs="宋体"/>
                <w:color w:val="auto"/>
                <w:sz w:val="21"/>
                <w:szCs w:val="21"/>
                <w:highlight w:val="none"/>
                <w:lang w:eastAsia="zh-CN"/>
              </w:rPr>
              <w:t>要求</w:t>
            </w:r>
            <w:r>
              <w:rPr>
                <w:rFonts w:hint="eastAsia" w:ascii="宋体" w:hAnsi="宋体" w:cs="宋体"/>
                <w:color w:val="auto"/>
                <w:sz w:val="21"/>
                <w:szCs w:val="21"/>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704"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合同履行期限（供货期限）</w:t>
            </w:r>
          </w:p>
        </w:tc>
        <w:tc>
          <w:tcPr>
            <w:tcW w:w="5594"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投标文件载明的</w:t>
            </w:r>
            <w:r>
              <w:rPr>
                <w:rFonts w:hint="eastAsia" w:ascii="宋体" w:hAnsi="宋体" w:cs="宋体"/>
                <w:b w:val="0"/>
                <w:bCs w:val="0"/>
                <w:color w:val="auto"/>
                <w:sz w:val="21"/>
                <w:szCs w:val="21"/>
                <w:highlight w:val="none"/>
                <w:lang w:val="en-US" w:eastAsia="zh-CN"/>
              </w:rPr>
              <w:t>合同履行期限（供货期限）</w:t>
            </w:r>
            <w:r>
              <w:rPr>
                <w:rFonts w:hint="eastAsia" w:ascii="宋体" w:hAnsi="宋体" w:cs="宋体"/>
                <w:color w:val="auto"/>
                <w:sz w:val="21"/>
                <w:szCs w:val="21"/>
                <w:highlight w:val="none"/>
                <w:lang w:eastAsia="zh-CN"/>
              </w:rPr>
              <w:t>必须</w:t>
            </w:r>
            <w:r>
              <w:rPr>
                <w:rFonts w:hint="eastAsia" w:ascii="宋体" w:hAnsi="宋体" w:eastAsia="宋体" w:cs="宋体"/>
                <w:color w:val="auto"/>
                <w:sz w:val="21"/>
                <w:szCs w:val="21"/>
                <w:highlight w:val="none"/>
                <w:lang w:eastAsia="zh-CN"/>
              </w:rPr>
              <w:t>符合</w:t>
            </w:r>
            <w:r>
              <w:rPr>
                <w:rFonts w:hint="eastAsia" w:ascii="宋体" w:hAnsi="宋体" w:cs="宋体"/>
                <w:color w:val="auto"/>
                <w:sz w:val="21"/>
                <w:szCs w:val="21"/>
                <w:highlight w:val="none"/>
                <w:lang w:eastAsia="zh-CN"/>
              </w:rPr>
              <w:t>招标文件</w:t>
            </w:r>
            <w:r>
              <w:rPr>
                <w:rFonts w:hint="eastAsia" w:ascii="宋体" w:hAnsi="宋体" w:eastAsia="宋体" w:cs="宋体"/>
                <w:color w:val="auto"/>
                <w:sz w:val="21"/>
                <w:szCs w:val="21"/>
                <w:highlight w:val="none"/>
                <w:lang w:eastAsia="zh-CN"/>
              </w:rPr>
              <w:t>规定</w:t>
            </w:r>
            <w:r>
              <w:rPr>
                <w:rFonts w:hint="eastAsia" w:ascii="宋体" w:hAnsi="宋体" w:cs="宋体"/>
                <w:color w:val="auto"/>
                <w:sz w:val="21"/>
                <w:szCs w:val="21"/>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497"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kern w:val="2"/>
                <w:sz w:val="21"/>
                <w:szCs w:val="21"/>
                <w:highlight w:val="none"/>
                <w:lang w:val="en-US" w:eastAsia="zh-CN" w:bidi="ar-SA"/>
              </w:rPr>
            </w:pPr>
            <w:r>
              <w:rPr>
                <w:rFonts w:hint="eastAsia" w:ascii="宋体" w:hAnsi="宋体" w:cs="宋体"/>
                <w:b w:val="0"/>
                <w:bCs w:val="0"/>
                <w:color w:val="auto"/>
                <w:sz w:val="21"/>
                <w:szCs w:val="21"/>
                <w:highlight w:val="none"/>
                <w:lang w:val="en-US" w:eastAsia="zh-CN"/>
              </w:rPr>
              <w:t>质量标准</w:t>
            </w:r>
          </w:p>
        </w:tc>
        <w:tc>
          <w:tcPr>
            <w:tcW w:w="5594"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投标文件载明的</w:t>
            </w:r>
            <w:r>
              <w:rPr>
                <w:rFonts w:hint="eastAsia" w:ascii="宋体" w:hAnsi="宋体" w:cs="宋体"/>
                <w:b w:val="0"/>
                <w:bCs w:val="0"/>
                <w:color w:val="auto"/>
                <w:sz w:val="21"/>
                <w:szCs w:val="21"/>
                <w:highlight w:val="none"/>
                <w:lang w:val="en-US" w:eastAsia="zh-CN"/>
              </w:rPr>
              <w:t>质量标准</w:t>
            </w:r>
            <w:r>
              <w:rPr>
                <w:rFonts w:hint="eastAsia" w:ascii="宋体" w:hAnsi="宋体" w:cs="宋体"/>
                <w:color w:val="auto"/>
                <w:sz w:val="21"/>
                <w:szCs w:val="21"/>
                <w:highlight w:val="none"/>
                <w:lang w:eastAsia="zh-CN"/>
              </w:rPr>
              <w:t>必须</w:t>
            </w:r>
            <w:r>
              <w:rPr>
                <w:rFonts w:hint="eastAsia" w:ascii="宋体" w:hAnsi="宋体" w:eastAsia="宋体" w:cs="宋体"/>
                <w:color w:val="auto"/>
                <w:sz w:val="21"/>
                <w:szCs w:val="21"/>
                <w:highlight w:val="none"/>
                <w:lang w:eastAsia="zh-CN"/>
              </w:rPr>
              <w:t>符合</w:t>
            </w:r>
            <w:r>
              <w:rPr>
                <w:rFonts w:hint="eastAsia" w:ascii="宋体" w:hAnsi="宋体" w:cs="宋体"/>
                <w:color w:val="auto"/>
                <w:sz w:val="21"/>
                <w:szCs w:val="21"/>
                <w:highlight w:val="none"/>
                <w:lang w:val="en-US" w:eastAsia="zh-CN"/>
              </w:rPr>
              <w:t>招标文件</w:t>
            </w:r>
            <w:r>
              <w:rPr>
                <w:rFonts w:hint="eastAsia" w:ascii="宋体" w:hAnsi="宋体" w:eastAsia="宋体" w:cs="宋体"/>
                <w:color w:val="auto"/>
                <w:sz w:val="21"/>
                <w:szCs w:val="21"/>
                <w:highlight w:val="none"/>
                <w:lang w:eastAsia="zh-CN"/>
              </w:rPr>
              <w:t>规定</w:t>
            </w:r>
            <w:r>
              <w:rPr>
                <w:rFonts w:hint="eastAsia" w:ascii="宋体" w:hAnsi="宋体" w:cs="宋体"/>
                <w:color w:val="auto"/>
                <w:sz w:val="21"/>
                <w:szCs w:val="21"/>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436"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698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auto"/>
                <w:spacing w:val="-6"/>
                <w:kern w:val="0"/>
                <w:szCs w:val="21"/>
                <w:highlight w:val="none"/>
                <w:lang w:eastAsia="zh-CN"/>
              </w:rPr>
            </w:pPr>
            <w:r>
              <w:rPr>
                <w:rFonts w:hint="eastAsia" w:ascii="宋体" w:hAnsi="宋体" w:cs="宋体"/>
                <w:b/>
                <w:bCs/>
                <w:color w:val="auto"/>
                <w:spacing w:val="-6"/>
                <w:kern w:val="0"/>
                <w:szCs w:val="21"/>
                <w:highlight w:val="none"/>
                <w:lang w:eastAsia="zh-CN"/>
              </w:rPr>
              <w:t>技术</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658"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违法行为</w:t>
            </w:r>
          </w:p>
        </w:tc>
        <w:tc>
          <w:tcPr>
            <w:tcW w:w="5594"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w:t>
            </w:r>
            <w:bookmarkStart w:id="267" w:name="OLE_LINK64"/>
            <w:r>
              <w:rPr>
                <w:rFonts w:hint="eastAsia" w:ascii="宋体" w:hAnsi="宋体" w:cs="宋体"/>
                <w:color w:val="auto"/>
                <w:sz w:val="21"/>
                <w:szCs w:val="21"/>
                <w:highlight w:val="none"/>
                <w:lang w:eastAsia="zh-CN"/>
              </w:rPr>
              <w:t>不允许</w:t>
            </w:r>
            <w:r>
              <w:rPr>
                <w:rFonts w:hint="eastAsia" w:ascii="宋体" w:hAnsi="宋体" w:eastAsia="宋体" w:cs="宋体"/>
                <w:color w:val="auto"/>
                <w:sz w:val="21"/>
                <w:szCs w:val="21"/>
                <w:highlight w:val="none"/>
                <w:lang w:eastAsia="zh-CN"/>
              </w:rPr>
              <w:t>有</w:t>
            </w:r>
            <w:bookmarkEnd w:id="267"/>
            <w:r>
              <w:rPr>
                <w:rFonts w:hint="eastAsia" w:ascii="宋体" w:hAnsi="宋体" w:eastAsia="宋体" w:cs="宋体"/>
                <w:color w:val="auto"/>
                <w:sz w:val="21"/>
                <w:szCs w:val="21"/>
                <w:highlight w:val="none"/>
                <w:lang w:eastAsia="zh-CN"/>
              </w:rPr>
              <w:t>串通投标、弄虚作假、行贿等违法行为</w:t>
            </w:r>
            <w:r>
              <w:rPr>
                <w:rFonts w:hint="eastAsia" w:ascii="宋体" w:hAnsi="宋体" w:cs="宋体"/>
                <w:color w:val="auto"/>
                <w:sz w:val="21"/>
                <w:szCs w:val="21"/>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959"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权利义务</w:t>
            </w:r>
          </w:p>
        </w:tc>
        <w:tc>
          <w:tcPr>
            <w:tcW w:w="5594"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lang w:eastAsia="zh-CN"/>
              </w:rPr>
            </w:pPr>
            <w:bookmarkStart w:id="268" w:name="OLE_LINK68"/>
            <w:r>
              <w:rPr>
                <w:rFonts w:hint="eastAsia" w:ascii="宋体" w:hAnsi="宋体" w:eastAsia="宋体" w:cs="宋体"/>
                <w:color w:val="auto"/>
                <w:sz w:val="21"/>
                <w:szCs w:val="21"/>
                <w:highlight w:val="none"/>
                <w:lang w:eastAsia="zh-CN"/>
              </w:rPr>
              <w:t>投标文件</w:t>
            </w:r>
            <w:r>
              <w:rPr>
                <w:rFonts w:hint="eastAsia" w:ascii="宋体" w:hAnsi="宋体" w:cs="宋体"/>
                <w:color w:val="auto"/>
                <w:sz w:val="21"/>
                <w:szCs w:val="21"/>
                <w:highlight w:val="none"/>
                <w:lang w:eastAsia="zh-CN"/>
              </w:rPr>
              <w:t>不允许附有</w:t>
            </w:r>
            <w:r>
              <w:rPr>
                <w:rFonts w:hint="eastAsia" w:ascii="宋体" w:hAnsi="宋体" w:eastAsia="宋体" w:cs="宋体"/>
                <w:color w:val="auto"/>
                <w:sz w:val="21"/>
                <w:szCs w:val="21"/>
                <w:highlight w:val="none"/>
                <w:lang w:eastAsia="zh-CN"/>
              </w:rPr>
              <w:t>采购人不能接受的条件（增加采购人或减少供应商责任和义务</w:t>
            </w:r>
            <w:bookmarkStart w:id="269" w:name="OLE_LINK51"/>
            <w:r>
              <w:rPr>
                <w:rFonts w:hint="eastAsia" w:ascii="宋体" w:hAnsi="宋体" w:eastAsia="宋体" w:cs="宋体"/>
                <w:color w:val="auto"/>
                <w:sz w:val="21"/>
                <w:szCs w:val="21"/>
                <w:highlight w:val="none"/>
                <w:lang w:eastAsia="zh-CN"/>
              </w:rPr>
              <w:t>，增加供应商或减少采购人权利的内容）</w:t>
            </w:r>
            <w:r>
              <w:rPr>
                <w:rFonts w:hint="eastAsia" w:ascii="宋体" w:hAnsi="宋体" w:cs="宋体"/>
                <w:color w:val="auto"/>
                <w:sz w:val="21"/>
                <w:szCs w:val="21"/>
                <w:highlight w:val="none"/>
                <w:lang w:eastAsia="zh-CN"/>
              </w:rPr>
              <w:t>。</w:t>
            </w:r>
            <w:bookmarkEnd w:id="268"/>
            <w:bookmarkEnd w:id="269"/>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496"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vMerge w:val="restart"/>
            <w:tcBorders>
              <w:top w:val="single" w:color="auto" w:sz="4" w:space="0"/>
              <w:left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其他内容</w:t>
            </w:r>
          </w:p>
        </w:tc>
        <w:tc>
          <w:tcPr>
            <w:tcW w:w="5594" w:type="dxa"/>
            <w:tcBorders>
              <w:top w:val="single" w:color="auto" w:sz="4" w:space="0"/>
              <w:left w:val="single" w:color="auto" w:sz="4" w:space="0"/>
              <w:bottom w:val="single" w:color="auto" w:sz="4" w:space="0"/>
              <w:right w:val="single" w:color="auto" w:sz="4" w:space="0"/>
            </w:tcBorders>
            <w:vAlign w:val="center"/>
          </w:tcPr>
          <w:p>
            <w:pPr>
              <w:rPr>
                <w:rFonts w:hint="default" w:ascii="宋体" w:hAnsi="宋体" w:eastAsia="宋体" w:cs="宋体"/>
                <w:color w:val="auto"/>
                <w:sz w:val="21"/>
                <w:szCs w:val="21"/>
                <w:highlight w:val="none"/>
                <w:lang w:val="en-US" w:eastAsia="zh-CN"/>
              </w:rPr>
            </w:pPr>
            <w:bookmarkStart w:id="270" w:name="OLE_LINK52"/>
            <w:r>
              <w:rPr>
                <w:rFonts w:hint="eastAsia" w:ascii="宋体" w:hAnsi="宋体" w:eastAsia="宋体" w:cs="宋体"/>
                <w:color w:val="auto"/>
                <w:sz w:val="21"/>
                <w:szCs w:val="21"/>
                <w:highlight w:val="none"/>
                <w:lang w:eastAsia="zh-CN"/>
              </w:rPr>
              <w:t>供应商</w:t>
            </w:r>
            <w:r>
              <w:rPr>
                <w:rFonts w:hint="eastAsia" w:ascii="宋体" w:hAnsi="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确认评标委员会对其投标报价算术错误修正</w:t>
            </w:r>
            <w:bookmarkEnd w:id="270"/>
            <w:r>
              <w:rPr>
                <w:rFonts w:hint="eastAsia" w:ascii="宋体" w:hAnsi="宋体" w:cs="宋体"/>
                <w:color w:val="auto"/>
                <w:sz w:val="21"/>
                <w:szCs w:val="21"/>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504" w:hRule="atLeast"/>
          <w:jc w:val="center"/>
        </w:trPr>
        <w:tc>
          <w:tcPr>
            <w:tcW w:w="580" w:type="dxa"/>
            <w:vMerge w:val="continue"/>
            <w:tcBorders>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917" w:type="dxa"/>
            <w:vMerge w:val="continue"/>
            <w:tcBorders>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p>
        </w:tc>
        <w:tc>
          <w:tcPr>
            <w:tcW w:w="1389"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p>
        </w:tc>
        <w:tc>
          <w:tcPr>
            <w:tcW w:w="5594"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投标</w:t>
            </w:r>
            <w:r>
              <w:rPr>
                <w:rFonts w:hint="eastAsia" w:ascii="宋体" w:hAnsi="宋体" w:eastAsia="宋体" w:cs="宋体"/>
                <w:color w:val="auto"/>
                <w:kern w:val="0"/>
                <w:szCs w:val="21"/>
                <w:highlight w:val="none"/>
                <w:lang w:val="en-US" w:eastAsia="zh-CN"/>
              </w:rPr>
              <w:t>文件</w:t>
            </w:r>
            <w:r>
              <w:rPr>
                <w:rFonts w:hint="eastAsia" w:ascii="宋体" w:hAnsi="宋体" w:cs="宋体"/>
                <w:color w:val="auto"/>
                <w:kern w:val="0"/>
                <w:szCs w:val="21"/>
                <w:highlight w:val="none"/>
                <w:lang w:val="en-US" w:eastAsia="zh-CN"/>
              </w:rPr>
              <w:t>不</w:t>
            </w:r>
            <w:r>
              <w:rPr>
                <w:rFonts w:hint="eastAsia" w:ascii="宋体" w:hAnsi="宋体" w:eastAsia="宋体" w:cs="宋体"/>
                <w:color w:val="auto"/>
                <w:kern w:val="0"/>
                <w:szCs w:val="21"/>
                <w:highlight w:val="none"/>
                <w:lang w:val="en-US" w:eastAsia="zh-CN"/>
              </w:rPr>
              <w:t>存在</w:t>
            </w:r>
            <w:r>
              <w:rPr>
                <w:rFonts w:hint="eastAsia" w:ascii="宋体" w:hAnsi="宋体" w:eastAsia="宋体" w:cs="宋体"/>
                <w:color w:val="auto"/>
                <w:kern w:val="0"/>
                <w:szCs w:val="21"/>
                <w:highlight w:val="none"/>
              </w:rPr>
              <w:t>其他未能响应</w:t>
            </w:r>
            <w:r>
              <w:rPr>
                <w:rFonts w:hint="eastAsia" w:ascii="宋体" w:hAnsi="宋体" w:cs="宋体"/>
                <w:color w:val="auto"/>
                <w:kern w:val="0"/>
                <w:szCs w:val="21"/>
                <w:highlight w:val="none"/>
                <w:lang w:val="en-US" w:eastAsia="zh-CN"/>
              </w:rPr>
              <w:t>招标文件</w:t>
            </w:r>
            <w:r>
              <w:rPr>
                <w:rFonts w:hint="eastAsia" w:ascii="宋体" w:hAnsi="宋体" w:eastAsia="宋体" w:cs="宋体"/>
                <w:color w:val="auto"/>
                <w:kern w:val="0"/>
                <w:szCs w:val="21"/>
                <w:highlight w:val="none"/>
              </w:rPr>
              <w:t>实质性要求和条件</w:t>
            </w:r>
            <w:r>
              <w:rPr>
                <w:rFonts w:hint="eastAsia" w:ascii="宋体" w:hAnsi="宋体" w:cs="宋体"/>
                <w:color w:val="auto"/>
                <w:kern w:val="0"/>
                <w:szCs w:val="21"/>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5277"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kern w:val="0"/>
                <w:szCs w:val="21"/>
                <w:highlight w:val="none"/>
                <w:lang w:val="en-US" w:eastAsia="zh-CN"/>
              </w:rPr>
              <w:t>异常低价</w:t>
            </w:r>
            <w:r>
              <w:rPr>
                <w:rFonts w:hint="eastAsia" w:ascii="宋体" w:hAnsi="宋体" w:cs="宋体"/>
                <w:szCs w:val="21"/>
                <w:highlight w:val="none"/>
                <w:lang w:val="en-US" w:eastAsia="zh-CN"/>
              </w:rPr>
              <w:t>投标</w:t>
            </w:r>
            <w:r>
              <w:rPr>
                <w:rFonts w:hint="eastAsia" w:ascii="宋体" w:hAnsi="宋体" w:eastAsia="宋体" w:cs="宋体"/>
                <w:szCs w:val="21"/>
                <w:highlight w:val="none"/>
                <w:lang w:val="en-US" w:eastAsia="zh-CN"/>
              </w:rPr>
              <w:t>审查</w:t>
            </w:r>
          </w:p>
        </w:tc>
        <w:tc>
          <w:tcPr>
            <w:tcW w:w="698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sz w:val="21"/>
                <w:szCs w:val="21"/>
                <w:highlight w:val="none"/>
              </w:rPr>
            </w:pPr>
            <w:r>
              <w:rPr>
                <w:rFonts w:hint="eastAsia"/>
                <w:sz w:val="21"/>
                <w:szCs w:val="21"/>
                <w:highlight w:val="none"/>
                <w:lang w:val="en-US" w:eastAsia="zh-CN"/>
              </w:rPr>
              <w:t>1、</w:t>
            </w:r>
            <w:r>
              <w:rPr>
                <w:rFonts w:hint="eastAsia"/>
                <w:b/>
                <w:bCs/>
                <w:sz w:val="21"/>
                <w:szCs w:val="21"/>
                <w:highlight w:val="none"/>
              </w:rPr>
              <w:t>启动审查的情形</w:t>
            </w:r>
            <w:r>
              <w:rPr>
                <w:rFonts w:hint="eastAsia"/>
                <w:sz w:val="21"/>
                <w:szCs w:val="21"/>
                <w:highlight w:val="none"/>
              </w:rPr>
              <w:t xml:space="preserve"> </w:t>
            </w:r>
          </w:p>
          <w:p>
            <w:pPr>
              <w:ind w:firstLine="420" w:firstLineChars="200"/>
              <w:rPr>
                <w:rFonts w:hint="eastAsia"/>
                <w:highlight w:val="none"/>
                <w:lang w:val="en-US" w:eastAsia="zh-CN"/>
              </w:rPr>
            </w:pPr>
            <w:r>
              <w:rPr>
                <w:rFonts w:hint="eastAsia"/>
                <w:highlight w:val="none"/>
                <w:lang w:val="en-US" w:eastAsia="zh-CN"/>
              </w:rPr>
              <w:t>出现下列情形之一的，评标委员会应当根据财库[2026]第2号《关于推动解决政府采购异常低价问题的通知》启动异常低价投标审查程序：</w:t>
            </w:r>
          </w:p>
          <w:p>
            <w:pPr>
              <w:rPr>
                <w:rFonts w:hint="default"/>
                <w:highlight w:val="none"/>
                <w:lang w:val="en-US" w:eastAsia="zh-CN"/>
              </w:rPr>
            </w:pPr>
            <w:r>
              <w:rPr>
                <w:rFonts w:hint="eastAsia"/>
                <w:highlight w:val="none"/>
                <w:lang w:val="en-US" w:eastAsia="zh-CN"/>
              </w:rPr>
              <w:t>（1）</w:t>
            </w:r>
            <w:r>
              <w:rPr>
                <w:rFonts w:hint="eastAsia"/>
                <w:highlight w:val="none"/>
                <w:lang w:eastAsia="zh-CN"/>
              </w:rPr>
              <w:t>投标报价＜全部通过符合性审查供应商投标报价平均值×50%</w:t>
            </w:r>
          </w:p>
          <w:p>
            <w:pPr>
              <w:rPr>
                <w:rFonts w:hint="default"/>
                <w:highlight w:val="none"/>
                <w:lang w:val="en-US" w:eastAsia="zh-CN"/>
              </w:rPr>
            </w:pPr>
            <w:r>
              <w:rPr>
                <w:rFonts w:hint="eastAsia"/>
                <w:highlight w:val="none"/>
                <w:lang w:val="en-US" w:eastAsia="zh-CN"/>
              </w:rPr>
              <w:t>（2）</w:t>
            </w:r>
            <w:r>
              <w:rPr>
                <w:rFonts w:hint="eastAsia"/>
                <w:highlight w:val="none"/>
                <w:lang w:eastAsia="zh-CN"/>
              </w:rPr>
              <w:t>投标报价＜通过符合性审查的次低报价供应商投标报价×50%</w:t>
            </w:r>
          </w:p>
          <w:p>
            <w:pPr>
              <w:rPr>
                <w:rFonts w:hint="default"/>
                <w:highlight w:val="none"/>
                <w:lang w:val="en-US" w:eastAsia="zh-CN"/>
              </w:rPr>
            </w:pPr>
            <w:r>
              <w:rPr>
                <w:rFonts w:hint="eastAsia"/>
                <w:highlight w:val="none"/>
                <w:lang w:val="en-US" w:eastAsia="zh-CN"/>
              </w:rPr>
              <w:t>（3）</w:t>
            </w:r>
            <w:r>
              <w:rPr>
                <w:rFonts w:hint="eastAsia"/>
                <w:highlight w:val="none"/>
                <w:lang w:eastAsia="zh-CN"/>
              </w:rPr>
              <w:t>投标报价＜采购项目最</w:t>
            </w:r>
            <w:r>
              <w:rPr>
                <w:rFonts w:hint="eastAsia"/>
                <w:highlight w:val="none"/>
                <w:lang w:val="en-US" w:eastAsia="zh-CN"/>
              </w:rPr>
              <w:t>低</w:t>
            </w:r>
            <w:r>
              <w:rPr>
                <w:rFonts w:hint="eastAsia"/>
                <w:highlight w:val="none"/>
                <w:lang w:eastAsia="zh-CN"/>
              </w:rPr>
              <w:t>限价×45%</w:t>
            </w:r>
          </w:p>
          <w:p>
            <w:pPr>
              <w:rPr>
                <w:rFonts w:hint="eastAsia"/>
                <w:highlight w:val="none"/>
                <w:lang w:val="en-US" w:eastAsia="zh-CN"/>
              </w:rPr>
            </w:pPr>
            <w:r>
              <w:rPr>
                <w:rFonts w:hint="eastAsia"/>
                <w:highlight w:val="none"/>
                <w:lang w:val="en-US" w:eastAsia="zh-CN"/>
              </w:rPr>
              <w:t>（4）评标委员会基于专业判断，认为供应商报价过低，有可能影响商品质量或者不能诚信履约的其他情形。</w:t>
            </w:r>
          </w:p>
          <w:p>
            <w:pPr>
              <w:pStyle w:val="18"/>
              <w:rPr>
                <w:rFonts w:hint="default" w:ascii="Calibri" w:hAnsi="Calibri" w:eastAsia="宋体" w:cs="Times New Roman"/>
                <w:b/>
                <w:bCs/>
                <w:kern w:val="2"/>
                <w:sz w:val="21"/>
                <w:szCs w:val="21"/>
                <w:highlight w:val="none"/>
                <w:lang w:val="en-US" w:eastAsia="zh-CN" w:bidi="ar-SA"/>
              </w:rPr>
            </w:pPr>
            <w:r>
              <w:rPr>
                <w:rFonts w:hint="eastAsia" w:ascii="Calibri" w:hAnsi="Calibri" w:eastAsia="宋体" w:cs="Times New Roman"/>
                <w:b/>
                <w:bCs/>
                <w:kern w:val="2"/>
                <w:sz w:val="21"/>
                <w:szCs w:val="21"/>
                <w:highlight w:val="none"/>
                <w:lang w:val="en-US" w:eastAsia="zh-CN" w:bidi="ar-SA"/>
              </w:rPr>
              <w:t>2、审查流程与要求</w:t>
            </w:r>
          </w:p>
          <w:p>
            <w:pPr>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评标委员会</w:t>
            </w:r>
            <w:r>
              <w:rPr>
                <w:rFonts w:hint="eastAsia"/>
                <w:highlight w:val="none"/>
                <w:lang w:val="en-US" w:eastAsia="zh-CN"/>
              </w:rPr>
              <w:t>启动异常低价投标审查后，应当要求相关供应商在评审现场合理时间内对响应价格作出解释，提供项目具体成本测算等与报价合理性相关的书面说明及必要的证明材料</w:t>
            </w:r>
            <w:r>
              <w:rPr>
                <w:rFonts w:hint="eastAsia" w:ascii="宋体" w:hAnsi="宋体" w:eastAsia="宋体" w:cs="宋体"/>
                <w:color w:val="auto"/>
                <w:sz w:val="21"/>
                <w:szCs w:val="21"/>
                <w:highlight w:val="none"/>
                <w:lang w:val="en-US" w:eastAsia="zh-CN"/>
              </w:rPr>
              <w:t>（包括但不限于原材料成本、人工成本、制造费用等），给予相关供应商的合理时间为 30 分钟。其中，属于第（3）项情形，供应商已随响应文件一并提交相关书面说明及必要的证明材料的，在评审现场可不再重复提交。</w:t>
            </w:r>
          </w:p>
          <w:p>
            <w:pPr>
              <w:ind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供应商不能提供书面说明、证明材料，或者提供的书面说明、证明材料不能证明其报价合理性的，</w:t>
            </w:r>
            <w:r>
              <w:rPr>
                <w:rFonts w:hint="eastAsia" w:ascii="宋体" w:hAnsi="宋体" w:cs="宋体"/>
                <w:color w:val="auto"/>
                <w:sz w:val="21"/>
                <w:szCs w:val="21"/>
                <w:highlight w:val="none"/>
                <w:lang w:val="en-US" w:eastAsia="zh-CN"/>
              </w:rPr>
              <w:t>评标委员会</w:t>
            </w:r>
            <w:r>
              <w:rPr>
                <w:rFonts w:hint="eastAsia" w:ascii="宋体" w:hAnsi="宋体" w:eastAsia="宋体" w:cs="宋体"/>
                <w:color w:val="auto"/>
                <w:sz w:val="21"/>
                <w:szCs w:val="21"/>
                <w:highlight w:val="none"/>
                <w:lang w:val="en-US" w:eastAsia="zh-CN"/>
              </w:rPr>
              <w:t>应当将其作为无效响应处理。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502" w:hRule="atLeast"/>
          <w:jc w:val="center"/>
        </w:trPr>
        <w:tc>
          <w:tcPr>
            <w:tcW w:w="8480"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详细评审</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707"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4</w:t>
            </w:r>
          </w:p>
        </w:tc>
        <w:tc>
          <w:tcPr>
            <w:tcW w:w="2306"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 w:val="0"/>
                <w:bCs w:val="0"/>
                <w:color w:val="auto"/>
                <w:sz w:val="21"/>
                <w:szCs w:val="21"/>
                <w:highlight w:val="none"/>
              </w:rPr>
            </w:pPr>
            <w:bookmarkStart w:id="271" w:name="_Toc232074689"/>
            <w:r>
              <w:rPr>
                <w:rFonts w:hint="eastAsia" w:ascii="宋体" w:hAnsi="宋体" w:eastAsia="宋体" w:cs="宋体"/>
                <w:b w:val="0"/>
                <w:bCs w:val="0"/>
                <w:color w:val="auto"/>
                <w:sz w:val="21"/>
                <w:szCs w:val="21"/>
                <w:highlight w:val="none"/>
              </w:rPr>
              <w:t>分值构成</w:t>
            </w:r>
          </w:p>
        </w:tc>
        <w:tc>
          <w:tcPr>
            <w:tcW w:w="559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b w:val="0"/>
                <w:bCs w:val="0"/>
                <w:color w:val="auto"/>
                <w:highlight w:val="none"/>
              </w:rPr>
            </w:pPr>
            <w:r>
              <w:rPr>
                <w:rFonts w:hint="eastAsia"/>
                <w:b w:val="0"/>
                <w:bCs w:val="0"/>
                <w:color w:val="auto"/>
                <w:highlight w:val="none"/>
                <w:lang w:eastAsia="zh-CN"/>
              </w:rPr>
              <w:t>报价部分</w:t>
            </w:r>
            <w:r>
              <w:rPr>
                <w:rFonts w:hint="eastAsia"/>
                <w:b w:val="0"/>
                <w:bCs w:val="0"/>
                <w:color w:val="auto"/>
                <w:highlight w:val="none"/>
              </w:rPr>
              <w:t>评分</w:t>
            </w:r>
            <w:r>
              <w:rPr>
                <w:rFonts w:hint="eastAsia"/>
                <w:b w:val="0"/>
                <w:bCs w:val="0"/>
                <w:color w:val="auto"/>
                <w:highlight w:val="none"/>
                <w:lang w:val="en-US" w:eastAsia="zh-CN"/>
              </w:rPr>
              <w:t>F1</w:t>
            </w:r>
            <w:r>
              <w:rPr>
                <w:rFonts w:hint="eastAsia"/>
                <w:b w:val="0"/>
                <w:bCs w:val="0"/>
                <w:color w:val="auto"/>
                <w:highlight w:val="none"/>
              </w:rPr>
              <w:t>：</w:t>
            </w:r>
            <w:r>
              <w:rPr>
                <w:rFonts w:hint="eastAsia"/>
                <w:b w:val="0"/>
                <w:bCs w:val="0"/>
                <w:color w:val="auto"/>
                <w:highlight w:val="none"/>
                <w:lang w:val="en-US" w:eastAsia="zh-CN"/>
              </w:rPr>
              <w:t>3</w:t>
            </w:r>
            <w:r>
              <w:rPr>
                <w:rFonts w:hint="eastAsia"/>
                <w:b w:val="0"/>
                <w:bCs w:val="0"/>
                <w:color w:val="auto"/>
                <w:highlight w:val="none"/>
              </w:rPr>
              <w:t>0 分</w:t>
            </w:r>
          </w:p>
          <w:bookmarkEnd w:id="271"/>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b w:val="0"/>
                <w:bCs w:val="0"/>
                <w:color w:val="auto"/>
                <w:highlight w:val="none"/>
                <w:lang w:val="en-US"/>
              </w:rPr>
            </w:pPr>
            <w:bookmarkStart w:id="272" w:name="_Toc232074692"/>
            <w:r>
              <w:rPr>
                <w:rFonts w:hint="eastAsia"/>
                <w:b w:val="0"/>
                <w:bCs w:val="0"/>
                <w:color w:val="auto"/>
                <w:highlight w:val="none"/>
                <w:lang w:val="en-US" w:eastAsia="zh-CN"/>
              </w:rPr>
              <w:t>商务、</w:t>
            </w:r>
            <w:r>
              <w:rPr>
                <w:rFonts w:hint="eastAsia"/>
                <w:b w:val="0"/>
                <w:bCs w:val="0"/>
                <w:color w:val="auto"/>
                <w:highlight w:val="none"/>
                <w:lang w:eastAsia="zh-CN"/>
              </w:rPr>
              <w:t>技术部分</w:t>
            </w:r>
            <w:r>
              <w:rPr>
                <w:rFonts w:hint="eastAsia"/>
                <w:b w:val="0"/>
                <w:bCs w:val="0"/>
                <w:color w:val="auto"/>
                <w:highlight w:val="none"/>
              </w:rPr>
              <w:t>评分</w:t>
            </w:r>
            <w:r>
              <w:rPr>
                <w:rFonts w:hint="eastAsia"/>
                <w:b w:val="0"/>
                <w:bCs w:val="0"/>
                <w:color w:val="auto"/>
                <w:highlight w:val="none"/>
                <w:lang w:val="en-US" w:eastAsia="zh-CN"/>
              </w:rPr>
              <w:t>F2</w:t>
            </w:r>
            <w:r>
              <w:rPr>
                <w:rFonts w:hint="eastAsia"/>
                <w:b w:val="0"/>
                <w:bCs w:val="0"/>
                <w:color w:val="auto"/>
                <w:highlight w:val="none"/>
                <w:lang w:eastAsia="zh-CN"/>
              </w:rPr>
              <w:t>：</w:t>
            </w:r>
            <w:r>
              <w:rPr>
                <w:rFonts w:hint="eastAsia"/>
                <w:b w:val="0"/>
                <w:bCs w:val="0"/>
                <w:color w:val="auto"/>
                <w:highlight w:val="none"/>
                <w:lang w:val="en-US" w:eastAsia="zh-CN"/>
              </w:rPr>
              <w:t>70 分</w:t>
            </w:r>
            <w:bookmarkEnd w:id="272"/>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817" w:hRule="atLeast"/>
          <w:jc w:val="center"/>
        </w:trPr>
        <w:tc>
          <w:tcPr>
            <w:tcW w:w="1497"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评审项目</w:t>
            </w:r>
          </w:p>
        </w:tc>
        <w:tc>
          <w:tcPr>
            <w:tcW w:w="13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评审因素</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分值</w:t>
            </w:r>
          </w:p>
        </w:tc>
        <w:tc>
          <w:tcPr>
            <w:tcW w:w="5594"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评审标准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gridAfter w:val="1"/>
          <w:wAfter w:w="19" w:type="dxa"/>
          <w:trHeight w:val="3873" w:hRule="atLeast"/>
          <w:jc w:val="center"/>
        </w:trPr>
        <w:tc>
          <w:tcPr>
            <w:tcW w:w="58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.1</w:t>
            </w:r>
          </w:p>
        </w:tc>
        <w:tc>
          <w:tcPr>
            <w:tcW w:w="917"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11"/>
                <w:sz w:val="21"/>
                <w:szCs w:val="21"/>
                <w:highlight w:val="none"/>
                <w:lang w:eastAsia="zh-CN"/>
              </w:rPr>
              <w:t>报价部分</w:t>
            </w:r>
            <w:r>
              <w:rPr>
                <w:rFonts w:hint="eastAsia" w:ascii="宋体" w:hAnsi="宋体" w:eastAsia="宋体" w:cs="宋体"/>
                <w:color w:val="auto"/>
                <w:spacing w:val="-11"/>
                <w:sz w:val="21"/>
                <w:szCs w:val="21"/>
                <w:highlight w:val="none"/>
              </w:rPr>
              <w:t>评分</w:t>
            </w:r>
            <w:r>
              <w:rPr>
                <w:rFonts w:hint="eastAsia" w:ascii="宋体" w:hAnsi="宋体" w:eastAsia="宋体" w:cs="宋体"/>
                <w:color w:val="auto"/>
                <w:spacing w:val="-11"/>
                <w:sz w:val="21"/>
                <w:szCs w:val="21"/>
                <w:highlight w:val="none"/>
                <w:lang w:val="en-US" w:eastAsia="zh-CN"/>
              </w:rPr>
              <w:t>F1</w:t>
            </w:r>
            <w:r>
              <w:rPr>
                <w:rFonts w:hint="eastAsia" w:ascii="宋体" w:hAnsi="宋体" w:cs="宋体"/>
                <w:color w:val="auto"/>
                <w:spacing w:val="-11"/>
                <w:sz w:val="21"/>
                <w:szCs w:val="21"/>
                <w:highlight w:val="none"/>
                <w:lang w:val="en-US" w:eastAsia="zh-CN"/>
              </w:rPr>
              <w:t>（满分 30分）</w:t>
            </w:r>
          </w:p>
        </w:tc>
        <w:tc>
          <w:tcPr>
            <w:tcW w:w="138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投标报价  评分</w:t>
            </w:r>
          </w:p>
        </w:tc>
        <w:tc>
          <w:tcPr>
            <w:tcW w:w="5594" w:type="dxa"/>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报价计算公式= （评标基准价／</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val="en-US" w:eastAsia="zh-CN"/>
              </w:rPr>
              <w:t>实际</w:t>
            </w: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val="en-US" w:eastAsia="zh-CN"/>
              </w:rPr>
              <w:t>30</w:t>
            </w:r>
          </w:p>
          <w:p>
            <w:pPr>
              <w:adjustRightInd w:val="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即：F1=[C/（B1，B2，…，Bn）]×</w:t>
            </w:r>
            <w:r>
              <w:rPr>
                <w:rFonts w:hint="eastAsia" w:ascii="宋体" w:hAnsi="宋体" w:eastAsia="宋体" w:cs="宋体"/>
                <w:color w:val="auto"/>
                <w:szCs w:val="21"/>
                <w:highlight w:val="none"/>
                <w:lang w:val="en-US" w:eastAsia="zh-CN"/>
              </w:rPr>
              <w:t>30</w:t>
            </w:r>
          </w:p>
          <w:p>
            <w:pPr>
              <w:adjustRightIn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C为评标基准价，</w:t>
            </w:r>
            <w:r>
              <w:rPr>
                <w:rFonts w:hint="eastAsia" w:ascii="宋体" w:hAnsi="宋体" w:eastAsia="宋体" w:cs="宋体"/>
                <w:b/>
                <w:bCs/>
                <w:color w:val="auto"/>
                <w:szCs w:val="21"/>
                <w:highlight w:val="none"/>
              </w:rPr>
              <w:t>评标基准价</w:t>
            </w:r>
            <w:r>
              <w:rPr>
                <w:rFonts w:hint="eastAsia" w:ascii="宋体" w:hAnsi="宋体" w:eastAsia="宋体" w:cs="宋体"/>
                <w:b/>
                <w:bCs/>
                <w:color w:val="auto"/>
                <w:szCs w:val="21"/>
                <w:highlight w:val="none"/>
                <w:lang w:val="en-US" w:eastAsia="zh-CN"/>
              </w:rPr>
              <w:t>=1-下浮率最大</w:t>
            </w:r>
            <w:r>
              <w:rPr>
                <w:rFonts w:hint="eastAsia" w:ascii="宋体" w:hAnsi="宋体" w:eastAsia="宋体" w:cs="宋体"/>
                <w:b/>
                <w:bCs/>
                <w:color w:val="auto"/>
                <w:szCs w:val="21"/>
                <w:highlight w:val="none"/>
              </w:rPr>
              <w:t>的报价</w:t>
            </w:r>
            <w:r>
              <w:rPr>
                <w:rFonts w:hint="eastAsia" w:ascii="宋体" w:hAnsi="宋体" w:eastAsia="宋体" w:cs="宋体"/>
                <w:color w:val="auto"/>
                <w:szCs w:val="21"/>
                <w:highlight w:val="none"/>
              </w:rPr>
              <w:t>；</w:t>
            </w:r>
          </w:p>
          <w:p>
            <w:pPr>
              <w:adjustRightInd w:val="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B1，B2，…，Bn为第n个经审查合格满足</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lang w:eastAsia="zh-CN"/>
              </w:rPr>
              <w:t>文件</w:t>
            </w:r>
            <w:r>
              <w:rPr>
                <w:rFonts w:hint="eastAsia" w:ascii="宋体" w:hAnsi="宋体" w:eastAsia="宋体" w:cs="宋体"/>
                <w:color w:val="auto"/>
                <w:szCs w:val="21"/>
                <w:highlight w:val="none"/>
              </w:rPr>
              <w:t>要求的各有效</w:t>
            </w:r>
            <w:r>
              <w:rPr>
                <w:rFonts w:hint="eastAsia" w:ascii="宋体" w:hAnsi="宋体" w:eastAsia="宋体" w:cs="宋体"/>
                <w:color w:val="auto"/>
                <w:szCs w:val="21"/>
                <w:highlight w:val="none"/>
                <w:lang w:val="en-US" w:eastAsia="zh-CN"/>
              </w:rPr>
              <w:t>实际</w:t>
            </w: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即</w:t>
            </w:r>
            <w:r>
              <w:rPr>
                <w:rFonts w:hint="eastAsia" w:ascii="宋体" w:hAnsi="宋体" w:cs="宋体"/>
                <w:color w:val="auto"/>
                <w:szCs w:val="21"/>
                <w:highlight w:val="none"/>
                <w:lang w:val="en-US" w:eastAsia="zh-CN"/>
              </w:rPr>
              <w:t>：</w:t>
            </w:r>
            <w:r>
              <w:rPr>
                <w:rFonts w:hint="eastAsia" w:ascii="宋体" w:hAnsi="宋体" w:eastAsia="宋体" w:cs="宋体"/>
                <w:b/>
                <w:bCs/>
                <w:color w:val="auto"/>
                <w:szCs w:val="21"/>
                <w:highlight w:val="none"/>
                <w:lang w:val="en-US" w:eastAsia="zh-CN"/>
              </w:rPr>
              <w:t>实际</w:t>
            </w:r>
            <w:r>
              <w:rPr>
                <w:rFonts w:hint="eastAsia" w:ascii="宋体" w:hAnsi="宋体" w:eastAsia="宋体" w:cs="宋体"/>
                <w:b/>
                <w:bCs/>
                <w:color w:val="auto"/>
                <w:szCs w:val="21"/>
                <w:highlight w:val="none"/>
              </w:rPr>
              <w:t>报价</w:t>
            </w:r>
            <w:r>
              <w:rPr>
                <w:rFonts w:hint="eastAsia" w:ascii="宋体" w:hAnsi="宋体" w:eastAsia="宋体" w:cs="宋体"/>
                <w:b/>
                <w:bCs/>
                <w:color w:val="auto"/>
                <w:szCs w:val="21"/>
                <w:highlight w:val="none"/>
                <w:lang w:val="en-US" w:eastAsia="zh-CN"/>
              </w:rPr>
              <w:t>=1-所报下浮率</w:t>
            </w:r>
            <w:r>
              <w:rPr>
                <w:rFonts w:hint="eastAsia" w:ascii="宋体" w:hAnsi="宋体" w:eastAsia="宋体" w:cs="宋体"/>
                <w:color w:val="auto"/>
                <w:szCs w:val="21"/>
                <w:highlight w:val="none"/>
                <w:lang w:val="en-US" w:eastAsia="zh-CN"/>
              </w:rPr>
              <w:t>。</w:t>
            </w:r>
          </w:p>
          <w:p>
            <w:pPr>
              <w:adjustRightInd w:val="0"/>
              <w:spacing w:line="360" w:lineRule="exact"/>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在计算报价得分时，对</w:t>
            </w:r>
            <w:r>
              <w:rPr>
                <w:rFonts w:hint="eastAsia" w:ascii="宋体" w:hAnsi="宋体" w:cs="宋体"/>
                <w:color w:val="auto"/>
                <w:szCs w:val="21"/>
                <w:highlight w:val="none"/>
                <w:lang w:val="en-US" w:eastAsia="zh-CN"/>
              </w:rPr>
              <w:t>符合条件的</w:t>
            </w:r>
            <w:r>
              <w:rPr>
                <w:rFonts w:hint="eastAsia" w:ascii="宋体" w:hAnsi="宋体" w:eastAsia="宋体" w:cs="宋体"/>
                <w:color w:val="auto"/>
                <w:szCs w:val="21"/>
                <w:highlight w:val="none"/>
              </w:rPr>
              <w:t>小型或微型企业的价格给予</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%的扣除</w:t>
            </w:r>
            <w:r>
              <w:rPr>
                <w:rFonts w:hint="eastAsia" w:ascii="宋体" w:hAnsi="宋体" w:eastAsia="宋体" w:cs="宋体"/>
                <w:color w:val="auto"/>
                <w:szCs w:val="21"/>
                <w:highlight w:val="none"/>
                <w:lang w:eastAsia="zh-CN"/>
              </w:rPr>
              <w:t>，</w:t>
            </w:r>
            <w:r>
              <w:rPr>
                <w:rFonts w:hint="eastAsia" w:ascii="宋体" w:hAnsi="宋体" w:eastAsia="宋体" w:cs="宋体"/>
                <w:sz w:val="21"/>
                <w:szCs w:val="21"/>
                <w:highlight w:val="none"/>
              </w:rPr>
              <w:t>以</w:t>
            </w:r>
            <w:r>
              <w:rPr>
                <w:rFonts w:hint="eastAsia" w:ascii="宋体" w:hAnsi="宋体" w:cs="宋体"/>
                <w:sz w:val="21"/>
                <w:szCs w:val="21"/>
                <w:highlight w:val="none"/>
                <w:lang w:val="en-US" w:eastAsia="zh-CN"/>
              </w:rPr>
              <w:t>扣除</w:t>
            </w:r>
            <w:r>
              <w:rPr>
                <w:rFonts w:hint="eastAsia" w:ascii="宋体" w:hAnsi="宋体" w:eastAsia="宋体" w:cs="宋体"/>
                <w:sz w:val="21"/>
                <w:szCs w:val="21"/>
                <w:highlight w:val="none"/>
              </w:rPr>
              <w:t>后的价格计算评标基准价和</w:t>
            </w:r>
            <w:r>
              <w:rPr>
                <w:rFonts w:hint="eastAsia" w:ascii="宋体" w:hAnsi="宋体" w:eastAsia="宋体" w:cs="宋体"/>
                <w:sz w:val="21"/>
                <w:szCs w:val="21"/>
                <w:highlight w:val="none"/>
                <w:lang w:val="en-US" w:eastAsia="zh-CN"/>
              </w:rPr>
              <w:t>实际</w:t>
            </w:r>
            <w:r>
              <w:rPr>
                <w:rFonts w:hint="eastAsia" w:ascii="宋体" w:hAnsi="宋体" w:eastAsia="宋体" w:cs="宋体"/>
                <w:sz w:val="21"/>
                <w:szCs w:val="21"/>
                <w:highlight w:val="none"/>
              </w:rPr>
              <w:t>报价</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即小</w:t>
            </w:r>
            <w:r>
              <w:rPr>
                <w:rFonts w:hint="eastAsia" w:ascii="宋体" w:hAnsi="宋体" w:eastAsia="宋体" w:cs="宋体"/>
                <w:sz w:val="21"/>
                <w:szCs w:val="21"/>
                <w:highlight w:val="none"/>
                <w:lang w:eastAsia="zh-CN"/>
              </w:rPr>
              <w:t>微</w:t>
            </w:r>
            <w:r>
              <w:rPr>
                <w:rFonts w:hint="eastAsia" w:ascii="宋体" w:hAnsi="宋体" w:eastAsia="宋体" w:cs="宋体"/>
                <w:sz w:val="21"/>
                <w:szCs w:val="21"/>
                <w:highlight w:val="none"/>
              </w:rPr>
              <w:t>企业的评审价=该</w:t>
            </w:r>
            <w:r>
              <w:rPr>
                <w:rFonts w:hint="eastAsia" w:ascii="宋体" w:hAnsi="宋体" w:cs="宋体"/>
                <w:sz w:val="21"/>
                <w:szCs w:val="21"/>
                <w:highlight w:val="none"/>
                <w:lang w:eastAsia="zh-CN"/>
              </w:rPr>
              <w:t>供应商</w:t>
            </w:r>
            <w:r>
              <w:rPr>
                <w:rFonts w:hint="eastAsia" w:ascii="宋体" w:hAnsi="宋体" w:cs="宋体"/>
                <w:sz w:val="21"/>
                <w:szCs w:val="21"/>
                <w:highlight w:val="none"/>
                <w:lang w:val="en-US" w:eastAsia="zh-CN"/>
              </w:rPr>
              <w:t>实际报价</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w:t>
            </w:r>
            <w:r>
              <w:rPr>
                <w:rFonts w:hint="eastAsia" w:ascii="宋体" w:hAnsi="宋体" w:eastAsia="宋体" w:cs="宋体"/>
                <w:color w:val="auto"/>
                <w:szCs w:val="21"/>
                <w:highlight w:val="none"/>
                <w:lang w:eastAsia="zh-CN"/>
              </w:rPr>
              <w:t>；</w:t>
            </w:r>
          </w:p>
          <w:p>
            <w:pPr>
              <w:adjustRightInd w:val="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残疾人福利性单位、监狱企业视同小型、微型企业。 </w:t>
            </w:r>
          </w:p>
          <w:p>
            <w:pPr>
              <w:adjustRightInd w:val="0"/>
              <w:spacing w:line="360" w:lineRule="exact"/>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监狱企业或残疾人福利性单位属于小型、微型企业的，不重复享受政策，只进行一次价格扣除。</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trHeight w:val="4170" w:hRule="atLeast"/>
          <w:jc w:val="center"/>
        </w:trPr>
        <w:tc>
          <w:tcPr>
            <w:tcW w:w="580" w:type="dxa"/>
            <w:vMerge w:val="restar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4.2</w:t>
            </w:r>
          </w:p>
        </w:tc>
        <w:tc>
          <w:tcPr>
            <w:tcW w:w="917" w:type="dxa"/>
            <w:vMerge w:val="restar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pacing w:val="-11"/>
                <w:sz w:val="21"/>
                <w:szCs w:val="21"/>
                <w:highlight w:val="none"/>
                <w:lang w:val="en-US" w:eastAsia="zh-CN"/>
              </w:rPr>
            </w:pPr>
            <w:bookmarkStart w:id="273" w:name="OLE_LINK22"/>
            <w:r>
              <w:rPr>
                <w:rFonts w:hint="eastAsia" w:ascii="宋体" w:hAnsi="宋体" w:eastAsia="宋体" w:cs="宋体"/>
                <w:color w:val="auto"/>
                <w:spacing w:val="-11"/>
                <w:sz w:val="21"/>
                <w:szCs w:val="21"/>
                <w:highlight w:val="none"/>
                <w:lang w:val="en-US" w:eastAsia="zh-CN"/>
              </w:rPr>
              <w:t>商务、技术</w:t>
            </w:r>
            <w:r>
              <w:rPr>
                <w:rFonts w:hint="eastAsia" w:ascii="宋体" w:hAnsi="宋体" w:eastAsia="宋体" w:cs="宋体"/>
                <w:color w:val="auto"/>
                <w:spacing w:val="-11"/>
                <w:sz w:val="21"/>
                <w:szCs w:val="21"/>
                <w:highlight w:val="none"/>
                <w:lang w:eastAsia="zh-CN"/>
              </w:rPr>
              <w:t>部分评分</w:t>
            </w:r>
            <w:r>
              <w:rPr>
                <w:rFonts w:hint="eastAsia" w:ascii="宋体" w:hAnsi="宋体" w:eastAsia="宋体" w:cs="宋体"/>
                <w:color w:val="auto"/>
                <w:spacing w:val="-11"/>
                <w:sz w:val="21"/>
                <w:szCs w:val="21"/>
                <w:highlight w:val="none"/>
                <w:lang w:val="en-US" w:eastAsia="zh-CN"/>
              </w:rPr>
              <w:t>F2</w:t>
            </w:r>
          </w:p>
          <w:p>
            <w:pPr>
              <w:spacing w:line="4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1"/>
                <w:sz w:val="21"/>
                <w:szCs w:val="21"/>
                <w:highlight w:val="none"/>
                <w:lang w:eastAsia="zh-CN"/>
              </w:rPr>
              <w:t>（</w:t>
            </w:r>
            <w:r>
              <w:rPr>
                <w:rFonts w:hint="eastAsia" w:ascii="宋体" w:hAnsi="宋体" w:eastAsia="宋体" w:cs="宋体"/>
                <w:color w:val="auto"/>
                <w:spacing w:val="-11"/>
                <w:sz w:val="21"/>
                <w:szCs w:val="21"/>
                <w:highlight w:val="none"/>
                <w:lang w:val="en-US" w:eastAsia="zh-CN"/>
              </w:rPr>
              <w:t>满分70分</w:t>
            </w:r>
            <w:r>
              <w:rPr>
                <w:rFonts w:hint="eastAsia" w:ascii="宋体" w:hAnsi="宋体" w:eastAsia="宋体" w:cs="宋体"/>
                <w:color w:val="auto"/>
                <w:spacing w:val="-11"/>
                <w:sz w:val="21"/>
                <w:szCs w:val="21"/>
                <w:highlight w:val="none"/>
                <w:lang w:eastAsia="zh-CN"/>
              </w:rPr>
              <w:t>）</w:t>
            </w:r>
            <w:bookmarkEnd w:id="273"/>
          </w:p>
        </w:tc>
        <w:tc>
          <w:tcPr>
            <w:tcW w:w="1389" w:type="dxa"/>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szCs w:val="21"/>
                <w:highlight w:val="none"/>
                <w:lang w:val="en-US" w:eastAsia="en-US"/>
              </w:rPr>
            </w:pPr>
          </w:p>
          <w:p>
            <w:pPr>
              <w:adjustRightInd w:val="0"/>
              <w:rPr>
                <w:rFonts w:hint="eastAsia" w:ascii="宋体" w:hAnsi="宋体" w:eastAsia="宋体" w:cs="宋体"/>
                <w:szCs w:val="21"/>
                <w:highlight w:val="none"/>
                <w:lang w:val="en-US" w:eastAsia="en-US"/>
              </w:rPr>
            </w:pPr>
          </w:p>
          <w:p>
            <w:pPr>
              <w:adjustRightInd w:val="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采购</w:t>
            </w:r>
            <w:r>
              <w:rPr>
                <w:rFonts w:hint="eastAsia" w:ascii="宋体" w:hAnsi="宋体" w:eastAsia="宋体" w:cs="宋体"/>
                <w:szCs w:val="21"/>
                <w:highlight w:val="none"/>
                <w:lang w:val="en-US" w:eastAsia="en-US"/>
              </w:rPr>
              <w:t>方案（</w:t>
            </w:r>
            <w:r>
              <w:rPr>
                <w:rFonts w:hint="eastAsia" w:ascii="宋体" w:hAnsi="宋体" w:cs="宋体"/>
                <w:szCs w:val="21"/>
                <w:highlight w:val="none"/>
                <w:lang w:val="en-US" w:eastAsia="zh-CN"/>
              </w:rPr>
              <w:t>12</w:t>
            </w:r>
            <w:r>
              <w:rPr>
                <w:rFonts w:hint="eastAsia" w:ascii="宋体" w:hAnsi="宋体" w:eastAsia="宋体" w:cs="宋体"/>
                <w:szCs w:val="21"/>
                <w:highlight w:val="none"/>
                <w:lang w:val="en-US" w:eastAsia="zh-CN"/>
              </w:rPr>
              <w:t>分）</w:t>
            </w:r>
          </w:p>
          <w:p>
            <w:pPr>
              <w:adjustRightInd w:val="0"/>
              <w:rPr>
                <w:rFonts w:hint="eastAsia" w:ascii="宋体" w:hAnsi="宋体" w:eastAsia="宋体" w:cs="宋体"/>
                <w:szCs w:val="21"/>
                <w:highlight w:val="none"/>
                <w:lang w:val="en-US" w:eastAsia="en-US"/>
              </w:rPr>
            </w:pPr>
          </w:p>
          <w:p>
            <w:pPr>
              <w:adjustRightInd w:val="0"/>
              <w:rPr>
                <w:rFonts w:hint="eastAsia" w:ascii="宋体" w:hAnsi="宋体" w:eastAsia="宋体" w:cs="宋体"/>
                <w:szCs w:val="21"/>
                <w:highlight w:val="none"/>
                <w:lang w:val="en-US" w:eastAsia="en-US"/>
              </w:rPr>
            </w:pPr>
          </w:p>
          <w:p>
            <w:pPr>
              <w:adjustRightInd w:val="0"/>
              <w:rPr>
                <w:rFonts w:hint="eastAsia" w:ascii="宋体" w:hAnsi="宋体" w:eastAsia="宋体" w:cs="宋体"/>
                <w:color w:val="auto"/>
                <w:szCs w:val="21"/>
                <w:highlight w:val="none"/>
                <w:lang w:val="en-US" w:eastAsia="zh-CN"/>
              </w:rPr>
            </w:pPr>
          </w:p>
        </w:tc>
        <w:tc>
          <w:tcPr>
            <w:tcW w:w="5613" w:type="dxa"/>
            <w:gridSpan w:val="2"/>
            <w:tcBorders>
              <w:top w:val="single" w:color="auto" w:sz="4" w:space="0"/>
              <w:left w:val="single" w:color="auto" w:sz="4" w:space="0"/>
              <w:bottom w:val="single" w:color="auto" w:sz="4" w:space="0"/>
              <w:right w:val="single" w:color="auto" w:sz="4" w:space="0"/>
            </w:tcBorders>
            <w:vAlign w:val="center"/>
          </w:tcPr>
          <w:p>
            <w:pPr>
              <w:adjustRightInd w:val="0"/>
              <w:jc w:val="both"/>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应拟定完整详</w:t>
            </w:r>
            <w:r>
              <w:rPr>
                <w:rFonts w:hint="eastAsia" w:ascii="宋体" w:hAnsi="宋体" w:cs="宋体"/>
                <w:b w:val="0"/>
                <w:bCs w:val="0"/>
                <w:color w:val="auto"/>
                <w:sz w:val="21"/>
                <w:szCs w:val="21"/>
                <w:highlight w:val="none"/>
                <w:lang w:val="en-US" w:eastAsia="zh-CN"/>
              </w:rPr>
              <w:t>细的采购</w:t>
            </w:r>
            <w:r>
              <w:rPr>
                <w:rFonts w:hint="eastAsia" w:ascii="宋体" w:hAnsi="宋体" w:eastAsia="宋体" w:cs="宋体"/>
                <w:b w:val="0"/>
                <w:bCs w:val="0"/>
                <w:color w:val="auto"/>
                <w:sz w:val="21"/>
                <w:szCs w:val="21"/>
                <w:highlight w:val="none"/>
                <w:lang w:val="en-US" w:eastAsia="zh-CN"/>
              </w:rPr>
              <w:t>方案</w:t>
            </w:r>
            <w:r>
              <w:rPr>
                <w:rFonts w:hint="eastAsia" w:ascii="宋体" w:hAnsi="宋体" w:cs="宋体"/>
                <w:b w:val="0"/>
                <w:bCs w:val="0"/>
                <w:color w:val="auto"/>
                <w:sz w:val="21"/>
                <w:szCs w:val="21"/>
                <w:highlight w:val="none"/>
                <w:lang w:val="en-US" w:eastAsia="zh-CN"/>
              </w:rPr>
              <w:t>，内容</w:t>
            </w:r>
            <w:r>
              <w:rPr>
                <w:rFonts w:hint="eastAsia" w:ascii="宋体" w:hAnsi="宋体" w:eastAsia="宋体" w:cs="宋体"/>
                <w:b w:val="0"/>
                <w:bCs w:val="0"/>
                <w:color w:val="auto"/>
                <w:szCs w:val="21"/>
                <w:highlight w:val="none"/>
                <w:lang w:val="en-US" w:eastAsia="zh-CN"/>
              </w:rPr>
              <w:t>包含</w:t>
            </w: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①</w:t>
            </w:r>
            <w:r>
              <w:rPr>
                <w:rFonts w:hint="eastAsia" w:ascii="宋体" w:hAnsi="宋体" w:cs="宋体"/>
                <w:b w:val="0"/>
                <w:bCs w:val="0"/>
                <w:color w:val="auto"/>
                <w:szCs w:val="21"/>
                <w:highlight w:val="none"/>
                <w:lang w:val="en-US" w:eastAsia="zh-CN"/>
              </w:rPr>
              <w:t>货源；</w:t>
            </w:r>
            <w:r>
              <w:rPr>
                <w:rFonts w:hint="eastAsia" w:ascii="宋体" w:hAnsi="宋体" w:eastAsia="宋体" w:cs="宋体"/>
                <w:b w:val="0"/>
                <w:bCs w:val="0"/>
                <w:color w:val="auto"/>
                <w:szCs w:val="21"/>
                <w:highlight w:val="none"/>
                <w:lang w:val="en-US" w:eastAsia="zh-CN"/>
              </w:rPr>
              <w:t>②供货计划；③运输方案；④及时交货保证措施。</w:t>
            </w:r>
          </w:p>
          <w:p>
            <w:pPr>
              <w:keepNext w:val="0"/>
              <w:keepLines w:val="0"/>
              <w:pageBreakBefore w:val="0"/>
              <w:widowControl w:val="0"/>
              <w:kinsoku/>
              <w:wordWrap/>
              <w:overflowPunct/>
              <w:topLinePunct w:val="0"/>
              <w:autoSpaceDE/>
              <w:autoSpaceDN/>
              <w:bidi w:val="0"/>
              <w:adjustRightInd w:val="0"/>
              <w:snapToGrid/>
              <w:spacing w:line="160" w:lineRule="exact"/>
              <w:jc w:val="both"/>
              <w:textAlignment w:val="auto"/>
              <w:rPr>
                <w:rFonts w:hint="eastAsia" w:ascii="宋体" w:hAnsi="宋体" w:eastAsia="宋体" w:cs="宋体"/>
                <w:color w:val="auto"/>
                <w:szCs w:val="21"/>
                <w:highlight w:val="none"/>
                <w:lang w:val="en-US" w:eastAsia="zh-CN"/>
              </w:rPr>
            </w:pPr>
          </w:p>
          <w:p>
            <w:pPr>
              <w:adjustRightInd w:val="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1、以上4项内容齐全，完全满足招标文件要求的得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分，①至④项每缺一项扣</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pPr>
              <w:adjustRightInd w:val="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2、①至④项有以下内容缺陷的，每项扣0.</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分，分值扣完为止。</w:t>
            </w:r>
          </w:p>
          <w:p>
            <w:pPr>
              <w:adjustRightInd w:val="0"/>
              <w:rPr>
                <w:rFonts w:hint="eastAsia" w:ascii="宋体" w:hAnsi="宋体" w:eastAsia="宋体" w:cs="宋体"/>
                <w:color w:val="auto"/>
                <w:sz w:val="21"/>
                <w:szCs w:val="21"/>
                <w:highlight w:val="none"/>
                <w:lang w:val="en-US" w:eastAsia="zh-CN"/>
              </w:rPr>
            </w:pPr>
          </w:p>
          <w:p>
            <w:pPr>
              <w:adjustRightInd w:val="0"/>
              <w:rPr>
                <w:rFonts w:hint="default"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rPr>
              <w:t>注：内容缺陷是指：①内容与本项目无关，②与本项目采购要求不相符，③套用其他行业或项目内容，④内容过于简单空洞，不详细具体，不能对采购需求做出足够响应，⑤项目名称、地点、区域错误，⑥文字表述、引用等有明显错误，⑦对同一问题前后表述矛盾，⑧存在逻辑漏洞，⑨仅有框架或标题，⑩没有可行性。</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trHeight w:val="4915"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pacing w:val="-11"/>
                <w:sz w:val="21"/>
                <w:szCs w:val="21"/>
                <w:highlight w:val="none"/>
                <w:lang w:eastAsia="zh-CN"/>
              </w:rPr>
            </w:pPr>
          </w:p>
        </w:tc>
        <w:tc>
          <w:tcPr>
            <w:tcW w:w="1389" w:type="dxa"/>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en-US"/>
              </w:rPr>
              <w:t>食材质量保证措施及承诺（</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en-US"/>
              </w:rPr>
              <w:t>分）</w:t>
            </w:r>
          </w:p>
          <w:p>
            <w:pPr>
              <w:adjustRightInd w:val="0"/>
              <w:rPr>
                <w:rFonts w:hint="default" w:ascii="宋体" w:hAnsi="宋体" w:eastAsia="宋体" w:cs="宋体"/>
                <w:color w:val="auto"/>
                <w:szCs w:val="21"/>
                <w:highlight w:val="none"/>
                <w:lang w:val="en-US" w:eastAsia="zh-CN"/>
              </w:rPr>
            </w:pPr>
          </w:p>
        </w:tc>
        <w:tc>
          <w:tcPr>
            <w:tcW w:w="5613" w:type="dxa"/>
            <w:gridSpan w:val="2"/>
            <w:tcBorders>
              <w:top w:val="single" w:color="auto" w:sz="4" w:space="0"/>
              <w:left w:val="single" w:color="auto" w:sz="4" w:space="0"/>
              <w:bottom w:val="single" w:color="auto" w:sz="4" w:space="0"/>
              <w:right w:val="single" w:color="auto" w:sz="4" w:space="0"/>
            </w:tcBorders>
            <w:vAlign w:val="center"/>
          </w:tcPr>
          <w:p>
            <w:pPr>
              <w:adjustRightInd w:val="0"/>
              <w:jc w:val="both"/>
              <w:rPr>
                <w:rFonts w:hint="default"/>
                <w:b/>
                <w:bCs/>
                <w:highlight w:val="none"/>
                <w:lang w:val="en-US" w:eastAsia="zh-CN"/>
              </w:rPr>
            </w:pPr>
            <w:r>
              <w:rPr>
                <w:rFonts w:hint="eastAsia"/>
                <w:b/>
                <w:bCs/>
                <w:highlight w:val="none"/>
                <w:lang w:val="en-US" w:eastAsia="zh-CN"/>
              </w:rPr>
              <w:t>一、质量保证措施及承诺（6分）</w:t>
            </w:r>
          </w:p>
          <w:p>
            <w:pPr>
              <w:adjustRightInd w:val="0"/>
              <w:jc w:val="both"/>
              <w:rPr>
                <w:rFonts w:hint="eastAsia"/>
                <w:highlight w:val="none"/>
                <w:lang w:val="en-US" w:eastAsia="zh-CN"/>
              </w:rPr>
            </w:pPr>
            <w:r>
              <w:rPr>
                <w:rFonts w:hint="eastAsia"/>
                <w:highlight w:val="none"/>
                <w:lang w:val="en-US" w:eastAsia="zh-CN"/>
              </w:rPr>
              <w:t>供应商应拟定完整详细的</w:t>
            </w:r>
            <w:r>
              <w:rPr>
                <w:rFonts w:hint="eastAsia"/>
                <w:highlight w:val="none"/>
                <w:lang w:val="en-US" w:eastAsia="en-US"/>
              </w:rPr>
              <w:t>食材质量保证措施及承诺</w:t>
            </w:r>
            <w:r>
              <w:rPr>
                <w:rFonts w:hint="eastAsia"/>
                <w:highlight w:val="none"/>
                <w:lang w:val="en-US" w:eastAsia="zh-CN"/>
              </w:rPr>
              <w:t>，内容包含：①</w:t>
            </w:r>
            <w:r>
              <w:rPr>
                <w:rFonts w:hint="eastAsia"/>
                <w:highlight w:val="none"/>
                <w:lang w:val="en-US" w:eastAsia="en-US"/>
              </w:rPr>
              <w:t>质量保证措施</w:t>
            </w:r>
            <w:r>
              <w:rPr>
                <w:rFonts w:hint="eastAsia"/>
                <w:highlight w:val="none"/>
                <w:lang w:val="en-US" w:eastAsia="zh-CN"/>
              </w:rPr>
              <w:t>；②</w:t>
            </w:r>
            <w:r>
              <w:rPr>
                <w:rFonts w:hint="eastAsia"/>
                <w:highlight w:val="none"/>
                <w:lang w:val="en-US" w:eastAsia="en-US"/>
              </w:rPr>
              <w:t>质量管理制度</w:t>
            </w:r>
            <w:r>
              <w:rPr>
                <w:rFonts w:hint="eastAsia"/>
                <w:highlight w:val="none"/>
                <w:lang w:val="en-US" w:eastAsia="zh-CN"/>
              </w:rPr>
              <w:t>；③</w:t>
            </w:r>
            <w:r>
              <w:rPr>
                <w:rFonts w:hint="eastAsia"/>
                <w:highlight w:val="none"/>
                <w:lang w:val="en-US" w:eastAsia="en-US"/>
              </w:rPr>
              <w:t>质量检验措施</w:t>
            </w:r>
            <w:r>
              <w:rPr>
                <w:rFonts w:hint="eastAsia"/>
                <w:highlight w:val="none"/>
                <w:lang w:val="en-US" w:eastAsia="zh-CN"/>
              </w:rPr>
              <w:t>；④质量责任及处罚措施。</w:t>
            </w:r>
          </w:p>
          <w:p>
            <w:pPr>
              <w:keepNext w:val="0"/>
              <w:keepLines w:val="0"/>
              <w:pageBreakBefore w:val="0"/>
              <w:widowControl w:val="0"/>
              <w:kinsoku/>
              <w:wordWrap/>
              <w:overflowPunct/>
              <w:topLinePunct w:val="0"/>
              <w:autoSpaceDE/>
              <w:autoSpaceDN/>
              <w:bidi w:val="0"/>
              <w:adjustRightInd w:val="0"/>
              <w:snapToGrid/>
              <w:spacing w:line="160" w:lineRule="exact"/>
              <w:jc w:val="both"/>
              <w:textAlignment w:val="auto"/>
              <w:rPr>
                <w:rFonts w:hint="eastAsia"/>
                <w:highlight w:val="none"/>
                <w:lang w:val="en-US" w:eastAsia="zh-CN"/>
              </w:rPr>
            </w:pPr>
          </w:p>
          <w:p>
            <w:pPr>
              <w:adjustRightInd w:val="0"/>
              <w:jc w:val="both"/>
              <w:rPr>
                <w:rFonts w:hint="eastAsia"/>
                <w:highlight w:val="none"/>
                <w:lang w:val="en-US" w:eastAsia="zh-CN"/>
              </w:rPr>
            </w:pPr>
            <w:r>
              <w:rPr>
                <w:rFonts w:hint="eastAsia"/>
                <w:highlight w:val="none"/>
                <w:lang w:val="en-US" w:eastAsia="zh-CN"/>
              </w:rPr>
              <w:t>1、以上4项内容齐全，完全满足招标文件要求的得6分，①至④项每缺一项扣1.5分；</w:t>
            </w:r>
          </w:p>
          <w:p>
            <w:pPr>
              <w:adjustRightInd w:val="0"/>
              <w:jc w:val="both"/>
              <w:rPr>
                <w:rFonts w:hint="default"/>
                <w:highlight w:val="none"/>
                <w:lang w:val="en-US" w:eastAsia="zh-CN"/>
              </w:rPr>
            </w:pPr>
            <w:r>
              <w:rPr>
                <w:rFonts w:hint="eastAsia"/>
                <w:highlight w:val="none"/>
                <w:lang w:val="en-US" w:eastAsia="zh-CN"/>
              </w:rPr>
              <w:t>2、①至④项有以下内容缺陷的，每项扣0.15分，分值扣完为止。</w:t>
            </w:r>
          </w:p>
          <w:p>
            <w:pPr>
              <w:adjustRightInd w:val="0"/>
              <w:rPr>
                <w:rFonts w:hint="eastAsia"/>
                <w:highlight w:val="none"/>
                <w:lang w:val="en-US" w:eastAsia="zh-CN"/>
              </w:rPr>
            </w:pPr>
          </w:p>
          <w:p>
            <w:pPr>
              <w:adjustRightInd w:val="0"/>
              <w:rPr>
                <w:rFonts w:hint="eastAsia"/>
                <w:highlight w:val="none"/>
                <w:lang w:val="en-US" w:eastAsia="zh-CN"/>
              </w:rPr>
            </w:pPr>
            <w:r>
              <w:rPr>
                <w:rFonts w:hint="eastAsia"/>
                <w:highlight w:val="none"/>
                <w:lang w:val="en-US" w:eastAsia="zh-CN"/>
              </w:rPr>
              <w:t>注：内容缺陷是指：①内容与本项目无关，②与本项目采购要求不相符，③套用其他行业或项目内容，④内容过于简单空洞，不详细具体，不能对采购需求做出足够响应，⑤项目名称、地点、区域错误，⑥文字表述、引用等有明显错误，⑦对同一问题前后表述矛盾，⑧存在逻辑漏洞，⑨仅有框架或标题，⑩没有可行性。</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b/>
                <w:bCs/>
                <w:highlight w:val="none"/>
                <w:lang w:val="en-US" w:eastAsia="zh-CN"/>
              </w:rPr>
            </w:pPr>
            <w:r>
              <w:rPr>
                <w:rFonts w:hint="eastAsia"/>
                <w:b/>
                <w:bCs/>
                <w:highlight w:val="none"/>
                <w:lang w:val="en-US" w:eastAsia="zh-CN"/>
              </w:rPr>
              <w:t>二、</w:t>
            </w:r>
            <w:r>
              <w:rPr>
                <w:rFonts w:hint="eastAsia"/>
                <w:b/>
                <w:bCs/>
                <w:highlight w:val="none"/>
                <w:lang w:val="en-US" w:eastAsia="en-US"/>
              </w:rPr>
              <w:t>仓储能力（</w:t>
            </w:r>
            <w:r>
              <w:rPr>
                <w:rFonts w:hint="eastAsia"/>
                <w:b/>
                <w:bCs/>
                <w:highlight w:val="none"/>
                <w:lang w:val="en-US" w:eastAsia="zh-CN"/>
              </w:rPr>
              <w:t>4</w:t>
            </w:r>
            <w:r>
              <w:rPr>
                <w:rFonts w:hint="eastAsia"/>
                <w:b/>
                <w:bCs/>
                <w:highlight w:val="none"/>
                <w:lang w:val="en-US" w:eastAsia="en-US"/>
              </w:rPr>
              <w:t>分）</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highlight w:val="none"/>
                <w:lang w:val="en-US" w:eastAsia="zh-CN"/>
              </w:rPr>
            </w:pPr>
            <w:r>
              <w:rPr>
                <w:rFonts w:hint="eastAsia"/>
                <w:highlight w:val="none"/>
                <w:lang w:val="en-US" w:eastAsia="zh-CN"/>
              </w:rPr>
              <w:t>一至四标段：大米、食用油、鸡蛋类</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default"/>
                <w:highlight w:val="none"/>
                <w:lang w:val="en-US" w:eastAsia="zh-CN"/>
              </w:rPr>
            </w:pPr>
            <w:r>
              <w:rPr>
                <w:rFonts w:hint="eastAsia"/>
                <w:highlight w:val="none"/>
                <w:lang w:val="en-US" w:eastAsia="en-US"/>
              </w:rPr>
              <w:t>第一档（</w:t>
            </w:r>
            <w:r>
              <w:rPr>
                <w:rFonts w:hint="eastAsia"/>
                <w:highlight w:val="none"/>
                <w:lang w:val="en-US" w:eastAsia="zh-CN"/>
              </w:rPr>
              <w:t>4</w:t>
            </w:r>
            <w:r>
              <w:rPr>
                <w:rFonts w:hint="eastAsia"/>
                <w:highlight w:val="none"/>
                <w:lang w:val="en-US" w:eastAsia="en-US"/>
              </w:rPr>
              <w:t>分）</w:t>
            </w:r>
            <w:r>
              <w:rPr>
                <w:rFonts w:hint="eastAsia"/>
                <w:highlight w:val="none"/>
                <w:lang w:val="en-US" w:eastAsia="zh-CN"/>
              </w:rPr>
              <w:t>供应商</w:t>
            </w:r>
            <w:r>
              <w:rPr>
                <w:rFonts w:hint="eastAsia"/>
                <w:highlight w:val="none"/>
                <w:lang w:val="en-US" w:eastAsia="en-US"/>
              </w:rPr>
              <w:t>有</w:t>
            </w:r>
            <w:r>
              <w:rPr>
                <w:rFonts w:hint="eastAsia"/>
                <w:highlight w:val="none"/>
                <w:lang w:val="en-US" w:eastAsia="zh-CN"/>
              </w:rPr>
              <w:t>自有或</w:t>
            </w:r>
            <w:r>
              <w:rPr>
                <w:rFonts w:hint="eastAsia"/>
                <w:highlight w:val="none"/>
                <w:lang w:val="en-US" w:eastAsia="en-US"/>
              </w:rPr>
              <w:t>租赁</w:t>
            </w:r>
            <w:r>
              <w:rPr>
                <w:rFonts w:hint="eastAsia"/>
                <w:highlight w:val="none"/>
                <w:lang w:val="en-US" w:eastAsia="zh-CN"/>
              </w:rPr>
              <w:t>具备低温储藏功能的</w:t>
            </w:r>
            <w:r>
              <w:rPr>
                <w:rFonts w:hint="eastAsia"/>
                <w:highlight w:val="none"/>
                <w:lang w:val="en-US" w:eastAsia="en-US"/>
              </w:rPr>
              <w:t>固定仓储</w:t>
            </w:r>
            <w:r>
              <w:rPr>
                <w:rFonts w:hint="eastAsia"/>
                <w:highlight w:val="none"/>
                <w:lang w:val="en-US" w:eastAsia="zh-CN"/>
              </w:rPr>
              <w:t>场所</w:t>
            </w:r>
            <w:r>
              <w:rPr>
                <w:rFonts w:hint="eastAsia"/>
                <w:highlight w:val="none"/>
                <w:lang w:val="en-US" w:eastAsia="en-US"/>
              </w:rPr>
              <w:t>，</w:t>
            </w:r>
            <w:r>
              <w:rPr>
                <w:rFonts w:hint="eastAsia"/>
                <w:highlight w:val="none"/>
                <w:lang w:val="en-US" w:eastAsia="zh-CN"/>
              </w:rPr>
              <w:t>且储藏、保鲜</w:t>
            </w:r>
            <w:r>
              <w:rPr>
                <w:rFonts w:hint="eastAsia"/>
                <w:highlight w:val="none"/>
                <w:lang w:val="en-US" w:eastAsia="en-US"/>
              </w:rPr>
              <w:t>设备</w:t>
            </w:r>
            <w:r>
              <w:rPr>
                <w:rFonts w:hint="eastAsia"/>
                <w:highlight w:val="none"/>
                <w:lang w:val="en-US" w:eastAsia="zh-CN"/>
              </w:rPr>
              <w:t>设施</w:t>
            </w:r>
            <w:r>
              <w:rPr>
                <w:rFonts w:hint="eastAsia"/>
                <w:highlight w:val="none"/>
                <w:lang w:val="en-US" w:eastAsia="en-US"/>
              </w:rPr>
              <w:t>齐全</w:t>
            </w:r>
            <w:r>
              <w:rPr>
                <w:rFonts w:hint="eastAsia"/>
                <w:highlight w:val="none"/>
                <w:lang w:val="en-US" w:eastAsia="zh-CN"/>
              </w:rPr>
              <w:t>，仓储能力较强，有完善的监控设备，能够</w:t>
            </w:r>
            <w:r>
              <w:rPr>
                <w:rFonts w:hint="eastAsia"/>
                <w:highlight w:val="none"/>
                <w:lang w:val="en-US" w:eastAsia="en-US"/>
              </w:rPr>
              <w:t>满足</w:t>
            </w:r>
            <w:r>
              <w:rPr>
                <w:rFonts w:hint="eastAsia"/>
                <w:highlight w:val="none"/>
                <w:lang w:val="en-US" w:eastAsia="zh-CN"/>
              </w:rPr>
              <w:t>采购项目</w:t>
            </w:r>
            <w:r>
              <w:rPr>
                <w:rFonts w:hint="eastAsia"/>
                <w:highlight w:val="none"/>
                <w:lang w:val="en-US" w:eastAsia="en-US"/>
              </w:rPr>
              <w:t>需</w:t>
            </w:r>
            <w:r>
              <w:rPr>
                <w:rFonts w:hint="eastAsia"/>
                <w:highlight w:val="none"/>
                <w:lang w:val="en-US" w:eastAsia="zh-CN"/>
              </w:rPr>
              <w:t>求的得4分</w:t>
            </w:r>
            <w:r>
              <w:rPr>
                <w:rFonts w:hint="eastAsia"/>
                <w:highlight w:val="none"/>
                <w:lang w:val="en-US" w:eastAsia="en-US"/>
              </w:rPr>
              <w:t>；</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highlight w:val="none"/>
                <w:lang w:val="en-US" w:eastAsia="en-US"/>
              </w:rPr>
            </w:pPr>
            <w:r>
              <w:rPr>
                <w:rFonts w:hint="eastAsia"/>
                <w:highlight w:val="none"/>
                <w:lang w:val="en-US" w:eastAsia="en-US"/>
              </w:rPr>
              <w:t>第</w:t>
            </w:r>
            <w:r>
              <w:rPr>
                <w:rFonts w:hint="eastAsia"/>
                <w:highlight w:val="none"/>
                <w:lang w:val="en-US" w:eastAsia="zh-CN"/>
              </w:rPr>
              <w:t>二</w:t>
            </w:r>
            <w:r>
              <w:rPr>
                <w:rFonts w:hint="eastAsia"/>
                <w:highlight w:val="none"/>
                <w:lang w:val="en-US" w:eastAsia="en-US"/>
              </w:rPr>
              <w:t>档（</w:t>
            </w:r>
            <w:r>
              <w:rPr>
                <w:rFonts w:hint="eastAsia"/>
                <w:highlight w:val="none"/>
                <w:lang w:val="en-US" w:eastAsia="zh-CN"/>
              </w:rPr>
              <w:t>3</w:t>
            </w:r>
            <w:r>
              <w:rPr>
                <w:rFonts w:hint="eastAsia"/>
                <w:highlight w:val="none"/>
                <w:lang w:val="en-US" w:eastAsia="en-US"/>
              </w:rPr>
              <w:t>分）</w:t>
            </w:r>
            <w:r>
              <w:rPr>
                <w:rFonts w:hint="eastAsia"/>
                <w:highlight w:val="none"/>
                <w:lang w:val="en-US" w:eastAsia="zh-CN"/>
              </w:rPr>
              <w:t>供应商</w:t>
            </w:r>
            <w:r>
              <w:rPr>
                <w:rFonts w:hint="eastAsia"/>
                <w:highlight w:val="none"/>
                <w:lang w:val="en-US" w:eastAsia="en-US"/>
              </w:rPr>
              <w:t>有</w:t>
            </w:r>
            <w:r>
              <w:rPr>
                <w:rFonts w:hint="eastAsia"/>
                <w:highlight w:val="none"/>
                <w:lang w:val="en-US" w:eastAsia="zh-CN"/>
              </w:rPr>
              <w:t>自有或</w:t>
            </w:r>
            <w:r>
              <w:rPr>
                <w:rFonts w:hint="eastAsia"/>
                <w:highlight w:val="none"/>
                <w:lang w:val="en-US" w:eastAsia="en-US"/>
              </w:rPr>
              <w:t>租赁</w:t>
            </w:r>
            <w:r>
              <w:rPr>
                <w:rFonts w:hint="eastAsia"/>
                <w:highlight w:val="none"/>
                <w:lang w:val="en-US" w:eastAsia="zh-CN"/>
              </w:rPr>
              <w:t>具备低温储藏功能的</w:t>
            </w:r>
            <w:r>
              <w:rPr>
                <w:rFonts w:hint="eastAsia"/>
                <w:highlight w:val="none"/>
                <w:lang w:val="en-US" w:eastAsia="en-US"/>
              </w:rPr>
              <w:t>固定仓储</w:t>
            </w:r>
            <w:r>
              <w:rPr>
                <w:rFonts w:hint="eastAsia"/>
                <w:highlight w:val="none"/>
                <w:lang w:val="en-US" w:eastAsia="zh-CN"/>
              </w:rPr>
              <w:t>场所</w:t>
            </w:r>
            <w:r>
              <w:rPr>
                <w:rFonts w:hint="eastAsia"/>
                <w:highlight w:val="none"/>
                <w:lang w:val="en-US" w:eastAsia="en-US"/>
              </w:rPr>
              <w:t>，</w:t>
            </w:r>
            <w:r>
              <w:rPr>
                <w:rFonts w:hint="eastAsia"/>
                <w:highlight w:val="none"/>
                <w:lang w:val="en-US" w:eastAsia="zh-CN"/>
              </w:rPr>
              <w:t>储藏、保鲜</w:t>
            </w:r>
            <w:r>
              <w:rPr>
                <w:rFonts w:hint="eastAsia"/>
                <w:highlight w:val="none"/>
                <w:lang w:val="en-US" w:eastAsia="en-US"/>
              </w:rPr>
              <w:t>设备</w:t>
            </w:r>
            <w:r>
              <w:rPr>
                <w:rFonts w:hint="eastAsia"/>
                <w:highlight w:val="none"/>
                <w:lang w:val="en-US" w:eastAsia="zh-CN"/>
              </w:rPr>
              <w:t>设施基本</w:t>
            </w:r>
            <w:r>
              <w:rPr>
                <w:rFonts w:hint="eastAsia"/>
                <w:highlight w:val="none"/>
                <w:lang w:val="en-US" w:eastAsia="en-US"/>
              </w:rPr>
              <w:t>齐全</w:t>
            </w:r>
            <w:r>
              <w:rPr>
                <w:rFonts w:hint="eastAsia"/>
                <w:highlight w:val="none"/>
                <w:lang w:val="en-US" w:eastAsia="zh-CN"/>
              </w:rPr>
              <w:t>，仓储能力一般，有监控设备，能够基本</w:t>
            </w:r>
            <w:r>
              <w:rPr>
                <w:rFonts w:hint="eastAsia"/>
                <w:highlight w:val="none"/>
                <w:lang w:val="en-US" w:eastAsia="en-US"/>
              </w:rPr>
              <w:t>满足</w:t>
            </w:r>
            <w:r>
              <w:rPr>
                <w:rFonts w:hint="eastAsia"/>
                <w:highlight w:val="none"/>
                <w:lang w:val="en-US" w:eastAsia="zh-CN"/>
              </w:rPr>
              <w:t>采购项目</w:t>
            </w:r>
            <w:r>
              <w:rPr>
                <w:rFonts w:hint="eastAsia"/>
                <w:highlight w:val="none"/>
                <w:lang w:val="en-US" w:eastAsia="en-US"/>
              </w:rPr>
              <w:t>需</w:t>
            </w:r>
            <w:r>
              <w:rPr>
                <w:rFonts w:hint="eastAsia"/>
                <w:highlight w:val="none"/>
                <w:lang w:val="en-US" w:eastAsia="zh-CN"/>
              </w:rPr>
              <w:t>求的得3分</w:t>
            </w:r>
            <w:r>
              <w:rPr>
                <w:rFonts w:hint="eastAsia"/>
                <w:highlight w:val="none"/>
                <w:lang w:val="en-US" w:eastAsia="en-US"/>
              </w:rPr>
              <w:t>；</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highlight w:val="none"/>
                <w:lang w:val="en-US" w:eastAsia="zh-CN"/>
              </w:rPr>
            </w:pPr>
            <w:r>
              <w:rPr>
                <w:rFonts w:hint="eastAsia"/>
                <w:highlight w:val="none"/>
                <w:lang w:val="en-US" w:eastAsia="en-US"/>
              </w:rPr>
              <w:t>第</w:t>
            </w:r>
            <w:r>
              <w:rPr>
                <w:rFonts w:hint="eastAsia"/>
                <w:highlight w:val="none"/>
                <w:lang w:val="en-US" w:eastAsia="zh-CN"/>
              </w:rPr>
              <w:t>三</w:t>
            </w:r>
            <w:r>
              <w:rPr>
                <w:rFonts w:hint="eastAsia"/>
                <w:highlight w:val="none"/>
                <w:lang w:val="en-US" w:eastAsia="en-US"/>
              </w:rPr>
              <w:t>档（</w:t>
            </w:r>
            <w:r>
              <w:rPr>
                <w:rFonts w:hint="eastAsia"/>
                <w:highlight w:val="none"/>
                <w:lang w:val="en-US" w:eastAsia="zh-CN"/>
              </w:rPr>
              <w:t>1</w:t>
            </w:r>
            <w:r>
              <w:rPr>
                <w:rFonts w:hint="eastAsia"/>
                <w:highlight w:val="none"/>
                <w:lang w:val="en-US" w:eastAsia="en-US"/>
              </w:rPr>
              <w:t>分）</w:t>
            </w:r>
            <w:r>
              <w:rPr>
                <w:rFonts w:hint="eastAsia"/>
                <w:highlight w:val="none"/>
                <w:lang w:val="en-US" w:eastAsia="zh-CN"/>
              </w:rPr>
              <w:t>供应商</w:t>
            </w:r>
            <w:r>
              <w:rPr>
                <w:rFonts w:hint="eastAsia"/>
                <w:highlight w:val="none"/>
                <w:lang w:val="en-US" w:eastAsia="en-US"/>
              </w:rPr>
              <w:t>有</w:t>
            </w:r>
            <w:r>
              <w:rPr>
                <w:rFonts w:hint="eastAsia"/>
                <w:highlight w:val="none"/>
                <w:lang w:val="en-US" w:eastAsia="zh-CN"/>
              </w:rPr>
              <w:t>自有或</w:t>
            </w:r>
            <w:r>
              <w:rPr>
                <w:rFonts w:hint="eastAsia"/>
                <w:highlight w:val="none"/>
                <w:lang w:val="en-US" w:eastAsia="en-US"/>
              </w:rPr>
              <w:t>租赁</w:t>
            </w:r>
            <w:r>
              <w:rPr>
                <w:rFonts w:hint="eastAsia"/>
                <w:highlight w:val="none"/>
                <w:lang w:val="en-US" w:eastAsia="zh-CN"/>
              </w:rPr>
              <w:t>具备低温储藏功能的</w:t>
            </w:r>
            <w:r>
              <w:rPr>
                <w:rFonts w:hint="eastAsia"/>
                <w:highlight w:val="none"/>
                <w:lang w:val="en-US" w:eastAsia="en-US"/>
              </w:rPr>
              <w:t>固定仓储</w:t>
            </w:r>
            <w:r>
              <w:rPr>
                <w:rFonts w:hint="eastAsia"/>
                <w:highlight w:val="none"/>
                <w:lang w:val="en-US" w:eastAsia="zh-CN"/>
              </w:rPr>
              <w:t>场所</w:t>
            </w:r>
            <w:r>
              <w:rPr>
                <w:rFonts w:hint="eastAsia"/>
                <w:highlight w:val="none"/>
                <w:lang w:val="en-US" w:eastAsia="en-US"/>
              </w:rPr>
              <w:t>，</w:t>
            </w:r>
            <w:r>
              <w:rPr>
                <w:rFonts w:hint="eastAsia"/>
                <w:highlight w:val="none"/>
                <w:lang w:val="en-US" w:eastAsia="zh-CN"/>
              </w:rPr>
              <w:t>储藏、保鲜</w:t>
            </w:r>
            <w:r>
              <w:rPr>
                <w:rFonts w:hint="eastAsia"/>
                <w:highlight w:val="none"/>
                <w:lang w:val="en-US" w:eastAsia="en-US"/>
              </w:rPr>
              <w:t>设备</w:t>
            </w:r>
            <w:r>
              <w:rPr>
                <w:rFonts w:hint="eastAsia"/>
                <w:highlight w:val="none"/>
                <w:lang w:val="en-US" w:eastAsia="zh-CN"/>
              </w:rPr>
              <w:t>设施不</w:t>
            </w:r>
            <w:r>
              <w:rPr>
                <w:rFonts w:hint="eastAsia"/>
                <w:highlight w:val="none"/>
                <w:lang w:val="en-US" w:eastAsia="en-US"/>
              </w:rPr>
              <w:t>齐全</w:t>
            </w:r>
            <w:r>
              <w:rPr>
                <w:rFonts w:hint="eastAsia"/>
                <w:highlight w:val="none"/>
                <w:lang w:val="en-US" w:eastAsia="zh-CN"/>
              </w:rPr>
              <w:t>，仓储能力较差，无监控设备，不能够</w:t>
            </w:r>
            <w:r>
              <w:rPr>
                <w:rFonts w:hint="eastAsia"/>
                <w:highlight w:val="none"/>
                <w:lang w:val="en-US" w:eastAsia="en-US"/>
              </w:rPr>
              <w:t>满足</w:t>
            </w:r>
            <w:r>
              <w:rPr>
                <w:rFonts w:hint="eastAsia"/>
                <w:highlight w:val="none"/>
                <w:lang w:val="en-US" w:eastAsia="zh-CN"/>
              </w:rPr>
              <w:t>采购项目</w:t>
            </w:r>
            <w:r>
              <w:rPr>
                <w:rFonts w:hint="eastAsia"/>
                <w:highlight w:val="none"/>
                <w:lang w:val="en-US" w:eastAsia="en-US"/>
              </w:rPr>
              <w:t>需</w:t>
            </w:r>
            <w:r>
              <w:rPr>
                <w:rFonts w:hint="eastAsia"/>
                <w:highlight w:val="none"/>
                <w:lang w:val="en-US" w:eastAsia="zh-CN"/>
              </w:rPr>
              <w:t>求的得1分。</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default"/>
                <w:highlight w:val="none"/>
                <w:lang w:val="en-US" w:eastAsia="zh-CN"/>
              </w:rPr>
            </w:pPr>
            <w:r>
              <w:rPr>
                <w:rFonts w:hint="eastAsia"/>
                <w:highlight w:val="none"/>
                <w:lang w:val="en-US" w:eastAsia="zh-CN"/>
              </w:rPr>
              <w:t>第四档（0分）：未提供</w:t>
            </w:r>
            <w:r>
              <w:rPr>
                <w:rFonts w:hint="eastAsia"/>
                <w:highlight w:val="none"/>
                <w:lang w:val="en-US" w:eastAsia="en-US"/>
              </w:rPr>
              <w:t>仓储能力</w:t>
            </w:r>
            <w:r>
              <w:rPr>
                <w:rFonts w:hint="eastAsia"/>
                <w:highlight w:val="none"/>
                <w:lang w:val="en-US" w:eastAsia="zh-CN"/>
              </w:rPr>
              <w:t>的不得分。</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default"/>
                <w:highlight w:val="none"/>
                <w:lang w:val="en-US" w:eastAsia="zh-CN"/>
              </w:rPr>
            </w:pPr>
            <w:r>
              <w:rPr>
                <w:rFonts w:hint="eastAsia"/>
                <w:highlight w:val="none"/>
                <w:lang w:val="en-US" w:eastAsia="zh-CN"/>
              </w:rPr>
              <w:t>五至八标段：猪肉类</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default"/>
                <w:highlight w:val="none"/>
                <w:lang w:val="en-US" w:eastAsia="zh-CN"/>
              </w:rPr>
            </w:pPr>
            <w:r>
              <w:rPr>
                <w:rFonts w:hint="eastAsia"/>
                <w:highlight w:val="none"/>
                <w:lang w:val="en-US" w:eastAsia="en-US"/>
              </w:rPr>
              <w:t>第一档（</w:t>
            </w:r>
            <w:r>
              <w:rPr>
                <w:rFonts w:hint="eastAsia"/>
                <w:highlight w:val="none"/>
                <w:lang w:val="en-US" w:eastAsia="zh-CN"/>
              </w:rPr>
              <w:t>4</w:t>
            </w:r>
            <w:r>
              <w:rPr>
                <w:rFonts w:hint="eastAsia"/>
                <w:highlight w:val="none"/>
                <w:lang w:val="en-US" w:eastAsia="en-US"/>
              </w:rPr>
              <w:t>分）</w:t>
            </w:r>
            <w:r>
              <w:rPr>
                <w:rFonts w:hint="eastAsia"/>
                <w:highlight w:val="none"/>
                <w:lang w:val="en-US" w:eastAsia="zh-CN"/>
              </w:rPr>
              <w:t>供应商</w:t>
            </w:r>
            <w:r>
              <w:rPr>
                <w:rFonts w:hint="eastAsia"/>
                <w:highlight w:val="none"/>
                <w:lang w:val="en-US" w:eastAsia="en-US"/>
              </w:rPr>
              <w:t>有</w:t>
            </w:r>
            <w:r>
              <w:rPr>
                <w:rFonts w:hint="eastAsia"/>
                <w:highlight w:val="none"/>
                <w:lang w:val="en-US" w:eastAsia="zh-CN"/>
              </w:rPr>
              <w:t>自有或</w:t>
            </w:r>
            <w:r>
              <w:rPr>
                <w:rFonts w:hint="eastAsia"/>
                <w:highlight w:val="none"/>
                <w:lang w:val="en-US" w:eastAsia="en-US"/>
              </w:rPr>
              <w:t>租赁</w:t>
            </w:r>
            <w:r>
              <w:rPr>
                <w:rFonts w:hint="eastAsia"/>
                <w:highlight w:val="none"/>
                <w:lang w:val="en-US" w:eastAsia="zh-CN"/>
              </w:rPr>
              <w:t>的</w:t>
            </w:r>
            <w:r>
              <w:rPr>
                <w:rFonts w:hint="eastAsia"/>
                <w:highlight w:val="none"/>
                <w:lang w:val="en-US" w:eastAsia="en-US"/>
              </w:rPr>
              <w:t>固定仓储</w:t>
            </w:r>
            <w:r>
              <w:rPr>
                <w:rFonts w:hint="eastAsia"/>
                <w:highlight w:val="none"/>
                <w:lang w:val="en-US" w:eastAsia="zh-CN"/>
              </w:rPr>
              <w:t>场所，有满足配送需求的冷库和分割车间</w:t>
            </w:r>
            <w:r>
              <w:rPr>
                <w:rFonts w:hint="eastAsia"/>
                <w:highlight w:val="none"/>
                <w:lang w:val="en-US" w:eastAsia="en-US"/>
              </w:rPr>
              <w:t>，</w:t>
            </w:r>
            <w:r>
              <w:rPr>
                <w:rFonts w:hint="eastAsia"/>
                <w:highlight w:val="none"/>
                <w:lang w:val="en-US" w:eastAsia="zh-CN"/>
              </w:rPr>
              <w:t>且储藏、保鲜</w:t>
            </w:r>
            <w:r>
              <w:rPr>
                <w:rFonts w:hint="eastAsia"/>
                <w:highlight w:val="none"/>
                <w:lang w:val="en-US" w:eastAsia="en-US"/>
              </w:rPr>
              <w:t>设备</w:t>
            </w:r>
            <w:r>
              <w:rPr>
                <w:rFonts w:hint="eastAsia"/>
                <w:highlight w:val="none"/>
                <w:lang w:val="en-US" w:eastAsia="zh-CN"/>
              </w:rPr>
              <w:t>设施</w:t>
            </w:r>
            <w:r>
              <w:rPr>
                <w:rFonts w:hint="eastAsia"/>
                <w:highlight w:val="none"/>
                <w:lang w:val="en-US" w:eastAsia="en-US"/>
              </w:rPr>
              <w:t>齐全</w:t>
            </w:r>
            <w:r>
              <w:rPr>
                <w:rFonts w:hint="eastAsia"/>
                <w:highlight w:val="none"/>
                <w:lang w:val="en-US" w:eastAsia="zh-CN"/>
              </w:rPr>
              <w:t>，仓储能力较强，有完善的监控设备，能够</w:t>
            </w:r>
            <w:r>
              <w:rPr>
                <w:rFonts w:hint="eastAsia"/>
                <w:highlight w:val="none"/>
                <w:lang w:val="en-US" w:eastAsia="en-US"/>
              </w:rPr>
              <w:t>满足</w:t>
            </w:r>
            <w:r>
              <w:rPr>
                <w:rFonts w:hint="eastAsia"/>
                <w:highlight w:val="none"/>
                <w:lang w:val="en-US" w:eastAsia="zh-CN"/>
              </w:rPr>
              <w:t>采购项目</w:t>
            </w:r>
            <w:r>
              <w:rPr>
                <w:rFonts w:hint="eastAsia"/>
                <w:highlight w:val="none"/>
                <w:lang w:val="en-US" w:eastAsia="en-US"/>
              </w:rPr>
              <w:t>需</w:t>
            </w:r>
            <w:r>
              <w:rPr>
                <w:rFonts w:hint="eastAsia"/>
                <w:highlight w:val="none"/>
                <w:lang w:val="en-US" w:eastAsia="zh-CN"/>
              </w:rPr>
              <w:t>求的得4分</w:t>
            </w:r>
            <w:r>
              <w:rPr>
                <w:rFonts w:hint="eastAsia"/>
                <w:highlight w:val="none"/>
                <w:lang w:val="en-US" w:eastAsia="en-US"/>
              </w:rPr>
              <w:t>；</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highlight w:val="none"/>
                <w:lang w:val="en-US" w:eastAsia="en-US"/>
              </w:rPr>
            </w:pPr>
            <w:r>
              <w:rPr>
                <w:rFonts w:hint="eastAsia"/>
                <w:highlight w:val="none"/>
                <w:lang w:val="en-US" w:eastAsia="en-US"/>
              </w:rPr>
              <w:t>第</w:t>
            </w:r>
            <w:r>
              <w:rPr>
                <w:rFonts w:hint="eastAsia"/>
                <w:highlight w:val="none"/>
                <w:lang w:val="en-US" w:eastAsia="zh-CN"/>
              </w:rPr>
              <w:t>二</w:t>
            </w:r>
            <w:r>
              <w:rPr>
                <w:rFonts w:hint="eastAsia"/>
                <w:highlight w:val="none"/>
                <w:lang w:val="en-US" w:eastAsia="en-US"/>
              </w:rPr>
              <w:t>档（</w:t>
            </w:r>
            <w:r>
              <w:rPr>
                <w:rFonts w:hint="eastAsia"/>
                <w:highlight w:val="none"/>
                <w:lang w:val="en-US" w:eastAsia="zh-CN"/>
              </w:rPr>
              <w:t>3</w:t>
            </w:r>
            <w:r>
              <w:rPr>
                <w:rFonts w:hint="eastAsia"/>
                <w:highlight w:val="none"/>
                <w:lang w:val="en-US" w:eastAsia="en-US"/>
              </w:rPr>
              <w:t>分）</w:t>
            </w:r>
            <w:r>
              <w:rPr>
                <w:rFonts w:hint="eastAsia"/>
                <w:highlight w:val="none"/>
                <w:lang w:val="en-US" w:eastAsia="zh-CN"/>
              </w:rPr>
              <w:t>供应商</w:t>
            </w:r>
            <w:r>
              <w:rPr>
                <w:rFonts w:hint="eastAsia"/>
                <w:highlight w:val="none"/>
                <w:lang w:val="en-US" w:eastAsia="en-US"/>
              </w:rPr>
              <w:t>有</w:t>
            </w:r>
            <w:r>
              <w:rPr>
                <w:rFonts w:hint="eastAsia"/>
                <w:highlight w:val="none"/>
                <w:lang w:val="en-US" w:eastAsia="zh-CN"/>
              </w:rPr>
              <w:t>自有或</w:t>
            </w:r>
            <w:r>
              <w:rPr>
                <w:rFonts w:hint="eastAsia"/>
                <w:highlight w:val="none"/>
                <w:lang w:val="en-US" w:eastAsia="en-US"/>
              </w:rPr>
              <w:t>租赁</w:t>
            </w:r>
            <w:r>
              <w:rPr>
                <w:rFonts w:hint="eastAsia"/>
                <w:highlight w:val="none"/>
                <w:lang w:val="en-US" w:eastAsia="zh-CN"/>
              </w:rPr>
              <w:t>的</w:t>
            </w:r>
            <w:r>
              <w:rPr>
                <w:rFonts w:hint="eastAsia"/>
                <w:highlight w:val="none"/>
                <w:lang w:val="en-US" w:eastAsia="en-US"/>
              </w:rPr>
              <w:t>固定仓储</w:t>
            </w:r>
            <w:r>
              <w:rPr>
                <w:rFonts w:hint="eastAsia"/>
                <w:highlight w:val="none"/>
                <w:lang w:val="en-US" w:eastAsia="zh-CN"/>
              </w:rPr>
              <w:t>场所，有满足配送需求的冷库和分割车间</w:t>
            </w:r>
            <w:r>
              <w:rPr>
                <w:rFonts w:hint="eastAsia"/>
                <w:highlight w:val="none"/>
                <w:lang w:val="en-US" w:eastAsia="en-US"/>
              </w:rPr>
              <w:t>，</w:t>
            </w:r>
            <w:r>
              <w:rPr>
                <w:rFonts w:hint="eastAsia"/>
                <w:highlight w:val="none"/>
                <w:lang w:val="en-US" w:eastAsia="zh-CN"/>
              </w:rPr>
              <w:t>储藏、保鲜</w:t>
            </w:r>
            <w:r>
              <w:rPr>
                <w:rFonts w:hint="eastAsia"/>
                <w:highlight w:val="none"/>
                <w:lang w:val="en-US" w:eastAsia="en-US"/>
              </w:rPr>
              <w:t>设备</w:t>
            </w:r>
            <w:r>
              <w:rPr>
                <w:rFonts w:hint="eastAsia"/>
                <w:highlight w:val="none"/>
                <w:lang w:val="en-US" w:eastAsia="zh-CN"/>
              </w:rPr>
              <w:t>设施基本</w:t>
            </w:r>
            <w:r>
              <w:rPr>
                <w:rFonts w:hint="eastAsia"/>
                <w:highlight w:val="none"/>
                <w:lang w:val="en-US" w:eastAsia="en-US"/>
              </w:rPr>
              <w:t>齐全</w:t>
            </w:r>
            <w:r>
              <w:rPr>
                <w:rFonts w:hint="eastAsia"/>
                <w:highlight w:val="none"/>
                <w:lang w:val="en-US" w:eastAsia="zh-CN"/>
              </w:rPr>
              <w:t>，仓储能力一般，有监控设备，能够基本</w:t>
            </w:r>
            <w:r>
              <w:rPr>
                <w:rFonts w:hint="eastAsia"/>
                <w:highlight w:val="none"/>
                <w:lang w:val="en-US" w:eastAsia="en-US"/>
              </w:rPr>
              <w:t>满足</w:t>
            </w:r>
            <w:r>
              <w:rPr>
                <w:rFonts w:hint="eastAsia"/>
                <w:highlight w:val="none"/>
                <w:lang w:val="en-US" w:eastAsia="zh-CN"/>
              </w:rPr>
              <w:t>采购项目</w:t>
            </w:r>
            <w:r>
              <w:rPr>
                <w:rFonts w:hint="eastAsia"/>
                <w:highlight w:val="none"/>
                <w:lang w:val="en-US" w:eastAsia="en-US"/>
              </w:rPr>
              <w:t>需</w:t>
            </w:r>
            <w:r>
              <w:rPr>
                <w:rFonts w:hint="eastAsia"/>
                <w:highlight w:val="none"/>
                <w:lang w:val="en-US" w:eastAsia="zh-CN"/>
              </w:rPr>
              <w:t>求的得3分</w:t>
            </w:r>
            <w:r>
              <w:rPr>
                <w:rFonts w:hint="eastAsia"/>
                <w:highlight w:val="none"/>
                <w:lang w:val="en-US" w:eastAsia="en-US"/>
              </w:rPr>
              <w:t>；</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highlight w:val="none"/>
                <w:lang w:val="en-US" w:eastAsia="zh-CN"/>
              </w:rPr>
            </w:pPr>
            <w:r>
              <w:rPr>
                <w:rFonts w:hint="eastAsia"/>
                <w:highlight w:val="none"/>
                <w:lang w:val="en-US" w:eastAsia="en-US"/>
              </w:rPr>
              <w:t>第</w:t>
            </w:r>
            <w:r>
              <w:rPr>
                <w:rFonts w:hint="eastAsia"/>
                <w:highlight w:val="none"/>
                <w:lang w:val="en-US" w:eastAsia="zh-CN"/>
              </w:rPr>
              <w:t>三</w:t>
            </w:r>
            <w:r>
              <w:rPr>
                <w:rFonts w:hint="eastAsia"/>
                <w:highlight w:val="none"/>
                <w:lang w:val="en-US" w:eastAsia="en-US"/>
              </w:rPr>
              <w:t>档（</w:t>
            </w:r>
            <w:r>
              <w:rPr>
                <w:rFonts w:hint="eastAsia"/>
                <w:highlight w:val="none"/>
                <w:lang w:val="en-US" w:eastAsia="zh-CN"/>
              </w:rPr>
              <w:t>1</w:t>
            </w:r>
            <w:r>
              <w:rPr>
                <w:rFonts w:hint="eastAsia"/>
                <w:highlight w:val="none"/>
                <w:lang w:val="en-US" w:eastAsia="en-US"/>
              </w:rPr>
              <w:t>分）</w:t>
            </w:r>
            <w:r>
              <w:rPr>
                <w:rFonts w:hint="eastAsia"/>
                <w:highlight w:val="none"/>
                <w:lang w:val="en-US" w:eastAsia="zh-CN"/>
              </w:rPr>
              <w:t>供应商</w:t>
            </w:r>
            <w:r>
              <w:rPr>
                <w:rFonts w:hint="eastAsia"/>
                <w:highlight w:val="none"/>
                <w:lang w:val="en-US" w:eastAsia="en-US"/>
              </w:rPr>
              <w:t>有</w:t>
            </w:r>
            <w:r>
              <w:rPr>
                <w:rFonts w:hint="eastAsia"/>
                <w:highlight w:val="none"/>
                <w:lang w:val="en-US" w:eastAsia="zh-CN"/>
              </w:rPr>
              <w:t>自有或</w:t>
            </w:r>
            <w:r>
              <w:rPr>
                <w:rFonts w:hint="eastAsia"/>
                <w:highlight w:val="none"/>
                <w:lang w:val="en-US" w:eastAsia="en-US"/>
              </w:rPr>
              <w:t>租赁</w:t>
            </w:r>
            <w:r>
              <w:rPr>
                <w:rFonts w:hint="eastAsia"/>
                <w:highlight w:val="none"/>
                <w:lang w:val="en-US" w:eastAsia="zh-CN"/>
              </w:rPr>
              <w:t>的</w:t>
            </w:r>
            <w:r>
              <w:rPr>
                <w:rFonts w:hint="eastAsia"/>
                <w:highlight w:val="none"/>
                <w:lang w:val="en-US" w:eastAsia="en-US"/>
              </w:rPr>
              <w:t>固定仓储</w:t>
            </w:r>
            <w:r>
              <w:rPr>
                <w:rFonts w:hint="eastAsia"/>
                <w:highlight w:val="none"/>
                <w:lang w:val="en-US" w:eastAsia="zh-CN"/>
              </w:rPr>
              <w:t>场所，有满足配送需求的冷库和分割车间，储藏、保鲜</w:t>
            </w:r>
            <w:r>
              <w:rPr>
                <w:rFonts w:hint="eastAsia"/>
                <w:highlight w:val="none"/>
                <w:lang w:val="en-US" w:eastAsia="en-US"/>
              </w:rPr>
              <w:t>设备</w:t>
            </w:r>
            <w:r>
              <w:rPr>
                <w:rFonts w:hint="eastAsia"/>
                <w:highlight w:val="none"/>
                <w:lang w:val="en-US" w:eastAsia="zh-CN"/>
              </w:rPr>
              <w:t>设施不</w:t>
            </w:r>
            <w:r>
              <w:rPr>
                <w:rFonts w:hint="eastAsia"/>
                <w:highlight w:val="none"/>
                <w:lang w:val="en-US" w:eastAsia="en-US"/>
              </w:rPr>
              <w:t>齐全</w:t>
            </w:r>
            <w:r>
              <w:rPr>
                <w:rFonts w:hint="eastAsia"/>
                <w:highlight w:val="none"/>
                <w:lang w:val="en-US" w:eastAsia="zh-CN"/>
              </w:rPr>
              <w:t>，仓储能力较差，无监控设备，不能够</w:t>
            </w:r>
            <w:r>
              <w:rPr>
                <w:rFonts w:hint="eastAsia"/>
                <w:highlight w:val="none"/>
                <w:lang w:val="en-US" w:eastAsia="en-US"/>
              </w:rPr>
              <w:t>满足</w:t>
            </w:r>
            <w:r>
              <w:rPr>
                <w:rFonts w:hint="eastAsia"/>
                <w:highlight w:val="none"/>
                <w:lang w:val="en-US" w:eastAsia="zh-CN"/>
              </w:rPr>
              <w:t>采购项目</w:t>
            </w:r>
            <w:r>
              <w:rPr>
                <w:rFonts w:hint="eastAsia"/>
                <w:highlight w:val="none"/>
                <w:lang w:val="en-US" w:eastAsia="en-US"/>
              </w:rPr>
              <w:t>需</w:t>
            </w:r>
            <w:r>
              <w:rPr>
                <w:rFonts w:hint="eastAsia"/>
                <w:highlight w:val="none"/>
                <w:lang w:val="en-US" w:eastAsia="zh-CN"/>
              </w:rPr>
              <w:t>求的得1分。</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highlight w:val="none"/>
                <w:lang w:val="en-US" w:eastAsia="zh-CN"/>
              </w:rPr>
            </w:pPr>
            <w:r>
              <w:rPr>
                <w:rFonts w:hint="eastAsia"/>
                <w:highlight w:val="none"/>
                <w:lang w:val="en-US" w:eastAsia="zh-CN"/>
              </w:rPr>
              <w:t>第四档（0分）：未提供</w:t>
            </w:r>
            <w:r>
              <w:rPr>
                <w:rFonts w:hint="eastAsia"/>
                <w:highlight w:val="none"/>
                <w:lang w:val="en-US" w:eastAsia="en-US"/>
              </w:rPr>
              <w:t>仓储能力</w:t>
            </w:r>
            <w:r>
              <w:rPr>
                <w:rFonts w:hint="eastAsia"/>
                <w:highlight w:val="none"/>
                <w:lang w:val="en-US" w:eastAsia="zh-CN"/>
              </w:rPr>
              <w:t>的不得分。</w:t>
            </w: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val="0"/>
              <w:snapToGrid/>
              <w:spacing w:line="300" w:lineRule="exact"/>
              <w:textAlignment w:val="auto"/>
              <w:rPr>
                <w:rFonts w:hint="eastAsia"/>
                <w:highlight w:val="none"/>
                <w:lang w:val="en-US" w:eastAsia="zh-CN"/>
              </w:rPr>
            </w:pPr>
            <w:r>
              <w:rPr>
                <w:rFonts w:hint="eastAsia"/>
                <w:highlight w:val="none"/>
                <w:lang w:val="en-US" w:eastAsia="zh-CN"/>
              </w:rPr>
              <w:t>注：需</w:t>
            </w:r>
            <w:r>
              <w:rPr>
                <w:rFonts w:hint="eastAsia"/>
                <w:highlight w:val="none"/>
                <w:lang w:val="en-US" w:eastAsia="en-US"/>
              </w:rPr>
              <w:t>提供仓储场所具体位置</w:t>
            </w:r>
            <w:r>
              <w:rPr>
                <w:rFonts w:hint="eastAsia"/>
                <w:highlight w:val="none"/>
                <w:lang w:val="en-US" w:eastAsia="zh-CN"/>
              </w:rPr>
              <w:t>（地理坐标位置、详细地址）</w:t>
            </w:r>
            <w:r>
              <w:rPr>
                <w:rFonts w:hint="eastAsia"/>
                <w:highlight w:val="none"/>
                <w:lang w:val="en-US" w:eastAsia="en-US"/>
              </w:rPr>
              <w:t>、定位图片</w:t>
            </w:r>
            <w:r>
              <w:rPr>
                <w:rFonts w:hint="eastAsia"/>
                <w:highlight w:val="none"/>
                <w:lang w:val="en-US" w:eastAsia="zh-CN"/>
              </w:rPr>
              <w:t>、</w:t>
            </w:r>
            <w:r>
              <w:rPr>
                <w:rFonts w:hint="eastAsia"/>
                <w:highlight w:val="none"/>
                <w:lang w:val="en-US" w:eastAsia="en-US"/>
              </w:rPr>
              <w:t>仓储</w:t>
            </w:r>
            <w:r>
              <w:rPr>
                <w:rFonts w:hint="eastAsia"/>
                <w:highlight w:val="none"/>
                <w:lang w:val="en-US" w:eastAsia="zh-CN"/>
              </w:rPr>
              <w:t>场所</w:t>
            </w:r>
            <w:r>
              <w:rPr>
                <w:rFonts w:hint="eastAsia"/>
                <w:highlight w:val="none"/>
                <w:lang w:val="en-US" w:eastAsia="en-US"/>
              </w:rPr>
              <w:t>内、外实景照片</w:t>
            </w:r>
            <w:r>
              <w:rPr>
                <w:rFonts w:hint="eastAsia"/>
                <w:highlight w:val="none"/>
                <w:lang w:val="en-US" w:eastAsia="zh-CN"/>
              </w:rPr>
              <w:t>、</w:t>
            </w:r>
            <w:r>
              <w:rPr>
                <w:rFonts w:hint="eastAsia"/>
                <w:highlight w:val="none"/>
                <w:lang w:val="en-US" w:eastAsia="en-US"/>
              </w:rPr>
              <w:t>产权证明材料或租赁合同</w:t>
            </w:r>
            <w:r>
              <w:rPr>
                <w:rFonts w:hint="eastAsia"/>
                <w:highlight w:val="none"/>
                <w:lang w:val="en-US" w:eastAsia="zh-CN"/>
              </w:rPr>
              <w:t>、设备设施照片</w:t>
            </w:r>
            <w:r>
              <w:rPr>
                <w:rFonts w:hint="eastAsia"/>
                <w:highlight w:val="none"/>
                <w:lang w:val="en-US" w:eastAsia="en-US"/>
              </w:rPr>
              <w:t>等相关证明材料；</w:t>
            </w:r>
            <w:r>
              <w:rPr>
                <w:rFonts w:hint="eastAsia"/>
                <w:highlight w:val="none"/>
                <w:lang w:val="en-US" w:eastAsia="zh-CN"/>
              </w:rPr>
              <w:t>未提供证明材料的不得分。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trHeight w:val="5210"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eastAsia="zh-CN"/>
              </w:rPr>
            </w:pPr>
          </w:p>
        </w:tc>
        <w:tc>
          <w:tcPr>
            <w:tcW w:w="1389" w:type="dxa"/>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szCs w:val="21"/>
                <w:highlight w:val="none"/>
                <w:lang w:val="en-US" w:eastAsia="en-US"/>
              </w:rPr>
            </w:pPr>
            <w:r>
              <w:rPr>
                <w:rFonts w:hint="eastAsia" w:ascii="宋体" w:hAnsi="宋体" w:eastAsia="宋体" w:cs="宋体"/>
                <w:szCs w:val="21"/>
                <w:highlight w:val="none"/>
                <w:lang w:val="en-US" w:eastAsia="en-US"/>
              </w:rPr>
              <w:t>食材安全保障措施及承诺（</w:t>
            </w: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en-US"/>
              </w:rPr>
              <w:t>0 分）</w:t>
            </w:r>
          </w:p>
          <w:p>
            <w:pPr>
              <w:adjustRightInd w:val="0"/>
              <w:rPr>
                <w:rFonts w:hint="eastAsia" w:ascii="宋体" w:hAnsi="宋体" w:eastAsia="宋体" w:cs="宋体"/>
                <w:color w:val="auto"/>
                <w:szCs w:val="21"/>
                <w:highlight w:val="none"/>
                <w:lang w:val="en-US" w:eastAsia="zh-CN"/>
              </w:rPr>
            </w:pPr>
          </w:p>
        </w:tc>
        <w:tc>
          <w:tcPr>
            <w:tcW w:w="5613" w:type="dxa"/>
            <w:gridSpan w:val="2"/>
            <w:tcBorders>
              <w:top w:val="single" w:color="auto" w:sz="4" w:space="0"/>
              <w:left w:val="single" w:color="auto" w:sz="4" w:space="0"/>
              <w:bottom w:val="single" w:color="auto" w:sz="4" w:space="0"/>
              <w:right w:val="single" w:color="auto" w:sz="4" w:space="0"/>
            </w:tcBorders>
            <w:vAlign w:val="center"/>
          </w:tcPr>
          <w:p>
            <w:pPr>
              <w:numPr>
                <w:ilvl w:val="0"/>
                <w:numId w:val="0"/>
              </w:numPr>
              <w:adjustRightInd w:val="0"/>
              <w:jc w:val="both"/>
              <w:rPr>
                <w:rFonts w:hint="eastAsia" w:ascii="宋体" w:hAnsi="宋体" w:eastAsia="宋体" w:cs="宋体"/>
                <w:b/>
                <w:bCs/>
                <w:szCs w:val="21"/>
                <w:highlight w:val="none"/>
                <w:lang w:val="en-US" w:eastAsia="en-US"/>
              </w:rPr>
            </w:pPr>
            <w:r>
              <w:rPr>
                <w:rFonts w:hint="eastAsia" w:ascii="宋体" w:hAnsi="宋体" w:cs="宋体"/>
                <w:b/>
                <w:bCs/>
                <w:szCs w:val="21"/>
                <w:highlight w:val="none"/>
                <w:lang w:val="en-US" w:eastAsia="zh-CN"/>
              </w:rPr>
              <w:t>一、</w:t>
            </w:r>
            <w:r>
              <w:rPr>
                <w:rFonts w:hint="eastAsia" w:ascii="宋体" w:hAnsi="宋体" w:eastAsia="宋体" w:cs="宋体"/>
                <w:b/>
                <w:bCs/>
                <w:szCs w:val="21"/>
                <w:highlight w:val="none"/>
                <w:lang w:val="en-US" w:eastAsia="en-US"/>
              </w:rPr>
              <w:t>食材安全保障措施及承诺</w:t>
            </w:r>
            <w:r>
              <w:rPr>
                <w:rFonts w:hint="eastAsia" w:ascii="宋体" w:hAnsi="宋体" w:cs="宋体"/>
                <w:b/>
                <w:bCs/>
                <w:szCs w:val="21"/>
                <w:highlight w:val="none"/>
                <w:lang w:val="en-US" w:eastAsia="zh-CN"/>
              </w:rPr>
              <w:t>（8分）</w:t>
            </w:r>
          </w:p>
          <w:p>
            <w:pPr>
              <w:numPr>
                <w:ilvl w:val="0"/>
                <w:numId w:val="0"/>
              </w:numPr>
              <w:adjustRightInd w:val="0"/>
              <w:jc w:val="both"/>
              <w:rPr>
                <w:rFonts w:hint="eastAsia"/>
                <w:highlight w:val="none"/>
                <w:lang w:val="en-US" w:eastAsia="zh-CN"/>
              </w:rPr>
            </w:pPr>
            <w:r>
              <w:rPr>
                <w:rFonts w:hint="eastAsia"/>
                <w:highlight w:val="none"/>
                <w:lang w:val="en-US" w:eastAsia="zh-CN"/>
              </w:rPr>
              <w:t>供应商应拟定完整详细的</w:t>
            </w:r>
            <w:r>
              <w:rPr>
                <w:rFonts w:hint="eastAsia"/>
                <w:highlight w:val="none"/>
                <w:lang w:val="en-US" w:eastAsia="en-US"/>
              </w:rPr>
              <w:t>食材安全保障措施及承诺</w:t>
            </w:r>
            <w:r>
              <w:rPr>
                <w:rFonts w:hint="eastAsia"/>
                <w:highlight w:val="none"/>
                <w:lang w:val="en-US" w:eastAsia="zh-CN"/>
              </w:rPr>
              <w:t>，内容包含：①</w:t>
            </w:r>
            <w:r>
              <w:rPr>
                <w:rFonts w:hint="eastAsia"/>
                <w:highlight w:val="none"/>
                <w:lang w:val="en-US" w:eastAsia="en-US"/>
              </w:rPr>
              <w:t>食材安全</w:t>
            </w:r>
            <w:r>
              <w:rPr>
                <w:rFonts w:hint="eastAsia"/>
                <w:highlight w:val="none"/>
                <w:lang w:val="en-US" w:eastAsia="zh-CN"/>
              </w:rPr>
              <w:t>管理体系；②配备食品安全总监/食品安全员；③</w:t>
            </w:r>
            <w:r>
              <w:rPr>
                <w:rFonts w:hint="eastAsia"/>
                <w:highlight w:val="none"/>
                <w:lang w:val="en-US" w:eastAsia="en-US"/>
              </w:rPr>
              <w:t>食材的生产、加工、包装、储藏</w:t>
            </w:r>
            <w:r>
              <w:rPr>
                <w:rFonts w:hint="eastAsia"/>
                <w:highlight w:val="none"/>
                <w:lang w:val="en-US" w:eastAsia="zh-CN"/>
              </w:rPr>
              <w:t>、</w:t>
            </w:r>
            <w:r>
              <w:rPr>
                <w:rFonts w:hint="eastAsia"/>
                <w:highlight w:val="none"/>
                <w:lang w:val="en-US" w:eastAsia="en-US"/>
              </w:rPr>
              <w:t>运输全程保障</w:t>
            </w:r>
            <w:r>
              <w:rPr>
                <w:rFonts w:hint="eastAsia"/>
                <w:highlight w:val="none"/>
                <w:lang w:val="en-US" w:eastAsia="zh-CN"/>
              </w:rPr>
              <w:t>措施；④</w:t>
            </w:r>
            <w:r>
              <w:rPr>
                <w:rFonts w:hint="eastAsia"/>
                <w:highlight w:val="none"/>
                <w:lang w:val="en-US" w:eastAsia="en-US"/>
              </w:rPr>
              <w:t>违约责任承诺</w:t>
            </w:r>
            <w:r>
              <w:rPr>
                <w:rFonts w:hint="eastAsia"/>
                <w:highlight w:val="none"/>
                <w:lang w:val="en-US" w:eastAsia="zh-CN"/>
              </w:rPr>
              <w:t>。</w:t>
            </w:r>
          </w:p>
          <w:p>
            <w:pPr>
              <w:keepNext w:val="0"/>
              <w:keepLines w:val="0"/>
              <w:pageBreakBefore w:val="0"/>
              <w:widowControl w:val="0"/>
              <w:kinsoku/>
              <w:wordWrap/>
              <w:overflowPunct/>
              <w:topLinePunct w:val="0"/>
              <w:autoSpaceDE/>
              <w:autoSpaceDN/>
              <w:bidi w:val="0"/>
              <w:adjustRightInd w:val="0"/>
              <w:snapToGrid/>
              <w:spacing w:line="160" w:lineRule="exact"/>
              <w:jc w:val="both"/>
              <w:textAlignment w:val="auto"/>
              <w:rPr>
                <w:rFonts w:hint="eastAsia"/>
                <w:highlight w:val="none"/>
                <w:lang w:val="en-US" w:eastAsia="zh-CN"/>
              </w:rPr>
            </w:pPr>
          </w:p>
          <w:p>
            <w:pPr>
              <w:adjustRightInd w:val="0"/>
              <w:jc w:val="both"/>
              <w:rPr>
                <w:rFonts w:hint="eastAsia"/>
                <w:highlight w:val="none"/>
                <w:lang w:val="en-US" w:eastAsia="zh-CN"/>
              </w:rPr>
            </w:pPr>
            <w:r>
              <w:rPr>
                <w:rFonts w:hint="eastAsia"/>
                <w:highlight w:val="none"/>
                <w:lang w:val="en-US" w:eastAsia="zh-CN"/>
              </w:rPr>
              <w:t>1、以上4项内容齐全，完全满足招标文件要求的得8分，①至④项每缺一项扣2分；</w:t>
            </w:r>
          </w:p>
          <w:p>
            <w:pPr>
              <w:adjustRightInd w:val="0"/>
              <w:jc w:val="both"/>
              <w:rPr>
                <w:rFonts w:hint="default"/>
                <w:highlight w:val="none"/>
                <w:lang w:val="en-US" w:eastAsia="zh-CN"/>
              </w:rPr>
            </w:pPr>
            <w:r>
              <w:rPr>
                <w:rFonts w:hint="eastAsia"/>
                <w:highlight w:val="none"/>
                <w:lang w:val="en-US" w:eastAsia="zh-CN"/>
              </w:rPr>
              <w:t>2、①至④项有以下内容缺陷的，每项扣0.2分，分值扣完为止。</w:t>
            </w:r>
          </w:p>
          <w:p>
            <w:pPr>
              <w:adjustRightInd w:val="0"/>
              <w:rPr>
                <w:rFonts w:hint="eastAsia"/>
                <w:highlight w:val="none"/>
                <w:lang w:val="en-US" w:eastAsia="zh-CN"/>
              </w:rPr>
            </w:pPr>
          </w:p>
          <w:p>
            <w:pPr>
              <w:adjustRightInd w:val="0"/>
              <w:rPr>
                <w:rFonts w:hint="eastAsia"/>
                <w:highlight w:val="none"/>
                <w:lang w:val="en-US" w:eastAsia="zh-CN"/>
              </w:rPr>
            </w:pPr>
            <w:r>
              <w:rPr>
                <w:rFonts w:hint="eastAsia"/>
                <w:highlight w:val="none"/>
                <w:lang w:val="en-US" w:eastAsia="zh-CN"/>
              </w:rPr>
              <w:t>注：内容缺陷是指：①内容与本项目无关，②与本项目采购要求不相符，③套用其他行业或项目内容，④内容过于简单空洞，不详细具体，不能对采购需求做出足够响应，⑤项目名称、地点、区域错误，⑥文字表述、引用等有明显错误，⑦对同一问题前后表述矛盾，⑧存在逻辑漏洞，⑨仅有框架或标题，⑩没有可行性。</w:t>
            </w:r>
          </w:p>
          <w:p>
            <w:pPr>
              <w:adjustRightInd w:val="0"/>
              <w:rPr>
                <w:rFonts w:hint="eastAsia"/>
                <w:highlight w:val="none"/>
                <w:lang w:val="en-US" w:eastAsia="zh-CN"/>
              </w:rPr>
            </w:pPr>
          </w:p>
          <w:p>
            <w:pPr>
              <w:numPr>
                <w:ilvl w:val="0"/>
                <w:numId w:val="0"/>
              </w:numPr>
              <w:adjustRightInd w:val="0"/>
              <w:jc w:val="both"/>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二</w:t>
            </w:r>
            <w:r>
              <w:rPr>
                <w:rFonts w:hint="eastAsia" w:ascii="宋体" w:hAnsi="宋体" w:eastAsia="宋体" w:cs="宋体"/>
                <w:b/>
                <w:bCs/>
                <w:szCs w:val="21"/>
                <w:highlight w:val="none"/>
                <w:lang w:val="en-US" w:eastAsia="en-US"/>
              </w:rPr>
              <w:t>、</w:t>
            </w:r>
            <w:r>
              <w:rPr>
                <w:rFonts w:hint="eastAsia" w:ascii="宋体" w:hAnsi="宋体" w:eastAsia="宋体" w:cs="宋体"/>
                <w:b/>
                <w:bCs/>
                <w:szCs w:val="21"/>
                <w:highlight w:val="none"/>
                <w:lang w:val="en-US" w:eastAsia="zh-CN"/>
              </w:rPr>
              <w:t>ISO22000</w:t>
            </w:r>
            <w:r>
              <w:rPr>
                <w:rFonts w:hint="eastAsia" w:ascii="宋体" w:hAnsi="宋体" w:eastAsia="宋体" w:cs="宋体"/>
                <w:b/>
                <w:bCs/>
                <w:szCs w:val="21"/>
                <w:highlight w:val="none"/>
                <w:lang w:val="en-US" w:eastAsia="en-US"/>
              </w:rPr>
              <w:t>食品安全管理体系认证</w:t>
            </w:r>
            <w:r>
              <w:rPr>
                <w:rFonts w:hint="eastAsia" w:ascii="宋体" w:hAnsi="宋体" w:eastAsia="宋体" w:cs="宋体"/>
                <w:b/>
                <w:bCs/>
                <w:szCs w:val="21"/>
                <w:highlight w:val="none"/>
                <w:lang w:val="en-US" w:eastAsia="zh-CN"/>
              </w:rPr>
              <w:t>（2分）</w:t>
            </w:r>
          </w:p>
          <w:p>
            <w:pPr>
              <w:adjustRightInd w:val="0"/>
              <w:rPr>
                <w:rFonts w:hint="eastAsia"/>
                <w:highlight w:val="none"/>
                <w:lang w:val="en-US" w:eastAsia="zh-CN"/>
              </w:rPr>
            </w:pPr>
            <w:r>
              <w:rPr>
                <w:rFonts w:hint="eastAsia"/>
                <w:highlight w:val="none"/>
                <w:lang w:val="en-US" w:eastAsia="zh-CN"/>
              </w:rPr>
              <w:t>供应商通过ISO22000食品安全管理体系认证的得2分。</w:t>
            </w:r>
          </w:p>
          <w:p>
            <w:pPr>
              <w:adjustRightInd w:val="0"/>
              <w:rPr>
                <w:rFonts w:hint="default"/>
                <w:highlight w:val="none"/>
                <w:lang w:val="en-US" w:eastAsia="zh-CN"/>
              </w:rPr>
            </w:pPr>
            <w:r>
              <w:rPr>
                <w:rFonts w:hint="eastAsia"/>
                <w:highlight w:val="none"/>
                <w:lang w:val="en-US" w:eastAsia="zh-CN"/>
              </w:rPr>
              <w:t>提供ISO22000食品安全管理体系认证证书扫描件或复印件，未提供的不得分。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trHeight w:val="7361"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eastAsia="zh-CN"/>
              </w:rPr>
            </w:pPr>
          </w:p>
        </w:tc>
        <w:tc>
          <w:tcPr>
            <w:tcW w:w="1389" w:type="dxa"/>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szCs w:val="21"/>
                <w:highlight w:val="none"/>
                <w:lang w:val="en-US" w:eastAsia="en-US"/>
              </w:rPr>
            </w:pPr>
            <w:r>
              <w:rPr>
                <w:rFonts w:hint="eastAsia" w:ascii="宋体" w:hAnsi="宋体" w:eastAsia="宋体" w:cs="宋体"/>
                <w:szCs w:val="21"/>
                <w:highlight w:val="none"/>
                <w:lang w:val="en-US" w:eastAsia="en-US"/>
              </w:rPr>
              <w:t>配送供应保障及配送服务方案</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1</w:t>
            </w:r>
            <w:r>
              <w:rPr>
                <w:rFonts w:hint="eastAsia" w:ascii="宋体" w:hAnsi="宋体" w:cs="宋体"/>
                <w:szCs w:val="21"/>
                <w:highlight w:val="none"/>
                <w:lang w:val="en-US" w:eastAsia="zh-CN"/>
              </w:rPr>
              <w:t>0</w:t>
            </w:r>
            <w:r>
              <w:rPr>
                <w:rFonts w:hint="eastAsia" w:ascii="宋体" w:hAnsi="宋体" w:eastAsia="宋体" w:cs="宋体"/>
                <w:szCs w:val="21"/>
                <w:highlight w:val="none"/>
                <w:lang w:val="en-US" w:eastAsia="en-US"/>
              </w:rPr>
              <w:t>分）</w:t>
            </w:r>
          </w:p>
          <w:p>
            <w:pPr>
              <w:adjustRightInd w:val="0"/>
              <w:rPr>
                <w:rFonts w:hint="eastAsia" w:ascii="宋体" w:hAnsi="宋体" w:eastAsia="宋体" w:cs="宋体"/>
                <w:color w:val="auto"/>
                <w:szCs w:val="21"/>
                <w:highlight w:val="none"/>
                <w:lang w:val="en-US" w:eastAsia="en-US"/>
              </w:rPr>
            </w:pPr>
          </w:p>
        </w:tc>
        <w:tc>
          <w:tcPr>
            <w:tcW w:w="5613" w:type="dxa"/>
            <w:gridSpan w:val="2"/>
            <w:tcBorders>
              <w:top w:val="single" w:color="auto" w:sz="4" w:space="0"/>
              <w:left w:val="single" w:color="auto" w:sz="4" w:space="0"/>
              <w:bottom w:val="single" w:color="auto" w:sz="4" w:space="0"/>
              <w:right w:val="single" w:color="auto" w:sz="4" w:space="0"/>
            </w:tcBorders>
            <w:vAlign w:val="center"/>
          </w:tcPr>
          <w:p>
            <w:pPr>
              <w:adjustRightInd w:val="0"/>
              <w:rPr>
                <w:rFonts w:hint="eastAsia"/>
                <w:b/>
                <w:bCs/>
                <w:highlight w:val="none"/>
                <w:lang w:val="en-US" w:eastAsia="zh-CN"/>
              </w:rPr>
            </w:pPr>
            <w:r>
              <w:rPr>
                <w:rFonts w:hint="eastAsia"/>
                <w:b/>
                <w:bCs/>
                <w:highlight w:val="none"/>
                <w:lang w:val="en-US" w:eastAsia="zh-CN"/>
              </w:rPr>
              <w:t>一、</w:t>
            </w:r>
            <w:r>
              <w:rPr>
                <w:rFonts w:hint="eastAsia"/>
                <w:b/>
                <w:bCs/>
                <w:highlight w:val="none"/>
                <w:lang w:val="en-US" w:eastAsia="en-US"/>
              </w:rPr>
              <w:t>配送供应保障及配送服务方案</w:t>
            </w:r>
            <w:r>
              <w:rPr>
                <w:rFonts w:hint="eastAsia"/>
                <w:b/>
                <w:bCs/>
                <w:highlight w:val="none"/>
                <w:lang w:val="en-US" w:eastAsia="zh-CN"/>
              </w:rPr>
              <w:t>（6分）</w:t>
            </w:r>
          </w:p>
          <w:p>
            <w:pPr>
              <w:adjustRightInd w:val="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供应商应拟定完整详细的</w:t>
            </w:r>
            <w:r>
              <w:rPr>
                <w:rFonts w:hint="eastAsia" w:ascii="宋体" w:hAnsi="宋体" w:cs="宋体"/>
                <w:color w:val="auto"/>
                <w:sz w:val="21"/>
                <w:szCs w:val="21"/>
                <w:highlight w:val="none"/>
                <w:lang w:val="en-US" w:eastAsia="en-US"/>
              </w:rPr>
              <w:t>配送供应保障及配送服务方案</w:t>
            </w:r>
            <w:r>
              <w:rPr>
                <w:rFonts w:hint="eastAsia" w:ascii="宋体" w:hAnsi="宋体" w:cs="宋体"/>
                <w:color w:val="auto"/>
                <w:sz w:val="21"/>
                <w:szCs w:val="21"/>
                <w:highlight w:val="none"/>
                <w:lang w:val="en-US" w:eastAsia="zh-CN"/>
              </w:rPr>
              <w:t>，内容包含：①</w:t>
            </w:r>
            <w:r>
              <w:rPr>
                <w:rFonts w:hint="eastAsia" w:ascii="宋体" w:hAnsi="宋体" w:cs="宋体"/>
                <w:color w:val="auto"/>
                <w:sz w:val="21"/>
                <w:szCs w:val="21"/>
                <w:highlight w:val="none"/>
                <w:lang w:val="en-US" w:eastAsia="en-US"/>
              </w:rPr>
              <w:t>配送计划</w:t>
            </w:r>
            <w:r>
              <w:rPr>
                <w:rFonts w:hint="eastAsia" w:ascii="宋体" w:hAnsi="宋体" w:cs="宋体"/>
                <w:color w:val="auto"/>
                <w:sz w:val="21"/>
                <w:szCs w:val="21"/>
                <w:highlight w:val="none"/>
                <w:lang w:val="en-US" w:eastAsia="zh-CN"/>
              </w:rPr>
              <w:t>；②</w:t>
            </w:r>
            <w:r>
              <w:rPr>
                <w:rFonts w:hint="eastAsia" w:ascii="宋体" w:hAnsi="宋体" w:cs="宋体"/>
                <w:color w:val="auto"/>
                <w:sz w:val="21"/>
                <w:szCs w:val="21"/>
                <w:highlight w:val="none"/>
                <w:lang w:val="en-US" w:eastAsia="en-US"/>
              </w:rPr>
              <w:t>配送线路</w:t>
            </w:r>
            <w:r>
              <w:rPr>
                <w:rFonts w:hint="eastAsia" w:ascii="宋体" w:hAnsi="宋体" w:cs="宋体"/>
                <w:color w:val="auto"/>
                <w:sz w:val="21"/>
                <w:szCs w:val="21"/>
                <w:highlight w:val="none"/>
                <w:lang w:val="en-US" w:eastAsia="zh-CN"/>
              </w:rPr>
              <w:t>；③</w:t>
            </w:r>
            <w:r>
              <w:rPr>
                <w:rFonts w:hint="eastAsia" w:ascii="宋体" w:hAnsi="宋体" w:cs="宋体"/>
                <w:color w:val="auto"/>
                <w:sz w:val="21"/>
                <w:szCs w:val="21"/>
                <w:highlight w:val="none"/>
                <w:lang w:val="en-US" w:eastAsia="en-US"/>
              </w:rPr>
              <w:t>配送人员安排</w:t>
            </w:r>
            <w:r>
              <w:rPr>
                <w:rFonts w:hint="eastAsia" w:ascii="宋体" w:hAnsi="宋体" w:cs="宋体"/>
                <w:color w:val="auto"/>
                <w:sz w:val="21"/>
                <w:szCs w:val="21"/>
                <w:highlight w:val="none"/>
                <w:lang w:val="en-US" w:eastAsia="zh-CN"/>
              </w:rPr>
              <w:t>；④</w:t>
            </w:r>
            <w:r>
              <w:rPr>
                <w:rFonts w:hint="eastAsia" w:ascii="宋体" w:hAnsi="宋体" w:cs="宋体"/>
                <w:color w:val="auto"/>
                <w:sz w:val="21"/>
                <w:szCs w:val="21"/>
                <w:highlight w:val="none"/>
                <w:lang w:val="en-US" w:eastAsia="en-US"/>
              </w:rPr>
              <w:t>配送延误责任承诺及保障措施</w:t>
            </w:r>
            <w:r>
              <w:rPr>
                <w:rFonts w:hint="eastAsia" w:ascii="宋体" w:hAnsi="宋体" w:cs="宋体"/>
                <w:color w:val="auto"/>
                <w:sz w:val="21"/>
                <w:szCs w:val="21"/>
                <w:highlight w:val="none"/>
                <w:lang w:val="en-US" w:eastAsia="zh-CN"/>
              </w:rPr>
              <w:t>。</w:t>
            </w:r>
          </w:p>
          <w:p>
            <w:pPr>
              <w:adjustRightInd w:val="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1、以上4项内容齐全，完全满足招标文件要求的得6分，①至④项每缺一项扣1.5分；</w:t>
            </w:r>
          </w:p>
          <w:p>
            <w:pPr>
              <w:adjustRightInd w:val="0"/>
              <w:rPr>
                <w:rFonts w:hint="eastAsia"/>
                <w:highlight w:val="none"/>
                <w:lang w:val="en-US" w:eastAsia="zh-CN"/>
              </w:rPr>
            </w:pPr>
            <w:r>
              <w:rPr>
                <w:rFonts w:hint="eastAsia" w:ascii="宋体" w:hAnsi="宋体" w:cs="宋体"/>
                <w:color w:val="auto"/>
                <w:sz w:val="21"/>
                <w:szCs w:val="21"/>
                <w:highlight w:val="none"/>
                <w:lang w:val="en-US" w:eastAsia="zh-CN"/>
              </w:rPr>
              <w:t>2、①至④项有以下内容缺陷的，每项扣0.15分，分值扣完为止。</w:t>
            </w:r>
          </w:p>
          <w:p>
            <w:pPr>
              <w:adjustRightInd w:val="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注：内容缺陷是指：①内容与本项目无关，②与本项目采购要求不相符，③套用其他行业或项目内容，④内容过于简单空洞，不详细具体，不能对采购需求做出足够响应，⑤项目名称、地点、区域错误，⑥文字表述、引用等有明显错误，⑦对同一问题前后表述矛盾，⑧存在逻辑漏洞，⑨仅有框架或标题，⑩没有可行性。</w:t>
            </w:r>
          </w:p>
          <w:p>
            <w:pPr>
              <w:adjustRightInd w:val="0"/>
              <w:rPr>
                <w:rFonts w:hint="eastAsia" w:ascii="宋体" w:hAnsi="宋体" w:eastAsia="宋体" w:cs="宋体"/>
                <w:b/>
                <w:bCs/>
                <w:color w:val="auto"/>
                <w:szCs w:val="21"/>
                <w:highlight w:val="none"/>
                <w:lang w:val="en-US" w:eastAsia="zh-CN"/>
              </w:rPr>
            </w:pPr>
          </w:p>
          <w:p>
            <w:pPr>
              <w:adjustRightInd w:val="0"/>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二、配送工具（</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lang w:val="en-US" w:eastAsia="zh-CN"/>
              </w:rPr>
              <w:t>分）</w:t>
            </w:r>
          </w:p>
          <w:p>
            <w:pPr>
              <w:adjustRightInd w:val="0"/>
              <w:rPr>
                <w:rFonts w:hint="default"/>
                <w:b/>
                <w:bCs/>
                <w:highlight w:val="none"/>
                <w:lang w:val="en-US" w:eastAsia="zh-CN"/>
              </w:rPr>
            </w:pPr>
            <w:r>
              <w:rPr>
                <w:rFonts w:hint="eastAsia"/>
                <w:b/>
                <w:bCs/>
                <w:highlight w:val="none"/>
                <w:lang w:val="en-US" w:eastAsia="zh-CN"/>
              </w:rPr>
              <w:t>一至四标段：大米、食用油、鸡蛋类</w:t>
            </w:r>
          </w:p>
          <w:p>
            <w:pPr>
              <w:adjustRightIn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食材</w:t>
            </w:r>
            <w:r>
              <w:rPr>
                <w:rFonts w:hint="eastAsia" w:ascii="宋体" w:hAnsi="宋体" w:eastAsia="宋体" w:cs="宋体"/>
                <w:color w:val="auto"/>
                <w:szCs w:val="21"/>
                <w:highlight w:val="none"/>
                <w:lang w:val="en-US" w:eastAsia="en-US"/>
              </w:rPr>
              <w:t xml:space="preserve">运送专用厢式货车：每辆得 </w:t>
            </w:r>
            <w:r>
              <w:rPr>
                <w:rFonts w:hint="eastAsia" w:ascii="宋体" w:hAnsi="宋体" w:eastAsia="宋体" w:cs="宋体"/>
                <w:color w:val="auto"/>
                <w:szCs w:val="21"/>
                <w:highlight w:val="none"/>
                <w:lang w:val="en-US" w:eastAsia="zh-CN"/>
              </w:rPr>
              <w:t>0.8</w:t>
            </w:r>
            <w:r>
              <w:rPr>
                <w:rFonts w:hint="eastAsia" w:ascii="宋体" w:hAnsi="宋体" w:eastAsia="宋体" w:cs="宋体"/>
                <w:color w:val="auto"/>
                <w:szCs w:val="21"/>
                <w:highlight w:val="none"/>
                <w:lang w:val="en-US" w:eastAsia="en-US"/>
              </w:rPr>
              <w:t>分，最高得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val="en-US" w:eastAsia="en-US"/>
              </w:rPr>
              <w:t>分</w:t>
            </w:r>
            <w:r>
              <w:rPr>
                <w:rFonts w:hint="eastAsia" w:ascii="宋体" w:hAnsi="宋体" w:eastAsia="宋体" w:cs="宋体"/>
                <w:color w:val="auto"/>
                <w:szCs w:val="21"/>
                <w:highlight w:val="none"/>
                <w:lang w:val="en-US" w:eastAsia="zh-CN"/>
              </w:rPr>
              <w:t>。</w:t>
            </w:r>
          </w:p>
          <w:p>
            <w:pPr>
              <w:adjustRightInd w:val="0"/>
              <w:rPr>
                <w:rFonts w:hint="eastAsia" w:ascii="Times New Roman" w:hAnsi="Times New Roman" w:eastAsia="宋体" w:cs="Times New Roman"/>
                <w:b/>
                <w:bCs/>
                <w:highlight w:val="none"/>
                <w:lang w:val="en-US" w:eastAsia="zh-CN"/>
              </w:rPr>
            </w:pPr>
          </w:p>
          <w:p>
            <w:pPr>
              <w:adjustRightInd w:val="0"/>
              <w:rPr>
                <w:rFonts w:hint="eastAsia"/>
                <w:b/>
                <w:bCs/>
                <w:highlight w:val="none"/>
                <w:lang w:val="en-US" w:eastAsia="zh-CN"/>
              </w:rPr>
            </w:pPr>
            <w:r>
              <w:rPr>
                <w:rFonts w:hint="eastAsia" w:ascii="Times New Roman" w:hAnsi="Times New Roman" w:eastAsia="宋体" w:cs="Times New Roman"/>
                <w:b/>
                <w:bCs/>
                <w:highlight w:val="none"/>
                <w:lang w:val="en-US" w:eastAsia="zh-CN"/>
              </w:rPr>
              <w:t>五至八标段：猪肉类</w:t>
            </w:r>
          </w:p>
          <w:p>
            <w:pPr>
              <w:adjustRightInd w:val="0"/>
              <w:rPr>
                <w:rFonts w:hint="eastAsia"/>
                <w:highlight w:val="none"/>
                <w:lang w:val="en-US" w:eastAsia="zh-CN"/>
              </w:rPr>
            </w:pPr>
            <w:bookmarkStart w:id="274" w:name="OLE_LINK10"/>
            <w:r>
              <w:rPr>
                <w:rFonts w:hint="eastAsia" w:ascii="宋体" w:hAnsi="宋体" w:eastAsia="宋体" w:cs="宋体"/>
                <w:color w:val="auto"/>
                <w:szCs w:val="21"/>
                <w:highlight w:val="none"/>
                <w:lang w:val="en-US" w:eastAsia="zh-CN"/>
              </w:rPr>
              <w:t>食材</w:t>
            </w:r>
            <w:r>
              <w:rPr>
                <w:rFonts w:hint="eastAsia" w:ascii="宋体" w:hAnsi="宋体" w:eastAsia="宋体" w:cs="宋体"/>
                <w:color w:val="auto"/>
                <w:szCs w:val="21"/>
                <w:highlight w:val="none"/>
                <w:lang w:val="en-US" w:eastAsia="en-US"/>
              </w:rPr>
              <w:t>配送冷藏车</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val="en-US" w:eastAsia="en-US"/>
              </w:rPr>
              <w:t xml:space="preserve">每辆得 </w:t>
            </w:r>
            <w:r>
              <w:rPr>
                <w:rFonts w:hint="eastAsia" w:ascii="宋体" w:hAnsi="宋体" w:eastAsia="宋体" w:cs="宋体"/>
                <w:color w:val="auto"/>
                <w:szCs w:val="21"/>
                <w:highlight w:val="none"/>
                <w:lang w:val="en-US" w:eastAsia="zh-CN"/>
              </w:rPr>
              <w:t>0.8</w:t>
            </w:r>
            <w:r>
              <w:rPr>
                <w:rFonts w:hint="eastAsia" w:ascii="宋体" w:hAnsi="宋体" w:eastAsia="宋体" w:cs="宋体"/>
                <w:color w:val="auto"/>
                <w:szCs w:val="21"/>
                <w:highlight w:val="none"/>
                <w:lang w:val="en-US" w:eastAsia="en-US"/>
              </w:rPr>
              <w:t>分，最高得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val="en-US" w:eastAsia="en-US"/>
              </w:rPr>
              <w:t>分</w:t>
            </w:r>
            <w:r>
              <w:rPr>
                <w:rFonts w:hint="eastAsia" w:ascii="宋体" w:hAnsi="宋体" w:eastAsia="宋体" w:cs="宋体"/>
                <w:color w:val="auto"/>
                <w:szCs w:val="21"/>
                <w:highlight w:val="none"/>
                <w:lang w:val="en-US" w:eastAsia="zh-CN"/>
              </w:rPr>
              <w:t>。</w:t>
            </w:r>
            <w:bookmarkEnd w:id="274"/>
          </w:p>
          <w:p>
            <w:pPr>
              <w:adjustRightInd w:val="0"/>
              <w:rPr>
                <w:rFonts w:hint="eastAsia" w:ascii="宋体" w:hAnsi="宋体" w:eastAsia="宋体" w:cs="宋体"/>
                <w:color w:val="auto"/>
                <w:szCs w:val="21"/>
                <w:highlight w:val="none"/>
                <w:lang w:val="en-US" w:eastAsia="en-US"/>
              </w:rPr>
            </w:pPr>
          </w:p>
          <w:p>
            <w:pPr>
              <w:adjustRightInd w:val="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en-US"/>
              </w:rPr>
              <w:t>配送车辆证明材料：车辆正面照片（显示完整车牌号）</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en-US"/>
              </w:rPr>
              <w:t>行驶证正反面、</w:t>
            </w:r>
            <w:r>
              <w:rPr>
                <w:rFonts w:hint="eastAsia" w:ascii="宋体" w:hAnsi="宋体" w:cs="宋体"/>
                <w:color w:val="auto"/>
                <w:szCs w:val="21"/>
                <w:highlight w:val="none"/>
                <w:lang w:val="en-US" w:eastAsia="zh-CN"/>
              </w:rPr>
              <w:t>自有车辆提供</w:t>
            </w:r>
            <w:r>
              <w:rPr>
                <w:rFonts w:hint="eastAsia" w:ascii="宋体" w:hAnsi="宋体" w:eastAsia="宋体" w:cs="宋体"/>
                <w:color w:val="auto"/>
                <w:szCs w:val="21"/>
                <w:highlight w:val="none"/>
                <w:lang w:val="en-US" w:eastAsia="en-US"/>
              </w:rPr>
              <w:t>购车发票、租赁车辆提供租赁合同</w:t>
            </w:r>
            <w:r>
              <w:rPr>
                <w:rFonts w:hint="eastAsia" w:ascii="宋体" w:hAnsi="宋体" w:cs="宋体"/>
                <w:color w:val="auto"/>
                <w:szCs w:val="21"/>
                <w:highlight w:val="none"/>
                <w:lang w:val="en-US" w:eastAsia="zh-CN"/>
              </w:rPr>
              <w:t>等证明材料的复印件或</w:t>
            </w:r>
            <w:r>
              <w:rPr>
                <w:rFonts w:hint="eastAsia" w:ascii="宋体" w:hAnsi="宋体" w:eastAsia="宋体" w:cs="宋体"/>
                <w:color w:val="auto"/>
                <w:szCs w:val="21"/>
                <w:highlight w:val="none"/>
                <w:lang w:val="en-US" w:eastAsia="en-US"/>
              </w:rPr>
              <w:t>扫描件，未根据相关要求提供证明材料的不得分。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trHeight w:val="4828"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eastAsia="zh-CN"/>
              </w:rPr>
            </w:pPr>
          </w:p>
        </w:tc>
        <w:tc>
          <w:tcPr>
            <w:tcW w:w="1389" w:type="dxa"/>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color w:val="auto"/>
                <w:szCs w:val="21"/>
                <w:highlight w:val="none"/>
                <w:lang w:val="en-US" w:eastAsia="en-US"/>
              </w:rPr>
            </w:pPr>
            <w:r>
              <w:rPr>
                <w:rFonts w:hint="eastAsia" w:ascii="宋体" w:hAnsi="宋体" w:eastAsia="宋体" w:cs="宋体"/>
                <w:szCs w:val="21"/>
                <w:highlight w:val="none"/>
                <w:lang w:val="en-US" w:eastAsia="zh-CN"/>
              </w:rPr>
              <w:t>应急处理方案和应对措施（10分）</w:t>
            </w:r>
          </w:p>
        </w:tc>
        <w:tc>
          <w:tcPr>
            <w:tcW w:w="5613" w:type="dxa"/>
            <w:gridSpan w:val="2"/>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b w:val="0"/>
                <w:bCs w:val="0"/>
                <w:szCs w:val="21"/>
                <w:highlight w:val="none"/>
                <w:lang w:val="en-US" w:eastAsia="zh-CN"/>
              </w:rPr>
            </w:pPr>
            <w:r>
              <w:rPr>
                <w:rFonts w:hint="eastAsia" w:ascii="宋体" w:hAnsi="宋体" w:cs="宋体"/>
                <w:b w:val="0"/>
                <w:bCs w:val="0"/>
                <w:color w:val="auto"/>
                <w:sz w:val="21"/>
                <w:szCs w:val="21"/>
                <w:highlight w:val="none"/>
                <w:lang w:val="en-US" w:eastAsia="zh-CN"/>
              </w:rPr>
              <w:t>供应商应拟定完整详细的</w:t>
            </w:r>
            <w:r>
              <w:rPr>
                <w:rFonts w:hint="eastAsia" w:ascii="宋体" w:hAnsi="宋体" w:eastAsia="宋体" w:cs="宋体"/>
                <w:b w:val="0"/>
                <w:bCs w:val="0"/>
                <w:szCs w:val="21"/>
                <w:highlight w:val="none"/>
                <w:lang w:val="en-US" w:eastAsia="zh-CN"/>
              </w:rPr>
              <w:t>应急处理方案和应对措施</w:t>
            </w:r>
            <w:r>
              <w:rPr>
                <w:rFonts w:hint="eastAsia" w:ascii="宋体" w:hAnsi="宋体" w:cs="宋体"/>
                <w:b w:val="0"/>
                <w:bCs w:val="0"/>
                <w:color w:val="auto"/>
                <w:sz w:val="21"/>
                <w:szCs w:val="21"/>
                <w:highlight w:val="none"/>
                <w:lang w:val="en-US" w:eastAsia="zh-CN"/>
              </w:rPr>
              <w:t>，内容包含：</w:t>
            </w:r>
            <w:r>
              <w:rPr>
                <w:rFonts w:hint="eastAsia" w:ascii="宋体" w:hAnsi="宋体" w:eastAsia="宋体" w:cs="宋体"/>
                <w:b w:val="0"/>
                <w:bCs w:val="0"/>
                <w:szCs w:val="21"/>
                <w:highlight w:val="none"/>
                <w:lang w:val="zh-CN" w:eastAsia="zh-CN"/>
              </w:rPr>
              <w:t>①食材配送应急预案</w:t>
            </w:r>
            <w:r>
              <w:rPr>
                <w:rFonts w:hint="eastAsia" w:ascii="宋体" w:hAnsi="宋体" w:eastAsia="宋体" w:cs="宋体"/>
                <w:b w:val="0"/>
                <w:bCs w:val="0"/>
                <w:szCs w:val="21"/>
                <w:highlight w:val="none"/>
                <w:lang w:val="en-US" w:eastAsia="zh-CN"/>
              </w:rPr>
              <w:t>；②</w:t>
            </w:r>
            <w:r>
              <w:rPr>
                <w:rFonts w:hint="eastAsia" w:ascii="宋体" w:hAnsi="宋体" w:eastAsia="宋体" w:cs="宋体"/>
                <w:b w:val="0"/>
                <w:bCs w:val="0"/>
                <w:szCs w:val="21"/>
                <w:highlight w:val="none"/>
                <w:lang w:val="zh-CN" w:eastAsia="zh-CN"/>
              </w:rPr>
              <w:t>食材安全事件应急预案</w:t>
            </w:r>
            <w:r>
              <w:rPr>
                <w:rFonts w:hint="eastAsia" w:ascii="宋体" w:hAnsi="宋体" w:eastAsia="宋体" w:cs="宋体"/>
                <w:b w:val="0"/>
                <w:bCs w:val="0"/>
                <w:szCs w:val="21"/>
                <w:highlight w:val="none"/>
                <w:lang w:val="en-US" w:eastAsia="zh-CN"/>
              </w:rPr>
              <w:t>；③</w:t>
            </w:r>
            <w:r>
              <w:rPr>
                <w:rFonts w:hint="eastAsia" w:ascii="宋体" w:hAnsi="宋体" w:eastAsia="宋体" w:cs="宋体"/>
                <w:b w:val="0"/>
                <w:bCs w:val="0"/>
                <w:szCs w:val="21"/>
                <w:highlight w:val="none"/>
                <w:lang w:val="zh-CN" w:eastAsia="zh-CN"/>
              </w:rPr>
              <w:t>配送途中事故预案</w:t>
            </w:r>
            <w:r>
              <w:rPr>
                <w:rFonts w:hint="eastAsia" w:ascii="宋体" w:hAnsi="宋体" w:eastAsia="宋体" w:cs="宋体"/>
                <w:b w:val="0"/>
                <w:bCs w:val="0"/>
                <w:szCs w:val="21"/>
                <w:highlight w:val="none"/>
                <w:lang w:val="en-US" w:eastAsia="zh-CN"/>
              </w:rPr>
              <w:t>；④</w:t>
            </w:r>
            <w:r>
              <w:rPr>
                <w:rFonts w:hint="eastAsia" w:ascii="宋体" w:hAnsi="宋体" w:eastAsia="宋体" w:cs="宋体"/>
                <w:b w:val="0"/>
                <w:bCs w:val="0"/>
                <w:szCs w:val="21"/>
                <w:highlight w:val="none"/>
                <w:lang w:val="zh-CN" w:eastAsia="zh-CN"/>
              </w:rPr>
              <w:t>公共卫生（疫情）应急预案</w:t>
            </w:r>
            <w:r>
              <w:rPr>
                <w:rFonts w:hint="eastAsia" w:ascii="宋体" w:hAnsi="宋体" w:eastAsia="宋体" w:cs="宋体"/>
                <w:b w:val="0"/>
                <w:bCs w:val="0"/>
                <w:szCs w:val="21"/>
                <w:highlight w:val="none"/>
                <w:lang w:val="en-US" w:eastAsia="zh-CN"/>
              </w:rPr>
              <w:t>；⑤</w:t>
            </w:r>
            <w:r>
              <w:rPr>
                <w:rFonts w:hint="eastAsia" w:ascii="宋体" w:hAnsi="宋体" w:eastAsia="宋体" w:cs="宋体"/>
                <w:b w:val="0"/>
                <w:bCs w:val="0"/>
                <w:szCs w:val="21"/>
                <w:highlight w:val="none"/>
                <w:lang w:val="zh-CN" w:eastAsia="zh-CN"/>
              </w:rPr>
              <w:t>违约责任承诺</w:t>
            </w:r>
            <w:r>
              <w:rPr>
                <w:rFonts w:hint="eastAsia" w:ascii="宋体" w:hAnsi="宋体" w:eastAsia="宋体" w:cs="宋体"/>
                <w:b w:val="0"/>
                <w:bCs w:val="0"/>
                <w:szCs w:val="21"/>
                <w:highlight w:val="none"/>
                <w:lang w:val="en-US" w:eastAsia="zh-CN"/>
              </w:rPr>
              <w:t>。</w:t>
            </w:r>
          </w:p>
          <w:p>
            <w:pPr>
              <w:pStyle w:val="18"/>
              <w:rPr>
                <w:rFonts w:hint="eastAsia"/>
                <w:sz w:val="10"/>
                <w:szCs w:val="10"/>
                <w:highlight w:val="none"/>
                <w:lang w:val="en-US" w:eastAsia="zh-CN"/>
              </w:rPr>
            </w:pPr>
          </w:p>
          <w:p>
            <w:pPr>
              <w:adjustRightInd w:val="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1、以上5项内容齐全，完全满足招标文件要求的得10分，①至</w:t>
            </w:r>
            <w:r>
              <w:rPr>
                <w:rFonts w:hint="eastAsia" w:ascii="宋体" w:hAnsi="宋体" w:eastAsia="宋体" w:cs="宋体"/>
                <w:szCs w:val="21"/>
                <w:highlight w:val="none"/>
                <w:lang w:val="en-US" w:eastAsia="zh-CN"/>
              </w:rPr>
              <w:t>⑤</w:t>
            </w:r>
            <w:r>
              <w:rPr>
                <w:rFonts w:hint="eastAsia" w:ascii="宋体" w:hAnsi="宋体" w:cs="宋体"/>
                <w:color w:val="auto"/>
                <w:sz w:val="21"/>
                <w:szCs w:val="21"/>
                <w:highlight w:val="none"/>
                <w:lang w:val="en-US" w:eastAsia="zh-CN"/>
              </w:rPr>
              <w:t>项每缺一项扣2分；</w:t>
            </w:r>
          </w:p>
          <w:p>
            <w:pPr>
              <w:adjustRightInd w:val="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2、①至</w:t>
            </w:r>
            <w:r>
              <w:rPr>
                <w:rFonts w:hint="eastAsia" w:ascii="宋体" w:hAnsi="宋体" w:eastAsia="宋体" w:cs="宋体"/>
                <w:szCs w:val="21"/>
                <w:highlight w:val="none"/>
                <w:lang w:val="en-US" w:eastAsia="zh-CN"/>
              </w:rPr>
              <w:t>⑤</w:t>
            </w:r>
            <w:r>
              <w:rPr>
                <w:rFonts w:hint="eastAsia" w:ascii="宋体" w:hAnsi="宋体" w:cs="宋体"/>
                <w:color w:val="auto"/>
                <w:sz w:val="21"/>
                <w:szCs w:val="21"/>
                <w:highlight w:val="none"/>
                <w:lang w:val="en-US" w:eastAsia="zh-CN"/>
              </w:rPr>
              <w:t>项有以下内容缺陷的，每项扣0.2分，分值扣完为止。</w:t>
            </w:r>
          </w:p>
          <w:p>
            <w:pPr>
              <w:adjustRightInd w:val="0"/>
              <w:rPr>
                <w:rFonts w:hint="default"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注：内容缺陷是指：①内容与本项目无关，②与本项目采购要求不相符，③套用其他行业或项目内容，④内容过于简单空洞，不详细具体，不能对采购需求做出足够响应，⑤项目名称、地点、区域错误，⑥文字表述、引用等有明显错误，⑦对同一问题前后表述矛盾，⑧存在逻辑漏洞，⑨仅有框架或标题，⑩没有可行性。</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trHeight w:val="4865"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eastAsia="zh-CN"/>
              </w:rPr>
            </w:pPr>
          </w:p>
        </w:tc>
        <w:tc>
          <w:tcPr>
            <w:tcW w:w="1389" w:type="dxa"/>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color w:val="auto"/>
                <w:szCs w:val="21"/>
                <w:highlight w:val="none"/>
                <w:lang w:val="en-US" w:eastAsia="en-US"/>
              </w:rPr>
            </w:pPr>
            <w:r>
              <w:rPr>
                <w:rFonts w:hint="eastAsia" w:ascii="宋体" w:hAnsi="宋体" w:eastAsia="宋体" w:cs="宋体"/>
                <w:szCs w:val="21"/>
                <w:highlight w:val="none"/>
                <w:lang w:val="en-US" w:eastAsia="zh-CN"/>
              </w:rPr>
              <w:t>售后服务保证措施及承诺</w:t>
            </w:r>
            <w:r>
              <w:rPr>
                <w:rFonts w:hint="eastAsia" w:ascii="宋体" w:hAnsi="宋体" w:eastAsia="宋体" w:cs="宋体"/>
                <w:szCs w:val="21"/>
                <w:highlight w:val="none"/>
                <w:lang w:val="en-US" w:eastAsia="en-US"/>
              </w:rPr>
              <w:t>（</w:t>
            </w:r>
            <w:r>
              <w:rPr>
                <w:rFonts w:hint="eastAsia" w:ascii="宋体" w:hAnsi="宋体" w:cs="宋体"/>
                <w:szCs w:val="21"/>
                <w:highlight w:val="none"/>
                <w:lang w:val="en-US" w:eastAsia="zh-CN"/>
              </w:rPr>
              <w:t>10</w:t>
            </w:r>
            <w:r>
              <w:rPr>
                <w:rFonts w:hint="eastAsia" w:ascii="宋体" w:hAnsi="宋体" w:eastAsia="宋体" w:cs="宋体"/>
                <w:szCs w:val="21"/>
                <w:highlight w:val="none"/>
                <w:lang w:val="en-US" w:eastAsia="en-US"/>
              </w:rPr>
              <w:t>分）</w:t>
            </w:r>
          </w:p>
        </w:tc>
        <w:tc>
          <w:tcPr>
            <w:tcW w:w="5613" w:type="dxa"/>
            <w:gridSpan w:val="2"/>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b w:val="0"/>
                <w:bCs w:val="0"/>
                <w:szCs w:val="21"/>
                <w:highlight w:val="none"/>
                <w:lang w:val="en-US" w:eastAsia="zh-CN"/>
              </w:rPr>
            </w:pPr>
            <w:r>
              <w:rPr>
                <w:rFonts w:hint="eastAsia" w:ascii="宋体" w:hAnsi="宋体" w:cs="宋体"/>
                <w:b w:val="0"/>
                <w:bCs w:val="0"/>
                <w:color w:val="auto"/>
                <w:sz w:val="21"/>
                <w:szCs w:val="21"/>
                <w:highlight w:val="none"/>
                <w:lang w:val="en-US" w:eastAsia="zh-CN"/>
              </w:rPr>
              <w:t>供应商应拟定完整详细的</w:t>
            </w:r>
            <w:r>
              <w:rPr>
                <w:rFonts w:hint="eastAsia" w:ascii="宋体" w:hAnsi="宋体" w:eastAsia="宋体" w:cs="宋体"/>
                <w:b w:val="0"/>
                <w:bCs w:val="0"/>
                <w:szCs w:val="21"/>
                <w:highlight w:val="none"/>
                <w:lang w:val="en-US" w:eastAsia="zh-CN"/>
              </w:rPr>
              <w:t>售后服务保证措施及承诺</w:t>
            </w:r>
            <w:r>
              <w:rPr>
                <w:rFonts w:hint="eastAsia" w:ascii="宋体" w:hAnsi="宋体" w:cs="宋体"/>
                <w:b w:val="0"/>
                <w:bCs w:val="0"/>
                <w:color w:val="auto"/>
                <w:sz w:val="21"/>
                <w:szCs w:val="21"/>
                <w:highlight w:val="none"/>
                <w:lang w:val="en-US" w:eastAsia="zh-CN"/>
              </w:rPr>
              <w:t>，内容包含：</w:t>
            </w:r>
            <w:r>
              <w:rPr>
                <w:rFonts w:hint="eastAsia" w:ascii="宋体" w:hAnsi="宋体" w:eastAsia="宋体" w:cs="宋体"/>
                <w:b w:val="0"/>
                <w:bCs w:val="0"/>
                <w:szCs w:val="21"/>
                <w:highlight w:val="none"/>
                <w:lang w:val="zh-CN" w:eastAsia="zh-CN"/>
              </w:rPr>
              <w:t>①</w:t>
            </w:r>
            <w:r>
              <w:rPr>
                <w:rFonts w:hint="eastAsia" w:ascii="宋体" w:hAnsi="宋体" w:eastAsia="宋体" w:cs="宋体"/>
                <w:b w:val="0"/>
                <w:bCs w:val="0"/>
                <w:szCs w:val="21"/>
                <w:highlight w:val="none"/>
                <w:lang w:val="en-US" w:eastAsia="zh-CN"/>
              </w:rPr>
              <w:t>售后服务组织机构；②售后服务方式与流程；③退换货机制及内容；④售后响应时限及承诺；⑤售后违约处罚措施及承诺。</w:t>
            </w:r>
          </w:p>
          <w:p>
            <w:pPr>
              <w:pStyle w:val="18"/>
              <w:rPr>
                <w:rFonts w:hint="eastAsia"/>
                <w:sz w:val="10"/>
                <w:szCs w:val="10"/>
                <w:highlight w:val="none"/>
                <w:lang w:val="en-US" w:eastAsia="zh-CN"/>
              </w:rPr>
            </w:pPr>
          </w:p>
          <w:p>
            <w:pPr>
              <w:adjustRightInd w:val="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1、以上5项内容齐全，完全满足招标文件要求的得10分，①至</w:t>
            </w:r>
            <w:r>
              <w:rPr>
                <w:rFonts w:hint="eastAsia" w:ascii="宋体" w:hAnsi="宋体" w:eastAsia="宋体" w:cs="宋体"/>
                <w:szCs w:val="21"/>
                <w:highlight w:val="none"/>
                <w:lang w:val="en-US" w:eastAsia="zh-CN"/>
              </w:rPr>
              <w:t>⑤</w:t>
            </w:r>
            <w:r>
              <w:rPr>
                <w:rFonts w:hint="eastAsia" w:ascii="宋体" w:hAnsi="宋体" w:cs="宋体"/>
                <w:color w:val="auto"/>
                <w:sz w:val="21"/>
                <w:szCs w:val="21"/>
                <w:highlight w:val="none"/>
                <w:lang w:val="en-US" w:eastAsia="zh-CN"/>
              </w:rPr>
              <w:t>项每缺一项扣2分；</w:t>
            </w:r>
          </w:p>
          <w:p>
            <w:pPr>
              <w:adjustRightInd w:val="0"/>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2、①至</w:t>
            </w:r>
            <w:r>
              <w:rPr>
                <w:rFonts w:hint="eastAsia" w:ascii="宋体" w:hAnsi="宋体" w:eastAsia="宋体" w:cs="宋体"/>
                <w:szCs w:val="21"/>
                <w:highlight w:val="none"/>
                <w:lang w:val="en-US" w:eastAsia="zh-CN"/>
              </w:rPr>
              <w:t>⑤</w:t>
            </w:r>
            <w:r>
              <w:rPr>
                <w:rFonts w:hint="eastAsia" w:ascii="宋体" w:hAnsi="宋体" w:cs="宋体"/>
                <w:color w:val="auto"/>
                <w:sz w:val="21"/>
                <w:szCs w:val="21"/>
                <w:highlight w:val="none"/>
                <w:lang w:val="en-US" w:eastAsia="zh-CN"/>
              </w:rPr>
              <w:t>项有以下内容缺陷的，每项扣0.2分，分值扣完为止。</w:t>
            </w:r>
          </w:p>
          <w:p>
            <w:pPr>
              <w:adjustRightInd w:val="0"/>
              <w:rPr>
                <w:rFonts w:hint="eastAsia" w:ascii="宋体" w:hAnsi="宋体" w:eastAsia="宋体" w:cs="宋体"/>
                <w:color w:val="auto"/>
                <w:szCs w:val="21"/>
                <w:highlight w:val="none"/>
                <w:lang w:val="en-US" w:eastAsia="en-US"/>
              </w:rPr>
            </w:pPr>
            <w:r>
              <w:rPr>
                <w:rFonts w:hint="eastAsia" w:ascii="宋体" w:hAnsi="宋体" w:cs="宋体"/>
                <w:color w:val="auto"/>
                <w:sz w:val="21"/>
                <w:szCs w:val="21"/>
                <w:highlight w:val="none"/>
                <w:lang w:val="en-US" w:eastAsia="zh-CN"/>
              </w:rPr>
              <w:t>注：内容缺陷是指：①内容与本项目无关，②与本项目采购要求不相符，③套用其他行业或项目内容，④内容过于简单空洞，不详细具体，不能对采购需求做出足够响应，⑤项目名称、地点、区域错误，⑥文字表述、引用等有明显错误，⑦对同一问题前后表述矛盾，⑧存在逻辑漏洞，⑨仅有框架或标题，⑩没有可行性。</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trHeight w:val="3098"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eastAsia="zh-CN"/>
              </w:rPr>
            </w:pPr>
          </w:p>
        </w:tc>
        <w:tc>
          <w:tcPr>
            <w:tcW w:w="1389" w:type="dxa"/>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en-US"/>
              </w:rPr>
              <w:t>人员配备（</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en-US"/>
              </w:rPr>
              <w:t>分）</w:t>
            </w:r>
          </w:p>
          <w:p>
            <w:pPr>
              <w:adjustRightInd w:val="0"/>
              <w:rPr>
                <w:rFonts w:hint="eastAsia" w:ascii="宋体" w:hAnsi="宋体" w:eastAsia="宋体" w:cs="宋体"/>
                <w:szCs w:val="21"/>
                <w:highlight w:val="none"/>
                <w:lang w:val="en-US" w:eastAsia="zh-CN"/>
              </w:rPr>
            </w:pPr>
          </w:p>
        </w:tc>
        <w:tc>
          <w:tcPr>
            <w:tcW w:w="5613" w:type="dxa"/>
            <w:gridSpan w:val="2"/>
            <w:tcBorders>
              <w:top w:val="single" w:color="auto" w:sz="4" w:space="0"/>
              <w:left w:val="single" w:color="auto" w:sz="4" w:space="0"/>
              <w:bottom w:val="single" w:color="auto" w:sz="4" w:space="0"/>
              <w:right w:val="single" w:color="auto" w:sz="4" w:space="0"/>
            </w:tcBorders>
            <w:vAlign w:val="center"/>
          </w:tcPr>
          <w:p>
            <w:pPr>
              <w:adjustRightIn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en-US"/>
              </w:rPr>
              <w:t>第一档（</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en-US"/>
              </w:rPr>
              <w:t>分）：人员的专业配套、岗位分工、职责明确等的合理性程度</w:t>
            </w:r>
            <w:r>
              <w:rPr>
                <w:rFonts w:hint="eastAsia" w:ascii="宋体" w:hAnsi="宋体" w:eastAsia="宋体" w:cs="宋体"/>
                <w:color w:val="auto"/>
                <w:szCs w:val="21"/>
                <w:highlight w:val="none"/>
                <w:lang w:val="en-US" w:eastAsia="zh-CN"/>
              </w:rPr>
              <w:t>完全</w:t>
            </w:r>
            <w:r>
              <w:rPr>
                <w:rFonts w:hint="eastAsia" w:ascii="宋体" w:hAnsi="宋体" w:eastAsia="宋体" w:cs="宋体"/>
                <w:color w:val="auto"/>
                <w:szCs w:val="21"/>
                <w:highlight w:val="none"/>
                <w:lang w:val="en-US" w:eastAsia="en-US"/>
              </w:rPr>
              <w:t>满足本项目要求且切合实际。</w:t>
            </w:r>
          </w:p>
          <w:p>
            <w:pPr>
              <w:adjustRightInd w:val="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en-US"/>
              </w:rPr>
              <w:t>第二档（</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en-US"/>
              </w:rPr>
              <w:t>分）：人员的专业配套、岗位分工、职责明确等的合理性程度基本能满足本项目要求。</w:t>
            </w:r>
          </w:p>
          <w:p>
            <w:pPr>
              <w:adjustRightInd w:val="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en-US"/>
              </w:rPr>
              <w:t>第三档（</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en-US"/>
              </w:rPr>
              <w:t xml:space="preserve"> 分）：人员的专业配套、岗位分工、职责明确等的合理性程度不能满足本项目要求。</w:t>
            </w:r>
          </w:p>
          <w:p>
            <w:pPr>
              <w:adjustRightInd w:val="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第四档（0分）：未提供人员配备的不得分。</w:t>
            </w:r>
          </w:p>
          <w:p>
            <w:pPr>
              <w:adjustRightInd w:val="0"/>
              <w:rPr>
                <w:rFonts w:hint="eastAsia" w:ascii="宋体" w:hAnsi="宋体" w:cs="宋体"/>
                <w:color w:val="auto"/>
                <w:sz w:val="21"/>
                <w:szCs w:val="21"/>
                <w:highlight w:val="none"/>
                <w:lang w:val="en-US" w:eastAsia="zh-CN"/>
              </w:rPr>
            </w:pPr>
            <w:r>
              <w:rPr>
                <w:rFonts w:hint="eastAsia" w:ascii="宋体" w:hAnsi="宋体" w:eastAsia="宋体" w:cs="宋体"/>
                <w:color w:val="auto"/>
                <w:szCs w:val="21"/>
                <w:highlight w:val="none"/>
                <w:lang w:val="en-US" w:eastAsia="en-US"/>
              </w:rPr>
              <w:t>注：提供相关人员的身份证</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en-US"/>
              </w:rPr>
              <w:t>健康证</w:t>
            </w:r>
            <w:r>
              <w:rPr>
                <w:rFonts w:hint="eastAsia" w:ascii="宋体" w:hAnsi="宋体" w:eastAsia="宋体" w:cs="宋体"/>
                <w:color w:val="auto"/>
                <w:szCs w:val="21"/>
                <w:highlight w:val="none"/>
                <w:lang w:val="en-US" w:eastAsia="zh-CN"/>
              </w:rPr>
              <w:t>及</w:t>
            </w:r>
            <w:r>
              <w:rPr>
                <w:rFonts w:hint="eastAsia" w:ascii="宋体" w:hAnsi="宋体" w:cs="宋体"/>
                <w:color w:val="auto"/>
                <w:szCs w:val="21"/>
                <w:highlight w:val="none"/>
                <w:lang w:val="en-US" w:eastAsia="zh-CN"/>
              </w:rPr>
              <w:t>资格证的</w:t>
            </w:r>
            <w:r>
              <w:rPr>
                <w:rFonts w:hint="eastAsia" w:ascii="宋体" w:hAnsi="宋体" w:eastAsia="宋体" w:cs="宋体"/>
                <w:color w:val="auto"/>
                <w:szCs w:val="21"/>
                <w:highlight w:val="none"/>
                <w:lang w:val="en-US" w:eastAsia="zh-CN"/>
              </w:rPr>
              <w:t>复印件或扫描件</w:t>
            </w:r>
            <w:r>
              <w:rPr>
                <w:rFonts w:hint="eastAsia" w:ascii="宋体" w:hAnsi="宋体" w:eastAsia="宋体" w:cs="宋体"/>
                <w:color w:val="auto"/>
                <w:szCs w:val="21"/>
                <w:highlight w:val="none"/>
                <w:lang w:val="en-US" w:eastAsia="en-US"/>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Ex>
        <w:trPr>
          <w:trHeight w:val="1864" w:hRule="atLeast"/>
          <w:jc w:val="center"/>
        </w:trPr>
        <w:tc>
          <w:tcPr>
            <w:tcW w:w="580"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color w:val="auto"/>
                <w:sz w:val="21"/>
                <w:szCs w:val="21"/>
                <w:highlight w:val="none"/>
                <w:lang w:val="en-US" w:eastAsia="zh-CN"/>
              </w:rPr>
            </w:pPr>
          </w:p>
        </w:tc>
        <w:tc>
          <w:tcPr>
            <w:tcW w:w="917"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color w:val="auto"/>
                <w:sz w:val="21"/>
                <w:szCs w:val="21"/>
                <w:highlight w:val="none"/>
                <w:lang w:eastAsia="zh-CN"/>
              </w:rPr>
            </w:pPr>
          </w:p>
        </w:tc>
        <w:tc>
          <w:tcPr>
            <w:tcW w:w="1389" w:type="dxa"/>
            <w:tcBorders>
              <w:top w:val="single" w:color="auto" w:sz="4" w:space="0"/>
              <w:left w:val="single" w:color="auto" w:sz="4" w:space="0"/>
              <w:bottom w:val="single" w:color="auto" w:sz="4" w:space="0"/>
              <w:right w:val="single" w:color="auto" w:sz="4" w:space="0"/>
            </w:tcBorders>
            <w:vAlign w:val="center"/>
          </w:tcPr>
          <w:p>
            <w:pPr>
              <w:numPr>
                <w:ilvl w:val="0"/>
                <w:numId w:val="0"/>
              </w:numPr>
              <w:ind w:left="0" w:leftChars="0" w:firstLine="0" w:firstLineChars="0"/>
              <w:jc w:val="center"/>
              <w:rPr>
                <w:rFonts w:hint="default" w:ascii="宋体" w:hAnsi="宋体" w:eastAsia="宋体" w:cs="宋体"/>
                <w:szCs w:val="21"/>
                <w:highlight w:val="none"/>
                <w:lang w:val="en-US" w:eastAsia="zh-CN"/>
              </w:rPr>
            </w:pPr>
            <w:r>
              <w:rPr>
                <w:rFonts w:hint="eastAsia" w:ascii="宋体" w:hAnsi="宋体" w:eastAsia="宋体" w:cs="宋体"/>
                <w:color w:val="000000"/>
                <w:highlight w:val="none"/>
                <w:lang w:val="en-US" w:eastAsia="zh-CN"/>
              </w:rPr>
              <w:t>类似项目业绩（4分）</w:t>
            </w:r>
          </w:p>
        </w:tc>
        <w:tc>
          <w:tcPr>
            <w:tcW w:w="561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提供近三年内完成的类似项目业绩证明材料，每承担过1项类似业绩的得2分，满分4分。</w:t>
            </w:r>
          </w:p>
          <w:p>
            <w:pPr>
              <w:keepNext w:val="0"/>
              <w:keepLines w:val="0"/>
              <w:pageBreakBefore w:val="0"/>
              <w:widowControl w:val="0"/>
              <w:numPr>
                <w:ilvl w:val="0"/>
                <w:numId w:val="0"/>
              </w:numPr>
              <w:kinsoku/>
              <w:wordWrap/>
              <w:overflowPunct/>
              <w:topLinePunct w:val="0"/>
              <w:autoSpaceDE/>
              <w:autoSpaceDN/>
              <w:bidi w:val="0"/>
              <w:adjustRightInd/>
              <w:snapToGrid/>
              <w:spacing w:line="340" w:lineRule="exact"/>
              <w:jc w:val="left"/>
              <w:textAlignment w:val="auto"/>
              <w:rPr>
                <w:rFonts w:hint="eastAsia" w:ascii="宋体" w:hAnsi="宋体" w:eastAsia="宋体" w:cs="宋体"/>
                <w:b w:val="0"/>
                <w:bCs w:val="0"/>
                <w:color w:val="000000"/>
                <w:highlight w:val="none"/>
                <w:lang w:val="en-US" w:eastAsia="zh-CN"/>
              </w:rPr>
            </w:pPr>
            <w:r>
              <w:rPr>
                <w:rFonts w:hint="eastAsia" w:ascii="宋体" w:hAnsi="宋体" w:eastAsia="宋体" w:cs="宋体"/>
                <w:color w:val="000000"/>
                <w:highlight w:val="none"/>
                <w:lang w:val="en-US" w:eastAsia="zh-CN"/>
              </w:rPr>
              <w:t>注：</w:t>
            </w:r>
            <w:r>
              <w:rPr>
                <w:rFonts w:hint="eastAsia" w:ascii="宋体" w:hAnsi="宋体" w:eastAsia="宋体" w:cs="宋体"/>
                <w:b w:val="0"/>
                <w:bCs w:val="0"/>
                <w:color w:val="000000"/>
                <w:highlight w:val="none"/>
                <w:lang w:val="en-US" w:eastAsia="zh-CN"/>
              </w:rPr>
              <w:t>1、近三年指2023年7月1日至今；</w:t>
            </w:r>
          </w:p>
          <w:p>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0" w:leftChars="0" w:firstLine="420" w:firstLineChars="200"/>
              <w:jc w:val="left"/>
              <w:textAlignment w:val="auto"/>
              <w:rPr>
                <w:rFonts w:hint="eastAsia" w:ascii="宋体" w:hAnsi="宋体" w:eastAsia="宋体" w:cs="宋体"/>
                <w:color w:val="auto"/>
                <w:szCs w:val="21"/>
                <w:highlight w:val="none"/>
                <w:lang w:val="en-US" w:eastAsia="en-US"/>
              </w:rPr>
            </w:pPr>
            <w:r>
              <w:rPr>
                <w:rFonts w:hint="eastAsia" w:ascii="宋体" w:hAnsi="宋体" w:eastAsia="宋体" w:cs="宋体"/>
                <w:b w:val="0"/>
                <w:bCs w:val="0"/>
                <w:color w:val="000000"/>
                <w:highlight w:val="none"/>
                <w:lang w:val="en-US" w:eastAsia="zh-CN"/>
              </w:rPr>
              <w:t>2、业绩证明材料指合同协议书或中标/成交通知书的扫描件或复印件并加盖单位鲜章。</w:t>
            </w:r>
          </w:p>
        </w:tc>
      </w:tr>
    </w:tbl>
    <w:p>
      <w:pPr>
        <w:spacing w:line="360" w:lineRule="auto"/>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二、</w:t>
      </w:r>
      <w:r>
        <w:rPr>
          <w:rFonts w:hint="eastAsia" w:asciiTheme="minorEastAsia" w:hAnsiTheme="minorEastAsia" w:eastAsiaTheme="minorEastAsia" w:cstheme="minorEastAsia"/>
          <w:b/>
          <w:bCs/>
          <w:color w:val="auto"/>
          <w:sz w:val="28"/>
          <w:szCs w:val="28"/>
          <w:highlight w:val="none"/>
        </w:rPr>
        <w:t>评标办法（综合评分法）正文部分</w:t>
      </w:r>
    </w:p>
    <w:p>
      <w:pPr>
        <w:pStyle w:val="4"/>
        <w:numPr>
          <w:ilvl w:val="0"/>
          <w:numId w:val="0"/>
        </w:numPr>
        <w:spacing w:before="0"/>
        <w:ind w:left="0" w:leftChars="0" w:firstLine="0" w:firstLineChars="0"/>
        <w:rPr>
          <w:rFonts w:hint="eastAsia" w:asciiTheme="minorEastAsia" w:hAnsiTheme="minorEastAsia" w:eastAsiaTheme="minorEastAsia" w:cstheme="minorEastAsia"/>
          <w:b/>
          <w:bCs/>
          <w:color w:val="auto"/>
          <w:sz w:val="24"/>
          <w:highlight w:val="none"/>
        </w:rPr>
      </w:pPr>
      <w:bookmarkStart w:id="275" w:name="_Toc6939"/>
      <w:bookmarkStart w:id="276" w:name="_Toc27740"/>
      <w:bookmarkStart w:id="277" w:name="_Toc15737"/>
      <w:bookmarkStart w:id="278" w:name="_Toc28251"/>
      <w:bookmarkStart w:id="279" w:name="_Toc29907"/>
      <w:bookmarkStart w:id="280" w:name="_Toc19404"/>
      <w:bookmarkStart w:id="281" w:name="_Toc22516"/>
      <w:bookmarkStart w:id="282" w:name="_Toc23752"/>
      <w:bookmarkStart w:id="283" w:name="_Toc2085"/>
      <w:bookmarkStart w:id="284" w:name="_Toc27017"/>
      <w:bookmarkStart w:id="285" w:name="_Toc12242"/>
      <w:bookmarkStart w:id="286" w:name="_Toc18120"/>
      <w:bookmarkStart w:id="287" w:name="_Toc30066"/>
      <w:bookmarkStart w:id="288" w:name="_Toc30792"/>
      <w:bookmarkStart w:id="289" w:name="_Toc4199"/>
      <w:bookmarkStart w:id="290" w:name="_Toc1570"/>
      <w:bookmarkStart w:id="291" w:name="_Toc28953"/>
      <w:bookmarkStart w:id="292" w:name="_Toc10486"/>
      <w:bookmarkStart w:id="293" w:name="_Toc13884"/>
      <w:bookmarkStart w:id="294" w:name="_Toc14844"/>
      <w:bookmarkStart w:id="295" w:name="_Toc13161"/>
      <w:bookmarkStart w:id="296" w:name="_Toc13361"/>
      <w:r>
        <w:rPr>
          <w:rFonts w:hint="eastAsia" w:asciiTheme="minorEastAsia" w:hAnsiTheme="minorEastAsia" w:eastAsiaTheme="minorEastAsia" w:cstheme="minorEastAsia"/>
          <w:b/>
          <w:bCs/>
          <w:color w:val="auto"/>
          <w:sz w:val="24"/>
          <w:highlight w:val="none"/>
        </w:rPr>
        <w:t>1. 总则</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评标办法及制定依据</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为了规范本项目招投标活动，保证评标的公平、公正，维护招标投标活动各方当事人合法权益，依照《中华人民共和国政府采购法》、《中华人民共和国政府采购法实施条例》、财政部令87号《政府采购货物和</w:t>
      </w:r>
      <w:r>
        <w:rPr>
          <w:rFonts w:ascii="宋体" w:hAnsi="宋体"/>
          <w:color w:val="auto"/>
          <w:sz w:val="24"/>
          <w:highlight w:val="none"/>
        </w:rPr>
        <w:t>服务</w:t>
      </w:r>
      <w:r>
        <w:rPr>
          <w:rFonts w:hint="eastAsia" w:ascii="宋体" w:hAnsi="宋体"/>
          <w:color w:val="auto"/>
          <w:sz w:val="24"/>
          <w:highlight w:val="none"/>
        </w:rPr>
        <w:t>招标</w:t>
      </w:r>
      <w:r>
        <w:rPr>
          <w:rFonts w:ascii="宋体" w:hAnsi="宋体"/>
          <w:color w:val="auto"/>
          <w:sz w:val="24"/>
          <w:highlight w:val="none"/>
        </w:rPr>
        <w:t>投标管理办法</w:t>
      </w:r>
      <w:r>
        <w:rPr>
          <w:rFonts w:hint="eastAsia" w:ascii="宋体" w:hAnsi="宋体"/>
          <w:color w:val="auto"/>
          <w:sz w:val="24"/>
          <w:highlight w:val="none"/>
        </w:rPr>
        <w:t>》、财库[20</w:t>
      </w:r>
      <w:r>
        <w:rPr>
          <w:rFonts w:ascii="宋体" w:hAnsi="宋体"/>
          <w:color w:val="auto"/>
          <w:sz w:val="24"/>
          <w:highlight w:val="none"/>
        </w:rPr>
        <w:t>12</w:t>
      </w:r>
      <w:r>
        <w:rPr>
          <w:rFonts w:hint="eastAsia" w:ascii="宋体" w:hAnsi="宋体"/>
          <w:color w:val="auto"/>
          <w:sz w:val="24"/>
          <w:highlight w:val="none"/>
        </w:rPr>
        <w:t>]第</w:t>
      </w:r>
      <w:r>
        <w:rPr>
          <w:rFonts w:ascii="宋体" w:hAnsi="宋体"/>
          <w:color w:val="auto"/>
          <w:sz w:val="24"/>
          <w:highlight w:val="none"/>
        </w:rPr>
        <w:t>69</w:t>
      </w:r>
      <w:r>
        <w:rPr>
          <w:rFonts w:hint="eastAsia" w:ascii="宋体" w:hAnsi="宋体"/>
          <w:color w:val="auto"/>
          <w:sz w:val="24"/>
          <w:highlight w:val="none"/>
        </w:rPr>
        <w:t>号《关于进一步</w:t>
      </w:r>
      <w:r>
        <w:rPr>
          <w:rFonts w:ascii="宋体" w:hAnsi="宋体"/>
          <w:color w:val="auto"/>
          <w:sz w:val="24"/>
          <w:highlight w:val="none"/>
        </w:rPr>
        <w:t>规范政府采购评审</w:t>
      </w:r>
      <w:r>
        <w:rPr>
          <w:rFonts w:hint="eastAsia" w:ascii="宋体" w:hAnsi="宋体"/>
          <w:color w:val="auto"/>
          <w:sz w:val="24"/>
          <w:highlight w:val="none"/>
        </w:rPr>
        <w:t>工作</w:t>
      </w:r>
      <w:r>
        <w:rPr>
          <w:rFonts w:ascii="宋体" w:hAnsi="宋体"/>
          <w:color w:val="auto"/>
          <w:sz w:val="24"/>
          <w:highlight w:val="none"/>
        </w:rPr>
        <w:t>有关问题的通知</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eastAsia="宋体" w:cs="宋体"/>
          <w:color w:val="auto"/>
          <w:spacing w:val="-6"/>
          <w:sz w:val="24"/>
          <w:highlight w:val="none"/>
        </w:rPr>
        <w:t>财库[2</w:t>
      </w:r>
      <w:r>
        <w:rPr>
          <w:rFonts w:hint="eastAsia" w:ascii="宋体" w:hAnsi="宋体" w:eastAsia="宋体" w:cs="宋体"/>
          <w:color w:val="auto"/>
          <w:spacing w:val="-6"/>
          <w:sz w:val="24"/>
          <w:highlight w:val="none"/>
          <w:lang w:val="en-US" w:eastAsia="zh-CN"/>
        </w:rPr>
        <w:t>026</w:t>
      </w:r>
      <w:r>
        <w:rPr>
          <w:rFonts w:hint="eastAsia" w:ascii="宋体" w:hAnsi="宋体" w:eastAsia="宋体" w:cs="宋体"/>
          <w:color w:val="auto"/>
          <w:spacing w:val="-6"/>
          <w:sz w:val="24"/>
          <w:highlight w:val="none"/>
        </w:rPr>
        <w:t>]第</w:t>
      </w:r>
      <w:r>
        <w:rPr>
          <w:rFonts w:hint="eastAsia" w:ascii="宋体" w:hAnsi="宋体" w:eastAsia="宋体" w:cs="宋体"/>
          <w:color w:val="auto"/>
          <w:spacing w:val="-6"/>
          <w:sz w:val="24"/>
          <w:highlight w:val="none"/>
          <w:lang w:val="en-US" w:eastAsia="zh-CN"/>
        </w:rPr>
        <w:t>2</w:t>
      </w:r>
      <w:r>
        <w:rPr>
          <w:rFonts w:hint="eastAsia" w:ascii="宋体" w:hAnsi="宋体" w:eastAsia="宋体" w:cs="宋体"/>
          <w:color w:val="auto"/>
          <w:spacing w:val="-6"/>
          <w:sz w:val="24"/>
          <w:highlight w:val="none"/>
        </w:rPr>
        <w:t>号</w:t>
      </w:r>
      <w:r>
        <w:rPr>
          <w:rFonts w:hint="eastAsia" w:ascii="宋体" w:hAnsi="宋体" w:eastAsia="宋体" w:cs="宋体"/>
          <w:color w:val="auto"/>
          <w:spacing w:val="-6"/>
          <w:sz w:val="24"/>
          <w:highlight w:val="none"/>
          <w:lang w:eastAsia="zh-CN"/>
        </w:rPr>
        <w:t>《</w:t>
      </w:r>
      <w:r>
        <w:rPr>
          <w:rFonts w:hint="eastAsia" w:ascii="宋体" w:hAnsi="宋体" w:eastAsia="宋体" w:cs="宋体"/>
          <w:color w:val="auto"/>
          <w:spacing w:val="-6"/>
          <w:sz w:val="24"/>
          <w:highlight w:val="none"/>
          <w:lang w:val="en-US" w:eastAsia="zh-CN"/>
        </w:rPr>
        <w:t>关于推动解决政府采购异常低价问题的通知</w:t>
      </w:r>
      <w:r>
        <w:rPr>
          <w:rFonts w:hint="eastAsia" w:ascii="宋体" w:hAnsi="宋体" w:eastAsia="宋体" w:cs="宋体"/>
          <w:color w:val="auto"/>
          <w:spacing w:val="-6"/>
          <w:sz w:val="24"/>
          <w:highlight w:val="none"/>
          <w:lang w:eastAsia="zh-CN"/>
        </w:rPr>
        <w:t>》</w:t>
      </w:r>
      <w:r>
        <w:rPr>
          <w:rFonts w:hint="eastAsia" w:ascii="宋体" w:hAnsi="宋体"/>
          <w:color w:val="auto"/>
          <w:sz w:val="24"/>
          <w:highlight w:val="none"/>
        </w:rPr>
        <w:t>等规定，结合</w:t>
      </w:r>
      <w:r>
        <w:rPr>
          <w:rFonts w:hint="eastAsia" w:ascii="宋体" w:hAnsi="宋体"/>
          <w:bCs/>
          <w:color w:val="auto"/>
          <w:sz w:val="24"/>
          <w:highlight w:val="none"/>
        </w:rPr>
        <w:t>本项目的</w:t>
      </w:r>
      <w:r>
        <w:rPr>
          <w:rFonts w:hint="eastAsia" w:ascii="宋体" w:hAnsi="宋体"/>
          <w:color w:val="auto"/>
          <w:sz w:val="24"/>
          <w:highlight w:val="none"/>
        </w:rPr>
        <w:t>特点和实际情况，制定本办法。</w:t>
      </w:r>
    </w:p>
    <w:p>
      <w:pPr>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sz w:val="24"/>
          <w:highlight w:val="none"/>
        </w:rPr>
        <w:t>本次评标采用</w:t>
      </w:r>
      <w:bookmarkStart w:id="297" w:name="_Hlk494384859"/>
      <w:r>
        <w:rPr>
          <w:rFonts w:hint="eastAsia" w:asciiTheme="minorEastAsia" w:hAnsiTheme="minorEastAsia" w:eastAsiaTheme="minorEastAsia" w:cstheme="minorEastAsia"/>
          <w:color w:val="auto"/>
          <w:kern w:val="0"/>
          <w:sz w:val="24"/>
          <w:highlight w:val="none"/>
        </w:rPr>
        <w:t>综合评分法</w:t>
      </w:r>
      <w:bookmarkEnd w:id="297"/>
      <w:r>
        <w:rPr>
          <w:rFonts w:hint="eastAsia" w:asciiTheme="minorEastAsia" w:hAnsiTheme="minorEastAsia" w:eastAsiaTheme="minorEastAsia" w:cstheme="minorEastAsia"/>
          <w:color w:val="auto"/>
          <w:sz w:val="24"/>
          <w:highlight w:val="none"/>
        </w:rPr>
        <w:t>。</w:t>
      </w:r>
      <w:bookmarkStart w:id="298" w:name="_Hlk494384552"/>
      <w:r>
        <w:rPr>
          <w:rFonts w:hint="eastAsia" w:asciiTheme="minorEastAsia" w:hAnsiTheme="minorEastAsia" w:eastAsiaTheme="minorEastAsia" w:cstheme="minorEastAsia"/>
          <w:color w:val="auto"/>
          <w:kern w:val="0"/>
          <w:sz w:val="24"/>
          <w:highlight w:val="none"/>
        </w:rPr>
        <w:t>综合评分法</w:t>
      </w:r>
      <w:bookmarkEnd w:id="298"/>
      <w:r>
        <w:rPr>
          <w:rFonts w:hint="eastAsia" w:asciiTheme="minorEastAsia" w:hAnsiTheme="minorEastAsia" w:eastAsiaTheme="minorEastAsia" w:cstheme="minorEastAsia"/>
          <w:color w:val="auto"/>
          <w:kern w:val="0"/>
          <w:sz w:val="24"/>
          <w:highlight w:val="none"/>
        </w:rPr>
        <w:t>，是指投标文件满足</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全部实质性要求，且按照评审因素的量化指标评审得分最高的</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为</w:t>
      </w:r>
      <w:r>
        <w:rPr>
          <w:rFonts w:hint="eastAsia" w:asciiTheme="minorEastAsia" w:hAnsiTheme="minorEastAsia" w:eastAsiaTheme="minorEastAsia" w:cstheme="minorEastAsia"/>
          <w:color w:val="auto"/>
          <w:kern w:val="0"/>
          <w:sz w:val="24"/>
          <w:highlight w:val="none"/>
          <w:lang w:val="en-US" w:eastAsia="zh-CN"/>
        </w:rPr>
        <w:t>有效</w:t>
      </w:r>
      <w:r>
        <w:rPr>
          <w:rFonts w:hint="eastAsia" w:asciiTheme="minorEastAsia" w:hAnsiTheme="minorEastAsia" w:eastAsiaTheme="minorEastAsia" w:cstheme="minorEastAsia"/>
          <w:color w:val="auto"/>
          <w:kern w:val="0"/>
          <w:sz w:val="24"/>
          <w:highlight w:val="none"/>
        </w:rPr>
        <w:t>中标候选人的评标方法。</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 xml:space="preserve"> 1.2</w:t>
      </w:r>
      <w:r>
        <w:rPr>
          <w:rFonts w:hint="eastAsia" w:ascii="宋体" w:hAnsi="宋体"/>
          <w:color w:val="auto"/>
          <w:sz w:val="24"/>
          <w:highlight w:val="none"/>
        </w:rPr>
        <w:t>采购人或者采购代理机构职责</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采购人或者采购代理机构负责组织评标工作，并履行下列职责：</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核对评审专家身份和采购人代表授权函，对评审专家在政府采购活动中的职责履行情况予以记录，并及时将有关违法违规行为向财政部门报告。</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rPr>
        <w:t>宣布评标纪律。</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rPr>
        <w:t>公布投标人名单，告知评审专家应当回避的情形。</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w:t>
      </w:r>
      <w:r>
        <w:rPr>
          <w:rFonts w:hint="eastAsia" w:ascii="宋体" w:hAnsi="宋体"/>
          <w:color w:val="auto"/>
          <w:sz w:val="24"/>
          <w:highlight w:val="none"/>
        </w:rPr>
        <w:t>组织评标委员会推选评标组长，采购人代表不得担任组长。</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5</w:t>
      </w:r>
      <w:r>
        <w:rPr>
          <w:rFonts w:hint="eastAsia" w:ascii="宋体" w:hAnsi="宋体"/>
          <w:color w:val="auto"/>
          <w:sz w:val="24"/>
          <w:highlight w:val="none"/>
          <w:lang w:eastAsia="zh-CN"/>
        </w:rPr>
        <w:t>）</w:t>
      </w:r>
      <w:r>
        <w:rPr>
          <w:rFonts w:hint="eastAsia" w:ascii="宋体" w:hAnsi="宋体"/>
          <w:color w:val="auto"/>
          <w:sz w:val="24"/>
          <w:highlight w:val="none"/>
        </w:rPr>
        <w:t>在评标期间采取必要的通讯管理措施，保证评标活动不受外界干扰。</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6</w:t>
      </w:r>
      <w:r>
        <w:rPr>
          <w:rFonts w:hint="eastAsia" w:ascii="宋体" w:hAnsi="宋体"/>
          <w:color w:val="auto"/>
          <w:sz w:val="24"/>
          <w:highlight w:val="none"/>
          <w:lang w:eastAsia="zh-CN"/>
        </w:rPr>
        <w:t>）</w:t>
      </w:r>
      <w:r>
        <w:rPr>
          <w:rFonts w:hint="eastAsia" w:ascii="宋体" w:hAnsi="宋体"/>
          <w:color w:val="auto"/>
          <w:sz w:val="24"/>
          <w:highlight w:val="none"/>
        </w:rPr>
        <w:t>根据评标委员会的要求介绍政府采购相关政策法规、招标文件。</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7</w:t>
      </w:r>
      <w:r>
        <w:rPr>
          <w:rFonts w:hint="eastAsia" w:ascii="宋体" w:hAnsi="宋体"/>
          <w:color w:val="auto"/>
          <w:sz w:val="24"/>
          <w:highlight w:val="none"/>
          <w:lang w:eastAsia="zh-CN"/>
        </w:rPr>
        <w:t>）</w:t>
      </w:r>
      <w:r>
        <w:rPr>
          <w:rFonts w:hint="eastAsia" w:ascii="宋体" w:hAnsi="宋体"/>
          <w:color w:val="auto"/>
          <w:sz w:val="24"/>
          <w:highlight w:val="none"/>
        </w:rPr>
        <w:t>维护评标秩序，监督评标委员会依照招标文件规定的评标程序、方法和标准进行独立评审，及时制止和纠正采购人代表、评审专家的倾向性言论或者违法违规行为。</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8</w:t>
      </w:r>
      <w:r>
        <w:rPr>
          <w:rFonts w:hint="eastAsia" w:ascii="宋体" w:hAnsi="宋体"/>
          <w:color w:val="auto"/>
          <w:sz w:val="24"/>
          <w:highlight w:val="none"/>
          <w:lang w:eastAsia="zh-CN"/>
        </w:rPr>
        <w:t>）</w:t>
      </w:r>
      <w:r>
        <w:rPr>
          <w:rFonts w:hint="eastAsia" w:ascii="宋体" w:hAnsi="宋体"/>
          <w:color w:val="auto"/>
          <w:sz w:val="24"/>
          <w:highlight w:val="none"/>
        </w:rPr>
        <w:t>核对评标结果，有《政府采购货物和服务招标投标管理办法》（财政部第87号令）第六十四条规定情形的，要求评标委员会复核或者书面说明理由，评标委员会拒绝的，应予记录并向本级财政部门报告。</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9</w:t>
      </w:r>
      <w:r>
        <w:rPr>
          <w:rFonts w:hint="eastAsia" w:ascii="宋体" w:hAnsi="宋体"/>
          <w:color w:val="auto"/>
          <w:sz w:val="24"/>
          <w:highlight w:val="none"/>
          <w:lang w:eastAsia="zh-CN"/>
        </w:rPr>
        <w:t>）</w:t>
      </w:r>
      <w:r>
        <w:rPr>
          <w:rFonts w:hint="eastAsia" w:ascii="宋体" w:hAnsi="宋体"/>
          <w:color w:val="auto"/>
          <w:sz w:val="24"/>
          <w:highlight w:val="none"/>
        </w:rPr>
        <w:t>评审工作完成后，按照规定向评审专家支付劳务报酬和异地评审差旅费，不得向评审专家以外的其他人员支付评审劳务报酬。</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10</w:t>
      </w:r>
      <w:r>
        <w:rPr>
          <w:rFonts w:hint="eastAsia" w:ascii="宋体" w:hAnsi="宋体"/>
          <w:color w:val="auto"/>
          <w:sz w:val="24"/>
          <w:highlight w:val="none"/>
          <w:lang w:eastAsia="zh-CN"/>
        </w:rPr>
        <w:t>）</w:t>
      </w:r>
      <w:r>
        <w:rPr>
          <w:rFonts w:hint="eastAsia" w:ascii="宋体" w:hAnsi="宋体"/>
          <w:color w:val="auto"/>
          <w:sz w:val="24"/>
          <w:highlight w:val="none"/>
        </w:rPr>
        <w:t>处理与评标有关的其他事项。</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采购人可以在评标前说明项目背景和采购需求，说明内容不得含有歧视性、倾向性意见，不得超出招标文件所述范围。说明应当提交书面材料，并随采购文件一并存档。</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1.3</w:t>
      </w:r>
      <w:r>
        <w:rPr>
          <w:rFonts w:hint="eastAsia" w:ascii="宋体" w:hAnsi="宋体"/>
          <w:color w:val="auto"/>
          <w:sz w:val="24"/>
          <w:highlight w:val="none"/>
        </w:rPr>
        <w:t>评标委员会职责</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评标委员会负责具体评标事务，并独立履行下列职责：</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审查、评价投标文件是否符合招标文件的商务、技术等实质性要求。</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rPr>
        <w:t>要求投标人对投标文件有关事项作出澄清或者说明。</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rPr>
        <w:t>对投标文件进行比较和评价。</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w:t>
      </w:r>
      <w:r>
        <w:rPr>
          <w:rFonts w:hint="eastAsia" w:ascii="宋体" w:hAnsi="宋体"/>
          <w:color w:val="auto"/>
          <w:sz w:val="24"/>
          <w:highlight w:val="none"/>
        </w:rPr>
        <w:t>确定中标候选人名单，以及根据采购人委托直接确定中标人。</w:t>
      </w:r>
    </w:p>
    <w:p>
      <w:pPr>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5</w:t>
      </w:r>
      <w:r>
        <w:rPr>
          <w:rFonts w:hint="eastAsia" w:ascii="宋体" w:hAnsi="宋体"/>
          <w:color w:val="auto"/>
          <w:sz w:val="24"/>
          <w:highlight w:val="none"/>
          <w:lang w:eastAsia="zh-CN"/>
        </w:rPr>
        <w:t>）</w:t>
      </w:r>
      <w:r>
        <w:rPr>
          <w:rFonts w:hint="eastAsia" w:ascii="宋体" w:hAnsi="宋体"/>
          <w:color w:val="auto"/>
          <w:sz w:val="24"/>
          <w:highlight w:val="none"/>
        </w:rPr>
        <w:t>向采购人、采购代理机构或者有关部门报告评标中发现的违法行为。</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1.4</w:t>
      </w:r>
      <w:r>
        <w:rPr>
          <w:rFonts w:hint="eastAsia" w:ascii="宋体" w:hAnsi="宋体"/>
          <w:color w:val="auto"/>
          <w:sz w:val="24"/>
          <w:highlight w:val="none"/>
        </w:rPr>
        <w:t>评标纪律</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为了规范政府采购工作程序，保证招标工作正常进行，特制订评标评审纪律如下:</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遵纪守法，客观、公正、廉洁地履行职责。应邀按时参加评审活动，遵守评标区管理规定。</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rPr>
        <w:t>遵行《政府采购法》第十二条和《政府采购法实施条例》第九条及政府采购相关法律法规关于回避的规定。</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rPr>
        <w:t>进入评标区之前应将所有的通信设备存入指定的存放处。评标专家不得以任何方式将通信设备带入评标区，否则将被取消其当次项目的评标资格。</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w:t>
      </w:r>
      <w:r>
        <w:rPr>
          <w:rFonts w:hint="eastAsia" w:ascii="宋体" w:hAnsi="宋体"/>
          <w:color w:val="auto"/>
          <w:sz w:val="24"/>
          <w:highlight w:val="none"/>
        </w:rPr>
        <w:t>不得参加与自己有利害关系的政府采购项目的评审活动。对与自己有利害关系的评审项目，如受到邀请，应主动提出回避。财政部门、采购人或代理机构也可要求该评审专家回避。</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5</w:t>
      </w:r>
      <w:r>
        <w:rPr>
          <w:rFonts w:hint="eastAsia" w:ascii="宋体" w:hAnsi="宋体"/>
          <w:color w:val="auto"/>
          <w:sz w:val="24"/>
          <w:highlight w:val="none"/>
          <w:lang w:eastAsia="zh-CN"/>
        </w:rPr>
        <w:t>）</w:t>
      </w:r>
      <w:r>
        <w:rPr>
          <w:rFonts w:hint="eastAsia" w:ascii="宋体" w:hAnsi="宋体"/>
          <w:color w:val="auto"/>
          <w:sz w:val="24"/>
          <w:highlight w:val="none"/>
        </w:rPr>
        <w:t>评标区实行封闭管理，评审过程中关闭通讯设备，不得与外界联系。因发生不可预见情况，确实需要与外界联系的，应告知评标区值守人员，使用评标区内由代理机构</w:t>
      </w:r>
      <w:bookmarkStart w:id="299" w:name="OLE_LINK8"/>
      <w:r>
        <w:rPr>
          <w:rFonts w:hint="eastAsia" w:ascii="宋体" w:hAnsi="宋体"/>
          <w:color w:val="auto"/>
          <w:sz w:val="24"/>
          <w:highlight w:val="none"/>
          <w:lang w:val="en-US" w:eastAsia="zh-CN"/>
        </w:rPr>
        <w:t>/交易中心</w:t>
      </w:r>
      <w:bookmarkEnd w:id="299"/>
      <w:r>
        <w:rPr>
          <w:rFonts w:hint="eastAsia" w:ascii="宋体" w:hAnsi="宋体"/>
          <w:color w:val="auto"/>
          <w:sz w:val="24"/>
          <w:highlight w:val="none"/>
        </w:rPr>
        <w:t>提供的通信设备，在监督人员监督之下办理。</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6</w:t>
      </w:r>
      <w:r>
        <w:rPr>
          <w:rFonts w:hint="eastAsia" w:ascii="宋体" w:hAnsi="宋体"/>
          <w:color w:val="auto"/>
          <w:sz w:val="24"/>
          <w:highlight w:val="none"/>
          <w:lang w:eastAsia="zh-CN"/>
        </w:rPr>
        <w:t>）</w:t>
      </w:r>
      <w:r>
        <w:rPr>
          <w:rFonts w:hint="eastAsia" w:ascii="宋体" w:hAnsi="宋体"/>
          <w:color w:val="auto"/>
          <w:sz w:val="24"/>
          <w:highlight w:val="none"/>
        </w:rPr>
        <w:t>评审过程中，不得发表影响评审公正的倾向性、歧视性言论；不得征询或者接受采购人的倾向性意见；不得修改或细化招标文件确定的评标程序、评标方法、评标因素和评标标准不得接受投标人主动提出的澄清和解释；不得协商评分；不得以任何明示或暗示的方式要求参加该采购项目的投标人以澄清、说明或补正为借口，表达与其原投标文件原意不同的新意见；不得以招标文件没有规定的方法和标准作为评审的依据；不得违反规定的评审格式评分和撰写评审意见；不得拒绝对自己的评审意见签字确认。</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7</w:t>
      </w:r>
      <w:r>
        <w:rPr>
          <w:rFonts w:hint="eastAsia" w:ascii="宋体" w:hAnsi="宋体"/>
          <w:color w:val="auto"/>
          <w:sz w:val="24"/>
          <w:highlight w:val="none"/>
          <w:lang w:eastAsia="zh-CN"/>
        </w:rPr>
        <w:t>）</w:t>
      </w:r>
      <w:r>
        <w:rPr>
          <w:rFonts w:hint="eastAsia" w:ascii="宋体" w:hAnsi="宋体"/>
          <w:color w:val="auto"/>
          <w:sz w:val="24"/>
          <w:highlight w:val="none"/>
        </w:rPr>
        <w:t>发现投标人在政府采购活动中有不正当竞争或恶意串通等违规行为，及时向政府采购评审工作的组织者或财政部门报告并加以制止。</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8</w:t>
      </w:r>
      <w:r>
        <w:rPr>
          <w:rFonts w:hint="eastAsia" w:ascii="宋体" w:hAnsi="宋体"/>
          <w:color w:val="auto"/>
          <w:sz w:val="24"/>
          <w:highlight w:val="none"/>
          <w:lang w:eastAsia="zh-CN"/>
        </w:rPr>
        <w:t>）</w:t>
      </w:r>
      <w:r>
        <w:rPr>
          <w:rFonts w:hint="eastAsia" w:ascii="宋体" w:hAnsi="宋体"/>
          <w:color w:val="auto"/>
          <w:sz w:val="24"/>
          <w:highlight w:val="none"/>
        </w:rPr>
        <w:t>发现采购人、代理机构及其工作人员在政府采购活动中有干预评审、发表倾向性和歧视性言论、受贿或者接受投标人的其他好处及其他违法违规行为，及时向财政部门报告。</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9</w:t>
      </w:r>
      <w:r>
        <w:rPr>
          <w:rFonts w:hint="eastAsia" w:ascii="宋体" w:hAnsi="宋体"/>
          <w:color w:val="auto"/>
          <w:sz w:val="24"/>
          <w:highlight w:val="none"/>
          <w:lang w:eastAsia="zh-CN"/>
        </w:rPr>
        <w:t>）</w:t>
      </w:r>
      <w:r>
        <w:rPr>
          <w:rFonts w:hint="eastAsia" w:ascii="宋体" w:hAnsi="宋体"/>
          <w:color w:val="auto"/>
          <w:sz w:val="24"/>
          <w:highlight w:val="none"/>
        </w:rPr>
        <w:t>在评标过程中和评标结束后，不得记录、复制或带走任何评标资料，除因规定的义务外，不得泄漏投标人的投标文件及知悉的商业秘密</w:t>
      </w:r>
      <w:r>
        <w:rPr>
          <w:rFonts w:hint="eastAsia" w:ascii="宋体" w:hAnsi="宋体"/>
          <w:color w:val="auto"/>
          <w:sz w:val="24"/>
          <w:highlight w:val="none"/>
          <w:lang w:val="en-US" w:eastAsia="zh-CN"/>
        </w:rPr>
        <w:t>,</w:t>
      </w:r>
      <w:r>
        <w:rPr>
          <w:rFonts w:hint="eastAsia" w:ascii="宋体" w:hAnsi="宋体"/>
          <w:color w:val="auto"/>
          <w:sz w:val="24"/>
          <w:highlight w:val="none"/>
        </w:rPr>
        <w:t>不得向投标人透露评审情况。</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10</w:t>
      </w:r>
      <w:r>
        <w:rPr>
          <w:rFonts w:hint="eastAsia" w:ascii="宋体" w:hAnsi="宋体"/>
          <w:color w:val="auto"/>
          <w:sz w:val="24"/>
          <w:highlight w:val="none"/>
          <w:lang w:eastAsia="zh-CN"/>
        </w:rPr>
        <w:t>）</w:t>
      </w:r>
      <w:r>
        <w:rPr>
          <w:rFonts w:hint="eastAsia" w:ascii="宋体" w:hAnsi="宋体"/>
          <w:color w:val="auto"/>
          <w:sz w:val="24"/>
          <w:highlight w:val="none"/>
        </w:rPr>
        <w:t>服从评标现场采购代理机构的现场秩序管理，接受评标现场监督人员的合法监督。</w:t>
      </w:r>
    </w:p>
    <w:p>
      <w:pPr>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（11）</w:t>
      </w:r>
      <w:r>
        <w:rPr>
          <w:rFonts w:hint="eastAsia" w:ascii="宋体" w:hAnsi="宋体"/>
          <w:color w:val="auto"/>
          <w:sz w:val="24"/>
          <w:highlight w:val="none"/>
          <w:lang w:eastAsia="zh-CN"/>
        </w:rPr>
        <w:t>遵</w:t>
      </w:r>
      <w:r>
        <w:rPr>
          <w:rFonts w:hint="eastAsia" w:ascii="宋体" w:hAnsi="宋体"/>
          <w:color w:val="auto"/>
          <w:sz w:val="24"/>
          <w:highlight w:val="none"/>
        </w:rPr>
        <w:t>守有关廉洁自律规定，不得私下接触投标人，不得收受投标人及有关业务单位和个人的财物或好处，不得接受采购组织单位的请托。</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评标原则</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评标委员会成员应当按照客观、公正、审慎的原则，根据</w:t>
      </w:r>
      <w:r>
        <w:rPr>
          <w:rFonts w:hint="eastAsia" w:asciiTheme="minorEastAsia" w:hAnsiTheme="minorEastAsia" w:eastAsiaTheme="minorEastAsia" w:cstheme="minorEastAsia"/>
          <w:color w:val="auto"/>
          <w:sz w:val="24"/>
          <w:highlight w:val="none"/>
          <w:lang w:eastAsia="zh-CN"/>
        </w:rPr>
        <w:t>招标文件</w:t>
      </w:r>
      <w:r>
        <w:rPr>
          <w:rFonts w:hint="eastAsia" w:asciiTheme="minorEastAsia" w:hAnsiTheme="minorEastAsia" w:eastAsiaTheme="minorEastAsia" w:cstheme="minorEastAsia"/>
          <w:color w:val="auto"/>
          <w:sz w:val="24"/>
          <w:highlight w:val="none"/>
        </w:rPr>
        <w:t>规定的评审程序、评审方法和评审标准进行独立评审。</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统计计算原则</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kern w:val="0"/>
          <w:sz w:val="24"/>
          <w:highlight w:val="none"/>
        </w:rPr>
        <w:t>评标过程中，因落实政府采购政策进行价格调整的，以调整后的价格计算评标基准价和评标价</w:t>
      </w:r>
      <w:r>
        <w:rPr>
          <w:rFonts w:hint="eastAsia" w:asciiTheme="minorEastAsia" w:hAnsiTheme="minorEastAsia" w:eastAsiaTheme="minorEastAsia" w:cstheme="minorEastAsia"/>
          <w:color w:val="auto"/>
          <w:sz w:val="24"/>
          <w:highlight w:val="none"/>
        </w:rPr>
        <w:t>。因价格修正进行的价格调整，</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确认后，</w:t>
      </w:r>
      <w:r>
        <w:rPr>
          <w:rFonts w:hint="eastAsia" w:asciiTheme="minorEastAsia" w:hAnsiTheme="minorEastAsia" w:eastAsiaTheme="minorEastAsia" w:cstheme="minorEastAsia"/>
          <w:color w:val="auto"/>
          <w:kern w:val="0"/>
          <w:sz w:val="24"/>
          <w:highlight w:val="none"/>
        </w:rPr>
        <w:t>以调整后的价格计算评标基准价和投标报价。因投标报价单位不一致，按照</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规定的价格单位统一修正，可按照价格修正的原则和方法进行。除了算术修正和落实政府采购政策需进行的价格扣除外，不能对</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的投标价格进行任何调整。</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2评审委员会成员要依法独立评审，并对评审意见承担个人责任。评审委员会成员对需要共同认定的事项存在争议的，按照少数服从多数的原则做出结论。持不同意见的评审委员会成员应当在评审报告上签署不同意见并说明理由，否则视为同意。</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.3评审打分统计计算结果，保留小数点后两位，第三位四舍五入。</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lang w:val="en-US" w:eastAsia="zh-CN"/>
        </w:rPr>
        <w:t>1</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lang w:val="en-US" w:eastAsia="zh-CN"/>
        </w:rPr>
        <w:t>6.4</w:t>
      </w:r>
      <w:r>
        <w:rPr>
          <w:rFonts w:hint="eastAsia" w:asciiTheme="minorEastAsia" w:hAnsiTheme="minorEastAsia" w:eastAsiaTheme="minorEastAsia" w:cstheme="minorEastAsia"/>
          <w:color w:val="auto"/>
          <w:sz w:val="24"/>
          <w:highlight w:val="none"/>
        </w:rPr>
        <w:t>评标委员会所有成员评审评分分值汇总后的算术平均值为</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得分；</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6.5</w:t>
      </w:r>
      <w:r>
        <w:rPr>
          <w:rFonts w:hint="eastAsia" w:asciiTheme="minorEastAsia" w:hAnsiTheme="minorEastAsia" w:eastAsiaTheme="minorEastAsia" w:cstheme="minorEastAsia"/>
          <w:color w:val="auto"/>
          <w:sz w:val="24"/>
          <w:highlight w:val="none"/>
        </w:rPr>
        <w:t>统计评审分值时，不得去掉最高、最低的打分；</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6.6</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的最后得分为</w:t>
      </w:r>
      <w:r>
        <w:rPr>
          <w:rFonts w:hint="eastAsia" w:asciiTheme="minorEastAsia" w:hAnsiTheme="minorEastAsia" w:eastAsiaTheme="minorEastAsia" w:cstheme="minorEastAsia"/>
          <w:color w:val="auto"/>
          <w:sz w:val="24"/>
          <w:highlight w:val="none"/>
          <w:lang w:eastAsia="zh-CN"/>
        </w:rPr>
        <w:t>投标报价</w:t>
      </w:r>
      <w:r>
        <w:rPr>
          <w:rFonts w:hint="eastAsia" w:asciiTheme="minorEastAsia" w:hAnsiTheme="minorEastAsia" w:eastAsiaTheme="minorEastAsia" w:cstheme="minorEastAsia"/>
          <w:color w:val="auto"/>
          <w:sz w:val="24"/>
          <w:highlight w:val="none"/>
        </w:rPr>
        <w:t>评审得分</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商务</w:t>
      </w:r>
      <w:r>
        <w:rPr>
          <w:rFonts w:hint="eastAsia" w:asciiTheme="minorEastAsia" w:hAnsiTheme="minorEastAsia" w:eastAsiaTheme="minorEastAsia" w:cstheme="minorEastAsia"/>
          <w:color w:val="auto"/>
          <w:sz w:val="24"/>
          <w:highlight w:val="none"/>
        </w:rPr>
        <w:t>技术部分</w:t>
      </w:r>
      <w:r>
        <w:rPr>
          <w:rFonts w:hint="eastAsia" w:asciiTheme="minorEastAsia" w:hAnsiTheme="minorEastAsia" w:eastAsiaTheme="minorEastAsia" w:cstheme="minorEastAsia"/>
          <w:color w:val="auto"/>
          <w:sz w:val="24"/>
          <w:highlight w:val="none"/>
          <w:lang w:val="en-US" w:eastAsia="zh-CN"/>
        </w:rPr>
        <w:t>得分</w:t>
      </w:r>
      <w:r>
        <w:rPr>
          <w:rFonts w:hint="eastAsia" w:asciiTheme="minorEastAsia" w:hAnsiTheme="minorEastAsia" w:eastAsiaTheme="minorEastAsia" w:cstheme="minorEastAsia"/>
          <w:color w:val="auto"/>
          <w:sz w:val="24"/>
          <w:highlight w:val="none"/>
        </w:rPr>
        <w:t>之和。</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特殊情况的处理</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.1评标中因评标委员会成员缺席、回避或者健康等特殊原因导致评标委员会组成不符合本办法规定的，采购人或者采购代理机构应当依法补足后继续评标。被更换的评标委员会成员所作出的评标意见无效。</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无法及时补足评标委员会成员的，采购人或者采购代理机构应当停止评标活动，封存所有投标文件和开标、评标资料，依法重新组建评标委员会进行评标。原评标委员会所作出的评标意见无效。</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供应商投标报价</w:t>
      </w:r>
      <w:r>
        <w:rPr>
          <w:rFonts w:hint="eastAsia" w:ascii="宋体" w:hAnsi="宋体" w:eastAsia="宋体" w:cs="宋体"/>
          <w:color w:val="auto"/>
          <w:kern w:val="0"/>
          <w:sz w:val="24"/>
          <w:highlight w:val="none"/>
          <w:lang w:val="en-US" w:eastAsia="zh-CN"/>
        </w:rPr>
        <w:t>出现异常低价情形之一的按财库[2026]第2号《关于推动解决政府采购异常低价问题的通知》执行。</w:t>
      </w:r>
    </w:p>
    <w:p>
      <w:pPr>
        <w:spacing w:line="360" w:lineRule="auto"/>
        <w:ind w:firstLine="480" w:firstLineChars="200"/>
        <w:rPr>
          <w:rFonts w:hint="eastAsia" w:asciiTheme="minorEastAsia" w:hAnsiTheme="minorEastAsia" w:eastAsiaTheme="minorEastAsia" w:cstheme="minorEastAsia"/>
          <w:color w:val="auto"/>
          <w:sz w:val="24"/>
          <w:highlight w:val="none"/>
        </w:rPr>
      </w:pPr>
      <w:bookmarkStart w:id="300" w:name="_Toc7422"/>
      <w:bookmarkStart w:id="301" w:name="_Toc17825"/>
      <w:bookmarkStart w:id="302" w:name="_Toc1053"/>
      <w:bookmarkStart w:id="303" w:name="_Toc27585"/>
      <w:bookmarkStart w:id="304" w:name="_Toc5406"/>
      <w:bookmarkStart w:id="305" w:name="_Toc27462"/>
      <w:bookmarkStart w:id="306" w:name="_Toc31070"/>
      <w:bookmarkStart w:id="307" w:name="_Toc18318"/>
      <w:bookmarkStart w:id="308" w:name="_Toc148293181"/>
      <w:bookmarkStart w:id="309" w:name="_Toc30894"/>
      <w:bookmarkStart w:id="310" w:name="_Toc23743"/>
      <w:bookmarkStart w:id="311" w:name="_Toc9624"/>
      <w:bookmarkStart w:id="312" w:name="_Toc28475"/>
      <w:bookmarkStart w:id="313" w:name="_Toc13545"/>
      <w:bookmarkStart w:id="314" w:name="_Toc25198"/>
      <w:bookmarkStart w:id="315" w:name="_Toc22194"/>
      <w:bookmarkStart w:id="316" w:name="_Toc29517"/>
      <w:bookmarkStart w:id="317" w:name="_Toc25584"/>
      <w:bookmarkStart w:id="318" w:name="_Toc12351"/>
      <w:bookmarkStart w:id="319" w:name="_Toc19857"/>
      <w:bookmarkStart w:id="320" w:name="_Toc8149"/>
      <w:bookmarkStart w:id="321" w:name="_Toc27189"/>
      <w:bookmarkStart w:id="322" w:name="_Toc12285"/>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kern w:val="0"/>
          <w:sz w:val="24"/>
          <w:highlight w:val="none"/>
        </w:rPr>
        <w:t>评标委员会发现</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存在歧义、重大缺陷导致评标工作无法进行，或者</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内容违反国家有关强制性规定的，应当停止评标工作，与采购人或者采购代理机构沟通并作书面记录。采购人或者采购代理机构确认后，应当修改</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，重新组织采购活动。</w:t>
      </w:r>
    </w:p>
    <w:p>
      <w:pPr>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w:t>
      </w:r>
      <w:bookmarkStart w:id="323" w:name="_Toc15332"/>
      <w:bookmarkStart w:id="324" w:name="_Toc20587"/>
      <w:bookmarkStart w:id="325" w:name="_Toc7913"/>
      <w:bookmarkStart w:id="326" w:name="_Toc24275"/>
      <w:bookmarkStart w:id="327" w:name="_Toc10707"/>
      <w:bookmarkStart w:id="328" w:name="_Toc739"/>
      <w:bookmarkStart w:id="329" w:name="_Toc2177"/>
      <w:bookmarkStart w:id="330" w:name="_Toc6413"/>
      <w:bookmarkStart w:id="331" w:name="_Toc3478"/>
      <w:bookmarkStart w:id="332" w:name="_Toc10507"/>
      <w:bookmarkStart w:id="333" w:name="_Toc2543"/>
      <w:bookmarkStart w:id="334" w:name="_Toc24203"/>
      <w:bookmarkStart w:id="335" w:name="_Toc10250"/>
      <w:bookmarkStart w:id="336" w:name="_Toc23662"/>
      <w:bookmarkStart w:id="337" w:name="_Toc15871"/>
      <w:bookmarkStart w:id="338" w:name="_Toc29789"/>
      <w:bookmarkStart w:id="339" w:name="_Toc12914"/>
      <w:bookmarkStart w:id="340" w:name="_Toc148293180"/>
      <w:bookmarkStart w:id="341" w:name="_Toc12887"/>
      <w:bookmarkStart w:id="342" w:name="_Toc14152"/>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kern w:val="0"/>
          <w:sz w:val="24"/>
          <w:highlight w:val="none"/>
        </w:rPr>
        <w:t>投标截止后</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不足3家或者通过</w:t>
      </w:r>
      <w:r>
        <w:rPr>
          <w:rFonts w:hint="eastAsia" w:asciiTheme="minorEastAsia" w:hAnsiTheme="minorEastAsia" w:eastAsiaTheme="minorEastAsia" w:cstheme="minorEastAsia"/>
          <w:color w:val="auto"/>
          <w:kern w:val="0"/>
          <w:sz w:val="24"/>
          <w:highlight w:val="none"/>
          <w:lang w:eastAsia="zh-CN"/>
        </w:rPr>
        <w:t>资格</w:t>
      </w:r>
      <w:r>
        <w:rPr>
          <w:rFonts w:hint="eastAsia" w:asciiTheme="minorEastAsia" w:hAnsiTheme="minorEastAsia" w:eastAsiaTheme="minorEastAsia" w:cstheme="minorEastAsia"/>
          <w:color w:val="auto"/>
          <w:kern w:val="0"/>
          <w:sz w:val="24"/>
          <w:highlight w:val="none"/>
        </w:rPr>
        <w:t>审查或符合性审查的</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不足3家的，评标委员会应对</w:t>
      </w:r>
      <w:r>
        <w:rPr>
          <w:rFonts w:hint="eastAsia" w:asciiTheme="minorEastAsia" w:hAnsiTheme="minorEastAsia" w:eastAsiaTheme="minorEastAsia" w:cstheme="minorEastAsia"/>
          <w:color w:val="auto"/>
          <w:kern w:val="0"/>
          <w:sz w:val="24"/>
          <w:highlight w:val="none"/>
          <w:lang w:eastAsia="zh-CN"/>
        </w:rPr>
        <w:t>招标文件</w:t>
      </w:r>
      <w:r>
        <w:rPr>
          <w:rFonts w:hint="eastAsia" w:asciiTheme="minorEastAsia" w:hAnsiTheme="minorEastAsia" w:eastAsiaTheme="minorEastAsia" w:cstheme="minorEastAsia"/>
          <w:color w:val="auto"/>
          <w:kern w:val="0"/>
          <w:sz w:val="24"/>
          <w:highlight w:val="none"/>
        </w:rPr>
        <w:t>是否存在不合理条款或者招标程序是否符合规定的情况进行审查，并提出书面意见。</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lang w:val="en-US" w:eastAsia="zh-CN"/>
        </w:rPr>
        <w:t>1.8</w:t>
      </w:r>
      <w:r>
        <w:rPr>
          <w:rFonts w:hint="eastAsia" w:asciiTheme="minorEastAsia" w:hAnsiTheme="minorEastAsia" w:eastAsiaTheme="minorEastAsia" w:cstheme="minorEastAsia"/>
          <w:color w:val="auto"/>
          <w:spacing w:val="-6"/>
          <w:kern w:val="0"/>
          <w:sz w:val="24"/>
          <w:highlight w:val="none"/>
          <w:lang w:val="en-US" w:eastAsia="zh-CN"/>
        </w:rPr>
        <w:t>评标过程的保密。开标后，直到授予供应商合同止，凡是属于审查、澄清、评审和比较的有关资料以及授标建议等均不得向供应商或其他无关的人员透露。供应商在评标过程中，所有影响评标结果的不公正活动，可能导致其投标被拒绝。</w:t>
      </w:r>
    </w:p>
    <w:p>
      <w:pPr>
        <w:pStyle w:val="4"/>
        <w:numPr>
          <w:ilvl w:val="1"/>
          <w:numId w:val="0"/>
        </w:numPr>
        <w:spacing w:before="0"/>
        <w:ind w:leftChars="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2.</w:t>
      </w:r>
      <w:r>
        <w:rPr>
          <w:rFonts w:hint="eastAsia" w:asciiTheme="minorEastAsia" w:hAnsiTheme="minorEastAsia" w:eastAsiaTheme="minorEastAsia" w:cstheme="minorEastAsia"/>
          <w:b/>
          <w:bCs/>
          <w:color w:val="auto"/>
          <w:sz w:val="24"/>
          <w:highlight w:val="none"/>
        </w:rPr>
        <w:t>评标程序</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pPr>
        <w:spacing w:line="360" w:lineRule="auto"/>
        <w:ind w:firstLine="480"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val="0"/>
          <w:bCs w:val="0"/>
          <w:color w:val="auto"/>
          <w:sz w:val="24"/>
          <w:highlight w:val="none"/>
        </w:rPr>
        <w:t>2.</w:t>
      </w:r>
      <w:r>
        <w:rPr>
          <w:rFonts w:hint="eastAsia" w:asciiTheme="minorEastAsia" w:hAnsiTheme="minorEastAsia" w:eastAsiaTheme="minorEastAsia" w:cstheme="minorEastAsia"/>
          <w:b w:val="0"/>
          <w:bCs w:val="0"/>
          <w:color w:val="auto"/>
          <w:sz w:val="24"/>
          <w:highlight w:val="none"/>
          <w:lang w:val="en-US" w:eastAsia="zh-CN"/>
        </w:rPr>
        <w:t>1</w:t>
      </w:r>
      <w:r>
        <w:rPr>
          <w:rFonts w:hint="eastAsia" w:asciiTheme="minorEastAsia" w:hAnsiTheme="minorEastAsia" w:eastAsiaTheme="minorEastAsia" w:cstheme="minorEastAsia"/>
          <w:b w:val="0"/>
          <w:bCs w:val="0"/>
          <w:color w:val="auto"/>
          <w:sz w:val="24"/>
          <w:highlight w:val="none"/>
        </w:rPr>
        <w:t>组建评标委员会</w:t>
      </w:r>
    </w:p>
    <w:p>
      <w:pPr>
        <w:spacing w:line="360" w:lineRule="auto"/>
        <w:ind w:firstLine="480" w:firstLineChars="200"/>
        <w:rPr>
          <w:rFonts w:hint="eastAsia" w:asciiTheme="minorEastAsia" w:hAnsiTheme="minorEastAsia" w:eastAsiaTheme="minorEastAsia" w:cstheme="minorEastAsia"/>
          <w:color w:val="auto"/>
          <w:sz w:val="24"/>
          <w:highlight w:val="none"/>
        </w:rPr>
      </w:pPr>
      <w:bookmarkStart w:id="343" w:name="OLE_LINK70"/>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kern w:val="0"/>
          <w:sz w:val="24"/>
          <w:highlight w:val="none"/>
        </w:rPr>
        <w:t>评标委员会由采购人代表和评审专家组成，成员人数为</w:t>
      </w:r>
      <w:r>
        <w:rPr>
          <w:rFonts w:hint="eastAsia" w:asciiTheme="minorEastAsia" w:hAnsiTheme="minorEastAsia" w:eastAsiaTheme="minorEastAsia" w:cstheme="minorEastAsia"/>
          <w:color w:val="auto"/>
          <w:kern w:val="0"/>
          <w:sz w:val="24"/>
          <w:highlight w:val="none"/>
          <w:lang w:val="en-US" w:eastAsia="zh-CN"/>
        </w:rPr>
        <w:t>5</w:t>
      </w:r>
      <w:r>
        <w:rPr>
          <w:rFonts w:hint="eastAsia" w:asciiTheme="minorEastAsia" w:hAnsiTheme="minorEastAsia" w:eastAsiaTheme="minorEastAsia" w:cstheme="minorEastAsia"/>
          <w:color w:val="auto"/>
          <w:kern w:val="0"/>
          <w:sz w:val="24"/>
          <w:highlight w:val="none"/>
        </w:rPr>
        <w:t>人以上单数，其中评审专家不得少于成员总数的三分之二。</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采购项目符合下列情形之一的，评标委员会成员人数应当为7人以上单数：</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（一）采购预算金额在1000万元以上；</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（二）技术复杂；</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rPr>
        <w:t>（三）社会影响较大。</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.2采购人或者采购代理机构应当从政府采购评审专家库中，抽取评审专家。</w:t>
      </w:r>
    </w:p>
    <w:p>
      <w:pPr>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sz w:val="24"/>
          <w:highlight w:val="none"/>
        </w:rPr>
        <w:t>对技术复杂、专业性强的采购项目，难以确定合适评审专家的，经主管单位同意，采购人可以自行选定相应专业领域的评审专家。</w:t>
      </w:r>
    </w:p>
    <w:bookmarkEnd w:id="343"/>
    <w:p>
      <w:pPr>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w:t>
      </w:r>
      <w:r>
        <w:rPr>
          <w:rFonts w:hint="eastAsia" w:asciiTheme="minorEastAsia" w:hAnsiTheme="minorEastAsia" w:eastAsiaTheme="minorEastAsia" w:cstheme="minorEastAsia"/>
          <w:color w:val="auto"/>
          <w:kern w:val="0"/>
          <w:sz w:val="24"/>
          <w:highlight w:val="none"/>
          <w:lang w:val="en-US" w:eastAsia="zh-CN"/>
        </w:rPr>
        <w:t>1</w:t>
      </w:r>
      <w:r>
        <w:rPr>
          <w:rFonts w:hint="eastAsia" w:asciiTheme="minorEastAsia" w:hAnsiTheme="minorEastAsia" w:eastAsiaTheme="minorEastAsia" w:cstheme="minorEastAsia"/>
          <w:color w:val="auto"/>
          <w:kern w:val="0"/>
          <w:sz w:val="24"/>
          <w:highlight w:val="none"/>
        </w:rPr>
        <w:t>.3评标委员会成员签到后，民主推选或选举评标委员会组长，评标委员会组长负责评标相关工作的组织和安排。采购人代表不得担任评标委员会组长。</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2.1.4评标委员会成员有下列情形之一的，应当回避：</w:t>
      </w:r>
    </w:p>
    <w:p>
      <w:pPr>
        <w:spacing w:after="0"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参加采购活动前三年内，与供应商存在劳动关系，或者担任过供应商的董事、监事，或者是供应商的控股股东或实际控制人；</w:t>
      </w:r>
    </w:p>
    <w:p>
      <w:pPr>
        <w:spacing w:after="0"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与供应商的法定代表人或者负责人有夫妻、直系血亲、三代以内旁系血亲或者近姻亲关系；</w:t>
      </w:r>
    </w:p>
    <w:p>
      <w:pPr>
        <w:spacing w:after="0"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与供应商有其他可能影响政府采购活动公平、公正进行的关系。</w:t>
      </w:r>
    </w:p>
    <w:p>
      <w:pPr>
        <w:spacing w:after="0" w:line="360" w:lineRule="auto"/>
        <w:ind w:firstLine="456" w:firstLineChars="200"/>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pacing w:val="-6"/>
          <w:sz w:val="24"/>
          <w:highlight w:val="none"/>
        </w:rPr>
        <w:t>评审专家发现本人与参加采购活动的供应商有利害关系的，应当主动提出回避。</w:t>
      </w:r>
    </w:p>
    <w:p>
      <w:pPr>
        <w:spacing w:after="0"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抽取单位发现评审专家与参加采购活动的供应商有利害关系的，应当要求其回避。</w:t>
      </w:r>
    </w:p>
    <w:p>
      <w:pPr>
        <w:spacing w:after="0"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评审专家对本单位的政府采购项目只能作为采购人代表参与评审工作。</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评审专家为政府采购代理机构工作人员的，不得参加该采购代理机构组织的政府采购项目评审工作。</w:t>
      </w:r>
    </w:p>
    <w:p>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2.2熟悉招标文件和评标办法与标准</w:t>
      </w:r>
    </w:p>
    <w:p>
      <w:pPr>
        <w:spacing w:line="360" w:lineRule="auto"/>
        <w:ind w:firstLine="480" w:firstLineChars="200"/>
        <w:rPr>
          <w:rFonts w:ascii="宋体" w:hAnsi="宋体"/>
          <w:color w:val="auto"/>
          <w:spacing w:val="-6"/>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.1</w:t>
      </w:r>
      <w:r>
        <w:rPr>
          <w:rFonts w:hint="eastAsia" w:ascii="宋体" w:hAnsi="宋体"/>
          <w:color w:val="auto"/>
          <w:spacing w:val="-6"/>
          <w:sz w:val="24"/>
          <w:highlight w:val="none"/>
        </w:rPr>
        <w:t>评标委员会组长组织评标委员会全体成员熟悉</w:t>
      </w:r>
      <w:r>
        <w:rPr>
          <w:rFonts w:hint="eastAsia" w:ascii="宋体" w:hAnsi="宋体"/>
          <w:color w:val="auto"/>
          <w:spacing w:val="-6"/>
          <w:sz w:val="24"/>
          <w:highlight w:val="none"/>
          <w:lang w:eastAsia="zh-CN"/>
        </w:rPr>
        <w:t>招标文件</w:t>
      </w:r>
      <w:r>
        <w:rPr>
          <w:rFonts w:hint="eastAsia" w:ascii="宋体" w:hAnsi="宋体"/>
          <w:color w:val="auto"/>
          <w:spacing w:val="-6"/>
          <w:sz w:val="24"/>
          <w:highlight w:val="none"/>
        </w:rPr>
        <w:t>和评标办法与标准，评</w:t>
      </w:r>
      <w:r>
        <w:rPr>
          <w:rFonts w:hint="eastAsia" w:ascii="宋体" w:hAnsi="宋体" w:cs="宋体"/>
          <w:color w:val="auto"/>
          <w:spacing w:val="-6"/>
          <w:kern w:val="0"/>
          <w:sz w:val="24"/>
          <w:highlight w:val="none"/>
        </w:rPr>
        <w:t>标委员会发现</w:t>
      </w:r>
      <w:r>
        <w:rPr>
          <w:rFonts w:hint="eastAsia" w:ascii="宋体" w:hAnsi="宋体" w:cs="宋体"/>
          <w:color w:val="auto"/>
          <w:spacing w:val="-6"/>
          <w:kern w:val="0"/>
          <w:sz w:val="24"/>
          <w:highlight w:val="none"/>
          <w:lang w:eastAsia="zh-CN"/>
        </w:rPr>
        <w:t>招标文件</w:t>
      </w:r>
      <w:r>
        <w:rPr>
          <w:rFonts w:hint="eastAsia" w:ascii="宋体" w:hAnsi="宋体" w:cs="宋体"/>
          <w:color w:val="auto"/>
          <w:spacing w:val="-6"/>
          <w:kern w:val="0"/>
          <w:sz w:val="24"/>
          <w:highlight w:val="none"/>
        </w:rPr>
        <w:t>存在歧义、重大缺陷导致评标工作无法进行，或者</w:t>
      </w:r>
      <w:r>
        <w:rPr>
          <w:rFonts w:hint="eastAsia" w:ascii="宋体" w:hAnsi="宋体" w:cs="宋体"/>
          <w:color w:val="auto"/>
          <w:spacing w:val="-6"/>
          <w:kern w:val="0"/>
          <w:sz w:val="24"/>
          <w:highlight w:val="none"/>
          <w:lang w:eastAsia="zh-CN"/>
        </w:rPr>
        <w:t>招标文件</w:t>
      </w:r>
      <w:r>
        <w:rPr>
          <w:rFonts w:hint="eastAsia" w:ascii="宋体" w:hAnsi="宋体" w:cs="宋体"/>
          <w:color w:val="auto"/>
          <w:spacing w:val="-6"/>
          <w:kern w:val="0"/>
          <w:sz w:val="24"/>
          <w:highlight w:val="none"/>
        </w:rPr>
        <w:t>内容违反国家有关强制性规定的，应当停止评标工作，与采购人或者采购代理机构沟通并作书面记录。</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.2评标委员会确定</w:t>
      </w:r>
      <w:r>
        <w:rPr>
          <w:rFonts w:hint="eastAsia" w:ascii="宋体" w:hAnsi="宋体"/>
          <w:color w:val="auto"/>
          <w:sz w:val="24"/>
          <w:highlight w:val="none"/>
          <w:lang w:eastAsia="zh-CN"/>
        </w:rPr>
        <w:t>招标文件</w:t>
      </w:r>
      <w:r>
        <w:rPr>
          <w:rFonts w:hint="eastAsia" w:ascii="宋体" w:hAnsi="宋体"/>
          <w:color w:val="auto"/>
          <w:sz w:val="24"/>
          <w:highlight w:val="none"/>
        </w:rPr>
        <w:t>及评标办法与标准合法有效的，确定评审因素中的主观因素和客观因素，统一评审因素的认定标准。</w:t>
      </w:r>
    </w:p>
    <w:p>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2.3评标准备</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.1评标委员会审查所有开标合格的投标文件，列出投标文件中的所有偏差，列出涉及价格折算、优先采购政策的投标文件；</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pacing w:val="-6"/>
          <w:sz w:val="24"/>
          <w:highlight w:val="none"/>
        </w:rPr>
        <w:t>评标委员会对列出的投标文件偏差，需要询标（含价格修正）的，统一列出书面询标函；</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应按照询标函的要求，在规定时间内提交书面澄清、补正文件；</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的澄清、说明或者补正应当采用书面形式，并加盖公章，或者由法定代表人或其授权的代表签字。</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的澄清、说明或者补正不得超出投标文件的范围或者改变投标文件的实质性内容。</w:t>
      </w:r>
    </w:p>
    <w:p>
      <w:pPr>
        <w:spacing w:line="360" w:lineRule="auto"/>
        <w:ind w:left="479" w:leftChars="228"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.4评标委员会对</w:t>
      </w: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提交的书面澄清、补正文件进行认定。</w:t>
      </w:r>
    </w:p>
    <w:p>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2.4资格审查</w:t>
      </w:r>
    </w:p>
    <w:p>
      <w:pPr>
        <w:spacing w:line="360" w:lineRule="auto"/>
        <w:ind w:firstLine="480" w:firstLineChars="200"/>
        <w:rPr>
          <w:rFonts w:hint="eastAsia" w:ascii="宋体" w:hAnsi="宋体"/>
          <w:color w:val="auto"/>
          <w:sz w:val="24"/>
          <w:highlight w:val="none"/>
        </w:rPr>
      </w:pPr>
      <w:r>
        <w:rPr>
          <w:rFonts w:hint="eastAsia" w:asciiTheme="minorEastAsia" w:hAnsiTheme="minorEastAsia" w:eastAsiaTheme="minorEastAsia" w:cstheme="minorEastAsia"/>
          <w:color w:val="auto"/>
          <w:sz w:val="24"/>
          <w:highlight w:val="none"/>
          <w:lang w:val="en-US" w:eastAsia="zh-CN"/>
        </w:rPr>
        <w:t>按《政府采购货物</w:t>
      </w:r>
      <w:r>
        <w:rPr>
          <w:rFonts w:hint="eastAsia" w:ascii="宋体" w:hAnsi="宋体"/>
          <w:color w:val="auto"/>
          <w:sz w:val="24"/>
          <w:highlight w:val="none"/>
        </w:rPr>
        <w:t>和服务招标投标管理办法（财政部令第87号）》第四十四条“公开招标采购项目开标结束后，采购人或者采购代理机构应当依法对</w:t>
      </w:r>
      <w:r>
        <w:rPr>
          <w:rFonts w:hint="eastAsia" w:ascii="宋体" w:hAnsi="宋体"/>
          <w:color w:val="auto"/>
          <w:sz w:val="24"/>
          <w:highlight w:val="none"/>
          <w:lang w:eastAsia="zh-CN"/>
        </w:rPr>
        <w:t>供应商</w:t>
      </w:r>
      <w:r>
        <w:rPr>
          <w:rFonts w:hint="eastAsia" w:ascii="宋体" w:hAnsi="宋体"/>
          <w:color w:val="auto"/>
          <w:sz w:val="24"/>
          <w:highlight w:val="none"/>
        </w:rPr>
        <w:t>的资格进行审查”，本项目开标结束后由采购人或者采购代理机构依法对</w:t>
      </w:r>
      <w:r>
        <w:rPr>
          <w:rFonts w:hint="eastAsia" w:ascii="宋体" w:hAnsi="宋体"/>
          <w:color w:val="auto"/>
          <w:sz w:val="24"/>
          <w:highlight w:val="none"/>
          <w:lang w:eastAsia="zh-CN"/>
        </w:rPr>
        <w:t>供应商</w:t>
      </w:r>
      <w:r>
        <w:rPr>
          <w:rFonts w:hint="eastAsia" w:ascii="宋体" w:hAnsi="宋体"/>
          <w:color w:val="auto"/>
          <w:sz w:val="24"/>
          <w:highlight w:val="none"/>
        </w:rPr>
        <w:t>的资格进行审查，</w:t>
      </w:r>
      <w:r>
        <w:rPr>
          <w:rFonts w:hint="eastAsia" w:ascii="宋体" w:hAnsi="宋体"/>
          <w:bCs/>
          <w:color w:val="auto"/>
          <w:sz w:val="24"/>
          <w:highlight w:val="none"/>
        </w:rPr>
        <w:t>资格性审查</w:t>
      </w:r>
      <w:r>
        <w:rPr>
          <w:rFonts w:hint="eastAsia" w:ascii="宋体" w:hAnsi="宋体"/>
          <w:color w:val="auto"/>
          <w:sz w:val="24"/>
          <w:highlight w:val="none"/>
        </w:rPr>
        <w:t>标准详见评标办法前附表。</w:t>
      </w:r>
    </w:p>
    <w:p>
      <w:pPr>
        <w:spacing w:line="360" w:lineRule="auto"/>
        <w:ind w:firstLine="480"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投标文件有资格审查标准中任何一项未通过审查的，不能通过资格审查，该投标文件不得进入符合性审查程序。</w:t>
      </w:r>
    </w:p>
    <w:p>
      <w:pPr>
        <w:spacing w:line="360" w:lineRule="auto"/>
        <w:ind w:firstLine="480"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lang w:val="en-US" w:eastAsia="zh-CN"/>
        </w:rPr>
        <w:t>2.5符合性审查</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.1评标委员会全体成员独立对通过资格审查的投标文件进行符合性审查；</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.2评标委员会对符合性审查结果汇总、确认，有不同意见书面阐述理由；</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.3符合性审查标准详见评标办法前附表。</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.4投标文件有符合性审查标准中任何一项未通过审查的，不能通过符合性审查，该投标文件不得进入详细评审程序。</w:t>
      </w:r>
    </w:p>
    <w:p>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w:t>
      </w:r>
      <w:bookmarkStart w:id="344" w:name="_Hlk494382129"/>
      <w:r>
        <w:rPr>
          <w:rFonts w:hint="eastAsia" w:asciiTheme="minorEastAsia" w:hAnsiTheme="minorEastAsia" w:eastAsiaTheme="minorEastAsia" w:cstheme="minorEastAsia"/>
          <w:color w:val="auto"/>
          <w:sz w:val="24"/>
          <w:highlight w:val="none"/>
          <w:lang w:val="en-US" w:eastAsia="zh-CN"/>
        </w:rPr>
        <w:t>6启动异常低价投标审查程序</w:t>
      </w:r>
    </w:p>
    <w:p>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供应商投标报价若出现异常低价情形之一的，评标委员会应当根据财库[2026]第2号《关于推动解决政府采购异常低价问题的通知》启动异常低价投标审查程序，异常低价投标审查</w:t>
      </w:r>
      <w:r>
        <w:rPr>
          <w:rFonts w:hint="eastAsia" w:asciiTheme="minorEastAsia" w:hAnsiTheme="minorEastAsia" w:eastAsiaTheme="minorEastAsia" w:cstheme="minorEastAsia"/>
          <w:color w:val="auto"/>
          <w:sz w:val="24"/>
          <w:highlight w:val="none"/>
          <w:lang w:eastAsia="zh-CN"/>
        </w:rPr>
        <w:t>合格</w:t>
      </w:r>
      <w:r>
        <w:rPr>
          <w:rFonts w:hint="eastAsia" w:asciiTheme="minorEastAsia" w:hAnsiTheme="minorEastAsia" w:eastAsiaTheme="minorEastAsia" w:cstheme="minorEastAsia"/>
          <w:color w:val="auto"/>
          <w:sz w:val="24"/>
          <w:highlight w:val="none"/>
          <w:lang w:val="en-US" w:eastAsia="zh-CN"/>
        </w:rPr>
        <w:t>的投标文件</w:t>
      </w:r>
      <w:r>
        <w:rPr>
          <w:rFonts w:hint="eastAsia" w:asciiTheme="minorEastAsia" w:hAnsiTheme="minorEastAsia" w:eastAsiaTheme="minorEastAsia" w:cstheme="minorEastAsia"/>
          <w:color w:val="auto"/>
          <w:sz w:val="24"/>
          <w:highlight w:val="none"/>
          <w:lang w:eastAsia="zh-CN"/>
        </w:rPr>
        <w:t>后方可进入</w:t>
      </w:r>
      <w:r>
        <w:rPr>
          <w:rFonts w:hint="eastAsia" w:asciiTheme="minorEastAsia" w:hAnsiTheme="minorEastAsia" w:eastAsiaTheme="minorEastAsia" w:cstheme="minorEastAsia"/>
          <w:color w:val="auto"/>
          <w:sz w:val="24"/>
          <w:highlight w:val="none"/>
          <w:lang w:val="en-US" w:eastAsia="zh-CN"/>
        </w:rPr>
        <w:t>详细评审程序。</w:t>
      </w:r>
    </w:p>
    <w:p>
      <w:pPr>
        <w:spacing w:line="360" w:lineRule="auto"/>
        <w:ind w:firstLine="480" w:firstLineChars="200"/>
        <w:rPr>
          <w:rFonts w:hint="default"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360" w:lineRule="auto"/>
        <w:ind w:firstLine="480" w:firstLineChars="200"/>
        <w:rPr>
          <w:rFonts w:hint="default"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spacing w:line="360" w:lineRule="auto"/>
        <w:ind w:firstLine="480" w:firstLineChars="200"/>
        <w:rPr>
          <w:rFonts w:hint="default" w:asciiTheme="minorEastAsia" w:hAnsiTheme="minorEastAsia" w:eastAsiaTheme="minorEastAsia" w:cstheme="minorEastAsia"/>
          <w:color w:val="auto"/>
          <w:sz w:val="24"/>
          <w:highlight w:val="none"/>
          <w:lang w:val="en-US"/>
        </w:rPr>
      </w:pPr>
      <w:r>
        <w:rPr>
          <w:rFonts w:hint="eastAsia" w:asciiTheme="minorEastAsia" w:hAnsiTheme="minorEastAsia" w:eastAsiaTheme="minorEastAsia" w:cstheme="minorEastAsia"/>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2.7详细评审</w:t>
      </w:r>
      <w:bookmarkEnd w:id="344"/>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.1评标委员会全体成员对通过符合性审查</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异常低价投标审查（若有）</w:t>
      </w:r>
      <w:r>
        <w:rPr>
          <w:rFonts w:hint="eastAsia" w:asciiTheme="minorEastAsia" w:hAnsiTheme="minorEastAsia" w:eastAsiaTheme="minorEastAsia" w:cstheme="minorEastAsia"/>
          <w:color w:val="auto"/>
          <w:sz w:val="24"/>
          <w:highlight w:val="none"/>
        </w:rPr>
        <w:t>的投标文件进行</w:t>
      </w:r>
      <w:r>
        <w:rPr>
          <w:rFonts w:hint="eastAsia" w:asciiTheme="minorEastAsia" w:hAnsiTheme="minorEastAsia" w:eastAsiaTheme="minorEastAsia" w:cstheme="minorEastAsia"/>
          <w:bCs/>
          <w:color w:val="auto"/>
          <w:sz w:val="24"/>
          <w:highlight w:val="none"/>
        </w:rPr>
        <w:t>详细评审、打分</w:t>
      </w:r>
      <w:r>
        <w:rPr>
          <w:rFonts w:hint="eastAsia" w:asciiTheme="minorEastAsia" w:hAnsiTheme="minorEastAsia" w:eastAsiaTheme="minorEastAsia" w:cstheme="minorEastAsia"/>
          <w:color w:val="auto"/>
          <w:sz w:val="24"/>
          <w:highlight w:val="none"/>
        </w:rPr>
        <w:t>；</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.2评标委员会对</w:t>
      </w:r>
      <w:r>
        <w:rPr>
          <w:rFonts w:hint="eastAsia" w:asciiTheme="minorEastAsia" w:hAnsiTheme="minorEastAsia" w:eastAsiaTheme="minorEastAsia" w:cstheme="minorEastAsia"/>
          <w:bCs/>
          <w:color w:val="auto"/>
          <w:sz w:val="24"/>
          <w:highlight w:val="none"/>
        </w:rPr>
        <w:t>详细评审</w:t>
      </w:r>
      <w:r>
        <w:rPr>
          <w:rFonts w:hint="eastAsia" w:asciiTheme="minorEastAsia" w:hAnsiTheme="minorEastAsia" w:eastAsiaTheme="minorEastAsia" w:cstheme="minorEastAsia"/>
          <w:color w:val="auto"/>
          <w:sz w:val="24"/>
          <w:highlight w:val="none"/>
        </w:rPr>
        <w:t>结果汇总、确认，有不同意见书面阐述理由；</w:t>
      </w:r>
    </w:p>
    <w:p>
      <w:pPr>
        <w:spacing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b/>
          <w:bCs/>
          <w:color w:val="auto"/>
          <w:sz w:val="24"/>
          <w:highlight w:val="none"/>
        </w:rPr>
        <w:t xml:space="preserve"> </w:t>
      </w:r>
      <w:r>
        <w:rPr>
          <w:rFonts w:hint="eastAsia" w:asciiTheme="minorEastAsia" w:hAnsiTheme="minorEastAsia" w:eastAsiaTheme="minorEastAsia" w:cstheme="minorEastAsia"/>
          <w:color w:val="auto"/>
          <w:sz w:val="24"/>
          <w:highlight w:val="none"/>
          <w:lang w:eastAsia="zh-CN"/>
        </w:rPr>
        <w:t>投标报价</w:t>
      </w:r>
      <w:r>
        <w:rPr>
          <w:rFonts w:hint="eastAsia" w:asciiTheme="minorEastAsia" w:hAnsiTheme="minorEastAsia" w:eastAsiaTheme="minorEastAsia" w:cstheme="minorEastAsia"/>
          <w:color w:val="auto"/>
          <w:sz w:val="24"/>
          <w:highlight w:val="none"/>
        </w:rPr>
        <w:t>评审标准</w:t>
      </w:r>
      <w:bookmarkStart w:id="345" w:name="_Hlk497752621"/>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评标委员会</w:t>
      </w:r>
      <w:bookmarkEnd w:id="345"/>
      <w:r>
        <w:rPr>
          <w:rFonts w:hint="eastAsia" w:asciiTheme="minorEastAsia" w:hAnsiTheme="minorEastAsia" w:eastAsiaTheme="minorEastAsia" w:cstheme="minorEastAsia"/>
          <w:color w:val="auto"/>
          <w:sz w:val="24"/>
          <w:highlight w:val="none"/>
        </w:rPr>
        <w:t>依据评标办法前附表规定的评审标准进行审查、比较。</w:t>
      </w:r>
    </w:p>
    <w:p>
      <w:pPr>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4商务、</w:t>
      </w:r>
      <w:r>
        <w:rPr>
          <w:rFonts w:hint="eastAsia" w:asciiTheme="minorEastAsia" w:hAnsiTheme="minorEastAsia" w:eastAsiaTheme="minorEastAsia" w:cstheme="minorEastAsia"/>
          <w:color w:val="auto"/>
          <w:sz w:val="24"/>
          <w:highlight w:val="none"/>
          <w:lang w:eastAsia="zh-CN"/>
        </w:rPr>
        <w:t>技术部分评审标准：</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.1评标委员会按照评标办法前附表规定的</w:t>
      </w:r>
      <w:bookmarkStart w:id="346" w:name="_Hlk497753220"/>
      <w:r>
        <w:rPr>
          <w:rFonts w:hint="eastAsia" w:asciiTheme="minorEastAsia" w:hAnsiTheme="minorEastAsia" w:eastAsiaTheme="minorEastAsia" w:cstheme="minorEastAsia"/>
          <w:color w:val="auto"/>
          <w:sz w:val="24"/>
          <w:highlight w:val="none"/>
          <w:lang w:val="en-US" w:eastAsia="zh-CN"/>
        </w:rPr>
        <w:t>商务、</w:t>
      </w:r>
      <w:r>
        <w:rPr>
          <w:rFonts w:hint="eastAsia" w:asciiTheme="minorEastAsia" w:hAnsiTheme="minorEastAsia" w:eastAsiaTheme="minorEastAsia" w:cstheme="minorEastAsia"/>
          <w:color w:val="auto"/>
          <w:sz w:val="24"/>
          <w:highlight w:val="none"/>
          <w:lang w:eastAsia="zh-CN"/>
        </w:rPr>
        <w:t>技术</w:t>
      </w:r>
      <w:r>
        <w:rPr>
          <w:rFonts w:hint="eastAsia" w:asciiTheme="minorEastAsia" w:hAnsiTheme="minorEastAsia" w:eastAsiaTheme="minorEastAsia" w:cstheme="minorEastAsia"/>
          <w:color w:val="auto"/>
          <w:sz w:val="24"/>
          <w:highlight w:val="none"/>
        </w:rPr>
        <w:t>部分评审</w:t>
      </w:r>
      <w:bookmarkEnd w:id="346"/>
      <w:r>
        <w:rPr>
          <w:rFonts w:hint="eastAsia" w:asciiTheme="minorEastAsia" w:hAnsiTheme="minorEastAsia" w:eastAsiaTheme="minorEastAsia" w:cstheme="minorEastAsia"/>
          <w:color w:val="auto"/>
          <w:sz w:val="24"/>
          <w:highlight w:val="none"/>
        </w:rPr>
        <w:t>标准对投标文件中各评审因素和内容进行详细评审评分。</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2商务、</w:t>
      </w:r>
      <w:r>
        <w:rPr>
          <w:rFonts w:hint="eastAsia" w:asciiTheme="minorEastAsia" w:hAnsiTheme="minorEastAsia" w:eastAsiaTheme="minorEastAsia" w:cstheme="minorEastAsia"/>
          <w:color w:val="auto"/>
          <w:sz w:val="24"/>
          <w:highlight w:val="none"/>
          <w:lang w:eastAsia="zh-CN"/>
        </w:rPr>
        <w:t>技术</w:t>
      </w:r>
      <w:r>
        <w:rPr>
          <w:rFonts w:hint="eastAsia" w:asciiTheme="minorEastAsia" w:hAnsiTheme="minorEastAsia" w:eastAsiaTheme="minorEastAsia" w:cstheme="minorEastAsia"/>
          <w:color w:val="auto"/>
          <w:sz w:val="24"/>
          <w:highlight w:val="none"/>
        </w:rPr>
        <w:t>部分评审因素应首先认定主观因素和客观因素，已经认定为客观因素的，评标委员会的打分标准应当一致。已经认定为主观因素的，评标委员会的打分应当审慎，出现畸高、畸低的，应当说明理由。</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评标委员会认定投标文件的响应因素，应依据投标文件本身，按照证明材料、承诺、阐述的效力顺序和其完整性、真实性进行判断。</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2.8评标结果及评标报告</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kern w:val="0"/>
          <w:sz w:val="24"/>
          <w:highlight w:val="none"/>
        </w:rPr>
        <w:t>评标结果汇总完成后，除下列情形外，任何人不得修改评标结果：</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（一）分值汇总计算错误的；</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（二）分项评分超出评分标准范围的；</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（三）评标委员会成员对客观评审因素评分不一致的；</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（四）经评标委员会认定评分畸高、畸低的。</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rPr>
        <w:t>评标报告签署前，经复核发现存在以上情形之一的，评标委员会应当当场修改评标结果，并在评标报告中记载。</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kern w:val="0"/>
          <w:sz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kern w:val="0"/>
          <w:sz w:val="24"/>
          <w:highlight w:val="none"/>
        </w:rPr>
        <w:t>评标委员会根据全体评标成员签字的原始评标记录和评标结果编写评标报告。评标报告应当包括以下内容：</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（一）招标公告刊登的媒体名称、开标日期和地点；</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（二）</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名单和评标委员会成员名单；</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（三）评标方法和标准；</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（四）开标记录和评标情况及说明，包括无效</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名单及原因；</w:t>
      </w:r>
    </w:p>
    <w:p>
      <w:pPr>
        <w:widowControl/>
        <w:spacing w:line="360" w:lineRule="auto"/>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（五）</w:t>
      </w:r>
      <w:r>
        <w:rPr>
          <w:rFonts w:hint="eastAsia" w:asciiTheme="minorEastAsia" w:hAnsiTheme="minorEastAsia" w:eastAsiaTheme="minorEastAsia" w:cstheme="minorEastAsia"/>
          <w:color w:val="auto"/>
          <w:spacing w:val="-6"/>
          <w:kern w:val="0"/>
          <w:sz w:val="24"/>
          <w:highlight w:val="none"/>
        </w:rPr>
        <w:t>评标结果，确定的</w:t>
      </w:r>
      <w:r>
        <w:rPr>
          <w:rFonts w:hint="eastAsia" w:asciiTheme="minorEastAsia" w:hAnsiTheme="minorEastAsia" w:eastAsiaTheme="minorEastAsia" w:cstheme="minorEastAsia"/>
          <w:color w:val="auto"/>
          <w:spacing w:val="-6"/>
          <w:kern w:val="0"/>
          <w:sz w:val="24"/>
          <w:highlight w:val="none"/>
          <w:lang w:val="en-US" w:eastAsia="zh-CN"/>
        </w:rPr>
        <w:t>有效</w:t>
      </w:r>
      <w:r>
        <w:rPr>
          <w:rFonts w:hint="eastAsia" w:asciiTheme="minorEastAsia" w:hAnsiTheme="minorEastAsia" w:eastAsiaTheme="minorEastAsia" w:cstheme="minorEastAsia"/>
          <w:color w:val="auto"/>
          <w:spacing w:val="-6"/>
          <w:kern w:val="0"/>
          <w:sz w:val="24"/>
          <w:highlight w:val="none"/>
        </w:rPr>
        <w:t>中标候选人名单或者经采购人委托直接确定的中标人；</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rPr>
        <w:t>（六）其他需要说明的情况，包括评标过程中</w:t>
      </w:r>
      <w:r>
        <w:rPr>
          <w:rFonts w:hint="eastAsia" w:asciiTheme="minorEastAsia" w:hAnsiTheme="minorEastAsia" w:eastAsiaTheme="minorEastAsia" w:cstheme="minorEastAsia"/>
          <w:color w:val="auto"/>
          <w:kern w:val="0"/>
          <w:sz w:val="24"/>
          <w:highlight w:val="none"/>
          <w:lang w:eastAsia="zh-CN"/>
        </w:rPr>
        <w:t>供应商</w:t>
      </w:r>
      <w:r>
        <w:rPr>
          <w:rFonts w:hint="eastAsia" w:asciiTheme="minorEastAsia" w:hAnsiTheme="minorEastAsia" w:eastAsiaTheme="minorEastAsia" w:cstheme="minorEastAsia"/>
          <w:color w:val="auto"/>
          <w:kern w:val="0"/>
          <w:sz w:val="24"/>
          <w:highlight w:val="none"/>
        </w:rPr>
        <w:t>根据评标委员会要求进行的澄清、说明或者补正，评标委员会成员的更换等。</w:t>
      </w:r>
    </w:p>
    <w:p>
      <w:pPr>
        <w:widowControl/>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2.9推荐中标候选人</w:t>
      </w:r>
    </w:p>
    <w:p>
      <w:pPr>
        <w:widowControl/>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lang w:eastAsia="zh-CN"/>
        </w:rPr>
        <w:t>评标结果按评审后得分由高到低顺序排列。</w:t>
      </w:r>
      <w:r>
        <w:rPr>
          <w:rFonts w:hint="eastAsia" w:asciiTheme="minorEastAsia" w:hAnsiTheme="minorEastAsia" w:eastAsiaTheme="minorEastAsia" w:cstheme="minorEastAsia"/>
          <w:color w:val="auto"/>
          <w:sz w:val="24"/>
          <w:highlight w:val="none"/>
        </w:rPr>
        <w:t>评审得分相同的，</w:t>
      </w:r>
      <w:r>
        <w:rPr>
          <w:rFonts w:hint="eastAsia" w:asciiTheme="minorEastAsia" w:hAnsiTheme="minorEastAsia" w:eastAsiaTheme="minorEastAsia" w:cstheme="minorEastAsia"/>
          <w:color w:val="auto"/>
          <w:sz w:val="24"/>
          <w:highlight w:val="none"/>
          <w:lang w:eastAsia="zh-CN"/>
        </w:rPr>
        <w:t>按投标报价部分得分顺序</w:t>
      </w:r>
      <w:r>
        <w:rPr>
          <w:rFonts w:hint="eastAsia" w:asciiTheme="minorEastAsia" w:hAnsiTheme="minorEastAsia" w:eastAsiaTheme="minorEastAsia" w:cstheme="minorEastAsia"/>
          <w:color w:val="auto"/>
          <w:sz w:val="24"/>
          <w:highlight w:val="none"/>
        </w:rPr>
        <w:t>推荐</w:t>
      </w:r>
      <w:r>
        <w:rPr>
          <w:rFonts w:hint="eastAsia" w:asciiTheme="minorEastAsia" w:hAnsiTheme="minorEastAsia" w:eastAsiaTheme="minorEastAsia" w:cstheme="minorEastAsia"/>
          <w:color w:val="auto"/>
          <w:sz w:val="24"/>
          <w:highlight w:val="none"/>
          <w:lang w:eastAsia="zh-CN"/>
        </w:rPr>
        <w:t>中标候选人；仍然相同的，</w:t>
      </w:r>
      <w:r>
        <w:rPr>
          <w:rFonts w:hint="eastAsia" w:asciiTheme="minorEastAsia" w:hAnsiTheme="minorEastAsia" w:eastAsiaTheme="minorEastAsia" w:cstheme="minorEastAsia"/>
          <w:color w:val="auto"/>
          <w:sz w:val="24"/>
          <w:highlight w:val="none"/>
          <w:lang w:val="en-US" w:eastAsia="zh-CN"/>
        </w:rPr>
        <w:t>按商务、技术部分中的评审因素</w:t>
      </w:r>
      <w:r>
        <w:rPr>
          <w:rFonts w:hint="eastAsia" w:asciiTheme="minorEastAsia" w:hAnsiTheme="minorEastAsia" w:eastAsiaTheme="minorEastAsia" w:cstheme="minorEastAsia"/>
          <w:color w:val="auto"/>
          <w:sz w:val="24"/>
          <w:highlight w:val="none"/>
          <w:lang w:eastAsia="zh-CN"/>
        </w:rPr>
        <w:t>顺序</w:t>
      </w:r>
      <w:r>
        <w:rPr>
          <w:rFonts w:hint="eastAsia" w:asciiTheme="minorEastAsia" w:hAnsiTheme="minorEastAsia" w:eastAsiaTheme="minorEastAsia" w:cstheme="minorEastAsia"/>
          <w:color w:val="auto"/>
          <w:sz w:val="24"/>
          <w:highlight w:val="none"/>
          <w:lang w:val="en-US" w:eastAsia="zh-CN"/>
        </w:rPr>
        <w:t>得分高的供应商</w:t>
      </w:r>
      <w:r>
        <w:rPr>
          <w:rFonts w:hint="eastAsia" w:asciiTheme="minorEastAsia" w:hAnsiTheme="minorEastAsia" w:eastAsiaTheme="minorEastAsia" w:cstheme="minorEastAsia"/>
          <w:color w:val="auto"/>
          <w:sz w:val="24"/>
          <w:highlight w:val="none"/>
        </w:rPr>
        <w:t>推荐</w:t>
      </w:r>
      <w:r>
        <w:rPr>
          <w:rFonts w:hint="eastAsia" w:asciiTheme="minorEastAsia" w:hAnsiTheme="minorEastAsia" w:eastAsiaTheme="minorEastAsia" w:cstheme="minorEastAsia"/>
          <w:color w:val="auto"/>
          <w:sz w:val="24"/>
          <w:highlight w:val="none"/>
          <w:lang w:eastAsia="zh-CN"/>
        </w:rPr>
        <w:t>中标候选人。</w:t>
      </w:r>
    </w:p>
    <w:p>
      <w:pPr>
        <w:widowControl/>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2.9.2提供相同品牌产品（核心产品）（如有）且通过资格审查、符合性审查的不同供应商参加同一标段投标的，按一家供应商计算，评审后得分最高的同品牌供应商获得中标人推荐资格；评审得分相同的，投标报价部分得分高的供应商获得中标人推荐资格。</w:t>
      </w:r>
      <w:r>
        <w:rPr>
          <w:rFonts w:hint="eastAsia" w:asciiTheme="minorEastAsia" w:hAnsiTheme="minorEastAsia" w:eastAsiaTheme="minorEastAsia" w:cstheme="minorEastAsia"/>
          <w:color w:val="auto"/>
          <w:sz w:val="24"/>
          <w:highlight w:val="none"/>
          <w:lang w:eastAsia="zh-CN"/>
        </w:rPr>
        <w:t>仍然相同的，</w:t>
      </w:r>
      <w:r>
        <w:rPr>
          <w:rFonts w:hint="eastAsia" w:asciiTheme="minorEastAsia" w:hAnsiTheme="minorEastAsia" w:eastAsiaTheme="minorEastAsia" w:cstheme="minorEastAsia"/>
          <w:color w:val="auto"/>
          <w:sz w:val="24"/>
          <w:highlight w:val="none"/>
          <w:lang w:val="en-US" w:eastAsia="zh-CN"/>
        </w:rPr>
        <w:t>按商务、技术部分中的评审因素</w:t>
      </w:r>
      <w:r>
        <w:rPr>
          <w:rFonts w:hint="eastAsia" w:asciiTheme="minorEastAsia" w:hAnsiTheme="minorEastAsia" w:eastAsiaTheme="minorEastAsia" w:cstheme="minorEastAsia"/>
          <w:color w:val="auto"/>
          <w:sz w:val="24"/>
          <w:highlight w:val="none"/>
          <w:lang w:eastAsia="zh-CN"/>
        </w:rPr>
        <w:t>顺序</w:t>
      </w:r>
      <w:r>
        <w:rPr>
          <w:rFonts w:hint="eastAsia" w:asciiTheme="minorEastAsia" w:hAnsiTheme="minorEastAsia" w:eastAsiaTheme="minorEastAsia" w:cstheme="minorEastAsia"/>
          <w:color w:val="auto"/>
          <w:sz w:val="24"/>
          <w:highlight w:val="none"/>
          <w:lang w:val="en-US" w:eastAsia="zh-CN"/>
        </w:rPr>
        <w:t>得分高的供应商</w:t>
      </w:r>
      <w:r>
        <w:rPr>
          <w:rFonts w:hint="eastAsia" w:asciiTheme="minorEastAsia" w:hAnsiTheme="minorEastAsia" w:eastAsiaTheme="minorEastAsia" w:cstheme="minorEastAsia"/>
          <w:color w:val="auto"/>
          <w:sz w:val="24"/>
          <w:highlight w:val="none"/>
        </w:rPr>
        <w:t>推荐</w:t>
      </w:r>
      <w:r>
        <w:rPr>
          <w:rFonts w:hint="eastAsia" w:asciiTheme="minorEastAsia" w:hAnsiTheme="minorEastAsia" w:eastAsiaTheme="minorEastAsia" w:cstheme="minorEastAsia"/>
          <w:color w:val="auto"/>
          <w:sz w:val="24"/>
          <w:highlight w:val="none"/>
          <w:lang w:eastAsia="zh-CN"/>
        </w:rPr>
        <w:t>中标候选人。</w:t>
      </w:r>
    </w:p>
    <w:p>
      <w:pPr>
        <w:widowControl/>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评标委员会评审完成后，</w:t>
      </w:r>
      <w:r>
        <w:rPr>
          <w:rFonts w:hint="eastAsia" w:asciiTheme="minorEastAsia" w:hAnsiTheme="minorEastAsia" w:eastAsiaTheme="minorEastAsia" w:cstheme="minorEastAsia"/>
          <w:color w:val="auto"/>
          <w:sz w:val="24"/>
          <w:highlight w:val="none"/>
          <w:lang w:val="en-US" w:eastAsia="zh-CN"/>
        </w:rPr>
        <w:t>根据2.9.1、2.9.2款的排序顺序，向采购人推荐有效中标候选人</w:t>
      </w:r>
      <w:r>
        <w:rPr>
          <w:rFonts w:hint="eastAsia" w:asciiTheme="minorEastAsia" w:hAnsiTheme="minorEastAsia" w:eastAsiaTheme="minorEastAsia" w:cstheme="minorEastAsia"/>
          <w:color w:val="auto"/>
          <w:sz w:val="24"/>
          <w:highlight w:val="none"/>
        </w:rPr>
        <w:t>，并出具评标报告。</w:t>
      </w:r>
    </w:p>
    <w:p>
      <w:pPr>
        <w:widowControl/>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2.10确定中标人</w:t>
      </w:r>
    </w:p>
    <w:p>
      <w:pPr>
        <w:pStyle w:val="25"/>
        <w:tabs>
          <w:tab w:val="left" w:pos="2472"/>
        </w:tabs>
        <w:spacing w:line="360" w:lineRule="auto"/>
        <w:ind w:firstLine="480" w:firstLineChars="200"/>
        <w:rPr>
          <w:rFonts w:hint="eastAsia"/>
          <w:highlight w:val="none"/>
        </w:rPr>
      </w:pPr>
      <w:r>
        <w:rPr>
          <w:rFonts w:hint="eastAsia" w:asciiTheme="minorEastAsia" w:hAnsiTheme="minorEastAsia" w:eastAsiaTheme="minorEastAsia" w:cstheme="minorEastAsia"/>
          <w:color w:val="auto"/>
          <w:sz w:val="24"/>
          <w:highlight w:val="none"/>
        </w:rPr>
        <w:t>采购人根据评标委员会</w:t>
      </w:r>
      <w:r>
        <w:rPr>
          <w:rFonts w:hint="eastAsia" w:asciiTheme="minorEastAsia" w:hAnsiTheme="minorEastAsia" w:eastAsiaTheme="minorEastAsia" w:cstheme="minorEastAsia"/>
          <w:color w:val="auto"/>
          <w:sz w:val="24"/>
          <w:highlight w:val="none"/>
          <w:lang w:val="en-US" w:eastAsia="zh-CN"/>
        </w:rPr>
        <w:t>推荐的有效中标候选人顺序，</w:t>
      </w:r>
      <w:r>
        <w:rPr>
          <w:rFonts w:hint="eastAsia" w:asciiTheme="minorEastAsia" w:hAnsiTheme="minorEastAsia" w:eastAsiaTheme="minorEastAsia" w:cstheme="minorEastAsia"/>
          <w:color w:val="auto"/>
          <w:sz w:val="24"/>
          <w:highlight w:val="none"/>
        </w:rPr>
        <w:t>确定中标人。</w:t>
      </w:r>
    </w:p>
    <w:p>
      <w:pPr>
        <w:pStyle w:val="25"/>
        <w:tabs>
          <w:tab w:val="left" w:pos="2472"/>
        </w:tabs>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3</w:t>
      </w:r>
      <w:r>
        <w:rPr>
          <w:rFonts w:hint="eastAsia" w:asciiTheme="minorEastAsia" w:hAnsiTheme="minorEastAsia" w:eastAsiaTheme="minorEastAsia" w:cstheme="minorEastAsia"/>
          <w:b/>
          <w:bCs/>
          <w:color w:val="auto"/>
          <w:sz w:val="24"/>
          <w:highlight w:val="none"/>
        </w:rPr>
        <w:t>.政府采购政策：</w:t>
      </w:r>
    </w:p>
    <w:p>
      <w:pPr>
        <w:adjustRightInd w:val="0"/>
        <w:spacing w:line="360" w:lineRule="auto"/>
        <w:ind w:firstLine="482" w:firstLineChars="200"/>
        <w:rPr>
          <w:rFonts w:hint="eastAsia" w:asciiTheme="minorEastAsia" w:hAnsiTheme="minorEastAsia" w:eastAsiaTheme="minorEastAsia" w:cstheme="minorEastAsia"/>
          <w:b/>
          <w:bCs/>
          <w:color w:val="auto"/>
          <w:sz w:val="24"/>
          <w:highlight w:val="none"/>
          <w:lang w:val="en-US" w:eastAsia="zh-CN"/>
        </w:rPr>
      </w:pPr>
      <w:bookmarkStart w:id="347" w:name="_Toc9394"/>
      <w:bookmarkStart w:id="348" w:name="OLE_LINK34"/>
      <w:r>
        <w:rPr>
          <w:rFonts w:hint="eastAsia" w:asciiTheme="minorEastAsia" w:hAnsiTheme="minorEastAsia" w:eastAsiaTheme="minorEastAsia" w:cstheme="minorEastAsia"/>
          <w:b/>
          <w:bCs/>
          <w:color w:val="auto"/>
          <w:sz w:val="24"/>
          <w:highlight w:val="none"/>
          <w:lang w:val="en-US" w:eastAsia="zh-CN"/>
        </w:rPr>
        <w:t>3.1中小企业</w:t>
      </w:r>
    </w:p>
    <w:p>
      <w:pPr>
        <w:adjustRightInd w:val="0"/>
        <w:spacing w:line="480" w:lineRule="exact"/>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rPr>
        <w:t>.1.1 根据《关于印发《政府采购促进中小企业发展管理办法》的通知》（财库〔2020〕46 号）和《关于进一步加大政府采购支持中小企业力度的通知》（财库〔2022〕19 号）的规定，在政府采购活动中，</w:t>
      </w:r>
      <w:r>
        <w:rPr>
          <w:rFonts w:hint="eastAsia" w:asciiTheme="minorEastAsia" w:hAnsiTheme="minorEastAsia" w:eastAsiaTheme="minorEastAsia" w:cstheme="minorEastAsia"/>
          <w:bCs/>
          <w:color w:val="auto"/>
          <w:sz w:val="24"/>
          <w:highlight w:val="none"/>
          <w:lang w:eastAsia="zh-CN"/>
        </w:rPr>
        <w:t>供应商</w:t>
      </w:r>
      <w:r>
        <w:rPr>
          <w:rFonts w:hint="eastAsia" w:asciiTheme="minorEastAsia" w:hAnsiTheme="minorEastAsia" w:eastAsiaTheme="minorEastAsia" w:cstheme="minorEastAsia"/>
          <w:bCs/>
          <w:color w:val="auto"/>
          <w:sz w:val="24"/>
          <w:highlight w:val="none"/>
        </w:rPr>
        <w:t>提供的货物、工程或者服务符合下列情形的，享受本办法规定的中小企业扶持政策：</w:t>
      </w:r>
    </w:p>
    <w:p>
      <w:pPr>
        <w:adjustRightInd w:val="0"/>
        <w:spacing w:line="480" w:lineRule="exact"/>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（一）在货物采购项目中，货物由中小企业制造，即货物由中小企业生产且使用该中小企业商号或者注册商标；</w:t>
      </w:r>
    </w:p>
    <w:p>
      <w:pPr>
        <w:adjustRightInd w:val="0"/>
        <w:spacing w:line="480" w:lineRule="exact"/>
        <w:ind w:firstLine="456" w:firstLineChars="200"/>
        <w:rPr>
          <w:rFonts w:hint="eastAsia" w:asciiTheme="minorEastAsia" w:hAnsiTheme="minorEastAsia" w:eastAsiaTheme="minorEastAsia" w:cstheme="minorEastAsia"/>
          <w:bCs/>
          <w:color w:val="auto"/>
          <w:spacing w:val="-6"/>
          <w:sz w:val="24"/>
          <w:highlight w:val="none"/>
        </w:rPr>
      </w:pPr>
      <w:r>
        <w:rPr>
          <w:rFonts w:hint="eastAsia" w:asciiTheme="minorEastAsia" w:hAnsiTheme="minorEastAsia" w:eastAsiaTheme="minorEastAsia" w:cstheme="minorEastAsia"/>
          <w:bCs/>
          <w:color w:val="auto"/>
          <w:spacing w:val="-6"/>
          <w:sz w:val="24"/>
          <w:highlight w:val="none"/>
        </w:rPr>
        <w:t>（二）在工程采购项目中，工程由中小企业承建，即工程施工单位为中小企业；</w:t>
      </w:r>
    </w:p>
    <w:p>
      <w:pPr>
        <w:adjustRightInd w:val="0"/>
        <w:spacing w:line="480" w:lineRule="exact"/>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（三）在服务采购项目中，服务由中小企业承接，即提供服务的人员为中小企业依照《中华人民共和国劳动合同法》订立劳动合同的从业人员。</w:t>
      </w:r>
    </w:p>
    <w:p>
      <w:pPr>
        <w:adjustRightInd w:val="0"/>
        <w:spacing w:line="480" w:lineRule="exact"/>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在货物采购项目中，</w:t>
      </w:r>
      <w:r>
        <w:rPr>
          <w:rFonts w:hint="eastAsia" w:asciiTheme="minorEastAsia" w:hAnsiTheme="minorEastAsia" w:eastAsiaTheme="minorEastAsia" w:cstheme="minorEastAsia"/>
          <w:bCs/>
          <w:color w:val="auto"/>
          <w:sz w:val="24"/>
          <w:highlight w:val="none"/>
          <w:lang w:eastAsia="zh-CN"/>
        </w:rPr>
        <w:t>供应商</w:t>
      </w:r>
      <w:r>
        <w:rPr>
          <w:rFonts w:hint="eastAsia" w:asciiTheme="minorEastAsia" w:hAnsiTheme="minorEastAsia" w:eastAsiaTheme="minorEastAsia" w:cstheme="minorEastAsia"/>
          <w:bCs/>
          <w:color w:val="auto"/>
          <w:sz w:val="24"/>
          <w:highlight w:val="none"/>
        </w:rPr>
        <w:t>提供的货物既有中小企业制造货物，也有大型企业制造货物的，不享受本办法规定的中小企业扶持政策。</w:t>
      </w:r>
    </w:p>
    <w:p>
      <w:pPr>
        <w:adjustRightInd w:val="0"/>
        <w:spacing w:line="480" w:lineRule="exact"/>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以联合体形式参加政府采购活动，联合体各方均为中小企业的，联合体视同中小企业。其中，联合体各方均为小微企业的，联合体视同小微企业。</w:t>
      </w:r>
    </w:p>
    <w:p>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中小企业参加政府采购活动，应当出具《关于印发&lt;政府采购促进中小企业发展管理办法&gt;的通知》（财库〔2020〕46号）规定的《中小企业声明函》，否则不得享受相关中小企业扶持政策。</w:t>
      </w:r>
    </w:p>
    <w:p>
      <w:pPr>
        <w:adjustRightInd w:val="0"/>
        <w:spacing w:line="480" w:lineRule="exact"/>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rPr>
        <w:t>.1.</w:t>
      </w:r>
      <w:r>
        <w:rPr>
          <w:rFonts w:hint="eastAsia" w:asciiTheme="minorEastAsia" w:hAnsiTheme="minorEastAsia" w:eastAsiaTheme="minorEastAsia" w:cstheme="minorEastAsia"/>
          <w:bCs/>
          <w:color w:val="auto"/>
          <w:sz w:val="24"/>
          <w:highlight w:val="none"/>
          <w:lang w:val="en-US" w:eastAsia="zh-CN"/>
        </w:rPr>
        <w:t>2</w:t>
      </w:r>
      <w:r>
        <w:rPr>
          <w:rFonts w:hint="eastAsia" w:asciiTheme="minorEastAsia" w:hAnsiTheme="minorEastAsia" w:eastAsiaTheme="minorEastAsia" w:cstheme="minorEastAsia"/>
          <w:bCs/>
          <w:color w:val="auto"/>
          <w:sz w:val="24"/>
          <w:highlight w:val="none"/>
        </w:rPr>
        <w:t>规定依据《关于印发&lt;政府采购促进中小企业发展管理办法&gt;的通知》（财库〔2020〕46号）规定享受扶持政策获得政府采购合同的，小微企业不得将合同分包给大中型企业，中型企业不得将合同分包给大型企业。</w:t>
      </w:r>
    </w:p>
    <w:p>
      <w:pPr>
        <w:adjustRightInd w:val="0"/>
        <w:spacing w:line="480" w:lineRule="exact"/>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lang w:val="zh-CN" w:eastAsia="zh-CN"/>
        </w:rPr>
        <w:t>.1.</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lang w:val="zh-CN" w:eastAsia="zh-CN"/>
        </w:rPr>
        <w:t xml:space="preserve"> </w:t>
      </w:r>
      <w:r>
        <w:rPr>
          <w:rFonts w:hint="eastAsia" w:asciiTheme="minorEastAsia" w:hAnsiTheme="minorEastAsia" w:eastAsiaTheme="minorEastAsia" w:cstheme="minorEastAsia"/>
          <w:bCs/>
          <w:color w:val="auto"/>
          <w:sz w:val="24"/>
          <w:highlight w:val="none"/>
        </w:rPr>
        <w:t>本项目针对小微企业报价给予</w:t>
      </w:r>
      <w:r>
        <w:rPr>
          <w:rFonts w:hint="eastAsia" w:asciiTheme="minorEastAsia" w:hAnsiTheme="minorEastAsia" w:eastAsiaTheme="minorEastAsia" w:cstheme="minorEastAsia"/>
          <w:b/>
          <w:bCs w:val="0"/>
          <w:color w:val="auto"/>
          <w:sz w:val="24"/>
          <w:highlight w:val="none"/>
          <w:lang w:val="en-US" w:eastAsia="zh-CN"/>
        </w:rPr>
        <w:t>10</w:t>
      </w:r>
      <w:r>
        <w:rPr>
          <w:rFonts w:hint="eastAsia" w:asciiTheme="minorEastAsia" w:hAnsiTheme="minorEastAsia" w:eastAsiaTheme="minorEastAsia" w:cstheme="minorEastAsia"/>
          <w:b/>
          <w:bCs w:val="0"/>
          <w:color w:val="auto"/>
          <w:sz w:val="24"/>
          <w:highlight w:val="none"/>
        </w:rPr>
        <w:t>%</w:t>
      </w:r>
      <w:r>
        <w:rPr>
          <w:rFonts w:hint="eastAsia" w:asciiTheme="minorEastAsia" w:hAnsiTheme="minorEastAsia" w:eastAsiaTheme="minorEastAsia" w:cstheme="minorEastAsia"/>
          <w:bCs/>
          <w:color w:val="auto"/>
          <w:sz w:val="24"/>
          <w:highlight w:val="none"/>
        </w:rPr>
        <w:t>的扣除，用扣除后的价格参与评审。</w:t>
      </w:r>
    </w:p>
    <w:p>
      <w:pPr>
        <w:adjustRightInd w:val="0"/>
        <w:spacing w:line="480" w:lineRule="exact"/>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rPr>
        <w:t>.1.</w:t>
      </w:r>
      <w:r>
        <w:rPr>
          <w:rFonts w:hint="eastAsia" w:asciiTheme="minorEastAsia" w:hAnsiTheme="minorEastAsia" w:eastAsiaTheme="minorEastAsia" w:cstheme="minorEastAsia"/>
          <w:bCs/>
          <w:color w:val="auto"/>
          <w:sz w:val="24"/>
          <w:highlight w:val="none"/>
          <w:lang w:val="en-US" w:eastAsia="zh-CN"/>
        </w:rPr>
        <w:t>4</w:t>
      </w:r>
      <w:r>
        <w:rPr>
          <w:rFonts w:hint="eastAsia" w:asciiTheme="minorEastAsia" w:hAnsiTheme="minorEastAsia" w:eastAsiaTheme="minorEastAsia" w:cstheme="minorEastAsia"/>
          <w:bCs/>
          <w:color w:val="auto"/>
          <w:sz w:val="24"/>
          <w:highlight w:val="none"/>
        </w:rPr>
        <w:t>本规定所称中小企业，是指在中华人民共和国境内依法设立，依据工信部联企业〔2011〕300号</w:t>
      </w:r>
      <w:r>
        <w:rPr>
          <w:rFonts w:hint="eastAsia" w:asciiTheme="minorEastAsia" w:hAnsiTheme="minorEastAsia" w:eastAsiaTheme="minorEastAsia" w:cstheme="minorEastAsia"/>
          <w:color w:val="auto"/>
          <w:sz w:val="24"/>
          <w:highlight w:val="none"/>
          <w:shd w:val="clear" w:color="auto" w:fill="FFFFFF"/>
        </w:rPr>
        <w:t>《中小企业划型标准规定》确定</w:t>
      </w:r>
      <w:r>
        <w:rPr>
          <w:rFonts w:hint="eastAsia" w:asciiTheme="minorEastAsia" w:hAnsiTheme="minorEastAsia" w:eastAsiaTheme="minorEastAsia" w:cstheme="minorEastAsia"/>
          <w:bCs/>
          <w:color w:val="auto"/>
          <w:sz w:val="24"/>
          <w:highlight w:val="none"/>
        </w:rPr>
        <w:t xml:space="preserve">的中型企业、小型企业和微型企业，但与大企业的负责人为同一人，或者与大企业存在直接控股、管理关系的除外。符合中小企业划分标准的个体工商户，在政府采购活动中视同中小企业。 </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rPr>
        <w:t>.1.</w:t>
      </w:r>
      <w:r>
        <w:rPr>
          <w:rFonts w:hint="eastAsia" w:asciiTheme="minorEastAsia" w:hAnsiTheme="minorEastAsia" w:eastAsiaTheme="minorEastAsia" w:cstheme="minorEastAsia"/>
          <w:bCs/>
          <w:color w:val="auto"/>
          <w:sz w:val="24"/>
          <w:highlight w:val="none"/>
          <w:lang w:val="en-US" w:eastAsia="zh-CN"/>
        </w:rPr>
        <w:t>4</w:t>
      </w:r>
      <w:r>
        <w:rPr>
          <w:rFonts w:hint="eastAsia" w:asciiTheme="minorEastAsia" w:hAnsiTheme="minorEastAsia" w:eastAsiaTheme="minorEastAsia" w:cstheme="minorEastAsia"/>
          <w:bCs/>
          <w:color w:val="auto"/>
          <w:sz w:val="24"/>
          <w:highlight w:val="none"/>
        </w:rPr>
        <w:t>.1中小企业划分为中型、小型、微型三种类型，具体标准根据企业从业人员、营业收入、资产总额等指标，结合行业特点制定。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bCs/>
          <w:color w:val="auto"/>
          <w:spacing w:val="-6"/>
          <w:sz w:val="24"/>
          <w:highlight w:val="none"/>
        </w:rPr>
        <w:t>1.</w:t>
      </w:r>
      <w:r>
        <w:rPr>
          <w:rFonts w:hint="eastAsia" w:asciiTheme="minorEastAsia" w:hAnsiTheme="minorEastAsia" w:eastAsiaTheme="minorEastAsia" w:cstheme="minorEastAsia"/>
          <w:bCs/>
          <w:color w:val="auto"/>
          <w:spacing w:val="-6"/>
          <w:sz w:val="24"/>
          <w:highlight w:val="none"/>
          <w:lang w:val="en-US" w:eastAsia="zh-CN"/>
        </w:rPr>
        <w:t>4</w:t>
      </w:r>
      <w:r>
        <w:rPr>
          <w:rFonts w:hint="eastAsia" w:asciiTheme="minorEastAsia" w:hAnsiTheme="minorEastAsia" w:eastAsiaTheme="minorEastAsia" w:cstheme="minorEastAsia"/>
          <w:bCs/>
          <w:color w:val="auto"/>
          <w:spacing w:val="-6"/>
          <w:sz w:val="24"/>
          <w:highlight w:val="none"/>
        </w:rPr>
        <w:t>.2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w:t>
      </w:r>
      <w:bookmarkStart w:id="349" w:name="OLE_LINK47"/>
      <w:r>
        <w:rPr>
          <w:rFonts w:hint="eastAsia" w:asciiTheme="minorEastAsia" w:hAnsiTheme="minorEastAsia" w:eastAsiaTheme="minorEastAsia" w:cstheme="minorEastAsia"/>
          <w:bCs/>
          <w:color w:val="auto"/>
          <w:sz w:val="24"/>
          <w:highlight w:val="none"/>
        </w:rPr>
        <w:t>　</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rPr>
        <w:t>.1.</w:t>
      </w:r>
      <w:r>
        <w:rPr>
          <w:rFonts w:hint="eastAsia" w:asciiTheme="minorEastAsia" w:hAnsiTheme="minorEastAsia" w:eastAsiaTheme="minorEastAsia" w:cstheme="minorEastAsia"/>
          <w:bCs/>
          <w:color w:val="auto"/>
          <w:sz w:val="24"/>
          <w:highlight w:val="none"/>
          <w:lang w:val="en-US" w:eastAsia="zh-CN"/>
        </w:rPr>
        <w:t>4</w:t>
      </w:r>
      <w:r>
        <w:rPr>
          <w:rFonts w:hint="eastAsia" w:asciiTheme="minorEastAsia" w:hAnsiTheme="minorEastAsia" w:eastAsiaTheme="minorEastAsia" w:cstheme="minorEastAsia"/>
          <w:bCs/>
          <w:color w:val="auto"/>
          <w:sz w:val="24"/>
          <w:highlight w:val="none"/>
        </w:rPr>
        <w:t>.3</w:t>
      </w:r>
      <w:bookmarkEnd w:id="349"/>
      <w:r>
        <w:rPr>
          <w:rFonts w:hint="eastAsia" w:asciiTheme="minorEastAsia" w:hAnsiTheme="minorEastAsia" w:eastAsiaTheme="minorEastAsia" w:cstheme="minorEastAsia"/>
          <w:bCs/>
          <w:color w:val="auto"/>
          <w:sz w:val="24"/>
          <w:highlight w:val="none"/>
        </w:rPr>
        <w:t>各行业划型标准为：</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heme="minorEastAsia" w:hAnsiTheme="minorEastAsia" w:eastAsiaTheme="minorEastAsia" w:cstheme="minorEastAsia"/>
          <w:bCs/>
          <w:color w:val="auto"/>
          <w:sz w:val="24"/>
          <w:highlight w:val="none"/>
        </w:rPr>
        <w:br w:type="textWrapping"/>
      </w:r>
      <w:r>
        <w:rPr>
          <w:rFonts w:hint="eastAsia" w:asciiTheme="minorEastAsia" w:hAnsiTheme="minorEastAsia" w:eastAsiaTheme="minorEastAsia" w:cstheme="minorEastAsia"/>
          <w:bCs/>
          <w:color w:val="auto"/>
          <w:sz w:val="24"/>
          <w:highlight w:val="none"/>
        </w:rPr>
        <w:t>　</w:t>
      </w:r>
      <w:r>
        <w:rPr>
          <w:rFonts w:hint="eastAsia" w:asciiTheme="minorEastAsia" w:hAnsiTheme="minorEastAsia" w:eastAsiaTheme="minorEastAsia" w:cstheme="minorEastAsia"/>
          <w:color w:val="auto"/>
          <w:sz w:val="24"/>
          <w:highlight w:val="none"/>
          <w:lang w:val="en-US" w:eastAsia="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heme="minorEastAsia" w:hAnsiTheme="minorEastAsia" w:eastAsiaTheme="minorEastAsia" w:cstheme="minorEastAsia"/>
          <w:color w:val="auto"/>
          <w:sz w:val="24"/>
          <w:highlight w:val="none"/>
          <w:lang w:val="en-US" w:eastAsia="zh-CN"/>
        </w:rPr>
        <w:br w:type="textWrapping"/>
      </w:r>
      <w:r>
        <w:rPr>
          <w:rFonts w:hint="eastAsia" w:asciiTheme="minorEastAsia" w:hAnsiTheme="minorEastAsia" w:eastAsiaTheme="minorEastAsia" w:cstheme="minorEastAsia"/>
          <w:color w:val="auto"/>
          <w:sz w:val="24"/>
          <w:highlight w:val="none"/>
          <w:lang w:val="en-US" w:eastAsia="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heme="minorEastAsia" w:hAnsiTheme="minorEastAsia" w:eastAsiaTheme="minorEastAsia" w:cstheme="minorEastAsia"/>
          <w:color w:val="auto"/>
          <w:sz w:val="24"/>
          <w:highlight w:val="none"/>
          <w:lang w:val="en-US" w:eastAsia="zh-CN"/>
        </w:rPr>
        <w:br w:type="textWrapping"/>
      </w:r>
      <w:r>
        <w:rPr>
          <w:rFonts w:hint="eastAsia" w:asciiTheme="minorEastAsia" w:hAnsiTheme="minorEastAsia" w:eastAsiaTheme="minorEastAsia" w:cstheme="minorEastAsia"/>
          <w:color w:val="auto"/>
          <w:sz w:val="24"/>
          <w:highlight w:val="none"/>
          <w:lang w:val="en-US" w:eastAsia="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heme="minorEastAsia" w:hAnsiTheme="minorEastAsia" w:eastAsiaTheme="minorEastAsia" w:cstheme="minorEastAsia"/>
          <w:color w:val="auto"/>
          <w:sz w:val="24"/>
          <w:highlight w:val="none"/>
          <w:lang w:val="en-US" w:eastAsia="zh-CN"/>
        </w:rPr>
        <w:br w:type="textWrapping"/>
      </w:r>
      <w:r>
        <w:rPr>
          <w:rFonts w:hint="eastAsia" w:asciiTheme="minorEastAsia" w:hAnsiTheme="minorEastAsia" w:eastAsiaTheme="minorEastAsia" w:cstheme="minorEastAsia"/>
          <w:color w:val="auto"/>
          <w:sz w:val="24"/>
          <w:highlight w:val="none"/>
          <w:lang w:val="en-US" w:eastAsia="zh-CN"/>
        </w:rPr>
        <w:t>　　（十六）其他未列明行业。从业人员300人以下的为中小微型企业。其中，从业人员100人及以上的为中型企业；从业人员10人及以上的为小型企业；从业人员10人以下的为微型企业。</w:t>
      </w:r>
    </w:p>
    <w:p>
      <w:pPr>
        <w:adjustRightInd w:val="0"/>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b/>
          <w:bCs/>
          <w:color w:val="auto"/>
          <w:sz w:val="24"/>
          <w:highlight w:val="none"/>
          <w:lang w:val="en-US" w:eastAsia="zh-CN"/>
        </w:rPr>
        <w:t xml:space="preserve"> </w:t>
      </w:r>
      <w:r>
        <w:rPr>
          <w:rFonts w:hint="eastAsia" w:asciiTheme="minorEastAsia" w:hAnsiTheme="minorEastAsia" w:eastAsiaTheme="minorEastAsia" w:cstheme="minorEastAsia"/>
          <w:b w:val="0"/>
          <w:bCs w:val="0"/>
          <w:color w:val="auto"/>
          <w:sz w:val="24"/>
          <w:highlight w:val="none"/>
          <w:lang w:val="en-US" w:eastAsia="zh-CN"/>
        </w:rPr>
        <w:t>3.1.4.4中标、成交供应商享受本办法规定的中小企业扶持政策的，采购人、采购代理机构应当随中标、成交结果公示中标、成交供应商的《中小企业声明函》。供应商按照本办法规定提供声明函内容不实的，属于提供虚假材料谋取中标、成交，依照《中华人民共和国政府采购法》等国家有关规定追究相应责任。</w:t>
      </w:r>
    </w:p>
    <w:p>
      <w:pPr>
        <w:adjustRightInd w:val="0"/>
        <w:spacing w:line="360" w:lineRule="auto"/>
        <w:ind w:firstLine="480" w:firstLineChars="200"/>
        <w:jc w:val="left"/>
        <w:rPr>
          <w:rFonts w:hint="default"/>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  3.1.5企业类型的划分以统计部门的统计数据为依据。</w:t>
      </w:r>
      <w:r>
        <w:rPr>
          <w:rFonts w:hint="eastAsia" w:asciiTheme="minorEastAsia" w:hAnsiTheme="minorEastAsia" w:eastAsiaTheme="minorEastAsia" w:cstheme="minorEastAsia"/>
          <w:color w:val="auto"/>
          <w:sz w:val="24"/>
          <w:highlight w:val="none"/>
          <w:lang w:val="en-US" w:eastAsia="zh-CN"/>
        </w:rPr>
        <w:br w:type="textWrapping"/>
      </w:r>
      <w:r>
        <w:rPr>
          <w:rFonts w:hint="eastAsia" w:asciiTheme="minorEastAsia" w:hAnsiTheme="minorEastAsia" w:eastAsiaTheme="minorEastAsia" w:cstheme="minorEastAsia"/>
          <w:color w:val="auto"/>
          <w:sz w:val="24"/>
          <w:highlight w:val="none"/>
          <w:lang w:val="en-US" w:eastAsia="zh-CN"/>
        </w:rPr>
        <w:t>　    3.1.6本规定适用于在中华人民共和国境内依法设立的各类所有制和各种组织形式的企业。个体工商户和本规定以外的行业，参照本规定进行划型。</w:t>
      </w:r>
      <w:r>
        <w:rPr>
          <w:rFonts w:hint="eastAsia" w:asciiTheme="minorEastAsia" w:hAnsiTheme="minorEastAsia" w:eastAsiaTheme="minorEastAsia" w:cstheme="minorEastAsia"/>
          <w:color w:val="auto"/>
          <w:sz w:val="24"/>
          <w:highlight w:val="none"/>
          <w:lang w:val="en-US" w:eastAsia="zh-CN"/>
        </w:rPr>
        <w:br w:type="textWrapping"/>
      </w:r>
      <w:r>
        <w:rPr>
          <w:rFonts w:hint="eastAsia" w:asciiTheme="minorEastAsia" w:hAnsiTheme="minorEastAsia" w:eastAsiaTheme="minorEastAsia" w:cstheme="minorEastAsia"/>
          <w:color w:val="auto"/>
          <w:sz w:val="24"/>
          <w:highlight w:val="none"/>
          <w:lang w:val="en-US" w:eastAsia="zh-CN"/>
        </w:rPr>
        <w:t>　    3.1.7本规定的中型企业标准上限即为大型企业标准的下限，国家统计部门据此制定大中小微型企业的统计分类。国务院有关部门据此进行相关数据分析，不得制定与本规定不一致的企业划型标准。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Theme="minorEastAsia" w:hAnsiTheme="minorEastAsia" w:eastAsiaTheme="minorEastAsia" w:cstheme="minorEastAsia"/>
          <w:color w:val="auto"/>
          <w:sz w:val="24"/>
          <w:highlight w:val="none"/>
          <w:lang w:val="en-US" w:eastAsia="zh-CN"/>
        </w:rPr>
        <w:br w:type="textWrapping"/>
      </w:r>
      <w:r>
        <w:rPr>
          <w:rFonts w:hint="eastAsia" w:asciiTheme="minorEastAsia" w:hAnsiTheme="minorEastAsia" w:eastAsiaTheme="minorEastAsia" w:cstheme="minorEastAsia"/>
          <w:color w:val="auto"/>
          <w:sz w:val="24"/>
          <w:highlight w:val="none"/>
          <w:lang w:val="en-US" w:eastAsia="zh-CN"/>
        </w:rPr>
        <w:t>　　3.1.8本规定由工业和信息化部、国家统计局会同有关部门根据《国民经济行业分类》修订情况和企业发展变化情况适时修订。</w:t>
      </w:r>
      <w:r>
        <w:rPr>
          <w:rFonts w:hint="eastAsia" w:asciiTheme="minorEastAsia" w:hAnsiTheme="minorEastAsia" w:eastAsiaTheme="minorEastAsia" w:cstheme="minorEastAsia"/>
          <w:color w:val="auto"/>
          <w:sz w:val="24"/>
          <w:highlight w:val="none"/>
          <w:lang w:val="en-US" w:eastAsia="zh-CN"/>
        </w:rPr>
        <w:br w:type="textWrapping"/>
      </w:r>
      <w:r>
        <w:rPr>
          <w:rFonts w:hint="eastAsia" w:asciiTheme="minorEastAsia" w:hAnsiTheme="minorEastAsia" w:eastAsiaTheme="minorEastAsia" w:cstheme="minorEastAsia"/>
          <w:color w:val="auto"/>
          <w:sz w:val="24"/>
          <w:highlight w:val="none"/>
          <w:lang w:val="en-US" w:eastAsia="zh-CN"/>
        </w:rPr>
        <w:t>　　3.1.9本规定由工业和信息化部、国家统计局会同有关部门负责解释。</w:t>
      </w:r>
      <w:r>
        <w:rPr>
          <w:rFonts w:hint="eastAsia" w:asciiTheme="minorEastAsia" w:hAnsiTheme="minorEastAsia" w:eastAsiaTheme="minorEastAsia" w:cstheme="minorEastAsia"/>
          <w:color w:val="auto"/>
          <w:sz w:val="24"/>
          <w:highlight w:val="none"/>
          <w:lang w:val="en-US" w:eastAsia="zh-CN"/>
        </w:rPr>
        <w:br w:type="textWrapping"/>
      </w:r>
      <w:r>
        <w:rPr>
          <w:rFonts w:hint="eastAsia" w:asciiTheme="minorEastAsia" w:hAnsiTheme="minorEastAsia" w:eastAsiaTheme="minorEastAsia" w:cstheme="minorEastAsia"/>
          <w:color w:val="auto"/>
          <w:sz w:val="24"/>
          <w:highlight w:val="none"/>
          <w:lang w:val="en-US" w:eastAsia="zh-CN"/>
        </w:rPr>
        <w:t>　　3.1.10本规定自发布之日起执行，原国家经贸委、原国家计委、财政部和国家统计局2003年颁布的《中小企业标准暂行规定》同时废止。</w:t>
      </w:r>
    </w:p>
    <w:p>
      <w:pPr>
        <w:adjustRightInd w:val="0"/>
        <w:spacing w:line="360" w:lineRule="auto"/>
        <w:ind w:firstLine="482" w:firstLineChars="200"/>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3.2监狱企业</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adjustRightInd w:val="0"/>
        <w:spacing w:line="360" w:lineRule="auto"/>
        <w:ind w:firstLine="482" w:firstLineChars="200"/>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3.3残疾人福利性单位</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.3.1根据《财政部 民政部 中国残疾人联合会关于促进残疾人就业政府采购政策的通知》</w:t>
      </w:r>
      <w:r>
        <w:rPr>
          <w:rFonts w:hint="eastAsia" w:ascii="宋体" w:hAnsi="宋体" w:eastAsia="宋体" w:cs="宋体"/>
          <w:color w:val="auto"/>
          <w:sz w:val="24"/>
          <w:szCs w:val="24"/>
          <w:highlight w:val="none"/>
          <w:lang w:val="en-US" w:eastAsia="zh-CN"/>
        </w:rPr>
        <w:t>（财库〔201</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141</w:t>
      </w:r>
      <w:r>
        <w:rPr>
          <w:rFonts w:hint="eastAsia" w:ascii="宋体" w:hAnsi="宋体" w:eastAsia="宋体" w:cs="宋体"/>
          <w:color w:val="auto"/>
          <w:sz w:val="24"/>
          <w:szCs w:val="24"/>
          <w:highlight w:val="none"/>
          <w:lang w:val="en-US" w:eastAsia="zh-CN"/>
        </w:rPr>
        <w:t xml:space="preserve"> 号）</w:t>
      </w:r>
      <w:r>
        <w:rPr>
          <w:rFonts w:hint="eastAsia" w:asciiTheme="minorEastAsia" w:hAnsiTheme="minorEastAsia" w:eastAsiaTheme="minorEastAsia" w:cstheme="minorEastAsia"/>
          <w:color w:val="auto"/>
          <w:sz w:val="24"/>
          <w:highlight w:val="none"/>
        </w:rPr>
        <w:t>，享受政府采购支持政策的残疾人福利性单位应当同时满足以下条件：</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（1）安置的残疾人占本单位在职职工人数的比例不低于25%（含25%），并且安置的残疾人人数不少于10人（含10人）；</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（2）依法与安置的每位残疾人签订了一年以上（含一年）的劳动合同或服务协议；</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（3）为安置的每位残疾人按月足额缴纳了基本养老保险、基本医疗保险、失业保险、工伤保险和生育保险等社会保险费；</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（4）通过银行等金融机构向安置的每位残疾人，按月支付了不低于单位所在区县适用的经省级人民政府批准的月最低工资标准的工资；</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（5）提供本单位制造的货物、承担的工程或者服务（以下简称</w:t>
      </w:r>
      <w:r>
        <w:rPr>
          <w:rFonts w:hint="eastAsia" w:asciiTheme="minorEastAsia" w:hAnsiTheme="minorEastAsia" w:eastAsiaTheme="minorEastAsia" w:cstheme="minorEastAsia"/>
          <w:color w:val="auto"/>
          <w:sz w:val="24"/>
          <w:highlight w:val="none"/>
          <w:lang w:eastAsia="zh-CN"/>
        </w:rPr>
        <w:t>商品</w:t>
      </w:r>
      <w:r>
        <w:rPr>
          <w:rFonts w:hint="eastAsia" w:asciiTheme="minorEastAsia" w:hAnsiTheme="minorEastAsia" w:eastAsiaTheme="minorEastAsia" w:cstheme="minorEastAsia"/>
          <w:color w:val="auto"/>
          <w:sz w:val="24"/>
          <w:highlight w:val="none"/>
        </w:rPr>
        <w:t>），或者提供其他残疾人福利性单位制造的货物（不包括使用非残疾人福利性单位注册商标的货物）。</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.3.2符合条件的残疾人福利性单位在参加政府采购活动时，应当提供《残疾人福利性单位声明函》，并对声明的真实性负责。</w:t>
      </w:r>
    </w:p>
    <w:p>
      <w:pPr>
        <w:adjustRightInd w:val="0"/>
        <w:spacing w:line="360" w:lineRule="auto"/>
        <w:ind w:firstLine="482" w:firstLineChars="200"/>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highlight w:val="none"/>
          <w:lang w:val="en-US" w:eastAsia="zh-CN"/>
        </w:rPr>
        <w:t>3</w:t>
      </w:r>
      <w:r>
        <w:rPr>
          <w:rFonts w:hint="eastAsia" w:asciiTheme="minorEastAsia" w:hAnsiTheme="minorEastAsia" w:eastAsiaTheme="minorEastAsia" w:cstheme="minorEastAsia"/>
          <w:b/>
          <w:bCs/>
          <w:color w:val="auto"/>
          <w:sz w:val="24"/>
          <w:highlight w:val="none"/>
        </w:rPr>
        <w:t>.4节能、环</w:t>
      </w:r>
      <w:r>
        <w:rPr>
          <w:rFonts w:hint="eastAsia" w:asciiTheme="minorEastAsia" w:hAnsiTheme="minorEastAsia" w:eastAsiaTheme="minorEastAsia" w:cstheme="minorEastAsia"/>
          <w:b/>
          <w:bCs/>
          <w:color w:val="auto"/>
          <w:sz w:val="24"/>
          <w:highlight w:val="none"/>
          <w:lang w:eastAsia="zh-CN"/>
        </w:rPr>
        <w:t>保</w:t>
      </w:r>
      <w:r>
        <w:rPr>
          <w:rFonts w:hint="eastAsia" w:asciiTheme="minorEastAsia" w:hAnsiTheme="minorEastAsia" w:eastAsiaTheme="minorEastAsia" w:cstheme="minorEastAsia"/>
          <w:b/>
          <w:bCs/>
          <w:color w:val="auto"/>
          <w:sz w:val="24"/>
          <w:highlight w:val="none"/>
        </w:rPr>
        <w:t>标志</w:t>
      </w:r>
      <w:r>
        <w:rPr>
          <w:rFonts w:hint="eastAsia" w:asciiTheme="minorEastAsia" w:hAnsiTheme="minorEastAsia" w:eastAsiaTheme="minorEastAsia" w:cstheme="minorEastAsia"/>
          <w:b/>
          <w:bCs/>
          <w:color w:val="auto"/>
          <w:sz w:val="24"/>
          <w:highlight w:val="none"/>
          <w:lang w:eastAsia="zh-CN"/>
        </w:rPr>
        <w:t>商品（</w:t>
      </w:r>
      <w:r>
        <w:rPr>
          <w:rFonts w:hint="eastAsia" w:asciiTheme="minorEastAsia" w:hAnsiTheme="minorEastAsia" w:eastAsiaTheme="minorEastAsia" w:cstheme="minorEastAsia"/>
          <w:b/>
          <w:bCs/>
          <w:color w:val="auto"/>
          <w:sz w:val="24"/>
          <w:highlight w:val="none"/>
          <w:lang w:val="en-US" w:eastAsia="zh-CN"/>
        </w:rPr>
        <w:t>本项目不适用</w:t>
      </w:r>
      <w:r>
        <w:rPr>
          <w:rFonts w:hint="eastAsia" w:asciiTheme="minorEastAsia" w:hAnsiTheme="minorEastAsia" w:eastAsiaTheme="minorEastAsia" w:cstheme="minorEastAsia"/>
          <w:b/>
          <w:bCs/>
          <w:color w:val="auto"/>
          <w:sz w:val="24"/>
          <w:highlight w:val="none"/>
          <w:lang w:eastAsia="zh-CN"/>
        </w:rPr>
        <w:t>）</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.4.1 节能</w:t>
      </w:r>
      <w:r>
        <w:rPr>
          <w:rFonts w:hint="eastAsia" w:asciiTheme="minorEastAsia" w:hAnsiTheme="minorEastAsia" w:eastAsiaTheme="minorEastAsia" w:cstheme="minorEastAsia"/>
          <w:color w:val="auto"/>
          <w:sz w:val="24"/>
          <w:highlight w:val="none"/>
          <w:lang w:eastAsia="zh-CN"/>
        </w:rPr>
        <w:t>商品</w:t>
      </w:r>
      <w:r>
        <w:rPr>
          <w:rFonts w:hint="eastAsia" w:asciiTheme="minorEastAsia" w:hAnsiTheme="minorEastAsia" w:eastAsiaTheme="minorEastAsia" w:cstheme="minorEastAsia"/>
          <w:color w:val="auto"/>
          <w:sz w:val="24"/>
          <w:highlight w:val="none"/>
        </w:rPr>
        <w:t>与环境标志</w:t>
      </w:r>
      <w:r>
        <w:rPr>
          <w:rFonts w:hint="eastAsia" w:asciiTheme="minorEastAsia" w:hAnsiTheme="minorEastAsia" w:eastAsiaTheme="minorEastAsia" w:cstheme="minorEastAsia"/>
          <w:color w:val="auto"/>
          <w:sz w:val="24"/>
          <w:highlight w:val="none"/>
          <w:lang w:eastAsia="zh-CN"/>
        </w:rPr>
        <w:t>商品</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节能</w:t>
      </w:r>
      <w:r>
        <w:rPr>
          <w:rFonts w:hint="eastAsia" w:asciiTheme="minorEastAsia" w:hAnsiTheme="minorEastAsia" w:eastAsiaTheme="minorEastAsia" w:cstheme="minorEastAsia"/>
          <w:color w:val="auto"/>
          <w:sz w:val="24"/>
          <w:highlight w:val="none"/>
          <w:lang w:eastAsia="zh-CN"/>
        </w:rPr>
        <w:t>商品</w:t>
      </w:r>
      <w:r>
        <w:rPr>
          <w:rFonts w:hint="eastAsia" w:asciiTheme="minorEastAsia" w:hAnsiTheme="minorEastAsia" w:eastAsiaTheme="minorEastAsia" w:cstheme="minorEastAsia"/>
          <w:color w:val="auto"/>
          <w:sz w:val="24"/>
          <w:highlight w:val="none"/>
        </w:rPr>
        <w:t>是指列入财政部和国家发改委公布的、在最新一期有效期内的《节能</w:t>
      </w:r>
      <w:r>
        <w:rPr>
          <w:rFonts w:hint="eastAsia" w:asciiTheme="minorEastAsia" w:hAnsiTheme="minorEastAsia" w:eastAsiaTheme="minorEastAsia" w:cstheme="minorEastAsia"/>
          <w:color w:val="auto"/>
          <w:sz w:val="24"/>
          <w:highlight w:val="none"/>
          <w:lang w:eastAsia="zh-CN"/>
        </w:rPr>
        <w:t>商品</w:t>
      </w:r>
      <w:r>
        <w:rPr>
          <w:rFonts w:hint="eastAsia" w:asciiTheme="minorEastAsia" w:hAnsiTheme="minorEastAsia" w:eastAsiaTheme="minorEastAsia" w:cstheme="minorEastAsia"/>
          <w:color w:val="auto"/>
          <w:sz w:val="24"/>
          <w:highlight w:val="none"/>
        </w:rPr>
        <w:t>政府采购清单》中的货物，需对应到“节能清单”中所列的型号/系列。政府强制采购节能</w:t>
      </w:r>
      <w:r>
        <w:rPr>
          <w:rFonts w:hint="eastAsia" w:asciiTheme="minorEastAsia" w:hAnsiTheme="minorEastAsia" w:eastAsiaTheme="minorEastAsia" w:cstheme="minorEastAsia"/>
          <w:color w:val="auto"/>
          <w:sz w:val="24"/>
          <w:highlight w:val="none"/>
          <w:lang w:eastAsia="zh-CN"/>
        </w:rPr>
        <w:t>商品</w:t>
      </w:r>
      <w:r>
        <w:rPr>
          <w:rFonts w:hint="eastAsia" w:asciiTheme="minorEastAsia" w:hAnsiTheme="minorEastAsia" w:eastAsiaTheme="minorEastAsia" w:cstheme="minorEastAsia"/>
          <w:color w:val="auto"/>
          <w:sz w:val="24"/>
          <w:highlight w:val="none"/>
        </w:rPr>
        <w:t>是指“节能清单”中以“★”标注类别的</w:t>
      </w:r>
      <w:r>
        <w:rPr>
          <w:rFonts w:hint="eastAsia" w:asciiTheme="minorEastAsia" w:hAnsiTheme="minorEastAsia" w:eastAsiaTheme="minorEastAsia" w:cstheme="minorEastAsia"/>
          <w:color w:val="auto"/>
          <w:sz w:val="24"/>
          <w:highlight w:val="none"/>
          <w:lang w:eastAsia="zh-CN"/>
        </w:rPr>
        <w:t>商品</w:t>
      </w:r>
      <w:r>
        <w:rPr>
          <w:rFonts w:hint="eastAsia" w:asciiTheme="minorEastAsia" w:hAnsiTheme="minorEastAsia" w:eastAsiaTheme="minorEastAsia" w:cstheme="minorEastAsia"/>
          <w:color w:val="auto"/>
          <w:sz w:val="24"/>
          <w:highlight w:val="none"/>
        </w:rPr>
        <w:t>。</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环境标志</w:t>
      </w:r>
      <w:r>
        <w:rPr>
          <w:rFonts w:hint="eastAsia" w:asciiTheme="minorEastAsia" w:hAnsiTheme="minorEastAsia" w:eastAsiaTheme="minorEastAsia" w:cstheme="minorEastAsia"/>
          <w:color w:val="auto"/>
          <w:sz w:val="24"/>
          <w:highlight w:val="none"/>
          <w:lang w:eastAsia="zh-CN"/>
        </w:rPr>
        <w:t>商品</w:t>
      </w:r>
      <w:r>
        <w:rPr>
          <w:rFonts w:hint="eastAsia" w:asciiTheme="minorEastAsia" w:hAnsiTheme="minorEastAsia" w:eastAsiaTheme="minorEastAsia" w:cstheme="minorEastAsia"/>
          <w:color w:val="auto"/>
          <w:sz w:val="24"/>
          <w:highlight w:val="none"/>
        </w:rPr>
        <w:t>是指列入财政部、原环保总局公布的、在有效期内的“环境标志</w:t>
      </w:r>
      <w:r>
        <w:rPr>
          <w:rFonts w:hint="eastAsia" w:asciiTheme="minorEastAsia" w:hAnsiTheme="minorEastAsia" w:eastAsiaTheme="minorEastAsia" w:cstheme="minorEastAsia"/>
          <w:color w:val="auto"/>
          <w:sz w:val="24"/>
          <w:highlight w:val="none"/>
          <w:lang w:eastAsia="zh-CN"/>
        </w:rPr>
        <w:t>商品</w:t>
      </w:r>
      <w:r>
        <w:rPr>
          <w:rFonts w:hint="eastAsia" w:asciiTheme="minorEastAsia" w:hAnsiTheme="minorEastAsia" w:eastAsiaTheme="minorEastAsia" w:cstheme="minorEastAsia"/>
          <w:color w:val="auto"/>
          <w:sz w:val="24"/>
          <w:highlight w:val="none"/>
        </w:rPr>
        <w:t>政府采购清单”中的货物。</w:t>
      </w:r>
    </w:p>
    <w:p>
      <w:pPr>
        <w:adjustRightInd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最新一期“节能清单”可通过中国政府采购网（http：//www.ccgp.gov.cn/）、国家发展改革委网站（http：//hzs.ndrc.gov.cn/）查阅、下载；当期“环境标志</w:t>
      </w:r>
      <w:r>
        <w:rPr>
          <w:rFonts w:hint="eastAsia" w:asciiTheme="minorEastAsia" w:hAnsiTheme="minorEastAsia" w:eastAsiaTheme="minorEastAsia" w:cstheme="minorEastAsia"/>
          <w:color w:val="auto"/>
          <w:sz w:val="24"/>
          <w:highlight w:val="none"/>
          <w:lang w:eastAsia="zh-CN"/>
        </w:rPr>
        <w:t>商品</w:t>
      </w:r>
      <w:r>
        <w:rPr>
          <w:rFonts w:hint="eastAsia" w:asciiTheme="minorEastAsia" w:hAnsiTheme="minorEastAsia" w:eastAsiaTheme="minorEastAsia" w:cstheme="minorEastAsia"/>
          <w:color w:val="auto"/>
          <w:sz w:val="24"/>
          <w:highlight w:val="none"/>
        </w:rPr>
        <w:t>政府采购清单” 可通过中国政府采购网（http：//www.ccgp.gov.cn/）、国家环境保护（http：//www.sepa.gov.cn/）查阅、下载。</w:t>
      </w:r>
    </w:p>
    <w:p>
      <w:pPr>
        <w:adjustRightInd w:val="0"/>
        <w:spacing w:line="360" w:lineRule="auto"/>
        <w:ind w:firstLine="456" w:firstLineChars="200"/>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pacing w:val="-6"/>
          <w:sz w:val="24"/>
          <w:highlight w:val="none"/>
          <w:lang w:val="en-US" w:eastAsia="zh-CN"/>
        </w:rPr>
        <w:t>供应商</w:t>
      </w:r>
      <w:r>
        <w:rPr>
          <w:rFonts w:hint="eastAsia" w:asciiTheme="minorEastAsia" w:hAnsiTheme="minorEastAsia" w:eastAsiaTheme="minorEastAsia" w:cstheme="minorEastAsia"/>
          <w:color w:val="auto"/>
          <w:spacing w:val="-6"/>
          <w:sz w:val="24"/>
          <w:highlight w:val="none"/>
        </w:rPr>
        <w:t>除提供以上证明材料外，另可提供所投</w:t>
      </w:r>
      <w:r>
        <w:rPr>
          <w:rFonts w:hint="eastAsia" w:asciiTheme="minorEastAsia" w:hAnsiTheme="minorEastAsia" w:eastAsiaTheme="minorEastAsia" w:cstheme="minorEastAsia"/>
          <w:color w:val="auto"/>
          <w:spacing w:val="-6"/>
          <w:sz w:val="24"/>
          <w:highlight w:val="none"/>
          <w:lang w:eastAsia="zh-CN"/>
        </w:rPr>
        <w:t>商品</w:t>
      </w:r>
      <w:r>
        <w:rPr>
          <w:rFonts w:hint="eastAsia" w:asciiTheme="minorEastAsia" w:hAnsiTheme="minorEastAsia" w:eastAsiaTheme="minorEastAsia" w:cstheme="minorEastAsia"/>
          <w:color w:val="auto"/>
          <w:spacing w:val="-6"/>
          <w:sz w:val="24"/>
          <w:highlight w:val="none"/>
        </w:rPr>
        <w:t>关于节能与环保的其他有效证明材料。</w:t>
      </w:r>
    </w:p>
    <w:p>
      <w:pPr>
        <w:rPr>
          <w:rFonts w:hint="eastAsia"/>
          <w:color w:val="auto"/>
          <w:highlight w:val="none"/>
          <w:lang w:eastAsia="zh-CN"/>
        </w:rPr>
      </w:pPr>
    </w:p>
    <w:p>
      <w:pPr>
        <w:rPr>
          <w:rFonts w:hint="eastAsia"/>
          <w:highlight w:val="none"/>
          <w:lang w:eastAsia="zh-CN"/>
        </w:rPr>
      </w:pPr>
    </w:p>
    <w:p>
      <w:pPr>
        <w:pStyle w:val="3"/>
        <w:numPr>
          <w:ilvl w:val="0"/>
          <w:numId w:val="0"/>
        </w:numPr>
        <w:ind w:leftChars="0"/>
        <w:jc w:val="both"/>
        <w:rPr>
          <w:rFonts w:hint="eastAsia" w:asciiTheme="minorEastAsia" w:hAnsiTheme="minorEastAsia" w:eastAsiaTheme="minorEastAsia" w:cstheme="minorEastAsia"/>
          <w:b/>
          <w:bCs/>
          <w:color w:val="auto"/>
          <w:kern w:val="0"/>
          <w:sz w:val="36"/>
          <w:highlight w:val="none"/>
          <w:lang w:eastAsia="zh-CN"/>
        </w:rPr>
      </w:pPr>
    </w:p>
    <w:p>
      <w:pPr>
        <w:rPr>
          <w:rFonts w:hint="eastAsia"/>
          <w:highlight w:val="none"/>
          <w:lang w:eastAsia="zh-CN"/>
        </w:rPr>
      </w:pPr>
    </w:p>
    <w:p>
      <w:pPr>
        <w:pStyle w:val="3"/>
        <w:numPr>
          <w:ilvl w:val="0"/>
          <w:numId w:val="0"/>
        </w:numPr>
        <w:ind w:leftChars="0"/>
        <w:jc w:val="center"/>
        <w:rPr>
          <w:rFonts w:hint="eastAsia" w:asciiTheme="minorEastAsia" w:hAnsiTheme="minorEastAsia" w:eastAsiaTheme="minorEastAsia" w:cstheme="minorEastAsia"/>
          <w:b/>
          <w:bCs/>
          <w:color w:val="auto"/>
          <w:kern w:val="0"/>
          <w:sz w:val="36"/>
          <w:highlight w:val="none"/>
          <w:lang w:eastAsia="zh-CN"/>
        </w:rPr>
      </w:pPr>
    </w:p>
    <w:p>
      <w:pPr>
        <w:pStyle w:val="3"/>
        <w:numPr>
          <w:ilvl w:val="0"/>
          <w:numId w:val="0"/>
        </w:numPr>
        <w:ind w:leftChars="0"/>
        <w:jc w:val="center"/>
        <w:rPr>
          <w:rFonts w:hint="eastAsia" w:asciiTheme="minorEastAsia" w:hAnsiTheme="minorEastAsia" w:eastAsiaTheme="minorEastAsia" w:cstheme="minorEastAsia"/>
          <w:b/>
          <w:bCs/>
          <w:color w:val="auto"/>
          <w:kern w:val="0"/>
          <w:sz w:val="36"/>
          <w:highlight w:val="none"/>
          <w:lang w:eastAsia="zh-CN"/>
        </w:rPr>
      </w:pPr>
    </w:p>
    <w:p>
      <w:pPr>
        <w:pStyle w:val="3"/>
        <w:numPr>
          <w:ilvl w:val="0"/>
          <w:numId w:val="0"/>
        </w:numPr>
        <w:ind w:leftChars="0"/>
        <w:jc w:val="center"/>
        <w:rPr>
          <w:rFonts w:hint="eastAsia" w:asciiTheme="minorEastAsia" w:hAnsiTheme="minorEastAsia" w:eastAsiaTheme="minorEastAsia" w:cstheme="minorEastAsia"/>
          <w:b/>
          <w:bCs/>
          <w:color w:val="auto"/>
          <w:kern w:val="0"/>
          <w:sz w:val="36"/>
          <w:highlight w:val="none"/>
          <w:lang w:eastAsia="zh-CN"/>
        </w:rPr>
      </w:pPr>
    </w:p>
    <w:p>
      <w:pPr>
        <w:pStyle w:val="3"/>
        <w:numPr>
          <w:ilvl w:val="0"/>
          <w:numId w:val="0"/>
        </w:numPr>
        <w:ind w:leftChars="0"/>
        <w:jc w:val="center"/>
        <w:rPr>
          <w:rFonts w:hint="eastAsia" w:asciiTheme="minorEastAsia" w:hAnsiTheme="minorEastAsia" w:eastAsiaTheme="minorEastAsia" w:cstheme="minorEastAsia"/>
          <w:b/>
          <w:bCs/>
          <w:color w:val="auto"/>
          <w:kern w:val="0"/>
          <w:sz w:val="36"/>
          <w:highlight w:val="none"/>
          <w:lang w:eastAsia="zh-CN"/>
        </w:rPr>
      </w:pPr>
    </w:p>
    <w:p>
      <w:pPr>
        <w:pStyle w:val="3"/>
        <w:numPr>
          <w:ilvl w:val="0"/>
          <w:numId w:val="0"/>
        </w:numPr>
        <w:ind w:leftChars="0"/>
        <w:jc w:val="center"/>
        <w:rPr>
          <w:rFonts w:hint="eastAsia" w:asciiTheme="minorEastAsia" w:hAnsiTheme="minorEastAsia" w:eastAsiaTheme="minorEastAsia" w:cstheme="minorEastAsia"/>
          <w:b/>
          <w:bCs/>
          <w:color w:val="auto"/>
          <w:kern w:val="0"/>
          <w:sz w:val="36"/>
          <w:highlight w:val="none"/>
          <w:lang w:eastAsia="zh-CN"/>
        </w:rPr>
      </w:pPr>
    </w:p>
    <w:p>
      <w:pPr>
        <w:pStyle w:val="3"/>
        <w:numPr>
          <w:ilvl w:val="0"/>
          <w:numId w:val="0"/>
        </w:numPr>
        <w:ind w:leftChars="0"/>
        <w:jc w:val="both"/>
        <w:rPr>
          <w:rFonts w:hint="eastAsia" w:asciiTheme="minorEastAsia" w:hAnsiTheme="minorEastAsia" w:eastAsiaTheme="minorEastAsia" w:cstheme="minorEastAsia"/>
          <w:b/>
          <w:bCs/>
          <w:color w:val="auto"/>
          <w:kern w:val="0"/>
          <w:sz w:val="36"/>
          <w:highlight w:val="none"/>
          <w:lang w:eastAsia="zh-CN"/>
        </w:rPr>
      </w:pPr>
    </w:p>
    <w:p>
      <w:pPr>
        <w:rPr>
          <w:rFonts w:hint="eastAsia" w:asciiTheme="minorEastAsia" w:hAnsiTheme="minorEastAsia" w:eastAsiaTheme="minorEastAsia" w:cstheme="minorEastAsia"/>
          <w:b/>
          <w:bCs/>
          <w:color w:val="auto"/>
          <w:kern w:val="0"/>
          <w:sz w:val="36"/>
          <w:highlight w:val="none"/>
          <w:lang w:eastAsia="zh-CN"/>
        </w:rPr>
      </w:pPr>
    </w:p>
    <w:p>
      <w:pPr>
        <w:pStyle w:val="2"/>
        <w:numPr>
          <w:ilvl w:val="3"/>
          <w:numId w:val="0"/>
        </w:numPr>
        <w:rPr>
          <w:rFonts w:hint="eastAsia"/>
          <w:highlight w:val="none"/>
          <w:lang w:eastAsia="zh-CN"/>
        </w:rPr>
      </w:pPr>
    </w:p>
    <w:p>
      <w:pPr>
        <w:pStyle w:val="3"/>
        <w:numPr>
          <w:ilvl w:val="0"/>
          <w:numId w:val="0"/>
        </w:numPr>
        <w:ind w:leftChars="0"/>
        <w:jc w:val="center"/>
        <w:rPr>
          <w:rFonts w:hint="eastAsia" w:asciiTheme="minorEastAsia" w:hAnsiTheme="minorEastAsia" w:eastAsiaTheme="minorEastAsia" w:cstheme="minorEastAsia"/>
          <w:b/>
          <w:bCs/>
          <w:color w:val="auto"/>
          <w:kern w:val="0"/>
          <w:sz w:val="36"/>
          <w:highlight w:val="none"/>
          <w:lang w:eastAsia="zh-CN"/>
        </w:rPr>
      </w:pPr>
      <w:r>
        <w:rPr>
          <w:rFonts w:hint="eastAsia" w:asciiTheme="minorEastAsia" w:hAnsiTheme="minorEastAsia" w:eastAsiaTheme="minorEastAsia" w:cstheme="minorEastAsia"/>
          <w:b/>
          <w:bCs/>
          <w:color w:val="auto"/>
          <w:kern w:val="0"/>
          <w:sz w:val="36"/>
          <w:highlight w:val="none"/>
          <w:lang w:eastAsia="zh-CN"/>
        </w:rPr>
        <w:t>第五章  投标文件格式</w:t>
      </w:r>
      <w:bookmarkEnd w:id="347"/>
    </w:p>
    <w:bookmarkEnd w:id="348"/>
    <w:p>
      <w:pPr>
        <w:autoSpaceDE w:val="0"/>
        <w:autoSpaceDN w:val="0"/>
        <w:adjustRightInd w:val="0"/>
        <w:spacing w:line="800" w:lineRule="exact"/>
        <w:jc w:val="center"/>
        <w:rPr>
          <w:rFonts w:hint="eastAsia" w:asciiTheme="minorEastAsia" w:hAnsiTheme="minorEastAsia" w:eastAsiaTheme="minorEastAsia" w:cstheme="minorEastAsia"/>
          <w:b/>
          <w:color w:val="auto"/>
          <w:sz w:val="44"/>
          <w:szCs w:val="44"/>
          <w:highlight w:val="none"/>
          <w:lang w:val="en-US" w:eastAsia="zh-CN"/>
        </w:rPr>
      </w:pPr>
    </w:p>
    <w:p>
      <w:pPr>
        <w:autoSpaceDE w:val="0"/>
        <w:autoSpaceDN w:val="0"/>
        <w:adjustRightInd w:val="0"/>
        <w:spacing w:line="800" w:lineRule="exact"/>
        <w:jc w:val="center"/>
        <w:rPr>
          <w:rFonts w:hint="default" w:asciiTheme="minorEastAsia" w:hAnsiTheme="minorEastAsia" w:eastAsiaTheme="minorEastAsia" w:cstheme="minorEastAsia"/>
          <w:b/>
          <w:color w:val="auto"/>
          <w:sz w:val="44"/>
          <w:szCs w:val="44"/>
          <w:highlight w:val="none"/>
          <w:lang w:val="en-US" w:eastAsia="zh-CN"/>
        </w:rPr>
      </w:pPr>
      <w:r>
        <w:rPr>
          <w:rFonts w:hint="eastAsia" w:asciiTheme="minorEastAsia" w:hAnsiTheme="minorEastAsia" w:eastAsiaTheme="minorEastAsia" w:cstheme="minorEastAsia"/>
          <w:b/>
          <w:color w:val="auto"/>
          <w:sz w:val="44"/>
          <w:szCs w:val="44"/>
          <w:highlight w:val="none"/>
          <w:lang w:val="en-US" w:eastAsia="zh-CN"/>
        </w:rPr>
        <w:t>资格审查部分封面</w:t>
      </w:r>
    </w:p>
    <w:p>
      <w:pPr>
        <w:autoSpaceDE w:val="0"/>
        <w:autoSpaceDN w:val="0"/>
        <w:adjustRightInd w:val="0"/>
        <w:spacing w:line="800" w:lineRule="exact"/>
        <w:jc w:val="both"/>
        <w:rPr>
          <w:rFonts w:hint="eastAsia" w:asciiTheme="minorEastAsia" w:hAnsiTheme="minorEastAsia" w:eastAsiaTheme="minorEastAsia" w:cstheme="minorEastAsia"/>
          <w:b/>
          <w:color w:val="auto"/>
          <w:sz w:val="52"/>
          <w:szCs w:val="52"/>
          <w:highlight w:val="none"/>
          <w:lang w:eastAsia="zh-CN"/>
        </w:rPr>
      </w:pPr>
    </w:p>
    <w:p>
      <w:pPr>
        <w:jc w:val="center"/>
        <w:rPr>
          <w:color w:val="auto"/>
          <w:sz w:val="36"/>
          <w:szCs w:val="36"/>
          <w:highlight w:val="none"/>
        </w:rPr>
      </w:pPr>
      <w:r>
        <w:rPr>
          <w:rFonts w:hint="eastAsia" w:ascii="宋体" w:hAnsi="宋体" w:cs="宋体"/>
          <w:b/>
          <w:bCs/>
          <w:color w:val="auto"/>
          <w:sz w:val="36"/>
          <w:szCs w:val="36"/>
          <w:highlight w:val="none"/>
          <w:lang w:val="en-US" w:eastAsia="zh-CN"/>
        </w:rPr>
        <w:t>麒麟区2026秋季-2027春季</w:t>
      </w:r>
      <w:r>
        <w:rPr>
          <w:rFonts w:hint="eastAsia" w:ascii="宋体" w:hAnsi="宋体" w:eastAsia="宋体" w:cs="宋体"/>
          <w:b/>
          <w:bCs/>
          <w:color w:val="auto"/>
          <w:sz w:val="36"/>
          <w:szCs w:val="36"/>
          <w:highlight w:val="none"/>
          <w:lang w:val="en-US" w:eastAsia="zh-CN"/>
        </w:rPr>
        <w:t>学期农村义务教育学生营养改善计划大宗食材采购项目</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rPr>
          <w:rFonts w:hint="eastAsia" w:asciiTheme="minorEastAsia" w:hAnsiTheme="minorEastAsia" w:eastAsiaTheme="minorEastAsia" w:cstheme="minorEastAsia"/>
          <w:b/>
          <w:bCs/>
          <w:color w:val="auto"/>
          <w:sz w:val="36"/>
          <w:szCs w:val="36"/>
          <w:highlight w:val="none"/>
          <w:lang w:val="en-US" w:eastAsia="zh-CN"/>
        </w:rPr>
        <w:t>标段（</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rPr>
          <w:rFonts w:hint="eastAsia" w:asciiTheme="minorEastAsia" w:hAnsiTheme="minorEastAsia" w:eastAsiaTheme="minorEastAsia" w:cstheme="minorEastAsia"/>
          <w:b/>
          <w:bCs/>
          <w:color w:val="auto"/>
          <w:sz w:val="36"/>
          <w:szCs w:val="36"/>
          <w:highlight w:val="none"/>
          <w:lang w:val="en-US" w:eastAsia="zh-CN"/>
        </w:rPr>
        <w:t>）</w:t>
      </w:r>
    </w:p>
    <w:p>
      <w:pPr>
        <w:ind w:left="0" w:leftChars="0" w:firstLine="0" w:firstLineChars="0"/>
        <w:jc w:val="center"/>
        <w:rPr>
          <w:rFonts w:hint="eastAsia" w:asciiTheme="minorEastAsia" w:hAnsiTheme="minorEastAsia" w:eastAsiaTheme="minorEastAsia" w:cstheme="minorEastAsia"/>
          <w:color w:val="auto"/>
          <w:kern w:val="0"/>
          <w:sz w:val="28"/>
          <w:szCs w:val="28"/>
          <w:highlight w:val="none"/>
          <w:lang w:eastAsia="zh-CN"/>
        </w:rPr>
      </w:pPr>
    </w:p>
    <w:p>
      <w:pPr>
        <w:ind w:left="0" w:leftChars="0" w:firstLine="0" w:firstLineChars="0"/>
        <w:jc w:val="center"/>
        <w:rPr>
          <w:rFonts w:hint="default" w:asciiTheme="minorEastAsia" w:hAnsiTheme="minorEastAsia" w:eastAsiaTheme="minorEastAsia" w:cstheme="minorEastAsia"/>
          <w:b/>
          <w:bCs/>
          <w:color w:val="auto"/>
          <w:kern w:val="0"/>
          <w:sz w:val="32"/>
          <w:szCs w:val="32"/>
          <w:highlight w:val="none"/>
          <w:lang w:val="en-US" w:eastAsia="zh-CN"/>
        </w:rPr>
      </w:pPr>
      <w:r>
        <w:rPr>
          <w:rFonts w:hint="eastAsia" w:asciiTheme="minorEastAsia" w:hAnsiTheme="minorEastAsia" w:eastAsiaTheme="minorEastAsia" w:cstheme="minorEastAsia"/>
          <w:b/>
          <w:bCs/>
          <w:color w:val="auto"/>
          <w:kern w:val="0"/>
          <w:sz w:val="32"/>
          <w:szCs w:val="32"/>
          <w:highlight w:val="none"/>
          <w:lang w:val="en-US" w:eastAsia="zh-CN"/>
        </w:rPr>
        <w:t>标段</w:t>
      </w:r>
      <w:r>
        <w:rPr>
          <w:rFonts w:hint="eastAsia" w:asciiTheme="minorEastAsia" w:hAnsiTheme="minorEastAsia" w:eastAsiaTheme="minorEastAsia" w:cstheme="minorEastAsia"/>
          <w:b/>
          <w:bCs/>
          <w:color w:val="auto"/>
          <w:kern w:val="0"/>
          <w:sz w:val="32"/>
          <w:szCs w:val="32"/>
          <w:highlight w:val="none"/>
        </w:rPr>
        <w:t>编号：</w:t>
      </w:r>
      <w:r>
        <w:rPr>
          <w:rFonts w:hint="eastAsia" w:asciiTheme="minorEastAsia" w:hAnsiTheme="minorEastAsia" w:eastAsiaTheme="minorEastAsia" w:cstheme="minorEastAsia"/>
          <w:b/>
          <w:bCs/>
          <w:color w:val="auto"/>
          <w:kern w:val="0"/>
          <w:sz w:val="32"/>
          <w:szCs w:val="32"/>
          <w:highlight w:val="none"/>
          <w:u w:val="none"/>
          <w:lang w:val="en-US" w:eastAsia="zh-CN"/>
        </w:rPr>
        <w:t>福招字</w:t>
      </w:r>
      <w:r>
        <w:rPr>
          <w:rFonts w:hint="eastAsia" w:asciiTheme="minorEastAsia" w:hAnsiTheme="minorEastAsia" w:eastAsiaTheme="minorEastAsia" w:cstheme="minorEastAsia"/>
          <w:b/>
          <w:bCs/>
          <w:color w:val="auto"/>
          <w:kern w:val="0"/>
          <w:sz w:val="32"/>
          <w:szCs w:val="32"/>
          <w:highlight w:val="none"/>
          <w:u w:val="single"/>
          <w:lang w:val="en-US" w:eastAsia="zh-CN"/>
        </w:rPr>
        <w:t xml:space="preserve">             .</w:t>
      </w:r>
    </w:p>
    <w:p>
      <w:pPr>
        <w:rPr>
          <w:rFonts w:hint="eastAsia"/>
          <w:color w:val="auto"/>
          <w:highlight w:val="none"/>
        </w:rPr>
      </w:pPr>
    </w:p>
    <w:p>
      <w:pPr>
        <w:pStyle w:val="117"/>
        <w:rPr>
          <w:rFonts w:hint="eastAsia" w:asciiTheme="minorEastAsia" w:hAnsiTheme="minorEastAsia" w:eastAsiaTheme="minorEastAsia" w:cstheme="minorEastAsia"/>
          <w:b/>
          <w:bCs/>
          <w:color w:val="auto"/>
          <w:highlight w:val="none"/>
        </w:rPr>
      </w:pPr>
    </w:p>
    <w:p>
      <w:pPr>
        <w:pStyle w:val="117"/>
        <w:rPr>
          <w:rFonts w:hint="eastAsia" w:asciiTheme="minorEastAsia" w:hAnsiTheme="minorEastAsia" w:eastAsiaTheme="minorEastAsia" w:cstheme="minorEastAsia"/>
          <w:color w:val="auto"/>
          <w:highlight w:val="none"/>
        </w:rPr>
      </w:pPr>
    </w:p>
    <w:p>
      <w:pPr>
        <w:keepNext w:val="0"/>
        <w:keepLines w:val="0"/>
        <w:pageBreakBefore w:val="0"/>
        <w:widowControl w:val="0"/>
        <w:kinsoku/>
        <w:wordWrap/>
        <w:overflowPunct/>
        <w:topLinePunct w:val="0"/>
        <w:autoSpaceDE/>
        <w:autoSpaceDN/>
        <w:bidi w:val="0"/>
        <w:adjustRightInd/>
        <w:snapToGrid/>
        <w:spacing w:line="980" w:lineRule="exact"/>
        <w:jc w:val="center"/>
        <w:textAlignment w:val="auto"/>
        <w:rPr>
          <w:rFonts w:hint="eastAsia" w:asciiTheme="minorEastAsia" w:hAnsiTheme="minorEastAsia" w:eastAsiaTheme="minorEastAsia" w:cstheme="minorEastAsia"/>
          <w:b/>
          <w:bCs/>
          <w:color w:val="auto"/>
          <w:sz w:val="84"/>
          <w:szCs w:val="84"/>
          <w:highlight w:val="none"/>
          <w:lang w:val="en-US" w:eastAsia="zh-CN"/>
        </w:rPr>
      </w:pPr>
      <w:r>
        <w:rPr>
          <w:rFonts w:hint="eastAsia" w:asciiTheme="minorEastAsia" w:hAnsiTheme="minorEastAsia" w:eastAsiaTheme="minorEastAsia" w:cstheme="minorEastAsia"/>
          <w:b/>
          <w:bCs/>
          <w:color w:val="auto"/>
          <w:spacing w:val="-4"/>
          <w:kern w:val="0"/>
          <w:sz w:val="84"/>
          <w:szCs w:val="84"/>
          <w:highlight w:val="none"/>
          <w:lang w:val="en-US" w:eastAsia="zh-CN" w:bidi="ar-SA"/>
        </w:rPr>
        <w:t>投 标 文 件</w:t>
      </w:r>
    </w:p>
    <w:p>
      <w:pPr>
        <w:pStyle w:val="11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6"/>
          <w:szCs w:val="36"/>
          <w:highlight w:val="none"/>
          <w:lang w:val="en-US" w:eastAsia="zh-CN"/>
        </w:rPr>
        <w:t>（资格审查部分）</w:t>
      </w: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供应商</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eastAsia="zh-CN"/>
        </w:rPr>
        <w:t>盖电子公</w:t>
      </w:r>
      <w:r>
        <w:rPr>
          <w:rFonts w:hint="eastAsia" w:asciiTheme="minorEastAsia" w:hAnsiTheme="minorEastAsia" w:eastAsiaTheme="minorEastAsia" w:cstheme="minorEastAsia"/>
          <w:color w:val="auto"/>
          <w:sz w:val="28"/>
          <w:szCs w:val="28"/>
          <w:highlight w:val="none"/>
          <w:u w:val="single"/>
        </w:rPr>
        <w:t>章）</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法定代表人或其委托代理人：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eastAsia="zh-CN"/>
        </w:rPr>
        <w:t>签字或电子章</w:t>
      </w:r>
      <w:r>
        <w:rPr>
          <w:rFonts w:hint="eastAsia" w:asciiTheme="minorEastAsia" w:hAnsiTheme="minorEastAsia" w:eastAsiaTheme="minorEastAsia" w:cstheme="minorEastAsia"/>
          <w:color w:val="auto"/>
          <w:sz w:val="28"/>
          <w:szCs w:val="28"/>
          <w:highlight w:val="none"/>
          <w:u w:val="single"/>
        </w:rPr>
        <w:t>）</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both"/>
        <w:textAlignment w:val="auto"/>
        <w:rPr>
          <w:rFonts w:hint="eastAsia"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lang w:eastAsia="zh-CN"/>
        </w:rPr>
        <w:t>供应商</w:t>
      </w:r>
      <w:r>
        <w:rPr>
          <w:rFonts w:hint="eastAsia" w:asciiTheme="minorEastAsia" w:hAnsiTheme="minorEastAsia" w:eastAsiaTheme="minorEastAsia" w:cstheme="minorEastAsia"/>
          <w:color w:val="auto"/>
          <w:sz w:val="28"/>
          <w:szCs w:val="28"/>
          <w:highlight w:val="none"/>
        </w:rPr>
        <w:t>地址：</w:t>
      </w:r>
      <w:r>
        <w:rPr>
          <w:rFonts w:hint="eastAsia" w:asciiTheme="minorEastAsia" w:hAnsiTheme="minorEastAsia" w:eastAsiaTheme="minorEastAsia" w:cstheme="minorEastAsia"/>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both"/>
        <w:textAlignment w:val="auto"/>
        <w:rPr>
          <w:rFonts w:hint="eastAsia"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rPr>
        <w:t>联系电话：</w:t>
      </w:r>
      <w:r>
        <w:rPr>
          <w:rFonts w:hint="eastAsia" w:asciiTheme="minorEastAsia" w:hAnsiTheme="minorEastAsia" w:eastAsiaTheme="minorEastAsia" w:cstheme="minorEastAsia"/>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both"/>
        <w:textAlignment w:val="auto"/>
        <w:rPr>
          <w:rFonts w:hint="eastAsia" w:asciiTheme="minorEastAsia" w:hAnsiTheme="minorEastAsia" w:eastAsiaTheme="minorEastAsia" w:cstheme="minorEastAsia"/>
          <w:b/>
          <w:color w:val="auto"/>
          <w:kern w:val="0"/>
          <w:sz w:val="44"/>
          <w:szCs w:val="44"/>
          <w:highlight w:val="none"/>
          <w:lang w:eastAsia="zh-CN"/>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keepNext w:val="0"/>
        <w:keepLines w:val="0"/>
        <w:pageBreakBefore w:val="0"/>
        <w:widowControl w:val="0"/>
        <w:kinsoku/>
        <w:wordWrap/>
        <w:overflowPunct/>
        <w:topLinePunct w:val="0"/>
        <w:autoSpaceDE/>
        <w:autoSpaceDN/>
        <w:bidi w:val="0"/>
        <w:adjustRightInd/>
        <w:snapToGrid/>
        <w:spacing w:line="960" w:lineRule="exact"/>
        <w:jc w:val="center"/>
        <w:textAlignment w:val="auto"/>
        <w:rPr>
          <w:rFonts w:hint="eastAsia" w:ascii="宋体" w:hAnsi="宋体" w:eastAsia="宋体" w:cs="宋体"/>
          <w:color w:val="auto"/>
          <w:sz w:val="10"/>
          <w:szCs w:val="10"/>
          <w:highlight w:val="none"/>
        </w:rPr>
      </w:pPr>
      <w:bookmarkStart w:id="350" w:name="_Toc95222500"/>
      <w:bookmarkStart w:id="351" w:name="_Toc90575655"/>
      <w:bookmarkStart w:id="352" w:name="_Toc93839946"/>
      <w:bookmarkStart w:id="353" w:name="_Toc90128600"/>
      <w:bookmarkStart w:id="354" w:name="_Toc90128834"/>
      <w:bookmarkStart w:id="355" w:name="_Toc95047066"/>
      <w:bookmarkStart w:id="356" w:name="_Toc97580358"/>
      <w:r>
        <w:rPr>
          <w:rFonts w:hint="eastAsia" w:asciiTheme="minorEastAsia" w:hAnsiTheme="minorEastAsia" w:eastAsiaTheme="minorEastAsia" w:cstheme="minorEastAsia"/>
          <w:b/>
          <w:color w:val="auto"/>
          <w:kern w:val="0"/>
          <w:sz w:val="44"/>
          <w:szCs w:val="44"/>
          <w:highlight w:val="none"/>
          <w:lang w:eastAsia="zh-CN"/>
        </w:rPr>
        <w:t>资格审查部分目录</w:t>
      </w:r>
      <w:bookmarkEnd w:id="350"/>
      <w:bookmarkEnd w:id="351"/>
      <w:bookmarkEnd w:id="352"/>
      <w:bookmarkEnd w:id="353"/>
      <w:bookmarkEnd w:id="354"/>
      <w:bookmarkEnd w:id="355"/>
      <w:bookmarkEnd w:id="356"/>
      <w:bookmarkStart w:id="357" w:name="_Toc97580360"/>
      <w:bookmarkStart w:id="358" w:name="_Toc90128835"/>
      <w:bookmarkStart w:id="359" w:name="_Toc95222502"/>
      <w:bookmarkStart w:id="360" w:name="_Toc90128601"/>
      <w:bookmarkStart w:id="361" w:name="_Toc90575657"/>
      <w:bookmarkStart w:id="362" w:name="_Toc93839948"/>
      <w:bookmarkStart w:id="363" w:name="_Toc95047068"/>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一、法定代表人身份证明书</w:t>
      </w:r>
      <w:bookmarkEnd w:id="357"/>
      <w:bookmarkEnd w:id="358"/>
      <w:bookmarkEnd w:id="359"/>
      <w:bookmarkEnd w:id="360"/>
      <w:bookmarkEnd w:id="361"/>
      <w:bookmarkEnd w:id="362"/>
      <w:bookmarkEnd w:id="363"/>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rPr>
      </w:pPr>
      <w:bookmarkStart w:id="364" w:name="_Toc95222503"/>
      <w:bookmarkStart w:id="365" w:name="_Toc95047069"/>
      <w:bookmarkStart w:id="366" w:name="_Toc90128602"/>
      <w:bookmarkStart w:id="367" w:name="_Toc90128836"/>
      <w:bookmarkStart w:id="368" w:name="_Toc90575658"/>
      <w:bookmarkStart w:id="369" w:name="_Toc97580361"/>
      <w:bookmarkStart w:id="370" w:name="_Toc93839949"/>
      <w:r>
        <w:rPr>
          <w:rFonts w:hint="eastAsia" w:ascii="宋体" w:hAnsi="宋体" w:eastAsia="宋体" w:cs="宋体"/>
          <w:color w:val="auto"/>
          <w:sz w:val="32"/>
          <w:szCs w:val="32"/>
          <w:highlight w:val="none"/>
          <w:lang w:val="en-US" w:eastAsia="zh-CN"/>
        </w:rPr>
        <w:t>二</w:t>
      </w:r>
      <w:r>
        <w:rPr>
          <w:rFonts w:hint="eastAsia" w:ascii="宋体" w:hAnsi="宋体" w:eastAsia="宋体" w:cs="宋体"/>
          <w:color w:val="auto"/>
          <w:sz w:val="32"/>
          <w:szCs w:val="32"/>
          <w:highlight w:val="none"/>
        </w:rPr>
        <w:t>、法定代表人授权委托书（若有）</w:t>
      </w:r>
      <w:bookmarkEnd w:id="364"/>
      <w:bookmarkEnd w:id="365"/>
      <w:bookmarkEnd w:id="366"/>
      <w:bookmarkEnd w:id="367"/>
      <w:bookmarkEnd w:id="368"/>
      <w:bookmarkEnd w:id="369"/>
      <w:bookmarkEnd w:id="370"/>
      <w:bookmarkStart w:id="371" w:name="_Toc90575660"/>
      <w:bookmarkStart w:id="372" w:name="_Toc97580363"/>
      <w:bookmarkStart w:id="373" w:name="_Toc95222505"/>
      <w:bookmarkStart w:id="374" w:name="_Toc93839951"/>
      <w:bookmarkStart w:id="375" w:name="_Toc90128604"/>
      <w:bookmarkStart w:id="376" w:name="_Toc90128838"/>
      <w:bookmarkStart w:id="377" w:name="_Toc95047071"/>
      <w:bookmarkStart w:id="378" w:name="_Hlk140399173"/>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三</w:t>
      </w:r>
      <w:r>
        <w:rPr>
          <w:rFonts w:hint="eastAsia" w:ascii="宋体" w:hAnsi="宋体" w:eastAsia="宋体" w:cs="宋体"/>
          <w:color w:val="auto"/>
          <w:sz w:val="32"/>
          <w:szCs w:val="32"/>
          <w:highlight w:val="none"/>
        </w:rPr>
        <w:t>、</w:t>
      </w:r>
      <w:bookmarkEnd w:id="371"/>
      <w:bookmarkEnd w:id="372"/>
      <w:bookmarkEnd w:id="373"/>
      <w:bookmarkEnd w:id="374"/>
      <w:bookmarkEnd w:id="375"/>
      <w:bookmarkEnd w:id="376"/>
      <w:bookmarkEnd w:id="377"/>
      <w:bookmarkStart w:id="379" w:name="_Hlk131415689"/>
      <w:r>
        <w:rPr>
          <w:rFonts w:hint="eastAsia" w:ascii="宋体" w:hAnsi="宋体" w:eastAsia="宋体" w:cs="宋体"/>
          <w:color w:val="auto"/>
          <w:sz w:val="32"/>
          <w:szCs w:val="32"/>
          <w:highlight w:val="none"/>
          <w:lang w:val="en-US" w:eastAsia="zh-CN"/>
        </w:rPr>
        <w:t>营业执照</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val="en-US" w:eastAsia="zh-CN"/>
        </w:rPr>
        <w:t>四</w:t>
      </w:r>
      <w:r>
        <w:rPr>
          <w:rFonts w:hint="eastAsia" w:ascii="宋体" w:hAnsi="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特定资格要求的相关证书证件</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五、资格条件承诺函或资格审查相关资料</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六、其他部分（招标文件要求或供应商认为需要的其他资料）</w:t>
      </w:r>
    </w:p>
    <w:bookmarkEnd w:id="378"/>
    <w:bookmarkEnd w:id="379"/>
    <w:p>
      <w:pPr>
        <w:pStyle w:val="13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8"/>
          <w:szCs w:val="28"/>
          <w:highlight w:val="none"/>
        </w:rPr>
      </w:pPr>
      <w:bookmarkStart w:id="380" w:name="_Toc97580365"/>
      <w:bookmarkStart w:id="381" w:name="_Toc95047073"/>
      <w:bookmarkStart w:id="382" w:name="_Toc90128605"/>
      <w:bookmarkStart w:id="383" w:name="_Toc95222507"/>
      <w:bookmarkStart w:id="384" w:name="_Toc90128839"/>
      <w:bookmarkStart w:id="385" w:name="_Toc93839953"/>
      <w:bookmarkStart w:id="386" w:name="_Toc90575662"/>
    </w:p>
    <w:p>
      <w:pPr>
        <w:pStyle w:val="138"/>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8"/>
          <w:szCs w:val="28"/>
          <w:highlight w:val="none"/>
        </w:rPr>
      </w:pPr>
    </w:p>
    <w:bookmarkEnd w:id="380"/>
    <w:bookmarkEnd w:id="381"/>
    <w:bookmarkEnd w:id="382"/>
    <w:bookmarkEnd w:id="383"/>
    <w:bookmarkEnd w:id="384"/>
    <w:bookmarkEnd w:id="385"/>
    <w:bookmarkEnd w:id="386"/>
    <w:p>
      <w:pPr>
        <w:rPr>
          <w:rFonts w:hint="eastAsia" w:asciiTheme="minorEastAsia" w:hAnsiTheme="minorEastAsia" w:eastAsiaTheme="minorEastAsia" w:cstheme="minorEastAsia"/>
          <w:b/>
          <w:color w:val="auto"/>
          <w:kern w:val="0"/>
          <w:sz w:val="28"/>
          <w:szCs w:val="28"/>
          <w:highlight w:val="none"/>
        </w:rPr>
      </w:pPr>
    </w:p>
    <w:p>
      <w:pPr>
        <w:jc w:val="both"/>
        <w:rPr>
          <w:rFonts w:hint="eastAsia" w:asciiTheme="minorEastAsia" w:hAnsiTheme="minorEastAsia" w:eastAsiaTheme="minorEastAsia" w:cstheme="minorEastAsia"/>
          <w:b/>
          <w:color w:val="auto"/>
          <w:sz w:val="32"/>
          <w:szCs w:val="32"/>
          <w:highlight w:val="none"/>
        </w:rPr>
      </w:pPr>
      <w:bookmarkStart w:id="387" w:name="_Toc30442"/>
    </w:p>
    <w:bookmarkEnd w:id="387"/>
    <w:p>
      <w:pPr>
        <w:pStyle w:val="5"/>
        <w:numPr>
          <w:ilvl w:val="0"/>
          <w:numId w:val="0"/>
        </w:numPr>
        <w:ind w:left="0" w:leftChars="0" w:firstLine="0" w:firstLineChars="0"/>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numPr>
          <w:ilvl w:val="0"/>
          <w:numId w:val="0"/>
        </w:numPr>
        <w:ind w:left="0" w:leftChars="0" w:firstLine="0" w:firstLineChars="0"/>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numPr>
          <w:ilvl w:val="0"/>
          <w:numId w:val="0"/>
        </w:numPr>
        <w:ind w:left="0" w:leftChars="0" w:firstLine="0" w:firstLineChars="0"/>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numPr>
          <w:ilvl w:val="0"/>
          <w:numId w:val="0"/>
        </w:numPr>
        <w:ind w:left="0" w:leftChars="0" w:firstLine="0" w:firstLineChars="0"/>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numPr>
          <w:ilvl w:val="0"/>
          <w:numId w:val="0"/>
        </w:numPr>
        <w:ind w:left="0" w:leftChars="0" w:firstLine="0" w:firstLineChars="0"/>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numPr>
          <w:ilvl w:val="0"/>
          <w:numId w:val="0"/>
        </w:numPr>
        <w:ind w:left="0" w:leftChars="0" w:firstLine="0" w:firstLineChars="0"/>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numPr>
          <w:ilvl w:val="0"/>
          <w:numId w:val="0"/>
        </w:numPr>
        <w:ind w:left="0" w:leftChars="0" w:firstLine="0" w:firstLineChars="0"/>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numPr>
          <w:ilvl w:val="0"/>
          <w:numId w:val="0"/>
        </w:numPr>
        <w:ind w:left="0" w:leftChars="0" w:firstLine="0" w:firstLineChars="0"/>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pacing w:val="0"/>
          <w:kern w:val="2"/>
          <w:sz w:val="32"/>
          <w:szCs w:val="32"/>
          <w:highlight w:val="none"/>
          <w:lang w:val="en-US" w:eastAsia="zh-CN" w:bidi="ar-SA"/>
        </w:rPr>
        <w:t>一、法定代表人身份证明书</w:t>
      </w:r>
      <w:bookmarkStart w:id="388" w:name="_Toc213141104"/>
      <w:bookmarkStart w:id="389" w:name="_Toc24488"/>
      <w:bookmarkStart w:id="390" w:name="_Toc232509447"/>
      <w:bookmarkStart w:id="391" w:name="_Toc10038948"/>
      <w:bookmarkStart w:id="392" w:name="_Toc28980"/>
      <w:bookmarkStart w:id="393" w:name="_Toc445993938"/>
    </w:p>
    <w:p>
      <w:pPr>
        <w:spacing w:line="440" w:lineRule="exact"/>
        <w:jc w:val="center"/>
        <w:rPr>
          <w:rFonts w:hint="eastAsia" w:asciiTheme="minorEastAsia" w:hAnsiTheme="minorEastAsia" w:eastAsiaTheme="minorEastAsia" w:cstheme="minorEastAsia"/>
          <w:b/>
          <w:color w:val="auto"/>
          <w:sz w:val="30"/>
          <w:szCs w:val="30"/>
          <w:highlight w:val="none"/>
        </w:rPr>
      </w:pP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供应商</w:t>
      </w:r>
      <w:r>
        <w:rPr>
          <w:rFonts w:hint="eastAsia" w:asciiTheme="minorEastAsia" w:hAnsiTheme="minorEastAsia" w:eastAsiaTheme="minorEastAsia" w:cstheme="minorEastAsia"/>
          <w:color w:val="auto"/>
          <w:sz w:val="24"/>
          <w:highlight w:val="none"/>
        </w:rPr>
        <w:t>名称：</w:t>
      </w:r>
      <w:r>
        <w:rPr>
          <w:rFonts w:hint="eastAsia" w:asciiTheme="minorEastAsia" w:hAnsiTheme="minorEastAsia" w:eastAsiaTheme="minorEastAsia" w:cstheme="minorEastAsia"/>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单位性质： </w:t>
      </w:r>
      <w:r>
        <w:rPr>
          <w:rFonts w:hint="eastAsia" w:asciiTheme="minorEastAsia" w:hAnsiTheme="minorEastAsia" w:eastAsiaTheme="minorEastAsia" w:cstheme="minorEastAsia"/>
          <w:color w:val="auto"/>
          <w:sz w:val="24"/>
          <w:highlight w:val="none"/>
          <w:u w:val="single"/>
        </w:rPr>
        <w:t xml:space="preserve">                            . </w:t>
      </w:r>
    </w:p>
    <w:p>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成立时间：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pPr>
        <w:keepNext w:val="0"/>
        <w:keepLines w:val="0"/>
        <w:pageBreakBefore w:val="0"/>
        <w:widowControl w:val="0"/>
        <w:kinsoku/>
        <w:wordWrap/>
        <w:overflowPunct/>
        <w:topLinePunct w:val="0"/>
        <w:autoSpaceDE/>
        <w:autoSpaceDN/>
        <w:bidi w:val="0"/>
        <w:adjustRightInd/>
        <w:snapToGrid/>
        <w:spacing w:line="700" w:lineRule="exact"/>
        <w:ind w:left="-1" w:leftChars="0" w:firstLine="0" w:firstLineChars="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姓名：</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性别：</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职务：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系</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lang w:eastAsia="zh-CN"/>
        </w:rPr>
        <w:t>供应商</w:t>
      </w:r>
      <w:r>
        <w:rPr>
          <w:rFonts w:hint="eastAsia" w:asciiTheme="minorEastAsia" w:hAnsiTheme="minorEastAsia" w:eastAsiaTheme="minorEastAsia" w:cstheme="minorEastAsia"/>
          <w:color w:val="auto"/>
          <w:sz w:val="24"/>
          <w:highlight w:val="none"/>
          <w:u w:val="single"/>
        </w:rPr>
        <w:t>名称）</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的法定代表人。</w:t>
      </w:r>
    </w:p>
    <w:p>
      <w:pPr>
        <w:spacing w:line="360" w:lineRule="auto"/>
        <w:rPr>
          <w:rFonts w:hint="eastAsia" w:asciiTheme="minorEastAsia" w:hAnsiTheme="minorEastAsia" w:eastAsiaTheme="minorEastAsia" w:cstheme="minorEastAsia"/>
          <w:color w:val="auto"/>
          <w:sz w:val="24"/>
          <w:highlight w:val="none"/>
        </w:rPr>
      </w:pPr>
    </w:p>
    <w:p>
      <w:pPr>
        <w:spacing w:line="360" w:lineRule="auto"/>
        <w:rPr>
          <w:rFonts w:hint="eastAsia" w:asciiTheme="minorEastAsia" w:hAnsiTheme="minorEastAsia" w:eastAsiaTheme="minorEastAsia" w:cstheme="minorEastAsia"/>
          <w:color w:val="auto"/>
          <w:sz w:val="24"/>
          <w:highlight w:val="none"/>
        </w:rPr>
      </w:pPr>
    </w:p>
    <w:p>
      <w:pPr>
        <w:spacing w:line="360" w:lineRule="auto"/>
        <w:ind w:firstLine="480" w:firstLineChars="200"/>
        <w:rPr>
          <w:rFonts w:hint="eastAsia" w:asciiTheme="minorEastAsia" w:hAnsiTheme="minorEastAsia" w:eastAsiaTheme="minorEastAsia" w:cstheme="minorEastAsia"/>
          <w:color w:val="auto"/>
          <w:sz w:val="24"/>
          <w:highlight w:val="none"/>
        </w:rPr>
      </w:pP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特此证明。</w:t>
      </w:r>
    </w:p>
    <w:p>
      <w:pPr>
        <w:spacing w:line="360" w:lineRule="auto"/>
        <w:rPr>
          <w:rFonts w:hint="eastAsia" w:asciiTheme="minorEastAsia" w:hAnsiTheme="minorEastAsia" w:eastAsiaTheme="minorEastAsia" w:cstheme="minorEastAsia"/>
          <w:color w:val="auto"/>
          <w:szCs w:val="21"/>
          <w:highlight w:val="none"/>
        </w:rPr>
      </w:pPr>
    </w:p>
    <w:p>
      <w:pPr>
        <w:widowControl/>
        <w:spacing w:line="360" w:lineRule="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附法定代表人身份证正反面复印件</w:t>
      </w:r>
      <w:r>
        <w:rPr>
          <w:rFonts w:hint="eastAsia" w:asciiTheme="minorEastAsia" w:hAnsiTheme="minorEastAsia" w:eastAsiaTheme="minorEastAsia" w:cstheme="minorEastAsia"/>
          <w:b/>
          <w:color w:val="auto"/>
          <w:sz w:val="24"/>
          <w:highlight w:val="none"/>
          <w:u w:val="single"/>
          <w:lang w:val="en-US" w:eastAsia="zh-CN"/>
        </w:rPr>
        <w:t>或扫描件</w:t>
      </w:r>
      <w:r>
        <w:rPr>
          <w:rFonts w:hint="eastAsia" w:asciiTheme="minorEastAsia" w:hAnsiTheme="minorEastAsia" w:eastAsiaTheme="minorEastAsia" w:cstheme="minorEastAsia"/>
          <w:b/>
          <w:color w:val="auto"/>
          <w:sz w:val="24"/>
          <w:highlight w:val="none"/>
          <w:u w:val="single"/>
        </w:rPr>
        <w:t>。</w:t>
      </w:r>
    </w:p>
    <w:p>
      <w:pPr>
        <w:spacing w:line="360" w:lineRule="auto"/>
        <w:rPr>
          <w:rFonts w:hint="eastAsia" w:asciiTheme="minorEastAsia" w:hAnsiTheme="minorEastAsia" w:eastAsiaTheme="minorEastAsia" w:cstheme="minorEastAsia"/>
          <w:color w:val="auto"/>
          <w:szCs w:val="21"/>
          <w:highlight w:val="none"/>
        </w:rPr>
      </w:pPr>
    </w:p>
    <w:p>
      <w:pPr>
        <w:spacing w:line="360" w:lineRule="auto"/>
        <w:rPr>
          <w:rFonts w:hint="eastAsia" w:asciiTheme="minorEastAsia" w:hAnsiTheme="minorEastAsia" w:eastAsiaTheme="minorEastAsia" w:cstheme="minorEastAsia"/>
          <w:color w:val="auto"/>
          <w:szCs w:val="21"/>
          <w:highlight w:val="none"/>
        </w:rPr>
      </w:pPr>
    </w:p>
    <w:p>
      <w:pPr>
        <w:spacing w:line="360" w:lineRule="auto"/>
        <w:rPr>
          <w:rFonts w:hint="eastAsia" w:asciiTheme="minorEastAsia" w:hAnsiTheme="minorEastAsia" w:eastAsiaTheme="minorEastAsia" w:cstheme="minorEastAsia"/>
          <w:color w:val="auto"/>
          <w:szCs w:val="21"/>
          <w:highlight w:val="none"/>
        </w:rPr>
      </w:pPr>
    </w:p>
    <w:p>
      <w:pPr>
        <w:keepNext w:val="0"/>
        <w:keepLines w:val="0"/>
        <w:pageBreakBefore w:val="0"/>
        <w:widowControl w:val="0"/>
        <w:kinsoku/>
        <w:wordWrap/>
        <w:overflowPunct/>
        <w:topLinePunct w:val="0"/>
        <w:autoSpaceDE/>
        <w:autoSpaceDN/>
        <w:bidi w:val="0"/>
        <w:adjustRightInd/>
        <w:snapToGrid/>
        <w:spacing w:line="600" w:lineRule="atLeast"/>
        <w:ind w:left="0" w:leftChars="0" w:firstLine="240"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eastAsia="zh-CN"/>
        </w:rPr>
        <w:t>盖电子公章</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600" w:lineRule="atLeast"/>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日期：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jc w:val="center"/>
        <w:rPr>
          <w:rFonts w:hint="eastAsia" w:asciiTheme="minorEastAsia" w:hAnsiTheme="minorEastAsia" w:eastAsiaTheme="minorEastAsia" w:cstheme="minorEastAsia"/>
          <w:color w:val="auto"/>
          <w:sz w:val="24"/>
          <w:highlight w:val="none"/>
        </w:rPr>
      </w:pPr>
    </w:p>
    <w:p>
      <w:pPr>
        <w:spacing w:line="360" w:lineRule="auto"/>
        <w:jc w:val="right"/>
        <w:rPr>
          <w:rFonts w:hint="eastAsia" w:asciiTheme="minorEastAsia" w:hAnsiTheme="minorEastAsia" w:eastAsiaTheme="minorEastAsia" w:cstheme="minorEastAsia"/>
          <w:color w:val="auto"/>
          <w:szCs w:val="21"/>
          <w:highlight w:val="none"/>
        </w:rPr>
      </w:pPr>
    </w:p>
    <w:p>
      <w:pPr>
        <w:pStyle w:val="18"/>
        <w:rPr>
          <w:rFonts w:hint="eastAsia"/>
          <w:color w:val="auto"/>
          <w:highlight w:val="none"/>
        </w:rPr>
      </w:pPr>
    </w:p>
    <w:p>
      <w:pPr>
        <w:spacing w:line="360" w:lineRule="auto"/>
        <w:rPr>
          <w:rFonts w:hint="eastAsia" w:asciiTheme="minorEastAsia" w:hAnsiTheme="minorEastAsia" w:eastAsiaTheme="minorEastAsia" w:cstheme="minorEastAsia"/>
          <w:color w:val="auto"/>
          <w:kern w:val="0"/>
          <w:szCs w:val="21"/>
          <w:highlight w:val="none"/>
        </w:rPr>
      </w:pPr>
    </w:p>
    <w:p>
      <w:pPr>
        <w:pStyle w:val="5"/>
        <w:numPr>
          <w:ilvl w:val="0"/>
          <w:numId w:val="0"/>
        </w:numPr>
        <w:ind w:left="0" w:leftChars="0" w:firstLine="0" w:firstLineChars="0"/>
        <w:jc w:val="center"/>
        <w:rPr>
          <w:rFonts w:hint="eastAsia" w:asciiTheme="minorEastAsia" w:hAnsiTheme="minorEastAsia" w:eastAsiaTheme="minorEastAsia" w:cstheme="minorEastAsia"/>
          <w:color w:val="auto"/>
          <w:sz w:val="32"/>
          <w:szCs w:val="32"/>
          <w:highlight w:val="none"/>
          <w:lang w:eastAsia="zh-CN"/>
        </w:rPr>
      </w:pPr>
      <w:bookmarkStart w:id="394" w:name="_Toc29668"/>
      <w:bookmarkStart w:id="395" w:name="_Toc232509450"/>
      <w:bookmarkStart w:id="396" w:name="_Toc213141107"/>
      <w:bookmarkStart w:id="397" w:name="_Toc10038950"/>
      <w:bookmarkStart w:id="398" w:name="_Toc30958"/>
      <w:bookmarkStart w:id="399" w:name="_Toc445993940"/>
    </w:p>
    <w:p>
      <w:pPr>
        <w:pStyle w:val="5"/>
        <w:numPr>
          <w:ilvl w:val="0"/>
          <w:numId w:val="0"/>
        </w:numPr>
        <w:ind w:left="0" w:leftChars="0" w:firstLine="0" w:firstLineChars="0"/>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eastAsia="zh-CN"/>
        </w:rPr>
        <w:t>二、</w:t>
      </w:r>
      <w:r>
        <w:rPr>
          <w:rFonts w:hint="eastAsia" w:asciiTheme="minorEastAsia" w:hAnsiTheme="minorEastAsia" w:eastAsiaTheme="minorEastAsia" w:cstheme="minorEastAsia"/>
          <w:color w:val="auto"/>
          <w:sz w:val="32"/>
          <w:szCs w:val="32"/>
          <w:highlight w:val="none"/>
        </w:rPr>
        <w:t>法定代表人授权委托书</w:t>
      </w:r>
      <w:bookmarkEnd w:id="394"/>
      <w:bookmarkEnd w:id="395"/>
      <w:bookmarkEnd w:id="396"/>
      <w:bookmarkEnd w:id="397"/>
      <w:bookmarkEnd w:id="398"/>
      <w:bookmarkEnd w:id="399"/>
    </w:p>
    <w:p>
      <w:pPr>
        <w:pStyle w:val="25"/>
        <w:spacing w:line="500" w:lineRule="exact"/>
        <w:ind w:firstLine="480" w:firstLineChars="200"/>
        <w:rPr>
          <w:rFonts w:hint="eastAsia" w:asciiTheme="minorEastAsia" w:hAnsiTheme="minorEastAsia" w:eastAsiaTheme="minorEastAsia" w:cstheme="minorEastAsia"/>
          <w:color w:val="auto"/>
          <w:kern w:val="0"/>
          <w:sz w:val="24"/>
          <w:highlight w:val="none"/>
        </w:rPr>
      </w:pPr>
    </w:p>
    <w:p>
      <w:pPr>
        <w:pStyle w:val="25"/>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b/>
          <w:bCs/>
          <w:color w:val="auto"/>
          <w:kern w:val="0"/>
          <w:sz w:val="24"/>
          <w:highlight w:val="none"/>
          <w:u w:val="single"/>
        </w:rPr>
      </w:pPr>
      <w:r>
        <w:rPr>
          <w:rFonts w:hint="eastAsia" w:asciiTheme="minorEastAsia" w:hAnsiTheme="minorEastAsia" w:eastAsiaTheme="minorEastAsia" w:cstheme="minorEastAsia"/>
          <w:color w:val="auto"/>
          <w:kern w:val="0"/>
          <w:sz w:val="24"/>
          <w:highlight w:val="none"/>
        </w:rPr>
        <w:t>致：</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lang w:eastAsia="zh-CN"/>
        </w:rPr>
        <w:t>（采购人名称）</w:t>
      </w:r>
    </w:p>
    <w:p>
      <w:pPr>
        <w:pStyle w:val="25"/>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本授权书声明：</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rPr>
        <w:t>（</w:t>
      </w:r>
      <w:r>
        <w:rPr>
          <w:rFonts w:hint="eastAsia" w:asciiTheme="minorEastAsia" w:hAnsiTheme="minorEastAsia" w:eastAsiaTheme="minorEastAsia" w:cstheme="minorEastAsia"/>
          <w:color w:val="auto"/>
          <w:kern w:val="0"/>
          <w:sz w:val="24"/>
          <w:highlight w:val="none"/>
          <w:u w:val="single"/>
          <w:lang w:eastAsia="zh-CN"/>
        </w:rPr>
        <w:t>供应商</w:t>
      </w:r>
      <w:r>
        <w:rPr>
          <w:rFonts w:hint="eastAsia" w:asciiTheme="minorEastAsia" w:hAnsiTheme="minorEastAsia" w:eastAsiaTheme="minorEastAsia" w:cstheme="minorEastAsia"/>
          <w:color w:val="auto"/>
          <w:kern w:val="0"/>
          <w:sz w:val="24"/>
          <w:highlight w:val="none"/>
          <w:u w:val="single"/>
        </w:rPr>
        <w:t>全称）</w:t>
      </w:r>
      <w:r>
        <w:rPr>
          <w:rFonts w:hint="eastAsia" w:asciiTheme="minorEastAsia" w:hAnsiTheme="minorEastAsia" w:eastAsiaTheme="minorEastAsia" w:cstheme="minorEastAsia"/>
          <w:color w:val="auto"/>
          <w:kern w:val="0"/>
          <w:sz w:val="24"/>
          <w:highlight w:val="none"/>
        </w:rPr>
        <w:t>的法定代表人</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rPr>
        <w:t>代表本公司授权</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rPr>
        <w:t>（委托代理人姓名）</w:t>
      </w:r>
      <w:r>
        <w:rPr>
          <w:rFonts w:hint="eastAsia" w:asciiTheme="minorEastAsia" w:hAnsiTheme="minorEastAsia" w:eastAsiaTheme="minorEastAsia" w:cstheme="minorEastAsia"/>
          <w:color w:val="auto"/>
          <w:kern w:val="0"/>
          <w:sz w:val="24"/>
          <w:highlight w:val="none"/>
        </w:rPr>
        <w:t>为本公司合法代理人，就贵方组织的有关</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rPr>
        <w:t>（</w:t>
      </w:r>
      <w:r>
        <w:rPr>
          <w:rFonts w:hint="eastAsia" w:asciiTheme="minorEastAsia" w:hAnsiTheme="minorEastAsia" w:eastAsiaTheme="minorEastAsia" w:cstheme="minorEastAsia"/>
          <w:color w:val="auto"/>
          <w:kern w:val="0"/>
          <w:sz w:val="24"/>
          <w:highlight w:val="none"/>
          <w:u w:val="single"/>
          <w:lang w:val="en-US" w:eastAsia="zh-CN"/>
        </w:rPr>
        <w:t>标段</w:t>
      </w:r>
      <w:r>
        <w:rPr>
          <w:rFonts w:hint="eastAsia" w:asciiTheme="minorEastAsia" w:hAnsiTheme="minorEastAsia" w:eastAsiaTheme="minorEastAsia" w:cstheme="minorEastAsia"/>
          <w:color w:val="auto"/>
          <w:kern w:val="0"/>
          <w:sz w:val="24"/>
          <w:highlight w:val="none"/>
          <w:u w:val="single"/>
        </w:rPr>
        <w:t>名称）</w:t>
      </w: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lang w:val="en-US" w:eastAsia="zh-CN"/>
        </w:rPr>
        <w:t>标段</w:t>
      </w:r>
      <w:r>
        <w:rPr>
          <w:rFonts w:hint="eastAsia" w:asciiTheme="minorEastAsia" w:hAnsiTheme="minorEastAsia" w:eastAsiaTheme="minorEastAsia" w:cstheme="minorEastAsia"/>
          <w:color w:val="auto"/>
          <w:kern w:val="0"/>
          <w:sz w:val="24"/>
          <w:highlight w:val="none"/>
        </w:rPr>
        <w:t>编号：</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u w:val="single"/>
          <w:lang w:val="en-US" w:eastAsia="zh-CN"/>
        </w:rPr>
        <w:t xml:space="preserve">福招字  </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）的</w:t>
      </w:r>
      <w:r>
        <w:rPr>
          <w:rFonts w:hint="eastAsia" w:asciiTheme="minorEastAsia" w:hAnsiTheme="minorEastAsia" w:eastAsiaTheme="minorEastAsia" w:cstheme="minorEastAsia"/>
          <w:color w:val="auto"/>
          <w:kern w:val="0"/>
          <w:sz w:val="24"/>
          <w:highlight w:val="none"/>
          <w:lang w:eastAsia="zh-CN"/>
        </w:rPr>
        <w:t>招标</w:t>
      </w:r>
      <w:r>
        <w:rPr>
          <w:rFonts w:hint="eastAsia" w:asciiTheme="minorEastAsia" w:hAnsiTheme="minorEastAsia" w:eastAsiaTheme="minorEastAsia" w:cstheme="minorEastAsia"/>
          <w:color w:val="auto"/>
          <w:kern w:val="0"/>
          <w:sz w:val="24"/>
          <w:highlight w:val="none"/>
        </w:rPr>
        <w:t>，以本单位名义</w:t>
      </w:r>
      <w:r>
        <w:rPr>
          <w:rFonts w:hint="eastAsia" w:asciiTheme="minorEastAsia" w:hAnsiTheme="minorEastAsia" w:eastAsiaTheme="minorEastAsia" w:cstheme="minorEastAsia"/>
          <w:color w:val="auto"/>
          <w:kern w:val="0"/>
          <w:sz w:val="24"/>
          <w:highlight w:val="none"/>
          <w:lang w:eastAsia="zh-CN"/>
        </w:rPr>
        <w:t>参加投标</w:t>
      </w:r>
      <w:r>
        <w:rPr>
          <w:rFonts w:hint="eastAsia" w:asciiTheme="minorEastAsia" w:hAnsiTheme="minorEastAsia" w:eastAsiaTheme="minorEastAsia" w:cstheme="minorEastAsia"/>
          <w:color w:val="auto"/>
          <w:kern w:val="0"/>
          <w:sz w:val="24"/>
          <w:highlight w:val="none"/>
        </w:rPr>
        <w:t>，处理一切与之有关的事务。</w:t>
      </w:r>
    </w:p>
    <w:p>
      <w:pPr>
        <w:pStyle w:val="25"/>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本委托书限期自</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年</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月</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日起到</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年</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月</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u w:val="single"/>
          <w:lang w:val="en-US" w:eastAsia="zh-CN"/>
        </w:rPr>
        <w:t xml:space="preserve"> </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日止。</w:t>
      </w:r>
    </w:p>
    <w:p>
      <w:pPr>
        <w:pStyle w:val="25"/>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授权代表无权转让委托权，特此委托。</w:t>
      </w:r>
    </w:p>
    <w:p>
      <w:pPr>
        <w:pStyle w:val="25"/>
        <w:keepNext w:val="0"/>
        <w:keepLines w:val="0"/>
        <w:pageBreakBefore w:val="0"/>
        <w:widowControl w:val="0"/>
        <w:kinsoku/>
        <w:wordWrap/>
        <w:overflowPunct/>
        <w:topLinePunct w:val="0"/>
        <w:autoSpaceDE/>
        <w:autoSpaceDN/>
        <w:bidi w:val="0"/>
        <w:adjustRightInd/>
        <w:snapToGrid/>
        <w:spacing w:line="600" w:lineRule="exact"/>
        <w:ind w:firstLine="420"/>
        <w:textAlignment w:val="auto"/>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附法定代表人授权委托人身份证正反面复印件</w:t>
      </w:r>
      <w:r>
        <w:rPr>
          <w:rFonts w:hint="eastAsia" w:asciiTheme="minorEastAsia" w:hAnsiTheme="minorEastAsia" w:eastAsiaTheme="minorEastAsia" w:cstheme="minorEastAsia"/>
          <w:b/>
          <w:color w:val="auto"/>
          <w:sz w:val="24"/>
          <w:highlight w:val="none"/>
          <w:u w:val="single"/>
          <w:lang w:val="en-US" w:eastAsia="zh-CN"/>
        </w:rPr>
        <w:t>或扫描件</w:t>
      </w:r>
      <w:r>
        <w:rPr>
          <w:rFonts w:hint="eastAsia" w:asciiTheme="minorEastAsia" w:hAnsiTheme="minorEastAsia" w:eastAsiaTheme="minorEastAsia" w:cstheme="minorEastAsia"/>
          <w:b/>
          <w:color w:val="auto"/>
          <w:sz w:val="24"/>
          <w:highlight w:val="none"/>
          <w:u w:val="single"/>
        </w:rPr>
        <w:t>。</w:t>
      </w:r>
    </w:p>
    <w:p>
      <w:pPr>
        <w:pStyle w:val="25"/>
        <w:spacing w:line="500" w:lineRule="exact"/>
        <w:ind w:firstLine="420"/>
        <w:rPr>
          <w:rFonts w:hint="eastAsia" w:asciiTheme="minorEastAsia" w:hAnsiTheme="minorEastAsia" w:eastAsiaTheme="minorEastAsia" w:cstheme="minorEastAsia"/>
          <w:color w:val="auto"/>
          <w:kern w:val="0"/>
          <w:sz w:val="24"/>
          <w:highlight w:val="none"/>
        </w:rPr>
      </w:pPr>
    </w:p>
    <w:p>
      <w:pPr>
        <w:widowControl/>
        <w:tabs>
          <w:tab w:val="left" w:pos="3570"/>
        </w:tabs>
        <w:spacing w:line="360" w:lineRule="auto"/>
        <w:ind w:firstLine="3840" w:firstLineChars="1600"/>
        <w:jc w:val="left"/>
        <w:outlineLvl w:val="2"/>
        <w:rPr>
          <w:rFonts w:hint="eastAsia" w:asciiTheme="minorEastAsia" w:hAnsiTheme="minorEastAsia" w:eastAsiaTheme="minorEastAsia" w:cstheme="minorEastAsia"/>
          <w:color w:val="auto"/>
          <w:kern w:val="0"/>
          <w:sz w:val="24"/>
          <w:szCs w:val="24"/>
          <w:highlight w:val="none"/>
          <w:lang w:val="en-US" w:eastAsia="zh-CN"/>
        </w:rPr>
      </w:pPr>
      <w:bookmarkStart w:id="400" w:name="_Toc12593"/>
      <w:bookmarkStart w:id="401" w:name="_Toc68620611"/>
      <w:bookmarkStart w:id="402" w:name="_Toc585"/>
    </w:p>
    <w:p>
      <w:pPr>
        <w:pStyle w:val="18"/>
        <w:rPr>
          <w:rFonts w:hint="eastAsia" w:asciiTheme="minorEastAsia" w:hAnsiTheme="minorEastAsia" w:eastAsiaTheme="minorEastAsia" w:cstheme="minorEastAsia"/>
          <w:color w:val="auto"/>
          <w:kern w:val="0"/>
          <w:sz w:val="24"/>
          <w:szCs w:val="24"/>
          <w:highlight w:val="none"/>
          <w:lang w:val="en-US" w:eastAsia="zh-CN"/>
        </w:rPr>
      </w:pPr>
    </w:p>
    <w:p>
      <w:pPr>
        <w:rPr>
          <w:rFonts w:hint="eastAsia" w:asciiTheme="minorEastAsia" w:hAnsiTheme="minorEastAsia" w:eastAsiaTheme="minorEastAsia" w:cstheme="minorEastAsia"/>
          <w:color w:val="auto"/>
          <w:highlight w:val="none"/>
          <w:lang w:val="en-US" w:eastAsia="zh-CN"/>
        </w:rPr>
      </w:pPr>
    </w:p>
    <w:p>
      <w:pPr>
        <w:widowControl/>
        <w:tabs>
          <w:tab w:val="left" w:pos="3570"/>
        </w:tabs>
        <w:spacing w:line="360" w:lineRule="auto"/>
        <w:ind w:firstLine="3840" w:firstLineChars="1600"/>
        <w:jc w:val="left"/>
        <w:outlineLvl w:val="2"/>
        <w:rPr>
          <w:rFonts w:hint="eastAsia" w:asciiTheme="minorEastAsia" w:hAnsiTheme="minorEastAsia" w:eastAsiaTheme="minorEastAsia" w:cstheme="minorEastAsia"/>
          <w:color w:val="auto"/>
          <w:kern w:val="0"/>
          <w:sz w:val="24"/>
          <w:szCs w:val="24"/>
          <w:highlight w:val="none"/>
          <w:lang w:val="en-US" w:eastAsia="zh-CN"/>
        </w:rPr>
      </w:pPr>
    </w:p>
    <w:p>
      <w:pPr>
        <w:keepNext w:val="0"/>
        <w:keepLines w:val="0"/>
        <w:pageBreakBefore w:val="0"/>
        <w:widowControl/>
        <w:tabs>
          <w:tab w:val="left" w:pos="3570"/>
        </w:tabs>
        <w:kinsoku/>
        <w:wordWrap/>
        <w:overflowPunct/>
        <w:topLinePunct w:val="0"/>
        <w:bidi w:val="0"/>
        <w:snapToGrid/>
        <w:spacing w:line="560" w:lineRule="exact"/>
        <w:ind w:left="0" w:leftChars="0" w:firstLine="2318" w:firstLineChars="966"/>
        <w:jc w:val="left"/>
        <w:outlineLvl w:val="2"/>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盖电子公章</w:t>
      </w:r>
      <w:r>
        <w:rPr>
          <w:rFonts w:hint="eastAsia" w:asciiTheme="minorEastAsia" w:hAnsiTheme="minorEastAsia" w:eastAsiaTheme="minorEastAsia" w:cstheme="minorEastAsia"/>
          <w:color w:val="auto"/>
          <w:kern w:val="0"/>
          <w:sz w:val="24"/>
          <w:szCs w:val="24"/>
          <w:highlight w:val="none"/>
          <w:u w:val="single"/>
        </w:rPr>
        <w:t>）</w:t>
      </w:r>
      <w:bookmarkEnd w:id="400"/>
      <w:bookmarkEnd w:id="401"/>
      <w:bookmarkEnd w:id="402"/>
    </w:p>
    <w:p>
      <w:pPr>
        <w:keepNext w:val="0"/>
        <w:keepLines w:val="0"/>
        <w:pageBreakBefore w:val="0"/>
        <w:widowControl/>
        <w:tabs>
          <w:tab w:val="left" w:pos="3570"/>
        </w:tabs>
        <w:kinsoku/>
        <w:wordWrap/>
        <w:overflowPunct/>
        <w:topLinePunct w:val="0"/>
        <w:bidi w:val="0"/>
        <w:snapToGrid/>
        <w:spacing w:line="560" w:lineRule="exact"/>
        <w:ind w:left="0" w:leftChars="0" w:firstLine="2318" w:firstLineChars="966"/>
        <w:jc w:val="left"/>
        <w:outlineLvl w:val="2"/>
        <w:rPr>
          <w:rFonts w:hint="eastAsia" w:asciiTheme="minorEastAsia" w:hAnsiTheme="minorEastAsia" w:eastAsiaTheme="minorEastAsia" w:cstheme="minorEastAsia"/>
          <w:color w:val="auto"/>
          <w:kern w:val="0"/>
          <w:sz w:val="24"/>
          <w:szCs w:val="24"/>
          <w:highlight w:val="none"/>
        </w:rPr>
      </w:pPr>
      <w:bookmarkStart w:id="403" w:name="_Toc68620612"/>
      <w:bookmarkStart w:id="404" w:name="_Toc5995"/>
      <w:bookmarkStart w:id="405" w:name="_Toc14805"/>
      <w:r>
        <w:rPr>
          <w:rFonts w:hint="eastAsia" w:asciiTheme="minorEastAsia" w:hAnsiTheme="minorEastAsia" w:eastAsiaTheme="minorEastAsia" w:cstheme="minorEastAsia"/>
          <w:color w:val="auto"/>
          <w:kern w:val="0"/>
          <w:sz w:val="24"/>
          <w:szCs w:val="24"/>
          <w:highlight w:val="none"/>
        </w:rPr>
        <w:t>法定代表人：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电子签章</w:t>
      </w:r>
      <w:r>
        <w:rPr>
          <w:rFonts w:hint="eastAsia" w:asciiTheme="minorEastAsia" w:hAnsiTheme="minorEastAsia" w:eastAsiaTheme="minorEastAsia" w:cstheme="minorEastAsia"/>
          <w:color w:val="auto"/>
          <w:kern w:val="0"/>
          <w:sz w:val="24"/>
          <w:szCs w:val="24"/>
          <w:highlight w:val="none"/>
          <w:u w:val="single"/>
        </w:rPr>
        <w:t>）</w:t>
      </w:r>
      <w:bookmarkEnd w:id="403"/>
      <w:bookmarkEnd w:id="404"/>
      <w:bookmarkEnd w:id="405"/>
    </w:p>
    <w:p>
      <w:pPr>
        <w:keepNext w:val="0"/>
        <w:keepLines w:val="0"/>
        <w:pageBreakBefore w:val="0"/>
        <w:kinsoku/>
        <w:wordWrap/>
        <w:overflowPunct/>
        <w:topLinePunct w:val="0"/>
        <w:autoSpaceDE w:val="0"/>
        <w:autoSpaceDN w:val="0"/>
        <w:bidi w:val="0"/>
        <w:adjustRightInd w:val="0"/>
        <w:snapToGrid/>
        <w:spacing w:line="560" w:lineRule="exact"/>
        <w:ind w:left="0" w:leftChars="0" w:firstLine="2318" w:firstLineChars="966"/>
        <w:jc w:val="left"/>
        <w:textAlignment w:val="baseline"/>
        <w:rPr>
          <w:rFonts w:hint="eastAsia" w:asciiTheme="minorEastAsia" w:hAnsiTheme="minorEastAsia" w:eastAsiaTheme="minorEastAsia" w:cstheme="minorEastAsia"/>
          <w:color w:val="auto"/>
          <w:kern w:val="0"/>
          <w:sz w:val="21"/>
          <w:szCs w:val="21"/>
          <w:highlight w:val="none"/>
          <w:u w:val="single"/>
          <w:lang w:val="en-US" w:eastAsia="zh-CN"/>
        </w:rPr>
      </w:pPr>
      <w:r>
        <w:rPr>
          <w:rFonts w:hint="eastAsia" w:asciiTheme="minorEastAsia" w:hAnsiTheme="minorEastAsia" w:eastAsiaTheme="minorEastAsia" w:cstheme="minorEastAsia"/>
          <w:color w:val="auto"/>
          <w:kern w:val="0"/>
          <w:sz w:val="24"/>
          <w:szCs w:val="24"/>
          <w:highlight w:val="none"/>
        </w:rPr>
        <w:t>身份证号码：</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1"/>
          <w:szCs w:val="21"/>
          <w:highlight w:val="none"/>
          <w:u w:val="single"/>
          <w:lang w:val="en-US" w:eastAsia="zh-CN"/>
        </w:rPr>
        <w:t>.</w:t>
      </w:r>
    </w:p>
    <w:p>
      <w:pPr>
        <w:keepNext w:val="0"/>
        <w:keepLines w:val="0"/>
        <w:pageBreakBefore w:val="0"/>
        <w:kinsoku/>
        <w:wordWrap/>
        <w:overflowPunct/>
        <w:topLinePunct w:val="0"/>
        <w:autoSpaceDE w:val="0"/>
        <w:autoSpaceDN w:val="0"/>
        <w:bidi w:val="0"/>
        <w:adjustRightInd w:val="0"/>
        <w:snapToGrid/>
        <w:spacing w:line="560" w:lineRule="exact"/>
        <w:ind w:left="0" w:leftChars="0" w:firstLine="2318" w:firstLineChars="966"/>
        <w:jc w:val="left"/>
        <w:textAlignment w:val="baseline"/>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委托代理人：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（签字）</w:t>
      </w:r>
    </w:p>
    <w:p>
      <w:pPr>
        <w:keepNext w:val="0"/>
        <w:keepLines w:val="0"/>
        <w:pageBreakBefore w:val="0"/>
        <w:kinsoku/>
        <w:wordWrap/>
        <w:overflowPunct/>
        <w:topLinePunct w:val="0"/>
        <w:autoSpaceDE w:val="0"/>
        <w:autoSpaceDN w:val="0"/>
        <w:bidi w:val="0"/>
        <w:adjustRightInd w:val="0"/>
        <w:snapToGrid/>
        <w:spacing w:line="560" w:lineRule="exact"/>
        <w:ind w:left="0" w:leftChars="0" w:firstLine="2318" w:firstLineChars="966"/>
        <w:jc w:val="left"/>
        <w:textAlignment w:val="baseline"/>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身份证号码：</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1"/>
          <w:szCs w:val="21"/>
          <w:highlight w:val="none"/>
          <w:u w:val="single"/>
          <w:lang w:val="en-US" w:eastAsia="zh-CN"/>
        </w:rPr>
        <w:t>.</w:t>
      </w:r>
    </w:p>
    <w:p>
      <w:pPr>
        <w:keepNext w:val="0"/>
        <w:keepLines w:val="0"/>
        <w:pageBreakBefore w:val="0"/>
        <w:kinsoku/>
        <w:wordWrap/>
        <w:overflowPunct/>
        <w:topLinePunct w:val="0"/>
        <w:bidi w:val="0"/>
        <w:snapToGrid/>
        <w:spacing w:line="560" w:lineRule="exact"/>
        <w:ind w:left="0" w:leftChars="0" w:firstLine="2318" w:firstLineChars="96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日期：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8"/>
        <w:ind w:left="0" w:leftChars="0" w:firstLine="0" w:firstLineChars="0"/>
        <w:rPr>
          <w:rFonts w:hint="eastAsia"/>
          <w:color w:val="auto"/>
          <w:highlight w:val="none"/>
          <w:lang w:val="en-US" w:eastAsia="zh-CN"/>
        </w:rPr>
      </w:pPr>
    </w:p>
    <w:p>
      <w:pPr>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r>
        <w:rPr>
          <w:rFonts w:hint="eastAsia" w:asciiTheme="minorEastAsia" w:hAnsiTheme="minorEastAsia" w:eastAsiaTheme="minorEastAsia" w:cstheme="minorEastAsia"/>
          <w:b/>
          <w:color w:val="auto"/>
          <w:spacing w:val="0"/>
          <w:kern w:val="2"/>
          <w:sz w:val="32"/>
          <w:szCs w:val="32"/>
          <w:highlight w:val="none"/>
          <w:lang w:val="en-US" w:eastAsia="zh-CN" w:bidi="ar-SA"/>
        </w:rPr>
        <w:t>三、营业执照</w:t>
      </w:r>
    </w:p>
    <w:p>
      <w:pPr>
        <w:pStyle w:val="5"/>
        <w:keepNext w:val="0"/>
        <w:keepLines w:val="0"/>
        <w:numPr>
          <w:ilvl w:val="2"/>
          <w:numId w:val="0"/>
        </w:numPr>
        <w:ind w:left="1440" w:leftChars="0" w:firstLine="1925" w:firstLineChars="685"/>
        <w:jc w:val="both"/>
        <w:rPr>
          <w:rFonts w:hint="eastAsia" w:asciiTheme="minorEastAsia" w:hAnsiTheme="minorEastAsia" w:eastAsiaTheme="minorEastAsia" w:cstheme="minorEastAsia"/>
          <w:b/>
          <w:color w:val="auto"/>
          <w:spacing w:val="0"/>
          <w:kern w:val="2"/>
          <w:sz w:val="28"/>
          <w:szCs w:val="28"/>
          <w:highlight w:val="none"/>
          <w:lang w:val="en-US" w:eastAsia="zh-CN" w:bidi="ar-SA"/>
        </w:rPr>
      </w:pPr>
    </w:p>
    <w:p>
      <w:pPr>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w:t>
      </w:r>
      <w:r>
        <w:rPr>
          <w:rFonts w:hint="eastAsia" w:asciiTheme="minorEastAsia" w:hAnsiTheme="minorEastAsia" w:eastAsiaTheme="minorEastAsia" w:cstheme="minorEastAsia"/>
          <w:color w:val="auto"/>
          <w:highlight w:val="none"/>
          <w:lang w:eastAsia="zh-CN"/>
        </w:rPr>
        <w:t>复印件或扫描件</w:t>
      </w:r>
      <w:r>
        <w:rPr>
          <w:rFonts w:hint="eastAsia" w:asciiTheme="minorEastAsia" w:hAnsiTheme="minorEastAsia" w:eastAsiaTheme="minorEastAsia" w:cstheme="minorEastAsia"/>
          <w:color w:val="auto"/>
          <w:highlight w:val="none"/>
        </w:rPr>
        <w:t>。</w:t>
      </w:r>
    </w:p>
    <w:p>
      <w:pPr>
        <w:pStyle w:val="5"/>
        <w:numPr>
          <w:ilvl w:val="0"/>
          <w:numId w:val="0"/>
        </w:numPr>
        <w:ind w:left="425"/>
        <w:jc w:val="center"/>
        <w:rPr>
          <w:rFonts w:hint="eastAsia" w:asciiTheme="minorEastAsia" w:hAnsiTheme="minorEastAsia" w:eastAsiaTheme="minorEastAsia" w:cstheme="minorEastAsia"/>
          <w:color w:val="auto"/>
          <w:sz w:val="32"/>
          <w:szCs w:val="32"/>
          <w:highlight w:val="none"/>
          <w:lang w:eastAsia="zh-CN"/>
        </w:rPr>
      </w:pPr>
    </w:p>
    <w:p>
      <w:pPr>
        <w:pStyle w:val="6"/>
        <w:rPr>
          <w:rFonts w:hint="eastAsia" w:asciiTheme="minorEastAsia" w:hAnsiTheme="minorEastAsia" w:eastAsiaTheme="minorEastAsia" w:cstheme="minorEastAsia"/>
          <w:color w:val="auto"/>
          <w:sz w:val="32"/>
          <w:szCs w:val="32"/>
          <w:highlight w:val="none"/>
          <w:lang w:eastAsia="zh-CN"/>
        </w:rPr>
      </w:pPr>
    </w:p>
    <w:bookmarkEnd w:id="388"/>
    <w:bookmarkEnd w:id="389"/>
    <w:bookmarkEnd w:id="390"/>
    <w:bookmarkEnd w:id="391"/>
    <w:bookmarkEnd w:id="392"/>
    <w:bookmarkEnd w:id="393"/>
    <w:p>
      <w:pPr>
        <w:spacing w:line="360" w:lineRule="auto"/>
        <w:jc w:val="left"/>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p>
    <w:p>
      <w:pPr>
        <w:pStyle w:val="5"/>
        <w:keepNext w:val="0"/>
        <w:keepLines w:val="0"/>
        <w:numPr>
          <w:ilvl w:val="2"/>
          <w:numId w:val="0"/>
        </w:numPr>
        <w:ind w:left="1224" w:leftChars="0" w:hanging="1224" w:hangingChars="381"/>
        <w:jc w:val="center"/>
        <w:rPr>
          <w:rFonts w:hint="eastAsia" w:asciiTheme="minorEastAsia" w:hAnsiTheme="minorEastAsia" w:eastAsiaTheme="minorEastAsia" w:cstheme="minorEastAsia"/>
          <w:b/>
          <w:color w:val="auto"/>
          <w:spacing w:val="0"/>
          <w:kern w:val="2"/>
          <w:sz w:val="32"/>
          <w:szCs w:val="32"/>
          <w:highlight w:val="none"/>
          <w:lang w:val="en-US" w:eastAsia="zh-CN" w:bidi="ar-SA"/>
        </w:rPr>
      </w:pPr>
      <w:r>
        <w:rPr>
          <w:rFonts w:hint="eastAsia" w:asciiTheme="minorEastAsia" w:hAnsiTheme="minorEastAsia" w:eastAsiaTheme="minorEastAsia" w:cstheme="minorEastAsia"/>
          <w:b/>
          <w:color w:val="auto"/>
          <w:spacing w:val="0"/>
          <w:kern w:val="2"/>
          <w:sz w:val="32"/>
          <w:szCs w:val="32"/>
          <w:highlight w:val="none"/>
          <w:lang w:val="en-US" w:eastAsia="zh-CN" w:bidi="ar-SA"/>
        </w:rPr>
        <w:t>四、特定资格要求的相关证书证件</w:t>
      </w:r>
    </w:p>
    <w:p>
      <w:pPr>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w:t>
      </w:r>
      <w:r>
        <w:rPr>
          <w:rFonts w:hint="eastAsia" w:asciiTheme="minorEastAsia" w:hAnsiTheme="minorEastAsia" w:eastAsiaTheme="minorEastAsia" w:cstheme="minorEastAsia"/>
          <w:color w:val="auto"/>
          <w:highlight w:val="none"/>
          <w:lang w:eastAsia="zh-CN"/>
        </w:rPr>
        <w:t>复印件或扫描件</w:t>
      </w:r>
      <w:r>
        <w:rPr>
          <w:rFonts w:hint="eastAsia" w:asciiTheme="minorEastAsia" w:hAnsiTheme="minorEastAsia" w:eastAsiaTheme="minorEastAsia" w:cstheme="minorEastAsia"/>
          <w:color w:val="auto"/>
          <w:highlight w:val="none"/>
        </w:rPr>
        <w:t>。</w:t>
      </w:r>
    </w:p>
    <w:p>
      <w:pPr>
        <w:widowControl/>
        <w:ind w:firstLine="3092" w:firstLineChars="1100"/>
        <w:jc w:val="both"/>
        <w:rPr>
          <w:rFonts w:hint="eastAsia" w:ascii="仿宋" w:hAnsi="仿宋" w:eastAsia="仿宋" w:cs="仿宋"/>
          <w:b/>
          <w:color w:val="auto"/>
          <w:spacing w:val="0"/>
          <w:kern w:val="2"/>
          <w:sz w:val="28"/>
          <w:szCs w:val="28"/>
          <w:highlight w:val="none"/>
          <w:lang w:val="en-US" w:eastAsia="zh-CN" w:bidi="ar-SA"/>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pStyle w:val="18"/>
        <w:rPr>
          <w:rFonts w:hint="eastAsia" w:asciiTheme="minorEastAsia" w:hAnsiTheme="minorEastAsia" w:eastAsiaTheme="minorEastAsia" w:cstheme="minorEastAsia"/>
          <w:color w:val="auto"/>
          <w:kern w:val="0"/>
          <w:sz w:val="24"/>
          <w:highlight w:val="none"/>
          <w:lang w:val="en-US" w:eastAsia="zh-CN"/>
        </w:rPr>
      </w:pPr>
    </w:p>
    <w:p>
      <w:pPr>
        <w:rPr>
          <w:rFonts w:hint="eastAsia" w:asciiTheme="minorEastAsia" w:hAnsiTheme="minorEastAsia" w:eastAsiaTheme="minorEastAsia" w:cstheme="minorEastAsia"/>
          <w:color w:val="auto"/>
          <w:kern w:val="0"/>
          <w:sz w:val="24"/>
          <w:highlight w:val="none"/>
          <w:lang w:val="en-US" w:eastAsia="zh-CN"/>
        </w:rPr>
      </w:pPr>
    </w:p>
    <w:p>
      <w:pPr>
        <w:spacing w:line="360" w:lineRule="auto"/>
        <w:ind w:left="0" w:leftChars="0"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rPr>
      </w:pPr>
    </w:p>
    <w:p>
      <w:pPr>
        <w:spacing w:line="360" w:lineRule="auto"/>
        <w:ind w:left="0" w:leftChars="0"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rPr>
      </w:pPr>
    </w:p>
    <w:p>
      <w:pPr>
        <w:spacing w:line="360" w:lineRule="auto"/>
        <w:ind w:left="0" w:leftChars="0"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rPr>
      </w:pPr>
    </w:p>
    <w:p>
      <w:pPr>
        <w:spacing w:line="360" w:lineRule="auto"/>
        <w:ind w:left="0" w:leftChars="0"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rPr>
      </w:pPr>
    </w:p>
    <w:p>
      <w:pPr>
        <w:spacing w:line="360" w:lineRule="auto"/>
        <w:ind w:left="0" w:leftChars="0"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rPr>
      </w:pPr>
    </w:p>
    <w:p>
      <w:pPr>
        <w:spacing w:line="360" w:lineRule="auto"/>
        <w:ind w:left="0" w:leftChars="0"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rPr>
      </w:pPr>
    </w:p>
    <w:p>
      <w:pPr>
        <w:spacing w:line="360" w:lineRule="auto"/>
        <w:ind w:left="0" w:leftChars="0" w:firstLine="0" w:firstLineChars="0"/>
        <w:jc w:val="center"/>
        <w:rPr>
          <w:rFonts w:hint="eastAsia" w:asciiTheme="minorEastAsia" w:hAnsiTheme="minorEastAsia" w:eastAsiaTheme="minorEastAsia" w:cstheme="minorEastAsia"/>
          <w:b/>
          <w:bCs/>
          <w:color w:val="auto"/>
          <w:kern w:val="0"/>
          <w:sz w:val="32"/>
          <w:szCs w:val="32"/>
          <w:highlight w:val="none"/>
          <w:lang w:val="en-US" w:eastAsia="zh-CN"/>
        </w:rPr>
      </w:pPr>
      <w:r>
        <w:rPr>
          <w:rFonts w:hint="eastAsia" w:asciiTheme="minorEastAsia" w:hAnsiTheme="minorEastAsia" w:eastAsiaTheme="minorEastAsia" w:cstheme="minorEastAsia"/>
          <w:b/>
          <w:bCs/>
          <w:color w:val="auto"/>
          <w:kern w:val="0"/>
          <w:sz w:val="32"/>
          <w:szCs w:val="32"/>
          <w:highlight w:val="none"/>
          <w:lang w:val="en-US" w:eastAsia="zh-CN"/>
        </w:rPr>
        <w:t>五、资格条件承诺函</w:t>
      </w:r>
    </w:p>
    <w:p>
      <w:pPr>
        <w:spacing w:line="520" w:lineRule="exact"/>
        <w:ind w:left="0" w:leftChars="0" w:firstLine="0" w:firstLineChars="0"/>
        <w:jc w:val="center"/>
        <w:rPr>
          <w:rFonts w:hint="eastAsia" w:ascii="宋体" w:hAnsi="宋体" w:eastAsia="宋体" w:cs="宋体"/>
          <w:b/>
          <w:bCs/>
          <w:kern w:val="0"/>
          <w:sz w:val="32"/>
          <w:szCs w:val="32"/>
          <w:highlight w:val="none"/>
          <w:lang w:val="en-US" w:eastAsia="zh-CN"/>
        </w:rPr>
      </w:pPr>
      <w:r>
        <w:rPr>
          <w:rFonts w:hint="eastAsia" w:ascii="宋体" w:hAnsi="宋体" w:eastAsia="宋体" w:cs="宋体"/>
          <w:b/>
          <w:bCs/>
          <w:kern w:val="0"/>
          <w:sz w:val="32"/>
          <w:szCs w:val="32"/>
          <w:highlight w:val="none"/>
          <w:lang w:val="en-US" w:eastAsia="zh-CN"/>
        </w:rPr>
        <w:t>（1）资格条件承诺函</w:t>
      </w:r>
    </w:p>
    <w:p>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我方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供应商</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符合《中华人民共和国政府采购法》第二十二条</w:t>
      </w:r>
      <w:r>
        <w:rPr>
          <w:rFonts w:hint="eastAsia" w:ascii="宋体" w:hAnsi="宋体" w:eastAsia="宋体" w:cs="宋体"/>
          <w:sz w:val="24"/>
          <w:highlight w:val="none"/>
          <w:lang w:eastAsia="zh-CN"/>
        </w:rPr>
        <w:t>及其他相关</w:t>
      </w:r>
      <w:r>
        <w:rPr>
          <w:rFonts w:hint="eastAsia" w:ascii="宋体" w:hAnsi="宋体" w:eastAsia="宋体" w:cs="宋体"/>
          <w:sz w:val="24"/>
          <w:highlight w:val="none"/>
        </w:rPr>
        <w:t>规定条件，具体包括：</w:t>
      </w:r>
    </w:p>
    <w:p>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1.具有独立承担民事责任的能力；</w:t>
      </w:r>
    </w:p>
    <w:p>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2.具有良好的商业信誉和健全的财务会计制度；</w:t>
      </w:r>
    </w:p>
    <w:p>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eastAsia="zh-CN"/>
        </w:rPr>
        <w:t>具</w:t>
      </w:r>
      <w:r>
        <w:rPr>
          <w:rFonts w:hint="eastAsia" w:ascii="宋体" w:hAnsi="宋体" w:eastAsia="宋体" w:cs="宋体"/>
          <w:sz w:val="24"/>
          <w:highlight w:val="none"/>
        </w:rPr>
        <w:t>有依法缴纳税收和社会保障资金的良好记录；</w:t>
      </w:r>
    </w:p>
    <w:p>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4.具有履行合同所必需的设备和专业技术能力；</w:t>
      </w:r>
    </w:p>
    <w:p>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5.参加本次政府采购活动前三年内，在经营活动中没有重大违法记录；</w:t>
      </w:r>
    </w:p>
    <w:p>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7.在投标（响应）截止日期前未被列入失信被执行人名单、</w:t>
      </w:r>
      <w:r>
        <w:rPr>
          <w:rFonts w:hint="eastAsia" w:ascii="宋体" w:hAnsi="宋体" w:cs="宋体"/>
          <w:sz w:val="24"/>
          <w:highlight w:val="none"/>
          <w:lang w:eastAsia="zh-CN"/>
        </w:rPr>
        <w:t>重大税收违法失信主体名</w:t>
      </w:r>
      <w:r>
        <w:rPr>
          <w:rFonts w:hint="eastAsia" w:ascii="宋体" w:hAnsi="宋体" w:cs="宋体"/>
          <w:sz w:val="24"/>
          <w:highlight w:val="none"/>
          <w:lang w:val="en-US" w:eastAsia="zh-CN"/>
        </w:rPr>
        <w:t>单</w:t>
      </w:r>
      <w:r>
        <w:rPr>
          <w:rFonts w:hint="eastAsia" w:ascii="宋体" w:hAnsi="宋体" w:eastAsia="宋体" w:cs="宋体"/>
          <w:sz w:val="24"/>
          <w:highlight w:val="none"/>
        </w:rPr>
        <w:t>、政府采购严重违法失信行为记录名单。</w:t>
      </w:r>
    </w:p>
    <w:p>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我方对上述承诺的真实性负责，接受社会公众监督，如需检查核验，自愿接受采购单位的检查核验，配合提供相关证明材料，证明符合《中华人民共和国政府采购法》规定的供应商基本资格条件。如有虚假，愿依法承担相应责任。</w:t>
      </w:r>
    </w:p>
    <w:p>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sz w:val="24"/>
          <w:highlight w:val="none"/>
        </w:rPr>
        <w:t xml:space="preserve">特此承诺。    </w:t>
      </w:r>
    </w:p>
    <w:p>
      <w:pPr>
        <w:spacing w:line="520" w:lineRule="exact"/>
        <w:rPr>
          <w:rFonts w:hint="eastAsia" w:asciiTheme="minorEastAsia" w:hAnsiTheme="minorEastAsia" w:eastAsiaTheme="minorEastAsia" w:cstheme="minorEastAsia"/>
          <w:color w:val="auto"/>
          <w:sz w:val="24"/>
          <w:highlight w:val="none"/>
        </w:rPr>
      </w:pPr>
    </w:p>
    <w:p>
      <w:pPr>
        <w:spacing w:line="480" w:lineRule="auto"/>
        <w:ind w:firstLine="3600" w:firstLineChars="1500"/>
        <w:rPr>
          <w:rFonts w:hint="eastAsia" w:asciiTheme="minorEastAsia" w:hAnsiTheme="minorEastAsia" w:eastAsiaTheme="minorEastAsia" w:cstheme="minorEastAsia"/>
          <w:color w:val="auto"/>
          <w:sz w:val="24"/>
          <w:highlight w:val="none"/>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1680" w:firstLineChars="7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eastAsia="zh-CN"/>
        </w:rPr>
        <w:t>盖电子公章</w:t>
      </w:r>
      <w:r>
        <w:rPr>
          <w:rFonts w:hint="eastAsia" w:asciiTheme="minorEastAsia" w:hAnsiTheme="minorEastAsia" w:eastAsiaTheme="minorEastAsia" w:cstheme="minorEastAsia"/>
          <w:color w:val="auto"/>
          <w:sz w:val="24"/>
          <w:szCs w:val="24"/>
          <w:highlight w:val="none"/>
          <w:u w:val="single"/>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1680" w:firstLineChars="7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（签字或</w:t>
      </w:r>
      <w:r>
        <w:rPr>
          <w:rFonts w:hint="eastAsia" w:asciiTheme="minorEastAsia" w:hAnsiTheme="minorEastAsia" w:eastAsiaTheme="minorEastAsia" w:cstheme="minorEastAsia"/>
          <w:color w:val="auto"/>
          <w:sz w:val="24"/>
          <w:szCs w:val="24"/>
          <w:highlight w:val="none"/>
          <w:u w:val="single"/>
          <w:lang w:eastAsia="zh-CN"/>
        </w:rPr>
        <w:t>电子</w:t>
      </w:r>
      <w:r>
        <w:rPr>
          <w:rFonts w:hint="eastAsia" w:asciiTheme="minorEastAsia" w:hAnsiTheme="minorEastAsia" w:eastAsiaTheme="minorEastAsia" w:cstheme="minorEastAsia"/>
          <w:color w:val="auto"/>
          <w:sz w:val="24"/>
          <w:szCs w:val="24"/>
          <w:highlight w:val="none"/>
          <w:u w:val="single"/>
        </w:rPr>
        <w:t>章）</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2738" w:firstLineChars="1141"/>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日期：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62" w:firstLineChars="200"/>
        <w:jc w:val="center"/>
        <w:rPr>
          <w:rFonts w:hint="eastAsia" w:asciiTheme="minorEastAsia" w:hAnsiTheme="minorEastAsia" w:eastAsiaTheme="minorEastAsia" w:cstheme="minorEastAsia"/>
          <w:b/>
          <w:bCs/>
          <w:color w:val="auto"/>
          <w:kern w:val="0"/>
          <w:sz w:val="28"/>
          <w:szCs w:val="28"/>
          <w:highlight w:val="none"/>
          <w:lang w:val="en-US" w:eastAsia="zh-CN"/>
        </w:rPr>
      </w:pPr>
    </w:p>
    <w:p>
      <w:pPr>
        <w:spacing w:line="360" w:lineRule="auto"/>
        <w:ind w:left="0" w:leftChars="0" w:firstLine="0" w:firstLineChars="0"/>
        <w:jc w:val="center"/>
        <w:rPr>
          <w:rFonts w:hint="eastAsia" w:ascii="宋体" w:hAnsi="宋体" w:eastAsia="宋体" w:cs="宋体"/>
          <w:color w:val="auto"/>
          <w:sz w:val="32"/>
          <w:szCs w:val="32"/>
          <w:highlight w:val="none"/>
          <w:lang w:eastAsia="zh-CN"/>
        </w:rPr>
      </w:pPr>
      <w:r>
        <w:rPr>
          <w:rFonts w:hint="eastAsia" w:ascii="宋体" w:hAnsi="宋体" w:cs="宋体"/>
          <w:b/>
          <w:bCs/>
          <w:kern w:val="0"/>
          <w:sz w:val="32"/>
          <w:szCs w:val="32"/>
          <w:highlight w:val="none"/>
          <w:lang w:val="en-US" w:eastAsia="zh-CN"/>
        </w:rPr>
        <w:t>（2）资格审查相关资料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参</w:t>
      </w:r>
      <w:r>
        <w:rPr>
          <w:rFonts w:hint="eastAsia" w:ascii="宋体" w:hAnsi="宋体" w:eastAsia="宋体" w:cs="宋体"/>
          <w:color w:val="auto"/>
          <w:sz w:val="24"/>
          <w:szCs w:val="24"/>
          <w:highlight w:val="none"/>
          <w:lang w:val="en-US" w:eastAsia="zh-CN"/>
        </w:rPr>
        <w:t>加投标</w:t>
      </w:r>
      <w:r>
        <w:rPr>
          <w:rFonts w:hint="eastAsia" w:ascii="宋体" w:hAnsi="宋体" w:eastAsia="宋体" w:cs="宋体"/>
          <w:color w:val="auto"/>
          <w:sz w:val="24"/>
          <w:szCs w:val="24"/>
          <w:highlight w:val="none"/>
        </w:rPr>
        <w:t>的供应商必须具备《政府采购法》第二十二条规定的条件，依据《曲靖市财政局关于对政府采购供应商资格条件试行“承诺+信用管理”准入管理制的通知》(曲财采【2023】16号)规定，</w:t>
      </w:r>
      <w:r>
        <w:rPr>
          <w:rFonts w:hint="eastAsia" w:ascii="宋体" w:hAnsi="宋体" w:eastAsia="宋体" w:cs="宋体"/>
          <w:b/>
          <w:bCs/>
          <w:color w:val="auto"/>
          <w:sz w:val="24"/>
          <w:szCs w:val="24"/>
          <w:highlight w:val="none"/>
        </w:rPr>
        <w:t>在政府采购活动中，供应商在资格审查环节提供资格</w:t>
      </w:r>
      <w:r>
        <w:rPr>
          <w:rFonts w:hint="eastAsia" w:ascii="宋体" w:hAnsi="宋体" w:eastAsia="宋体" w:cs="宋体"/>
          <w:b/>
          <w:bCs/>
          <w:color w:val="auto"/>
          <w:sz w:val="24"/>
          <w:szCs w:val="24"/>
          <w:highlight w:val="none"/>
          <w:lang w:val="en-US" w:eastAsia="zh-CN"/>
        </w:rPr>
        <w:t>条件</w:t>
      </w:r>
      <w:r>
        <w:rPr>
          <w:rFonts w:hint="eastAsia" w:ascii="宋体" w:hAnsi="宋体" w:eastAsia="宋体" w:cs="宋体"/>
          <w:b/>
          <w:bCs/>
          <w:color w:val="auto"/>
          <w:sz w:val="24"/>
          <w:szCs w:val="24"/>
          <w:highlight w:val="none"/>
        </w:rPr>
        <w:t>承诺函</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不再需要提供相应证明资料</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val="en-US" w:eastAsia="zh-CN"/>
        </w:rPr>
        <w:t>若供应商未提供</w:t>
      </w: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val="en-US" w:eastAsia="zh-CN"/>
        </w:rPr>
        <w:t>条件</w:t>
      </w:r>
      <w:r>
        <w:rPr>
          <w:rFonts w:hint="eastAsia" w:ascii="宋体" w:hAnsi="宋体" w:eastAsia="宋体" w:cs="宋体"/>
          <w:color w:val="auto"/>
          <w:sz w:val="24"/>
          <w:szCs w:val="24"/>
          <w:highlight w:val="none"/>
        </w:rPr>
        <w:t>承诺函</w:t>
      </w:r>
      <w:r>
        <w:rPr>
          <w:rFonts w:hint="eastAsia" w:ascii="宋体" w:hAnsi="宋体" w:eastAsia="宋体" w:cs="宋体"/>
          <w:color w:val="auto"/>
          <w:sz w:val="24"/>
          <w:szCs w:val="24"/>
          <w:highlight w:val="none"/>
          <w:lang w:val="en-US" w:eastAsia="zh-CN"/>
        </w:rPr>
        <w:t>的应当按照《中华人民共和国政府采购法》及其实施条例的相关规定提供以下资料。</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存在不良信用记录的供应商，在信用修复前不适用承诺制</w:t>
      </w:r>
      <w:r>
        <w:rPr>
          <w:rFonts w:hint="eastAsia" w:ascii="宋体" w:hAnsi="宋体" w:cs="宋体"/>
          <w:b/>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（1）具有良好的商业信誉和健全的财务会计制度：提供202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年度或202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年度经审计的财务报告（包含资产负债表、现金流量表、利润表/损益表），提供的资料必须清晰可辨，否则不予通过；新成立企业不满一年的提供自成立至今加盖公章的</w:t>
      </w:r>
      <w:r>
        <w:rPr>
          <w:rFonts w:hint="eastAsia" w:ascii="宋体" w:hAnsi="宋体" w:cs="宋体"/>
          <w:color w:val="auto"/>
          <w:sz w:val="24"/>
          <w:szCs w:val="24"/>
          <w:highlight w:val="none"/>
          <w:lang w:val="en-US" w:eastAsia="zh-CN"/>
        </w:rPr>
        <w:t>财务报表</w:t>
      </w:r>
      <w:r>
        <w:rPr>
          <w:rFonts w:hint="eastAsia" w:ascii="宋体" w:hAnsi="宋体" w:eastAsia="宋体" w:cs="宋体"/>
          <w:color w:val="auto"/>
          <w:sz w:val="24"/>
          <w:szCs w:val="24"/>
          <w:highlight w:val="none"/>
          <w:lang w:val="en-US" w:eastAsia="zh-CN"/>
        </w:rPr>
        <w:t>（包含资产负债表、现金流量表、利润表/损益表）。</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（2）有依法缴纳税收和社会保障资金的良好记录： ①提供依法缴纳税收的相关证明材料（提供缴税所属时间在2025年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月至本项目投标文件递交截止时间前任意1个月的税务局税收通用缴款书或银行电子缴税（费）凭证或税务局</w:t>
      </w:r>
      <w:r>
        <w:rPr>
          <w:rFonts w:hint="eastAsia" w:ascii="宋体" w:hAnsi="宋体" w:cs="宋体"/>
          <w:color w:val="auto"/>
          <w:sz w:val="24"/>
          <w:szCs w:val="24"/>
          <w:highlight w:val="none"/>
          <w:lang w:val="en-US" w:eastAsia="zh-CN"/>
        </w:rPr>
        <w:t>提供</w:t>
      </w:r>
      <w:r>
        <w:rPr>
          <w:rFonts w:hint="eastAsia" w:ascii="宋体" w:hAnsi="宋体" w:eastAsia="宋体" w:cs="宋体"/>
          <w:color w:val="auto"/>
          <w:sz w:val="24"/>
          <w:szCs w:val="24"/>
          <w:highlight w:val="none"/>
          <w:lang w:val="en-US" w:eastAsia="zh-CN"/>
        </w:rPr>
        <w:t>纳税情况的相关证明），依法免税的，应提供依法免税的相关证明文件；（成立不足6个月的企业可不提供）②提供依法缴纳社会保障资金的相关证明材料（提供缴费所属时间在2025年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月至本项目投标文件递交截止时间前任意1个月的社会保险费缴款书或银行电子缴税（费）凭证或社保管理部门</w:t>
      </w:r>
      <w:r>
        <w:rPr>
          <w:rFonts w:hint="eastAsia" w:ascii="宋体" w:hAnsi="宋体" w:cs="宋体"/>
          <w:color w:val="auto"/>
          <w:sz w:val="24"/>
          <w:szCs w:val="24"/>
          <w:highlight w:val="none"/>
          <w:lang w:val="en-US" w:eastAsia="zh-CN"/>
        </w:rPr>
        <w:t>提供</w:t>
      </w:r>
      <w:r>
        <w:rPr>
          <w:rFonts w:hint="eastAsia" w:ascii="宋体" w:hAnsi="宋体" w:eastAsia="宋体" w:cs="宋体"/>
          <w:color w:val="auto"/>
          <w:sz w:val="24"/>
          <w:szCs w:val="24"/>
          <w:highlight w:val="none"/>
          <w:lang w:val="en-US" w:eastAsia="zh-CN"/>
        </w:rPr>
        <w:t>的有效的缴款证明），依法免缴社会保障资金的，应提供依法免缴的相关证明文件。（成立不足6个月的企业可不提供）</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（3）具有履行合同所必需的设备和专业技术能力：提供经法定代表人或委托代理人签字或签章并加盖公章的具有履行合同所必需的设备和专业技术能力的承诺书或相关证明材料。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6"/>
          <w:sz w:val="24"/>
          <w:szCs w:val="24"/>
          <w:highlight w:val="none"/>
          <w:lang w:val="en-US" w:eastAsia="zh-CN"/>
        </w:rPr>
        <w:t>参加政府采购活动前三年内，在经营活动中没有重大违法记录：重大违法记录，是指申请人因违法经营受到刑事处罚或者责令停产停业、吊销许可证或者执照、较大数额罚款等行政处罚，</w:t>
      </w:r>
      <w:r>
        <w:rPr>
          <w:rFonts w:hint="eastAsia" w:ascii="宋体" w:hAnsi="宋体" w:cs="宋体"/>
          <w:color w:val="auto"/>
          <w:spacing w:val="-6"/>
          <w:sz w:val="24"/>
          <w:szCs w:val="24"/>
          <w:highlight w:val="none"/>
          <w:lang w:val="en-US" w:eastAsia="zh-CN"/>
        </w:rPr>
        <w:t>提供</w:t>
      </w:r>
      <w:r>
        <w:rPr>
          <w:rFonts w:hint="eastAsia" w:ascii="宋体" w:hAnsi="宋体" w:eastAsia="宋体" w:cs="宋体"/>
          <w:color w:val="auto"/>
          <w:spacing w:val="-6"/>
          <w:sz w:val="24"/>
          <w:szCs w:val="24"/>
          <w:highlight w:val="none"/>
          <w:lang w:val="en-US" w:eastAsia="zh-CN"/>
        </w:rPr>
        <w:t>经法定代表人或委托代理人签字或</w:t>
      </w:r>
      <w:r>
        <w:rPr>
          <w:rFonts w:hint="eastAsia" w:ascii="宋体" w:hAnsi="宋体" w:eastAsia="宋体" w:cs="宋体"/>
          <w:color w:val="auto"/>
          <w:sz w:val="24"/>
          <w:szCs w:val="24"/>
          <w:highlight w:val="none"/>
          <w:lang w:val="en-US" w:eastAsia="zh-CN"/>
        </w:rPr>
        <w:t>盖章并加盖公章的在经营活动中没有重大违法记录声明。</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r>
        <w:rPr>
          <w:rFonts w:hint="eastAsia" w:ascii="宋体" w:hAnsi="宋体" w:cs="宋体"/>
          <w:color w:val="auto"/>
          <w:sz w:val="24"/>
          <w:szCs w:val="24"/>
          <w:highlight w:val="none"/>
          <w:lang w:val="en-US" w:eastAsia="zh-CN"/>
        </w:rPr>
        <w:t>提供</w:t>
      </w:r>
      <w:r>
        <w:rPr>
          <w:rFonts w:hint="eastAsia" w:ascii="宋体" w:hAnsi="宋体" w:eastAsia="宋体" w:cs="宋体"/>
          <w:color w:val="auto"/>
          <w:sz w:val="24"/>
          <w:szCs w:val="24"/>
          <w:highlight w:val="none"/>
          <w:lang w:val="en-US" w:eastAsia="zh-CN"/>
        </w:rPr>
        <w:t>经法定代表人或委托代理人签字或盖章并加盖公章的声明。</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（6）在投标（响应）截止日期前未被列入失信被执行人名单、</w:t>
      </w:r>
      <w:r>
        <w:rPr>
          <w:rFonts w:hint="eastAsia" w:ascii="宋体" w:hAnsi="宋体" w:cs="宋体"/>
          <w:color w:val="auto"/>
          <w:sz w:val="24"/>
          <w:szCs w:val="24"/>
          <w:highlight w:val="none"/>
          <w:lang w:val="en-US" w:eastAsia="zh-CN"/>
        </w:rPr>
        <w:t>重大税收违法失信主体名单</w:t>
      </w:r>
      <w:r>
        <w:rPr>
          <w:rFonts w:hint="eastAsia" w:ascii="宋体" w:hAnsi="宋体" w:eastAsia="宋体" w:cs="宋体"/>
          <w:color w:val="auto"/>
          <w:sz w:val="24"/>
          <w:szCs w:val="24"/>
          <w:highlight w:val="none"/>
          <w:lang w:val="en-US" w:eastAsia="zh-CN"/>
        </w:rPr>
        <w:t>、政府采购严重违法失信行为记录名单：提供加盖公章的网上截图。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信用信息查询渠道：</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①《中国执行信息公开网》查询“失信被执行人名单”；</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②《信用中国网》查询“重大税收违法</w:t>
      </w:r>
      <w:r>
        <w:rPr>
          <w:rFonts w:hint="eastAsia" w:ascii="宋体" w:hAnsi="宋体" w:cs="宋体"/>
          <w:color w:val="auto"/>
          <w:sz w:val="24"/>
          <w:szCs w:val="24"/>
          <w:highlight w:val="none"/>
          <w:lang w:val="en-US" w:eastAsia="zh-CN"/>
        </w:rPr>
        <w:t>失信主体</w:t>
      </w:r>
      <w:r>
        <w:rPr>
          <w:rFonts w:hint="eastAsia" w:ascii="宋体" w:hAnsi="宋体" w:eastAsia="宋体" w:cs="宋体"/>
          <w:color w:val="auto"/>
          <w:sz w:val="24"/>
          <w:szCs w:val="24"/>
          <w:highlight w:val="none"/>
          <w:lang w:val="en-US" w:eastAsia="zh-CN"/>
        </w:rPr>
        <w:t>名单”；</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③《中国政府采购网》查询“政府采购严重违法失信行为记录名单”。</w:t>
      </w:r>
    </w:p>
    <w:p>
      <w:pPr>
        <w:jc w:val="both"/>
        <w:rPr>
          <w:rFonts w:hint="eastAsia" w:ascii="黑体" w:hAnsi="黑体" w:eastAsia="黑体"/>
          <w:b/>
          <w:color w:val="auto"/>
          <w:sz w:val="36"/>
          <w:szCs w:val="36"/>
          <w:highlight w:val="none"/>
        </w:rPr>
      </w:pPr>
    </w:p>
    <w:p>
      <w:pPr>
        <w:jc w:val="center"/>
        <w:rPr>
          <w:rFonts w:hint="eastAsia" w:asciiTheme="minorEastAsia" w:hAnsiTheme="minorEastAsia" w:eastAsiaTheme="minorEastAsia" w:cstheme="minorEastAsia"/>
          <w:b/>
          <w:color w:val="auto"/>
          <w:sz w:val="32"/>
          <w:szCs w:val="32"/>
          <w:highlight w:val="none"/>
        </w:rPr>
      </w:pPr>
      <w:bookmarkStart w:id="406" w:name="OLE_LINK33"/>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pStyle w:val="2"/>
        <w:numPr>
          <w:ilvl w:val="3"/>
          <w:numId w:val="0"/>
        </w:numPr>
        <w:rPr>
          <w:rFonts w:hint="eastAsia"/>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pStyle w:val="138"/>
        <w:keepNext w:val="0"/>
        <w:keepLines w:val="0"/>
        <w:pageBreakBefore w:val="0"/>
        <w:widowControl w:val="0"/>
        <w:numPr>
          <w:ilvl w:val="0"/>
          <w:numId w:val="0"/>
        </w:numPr>
        <w:kinsoku/>
        <w:wordWrap/>
        <w:overflowPunct/>
        <w:topLinePunct w:val="0"/>
        <w:autoSpaceDE/>
        <w:autoSpaceDN/>
        <w:bidi w:val="0"/>
        <w:adjustRightInd/>
        <w:snapToGrid/>
        <w:spacing w:line="900" w:lineRule="exact"/>
        <w:ind w:leftChars="0"/>
        <w:jc w:val="center"/>
        <w:textAlignment w:val="auto"/>
        <w:rPr>
          <w:rFonts w:hint="eastAsia" w:asciiTheme="minorEastAsia" w:hAnsiTheme="minorEastAsia" w:eastAsiaTheme="minorEastAsia" w:cstheme="minorEastAsia"/>
          <w:b/>
          <w:bCs/>
          <w:color w:val="auto"/>
          <w:kern w:val="0"/>
          <w:sz w:val="32"/>
          <w:szCs w:val="32"/>
          <w:highlight w:val="none"/>
          <w:lang w:val="en-US" w:eastAsia="zh-CN" w:bidi="ar-SA"/>
        </w:rPr>
      </w:pPr>
      <w:r>
        <w:rPr>
          <w:rFonts w:hint="eastAsia" w:asciiTheme="minorEastAsia" w:hAnsiTheme="minorEastAsia" w:eastAsiaTheme="minorEastAsia" w:cstheme="minorEastAsia"/>
          <w:b/>
          <w:bCs/>
          <w:color w:val="auto"/>
          <w:kern w:val="0"/>
          <w:sz w:val="32"/>
          <w:szCs w:val="32"/>
          <w:highlight w:val="none"/>
          <w:lang w:val="en-US" w:eastAsia="zh-CN" w:bidi="ar-SA"/>
        </w:rPr>
        <w:t>六、其他部分</w:t>
      </w:r>
    </w:p>
    <w:p>
      <w:pPr>
        <w:pStyle w:val="138"/>
        <w:keepNext w:val="0"/>
        <w:keepLines w:val="0"/>
        <w:pageBreakBefore w:val="0"/>
        <w:widowControl w:val="0"/>
        <w:numPr>
          <w:ilvl w:val="0"/>
          <w:numId w:val="0"/>
        </w:numPr>
        <w:kinsoku/>
        <w:wordWrap/>
        <w:overflowPunct/>
        <w:topLinePunct w:val="0"/>
        <w:autoSpaceDE/>
        <w:autoSpaceDN/>
        <w:bidi w:val="0"/>
        <w:adjustRightInd/>
        <w:snapToGrid/>
        <w:spacing w:line="900" w:lineRule="exact"/>
        <w:ind w:leftChars="0"/>
        <w:jc w:val="center"/>
        <w:textAlignment w:val="auto"/>
        <w:rPr>
          <w:rFonts w:hint="eastAsia" w:asciiTheme="minorEastAsia" w:hAnsiTheme="minorEastAsia" w:eastAsiaTheme="minorEastAsia" w:cstheme="minorEastAsia"/>
          <w:b/>
          <w:bCs/>
          <w:color w:val="auto"/>
          <w:kern w:val="0"/>
          <w:sz w:val="32"/>
          <w:szCs w:val="32"/>
          <w:highlight w:val="none"/>
          <w:lang w:val="en-US" w:eastAsia="zh-CN" w:bidi="ar-SA"/>
        </w:rPr>
      </w:pPr>
      <w:r>
        <w:rPr>
          <w:rFonts w:hint="eastAsia" w:asciiTheme="minorEastAsia" w:hAnsiTheme="minorEastAsia" w:eastAsiaTheme="minorEastAsia" w:cstheme="minorEastAsia"/>
          <w:b/>
          <w:bCs/>
          <w:color w:val="auto"/>
          <w:kern w:val="0"/>
          <w:sz w:val="32"/>
          <w:szCs w:val="32"/>
          <w:highlight w:val="none"/>
          <w:lang w:val="en-US" w:eastAsia="zh-CN" w:bidi="ar-SA"/>
        </w:rPr>
        <w:t>（招标文件要求或供应商认为需要的其他资料）</w:t>
      </w: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jc w:val="center"/>
        <w:rPr>
          <w:rFonts w:hint="eastAsia" w:asciiTheme="minorEastAsia" w:hAnsiTheme="minorEastAsia" w:eastAsiaTheme="minorEastAsia" w:cstheme="minorEastAsia"/>
          <w:b/>
          <w:color w:val="auto"/>
          <w:sz w:val="32"/>
          <w:szCs w:val="32"/>
          <w:highlight w:val="none"/>
        </w:rPr>
      </w:pPr>
    </w:p>
    <w:p>
      <w:pPr>
        <w:pStyle w:val="18"/>
        <w:rPr>
          <w:rFonts w:hint="eastAsia" w:asciiTheme="minorEastAsia" w:hAnsiTheme="minorEastAsia" w:eastAsiaTheme="minorEastAsia" w:cstheme="minorEastAsia"/>
          <w:b/>
          <w:color w:val="auto"/>
          <w:sz w:val="32"/>
          <w:szCs w:val="32"/>
          <w:highlight w:val="none"/>
        </w:rPr>
      </w:pPr>
    </w:p>
    <w:p>
      <w:pPr>
        <w:rPr>
          <w:rFonts w:hint="eastAsia" w:asciiTheme="minorEastAsia" w:hAnsiTheme="minorEastAsia" w:eastAsiaTheme="minorEastAsia" w:cstheme="minorEastAsia"/>
          <w:b/>
          <w:color w:val="auto"/>
          <w:sz w:val="32"/>
          <w:szCs w:val="32"/>
          <w:highlight w:val="none"/>
        </w:rPr>
      </w:pPr>
    </w:p>
    <w:p>
      <w:pPr>
        <w:pStyle w:val="18"/>
        <w:rPr>
          <w:rFonts w:hint="eastAsia" w:asciiTheme="minorEastAsia" w:hAnsiTheme="minorEastAsia" w:eastAsiaTheme="minorEastAsia" w:cstheme="minorEastAsia"/>
          <w:b/>
          <w:color w:val="auto"/>
          <w:sz w:val="32"/>
          <w:szCs w:val="32"/>
          <w:highlight w:val="none"/>
        </w:rPr>
      </w:pPr>
    </w:p>
    <w:p>
      <w:pPr>
        <w:rPr>
          <w:rFonts w:hint="eastAsia" w:asciiTheme="minorEastAsia" w:hAnsiTheme="minorEastAsia" w:eastAsiaTheme="minorEastAsia" w:cstheme="minorEastAsia"/>
          <w:b/>
          <w:color w:val="auto"/>
          <w:sz w:val="32"/>
          <w:szCs w:val="32"/>
          <w:highlight w:val="none"/>
        </w:rPr>
      </w:pPr>
    </w:p>
    <w:p>
      <w:pPr>
        <w:pStyle w:val="18"/>
        <w:rPr>
          <w:rFonts w:hint="eastAsia" w:asciiTheme="minorEastAsia" w:hAnsiTheme="minorEastAsia" w:eastAsiaTheme="minorEastAsia" w:cstheme="minorEastAsia"/>
          <w:b/>
          <w:color w:val="auto"/>
          <w:sz w:val="32"/>
          <w:szCs w:val="32"/>
          <w:highlight w:val="none"/>
        </w:rPr>
      </w:pPr>
    </w:p>
    <w:p>
      <w:pPr>
        <w:rPr>
          <w:rFonts w:hint="eastAsia" w:asciiTheme="minorEastAsia" w:hAnsiTheme="minorEastAsia" w:eastAsiaTheme="minorEastAsia" w:cstheme="minorEastAsia"/>
          <w:b/>
          <w:color w:val="auto"/>
          <w:sz w:val="32"/>
          <w:szCs w:val="32"/>
          <w:highlight w:val="none"/>
        </w:rPr>
      </w:pPr>
    </w:p>
    <w:p>
      <w:pPr>
        <w:pStyle w:val="18"/>
        <w:rPr>
          <w:rFonts w:hint="eastAsia" w:asciiTheme="minorEastAsia" w:hAnsiTheme="minorEastAsia" w:eastAsiaTheme="minorEastAsia" w:cstheme="minorEastAsia"/>
          <w:b/>
          <w:color w:val="auto"/>
          <w:sz w:val="32"/>
          <w:szCs w:val="32"/>
          <w:highlight w:val="none"/>
        </w:rPr>
      </w:pPr>
    </w:p>
    <w:p>
      <w:pPr>
        <w:rPr>
          <w:rFonts w:hint="eastAsia" w:asciiTheme="minorEastAsia" w:hAnsiTheme="minorEastAsia" w:eastAsiaTheme="minorEastAsia" w:cstheme="minorEastAsia"/>
          <w:b/>
          <w:color w:val="auto"/>
          <w:sz w:val="32"/>
          <w:szCs w:val="32"/>
          <w:highlight w:val="none"/>
        </w:rPr>
      </w:pPr>
    </w:p>
    <w:p>
      <w:pPr>
        <w:pStyle w:val="18"/>
        <w:rPr>
          <w:rFonts w:hint="eastAsia" w:asciiTheme="minorEastAsia" w:hAnsiTheme="minorEastAsia" w:eastAsiaTheme="minorEastAsia" w:cstheme="minorEastAsia"/>
          <w:b/>
          <w:color w:val="auto"/>
          <w:sz w:val="32"/>
          <w:szCs w:val="32"/>
          <w:highlight w:val="none"/>
        </w:rPr>
      </w:pPr>
    </w:p>
    <w:p>
      <w:pPr>
        <w:rPr>
          <w:rFonts w:hint="eastAsia" w:asciiTheme="minorEastAsia" w:hAnsiTheme="minorEastAsia" w:eastAsiaTheme="minorEastAsia" w:cstheme="minorEastAsia"/>
          <w:b/>
          <w:color w:val="auto"/>
          <w:sz w:val="32"/>
          <w:szCs w:val="32"/>
          <w:highlight w:val="none"/>
        </w:rPr>
      </w:pPr>
    </w:p>
    <w:p>
      <w:pPr>
        <w:pStyle w:val="18"/>
        <w:rPr>
          <w:rFonts w:hint="eastAsia" w:asciiTheme="minorEastAsia" w:hAnsiTheme="minorEastAsia" w:eastAsiaTheme="minorEastAsia" w:cstheme="minorEastAsia"/>
          <w:b/>
          <w:color w:val="auto"/>
          <w:sz w:val="32"/>
          <w:szCs w:val="32"/>
          <w:highlight w:val="none"/>
        </w:rPr>
      </w:pPr>
    </w:p>
    <w:p>
      <w:pPr>
        <w:pStyle w:val="18"/>
        <w:rPr>
          <w:rFonts w:hint="eastAsia"/>
          <w:highlight w:val="none"/>
        </w:rPr>
      </w:pPr>
    </w:p>
    <w:bookmarkEnd w:id="406"/>
    <w:p>
      <w:pPr>
        <w:jc w:val="center"/>
        <w:rPr>
          <w:rFonts w:hint="eastAsia" w:asciiTheme="minorEastAsia" w:hAnsiTheme="minorEastAsia" w:eastAsiaTheme="minorEastAsia" w:cstheme="minorEastAsia"/>
          <w:b/>
          <w:color w:val="auto"/>
          <w:sz w:val="44"/>
          <w:szCs w:val="44"/>
          <w:highlight w:val="none"/>
          <w:lang w:val="en-US" w:eastAsia="zh-CN"/>
        </w:rPr>
      </w:pPr>
      <w:bookmarkStart w:id="407" w:name="_Toc30302"/>
      <w:bookmarkStart w:id="408" w:name="_Toc213141093"/>
      <w:bookmarkStart w:id="409" w:name="_Toc232509436"/>
      <w:bookmarkStart w:id="410" w:name="_Toc445993928"/>
      <w:bookmarkStart w:id="411" w:name="_Toc7495"/>
    </w:p>
    <w:p>
      <w:pPr>
        <w:jc w:val="center"/>
        <w:rPr>
          <w:rFonts w:hint="eastAsia" w:asciiTheme="minorEastAsia" w:hAnsiTheme="minorEastAsia" w:eastAsiaTheme="minorEastAsia" w:cstheme="minorEastAsia"/>
          <w:b/>
          <w:color w:val="auto"/>
          <w:sz w:val="44"/>
          <w:szCs w:val="44"/>
          <w:highlight w:val="none"/>
          <w:lang w:val="en-US" w:eastAsia="zh-CN"/>
        </w:rPr>
      </w:pPr>
      <w:r>
        <w:rPr>
          <w:rFonts w:hint="eastAsia" w:asciiTheme="minorEastAsia" w:hAnsiTheme="minorEastAsia" w:eastAsiaTheme="minorEastAsia" w:cstheme="minorEastAsia"/>
          <w:b/>
          <w:color w:val="auto"/>
          <w:sz w:val="44"/>
          <w:szCs w:val="44"/>
          <w:highlight w:val="none"/>
          <w:lang w:val="en-US" w:eastAsia="zh-CN"/>
        </w:rPr>
        <w:t>投标报价部分封面</w:t>
      </w:r>
    </w:p>
    <w:p>
      <w:pPr>
        <w:pStyle w:val="18"/>
        <w:rPr>
          <w:rFonts w:hint="eastAsia" w:asciiTheme="minorEastAsia" w:hAnsiTheme="minorEastAsia" w:eastAsiaTheme="minorEastAsia" w:cstheme="minorEastAsia"/>
          <w:b/>
          <w:color w:val="auto"/>
          <w:sz w:val="44"/>
          <w:szCs w:val="44"/>
          <w:highlight w:val="none"/>
          <w:lang w:val="en-US" w:eastAsia="zh-CN"/>
        </w:rPr>
      </w:pPr>
    </w:p>
    <w:p>
      <w:pPr>
        <w:jc w:val="center"/>
        <w:rPr>
          <w:color w:val="auto"/>
          <w:sz w:val="36"/>
          <w:szCs w:val="36"/>
          <w:highlight w:val="none"/>
        </w:rPr>
      </w:pPr>
      <w:r>
        <w:rPr>
          <w:rFonts w:hint="eastAsia" w:ascii="宋体" w:hAnsi="宋体" w:cs="宋体"/>
          <w:b/>
          <w:bCs/>
          <w:color w:val="auto"/>
          <w:sz w:val="36"/>
          <w:szCs w:val="36"/>
          <w:highlight w:val="none"/>
          <w:lang w:val="en-US" w:eastAsia="zh-CN"/>
        </w:rPr>
        <w:t>麒麟区2026秋季-2027春季</w:t>
      </w:r>
      <w:r>
        <w:rPr>
          <w:rFonts w:hint="eastAsia" w:ascii="宋体" w:hAnsi="宋体" w:eastAsia="宋体" w:cs="宋体"/>
          <w:b/>
          <w:bCs/>
          <w:color w:val="auto"/>
          <w:sz w:val="36"/>
          <w:szCs w:val="36"/>
          <w:highlight w:val="none"/>
          <w:lang w:val="en-US" w:eastAsia="zh-CN"/>
        </w:rPr>
        <w:t>学期农村义务教育学生营养改善计划大宗食材采购项目</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rPr>
          <w:rFonts w:hint="eastAsia" w:asciiTheme="minorEastAsia" w:hAnsiTheme="minorEastAsia" w:eastAsiaTheme="minorEastAsia" w:cstheme="minorEastAsia"/>
          <w:b/>
          <w:bCs/>
          <w:color w:val="auto"/>
          <w:sz w:val="36"/>
          <w:szCs w:val="36"/>
          <w:highlight w:val="none"/>
          <w:lang w:val="en-US" w:eastAsia="zh-CN"/>
        </w:rPr>
        <w:t>标段（</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rPr>
          <w:rFonts w:hint="eastAsia" w:asciiTheme="minorEastAsia" w:hAnsiTheme="minorEastAsia" w:eastAsiaTheme="minorEastAsia" w:cstheme="minorEastAsia"/>
          <w:b/>
          <w:bCs/>
          <w:color w:val="auto"/>
          <w:sz w:val="36"/>
          <w:szCs w:val="36"/>
          <w:highlight w:val="none"/>
          <w:lang w:val="en-US" w:eastAsia="zh-CN"/>
        </w:rPr>
        <w:t>）</w:t>
      </w:r>
    </w:p>
    <w:p>
      <w:pPr>
        <w:ind w:left="0" w:leftChars="0" w:firstLine="0" w:firstLineChars="0"/>
        <w:jc w:val="center"/>
        <w:rPr>
          <w:rFonts w:hint="eastAsia" w:asciiTheme="minorEastAsia" w:hAnsiTheme="minorEastAsia" w:eastAsiaTheme="minorEastAsia" w:cstheme="minorEastAsia"/>
          <w:color w:val="auto"/>
          <w:kern w:val="0"/>
          <w:sz w:val="28"/>
          <w:szCs w:val="28"/>
          <w:highlight w:val="none"/>
          <w:lang w:eastAsia="zh-CN"/>
        </w:rPr>
      </w:pPr>
    </w:p>
    <w:p>
      <w:pPr>
        <w:ind w:left="0" w:leftChars="0" w:firstLine="0" w:firstLineChars="0"/>
        <w:jc w:val="center"/>
        <w:rPr>
          <w:rFonts w:hint="default" w:asciiTheme="minorEastAsia" w:hAnsiTheme="minorEastAsia" w:eastAsiaTheme="minorEastAsia" w:cstheme="minorEastAsia"/>
          <w:b/>
          <w:bCs/>
          <w:color w:val="auto"/>
          <w:kern w:val="0"/>
          <w:sz w:val="32"/>
          <w:szCs w:val="32"/>
          <w:highlight w:val="none"/>
          <w:lang w:val="en-US" w:eastAsia="zh-CN"/>
        </w:rPr>
      </w:pPr>
      <w:r>
        <w:rPr>
          <w:rFonts w:hint="eastAsia" w:asciiTheme="minorEastAsia" w:hAnsiTheme="minorEastAsia" w:eastAsiaTheme="minorEastAsia" w:cstheme="minorEastAsia"/>
          <w:b/>
          <w:bCs/>
          <w:color w:val="auto"/>
          <w:kern w:val="0"/>
          <w:sz w:val="32"/>
          <w:szCs w:val="32"/>
          <w:highlight w:val="none"/>
          <w:lang w:val="en-US" w:eastAsia="zh-CN"/>
        </w:rPr>
        <w:t>标段</w:t>
      </w:r>
      <w:r>
        <w:rPr>
          <w:rFonts w:hint="eastAsia" w:asciiTheme="minorEastAsia" w:hAnsiTheme="minorEastAsia" w:eastAsiaTheme="minorEastAsia" w:cstheme="minorEastAsia"/>
          <w:b/>
          <w:bCs/>
          <w:color w:val="auto"/>
          <w:kern w:val="0"/>
          <w:sz w:val="32"/>
          <w:szCs w:val="32"/>
          <w:highlight w:val="none"/>
        </w:rPr>
        <w:t>编号：</w:t>
      </w:r>
      <w:r>
        <w:rPr>
          <w:rFonts w:hint="eastAsia" w:asciiTheme="minorEastAsia" w:hAnsiTheme="minorEastAsia" w:eastAsiaTheme="minorEastAsia" w:cstheme="minorEastAsia"/>
          <w:b/>
          <w:bCs/>
          <w:color w:val="auto"/>
          <w:kern w:val="0"/>
          <w:sz w:val="32"/>
          <w:szCs w:val="32"/>
          <w:highlight w:val="none"/>
          <w:u w:val="none"/>
          <w:lang w:val="en-US" w:eastAsia="zh-CN"/>
        </w:rPr>
        <w:t>福招字</w:t>
      </w:r>
      <w:r>
        <w:rPr>
          <w:rFonts w:hint="eastAsia" w:asciiTheme="minorEastAsia" w:hAnsiTheme="minorEastAsia" w:eastAsiaTheme="minorEastAsia" w:cstheme="minorEastAsia"/>
          <w:b/>
          <w:bCs/>
          <w:color w:val="auto"/>
          <w:kern w:val="0"/>
          <w:sz w:val="32"/>
          <w:szCs w:val="32"/>
          <w:highlight w:val="none"/>
          <w:u w:val="single"/>
          <w:lang w:val="en-US" w:eastAsia="zh-CN"/>
        </w:rPr>
        <w:t xml:space="preserve">              .</w:t>
      </w:r>
    </w:p>
    <w:p>
      <w:pPr>
        <w:rPr>
          <w:rFonts w:hint="eastAsia"/>
          <w:color w:val="auto"/>
          <w:highlight w:val="none"/>
        </w:rPr>
      </w:pPr>
    </w:p>
    <w:p>
      <w:pPr>
        <w:pStyle w:val="117"/>
        <w:rPr>
          <w:rFonts w:hint="eastAsia" w:asciiTheme="minorEastAsia" w:hAnsiTheme="minorEastAsia" w:eastAsiaTheme="minorEastAsia" w:cstheme="minorEastAsia"/>
          <w:b/>
          <w:bCs/>
          <w:color w:val="auto"/>
          <w:highlight w:val="none"/>
        </w:rPr>
      </w:pPr>
    </w:p>
    <w:p>
      <w:pPr>
        <w:pStyle w:val="117"/>
        <w:rPr>
          <w:rFonts w:hint="eastAsia" w:asciiTheme="minorEastAsia" w:hAnsiTheme="minorEastAsia" w:eastAsiaTheme="minorEastAsia" w:cstheme="minorEastAsia"/>
          <w:color w:val="auto"/>
          <w:highlight w:val="none"/>
        </w:rPr>
      </w:pPr>
    </w:p>
    <w:p>
      <w:pPr>
        <w:keepNext w:val="0"/>
        <w:keepLines w:val="0"/>
        <w:pageBreakBefore w:val="0"/>
        <w:widowControl w:val="0"/>
        <w:kinsoku/>
        <w:wordWrap/>
        <w:overflowPunct/>
        <w:topLinePunct w:val="0"/>
        <w:autoSpaceDE/>
        <w:autoSpaceDN/>
        <w:bidi w:val="0"/>
        <w:adjustRightInd/>
        <w:snapToGrid/>
        <w:spacing w:line="980" w:lineRule="exact"/>
        <w:jc w:val="center"/>
        <w:textAlignment w:val="auto"/>
        <w:rPr>
          <w:rFonts w:hint="eastAsia" w:asciiTheme="minorEastAsia" w:hAnsiTheme="minorEastAsia" w:eastAsiaTheme="minorEastAsia" w:cstheme="minorEastAsia"/>
          <w:b/>
          <w:bCs/>
          <w:color w:val="auto"/>
          <w:sz w:val="84"/>
          <w:szCs w:val="84"/>
          <w:highlight w:val="none"/>
          <w:lang w:val="en-US" w:eastAsia="zh-CN"/>
        </w:rPr>
      </w:pPr>
      <w:r>
        <w:rPr>
          <w:rFonts w:hint="eastAsia" w:asciiTheme="minorEastAsia" w:hAnsiTheme="minorEastAsia" w:eastAsiaTheme="minorEastAsia" w:cstheme="minorEastAsia"/>
          <w:b/>
          <w:bCs/>
          <w:color w:val="auto"/>
          <w:spacing w:val="-4"/>
          <w:kern w:val="0"/>
          <w:sz w:val="84"/>
          <w:szCs w:val="84"/>
          <w:highlight w:val="none"/>
          <w:lang w:val="en-US" w:eastAsia="zh-CN" w:bidi="ar-SA"/>
        </w:rPr>
        <w:t>投 标 文 件</w:t>
      </w:r>
    </w:p>
    <w:p>
      <w:pPr>
        <w:pStyle w:val="11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6"/>
          <w:szCs w:val="36"/>
          <w:highlight w:val="none"/>
          <w:lang w:val="en-US" w:eastAsia="zh-CN"/>
        </w:rPr>
        <w:t>（投标报价部分）</w:t>
      </w: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供应商</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eastAsia="zh-CN"/>
        </w:rPr>
        <w:t>盖电子公</w:t>
      </w:r>
      <w:r>
        <w:rPr>
          <w:rFonts w:hint="eastAsia" w:asciiTheme="minorEastAsia" w:hAnsiTheme="minorEastAsia" w:eastAsiaTheme="minorEastAsia" w:cstheme="minorEastAsia"/>
          <w:color w:val="auto"/>
          <w:sz w:val="28"/>
          <w:szCs w:val="28"/>
          <w:highlight w:val="none"/>
          <w:u w:val="single"/>
        </w:rPr>
        <w:t>章）</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法定代表人或其委托代理人：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eastAsia="zh-CN"/>
        </w:rPr>
        <w:t>签字或电子章</w:t>
      </w:r>
      <w:r>
        <w:rPr>
          <w:rFonts w:hint="eastAsia" w:asciiTheme="minorEastAsia" w:hAnsiTheme="minorEastAsia" w:eastAsiaTheme="minorEastAsia" w:cstheme="minorEastAsia"/>
          <w:color w:val="auto"/>
          <w:sz w:val="28"/>
          <w:szCs w:val="28"/>
          <w:highlight w:val="none"/>
          <w:u w:val="single"/>
        </w:rPr>
        <w:t>）</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both"/>
        <w:textAlignment w:val="auto"/>
        <w:rPr>
          <w:rFonts w:hint="eastAsia"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lang w:eastAsia="zh-CN"/>
        </w:rPr>
        <w:t>供应商</w:t>
      </w:r>
      <w:r>
        <w:rPr>
          <w:rFonts w:hint="eastAsia" w:asciiTheme="minorEastAsia" w:hAnsiTheme="minorEastAsia" w:eastAsiaTheme="minorEastAsia" w:cstheme="minorEastAsia"/>
          <w:color w:val="auto"/>
          <w:sz w:val="28"/>
          <w:szCs w:val="28"/>
          <w:highlight w:val="none"/>
        </w:rPr>
        <w:t>地址：</w:t>
      </w:r>
      <w:r>
        <w:rPr>
          <w:rFonts w:hint="eastAsia" w:asciiTheme="minorEastAsia" w:hAnsiTheme="minorEastAsia" w:eastAsiaTheme="minorEastAsia" w:cstheme="minorEastAsia"/>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both"/>
        <w:textAlignment w:val="auto"/>
        <w:rPr>
          <w:rFonts w:hint="eastAsia"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rPr>
        <w:t>联系电话：</w:t>
      </w:r>
      <w:r>
        <w:rPr>
          <w:rFonts w:hint="eastAsia" w:asciiTheme="minorEastAsia" w:hAnsiTheme="minorEastAsia" w:eastAsiaTheme="minorEastAsia" w:cstheme="minorEastAsia"/>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both"/>
        <w:textAlignment w:val="auto"/>
        <w:rPr>
          <w:rFonts w:hint="eastAsia" w:asciiTheme="minorEastAsia" w:hAnsiTheme="minorEastAsia" w:eastAsiaTheme="minorEastAsia" w:cstheme="minorEastAsia"/>
          <w:b/>
          <w:color w:val="auto"/>
          <w:kern w:val="0"/>
          <w:sz w:val="44"/>
          <w:szCs w:val="44"/>
          <w:highlight w:val="none"/>
          <w:lang w:eastAsia="zh-CN"/>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rPr>
          <w:rFonts w:hint="eastAsia" w:asciiTheme="minorEastAsia" w:hAnsiTheme="minorEastAsia" w:eastAsiaTheme="minorEastAsia" w:cstheme="minorEastAsia"/>
          <w:b/>
          <w:color w:val="auto"/>
          <w:sz w:val="44"/>
          <w:szCs w:val="44"/>
          <w:highlight w:val="none"/>
          <w:lang w:val="en-US" w:eastAsia="zh-CN"/>
        </w:rPr>
      </w:pPr>
    </w:p>
    <w:p>
      <w:pPr>
        <w:jc w:val="both"/>
        <w:rPr>
          <w:rFonts w:hint="eastAsia" w:asciiTheme="minorEastAsia" w:hAnsiTheme="minorEastAsia" w:eastAsiaTheme="minorEastAsia" w:cstheme="minorEastAsia"/>
          <w:b/>
          <w:color w:val="auto"/>
          <w:kern w:val="0"/>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960" w:lineRule="exact"/>
        <w:jc w:val="center"/>
        <w:textAlignment w:val="auto"/>
        <w:rPr>
          <w:rFonts w:hint="eastAsia"/>
          <w:color w:val="auto"/>
          <w:highlight w:val="none"/>
          <w:lang w:eastAsia="zh-CN"/>
        </w:rPr>
      </w:pPr>
      <w:r>
        <w:rPr>
          <w:rFonts w:hint="eastAsia" w:asciiTheme="minorEastAsia" w:hAnsiTheme="minorEastAsia" w:eastAsiaTheme="minorEastAsia" w:cstheme="minorEastAsia"/>
          <w:b/>
          <w:color w:val="auto"/>
          <w:kern w:val="0"/>
          <w:sz w:val="44"/>
          <w:szCs w:val="44"/>
          <w:highlight w:val="none"/>
          <w:lang w:val="en-US" w:eastAsia="zh-CN"/>
        </w:rPr>
        <w:t>投标报价</w:t>
      </w:r>
      <w:r>
        <w:rPr>
          <w:rFonts w:hint="eastAsia" w:asciiTheme="minorEastAsia" w:hAnsiTheme="minorEastAsia" w:eastAsiaTheme="minorEastAsia" w:cstheme="minorEastAsia"/>
          <w:b/>
          <w:color w:val="auto"/>
          <w:kern w:val="0"/>
          <w:sz w:val="44"/>
          <w:szCs w:val="44"/>
          <w:highlight w:val="none"/>
          <w:lang w:eastAsia="zh-CN"/>
        </w:rPr>
        <w:t>部分目录</w:t>
      </w:r>
    </w:p>
    <w:p>
      <w:pPr>
        <w:pStyle w:val="138"/>
        <w:keepNext w:val="0"/>
        <w:keepLines w:val="0"/>
        <w:pageBreakBefore w:val="0"/>
        <w:widowControl w:val="0"/>
        <w:kinsoku/>
        <w:wordWrap/>
        <w:overflowPunct/>
        <w:topLinePunct w:val="0"/>
        <w:autoSpaceDE/>
        <w:autoSpaceDN/>
        <w:bidi w:val="0"/>
        <w:adjustRightInd/>
        <w:snapToGrid/>
        <w:spacing w:line="960" w:lineRule="exact"/>
        <w:ind w:firstLine="600" w:firstLineChars="200"/>
        <w:textAlignment w:val="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一、投标函</w:t>
      </w:r>
    </w:p>
    <w:p>
      <w:pPr>
        <w:pStyle w:val="138"/>
        <w:keepNext w:val="0"/>
        <w:keepLines w:val="0"/>
        <w:pageBreakBefore w:val="0"/>
        <w:widowControl w:val="0"/>
        <w:kinsoku/>
        <w:wordWrap/>
        <w:overflowPunct/>
        <w:topLinePunct w:val="0"/>
        <w:autoSpaceDE/>
        <w:autoSpaceDN/>
        <w:bidi w:val="0"/>
        <w:adjustRightInd/>
        <w:snapToGrid/>
        <w:spacing w:line="960" w:lineRule="exact"/>
        <w:ind w:firstLine="600" w:firstLineChars="200"/>
        <w:textAlignment w:val="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二、报价一览表</w:t>
      </w:r>
    </w:p>
    <w:p>
      <w:pPr>
        <w:pStyle w:val="138"/>
        <w:keepNext w:val="0"/>
        <w:keepLines w:val="0"/>
        <w:pageBreakBefore w:val="0"/>
        <w:widowControl w:val="0"/>
        <w:kinsoku/>
        <w:wordWrap/>
        <w:overflowPunct/>
        <w:topLinePunct w:val="0"/>
        <w:autoSpaceDE/>
        <w:autoSpaceDN/>
        <w:bidi w:val="0"/>
        <w:adjustRightInd/>
        <w:snapToGrid/>
        <w:spacing w:line="960" w:lineRule="exact"/>
        <w:ind w:firstLine="600" w:firstLineChars="200"/>
        <w:textAlignment w:val="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三、其他部分（招标文件要求或供应商认为需要的其他资料）</w:t>
      </w:r>
    </w:p>
    <w:p>
      <w:pPr>
        <w:pStyle w:val="18"/>
        <w:rPr>
          <w:rFonts w:hint="eastAsia" w:asciiTheme="minorEastAsia" w:hAnsiTheme="minorEastAsia" w:eastAsiaTheme="minorEastAsia" w:cstheme="minorEastAsia"/>
          <w:b/>
          <w:color w:val="auto"/>
          <w:sz w:val="44"/>
          <w:szCs w:val="44"/>
          <w:highlight w:val="none"/>
          <w:lang w:val="en-US" w:eastAsia="zh-CN"/>
        </w:rPr>
      </w:pPr>
    </w:p>
    <w:p>
      <w:pPr>
        <w:rPr>
          <w:rFonts w:hint="eastAsia" w:asciiTheme="minorEastAsia" w:hAnsiTheme="minorEastAsia" w:eastAsiaTheme="minorEastAsia" w:cstheme="minorEastAsia"/>
          <w:b/>
          <w:color w:val="auto"/>
          <w:sz w:val="44"/>
          <w:szCs w:val="44"/>
          <w:highlight w:val="none"/>
          <w:lang w:val="en-US" w:eastAsia="zh-CN"/>
        </w:rPr>
      </w:pPr>
    </w:p>
    <w:p>
      <w:pPr>
        <w:pStyle w:val="18"/>
        <w:rPr>
          <w:rFonts w:hint="eastAsia" w:asciiTheme="minorEastAsia" w:hAnsiTheme="minorEastAsia" w:eastAsiaTheme="minorEastAsia" w:cstheme="minorEastAsia"/>
          <w:b/>
          <w:color w:val="auto"/>
          <w:sz w:val="44"/>
          <w:szCs w:val="44"/>
          <w:highlight w:val="none"/>
          <w:lang w:val="en-US" w:eastAsia="zh-CN"/>
        </w:rPr>
      </w:pPr>
    </w:p>
    <w:p>
      <w:pPr>
        <w:rPr>
          <w:rFonts w:hint="eastAsia" w:asciiTheme="minorEastAsia" w:hAnsiTheme="minorEastAsia" w:eastAsiaTheme="minorEastAsia" w:cstheme="minorEastAsia"/>
          <w:b/>
          <w:color w:val="auto"/>
          <w:sz w:val="44"/>
          <w:szCs w:val="44"/>
          <w:highlight w:val="none"/>
          <w:lang w:val="en-US" w:eastAsia="zh-CN"/>
        </w:rPr>
      </w:pPr>
    </w:p>
    <w:p>
      <w:pPr>
        <w:pStyle w:val="18"/>
        <w:rPr>
          <w:rFonts w:hint="eastAsia" w:asciiTheme="minorEastAsia" w:hAnsiTheme="minorEastAsia" w:eastAsiaTheme="minorEastAsia" w:cstheme="minorEastAsia"/>
          <w:b/>
          <w:color w:val="auto"/>
          <w:sz w:val="44"/>
          <w:szCs w:val="44"/>
          <w:highlight w:val="none"/>
          <w:lang w:val="en-US" w:eastAsia="zh-CN"/>
        </w:rPr>
      </w:pPr>
    </w:p>
    <w:p>
      <w:pPr>
        <w:rPr>
          <w:rFonts w:hint="eastAsia" w:asciiTheme="minorEastAsia" w:hAnsiTheme="minorEastAsia" w:eastAsiaTheme="minorEastAsia" w:cstheme="minorEastAsia"/>
          <w:b/>
          <w:color w:val="auto"/>
          <w:sz w:val="44"/>
          <w:szCs w:val="44"/>
          <w:highlight w:val="none"/>
          <w:lang w:val="en-US" w:eastAsia="zh-CN"/>
        </w:rPr>
      </w:pPr>
    </w:p>
    <w:p>
      <w:pPr>
        <w:pStyle w:val="18"/>
        <w:rPr>
          <w:rFonts w:hint="eastAsia" w:asciiTheme="minorEastAsia" w:hAnsiTheme="minorEastAsia" w:eastAsiaTheme="minorEastAsia" w:cstheme="minorEastAsia"/>
          <w:b/>
          <w:color w:val="auto"/>
          <w:sz w:val="44"/>
          <w:szCs w:val="44"/>
          <w:highlight w:val="none"/>
          <w:lang w:val="en-US" w:eastAsia="zh-CN"/>
        </w:rPr>
      </w:pPr>
    </w:p>
    <w:p>
      <w:pPr>
        <w:rPr>
          <w:rFonts w:hint="eastAsia" w:asciiTheme="minorEastAsia" w:hAnsiTheme="minorEastAsia" w:eastAsiaTheme="minorEastAsia" w:cstheme="minorEastAsia"/>
          <w:b/>
          <w:color w:val="auto"/>
          <w:sz w:val="44"/>
          <w:szCs w:val="44"/>
          <w:highlight w:val="none"/>
          <w:lang w:val="en-US" w:eastAsia="zh-CN"/>
        </w:rPr>
      </w:pPr>
    </w:p>
    <w:p>
      <w:pPr>
        <w:pStyle w:val="18"/>
        <w:rPr>
          <w:rFonts w:hint="eastAsia" w:asciiTheme="minorEastAsia" w:hAnsiTheme="minorEastAsia" w:eastAsiaTheme="minorEastAsia" w:cstheme="minorEastAsia"/>
          <w:b/>
          <w:color w:val="auto"/>
          <w:sz w:val="44"/>
          <w:szCs w:val="44"/>
          <w:highlight w:val="none"/>
          <w:lang w:val="en-US" w:eastAsia="zh-CN"/>
        </w:rPr>
      </w:pPr>
    </w:p>
    <w:p>
      <w:pPr>
        <w:rPr>
          <w:rFonts w:hint="eastAsia" w:asciiTheme="minorEastAsia" w:hAnsiTheme="minorEastAsia" w:eastAsiaTheme="minorEastAsia" w:cstheme="minorEastAsia"/>
          <w:b/>
          <w:color w:val="auto"/>
          <w:sz w:val="44"/>
          <w:szCs w:val="44"/>
          <w:highlight w:val="none"/>
          <w:lang w:val="en-US" w:eastAsia="zh-CN"/>
        </w:rPr>
      </w:pPr>
    </w:p>
    <w:p>
      <w:pPr>
        <w:pStyle w:val="18"/>
        <w:rPr>
          <w:rFonts w:hint="eastAsia" w:asciiTheme="minorEastAsia" w:hAnsiTheme="minorEastAsia" w:eastAsiaTheme="minorEastAsia" w:cstheme="minorEastAsia"/>
          <w:b/>
          <w:color w:val="auto"/>
          <w:sz w:val="44"/>
          <w:szCs w:val="44"/>
          <w:highlight w:val="none"/>
          <w:lang w:val="en-US" w:eastAsia="zh-CN"/>
        </w:rPr>
      </w:pPr>
    </w:p>
    <w:p>
      <w:pPr>
        <w:rPr>
          <w:rFonts w:hint="eastAsia" w:asciiTheme="minorEastAsia" w:hAnsiTheme="minorEastAsia" w:eastAsiaTheme="minorEastAsia" w:cstheme="minorEastAsia"/>
          <w:b/>
          <w:color w:val="auto"/>
          <w:sz w:val="44"/>
          <w:szCs w:val="44"/>
          <w:highlight w:val="none"/>
          <w:lang w:val="en-US" w:eastAsia="zh-CN"/>
        </w:rPr>
      </w:pPr>
    </w:p>
    <w:p>
      <w:pPr>
        <w:pStyle w:val="18"/>
        <w:rPr>
          <w:rFonts w:hint="eastAsia" w:asciiTheme="minorEastAsia" w:hAnsiTheme="minorEastAsia" w:eastAsiaTheme="minorEastAsia" w:cstheme="minorEastAsia"/>
          <w:b/>
          <w:color w:val="auto"/>
          <w:sz w:val="44"/>
          <w:szCs w:val="44"/>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default"/>
          <w:highlight w:val="none"/>
          <w:lang w:val="en-US" w:eastAsia="zh-CN"/>
        </w:rPr>
      </w:pPr>
    </w:p>
    <w:p>
      <w:pPr>
        <w:pStyle w:val="136"/>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color w:val="auto"/>
          <w:kern w:val="0"/>
          <w:sz w:val="32"/>
          <w:szCs w:val="32"/>
          <w:highlight w:val="none"/>
          <w:lang w:eastAsia="zh-CN"/>
        </w:rPr>
      </w:pPr>
    </w:p>
    <w:p>
      <w:pPr>
        <w:pStyle w:val="136"/>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bCs/>
          <w:color w:val="auto"/>
          <w:kern w:val="0"/>
          <w:sz w:val="36"/>
          <w:szCs w:val="36"/>
          <w:highlight w:val="none"/>
          <w:lang w:val="en-US" w:eastAsia="zh-CN" w:bidi="ar-SA"/>
        </w:rPr>
      </w:pPr>
      <w:r>
        <w:rPr>
          <w:rFonts w:hint="eastAsia" w:asciiTheme="minorEastAsia" w:hAnsiTheme="minorEastAsia" w:eastAsiaTheme="minorEastAsia" w:cstheme="minorEastAsia"/>
          <w:color w:val="auto"/>
          <w:kern w:val="0"/>
          <w:sz w:val="32"/>
          <w:szCs w:val="32"/>
          <w:highlight w:val="none"/>
          <w:lang w:eastAsia="zh-CN"/>
        </w:rPr>
        <w:t>一、</w:t>
      </w:r>
      <w:bookmarkEnd w:id="407"/>
      <w:r>
        <w:rPr>
          <w:rFonts w:hint="eastAsia" w:asciiTheme="minorEastAsia" w:hAnsiTheme="minorEastAsia" w:eastAsiaTheme="minorEastAsia" w:cstheme="minorEastAsia"/>
          <w:b/>
          <w:bCs/>
          <w:color w:val="auto"/>
          <w:kern w:val="0"/>
          <w:sz w:val="32"/>
          <w:szCs w:val="32"/>
          <w:highlight w:val="none"/>
          <w:lang w:val="en-US" w:eastAsia="zh-CN" w:bidi="ar-SA"/>
        </w:rPr>
        <w:t>投标函</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eastAsia="zh-CN"/>
        </w:rPr>
        <w:t>采购人</w:t>
      </w:r>
      <w:r>
        <w:rPr>
          <w:rFonts w:hint="eastAsia" w:ascii="宋体" w:hAnsi="宋体" w:eastAsia="宋体" w:cs="宋体"/>
          <w:b/>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609" w:firstLineChars="25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1、我方仔细研究了</w:t>
      </w:r>
      <w:r>
        <w:rPr>
          <w:rFonts w:hint="eastAsia" w:ascii="宋体" w:hAnsi="宋体" w:cs="宋体"/>
          <w:color w:val="auto"/>
          <w:sz w:val="24"/>
          <w:szCs w:val="24"/>
          <w:highlight w:val="none"/>
          <w:lang w:val="en-US" w:eastAsia="zh-CN"/>
        </w:rPr>
        <w:t>标段</w:t>
      </w:r>
      <w:r>
        <w:rPr>
          <w:rFonts w:hint="eastAsia" w:ascii="宋体" w:hAnsi="宋体" w:eastAsia="宋体" w:cs="宋体"/>
          <w:color w:val="auto"/>
          <w:sz w:val="24"/>
          <w:szCs w:val="24"/>
          <w:highlight w:val="none"/>
        </w:rPr>
        <w:t>编号为</w:t>
      </w:r>
      <w:r>
        <w:rPr>
          <w:rFonts w:hint="eastAsia" w:ascii="宋体" w:hAnsi="宋体" w:cs="宋体"/>
          <w:color w:val="auto"/>
          <w:sz w:val="24"/>
          <w:szCs w:val="24"/>
          <w:highlight w:val="none"/>
          <w:u w:val="single"/>
          <w:lang w:val="en-US" w:eastAsia="zh-CN"/>
        </w:rPr>
        <w:t xml:space="preserve"> 福招字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标段</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的全部内容，我方</w:t>
      </w:r>
      <w:r>
        <w:rPr>
          <w:rFonts w:hint="eastAsia" w:ascii="宋体" w:hAnsi="宋体" w:eastAsia="宋体" w:cs="宋体"/>
          <w:color w:val="auto"/>
          <w:sz w:val="24"/>
          <w:szCs w:val="24"/>
          <w:highlight w:val="none"/>
          <w:lang w:val="en-US" w:eastAsia="zh-CN"/>
        </w:rPr>
        <w:t>愿按大写：百分之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%的下浮率进行报价</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合同履行期限（供货期限）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lang w:eastAsia="zh-CN"/>
        </w:rPr>
        <w:t>质量标准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，按合同约定实施和完成本项目。</w:t>
      </w:r>
    </w:p>
    <w:p>
      <w:pPr>
        <w:keepNext w:val="0"/>
        <w:keepLines w:val="0"/>
        <w:pageBreakBefore w:val="0"/>
        <w:widowControl w:val="0"/>
        <w:kinsoku/>
        <w:wordWrap/>
        <w:overflowPunct/>
        <w:topLinePunct w:val="0"/>
        <w:autoSpaceDE/>
        <w:autoSpaceDN/>
        <w:bidi w:val="0"/>
        <w:adjustRightInd/>
        <w:snapToGrid/>
        <w:spacing w:line="480" w:lineRule="exact"/>
        <w:ind w:firstLine="609" w:firstLineChars="25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2、我方承诺在</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有效期内不修改、撤销</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w:t>
      </w:r>
    </w:p>
    <w:p>
      <w:pPr>
        <w:keepNext w:val="0"/>
        <w:keepLines w:val="0"/>
        <w:pageBreakBefore w:val="0"/>
        <w:widowControl w:val="0"/>
        <w:kinsoku/>
        <w:wordWrap/>
        <w:overflowPunct/>
        <w:topLinePunct w:val="0"/>
        <w:autoSpaceDE/>
        <w:autoSpaceDN/>
        <w:bidi w:val="0"/>
        <w:adjustRightInd/>
        <w:snapToGrid/>
        <w:spacing w:line="620" w:lineRule="exact"/>
        <w:ind w:left="0" w:leftChars="0" w:firstLine="638" w:firstLineChars="266"/>
        <w:textAlignment w:val="auto"/>
        <w:rPr>
          <w:rFonts w:hint="eastAsia" w:ascii="宋体" w:hAnsi="宋体" w:cs="宋体"/>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sz w:val="24"/>
          <w:szCs w:val="24"/>
          <w:highlight w:val="none"/>
        </w:rPr>
        <w:t>我方已</w:t>
      </w:r>
      <w:r>
        <w:rPr>
          <w:rFonts w:hint="eastAsia" w:ascii="宋体" w:hAnsi="宋体" w:eastAsia="宋体" w:cs="宋体"/>
          <w:sz w:val="24"/>
          <w:szCs w:val="24"/>
          <w:highlight w:val="none"/>
          <w:lang w:val="en-US" w:eastAsia="zh-CN"/>
        </w:rPr>
        <w:t>详细</w:t>
      </w:r>
      <w:r>
        <w:rPr>
          <w:rFonts w:hint="eastAsia" w:ascii="宋体" w:hAnsi="宋体" w:eastAsia="宋体" w:cs="宋体"/>
          <w:sz w:val="24"/>
          <w:szCs w:val="24"/>
          <w:highlight w:val="none"/>
        </w:rPr>
        <w:t>审</w:t>
      </w:r>
      <w:r>
        <w:rPr>
          <w:rFonts w:hint="eastAsia" w:ascii="宋体" w:hAnsi="宋体" w:eastAsia="宋体" w:cs="宋体"/>
          <w:sz w:val="24"/>
          <w:szCs w:val="24"/>
          <w:highlight w:val="none"/>
          <w:lang w:val="en-US" w:eastAsia="zh-CN"/>
        </w:rPr>
        <w:t>查全部招标</w:t>
      </w:r>
      <w:r>
        <w:rPr>
          <w:rFonts w:hint="eastAsia" w:ascii="宋体" w:hAnsi="宋体" w:eastAsia="宋体" w:cs="宋体"/>
          <w:sz w:val="24"/>
          <w:szCs w:val="24"/>
          <w:highlight w:val="none"/>
        </w:rPr>
        <w:t>文件，包括修改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澄清</w:t>
      </w:r>
      <w:r>
        <w:rPr>
          <w:rFonts w:hint="eastAsia" w:ascii="宋体" w:hAnsi="宋体" w:eastAsia="宋体" w:cs="宋体"/>
          <w:sz w:val="24"/>
          <w:szCs w:val="24"/>
          <w:highlight w:val="none"/>
        </w:rPr>
        <w:t>文件（如有时）及有关附件。</w:t>
      </w:r>
      <w:r>
        <w:rPr>
          <w:rFonts w:hint="eastAsia" w:ascii="宋体" w:hAnsi="宋体" w:eastAsia="宋体" w:cs="宋体"/>
          <w:sz w:val="24"/>
          <w:szCs w:val="24"/>
          <w:highlight w:val="none"/>
          <w:lang w:val="en-US" w:eastAsia="zh-CN"/>
        </w:rPr>
        <w:t>我方完全理解相关文件要求，并承担这方面有不明及误解的后果。</w:t>
      </w:r>
    </w:p>
    <w:p>
      <w:pPr>
        <w:keepNext w:val="0"/>
        <w:keepLines w:val="0"/>
        <w:pageBreakBefore w:val="0"/>
        <w:widowControl w:val="0"/>
        <w:kinsoku/>
        <w:wordWrap/>
        <w:overflowPunct/>
        <w:topLinePunct w:val="0"/>
        <w:autoSpaceDE/>
        <w:autoSpaceDN/>
        <w:bidi w:val="0"/>
        <w:adjustRightInd/>
        <w:snapToGrid/>
        <w:spacing w:line="620" w:lineRule="exact"/>
        <w:ind w:firstLine="609" w:firstLineChars="254"/>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本次</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文件中提供的一切材料，无论是原件还是复印件</w:t>
      </w:r>
      <w:r>
        <w:rPr>
          <w:rFonts w:hint="eastAsia" w:ascii="宋体" w:hAnsi="宋体" w:eastAsia="宋体" w:cs="宋体"/>
          <w:color w:val="auto"/>
          <w:sz w:val="24"/>
          <w:szCs w:val="24"/>
          <w:highlight w:val="none"/>
          <w:lang w:val="en-US" w:eastAsia="zh-CN"/>
        </w:rPr>
        <w:t>或扫描件</w:t>
      </w:r>
      <w:r>
        <w:rPr>
          <w:rFonts w:hint="eastAsia" w:ascii="宋体" w:hAnsi="宋体" w:eastAsia="宋体" w:cs="宋体"/>
          <w:color w:val="auto"/>
          <w:sz w:val="24"/>
          <w:szCs w:val="24"/>
          <w:highlight w:val="none"/>
          <w:lang w:eastAsia="zh-CN"/>
        </w:rPr>
        <w:t>均为真实和准确的，绝无任何虚假、伪造的成份，否则愿承担相应的后果和法律责任。</w:t>
      </w:r>
    </w:p>
    <w:p>
      <w:pPr>
        <w:keepNext w:val="0"/>
        <w:keepLines w:val="0"/>
        <w:pageBreakBefore w:val="0"/>
        <w:widowControl w:val="0"/>
        <w:kinsoku/>
        <w:wordWrap/>
        <w:overflowPunct/>
        <w:topLinePunct w:val="0"/>
        <w:autoSpaceDE/>
        <w:autoSpaceDN/>
        <w:bidi w:val="0"/>
        <w:adjustRightInd/>
        <w:snapToGrid/>
        <w:spacing w:line="620" w:lineRule="exact"/>
        <w:ind w:firstLine="609" w:firstLineChars="254"/>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5、我方</w:t>
      </w:r>
      <w:r>
        <w:rPr>
          <w:rFonts w:hint="eastAsia" w:ascii="宋体" w:hAnsi="宋体" w:eastAsia="宋体" w:cs="宋体"/>
          <w:color w:val="auto"/>
          <w:sz w:val="24"/>
          <w:szCs w:val="24"/>
          <w:highlight w:val="none"/>
        </w:rPr>
        <w:t>同意并接受</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的各项要求，遵守</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中的各项规定，按</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的要求提供报价。</w:t>
      </w:r>
    </w:p>
    <w:p>
      <w:pPr>
        <w:keepNext w:val="0"/>
        <w:keepLines w:val="0"/>
        <w:pageBreakBefore w:val="0"/>
        <w:widowControl w:val="0"/>
        <w:kinsoku/>
        <w:wordWrap/>
        <w:overflowPunct/>
        <w:topLinePunct w:val="0"/>
        <w:autoSpaceDE/>
        <w:autoSpaceDN/>
        <w:bidi w:val="0"/>
        <w:adjustRightInd/>
        <w:snapToGrid/>
        <w:spacing w:line="620" w:lineRule="exact"/>
        <w:ind w:firstLine="609" w:firstLineChars="254"/>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6、投标</w:t>
      </w:r>
      <w:r>
        <w:rPr>
          <w:rFonts w:hint="eastAsia" w:ascii="宋体" w:hAnsi="宋体" w:cs="宋体"/>
          <w:color w:val="auto"/>
          <w:sz w:val="24"/>
          <w:szCs w:val="24"/>
          <w:highlight w:val="none"/>
          <w:lang w:eastAsia="zh-CN"/>
        </w:rPr>
        <w:t>有效期</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lang w:eastAsia="zh-CN"/>
        </w:rPr>
        <w:t>提交</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截止</w:t>
      </w:r>
      <w:r>
        <w:rPr>
          <w:rFonts w:hint="eastAsia" w:ascii="宋体" w:hAnsi="宋体" w:eastAsia="宋体" w:cs="宋体"/>
          <w:color w:val="auto"/>
          <w:sz w:val="24"/>
          <w:szCs w:val="24"/>
          <w:highlight w:val="none"/>
        </w:rPr>
        <w:t>之日起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日历</w:t>
      </w:r>
      <w:r>
        <w:rPr>
          <w:rFonts w:hint="eastAsia" w:ascii="宋体" w:hAnsi="宋体" w:eastAsia="宋体" w:cs="宋体"/>
          <w:color w:val="auto"/>
          <w:sz w:val="24"/>
          <w:szCs w:val="24"/>
          <w:highlight w:val="none"/>
          <w:u w:val="none"/>
        </w:rPr>
        <w:t>天</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620" w:lineRule="exact"/>
        <w:ind w:left="0" w:leftChars="0" w:firstLine="638" w:firstLineChars="266"/>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、若我方为</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人：</w:t>
      </w:r>
    </w:p>
    <w:p>
      <w:pPr>
        <w:keepNext w:val="0"/>
        <w:keepLines w:val="0"/>
        <w:pageBreakBefore w:val="0"/>
        <w:widowControl w:val="0"/>
        <w:kinsoku/>
        <w:wordWrap/>
        <w:overflowPunct/>
        <w:topLinePunct w:val="0"/>
        <w:autoSpaceDE/>
        <w:autoSpaceDN/>
        <w:bidi w:val="0"/>
        <w:adjustRightInd/>
        <w:snapToGrid/>
        <w:spacing w:line="62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（1）我方承诺在收到</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通知书后，在</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通知书规定的期限内与你方签订合同。</w:t>
      </w:r>
    </w:p>
    <w:p>
      <w:pPr>
        <w:keepNext w:val="0"/>
        <w:keepLines w:val="0"/>
        <w:pageBreakBefore w:val="0"/>
        <w:widowControl w:val="0"/>
        <w:kinsoku/>
        <w:wordWrap/>
        <w:overflowPunct/>
        <w:topLinePunct w:val="0"/>
        <w:autoSpaceDE/>
        <w:autoSpaceDN/>
        <w:bidi w:val="0"/>
        <w:adjustRightInd/>
        <w:snapToGrid/>
        <w:spacing w:line="62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）我方承诺在合同约定的期限内做好各项服务工作。</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宋体" w:hAnsi="宋体" w:eastAsia="宋体" w:cs="宋体"/>
          <w:color w:val="auto"/>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盖电子公章</w:t>
      </w:r>
      <w:r>
        <w:rPr>
          <w:rFonts w:hint="eastAsia" w:ascii="宋体" w:hAnsi="宋体" w:eastAsia="宋体" w:cs="宋体"/>
          <w:color w:val="auto"/>
          <w:sz w:val="24"/>
          <w:szCs w:val="24"/>
          <w:highlight w:val="none"/>
          <w:u w:val="single"/>
        </w:rPr>
        <w:t>）</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（签字或</w:t>
      </w:r>
      <w:r>
        <w:rPr>
          <w:rFonts w:hint="eastAsia" w:ascii="宋体" w:hAnsi="宋体" w:eastAsia="宋体" w:cs="宋体"/>
          <w:color w:val="auto"/>
          <w:sz w:val="24"/>
          <w:szCs w:val="24"/>
          <w:highlight w:val="none"/>
          <w:u w:val="single"/>
          <w:lang w:eastAsia="zh-CN"/>
        </w:rPr>
        <w:t>电子</w:t>
      </w:r>
      <w:r>
        <w:rPr>
          <w:rFonts w:hint="eastAsia" w:ascii="宋体" w:hAnsi="宋体" w:eastAsia="宋体" w:cs="宋体"/>
          <w:color w:val="auto"/>
          <w:sz w:val="24"/>
          <w:szCs w:val="24"/>
          <w:highlight w:val="none"/>
          <w:u w:val="single"/>
        </w:rPr>
        <w:t>章）</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408"/>
    <w:bookmarkEnd w:id="409"/>
    <w:bookmarkEnd w:id="410"/>
    <w:bookmarkEnd w:id="411"/>
    <w:p>
      <w:pPr>
        <w:pStyle w:val="4"/>
        <w:numPr>
          <w:ilvl w:val="1"/>
          <w:numId w:val="0"/>
        </w:numPr>
        <w:tabs>
          <w:tab w:val="left" w:pos="360"/>
        </w:tabs>
        <w:spacing w:afterLines="0" w:line="460" w:lineRule="exact"/>
        <w:jc w:val="both"/>
        <w:rPr>
          <w:rFonts w:hint="eastAsia" w:asciiTheme="minorEastAsia" w:hAnsiTheme="minorEastAsia" w:eastAsiaTheme="minorEastAsia" w:cstheme="minorEastAsia"/>
          <w:b/>
          <w:bCs w:val="0"/>
          <w:color w:val="auto"/>
          <w:kern w:val="2"/>
          <w:sz w:val="32"/>
          <w:szCs w:val="32"/>
          <w:highlight w:val="none"/>
          <w:lang w:val="en-US" w:eastAsia="zh-CN" w:bidi="ar"/>
        </w:rPr>
      </w:pPr>
      <w:bookmarkStart w:id="412" w:name="_Toc31777"/>
      <w:bookmarkStart w:id="413" w:name="_Toc25066"/>
      <w:bookmarkStart w:id="414" w:name="OLE_LINK25"/>
      <w:bookmarkStart w:id="415" w:name="_Toc22683"/>
      <w:bookmarkStart w:id="416" w:name="_Toc445993929"/>
      <w:bookmarkStart w:id="417" w:name="_Toc303001537"/>
    </w:p>
    <w:p>
      <w:pPr>
        <w:pStyle w:val="4"/>
        <w:numPr>
          <w:ilvl w:val="1"/>
          <w:numId w:val="0"/>
        </w:numPr>
        <w:tabs>
          <w:tab w:val="left" w:pos="360"/>
        </w:tabs>
        <w:spacing w:afterLines="0" w:line="460" w:lineRule="exact"/>
        <w:ind w:left="425" w:leftChars="0"/>
        <w:jc w:val="center"/>
        <w:rPr>
          <w:rFonts w:hint="eastAsia" w:asciiTheme="minorEastAsia" w:hAnsiTheme="minorEastAsia" w:eastAsiaTheme="minorEastAsia" w:cstheme="minorEastAsia"/>
          <w:b/>
          <w:bCs w:val="0"/>
          <w:color w:val="auto"/>
          <w:sz w:val="32"/>
          <w:szCs w:val="32"/>
          <w:highlight w:val="none"/>
        </w:rPr>
      </w:pPr>
      <w:r>
        <w:rPr>
          <w:rFonts w:hint="eastAsia" w:asciiTheme="minorEastAsia" w:hAnsiTheme="minorEastAsia" w:eastAsiaTheme="minorEastAsia" w:cstheme="minorEastAsia"/>
          <w:b/>
          <w:bCs w:val="0"/>
          <w:color w:val="auto"/>
          <w:kern w:val="2"/>
          <w:sz w:val="32"/>
          <w:szCs w:val="32"/>
          <w:highlight w:val="none"/>
          <w:lang w:val="en-US" w:eastAsia="zh-CN" w:bidi="ar"/>
        </w:rPr>
        <w:t>二、</w:t>
      </w:r>
      <w:bookmarkStart w:id="418" w:name="_Toc97580356"/>
      <w:bookmarkStart w:id="419" w:name="_Toc5639"/>
      <w:bookmarkStart w:id="420" w:name="_Toc66970031"/>
      <w:r>
        <w:rPr>
          <w:rFonts w:hint="eastAsia" w:asciiTheme="minorEastAsia" w:hAnsiTheme="minorEastAsia" w:eastAsiaTheme="minorEastAsia" w:cstheme="minorEastAsia"/>
          <w:b/>
          <w:bCs w:val="0"/>
          <w:color w:val="auto"/>
          <w:sz w:val="32"/>
          <w:szCs w:val="32"/>
          <w:highlight w:val="none"/>
          <w:lang w:eastAsia="zh-CN"/>
        </w:rPr>
        <w:t>报价</w:t>
      </w:r>
      <w:r>
        <w:rPr>
          <w:rFonts w:hint="eastAsia" w:asciiTheme="minorEastAsia" w:hAnsiTheme="minorEastAsia" w:eastAsiaTheme="minorEastAsia" w:cstheme="minorEastAsia"/>
          <w:b/>
          <w:bCs w:val="0"/>
          <w:color w:val="auto"/>
          <w:sz w:val="32"/>
          <w:szCs w:val="32"/>
          <w:highlight w:val="none"/>
        </w:rPr>
        <w:t>一览表</w:t>
      </w:r>
      <w:bookmarkEnd w:id="412"/>
      <w:bookmarkEnd w:id="413"/>
      <w:bookmarkEnd w:id="418"/>
      <w:bookmarkEnd w:id="419"/>
      <w:bookmarkEnd w:id="420"/>
    </w:p>
    <w:bookmarkEnd w:id="414"/>
    <w:p>
      <w:pPr>
        <w:rPr>
          <w:color w:val="auto"/>
          <w:highlight w:val="none"/>
        </w:rPr>
      </w:pPr>
    </w:p>
    <w:p>
      <w:pPr>
        <w:pStyle w:val="25"/>
        <w:ind w:firstLine="482" w:firstLineChars="200"/>
        <w:rPr>
          <w:rFonts w:hint="eastAsia"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highlight w:val="none"/>
          <w:lang w:val="en-US" w:eastAsia="zh-CN"/>
        </w:rPr>
        <w:t>标段</w:t>
      </w:r>
      <w:r>
        <w:rPr>
          <w:rFonts w:hint="eastAsia" w:cs="宋体" w:asciiTheme="minorEastAsia" w:hAnsiTheme="minorEastAsia" w:eastAsiaTheme="minorEastAsia"/>
          <w:b/>
          <w:color w:val="auto"/>
          <w:sz w:val="24"/>
          <w:szCs w:val="24"/>
          <w:highlight w:val="none"/>
        </w:rPr>
        <w:t>名称：</w:t>
      </w:r>
    </w:p>
    <w:p>
      <w:pPr>
        <w:rPr>
          <w:color w:val="auto"/>
          <w:highlight w:val="none"/>
        </w:rPr>
      </w:pPr>
    </w:p>
    <w:tbl>
      <w:tblPr>
        <w:tblStyle w:val="46"/>
        <w:tblW w:w="873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1731"/>
        <w:gridCol w:w="6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831" w:hRule="atLeast"/>
          <w:jc w:val="center"/>
        </w:trPr>
        <w:tc>
          <w:tcPr>
            <w:tcW w:w="462" w:type="dxa"/>
            <w:vAlign w:val="center"/>
          </w:tcPr>
          <w:p>
            <w:pPr>
              <w:pStyle w:val="42"/>
              <w:widowControl w:val="0"/>
              <w:spacing w:before="0" w:beforeAutospacing="0" w:after="0" w:afterAutospacing="0"/>
              <w:jc w:val="center"/>
              <w:rPr>
                <w:rFonts w:hint="eastAsia" w:eastAsia="宋体" w:cs="宋体"/>
                <w:color w:val="auto"/>
                <w:kern w:val="2"/>
                <w:sz w:val="24"/>
                <w:szCs w:val="24"/>
                <w:highlight w:val="none"/>
                <w:lang w:val="en-US" w:eastAsia="zh-CN"/>
              </w:rPr>
            </w:pPr>
            <w:r>
              <w:rPr>
                <w:rFonts w:hint="eastAsia" w:cs="宋体"/>
                <w:color w:val="auto"/>
                <w:kern w:val="2"/>
                <w:sz w:val="24"/>
                <w:szCs w:val="24"/>
                <w:highlight w:val="none"/>
                <w:lang w:val="en-US" w:eastAsia="zh-CN"/>
              </w:rPr>
              <w:t>1</w:t>
            </w:r>
          </w:p>
        </w:tc>
        <w:tc>
          <w:tcPr>
            <w:tcW w:w="1731" w:type="dxa"/>
            <w:vAlign w:val="center"/>
          </w:tcPr>
          <w:p>
            <w:pPr>
              <w:spacing w:line="500" w:lineRule="atLeast"/>
              <w:jc w:val="center"/>
              <w:rPr>
                <w:rFonts w:hint="eastAsia" w:ascii="宋体" w:hAnsi="Times New Roman" w:eastAsia="宋体" w:cs="宋体"/>
                <w:color w:val="auto"/>
                <w:kern w:val="2"/>
                <w:sz w:val="24"/>
                <w:szCs w:val="24"/>
                <w:highlight w:val="none"/>
                <w:lang w:val="en-US" w:eastAsia="zh-CN" w:bidi="ar-SA"/>
              </w:rPr>
            </w:pPr>
            <w:r>
              <w:rPr>
                <w:rFonts w:hint="eastAsia" w:ascii="宋体" w:hAnsi="Times New Roman" w:eastAsia="宋体" w:cs="宋体"/>
                <w:color w:val="auto"/>
                <w:kern w:val="2"/>
                <w:sz w:val="24"/>
                <w:szCs w:val="24"/>
                <w:highlight w:val="none"/>
                <w:lang w:val="en-US" w:eastAsia="zh-CN" w:bidi="ar-SA"/>
              </w:rPr>
              <w:t xml:space="preserve">投标报价   </w:t>
            </w:r>
          </w:p>
          <w:p>
            <w:pPr>
              <w:spacing w:line="500" w:lineRule="atLeast"/>
              <w:jc w:val="center"/>
              <w:rPr>
                <w:rFonts w:hint="default" w:ascii="宋体" w:hAnsi="Times New Roman" w:eastAsia="宋体" w:cs="宋体"/>
                <w:color w:val="auto"/>
                <w:kern w:val="2"/>
                <w:sz w:val="24"/>
                <w:szCs w:val="24"/>
                <w:highlight w:val="none"/>
                <w:lang w:val="en-US" w:eastAsia="zh-CN" w:bidi="ar-SA"/>
              </w:rPr>
            </w:pPr>
            <w:r>
              <w:rPr>
                <w:rFonts w:hint="eastAsia" w:ascii="宋体" w:hAnsi="Times New Roman" w:eastAsia="宋体" w:cs="宋体"/>
                <w:color w:val="auto"/>
                <w:kern w:val="2"/>
                <w:sz w:val="24"/>
                <w:szCs w:val="24"/>
                <w:highlight w:val="none"/>
                <w:lang w:val="en-US" w:eastAsia="zh-CN" w:bidi="ar-SA"/>
              </w:rPr>
              <w:t>（下浮率）</w:t>
            </w:r>
          </w:p>
        </w:tc>
        <w:tc>
          <w:tcPr>
            <w:tcW w:w="6540" w:type="dxa"/>
            <w:vAlign w:val="center"/>
          </w:tcPr>
          <w:p>
            <w:pPr>
              <w:spacing w:line="500" w:lineRule="atLeast"/>
              <w:jc w:val="left"/>
              <w:rPr>
                <w:rFonts w:hint="eastAsia" w:ascii="宋体" w:hAnsi="Times New Roman" w:eastAsia="宋体" w:cs="宋体"/>
                <w:color w:val="auto"/>
                <w:kern w:val="2"/>
                <w:sz w:val="24"/>
                <w:szCs w:val="24"/>
                <w:highlight w:val="none"/>
                <w:lang w:val="en-US" w:eastAsia="zh-CN" w:bidi="ar-SA"/>
              </w:rPr>
            </w:pPr>
            <w:r>
              <w:rPr>
                <w:rFonts w:hint="eastAsia" w:ascii="宋体" w:hAnsi="Times New Roman" w:eastAsia="宋体" w:cs="宋体"/>
                <w:color w:val="auto"/>
                <w:kern w:val="2"/>
                <w:sz w:val="24"/>
                <w:szCs w:val="24"/>
                <w:highlight w:val="none"/>
                <w:lang w:val="en-US" w:eastAsia="zh-CN" w:bidi="ar-SA"/>
              </w:rPr>
              <w:t>大写：百分之</w:t>
            </w:r>
            <w:r>
              <w:rPr>
                <w:rFonts w:hint="eastAsia" w:ascii="宋体" w:hAnsi="Times New Roman" w:eastAsia="宋体" w:cs="宋体"/>
                <w:color w:val="auto"/>
                <w:kern w:val="2"/>
                <w:sz w:val="24"/>
                <w:szCs w:val="24"/>
                <w:highlight w:val="none"/>
                <w:u w:val="single"/>
                <w:lang w:val="en-US" w:eastAsia="zh-CN" w:bidi="ar-SA"/>
              </w:rPr>
              <w:t xml:space="preserve">   </w:t>
            </w:r>
            <w:r>
              <w:rPr>
                <w:rFonts w:hint="eastAsia" w:ascii="宋体" w:hAnsi="Times New Roman" w:cs="宋体"/>
                <w:color w:val="auto"/>
                <w:kern w:val="2"/>
                <w:sz w:val="24"/>
                <w:szCs w:val="24"/>
                <w:highlight w:val="none"/>
                <w:u w:val="single"/>
                <w:lang w:val="en-US" w:eastAsia="zh-CN" w:bidi="ar-SA"/>
              </w:rPr>
              <w:t xml:space="preserve">  </w:t>
            </w:r>
            <w:r>
              <w:rPr>
                <w:rFonts w:hint="eastAsia" w:ascii="宋体" w:hAnsi="Times New Roman" w:eastAsia="宋体" w:cs="宋体"/>
                <w:color w:val="auto"/>
                <w:kern w:val="2"/>
                <w:sz w:val="24"/>
                <w:szCs w:val="24"/>
                <w:highlight w:val="none"/>
                <w:u w:val="single"/>
                <w:lang w:val="en-US" w:eastAsia="zh-CN" w:bidi="ar-SA"/>
              </w:rPr>
              <w:t xml:space="preserve">  </w:t>
            </w:r>
            <w:r>
              <w:rPr>
                <w:rFonts w:hint="eastAsia" w:ascii="宋体" w:hAnsi="Times New Roman" w:eastAsia="宋体" w:cs="宋体"/>
                <w:color w:val="auto"/>
                <w:kern w:val="2"/>
                <w:sz w:val="24"/>
                <w:szCs w:val="24"/>
                <w:highlight w:val="none"/>
                <w:lang w:val="en-US" w:eastAsia="zh-CN" w:bidi="ar-SA"/>
              </w:rPr>
              <w:t xml:space="preserve">.  </w:t>
            </w:r>
          </w:p>
          <w:p>
            <w:pPr>
              <w:spacing w:line="500" w:lineRule="atLeast"/>
              <w:jc w:val="left"/>
              <w:rPr>
                <w:rFonts w:hint="default" w:ascii="宋体" w:hAnsi="Times New Roman" w:eastAsia="宋体" w:cs="宋体"/>
                <w:color w:val="auto"/>
                <w:kern w:val="2"/>
                <w:sz w:val="24"/>
                <w:szCs w:val="24"/>
                <w:highlight w:val="none"/>
                <w:lang w:val="en-US" w:eastAsia="zh-CN" w:bidi="ar-SA"/>
              </w:rPr>
            </w:pPr>
            <w:r>
              <w:rPr>
                <w:rFonts w:hint="eastAsia" w:ascii="宋体" w:hAnsi="Times New Roman" w:eastAsia="宋体" w:cs="宋体"/>
                <w:color w:val="auto"/>
                <w:kern w:val="2"/>
                <w:sz w:val="24"/>
                <w:szCs w:val="24"/>
                <w:highlight w:val="none"/>
                <w:lang w:val="en-US" w:eastAsia="zh-CN" w:bidi="ar-SA"/>
              </w:rPr>
              <w:t>小写：</w:t>
            </w:r>
            <w:r>
              <w:rPr>
                <w:rFonts w:hint="eastAsia" w:ascii="宋体" w:hAnsi="Times New Roman" w:eastAsia="宋体" w:cs="宋体"/>
                <w:color w:val="auto"/>
                <w:kern w:val="2"/>
                <w:sz w:val="24"/>
                <w:szCs w:val="24"/>
                <w:highlight w:val="none"/>
                <w:u w:val="single"/>
                <w:lang w:val="en-US" w:eastAsia="zh-CN" w:bidi="ar-SA"/>
              </w:rPr>
              <w:t xml:space="preserve">      </w:t>
            </w:r>
            <w:r>
              <w:rPr>
                <w:rFonts w:hint="eastAsia" w:ascii="宋体" w:hAnsi="Times New Roman" w:cs="宋体"/>
                <w:color w:val="auto"/>
                <w:kern w:val="2"/>
                <w:sz w:val="24"/>
                <w:szCs w:val="24"/>
                <w:highlight w:val="none"/>
                <w:u w:val="single"/>
                <w:lang w:val="en-US" w:eastAsia="zh-CN" w:bidi="ar-SA"/>
              </w:rPr>
              <w:t xml:space="preserve">    </w:t>
            </w:r>
            <w:r>
              <w:rPr>
                <w:rFonts w:hint="eastAsia" w:ascii="宋体" w:hAnsi="Times New Roman" w:eastAsia="宋体" w:cs="宋体"/>
                <w:color w:val="auto"/>
                <w:kern w:val="2"/>
                <w:sz w:val="24"/>
                <w:szCs w:val="24"/>
                <w:highlight w:val="none"/>
                <w:u w:val="single"/>
                <w:lang w:val="en-US" w:eastAsia="zh-CN" w:bidi="ar-SA"/>
              </w:rPr>
              <w:t xml:space="preserve">   </w:t>
            </w:r>
            <w:r>
              <w:rPr>
                <w:rFonts w:hint="eastAsia" w:ascii="宋体" w:hAnsi="Times New Roman" w:eastAsia="宋体" w:cs="宋体"/>
                <w:color w:val="auto"/>
                <w:kern w:val="2"/>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831" w:hRule="atLeast"/>
          <w:jc w:val="center"/>
        </w:trPr>
        <w:tc>
          <w:tcPr>
            <w:tcW w:w="462" w:type="dxa"/>
            <w:vAlign w:val="center"/>
          </w:tcPr>
          <w:p>
            <w:pPr>
              <w:pStyle w:val="42"/>
              <w:widowControl w:val="0"/>
              <w:spacing w:before="0" w:beforeAutospacing="0" w:after="0" w:afterAutospacing="0"/>
              <w:jc w:val="center"/>
              <w:rPr>
                <w:rFonts w:hint="default" w:cs="宋体"/>
                <w:color w:val="auto"/>
                <w:kern w:val="2"/>
                <w:sz w:val="24"/>
                <w:szCs w:val="24"/>
                <w:highlight w:val="none"/>
                <w:lang w:val="en-US" w:eastAsia="zh-CN"/>
              </w:rPr>
            </w:pPr>
            <w:r>
              <w:rPr>
                <w:rFonts w:hint="eastAsia" w:cs="宋体"/>
                <w:color w:val="auto"/>
                <w:kern w:val="2"/>
                <w:sz w:val="24"/>
                <w:szCs w:val="24"/>
                <w:highlight w:val="none"/>
                <w:lang w:val="en-US" w:eastAsia="zh-CN"/>
              </w:rPr>
              <w:t>2</w:t>
            </w:r>
          </w:p>
        </w:tc>
        <w:tc>
          <w:tcPr>
            <w:tcW w:w="1731" w:type="dxa"/>
            <w:vAlign w:val="center"/>
          </w:tcPr>
          <w:p>
            <w:pPr>
              <w:spacing w:line="500" w:lineRule="atLeast"/>
              <w:jc w:val="center"/>
              <w:rPr>
                <w:rFonts w:hint="default" w:ascii="宋体" w:hAnsi="Times New Roman" w:eastAsia="宋体" w:cs="宋体"/>
                <w:color w:val="auto"/>
                <w:kern w:val="2"/>
                <w:sz w:val="24"/>
                <w:szCs w:val="24"/>
                <w:highlight w:val="none"/>
                <w:lang w:val="en-US" w:eastAsia="zh-CN" w:bidi="ar-SA"/>
              </w:rPr>
            </w:pPr>
            <w:r>
              <w:rPr>
                <w:rFonts w:hint="eastAsia" w:cs="宋体"/>
                <w:color w:val="auto"/>
                <w:kern w:val="2"/>
                <w:sz w:val="24"/>
                <w:szCs w:val="24"/>
                <w:highlight w:val="none"/>
                <w:lang w:val="en-US" w:eastAsia="zh-CN"/>
              </w:rPr>
              <w:t>合同履行期限（供货期限）</w:t>
            </w:r>
          </w:p>
        </w:tc>
        <w:tc>
          <w:tcPr>
            <w:tcW w:w="6540" w:type="dxa"/>
            <w:vAlign w:val="center"/>
          </w:tcPr>
          <w:p>
            <w:pPr>
              <w:spacing w:line="500" w:lineRule="atLeast"/>
              <w:jc w:val="left"/>
              <w:rPr>
                <w:rFonts w:hint="eastAsia" w:ascii="宋体" w:hAnsi="Times New Roman" w:eastAsia="宋体" w:cs="宋体"/>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04" w:hRule="atLeast"/>
          <w:jc w:val="center"/>
        </w:trPr>
        <w:tc>
          <w:tcPr>
            <w:tcW w:w="462" w:type="dxa"/>
            <w:vAlign w:val="center"/>
          </w:tcPr>
          <w:p>
            <w:pPr>
              <w:pStyle w:val="42"/>
              <w:widowControl w:val="0"/>
              <w:spacing w:before="0" w:beforeAutospacing="0" w:after="0" w:afterAutospacing="0"/>
              <w:jc w:val="center"/>
              <w:rPr>
                <w:rFonts w:hint="eastAsia" w:eastAsia="宋体" w:cs="宋体"/>
                <w:color w:val="auto"/>
                <w:kern w:val="2"/>
                <w:sz w:val="24"/>
                <w:szCs w:val="24"/>
                <w:highlight w:val="none"/>
                <w:lang w:val="en-US" w:eastAsia="zh-CN"/>
              </w:rPr>
            </w:pPr>
            <w:r>
              <w:rPr>
                <w:rFonts w:hint="eastAsia" w:cs="宋体"/>
                <w:color w:val="auto"/>
                <w:kern w:val="2"/>
                <w:sz w:val="24"/>
                <w:szCs w:val="24"/>
                <w:highlight w:val="none"/>
                <w:lang w:val="en-US" w:eastAsia="zh-CN"/>
              </w:rPr>
              <w:t>3</w:t>
            </w:r>
          </w:p>
        </w:tc>
        <w:tc>
          <w:tcPr>
            <w:tcW w:w="1731" w:type="dxa"/>
            <w:vAlign w:val="center"/>
          </w:tcPr>
          <w:p>
            <w:pPr>
              <w:pStyle w:val="42"/>
              <w:widowControl w:val="0"/>
              <w:spacing w:before="0" w:beforeAutospacing="0" w:after="0" w:afterAutospacing="0"/>
              <w:jc w:val="center"/>
              <w:rPr>
                <w:rFonts w:hint="default" w:cs="宋体"/>
                <w:color w:val="auto"/>
                <w:sz w:val="24"/>
                <w:szCs w:val="24"/>
                <w:highlight w:val="none"/>
                <w:lang w:val="en-US"/>
              </w:rPr>
            </w:pPr>
            <w:r>
              <w:rPr>
                <w:rFonts w:hint="eastAsia" w:hAnsi="Times New Roman" w:cs="宋体"/>
                <w:color w:val="auto"/>
                <w:kern w:val="2"/>
                <w:sz w:val="24"/>
                <w:szCs w:val="24"/>
                <w:highlight w:val="none"/>
                <w:lang w:eastAsia="zh-CN"/>
              </w:rPr>
              <w:t>质量</w:t>
            </w:r>
            <w:r>
              <w:rPr>
                <w:rFonts w:hint="eastAsia" w:cs="宋体"/>
                <w:color w:val="auto"/>
                <w:kern w:val="2"/>
                <w:sz w:val="24"/>
                <w:szCs w:val="24"/>
                <w:highlight w:val="none"/>
                <w:lang w:val="en-US" w:eastAsia="zh-CN"/>
              </w:rPr>
              <w:t>标准</w:t>
            </w:r>
          </w:p>
        </w:tc>
        <w:tc>
          <w:tcPr>
            <w:tcW w:w="6540" w:type="dxa"/>
            <w:vAlign w:val="center"/>
          </w:tcPr>
          <w:p>
            <w:pPr>
              <w:pStyle w:val="42"/>
              <w:widowControl w:val="0"/>
              <w:spacing w:before="0" w:beforeAutospacing="0" w:after="0" w:afterAutospacing="0"/>
              <w:jc w:val="both"/>
              <w:rPr>
                <w:rFonts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34" w:hRule="atLeast"/>
          <w:jc w:val="center"/>
        </w:trPr>
        <w:tc>
          <w:tcPr>
            <w:tcW w:w="462" w:type="dxa"/>
            <w:vAlign w:val="center"/>
          </w:tcPr>
          <w:p>
            <w:pPr>
              <w:pStyle w:val="42"/>
              <w:widowControl w:val="0"/>
              <w:spacing w:before="0" w:beforeAutospacing="0" w:after="0" w:afterAutospacing="0"/>
              <w:jc w:val="center"/>
              <w:rPr>
                <w:rFonts w:cs="宋体"/>
                <w:color w:val="auto"/>
                <w:kern w:val="2"/>
                <w:sz w:val="24"/>
                <w:szCs w:val="24"/>
                <w:highlight w:val="none"/>
              </w:rPr>
            </w:pPr>
            <w:r>
              <w:rPr>
                <w:rFonts w:cs="宋体"/>
                <w:color w:val="auto"/>
                <w:kern w:val="2"/>
                <w:sz w:val="24"/>
                <w:szCs w:val="24"/>
                <w:highlight w:val="none"/>
              </w:rPr>
              <w:t>4</w:t>
            </w:r>
          </w:p>
        </w:tc>
        <w:tc>
          <w:tcPr>
            <w:tcW w:w="1731" w:type="dxa"/>
            <w:vAlign w:val="center"/>
          </w:tcPr>
          <w:p>
            <w:pPr>
              <w:pStyle w:val="42"/>
              <w:widowControl w:val="0"/>
              <w:spacing w:before="0" w:beforeAutospacing="0" w:after="0" w:afterAutospacing="0"/>
              <w:jc w:val="center"/>
              <w:rPr>
                <w:rFonts w:hint="eastAsia" w:hAnsi="Times New Roman" w:cs="宋体"/>
                <w:color w:val="auto"/>
                <w:kern w:val="2"/>
                <w:sz w:val="24"/>
                <w:szCs w:val="24"/>
                <w:highlight w:val="none"/>
                <w:lang w:eastAsia="zh-CN"/>
              </w:rPr>
            </w:pPr>
            <w:r>
              <w:rPr>
                <w:rFonts w:hint="eastAsia" w:hAnsi="Times New Roman" w:cs="宋体"/>
                <w:color w:val="auto"/>
                <w:kern w:val="2"/>
                <w:sz w:val="24"/>
                <w:szCs w:val="24"/>
                <w:highlight w:val="none"/>
                <w:lang w:eastAsia="zh-CN"/>
              </w:rPr>
              <w:t>备注</w:t>
            </w:r>
          </w:p>
        </w:tc>
        <w:tc>
          <w:tcPr>
            <w:tcW w:w="6540" w:type="dxa"/>
            <w:vAlign w:val="center"/>
          </w:tcPr>
          <w:p>
            <w:pPr>
              <w:pStyle w:val="42"/>
              <w:widowControl w:val="0"/>
              <w:spacing w:before="0" w:beforeAutospacing="0" w:after="0" w:afterAutospacing="0"/>
              <w:jc w:val="both"/>
              <w:rPr>
                <w:rFonts w:cs="宋体"/>
                <w:color w:val="auto"/>
                <w:kern w:val="2"/>
                <w:sz w:val="24"/>
                <w:szCs w:val="24"/>
                <w:highlight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highlight w:val="none"/>
          <w:lang w:val="en-US" w:eastAsia="zh-CN"/>
        </w:rPr>
      </w:pPr>
      <w:r>
        <w:rPr>
          <w:rFonts w:hint="eastAsia"/>
          <w:b/>
          <w:bCs/>
          <w:color w:val="auto"/>
          <w:sz w:val="24"/>
          <w:szCs w:val="24"/>
          <w:highlight w:val="none"/>
          <w:lang w:eastAsia="zh-CN"/>
        </w:rPr>
        <w:t>注：</w:t>
      </w:r>
      <w:r>
        <w:rPr>
          <w:rFonts w:hint="eastAsia"/>
          <w:b/>
          <w:bCs/>
          <w:color w:val="auto"/>
          <w:sz w:val="24"/>
          <w:szCs w:val="24"/>
          <w:highlight w:val="none"/>
          <w:lang w:val="en-US" w:eastAsia="zh-CN"/>
        </w:rPr>
        <w:t>供应商以固定下浮率进行报价，下浮率必须≥1%，否则投标无效，例如：1%、1.5%、2%、5%……等等为有效报价。</w:t>
      </w:r>
    </w:p>
    <w:p>
      <w:pPr>
        <w:pStyle w:val="25"/>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宋体" w:hAnsi="宋体" w:eastAsia="宋体" w:cs="宋体"/>
          <w:b/>
          <w:bCs/>
          <w:color w:val="auto"/>
          <w:kern w:val="2"/>
          <w:sz w:val="24"/>
          <w:szCs w:val="24"/>
          <w:highlight w:val="none"/>
          <w:lang w:val="en-US" w:eastAsia="zh-CN" w:bidi="ar-SA"/>
        </w:rPr>
      </w:pPr>
    </w:p>
    <w:p>
      <w:pPr>
        <w:jc w:val="center"/>
        <w:rPr>
          <w:rFonts w:hint="eastAsia" w:asciiTheme="minorEastAsia" w:hAnsiTheme="minorEastAsia" w:eastAsiaTheme="minorEastAsia" w:cstheme="minorEastAsia"/>
          <w:b/>
          <w:color w:val="auto"/>
          <w:kern w:val="0"/>
          <w:sz w:val="44"/>
          <w:szCs w:val="44"/>
          <w:highlight w:val="none"/>
          <w:lang w:eastAsia="zh-CN"/>
        </w:rPr>
      </w:pP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color w:val="auto"/>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color w:val="auto"/>
          <w:sz w:val="24"/>
          <w:szCs w:val="24"/>
          <w:highlight w:val="none"/>
          <w:u w:val="single"/>
        </w:rPr>
      </w:pPr>
      <w:bookmarkStart w:id="421" w:name="OLE_LINK26"/>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eastAsia="zh-CN"/>
        </w:rPr>
        <w:t>盖电子公章</w:t>
      </w:r>
      <w:r>
        <w:rPr>
          <w:rFonts w:hint="eastAsia" w:asciiTheme="minorEastAsia" w:hAnsiTheme="minorEastAsia" w:eastAsiaTheme="minorEastAsia" w:cstheme="minorEastAsia"/>
          <w:color w:val="auto"/>
          <w:sz w:val="24"/>
          <w:szCs w:val="24"/>
          <w:highlight w:val="none"/>
          <w:u w:val="single"/>
        </w:rPr>
        <w:t>）</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（签字或</w:t>
      </w:r>
      <w:r>
        <w:rPr>
          <w:rFonts w:hint="eastAsia" w:asciiTheme="minorEastAsia" w:hAnsiTheme="minorEastAsia" w:eastAsiaTheme="minorEastAsia" w:cstheme="minorEastAsia"/>
          <w:color w:val="auto"/>
          <w:sz w:val="24"/>
          <w:szCs w:val="24"/>
          <w:highlight w:val="none"/>
          <w:u w:val="single"/>
          <w:lang w:eastAsia="zh-CN"/>
        </w:rPr>
        <w:t>电子</w:t>
      </w:r>
      <w:r>
        <w:rPr>
          <w:rFonts w:hint="eastAsia" w:asciiTheme="minorEastAsia" w:hAnsiTheme="minorEastAsia" w:eastAsiaTheme="minorEastAsia" w:cstheme="minorEastAsia"/>
          <w:color w:val="auto"/>
          <w:sz w:val="24"/>
          <w:szCs w:val="24"/>
          <w:highlight w:val="none"/>
          <w:u w:val="single"/>
        </w:rPr>
        <w:t>章）</w:t>
      </w:r>
      <w:r>
        <w:rPr>
          <w:rFonts w:hint="eastAsia" w:asciiTheme="minorEastAsia" w:hAnsiTheme="minorEastAsia" w:eastAsiaTheme="minorEastAsia" w:cstheme="minorEastAsia"/>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b/>
          <w:color w:val="auto"/>
          <w:kern w:val="0"/>
          <w:sz w:val="44"/>
          <w:szCs w:val="44"/>
          <w:highlight w:val="none"/>
          <w:lang w:eastAsia="zh-CN"/>
        </w:rPr>
      </w:pPr>
      <w:r>
        <w:rPr>
          <w:rFonts w:hint="eastAsia" w:asciiTheme="minorEastAsia" w:hAnsiTheme="minorEastAsia" w:eastAsiaTheme="minorEastAsia" w:cstheme="minorEastAsia"/>
          <w:color w:val="auto"/>
          <w:sz w:val="24"/>
          <w:szCs w:val="24"/>
          <w:highlight w:val="none"/>
          <w:lang w:eastAsia="zh-CN"/>
        </w:rPr>
        <w:t>日期：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21"/>
    <w:p>
      <w:pPr>
        <w:jc w:val="center"/>
        <w:rPr>
          <w:rFonts w:hint="eastAsia" w:asciiTheme="minorEastAsia" w:hAnsiTheme="minorEastAsia" w:eastAsiaTheme="minorEastAsia" w:cstheme="minorEastAsia"/>
          <w:b/>
          <w:color w:val="auto"/>
          <w:kern w:val="0"/>
          <w:sz w:val="44"/>
          <w:szCs w:val="44"/>
          <w:highlight w:val="none"/>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right="0"/>
        <w:jc w:val="both"/>
        <w:textAlignment w:val="auto"/>
        <w:rPr>
          <w:rFonts w:hint="eastAsia" w:asciiTheme="minorEastAsia" w:hAnsiTheme="minorEastAsia" w:eastAsiaTheme="minorEastAsia" w:cstheme="minorEastAsia"/>
          <w:b/>
          <w:bCs w:val="0"/>
          <w:color w:val="auto"/>
          <w:kern w:val="2"/>
          <w:sz w:val="32"/>
          <w:szCs w:val="32"/>
          <w:highlight w:val="none"/>
          <w:lang w:val="en-US" w:eastAsia="zh-CN" w:bidi="ar"/>
        </w:rPr>
      </w:pPr>
    </w:p>
    <w:bookmarkEnd w:id="415"/>
    <w:bookmarkEnd w:id="416"/>
    <w:bookmarkEnd w:id="417"/>
    <w:p>
      <w:pPr>
        <w:numPr>
          <w:ilvl w:val="0"/>
          <w:numId w:val="0"/>
        </w:numPr>
        <w:spacing w:line="360" w:lineRule="auto"/>
        <w:ind w:left="0" w:leftChars="0" w:firstLine="490" w:firstLineChars="175"/>
        <w:jc w:val="left"/>
        <w:outlineLvl w:val="9"/>
        <w:rPr>
          <w:rFonts w:hint="eastAsia" w:ascii="宋体" w:hAnsi="宋体" w:eastAsia="宋体" w:cs="宋体"/>
          <w:color w:val="auto"/>
          <w:sz w:val="24"/>
          <w:highlight w:val="none"/>
        </w:rPr>
      </w:pPr>
      <w:r>
        <w:rPr>
          <w:rFonts w:hint="eastAsia" w:ascii="宋体" w:hAnsi="宋体" w:eastAsia="宋体" w:cs="宋体"/>
          <w:b w:val="0"/>
          <w:bCs w:val="0"/>
          <w:color w:val="auto"/>
          <w:sz w:val="28"/>
          <w:szCs w:val="28"/>
          <w:highlight w:val="none"/>
        </w:rPr>
        <w:t>附件1：</w:t>
      </w:r>
    </w:p>
    <w:p>
      <w:pPr>
        <w:tabs>
          <w:tab w:val="left" w:pos="4860"/>
        </w:tabs>
        <w:spacing w:line="588" w:lineRule="exact"/>
        <w:ind w:left="0" w:leftChars="0" w:right="106" w:rightChars="0" w:firstLine="0" w:firstLineChars="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 </w:t>
      </w:r>
      <w:r>
        <w:rPr>
          <w:rFonts w:hint="eastAsia" w:ascii="宋体" w:hAnsi="宋体" w:eastAsia="宋体" w:cs="宋体"/>
          <w:b/>
          <w:bCs w:val="0"/>
          <w:color w:val="auto"/>
          <w:sz w:val="28"/>
          <w:szCs w:val="28"/>
          <w:highlight w:val="none"/>
        </w:rPr>
        <w:t>中小企业声明函（货物）</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720" w:firstLineChars="3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本公司郑重声明，根据《政府采购促进中小企业发展管理办法》（财库﹝2020﹞46 号）的规定，本公司参加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（单位名称）的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标段</w:t>
      </w:r>
      <w:r>
        <w:rPr>
          <w:rFonts w:hint="eastAsia" w:ascii="宋体" w:hAnsi="宋体" w:eastAsia="宋体" w:cs="宋体"/>
          <w:bCs/>
          <w:color w:val="auto"/>
          <w:sz w:val="24"/>
          <w:highlight w:val="none"/>
        </w:rPr>
        <w:t>名称）采购活动，提供的货物全部由符合政策要求的中小企业制造。相关企业的具体情况如下：</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（标的名称） ，属于</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招标文件</w:t>
      </w:r>
      <w:r>
        <w:rPr>
          <w:rFonts w:hint="eastAsia" w:ascii="宋体" w:hAnsi="宋体" w:eastAsia="宋体" w:cs="宋体"/>
          <w:bCs/>
          <w:color w:val="auto"/>
          <w:sz w:val="24"/>
          <w:highlight w:val="none"/>
          <w:u w:val="single"/>
        </w:rPr>
        <w:t>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 xml:space="preserve">            （企业名称）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（中型企业、小型企业、微型企业）；</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（标的名称） ，属于</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招标文件</w:t>
      </w:r>
      <w:r>
        <w:rPr>
          <w:rFonts w:hint="eastAsia" w:ascii="宋体" w:hAnsi="宋体" w:eastAsia="宋体" w:cs="宋体"/>
          <w:bCs/>
          <w:color w:val="auto"/>
          <w:sz w:val="24"/>
          <w:highlight w:val="none"/>
          <w:u w:val="single"/>
        </w:rPr>
        <w:t>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 xml:space="preserve">            （企业名称）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（中型企业、小型企业、微型企业）；</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                </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color w:val="auto"/>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color w:val="auto"/>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eastAsia="zh-CN"/>
        </w:rPr>
        <w:t>盖电子公章</w:t>
      </w:r>
      <w:r>
        <w:rPr>
          <w:rFonts w:hint="eastAsia" w:asciiTheme="minorEastAsia" w:hAnsiTheme="minorEastAsia" w:eastAsiaTheme="minorEastAsia" w:cstheme="minorEastAsia"/>
          <w:color w:val="auto"/>
          <w:sz w:val="24"/>
          <w:szCs w:val="24"/>
          <w:highlight w:val="none"/>
          <w:u w:val="single"/>
        </w:rPr>
        <w:t>）</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（签字或</w:t>
      </w:r>
      <w:r>
        <w:rPr>
          <w:rFonts w:hint="eastAsia" w:asciiTheme="minorEastAsia" w:hAnsiTheme="minorEastAsia" w:eastAsiaTheme="minorEastAsia" w:cstheme="minorEastAsia"/>
          <w:color w:val="auto"/>
          <w:sz w:val="24"/>
          <w:szCs w:val="24"/>
          <w:highlight w:val="none"/>
          <w:u w:val="single"/>
          <w:lang w:eastAsia="zh-CN"/>
        </w:rPr>
        <w:t>电子</w:t>
      </w:r>
      <w:r>
        <w:rPr>
          <w:rFonts w:hint="eastAsia" w:asciiTheme="minorEastAsia" w:hAnsiTheme="minorEastAsia" w:eastAsiaTheme="minorEastAsia" w:cstheme="minorEastAsia"/>
          <w:color w:val="auto"/>
          <w:sz w:val="24"/>
          <w:szCs w:val="24"/>
          <w:highlight w:val="none"/>
          <w:u w:val="single"/>
        </w:rPr>
        <w:t>章）</w:t>
      </w:r>
      <w:r>
        <w:rPr>
          <w:rFonts w:hint="eastAsia" w:asciiTheme="minorEastAsia" w:hAnsiTheme="minorEastAsia" w:eastAsiaTheme="minorEastAsia" w:cstheme="minorEastAsia"/>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b/>
          <w:color w:val="auto"/>
          <w:kern w:val="0"/>
          <w:sz w:val="44"/>
          <w:szCs w:val="44"/>
          <w:highlight w:val="none"/>
          <w:lang w:eastAsia="zh-CN"/>
        </w:rPr>
      </w:pPr>
      <w:r>
        <w:rPr>
          <w:rFonts w:hint="eastAsia" w:asciiTheme="minorEastAsia" w:hAnsiTheme="minorEastAsia" w:eastAsiaTheme="minorEastAsia" w:cstheme="minorEastAsia"/>
          <w:color w:val="auto"/>
          <w:sz w:val="24"/>
          <w:szCs w:val="24"/>
          <w:highlight w:val="none"/>
          <w:lang w:eastAsia="zh-CN"/>
        </w:rPr>
        <w:t>日期：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firstLine="240" w:firstLineChars="100"/>
        <w:jc w:val="left"/>
        <w:textAlignment w:val="auto"/>
        <w:rPr>
          <w:rFonts w:hint="eastAsia" w:ascii="宋体" w:hAnsi="宋体" w:eastAsia="宋体" w:cs="宋体"/>
          <w:bCs/>
          <w:color w:val="auto"/>
          <w:sz w:val="24"/>
          <w:highlight w:val="none"/>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color w:val="auto"/>
          <w:sz w:val="24"/>
          <w:highlight w:val="none"/>
        </w:rPr>
      </w:pP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上表中从业人员、营业收入、资产总额填报上一年度数据，无上一年度数据的新成立企业可不填报。</w:t>
      </w:r>
    </w:p>
    <w:p>
      <w:pPr>
        <w:pStyle w:val="25"/>
        <w:spacing w:line="500" w:lineRule="exact"/>
        <w:ind w:firstLine="280" w:firstLineChars="100"/>
        <w:jc w:val="left"/>
        <w:rPr>
          <w:rFonts w:hint="eastAsia" w:ascii="宋体" w:hAnsi="宋体" w:eastAsia="宋体" w:cs="宋体"/>
          <w:color w:val="auto"/>
          <w:sz w:val="28"/>
          <w:szCs w:val="28"/>
          <w:highlight w:val="none"/>
        </w:rPr>
      </w:pPr>
    </w:p>
    <w:p>
      <w:pPr>
        <w:pStyle w:val="25"/>
        <w:spacing w:line="500" w:lineRule="exact"/>
        <w:ind w:firstLine="280" w:firstLineChars="100"/>
        <w:jc w:val="lef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附件2</w:t>
      </w:r>
      <w:r>
        <w:rPr>
          <w:rFonts w:hint="eastAsia" w:ascii="宋体" w:hAnsi="宋体" w:eastAsia="宋体" w:cs="宋体"/>
          <w:b/>
          <w:color w:val="auto"/>
          <w:sz w:val="28"/>
          <w:szCs w:val="28"/>
          <w:highlight w:val="none"/>
        </w:rPr>
        <w:t>：</w:t>
      </w:r>
    </w:p>
    <w:p>
      <w:pPr>
        <w:pStyle w:val="5"/>
        <w:numPr>
          <w:ilvl w:val="0"/>
          <w:numId w:val="0"/>
        </w:numPr>
        <w:ind w:left="1023" w:leftChars="0" w:hanging="1023" w:hangingChars="307"/>
        <w:jc w:val="center"/>
        <w:rPr>
          <w:rFonts w:hint="eastAsia" w:ascii="宋体" w:hAnsi="宋体" w:eastAsia="宋体" w:cs="宋体"/>
          <w:color w:val="auto"/>
          <w:spacing w:val="6"/>
          <w:sz w:val="30"/>
          <w:szCs w:val="30"/>
          <w:highlight w:val="none"/>
        </w:rPr>
      </w:pPr>
      <w:r>
        <w:rPr>
          <w:rFonts w:hint="eastAsia" w:ascii="宋体" w:hAnsi="宋体" w:eastAsia="宋体" w:cs="宋体"/>
          <w:b/>
          <w:bCs/>
          <w:color w:val="auto"/>
          <w:spacing w:val="6"/>
          <w:sz w:val="32"/>
          <w:szCs w:val="32"/>
          <w:highlight w:val="none"/>
        </w:rPr>
        <w:t>残疾人福利性单位声明函</w:t>
      </w:r>
    </w:p>
    <w:p>
      <w:pPr>
        <w:keepNext w:val="0"/>
        <w:keepLines w:val="0"/>
        <w:pageBreakBefore w:val="0"/>
        <w:widowControl w:val="0"/>
        <w:kinsoku/>
        <w:wordWrap/>
        <w:overflowPunct/>
        <w:topLinePunct w:val="0"/>
        <w:autoSpaceDE/>
        <w:autoSpaceDN/>
        <w:bidi w:val="0"/>
        <w:adjustRightInd/>
        <w:snapToGrid/>
        <w:spacing w:line="520" w:lineRule="exact"/>
        <w:ind w:firstLine="504" w:firstLineChars="200"/>
        <w:textAlignment w:val="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autoSpaceDN/>
        <w:bidi w:val="0"/>
        <w:adjustRightInd/>
        <w:snapToGrid/>
        <w:spacing w:line="520" w:lineRule="exact"/>
        <w:ind w:firstLine="504" w:firstLineChars="200"/>
        <w:textAlignment w:val="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本单位对上述声明的真实性负责。如有虚假，将依法承担相应责任。</w:t>
      </w:r>
    </w:p>
    <w:p>
      <w:pPr>
        <w:spacing w:line="360" w:lineRule="auto"/>
        <w:ind w:firstLine="504" w:firstLineChars="200"/>
        <w:rPr>
          <w:rFonts w:hint="eastAsia" w:ascii="宋体" w:hAnsi="宋体" w:eastAsia="宋体" w:cs="宋体"/>
          <w:color w:val="auto"/>
          <w:spacing w:val="6"/>
          <w:sz w:val="24"/>
          <w:highlight w:val="none"/>
        </w:rPr>
      </w:pPr>
    </w:p>
    <w:p>
      <w:pPr>
        <w:keepNext w:val="0"/>
        <w:keepLines w:val="0"/>
        <w:pageBreakBefore w:val="0"/>
        <w:widowControl w:val="0"/>
        <w:tabs>
          <w:tab w:val="left" w:pos="4860"/>
        </w:tabs>
        <w:kinsoku/>
        <w:wordWrap/>
        <w:overflowPunct/>
        <w:topLinePunct w:val="0"/>
        <w:autoSpaceDE/>
        <w:autoSpaceDN/>
        <w:bidi w:val="0"/>
        <w:adjustRightInd/>
        <w:snapToGrid/>
        <w:spacing w:line="360" w:lineRule="exact"/>
        <w:ind w:right="1560" w:firstLine="240" w:firstLineChars="100"/>
        <w:jc w:val="both"/>
        <w:textAlignment w:val="auto"/>
        <w:rPr>
          <w:rFonts w:hint="eastAsia" w:ascii="宋体" w:hAnsi="宋体" w:eastAsia="宋体" w:cs="宋体"/>
          <w:color w:val="auto"/>
          <w:kern w:val="2"/>
          <w:sz w:val="24"/>
          <w:szCs w:val="24"/>
          <w:highlight w:val="none"/>
          <w:lang w:val="en-US" w:eastAsia="zh-CN" w:bidi="ar"/>
        </w:rPr>
      </w:pP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color w:val="auto"/>
          <w:sz w:val="24"/>
          <w:szCs w:val="24"/>
          <w:highlight w:val="none"/>
          <w:u w:val="single"/>
        </w:rPr>
      </w:pPr>
      <w:bookmarkStart w:id="422" w:name="OLE_LINK28"/>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eastAsia="zh-CN"/>
        </w:rPr>
        <w:t>盖电子公章</w:t>
      </w:r>
      <w:r>
        <w:rPr>
          <w:rFonts w:hint="eastAsia" w:asciiTheme="minorEastAsia" w:hAnsiTheme="minorEastAsia" w:eastAsiaTheme="minorEastAsia" w:cstheme="minorEastAsia"/>
          <w:color w:val="auto"/>
          <w:sz w:val="24"/>
          <w:szCs w:val="24"/>
          <w:highlight w:val="none"/>
          <w:u w:val="single"/>
        </w:rPr>
        <w:t>）</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（签字或</w:t>
      </w:r>
      <w:r>
        <w:rPr>
          <w:rFonts w:hint="eastAsia" w:asciiTheme="minorEastAsia" w:hAnsiTheme="minorEastAsia" w:eastAsiaTheme="minorEastAsia" w:cstheme="minorEastAsia"/>
          <w:color w:val="auto"/>
          <w:sz w:val="24"/>
          <w:szCs w:val="24"/>
          <w:highlight w:val="none"/>
          <w:u w:val="single"/>
          <w:lang w:eastAsia="zh-CN"/>
        </w:rPr>
        <w:t>电子</w:t>
      </w:r>
      <w:r>
        <w:rPr>
          <w:rFonts w:hint="eastAsia" w:asciiTheme="minorEastAsia" w:hAnsiTheme="minorEastAsia" w:eastAsiaTheme="minorEastAsia" w:cstheme="minorEastAsia"/>
          <w:color w:val="auto"/>
          <w:sz w:val="24"/>
          <w:szCs w:val="24"/>
          <w:highlight w:val="none"/>
          <w:u w:val="single"/>
        </w:rPr>
        <w:t>章）</w:t>
      </w:r>
      <w:r>
        <w:rPr>
          <w:rFonts w:hint="eastAsia" w:asciiTheme="minorEastAsia" w:hAnsiTheme="minorEastAsia" w:eastAsiaTheme="minorEastAsia" w:cstheme="minorEastAsia"/>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740" w:lineRule="exact"/>
        <w:ind w:left="0" w:leftChars="0" w:firstLine="420" w:firstLineChars="175"/>
        <w:jc w:val="left"/>
        <w:textAlignment w:val="auto"/>
        <w:rPr>
          <w:rFonts w:hint="eastAsia" w:asciiTheme="minorEastAsia" w:hAnsiTheme="minorEastAsia" w:eastAsiaTheme="minorEastAsia" w:cstheme="minorEastAsia"/>
          <w:b/>
          <w:color w:val="auto"/>
          <w:kern w:val="0"/>
          <w:sz w:val="44"/>
          <w:szCs w:val="44"/>
          <w:highlight w:val="none"/>
          <w:lang w:eastAsia="zh-CN"/>
        </w:rPr>
      </w:pPr>
      <w:r>
        <w:rPr>
          <w:rFonts w:hint="eastAsia" w:asciiTheme="minorEastAsia" w:hAnsiTheme="minorEastAsia" w:eastAsiaTheme="minorEastAsia" w:cstheme="minorEastAsia"/>
          <w:color w:val="auto"/>
          <w:sz w:val="24"/>
          <w:szCs w:val="24"/>
          <w:highlight w:val="none"/>
          <w:lang w:eastAsia="zh-CN"/>
        </w:rPr>
        <w:t>日期：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tabs>
          <w:tab w:val="left" w:pos="4860"/>
        </w:tabs>
        <w:spacing w:line="360" w:lineRule="auto"/>
        <w:ind w:right="1560" w:firstLine="504" w:firstLineChars="200"/>
        <w:jc w:val="center"/>
        <w:rPr>
          <w:rFonts w:hint="eastAsia" w:ascii="宋体" w:hAnsi="宋体" w:eastAsia="宋体" w:cs="宋体"/>
          <w:color w:val="auto"/>
          <w:spacing w:val="6"/>
          <w:sz w:val="24"/>
          <w:highlight w:val="none"/>
        </w:rPr>
      </w:pPr>
    </w:p>
    <w:bookmarkEnd w:id="422"/>
    <w:p>
      <w:pPr>
        <w:spacing w:line="588" w:lineRule="exact"/>
        <w:rPr>
          <w:rFonts w:hint="eastAsia" w:ascii="宋体" w:hAnsi="宋体" w:eastAsia="宋体" w:cs="宋体"/>
          <w:color w:val="auto"/>
          <w:highlight w:val="none"/>
        </w:rPr>
      </w:pPr>
    </w:p>
    <w:p>
      <w:pPr>
        <w:spacing w:line="588" w:lineRule="exact"/>
        <w:rPr>
          <w:rFonts w:hint="eastAsia" w:ascii="宋体" w:hAnsi="宋体" w:eastAsia="宋体" w:cs="宋体"/>
          <w:color w:val="auto"/>
          <w:highlight w:val="none"/>
        </w:rPr>
      </w:pPr>
    </w:p>
    <w:p>
      <w:pPr>
        <w:spacing w:line="588"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注：中标单位为残疾人福利性单位的，其《残疾人福利性单位声明函》将随中标结果同时公告，接受社会监督。</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提供的《残疾人福利性单位声明函》与事实不符的，依照《政府采购法》第七十七条第一款的规定追究法律责任。</w:t>
      </w:r>
    </w:p>
    <w:p>
      <w:pPr>
        <w:widowControl/>
        <w:rPr>
          <w:rFonts w:hint="eastAsia" w:ascii="宋体" w:hAnsi="宋体" w:eastAsia="宋体" w:cs="宋体"/>
          <w:b/>
          <w:color w:val="auto"/>
          <w:sz w:val="28"/>
          <w:szCs w:val="28"/>
          <w:highlight w:val="none"/>
        </w:rPr>
      </w:pPr>
      <w:r>
        <w:rPr>
          <w:rFonts w:hint="eastAsia" w:ascii="宋体" w:hAnsi="宋体" w:eastAsia="宋体" w:cs="宋体"/>
          <w:b/>
          <w:color w:val="auto"/>
          <w:sz w:val="24"/>
          <w:highlight w:val="none"/>
        </w:rPr>
        <w:br w:type="page"/>
      </w:r>
      <w:r>
        <w:rPr>
          <w:rFonts w:hint="eastAsia" w:ascii="宋体" w:hAnsi="宋体" w:eastAsia="宋体" w:cs="宋体"/>
          <w:color w:val="auto"/>
          <w:sz w:val="28"/>
          <w:szCs w:val="28"/>
          <w:highlight w:val="none"/>
        </w:rPr>
        <w:t>附件3</w:t>
      </w:r>
      <w:r>
        <w:rPr>
          <w:rFonts w:hint="eastAsia" w:ascii="宋体" w:hAnsi="宋体" w:eastAsia="宋体" w:cs="宋体"/>
          <w:b/>
          <w:color w:val="auto"/>
          <w:sz w:val="28"/>
          <w:szCs w:val="28"/>
          <w:highlight w:val="none"/>
        </w:rPr>
        <w:t>：</w:t>
      </w:r>
    </w:p>
    <w:p>
      <w:pPr>
        <w:pStyle w:val="5"/>
        <w:numPr>
          <w:ilvl w:val="0"/>
          <w:numId w:val="0"/>
        </w:numPr>
        <w:ind w:left="1169" w:leftChars="0" w:hanging="1169" w:hangingChars="364"/>
        <w:jc w:val="center"/>
        <w:rPr>
          <w:rFonts w:hint="eastAsia" w:ascii="宋体" w:hAnsi="宋体" w:eastAsia="宋体" w:cs="宋体"/>
          <w:b/>
          <w:bCs/>
          <w:color w:val="auto"/>
          <w:spacing w:val="6"/>
          <w:sz w:val="32"/>
          <w:szCs w:val="32"/>
          <w:highlight w:val="none"/>
        </w:rPr>
      </w:pPr>
      <w:r>
        <w:rPr>
          <w:rFonts w:hint="eastAsia" w:ascii="宋体" w:hAnsi="宋体" w:eastAsia="宋体" w:cs="宋体"/>
          <w:b/>
          <w:bCs/>
          <w:color w:val="auto"/>
          <w:sz w:val="32"/>
          <w:szCs w:val="32"/>
          <w:highlight w:val="none"/>
        </w:rPr>
        <w:t>监狱企业证明文件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2"/>
        <w:keepNext w:val="0"/>
        <w:keepLines w:val="0"/>
        <w:pageBreakBefore w:val="0"/>
        <w:widowControl w:val="0"/>
        <w:kinsoku/>
        <w:wordWrap/>
        <w:overflowPunct/>
        <w:topLinePunct w:val="0"/>
        <w:autoSpaceDE/>
        <w:autoSpaceDN/>
        <w:bidi w:val="0"/>
        <w:adjustRightInd/>
        <w:snapToGrid/>
        <w:spacing w:line="520" w:lineRule="exact"/>
        <w:ind w:left="0" w:leftChars="0" w:right="86" w:rightChars="0" w:firstLine="240" w:firstLineChars="100"/>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监狱企业参加政府采购活动时，应当提供由省级以上监狱管理局、戒毒管理局（含新疆生产建设兵团）出具的属于监狱企业的证明文件。</w:t>
      </w:r>
    </w:p>
    <w:p>
      <w:pPr>
        <w:pStyle w:val="5"/>
        <w:numPr>
          <w:ilvl w:val="2"/>
          <w:numId w:val="0"/>
        </w:numPr>
        <w:rPr>
          <w:rFonts w:hint="eastAsia" w:ascii="宋体" w:hAnsi="宋体" w:eastAsia="宋体" w:cs="宋体"/>
          <w:color w:val="auto"/>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jc w:val="center"/>
        <w:rPr>
          <w:rFonts w:hint="eastAsia" w:ascii="黑体" w:hAnsi="黑体" w:eastAsia="黑体"/>
          <w:b/>
          <w:color w:val="auto"/>
          <w:sz w:val="36"/>
          <w:szCs w:val="36"/>
          <w:highlight w:val="none"/>
        </w:rPr>
      </w:pPr>
    </w:p>
    <w:p>
      <w:pPr>
        <w:pStyle w:val="2"/>
        <w:numPr>
          <w:ilvl w:val="3"/>
          <w:numId w:val="0"/>
        </w:numPr>
        <w:ind w:left="1440" w:leftChars="0"/>
        <w:rPr>
          <w:rFonts w:hint="eastAsia"/>
          <w:highlight w:val="none"/>
        </w:rPr>
      </w:pPr>
    </w:p>
    <w:p>
      <w:pPr>
        <w:jc w:val="center"/>
        <w:rPr>
          <w:rFonts w:hint="eastAsia" w:ascii="黑体" w:hAnsi="黑体" w:eastAsia="黑体"/>
          <w:b/>
          <w:color w:val="auto"/>
          <w:sz w:val="36"/>
          <w:szCs w:val="36"/>
          <w:highlight w:val="none"/>
        </w:rPr>
      </w:pPr>
    </w:p>
    <w:p>
      <w:pPr>
        <w:pStyle w:val="18"/>
        <w:rPr>
          <w:rFonts w:hint="eastAsia" w:ascii="黑体" w:hAnsi="黑体" w:eastAsia="黑体"/>
          <w:b/>
          <w:color w:val="auto"/>
          <w:sz w:val="36"/>
          <w:szCs w:val="36"/>
          <w:highlight w:val="none"/>
        </w:rPr>
      </w:pPr>
    </w:p>
    <w:p>
      <w:pPr>
        <w:pStyle w:val="138"/>
        <w:keepNext w:val="0"/>
        <w:keepLines w:val="0"/>
        <w:pageBreakBefore w:val="0"/>
        <w:widowControl w:val="0"/>
        <w:numPr>
          <w:ilvl w:val="0"/>
          <w:numId w:val="0"/>
        </w:numPr>
        <w:kinsoku/>
        <w:wordWrap/>
        <w:overflowPunct/>
        <w:topLinePunct w:val="0"/>
        <w:autoSpaceDE/>
        <w:autoSpaceDN/>
        <w:bidi w:val="0"/>
        <w:adjustRightInd/>
        <w:snapToGrid/>
        <w:spacing w:line="900" w:lineRule="exact"/>
        <w:ind w:leftChars="0"/>
        <w:jc w:val="center"/>
        <w:textAlignment w:val="auto"/>
        <w:rPr>
          <w:rFonts w:hint="eastAsia" w:asciiTheme="minorEastAsia" w:hAnsiTheme="minorEastAsia" w:eastAsiaTheme="minorEastAsia" w:cstheme="minorEastAsia"/>
          <w:b/>
          <w:bCs/>
          <w:color w:val="auto"/>
          <w:kern w:val="0"/>
          <w:sz w:val="32"/>
          <w:szCs w:val="32"/>
          <w:highlight w:val="none"/>
          <w:lang w:val="en-US" w:eastAsia="zh-CN" w:bidi="ar-SA"/>
        </w:rPr>
      </w:pPr>
      <w:r>
        <w:rPr>
          <w:rFonts w:hint="eastAsia" w:asciiTheme="minorEastAsia" w:hAnsiTheme="minorEastAsia" w:eastAsiaTheme="minorEastAsia" w:cstheme="minorEastAsia"/>
          <w:b/>
          <w:bCs/>
          <w:color w:val="auto"/>
          <w:kern w:val="0"/>
          <w:sz w:val="32"/>
          <w:szCs w:val="32"/>
          <w:highlight w:val="none"/>
          <w:lang w:val="en-US" w:eastAsia="zh-CN" w:bidi="ar-SA"/>
        </w:rPr>
        <w:t>三、其他部分</w:t>
      </w:r>
    </w:p>
    <w:p>
      <w:pPr>
        <w:jc w:val="center"/>
        <w:rPr>
          <w:rFonts w:hint="eastAsia" w:ascii="黑体" w:hAnsi="黑体" w:eastAsia="黑体"/>
          <w:b/>
          <w:color w:val="auto"/>
          <w:sz w:val="36"/>
          <w:szCs w:val="36"/>
          <w:highlight w:val="none"/>
        </w:rPr>
      </w:pPr>
      <w:r>
        <w:rPr>
          <w:rFonts w:hint="eastAsia" w:asciiTheme="minorEastAsia" w:hAnsiTheme="minorEastAsia" w:eastAsiaTheme="minorEastAsia" w:cstheme="minorEastAsia"/>
          <w:b/>
          <w:bCs/>
          <w:color w:val="auto"/>
          <w:kern w:val="0"/>
          <w:sz w:val="32"/>
          <w:szCs w:val="32"/>
          <w:highlight w:val="none"/>
          <w:lang w:val="en-US" w:eastAsia="zh-CN" w:bidi="ar-SA"/>
        </w:rPr>
        <w:t>（招标文件要求或供应商认为需要的其他资料）</w:t>
      </w: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rPr>
          <w:rFonts w:hint="eastAsia"/>
          <w:highlight w:val="none"/>
        </w:rPr>
      </w:pPr>
    </w:p>
    <w:p>
      <w:pPr>
        <w:pStyle w:val="18"/>
        <w:rPr>
          <w:rFonts w:hint="eastAsia"/>
          <w:highlight w:val="none"/>
        </w:rPr>
      </w:pPr>
    </w:p>
    <w:p>
      <w:pPr>
        <w:jc w:val="center"/>
        <w:rPr>
          <w:rFonts w:hint="default" w:asciiTheme="minorEastAsia" w:hAnsiTheme="minorEastAsia" w:eastAsiaTheme="minorEastAsia" w:cstheme="minorEastAsia"/>
          <w:b/>
          <w:color w:val="auto"/>
          <w:sz w:val="44"/>
          <w:szCs w:val="44"/>
          <w:highlight w:val="none"/>
          <w:lang w:val="en-US" w:eastAsia="zh-CN"/>
        </w:rPr>
      </w:pPr>
      <w:bookmarkStart w:id="423" w:name="_Toc90042127"/>
      <w:bookmarkStart w:id="424" w:name="_Toc97580394"/>
      <w:bookmarkStart w:id="425" w:name="_Toc90069654"/>
      <w:r>
        <w:rPr>
          <w:rFonts w:hint="eastAsia" w:asciiTheme="minorEastAsia" w:hAnsiTheme="minorEastAsia" w:eastAsiaTheme="minorEastAsia" w:cstheme="minorEastAsia"/>
          <w:b/>
          <w:color w:val="auto"/>
          <w:sz w:val="44"/>
          <w:szCs w:val="44"/>
          <w:highlight w:val="none"/>
          <w:lang w:val="en-US" w:eastAsia="zh-CN"/>
        </w:rPr>
        <w:t>商务、技术部分封面</w:t>
      </w:r>
    </w:p>
    <w:p>
      <w:pPr>
        <w:keepNext w:val="0"/>
        <w:keepLines w:val="0"/>
        <w:widowControl w:val="0"/>
        <w:numPr>
          <w:ilvl w:val="0"/>
          <w:numId w:val="0"/>
        </w:numPr>
        <w:suppressLineNumbers w:val="0"/>
        <w:spacing w:before="0" w:beforeAutospacing="0" w:after="0" w:afterAutospacing="0" w:line="480" w:lineRule="auto"/>
        <w:ind w:left="10" w:leftChars="0" w:right="0" w:rightChars="0" w:hanging="10" w:firstLineChars="0"/>
        <w:jc w:val="center"/>
        <w:rPr>
          <w:rFonts w:hint="eastAsia" w:ascii="仿宋" w:hAnsi="仿宋" w:eastAsia="仿宋" w:cs="仿宋"/>
          <w:b/>
          <w:color w:val="auto"/>
          <w:kern w:val="2"/>
          <w:sz w:val="28"/>
          <w:szCs w:val="28"/>
          <w:highlight w:val="none"/>
          <w:lang w:val="en-US" w:eastAsia="zh-CN" w:bidi="ar"/>
        </w:rPr>
      </w:pPr>
    </w:p>
    <w:p>
      <w:pPr>
        <w:jc w:val="center"/>
        <w:rPr>
          <w:color w:val="auto"/>
          <w:sz w:val="36"/>
          <w:szCs w:val="36"/>
          <w:highlight w:val="none"/>
        </w:rPr>
      </w:pPr>
      <w:r>
        <w:rPr>
          <w:rFonts w:hint="eastAsia" w:ascii="宋体" w:hAnsi="宋体" w:cs="宋体"/>
          <w:b/>
          <w:bCs/>
          <w:color w:val="auto"/>
          <w:sz w:val="36"/>
          <w:szCs w:val="36"/>
          <w:highlight w:val="none"/>
          <w:lang w:val="en-US" w:eastAsia="zh-CN"/>
        </w:rPr>
        <w:t>麒麟区2026秋季-2027春季</w:t>
      </w:r>
      <w:r>
        <w:rPr>
          <w:rFonts w:hint="eastAsia" w:ascii="宋体" w:hAnsi="宋体" w:eastAsia="宋体" w:cs="宋体"/>
          <w:b/>
          <w:bCs/>
          <w:color w:val="auto"/>
          <w:sz w:val="36"/>
          <w:szCs w:val="36"/>
          <w:highlight w:val="none"/>
          <w:lang w:val="en-US" w:eastAsia="zh-CN"/>
        </w:rPr>
        <w:t>学期农村义务教育学生营养改善计划大宗食材采购项目</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rPr>
          <w:rFonts w:hint="eastAsia" w:asciiTheme="minorEastAsia" w:hAnsiTheme="minorEastAsia" w:eastAsiaTheme="minorEastAsia" w:cstheme="minorEastAsia"/>
          <w:b/>
          <w:bCs/>
          <w:color w:val="auto"/>
          <w:sz w:val="36"/>
          <w:szCs w:val="36"/>
          <w:highlight w:val="none"/>
          <w:lang w:val="en-US" w:eastAsia="zh-CN"/>
        </w:rPr>
        <w:t>标段（</w:t>
      </w:r>
      <w:r>
        <w:rPr>
          <w:rFonts w:hint="eastAsia" w:asciiTheme="minorEastAsia" w:hAnsiTheme="minorEastAsia" w:eastAsiaTheme="minorEastAsia" w:cstheme="minorEastAsia"/>
          <w:b/>
          <w:bCs/>
          <w:color w:val="auto"/>
          <w:sz w:val="36"/>
          <w:szCs w:val="36"/>
          <w:highlight w:val="none"/>
          <w:u w:val="single"/>
          <w:lang w:val="en-US" w:eastAsia="zh-CN"/>
        </w:rPr>
        <w:t xml:space="preserve">     </w:t>
      </w:r>
      <w:r>
        <w:rPr>
          <w:rFonts w:hint="eastAsia" w:asciiTheme="minorEastAsia" w:hAnsiTheme="minorEastAsia" w:eastAsiaTheme="minorEastAsia" w:cstheme="minorEastAsia"/>
          <w:b/>
          <w:bCs/>
          <w:color w:val="auto"/>
          <w:sz w:val="36"/>
          <w:szCs w:val="36"/>
          <w:highlight w:val="none"/>
          <w:lang w:val="en-US" w:eastAsia="zh-CN"/>
        </w:rPr>
        <w:t>）</w:t>
      </w:r>
    </w:p>
    <w:p>
      <w:pPr>
        <w:ind w:left="0" w:leftChars="0" w:firstLine="0" w:firstLineChars="0"/>
        <w:jc w:val="center"/>
        <w:rPr>
          <w:rFonts w:hint="eastAsia" w:asciiTheme="minorEastAsia" w:hAnsiTheme="minorEastAsia" w:eastAsiaTheme="minorEastAsia" w:cstheme="minorEastAsia"/>
          <w:color w:val="auto"/>
          <w:kern w:val="0"/>
          <w:sz w:val="28"/>
          <w:szCs w:val="28"/>
          <w:highlight w:val="none"/>
          <w:lang w:eastAsia="zh-CN"/>
        </w:rPr>
      </w:pPr>
    </w:p>
    <w:p>
      <w:pPr>
        <w:ind w:left="0" w:leftChars="0" w:firstLine="0" w:firstLineChars="0"/>
        <w:jc w:val="center"/>
        <w:rPr>
          <w:rFonts w:hint="default" w:asciiTheme="minorEastAsia" w:hAnsiTheme="minorEastAsia" w:eastAsiaTheme="minorEastAsia" w:cstheme="minorEastAsia"/>
          <w:b/>
          <w:bCs/>
          <w:color w:val="auto"/>
          <w:kern w:val="0"/>
          <w:sz w:val="32"/>
          <w:szCs w:val="32"/>
          <w:highlight w:val="none"/>
          <w:lang w:val="en-US" w:eastAsia="zh-CN"/>
        </w:rPr>
      </w:pPr>
      <w:r>
        <w:rPr>
          <w:rFonts w:hint="eastAsia" w:asciiTheme="minorEastAsia" w:hAnsiTheme="minorEastAsia" w:eastAsiaTheme="minorEastAsia" w:cstheme="minorEastAsia"/>
          <w:b/>
          <w:bCs/>
          <w:color w:val="auto"/>
          <w:kern w:val="0"/>
          <w:sz w:val="32"/>
          <w:szCs w:val="32"/>
          <w:highlight w:val="none"/>
          <w:lang w:val="en-US" w:eastAsia="zh-CN"/>
        </w:rPr>
        <w:t>标段</w:t>
      </w:r>
      <w:r>
        <w:rPr>
          <w:rFonts w:hint="eastAsia" w:asciiTheme="minorEastAsia" w:hAnsiTheme="minorEastAsia" w:eastAsiaTheme="minorEastAsia" w:cstheme="minorEastAsia"/>
          <w:b/>
          <w:bCs/>
          <w:color w:val="auto"/>
          <w:kern w:val="0"/>
          <w:sz w:val="32"/>
          <w:szCs w:val="32"/>
          <w:highlight w:val="none"/>
        </w:rPr>
        <w:t>编号：</w:t>
      </w:r>
      <w:r>
        <w:rPr>
          <w:rFonts w:hint="eastAsia" w:asciiTheme="minorEastAsia" w:hAnsiTheme="minorEastAsia" w:eastAsiaTheme="minorEastAsia" w:cstheme="minorEastAsia"/>
          <w:b/>
          <w:bCs/>
          <w:color w:val="auto"/>
          <w:kern w:val="0"/>
          <w:sz w:val="32"/>
          <w:szCs w:val="32"/>
          <w:highlight w:val="none"/>
          <w:lang w:val="en-US" w:eastAsia="zh-CN"/>
        </w:rPr>
        <w:t>福招字</w:t>
      </w:r>
      <w:r>
        <w:rPr>
          <w:rFonts w:hint="eastAsia" w:asciiTheme="minorEastAsia" w:hAnsiTheme="minorEastAsia" w:eastAsiaTheme="minorEastAsia" w:cstheme="minorEastAsia"/>
          <w:b/>
          <w:bCs/>
          <w:color w:val="auto"/>
          <w:kern w:val="0"/>
          <w:sz w:val="32"/>
          <w:szCs w:val="32"/>
          <w:highlight w:val="none"/>
          <w:u w:val="single"/>
          <w:lang w:val="en-US" w:eastAsia="zh-CN"/>
        </w:rPr>
        <w:t xml:space="preserve">              .</w:t>
      </w:r>
    </w:p>
    <w:p>
      <w:pPr>
        <w:rPr>
          <w:rFonts w:hint="eastAsia"/>
          <w:color w:val="auto"/>
          <w:highlight w:val="none"/>
        </w:rPr>
      </w:pPr>
    </w:p>
    <w:p>
      <w:pPr>
        <w:pStyle w:val="117"/>
        <w:rPr>
          <w:rFonts w:hint="eastAsia" w:asciiTheme="minorEastAsia" w:hAnsiTheme="minorEastAsia" w:eastAsiaTheme="minorEastAsia" w:cstheme="minorEastAsia"/>
          <w:b/>
          <w:bCs/>
          <w:color w:val="auto"/>
          <w:highlight w:val="none"/>
        </w:rPr>
      </w:pPr>
    </w:p>
    <w:p>
      <w:pPr>
        <w:pStyle w:val="117"/>
        <w:rPr>
          <w:rFonts w:hint="eastAsia" w:asciiTheme="minorEastAsia" w:hAnsiTheme="minorEastAsia" w:eastAsiaTheme="minorEastAsia" w:cstheme="minorEastAsia"/>
          <w:color w:val="auto"/>
          <w:highlight w:val="none"/>
        </w:rPr>
      </w:pPr>
    </w:p>
    <w:p>
      <w:pPr>
        <w:keepNext w:val="0"/>
        <w:keepLines w:val="0"/>
        <w:pageBreakBefore w:val="0"/>
        <w:widowControl w:val="0"/>
        <w:kinsoku/>
        <w:wordWrap/>
        <w:overflowPunct/>
        <w:topLinePunct w:val="0"/>
        <w:autoSpaceDE/>
        <w:autoSpaceDN/>
        <w:bidi w:val="0"/>
        <w:adjustRightInd/>
        <w:snapToGrid/>
        <w:spacing w:line="980" w:lineRule="exact"/>
        <w:jc w:val="center"/>
        <w:textAlignment w:val="auto"/>
        <w:rPr>
          <w:rFonts w:hint="eastAsia" w:asciiTheme="minorEastAsia" w:hAnsiTheme="minorEastAsia" w:eastAsiaTheme="minorEastAsia" w:cstheme="minorEastAsia"/>
          <w:b/>
          <w:bCs/>
          <w:color w:val="auto"/>
          <w:sz w:val="84"/>
          <w:szCs w:val="84"/>
          <w:highlight w:val="none"/>
          <w:lang w:val="en-US" w:eastAsia="zh-CN"/>
        </w:rPr>
      </w:pPr>
      <w:r>
        <w:rPr>
          <w:rFonts w:hint="eastAsia" w:asciiTheme="minorEastAsia" w:hAnsiTheme="minorEastAsia" w:eastAsiaTheme="minorEastAsia" w:cstheme="minorEastAsia"/>
          <w:b/>
          <w:bCs/>
          <w:color w:val="auto"/>
          <w:spacing w:val="-4"/>
          <w:kern w:val="0"/>
          <w:sz w:val="84"/>
          <w:szCs w:val="84"/>
          <w:highlight w:val="none"/>
          <w:lang w:val="en-US" w:eastAsia="zh-CN" w:bidi="ar-SA"/>
        </w:rPr>
        <w:t>投 标 文 件</w:t>
      </w:r>
    </w:p>
    <w:p>
      <w:pPr>
        <w:pStyle w:val="11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6"/>
          <w:szCs w:val="36"/>
          <w:highlight w:val="none"/>
          <w:lang w:val="en-US" w:eastAsia="zh-CN"/>
        </w:rPr>
        <w:t>（商务、技术部分）</w:t>
      </w: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pStyle w:val="117"/>
        <w:rPr>
          <w:rFonts w:hint="eastAsia" w:asciiTheme="minorEastAsia" w:hAnsiTheme="minorEastAsia" w:eastAsiaTheme="minorEastAsia" w:cstheme="minorEastAsia"/>
          <w:color w:val="auto"/>
          <w:highlight w:val="none"/>
        </w:rPr>
      </w:pP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供应商</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eastAsia="zh-CN"/>
        </w:rPr>
        <w:t>盖电子公</w:t>
      </w:r>
      <w:r>
        <w:rPr>
          <w:rFonts w:hint="eastAsia" w:asciiTheme="minorEastAsia" w:hAnsiTheme="minorEastAsia" w:eastAsiaTheme="minorEastAsia" w:cstheme="minorEastAsia"/>
          <w:color w:val="auto"/>
          <w:sz w:val="28"/>
          <w:szCs w:val="28"/>
          <w:highlight w:val="none"/>
          <w:u w:val="single"/>
        </w:rPr>
        <w:t>章）</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法定代表人或其委托代理人：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eastAsia="zh-CN"/>
        </w:rPr>
        <w:t>签字或电子章</w:t>
      </w:r>
      <w:r>
        <w:rPr>
          <w:rFonts w:hint="eastAsia" w:asciiTheme="minorEastAsia" w:hAnsiTheme="minorEastAsia" w:eastAsiaTheme="minorEastAsia" w:cstheme="minorEastAsia"/>
          <w:color w:val="auto"/>
          <w:sz w:val="28"/>
          <w:szCs w:val="28"/>
          <w:highlight w:val="none"/>
          <w:u w:val="single"/>
        </w:rPr>
        <w:t>）</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both"/>
        <w:textAlignment w:val="auto"/>
        <w:rPr>
          <w:rFonts w:hint="eastAsia"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lang w:eastAsia="zh-CN"/>
        </w:rPr>
        <w:t>供应商</w:t>
      </w:r>
      <w:r>
        <w:rPr>
          <w:rFonts w:hint="eastAsia" w:asciiTheme="minorEastAsia" w:hAnsiTheme="minorEastAsia" w:eastAsiaTheme="minorEastAsia" w:cstheme="minorEastAsia"/>
          <w:color w:val="auto"/>
          <w:sz w:val="28"/>
          <w:szCs w:val="28"/>
          <w:highlight w:val="none"/>
        </w:rPr>
        <w:t>地址：</w:t>
      </w:r>
      <w:r>
        <w:rPr>
          <w:rFonts w:hint="eastAsia" w:asciiTheme="minorEastAsia" w:hAnsiTheme="minorEastAsia" w:eastAsiaTheme="minorEastAsia" w:cstheme="minorEastAsia"/>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both"/>
        <w:textAlignment w:val="auto"/>
        <w:rPr>
          <w:rFonts w:hint="eastAsia"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rPr>
        <w:t>联系电话：</w:t>
      </w:r>
      <w:r>
        <w:rPr>
          <w:rFonts w:hint="eastAsia" w:asciiTheme="minorEastAsia" w:hAnsiTheme="minorEastAsia" w:eastAsiaTheme="minorEastAsia" w:cstheme="minorEastAsia"/>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60" w:lineRule="exact"/>
        <w:ind w:left="0" w:leftChars="0" w:firstLine="420" w:firstLineChars="150"/>
        <w:jc w:val="both"/>
        <w:textAlignment w:val="auto"/>
        <w:rPr>
          <w:rFonts w:hint="eastAsia" w:asciiTheme="minorEastAsia" w:hAnsiTheme="minorEastAsia" w:eastAsiaTheme="minorEastAsia" w:cstheme="minorEastAsia"/>
          <w:b/>
          <w:color w:val="auto"/>
          <w:kern w:val="0"/>
          <w:sz w:val="44"/>
          <w:szCs w:val="44"/>
          <w:highlight w:val="none"/>
          <w:lang w:eastAsia="zh-CN"/>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18"/>
        <w:rPr>
          <w:rFonts w:hint="eastAsia" w:ascii="仿宋" w:hAnsi="仿宋" w:eastAsia="仿宋" w:cs="仿宋"/>
          <w:b/>
          <w:color w:val="auto"/>
          <w:kern w:val="2"/>
          <w:sz w:val="28"/>
          <w:szCs w:val="28"/>
          <w:highlight w:val="none"/>
          <w:lang w:val="en-US" w:eastAsia="zh-CN" w:bidi="ar"/>
        </w:rPr>
      </w:pPr>
    </w:p>
    <w:p>
      <w:pPr>
        <w:rPr>
          <w:rFonts w:hint="eastAsia" w:ascii="仿宋" w:hAnsi="仿宋" w:eastAsia="仿宋" w:cs="仿宋"/>
          <w:b/>
          <w:color w:val="auto"/>
          <w:kern w:val="2"/>
          <w:sz w:val="28"/>
          <w:szCs w:val="28"/>
          <w:highlight w:val="none"/>
          <w:lang w:val="en-US" w:eastAsia="zh-CN" w:bidi="ar"/>
        </w:rPr>
      </w:pPr>
    </w:p>
    <w:p>
      <w:pPr>
        <w:keepNext w:val="0"/>
        <w:keepLines w:val="0"/>
        <w:pageBreakBefore w:val="0"/>
        <w:widowControl w:val="0"/>
        <w:kinsoku/>
        <w:wordWrap/>
        <w:overflowPunct/>
        <w:topLinePunct w:val="0"/>
        <w:autoSpaceDE/>
        <w:autoSpaceDN/>
        <w:bidi w:val="0"/>
        <w:adjustRightInd/>
        <w:snapToGrid/>
        <w:spacing w:line="960" w:lineRule="exact"/>
        <w:jc w:val="center"/>
        <w:textAlignment w:val="auto"/>
        <w:rPr>
          <w:rFonts w:hint="eastAsia" w:ascii="仿宋" w:hAnsi="仿宋" w:eastAsia="仿宋" w:cs="仿宋"/>
          <w:b/>
          <w:color w:val="auto"/>
          <w:kern w:val="2"/>
          <w:sz w:val="28"/>
          <w:szCs w:val="28"/>
          <w:highlight w:val="none"/>
          <w:lang w:val="en-US" w:eastAsia="zh-CN" w:bidi="ar"/>
        </w:rPr>
      </w:pPr>
      <w:r>
        <w:rPr>
          <w:rFonts w:hint="eastAsia" w:asciiTheme="minorEastAsia" w:hAnsiTheme="minorEastAsia" w:eastAsiaTheme="minorEastAsia" w:cstheme="minorEastAsia"/>
          <w:b/>
          <w:color w:val="auto"/>
          <w:kern w:val="0"/>
          <w:sz w:val="44"/>
          <w:szCs w:val="44"/>
          <w:highlight w:val="none"/>
          <w:lang w:val="en-US" w:eastAsia="zh-CN"/>
        </w:rPr>
        <w:t>商务、技术</w:t>
      </w:r>
      <w:r>
        <w:rPr>
          <w:rFonts w:hint="eastAsia" w:asciiTheme="minorEastAsia" w:hAnsiTheme="minorEastAsia" w:eastAsiaTheme="minorEastAsia" w:cstheme="minorEastAsia"/>
          <w:b/>
          <w:color w:val="auto"/>
          <w:kern w:val="0"/>
          <w:sz w:val="44"/>
          <w:szCs w:val="44"/>
          <w:highlight w:val="none"/>
          <w:lang w:eastAsia="zh-CN"/>
        </w:rPr>
        <w:t>部分目录</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一、采购</w:t>
      </w:r>
      <w:r>
        <w:rPr>
          <w:rFonts w:hint="eastAsia" w:ascii="宋体" w:hAnsi="宋体" w:eastAsia="宋体" w:cs="宋体"/>
          <w:color w:val="auto"/>
          <w:sz w:val="32"/>
          <w:szCs w:val="32"/>
          <w:highlight w:val="none"/>
          <w:lang w:val="en-US" w:eastAsia="en-US"/>
        </w:rPr>
        <w:t>方案</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二、食材质量保证措施及承诺</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三、</w:t>
      </w:r>
      <w:r>
        <w:rPr>
          <w:rFonts w:hint="eastAsia" w:ascii="宋体" w:hAnsi="宋体" w:eastAsia="宋体" w:cs="宋体"/>
          <w:color w:val="auto"/>
          <w:sz w:val="32"/>
          <w:szCs w:val="32"/>
          <w:highlight w:val="none"/>
          <w:lang w:val="en-US" w:eastAsia="en-US"/>
        </w:rPr>
        <w:t>食材安全保障措施及承诺</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lang w:val="en-US" w:eastAsia="en-US"/>
        </w:rPr>
      </w:pPr>
      <w:r>
        <w:rPr>
          <w:rFonts w:hint="eastAsia" w:ascii="宋体" w:hAnsi="宋体" w:eastAsia="宋体" w:cs="宋体"/>
          <w:color w:val="auto"/>
          <w:sz w:val="32"/>
          <w:szCs w:val="32"/>
          <w:highlight w:val="none"/>
          <w:lang w:val="en-US" w:eastAsia="zh-CN"/>
        </w:rPr>
        <w:t>四、</w:t>
      </w:r>
      <w:r>
        <w:rPr>
          <w:rFonts w:hint="eastAsia" w:ascii="宋体" w:hAnsi="宋体" w:eastAsia="宋体" w:cs="宋体"/>
          <w:color w:val="auto"/>
          <w:sz w:val="32"/>
          <w:szCs w:val="32"/>
          <w:highlight w:val="none"/>
          <w:lang w:val="en-US" w:eastAsia="en-US"/>
        </w:rPr>
        <w:t>配送供应保障及配送服务方案</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五、应急处理方案和应对措施</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六、售后服务保证措施及承诺</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七、人员配备</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八、类似项目业绩</w:t>
      </w:r>
    </w:p>
    <w:p>
      <w:pPr>
        <w:pStyle w:val="138"/>
        <w:keepNext w:val="0"/>
        <w:keepLines w:val="0"/>
        <w:pageBreakBefore w:val="0"/>
        <w:widowControl w:val="0"/>
        <w:kinsoku/>
        <w:wordWrap/>
        <w:overflowPunct/>
        <w:topLinePunct w:val="0"/>
        <w:autoSpaceDE/>
        <w:autoSpaceDN/>
        <w:bidi w:val="0"/>
        <w:adjustRightInd/>
        <w:snapToGrid/>
        <w:spacing w:line="900" w:lineRule="exact"/>
        <w:ind w:firstLine="1280" w:firstLineChars="400"/>
        <w:textAlignment w:val="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2"/>
          <w:szCs w:val="32"/>
          <w:highlight w:val="none"/>
          <w:lang w:val="en-US" w:eastAsia="zh-CN"/>
        </w:rPr>
        <w:t>九、</w:t>
      </w:r>
      <w:r>
        <w:rPr>
          <w:rFonts w:hint="eastAsia" w:ascii="宋体" w:hAnsi="宋体" w:eastAsia="宋体" w:cs="宋体"/>
          <w:color w:val="auto"/>
          <w:sz w:val="30"/>
          <w:szCs w:val="30"/>
          <w:highlight w:val="none"/>
          <w:lang w:val="en-US" w:eastAsia="zh-CN"/>
        </w:rPr>
        <w:t>其他部分（招标文件要求或供应商认为需要的其他资料）</w:t>
      </w:r>
    </w:p>
    <w:p>
      <w:pPr>
        <w:pStyle w:val="138"/>
        <w:keepNext w:val="0"/>
        <w:keepLines w:val="0"/>
        <w:pageBreakBefore w:val="0"/>
        <w:widowControl w:val="0"/>
        <w:kinsoku/>
        <w:wordWrap/>
        <w:overflowPunct/>
        <w:topLinePunct w:val="0"/>
        <w:autoSpaceDE/>
        <w:autoSpaceDN/>
        <w:bidi w:val="0"/>
        <w:adjustRightInd/>
        <w:snapToGrid/>
        <w:spacing w:line="960" w:lineRule="exact"/>
        <w:ind w:firstLine="1280" w:firstLineChars="400"/>
        <w:textAlignment w:val="auto"/>
        <w:rPr>
          <w:rFonts w:hint="default" w:ascii="宋体" w:hAnsi="宋体" w:eastAsia="宋体" w:cs="宋体"/>
          <w:color w:val="auto"/>
          <w:sz w:val="32"/>
          <w:szCs w:val="32"/>
          <w:highlight w:val="none"/>
          <w:lang w:val="en-US" w:eastAsia="zh-CN"/>
        </w:rPr>
      </w:pPr>
    </w:p>
    <w:p>
      <w:pPr>
        <w:pStyle w:val="18"/>
        <w:rPr>
          <w:rFonts w:hint="eastAsia"/>
          <w:highlight w:val="none"/>
          <w:lang w:val="en-US" w:eastAsia="zh-CN"/>
        </w:rPr>
      </w:pPr>
    </w:p>
    <w:p>
      <w:pPr>
        <w:rPr>
          <w:rFonts w:hint="eastAsia"/>
          <w:highlight w:val="none"/>
          <w:lang w:val="en-US" w:eastAsia="zh-CN"/>
        </w:rPr>
      </w:pPr>
    </w:p>
    <w:p>
      <w:pPr>
        <w:pStyle w:val="18"/>
        <w:rPr>
          <w:rFonts w:hint="eastAsia"/>
          <w:highlight w:val="none"/>
          <w:lang w:val="en-US" w:eastAsia="zh-CN"/>
        </w:rPr>
      </w:pPr>
    </w:p>
    <w:p>
      <w:pPr>
        <w:rPr>
          <w:rFonts w:hint="eastAsia"/>
          <w:highlight w:val="none"/>
          <w:lang w:val="en-US" w:eastAsia="zh-CN"/>
        </w:rPr>
      </w:pPr>
    </w:p>
    <w:p>
      <w:pPr>
        <w:pStyle w:val="18"/>
        <w:rPr>
          <w:rFonts w:hint="eastAsia"/>
          <w:highlight w:val="none"/>
          <w:lang w:val="en-US" w:eastAsia="zh-CN"/>
        </w:rPr>
      </w:pPr>
    </w:p>
    <w:p>
      <w:pPr>
        <w:rPr>
          <w:rFonts w:hint="eastAsia"/>
          <w:highlight w:val="none"/>
          <w:lang w:val="en-US" w:eastAsia="zh-CN"/>
        </w:rPr>
      </w:pPr>
    </w:p>
    <w:p>
      <w:pPr>
        <w:pStyle w:val="2"/>
        <w:keepNext w:val="0"/>
        <w:keepLines w:val="0"/>
        <w:pageBreakBefore w:val="0"/>
        <w:widowControl w:val="0"/>
        <w:numPr>
          <w:ilvl w:val="3"/>
          <w:numId w:val="0"/>
        </w:numPr>
        <w:tabs>
          <w:tab w:val="left" w:pos="360"/>
          <w:tab w:val="left" w:pos="2518"/>
        </w:tabs>
        <w:kinsoku/>
        <w:wordWrap/>
        <w:overflowPunct/>
        <w:topLinePunct w:val="0"/>
        <w:autoSpaceDE/>
        <w:autoSpaceDN/>
        <w:bidi w:val="0"/>
        <w:snapToGrid/>
        <w:spacing w:line="600" w:lineRule="exact"/>
        <w:ind w:left="0" w:leftChars="0" w:firstLine="490" w:firstLineChars="175"/>
        <w:jc w:val="both"/>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以下内容无格式、</w:t>
      </w:r>
      <w:r>
        <w:rPr>
          <w:rFonts w:hint="eastAsia" w:ascii="宋体" w:hAnsi="宋体" w:eastAsia="宋体" w:cs="宋体"/>
          <w:b w:val="0"/>
          <w:bCs w:val="0"/>
          <w:color w:val="auto"/>
          <w:sz w:val="28"/>
          <w:szCs w:val="28"/>
          <w:highlight w:val="none"/>
          <w:lang w:eastAsia="zh-CN"/>
        </w:rPr>
        <w:t>供应商</w:t>
      </w:r>
      <w:r>
        <w:rPr>
          <w:rFonts w:hint="eastAsia" w:ascii="宋体" w:hAnsi="宋体" w:eastAsia="宋体" w:cs="宋体"/>
          <w:b w:val="0"/>
          <w:bCs w:val="0"/>
          <w:color w:val="auto"/>
          <w:sz w:val="28"/>
          <w:szCs w:val="28"/>
          <w:highlight w:val="none"/>
        </w:rPr>
        <w:t>自行撰写。</w:t>
      </w:r>
    </w:p>
    <w:p>
      <w:pPr>
        <w:keepNext w:val="0"/>
        <w:keepLines w:val="0"/>
        <w:widowControl w:val="0"/>
        <w:numPr>
          <w:ilvl w:val="0"/>
          <w:numId w:val="0"/>
        </w:numPr>
        <w:suppressLineNumbers w:val="0"/>
        <w:spacing w:before="0" w:beforeAutospacing="0" w:after="0" w:afterAutospacing="0" w:line="480" w:lineRule="auto"/>
        <w:ind w:left="273" w:leftChars="130" w:right="0" w:rightChars="0" w:firstLine="365" w:firstLineChars="130"/>
        <w:jc w:val="both"/>
        <w:rPr>
          <w:rFonts w:hint="eastAsia" w:ascii="宋体" w:hAnsi="宋体" w:eastAsia="宋体" w:cs="宋体"/>
          <w:b/>
          <w:color w:val="auto"/>
          <w:kern w:val="2"/>
          <w:sz w:val="28"/>
          <w:szCs w:val="28"/>
          <w:highlight w:val="none"/>
          <w:lang w:val="en-US" w:eastAsia="en-US" w:bidi="ar"/>
        </w:rPr>
      </w:pPr>
      <w:r>
        <w:rPr>
          <w:rFonts w:hint="eastAsia" w:ascii="宋体" w:hAnsi="宋体" w:eastAsia="宋体" w:cs="宋体"/>
          <w:b/>
          <w:color w:val="auto"/>
          <w:kern w:val="2"/>
          <w:sz w:val="28"/>
          <w:szCs w:val="28"/>
          <w:highlight w:val="none"/>
          <w:lang w:val="en-US" w:eastAsia="zh-CN" w:bidi="ar"/>
        </w:rPr>
        <w:t>一、采购</w:t>
      </w:r>
      <w:r>
        <w:rPr>
          <w:rFonts w:hint="eastAsia" w:ascii="宋体" w:hAnsi="宋体" w:eastAsia="宋体" w:cs="宋体"/>
          <w:b/>
          <w:color w:val="auto"/>
          <w:kern w:val="2"/>
          <w:sz w:val="28"/>
          <w:szCs w:val="28"/>
          <w:highlight w:val="none"/>
          <w:lang w:val="en-US" w:eastAsia="en-US" w:bidi="ar"/>
        </w:rPr>
        <w:t>方案</w:t>
      </w:r>
    </w:p>
    <w:p>
      <w:pPr>
        <w:keepNext w:val="0"/>
        <w:keepLines w:val="0"/>
        <w:widowControl w:val="0"/>
        <w:numPr>
          <w:ilvl w:val="0"/>
          <w:numId w:val="0"/>
        </w:numPr>
        <w:suppressLineNumbers w:val="0"/>
        <w:spacing w:before="0" w:beforeAutospacing="0" w:after="0" w:afterAutospacing="0" w:line="480" w:lineRule="auto"/>
        <w:ind w:left="273" w:leftChars="130" w:right="0" w:rightChars="0" w:firstLine="365" w:firstLineChars="130"/>
        <w:jc w:val="both"/>
        <w:rPr>
          <w:rFonts w:hint="default" w:ascii="宋体" w:hAnsi="宋体" w:eastAsia="宋体" w:cs="宋体"/>
          <w:b/>
          <w:color w:val="auto"/>
          <w:kern w:val="2"/>
          <w:sz w:val="28"/>
          <w:szCs w:val="28"/>
          <w:highlight w:val="none"/>
          <w:lang w:val="en-US" w:eastAsia="zh-CN" w:bidi="ar"/>
        </w:rPr>
      </w:pPr>
      <w:r>
        <w:rPr>
          <w:rFonts w:hint="eastAsia" w:ascii="宋体" w:hAnsi="宋体" w:eastAsia="宋体" w:cs="宋体"/>
          <w:b/>
          <w:color w:val="auto"/>
          <w:kern w:val="2"/>
          <w:sz w:val="28"/>
          <w:szCs w:val="28"/>
          <w:highlight w:val="none"/>
          <w:lang w:val="en-US" w:eastAsia="zh-CN" w:bidi="ar"/>
        </w:rPr>
        <w:t>二、食材质量保证措施及承诺</w:t>
      </w:r>
    </w:p>
    <w:p>
      <w:pPr>
        <w:keepNext w:val="0"/>
        <w:keepLines w:val="0"/>
        <w:widowControl w:val="0"/>
        <w:numPr>
          <w:ilvl w:val="0"/>
          <w:numId w:val="0"/>
        </w:numPr>
        <w:suppressLineNumbers w:val="0"/>
        <w:spacing w:before="0" w:beforeAutospacing="0" w:after="0" w:afterAutospacing="0" w:line="480" w:lineRule="auto"/>
        <w:ind w:left="273" w:leftChars="130" w:right="0" w:rightChars="0" w:firstLine="365" w:firstLineChars="130"/>
        <w:jc w:val="both"/>
        <w:rPr>
          <w:rFonts w:hint="eastAsia" w:ascii="宋体" w:hAnsi="宋体" w:eastAsia="宋体" w:cs="宋体"/>
          <w:b/>
          <w:color w:val="auto"/>
          <w:kern w:val="2"/>
          <w:sz w:val="28"/>
          <w:szCs w:val="28"/>
          <w:highlight w:val="none"/>
          <w:lang w:val="en-US" w:eastAsia="zh-CN" w:bidi="ar"/>
        </w:rPr>
      </w:pPr>
      <w:r>
        <w:rPr>
          <w:rFonts w:hint="eastAsia" w:ascii="宋体" w:hAnsi="宋体" w:eastAsia="宋体" w:cs="宋体"/>
          <w:b/>
          <w:color w:val="auto"/>
          <w:kern w:val="2"/>
          <w:sz w:val="28"/>
          <w:szCs w:val="28"/>
          <w:highlight w:val="none"/>
          <w:lang w:val="en-US" w:eastAsia="zh-CN" w:bidi="ar"/>
        </w:rPr>
        <w:t>三、</w:t>
      </w:r>
      <w:r>
        <w:rPr>
          <w:rFonts w:hint="eastAsia" w:ascii="宋体" w:hAnsi="宋体" w:eastAsia="宋体" w:cs="宋体"/>
          <w:b/>
          <w:color w:val="auto"/>
          <w:kern w:val="2"/>
          <w:sz w:val="28"/>
          <w:szCs w:val="28"/>
          <w:highlight w:val="none"/>
          <w:lang w:val="en-US" w:eastAsia="en-US" w:bidi="ar"/>
        </w:rPr>
        <w:t>食材安全保障措施及承诺</w:t>
      </w:r>
    </w:p>
    <w:p>
      <w:pPr>
        <w:keepNext w:val="0"/>
        <w:keepLines w:val="0"/>
        <w:widowControl w:val="0"/>
        <w:numPr>
          <w:ilvl w:val="0"/>
          <w:numId w:val="0"/>
        </w:numPr>
        <w:suppressLineNumbers w:val="0"/>
        <w:spacing w:before="0" w:beforeAutospacing="0" w:after="0" w:afterAutospacing="0" w:line="480" w:lineRule="auto"/>
        <w:ind w:left="273" w:leftChars="130" w:right="0" w:rightChars="0" w:firstLine="365" w:firstLineChars="130"/>
        <w:jc w:val="both"/>
        <w:rPr>
          <w:rFonts w:hint="eastAsia" w:ascii="宋体" w:hAnsi="宋体" w:eastAsia="宋体" w:cs="宋体"/>
          <w:b/>
          <w:color w:val="auto"/>
          <w:kern w:val="2"/>
          <w:sz w:val="28"/>
          <w:szCs w:val="28"/>
          <w:highlight w:val="none"/>
          <w:lang w:val="en-US" w:eastAsia="en-US" w:bidi="ar"/>
        </w:rPr>
      </w:pPr>
      <w:r>
        <w:rPr>
          <w:rFonts w:hint="eastAsia" w:ascii="宋体" w:hAnsi="宋体" w:eastAsia="宋体" w:cs="宋体"/>
          <w:b/>
          <w:color w:val="auto"/>
          <w:kern w:val="2"/>
          <w:sz w:val="28"/>
          <w:szCs w:val="28"/>
          <w:highlight w:val="none"/>
          <w:lang w:val="en-US" w:eastAsia="zh-CN" w:bidi="ar"/>
        </w:rPr>
        <w:t>四、</w:t>
      </w:r>
      <w:r>
        <w:rPr>
          <w:rFonts w:hint="eastAsia" w:ascii="宋体" w:hAnsi="宋体" w:eastAsia="宋体" w:cs="宋体"/>
          <w:b/>
          <w:color w:val="auto"/>
          <w:kern w:val="2"/>
          <w:sz w:val="28"/>
          <w:szCs w:val="28"/>
          <w:highlight w:val="none"/>
          <w:lang w:val="en-US" w:eastAsia="en-US" w:bidi="ar"/>
        </w:rPr>
        <w:t>配送供应保障及配送服务方案</w:t>
      </w:r>
    </w:p>
    <w:p>
      <w:pPr>
        <w:keepNext w:val="0"/>
        <w:keepLines w:val="0"/>
        <w:widowControl w:val="0"/>
        <w:numPr>
          <w:ilvl w:val="0"/>
          <w:numId w:val="0"/>
        </w:numPr>
        <w:suppressLineNumbers w:val="0"/>
        <w:spacing w:before="0" w:beforeAutospacing="0" w:after="0" w:afterAutospacing="0" w:line="480" w:lineRule="auto"/>
        <w:ind w:left="273" w:leftChars="130" w:right="0" w:rightChars="0" w:firstLine="365" w:firstLineChars="130"/>
        <w:jc w:val="both"/>
        <w:rPr>
          <w:rFonts w:hint="default" w:ascii="宋体" w:hAnsi="宋体" w:eastAsia="宋体" w:cs="宋体"/>
          <w:b/>
          <w:color w:val="auto"/>
          <w:kern w:val="2"/>
          <w:sz w:val="28"/>
          <w:szCs w:val="28"/>
          <w:highlight w:val="none"/>
          <w:lang w:val="en-US" w:eastAsia="zh-CN" w:bidi="ar"/>
        </w:rPr>
      </w:pPr>
      <w:r>
        <w:rPr>
          <w:rFonts w:hint="eastAsia" w:ascii="宋体" w:hAnsi="宋体" w:eastAsia="宋体" w:cs="宋体"/>
          <w:b/>
          <w:color w:val="auto"/>
          <w:kern w:val="2"/>
          <w:sz w:val="28"/>
          <w:szCs w:val="28"/>
          <w:highlight w:val="none"/>
          <w:lang w:val="en-US" w:eastAsia="zh-CN" w:bidi="ar"/>
        </w:rPr>
        <w:t>五、应急处理方案和应对措施</w:t>
      </w:r>
    </w:p>
    <w:p>
      <w:pPr>
        <w:keepNext w:val="0"/>
        <w:keepLines w:val="0"/>
        <w:widowControl w:val="0"/>
        <w:numPr>
          <w:ilvl w:val="0"/>
          <w:numId w:val="0"/>
        </w:numPr>
        <w:suppressLineNumbers w:val="0"/>
        <w:spacing w:before="0" w:beforeAutospacing="0" w:after="0" w:afterAutospacing="0" w:line="480" w:lineRule="auto"/>
        <w:ind w:left="273" w:leftChars="130" w:right="0" w:rightChars="0" w:firstLine="365" w:firstLineChars="130"/>
        <w:jc w:val="both"/>
        <w:rPr>
          <w:rFonts w:hint="eastAsia" w:ascii="宋体" w:hAnsi="宋体" w:eastAsia="宋体" w:cs="宋体"/>
          <w:b/>
          <w:color w:val="auto"/>
          <w:kern w:val="2"/>
          <w:sz w:val="28"/>
          <w:szCs w:val="28"/>
          <w:highlight w:val="none"/>
          <w:lang w:val="en-US" w:eastAsia="zh-CN" w:bidi="ar"/>
        </w:rPr>
      </w:pPr>
      <w:r>
        <w:rPr>
          <w:rFonts w:hint="eastAsia" w:ascii="宋体" w:hAnsi="宋体" w:eastAsia="宋体" w:cs="宋体"/>
          <w:b/>
          <w:color w:val="auto"/>
          <w:kern w:val="2"/>
          <w:sz w:val="28"/>
          <w:szCs w:val="28"/>
          <w:highlight w:val="none"/>
          <w:lang w:val="en-US" w:eastAsia="zh-CN" w:bidi="ar"/>
        </w:rPr>
        <w:t>六、售后服务保证措施及承诺</w:t>
      </w:r>
    </w:p>
    <w:p>
      <w:pPr>
        <w:keepNext w:val="0"/>
        <w:keepLines w:val="0"/>
        <w:widowControl w:val="0"/>
        <w:numPr>
          <w:ilvl w:val="0"/>
          <w:numId w:val="0"/>
        </w:numPr>
        <w:suppressLineNumbers w:val="0"/>
        <w:spacing w:before="0" w:beforeAutospacing="0" w:after="0" w:afterAutospacing="0" w:line="480" w:lineRule="auto"/>
        <w:ind w:left="273" w:leftChars="130" w:right="0" w:rightChars="0" w:firstLine="365" w:firstLineChars="130"/>
        <w:jc w:val="both"/>
        <w:rPr>
          <w:rFonts w:hint="eastAsia" w:ascii="宋体" w:hAnsi="宋体" w:eastAsia="宋体" w:cs="宋体"/>
          <w:b/>
          <w:color w:val="auto"/>
          <w:kern w:val="2"/>
          <w:sz w:val="28"/>
          <w:szCs w:val="28"/>
          <w:highlight w:val="none"/>
          <w:lang w:val="en-US" w:eastAsia="zh-CN" w:bidi="ar"/>
        </w:rPr>
      </w:pPr>
      <w:r>
        <w:rPr>
          <w:rFonts w:hint="eastAsia" w:ascii="宋体" w:hAnsi="宋体" w:eastAsia="宋体" w:cs="宋体"/>
          <w:b/>
          <w:color w:val="auto"/>
          <w:kern w:val="2"/>
          <w:sz w:val="28"/>
          <w:szCs w:val="28"/>
          <w:highlight w:val="none"/>
          <w:lang w:val="en-US" w:eastAsia="zh-CN" w:bidi="ar"/>
        </w:rPr>
        <w:t>七、人员配备</w:t>
      </w:r>
    </w:p>
    <w:p>
      <w:pPr>
        <w:keepNext w:val="0"/>
        <w:keepLines w:val="0"/>
        <w:widowControl w:val="0"/>
        <w:numPr>
          <w:ilvl w:val="0"/>
          <w:numId w:val="0"/>
        </w:numPr>
        <w:suppressLineNumbers w:val="0"/>
        <w:spacing w:before="0" w:beforeAutospacing="0" w:after="0" w:afterAutospacing="0" w:line="480" w:lineRule="auto"/>
        <w:ind w:left="273" w:leftChars="130" w:right="0" w:rightChars="0" w:firstLine="365" w:firstLineChars="130"/>
        <w:jc w:val="both"/>
        <w:rPr>
          <w:rFonts w:hint="default" w:ascii="宋体" w:hAnsi="宋体" w:eastAsia="宋体" w:cs="宋体"/>
          <w:b/>
          <w:color w:val="auto"/>
          <w:kern w:val="2"/>
          <w:sz w:val="28"/>
          <w:szCs w:val="28"/>
          <w:highlight w:val="none"/>
          <w:lang w:val="en-US" w:eastAsia="zh-CN" w:bidi="ar"/>
        </w:rPr>
      </w:pPr>
      <w:r>
        <w:rPr>
          <w:rFonts w:hint="eastAsia" w:ascii="宋体" w:hAnsi="宋体" w:eastAsia="宋体" w:cs="宋体"/>
          <w:b/>
          <w:color w:val="auto"/>
          <w:kern w:val="2"/>
          <w:sz w:val="28"/>
          <w:szCs w:val="28"/>
          <w:highlight w:val="none"/>
          <w:lang w:val="en-US" w:eastAsia="zh-CN" w:bidi="ar"/>
        </w:rPr>
        <w:t>八、类似项目业绩</w:t>
      </w:r>
    </w:p>
    <w:p>
      <w:pPr>
        <w:keepNext w:val="0"/>
        <w:keepLines w:val="0"/>
        <w:widowControl w:val="0"/>
        <w:numPr>
          <w:ilvl w:val="0"/>
          <w:numId w:val="0"/>
        </w:numPr>
        <w:suppressLineNumbers w:val="0"/>
        <w:spacing w:before="0" w:beforeAutospacing="0" w:after="0" w:afterAutospacing="0" w:line="480" w:lineRule="auto"/>
        <w:ind w:left="273" w:leftChars="130" w:right="0" w:rightChars="0" w:firstLine="365" w:firstLineChars="130"/>
        <w:jc w:val="both"/>
        <w:rPr>
          <w:rFonts w:hint="eastAsia" w:ascii="宋体" w:hAnsi="宋体" w:eastAsia="宋体" w:cs="宋体"/>
          <w:b/>
          <w:color w:val="auto"/>
          <w:kern w:val="2"/>
          <w:sz w:val="28"/>
          <w:szCs w:val="28"/>
          <w:highlight w:val="none"/>
          <w:lang w:val="en-US" w:eastAsia="zh-CN" w:bidi="ar"/>
        </w:rPr>
      </w:pPr>
      <w:r>
        <w:rPr>
          <w:rFonts w:hint="eastAsia" w:ascii="宋体" w:hAnsi="宋体" w:eastAsia="宋体" w:cs="宋体"/>
          <w:b/>
          <w:color w:val="auto"/>
          <w:kern w:val="2"/>
          <w:sz w:val="28"/>
          <w:szCs w:val="28"/>
          <w:highlight w:val="none"/>
          <w:lang w:val="en-US" w:eastAsia="zh-CN" w:bidi="ar"/>
        </w:rPr>
        <w:t>九、其他部分（招标文件要求或供应商认为需要的其他资料）</w:t>
      </w:r>
    </w:p>
    <w:p>
      <w:pPr>
        <w:ind w:left="273" w:leftChars="130" w:firstLine="418" w:firstLineChars="130"/>
        <w:jc w:val="center"/>
        <w:rPr>
          <w:rFonts w:hint="default" w:asciiTheme="minorEastAsia" w:hAnsiTheme="minorEastAsia" w:eastAsiaTheme="minorEastAsia" w:cstheme="minorEastAsia"/>
          <w:b/>
          <w:color w:val="auto"/>
          <w:sz w:val="32"/>
          <w:szCs w:val="32"/>
          <w:highlight w:val="none"/>
          <w:lang w:val="en-US" w:eastAsia="zh-CN"/>
        </w:rPr>
      </w:pPr>
    </w:p>
    <w:p>
      <w:pPr>
        <w:jc w:val="center"/>
        <w:rPr>
          <w:rFonts w:hint="eastAsia" w:asciiTheme="minorEastAsia" w:hAnsiTheme="minorEastAsia" w:eastAsiaTheme="minorEastAsia" w:cstheme="minorEastAsia"/>
          <w:b/>
          <w:color w:val="auto"/>
          <w:sz w:val="32"/>
          <w:szCs w:val="32"/>
          <w:highlight w:val="none"/>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firstLine="0" w:firstLineChars="0"/>
        <w:jc w:val="center"/>
        <w:textAlignment w:val="auto"/>
        <w:rPr>
          <w:rFonts w:hint="eastAsia" w:asciiTheme="minorEastAsia" w:hAnsiTheme="minorEastAsia" w:eastAsiaTheme="minorEastAsia" w:cstheme="minorEastAsia"/>
          <w:b/>
          <w:bCs/>
          <w:color w:val="auto"/>
          <w:kern w:val="2"/>
          <w:sz w:val="28"/>
          <w:szCs w:val="28"/>
          <w:highlight w:val="none"/>
          <w:lang w:val="en-US" w:eastAsia="zh-CN" w:bidi="ar-SA"/>
        </w:rPr>
      </w:pPr>
    </w:p>
    <w:p>
      <w:pPr>
        <w:pStyle w:val="4"/>
        <w:numPr>
          <w:ilvl w:val="1"/>
          <w:numId w:val="0"/>
        </w:numPr>
        <w:rPr>
          <w:rFonts w:hint="eastAsia"/>
          <w:color w:val="auto"/>
          <w:highlight w:val="none"/>
        </w:rPr>
      </w:pPr>
    </w:p>
    <w:p>
      <w:pPr>
        <w:rPr>
          <w:rFonts w:hint="eastAsia"/>
          <w:color w:val="auto"/>
          <w:highlight w:val="none"/>
        </w:rPr>
      </w:pPr>
    </w:p>
    <w:bookmarkEnd w:id="423"/>
    <w:bookmarkEnd w:id="424"/>
    <w:bookmarkEnd w:id="425"/>
    <w:p>
      <w:pPr>
        <w:spacing w:line="588" w:lineRule="exact"/>
        <w:jc w:val="left"/>
        <w:rPr>
          <w:rFonts w:hint="eastAsia" w:asciiTheme="minorEastAsia" w:hAnsiTheme="minorEastAsia" w:eastAsiaTheme="minorEastAsia" w:cstheme="minorEastAsia"/>
          <w:color w:val="auto"/>
          <w:sz w:val="28"/>
          <w:szCs w:val="28"/>
          <w:highlight w:val="none"/>
        </w:rPr>
      </w:pPr>
    </w:p>
    <w:p>
      <w:pPr>
        <w:spacing w:line="588" w:lineRule="exact"/>
        <w:jc w:val="left"/>
        <w:rPr>
          <w:rFonts w:hint="eastAsia" w:asciiTheme="minorEastAsia" w:hAnsiTheme="minorEastAsia" w:eastAsiaTheme="minorEastAsia" w:cstheme="minorEastAsia"/>
          <w:color w:val="auto"/>
          <w:sz w:val="28"/>
          <w:szCs w:val="28"/>
          <w:highlight w:val="none"/>
        </w:rPr>
      </w:pPr>
    </w:p>
    <w:p>
      <w:pPr>
        <w:spacing w:line="588" w:lineRule="exact"/>
        <w:jc w:val="left"/>
        <w:rPr>
          <w:rFonts w:hint="eastAsia" w:asciiTheme="minorEastAsia" w:hAnsiTheme="minorEastAsia" w:eastAsiaTheme="minorEastAsia" w:cstheme="minorEastAsia"/>
          <w:color w:val="auto"/>
          <w:sz w:val="28"/>
          <w:szCs w:val="28"/>
          <w:highlight w:val="none"/>
        </w:rPr>
      </w:pPr>
    </w:p>
    <w:p>
      <w:pPr>
        <w:spacing w:line="588" w:lineRule="exact"/>
        <w:jc w:val="left"/>
        <w:rPr>
          <w:rFonts w:hint="eastAsia" w:asciiTheme="minorEastAsia" w:hAnsiTheme="minorEastAsia" w:eastAsiaTheme="minorEastAsia" w:cstheme="minorEastAsia"/>
          <w:color w:val="auto"/>
          <w:sz w:val="28"/>
          <w:szCs w:val="28"/>
          <w:highlight w:val="none"/>
        </w:rPr>
      </w:pPr>
    </w:p>
    <w:p>
      <w:pPr>
        <w:spacing w:line="588" w:lineRule="exact"/>
        <w:jc w:val="left"/>
        <w:rPr>
          <w:rFonts w:hint="eastAsia" w:asciiTheme="minorEastAsia" w:hAnsiTheme="minorEastAsia" w:eastAsiaTheme="minorEastAsia" w:cstheme="minorEastAsia"/>
          <w:color w:val="auto"/>
          <w:sz w:val="28"/>
          <w:szCs w:val="28"/>
          <w:highlight w:val="none"/>
        </w:rPr>
      </w:pPr>
    </w:p>
    <w:p>
      <w:pPr>
        <w:spacing w:line="588" w:lineRule="exact"/>
        <w:jc w:val="left"/>
        <w:rPr>
          <w:rFonts w:hint="eastAsia" w:asciiTheme="minorEastAsia" w:hAnsiTheme="minorEastAsia" w:eastAsiaTheme="minorEastAsia" w:cstheme="minorEastAsia"/>
          <w:color w:val="auto"/>
          <w:sz w:val="28"/>
          <w:szCs w:val="28"/>
          <w:highlight w:val="none"/>
        </w:rPr>
      </w:pPr>
    </w:p>
    <w:p>
      <w:pPr>
        <w:spacing w:line="588" w:lineRule="exact"/>
        <w:jc w:val="left"/>
        <w:rPr>
          <w:rFonts w:hint="eastAsia" w:asciiTheme="minorEastAsia" w:hAnsiTheme="minorEastAsia" w:eastAsiaTheme="minorEastAsia" w:cstheme="minorEastAsia"/>
          <w:color w:val="auto"/>
          <w:sz w:val="28"/>
          <w:szCs w:val="28"/>
          <w:highlight w:val="none"/>
        </w:rPr>
        <w:sectPr>
          <w:headerReference r:id="rId9" w:type="default"/>
          <w:footerReference r:id="rId10" w:type="default"/>
          <w:pgSz w:w="11906" w:h="16838"/>
          <w:pgMar w:top="1440" w:right="1286" w:bottom="1440" w:left="1180" w:header="851" w:footer="992" w:gutter="0"/>
          <w:pgNumType w:fmt="decimal"/>
          <w:cols w:space="0" w:num="1"/>
          <w:rtlGutter w:val="0"/>
          <w:docGrid w:type="lines" w:linePitch="312" w:charSpace="0"/>
        </w:sectPr>
      </w:pPr>
    </w:p>
    <w:p>
      <w:pPr>
        <w:pStyle w:val="3"/>
        <w:numPr>
          <w:ilvl w:val="0"/>
          <w:numId w:val="11"/>
        </w:numPr>
        <w:ind w:left="0" w:leftChars="0" w:firstLine="0" w:firstLineChars="0"/>
        <w:jc w:val="center"/>
        <w:rPr>
          <w:rFonts w:hint="eastAsia" w:asciiTheme="minorEastAsia" w:hAnsiTheme="minorEastAsia" w:eastAsiaTheme="minorEastAsia" w:cstheme="minorEastAsia"/>
          <w:b/>
          <w:bCs/>
          <w:color w:val="auto"/>
          <w:kern w:val="0"/>
          <w:sz w:val="36"/>
          <w:highlight w:val="none"/>
          <w:lang w:val="en-US" w:eastAsia="zh-CN"/>
        </w:rPr>
      </w:pPr>
      <w:r>
        <w:rPr>
          <w:rFonts w:hint="eastAsia" w:asciiTheme="minorEastAsia" w:hAnsiTheme="minorEastAsia" w:eastAsiaTheme="minorEastAsia" w:cstheme="minorEastAsia"/>
          <w:b/>
          <w:bCs/>
          <w:color w:val="auto"/>
          <w:kern w:val="0"/>
          <w:sz w:val="36"/>
          <w:highlight w:val="none"/>
          <w:lang w:val="en-US" w:eastAsia="zh-CN"/>
        </w:rPr>
        <w:t>采购需求</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一、项目标段划分及概况：</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麒麟区2026秋季-2027春季学期农村义务教育学生营养改善计划大宗食材采购，包括大米、食用油、鸡蛋、猪肉，详细信息如下</w:t>
      </w:r>
      <w:r>
        <w:rPr>
          <w:rFonts w:hint="eastAsia" w:ascii="宋体" w:hAnsi="宋体" w:eastAsia="宋体" w:cs="宋体"/>
          <w:color w:val="auto"/>
          <w:sz w:val="24"/>
          <w:szCs w:val="24"/>
          <w:highlight w:val="none"/>
          <w:lang w:val="en-US" w:eastAsia="zh-CN"/>
        </w:rPr>
        <w:t>：</w:t>
      </w:r>
    </w:p>
    <w:tbl>
      <w:tblPr>
        <w:tblStyle w:val="47"/>
        <w:tblW w:w="9600" w:type="dxa"/>
        <w:tblInd w:w="-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480"/>
        <w:gridCol w:w="1980"/>
        <w:gridCol w:w="1245"/>
        <w:gridCol w:w="1110"/>
        <w:gridCol w:w="1290"/>
        <w:gridCol w:w="825"/>
        <w:gridCol w:w="2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3" w:hRule="atLeast"/>
        </w:trPr>
        <w:tc>
          <w:tcPr>
            <w:tcW w:w="480"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标段号</w:t>
            </w:r>
          </w:p>
        </w:tc>
        <w:tc>
          <w:tcPr>
            <w:tcW w:w="480"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食材品类</w:t>
            </w:r>
          </w:p>
        </w:tc>
        <w:tc>
          <w:tcPr>
            <w:tcW w:w="1980"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标段名称</w:t>
            </w:r>
          </w:p>
        </w:tc>
        <w:tc>
          <w:tcPr>
            <w:tcW w:w="1245"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标段编号</w:t>
            </w:r>
          </w:p>
        </w:tc>
        <w:tc>
          <w:tcPr>
            <w:tcW w:w="1110"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就餐人数（人）</w:t>
            </w:r>
          </w:p>
        </w:tc>
        <w:tc>
          <w:tcPr>
            <w:tcW w:w="1290"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预算金额（元）</w:t>
            </w:r>
          </w:p>
        </w:tc>
        <w:tc>
          <w:tcPr>
            <w:tcW w:w="825" w:type="dxa"/>
            <w:vAlign w:val="center"/>
          </w:tcPr>
          <w:p>
            <w:pPr>
              <w:jc w:val="center"/>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采购内容</w:t>
            </w:r>
          </w:p>
        </w:tc>
        <w:tc>
          <w:tcPr>
            <w:tcW w:w="2190" w:type="dxa"/>
            <w:vAlign w:val="center"/>
          </w:tcPr>
          <w:p>
            <w:pPr>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供货地点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62" w:hRule="atLeast"/>
        </w:trPr>
        <w:tc>
          <w:tcPr>
            <w:tcW w:w="480"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一标</w:t>
            </w:r>
          </w:p>
        </w:tc>
        <w:tc>
          <w:tcPr>
            <w:tcW w:w="480" w:type="dxa"/>
            <w:vMerge w:val="restart"/>
            <w:vAlign w:val="center"/>
          </w:tcPr>
          <w:p>
            <w:pPr>
              <w:ind w:right="-21" w:rightChars="-10"/>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大米</w:t>
            </w:r>
            <w:r>
              <w:rPr>
                <w:rFonts w:hint="eastAsia" w:ascii="宋体" w:hAnsi="宋体" w:cs="宋体"/>
                <w:color w:val="auto"/>
                <w:sz w:val="24"/>
                <w:szCs w:val="24"/>
                <w:highlight w:val="none"/>
                <w:lang w:val="en-US" w:eastAsia="zh-CN"/>
              </w:rPr>
              <w:t>类</w:t>
            </w:r>
          </w:p>
        </w:tc>
        <w:tc>
          <w:tcPr>
            <w:tcW w:w="198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学期农村义务教育学生营养改善计划大宗食材采购项目一标段（大米）</w:t>
            </w:r>
          </w:p>
        </w:tc>
        <w:tc>
          <w:tcPr>
            <w:tcW w:w="124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451</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43</w:t>
            </w:r>
          </w:p>
        </w:tc>
        <w:tc>
          <w:tcPr>
            <w:tcW w:w="111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w:t>
            </w:r>
            <w:r>
              <w:rPr>
                <w:rFonts w:hint="eastAsia" w:ascii="宋体" w:hAnsi="宋体" w:cs="宋体"/>
                <w:color w:val="auto"/>
                <w:sz w:val="24"/>
                <w:szCs w:val="24"/>
                <w:highlight w:val="none"/>
                <w:vertAlign w:val="baseline"/>
                <w:lang w:val="en-US" w:eastAsia="zh-CN"/>
              </w:rPr>
              <w:t>18683</w:t>
            </w:r>
          </w:p>
        </w:tc>
        <w:tc>
          <w:tcPr>
            <w:tcW w:w="1290"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2158403.8</w:t>
            </w:r>
          </w:p>
        </w:tc>
        <w:tc>
          <w:tcPr>
            <w:tcW w:w="825" w:type="dxa"/>
            <w:vAlign w:val="center"/>
          </w:tcPr>
          <w:p>
            <w:pPr>
              <w:widowControl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大米</w:t>
            </w:r>
          </w:p>
        </w:tc>
        <w:tc>
          <w:tcPr>
            <w:tcW w:w="2190" w:type="dxa"/>
            <w:vAlign w:val="center"/>
          </w:tcPr>
          <w:p>
            <w:pPr>
              <w:widowControl w:val="0"/>
              <w:jc w:val="lef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茨营中心学校、茨营中学、东山中心学校、东山一中、东山二中、东山三中、三宝中心学校、三宝三中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25" w:hRule="atLeast"/>
        </w:trPr>
        <w:tc>
          <w:tcPr>
            <w:tcW w:w="480"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二标</w:t>
            </w:r>
          </w:p>
        </w:tc>
        <w:tc>
          <w:tcPr>
            <w:tcW w:w="480"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198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学期农村义务教育学生营养改善计划大宗食材采购项目二标段（大米）</w:t>
            </w:r>
          </w:p>
        </w:tc>
        <w:tc>
          <w:tcPr>
            <w:tcW w:w="124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452</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44</w:t>
            </w:r>
          </w:p>
        </w:tc>
        <w:tc>
          <w:tcPr>
            <w:tcW w:w="111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w:t>
            </w:r>
            <w:r>
              <w:rPr>
                <w:rFonts w:hint="eastAsia" w:ascii="宋体" w:hAnsi="宋体" w:cs="宋体"/>
                <w:color w:val="auto"/>
                <w:sz w:val="24"/>
                <w:szCs w:val="24"/>
                <w:highlight w:val="none"/>
                <w:vertAlign w:val="baseline"/>
                <w:lang w:val="en-US" w:eastAsia="zh-CN"/>
              </w:rPr>
              <w:t>15243</w:t>
            </w:r>
          </w:p>
        </w:tc>
        <w:tc>
          <w:tcPr>
            <w:tcW w:w="1290"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1747595.5</w:t>
            </w:r>
          </w:p>
        </w:tc>
        <w:tc>
          <w:tcPr>
            <w:tcW w:w="825" w:type="dxa"/>
            <w:vAlign w:val="center"/>
          </w:tcPr>
          <w:p>
            <w:pPr>
              <w:widowControl w:val="0"/>
              <w:jc w:val="center"/>
              <w:rPr>
                <w:rFonts w:hint="default"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大米</w:t>
            </w:r>
          </w:p>
        </w:tc>
        <w:tc>
          <w:tcPr>
            <w:tcW w:w="219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南宁中心学校、益宁中心学校、白石江中心学校、文华中心学校、潇湘中心学校、潇湘中学、越州中心学校、越州一中、越州二中、沿江中心学校、珠街中心学校、珠街二中、麒麟区特殊教育学校、麒麟区启智爱心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7" w:hRule="atLeast"/>
        </w:trPr>
        <w:tc>
          <w:tcPr>
            <w:tcW w:w="480"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三标</w:t>
            </w:r>
          </w:p>
        </w:tc>
        <w:tc>
          <w:tcPr>
            <w:tcW w:w="480" w:type="dxa"/>
            <w:vMerge w:val="restart"/>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食用油</w:t>
            </w:r>
            <w:r>
              <w:rPr>
                <w:rFonts w:hint="eastAsia" w:ascii="宋体" w:hAnsi="宋体" w:cs="宋体"/>
                <w:color w:val="auto"/>
                <w:sz w:val="24"/>
                <w:szCs w:val="24"/>
                <w:highlight w:val="none"/>
                <w:vertAlign w:val="baseline"/>
                <w:lang w:val="en-US" w:eastAsia="zh-CN"/>
              </w:rPr>
              <w:t>、鸡蛋类</w:t>
            </w:r>
          </w:p>
        </w:tc>
        <w:tc>
          <w:tcPr>
            <w:tcW w:w="198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学期农村义务教育学生营养改善计划大宗食材采购项目三标段（食用油</w:t>
            </w:r>
            <w:r>
              <w:rPr>
                <w:rFonts w:hint="eastAsia" w:ascii="宋体" w:hAnsi="宋体" w:cs="宋体"/>
                <w:color w:val="auto"/>
                <w:sz w:val="24"/>
                <w:szCs w:val="24"/>
                <w:highlight w:val="none"/>
                <w:lang w:val="en-US" w:eastAsia="zh-CN"/>
              </w:rPr>
              <w:t>、鸡蛋</w:t>
            </w:r>
            <w:r>
              <w:rPr>
                <w:rFonts w:hint="eastAsia" w:ascii="宋体" w:hAnsi="宋体" w:eastAsia="宋体" w:cs="宋体"/>
                <w:color w:val="auto"/>
                <w:sz w:val="24"/>
                <w:szCs w:val="24"/>
                <w:highlight w:val="none"/>
                <w:lang w:val="en-US" w:eastAsia="zh-CN"/>
              </w:rPr>
              <w:t>）</w:t>
            </w:r>
          </w:p>
        </w:tc>
        <w:tc>
          <w:tcPr>
            <w:tcW w:w="124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453</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45</w:t>
            </w:r>
          </w:p>
        </w:tc>
        <w:tc>
          <w:tcPr>
            <w:tcW w:w="111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约1</w:t>
            </w:r>
            <w:r>
              <w:rPr>
                <w:rFonts w:hint="eastAsia" w:ascii="宋体" w:hAnsi="宋体" w:cs="宋体"/>
                <w:color w:val="auto"/>
                <w:sz w:val="24"/>
                <w:szCs w:val="24"/>
                <w:highlight w:val="none"/>
                <w:vertAlign w:val="baseline"/>
                <w:lang w:val="en-US" w:eastAsia="zh-CN"/>
              </w:rPr>
              <w:t>5243</w:t>
            </w:r>
          </w:p>
        </w:tc>
        <w:tc>
          <w:tcPr>
            <w:tcW w:w="1290"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1317636.47</w:t>
            </w:r>
          </w:p>
        </w:tc>
        <w:tc>
          <w:tcPr>
            <w:tcW w:w="825" w:type="dxa"/>
            <w:vAlign w:val="center"/>
          </w:tcPr>
          <w:p>
            <w:pPr>
              <w:widowControl w:val="0"/>
              <w:jc w:val="center"/>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食用油</w:t>
            </w:r>
            <w:r>
              <w:rPr>
                <w:rFonts w:hint="eastAsia" w:ascii="宋体" w:hAnsi="宋体" w:cs="宋体"/>
                <w:color w:val="auto"/>
                <w:sz w:val="24"/>
                <w:szCs w:val="24"/>
                <w:highlight w:val="none"/>
                <w:vertAlign w:val="baseline"/>
                <w:lang w:val="en-US" w:eastAsia="zh-CN"/>
              </w:rPr>
              <w:t>、鸡蛋</w:t>
            </w:r>
          </w:p>
        </w:tc>
        <w:tc>
          <w:tcPr>
            <w:tcW w:w="2190" w:type="dxa"/>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南宁中心学校、益宁中心学校、白石江中心学校、文华中心学校、潇湘中心学校、潇湘中学、越州中心学校、越州一中、越州二中、沿江中心学校、珠街中心学校、珠街二中、麒麟区特殊教育学校、麒麟区启智爱心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55" w:hRule="atLeast"/>
        </w:trPr>
        <w:tc>
          <w:tcPr>
            <w:tcW w:w="480"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四标</w:t>
            </w:r>
          </w:p>
        </w:tc>
        <w:tc>
          <w:tcPr>
            <w:tcW w:w="480"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198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学期农村义务教育学生营养改善计划大宗食材采购项目四标段（食用油</w:t>
            </w:r>
            <w:r>
              <w:rPr>
                <w:rFonts w:hint="eastAsia" w:ascii="宋体" w:hAnsi="宋体" w:cs="宋体"/>
                <w:color w:val="auto"/>
                <w:sz w:val="24"/>
                <w:szCs w:val="24"/>
                <w:highlight w:val="none"/>
                <w:lang w:val="en-US" w:eastAsia="zh-CN"/>
              </w:rPr>
              <w:t>、鸡蛋</w:t>
            </w:r>
            <w:r>
              <w:rPr>
                <w:rFonts w:hint="eastAsia" w:ascii="宋体" w:hAnsi="宋体" w:eastAsia="宋体" w:cs="宋体"/>
                <w:color w:val="auto"/>
                <w:sz w:val="24"/>
                <w:szCs w:val="24"/>
                <w:highlight w:val="none"/>
                <w:lang w:val="en-US" w:eastAsia="zh-CN"/>
              </w:rPr>
              <w:t>）</w:t>
            </w:r>
          </w:p>
        </w:tc>
        <w:tc>
          <w:tcPr>
            <w:tcW w:w="124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454</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46</w:t>
            </w:r>
          </w:p>
        </w:tc>
        <w:tc>
          <w:tcPr>
            <w:tcW w:w="111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w:t>
            </w:r>
            <w:r>
              <w:rPr>
                <w:rFonts w:hint="eastAsia" w:ascii="宋体" w:hAnsi="宋体" w:cs="宋体"/>
                <w:color w:val="auto"/>
                <w:sz w:val="24"/>
                <w:szCs w:val="24"/>
                <w:highlight w:val="none"/>
                <w:vertAlign w:val="baseline"/>
                <w:lang w:val="en-US" w:eastAsia="zh-CN"/>
              </w:rPr>
              <w:t>18683</w:t>
            </w:r>
          </w:p>
        </w:tc>
        <w:tc>
          <w:tcPr>
            <w:tcW w:w="1290"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1314333.2</w:t>
            </w:r>
          </w:p>
        </w:tc>
        <w:tc>
          <w:tcPr>
            <w:tcW w:w="825"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食用油</w:t>
            </w:r>
            <w:r>
              <w:rPr>
                <w:rFonts w:hint="eastAsia" w:ascii="宋体" w:hAnsi="宋体" w:cs="宋体"/>
                <w:color w:val="auto"/>
                <w:sz w:val="24"/>
                <w:szCs w:val="24"/>
                <w:highlight w:val="none"/>
                <w:vertAlign w:val="baseline"/>
                <w:lang w:val="en-US" w:eastAsia="zh-CN"/>
              </w:rPr>
              <w:t>、鸡蛋</w:t>
            </w:r>
          </w:p>
        </w:tc>
        <w:tc>
          <w:tcPr>
            <w:tcW w:w="2190" w:type="dxa"/>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茨营中心学校、茨营中学、东山中心学校、东山一中、东山二中、东山三中、三宝中心学校、三宝三中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95" w:hRule="atLeast"/>
        </w:trPr>
        <w:tc>
          <w:tcPr>
            <w:tcW w:w="48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五</w:t>
            </w:r>
            <w:r>
              <w:rPr>
                <w:rFonts w:hint="eastAsia" w:ascii="宋体" w:hAnsi="宋体" w:eastAsia="宋体" w:cs="宋体"/>
                <w:color w:val="auto"/>
                <w:sz w:val="24"/>
                <w:szCs w:val="24"/>
                <w:highlight w:val="none"/>
                <w:vertAlign w:val="baseline"/>
                <w:lang w:val="en-US" w:eastAsia="zh-CN"/>
              </w:rPr>
              <w:t>标</w:t>
            </w:r>
          </w:p>
        </w:tc>
        <w:tc>
          <w:tcPr>
            <w:tcW w:w="480" w:type="dxa"/>
            <w:vMerge w:val="restart"/>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猪肉</w:t>
            </w:r>
            <w:r>
              <w:rPr>
                <w:rFonts w:hint="eastAsia" w:ascii="宋体" w:hAnsi="宋体" w:cs="宋体"/>
                <w:color w:val="auto"/>
                <w:sz w:val="24"/>
                <w:szCs w:val="24"/>
                <w:highlight w:val="none"/>
                <w:vertAlign w:val="baseline"/>
                <w:lang w:val="en-US" w:eastAsia="zh-CN"/>
              </w:rPr>
              <w:t>类</w:t>
            </w:r>
          </w:p>
        </w:tc>
        <w:tc>
          <w:tcPr>
            <w:tcW w:w="198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w:t>
            </w: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lang w:val="en-US" w:eastAsia="zh-CN"/>
              </w:rPr>
              <w:t>标段（猪肉）</w:t>
            </w:r>
          </w:p>
        </w:tc>
        <w:tc>
          <w:tcPr>
            <w:tcW w:w="124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w:t>
            </w:r>
            <w:r>
              <w:rPr>
                <w:rFonts w:hint="eastAsia" w:ascii="宋体" w:hAnsi="宋体" w:cs="宋体"/>
                <w:color w:val="auto"/>
                <w:sz w:val="24"/>
                <w:szCs w:val="24"/>
                <w:highlight w:val="none"/>
                <w:vertAlign w:val="baseline"/>
                <w:lang w:val="en-US" w:eastAsia="zh-CN"/>
              </w:rPr>
              <w:t>1455-2026-47</w:t>
            </w:r>
          </w:p>
        </w:tc>
        <w:tc>
          <w:tcPr>
            <w:tcW w:w="111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约1</w:t>
            </w:r>
            <w:r>
              <w:rPr>
                <w:rFonts w:hint="eastAsia" w:ascii="宋体" w:hAnsi="宋体" w:cs="宋体"/>
                <w:color w:val="auto"/>
                <w:sz w:val="24"/>
                <w:szCs w:val="24"/>
                <w:highlight w:val="none"/>
                <w:vertAlign w:val="baseline"/>
                <w:lang w:val="en-US" w:eastAsia="zh-CN"/>
              </w:rPr>
              <w:t>2542</w:t>
            </w:r>
          </w:p>
        </w:tc>
        <w:tc>
          <w:tcPr>
            <w:tcW w:w="1290"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8122240</w:t>
            </w:r>
          </w:p>
        </w:tc>
        <w:tc>
          <w:tcPr>
            <w:tcW w:w="825"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猪肉</w:t>
            </w:r>
          </w:p>
        </w:tc>
        <w:tc>
          <w:tcPr>
            <w:tcW w:w="2190" w:type="dxa"/>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东山中心学校、东山一中、东山二中、东山三中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52" w:hRule="atLeast"/>
        </w:trPr>
        <w:tc>
          <w:tcPr>
            <w:tcW w:w="48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六</w:t>
            </w:r>
            <w:r>
              <w:rPr>
                <w:rFonts w:hint="eastAsia" w:ascii="宋体" w:hAnsi="宋体" w:eastAsia="宋体" w:cs="宋体"/>
                <w:color w:val="auto"/>
                <w:sz w:val="24"/>
                <w:szCs w:val="24"/>
                <w:highlight w:val="none"/>
                <w:vertAlign w:val="baseline"/>
                <w:lang w:val="en-US" w:eastAsia="zh-CN"/>
              </w:rPr>
              <w:t>标</w:t>
            </w:r>
          </w:p>
        </w:tc>
        <w:tc>
          <w:tcPr>
            <w:tcW w:w="480"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198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lang w:val="en-US" w:eastAsia="zh-CN"/>
              </w:rPr>
              <w:t>标段（猪肉）</w:t>
            </w:r>
          </w:p>
        </w:tc>
        <w:tc>
          <w:tcPr>
            <w:tcW w:w="1245"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456</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48</w:t>
            </w:r>
          </w:p>
        </w:tc>
        <w:tc>
          <w:tcPr>
            <w:tcW w:w="111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约9</w:t>
            </w:r>
            <w:r>
              <w:rPr>
                <w:rFonts w:hint="eastAsia" w:ascii="宋体" w:hAnsi="宋体" w:cs="宋体"/>
                <w:color w:val="auto"/>
                <w:sz w:val="24"/>
                <w:szCs w:val="24"/>
                <w:highlight w:val="none"/>
                <w:vertAlign w:val="baseline"/>
                <w:lang w:val="en-US" w:eastAsia="zh-CN"/>
              </w:rPr>
              <w:t>014</w:t>
            </w:r>
          </w:p>
        </w:tc>
        <w:tc>
          <w:tcPr>
            <w:tcW w:w="1290"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4840024</w:t>
            </w:r>
          </w:p>
        </w:tc>
        <w:tc>
          <w:tcPr>
            <w:tcW w:w="825"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猪肉</w:t>
            </w:r>
          </w:p>
        </w:tc>
        <w:tc>
          <w:tcPr>
            <w:tcW w:w="2190" w:type="dxa"/>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越州中心学校、越州一中、越州二中、茨营中心学校、茨营中学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45" w:hRule="atLeast"/>
        </w:trPr>
        <w:tc>
          <w:tcPr>
            <w:tcW w:w="48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七</w:t>
            </w:r>
            <w:r>
              <w:rPr>
                <w:rFonts w:hint="eastAsia" w:ascii="宋体" w:hAnsi="宋体" w:eastAsia="宋体" w:cs="宋体"/>
                <w:color w:val="auto"/>
                <w:sz w:val="24"/>
                <w:szCs w:val="24"/>
                <w:highlight w:val="none"/>
                <w:vertAlign w:val="baseline"/>
                <w:lang w:val="en-US" w:eastAsia="zh-CN"/>
              </w:rPr>
              <w:t>标</w:t>
            </w:r>
          </w:p>
        </w:tc>
        <w:tc>
          <w:tcPr>
            <w:tcW w:w="480"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198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w:t>
            </w:r>
            <w:r>
              <w:rPr>
                <w:rFonts w:hint="eastAsia" w:ascii="宋体" w:hAnsi="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eastAsia="zh-CN"/>
              </w:rPr>
              <w:t>标段（猪肉）</w:t>
            </w:r>
          </w:p>
        </w:tc>
        <w:tc>
          <w:tcPr>
            <w:tcW w:w="124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457</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49</w:t>
            </w:r>
          </w:p>
        </w:tc>
        <w:tc>
          <w:tcPr>
            <w:tcW w:w="111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约6</w:t>
            </w:r>
            <w:r>
              <w:rPr>
                <w:rFonts w:hint="eastAsia" w:ascii="宋体" w:hAnsi="宋体" w:cs="宋体"/>
                <w:color w:val="auto"/>
                <w:sz w:val="24"/>
                <w:szCs w:val="24"/>
                <w:highlight w:val="none"/>
                <w:vertAlign w:val="baseline"/>
                <w:lang w:val="en-US" w:eastAsia="zh-CN"/>
              </w:rPr>
              <w:t>246</w:t>
            </w:r>
          </w:p>
        </w:tc>
        <w:tc>
          <w:tcPr>
            <w:tcW w:w="1290" w:type="dxa"/>
            <w:vAlign w:val="center"/>
          </w:tcPr>
          <w:p>
            <w:pPr>
              <w:widowControl w:val="0"/>
              <w:jc w:val="center"/>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pacing w:val="-6"/>
                <w:sz w:val="24"/>
                <w:szCs w:val="24"/>
                <w:highlight w:val="none"/>
                <w:vertAlign w:val="baseline"/>
                <w:lang w:val="en-US" w:eastAsia="zh-CN"/>
              </w:rPr>
              <w:t>3465616</w:t>
            </w:r>
          </w:p>
        </w:tc>
        <w:tc>
          <w:tcPr>
            <w:tcW w:w="825"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猪肉</w:t>
            </w:r>
          </w:p>
        </w:tc>
        <w:tc>
          <w:tcPr>
            <w:tcW w:w="2190" w:type="dxa"/>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潇湘中心学校、潇湘中学、沿江中心学校、三宝中心学校、三宝三中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96" w:hRule="atLeast"/>
        </w:trPr>
        <w:tc>
          <w:tcPr>
            <w:tcW w:w="480" w:type="dxa"/>
            <w:vAlign w:val="center"/>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八</w:t>
            </w:r>
            <w:r>
              <w:rPr>
                <w:rFonts w:hint="eastAsia" w:ascii="宋体" w:hAnsi="宋体" w:eastAsia="宋体" w:cs="宋体"/>
                <w:color w:val="auto"/>
                <w:sz w:val="24"/>
                <w:szCs w:val="24"/>
                <w:highlight w:val="none"/>
                <w:vertAlign w:val="baseline"/>
                <w:lang w:val="en-US" w:eastAsia="zh-CN"/>
              </w:rPr>
              <w:t>标</w:t>
            </w:r>
          </w:p>
        </w:tc>
        <w:tc>
          <w:tcPr>
            <w:tcW w:w="480" w:type="dxa"/>
            <w:vMerge w:val="continue"/>
            <w:vAlign w:val="center"/>
          </w:tcPr>
          <w:p>
            <w:pPr>
              <w:jc w:val="center"/>
              <w:rPr>
                <w:rFonts w:hint="eastAsia" w:ascii="宋体" w:hAnsi="宋体" w:eastAsia="宋体" w:cs="宋体"/>
                <w:color w:val="auto"/>
                <w:sz w:val="24"/>
                <w:szCs w:val="24"/>
                <w:highlight w:val="none"/>
                <w:vertAlign w:val="baseline"/>
                <w:lang w:val="en-US" w:eastAsia="zh-CN"/>
              </w:rPr>
            </w:pPr>
          </w:p>
        </w:tc>
        <w:tc>
          <w:tcPr>
            <w:tcW w:w="1980" w:type="dxa"/>
            <w:vAlign w:val="center"/>
          </w:tcPr>
          <w:p>
            <w:pPr>
              <w:keepNext w:val="0"/>
              <w:keepLines w:val="0"/>
              <w:pageBreakBefore w:val="0"/>
              <w:widowControl w:val="0"/>
              <w:kinsoku/>
              <w:wordWrap/>
              <w:overflowPunct/>
              <w:topLinePunct w:val="0"/>
              <w:autoSpaceDE/>
              <w:autoSpaceDN/>
              <w:bidi w:val="0"/>
              <w:adjustRightInd/>
              <w:snapToGrid/>
              <w:spacing w:line="28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麒麟区2026秋季-2027春季</w:t>
            </w:r>
            <w:r>
              <w:rPr>
                <w:rFonts w:hint="eastAsia" w:ascii="宋体" w:hAnsi="宋体" w:eastAsia="宋体" w:cs="宋体"/>
                <w:color w:val="auto"/>
                <w:sz w:val="24"/>
                <w:szCs w:val="24"/>
                <w:highlight w:val="none"/>
                <w:lang w:val="en-US" w:eastAsia="zh-CN"/>
              </w:rPr>
              <w:t>学期农村义务教育学生营养改善计划大宗食材采购项目</w:t>
            </w:r>
            <w:r>
              <w:rPr>
                <w:rFonts w:hint="eastAsia" w:ascii="宋体" w:hAnsi="宋体" w:cs="宋体"/>
                <w:color w:val="auto"/>
                <w:sz w:val="24"/>
                <w:szCs w:val="24"/>
                <w:highlight w:val="none"/>
                <w:lang w:val="en-US" w:eastAsia="zh-CN"/>
              </w:rPr>
              <w:t>八</w:t>
            </w:r>
            <w:r>
              <w:rPr>
                <w:rFonts w:hint="eastAsia" w:ascii="宋体" w:hAnsi="宋体" w:eastAsia="宋体" w:cs="宋体"/>
                <w:color w:val="auto"/>
                <w:sz w:val="24"/>
                <w:szCs w:val="24"/>
                <w:highlight w:val="none"/>
                <w:lang w:val="en-US" w:eastAsia="zh-CN"/>
              </w:rPr>
              <w:t>标段（猪肉）</w:t>
            </w:r>
          </w:p>
        </w:tc>
        <w:tc>
          <w:tcPr>
            <w:tcW w:w="1245"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福招字1</w:t>
            </w:r>
            <w:r>
              <w:rPr>
                <w:rFonts w:hint="eastAsia" w:ascii="宋体" w:hAnsi="宋体" w:cs="宋体"/>
                <w:color w:val="auto"/>
                <w:sz w:val="24"/>
                <w:szCs w:val="24"/>
                <w:highlight w:val="none"/>
                <w:vertAlign w:val="baseline"/>
                <w:lang w:val="en-US" w:eastAsia="zh-CN"/>
              </w:rPr>
              <w:t>458</w:t>
            </w:r>
            <w:r>
              <w:rPr>
                <w:rFonts w:hint="eastAsia" w:ascii="宋体" w:hAnsi="宋体" w:eastAsia="宋体" w:cs="宋体"/>
                <w:color w:val="auto"/>
                <w:sz w:val="24"/>
                <w:szCs w:val="24"/>
                <w:highlight w:val="none"/>
                <w:vertAlign w:val="baseline"/>
                <w:lang w:val="en-US" w:eastAsia="zh-CN"/>
              </w:rPr>
              <w:t>-202</w:t>
            </w:r>
            <w:r>
              <w:rPr>
                <w:rFonts w:hint="eastAsia" w:ascii="宋体" w:hAnsi="宋体" w:cs="宋体"/>
                <w:color w:val="auto"/>
                <w:sz w:val="24"/>
                <w:szCs w:val="24"/>
                <w:highlight w:val="none"/>
                <w:vertAlign w:val="baseline"/>
                <w:lang w:val="en-US" w:eastAsia="zh-CN"/>
              </w:rPr>
              <w:t>6</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50</w:t>
            </w:r>
          </w:p>
        </w:tc>
        <w:tc>
          <w:tcPr>
            <w:tcW w:w="1110" w:type="dxa"/>
            <w:vAlign w:val="center"/>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约6</w:t>
            </w:r>
            <w:r>
              <w:rPr>
                <w:rFonts w:hint="eastAsia" w:ascii="宋体" w:hAnsi="宋体" w:cs="宋体"/>
                <w:color w:val="auto"/>
                <w:sz w:val="24"/>
                <w:szCs w:val="24"/>
                <w:highlight w:val="none"/>
                <w:vertAlign w:val="baseline"/>
                <w:lang w:val="en-US" w:eastAsia="zh-CN"/>
              </w:rPr>
              <w:t>124</w:t>
            </w:r>
          </w:p>
        </w:tc>
        <w:tc>
          <w:tcPr>
            <w:tcW w:w="1290" w:type="dxa"/>
            <w:vAlign w:val="center"/>
          </w:tcPr>
          <w:p>
            <w:pPr>
              <w:widowControl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pacing w:val="-6"/>
                <w:sz w:val="24"/>
                <w:szCs w:val="24"/>
                <w:highlight w:val="none"/>
                <w:vertAlign w:val="baseline"/>
                <w:lang w:val="en-US" w:eastAsia="zh-CN"/>
              </w:rPr>
              <w:t>3119900</w:t>
            </w:r>
          </w:p>
        </w:tc>
        <w:tc>
          <w:tcPr>
            <w:tcW w:w="825" w:type="dxa"/>
            <w:vAlign w:val="center"/>
          </w:tcPr>
          <w:p>
            <w:pPr>
              <w:widowControl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猪肉</w:t>
            </w:r>
          </w:p>
        </w:tc>
        <w:tc>
          <w:tcPr>
            <w:tcW w:w="2190" w:type="dxa"/>
            <w:vAlign w:val="center"/>
          </w:tcPr>
          <w:p>
            <w:pPr>
              <w:widowControl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南宁中心学校、益宁中心学校、白石江中心学校、文华中心学校、珠街中心学校、珠街二中、麒麟区特殊教育学校</w:t>
            </w:r>
            <w:r>
              <w:rPr>
                <w:rFonts w:hint="eastAsia" w:ascii="宋体" w:hAnsi="宋体" w:eastAsia="宋体" w:cs="宋体"/>
                <w:color w:val="auto"/>
                <w:spacing w:val="-6"/>
                <w:sz w:val="24"/>
                <w:szCs w:val="24"/>
                <w:highlight w:val="none"/>
                <w:lang w:val="en-US" w:eastAsia="zh-CN"/>
              </w:rPr>
              <w:t>、麒麟区启智爱心学校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trPr>
        <w:tc>
          <w:tcPr>
            <w:tcW w:w="9600" w:type="dxa"/>
            <w:gridSpan w:val="8"/>
            <w:vAlign w:val="center"/>
          </w:tcPr>
          <w:p>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总计：</w:t>
            </w:r>
            <w:r>
              <w:rPr>
                <w:rFonts w:hint="eastAsia" w:ascii="宋体" w:hAnsi="宋体" w:cs="宋体"/>
                <w:b/>
                <w:bCs/>
                <w:color w:val="auto"/>
                <w:sz w:val="24"/>
                <w:szCs w:val="24"/>
                <w:highlight w:val="none"/>
                <w:lang w:val="en-US" w:eastAsia="zh-CN"/>
              </w:rPr>
              <w:t>26085748.97元</w:t>
            </w:r>
          </w:p>
        </w:tc>
      </w:tr>
    </w:tbl>
    <w:p>
      <w:pPr>
        <w:rPr>
          <w:rFonts w:hint="eastAsia"/>
          <w:b/>
          <w:bCs/>
          <w:color w:val="auto"/>
          <w:sz w:val="30"/>
          <w:szCs w:val="30"/>
          <w:highlight w:val="none"/>
          <w:lang w:val="en-US" w:eastAsia="zh-CN"/>
        </w:rPr>
      </w:pPr>
    </w:p>
    <w:p>
      <w:pPr>
        <w:rPr>
          <w:rFonts w:hint="eastAsia"/>
          <w:b/>
          <w:bCs/>
          <w:color w:val="auto"/>
          <w:sz w:val="30"/>
          <w:szCs w:val="30"/>
          <w:highlight w:val="none"/>
          <w:lang w:val="en-US" w:eastAsia="zh-CN"/>
        </w:rPr>
      </w:pPr>
    </w:p>
    <w:p>
      <w:pPr>
        <w:rPr>
          <w:rFonts w:hint="eastAsia"/>
          <w:b/>
          <w:bCs/>
          <w:color w:val="auto"/>
          <w:sz w:val="30"/>
          <w:szCs w:val="30"/>
          <w:highlight w:val="none"/>
          <w:lang w:val="en-US" w:eastAsia="zh-CN"/>
        </w:rPr>
      </w:pPr>
    </w:p>
    <w:p>
      <w:pPr>
        <w:rPr>
          <w:rFonts w:hint="default"/>
          <w:color w:val="auto"/>
          <w:highlight w:val="none"/>
          <w:lang w:val="en-US" w:eastAsia="zh-CN"/>
        </w:rPr>
      </w:pPr>
      <w:r>
        <w:rPr>
          <w:rFonts w:hint="eastAsia"/>
          <w:b/>
          <w:bCs/>
          <w:color w:val="auto"/>
          <w:sz w:val="30"/>
          <w:szCs w:val="30"/>
          <w:highlight w:val="none"/>
          <w:lang w:val="en-US" w:eastAsia="zh-CN"/>
        </w:rPr>
        <w:t>二、技术规格与参数</w:t>
      </w:r>
    </w:p>
    <w:tbl>
      <w:tblPr>
        <w:tblStyle w:val="47"/>
        <w:tblW w:w="9938" w:type="dxa"/>
        <w:tblInd w:w="-5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10"/>
        <w:gridCol w:w="1215"/>
        <w:gridCol w:w="1365"/>
        <w:gridCol w:w="5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870"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color w:val="auto"/>
                <w:highlight w:val="none"/>
                <w:vertAlign w:val="baseline"/>
              </w:rPr>
            </w:pPr>
            <w:r>
              <w:rPr>
                <w:rFonts w:hint="eastAsia" w:ascii="宋体" w:hAnsi="宋体" w:eastAsia="宋体" w:cs="宋体"/>
                <w:b/>
                <w:bCs/>
                <w:color w:val="auto"/>
                <w:sz w:val="24"/>
                <w:szCs w:val="24"/>
                <w:highlight w:val="none"/>
                <w:lang w:val="en-US" w:eastAsia="zh-CN"/>
              </w:rPr>
              <w:t>序号</w:t>
            </w:r>
          </w:p>
        </w:tc>
        <w:tc>
          <w:tcPr>
            <w:tcW w:w="1110"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color w:val="auto"/>
                <w:highlight w:val="none"/>
                <w:vertAlign w:val="baseline"/>
              </w:rPr>
            </w:pPr>
            <w:r>
              <w:rPr>
                <w:rFonts w:hint="eastAsia" w:ascii="宋体" w:hAnsi="宋体" w:eastAsia="宋体" w:cs="宋体"/>
                <w:b/>
                <w:bCs/>
                <w:color w:val="auto"/>
                <w:sz w:val="24"/>
                <w:szCs w:val="24"/>
                <w:highlight w:val="none"/>
              </w:rPr>
              <w:t>名</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称</w:t>
            </w:r>
          </w:p>
        </w:tc>
        <w:tc>
          <w:tcPr>
            <w:tcW w:w="1215"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color w:val="auto"/>
                <w:highlight w:val="none"/>
                <w:vertAlign w:val="baseline"/>
              </w:rPr>
            </w:pPr>
            <w:r>
              <w:rPr>
                <w:rFonts w:hint="eastAsia" w:ascii="宋体" w:hAnsi="宋体" w:eastAsia="宋体" w:cs="宋体"/>
                <w:b/>
                <w:bCs/>
                <w:color w:val="auto"/>
                <w:sz w:val="24"/>
                <w:szCs w:val="24"/>
                <w:highlight w:val="none"/>
                <w:lang w:val="en-US" w:eastAsia="zh-CN"/>
              </w:rPr>
              <w:t>单位</w:t>
            </w:r>
          </w:p>
        </w:tc>
        <w:tc>
          <w:tcPr>
            <w:tcW w:w="1365"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60" w:lineRule="exact"/>
              <w:ind w:left="-1" w:leftChars="0" w:firstLine="0" w:firstLineChars="0"/>
              <w:jc w:val="center"/>
              <w:textAlignment w:val="auto"/>
              <w:rPr>
                <w:color w:val="auto"/>
                <w:highlight w:val="none"/>
                <w:vertAlign w:val="baseline"/>
              </w:rPr>
            </w:pPr>
            <w:r>
              <w:rPr>
                <w:rFonts w:hint="eastAsia" w:ascii="宋体" w:hAnsi="宋体" w:eastAsia="宋体" w:cs="宋体"/>
                <w:b/>
                <w:bCs/>
                <w:color w:val="auto"/>
                <w:sz w:val="24"/>
                <w:szCs w:val="24"/>
                <w:highlight w:val="none"/>
              </w:rPr>
              <w:t>规</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格</w:t>
            </w:r>
          </w:p>
        </w:tc>
        <w:tc>
          <w:tcPr>
            <w:tcW w:w="537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参数标准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10" w:hRule="atLeast"/>
        </w:trPr>
        <w:tc>
          <w:tcPr>
            <w:tcW w:w="870" w:type="dxa"/>
            <w:vAlign w:val="center"/>
          </w:tcPr>
          <w:p>
            <w:pPr>
              <w:jc w:val="center"/>
              <w:rPr>
                <w:color w:val="auto"/>
                <w:highlight w:val="none"/>
                <w:vertAlign w:val="baseline"/>
              </w:rPr>
            </w:pPr>
            <w:r>
              <w:rPr>
                <w:rFonts w:hint="eastAsia" w:ascii="宋体" w:hAnsi="宋体" w:eastAsia="宋体" w:cs="宋体"/>
                <w:b/>
                <w:bCs/>
                <w:color w:val="auto"/>
                <w:sz w:val="24"/>
                <w:highlight w:val="none"/>
                <w:lang w:val="en-US" w:eastAsia="zh-CN"/>
              </w:rPr>
              <w:t>1</w:t>
            </w:r>
          </w:p>
        </w:tc>
        <w:tc>
          <w:tcPr>
            <w:tcW w:w="1110" w:type="dxa"/>
            <w:vAlign w:val="center"/>
          </w:tcPr>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ind w:left="0" w:leftChars="0" w:firstLine="0" w:firstLineChars="0"/>
              <w:jc w:val="center"/>
              <w:textAlignment w:val="auto"/>
              <w:rPr>
                <w:color w:val="auto"/>
                <w:highlight w:val="none"/>
                <w:vertAlign w:val="baseline"/>
              </w:rPr>
            </w:pPr>
            <w:r>
              <w:rPr>
                <w:rFonts w:hint="eastAsia" w:ascii="宋体" w:hAnsi="宋体" w:eastAsia="宋体" w:cs="宋体"/>
                <w:b/>
                <w:bCs/>
                <w:color w:val="auto"/>
                <w:sz w:val="24"/>
                <w:highlight w:val="none"/>
              </w:rPr>
              <w:t>大米</w:t>
            </w:r>
          </w:p>
        </w:tc>
        <w:tc>
          <w:tcPr>
            <w:tcW w:w="1215" w:type="dxa"/>
            <w:vAlign w:val="center"/>
          </w:tcPr>
          <w:p>
            <w:pPr>
              <w:jc w:val="center"/>
              <w:rPr>
                <w:color w:val="auto"/>
                <w:highlight w:val="none"/>
                <w:vertAlign w:val="baseline"/>
              </w:rPr>
            </w:pPr>
            <w:r>
              <w:rPr>
                <w:rFonts w:hint="eastAsia" w:ascii="宋体" w:hAnsi="宋体" w:eastAsia="宋体" w:cs="宋体"/>
                <w:color w:val="auto"/>
                <w:sz w:val="24"/>
                <w:highlight w:val="none"/>
              </w:rPr>
              <w:t>袋</w:t>
            </w:r>
          </w:p>
        </w:tc>
        <w:tc>
          <w:tcPr>
            <w:tcW w:w="1365" w:type="dxa"/>
            <w:vAlign w:val="center"/>
          </w:tcPr>
          <w:p>
            <w:pPr>
              <w:jc w:val="center"/>
              <w:rPr>
                <w:color w:val="auto"/>
                <w:highlight w:val="none"/>
                <w:vertAlign w:val="baseline"/>
              </w:rPr>
            </w:pPr>
            <w:r>
              <w:rPr>
                <w:rFonts w:hint="eastAsia" w:ascii="宋体" w:hAnsi="宋体" w:eastAsia="宋体" w:cs="宋体"/>
                <w:color w:val="auto"/>
                <w:sz w:val="24"/>
                <w:highlight w:val="none"/>
              </w:rPr>
              <w:t>20-25kg/袋</w:t>
            </w:r>
          </w:p>
        </w:tc>
        <w:tc>
          <w:tcPr>
            <w:tcW w:w="5378" w:type="dxa"/>
            <w:vAlign w:val="center"/>
          </w:tcPr>
          <w:p>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jc w:val="both"/>
              <w:textAlignment w:val="auto"/>
              <w:rPr>
                <w:rFonts w:hint="default"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1</w:t>
            </w:r>
            <w:r>
              <w:rPr>
                <w:rFonts w:hint="eastAsia" w:ascii="宋体" w:hAnsi="宋体" w:cs="宋体"/>
                <w:color w:val="auto"/>
                <w:spacing w:val="0"/>
                <w:sz w:val="24"/>
                <w:highlight w:val="none"/>
                <w:lang w:val="en-US" w:eastAsia="zh-CN"/>
              </w:rPr>
              <w:t>、</w:t>
            </w:r>
            <w:r>
              <w:rPr>
                <w:rFonts w:hint="eastAsia" w:ascii="宋体" w:hAnsi="宋体" w:eastAsia="宋体" w:cs="宋体"/>
                <w:color w:val="auto"/>
                <w:spacing w:val="0"/>
                <w:sz w:val="24"/>
                <w:highlight w:val="none"/>
                <w:lang w:val="en-US" w:eastAsia="zh-CN"/>
              </w:rPr>
              <w:t>符合中华人民共和国国家质量卫生标准 GB/T1354-2018 的大米（粳米）标准、为国标一级（等）及其以上的粳米，拥有“SC”标识。大米颗粒饱满，均匀完整、色泽纯正、无杂质、无霉变、无异味、无虫尸鼠粪、无黄粒米、稻谷、稗子。碎米总量</w:t>
            </w:r>
            <w:r>
              <w:rPr>
                <w:rFonts w:hint="eastAsia" w:ascii="宋体" w:hAnsi="宋体" w:cs="宋体"/>
                <w:color w:val="auto"/>
                <w:spacing w:val="0"/>
                <w:sz w:val="24"/>
                <w:highlight w:val="none"/>
                <w:lang w:val="en-US" w:eastAsia="zh-CN"/>
              </w:rPr>
              <w:t>≤</w:t>
            </w:r>
            <w:r>
              <w:rPr>
                <w:rFonts w:hint="eastAsia" w:ascii="宋体" w:hAnsi="宋体" w:eastAsia="宋体" w:cs="宋体"/>
                <w:color w:val="auto"/>
                <w:spacing w:val="0"/>
                <w:sz w:val="24"/>
                <w:highlight w:val="none"/>
                <w:lang w:val="en-US" w:eastAsia="zh-CN"/>
              </w:rPr>
              <w:t>10%，其中小碎米含量</w:t>
            </w:r>
            <w:r>
              <w:rPr>
                <w:rFonts w:hint="eastAsia" w:ascii="宋体" w:hAnsi="宋体" w:cs="宋体"/>
                <w:color w:val="auto"/>
                <w:spacing w:val="0"/>
                <w:sz w:val="24"/>
                <w:highlight w:val="none"/>
                <w:lang w:val="en-US" w:eastAsia="zh-CN"/>
              </w:rPr>
              <w:t>≤</w:t>
            </w:r>
            <w:r>
              <w:rPr>
                <w:rFonts w:hint="eastAsia" w:ascii="宋体" w:hAnsi="宋体" w:eastAsia="宋体" w:cs="宋体"/>
                <w:color w:val="auto"/>
                <w:spacing w:val="0"/>
                <w:sz w:val="24"/>
                <w:highlight w:val="none"/>
                <w:lang w:val="en-US" w:eastAsia="zh-CN"/>
              </w:rPr>
              <w:t>1.0%，加工精度为精碾，不完善粒含量</w:t>
            </w:r>
            <w:r>
              <w:rPr>
                <w:rFonts w:hint="eastAsia" w:ascii="宋体" w:hAnsi="宋体" w:cs="宋体"/>
                <w:color w:val="auto"/>
                <w:spacing w:val="0"/>
                <w:sz w:val="24"/>
                <w:highlight w:val="none"/>
                <w:lang w:val="en-US" w:eastAsia="zh-CN"/>
              </w:rPr>
              <w:t>≤</w:t>
            </w:r>
            <w:r>
              <w:rPr>
                <w:rFonts w:hint="eastAsia" w:ascii="宋体" w:hAnsi="宋体" w:eastAsia="宋体" w:cs="宋体"/>
                <w:color w:val="auto"/>
                <w:spacing w:val="0"/>
                <w:sz w:val="24"/>
                <w:highlight w:val="none"/>
                <w:lang w:val="en-US" w:eastAsia="zh-CN"/>
              </w:rPr>
              <w:t>3%，水分含量</w:t>
            </w:r>
            <w:r>
              <w:rPr>
                <w:rFonts w:hint="eastAsia" w:ascii="宋体" w:hAnsi="宋体" w:cs="宋体"/>
                <w:color w:val="auto"/>
                <w:spacing w:val="0"/>
                <w:sz w:val="24"/>
                <w:highlight w:val="none"/>
                <w:lang w:val="en-US" w:eastAsia="zh-CN"/>
              </w:rPr>
              <w:t>≤</w:t>
            </w:r>
            <w:r>
              <w:rPr>
                <w:rFonts w:hint="eastAsia" w:ascii="宋体" w:hAnsi="宋体" w:eastAsia="宋体" w:cs="宋体"/>
                <w:color w:val="auto"/>
                <w:spacing w:val="0"/>
                <w:sz w:val="24"/>
                <w:highlight w:val="none"/>
                <w:lang w:val="en-US" w:eastAsia="zh-CN"/>
              </w:rPr>
              <w:t>15.5%，杂质含量</w:t>
            </w:r>
            <w:r>
              <w:rPr>
                <w:rFonts w:hint="eastAsia" w:ascii="宋体" w:hAnsi="宋体" w:cs="宋体"/>
                <w:color w:val="auto"/>
                <w:spacing w:val="0"/>
                <w:sz w:val="24"/>
                <w:highlight w:val="none"/>
                <w:lang w:val="en-US" w:eastAsia="zh-CN"/>
              </w:rPr>
              <w:t>≤</w:t>
            </w:r>
            <w:r>
              <w:rPr>
                <w:rFonts w:hint="eastAsia" w:ascii="宋体" w:hAnsi="宋体" w:eastAsia="宋体" w:cs="宋体"/>
                <w:color w:val="auto"/>
                <w:spacing w:val="0"/>
                <w:sz w:val="24"/>
                <w:highlight w:val="none"/>
                <w:lang w:val="en-US" w:eastAsia="zh-CN"/>
              </w:rPr>
              <w:t>0.25%，黄粒米含量</w:t>
            </w:r>
            <w:r>
              <w:rPr>
                <w:rFonts w:hint="eastAsia" w:ascii="宋体" w:hAnsi="宋体" w:cs="宋体"/>
                <w:color w:val="auto"/>
                <w:spacing w:val="0"/>
                <w:sz w:val="24"/>
                <w:highlight w:val="none"/>
                <w:lang w:val="en-US" w:eastAsia="zh-CN"/>
              </w:rPr>
              <w:t>≤</w:t>
            </w:r>
            <w:r>
              <w:rPr>
                <w:rFonts w:hint="eastAsia" w:ascii="宋体" w:hAnsi="宋体" w:eastAsia="宋体" w:cs="宋体"/>
                <w:color w:val="auto"/>
                <w:spacing w:val="0"/>
                <w:sz w:val="24"/>
                <w:highlight w:val="none"/>
                <w:lang w:val="en-US" w:eastAsia="zh-CN"/>
              </w:rPr>
              <w:t>1.0%，胡混率</w:t>
            </w:r>
            <w:r>
              <w:rPr>
                <w:rFonts w:hint="eastAsia" w:ascii="宋体" w:hAnsi="宋体" w:cs="宋体"/>
                <w:color w:val="auto"/>
                <w:spacing w:val="0"/>
                <w:sz w:val="24"/>
                <w:highlight w:val="none"/>
                <w:lang w:val="en-US" w:eastAsia="zh-CN"/>
              </w:rPr>
              <w:t>≤</w:t>
            </w:r>
            <w:r>
              <w:rPr>
                <w:rFonts w:hint="eastAsia" w:ascii="宋体" w:hAnsi="宋体" w:eastAsia="宋体" w:cs="宋体"/>
                <w:color w:val="auto"/>
                <w:spacing w:val="0"/>
                <w:sz w:val="24"/>
                <w:highlight w:val="none"/>
                <w:lang w:val="en-US" w:eastAsia="zh-CN"/>
              </w:rPr>
              <w:t>5.0%；所提供的大米必须是当年或上一年稻谷加工的，不得提供陈米；不得出现重金属超标等情形。</w:t>
            </w:r>
          </w:p>
          <w:p>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2、包装符合 GB/T17109 《粮食销售包装》的规定及食品安全要求，用纤维袋或塑料袋定量包装，包装标识清楚，印有食品生产许可证编号“SC”加 14 位阿拉伯数字、生产日期、保质期、生产厂家、电话等。</w:t>
            </w:r>
          </w:p>
          <w:p>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3、供货时每批次需附第三方有资质的质检机构出具的产品检验报告（检验项目包括常规质量指标和食品安全指标）；出具厂家出厂检验报告。</w:t>
            </w:r>
          </w:p>
          <w:p>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jc w:val="both"/>
              <w:textAlignment w:val="auto"/>
              <w:rPr>
                <w:rFonts w:hint="default"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4、运输工具：必须使用专业车辆配送，确保食材质量。</w:t>
            </w:r>
          </w:p>
          <w:p>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ind w:left="0" w:leftChars="0" w:firstLine="0" w:firstLineChars="0"/>
              <w:jc w:val="both"/>
              <w:textAlignment w:val="auto"/>
              <w:rPr>
                <w:color w:val="auto"/>
                <w:highlight w:val="none"/>
                <w:vertAlign w:val="baseline"/>
              </w:rPr>
            </w:pPr>
            <w:r>
              <w:rPr>
                <w:rFonts w:hint="eastAsia" w:ascii="宋体" w:hAnsi="宋体" w:eastAsia="宋体" w:cs="宋体"/>
                <w:color w:val="auto"/>
                <w:spacing w:val="3"/>
                <w:sz w:val="24"/>
                <w:highlight w:val="none"/>
                <w:lang w:val="en-US" w:eastAsia="zh-CN"/>
              </w:rPr>
              <w:t>5、供货时每批货剩余有效保质期不少于</w:t>
            </w:r>
            <w:r>
              <w:rPr>
                <w:rFonts w:hint="eastAsia" w:ascii="宋体" w:hAnsi="宋体" w:cs="宋体"/>
                <w:color w:val="auto"/>
                <w:spacing w:val="3"/>
                <w:sz w:val="24"/>
                <w:highlight w:val="none"/>
                <w:lang w:val="en-US" w:eastAsia="zh-CN"/>
              </w:rPr>
              <w:t>该货物规定保质期的1/4</w:t>
            </w:r>
            <w:r>
              <w:rPr>
                <w:rFonts w:hint="eastAsia" w:ascii="宋体" w:hAnsi="宋体" w:eastAsia="宋体" w:cs="宋体"/>
                <w:color w:val="auto"/>
                <w:spacing w:val="3"/>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60" w:hRule="atLeast"/>
        </w:trPr>
        <w:tc>
          <w:tcPr>
            <w:tcW w:w="870" w:type="dxa"/>
            <w:vAlign w:val="center"/>
          </w:tcPr>
          <w:p>
            <w:pPr>
              <w:jc w:val="center"/>
              <w:rPr>
                <w:color w:val="auto"/>
                <w:highlight w:val="none"/>
                <w:vertAlign w:val="baseline"/>
              </w:rPr>
            </w:pPr>
            <w:r>
              <w:rPr>
                <w:rFonts w:hint="eastAsia" w:ascii="宋体" w:hAnsi="宋体" w:eastAsia="宋体" w:cs="宋体"/>
                <w:b/>
                <w:bCs/>
                <w:color w:val="auto"/>
                <w:sz w:val="24"/>
                <w:highlight w:val="none"/>
                <w:lang w:val="en-US" w:eastAsia="zh-CN"/>
              </w:rPr>
              <w:t>2</w:t>
            </w:r>
          </w:p>
        </w:tc>
        <w:tc>
          <w:tcPr>
            <w:tcW w:w="1110" w:type="dxa"/>
            <w:vAlign w:val="center"/>
          </w:tcPr>
          <w:p>
            <w:pPr>
              <w:numPr>
                <w:ilvl w:val="0"/>
                <w:numId w:val="0"/>
              </w:numPr>
              <w:autoSpaceDE w:val="0"/>
              <w:autoSpaceDN w:val="0"/>
              <w:spacing w:line="400" w:lineRule="exact"/>
              <w:ind w:left="0" w:leftChars="0" w:firstLine="0" w:firstLineChars="0"/>
              <w:jc w:val="center"/>
              <w:rPr>
                <w:color w:val="auto"/>
                <w:highlight w:val="none"/>
                <w:vertAlign w:val="baseline"/>
              </w:rPr>
            </w:pPr>
            <w:r>
              <w:rPr>
                <w:rFonts w:hint="eastAsia" w:ascii="宋体" w:hAnsi="宋体" w:eastAsia="宋体" w:cs="宋体"/>
                <w:b/>
                <w:bCs/>
                <w:color w:val="auto"/>
                <w:sz w:val="24"/>
                <w:highlight w:val="none"/>
              </w:rPr>
              <w:t>食用油</w:t>
            </w:r>
          </w:p>
        </w:tc>
        <w:tc>
          <w:tcPr>
            <w:tcW w:w="1215" w:type="dxa"/>
            <w:vAlign w:val="center"/>
          </w:tcPr>
          <w:p>
            <w:pPr>
              <w:spacing w:line="400" w:lineRule="exact"/>
              <w:jc w:val="center"/>
              <w:rPr>
                <w:color w:val="auto"/>
                <w:highlight w:val="none"/>
                <w:vertAlign w:val="baseline"/>
              </w:rPr>
            </w:pPr>
            <w:r>
              <w:rPr>
                <w:rFonts w:hint="eastAsia" w:ascii="宋体" w:hAnsi="宋体" w:eastAsia="宋体" w:cs="宋体"/>
                <w:b w:val="0"/>
                <w:bCs w:val="0"/>
                <w:color w:val="auto"/>
                <w:sz w:val="24"/>
                <w:highlight w:val="none"/>
                <w:lang w:val="en-US" w:eastAsia="zh-CN"/>
              </w:rPr>
              <w:t>桶</w:t>
            </w:r>
          </w:p>
        </w:tc>
        <w:tc>
          <w:tcPr>
            <w:tcW w:w="1365" w:type="dxa"/>
            <w:vAlign w:val="center"/>
          </w:tcPr>
          <w:p>
            <w:pPr>
              <w:rPr>
                <w:color w:val="auto"/>
                <w:highlight w:val="none"/>
                <w:vertAlign w:val="baseline"/>
              </w:rPr>
            </w:pPr>
            <w:r>
              <w:rPr>
                <w:rFonts w:hint="eastAsia" w:ascii="宋体" w:hAnsi="宋体" w:eastAsia="宋体" w:cs="宋体"/>
                <w:color w:val="auto"/>
                <w:spacing w:val="-11"/>
                <w:sz w:val="24"/>
                <w:highlight w:val="none"/>
              </w:rPr>
              <w:t>5-20升/桶</w:t>
            </w:r>
          </w:p>
        </w:tc>
        <w:tc>
          <w:tcPr>
            <w:tcW w:w="5378" w:type="dxa"/>
            <w:vAlign w:val="center"/>
          </w:tcPr>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1、符合《食品安全国家标准植物油》GB2716-2018、符合国家、省、市及行业现行最新质量技术标准、规范，拥有“SC”标识。质量等级：不低于一级；质量要求：色泽正常，澄清透明，口感良好，无悬浮物、无杂质、无沉淀物，无焦臭、酸腐及其它异味；要使用一次性专用包装，非散装、灌装食用油。（非转基因）质量标准GB/T1536-2021《菜籽油》，质量符合相关国家质量标准；卫生指标按GB-2716《食品安全国家标准植物油》、GB2760《食品添加剂使用标准》和国家有关规定执行，不得掺有其他食用油和非食用油；不得添加任何香精和香料。</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default"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2、包装应符合 GB/T17374《食用植物油销售包装》及 GB7718《预包装食品标签通则》。必须为预包装产品，印有生产许可证编号“SC”加 14 位阿拉伯数字、生产日期、保质期、生产厂家、电话等。</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default"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3、供货时每批次需附第三方有资质的质检机构出具的产品检验报告（检验项目包括常规质量指标和食品安全指标）；出具厂家出厂检验报告。</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4、运输工具：必须使用专业车辆配送，确保食材质量。</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ind w:left="0" w:leftChars="0" w:firstLine="0" w:firstLineChars="0"/>
              <w:jc w:val="both"/>
              <w:textAlignment w:val="auto"/>
              <w:rPr>
                <w:color w:val="auto"/>
                <w:highlight w:val="none"/>
                <w:vertAlign w:val="baseline"/>
              </w:rPr>
            </w:pPr>
            <w:r>
              <w:rPr>
                <w:rFonts w:hint="eastAsia" w:ascii="宋体" w:hAnsi="宋体" w:eastAsia="宋体" w:cs="宋体"/>
                <w:color w:val="auto"/>
                <w:spacing w:val="3"/>
                <w:sz w:val="24"/>
                <w:highlight w:val="none"/>
                <w:lang w:val="en-US" w:eastAsia="zh-CN"/>
              </w:rPr>
              <w:t>5、供货时每批货剩余有效保质期不少于</w:t>
            </w:r>
            <w:r>
              <w:rPr>
                <w:rFonts w:hint="eastAsia" w:ascii="宋体" w:hAnsi="宋体" w:cs="宋体"/>
                <w:color w:val="auto"/>
                <w:spacing w:val="3"/>
                <w:sz w:val="24"/>
                <w:highlight w:val="none"/>
                <w:lang w:val="en-US" w:eastAsia="zh-CN"/>
              </w:rPr>
              <w:t>该货物规定保质期的1/4</w:t>
            </w:r>
            <w:r>
              <w:rPr>
                <w:rFonts w:hint="eastAsia" w:ascii="宋体" w:hAnsi="宋体" w:eastAsia="宋体" w:cs="宋体"/>
                <w:color w:val="auto"/>
                <w:spacing w:val="3"/>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55" w:hRule="atLeast"/>
        </w:trPr>
        <w:tc>
          <w:tcPr>
            <w:tcW w:w="870" w:type="dxa"/>
            <w:vAlign w:val="center"/>
          </w:tcPr>
          <w:p>
            <w:pPr>
              <w:jc w:val="center"/>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3</w:t>
            </w:r>
          </w:p>
        </w:tc>
        <w:tc>
          <w:tcPr>
            <w:tcW w:w="1110" w:type="dxa"/>
            <w:vAlign w:val="center"/>
          </w:tcPr>
          <w:p>
            <w:pPr>
              <w:keepNext w:val="0"/>
              <w:keepLines w:val="0"/>
              <w:pageBreakBefore w:val="0"/>
              <w:widowControl w:val="0"/>
              <w:kinsoku/>
              <w:wordWrap/>
              <w:overflowPunct/>
              <w:topLinePunct w:val="0"/>
              <w:autoSpaceDE w:val="0"/>
              <w:autoSpaceDN w:val="0"/>
              <w:bidi w:val="0"/>
              <w:adjustRightInd/>
              <w:snapToGrid/>
              <w:spacing w:line="320" w:lineRule="exact"/>
              <w:jc w:val="center"/>
              <w:textAlignment w:val="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鸡蛋</w:t>
            </w:r>
          </w:p>
        </w:tc>
        <w:tc>
          <w:tcPr>
            <w:tcW w:w="1215" w:type="dxa"/>
            <w:vAlign w:val="center"/>
          </w:tcPr>
          <w:p>
            <w:pPr>
              <w:jc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公斤</w:t>
            </w:r>
          </w:p>
        </w:tc>
        <w:tc>
          <w:tcPr>
            <w:tcW w:w="1365" w:type="dxa"/>
            <w:vAlign w:val="center"/>
          </w:tcPr>
          <w:p>
            <w:pPr>
              <w:jc w:val="center"/>
              <w:rPr>
                <w:rFonts w:hint="eastAsia" w:ascii="宋体" w:hAnsi="宋体" w:eastAsia="宋体" w:cs="宋体"/>
                <w:color w:val="auto"/>
                <w:spacing w:val="-11"/>
                <w:sz w:val="24"/>
                <w:highlight w:val="none"/>
              </w:rPr>
            </w:pPr>
            <w:r>
              <w:rPr>
                <w:rFonts w:hint="eastAsia" w:ascii="宋体" w:hAnsi="宋体" w:eastAsia="宋体" w:cs="宋体"/>
                <w:b w:val="0"/>
                <w:bCs w:val="0"/>
                <w:color w:val="auto"/>
                <w:sz w:val="24"/>
                <w:highlight w:val="none"/>
                <w:lang w:val="en-US" w:eastAsia="zh-CN"/>
              </w:rPr>
              <w:t>按公斤称重计量</w:t>
            </w:r>
          </w:p>
        </w:tc>
        <w:tc>
          <w:tcPr>
            <w:tcW w:w="5378" w:type="dxa"/>
            <w:vAlign w:val="center"/>
          </w:tcPr>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1、符合 GB21710-2016 食品安全国家标准蛋与蛋制品生产卫生规范，氯霉素、甲硝唑、地美硝唑、呋喃唑酮代谢物、恩诺沙星不得检出，氟虫腈≤0.02mg/KG；不得出现抗生素超标、兽药超标等情形。</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2、产品质量要求：无破裂，具有鸡蛋固有的气味，无异味、无杂质。外箱清洁无破损，无污染，标识清晰。在保质期内，无变质。</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3"/>
                <w:sz w:val="24"/>
                <w:highlight w:val="none"/>
                <w:lang w:val="en-US" w:eastAsia="zh-CN"/>
              </w:rPr>
              <w:t>3、</w:t>
            </w:r>
            <w:r>
              <w:rPr>
                <w:rFonts w:hint="eastAsia" w:ascii="宋体" w:hAnsi="宋体" w:cs="宋体"/>
                <w:color w:val="auto"/>
                <w:spacing w:val="3"/>
                <w:sz w:val="24"/>
                <w:highlight w:val="none"/>
                <w:lang w:val="en-US" w:eastAsia="zh-CN"/>
              </w:rPr>
              <w:t>包装要求：</w:t>
            </w:r>
            <w:r>
              <w:rPr>
                <w:rFonts w:hint="eastAsia" w:ascii="宋体" w:hAnsi="宋体" w:eastAsia="宋体" w:cs="宋体"/>
                <w:color w:val="auto"/>
                <w:spacing w:val="3"/>
                <w:sz w:val="24"/>
                <w:highlight w:val="none"/>
                <w:lang w:val="en-US" w:eastAsia="zh-CN"/>
              </w:rPr>
              <w:t>内包装采用食品级蛋托，单蛋独立凹槽分隔，鸡蛋大头朝上摆放，每层配备瓦楞隔离板，严禁裸蛋混装、叠压</w:t>
            </w:r>
            <w:r>
              <w:rPr>
                <w:rFonts w:hint="eastAsia" w:ascii="宋体" w:hAnsi="宋体" w:cs="宋体"/>
                <w:color w:val="auto"/>
                <w:spacing w:val="3"/>
                <w:sz w:val="24"/>
                <w:highlight w:val="none"/>
                <w:lang w:val="en-US" w:eastAsia="zh-CN"/>
              </w:rPr>
              <w:t>；</w:t>
            </w:r>
            <w:r>
              <w:rPr>
                <w:rFonts w:hint="eastAsia" w:ascii="宋体" w:hAnsi="宋体" w:eastAsia="宋体" w:cs="宋体"/>
                <w:color w:val="auto"/>
                <w:spacing w:val="3"/>
                <w:sz w:val="24"/>
                <w:highlight w:val="none"/>
                <w:lang w:val="en-US" w:eastAsia="zh-CN"/>
              </w:rPr>
              <w:t>包装层数符合GB43284-2023，采用可回收环保材质，禁止一次性泡沫、非降解塑料填充。外包装为五层加厚带通风孔瓦楞纸箱，统一定量装箱，箱体胶带完整密封，配送途中防挤压、防闷湿</w:t>
            </w:r>
            <w:r>
              <w:rPr>
                <w:rFonts w:hint="eastAsia" w:ascii="宋体" w:hAnsi="宋体" w:cs="宋体"/>
                <w:color w:val="auto"/>
                <w:spacing w:val="3"/>
                <w:sz w:val="24"/>
                <w:highlight w:val="none"/>
                <w:lang w:val="en-US" w:eastAsia="zh-CN"/>
              </w:rPr>
              <w:t>；</w:t>
            </w:r>
            <w:r>
              <w:rPr>
                <w:rFonts w:hint="eastAsia" w:ascii="宋体" w:hAnsi="宋体" w:eastAsia="宋体" w:cs="宋体"/>
                <w:color w:val="auto"/>
                <w:spacing w:val="3"/>
                <w:sz w:val="24"/>
                <w:highlight w:val="none"/>
                <w:lang w:val="en-US" w:eastAsia="zh-CN"/>
              </w:rPr>
              <w:t>破损、漏液鸡蛋全部剔除。</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4、</w:t>
            </w:r>
            <w:r>
              <w:rPr>
                <w:rFonts w:hint="eastAsia" w:ascii="宋体" w:hAnsi="宋体" w:eastAsia="宋体" w:cs="宋体"/>
                <w:color w:val="auto"/>
                <w:spacing w:val="3"/>
                <w:sz w:val="24"/>
                <w:highlight w:val="none"/>
                <w:lang w:val="en-US" w:eastAsia="zh-CN"/>
              </w:rPr>
              <w:t>供货时必须附同批次食用农产品承诺达标合格证；每批次需附第三方有资质的质检机构出具的产品检验报告（检验项目包括常规质量指标和食品安全指标）和兽药残留的质量检测报告。</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5</w:t>
            </w:r>
            <w:r>
              <w:rPr>
                <w:rFonts w:hint="eastAsia" w:ascii="宋体" w:hAnsi="宋体" w:eastAsia="宋体" w:cs="宋体"/>
                <w:color w:val="auto"/>
                <w:spacing w:val="3"/>
                <w:sz w:val="24"/>
                <w:highlight w:val="none"/>
                <w:lang w:val="en-US" w:eastAsia="zh-CN"/>
              </w:rPr>
              <w:t>、运输工具：必须使用专业车辆配送，确保食材质量。</w:t>
            </w:r>
          </w:p>
          <w:p>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hAnsi="宋体" w:eastAsia="宋体" w:cs="宋体"/>
                <w:color w:val="auto"/>
                <w:spacing w:val="3"/>
                <w:sz w:val="24"/>
                <w:highlight w:val="none"/>
                <w:lang w:val="en-US" w:eastAsia="zh-CN"/>
              </w:rPr>
            </w:pPr>
            <w:r>
              <w:rPr>
                <w:rFonts w:hint="eastAsia" w:ascii="宋体" w:hAnsi="宋体" w:cs="宋体"/>
                <w:color w:val="auto"/>
                <w:spacing w:val="3"/>
                <w:sz w:val="24"/>
                <w:highlight w:val="none"/>
                <w:lang w:val="en-US" w:eastAsia="zh-CN"/>
              </w:rPr>
              <w:t>6</w:t>
            </w:r>
            <w:r>
              <w:rPr>
                <w:rFonts w:hint="eastAsia" w:ascii="宋体" w:hAnsi="宋体" w:eastAsia="宋体" w:cs="宋体"/>
                <w:color w:val="auto"/>
                <w:spacing w:val="3"/>
                <w:sz w:val="24"/>
                <w:highlight w:val="none"/>
                <w:lang w:val="en-US" w:eastAsia="zh-CN"/>
              </w:rPr>
              <w:t>、供货时每批货剩余有效保质期不少于</w:t>
            </w:r>
            <w:r>
              <w:rPr>
                <w:rFonts w:hint="eastAsia" w:ascii="宋体" w:hAnsi="宋体" w:cs="宋体"/>
                <w:color w:val="auto"/>
                <w:spacing w:val="3"/>
                <w:sz w:val="24"/>
                <w:highlight w:val="none"/>
                <w:lang w:val="en-US" w:eastAsia="zh-CN"/>
              </w:rPr>
              <w:t>该货物规定保质期的1/4</w:t>
            </w:r>
            <w:r>
              <w:rPr>
                <w:rFonts w:hint="eastAsia" w:ascii="宋体" w:hAnsi="宋体" w:eastAsia="宋体" w:cs="宋体"/>
                <w:color w:val="auto"/>
                <w:spacing w:val="3"/>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870" w:type="dxa"/>
            <w:vAlign w:val="center"/>
          </w:tcPr>
          <w:p>
            <w:pPr>
              <w:jc w:val="center"/>
              <w:rPr>
                <w:color w:val="auto"/>
                <w:highlight w:val="none"/>
                <w:vertAlign w:val="baseline"/>
              </w:rPr>
            </w:pPr>
            <w:r>
              <w:rPr>
                <w:rFonts w:hint="eastAsia" w:ascii="宋体" w:hAnsi="宋体" w:cs="宋体"/>
                <w:b/>
                <w:bCs/>
                <w:color w:val="auto"/>
                <w:sz w:val="24"/>
                <w:highlight w:val="none"/>
                <w:lang w:val="en-US" w:eastAsia="zh-CN"/>
              </w:rPr>
              <w:t>4</w:t>
            </w:r>
          </w:p>
        </w:tc>
        <w:tc>
          <w:tcPr>
            <w:tcW w:w="1110" w:type="dxa"/>
            <w:vAlign w:val="center"/>
          </w:tcPr>
          <w:p>
            <w:pPr>
              <w:keepNext w:val="0"/>
              <w:keepLines w:val="0"/>
              <w:pageBreakBefore w:val="0"/>
              <w:widowControl w:val="0"/>
              <w:kinsoku/>
              <w:wordWrap/>
              <w:overflowPunct/>
              <w:topLinePunct w:val="0"/>
              <w:autoSpaceDE w:val="0"/>
              <w:autoSpaceDN w:val="0"/>
              <w:bidi w:val="0"/>
              <w:adjustRightInd/>
              <w:snapToGrid/>
              <w:spacing w:line="320" w:lineRule="exact"/>
              <w:jc w:val="center"/>
              <w:textAlignment w:val="auto"/>
              <w:rPr>
                <w:color w:val="auto"/>
                <w:highlight w:val="none"/>
                <w:vertAlign w:val="baseline"/>
              </w:rPr>
            </w:pPr>
            <w:r>
              <w:rPr>
                <w:rFonts w:hint="eastAsia" w:ascii="宋体" w:hAnsi="宋体" w:cs="宋体"/>
                <w:b/>
                <w:bCs/>
                <w:color w:val="auto"/>
                <w:sz w:val="24"/>
                <w:highlight w:val="none"/>
                <w:lang w:val="en-US" w:eastAsia="zh-CN"/>
              </w:rPr>
              <w:t>猪肉</w:t>
            </w:r>
          </w:p>
        </w:tc>
        <w:tc>
          <w:tcPr>
            <w:tcW w:w="1215" w:type="dxa"/>
            <w:vAlign w:val="center"/>
          </w:tcPr>
          <w:p>
            <w:pPr>
              <w:jc w:val="center"/>
              <w:rPr>
                <w:color w:val="auto"/>
                <w:highlight w:val="none"/>
                <w:vertAlign w:val="baseline"/>
              </w:rPr>
            </w:pPr>
            <w:r>
              <w:rPr>
                <w:rFonts w:hint="eastAsia" w:ascii="宋体" w:hAnsi="宋体" w:eastAsia="宋体" w:cs="宋体"/>
                <w:b w:val="0"/>
                <w:bCs w:val="0"/>
                <w:color w:val="auto"/>
                <w:sz w:val="24"/>
                <w:highlight w:val="none"/>
                <w:lang w:val="en-US" w:eastAsia="zh-CN"/>
              </w:rPr>
              <w:t>公斤</w:t>
            </w:r>
          </w:p>
        </w:tc>
        <w:tc>
          <w:tcPr>
            <w:tcW w:w="1365" w:type="dxa"/>
            <w:vAlign w:val="center"/>
          </w:tcPr>
          <w:p>
            <w:pPr>
              <w:jc w:val="center"/>
              <w:rPr>
                <w:color w:val="auto"/>
                <w:highlight w:val="none"/>
                <w:vertAlign w:val="baseline"/>
              </w:rPr>
            </w:pPr>
            <w:r>
              <w:rPr>
                <w:rFonts w:hint="eastAsia" w:ascii="宋体" w:hAnsi="宋体" w:eastAsia="宋体" w:cs="宋体"/>
                <w:b w:val="0"/>
                <w:bCs w:val="0"/>
                <w:color w:val="auto"/>
                <w:sz w:val="24"/>
                <w:highlight w:val="none"/>
                <w:lang w:val="en-US" w:eastAsia="zh-CN"/>
              </w:rPr>
              <w:t>按公斤称重计量</w:t>
            </w:r>
          </w:p>
        </w:tc>
        <w:tc>
          <w:tcPr>
            <w:tcW w:w="5378" w:type="dxa"/>
            <w:vAlign w:val="center"/>
          </w:tcPr>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1、定点屠宰，能够提供合规屠宰场的合作协议，达到GB</w:t>
            </w:r>
            <w:r>
              <w:rPr>
                <w:rFonts w:hint="eastAsia" w:ascii="宋体" w:hAnsi="宋体" w:cs="宋体"/>
                <w:color w:val="auto"/>
                <w:sz w:val="24"/>
                <w:highlight w:val="none"/>
                <w:lang w:val="en-US" w:eastAsia="zh-CN"/>
              </w:rPr>
              <w:t>2707-2016</w:t>
            </w:r>
            <w:r>
              <w:rPr>
                <w:rFonts w:hint="eastAsia" w:ascii="宋体" w:hAnsi="宋体" w:eastAsia="宋体" w:cs="宋体"/>
                <w:color w:val="auto"/>
                <w:sz w:val="24"/>
                <w:highlight w:val="none"/>
                <w:lang w:val="en-US" w:eastAsia="zh-CN"/>
              </w:rPr>
              <w:t>检验质量标准，动物检疫部门检验检疫合格；不得出现抗生素超标、兽药超标等情形。</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2、生猪标准：供应商所供猪肉来源的生猪单头活体重量须达至150公斤及以上的大膘猪。</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感官标准：肉质饱满，不得提供病猪肉、死猪肉、母猪肉、种猪肉、注水肉、冷冻肉、变质肉。肉质紧密，富有弹性，皮薄膘肥，皮无斑点，脂肪呈白色或乳白色，有光泽；瘦肉呈红色或粉红色，有光泽，不发粘；肉无异味、臭味；淋巴结的大小和数量正常，横切面颜色呈淡黄色或偏灰色。</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4、经动物卫生监督机构检疫合格、屠宰企业肉品品质检验合格，加盖肉品品质检验合格验讫印章、动物检疫合格验讫印章后方可配送。</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5、运输工具：所有肉类产品必须使用冷藏车进行配送，运输过程中车厢内温度严格控制在0-4℃，确保肉质新鲜安全。</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r>
              <w:rPr>
                <w:rFonts w:hint="eastAsia"/>
                <w:sz w:val="24"/>
                <w:szCs w:val="24"/>
                <w:highlight w:val="none"/>
                <w:lang w:val="en-US" w:eastAsia="zh-CN"/>
              </w:rPr>
              <w:t>包装、盛装容器需符合《中华人民共和国食品安全法》等相关法律法规和食品安全标准的规定。包装、盛装材料应采用洁净、无污染、无相关副作用、</w:t>
            </w:r>
            <w:r>
              <w:rPr>
                <w:color w:val="000000"/>
                <w:sz w:val="24"/>
                <w:szCs w:val="24"/>
                <w:highlight w:val="none"/>
              </w:rPr>
              <w:t>无再生料、无异味，密封严实，不渗漏血水</w:t>
            </w:r>
            <w:r>
              <w:rPr>
                <w:rFonts w:hint="eastAsia"/>
                <w:sz w:val="24"/>
                <w:szCs w:val="24"/>
                <w:highlight w:val="none"/>
                <w:lang w:val="en-US" w:eastAsia="zh-CN"/>
              </w:rPr>
              <w:t>的</w:t>
            </w:r>
            <w:r>
              <w:rPr>
                <w:color w:val="000000"/>
                <w:sz w:val="24"/>
                <w:szCs w:val="24"/>
                <w:highlight w:val="none"/>
              </w:rPr>
              <w:t>全新食品级 PE 塑料袋，符合 GB 4806.7，不使用有色废旧塑料袋。</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jc w:val="both"/>
              <w:textAlignment w:val="auto"/>
              <w:rPr>
                <w:color w:val="auto"/>
                <w:highlight w:val="none"/>
              </w:rPr>
            </w:pPr>
            <w:r>
              <w:rPr>
                <w:rFonts w:hint="eastAsia" w:ascii="宋体" w:hAnsi="宋体" w:eastAsia="宋体" w:cs="宋体"/>
                <w:color w:val="auto"/>
                <w:sz w:val="24"/>
                <w:highlight w:val="none"/>
                <w:lang w:val="en-US" w:eastAsia="zh-CN"/>
              </w:rPr>
              <w:t>7、当天屠宰，当天上午10点前配送到位。</w:t>
            </w:r>
          </w:p>
        </w:tc>
      </w:tr>
    </w:tbl>
    <w:p>
      <w:pPr>
        <w:keepNext w:val="0"/>
        <w:keepLines w:val="0"/>
        <w:pageBreakBefore w:val="0"/>
        <w:widowControl w:val="0"/>
        <w:numPr>
          <w:ilvl w:val="0"/>
          <w:numId w:val="0"/>
        </w:numPr>
        <w:kinsoku/>
        <w:wordWrap/>
        <w:overflowPunct/>
        <w:topLinePunct w:val="0"/>
        <w:bidi w:val="0"/>
        <w:adjustRightInd w:val="0"/>
        <w:snapToGrid/>
        <w:spacing w:line="440" w:lineRule="exact"/>
        <w:textAlignment w:val="auto"/>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三、其他要求：</w:t>
      </w:r>
    </w:p>
    <w:p>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0" w:leftChars="0" w:firstLine="360" w:firstLineChars="150"/>
        <w:jc w:val="both"/>
        <w:textAlignment w:val="auto"/>
        <w:rPr>
          <w:rFonts w:hint="default"/>
          <w:b w:val="0"/>
          <w:bCs w:val="0"/>
          <w:sz w:val="24"/>
          <w:szCs w:val="24"/>
          <w:highlight w:val="none"/>
          <w:lang w:val="en-US" w:eastAsia="zh-CN"/>
        </w:rPr>
      </w:pPr>
      <w:r>
        <w:rPr>
          <w:rFonts w:hint="eastAsia"/>
          <w:b w:val="0"/>
          <w:bCs w:val="0"/>
          <w:sz w:val="24"/>
          <w:szCs w:val="24"/>
          <w:highlight w:val="none"/>
          <w:lang w:val="en-US" w:eastAsia="zh-CN"/>
        </w:rPr>
        <w:t>1、供应商在合同履行期间实际用于本项目的人员、配送工具及设施设备应与投标文件中所提供的保持一致，不得擅自变更，确需变更的，须提前向采购人提交书面申请并获得批准，否则供应商将承担相应责任。</w:t>
      </w:r>
    </w:p>
    <w:p>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0" w:leftChars="0" w:firstLine="360" w:firstLineChars="150"/>
        <w:jc w:val="both"/>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 xml:space="preserve"> 2、采购人将在合同签订前对第一中标候选人进行考察，若供应商弄虚作假，采购人有权取消其中标资格。</w:t>
      </w:r>
    </w:p>
    <w:p>
      <w:pPr>
        <w:keepNext w:val="0"/>
        <w:keepLines w:val="0"/>
        <w:pageBreakBefore w:val="0"/>
        <w:widowControl w:val="0"/>
        <w:numPr>
          <w:ilvl w:val="0"/>
          <w:numId w:val="0"/>
        </w:numPr>
        <w:kinsoku/>
        <w:wordWrap/>
        <w:overflowPunct/>
        <w:topLinePunct w:val="0"/>
        <w:autoSpaceDE w:val="0"/>
        <w:autoSpaceDN w:val="0"/>
        <w:bidi w:val="0"/>
        <w:adjustRightInd/>
        <w:snapToGrid/>
        <w:spacing w:line="440" w:lineRule="exact"/>
        <w:ind w:left="0" w:leftChars="0" w:firstLine="360" w:firstLineChars="150"/>
        <w:jc w:val="both"/>
        <w:textAlignment w:val="auto"/>
        <w:rPr>
          <w:rFonts w:hint="default"/>
          <w:b w:val="0"/>
          <w:bCs w:val="0"/>
          <w:sz w:val="24"/>
          <w:szCs w:val="24"/>
          <w:highlight w:val="none"/>
          <w:lang w:val="en-US" w:eastAsia="zh-CN"/>
        </w:rPr>
      </w:pPr>
      <w:r>
        <w:rPr>
          <w:rFonts w:hint="eastAsia"/>
          <w:b w:val="0"/>
          <w:bCs w:val="0"/>
          <w:sz w:val="24"/>
          <w:szCs w:val="24"/>
          <w:highlight w:val="none"/>
          <w:lang w:val="en-US" w:eastAsia="zh-CN"/>
        </w:rPr>
        <w:t>3、中标人在收到中标通知书后、签订正式采购合同前，须向采购人提交有效期涵盖整个合同履约期的食品安全责任保险保单正本复印件（加盖单位公章），未按要求提交食品安全责任保险保单的，采购人有权拒绝签订合同，取消中标资格。</w:t>
      </w:r>
    </w:p>
    <w:sectPr>
      <w:pgSz w:w="11906" w:h="16838"/>
      <w:pgMar w:top="1440" w:right="1483" w:bottom="1440" w:left="1803" w:header="851" w:footer="992" w:gutter="0"/>
      <w:pgNumType w:fmt="decimal"/>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方正黑体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Arial Narrow">
    <w:panose1 w:val="020B0606020202030204"/>
    <w:charset w:val="00"/>
    <w:family w:val="swiss"/>
    <w:pitch w:val="default"/>
    <w:sig w:usb0="00000287" w:usb1="00000800" w:usb2="00000000" w:usb3="00000000" w:csb0="2000009F" w:csb1="DFD7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819"/>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9525" cy="131445"/>
              <wp:effectExtent l="0" t="0" r="0" b="0"/>
              <wp:wrapNone/>
              <wp:docPr id="4" name="文本框 4"/>
              <wp:cNvGraphicFramePr/>
              <a:graphic xmlns:a="http://schemas.openxmlformats.org/drawingml/2006/main">
                <a:graphicData uri="http://schemas.microsoft.com/office/word/2010/wordprocessingShape">
                  <wps:wsp>
                    <wps:cNvSpPr/>
                    <wps:spPr>
                      <a:xfrm>
                        <a:off x="0" y="0"/>
                        <a:ext cx="9525" cy="131445"/>
                      </a:xfrm>
                      <a:prstGeom prst="rect">
                        <a:avLst/>
                      </a:prstGeom>
                      <a:noFill/>
                      <a:ln w="9525">
                        <a:noFill/>
                        <a:round/>
                      </a:ln>
                      <a:effectLst/>
                    </wps:spPr>
                    <wps:txbx>
                      <w:txbxContent>
                        <w:p>
                          <w:pPr>
                            <w:snapToGrid w:val="0"/>
                            <w:rPr>
                              <w:sz w:val="18"/>
                            </w:rPr>
                          </w:pPr>
                        </w:p>
                      </w:txbxContent>
                    </wps:txbx>
                    <wps:bodyPr vert="horz" wrap="none" lIns="0" tIns="0" rIns="0" bIns="0" anchor="t" anchorCtr="0" upright="1">
                      <a:spAutoFit/>
                    </wps:bodyPr>
                  </wps:wsp>
                </a:graphicData>
              </a:graphic>
            </wp:anchor>
          </w:drawing>
        </mc:Choice>
        <mc:Fallback>
          <w:pict>
            <v:rect id="文本框 4" o:spid="_x0000_s1026" o:spt="1" style="position:absolute;left:0pt;height:10.35pt;width:0.75pt;mso-position-horizontal:center;mso-position-horizontal-relative:margin;mso-position-vertical:top;mso-wrap-style:none;z-index:251661312;mso-width-relative:page;mso-height-relative:page;" filled="f" stroked="f" coordsize="21600,21600" o:gfxdata="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4ldE60AAAAAIBAAAPAAAAAAAAAAEAIAAAACIAAABkcnMvZG93bnJl&#10;di54bWxQSwECFAAUAAAACACHTuJANi8WbMwBAACDAwAADgAAAAAAAAABACAAAAAfAQAAZHJzL2Uy&#10;b0RvYy54bWxQSwUGAAAAAAYABgBZAQAAXQUAAAAA&#10;">
              <v:fill on="f" focussize="0,0"/>
              <v:stroke on="f" joinstyle="round"/>
              <v:imagedata o:title=""/>
              <o:lock v:ext="edit" aspectratio="f"/>
              <v:textbox inset="0mm,0mm,0mm,0mm" style="mso-fit-shape-to-text:t;">
                <w:txbxContent>
                  <w:p>
                    <w:pPr>
                      <w:snapToGrid w:val="0"/>
                      <w:rPr>
                        <w:sz w:val="18"/>
                      </w:rPr>
                    </w:pP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hzD29rgEAAEsD&#10;AAAOAAAAAAAAAAEAIAAAAB4BAABkcnMvZTJvRG9jLnhtbFBLBQYAAAAABgAGAFkBAAA+BQAAAAA=&#10;">
              <v:fill on="f" focussize="0,0"/>
              <v:stroke on="f"/>
              <v:imagedata o:title=""/>
              <o:lock v:ext="edit" aspectratio="f"/>
              <v:textbox inset="0mm,0mm,0mm,0mm" style="mso-fit-shape-to-text:t;">
                <w:txbxContent>
                  <w:p>
                    <w:pPr>
                      <w:pStyle w:val="30"/>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1136650</wp:posOffset>
              </wp:positionH>
              <wp:positionV relativeFrom="page">
                <wp:posOffset>9568180</wp:posOffset>
              </wp:positionV>
              <wp:extent cx="736600" cy="222250"/>
              <wp:effectExtent l="0" t="0" r="0" b="0"/>
              <wp:wrapNone/>
              <wp:docPr id="6" name="文本框 6"/>
              <wp:cNvGraphicFramePr/>
              <a:graphic xmlns:a="http://schemas.openxmlformats.org/drawingml/2006/main">
                <a:graphicData uri="http://schemas.microsoft.com/office/word/2010/wordprocessingShape">
                  <wps:wsp>
                    <wps:cNvSpPr txBox="1"/>
                    <wps:spPr>
                      <a:xfrm>
                        <a:off x="0" y="0"/>
                        <a:ext cx="736600" cy="222250"/>
                      </a:xfrm>
                      <a:prstGeom prst="rect">
                        <a:avLst/>
                      </a:prstGeom>
                      <a:noFill/>
                      <a:ln>
                        <a:noFill/>
                      </a:ln>
                    </wps:spPr>
                    <wps:txbx>
                      <w:txbxContent>
                        <w:p>
                          <w:pPr>
                            <w:spacing w:before="0" w:line="348" w:lineRule="exact"/>
                            <w:ind w:left="20" w:right="0" w:firstLine="0"/>
                            <w:jc w:val="left"/>
                            <w:rPr>
                              <w:sz w:val="28"/>
                            </w:rPr>
                          </w:pPr>
                          <w:r>
                            <w:rPr>
                              <w:sz w:val="28"/>
                            </w:rPr>
                            <w:t xml:space="preserve">— </w:t>
                          </w:r>
                          <w:r>
                            <w:fldChar w:fldCharType="begin"/>
                          </w:r>
                          <w:r>
                            <w:rPr>
                              <w:rFonts w:ascii="Times New Roman" w:hAnsi="Times New Roman"/>
                              <w:sz w:val="28"/>
                            </w:rPr>
                            <w:instrText xml:space="preserve"> PAGE </w:instrText>
                          </w:r>
                          <w:r>
                            <w:fldChar w:fldCharType="separate"/>
                          </w:r>
                          <w:r>
                            <w:t>12</w:t>
                          </w:r>
                          <w:r>
                            <w:fldChar w:fldCharType="end"/>
                          </w:r>
                          <w:r>
                            <w:rPr>
                              <w:rFonts w:ascii="Times New Roman" w:hAnsi="Times New Roman"/>
                              <w:spacing w:val="67"/>
                              <w:sz w:val="28"/>
                            </w:rPr>
                            <w:t xml:space="preserve"> </w:t>
                          </w:r>
                          <w:r>
                            <w:rPr>
                              <w:sz w:val="28"/>
                            </w:rPr>
                            <w:t>—</w:t>
                          </w:r>
                        </w:p>
                      </w:txbxContent>
                    </wps:txbx>
                    <wps:bodyPr lIns="0" tIns="0" rIns="0" bIns="0" upright="1"/>
                  </wps:wsp>
                </a:graphicData>
              </a:graphic>
            </wp:anchor>
          </w:drawing>
        </mc:Choice>
        <mc:Fallback>
          <w:pict>
            <v:shape id="_x0000_s1026" o:spid="_x0000_s1026" o:spt="202" type="#_x0000_t202" style="position:absolute;left:0pt;margin-left:89.5pt;margin-top:753.4pt;height:17.5pt;width:58pt;mso-position-horizontal-relative:page;mso-position-vertical-relative:page;z-index:-251657216;mso-width-relative:page;mso-height-relative:page;" filled="f" stroked="f" coordsize="21600,21600" o:gfxdata="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MD8Rd2AAAAA0BAAAPAAAAAAAAAAEA&#10;IAAAACIAAABkcnMvZG93bnJldi54bWxQSwECFAAUAAAACACHTuJAM0TZR50BAAAjAwAADgAAAAAA&#10;AAABACAAAAAnAQAAZHJzL2Uyb0RvYy54bWxQSwUGAAAAAAYABgBZAQAANgUAAAAA&#10;">
              <v:fill on="f" focussize="0,0"/>
              <v:stroke on="f"/>
              <v:imagedata o:title=""/>
              <o:lock v:ext="edit" aspectratio="f"/>
              <v:textbox inset="0mm,0mm,0mm,0mm">
                <w:txbxContent>
                  <w:p>
                    <w:pPr>
                      <w:spacing w:before="0" w:line="348" w:lineRule="exact"/>
                      <w:ind w:left="20" w:right="0" w:firstLine="0"/>
                      <w:jc w:val="left"/>
                      <w:rPr>
                        <w:sz w:val="28"/>
                      </w:rPr>
                    </w:pPr>
                    <w:r>
                      <w:rPr>
                        <w:sz w:val="28"/>
                      </w:rPr>
                      <w:t xml:space="preserve">— </w:t>
                    </w:r>
                    <w:r>
                      <w:fldChar w:fldCharType="begin"/>
                    </w:r>
                    <w:r>
                      <w:rPr>
                        <w:rFonts w:ascii="Times New Roman" w:hAnsi="Times New Roman"/>
                        <w:sz w:val="28"/>
                      </w:rPr>
                      <w:instrText xml:space="preserve"> PAGE </w:instrText>
                    </w:r>
                    <w:r>
                      <w:fldChar w:fldCharType="separate"/>
                    </w:r>
                    <w:r>
                      <w:t>12</w:t>
                    </w:r>
                    <w:r>
                      <w:fldChar w:fldCharType="end"/>
                    </w:r>
                    <w:r>
                      <w:rPr>
                        <w:rFonts w:ascii="Times New Roman" w:hAnsi="Times New Roman"/>
                        <w:spacing w:val="67"/>
                        <w:sz w:val="28"/>
                      </w:rPr>
                      <w:t xml:space="preserve"> </w:t>
                    </w:r>
                    <w:r>
                      <w:rPr>
                        <w:sz w:val="28"/>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57</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57</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center" w:pos="4153"/>
        <w:tab w:val="left" w:pos="6540"/>
      </w:tabs>
      <w:snapToGrid w:val="0"/>
      <w:jc w:val="left"/>
      <w:rPr>
        <w:rFonts w:hint="eastAsia" w:ascii="宋体" w:hAnsi="宋体"/>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decimal"/>
      <w:lvlText w:val="%1."/>
      <w:lvlJc w:val="left"/>
      <w:pPr>
        <w:ind w:left="731" w:hanging="263"/>
      </w:pPr>
      <w:rPr>
        <w:rFonts w:hint="default" w:ascii="Times New Roman" w:hAnsi="Times New Roman" w:eastAsia="Times New Roman" w:cs="Times New Roman"/>
        <w:spacing w:val="-16"/>
        <w:w w:val="100"/>
        <w:sz w:val="21"/>
        <w:szCs w:val="21"/>
        <w:lang w:val="zh-CN" w:eastAsia="zh-CN" w:bidi="zh-CN"/>
      </w:rPr>
    </w:lvl>
    <w:lvl w:ilvl="1" w:tentative="0">
      <w:start w:val="0"/>
      <w:numFmt w:val="bullet"/>
      <w:lvlText w:val="•"/>
      <w:lvlJc w:val="left"/>
      <w:pPr>
        <w:ind w:left="1698" w:hanging="263"/>
      </w:pPr>
      <w:rPr>
        <w:rFonts w:hint="default"/>
        <w:lang w:val="zh-CN" w:eastAsia="zh-CN" w:bidi="zh-CN"/>
      </w:rPr>
    </w:lvl>
    <w:lvl w:ilvl="2" w:tentative="0">
      <w:start w:val="0"/>
      <w:numFmt w:val="bullet"/>
      <w:lvlText w:val="•"/>
      <w:lvlJc w:val="left"/>
      <w:pPr>
        <w:ind w:left="2656" w:hanging="263"/>
      </w:pPr>
      <w:rPr>
        <w:rFonts w:hint="default"/>
        <w:lang w:val="zh-CN" w:eastAsia="zh-CN" w:bidi="zh-CN"/>
      </w:rPr>
    </w:lvl>
    <w:lvl w:ilvl="3" w:tentative="0">
      <w:start w:val="0"/>
      <w:numFmt w:val="bullet"/>
      <w:lvlText w:val="•"/>
      <w:lvlJc w:val="left"/>
      <w:pPr>
        <w:ind w:left="3615" w:hanging="263"/>
      </w:pPr>
      <w:rPr>
        <w:rFonts w:hint="default"/>
        <w:lang w:val="zh-CN" w:eastAsia="zh-CN" w:bidi="zh-CN"/>
      </w:rPr>
    </w:lvl>
    <w:lvl w:ilvl="4" w:tentative="0">
      <w:start w:val="0"/>
      <w:numFmt w:val="bullet"/>
      <w:lvlText w:val="•"/>
      <w:lvlJc w:val="left"/>
      <w:pPr>
        <w:ind w:left="4573" w:hanging="263"/>
      </w:pPr>
      <w:rPr>
        <w:rFonts w:hint="default"/>
        <w:lang w:val="zh-CN" w:eastAsia="zh-CN" w:bidi="zh-CN"/>
      </w:rPr>
    </w:lvl>
    <w:lvl w:ilvl="5" w:tentative="0">
      <w:start w:val="0"/>
      <w:numFmt w:val="bullet"/>
      <w:lvlText w:val="•"/>
      <w:lvlJc w:val="left"/>
      <w:pPr>
        <w:ind w:left="5532" w:hanging="263"/>
      </w:pPr>
      <w:rPr>
        <w:rFonts w:hint="default"/>
        <w:lang w:val="zh-CN" w:eastAsia="zh-CN" w:bidi="zh-CN"/>
      </w:rPr>
    </w:lvl>
    <w:lvl w:ilvl="6" w:tentative="0">
      <w:start w:val="0"/>
      <w:numFmt w:val="bullet"/>
      <w:lvlText w:val="•"/>
      <w:lvlJc w:val="left"/>
      <w:pPr>
        <w:ind w:left="6490" w:hanging="263"/>
      </w:pPr>
      <w:rPr>
        <w:rFonts w:hint="default"/>
        <w:lang w:val="zh-CN" w:eastAsia="zh-CN" w:bidi="zh-CN"/>
      </w:rPr>
    </w:lvl>
    <w:lvl w:ilvl="7" w:tentative="0">
      <w:start w:val="0"/>
      <w:numFmt w:val="bullet"/>
      <w:lvlText w:val="•"/>
      <w:lvlJc w:val="left"/>
      <w:pPr>
        <w:ind w:left="7449" w:hanging="263"/>
      </w:pPr>
      <w:rPr>
        <w:rFonts w:hint="default"/>
        <w:lang w:val="zh-CN" w:eastAsia="zh-CN" w:bidi="zh-CN"/>
      </w:rPr>
    </w:lvl>
    <w:lvl w:ilvl="8" w:tentative="0">
      <w:start w:val="0"/>
      <w:numFmt w:val="bullet"/>
      <w:lvlText w:val="•"/>
      <w:lvlJc w:val="left"/>
      <w:pPr>
        <w:ind w:left="8407" w:hanging="263"/>
      </w:pPr>
      <w:rPr>
        <w:rFonts w:hint="default"/>
        <w:lang w:val="zh-CN" w:eastAsia="zh-CN" w:bidi="zh-CN"/>
      </w:rPr>
    </w:lvl>
  </w:abstractNum>
  <w:abstractNum w:abstractNumId="1">
    <w:nsid w:val="AF19081C"/>
    <w:multiLevelType w:val="singleLevel"/>
    <w:tmpl w:val="AF19081C"/>
    <w:lvl w:ilvl="0" w:tentative="0">
      <w:start w:val="1"/>
      <w:numFmt w:val="decimal"/>
      <w:suff w:val="nothing"/>
      <w:lvlText w:val="（%1）"/>
      <w:lvlJc w:val="left"/>
    </w:lvl>
  </w:abstractNum>
  <w:abstractNum w:abstractNumId="2">
    <w:nsid w:val="C8879AEF"/>
    <w:multiLevelType w:val="multilevel"/>
    <w:tmpl w:val="C8879AEF"/>
    <w:lvl w:ilvl="0" w:tentative="0">
      <w:start w:val="1"/>
      <w:numFmt w:val="decimal"/>
      <w:lvlText w:val="（%1）"/>
      <w:lvlJc w:val="left"/>
      <w:pPr>
        <w:ind w:left="1365" w:hanging="527"/>
      </w:pPr>
      <w:rPr>
        <w:rFonts w:hint="default" w:ascii="宋体" w:hAnsi="宋体" w:eastAsia="宋体" w:cs="宋体"/>
        <w:w w:val="100"/>
        <w:sz w:val="19"/>
        <w:szCs w:val="19"/>
        <w:lang w:val="zh-CN" w:eastAsia="zh-CN" w:bidi="zh-CN"/>
      </w:rPr>
    </w:lvl>
    <w:lvl w:ilvl="1" w:tentative="0">
      <w:start w:val="1"/>
      <w:numFmt w:val="decimal"/>
      <w:lvlText w:val="%2."/>
      <w:lvlJc w:val="left"/>
      <w:pPr>
        <w:ind w:left="2048" w:hanging="263"/>
      </w:pPr>
      <w:rPr>
        <w:rFonts w:hint="default" w:ascii="Times New Roman" w:hAnsi="Times New Roman" w:eastAsia="Times New Roman" w:cs="Times New Roman"/>
        <w:spacing w:val="-1"/>
        <w:w w:val="100"/>
        <w:sz w:val="21"/>
        <w:szCs w:val="21"/>
        <w:lang w:val="zh-CN" w:eastAsia="zh-CN" w:bidi="zh-CN"/>
      </w:rPr>
    </w:lvl>
    <w:lvl w:ilvl="2" w:tentative="0">
      <w:start w:val="0"/>
      <w:numFmt w:val="bullet"/>
      <w:lvlText w:val="•"/>
      <w:lvlJc w:val="left"/>
      <w:pPr>
        <w:ind w:left="3043" w:hanging="263"/>
      </w:pPr>
      <w:rPr>
        <w:rFonts w:hint="default"/>
        <w:lang w:val="zh-CN" w:eastAsia="zh-CN" w:bidi="zh-CN"/>
      </w:rPr>
    </w:lvl>
    <w:lvl w:ilvl="3" w:tentative="0">
      <w:start w:val="0"/>
      <w:numFmt w:val="bullet"/>
      <w:lvlText w:val="•"/>
      <w:lvlJc w:val="left"/>
      <w:pPr>
        <w:ind w:left="4032" w:hanging="263"/>
      </w:pPr>
      <w:rPr>
        <w:rFonts w:hint="default"/>
        <w:lang w:val="zh-CN" w:eastAsia="zh-CN" w:bidi="zh-CN"/>
      </w:rPr>
    </w:lvl>
    <w:lvl w:ilvl="4" w:tentative="0">
      <w:start w:val="0"/>
      <w:numFmt w:val="bullet"/>
      <w:lvlText w:val="•"/>
      <w:lvlJc w:val="left"/>
      <w:pPr>
        <w:ind w:left="5022" w:hanging="263"/>
      </w:pPr>
      <w:rPr>
        <w:rFonts w:hint="default"/>
        <w:lang w:val="zh-CN" w:eastAsia="zh-CN" w:bidi="zh-CN"/>
      </w:rPr>
    </w:lvl>
    <w:lvl w:ilvl="5" w:tentative="0">
      <w:start w:val="0"/>
      <w:numFmt w:val="bullet"/>
      <w:lvlText w:val="•"/>
      <w:lvlJc w:val="left"/>
      <w:pPr>
        <w:ind w:left="6011" w:hanging="263"/>
      </w:pPr>
      <w:rPr>
        <w:rFonts w:hint="default"/>
        <w:lang w:val="zh-CN" w:eastAsia="zh-CN" w:bidi="zh-CN"/>
      </w:rPr>
    </w:lvl>
    <w:lvl w:ilvl="6" w:tentative="0">
      <w:start w:val="0"/>
      <w:numFmt w:val="bullet"/>
      <w:lvlText w:val="•"/>
      <w:lvlJc w:val="left"/>
      <w:pPr>
        <w:ind w:left="7000" w:hanging="263"/>
      </w:pPr>
      <w:rPr>
        <w:rFonts w:hint="default"/>
        <w:lang w:val="zh-CN" w:eastAsia="zh-CN" w:bidi="zh-CN"/>
      </w:rPr>
    </w:lvl>
    <w:lvl w:ilvl="7" w:tentative="0">
      <w:start w:val="0"/>
      <w:numFmt w:val="bullet"/>
      <w:lvlText w:val="•"/>
      <w:lvlJc w:val="left"/>
      <w:pPr>
        <w:ind w:left="7990" w:hanging="263"/>
      </w:pPr>
      <w:rPr>
        <w:rFonts w:hint="default"/>
        <w:lang w:val="zh-CN" w:eastAsia="zh-CN" w:bidi="zh-CN"/>
      </w:rPr>
    </w:lvl>
    <w:lvl w:ilvl="8" w:tentative="0">
      <w:start w:val="0"/>
      <w:numFmt w:val="bullet"/>
      <w:lvlText w:val="•"/>
      <w:lvlJc w:val="left"/>
      <w:pPr>
        <w:ind w:left="8979" w:hanging="263"/>
      </w:pPr>
      <w:rPr>
        <w:rFonts w:hint="default"/>
        <w:lang w:val="zh-CN" w:eastAsia="zh-CN" w:bidi="zh-CN"/>
      </w:rPr>
    </w:lvl>
  </w:abstractNum>
  <w:abstractNum w:abstractNumId="3">
    <w:nsid w:val="D43AAFA5"/>
    <w:multiLevelType w:val="singleLevel"/>
    <w:tmpl w:val="D43AAFA5"/>
    <w:lvl w:ilvl="0" w:tentative="0">
      <w:start w:val="6"/>
      <w:numFmt w:val="chineseCounting"/>
      <w:suff w:val="space"/>
      <w:lvlText w:val="第%1章"/>
      <w:lvlJc w:val="left"/>
      <w:rPr>
        <w:rFonts w:hint="eastAsia"/>
      </w:rPr>
    </w:lvl>
  </w:abstractNum>
  <w:abstractNum w:abstractNumId="4">
    <w:nsid w:val="EABE3EA2"/>
    <w:multiLevelType w:val="singleLevel"/>
    <w:tmpl w:val="EABE3EA2"/>
    <w:lvl w:ilvl="0" w:tentative="0">
      <w:start w:val="41"/>
      <w:numFmt w:val="decimal"/>
      <w:lvlText w:val="%1."/>
      <w:lvlJc w:val="left"/>
      <w:pPr>
        <w:tabs>
          <w:tab w:val="left" w:pos="312"/>
        </w:tabs>
      </w:pPr>
    </w:lvl>
  </w:abstractNum>
  <w:abstractNum w:abstractNumId="5">
    <w:nsid w:val="F3C5761D"/>
    <w:multiLevelType w:val="multilevel"/>
    <w:tmpl w:val="F3C5761D"/>
    <w:lvl w:ilvl="0" w:tentative="0">
      <w:start w:val="1"/>
      <w:numFmt w:val="decimal"/>
      <w:pStyle w:val="3"/>
      <w:lvlText w:val="%1"/>
      <w:lvlJc w:val="left"/>
      <w:pPr>
        <w:ind w:left="284" w:hanging="284"/>
      </w:pPr>
      <w:rPr>
        <w:rFonts w:hint="default" w:ascii="Times New Roman" w:hAnsi="Times New Roman"/>
        <w:b/>
        <w:i w:val="0"/>
        <w:sz w:val="28"/>
      </w:rPr>
    </w:lvl>
    <w:lvl w:ilvl="1" w:tentative="0">
      <w:start w:val="1"/>
      <w:numFmt w:val="decimal"/>
      <w:pStyle w:val="4"/>
      <w:lvlText w:val="%1.%2"/>
      <w:lvlJc w:val="left"/>
      <w:pPr>
        <w:ind w:left="1226" w:hanging="596"/>
      </w:pPr>
      <w:rPr>
        <w:rFonts w:hint="default" w:ascii="Times New Roman" w:hAnsi="Times New Roman"/>
        <w:b/>
        <w:i w:val="0"/>
        <w:sz w:val="28"/>
      </w:rPr>
    </w:lvl>
    <w:lvl w:ilvl="2" w:tentative="0">
      <w:start w:val="1"/>
      <w:numFmt w:val="decimal"/>
      <w:pStyle w:val="5"/>
      <w:lvlText w:val="%1.%2.%3"/>
      <w:lvlJc w:val="left"/>
      <w:pPr>
        <w:ind w:left="2177" w:hanging="737"/>
      </w:pPr>
      <w:rPr>
        <w:rFonts w:hint="default" w:ascii="Times New Roman" w:hAnsi="Times New Roman"/>
        <w:b/>
        <w:i w:val="0"/>
        <w:sz w:val="24"/>
      </w:rPr>
    </w:lvl>
    <w:lvl w:ilvl="3" w:tentative="0">
      <w:start w:val="1"/>
      <w:numFmt w:val="decimal"/>
      <w:pStyle w:val="2"/>
      <w:lvlText w:val="%1.%2.%3.%4"/>
      <w:lvlJc w:val="left"/>
      <w:pPr>
        <w:ind w:left="2518" w:hanging="1078"/>
      </w:pPr>
      <w:rPr>
        <w:rFonts w:hint="default" w:ascii="Arial" w:hAnsi="Arial"/>
        <w:b w:val="0"/>
        <w:i w:val="0"/>
        <w:sz w:val="24"/>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0000000C"/>
    <w:multiLevelType w:val="multilevel"/>
    <w:tmpl w:val="0000000C"/>
    <w:lvl w:ilvl="0" w:tentative="0">
      <w:start w:val="1"/>
      <w:numFmt w:val="decimal"/>
      <w:pStyle w:val="10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15"/>
    <w:multiLevelType w:val="multilevel"/>
    <w:tmpl w:val="00000015"/>
    <w:lvl w:ilvl="0" w:tentative="0">
      <w:start w:val="1"/>
      <w:numFmt w:val="decimal"/>
      <w:pStyle w:val="91"/>
      <w:lvlText w:val="%1."/>
      <w:lvlJc w:val="left"/>
      <w:pPr>
        <w:ind w:left="835" w:hanging="425"/>
      </w:pPr>
      <w:rPr>
        <w:rFonts w:hint="eastAsia"/>
      </w:rPr>
    </w:lvl>
    <w:lvl w:ilvl="1" w:tentative="0">
      <w:start w:val="1"/>
      <w:numFmt w:val="decimal"/>
      <w:isLgl/>
      <w:lvlText w:val="%1.%2."/>
      <w:legacy w:legacy="1" w:legacySpace="0" w:legacyIndent="567"/>
      <w:lvlJc w:val="left"/>
      <w:pPr>
        <w:ind w:left="977" w:hanging="567"/>
      </w:pPr>
      <w:rPr>
        <w:rFonts w:hint="eastAsia"/>
      </w:rPr>
    </w:lvl>
    <w:lvl w:ilvl="2" w:tentative="0">
      <w:start w:val="1"/>
      <w:numFmt w:val="decimal"/>
      <w:lvlText w:val="%1.%2.%3."/>
      <w:lvlJc w:val="left"/>
      <w:pPr>
        <w:ind w:left="1119" w:hanging="709"/>
      </w:pPr>
      <w:rPr>
        <w:rFonts w:hint="eastAsia"/>
      </w:rPr>
    </w:lvl>
    <w:lvl w:ilvl="3" w:tentative="0">
      <w:start w:val="1"/>
      <w:numFmt w:val="decimal"/>
      <w:lvlText w:val="%1.%2.%3.%4."/>
      <w:lvlJc w:val="left"/>
      <w:pPr>
        <w:ind w:left="1261" w:hanging="851"/>
      </w:pPr>
      <w:rPr>
        <w:rFonts w:hint="eastAsia"/>
      </w:rPr>
    </w:lvl>
    <w:lvl w:ilvl="4" w:tentative="0">
      <w:start w:val="1"/>
      <w:numFmt w:val="decimal"/>
      <w:lvlText w:val="%1.%2.%3.%4.%5."/>
      <w:lvlJc w:val="left"/>
      <w:pPr>
        <w:ind w:left="1402" w:hanging="992"/>
      </w:pPr>
      <w:rPr>
        <w:rFonts w:hint="eastAsia"/>
      </w:rPr>
    </w:lvl>
    <w:lvl w:ilvl="5" w:tentative="0">
      <w:start w:val="1"/>
      <w:numFmt w:val="decimal"/>
      <w:lvlText w:val="%1.%2.%3.%4.%5.%6."/>
      <w:lvlJc w:val="left"/>
      <w:pPr>
        <w:ind w:left="1544" w:hanging="1134"/>
      </w:pPr>
      <w:rPr>
        <w:rFonts w:hint="eastAsia"/>
      </w:rPr>
    </w:lvl>
    <w:lvl w:ilvl="6" w:tentative="0">
      <w:start w:val="1"/>
      <w:numFmt w:val="decimal"/>
      <w:lvlText w:val="%1.%2.%3.%4.%5.%6.%7."/>
      <w:lvlJc w:val="left"/>
      <w:pPr>
        <w:ind w:left="1686" w:hanging="1276"/>
      </w:pPr>
      <w:rPr>
        <w:rFonts w:hint="eastAsia"/>
      </w:rPr>
    </w:lvl>
    <w:lvl w:ilvl="7" w:tentative="0">
      <w:start w:val="1"/>
      <w:numFmt w:val="decimal"/>
      <w:lvlText w:val="%1.%2.%3.%4.%5.%6.%7.%8."/>
      <w:lvlJc w:val="left"/>
      <w:pPr>
        <w:ind w:left="1828" w:hanging="1418"/>
      </w:pPr>
      <w:rPr>
        <w:rFonts w:hint="eastAsia"/>
      </w:rPr>
    </w:lvl>
    <w:lvl w:ilvl="8" w:tentative="0">
      <w:start w:val="1"/>
      <w:numFmt w:val="decimal"/>
      <w:lvlText w:val="%1.%2.%3.%4.%5.%6.%7.%8.%9."/>
      <w:lvlJc w:val="left"/>
      <w:pPr>
        <w:ind w:left="1969" w:hanging="1559"/>
      </w:pPr>
      <w:rPr>
        <w:rFonts w:hint="eastAsia"/>
      </w:rPr>
    </w:lvl>
  </w:abstractNum>
  <w:abstractNum w:abstractNumId="8">
    <w:nsid w:val="0C05F5C8"/>
    <w:multiLevelType w:val="singleLevel"/>
    <w:tmpl w:val="0C05F5C8"/>
    <w:lvl w:ilvl="0" w:tentative="0">
      <w:start w:val="22"/>
      <w:numFmt w:val="decimal"/>
      <w:suff w:val="space"/>
      <w:lvlText w:val="%1."/>
      <w:lvlJc w:val="left"/>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6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72183CF9"/>
    <w:multiLevelType w:val="multilevel"/>
    <w:tmpl w:val="72183CF9"/>
    <w:lvl w:ilvl="0" w:tentative="0">
      <w:start w:val="1"/>
      <w:numFmt w:val="decimal"/>
      <w:lvlText w:val="%1."/>
      <w:lvlJc w:val="left"/>
      <w:pPr>
        <w:ind w:left="731" w:hanging="263"/>
      </w:pPr>
      <w:rPr>
        <w:rFonts w:hint="default" w:ascii="Times New Roman" w:hAnsi="Times New Roman" w:eastAsia="Times New Roman" w:cs="Times New Roman"/>
        <w:spacing w:val="-17"/>
        <w:w w:val="100"/>
        <w:sz w:val="21"/>
        <w:szCs w:val="21"/>
        <w:lang w:val="zh-CN" w:eastAsia="zh-CN" w:bidi="zh-CN"/>
      </w:rPr>
    </w:lvl>
    <w:lvl w:ilvl="1" w:tentative="0">
      <w:start w:val="0"/>
      <w:numFmt w:val="bullet"/>
      <w:lvlText w:val="•"/>
      <w:lvlJc w:val="left"/>
      <w:pPr>
        <w:ind w:left="1698" w:hanging="263"/>
      </w:pPr>
      <w:rPr>
        <w:rFonts w:hint="default"/>
        <w:lang w:val="zh-CN" w:eastAsia="zh-CN" w:bidi="zh-CN"/>
      </w:rPr>
    </w:lvl>
    <w:lvl w:ilvl="2" w:tentative="0">
      <w:start w:val="0"/>
      <w:numFmt w:val="bullet"/>
      <w:lvlText w:val="•"/>
      <w:lvlJc w:val="left"/>
      <w:pPr>
        <w:ind w:left="2656" w:hanging="263"/>
      </w:pPr>
      <w:rPr>
        <w:rFonts w:hint="default"/>
        <w:lang w:val="zh-CN" w:eastAsia="zh-CN" w:bidi="zh-CN"/>
      </w:rPr>
    </w:lvl>
    <w:lvl w:ilvl="3" w:tentative="0">
      <w:start w:val="0"/>
      <w:numFmt w:val="bullet"/>
      <w:lvlText w:val="•"/>
      <w:lvlJc w:val="left"/>
      <w:pPr>
        <w:ind w:left="3615" w:hanging="263"/>
      </w:pPr>
      <w:rPr>
        <w:rFonts w:hint="default"/>
        <w:lang w:val="zh-CN" w:eastAsia="zh-CN" w:bidi="zh-CN"/>
      </w:rPr>
    </w:lvl>
    <w:lvl w:ilvl="4" w:tentative="0">
      <w:start w:val="0"/>
      <w:numFmt w:val="bullet"/>
      <w:lvlText w:val="•"/>
      <w:lvlJc w:val="left"/>
      <w:pPr>
        <w:ind w:left="4573" w:hanging="263"/>
      </w:pPr>
      <w:rPr>
        <w:rFonts w:hint="default"/>
        <w:lang w:val="zh-CN" w:eastAsia="zh-CN" w:bidi="zh-CN"/>
      </w:rPr>
    </w:lvl>
    <w:lvl w:ilvl="5" w:tentative="0">
      <w:start w:val="0"/>
      <w:numFmt w:val="bullet"/>
      <w:lvlText w:val="•"/>
      <w:lvlJc w:val="left"/>
      <w:pPr>
        <w:ind w:left="5532" w:hanging="263"/>
      </w:pPr>
      <w:rPr>
        <w:rFonts w:hint="default"/>
        <w:lang w:val="zh-CN" w:eastAsia="zh-CN" w:bidi="zh-CN"/>
      </w:rPr>
    </w:lvl>
    <w:lvl w:ilvl="6" w:tentative="0">
      <w:start w:val="0"/>
      <w:numFmt w:val="bullet"/>
      <w:lvlText w:val="•"/>
      <w:lvlJc w:val="left"/>
      <w:pPr>
        <w:ind w:left="6490" w:hanging="263"/>
      </w:pPr>
      <w:rPr>
        <w:rFonts w:hint="default"/>
        <w:lang w:val="zh-CN" w:eastAsia="zh-CN" w:bidi="zh-CN"/>
      </w:rPr>
    </w:lvl>
    <w:lvl w:ilvl="7" w:tentative="0">
      <w:start w:val="0"/>
      <w:numFmt w:val="bullet"/>
      <w:lvlText w:val="•"/>
      <w:lvlJc w:val="left"/>
      <w:pPr>
        <w:ind w:left="7449" w:hanging="263"/>
      </w:pPr>
      <w:rPr>
        <w:rFonts w:hint="default"/>
        <w:lang w:val="zh-CN" w:eastAsia="zh-CN" w:bidi="zh-CN"/>
      </w:rPr>
    </w:lvl>
    <w:lvl w:ilvl="8" w:tentative="0">
      <w:start w:val="0"/>
      <w:numFmt w:val="bullet"/>
      <w:lvlText w:val="•"/>
      <w:lvlJc w:val="left"/>
      <w:pPr>
        <w:ind w:left="8407" w:hanging="263"/>
      </w:pPr>
      <w:rPr>
        <w:rFonts w:hint="default"/>
        <w:lang w:val="zh-CN" w:eastAsia="zh-CN" w:bidi="zh-CN"/>
      </w:rPr>
    </w:lvl>
  </w:abstractNum>
  <w:num w:numId="1">
    <w:abstractNumId w:val="5"/>
  </w:num>
  <w:num w:numId="2">
    <w:abstractNumId w:val="9"/>
  </w:num>
  <w:num w:numId="3">
    <w:abstractNumId w:val="7"/>
  </w:num>
  <w:num w:numId="4">
    <w:abstractNumId w:val="6"/>
  </w:num>
  <w:num w:numId="5">
    <w:abstractNumId w:val="1"/>
  </w:num>
  <w:num w:numId="6">
    <w:abstractNumId w:val="8"/>
  </w:num>
  <w:num w:numId="7">
    <w:abstractNumId w:val="4"/>
  </w:num>
  <w:num w:numId="8">
    <w:abstractNumId w:val="10"/>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documentProtection w:enforcement="0"/>
  <w:defaultTabStop w:val="420"/>
  <w:drawingGridHorizontalSpacing w:val="0"/>
  <w:drawingGridVerticalSpacing w:val="159"/>
  <w:displayHorizontalDrawingGridEvery w:val="1"/>
  <w:displayVerticalDrawingGridEvery w:val="2"/>
  <w:noPunctuationKerning w:val="1"/>
  <w:characterSpacingControl w:val="compressPunctuation"/>
  <w:compat>
    <w:spaceForUL/>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g4ZTFkMjU0MTk2Mzg2Yzg0MTk5NTMzMjJkMzFjMGYifQ=="/>
  </w:docVars>
  <w:rsids>
    <w:rsidRoot w:val="0047308E"/>
    <w:rsid w:val="00032871"/>
    <w:rsid w:val="0006586C"/>
    <w:rsid w:val="000716E9"/>
    <w:rsid w:val="000C3769"/>
    <w:rsid w:val="000D20E7"/>
    <w:rsid w:val="000E40D4"/>
    <w:rsid w:val="000F40B6"/>
    <w:rsid w:val="00106155"/>
    <w:rsid w:val="001134B0"/>
    <w:rsid w:val="00126F02"/>
    <w:rsid w:val="001306F4"/>
    <w:rsid w:val="00144A39"/>
    <w:rsid w:val="001E7606"/>
    <w:rsid w:val="0024753F"/>
    <w:rsid w:val="0025264E"/>
    <w:rsid w:val="002627DF"/>
    <w:rsid w:val="0027317A"/>
    <w:rsid w:val="0029339E"/>
    <w:rsid w:val="002B2002"/>
    <w:rsid w:val="002B31E5"/>
    <w:rsid w:val="003429A5"/>
    <w:rsid w:val="003719F5"/>
    <w:rsid w:val="00376E4A"/>
    <w:rsid w:val="003B1EF0"/>
    <w:rsid w:val="003B5420"/>
    <w:rsid w:val="003D745A"/>
    <w:rsid w:val="003F67FD"/>
    <w:rsid w:val="003F7530"/>
    <w:rsid w:val="00414C86"/>
    <w:rsid w:val="00423E4C"/>
    <w:rsid w:val="00464A87"/>
    <w:rsid w:val="00471A8F"/>
    <w:rsid w:val="0047308E"/>
    <w:rsid w:val="00484591"/>
    <w:rsid w:val="004A4F82"/>
    <w:rsid w:val="004C0BF8"/>
    <w:rsid w:val="00502F69"/>
    <w:rsid w:val="00514A60"/>
    <w:rsid w:val="00516A19"/>
    <w:rsid w:val="005225FB"/>
    <w:rsid w:val="00526F41"/>
    <w:rsid w:val="005362FF"/>
    <w:rsid w:val="005473B4"/>
    <w:rsid w:val="00564D19"/>
    <w:rsid w:val="00577068"/>
    <w:rsid w:val="00580FAB"/>
    <w:rsid w:val="00590FB9"/>
    <w:rsid w:val="00592D2E"/>
    <w:rsid w:val="005A1FBA"/>
    <w:rsid w:val="005B3A99"/>
    <w:rsid w:val="005C70E4"/>
    <w:rsid w:val="005F61F0"/>
    <w:rsid w:val="006565E1"/>
    <w:rsid w:val="00660703"/>
    <w:rsid w:val="00693E98"/>
    <w:rsid w:val="006C3C53"/>
    <w:rsid w:val="006F28F7"/>
    <w:rsid w:val="007223E6"/>
    <w:rsid w:val="007305F8"/>
    <w:rsid w:val="0075272B"/>
    <w:rsid w:val="00777BAA"/>
    <w:rsid w:val="0078099A"/>
    <w:rsid w:val="007916FA"/>
    <w:rsid w:val="00797211"/>
    <w:rsid w:val="007B17D1"/>
    <w:rsid w:val="007C51FB"/>
    <w:rsid w:val="007F5CC1"/>
    <w:rsid w:val="00804FFD"/>
    <w:rsid w:val="008109A4"/>
    <w:rsid w:val="00814F04"/>
    <w:rsid w:val="00861DAB"/>
    <w:rsid w:val="00867E25"/>
    <w:rsid w:val="008C5BA4"/>
    <w:rsid w:val="008D26D3"/>
    <w:rsid w:val="008E0A9E"/>
    <w:rsid w:val="0096694A"/>
    <w:rsid w:val="0099594F"/>
    <w:rsid w:val="009C486C"/>
    <w:rsid w:val="00A16E4A"/>
    <w:rsid w:val="00A6640F"/>
    <w:rsid w:val="00A724A0"/>
    <w:rsid w:val="00AB5F24"/>
    <w:rsid w:val="00AC5ED4"/>
    <w:rsid w:val="00AE6338"/>
    <w:rsid w:val="00B048F2"/>
    <w:rsid w:val="00B12A5A"/>
    <w:rsid w:val="00B24B03"/>
    <w:rsid w:val="00B30EB8"/>
    <w:rsid w:val="00B43FCA"/>
    <w:rsid w:val="00BA6E43"/>
    <w:rsid w:val="00BD6B29"/>
    <w:rsid w:val="00BE5C30"/>
    <w:rsid w:val="00C71694"/>
    <w:rsid w:val="00C85B3A"/>
    <w:rsid w:val="00C909E3"/>
    <w:rsid w:val="00CA234C"/>
    <w:rsid w:val="00CB6CDF"/>
    <w:rsid w:val="00CD1935"/>
    <w:rsid w:val="00CE7308"/>
    <w:rsid w:val="00CF2A0E"/>
    <w:rsid w:val="00CF34F5"/>
    <w:rsid w:val="00CF3BE2"/>
    <w:rsid w:val="00D17D42"/>
    <w:rsid w:val="00D40A5E"/>
    <w:rsid w:val="00D71B9D"/>
    <w:rsid w:val="00D73868"/>
    <w:rsid w:val="00D80132"/>
    <w:rsid w:val="00DA0576"/>
    <w:rsid w:val="00DC2EDD"/>
    <w:rsid w:val="00E00C6B"/>
    <w:rsid w:val="00E6284A"/>
    <w:rsid w:val="00E92063"/>
    <w:rsid w:val="00E973ED"/>
    <w:rsid w:val="00ED66F2"/>
    <w:rsid w:val="00F31B46"/>
    <w:rsid w:val="00F567F0"/>
    <w:rsid w:val="00F6007E"/>
    <w:rsid w:val="00F60AF7"/>
    <w:rsid w:val="00F80DB9"/>
    <w:rsid w:val="00F92EBB"/>
    <w:rsid w:val="00FB1FA8"/>
    <w:rsid w:val="00FD55C3"/>
    <w:rsid w:val="010452F9"/>
    <w:rsid w:val="012A3E46"/>
    <w:rsid w:val="012F7895"/>
    <w:rsid w:val="015545C6"/>
    <w:rsid w:val="0155552C"/>
    <w:rsid w:val="01684235"/>
    <w:rsid w:val="01730CEE"/>
    <w:rsid w:val="01766E2B"/>
    <w:rsid w:val="01930078"/>
    <w:rsid w:val="019F5938"/>
    <w:rsid w:val="01AE7572"/>
    <w:rsid w:val="01BA00AB"/>
    <w:rsid w:val="01C05B2F"/>
    <w:rsid w:val="01CA5824"/>
    <w:rsid w:val="01F73C8A"/>
    <w:rsid w:val="02117D9A"/>
    <w:rsid w:val="02194BF4"/>
    <w:rsid w:val="02294385"/>
    <w:rsid w:val="025C4207"/>
    <w:rsid w:val="025E2820"/>
    <w:rsid w:val="025F2714"/>
    <w:rsid w:val="027A149C"/>
    <w:rsid w:val="027C5707"/>
    <w:rsid w:val="02810A7C"/>
    <w:rsid w:val="02845D55"/>
    <w:rsid w:val="02912354"/>
    <w:rsid w:val="02980E27"/>
    <w:rsid w:val="029C7D97"/>
    <w:rsid w:val="02BB715D"/>
    <w:rsid w:val="02BF78E5"/>
    <w:rsid w:val="02D05943"/>
    <w:rsid w:val="02E42DB9"/>
    <w:rsid w:val="02EB35C7"/>
    <w:rsid w:val="02EC542F"/>
    <w:rsid w:val="02F71E43"/>
    <w:rsid w:val="02FC2315"/>
    <w:rsid w:val="02FF3BD5"/>
    <w:rsid w:val="03015D33"/>
    <w:rsid w:val="03057251"/>
    <w:rsid w:val="030C1753"/>
    <w:rsid w:val="035B3289"/>
    <w:rsid w:val="03655D13"/>
    <w:rsid w:val="036D663B"/>
    <w:rsid w:val="037340B5"/>
    <w:rsid w:val="03883373"/>
    <w:rsid w:val="039D14FF"/>
    <w:rsid w:val="03AE3727"/>
    <w:rsid w:val="03B4781F"/>
    <w:rsid w:val="03D51970"/>
    <w:rsid w:val="03E20FF7"/>
    <w:rsid w:val="03E5503B"/>
    <w:rsid w:val="03FD64B9"/>
    <w:rsid w:val="040B3C46"/>
    <w:rsid w:val="04163446"/>
    <w:rsid w:val="04240FC1"/>
    <w:rsid w:val="043A0A9D"/>
    <w:rsid w:val="043F7C53"/>
    <w:rsid w:val="04473A55"/>
    <w:rsid w:val="045A6AB6"/>
    <w:rsid w:val="04624F13"/>
    <w:rsid w:val="04664AE0"/>
    <w:rsid w:val="046C233A"/>
    <w:rsid w:val="04780C41"/>
    <w:rsid w:val="0482093C"/>
    <w:rsid w:val="04B755A3"/>
    <w:rsid w:val="04C2228E"/>
    <w:rsid w:val="04C32D2D"/>
    <w:rsid w:val="04C77DA3"/>
    <w:rsid w:val="04CE25E0"/>
    <w:rsid w:val="04D77458"/>
    <w:rsid w:val="04F252AD"/>
    <w:rsid w:val="04FF2624"/>
    <w:rsid w:val="050766EE"/>
    <w:rsid w:val="050D3985"/>
    <w:rsid w:val="051C344A"/>
    <w:rsid w:val="0522212B"/>
    <w:rsid w:val="0533224A"/>
    <w:rsid w:val="05485881"/>
    <w:rsid w:val="056B0225"/>
    <w:rsid w:val="057E282D"/>
    <w:rsid w:val="05817329"/>
    <w:rsid w:val="059F599B"/>
    <w:rsid w:val="05A371C9"/>
    <w:rsid w:val="05A442BC"/>
    <w:rsid w:val="05A66F6F"/>
    <w:rsid w:val="05AC04CA"/>
    <w:rsid w:val="05B51BFA"/>
    <w:rsid w:val="05B91487"/>
    <w:rsid w:val="05CC62F3"/>
    <w:rsid w:val="05E4168C"/>
    <w:rsid w:val="060362A8"/>
    <w:rsid w:val="060C4299"/>
    <w:rsid w:val="06214E9F"/>
    <w:rsid w:val="063602C7"/>
    <w:rsid w:val="06391CFE"/>
    <w:rsid w:val="06411D1F"/>
    <w:rsid w:val="06495BDA"/>
    <w:rsid w:val="065A1CDF"/>
    <w:rsid w:val="065E209F"/>
    <w:rsid w:val="06671458"/>
    <w:rsid w:val="066A3F9F"/>
    <w:rsid w:val="066F5DCB"/>
    <w:rsid w:val="06746B99"/>
    <w:rsid w:val="067D5F2E"/>
    <w:rsid w:val="067D78E4"/>
    <w:rsid w:val="067F08C4"/>
    <w:rsid w:val="068C259A"/>
    <w:rsid w:val="069C5E5F"/>
    <w:rsid w:val="06AD4D8E"/>
    <w:rsid w:val="06BF3B60"/>
    <w:rsid w:val="06CC4290"/>
    <w:rsid w:val="07065B63"/>
    <w:rsid w:val="070B54B4"/>
    <w:rsid w:val="07145F66"/>
    <w:rsid w:val="07166DC5"/>
    <w:rsid w:val="071E78C4"/>
    <w:rsid w:val="073D1EB0"/>
    <w:rsid w:val="0757413C"/>
    <w:rsid w:val="077C5CB6"/>
    <w:rsid w:val="078149C0"/>
    <w:rsid w:val="07964CDC"/>
    <w:rsid w:val="079818D5"/>
    <w:rsid w:val="07A62192"/>
    <w:rsid w:val="07A86AEC"/>
    <w:rsid w:val="07B07AC4"/>
    <w:rsid w:val="07B7010F"/>
    <w:rsid w:val="07B90E8B"/>
    <w:rsid w:val="07DD706A"/>
    <w:rsid w:val="07EA0755"/>
    <w:rsid w:val="07EB103E"/>
    <w:rsid w:val="0808579C"/>
    <w:rsid w:val="081311C6"/>
    <w:rsid w:val="08226711"/>
    <w:rsid w:val="08482F90"/>
    <w:rsid w:val="084B4520"/>
    <w:rsid w:val="084B50A2"/>
    <w:rsid w:val="086171E7"/>
    <w:rsid w:val="086B46D3"/>
    <w:rsid w:val="086E6706"/>
    <w:rsid w:val="086F2BA9"/>
    <w:rsid w:val="08A76D63"/>
    <w:rsid w:val="08B57F9D"/>
    <w:rsid w:val="08BA11AE"/>
    <w:rsid w:val="08C03CE0"/>
    <w:rsid w:val="08C72115"/>
    <w:rsid w:val="08D14E01"/>
    <w:rsid w:val="08E329BB"/>
    <w:rsid w:val="08E50C0E"/>
    <w:rsid w:val="08FD2989"/>
    <w:rsid w:val="0905624B"/>
    <w:rsid w:val="09173BE3"/>
    <w:rsid w:val="09221AFA"/>
    <w:rsid w:val="092A601D"/>
    <w:rsid w:val="092F39CD"/>
    <w:rsid w:val="093029EB"/>
    <w:rsid w:val="09366E11"/>
    <w:rsid w:val="09503BA1"/>
    <w:rsid w:val="0960497E"/>
    <w:rsid w:val="09775F47"/>
    <w:rsid w:val="0985205E"/>
    <w:rsid w:val="098B0A91"/>
    <w:rsid w:val="098F32F2"/>
    <w:rsid w:val="098F5AAF"/>
    <w:rsid w:val="099103EA"/>
    <w:rsid w:val="099C7219"/>
    <w:rsid w:val="09CB72D9"/>
    <w:rsid w:val="09CB796E"/>
    <w:rsid w:val="09E36721"/>
    <w:rsid w:val="09F307D8"/>
    <w:rsid w:val="09F46D31"/>
    <w:rsid w:val="09F8034A"/>
    <w:rsid w:val="0A0E0042"/>
    <w:rsid w:val="0A1641A0"/>
    <w:rsid w:val="0A276905"/>
    <w:rsid w:val="0A362D41"/>
    <w:rsid w:val="0A490B2F"/>
    <w:rsid w:val="0A620AA0"/>
    <w:rsid w:val="0A825728"/>
    <w:rsid w:val="0A9A181F"/>
    <w:rsid w:val="0A9F25E4"/>
    <w:rsid w:val="0AAE6186"/>
    <w:rsid w:val="0AB34C70"/>
    <w:rsid w:val="0ABA1EA4"/>
    <w:rsid w:val="0AD33E3F"/>
    <w:rsid w:val="0ADB6871"/>
    <w:rsid w:val="0ADC7B6A"/>
    <w:rsid w:val="0AE03EF5"/>
    <w:rsid w:val="0AEC752E"/>
    <w:rsid w:val="0AF74A04"/>
    <w:rsid w:val="0B146EC9"/>
    <w:rsid w:val="0B1474AA"/>
    <w:rsid w:val="0B1918A8"/>
    <w:rsid w:val="0B397858"/>
    <w:rsid w:val="0B41363E"/>
    <w:rsid w:val="0B446D77"/>
    <w:rsid w:val="0B48482D"/>
    <w:rsid w:val="0B4F0CCC"/>
    <w:rsid w:val="0B622FC7"/>
    <w:rsid w:val="0B65145A"/>
    <w:rsid w:val="0B6D5BF8"/>
    <w:rsid w:val="0B7A42BB"/>
    <w:rsid w:val="0B7C1378"/>
    <w:rsid w:val="0B7E2EFC"/>
    <w:rsid w:val="0B85421D"/>
    <w:rsid w:val="0BA5505E"/>
    <w:rsid w:val="0BB51A58"/>
    <w:rsid w:val="0BD1723C"/>
    <w:rsid w:val="0BD85839"/>
    <w:rsid w:val="0BDA4228"/>
    <w:rsid w:val="0BE91ACB"/>
    <w:rsid w:val="0BE96E46"/>
    <w:rsid w:val="0C031815"/>
    <w:rsid w:val="0C1A4161"/>
    <w:rsid w:val="0C1D555D"/>
    <w:rsid w:val="0C1F0EFE"/>
    <w:rsid w:val="0C29613C"/>
    <w:rsid w:val="0C317B7A"/>
    <w:rsid w:val="0C33315B"/>
    <w:rsid w:val="0C4A1EDF"/>
    <w:rsid w:val="0C4D2D86"/>
    <w:rsid w:val="0C4F4ACA"/>
    <w:rsid w:val="0C68698B"/>
    <w:rsid w:val="0C793E8E"/>
    <w:rsid w:val="0C856CAB"/>
    <w:rsid w:val="0CC53426"/>
    <w:rsid w:val="0CCC6E6B"/>
    <w:rsid w:val="0CD64743"/>
    <w:rsid w:val="0CDA31CD"/>
    <w:rsid w:val="0CE67735"/>
    <w:rsid w:val="0D022420"/>
    <w:rsid w:val="0D026DD7"/>
    <w:rsid w:val="0D0630DF"/>
    <w:rsid w:val="0D190791"/>
    <w:rsid w:val="0D1D5B12"/>
    <w:rsid w:val="0D1E23F9"/>
    <w:rsid w:val="0D1F0A4F"/>
    <w:rsid w:val="0D2F4A37"/>
    <w:rsid w:val="0D3018A0"/>
    <w:rsid w:val="0D3140B6"/>
    <w:rsid w:val="0D344432"/>
    <w:rsid w:val="0D344D36"/>
    <w:rsid w:val="0D5154EF"/>
    <w:rsid w:val="0D847CCD"/>
    <w:rsid w:val="0D8E229F"/>
    <w:rsid w:val="0D982D7B"/>
    <w:rsid w:val="0D9932AC"/>
    <w:rsid w:val="0DA92880"/>
    <w:rsid w:val="0DB0571B"/>
    <w:rsid w:val="0DD52030"/>
    <w:rsid w:val="0DFF7B8D"/>
    <w:rsid w:val="0E0451A4"/>
    <w:rsid w:val="0E081E23"/>
    <w:rsid w:val="0E1F2DD6"/>
    <w:rsid w:val="0E211264"/>
    <w:rsid w:val="0E283F5F"/>
    <w:rsid w:val="0E2D054A"/>
    <w:rsid w:val="0E4F3963"/>
    <w:rsid w:val="0E5D0F1B"/>
    <w:rsid w:val="0E856AB1"/>
    <w:rsid w:val="0E884F40"/>
    <w:rsid w:val="0E9B5228"/>
    <w:rsid w:val="0EB126E9"/>
    <w:rsid w:val="0EBE2E84"/>
    <w:rsid w:val="0EC73138"/>
    <w:rsid w:val="0EE515F2"/>
    <w:rsid w:val="0EF02E0D"/>
    <w:rsid w:val="0EFE273F"/>
    <w:rsid w:val="0F0E5E5B"/>
    <w:rsid w:val="0F1669F0"/>
    <w:rsid w:val="0F2A5FF8"/>
    <w:rsid w:val="0F3D4F71"/>
    <w:rsid w:val="0F446810"/>
    <w:rsid w:val="0F531268"/>
    <w:rsid w:val="0F555C26"/>
    <w:rsid w:val="0F5D7BF7"/>
    <w:rsid w:val="0F6610BE"/>
    <w:rsid w:val="0F760A17"/>
    <w:rsid w:val="0F9A3F3D"/>
    <w:rsid w:val="0F9B5EA6"/>
    <w:rsid w:val="0FAC442B"/>
    <w:rsid w:val="0FB5405F"/>
    <w:rsid w:val="0FB551B0"/>
    <w:rsid w:val="0FB84EFB"/>
    <w:rsid w:val="0FB85D34"/>
    <w:rsid w:val="0FBF7CDA"/>
    <w:rsid w:val="0FDD4DA3"/>
    <w:rsid w:val="0FF3423B"/>
    <w:rsid w:val="0FF42061"/>
    <w:rsid w:val="0FFD3A82"/>
    <w:rsid w:val="100B2FDE"/>
    <w:rsid w:val="102213DB"/>
    <w:rsid w:val="102D3C39"/>
    <w:rsid w:val="104D6431"/>
    <w:rsid w:val="10501561"/>
    <w:rsid w:val="105D7C86"/>
    <w:rsid w:val="105F5287"/>
    <w:rsid w:val="10637FA1"/>
    <w:rsid w:val="10685029"/>
    <w:rsid w:val="10687C80"/>
    <w:rsid w:val="107A5BA9"/>
    <w:rsid w:val="10826436"/>
    <w:rsid w:val="109C19B9"/>
    <w:rsid w:val="109F2936"/>
    <w:rsid w:val="10A44A83"/>
    <w:rsid w:val="10A557FE"/>
    <w:rsid w:val="10B95339"/>
    <w:rsid w:val="10BB0DA8"/>
    <w:rsid w:val="10C973D8"/>
    <w:rsid w:val="10CB4A59"/>
    <w:rsid w:val="10D44D3C"/>
    <w:rsid w:val="10D7337D"/>
    <w:rsid w:val="10D86252"/>
    <w:rsid w:val="110E5428"/>
    <w:rsid w:val="11232DEF"/>
    <w:rsid w:val="1132511F"/>
    <w:rsid w:val="1139619E"/>
    <w:rsid w:val="114D3ABD"/>
    <w:rsid w:val="115B3E5E"/>
    <w:rsid w:val="116471F1"/>
    <w:rsid w:val="11691D43"/>
    <w:rsid w:val="117624DF"/>
    <w:rsid w:val="117D4E47"/>
    <w:rsid w:val="11A045F6"/>
    <w:rsid w:val="11A15028"/>
    <w:rsid w:val="11A90781"/>
    <w:rsid w:val="11B30526"/>
    <w:rsid w:val="11B33F5E"/>
    <w:rsid w:val="11C95D16"/>
    <w:rsid w:val="11D03A6D"/>
    <w:rsid w:val="11E76422"/>
    <w:rsid w:val="11F34E23"/>
    <w:rsid w:val="12040D82"/>
    <w:rsid w:val="1209102C"/>
    <w:rsid w:val="12132C19"/>
    <w:rsid w:val="12244D21"/>
    <w:rsid w:val="126C4E13"/>
    <w:rsid w:val="12736CE1"/>
    <w:rsid w:val="12750531"/>
    <w:rsid w:val="128E4800"/>
    <w:rsid w:val="12BD655B"/>
    <w:rsid w:val="12FD492E"/>
    <w:rsid w:val="131920D3"/>
    <w:rsid w:val="132460F2"/>
    <w:rsid w:val="13453400"/>
    <w:rsid w:val="134D75A9"/>
    <w:rsid w:val="134F7F49"/>
    <w:rsid w:val="13735872"/>
    <w:rsid w:val="138A0B62"/>
    <w:rsid w:val="138D46CB"/>
    <w:rsid w:val="139E5CA8"/>
    <w:rsid w:val="13A15797"/>
    <w:rsid w:val="13A91BE1"/>
    <w:rsid w:val="13BD47DC"/>
    <w:rsid w:val="13CE4A43"/>
    <w:rsid w:val="13CF72BE"/>
    <w:rsid w:val="13E82ADE"/>
    <w:rsid w:val="13F63530"/>
    <w:rsid w:val="13F77A2E"/>
    <w:rsid w:val="140F5397"/>
    <w:rsid w:val="141479CF"/>
    <w:rsid w:val="14186ABA"/>
    <w:rsid w:val="142209B7"/>
    <w:rsid w:val="143A611A"/>
    <w:rsid w:val="143A7FC4"/>
    <w:rsid w:val="14484B34"/>
    <w:rsid w:val="144A7B41"/>
    <w:rsid w:val="144B748E"/>
    <w:rsid w:val="14560D8C"/>
    <w:rsid w:val="14581A2A"/>
    <w:rsid w:val="145E6E6F"/>
    <w:rsid w:val="14600B63"/>
    <w:rsid w:val="14713A52"/>
    <w:rsid w:val="147968BA"/>
    <w:rsid w:val="148E41B4"/>
    <w:rsid w:val="149E0F8A"/>
    <w:rsid w:val="14D01E38"/>
    <w:rsid w:val="14D55044"/>
    <w:rsid w:val="14F04F52"/>
    <w:rsid w:val="150443B3"/>
    <w:rsid w:val="151335CE"/>
    <w:rsid w:val="151B4DDD"/>
    <w:rsid w:val="15226B7D"/>
    <w:rsid w:val="152575EA"/>
    <w:rsid w:val="15427AB2"/>
    <w:rsid w:val="15681388"/>
    <w:rsid w:val="156A337C"/>
    <w:rsid w:val="1571032E"/>
    <w:rsid w:val="157E587A"/>
    <w:rsid w:val="158023CE"/>
    <w:rsid w:val="15B52072"/>
    <w:rsid w:val="15B93B07"/>
    <w:rsid w:val="15CA354C"/>
    <w:rsid w:val="15CB2107"/>
    <w:rsid w:val="15D608E1"/>
    <w:rsid w:val="15EA156E"/>
    <w:rsid w:val="15F33CA6"/>
    <w:rsid w:val="1600701A"/>
    <w:rsid w:val="1618198C"/>
    <w:rsid w:val="161C6A27"/>
    <w:rsid w:val="16442095"/>
    <w:rsid w:val="164B2C97"/>
    <w:rsid w:val="165058A2"/>
    <w:rsid w:val="1669516F"/>
    <w:rsid w:val="167416D9"/>
    <w:rsid w:val="1675607D"/>
    <w:rsid w:val="16883947"/>
    <w:rsid w:val="168B5D4E"/>
    <w:rsid w:val="168E5A0C"/>
    <w:rsid w:val="169D2973"/>
    <w:rsid w:val="16A34563"/>
    <w:rsid w:val="16AB1A7F"/>
    <w:rsid w:val="16AB6C39"/>
    <w:rsid w:val="16B05326"/>
    <w:rsid w:val="16C1599F"/>
    <w:rsid w:val="16C67785"/>
    <w:rsid w:val="16E623B5"/>
    <w:rsid w:val="16F278D9"/>
    <w:rsid w:val="16F750EF"/>
    <w:rsid w:val="16F7587E"/>
    <w:rsid w:val="16FB45A8"/>
    <w:rsid w:val="17040FC0"/>
    <w:rsid w:val="17052F46"/>
    <w:rsid w:val="170F4451"/>
    <w:rsid w:val="174058C8"/>
    <w:rsid w:val="1752624D"/>
    <w:rsid w:val="1758293B"/>
    <w:rsid w:val="176508EA"/>
    <w:rsid w:val="177B2EA8"/>
    <w:rsid w:val="17863658"/>
    <w:rsid w:val="179754A6"/>
    <w:rsid w:val="179C4D0F"/>
    <w:rsid w:val="17A417F8"/>
    <w:rsid w:val="17A821AF"/>
    <w:rsid w:val="17AC3AD5"/>
    <w:rsid w:val="17B172B6"/>
    <w:rsid w:val="17B3511C"/>
    <w:rsid w:val="17B516E0"/>
    <w:rsid w:val="17C50B46"/>
    <w:rsid w:val="17C66BA8"/>
    <w:rsid w:val="17C765D1"/>
    <w:rsid w:val="180F153D"/>
    <w:rsid w:val="1816180F"/>
    <w:rsid w:val="18174DF2"/>
    <w:rsid w:val="18215B55"/>
    <w:rsid w:val="182E227B"/>
    <w:rsid w:val="18336970"/>
    <w:rsid w:val="183A35E1"/>
    <w:rsid w:val="183E2198"/>
    <w:rsid w:val="18420FFB"/>
    <w:rsid w:val="18537C7C"/>
    <w:rsid w:val="185A54A8"/>
    <w:rsid w:val="18733F58"/>
    <w:rsid w:val="18765075"/>
    <w:rsid w:val="18776A13"/>
    <w:rsid w:val="18786A8D"/>
    <w:rsid w:val="187947C2"/>
    <w:rsid w:val="187D747F"/>
    <w:rsid w:val="1891185B"/>
    <w:rsid w:val="189F35B2"/>
    <w:rsid w:val="18A35A4D"/>
    <w:rsid w:val="18AF442F"/>
    <w:rsid w:val="18B70E48"/>
    <w:rsid w:val="18BE2116"/>
    <w:rsid w:val="18E023FF"/>
    <w:rsid w:val="18EB4F37"/>
    <w:rsid w:val="18F45789"/>
    <w:rsid w:val="19014A7B"/>
    <w:rsid w:val="19055A9D"/>
    <w:rsid w:val="1918409B"/>
    <w:rsid w:val="19262467"/>
    <w:rsid w:val="193979AC"/>
    <w:rsid w:val="193B05F8"/>
    <w:rsid w:val="194B4A92"/>
    <w:rsid w:val="194E2AFE"/>
    <w:rsid w:val="196250BD"/>
    <w:rsid w:val="19702512"/>
    <w:rsid w:val="19706857"/>
    <w:rsid w:val="19722A75"/>
    <w:rsid w:val="19A03A86"/>
    <w:rsid w:val="19A70840"/>
    <w:rsid w:val="19CA1B29"/>
    <w:rsid w:val="19D0139E"/>
    <w:rsid w:val="19D06809"/>
    <w:rsid w:val="19DA62C8"/>
    <w:rsid w:val="19E94D35"/>
    <w:rsid w:val="19FC468C"/>
    <w:rsid w:val="1A022B20"/>
    <w:rsid w:val="1A1304BE"/>
    <w:rsid w:val="1A427DB4"/>
    <w:rsid w:val="1A457025"/>
    <w:rsid w:val="1A4610D4"/>
    <w:rsid w:val="1A525523"/>
    <w:rsid w:val="1A5B5E89"/>
    <w:rsid w:val="1A5C1F48"/>
    <w:rsid w:val="1A6E528F"/>
    <w:rsid w:val="1A70511B"/>
    <w:rsid w:val="1A71306D"/>
    <w:rsid w:val="1A7131D6"/>
    <w:rsid w:val="1A737ED1"/>
    <w:rsid w:val="1A7969B4"/>
    <w:rsid w:val="1AA969CF"/>
    <w:rsid w:val="1AB0025A"/>
    <w:rsid w:val="1AB20ECC"/>
    <w:rsid w:val="1AB732D0"/>
    <w:rsid w:val="1ABF0BC5"/>
    <w:rsid w:val="1AC037A0"/>
    <w:rsid w:val="1AC1457A"/>
    <w:rsid w:val="1AC256FF"/>
    <w:rsid w:val="1AC60B7F"/>
    <w:rsid w:val="1AD31B74"/>
    <w:rsid w:val="1ADB55A7"/>
    <w:rsid w:val="1AF70394"/>
    <w:rsid w:val="1AF712CE"/>
    <w:rsid w:val="1AF9060D"/>
    <w:rsid w:val="1B087529"/>
    <w:rsid w:val="1B0B5714"/>
    <w:rsid w:val="1B0F4780"/>
    <w:rsid w:val="1B204CCE"/>
    <w:rsid w:val="1B290F58"/>
    <w:rsid w:val="1B420E88"/>
    <w:rsid w:val="1B4E734B"/>
    <w:rsid w:val="1B5C6B41"/>
    <w:rsid w:val="1B5F4DB6"/>
    <w:rsid w:val="1B6A57FE"/>
    <w:rsid w:val="1B721D11"/>
    <w:rsid w:val="1B945747"/>
    <w:rsid w:val="1BB04630"/>
    <w:rsid w:val="1BB64648"/>
    <w:rsid w:val="1BCE51D4"/>
    <w:rsid w:val="1BCF2907"/>
    <w:rsid w:val="1BD73063"/>
    <w:rsid w:val="1BDD2D6F"/>
    <w:rsid w:val="1BE0317C"/>
    <w:rsid w:val="1BED2F26"/>
    <w:rsid w:val="1BF256B7"/>
    <w:rsid w:val="1BF75F22"/>
    <w:rsid w:val="1C02728E"/>
    <w:rsid w:val="1C051559"/>
    <w:rsid w:val="1C0C3EA4"/>
    <w:rsid w:val="1C236D4E"/>
    <w:rsid w:val="1C265495"/>
    <w:rsid w:val="1C3529FC"/>
    <w:rsid w:val="1C371B75"/>
    <w:rsid w:val="1C3936A6"/>
    <w:rsid w:val="1C497D89"/>
    <w:rsid w:val="1C51207C"/>
    <w:rsid w:val="1C554A99"/>
    <w:rsid w:val="1C652B53"/>
    <w:rsid w:val="1C6E6668"/>
    <w:rsid w:val="1C88468D"/>
    <w:rsid w:val="1C8B505C"/>
    <w:rsid w:val="1C9670C0"/>
    <w:rsid w:val="1CAF7F87"/>
    <w:rsid w:val="1CB5421C"/>
    <w:rsid w:val="1CD71B54"/>
    <w:rsid w:val="1CEA153E"/>
    <w:rsid w:val="1CEF4E56"/>
    <w:rsid w:val="1D0165EA"/>
    <w:rsid w:val="1D115845"/>
    <w:rsid w:val="1D1506CF"/>
    <w:rsid w:val="1D183933"/>
    <w:rsid w:val="1D1A2308"/>
    <w:rsid w:val="1D242888"/>
    <w:rsid w:val="1D25204F"/>
    <w:rsid w:val="1D3548A1"/>
    <w:rsid w:val="1D380FD7"/>
    <w:rsid w:val="1D3F08D2"/>
    <w:rsid w:val="1D443D26"/>
    <w:rsid w:val="1D484E27"/>
    <w:rsid w:val="1D496139"/>
    <w:rsid w:val="1D6E54D7"/>
    <w:rsid w:val="1D6F3E9B"/>
    <w:rsid w:val="1D840E84"/>
    <w:rsid w:val="1D8925FF"/>
    <w:rsid w:val="1D9327D9"/>
    <w:rsid w:val="1D986B9B"/>
    <w:rsid w:val="1DA21624"/>
    <w:rsid w:val="1DA54D6A"/>
    <w:rsid w:val="1DA778C3"/>
    <w:rsid w:val="1DF21E72"/>
    <w:rsid w:val="1DF417D6"/>
    <w:rsid w:val="1DF62E81"/>
    <w:rsid w:val="1DFE3DAC"/>
    <w:rsid w:val="1E021BFF"/>
    <w:rsid w:val="1E0769EE"/>
    <w:rsid w:val="1E0775AB"/>
    <w:rsid w:val="1E153F6C"/>
    <w:rsid w:val="1E291386"/>
    <w:rsid w:val="1E2B3D29"/>
    <w:rsid w:val="1E2C40E5"/>
    <w:rsid w:val="1E2E4EB3"/>
    <w:rsid w:val="1E477757"/>
    <w:rsid w:val="1E4A21D3"/>
    <w:rsid w:val="1E54355C"/>
    <w:rsid w:val="1E6304C2"/>
    <w:rsid w:val="1E636B03"/>
    <w:rsid w:val="1E706020"/>
    <w:rsid w:val="1E8E5F08"/>
    <w:rsid w:val="1E8F1518"/>
    <w:rsid w:val="1E9C222A"/>
    <w:rsid w:val="1ECA4BC8"/>
    <w:rsid w:val="1EE66CEE"/>
    <w:rsid w:val="1EF36EBB"/>
    <w:rsid w:val="1F131AE0"/>
    <w:rsid w:val="1F1F4ABE"/>
    <w:rsid w:val="1F4534B4"/>
    <w:rsid w:val="1F47191A"/>
    <w:rsid w:val="1F4C0D7D"/>
    <w:rsid w:val="1F5B4CBF"/>
    <w:rsid w:val="1F6121A1"/>
    <w:rsid w:val="1F705061"/>
    <w:rsid w:val="1F8E35BE"/>
    <w:rsid w:val="1F9B74BC"/>
    <w:rsid w:val="1F9C48A2"/>
    <w:rsid w:val="1FA671A1"/>
    <w:rsid w:val="1FA914EF"/>
    <w:rsid w:val="1FB84D63"/>
    <w:rsid w:val="1FC374DA"/>
    <w:rsid w:val="1FEA717C"/>
    <w:rsid w:val="1FF906B0"/>
    <w:rsid w:val="20062169"/>
    <w:rsid w:val="200F7F04"/>
    <w:rsid w:val="201A2237"/>
    <w:rsid w:val="201E5D18"/>
    <w:rsid w:val="2023130F"/>
    <w:rsid w:val="20421DC4"/>
    <w:rsid w:val="20483587"/>
    <w:rsid w:val="20544121"/>
    <w:rsid w:val="20562AD4"/>
    <w:rsid w:val="205900EF"/>
    <w:rsid w:val="2075717D"/>
    <w:rsid w:val="209A623C"/>
    <w:rsid w:val="209E4872"/>
    <w:rsid w:val="20A0436C"/>
    <w:rsid w:val="20B7273B"/>
    <w:rsid w:val="20BA1DF4"/>
    <w:rsid w:val="20BC360F"/>
    <w:rsid w:val="20D962CC"/>
    <w:rsid w:val="20F1755A"/>
    <w:rsid w:val="20FD356C"/>
    <w:rsid w:val="21064040"/>
    <w:rsid w:val="211210AA"/>
    <w:rsid w:val="2135154F"/>
    <w:rsid w:val="213D2843"/>
    <w:rsid w:val="215E1DBD"/>
    <w:rsid w:val="2160588E"/>
    <w:rsid w:val="21956A9B"/>
    <w:rsid w:val="219936DF"/>
    <w:rsid w:val="21A14685"/>
    <w:rsid w:val="21A93866"/>
    <w:rsid w:val="21AB336E"/>
    <w:rsid w:val="21AB359F"/>
    <w:rsid w:val="21AC5DFB"/>
    <w:rsid w:val="21B2106B"/>
    <w:rsid w:val="21BC5A99"/>
    <w:rsid w:val="21D32C52"/>
    <w:rsid w:val="21F165B0"/>
    <w:rsid w:val="21F23796"/>
    <w:rsid w:val="21F27DCB"/>
    <w:rsid w:val="22305616"/>
    <w:rsid w:val="22360AA3"/>
    <w:rsid w:val="22490347"/>
    <w:rsid w:val="224A4AD5"/>
    <w:rsid w:val="22500A4D"/>
    <w:rsid w:val="22584071"/>
    <w:rsid w:val="225B49EE"/>
    <w:rsid w:val="226A418E"/>
    <w:rsid w:val="2272483E"/>
    <w:rsid w:val="227D17F1"/>
    <w:rsid w:val="22876478"/>
    <w:rsid w:val="2289323A"/>
    <w:rsid w:val="228F59A7"/>
    <w:rsid w:val="22906667"/>
    <w:rsid w:val="229C5567"/>
    <w:rsid w:val="22C24FA4"/>
    <w:rsid w:val="22D91854"/>
    <w:rsid w:val="22DA5AC0"/>
    <w:rsid w:val="22DE705C"/>
    <w:rsid w:val="22E66529"/>
    <w:rsid w:val="2306639B"/>
    <w:rsid w:val="230F3BD4"/>
    <w:rsid w:val="233E1C46"/>
    <w:rsid w:val="236F3C1F"/>
    <w:rsid w:val="237463A1"/>
    <w:rsid w:val="237A70F6"/>
    <w:rsid w:val="239C52BE"/>
    <w:rsid w:val="23AF4CD8"/>
    <w:rsid w:val="23B07D41"/>
    <w:rsid w:val="23B720F8"/>
    <w:rsid w:val="23B84EF3"/>
    <w:rsid w:val="23C14EB2"/>
    <w:rsid w:val="23C27D18"/>
    <w:rsid w:val="23E24535"/>
    <w:rsid w:val="23FE4872"/>
    <w:rsid w:val="24055E59"/>
    <w:rsid w:val="24076AB6"/>
    <w:rsid w:val="24224384"/>
    <w:rsid w:val="242B4067"/>
    <w:rsid w:val="2439244D"/>
    <w:rsid w:val="24484F38"/>
    <w:rsid w:val="24513041"/>
    <w:rsid w:val="245E584F"/>
    <w:rsid w:val="245F2F55"/>
    <w:rsid w:val="24765D55"/>
    <w:rsid w:val="247731B2"/>
    <w:rsid w:val="247E21D5"/>
    <w:rsid w:val="24833C06"/>
    <w:rsid w:val="248D400A"/>
    <w:rsid w:val="248F4E23"/>
    <w:rsid w:val="24AD33BA"/>
    <w:rsid w:val="24AE79FE"/>
    <w:rsid w:val="24AF5C17"/>
    <w:rsid w:val="24C15AF9"/>
    <w:rsid w:val="24D17FAA"/>
    <w:rsid w:val="24D71A91"/>
    <w:rsid w:val="24EA2885"/>
    <w:rsid w:val="25137802"/>
    <w:rsid w:val="2514315F"/>
    <w:rsid w:val="251D5FB6"/>
    <w:rsid w:val="25212332"/>
    <w:rsid w:val="25266F55"/>
    <w:rsid w:val="252833D2"/>
    <w:rsid w:val="253079C4"/>
    <w:rsid w:val="25401766"/>
    <w:rsid w:val="25542153"/>
    <w:rsid w:val="255B15D5"/>
    <w:rsid w:val="25644056"/>
    <w:rsid w:val="2567258E"/>
    <w:rsid w:val="25680558"/>
    <w:rsid w:val="25696394"/>
    <w:rsid w:val="2570067D"/>
    <w:rsid w:val="25893BA8"/>
    <w:rsid w:val="25930209"/>
    <w:rsid w:val="2599443A"/>
    <w:rsid w:val="25997AF3"/>
    <w:rsid w:val="25BD1741"/>
    <w:rsid w:val="25DA3091"/>
    <w:rsid w:val="25EF3AB9"/>
    <w:rsid w:val="25F81103"/>
    <w:rsid w:val="26006DE6"/>
    <w:rsid w:val="260135B9"/>
    <w:rsid w:val="26025181"/>
    <w:rsid w:val="261C6242"/>
    <w:rsid w:val="26202C41"/>
    <w:rsid w:val="26224FCB"/>
    <w:rsid w:val="262557B3"/>
    <w:rsid w:val="26282FED"/>
    <w:rsid w:val="26473B9A"/>
    <w:rsid w:val="264B4923"/>
    <w:rsid w:val="264F486A"/>
    <w:rsid w:val="2667752B"/>
    <w:rsid w:val="26771123"/>
    <w:rsid w:val="269147B8"/>
    <w:rsid w:val="26941391"/>
    <w:rsid w:val="269B7CA9"/>
    <w:rsid w:val="26A20D82"/>
    <w:rsid w:val="26C14511"/>
    <w:rsid w:val="26C40164"/>
    <w:rsid w:val="26CE19B4"/>
    <w:rsid w:val="26DA1D98"/>
    <w:rsid w:val="26DE3953"/>
    <w:rsid w:val="26F366F1"/>
    <w:rsid w:val="26F54F03"/>
    <w:rsid w:val="27111AFA"/>
    <w:rsid w:val="27143DBE"/>
    <w:rsid w:val="27182BEA"/>
    <w:rsid w:val="2743593E"/>
    <w:rsid w:val="27484087"/>
    <w:rsid w:val="274D6862"/>
    <w:rsid w:val="274D6E98"/>
    <w:rsid w:val="276A3257"/>
    <w:rsid w:val="27755910"/>
    <w:rsid w:val="277B6F75"/>
    <w:rsid w:val="278579C2"/>
    <w:rsid w:val="279B561B"/>
    <w:rsid w:val="27B4433C"/>
    <w:rsid w:val="27C57DBD"/>
    <w:rsid w:val="27D03EBF"/>
    <w:rsid w:val="27D30093"/>
    <w:rsid w:val="27E63081"/>
    <w:rsid w:val="2809621A"/>
    <w:rsid w:val="280C0DCA"/>
    <w:rsid w:val="28101F29"/>
    <w:rsid w:val="2835256C"/>
    <w:rsid w:val="2837796D"/>
    <w:rsid w:val="28417AE5"/>
    <w:rsid w:val="28505291"/>
    <w:rsid w:val="28581370"/>
    <w:rsid w:val="28642123"/>
    <w:rsid w:val="2865736E"/>
    <w:rsid w:val="287B52CC"/>
    <w:rsid w:val="288325A9"/>
    <w:rsid w:val="28A56406"/>
    <w:rsid w:val="28AA724F"/>
    <w:rsid w:val="28AF5155"/>
    <w:rsid w:val="28B75834"/>
    <w:rsid w:val="28BE6031"/>
    <w:rsid w:val="28C17E48"/>
    <w:rsid w:val="28C514CB"/>
    <w:rsid w:val="28CC4FE4"/>
    <w:rsid w:val="28D177B8"/>
    <w:rsid w:val="28DD5890"/>
    <w:rsid w:val="28E21760"/>
    <w:rsid w:val="28E868B0"/>
    <w:rsid w:val="28EC4613"/>
    <w:rsid w:val="290A6064"/>
    <w:rsid w:val="291139EE"/>
    <w:rsid w:val="291847E6"/>
    <w:rsid w:val="292F2DC4"/>
    <w:rsid w:val="293C2D99"/>
    <w:rsid w:val="29404C0D"/>
    <w:rsid w:val="29424EDD"/>
    <w:rsid w:val="295443A0"/>
    <w:rsid w:val="29590358"/>
    <w:rsid w:val="29596DD3"/>
    <w:rsid w:val="295B24AB"/>
    <w:rsid w:val="297A7993"/>
    <w:rsid w:val="29967372"/>
    <w:rsid w:val="29A17D62"/>
    <w:rsid w:val="29AA642E"/>
    <w:rsid w:val="29AD32F7"/>
    <w:rsid w:val="29BE25AC"/>
    <w:rsid w:val="29D326FC"/>
    <w:rsid w:val="29DF166B"/>
    <w:rsid w:val="29E13969"/>
    <w:rsid w:val="2A023353"/>
    <w:rsid w:val="2A2C52FA"/>
    <w:rsid w:val="2A5607B3"/>
    <w:rsid w:val="2A5D6149"/>
    <w:rsid w:val="2A6B7798"/>
    <w:rsid w:val="2A710F7E"/>
    <w:rsid w:val="2A7975CF"/>
    <w:rsid w:val="2A7A0114"/>
    <w:rsid w:val="2A843E18"/>
    <w:rsid w:val="2A857578"/>
    <w:rsid w:val="2A9E3E21"/>
    <w:rsid w:val="2AA311AC"/>
    <w:rsid w:val="2AB07591"/>
    <w:rsid w:val="2AC016B7"/>
    <w:rsid w:val="2AEF2DF4"/>
    <w:rsid w:val="2B1840A1"/>
    <w:rsid w:val="2B1A2B2E"/>
    <w:rsid w:val="2B47360A"/>
    <w:rsid w:val="2B4D7273"/>
    <w:rsid w:val="2B4E238E"/>
    <w:rsid w:val="2B601EA0"/>
    <w:rsid w:val="2B6D7540"/>
    <w:rsid w:val="2B7424AB"/>
    <w:rsid w:val="2B7F1B89"/>
    <w:rsid w:val="2B905D0C"/>
    <w:rsid w:val="2B9137BD"/>
    <w:rsid w:val="2B9B3193"/>
    <w:rsid w:val="2B9F47D1"/>
    <w:rsid w:val="2BA47406"/>
    <w:rsid w:val="2BB87B1E"/>
    <w:rsid w:val="2BBA0202"/>
    <w:rsid w:val="2BC2623D"/>
    <w:rsid w:val="2BCF3DC7"/>
    <w:rsid w:val="2BDD2FAD"/>
    <w:rsid w:val="2BDF74B4"/>
    <w:rsid w:val="2BFF3015"/>
    <w:rsid w:val="2C073DD4"/>
    <w:rsid w:val="2C15219A"/>
    <w:rsid w:val="2C175F9C"/>
    <w:rsid w:val="2C431391"/>
    <w:rsid w:val="2C4A5AE7"/>
    <w:rsid w:val="2C4B282D"/>
    <w:rsid w:val="2C4C77CF"/>
    <w:rsid w:val="2C550D78"/>
    <w:rsid w:val="2C5936C8"/>
    <w:rsid w:val="2C6D7080"/>
    <w:rsid w:val="2C6E287D"/>
    <w:rsid w:val="2C74227D"/>
    <w:rsid w:val="2C772DD3"/>
    <w:rsid w:val="2C7E7C57"/>
    <w:rsid w:val="2CA82058"/>
    <w:rsid w:val="2CAF6238"/>
    <w:rsid w:val="2CC35BE9"/>
    <w:rsid w:val="2CCC0562"/>
    <w:rsid w:val="2CE31EC1"/>
    <w:rsid w:val="2CF75AE4"/>
    <w:rsid w:val="2D0974C7"/>
    <w:rsid w:val="2D19370B"/>
    <w:rsid w:val="2D232BB3"/>
    <w:rsid w:val="2D2B6408"/>
    <w:rsid w:val="2D321D4B"/>
    <w:rsid w:val="2D3579E1"/>
    <w:rsid w:val="2D3758B3"/>
    <w:rsid w:val="2D384018"/>
    <w:rsid w:val="2D534A24"/>
    <w:rsid w:val="2D5E6029"/>
    <w:rsid w:val="2D605D24"/>
    <w:rsid w:val="2D7832F7"/>
    <w:rsid w:val="2D783EB8"/>
    <w:rsid w:val="2D792838"/>
    <w:rsid w:val="2D8C5655"/>
    <w:rsid w:val="2DA23790"/>
    <w:rsid w:val="2DA74BF5"/>
    <w:rsid w:val="2DA9147A"/>
    <w:rsid w:val="2DAC1C52"/>
    <w:rsid w:val="2DDC268F"/>
    <w:rsid w:val="2DE16E28"/>
    <w:rsid w:val="2E0221C2"/>
    <w:rsid w:val="2E174F7B"/>
    <w:rsid w:val="2E244E47"/>
    <w:rsid w:val="2E721ED9"/>
    <w:rsid w:val="2E7913A9"/>
    <w:rsid w:val="2E7B0302"/>
    <w:rsid w:val="2E8E01D3"/>
    <w:rsid w:val="2EAE6B15"/>
    <w:rsid w:val="2EB22662"/>
    <w:rsid w:val="2EB536D8"/>
    <w:rsid w:val="2EC40C85"/>
    <w:rsid w:val="2EDB149A"/>
    <w:rsid w:val="2EDD74BB"/>
    <w:rsid w:val="2F002E49"/>
    <w:rsid w:val="2F126A4D"/>
    <w:rsid w:val="2F160CF0"/>
    <w:rsid w:val="2F4F3014"/>
    <w:rsid w:val="2F5B7024"/>
    <w:rsid w:val="2F621CF5"/>
    <w:rsid w:val="2F6C713A"/>
    <w:rsid w:val="2F6E65DC"/>
    <w:rsid w:val="2F76244B"/>
    <w:rsid w:val="2F8A47A2"/>
    <w:rsid w:val="2FBF2351"/>
    <w:rsid w:val="2FC233D0"/>
    <w:rsid w:val="2FC518D4"/>
    <w:rsid w:val="2FC82C73"/>
    <w:rsid w:val="2FCA31B3"/>
    <w:rsid w:val="2FCC6FD9"/>
    <w:rsid w:val="2FCF25FE"/>
    <w:rsid w:val="2FF73108"/>
    <w:rsid w:val="301B600E"/>
    <w:rsid w:val="303B2136"/>
    <w:rsid w:val="306000A8"/>
    <w:rsid w:val="30641CBA"/>
    <w:rsid w:val="306639FF"/>
    <w:rsid w:val="30800ABE"/>
    <w:rsid w:val="308A01EF"/>
    <w:rsid w:val="3090377F"/>
    <w:rsid w:val="30B2114C"/>
    <w:rsid w:val="30C3746D"/>
    <w:rsid w:val="30D42781"/>
    <w:rsid w:val="30D7510D"/>
    <w:rsid w:val="30DE340A"/>
    <w:rsid w:val="30EA5B1F"/>
    <w:rsid w:val="30FB0D5F"/>
    <w:rsid w:val="3104768B"/>
    <w:rsid w:val="31057955"/>
    <w:rsid w:val="31092434"/>
    <w:rsid w:val="310C7136"/>
    <w:rsid w:val="31314BA3"/>
    <w:rsid w:val="31317E14"/>
    <w:rsid w:val="314004D7"/>
    <w:rsid w:val="3140212F"/>
    <w:rsid w:val="314B3ACE"/>
    <w:rsid w:val="31555FBC"/>
    <w:rsid w:val="315947EF"/>
    <w:rsid w:val="31603A61"/>
    <w:rsid w:val="316647EF"/>
    <w:rsid w:val="31680795"/>
    <w:rsid w:val="31692558"/>
    <w:rsid w:val="316E1001"/>
    <w:rsid w:val="317A4D08"/>
    <w:rsid w:val="31885F70"/>
    <w:rsid w:val="31AD3885"/>
    <w:rsid w:val="31BE1A23"/>
    <w:rsid w:val="31C90D2B"/>
    <w:rsid w:val="31E75DBB"/>
    <w:rsid w:val="31E81A7F"/>
    <w:rsid w:val="31F16C43"/>
    <w:rsid w:val="3206209E"/>
    <w:rsid w:val="32126E18"/>
    <w:rsid w:val="32170032"/>
    <w:rsid w:val="321E51DB"/>
    <w:rsid w:val="32325046"/>
    <w:rsid w:val="3262008A"/>
    <w:rsid w:val="3265181C"/>
    <w:rsid w:val="328B2686"/>
    <w:rsid w:val="328C7A48"/>
    <w:rsid w:val="328E7D9F"/>
    <w:rsid w:val="32910CBB"/>
    <w:rsid w:val="329659D5"/>
    <w:rsid w:val="32A1531A"/>
    <w:rsid w:val="32DF2AD1"/>
    <w:rsid w:val="32E5276F"/>
    <w:rsid w:val="32E95294"/>
    <w:rsid w:val="32F73302"/>
    <w:rsid w:val="32FC26AD"/>
    <w:rsid w:val="33162BFB"/>
    <w:rsid w:val="331643DD"/>
    <w:rsid w:val="33184CA7"/>
    <w:rsid w:val="331C63FF"/>
    <w:rsid w:val="33526178"/>
    <w:rsid w:val="33655003"/>
    <w:rsid w:val="336B4400"/>
    <w:rsid w:val="33713764"/>
    <w:rsid w:val="33720BB1"/>
    <w:rsid w:val="338004C7"/>
    <w:rsid w:val="338407C3"/>
    <w:rsid w:val="338721D1"/>
    <w:rsid w:val="33875B5B"/>
    <w:rsid w:val="339549AB"/>
    <w:rsid w:val="33994370"/>
    <w:rsid w:val="33AC3D92"/>
    <w:rsid w:val="33BF6B23"/>
    <w:rsid w:val="33C3451F"/>
    <w:rsid w:val="33DC3C8F"/>
    <w:rsid w:val="33E17357"/>
    <w:rsid w:val="33F629CD"/>
    <w:rsid w:val="34180AB1"/>
    <w:rsid w:val="34236B55"/>
    <w:rsid w:val="342D0480"/>
    <w:rsid w:val="343274BE"/>
    <w:rsid w:val="343C56C9"/>
    <w:rsid w:val="343F47A7"/>
    <w:rsid w:val="344277BC"/>
    <w:rsid w:val="34666EBA"/>
    <w:rsid w:val="34711D81"/>
    <w:rsid w:val="34744FA0"/>
    <w:rsid w:val="347E3719"/>
    <w:rsid w:val="348439FB"/>
    <w:rsid w:val="3499411D"/>
    <w:rsid w:val="349E4A87"/>
    <w:rsid w:val="34A04EF7"/>
    <w:rsid w:val="34A33341"/>
    <w:rsid w:val="34A7057C"/>
    <w:rsid w:val="34AD23A9"/>
    <w:rsid w:val="34B66F7C"/>
    <w:rsid w:val="34B844B7"/>
    <w:rsid w:val="34BD363F"/>
    <w:rsid w:val="34BF4442"/>
    <w:rsid w:val="34C46423"/>
    <w:rsid w:val="34C81197"/>
    <w:rsid w:val="34CE39BD"/>
    <w:rsid w:val="34CF40CD"/>
    <w:rsid w:val="34E10CF8"/>
    <w:rsid w:val="34E23691"/>
    <w:rsid w:val="34E66905"/>
    <w:rsid w:val="35032310"/>
    <w:rsid w:val="350F3053"/>
    <w:rsid w:val="35187070"/>
    <w:rsid w:val="35244840"/>
    <w:rsid w:val="35275ACD"/>
    <w:rsid w:val="352858EA"/>
    <w:rsid w:val="352C3838"/>
    <w:rsid w:val="35301188"/>
    <w:rsid w:val="35351DE6"/>
    <w:rsid w:val="353B6063"/>
    <w:rsid w:val="353C06AF"/>
    <w:rsid w:val="35403D19"/>
    <w:rsid w:val="35420C83"/>
    <w:rsid w:val="354318EC"/>
    <w:rsid w:val="355C2763"/>
    <w:rsid w:val="356245E1"/>
    <w:rsid w:val="35663BF3"/>
    <w:rsid w:val="35672788"/>
    <w:rsid w:val="359C1A0F"/>
    <w:rsid w:val="35A51288"/>
    <w:rsid w:val="35AF6096"/>
    <w:rsid w:val="35C12C41"/>
    <w:rsid w:val="35C9763F"/>
    <w:rsid w:val="35D22A84"/>
    <w:rsid w:val="35D758CB"/>
    <w:rsid w:val="35EA7C84"/>
    <w:rsid w:val="35F63E2C"/>
    <w:rsid w:val="35F828B9"/>
    <w:rsid w:val="35FF145B"/>
    <w:rsid w:val="36083086"/>
    <w:rsid w:val="36562465"/>
    <w:rsid w:val="36670B16"/>
    <w:rsid w:val="36675EF3"/>
    <w:rsid w:val="366D6646"/>
    <w:rsid w:val="36744183"/>
    <w:rsid w:val="367F0ACC"/>
    <w:rsid w:val="368D4657"/>
    <w:rsid w:val="36986951"/>
    <w:rsid w:val="369922E0"/>
    <w:rsid w:val="36A04C6E"/>
    <w:rsid w:val="36A70AB9"/>
    <w:rsid w:val="36A97E79"/>
    <w:rsid w:val="36B30BAD"/>
    <w:rsid w:val="36C1748F"/>
    <w:rsid w:val="36D60B15"/>
    <w:rsid w:val="36DA31BF"/>
    <w:rsid w:val="36EB67D0"/>
    <w:rsid w:val="36F71004"/>
    <w:rsid w:val="36FE5E2D"/>
    <w:rsid w:val="3703138C"/>
    <w:rsid w:val="371861FD"/>
    <w:rsid w:val="37187A13"/>
    <w:rsid w:val="371C553A"/>
    <w:rsid w:val="371E6641"/>
    <w:rsid w:val="373553B6"/>
    <w:rsid w:val="37371DA1"/>
    <w:rsid w:val="373B144C"/>
    <w:rsid w:val="37452EDB"/>
    <w:rsid w:val="37472B26"/>
    <w:rsid w:val="374869BF"/>
    <w:rsid w:val="37967325"/>
    <w:rsid w:val="379E3EF2"/>
    <w:rsid w:val="37B14446"/>
    <w:rsid w:val="37CB46C9"/>
    <w:rsid w:val="37D361FB"/>
    <w:rsid w:val="37DA4247"/>
    <w:rsid w:val="37DE00CE"/>
    <w:rsid w:val="37E6218A"/>
    <w:rsid w:val="37EB12AA"/>
    <w:rsid w:val="37EC3603"/>
    <w:rsid w:val="37ED142A"/>
    <w:rsid w:val="380563BC"/>
    <w:rsid w:val="380F20AB"/>
    <w:rsid w:val="383E7ED2"/>
    <w:rsid w:val="384B22C3"/>
    <w:rsid w:val="3857185B"/>
    <w:rsid w:val="385B672C"/>
    <w:rsid w:val="385E6F6D"/>
    <w:rsid w:val="386C6BDE"/>
    <w:rsid w:val="387454CA"/>
    <w:rsid w:val="387921F2"/>
    <w:rsid w:val="38A43251"/>
    <w:rsid w:val="38A751AF"/>
    <w:rsid w:val="38BF4489"/>
    <w:rsid w:val="38C03235"/>
    <w:rsid w:val="38CC2170"/>
    <w:rsid w:val="38CF6DD8"/>
    <w:rsid w:val="38DD5CBE"/>
    <w:rsid w:val="38F016FE"/>
    <w:rsid w:val="38F738D0"/>
    <w:rsid w:val="39044BC2"/>
    <w:rsid w:val="390730A4"/>
    <w:rsid w:val="39083AA2"/>
    <w:rsid w:val="390927FC"/>
    <w:rsid w:val="392E46AC"/>
    <w:rsid w:val="39597BAC"/>
    <w:rsid w:val="39614F3E"/>
    <w:rsid w:val="3974064F"/>
    <w:rsid w:val="398C7878"/>
    <w:rsid w:val="399B7FED"/>
    <w:rsid w:val="39A349C6"/>
    <w:rsid w:val="39AE31FE"/>
    <w:rsid w:val="39AF4306"/>
    <w:rsid w:val="39B31D73"/>
    <w:rsid w:val="39B6251C"/>
    <w:rsid w:val="39C658A4"/>
    <w:rsid w:val="39D569DC"/>
    <w:rsid w:val="39E43AB5"/>
    <w:rsid w:val="3A455A26"/>
    <w:rsid w:val="3A525EF8"/>
    <w:rsid w:val="3A5449D7"/>
    <w:rsid w:val="3A607909"/>
    <w:rsid w:val="3A687E60"/>
    <w:rsid w:val="3A832B1A"/>
    <w:rsid w:val="3A8D44BF"/>
    <w:rsid w:val="3A8D577B"/>
    <w:rsid w:val="3A8F341F"/>
    <w:rsid w:val="3AA2704A"/>
    <w:rsid w:val="3AA739FD"/>
    <w:rsid w:val="3AAB1FE4"/>
    <w:rsid w:val="3AB5228B"/>
    <w:rsid w:val="3AB52CF8"/>
    <w:rsid w:val="3ABB198D"/>
    <w:rsid w:val="3AC0143A"/>
    <w:rsid w:val="3AD718A9"/>
    <w:rsid w:val="3ADA5F26"/>
    <w:rsid w:val="3AE041B5"/>
    <w:rsid w:val="3AEE5F1E"/>
    <w:rsid w:val="3AF561AE"/>
    <w:rsid w:val="3B0324EB"/>
    <w:rsid w:val="3B0D21A6"/>
    <w:rsid w:val="3B1C1813"/>
    <w:rsid w:val="3B2B3D41"/>
    <w:rsid w:val="3B3343B4"/>
    <w:rsid w:val="3B397BAB"/>
    <w:rsid w:val="3B3D02A5"/>
    <w:rsid w:val="3B630DE6"/>
    <w:rsid w:val="3B6944BB"/>
    <w:rsid w:val="3B6F4669"/>
    <w:rsid w:val="3B806365"/>
    <w:rsid w:val="3BA660A8"/>
    <w:rsid w:val="3BA81ACB"/>
    <w:rsid w:val="3BB328CC"/>
    <w:rsid w:val="3BB517CC"/>
    <w:rsid w:val="3BB82E73"/>
    <w:rsid w:val="3BC51A6A"/>
    <w:rsid w:val="3BF46199"/>
    <w:rsid w:val="3C071327"/>
    <w:rsid w:val="3C082A9E"/>
    <w:rsid w:val="3C0904F2"/>
    <w:rsid w:val="3C104ABB"/>
    <w:rsid w:val="3C2F0867"/>
    <w:rsid w:val="3C370E08"/>
    <w:rsid w:val="3C387676"/>
    <w:rsid w:val="3C43253B"/>
    <w:rsid w:val="3C511408"/>
    <w:rsid w:val="3C5C5C84"/>
    <w:rsid w:val="3C707CB8"/>
    <w:rsid w:val="3C8059F0"/>
    <w:rsid w:val="3C814ED1"/>
    <w:rsid w:val="3C980AF5"/>
    <w:rsid w:val="3C9B6E0B"/>
    <w:rsid w:val="3CA0202B"/>
    <w:rsid w:val="3CC20EDC"/>
    <w:rsid w:val="3CCA0AFB"/>
    <w:rsid w:val="3CE130BB"/>
    <w:rsid w:val="3CED04E1"/>
    <w:rsid w:val="3CEE37F0"/>
    <w:rsid w:val="3CFC4E48"/>
    <w:rsid w:val="3D004C56"/>
    <w:rsid w:val="3D081CED"/>
    <w:rsid w:val="3D122F4E"/>
    <w:rsid w:val="3D1E15C7"/>
    <w:rsid w:val="3D241E26"/>
    <w:rsid w:val="3D2F2859"/>
    <w:rsid w:val="3D5141B5"/>
    <w:rsid w:val="3D783D77"/>
    <w:rsid w:val="3D8B48C4"/>
    <w:rsid w:val="3D9375F7"/>
    <w:rsid w:val="3D94259D"/>
    <w:rsid w:val="3D961CC7"/>
    <w:rsid w:val="3DA75E15"/>
    <w:rsid w:val="3DB42BC2"/>
    <w:rsid w:val="3DD502E6"/>
    <w:rsid w:val="3DE2192B"/>
    <w:rsid w:val="3DEE398E"/>
    <w:rsid w:val="3DEE3E70"/>
    <w:rsid w:val="3DF47F17"/>
    <w:rsid w:val="3DF82421"/>
    <w:rsid w:val="3E0B301E"/>
    <w:rsid w:val="3E1278AF"/>
    <w:rsid w:val="3E152B55"/>
    <w:rsid w:val="3E194167"/>
    <w:rsid w:val="3E1F3308"/>
    <w:rsid w:val="3E2668D4"/>
    <w:rsid w:val="3E2F0460"/>
    <w:rsid w:val="3E490AEF"/>
    <w:rsid w:val="3E5A43CE"/>
    <w:rsid w:val="3E6B67BC"/>
    <w:rsid w:val="3E7F33BB"/>
    <w:rsid w:val="3E927A73"/>
    <w:rsid w:val="3E946669"/>
    <w:rsid w:val="3E9C5D1B"/>
    <w:rsid w:val="3EA42E21"/>
    <w:rsid w:val="3EA52A84"/>
    <w:rsid w:val="3EAB1AD6"/>
    <w:rsid w:val="3EB30009"/>
    <w:rsid w:val="3EB67B22"/>
    <w:rsid w:val="3EC67A47"/>
    <w:rsid w:val="3EC756DB"/>
    <w:rsid w:val="3ECA7F16"/>
    <w:rsid w:val="3ED023E5"/>
    <w:rsid w:val="3ED759DC"/>
    <w:rsid w:val="3EDF0C15"/>
    <w:rsid w:val="3EE316FF"/>
    <w:rsid w:val="3EF862AC"/>
    <w:rsid w:val="3F11220F"/>
    <w:rsid w:val="3F2C2C73"/>
    <w:rsid w:val="3F2F68C8"/>
    <w:rsid w:val="3F4913DE"/>
    <w:rsid w:val="3F6164FB"/>
    <w:rsid w:val="3F7A3B57"/>
    <w:rsid w:val="3F841F94"/>
    <w:rsid w:val="3FB003C3"/>
    <w:rsid w:val="3FC265C9"/>
    <w:rsid w:val="3FE071D7"/>
    <w:rsid w:val="3FE61046"/>
    <w:rsid w:val="3FE77469"/>
    <w:rsid w:val="3FE9242E"/>
    <w:rsid w:val="3FFF6365"/>
    <w:rsid w:val="400069E7"/>
    <w:rsid w:val="400C58FC"/>
    <w:rsid w:val="403A33C4"/>
    <w:rsid w:val="403B6D6B"/>
    <w:rsid w:val="404B516C"/>
    <w:rsid w:val="40550593"/>
    <w:rsid w:val="40714574"/>
    <w:rsid w:val="407629EE"/>
    <w:rsid w:val="40800AEB"/>
    <w:rsid w:val="40844ED1"/>
    <w:rsid w:val="40924191"/>
    <w:rsid w:val="409D017B"/>
    <w:rsid w:val="40B12BDC"/>
    <w:rsid w:val="40C62E19"/>
    <w:rsid w:val="40CC76C9"/>
    <w:rsid w:val="41041EEE"/>
    <w:rsid w:val="410528DA"/>
    <w:rsid w:val="412F7EDF"/>
    <w:rsid w:val="41495AB6"/>
    <w:rsid w:val="4177625A"/>
    <w:rsid w:val="41870624"/>
    <w:rsid w:val="41883B56"/>
    <w:rsid w:val="41D062DA"/>
    <w:rsid w:val="420122DC"/>
    <w:rsid w:val="4205529C"/>
    <w:rsid w:val="4215195F"/>
    <w:rsid w:val="421C2A39"/>
    <w:rsid w:val="422D5347"/>
    <w:rsid w:val="423C5D5C"/>
    <w:rsid w:val="423D624F"/>
    <w:rsid w:val="42617525"/>
    <w:rsid w:val="42777C77"/>
    <w:rsid w:val="428C4D4D"/>
    <w:rsid w:val="42B56CB4"/>
    <w:rsid w:val="42D11F3B"/>
    <w:rsid w:val="42D429F2"/>
    <w:rsid w:val="42D87812"/>
    <w:rsid w:val="42E86F85"/>
    <w:rsid w:val="42EB7271"/>
    <w:rsid w:val="42EC0759"/>
    <w:rsid w:val="42EE2966"/>
    <w:rsid w:val="42EF78EE"/>
    <w:rsid w:val="43021D08"/>
    <w:rsid w:val="431961B1"/>
    <w:rsid w:val="43344368"/>
    <w:rsid w:val="43391CFE"/>
    <w:rsid w:val="433F2786"/>
    <w:rsid w:val="434C2A96"/>
    <w:rsid w:val="435514C5"/>
    <w:rsid w:val="43704234"/>
    <w:rsid w:val="43905EBF"/>
    <w:rsid w:val="439C6AA2"/>
    <w:rsid w:val="43C028EC"/>
    <w:rsid w:val="43C70B85"/>
    <w:rsid w:val="43CD647A"/>
    <w:rsid w:val="43D459FB"/>
    <w:rsid w:val="43E92E63"/>
    <w:rsid w:val="43FC198B"/>
    <w:rsid w:val="440A45F5"/>
    <w:rsid w:val="440E1FFF"/>
    <w:rsid w:val="4410650B"/>
    <w:rsid w:val="443C52AD"/>
    <w:rsid w:val="443F1EB8"/>
    <w:rsid w:val="44440C7D"/>
    <w:rsid w:val="44550A4E"/>
    <w:rsid w:val="4479069C"/>
    <w:rsid w:val="447B238C"/>
    <w:rsid w:val="44885579"/>
    <w:rsid w:val="44BA7D0D"/>
    <w:rsid w:val="44BD74ED"/>
    <w:rsid w:val="44C57BC0"/>
    <w:rsid w:val="44CF0684"/>
    <w:rsid w:val="44D0797B"/>
    <w:rsid w:val="44EF0C19"/>
    <w:rsid w:val="44EF73A0"/>
    <w:rsid w:val="44F22619"/>
    <w:rsid w:val="44F610C7"/>
    <w:rsid w:val="44FF7756"/>
    <w:rsid w:val="45287FEF"/>
    <w:rsid w:val="452B2956"/>
    <w:rsid w:val="452C64DB"/>
    <w:rsid w:val="4540537E"/>
    <w:rsid w:val="45482185"/>
    <w:rsid w:val="455E3D3F"/>
    <w:rsid w:val="456A1FE7"/>
    <w:rsid w:val="4577303D"/>
    <w:rsid w:val="45815A83"/>
    <w:rsid w:val="458808C7"/>
    <w:rsid w:val="45A074F5"/>
    <w:rsid w:val="45A84BC6"/>
    <w:rsid w:val="45B87BBE"/>
    <w:rsid w:val="45BF76CD"/>
    <w:rsid w:val="45BF7C42"/>
    <w:rsid w:val="45D24675"/>
    <w:rsid w:val="45DD63AA"/>
    <w:rsid w:val="45E86C37"/>
    <w:rsid w:val="46026D83"/>
    <w:rsid w:val="460779B7"/>
    <w:rsid w:val="462713E1"/>
    <w:rsid w:val="462A493B"/>
    <w:rsid w:val="464C3E4D"/>
    <w:rsid w:val="465F62D4"/>
    <w:rsid w:val="46653681"/>
    <w:rsid w:val="466D4449"/>
    <w:rsid w:val="46715CDF"/>
    <w:rsid w:val="4679692A"/>
    <w:rsid w:val="467A1037"/>
    <w:rsid w:val="46817229"/>
    <w:rsid w:val="46947D46"/>
    <w:rsid w:val="46996FB3"/>
    <w:rsid w:val="46E02FF0"/>
    <w:rsid w:val="46FE7206"/>
    <w:rsid w:val="4700748D"/>
    <w:rsid w:val="471548BC"/>
    <w:rsid w:val="47186AAF"/>
    <w:rsid w:val="4726127E"/>
    <w:rsid w:val="472E4483"/>
    <w:rsid w:val="473E2683"/>
    <w:rsid w:val="474433F3"/>
    <w:rsid w:val="47457152"/>
    <w:rsid w:val="47474054"/>
    <w:rsid w:val="474D65C9"/>
    <w:rsid w:val="47575D0F"/>
    <w:rsid w:val="47616A5F"/>
    <w:rsid w:val="476C1D9D"/>
    <w:rsid w:val="47727C89"/>
    <w:rsid w:val="477B15C5"/>
    <w:rsid w:val="478449C4"/>
    <w:rsid w:val="47C33054"/>
    <w:rsid w:val="47C566CE"/>
    <w:rsid w:val="47E83293"/>
    <w:rsid w:val="480006F0"/>
    <w:rsid w:val="480316D8"/>
    <w:rsid w:val="4805393D"/>
    <w:rsid w:val="480C49EF"/>
    <w:rsid w:val="481523E7"/>
    <w:rsid w:val="4833096A"/>
    <w:rsid w:val="485553D9"/>
    <w:rsid w:val="48764FA7"/>
    <w:rsid w:val="48776582"/>
    <w:rsid w:val="488B0878"/>
    <w:rsid w:val="48923691"/>
    <w:rsid w:val="48942515"/>
    <w:rsid w:val="48A4387B"/>
    <w:rsid w:val="48B827E2"/>
    <w:rsid w:val="48BC1973"/>
    <w:rsid w:val="48CB3DCC"/>
    <w:rsid w:val="48DA4A23"/>
    <w:rsid w:val="491073E7"/>
    <w:rsid w:val="491A1905"/>
    <w:rsid w:val="491D73F4"/>
    <w:rsid w:val="49242AA2"/>
    <w:rsid w:val="492E263B"/>
    <w:rsid w:val="494D5AD6"/>
    <w:rsid w:val="4953791E"/>
    <w:rsid w:val="49612F50"/>
    <w:rsid w:val="4966428D"/>
    <w:rsid w:val="496736E8"/>
    <w:rsid w:val="4968786D"/>
    <w:rsid w:val="49724ACD"/>
    <w:rsid w:val="49AF1FD0"/>
    <w:rsid w:val="49CC51D3"/>
    <w:rsid w:val="49DF701E"/>
    <w:rsid w:val="49EB0170"/>
    <w:rsid w:val="49EE07E3"/>
    <w:rsid w:val="49F1552B"/>
    <w:rsid w:val="4A065EC6"/>
    <w:rsid w:val="4A0F25E0"/>
    <w:rsid w:val="4A1C6CD0"/>
    <w:rsid w:val="4A276D4C"/>
    <w:rsid w:val="4A2B32EC"/>
    <w:rsid w:val="4A3F67B6"/>
    <w:rsid w:val="4A5A18B5"/>
    <w:rsid w:val="4A655B5A"/>
    <w:rsid w:val="4A84623E"/>
    <w:rsid w:val="4A8B7ED7"/>
    <w:rsid w:val="4A8D6041"/>
    <w:rsid w:val="4A93441B"/>
    <w:rsid w:val="4A9422E5"/>
    <w:rsid w:val="4AA2123A"/>
    <w:rsid w:val="4AB231DB"/>
    <w:rsid w:val="4ABC6621"/>
    <w:rsid w:val="4ABD7886"/>
    <w:rsid w:val="4ABE1DA7"/>
    <w:rsid w:val="4AC41868"/>
    <w:rsid w:val="4AC5237C"/>
    <w:rsid w:val="4AD922BB"/>
    <w:rsid w:val="4AE370C7"/>
    <w:rsid w:val="4AE94DF0"/>
    <w:rsid w:val="4B084831"/>
    <w:rsid w:val="4B104ED2"/>
    <w:rsid w:val="4B17165E"/>
    <w:rsid w:val="4B182992"/>
    <w:rsid w:val="4B1D6650"/>
    <w:rsid w:val="4B2738CB"/>
    <w:rsid w:val="4B2B681A"/>
    <w:rsid w:val="4B455524"/>
    <w:rsid w:val="4B457958"/>
    <w:rsid w:val="4B4D0CD0"/>
    <w:rsid w:val="4B6D7872"/>
    <w:rsid w:val="4B8600DF"/>
    <w:rsid w:val="4B905B3A"/>
    <w:rsid w:val="4B95077A"/>
    <w:rsid w:val="4B963259"/>
    <w:rsid w:val="4B9D3123"/>
    <w:rsid w:val="4BA17C4E"/>
    <w:rsid w:val="4BAA50B6"/>
    <w:rsid w:val="4BAF3A53"/>
    <w:rsid w:val="4BB403C7"/>
    <w:rsid w:val="4BC063F0"/>
    <w:rsid w:val="4BC90D1D"/>
    <w:rsid w:val="4BDA0271"/>
    <w:rsid w:val="4C051874"/>
    <w:rsid w:val="4C0C7EF2"/>
    <w:rsid w:val="4C0D6434"/>
    <w:rsid w:val="4C1C049B"/>
    <w:rsid w:val="4C2671F7"/>
    <w:rsid w:val="4C2A705C"/>
    <w:rsid w:val="4C4E7744"/>
    <w:rsid w:val="4C856040"/>
    <w:rsid w:val="4CE03A0B"/>
    <w:rsid w:val="4CE21C50"/>
    <w:rsid w:val="4CE55112"/>
    <w:rsid w:val="4CF2578A"/>
    <w:rsid w:val="4CFE250F"/>
    <w:rsid w:val="4D1675E0"/>
    <w:rsid w:val="4D286405"/>
    <w:rsid w:val="4D2A0052"/>
    <w:rsid w:val="4D40120D"/>
    <w:rsid w:val="4D500E2E"/>
    <w:rsid w:val="4D501AF3"/>
    <w:rsid w:val="4D555C40"/>
    <w:rsid w:val="4D683B56"/>
    <w:rsid w:val="4D6D5630"/>
    <w:rsid w:val="4D7A01B3"/>
    <w:rsid w:val="4D863CD1"/>
    <w:rsid w:val="4D886B98"/>
    <w:rsid w:val="4D986EED"/>
    <w:rsid w:val="4DAD4054"/>
    <w:rsid w:val="4DC24F25"/>
    <w:rsid w:val="4DE94D97"/>
    <w:rsid w:val="4DF46AE6"/>
    <w:rsid w:val="4E047B7B"/>
    <w:rsid w:val="4E064E12"/>
    <w:rsid w:val="4E330375"/>
    <w:rsid w:val="4E4223CC"/>
    <w:rsid w:val="4E4C34C7"/>
    <w:rsid w:val="4E5A1807"/>
    <w:rsid w:val="4E5B0FA5"/>
    <w:rsid w:val="4E683546"/>
    <w:rsid w:val="4E8D7D9B"/>
    <w:rsid w:val="4E9F250B"/>
    <w:rsid w:val="4EAD66A9"/>
    <w:rsid w:val="4EAF3202"/>
    <w:rsid w:val="4EC4269E"/>
    <w:rsid w:val="4EC46828"/>
    <w:rsid w:val="4EDF7120"/>
    <w:rsid w:val="4EE477ED"/>
    <w:rsid w:val="4EEC7F74"/>
    <w:rsid w:val="4EF60C1B"/>
    <w:rsid w:val="4EF766DD"/>
    <w:rsid w:val="4EFD76A0"/>
    <w:rsid w:val="4F064EA5"/>
    <w:rsid w:val="4F094FF4"/>
    <w:rsid w:val="4F0F61B8"/>
    <w:rsid w:val="4F3A03BB"/>
    <w:rsid w:val="4F551D70"/>
    <w:rsid w:val="4F5640AB"/>
    <w:rsid w:val="4F605B3B"/>
    <w:rsid w:val="4F646CDE"/>
    <w:rsid w:val="4F6F4D85"/>
    <w:rsid w:val="4F8A07E9"/>
    <w:rsid w:val="4F96544C"/>
    <w:rsid w:val="4F9E491C"/>
    <w:rsid w:val="4FA36168"/>
    <w:rsid w:val="4FA54840"/>
    <w:rsid w:val="4FB328C8"/>
    <w:rsid w:val="4FB62DDC"/>
    <w:rsid w:val="4FB94BF7"/>
    <w:rsid w:val="4FBD0B0B"/>
    <w:rsid w:val="4FC60E49"/>
    <w:rsid w:val="4FE65048"/>
    <w:rsid w:val="4FE87AE1"/>
    <w:rsid w:val="4FF91F04"/>
    <w:rsid w:val="500E27F0"/>
    <w:rsid w:val="50164DE6"/>
    <w:rsid w:val="503F12AA"/>
    <w:rsid w:val="50483F54"/>
    <w:rsid w:val="506B1AA1"/>
    <w:rsid w:val="507408A5"/>
    <w:rsid w:val="50901BE4"/>
    <w:rsid w:val="50906CC6"/>
    <w:rsid w:val="509A3F2E"/>
    <w:rsid w:val="50A53356"/>
    <w:rsid w:val="50B70876"/>
    <w:rsid w:val="50BB2978"/>
    <w:rsid w:val="50D33424"/>
    <w:rsid w:val="50D4707F"/>
    <w:rsid w:val="50DB3A79"/>
    <w:rsid w:val="510F3E09"/>
    <w:rsid w:val="5110563D"/>
    <w:rsid w:val="511E2C5D"/>
    <w:rsid w:val="513636F0"/>
    <w:rsid w:val="51535351"/>
    <w:rsid w:val="515E41A5"/>
    <w:rsid w:val="51A7021A"/>
    <w:rsid w:val="51AA20B5"/>
    <w:rsid w:val="51B831F8"/>
    <w:rsid w:val="51BC4ADB"/>
    <w:rsid w:val="51C62BA4"/>
    <w:rsid w:val="51F84C15"/>
    <w:rsid w:val="51FF083A"/>
    <w:rsid w:val="52181BD1"/>
    <w:rsid w:val="522451EF"/>
    <w:rsid w:val="52285DBF"/>
    <w:rsid w:val="52290E3E"/>
    <w:rsid w:val="52441D8E"/>
    <w:rsid w:val="52597C08"/>
    <w:rsid w:val="52625614"/>
    <w:rsid w:val="52745B14"/>
    <w:rsid w:val="52843ADF"/>
    <w:rsid w:val="52A50F30"/>
    <w:rsid w:val="52AA51A8"/>
    <w:rsid w:val="52E02FFF"/>
    <w:rsid w:val="52E11B32"/>
    <w:rsid w:val="52E63201"/>
    <w:rsid w:val="52EE3D65"/>
    <w:rsid w:val="52F113E9"/>
    <w:rsid w:val="5304197D"/>
    <w:rsid w:val="53087655"/>
    <w:rsid w:val="530C57DD"/>
    <w:rsid w:val="531C7E06"/>
    <w:rsid w:val="5341372D"/>
    <w:rsid w:val="53426C75"/>
    <w:rsid w:val="534A3B3F"/>
    <w:rsid w:val="535844AE"/>
    <w:rsid w:val="536733CC"/>
    <w:rsid w:val="53760E94"/>
    <w:rsid w:val="537A055A"/>
    <w:rsid w:val="537B5678"/>
    <w:rsid w:val="539A5A8B"/>
    <w:rsid w:val="53B10062"/>
    <w:rsid w:val="53C62E27"/>
    <w:rsid w:val="540C00FC"/>
    <w:rsid w:val="54193218"/>
    <w:rsid w:val="544313FD"/>
    <w:rsid w:val="54435488"/>
    <w:rsid w:val="54565589"/>
    <w:rsid w:val="545B22AE"/>
    <w:rsid w:val="54755F6C"/>
    <w:rsid w:val="547563DA"/>
    <w:rsid w:val="548F2C00"/>
    <w:rsid w:val="54980818"/>
    <w:rsid w:val="54A31A4D"/>
    <w:rsid w:val="54C922B3"/>
    <w:rsid w:val="54CC1F64"/>
    <w:rsid w:val="54EF4669"/>
    <w:rsid w:val="54EF7CD7"/>
    <w:rsid w:val="5509377B"/>
    <w:rsid w:val="553A7576"/>
    <w:rsid w:val="5553587A"/>
    <w:rsid w:val="55617772"/>
    <w:rsid w:val="556C2619"/>
    <w:rsid w:val="5584308E"/>
    <w:rsid w:val="55890392"/>
    <w:rsid w:val="558C7C8D"/>
    <w:rsid w:val="558E11A9"/>
    <w:rsid w:val="559B5B88"/>
    <w:rsid w:val="55AA023E"/>
    <w:rsid w:val="55B95E37"/>
    <w:rsid w:val="55BC5622"/>
    <w:rsid w:val="55CC1F06"/>
    <w:rsid w:val="55D42605"/>
    <w:rsid w:val="55F15998"/>
    <w:rsid w:val="56042214"/>
    <w:rsid w:val="560514C7"/>
    <w:rsid w:val="560B5B32"/>
    <w:rsid w:val="56202C69"/>
    <w:rsid w:val="562E7714"/>
    <w:rsid w:val="5649652A"/>
    <w:rsid w:val="56512158"/>
    <w:rsid w:val="565149C5"/>
    <w:rsid w:val="56641FE9"/>
    <w:rsid w:val="56774F61"/>
    <w:rsid w:val="56792D33"/>
    <w:rsid w:val="56802FEB"/>
    <w:rsid w:val="56892D55"/>
    <w:rsid w:val="568E7EF8"/>
    <w:rsid w:val="56AD457C"/>
    <w:rsid w:val="56D8689A"/>
    <w:rsid w:val="56F84D9F"/>
    <w:rsid w:val="571313E2"/>
    <w:rsid w:val="57223D29"/>
    <w:rsid w:val="572C6B9C"/>
    <w:rsid w:val="573608AA"/>
    <w:rsid w:val="574E27BF"/>
    <w:rsid w:val="575719CA"/>
    <w:rsid w:val="575D1F93"/>
    <w:rsid w:val="57601B83"/>
    <w:rsid w:val="57794FF9"/>
    <w:rsid w:val="577A6E43"/>
    <w:rsid w:val="577E4040"/>
    <w:rsid w:val="578F33EC"/>
    <w:rsid w:val="57A2083A"/>
    <w:rsid w:val="57A81FB7"/>
    <w:rsid w:val="57B23BD0"/>
    <w:rsid w:val="57CA6DF2"/>
    <w:rsid w:val="57E07BBE"/>
    <w:rsid w:val="57EC22B1"/>
    <w:rsid w:val="57F5749A"/>
    <w:rsid w:val="57FA50BA"/>
    <w:rsid w:val="58063C3C"/>
    <w:rsid w:val="58066723"/>
    <w:rsid w:val="580A6909"/>
    <w:rsid w:val="580E0551"/>
    <w:rsid w:val="581038D8"/>
    <w:rsid w:val="581B4CCF"/>
    <w:rsid w:val="58213927"/>
    <w:rsid w:val="58361E0B"/>
    <w:rsid w:val="58390989"/>
    <w:rsid w:val="583A1551"/>
    <w:rsid w:val="58474AF1"/>
    <w:rsid w:val="584D052F"/>
    <w:rsid w:val="585C6402"/>
    <w:rsid w:val="585D60C3"/>
    <w:rsid w:val="58620918"/>
    <w:rsid w:val="58711142"/>
    <w:rsid w:val="58716F0E"/>
    <w:rsid w:val="58740358"/>
    <w:rsid w:val="5877095C"/>
    <w:rsid w:val="58876F15"/>
    <w:rsid w:val="58887DDC"/>
    <w:rsid w:val="58BE4278"/>
    <w:rsid w:val="58D55E35"/>
    <w:rsid w:val="58E42643"/>
    <w:rsid w:val="58F702C5"/>
    <w:rsid w:val="58FE2B44"/>
    <w:rsid w:val="590C289D"/>
    <w:rsid w:val="594C68FF"/>
    <w:rsid w:val="594D4725"/>
    <w:rsid w:val="595A7A1E"/>
    <w:rsid w:val="5970082B"/>
    <w:rsid w:val="59796657"/>
    <w:rsid w:val="597A02DF"/>
    <w:rsid w:val="597E2795"/>
    <w:rsid w:val="598575C7"/>
    <w:rsid w:val="599933DC"/>
    <w:rsid w:val="59A6301B"/>
    <w:rsid w:val="59C9653A"/>
    <w:rsid w:val="59CD5363"/>
    <w:rsid w:val="59E50B06"/>
    <w:rsid w:val="59F66AF8"/>
    <w:rsid w:val="59FF35FA"/>
    <w:rsid w:val="5A0547E6"/>
    <w:rsid w:val="5A0C3248"/>
    <w:rsid w:val="5A187449"/>
    <w:rsid w:val="5A3B0EB8"/>
    <w:rsid w:val="5A3D7D03"/>
    <w:rsid w:val="5A455446"/>
    <w:rsid w:val="5A4827D4"/>
    <w:rsid w:val="5A4A5EEA"/>
    <w:rsid w:val="5A5C2DC4"/>
    <w:rsid w:val="5A727133"/>
    <w:rsid w:val="5A880107"/>
    <w:rsid w:val="5A9C77C4"/>
    <w:rsid w:val="5A9E73DE"/>
    <w:rsid w:val="5AAA325F"/>
    <w:rsid w:val="5AB44A4D"/>
    <w:rsid w:val="5AC4656D"/>
    <w:rsid w:val="5AC535EF"/>
    <w:rsid w:val="5AD24F0A"/>
    <w:rsid w:val="5ADB7D1E"/>
    <w:rsid w:val="5AEA1465"/>
    <w:rsid w:val="5AF1649E"/>
    <w:rsid w:val="5AF35DC9"/>
    <w:rsid w:val="5AFD7766"/>
    <w:rsid w:val="5B010101"/>
    <w:rsid w:val="5B0501D6"/>
    <w:rsid w:val="5B12024C"/>
    <w:rsid w:val="5B2B1062"/>
    <w:rsid w:val="5B2D24AD"/>
    <w:rsid w:val="5B3133A3"/>
    <w:rsid w:val="5B366AA4"/>
    <w:rsid w:val="5B426DF3"/>
    <w:rsid w:val="5B552693"/>
    <w:rsid w:val="5B5674D3"/>
    <w:rsid w:val="5B5858BE"/>
    <w:rsid w:val="5B5A2455"/>
    <w:rsid w:val="5B5B0599"/>
    <w:rsid w:val="5B5E67FE"/>
    <w:rsid w:val="5B6163B0"/>
    <w:rsid w:val="5B6268A4"/>
    <w:rsid w:val="5B773217"/>
    <w:rsid w:val="5B8878FB"/>
    <w:rsid w:val="5B911687"/>
    <w:rsid w:val="5B914543"/>
    <w:rsid w:val="5B955B74"/>
    <w:rsid w:val="5BA62DF7"/>
    <w:rsid w:val="5BAE309F"/>
    <w:rsid w:val="5BBD7750"/>
    <w:rsid w:val="5BC6715A"/>
    <w:rsid w:val="5BDE39BF"/>
    <w:rsid w:val="5BDF4AB8"/>
    <w:rsid w:val="5BEC0739"/>
    <w:rsid w:val="5BF376E7"/>
    <w:rsid w:val="5BF421AF"/>
    <w:rsid w:val="5BFC7E68"/>
    <w:rsid w:val="5BFF72CA"/>
    <w:rsid w:val="5C054794"/>
    <w:rsid w:val="5C0B522A"/>
    <w:rsid w:val="5C1A4E2B"/>
    <w:rsid w:val="5C1D04BB"/>
    <w:rsid w:val="5C2233B8"/>
    <w:rsid w:val="5C2F60AA"/>
    <w:rsid w:val="5C3C6E99"/>
    <w:rsid w:val="5C5066DA"/>
    <w:rsid w:val="5C5D1145"/>
    <w:rsid w:val="5C7A332D"/>
    <w:rsid w:val="5C7A40AD"/>
    <w:rsid w:val="5C8B520B"/>
    <w:rsid w:val="5C904CA7"/>
    <w:rsid w:val="5CA560F2"/>
    <w:rsid w:val="5CD500E6"/>
    <w:rsid w:val="5CD710E7"/>
    <w:rsid w:val="5CEC728D"/>
    <w:rsid w:val="5CF51036"/>
    <w:rsid w:val="5CF67B91"/>
    <w:rsid w:val="5CFA3D6B"/>
    <w:rsid w:val="5D222868"/>
    <w:rsid w:val="5D2C5E67"/>
    <w:rsid w:val="5D516D00"/>
    <w:rsid w:val="5D5A6036"/>
    <w:rsid w:val="5D5B1539"/>
    <w:rsid w:val="5D644C5E"/>
    <w:rsid w:val="5D7A5920"/>
    <w:rsid w:val="5DA33C1E"/>
    <w:rsid w:val="5DA83A7B"/>
    <w:rsid w:val="5DBB0D01"/>
    <w:rsid w:val="5DD35E75"/>
    <w:rsid w:val="5DD666CF"/>
    <w:rsid w:val="5DF17FCD"/>
    <w:rsid w:val="5DFD4507"/>
    <w:rsid w:val="5E053A7D"/>
    <w:rsid w:val="5E253414"/>
    <w:rsid w:val="5E3041EE"/>
    <w:rsid w:val="5E314FD1"/>
    <w:rsid w:val="5E341428"/>
    <w:rsid w:val="5E362E07"/>
    <w:rsid w:val="5E4C20C1"/>
    <w:rsid w:val="5E4F6DB9"/>
    <w:rsid w:val="5E55431F"/>
    <w:rsid w:val="5E575F59"/>
    <w:rsid w:val="5E6A5689"/>
    <w:rsid w:val="5E6E2DD8"/>
    <w:rsid w:val="5E7D6910"/>
    <w:rsid w:val="5E8D09FF"/>
    <w:rsid w:val="5E8E30CB"/>
    <w:rsid w:val="5E9C7738"/>
    <w:rsid w:val="5EB82887"/>
    <w:rsid w:val="5ED054C5"/>
    <w:rsid w:val="5F082312"/>
    <w:rsid w:val="5F1F48E7"/>
    <w:rsid w:val="5F267200"/>
    <w:rsid w:val="5F307E4C"/>
    <w:rsid w:val="5F3A14AA"/>
    <w:rsid w:val="5F495A6F"/>
    <w:rsid w:val="5F50087E"/>
    <w:rsid w:val="5F502468"/>
    <w:rsid w:val="5F536ECB"/>
    <w:rsid w:val="5F694852"/>
    <w:rsid w:val="5F793D3C"/>
    <w:rsid w:val="5F7C4891"/>
    <w:rsid w:val="5F881C77"/>
    <w:rsid w:val="5F8940FB"/>
    <w:rsid w:val="5F9C72D3"/>
    <w:rsid w:val="5FB11E25"/>
    <w:rsid w:val="5FB6319E"/>
    <w:rsid w:val="5FC93C03"/>
    <w:rsid w:val="5FD40222"/>
    <w:rsid w:val="5FD54253"/>
    <w:rsid w:val="5FEF60D1"/>
    <w:rsid w:val="600272B0"/>
    <w:rsid w:val="600907A7"/>
    <w:rsid w:val="600A7669"/>
    <w:rsid w:val="601748B3"/>
    <w:rsid w:val="602473AD"/>
    <w:rsid w:val="602D5DF5"/>
    <w:rsid w:val="603C54F0"/>
    <w:rsid w:val="60816A38"/>
    <w:rsid w:val="60936B26"/>
    <w:rsid w:val="609A3D5C"/>
    <w:rsid w:val="609B0DE3"/>
    <w:rsid w:val="609F6DDD"/>
    <w:rsid w:val="60A00036"/>
    <w:rsid w:val="60AC40E1"/>
    <w:rsid w:val="60C14FB9"/>
    <w:rsid w:val="60C51BF1"/>
    <w:rsid w:val="60DD7ADC"/>
    <w:rsid w:val="61077842"/>
    <w:rsid w:val="611A6CFA"/>
    <w:rsid w:val="611F68AF"/>
    <w:rsid w:val="6121244F"/>
    <w:rsid w:val="612D1103"/>
    <w:rsid w:val="613E7CED"/>
    <w:rsid w:val="615E1F64"/>
    <w:rsid w:val="616A2913"/>
    <w:rsid w:val="61915B07"/>
    <w:rsid w:val="61A131C2"/>
    <w:rsid w:val="61A82AA5"/>
    <w:rsid w:val="61A8524C"/>
    <w:rsid w:val="61AC069F"/>
    <w:rsid w:val="61B80434"/>
    <w:rsid w:val="61C95A15"/>
    <w:rsid w:val="61CD12BF"/>
    <w:rsid w:val="61CE7279"/>
    <w:rsid w:val="61DC78C5"/>
    <w:rsid w:val="61EC2DB3"/>
    <w:rsid w:val="61EE450D"/>
    <w:rsid w:val="62053715"/>
    <w:rsid w:val="62055853"/>
    <w:rsid w:val="621A34D0"/>
    <w:rsid w:val="62210D58"/>
    <w:rsid w:val="622C5484"/>
    <w:rsid w:val="62302FBF"/>
    <w:rsid w:val="62321BB4"/>
    <w:rsid w:val="62437391"/>
    <w:rsid w:val="62456545"/>
    <w:rsid w:val="62687DC5"/>
    <w:rsid w:val="629427BF"/>
    <w:rsid w:val="62CA7C92"/>
    <w:rsid w:val="62CE7ED7"/>
    <w:rsid w:val="62DD0E4B"/>
    <w:rsid w:val="62F81018"/>
    <w:rsid w:val="62FF7D6D"/>
    <w:rsid w:val="630A5099"/>
    <w:rsid w:val="63222FE3"/>
    <w:rsid w:val="632E1EE2"/>
    <w:rsid w:val="63365800"/>
    <w:rsid w:val="63462E93"/>
    <w:rsid w:val="63574FB6"/>
    <w:rsid w:val="636933D3"/>
    <w:rsid w:val="636936A1"/>
    <w:rsid w:val="6369552A"/>
    <w:rsid w:val="63866A86"/>
    <w:rsid w:val="63900767"/>
    <w:rsid w:val="63976966"/>
    <w:rsid w:val="63A23693"/>
    <w:rsid w:val="63AB09DA"/>
    <w:rsid w:val="63BC3A17"/>
    <w:rsid w:val="63C10A48"/>
    <w:rsid w:val="63CF5BFC"/>
    <w:rsid w:val="63E45722"/>
    <w:rsid w:val="63F81470"/>
    <w:rsid w:val="63F81A0B"/>
    <w:rsid w:val="63FA0AB7"/>
    <w:rsid w:val="640F3CEB"/>
    <w:rsid w:val="641D67F7"/>
    <w:rsid w:val="643207EC"/>
    <w:rsid w:val="643B2A11"/>
    <w:rsid w:val="6455268F"/>
    <w:rsid w:val="645D6572"/>
    <w:rsid w:val="646863A7"/>
    <w:rsid w:val="64693FF0"/>
    <w:rsid w:val="647A6CAF"/>
    <w:rsid w:val="64864BEC"/>
    <w:rsid w:val="648D0EBF"/>
    <w:rsid w:val="64906057"/>
    <w:rsid w:val="649B2DC0"/>
    <w:rsid w:val="64AA1038"/>
    <w:rsid w:val="64AC6408"/>
    <w:rsid w:val="64D0549B"/>
    <w:rsid w:val="64E0258A"/>
    <w:rsid w:val="64E61F43"/>
    <w:rsid w:val="64F56864"/>
    <w:rsid w:val="64FE5493"/>
    <w:rsid w:val="65174863"/>
    <w:rsid w:val="653D188B"/>
    <w:rsid w:val="656B75F3"/>
    <w:rsid w:val="657E37BF"/>
    <w:rsid w:val="6583360E"/>
    <w:rsid w:val="658A2097"/>
    <w:rsid w:val="658A7DE8"/>
    <w:rsid w:val="65986A4B"/>
    <w:rsid w:val="659B5FBB"/>
    <w:rsid w:val="65A46F97"/>
    <w:rsid w:val="65AD5191"/>
    <w:rsid w:val="65C03403"/>
    <w:rsid w:val="65D01B2E"/>
    <w:rsid w:val="65DD5B1C"/>
    <w:rsid w:val="66107964"/>
    <w:rsid w:val="66287DE3"/>
    <w:rsid w:val="662F5543"/>
    <w:rsid w:val="663A5C95"/>
    <w:rsid w:val="663E7534"/>
    <w:rsid w:val="665675E7"/>
    <w:rsid w:val="66766207"/>
    <w:rsid w:val="667C4500"/>
    <w:rsid w:val="667E3DD4"/>
    <w:rsid w:val="66934DE1"/>
    <w:rsid w:val="66AA15CF"/>
    <w:rsid w:val="66BD3ACB"/>
    <w:rsid w:val="66C45A46"/>
    <w:rsid w:val="66D3716D"/>
    <w:rsid w:val="66D4139C"/>
    <w:rsid w:val="66EA1B33"/>
    <w:rsid w:val="66F83B86"/>
    <w:rsid w:val="67007052"/>
    <w:rsid w:val="670A0A6F"/>
    <w:rsid w:val="67112063"/>
    <w:rsid w:val="672901E4"/>
    <w:rsid w:val="673E6F62"/>
    <w:rsid w:val="67414CB4"/>
    <w:rsid w:val="674A6827"/>
    <w:rsid w:val="674F5372"/>
    <w:rsid w:val="67566595"/>
    <w:rsid w:val="67576ADF"/>
    <w:rsid w:val="675C3671"/>
    <w:rsid w:val="67600A21"/>
    <w:rsid w:val="67690B28"/>
    <w:rsid w:val="676D6C93"/>
    <w:rsid w:val="67AC4082"/>
    <w:rsid w:val="67B83B27"/>
    <w:rsid w:val="67BD4168"/>
    <w:rsid w:val="67C16E50"/>
    <w:rsid w:val="67F54256"/>
    <w:rsid w:val="68042176"/>
    <w:rsid w:val="68142D06"/>
    <w:rsid w:val="68263203"/>
    <w:rsid w:val="683A119E"/>
    <w:rsid w:val="68427E22"/>
    <w:rsid w:val="684B6211"/>
    <w:rsid w:val="685B46B7"/>
    <w:rsid w:val="6860160F"/>
    <w:rsid w:val="68662E0E"/>
    <w:rsid w:val="686A63DF"/>
    <w:rsid w:val="687A118A"/>
    <w:rsid w:val="687A3B38"/>
    <w:rsid w:val="688E1CDD"/>
    <w:rsid w:val="689A3A50"/>
    <w:rsid w:val="68A878C6"/>
    <w:rsid w:val="68AA2F43"/>
    <w:rsid w:val="68B21DC5"/>
    <w:rsid w:val="68C1444C"/>
    <w:rsid w:val="68F15433"/>
    <w:rsid w:val="68F623D8"/>
    <w:rsid w:val="68FB6E03"/>
    <w:rsid w:val="69066B6F"/>
    <w:rsid w:val="690C1EFB"/>
    <w:rsid w:val="69107B07"/>
    <w:rsid w:val="6932331E"/>
    <w:rsid w:val="693874F7"/>
    <w:rsid w:val="69464DAC"/>
    <w:rsid w:val="695E2547"/>
    <w:rsid w:val="69784507"/>
    <w:rsid w:val="69823BDB"/>
    <w:rsid w:val="698751DB"/>
    <w:rsid w:val="699E2791"/>
    <w:rsid w:val="69A945F3"/>
    <w:rsid w:val="69AB1325"/>
    <w:rsid w:val="69BF5ED0"/>
    <w:rsid w:val="69C24E2C"/>
    <w:rsid w:val="69C30617"/>
    <w:rsid w:val="69D70A46"/>
    <w:rsid w:val="69DC7E1C"/>
    <w:rsid w:val="69F24580"/>
    <w:rsid w:val="6A30669F"/>
    <w:rsid w:val="6A385F7D"/>
    <w:rsid w:val="6A4202ED"/>
    <w:rsid w:val="6A52669B"/>
    <w:rsid w:val="6A6F696C"/>
    <w:rsid w:val="6A8077F7"/>
    <w:rsid w:val="6AA76D94"/>
    <w:rsid w:val="6AB86086"/>
    <w:rsid w:val="6ACF4778"/>
    <w:rsid w:val="6AEB558E"/>
    <w:rsid w:val="6AF26B3F"/>
    <w:rsid w:val="6AFF4C06"/>
    <w:rsid w:val="6B1630F9"/>
    <w:rsid w:val="6B1747F7"/>
    <w:rsid w:val="6B1F4AFA"/>
    <w:rsid w:val="6B235E13"/>
    <w:rsid w:val="6B3F5D5D"/>
    <w:rsid w:val="6B521D03"/>
    <w:rsid w:val="6B580D01"/>
    <w:rsid w:val="6B592249"/>
    <w:rsid w:val="6B632170"/>
    <w:rsid w:val="6B6F145F"/>
    <w:rsid w:val="6B750F42"/>
    <w:rsid w:val="6B833A4C"/>
    <w:rsid w:val="6B8A3ACC"/>
    <w:rsid w:val="6B8D707C"/>
    <w:rsid w:val="6BAB2D5C"/>
    <w:rsid w:val="6BB66FCF"/>
    <w:rsid w:val="6BC10B6F"/>
    <w:rsid w:val="6BC37D75"/>
    <w:rsid w:val="6BCE24C7"/>
    <w:rsid w:val="6BD22EE2"/>
    <w:rsid w:val="6BDD5B23"/>
    <w:rsid w:val="6BDF3567"/>
    <w:rsid w:val="6BE303DE"/>
    <w:rsid w:val="6BEC675C"/>
    <w:rsid w:val="6BF15894"/>
    <w:rsid w:val="6C0449AD"/>
    <w:rsid w:val="6C0450A9"/>
    <w:rsid w:val="6C0E64BF"/>
    <w:rsid w:val="6C1023E2"/>
    <w:rsid w:val="6C280748"/>
    <w:rsid w:val="6C286C34"/>
    <w:rsid w:val="6C3816BE"/>
    <w:rsid w:val="6C3A5820"/>
    <w:rsid w:val="6C501196"/>
    <w:rsid w:val="6C5F1167"/>
    <w:rsid w:val="6C6A420A"/>
    <w:rsid w:val="6C6D1401"/>
    <w:rsid w:val="6C7C41A7"/>
    <w:rsid w:val="6C7E582C"/>
    <w:rsid w:val="6C8E0F5A"/>
    <w:rsid w:val="6C936941"/>
    <w:rsid w:val="6C985B2B"/>
    <w:rsid w:val="6C9B5786"/>
    <w:rsid w:val="6CA07858"/>
    <w:rsid w:val="6CAA53B3"/>
    <w:rsid w:val="6CAC2247"/>
    <w:rsid w:val="6CB81127"/>
    <w:rsid w:val="6CBC01A1"/>
    <w:rsid w:val="6CED76D1"/>
    <w:rsid w:val="6CFC56EC"/>
    <w:rsid w:val="6D01249B"/>
    <w:rsid w:val="6D035719"/>
    <w:rsid w:val="6D2118AE"/>
    <w:rsid w:val="6D25107C"/>
    <w:rsid w:val="6D255153"/>
    <w:rsid w:val="6D357BBC"/>
    <w:rsid w:val="6D3F68E4"/>
    <w:rsid w:val="6D415C12"/>
    <w:rsid w:val="6D4B4A69"/>
    <w:rsid w:val="6D504594"/>
    <w:rsid w:val="6D6A2E7B"/>
    <w:rsid w:val="6D703970"/>
    <w:rsid w:val="6D8F440A"/>
    <w:rsid w:val="6DA10532"/>
    <w:rsid w:val="6DC75385"/>
    <w:rsid w:val="6DD67814"/>
    <w:rsid w:val="6DDD446B"/>
    <w:rsid w:val="6DDD7632"/>
    <w:rsid w:val="6DEB30BF"/>
    <w:rsid w:val="6DF526CC"/>
    <w:rsid w:val="6DFC148B"/>
    <w:rsid w:val="6E0E125B"/>
    <w:rsid w:val="6E2126A9"/>
    <w:rsid w:val="6E396E85"/>
    <w:rsid w:val="6E432798"/>
    <w:rsid w:val="6E444D2C"/>
    <w:rsid w:val="6E601279"/>
    <w:rsid w:val="6E645FA5"/>
    <w:rsid w:val="6E7A2268"/>
    <w:rsid w:val="6E86571D"/>
    <w:rsid w:val="6E8A44E2"/>
    <w:rsid w:val="6E93744E"/>
    <w:rsid w:val="6E955556"/>
    <w:rsid w:val="6EAE648F"/>
    <w:rsid w:val="6EC51257"/>
    <w:rsid w:val="6ECF22CB"/>
    <w:rsid w:val="6ED44E12"/>
    <w:rsid w:val="6EDC7BB8"/>
    <w:rsid w:val="6EF07020"/>
    <w:rsid w:val="6F043649"/>
    <w:rsid w:val="6F0E6A1D"/>
    <w:rsid w:val="6F157476"/>
    <w:rsid w:val="6F1D2A07"/>
    <w:rsid w:val="6F3B3B84"/>
    <w:rsid w:val="6F4B5168"/>
    <w:rsid w:val="6F5B65AE"/>
    <w:rsid w:val="6FAC7E80"/>
    <w:rsid w:val="6FB236DF"/>
    <w:rsid w:val="6FB313DB"/>
    <w:rsid w:val="6FBA2B93"/>
    <w:rsid w:val="6FED1BB9"/>
    <w:rsid w:val="6FF47C6A"/>
    <w:rsid w:val="6FFA119E"/>
    <w:rsid w:val="70121743"/>
    <w:rsid w:val="702009A8"/>
    <w:rsid w:val="703F22AF"/>
    <w:rsid w:val="7049152C"/>
    <w:rsid w:val="705717AF"/>
    <w:rsid w:val="705C3FD0"/>
    <w:rsid w:val="70643AA8"/>
    <w:rsid w:val="708A6F96"/>
    <w:rsid w:val="7093549E"/>
    <w:rsid w:val="70B47E76"/>
    <w:rsid w:val="70BA2089"/>
    <w:rsid w:val="70CF1DCB"/>
    <w:rsid w:val="70D31FDB"/>
    <w:rsid w:val="70D867D7"/>
    <w:rsid w:val="70DC6B95"/>
    <w:rsid w:val="70E067E7"/>
    <w:rsid w:val="70ED3E66"/>
    <w:rsid w:val="70F5225F"/>
    <w:rsid w:val="70F61E34"/>
    <w:rsid w:val="70F70BA2"/>
    <w:rsid w:val="70F93EDB"/>
    <w:rsid w:val="71116AB3"/>
    <w:rsid w:val="711F53E9"/>
    <w:rsid w:val="713F1C6E"/>
    <w:rsid w:val="71615DA2"/>
    <w:rsid w:val="716731C6"/>
    <w:rsid w:val="716C11DC"/>
    <w:rsid w:val="717619B3"/>
    <w:rsid w:val="717D138E"/>
    <w:rsid w:val="717E1D68"/>
    <w:rsid w:val="7183511D"/>
    <w:rsid w:val="719C696A"/>
    <w:rsid w:val="719E01A4"/>
    <w:rsid w:val="71AD4952"/>
    <w:rsid w:val="71AF72D3"/>
    <w:rsid w:val="71B71F46"/>
    <w:rsid w:val="71BB5EDC"/>
    <w:rsid w:val="71D018F0"/>
    <w:rsid w:val="71DD27C1"/>
    <w:rsid w:val="71EB5363"/>
    <w:rsid w:val="71F95DD5"/>
    <w:rsid w:val="71FF4526"/>
    <w:rsid w:val="7207214B"/>
    <w:rsid w:val="720C08B7"/>
    <w:rsid w:val="721B350A"/>
    <w:rsid w:val="72230BA4"/>
    <w:rsid w:val="722F3537"/>
    <w:rsid w:val="72334557"/>
    <w:rsid w:val="72367C59"/>
    <w:rsid w:val="723E7207"/>
    <w:rsid w:val="72470071"/>
    <w:rsid w:val="72510F82"/>
    <w:rsid w:val="728A58AF"/>
    <w:rsid w:val="728F1119"/>
    <w:rsid w:val="729145BB"/>
    <w:rsid w:val="7293375E"/>
    <w:rsid w:val="729B42ED"/>
    <w:rsid w:val="729F4C82"/>
    <w:rsid w:val="72A90C1F"/>
    <w:rsid w:val="72AC7639"/>
    <w:rsid w:val="72AD4E7C"/>
    <w:rsid w:val="72CC2049"/>
    <w:rsid w:val="72CF1786"/>
    <w:rsid w:val="72F15469"/>
    <w:rsid w:val="730B72B5"/>
    <w:rsid w:val="73162C14"/>
    <w:rsid w:val="731D08FD"/>
    <w:rsid w:val="73466D42"/>
    <w:rsid w:val="73506AF8"/>
    <w:rsid w:val="73536009"/>
    <w:rsid w:val="73606C82"/>
    <w:rsid w:val="73733BDA"/>
    <w:rsid w:val="738C5414"/>
    <w:rsid w:val="73905143"/>
    <w:rsid w:val="73B055CE"/>
    <w:rsid w:val="73B2354E"/>
    <w:rsid w:val="73BF14AD"/>
    <w:rsid w:val="73DF4276"/>
    <w:rsid w:val="73E05802"/>
    <w:rsid w:val="73F53E06"/>
    <w:rsid w:val="74015DB5"/>
    <w:rsid w:val="74382900"/>
    <w:rsid w:val="743E11B2"/>
    <w:rsid w:val="745F71C8"/>
    <w:rsid w:val="746C1BE2"/>
    <w:rsid w:val="7470037C"/>
    <w:rsid w:val="74812874"/>
    <w:rsid w:val="74883456"/>
    <w:rsid w:val="74921D66"/>
    <w:rsid w:val="74A44315"/>
    <w:rsid w:val="74AC3642"/>
    <w:rsid w:val="74AE3EB6"/>
    <w:rsid w:val="74D55507"/>
    <w:rsid w:val="74EC0F06"/>
    <w:rsid w:val="74F045EA"/>
    <w:rsid w:val="74F27E6F"/>
    <w:rsid w:val="74FF59C7"/>
    <w:rsid w:val="7501619F"/>
    <w:rsid w:val="75073389"/>
    <w:rsid w:val="75105642"/>
    <w:rsid w:val="75145145"/>
    <w:rsid w:val="7514518D"/>
    <w:rsid w:val="75376766"/>
    <w:rsid w:val="753A6980"/>
    <w:rsid w:val="753E1812"/>
    <w:rsid w:val="755C4210"/>
    <w:rsid w:val="756024DB"/>
    <w:rsid w:val="75635B33"/>
    <w:rsid w:val="756B6E0B"/>
    <w:rsid w:val="75704252"/>
    <w:rsid w:val="75840CDB"/>
    <w:rsid w:val="75840F25"/>
    <w:rsid w:val="75875479"/>
    <w:rsid w:val="758B767C"/>
    <w:rsid w:val="75901732"/>
    <w:rsid w:val="759E7E40"/>
    <w:rsid w:val="75AF20B0"/>
    <w:rsid w:val="75B262DD"/>
    <w:rsid w:val="75B34CB7"/>
    <w:rsid w:val="75D536F5"/>
    <w:rsid w:val="75E672A0"/>
    <w:rsid w:val="75EF15D6"/>
    <w:rsid w:val="75F730A0"/>
    <w:rsid w:val="760D2EFB"/>
    <w:rsid w:val="761B0E89"/>
    <w:rsid w:val="761B6F16"/>
    <w:rsid w:val="761B789D"/>
    <w:rsid w:val="763439C1"/>
    <w:rsid w:val="7638502B"/>
    <w:rsid w:val="76476280"/>
    <w:rsid w:val="76511689"/>
    <w:rsid w:val="76664A9C"/>
    <w:rsid w:val="766F625D"/>
    <w:rsid w:val="767D7B48"/>
    <w:rsid w:val="76836C84"/>
    <w:rsid w:val="76973C6C"/>
    <w:rsid w:val="76AA6936"/>
    <w:rsid w:val="76AB0299"/>
    <w:rsid w:val="76B23693"/>
    <w:rsid w:val="76BE7AE8"/>
    <w:rsid w:val="76C7569C"/>
    <w:rsid w:val="76D546F2"/>
    <w:rsid w:val="76E5700C"/>
    <w:rsid w:val="76E72A70"/>
    <w:rsid w:val="76E81F84"/>
    <w:rsid w:val="76E96DD3"/>
    <w:rsid w:val="76F51272"/>
    <w:rsid w:val="76F53228"/>
    <w:rsid w:val="76FC0168"/>
    <w:rsid w:val="7703174B"/>
    <w:rsid w:val="77096F8F"/>
    <w:rsid w:val="77452AD5"/>
    <w:rsid w:val="77594B42"/>
    <w:rsid w:val="77842696"/>
    <w:rsid w:val="778933BA"/>
    <w:rsid w:val="779D33DF"/>
    <w:rsid w:val="77B51CA8"/>
    <w:rsid w:val="77BE0AA5"/>
    <w:rsid w:val="77C32EE8"/>
    <w:rsid w:val="77CD7087"/>
    <w:rsid w:val="77E84A6D"/>
    <w:rsid w:val="77EA3561"/>
    <w:rsid w:val="78007D47"/>
    <w:rsid w:val="781541BD"/>
    <w:rsid w:val="782B1E17"/>
    <w:rsid w:val="782B37AE"/>
    <w:rsid w:val="782C03F9"/>
    <w:rsid w:val="782D1944"/>
    <w:rsid w:val="782E5E80"/>
    <w:rsid w:val="78316A56"/>
    <w:rsid w:val="78400C6D"/>
    <w:rsid w:val="784B1799"/>
    <w:rsid w:val="784B29C4"/>
    <w:rsid w:val="785A6449"/>
    <w:rsid w:val="78691E05"/>
    <w:rsid w:val="7873381E"/>
    <w:rsid w:val="787D53B4"/>
    <w:rsid w:val="787E43E3"/>
    <w:rsid w:val="7890719E"/>
    <w:rsid w:val="7899739F"/>
    <w:rsid w:val="789E6926"/>
    <w:rsid w:val="78A14CC3"/>
    <w:rsid w:val="78C957E3"/>
    <w:rsid w:val="78E805AC"/>
    <w:rsid w:val="79020895"/>
    <w:rsid w:val="791A3094"/>
    <w:rsid w:val="79370165"/>
    <w:rsid w:val="794B0001"/>
    <w:rsid w:val="79500620"/>
    <w:rsid w:val="795A3FF1"/>
    <w:rsid w:val="795D1096"/>
    <w:rsid w:val="795D67A2"/>
    <w:rsid w:val="795D6C15"/>
    <w:rsid w:val="797C38E6"/>
    <w:rsid w:val="799B254B"/>
    <w:rsid w:val="799E197F"/>
    <w:rsid w:val="79EA535B"/>
    <w:rsid w:val="79FF43C0"/>
    <w:rsid w:val="7A035B21"/>
    <w:rsid w:val="7A0F6CB2"/>
    <w:rsid w:val="7A130DF9"/>
    <w:rsid w:val="7A25288B"/>
    <w:rsid w:val="7A3C5149"/>
    <w:rsid w:val="7A425C1C"/>
    <w:rsid w:val="7A455E64"/>
    <w:rsid w:val="7A4B1A7B"/>
    <w:rsid w:val="7A592A3F"/>
    <w:rsid w:val="7A5D56F8"/>
    <w:rsid w:val="7A671B88"/>
    <w:rsid w:val="7A6F1E89"/>
    <w:rsid w:val="7A8F24D8"/>
    <w:rsid w:val="7A915D42"/>
    <w:rsid w:val="7A997BB1"/>
    <w:rsid w:val="7AA006D9"/>
    <w:rsid w:val="7AAD2A82"/>
    <w:rsid w:val="7AB929F7"/>
    <w:rsid w:val="7AD85124"/>
    <w:rsid w:val="7AF30986"/>
    <w:rsid w:val="7AF40709"/>
    <w:rsid w:val="7AF954B4"/>
    <w:rsid w:val="7B0C531E"/>
    <w:rsid w:val="7B186DE5"/>
    <w:rsid w:val="7B1C5ED8"/>
    <w:rsid w:val="7B1D0DEE"/>
    <w:rsid w:val="7B270DC0"/>
    <w:rsid w:val="7B464C5C"/>
    <w:rsid w:val="7B4F1A3E"/>
    <w:rsid w:val="7B514488"/>
    <w:rsid w:val="7B570E28"/>
    <w:rsid w:val="7B7E1EDC"/>
    <w:rsid w:val="7B7E3A5E"/>
    <w:rsid w:val="7B94538D"/>
    <w:rsid w:val="7BA16555"/>
    <w:rsid w:val="7BA3220D"/>
    <w:rsid w:val="7BA829FC"/>
    <w:rsid w:val="7BBD2BA0"/>
    <w:rsid w:val="7BC42DF8"/>
    <w:rsid w:val="7BD50C27"/>
    <w:rsid w:val="7BE60ACD"/>
    <w:rsid w:val="7BFA561F"/>
    <w:rsid w:val="7C305292"/>
    <w:rsid w:val="7C3224EA"/>
    <w:rsid w:val="7C427E47"/>
    <w:rsid w:val="7C63164A"/>
    <w:rsid w:val="7C6C0981"/>
    <w:rsid w:val="7C752BA7"/>
    <w:rsid w:val="7C773348"/>
    <w:rsid w:val="7C82487B"/>
    <w:rsid w:val="7C99208D"/>
    <w:rsid w:val="7CA278D8"/>
    <w:rsid w:val="7CAB0A5C"/>
    <w:rsid w:val="7CBF4DCB"/>
    <w:rsid w:val="7CC145C3"/>
    <w:rsid w:val="7CC31411"/>
    <w:rsid w:val="7CD442F6"/>
    <w:rsid w:val="7CDB19EE"/>
    <w:rsid w:val="7CDE3BCE"/>
    <w:rsid w:val="7CEC66D6"/>
    <w:rsid w:val="7CF05296"/>
    <w:rsid w:val="7CF20BD8"/>
    <w:rsid w:val="7D021504"/>
    <w:rsid w:val="7D133751"/>
    <w:rsid w:val="7D1E1E84"/>
    <w:rsid w:val="7D375176"/>
    <w:rsid w:val="7D60203A"/>
    <w:rsid w:val="7D6C3F5D"/>
    <w:rsid w:val="7D8112AE"/>
    <w:rsid w:val="7D8773F9"/>
    <w:rsid w:val="7D8F1E55"/>
    <w:rsid w:val="7DA45B87"/>
    <w:rsid w:val="7DB9504D"/>
    <w:rsid w:val="7DD47E92"/>
    <w:rsid w:val="7DD704C1"/>
    <w:rsid w:val="7DE622E6"/>
    <w:rsid w:val="7DE8292F"/>
    <w:rsid w:val="7E0169B9"/>
    <w:rsid w:val="7E023060"/>
    <w:rsid w:val="7E1248BB"/>
    <w:rsid w:val="7E201A6B"/>
    <w:rsid w:val="7E355268"/>
    <w:rsid w:val="7E4D34B2"/>
    <w:rsid w:val="7E504E1F"/>
    <w:rsid w:val="7E542A44"/>
    <w:rsid w:val="7E7A2161"/>
    <w:rsid w:val="7E7B4D98"/>
    <w:rsid w:val="7E8351EA"/>
    <w:rsid w:val="7E9B33E5"/>
    <w:rsid w:val="7EA36676"/>
    <w:rsid w:val="7EAF0F55"/>
    <w:rsid w:val="7EBB7A19"/>
    <w:rsid w:val="7EC4354C"/>
    <w:rsid w:val="7ED359BC"/>
    <w:rsid w:val="7F0054BF"/>
    <w:rsid w:val="7F0B63E4"/>
    <w:rsid w:val="7F103C73"/>
    <w:rsid w:val="7F230A97"/>
    <w:rsid w:val="7F256E34"/>
    <w:rsid w:val="7F2D110E"/>
    <w:rsid w:val="7F322D68"/>
    <w:rsid w:val="7F3426AE"/>
    <w:rsid w:val="7F3914C3"/>
    <w:rsid w:val="7F3D4DDE"/>
    <w:rsid w:val="7F477001"/>
    <w:rsid w:val="7F4A08A0"/>
    <w:rsid w:val="7F4E1D03"/>
    <w:rsid w:val="7F604567"/>
    <w:rsid w:val="7F63538A"/>
    <w:rsid w:val="7F707679"/>
    <w:rsid w:val="7F71592B"/>
    <w:rsid w:val="7F755C88"/>
    <w:rsid w:val="7F764E5D"/>
    <w:rsid w:val="7F7711B8"/>
    <w:rsid w:val="7F795F26"/>
    <w:rsid w:val="7F8A3B6A"/>
    <w:rsid w:val="7F8C722E"/>
    <w:rsid w:val="7FC1040F"/>
    <w:rsid w:val="7FCF3229"/>
    <w:rsid w:val="7FCF3CDC"/>
    <w:rsid w:val="7FDA57D5"/>
    <w:rsid w:val="7FE8396A"/>
    <w:rsid w:val="7FF106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4">
    <w:name w:val="heading 2"/>
    <w:basedOn w:val="1"/>
    <w:next w:val="1"/>
    <w:link w:val="135"/>
    <w:qFormat/>
    <w:uiPriority w:val="0"/>
    <w:pPr>
      <w:keepNext/>
      <w:numPr>
        <w:ilvl w:val="1"/>
        <w:numId w:val="1"/>
      </w:numPr>
      <w:adjustRightInd w:val="0"/>
      <w:spacing w:before="120" w:line="360" w:lineRule="auto"/>
      <w:textAlignment w:val="baseline"/>
      <w:outlineLvl w:val="1"/>
    </w:pPr>
    <w:rPr>
      <w:rFonts w:eastAsia="黑体"/>
      <w:sz w:val="28"/>
    </w:rPr>
  </w:style>
  <w:style w:type="paragraph" w:styleId="5">
    <w:name w:val="heading 3"/>
    <w:basedOn w:val="1"/>
    <w:next w:val="6"/>
    <w:qFormat/>
    <w:uiPriority w:val="0"/>
    <w:pPr>
      <w:numPr>
        <w:ilvl w:val="2"/>
        <w:numId w:val="1"/>
      </w:numPr>
      <w:tabs>
        <w:tab w:val="left" w:pos="900"/>
      </w:tabs>
      <w:adjustRightInd w:val="0"/>
      <w:spacing w:before="120" w:line="360" w:lineRule="auto"/>
      <w:textAlignment w:val="baseline"/>
      <w:outlineLvl w:val="2"/>
    </w:pPr>
    <w:rPr>
      <w:rFonts w:eastAsia="黑体"/>
      <w:b/>
      <w:sz w:val="28"/>
    </w:rPr>
  </w:style>
  <w:style w:type="paragraph" w:styleId="2">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7">
    <w:name w:val="heading 5"/>
    <w:basedOn w:val="1"/>
    <w:next w:val="1"/>
    <w:qFormat/>
    <w:uiPriority w:val="0"/>
    <w:pPr>
      <w:keepNext/>
      <w:keepLines/>
      <w:spacing w:before="280" w:after="290" w:line="377" w:lineRule="auto"/>
      <w:outlineLvl w:val="4"/>
    </w:pPr>
    <w:rPr>
      <w:b/>
      <w:bCs/>
      <w:sz w:val="28"/>
      <w:szCs w:val="28"/>
    </w:rPr>
  </w:style>
  <w:style w:type="paragraph" w:styleId="8">
    <w:name w:val="heading 6"/>
    <w:basedOn w:val="1"/>
    <w:next w:val="1"/>
    <w:qFormat/>
    <w:uiPriority w:val="0"/>
    <w:pPr>
      <w:keepNext/>
      <w:keepLines/>
      <w:spacing w:before="240" w:after="64" w:line="319"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19" w:lineRule="auto"/>
      <w:outlineLvl w:val="6"/>
    </w:pPr>
    <w:rPr>
      <w:b/>
      <w:bCs/>
      <w:sz w:val="24"/>
    </w:rPr>
  </w:style>
  <w:style w:type="paragraph" w:styleId="10">
    <w:name w:val="heading 8"/>
    <w:basedOn w:val="1"/>
    <w:next w:val="1"/>
    <w:qFormat/>
    <w:uiPriority w:val="0"/>
    <w:pPr>
      <w:keepNext/>
      <w:keepLines/>
      <w:spacing w:before="240" w:after="64" w:line="319"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19" w:lineRule="auto"/>
      <w:outlineLvl w:val="8"/>
    </w:pPr>
    <w:rPr>
      <w:rFonts w:ascii="Arial" w:hAnsi="Arial" w:eastAsia="黑体"/>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Layout w:type="fixed"/>
      <w:tblCellMar>
        <w:top w:w="0" w:type="dxa"/>
        <w:left w:w="108" w:type="dxa"/>
        <w:bottom w:w="0" w:type="dxa"/>
        <w:right w:w="108" w:type="dxa"/>
      </w:tblCellMar>
    </w:tblPr>
  </w:style>
  <w:style w:type="paragraph" w:styleId="6">
    <w:name w:val="Normal Indent"/>
    <w:basedOn w:val="1"/>
    <w:next w:val="1"/>
    <w:qFormat/>
    <w:uiPriority w:val="0"/>
    <w:pPr>
      <w:spacing w:after="120" w:line="360" w:lineRule="auto"/>
      <w:ind w:firstLine="200" w:firstLineChars="200"/>
    </w:pPr>
    <w:rPr>
      <w:sz w:val="24"/>
      <w:szCs w:val="20"/>
    </w:rPr>
  </w:style>
  <w:style w:type="paragraph" w:styleId="12">
    <w:name w:val="toc 7"/>
    <w:basedOn w:val="1"/>
    <w:next w:val="1"/>
    <w:qFormat/>
    <w:uiPriority w:val="0"/>
    <w:pPr>
      <w:ind w:left="1260"/>
      <w:jc w:val="left"/>
    </w:pPr>
    <w:rPr>
      <w:sz w:val="18"/>
      <w:szCs w:val="18"/>
    </w:rPr>
  </w:style>
  <w:style w:type="paragraph" w:styleId="13">
    <w:name w:val="caption"/>
    <w:basedOn w:val="1"/>
    <w:next w:val="1"/>
    <w:qFormat/>
    <w:uiPriority w:val="0"/>
    <w:pPr>
      <w:spacing w:line="360" w:lineRule="auto"/>
      <w:ind w:firstLine="200" w:firstLineChars="200"/>
    </w:pPr>
    <w:rPr>
      <w:rFonts w:ascii="Arial" w:hAnsi="Arial" w:eastAsia="黑体" w:cs="Arial"/>
      <w:sz w:val="20"/>
      <w:szCs w:val="20"/>
    </w:rPr>
  </w:style>
  <w:style w:type="paragraph" w:styleId="14">
    <w:name w:val="Document Map"/>
    <w:basedOn w:val="1"/>
    <w:qFormat/>
    <w:uiPriority w:val="0"/>
    <w:pPr>
      <w:shd w:val="clear" w:color="auto" w:fill="000080"/>
    </w:pPr>
  </w:style>
  <w:style w:type="paragraph" w:styleId="15">
    <w:name w:val="toa heading"/>
    <w:basedOn w:val="1"/>
    <w:next w:val="1"/>
    <w:qFormat/>
    <w:uiPriority w:val="0"/>
    <w:pPr>
      <w:spacing w:before="120" w:beforeLines="0" w:beforeAutospacing="0"/>
    </w:pPr>
    <w:rPr>
      <w:rFonts w:ascii="Arial" w:hAnsi="Arial"/>
      <w:sz w:val="24"/>
    </w:rPr>
  </w:style>
  <w:style w:type="paragraph" w:styleId="16">
    <w:name w:val="annotation text"/>
    <w:basedOn w:val="1"/>
    <w:qFormat/>
    <w:uiPriority w:val="0"/>
    <w:pPr>
      <w:spacing w:line="360" w:lineRule="auto"/>
      <w:ind w:firstLine="200" w:firstLineChars="200"/>
      <w:jc w:val="left"/>
    </w:pPr>
    <w:rPr>
      <w:sz w:val="24"/>
    </w:rPr>
  </w:style>
  <w:style w:type="paragraph" w:styleId="17">
    <w:name w:val="Body Text 3"/>
    <w:basedOn w:val="1"/>
    <w:qFormat/>
    <w:uiPriority w:val="0"/>
    <w:rPr>
      <w:sz w:val="24"/>
    </w:rPr>
  </w:style>
  <w:style w:type="paragraph" w:styleId="18">
    <w:name w:val="Body Text"/>
    <w:basedOn w:val="1"/>
    <w:next w:val="1"/>
    <w:qFormat/>
    <w:uiPriority w:val="0"/>
    <w:rPr>
      <w:rFonts w:ascii="金山简黑体" w:eastAsia="金山简黑体"/>
      <w:b/>
      <w:spacing w:val="-8"/>
      <w:sz w:val="44"/>
      <w:szCs w:val="20"/>
    </w:rPr>
  </w:style>
  <w:style w:type="paragraph" w:styleId="19">
    <w:name w:val="Body Text Indent"/>
    <w:basedOn w:val="1"/>
    <w:next w:val="20"/>
    <w:qFormat/>
    <w:uiPriority w:val="0"/>
    <w:pPr>
      <w:spacing w:line="200" w:lineRule="exact"/>
      <w:ind w:firstLine="301"/>
    </w:pPr>
    <w:rPr>
      <w:rFonts w:ascii="宋体"/>
      <w:spacing w:val="-4"/>
      <w:sz w:val="18"/>
      <w:szCs w:val="20"/>
    </w:rPr>
  </w:style>
  <w:style w:type="paragraph" w:styleId="20">
    <w:name w:val="Body Text First Indent 2"/>
    <w:basedOn w:val="6"/>
    <w:next w:val="21"/>
    <w:qFormat/>
    <w:uiPriority w:val="0"/>
    <w:pPr>
      <w:spacing w:line="360" w:lineRule="auto"/>
      <w:ind w:firstLine="200" w:firstLineChars="200"/>
    </w:pPr>
    <w:rPr>
      <w:spacing w:val="0"/>
      <w:sz w:val="21"/>
    </w:rPr>
  </w:style>
  <w:style w:type="paragraph" w:styleId="21">
    <w:name w:val="Body Text First Indent"/>
    <w:basedOn w:val="1"/>
    <w:next w:val="1"/>
    <w:qFormat/>
    <w:uiPriority w:val="0"/>
    <w:pPr>
      <w:spacing w:after="120"/>
      <w:ind w:firstLine="100" w:firstLineChars="100"/>
    </w:pPr>
    <w:rPr>
      <w:rFonts w:ascii="Times New Roman" w:eastAsia="宋体"/>
      <w:bCs/>
      <w:spacing w:val="0"/>
      <w:kern w:val="44"/>
      <w:sz w:val="52"/>
      <w:szCs w:val="44"/>
    </w:rPr>
  </w:style>
  <w:style w:type="paragraph" w:styleId="22">
    <w:name w:val="Block Text"/>
    <w:basedOn w:val="1"/>
    <w:next w:val="1"/>
    <w:qFormat/>
    <w:uiPriority w:val="0"/>
    <w:pPr>
      <w:spacing w:after="120"/>
      <w:ind w:left="700" w:leftChars="700" w:right="700" w:rightChars="700"/>
    </w:pPr>
  </w:style>
  <w:style w:type="paragraph" w:styleId="23">
    <w:name w:val="toc 5"/>
    <w:basedOn w:val="1"/>
    <w:next w:val="1"/>
    <w:qFormat/>
    <w:uiPriority w:val="0"/>
    <w:pPr>
      <w:ind w:left="840"/>
      <w:jc w:val="left"/>
    </w:pPr>
    <w:rPr>
      <w:sz w:val="18"/>
      <w:szCs w:val="18"/>
    </w:rPr>
  </w:style>
  <w:style w:type="paragraph" w:styleId="24">
    <w:name w:val="toc 3"/>
    <w:basedOn w:val="1"/>
    <w:next w:val="1"/>
    <w:qFormat/>
    <w:uiPriority w:val="0"/>
    <w:pPr>
      <w:ind w:left="420"/>
      <w:jc w:val="left"/>
    </w:pPr>
    <w:rPr>
      <w:i/>
      <w:iCs/>
      <w:sz w:val="20"/>
      <w:szCs w:val="20"/>
    </w:rPr>
  </w:style>
  <w:style w:type="paragraph" w:styleId="25">
    <w:name w:val="Plain Text"/>
    <w:basedOn w:val="1"/>
    <w:next w:val="1"/>
    <w:link w:val="134"/>
    <w:qFormat/>
    <w:uiPriority w:val="0"/>
    <w:rPr>
      <w:rFonts w:ascii="宋体"/>
    </w:rPr>
  </w:style>
  <w:style w:type="paragraph" w:styleId="26">
    <w:name w:val="toc 8"/>
    <w:basedOn w:val="1"/>
    <w:next w:val="1"/>
    <w:qFormat/>
    <w:uiPriority w:val="0"/>
    <w:pPr>
      <w:ind w:left="1470"/>
      <w:jc w:val="left"/>
    </w:pPr>
    <w:rPr>
      <w:sz w:val="18"/>
      <w:szCs w:val="18"/>
    </w:rPr>
  </w:style>
  <w:style w:type="paragraph" w:styleId="27">
    <w:name w:val="Date"/>
    <w:basedOn w:val="1"/>
    <w:next w:val="1"/>
    <w:qFormat/>
    <w:uiPriority w:val="0"/>
    <w:pPr>
      <w:ind w:left="2500" w:leftChars="2500"/>
    </w:pPr>
    <w:rPr>
      <w:rFonts w:ascii="华文中宋" w:eastAsia="华文中宋" w:cs="Arial"/>
      <w:iCs/>
      <w:color w:val="000000"/>
      <w:kern w:val="44"/>
      <w:sz w:val="36"/>
      <w:szCs w:val="21"/>
    </w:rPr>
  </w:style>
  <w:style w:type="paragraph" w:styleId="28">
    <w:name w:val="Body Text Indent 2"/>
    <w:basedOn w:val="1"/>
    <w:qFormat/>
    <w:uiPriority w:val="0"/>
    <w:pPr>
      <w:spacing w:after="120" w:line="480" w:lineRule="auto"/>
      <w:ind w:left="200" w:leftChars="200"/>
    </w:pPr>
  </w:style>
  <w:style w:type="paragraph" w:styleId="29">
    <w:name w:val="Balloon Text"/>
    <w:basedOn w:val="1"/>
    <w:qFormat/>
    <w:uiPriority w:val="0"/>
    <w:rPr>
      <w:sz w:val="18"/>
      <w:szCs w:val="18"/>
    </w:rPr>
  </w:style>
  <w:style w:type="paragraph" w:styleId="30">
    <w:name w:val="footer"/>
    <w:basedOn w:val="1"/>
    <w:qFormat/>
    <w:uiPriority w:val="0"/>
    <w:pPr>
      <w:tabs>
        <w:tab w:val="center" w:pos="4153"/>
        <w:tab w:val="right" w:pos="8306"/>
      </w:tabs>
      <w:snapToGrid w:val="0"/>
      <w:jc w:val="left"/>
    </w:pPr>
    <w:rPr>
      <w:rFonts w:ascii="宋体"/>
      <w:sz w:val="18"/>
      <w:szCs w:val="20"/>
    </w:rPr>
  </w:style>
  <w:style w:type="paragraph" w:styleId="31">
    <w:name w:val="envelope return"/>
    <w:basedOn w:val="1"/>
    <w:qFormat/>
    <w:uiPriority w:val="0"/>
    <w:pPr>
      <w:snapToGrid w:val="0"/>
    </w:pPr>
    <w:rPr>
      <w:rFonts w:ascii="Arial" w:hAnsi="Arial"/>
    </w:rPr>
  </w:style>
  <w:style w:type="paragraph" w:styleId="3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34">
    <w:name w:val="toc 4"/>
    <w:basedOn w:val="1"/>
    <w:next w:val="1"/>
    <w:qFormat/>
    <w:uiPriority w:val="0"/>
    <w:pPr>
      <w:ind w:left="630"/>
      <w:jc w:val="left"/>
    </w:pPr>
    <w:rPr>
      <w:sz w:val="18"/>
      <w:szCs w:val="18"/>
    </w:rPr>
  </w:style>
  <w:style w:type="paragraph" w:styleId="35">
    <w:name w:val="List"/>
    <w:basedOn w:val="1"/>
    <w:qFormat/>
    <w:uiPriority w:val="0"/>
    <w:pPr>
      <w:spacing w:line="0" w:lineRule="atLeast"/>
    </w:pPr>
    <w:rPr>
      <w:sz w:val="18"/>
      <w:szCs w:val="20"/>
    </w:rPr>
  </w:style>
  <w:style w:type="paragraph" w:styleId="36">
    <w:name w:val="toc 6"/>
    <w:basedOn w:val="1"/>
    <w:next w:val="1"/>
    <w:qFormat/>
    <w:uiPriority w:val="0"/>
    <w:pPr>
      <w:ind w:left="1050"/>
      <w:jc w:val="left"/>
    </w:pPr>
    <w:rPr>
      <w:sz w:val="18"/>
      <w:szCs w:val="18"/>
    </w:rPr>
  </w:style>
  <w:style w:type="paragraph" w:styleId="37">
    <w:name w:val="Body Text Indent 3"/>
    <w:basedOn w:val="1"/>
    <w:qFormat/>
    <w:uiPriority w:val="0"/>
    <w:pPr>
      <w:spacing w:line="400" w:lineRule="exact"/>
      <w:ind w:left="360"/>
    </w:pPr>
    <w:rPr>
      <w:sz w:val="24"/>
    </w:rPr>
  </w:style>
  <w:style w:type="paragraph" w:styleId="38">
    <w:name w:val="toc 2"/>
    <w:basedOn w:val="1"/>
    <w:next w:val="1"/>
    <w:qFormat/>
    <w:uiPriority w:val="39"/>
    <w:pPr>
      <w:tabs>
        <w:tab w:val="right" w:leader="dot" w:pos="9637"/>
      </w:tabs>
      <w:spacing w:line="240" w:lineRule="exact"/>
      <w:jc w:val="left"/>
    </w:pPr>
    <w:rPr>
      <w:smallCaps/>
      <w:sz w:val="20"/>
      <w:szCs w:val="20"/>
    </w:rPr>
  </w:style>
  <w:style w:type="paragraph" w:styleId="39">
    <w:name w:val="toc 9"/>
    <w:basedOn w:val="1"/>
    <w:next w:val="1"/>
    <w:qFormat/>
    <w:uiPriority w:val="0"/>
    <w:pPr>
      <w:ind w:left="1680"/>
      <w:jc w:val="left"/>
    </w:pPr>
    <w:rPr>
      <w:sz w:val="18"/>
      <w:szCs w:val="18"/>
    </w:rPr>
  </w:style>
  <w:style w:type="paragraph" w:styleId="40">
    <w:name w:val="Body Text 2"/>
    <w:basedOn w:val="1"/>
    <w:qFormat/>
    <w:uiPriority w:val="0"/>
    <w:rPr>
      <w:rFonts w:ascii="宋体"/>
      <w:sz w:val="13"/>
      <w:szCs w:val="20"/>
    </w:rPr>
  </w:style>
  <w:style w:type="paragraph" w:styleId="41">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方正黑体_GBK"/>
      <w:sz w:val="24"/>
    </w:rPr>
  </w:style>
  <w:style w:type="paragraph" w:styleId="42">
    <w:name w:val="Normal (Web)"/>
    <w:basedOn w:val="1"/>
    <w:qFormat/>
    <w:uiPriority w:val="0"/>
    <w:pPr>
      <w:widowControl/>
      <w:spacing w:before="100" w:beforeAutospacing="1" w:after="100" w:afterAutospacing="1"/>
      <w:jc w:val="left"/>
    </w:pPr>
    <w:rPr>
      <w:rFonts w:ascii="宋体"/>
      <w:kern w:val="0"/>
      <w:sz w:val="24"/>
    </w:rPr>
  </w:style>
  <w:style w:type="paragraph" w:styleId="43">
    <w:name w:val="index 1"/>
    <w:basedOn w:val="1"/>
    <w:next w:val="1"/>
    <w:qFormat/>
    <w:uiPriority w:val="0"/>
    <w:pPr>
      <w:spacing w:line="360" w:lineRule="auto"/>
      <w:ind w:firstLine="200" w:firstLineChars="200"/>
    </w:pPr>
    <w:rPr>
      <w:sz w:val="24"/>
    </w:rPr>
  </w:style>
  <w:style w:type="paragraph" w:styleId="44">
    <w:name w:val="Title"/>
    <w:basedOn w:val="1"/>
    <w:qFormat/>
    <w:uiPriority w:val="0"/>
    <w:pPr>
      <w:spacing w:before="240" w:after="60"/>
      <w:jc w:val="center"/>
      <w:outlineLvl w:val="0"/>
    </w:pPr>
    <w:rPr>
      <w:rFonts w:ascii="Arial" w:hAnsi="Arial" w:cs="Arial"/>
      <w:b/>
      <w:bCs/>
      <w:sz w:val="32"/>
      <w:szCs w:val="32"/>
    </w:rPr>
  </w:style>
  <w:style w:type="paragraph" w:styleId="45">
    <w:name w:val="annotation subject"/>
    <w:basedOn w:val="16"/>
    <w:next w:val="16"/>
    <w:qFormat/>
    <w:uiPriority w:val="0"/>
    <w:rPr>
      <w:b/>
      <w:bCs/>
    </w:rPr>
  </w:style>
  <w:style w:type="table" w:styleId="47">
    <w:name w:val="Table Grid"/>
    <w:basedOn w:val="4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49">
    <w:name w:val="Strong"/>
    <w:qFormat/>
    <w:uiPriority w:val="0"/>
    <w:rPr>
      <w:rFonts w:ascii="Tahoma" w:hAnsi="Tahoma"/>
      <w:b/>
      <w:bCs/>
      <w:sz w:val="24"/>
      <w:szCs w:val="20"/>
    </w:rPr>
  </w:style>
  <w:style w:type="character" w:styleId="50">
    <w:name w:val="page number"/>
    <w:qFormat/>
    <w:uiPriority w:val="0"/>
  </w:style>
  <w:style w:type="character" w:styleId="51">
    <w:name w:val="FollowedHyperlink"/>
    <w:basedOn w:val="48"/>
    <w:qFormat/>
    <w:uiPriority w:val="0"/>
    <w:rPr>
      <w:color w:val="337AB7"/>
      <w:u w:val="single"/>
    </w:rPr>
  </w:style>
  <w:style w:type="character" w:styleId="52">
    <w:name w:val="HTML Definition"/>
    <w:basedOn w:val="48"/>
    <w:qFormat/>
    <w:uiPriority w:val="0"/>
    <w:rPr>
      <w:i/>
    </w:rPr>
  </w:style>
  <w:style w:type="character" w:styleId="53">
    <w:name w:val="Hyperlink"/>
    <w:basedOn w:val="48"/>
    <w:qFormat/>
    <w:uiPriority w:val="99"/>
    <w:rPr>
      <w:color w:val="337AB7"/>
      <w:u w:val="single"/>
    </w:rPr>
  </w:style>
  <w:style w:type="character" w:styleId="54">
    <w:name w:val="HTML Code"/>
    <w:basedOn w:val="48"/>
    <w:qFormat/>
    <w:uiPriority w:val="0"/>
    <w:rPr>
      <w:rFonts w:ascii="Consolas" w:hAnsi="Consolas" w:eastAsia="Consolas" w:cs="Consolas"/>
      <w:color w:val="C7254E"/>
      <w:sz w:val="21"/>
      <w:szCs w:val="21"/>
      <w:shd w:val="clear" w:color="auto" w:fill="F9F2F4"/>
    </w:rPr>
  </w:style>
  <w:style w:type="character" w:styleId="55">
    <w:name w:val="annotation reference"/>
    <w:qFormat/>
    <w:uiPriority w:val="0"/>
    <w:rPr>
      <w:rFonts w:ascii="Tahoma" w:hAnsi="Tahoma"/>
      <w:sz w:val="21"/>
      <w:szCs w:val="21"/>
    </w:rPr>
  </w:style>
  <w:style w:type="character" w:styleId="56">
    <w:name w:val="HTML Keyboard"/>
    <w:basedOn w:val="48"/>
    <w:qFormat/>
    <w:uiPriority w:val="0"/>
    <w:rPr>
      <w:rFonts w:ascii="Consolas" w:hAnsi="Consolas" w:eastAsia="Consolas" w:cs="Consolas"/>
      <w:color w:val="FFFFFF"/>
      <w:sz w:val="21"/>
      <w:szCs w:val="21"/>
      <w:shd w:val="clear" w:color="auto" w:fill="333333"/>
    </w:rPr>
  </w:style>
  <w:style w:type="character" w:styleId="57">
    <w:name w:val="HTML Sample"/>
    <w:basedOn w:val="48"/>
    <w:qFormat/>
    <w:uiPriority w:val="0"/>
    <w:rPr>
      <w:rFonts w:ascii="Consolas" w:hAnsi="Consolas" w:eastAsia="Consolas" w:cs="Consolas"/>
      <w:sz w:val="21"/>
      <w:szCs w:val="21"/>
    </w:rPr>
  </w:style>
  <w:style w:type="paragraph" w:customStyle="1" w:styleId="58">
    <w:name w:val="Default"/>
    <w:basedOn w:val="59"/>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9">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60">
    <w:name w:val="标题 5（有编号）（绿盟科技）"/>
    <w:basedOn w:val="1"/>
    <w:next w:val="61"/>
    <w:qFormat/>
    <w:uiPriority w:val="0"/>
    <w:pPr>
      <w:keepNext/>
      <w:keepLines/>
      <w:numPr>
        <w:ilvl w:val="4"/>
        <w:numId w:val="2"/>
      </w:numPr>
      <w:tabs>
        <w:tab w:val="left" w:pos="0"/>
      </w:tabs>
      <w:spacing w:before="280" w:after="156" w:line="377" w:lineRule="auto"/>
      <w:jc w:val="left"/>
      <w:outlineLvl w:val="4"/>
    </w:pPr>
    <w:rPr>
      <w:rFonts w:ascii="Arial" w:hAnsi="Arial" w:eastAsia="黑体"/>
      <w:b/>
      <w:kern w:val="0"/>
      <w:sz w:val="24"/>
      <w:szCs w:val="28"/>
    </w:rPr>
  </w:style>
  <w:style w:type="paragraph" w:customStyle="1" w:styleId="61">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62">
    <w:name w:val="xl53"/>
    <w:next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character" w:customStyle="1" w:styleId="63">
    <w:name w:val="纯文本 Char1"/>
    <w:qFormat/>
    <w:uiPriority w:val="0"/>
    <w:rPr>
      <w:rFonts w:ascii="宋体" w:eastAsia="宋体"/>
      <w:kern w:val="2"/>
      <w:sz w:val="21"/>
      <w:szCs w:val="20"/>
      <w:lang w:val="en-US" w:eastAsia="zh-CN" w:bidi="ar-SA"/>
    </w:rPr>
  </w:style>
  <w:style w:type="character" w:customStyle="1" w:styleId="64">
    <w:name w:val="grame"/>
    <w:qFormat/>
    <w:uiPriority w:val="0"/>
  </w:style>
  <w:style w:type="character" w:customStyle="1" w:styleId="65">
    <w:name w:val="Char Char1"/>
    <w:qFormat/>
    <w:uiPriority w:val="0"/>
    <w:rPr>
      <w:rFonts w:ascii="Tahoma" w:hAnsi="Tahoma" w:eastAsia="宋体"/>
      <w:b/>
      <w:bCs/>
      <w:kern w:val="44"/>
      <w:sz w:val="52"/>
      <w:szCs w:val="44"/>
      <w:lang w:val="en-US" w:eastAsia="zh-CN" w:bidi="ar-SA"/>
    </w:rPr>
  </w:style>
  <w:style w:type="character" w:customStyle="1" w:styleId="66">
    <w:name w:val="ca-1"/>
    <w:basedOn w:val="48"/>
    <w:qFormat/>
    <w:uiPriority w:val="0"/>
    <w:rPr>
      <w:rFonts w:ascii="Tahoma" w:hAnsi="Tahoma"/>
      <w:sz w:val="24"/>
      <w:szCs w:val="20"/>
    </w:rPr>
  </w:style>
  <w:style w:type="character" w:customStyle="1" w:styleId="67">
    <w:name w:val="rili11"/>
    <w:qFormat/>
    <w:uiPriority w:val="0"/>
    <w:rPr>
      <w:rFonts w:ascii="Tahoma" w:hAnsi="Tahoma"/>
      <w:sz w:val="21"/>
      <w:szCs w:val="21"/>
    </w:rPr>
  </w:style>
  <w:style w:type="character" w:customStyle="1" w:styleId="68">
    <w:name w:val="孙普文字 Char2"/>
    <w:qFormat/>
    <w:uiPriority w:val="0"/>
    <w:rPr>
      <w:rFonts w:ascii="宋体" w:eastAsia="宋体"/>
      <w:kern w:val="2"/>
      <w:sz w:val="21"/>
      <w:szCs w:val="20"/>
      <w:lang w:val="en-US" w:eastAsia="zh-CN" w:bidi="ar-SA"/>
    </w:rPr>
  </w:style>
  <w:style w:type="paragraph" w:customStyle="1" w:styleId="69">
    <w:name w:val="默认段落字体 Para Char"/>
    <w:basedOn w:val="1"/>
    <w:qFormat/>
    <w:uiPriority w:val="0"/>
    <w:pPr>
      <w:tabs>
        <w:tab w:val="left" w:pos="360"/>
      </w:tabs>
      <w:ind w:left="420" w:hanging="420"/>
    </w:pPr>
    <w:rPr>
      <w:sz w:val="24"/>
      <w:szCs w:val="20"/>
    </w:rPr>
  </w:style>
  <w:style w:type="paragraph" w:customStyle="1" w:styleId="70">
    <w:name w:val="样式 标题 2 + 宋体 五号 非加粗 黑色"/>
    <w:basedOn w:val="4"/>
    <w:qFormat/>
    <w:uiPriority w:val="0"/>
    <w:rPr>
      <w:rFonts w:ascii="宋体" w:eastAsia="宋体"/>
      <w:color w:val="000000"/>
      <w:sz w:val="21"/>
    </w:rPr>
  </w:style>
  <w:style w:type="paragraph" w:customStyle="1" w:styleId="71">
    <w:name w:val="Char Char Char Char"/>
    <w:basedOn w:val="1"/>
    <w:qFormat/>
    <w:uiPriority w:val="0"/>
    <w:pPr>
      <w:widowControl/>
      <w:spacing w:after="160" w:line="240" w:lineRule="exact"/>
      <w:jc w:val="left"/>
    </w:pPr>
    <w:rPr>
      <w:rFonts w:ascii="Verdana" w:hAnsi="Verdana" w:eastAsia="仿宋_GB2312"/>
      <w:kern w:val="0"/>
      <w:sz w:val="24"/>
      <w:szCs w:val="20"/>
    </w:rPr>
  </w:style>
  <w:style w:type="paragraph" w:customStyle="1" w:styleId="72">
    <w:name w:val="Char Char1 Char Char"/>
    <w:basedOn w:val="1"/>
    <w:qFormat/>
    <w:uiPriority w:val="0"/>
    <w:pPr>
      <w:tabs>
        <w:tab w:val="left" w:pos="360"/>
      </w:tabs>
    </w:pPr>
  </w:style>
  <w:style w:type="paragraph" w:customStyle="1" w:styleId="73">
    <w:name w:val="p0"/>
    <w:basedOn w:val="1"/>
    <w:qFormat/>
    <w:uiPriority w:val="0"/>
    <w:pPr>
      <w:widowControl/>
    </w:pPr>
    <w:rPr>
      <w:kern w:val="0"/>
      <w:szCs w:val="21"/>
    </w:rPr>
  </w:style>
  <w:style w:type="paragraph" w:customStyle="1" w:styleId="74">
    <w:name w:val="样式1"/>
    <w:basedOn w:val="4"/>
    <w:qFormat/>
    <w:uiPriority w:val="0"/>
  </w:style>
  <w:style w:type="paragraph" w:customStyle="1" w:styleId="75">
    <w:name w:val="xl23"/>
    <w:next w:val="39"/>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76">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77">
    <w:name w:val="Char1 Char Char Char Char Char Char"/>
    <w:basedOn w:val="1"/>
    <w:qFormat/>
    <w:uiPriority w:val="0"/>
    <w:rPr>
      <w:rFonts w:ascii="Tahoma" w:hAnsi="Tahoma"/>
      <w:sz w:val="24"/>
      <w:szCs w:val="20"/>
    </w:rPr>
  </w:style>
  <w:style w:type="paragraph" w:customStyle="1" w:styleId="78">
    <w:name w:val="表文字"/>
    <w:qFormat/>
    <w:uiPriority w:val="0"/>
    <w:rPr>
      <w:rFonts w:ascii="宋体" w:hAnsi="Times New Roman" w:eastAsia="宋体" w:cs="Times New Roman"/>
      <w:kern w:val="2"/>
      <w:lang w:val="en-US" w:eastAsia="zh-CN" w:bidi="ar-SA"/>
    </w:rPr>
  </w:style>
  <w:style w:type="paragraph" w:customStyle="1" w:styleId="79">
    <w:name w:val="正文五号"/>
    <w:basedOn w:val="1"/>
    <w:qFormat/>
    <w:uiPriority w:val="0"/>
    <w:rPr>
      <w:rFonts w:ascii="宋体" w:hAnsi="宋体" w:eastAsia="仿宋_GB2312"/>
      <w:szCs w:val="20"/>
    </w:rPr>
  </w:style>
  <w:style w:type="paragraph" w:customStyle="1" w:styleId="80">
    <w:name w:val="para"/>
    <w:basedOn w:val="1"/>
    <w:qFormat/>
    <w:uiPriority w:val="0"/>
    <w:pPr>
      <w:widowControl/>
      <w:adjustRightInd w:val="0"/>
      <w:spacing w:before="160" w:line="360" w:lineRule="auto"/>
      <w:ind w:firstLine="425"/>
      <w:textAlignment w:val="baseline"/>
    </w:pPr>
    <w:rPr>
      <w:kern w:val="0"/>
      <w:sz w:val="24"/>
      <w:szCs w:val="20"/>
    </w:rPr>
  </w:style>
  <w:style w:type="paragraph" w:customStyle="1" w:styleId="81">
    <w:name w:val="表格"/>
    <w:basedOn w:val="1"/>
    <w:qFormat/>
    <w:uiPriority w:val="0"/>
    <w:pPr>
      <w:tabs>
        <w:tab w:val="left" w:pos="1200"/>
      </w:tabs>
      <w:spacing w:line="500" w:lineRule="exact"/>
      <w:jc w:val="center"/>
    </w:pPr>
    <w:rPr>
      <w:rFonts w:ascii="宋体"/>
      <w:sz w:val="24"/>
      <w:szCs w:val="18"/>
    </w:rPr>
  </w:style>
  <w:style w:type="paragraph" w:customStyle="1" w:styleId="82">
    <w:name w:val="列出段落1"/>
    <w:basedOn w:val="1"/>
    <w:qFormat/>
    <w:uiPriority w:val="0"/>
    <w:pPr>
      <w:ind w:firstLine="200" w:firstLineChars="200"/>
    </w:pPr>
    <w:rPr>
      <w:rFonts w:ascii="Calibri" w:hAnsi="Calibri"/>
      <w:szCs w:val="22"/>
    </w:rPr>
  </w:style>
  <w:style w:type="paragraph" w:customStyle="1" w:styleId="83">
    <w:name w:val="样式2"/>
    <w:basedOn w:val="4"/>
    <w:qFormat/>
    <w:uiPriority w:val="0"/>
    <w:pPr>
      <w:spacing w:line="440" w:lineRule="exact"/>
      <w:jc w:val="center"/>
    </w:pPr>
    <w:rPr>
      <w:rFonts w:ascii="宋体" w:hAnsi="宋体"/>
      <w:sz w:val="32"/>
    </w:rPr>
  </w:style>
  <w:style w:type="paragraph" w:customStyle="1" w:styleId="84">
    <w:name w:val="缺省文本"/>
    <w:basedOn w:val="1"/>
    <w:qFormat/>
    <w:uiPriority w:val="0"/>
    <w:pPr>
      <w:autoSpaceDE w:val="0"/>
      <w:autoSpaceDN w:val="0"/>
      <w:adjustRightInd w:val="0"/>
      <w:spacing w:line="360" w:lineRule="auto"/>
      <w:jc w:val="left"/>
    </w:pPr>
    <w:rPr>
      <w:kern w:val="0"/>
      <w:sz w:val="24"/>
      <w:szCs w:val="20"/>
    </w:rPr>
  </w:style>
  <w:style w:type="paragraph" w:customStyle="1" w:styleId="85">
    <w:name w:val="样式 Arial 行距: 多倍行距 1.2 字行 首行缩进:  2 字符"/>
    <w:basedOn w:val="1"/>
    <w:qFormat/>
    <w:uiPriority w:val="0"/>
    <w:pPr>
      <w:spacing w:line="288" w:lineRule="auto"/>
      <w:ind w:firstLine="200" w:firstLineChars="200"/>
    </w:pPr>
    <w:rPr>
      <w:rFonts w:ascii="Arial" w:hAnsi="Arial" w:cs="宋体"/>
      <w:sz w:val="20"/>
      <w:szCs w:val="20"/>
    </w:rPr>
  </w:style>
  <w:style w:type="paragraph" w:customStyle="1" w:styleId="86">
    <w:name w:val="普通正文"/>
    <w:basedOn w:val="1"/>
    <w:qFormat/>
    <w:uiPriority w:val="0"/>
    <w:pPr>
      <w:snapToGrid w:val="0"/>
      <w:spacing w:before="120" w:after="120" w:line="360" w:lineRule="atLeast"/>
      <w:ind w:firstLine="425"/>
    </w:pPr>
    <w:rPr>
      <w:kern w:val="21"/>
      <w:szCs w:val="20"/>
    </w:rPr>
  </w:style>
  <w:style w:type="paragraph" w:customStyle="1" w:styleId="87">
    <w:name w:val="正文文本缩进 21"/>
    <w:basedOn w:val="1"/>
    <w:qFormat/>
    <w:uiPriority w:val="0"/>
    <w:pPr>
      <w:adjustRightInd w:val="0"/>
      <w:spacing w:before="120"/>
      <w:ind w:firstLine="420"/>
      <w:textAlignment w:val="baseline"/>
    </w:pPr>
    <w:rPr>
      <w:szCs w:val="20"/>
    </w:rPr>
  </w:style>
  <w:style w:type="paragraph" w:customStyle="1" w:styleId="88">
    <w:name w:val="Char Char Char Char Char Char Char Char Char Char"/>
    <w:basedOn w:val="1"/>
    <w:qFormat/>
    <w:uiPriority w:val="0"/>
    <w:rPr>
      <w:rFonts w:ascii="Tahoma" w:hAnsi="Tahoma"/>
      <w:sz w:val="24"/>
      <w:szCs w:val="20"/>
    </w:rPr>
  </w:style>
  <w:style w:type="paragraph" w:customStyle="1" w:styleId="89">
    <w:name w:val="Char Char1 Char Char Char Char Char Char Char"/>
    <w:basedOn w:val="1"/>
    <w:qFormat/>
    <w:uiPriority w:val="0"/>
    <w:pPr>
      <w:tabs>
        <w:tab w:val="left" w:pos="360"/>
      </w:tabs>
      <w:ind w:firstLine="150" w:firstLineChars="150"/>
    </w:pPr>
    <w:rPr>
      <w:rFonts w:ascii="Arial" w:hAnsi="Arial" w:cs="Arial"/>
      <w:sz w:val="20"/>
      <w:szCs w:val="20"/>
    </w:rPr>
  </w:style>
  <w:style w:type="paragraph" w:customStyle="1" w:styleId="90">
    <w:name w:val="样式 正文缩进 + 首行缩进:  2 字符"/>
    <w:basedOn w:val="6"/>
    <w:qFormat/>
    <w:uiPriority w:val="0"/>
    <w:pPr>
      <w:spacing w:after="0"/>
    </w:pPr>
    <w:rPr>
      <w:rFonts w:cs="宋体"/>
    </w:rPr>
  </w:style>
  <w:style w:type="paragraph" w:customStyle="1" w:styleId="91">
    <w:name w:val="Char Char Char Char Char Char Char Char Char Char Char Char Char"/>
    <w:basedOn w:val="1"/>
    <w:qFormat/>
    <w:uiPriority w:val="0"/>
    <w:pPr>
      <w:widowControl/>
      <w:numPr>
        <w:ilvl w:val="0"/>
        <w:numId w:val="3"/>
      </w:numPr>
      <w:adjustRightInd w:val="0"/>
      <w:spacing w:after="160" w:line="240" w:lineRule="exact"/>
      <w:ind w:firstLine="200" w:firstLineChars="200"/>
    </w:pPr>
    <w:rPr>
      <w:rFonts w:ascii="Arial" w:hAnsi="Arial" w:eastAsia="Times New Roman"/>
      <w:kern w:val="0"/>
      <w:sz w:val="20"/>
      <w:szCs w:val="20"/>
    </w:rPr>
  </w:style>
  <w:style w:type="paragraph" w:customStyle="1" w:styleId="92">
    <w:name w:val="g3"/>
    <w:basedOn w:val="1"/>
    <w:qFormat/>
    <w:uiPriority w:val="0"/>
    <w:pPr>
      <w:widowControl/>
      <w:spacing w:before="100" w:beforeAutospacing="1" w:after="100" w:afterAutospacing="1" w:line="675" w:lineRule="atLeast"/>
      <w:jc w:val="left"/>
    </w:pPr>
    <w:rPr>
      <w:rFonts w:ascii="华文中宋" w:eastAsia="华文中宋"/>
      <w:kern w:val="0"/>
      <w:sz w:val="42"/>
      <w:szCs w:val="42"/>
    </w:rPr>
  </w:style>
  <w:style w:type="paragraph" w:customStyle="1" w:styleId="93">
    <w:name w:val="Char Char Char Char Char Char"/>
    <w:basedOn w:val="1"/>
    <w:qFormat/>
    <w:uiPriority w:val="0"/>
    <w:pPr>
      <w:adjustRightInd w:val="0"/>
      <w:spacing w:line="360" w:lineRule="auto"/>
    </w:pPr>
    <w:rPr>
      <w:kern w:val="0"/>
      <w:sz w:val="24"/>
      <w:szCs w:val="20"/>
    </w:rPr>
  </w:style>
  <w:style w:type="paragraph" w:customStyle="1" w:styleId="94">
    <w:name w:val="Tabellentext"/>
    <w:basedOn w:val="1"/>
    <w:qFormat/>
    <w:uiPriority w:val="0"/>
    <w:pPr>
      <w:widowControl/>
    </w:pPr>
    <w:rPr>
      <w:rFonts w:ascii="Arial" w:hAnsi="Arial" w:eastAsia="Times New Roman"/>
      <w:kern w:val="0"/>
      <w:sz w:val="20"/>
      <w:szCs w:val="20"/>
    </w:rPr>
  </w:style>
  <w:style w:type="paragraph" w:customStyle="1" w:styleId="95">
    <w:name w:val="样式 首行缩进:  0 字符"/>
    <w:basedOn w:val="1"/>
    <w:qFormat/>
    <w:uiPriority w:val="0"/>
    <w:pPr>
      <w:spacing w:line="360" w:lineRule="auto"/>
    </w:pPr>
    <w:rPr>
      <w:rFonts w:cs="宋体"/>
      <w:sz w:val="24"/>
      <w:szCs w:val="20"/>
    </w:rPr>
  </w:style>
  <w:style w:type="paragraph" w:customStyle="1" w:styleId="96">
    <w:name w:val="正文文本 21"/>
    <w:basedOn w:val="1"/>
    <w:qFormat/>
    <w:uiPriority w:val="0"/>
    <w:pPr>
      <w:adjustRightInd w:val="0"/>
      <w:spacing w:before="120"/>
      <w:ind w:firstLine="480"/>
      <w:textAlignment w:val="baseline"/>
    </w:pPr>
    <w:rPr>
      <w:szCs w:val="20"/>
    </w:rPr>
  </w:style>
  <w:style w:type="paragraph" w:customStyle="1" w:styleId="97">
    <w:name w:val="文档正文"/>
    <w:basedOn w:val="1"/>
    <w:qFormat/>
    <w:uiPriority w:val="0"/>
    <w:pPr>
      <w:spacing w:line="440" w:lineRule="exact"/>
      <w:ind w:firstLine="567"/>
      <w:textAlignment w:val="baseline"/>
    </w:pPr>
    <w:rPr>
      <w:rFonts w:ascii="Arial Narrow" w:hAnsi="Arial Narrow"/>
      <w:kern w:val="0"/>
      <w:szCs w:val="20"/>
    </w:rPr>
  </w:style>
  <w:style w:type="paragraph" w:customStyle="1" w:styleId="98">
    <w:name w:val="Char1"/>
    <w:basedOn w:val="1"/>
    <w:qFormat/>
    <w:uiPriority w:val="0"/>
    <w:pPr>
      <w:widowControl/>
      <w:adjustRightInd w:val="0"/>
      <w:snapToGrid w:val="0"/>
      <w:spacing w:beforeLines="25" w:afterLines="25" w:line="240" w:lineRule="exact"/>
      <w:ind w:firstLine="192" w:firstLineChars="192"/>
      <w:jc w:val="left"/>
    </w:pPr>
    <w:rPr>
      <w:rFonts w:ascii="宋体"/>
      <w:kern w:val="0"/>
      <w:sz w:val="28"/>
      <w:szCs w:val="28"/>
    </w:rPr>
  </w:style>
  <w:style w:type="paragraph" w:customStyle="1" w:styleId="99">
    <w:name w:val="方案正文"/>
    <w:qFormat/>
    <w:uiPriority w:val="0"/>
    <w:pPr>
      <w:spacing w:before="100" w:beforeAutospacing="1" w:after="100" w:afterAutospacing="1" w:line="330" w:lineRule="atLeast"/>
      <w:ind w:firstLine="200" w:firstLineChars="200"/>
    </w:pPr>
    <w:rPr>
      <w:rFonts w:ascii="ˎ̥" w:hAnsi="ˎ̥" w:eastAsia="宋体" w:cs="宋体"/>
      <w:color w:val="51585D"/>
      <w:sz w:val="28"/>
      <w:szCs w:val="18"/>
      <w:lang w:val="en-US" w:eastAsia="zh-CN" w:bidi="ar-SA"/>
    </w:rPr>
  </w:style>
  <w:style w:type="paragraph" w:customStyle="1" w:styleId="100">
    <w:name w:val="首行缩进 1"/>
    <w:basedOn w:val="1"/>
    <w:qFormat/>
    <w:uiPriority w:val="0"/>
    <w:pPr>
      <w:spacing w:after="120"/>
      <w:ind w:firstLine="200" w:firstLineChars="200"/>
    </w:pPr>
    <w:rPr>
      <w:szCs w:val="20"/>
    </w:rPr>
  </w:style>
  <w:style w:type="paragraph" w:customStyle="1" w:styleId="101">
    <w:name w:val="样式 居中"/>
    <w:basedOn w:val="1"/>
    <w:qFormat/>
    <w:uiPriority w:val="0"/>
    <w:pPr>
      <w:spacing w:line="360" w:lineRule="auto"/>
      <w:ind w:firstLine="200" w:firstLineChars="200"/>
      <w:jc w:val="center"/>
    </w:pPr>
    <w:rPr>
      <w:rFonts w:cs="宋体"/>
      <w:sz w:val="24"/>
      <w:szCs w:val="20"/>
    </w:rPr>
  </w:style>
  <w:style w:type="paragraph" w:customStyle="1" w:styleId="102">
    <w:name w:val="默认段落字体 Para Char Char Char Char Char Char"/>
    <w:basedOn w:val="1"/>
    <w:qFormat/>
    <w:uiPriority w:val="0"/>
    <w:rPr>
      <w:rFonts w:ascii="Tahoma" w:hAnsi="Tahoma"/>
      <w:sz w:val="24"/>
      <w:szCs w:val="20"/>
    </w:rPr>
  </w:style>
  <w:style w:type="paragraph" w:customStyle="1" w:styleId="103">
    <w:name w:val="Char"/>
    <w:basedOn w:val="1"/>
    <w:qFormat/>
    <w:uiPriority w:val="0"/>
  </w:style>
  <w:style w:type="paragraph" w:customStyle="1" w:styleId="104">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表头"/>
    <w:basedOn w:val="1"/>
    <w:next w:val="1"/>
    <w:qFormat/>
    <w:uiPriority w:val="0"/>
    <w:pPr>
      <w:widowControl/>
      <w:numPr>
        <w:ilvl w:val="0"/>
        <w:numId w:val="4"/>
      </w:numPr>
      <w:spacing w:line="440" w:lineRule="exact"/>
      <w:ind w:firstLine="200" w:firstLineChars="200"/>
      <w:jc w:val="center"/>
    </w:pPr>
    <w:rPr>
      <w:kern w:val="0"/>
      <w:sz w:val="24"/>
    </w:rPr>
  </w:style>
  <w:style w:type="paragraph" w:customStyle="1" w:styleId="106">
    <w:name w:val="p2"/>
    <w:basedOn w:val="1"/>
    <w:qFormat/>
    <w:uiPriority w:val="0"/>
    <w:pPr>
      <w:widowControl/>
      <w:spacing w:line="480" w:lineRule="auto"/>
      <w:ind w:firstLine="420"/>
      <w:jc w:val="left"/>
    </w:pPr>
    <w:rPr>
      <w:rFonts w:ascii="宋体" w:cs="宋体"/>
      <w:kern w:val="0"/>
      <w:szCs w:val="21"/>
    </w:rPr>
  </w:style>
  <w:style w:type="character" w:customStyle="1" w:styleId="107">
    <w:name w:val="indent"/>
    <w:basedOn w:val="48"/>
    <w:qFormat/>
    <w:uiPriority w:val="0"/>
  </w:style>
  <w:style w:type="character" w:customStyle="1" w:styleId="108">
    <w:name w:val="icon"/>
    <w:basedOn w:val="48"/>
    <w:qFormat/>
    <w:uiPriority w:val="0"/>
  </w:style>
  <w:style w:type="character" w:customStyle="1" w:styleId="109">
    <w:name w:val="hover1"/>
    <w:basedOn w:val="48"/>
    <w:qFormat/>
    <w:uiPriority w:val="0"/>
    <w:rPr>
      <w:shd w:val="clear" w:color="auto" w:fill="EEEEEE"/>
    </w:rPr>
  </w:style>
  <w:style w:type="character" w:customStyle="1" w:styleId="110">
    <w:name w:val="old"/>
    <w:basedOn w:val="48"/>
    <w:qFormat/>
    <w:uiPriority w:val="0"/>
    <w:rPr>
      <w:color w:val="999999"/>
    </w:rPr>
  </w:style>
  <w:style w:type="character" w:customStyle="1" w:styleId="111">
    <w:name w:val="glyphicon6"/>
    <w:basedOn w:val="48"/>
    <w:qFormat/>
    <w:uiPriority w:val="0"/>
  </w:style>
  <w:style w:type="character" w:customStyle="1" w:styleId="112">
    <w:name w:val="hour_am"/>
    <w:basedOn w:val="48"/>
    <w:qFormat/>
    <w:uiPriority w:val="0"/>
  </w:style>
  <w:style w:type="character" w:customStyle="1" w:styleId="113">
    <w:name w:val="hour_pm"/>
    <w:basedOn w:val="48"/>
    <w:qFormat/>
    <w:uiPriority w:val="0"/>
  </w:style>
  <w:style w:type="paragraph" w:customStyle="1" w:styleId="114">
    <w:name w:val="_Style 107"/>
    <w:basedOn w:val="1"/>
    <w:next w:val="1"/>
    <w:qFormat/>
    <w:uiPriority w:val="0"/>
    <w:pPr>
      <w:pBdr>
        <w:bottom w:val="single" w:color="auto" w:sz="6" w:space="1"/>
      </w:pBdr>
      <w:jc w:val="center"/>
    </w:pPr>
    <w:rPr>
      <w:rFonts w:ascii="Arial" w:hAnsi="Arial"/>
      <w:vanish/>
      <w:sz w:val="16"/>
    </w:rPr>
  </w:style>
  <w:style w:type="paragraph" w:customStyle="1" w:styleId="115">
    <w:name w:val="_Style 108"/>
    <w:basedOn w:val="1"/>
    <w:next w:val="1"/>
    <w:qFormat/>
    <w:uiPriority w:val="0"/>
    <w:pPr>
      <w:pBdr>
        <w:top w:val="single" w:color="auto" w:sz="6" w:space="1"/>
      </w:pBdr>
      <w:jc w:val="center"/>
    </w:pPr>
    <w:rPr>
      <w:rFonts w:ascii="Arial" w:hAnsi="Arial"/>
      <w:vanish/>
      <w:sz w:val="16"/>
    </w:rPr>
  </w:style>
  <w:style w:type="character" w:customStyle="1" w:styleId="116">
    <w:name w:val="glyphicon"/>
    <w:basedOn w:val="48"/>
    <w:qFormat/>
    <w:uiPriority w:val="0"/>
  </w:style>
  <w:style w:type="paragraph" w:customStyle="1" w:styleId="117">
    <w:name w:val="表格文字"/>
    <w:basedOn w:val="1"/>
    <w:qFormat/>
    <w:uiPriority w:val="0"/>
    <w:pPr>
      <w:wordWrap w:val="0"/>
    </w:pPr>
    <w:rPr>
      <w:sz w:val="18"/>
      <w:szCs w:val="20"/>
    </w:rPr>
  </w:style>
  <w:style w:type="paragraph" w:customStyle="1" w:styleId="118">
    <w:name w:val="列出段落2"/>
    <w:basedOn w:val="1"/>
    <w:qFormat/>
    <w:uiPriority w:val="34"/>
    <w:pPr>
      <w:ind w:firstLine="420" w:firstLineChars="200"/>
    </w:pPr>
  </w:style>
  <w:style w:type="table" w:customStyle="1" w:styleId="119">
    <w:name w:val="网格表 1 浅色1"/>
    <w:basedOn w:val="46"/>
    <w:qFormat/>
    <w:uiPriority w:val="0"/>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fixed"/>
    </w:tblPr>
    <w:tcPr>
      <w:tcBorders>
        <w:top w:val="single" w:color="999999" w:sz="4" w:space="0"/>
        <w:left w:val="single" w:color="999999" w:sz="4" w:space="0"/>
        <w:bottom w:val="single" w:color="999999" w:sz="4" w:space="0"/>
        <w:right w:val="single" w:color="999999" w:sz="4" w:space="0"/>
      </w:tcBorders>
    </w:tc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paragraph" w:customStyle="1" w:styleId="120">
    <w:name w:val="样式 20 10 磅"/>
    <w:qFormat/>
    <w:uiPriority w:val="0"/>
    <w:pPr>
      <w:widowControl w:val="0"/>
      <w:jc w:val="both"/>
    </w:pPr>
    <w:rPr>
      <w:rFonts w:ascii="Calibri" w:hAnsi="Calibri" w:eastAsia="宋体" w:cs="Arial"/>
      <w:kern w:val="2"/>
      <w:sz w:val="21"/>
      <w:szCs w:val="24"/>
      <w:lang w:val="en-US" w:eastAsia="zh-CN" w:bidi="ar-SA"/>
    </w:rPr>
  </w:style>
  <w:style w:type="paragraph" w:customStyle="1" w:styleId="121">
    <w:name w:val="正文文本 (2)"/>
    <w:basedOn w:val="1"/>
    <w:qFormat/>
    <w:uiPriority w:val="0"/>
    <w:pPr>
      <w:shd w:val="clear" w:color="auto" w:fill="FFFFFF"/>
      <w:spacing w:line="746" w:lineRule="exact"/>
      <w:ind w:left="740"/>
      <w:jc w:val="left"/>
    </w:pPr>
    <w:rPr>
      <w:rFonts w:ascii="黑体" w:hAnsi="黑体" w:eastAsia="黑体" w:cs="黑体"/>
      <w:sz w:val="40"/>
      <w:szCs w:val="40"/>
      <w:lang w:val="zh-CN" w:bidi="zh-CN"/>
    </w:rPr>
  </w:style>
  <w:style w:type="paragraph" w:customStyle="1" w:styleId="122">
    <w:name w:val="headerHeader"/>
    <w:basedOn w:val="123"/>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123">
    <w:name w:val="NormalNormal"/>
    <w:next w:val="122"/>
    <w:qFormat/>
    <w:uiPriority w:val="0"/>
    <w:pPr>
      <w:widowControl w:val="0"/>
      <w:jc w:val="both"/>
    </w:pPr>
    <w:rPr>
      <w:rFonts w:ascii="Calibri" w:hAnsi="Calibri" w:eastAsia="宋体" w:cs="仿宋"/>
      <w:kern w:val="2"/>
      <w:sz w:val="32"/>
      <w:szCs w:val="32"/>
      <w:lang w:val="en-US" w:eastAsia="zh-CN" w:bidi="ar-SA"/>
    </w:rPr>
  </w:style>
  <w:style w:type="character" w:customStyle="1" w:styleId="124">
    <w:name w:val="font21"/>
    <w:basedOn w:val="48"/>
    <w:qFormat/>
    <w:uiPriority w:val="0"/>
    <w:rPr>
      <w:rFonts w:hint="default" w:ascii="Times New Roman" w:hAnsi="Times New Roman" w:cs="Times New Roman"/>
      <w:color w:val="000000"/>
      <w:sz w:val="21"/>
      <w:szCs w:val="21"/>
      <w:u w:val="none"/>
    </w:rPr>
  </w:style>
  <w:style w:type="character" w:customStyle="1" w:styleId="125">
    <w:name w:val="font11"/>
    <w:basedOn w:val="48"/>
    <w:qFormat/>
    <w:uiPriority w:val="0"/>
    <w:rPr>
      <w:rFonts w:hint="eastAsia" w:ascii="宋体" w:hAnsi="宋体" w:eastAsia="宋体" w:cs="宋体"/>
      <w:color w:val="000000"/>
      <w:sz w:val="21"/>
      <w:szCs w:val="21"/>
      <w:u w:val="none"/>
    </w:rPr>
  </w:style>
  <w:style w:type="paragraph" w:customStyle="1" w:styleId="126">
    <w:name w:val="p16"/>
    <w:basedOn w:val="1"/>
    <w:qFormat/>
    <w:uiPriority w:val="0"/>
    <w:pPr>
      <w:widowControl/>
    </w:pPr>
    <w:rPr>
      <w:rFonts w:ascii="Verdana" w:hAnsi="Verdana" w:eastAsia="等线" w:cs="Verdana"/>
      <w:kern w:val="0"/>
      <w:szCs w:val="21"/>
    </w:rPr>
  </w:style>
  <w:style w:type="character" w:customStyle="1" w:styleId="127">
    <w:name w:val="font71"/>
    <w:basedOn w:val="48"/>
    <w:qFormat/>
    <w:uiPriority w:val="0"/>
    <w:rPr>
      <w:rFonts w:hint="default" w:ascii="Times New Roman" w:hAnsi="Times New Roman" w:cs="Times New Roman"/>
      <w:color w:val="000000"/>
      <w:sz w:val="18"/>
      <w:szCs w:val="18"/>
      <w:u w:val="none"/>
    </w:rPr>
  </w:style>
  <w:style w:type="character" w:customStyle="1" w:styleId="128">
    <w:name w:val="font81"/>
    <w:basedOn w:val="48"/>
    <w:qFormat/>
    <w:uiPriority w:val="0"/>
    <w:rPr>
      <w:rFonts w:hint="eastAsia" w:ascii="宋体" w:hAnsi="宋体" w:eastAsia="宋体" w:cs="宋体"/>
      <w:color w:val="000000"/>
      <w:sz w:val="18"/>
      <w:szCs w:val="18"/>
      <w:u w:val="none"/>
    </w:rPr>
  </w:style>
  <w:style w:type="character" w:customStyle="1" w:styleId="129">
    <w:name w:val="font61"/>
    <w:basedOn w:val="48"/>
    <w:qFormat/>
    <w:uiPriority w:val="0"/>
    <w:rPr>
      <w:rFonts w:hint="default" w:ascii="Times New Roman" w:hAnsi="Times New Roman" w:cs="Times New Roman"/>
      <w:color w:val="000000"/>
      <w:sz w:val="18"/>
      <w:szCs w:val="18"/>
      <w:u w:val="none"/>
    </w:rPr>
  </w:style>
  <w:style w:type="character" w:customStyle="1" w:styleId="130">
    <w:name w:val="font41"/>
    <w:basedOn w:val="48"/>
    <w:qFormat/>
    <w:uiPriority w:val="0"/>
    <w:rPr>
      <w:rFonts w:hint="eastAsia" w:ascii="宋体" w:hAnsi="宋体" w:eastAsia="宋体" w:cs="宋体"/>
      <w:color w:val="000000"/>
      <w:sz w:val="18"/>
      <w:szCs w:val="18"/>
      <w:u w:val="none"/>
    </w:rPr>
  </w:style>
  <w:style w:type="character" w:customStyle="1" w:styleId="131">
    <w:name w:val="font91"/>
    <w:basedOn w:val="48"/>
    <w:qFormat/>
    <w:uiPriority w:val="0"/>
    <w:rPr>
      <w:rFonts w:hint="default" w:ascii="Times New Roman" w:hAnsi="Times New Roman" w:cs="Times New Roman"/>
      <w:color w:val="000000"/>
      <w:sz w:val="18"/>
      <w:szCs w:val="18"/>
      <w:u w:val="none"/>
      <w:vertAlign w:val="superscript"/>
    </w:rPr>
  </w:style>
  <w:style w:type="paragraph" w:customStyle="1" w:styleId="132">
    <w:name w:val="列出段落11"/>
    <w:basedOn w:val="1"/>
    <w:qFormat/>
    <w:uiPriority w:val="99"/>
    <w:pPr>
      <w:spacing w:line="500" w:lineRule="exact"/>
      <w:ind w:firstLine="420" w:firstLineChars="200"/>
      <w:jc w:val="left"/>
    </w:pPr>
    <w:rPr>
      <w:sz w:val="24"/>
    </w:rPr>
  </w:style>
  <w:style w:type="paragraph" w:styleId="133">
    <w:name w:val="List Paragraph"/>
    <w:basedOn w:val="1"/>
    <w:qFormat/>
    <w:uiPriority w:val="34"/>
    <w:pPr>
      <w:ind w:firstLine="420" w:firstLineChars="200"/>
    </w:pPr>
  </w:style>
  <w:style w:type="character" w:customStyle="1" w:styleId="134">
    <w:name w:val="纯文本 字符"/>
    <w:basedOn w:val="48"/>
    <w:link w:val="25"/>
    <w:qFormat/>
    <w:uiPriority w:val="99"/>
    <w:rPr>
      <w:rFonts w:ascii="宋体"/>
      <w:kern w:val="2"/>
      <w:sz w:val="21"/>
      <w:szCs w:val="24"/>
    </w:rPr>
  </w:style>
  <w:style w:type="character" w:customStyle="1" w:styleId="135">
    <w:name w:val="标题 2 Char"/>
    <w:link w:val="4"/>
    <w:qFormat/>
    <w:uiPriority w:val="0"/>
    <w:rPr>
      <w:rFonts w:eastAsia="黑体"/>
      <w:b/>
      <w:sz w:val="28"/>
    </w:rPr>
  </w:style>
  <w:style w:type="paragraph" w:customStyle="1" w:styleId="1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a 正文"/>
    <w:basedOn w:val="1"/>
    <w:qFormat/>
    <w:uiPriority w:val="0"/>
    <w:pPr>
      <w:spacing w:line="360" w:lineRule="auto"/>
      <w:ind w:firstLine="200" w:firstLineChars="200"/>
    </w:pPr>
    <w:rPr>
      <w:rFonts w:ascii="宋体" w:hAnsi="宋体"/>
      <w:lang w:val="zh-CN"/>
    </w:rPr>
  </w:style>
  <w:style w:type="paragraph" w:styleId="138">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39">
    <w:name w:val="font01"/>
    <w:basedOn w:val="48"/>
    <w:qFormat/>
    <w:uiPriority w:val="0"/>
    <w:rPr>
      <w:rFonts w:ascii="Arial" w:hAnsi="Arial" w:cs="Arial"/>
      <w:color w:val="000000"/>
      <w:sz w:val="18"/>
      <w:szCs w:val="18"/>
      <w:u w:val="none"/>
    </w:rPr>
  </w:style>
  <w:style w:type="character" w:customStyle="1" w:styleId="140">
    <w:name w:val="font31"/>
    <w:basedOn w:val="48"/>
    <w:qFormat/>
    <w:uiPriority w:val="0"/>
    <w:rPr>
      <w:rFonts w:hint="eastAsia" w:ascii="宋体" w:hAnsi="宋体" w:eastAsia="宋体" w:cs="宋体"/>
      <w:color w:val="000000"/>
      <w:sz w:val="18"/>
      <w:szCs w:val="18"/>
      <w:u w:val="none"/>
    </w:rPr>
  </w:style>
  <w:style w:type="character" w:customStyle="1" w:styleId="141">
    <w:name w:val="font181"/>
    <w:basedOn w:val="48"/>
    <w:qFormat/>
    <w:uiPriority w:val="0"/>
    <w:rPr>
      <w:rFonts w:hint="eastAsia" w:ascii="微软雅黑" w:hAnsi="微软雅黑" w:eastAsia="微软雅黑" w:cs="微软雅黑"/>
      <w:color w:val="000000"/>
      <w:sz w:val="18"/>
      <w:szCs w:val="18"/>
      <w:u w:val="none"/>
    </w:rPr>
  </w:style>
  <w:style w:type="character" w:customStyle="1" w:styleId="142">
    <w:name w:val="font112"/>
    <w:basedOn w:val="48"/>
    <w:qFormat/>
    <w:uiPriority w:val="0"/>
    <w:rPr>
      <w:rFonts w:hint="eastAsia" w:ascii="宋体" w:hAnsi="宋体" w:eastAsia="宋体" w:cs="宋体"/>
      <w:color w:val="FF0000"/>
      <w:sz w:val="18"/>
      <w:szCs w:val="18"/>
      <w:u w:val="none"/>
    </w:rPr>
  </w:style>
  <w:style w:type="character" w:customStyle="1" w:styleId="143">
    <w:name w:val="font101"/>
    <w:basedOn w:val="48"/>
    <w:qFormat/>
    <w:uiPriority w:val="0"/>
    <w:rPr>
      <w:rFonts w:hint="eastAsia" w:ascii="宋体" w:hAnsi="宋体" w:eastAsia="宋体" w:cs="宋体"/>
      <w:color w:val="000000"/>
      <w:sz w:val="18"/>
      <w:szCs w:val="18"/>
      <w:u w:val="none"/>
    </w:rPr>
  </w:style>
  <w:style w:type="character" w:customStyle="1" w:styleId="144">
    <w:name w:val="font122"/>
    <w:basedOn w:val="48"/>
    <w:qFormat/>
    <w:uiPriority w:val="0"/>
    <w:rPr>
      <w:rFonts w:hint="eastAsia" w:ascii="宋体" w:hAnsi="宋体" w:eastAsia="宋体" w:cs="宋体"/>
      <w:color w:val="000000"/>
      <w:sz w:val="16"/>
      <w:szCs w:val="16"/>
      <w:u w:val="none"/>
    </w:rPr>
  </w:style>
  <w:style w:type="character" w:customStyle="1" w:styleId="145">
    <w:name w:val="font151"/>
    <w:basedOn w:val="48"/>
    <w:qFormat/>
    <w:uiPriority w:val="0"/>
    <w:rPr>
      <w:rFonts w:hint="eastAsia" w:ascii="微软雅黑" w:hAnsi="微软雅黑" w:eastAsia="微软雅黑" w:cs="微软雅黑"/>
      <w:b/>
      <w:color w:val="FF0000"/>
      <w:sz w:val="16"/>
      <w:szCs w:val="16"/>
      <w:u w:val="none"/>
    </w:rPr>
  </w:style>
  <w:style w:type="paragraph" w:customStyle="1" w:styleId="146">
    <w:name w:val="无间隔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47">
    <w:name w:val="Table Paragraph"/>
    <w:basedOn w:val="1"/>
    <w:qFormat/>
    <w:uiPriority w:val="0"/>
    <w:pPr>
      <w:jc w:val="left"/>
    </w:pPr>
    <w:rPr>
      <w:rFonts w:ascii="Calibri" w:hAnsi="Calibri" w:eastAsia="宋体" w:cs="Times New Roman"/>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ZYQ</Company>
  <Pages>78</Pages>
  <Words>22667</Words>
  <Characters>24656</Characters>
  <Lines>416</Lines>
  <Paragraphs>117</Paragraphs>
  <TotalTime>468</TotalTime>
  <ScaleCrop>false</ScaleCrop>
  <LinksUpToDate>false</LinksUpToDate>
  <CharactersWithSpaces>25069</CharactersWithSpaces>
  <Application>WPS Office_11.8.2.8576_F1E327BC-269C-435d-A152-05C5408002CA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2023-10-15T12:23:00Z</dcterms:created>
  <dc:creator>ZZZ</dc:creator>
  <cp:lastModifiedBy>lenovo</cp:lastModifiedBy>
  <cp:lastPrinted>2026-07-07T07:13:00Z</cp:lastPrinted>
  <dcterms:modified xsi:type="dcterms:W3CDTF">2026-07-08T01:51:52Z</dcterms:modified>
  <dc:title>附件1</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C4BDDC5A51CF4B8CADBAA1642FBBDED1_13</vt:lpwstr>
  </property>
  <property fmtid="{D5CDD505-2E9C-101B-9397-08002B2CF9AE}" pid="3" name="KSOProductBuildVer">
    <vt:lpwstr>2052-11.8.2.8576</vt:lpwstr>
  </property>
  <property fmtid="{D5CDD505-2E9C-101B-9397-08002B2CF9AE}" pid="4" name="KSOTemplateDocerSaveRecord">
    <vt:lpwstr>eyJoZGlkIjoiMzliYTRkNmIxMDRlZWExZThmN2Q0Zjg2NTlhYzAwYjYiLCJ1c2VySWQiOiI1NTU2MDg2ODEifQ==</vt:lpwstr>
  </property>
</Properties>
</file>