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441901-2026-01234</w:t>
      </w:r>
    </w:p>
    <w:p>
      <w:pPr>
        <w:pStyle w:val="null3"/>
        <w:jc w:val="center"/>
        <w:outlineLvl w:val="3"/>
      </w:pPr>
      <w:r>
        <w:rPr>
          <w:sz w:val="24"/>
          <w:b/>
        </w:rPr>
        <w:t>采购项目编号：</w:t>
      </w:r>
      <w:r>
        <w:rPr>
          <w:sz w:val="24"/>
          <w:b/>
        </w:rPr>
        <w:t>441901-2026-01234</w:t>
      </w:r>
    </w:p>
    <w:p>
      <w:pPr>
        <w:pStyle w:val="null3"/>
        <w:jc w:val="center"/>
        <w:outlineLvl w:val="3"/>
      </w:pPr>
      <w:r>
        <w:rPr>
          <w:sz w:val="24"/>
          <w:b/>
        </w:rPr>
        <w:t>项目名称：</w:t>
      </w:r>
      <w:r>
        <w:rPr>
          <w:sz w:val="24"/>
          <w:b/>
        </w:rPr>
        <w:t>VR数字技术实训室设备采购项目</w:t>
      </w:r>
    </w:p>
    <w:p>
      <w:pPr>
        <w:pStyle w:val="null3"/>
        <w:jc w:val="center"/>
        <w:outlineLvl w:val="3"/>
      </w:pPr>
      <w:r>
        <w:rPr>
          <w:sz w:val="24"/>
          <w:b/>
        </w:rPr>
        <w:t>采购人：</w:t>
      </w:r>
      <w:r>
        <w:rPr>
          <w:sz w:val="24"/>
          <w:b/>
        </w:rPr>
        <w:t>东莞职业技术学院</w:t>
      </w:r>
    </w:p>
    <w:p>
      <w:pPr>
        <w:pStyle w:val="null3"/>
        <w:jc w:val="center"/>
        <w:outlineLvl w:val="3"/>
      </w:pPr>
      <w:r>
        <w:rPr>
          <w:sz w:val="24"/>
          <w:b/>
        </w:rPr>
        <w:t>采购代理机构：</w:t>
      </w:r>
      <w:r>
        <w:rPr>
          <w:sz w:val="24"/>
          <w:b/>
        </w:rPr>
        <w:t>东莞市聚福招标代理有限公司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东莞市聚福招标代理有限公司</w:t>
      </w:r>
      <w:r>
        <w:rPr/>
        <w:t>受</w:t>
      </w:r>
      <w:r>
        <w:rPr/>
        <w:t>东莞职业技术学院</w:t>
      </w:r>
      <w:r>
        <w:rPr/>
        <w:t>的委托，采用</w:t>
      </w:r>
      <w:r>
        <w:rPr/>
        <w:t>公开招标</w:t>
      </w:r>
      <w:r>
        <w:rPr/>
        <w:t>方式组织采购</w:t>
      </w:r>
      <w:r>
        <w:rPr/>
        <w:t>VR数字技术实训室设备采购项目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VR数字技术实训室设备采购项目</w:t>
      </w:r>
    </w:p>
    <w:p>
      <w:pPr>
        <w:pStyle w:val="null3"/>
        <w:ind w:firstLine="480"/>
      </w:pPr>
      <w:r>
        <w:rPr/>
        <w:t>采购计划编号：</w:t>
      </w:r>
      <w:r>
        <w:rPr/>
        <w:t>441901-2026-01234</w:t>
      </w:r>
    </w:p>
    <w:p>
      <w:pPr>
        <w:pStyle w:val="null3"/>
        <w:ind w:firstLine="480"/>
      </w:pPr>
      <w:r>
        <w:rPr/>
        <w:t>采购项目编号：</w:t>
      </w:r>
      <w:r>
        <w:rPr/>
        <w:t>441901-2026-01234</w:t>
      </w:r>
    </w:p>
    <w:p>
      <w:pPr>
        <w:pStyle w:val="null3"/>
        <w:ind w:firstLine="480"/>
      </w:pPr>
      <w:r>
        <w:rPr/>
        <w:t>采购方式：</w:t>
      </w:r>
      <w:r>
        <w:rPr/>
        <w:t>公开招标</w:t>
      </w:r>
    </w:p>
    <w:p>
      <w:pPr>
        <w:pStyle w:val="null3"/>
        <w:ind w:firstLine="480"/>
      </w:pPr>
      <w:r>
        <w:rPr/>
        <w:t>预算金额：</w:t>
      </w:r>
      <w:r>
        <w:rPr/>
        <w:t>2,680,445.00</w:t>
      </w:r>
      <w:r>
        <w:rPr/>
        <w:t>元</w:t>
      </w:r>
    </w:p>
    <w:p>
      <w:pPr>
        <w:pStyle w:val="null3"/>
        <w:outlineLvl w:val="3"/>
      </w:pPr>
      <w:r>
        <w:rPr>
          <w:sz w:val="24"/>
          <w:b/>
        </w:rPr>
        <w:t>2.项目内容及需求情况（采购项目技术规格、参数及要求）</w:t>
      </w:r>
    </w:p>
    <w:p>
      <w:pPr>
        <w:pStyle w:val="null3"/>
      </w:pPr>
      <w:r>
        <w:rPr/>
        <w:t>采购包1(VR数字技术实训室设备采购项目):</w:t>
      </w:r>
    </w:p>
    <w:p>
      <w:pPr>
        <w:pStyle w:val="null3"/>
      </w:pPr>
      <w:r>
        <w:rPr/>
        <w:t>采购包预算金额：2,680,445.00元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动作捕捉系统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教学仪器</w:t>
            </w:r>
          </w:p>
        </w:tc>
        <w:tc>
          <w:tcPr>
            <w:tcW w:type="dxa" w:w="2136"/>
          </w:tcPr>
          <w:p>
            <w:pPr>
              <w:pStyle w:val="null3"/>
            </w:pPr>
            <w:r>
              <w:rPr/>
              <w:t>VR数字技术实训室设备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合同履行期限：详见采购需求。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w:t>
      </w:r>
    </w:p>
    <w:p>
      <w:pPr>
        <w:pStyle w:val="null3"/>
      </w:pPr>
      <w:r>
        <w:rPr/>
        <w:t>2）有依法缴纳税收和社会保障资金的良好记录：提供投标截止日前6个月内任意1个月依法缴纳税收和社会保障资金的相关材料，或者提供相关承诺函（参照资格承诺函格式）。</w:t>
      </w:r>
    </w:p>
    <w:p>
      <w:pPr>
        <w:pStyle w:val="null3"/>
      </w:pPr>
      <w:r>
        <w:rPr/>
        <w:t>3）具有良好的商业信誉和健全的财务会计制度：提供2024年度财务状况报告，或者提供相关承诺函（参照资格承诺函格式）。</w:t>
      </w:r>
    </w:p>
    <w:p>
      <w:pPr>
        <w:pStyle w:val="null3"/>
      </w:pPr>
      <w:r>
        <w:rPr/>
        <w:t>4）履行合同所必需的设备和专业技术能力：按投标（响应）文件格式填报设备及专业技术能力情况，或者提供相关承诺函（参照资格承诺函格式）。</w:t>
      </w:r>
    </w:p>
    <w:p>
      <w:pPr>
        <w:pStyle w:val="null3"/>
      </w:pPr>
      <w:r>
        <w:rPr/>
        <w:t>5）参加采购活动前3年内，在经营活动中没有重大违法记录：参加政府采购活动前三年内，在经营活动中没有重大违法记录（可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采购包1（VR数字技术实训室设备采购项目）：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3)本项目不允许分公司投标。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东莞职业技术学院</w:t>
      </w:r>
    </w:p>
    <w:p>
      <w:pPr>
        <w:pStyle w:val="null3"/>
        <w:ind w:firstLine="480"/>
      </w:pPr>
      <w:r>
        <w:rPr/>
        <w:t xml:space="preserve"> 地址：</w:t>
      </w:r>
      <w:r>
        <w:rPr/>
        <w:t>东莞市松山湖大学路3号东莞职业技术学院行政楼</w:t>
      </w:r>
    </w:p>
    <w:p>
      <w:pPr>
        <w:pStyle w:val="null3"/>
        <w:ind w:firstLine="480"/>
      </w:pPr>
      <w:r>
        <w:rPr/>
        <w:t xml:space="preserve"> 联系方式：</w:t>
      </w:r>
      <w:r>
        <w:rPr/>
        <w:t>0769-23306011</w:t>
      </w:r>
    </w:p>
    <w:p>
      <w:pPr>
        <w:pStyle w:val="null3"/>
        <w:outlineLvl w:val="3"/>
      </w:pPr>
      <w:r>
        <w:rPr>
          <w:sz w:val="24"/>
          <w:b/>
        </w:rPr>
        <w:t xml:space="preserve"> 2.采购代理机构信息</w:t>
      </w:r>
    </w:p>
    <w:p>
      <w:pPr>
        <w:pStyle w:val="null3"/>
        <w:ind w:firstLine="480"/>
      </w:pPr>
      <w:r>
        <w:rPr/>
        <w:t xml:space="preserve"> 名称：</w:t>
      </w:r>
      <w:r>
        <w:rPr/>
        <w:t>东莞市聚福招标代理有限公司</w:t>
      </w:r>
    </w:p>
    <w:p>
      <w:pPr>
        <w:pStyle w:val="null3"/>
        <w:ind w:firstLine="480"/>
      </w:pPr>
      <w:r>
        <w:rPr/>
        <w:t xml:space="preserve"> 地址：</w:t>
      </w:r>
      <w:r>
        <w:rPr/>
        <w:t>东莞市东城街道东城路219号轻出商业大厦902室</w:t>
      </w:r>
    </w:p>
    <w:p>
      <w:pPr>
        <w:pStyle w:val="null3"/>
        <w:ind w:firstLine="480"/>
      </w:pPr>
      <w:r>
        <w:rPr/>
        <w:t xml:space="preserve"> 联系方式：</w:t>
      </w:r>
      <w:r>
        <w:rPr/>
        <w:t>0769-88871018</w:t>
      </w:r>
    </w:p>
    <w:p>
      <w:pPr>
        <w:pStyle w:val="null3"/>
        <w:outlineLvl w:val="3"/>
      </w:pPr>
      <w:r>
        <w:rPr>
          <w:sz w:val="24"/>
          <w:b/>
        </w:rPr>
        <w:t xml:space="preserve"> 3.项目联系方式</w:t>
      </w:r>
    </w:p>
    <w:p>
      <w:pPr>
        <w:pStyle w:val="null3"/>
        <w:ind w:firstLine="480"/>
      </w:pPr>
      <w:r>
        <w:rPr/>
        <w:t xml:space="preserve"> 项目联系人：</w:t>
      </w:r>
      <w:r>
        <w:rPr/>
        <w:t>李郭洪</w:t>
      </w:r>
    </w:p>
    <w:p>
      <w:pPr>
        <w:pStyle w:val="null3"/>
        <w:ind w:firstLine="480"/>
      </w:pPr>
      <w:r>
        <w:rPr/>
        <w:t xml:space="preserve"> 电话：</w:t>
      </w:r>
      <w:r>
        <w:rPr/>
        <w:t>0769-88871018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东莞市聚福招标代理有限公司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shd w:fill="FFFFFF" w:val="clear"/>
        </w:rPr>
        <w:t>（一）项目概况</w:t>
      </w:r>
    </w:p>
    <w:p>
      <w:pPr>
        <w:pStyle w:val="null3"/>
        <w:ind w:firstLine="480"/>
      </w:pPr>
      <w:r>
        <w:rPr>
          <w:sz w:val="24"/>
          <w:color w:val="191B1F"/>
          <w:shd w:fill="FFFFFF" w:val="clear"/>
        </w:rPr>
        <w:t>采购</w:t>
      </w:r>
      <w:r>
        <w:rPr>
          <w:sz w:val="24"/>
          <w:color w:val="191B1F"/>
          <w:shd w:fill="FFFFFF" w:val="clear"/>
        </w:rPr>
        <w:t>VR数字技术实训室设备。</w:t>
      </w:r>
    </w:p>
    <w:p>
      <w:pPr>
        <w:pStyle w:val="null3"/>
      </w:pPr>
      <w:r>
        <w:rPr>
          <w:sz w:val="24"/>
          <w:color w:val="191B1F"/>
          <w:shd w:fill="FFFFFF" w:val="clear"/>
        </w:rPr>
        <w:t>（</w:t>
      </w:r>
      <w:r>
        <w:rPr>
          <w:sz w:val="24"/>
          <w:color w:val="191B1F"/>
          <w:shd w:fill="FFFFFF" w:val="clear"/>
        </w:rPr>
        <w:t>二</w:t>
      </w:r>
      <w:r>
        <w:rPr>
          <w:sz w:val="24"/>
          <w:color w:val="191B1F"/>
          <w:shd w:fill="FFFFFF" w:val="clear"/>
        </w:rPr>
        <w:t>）</w:t>
      </w:r>
      <w:r>
        <w:rPr>
          <w:sz w:val="24"/>
          <w:color w:val="191B1F"/>
          <w:shd w:fill="FFFFFF" w:val="clear"/>
        </w:rPr>
        <w:t>总体要求</w:t>
      </w:r>
    </w:p>
    <w:p>
      <w:pPr>
        <w:pStyle w:val="null3"/>
      </w:pPr>
      <w:r>
        <w:rPr>
          <w:sz w:val="24"/>
          <w:color w:val="191B1F"/>
          <w:shd w:fill="FFFFFF" w:val="clear"/>
        </w:rPr>
        <w:t>1、采购需求中带“△”符号的内容为采购的主要标的（核心产品），投标人应在《分项报价表》中清晰列明“货物名称、品牌、规格型号、原产地、价格等”。本项目主要标的（核心产品）为“动作捕捉系统”。多家投标人提供的核心产品品牌相同的，按一家投标人计算。</w:t>
      </w:r>
    </w:p>
    <w:p>
      <w:pPr>
        <w:pStyle w:val="null3"/>
      </w:pPr>
      <w:r>
        <w:rPr>
          <w:sz w:val="24"/>
          <w:color w:val="191B1F"/>
          <w:shd w:fill="FFFFFF" w:val="clear"/>
        </w:rPr>
        <w:t>2、采购需求中所有列出的相关货物技术要求均不是唯一指定，即投标人可就货物提出替代标准，只要相当于（或优于）规定的货物品质和性能等技术参数要求，并提供满足采购需求要求的证明材料，则视为合格。</w:t>
      </w:r>
    </w:p>
    <w:p>
      <w:pPr>
        <w:pStyle w:val="null3"/>
      </w:pPr>
      <w:r>
        <w:rPr>
          <w:sz w:val="24"/>
          <w:color w:val="191B1F"/>
          <w:shd w:fill="FFFFFF" w:val="clear"/>
        </w:rPr>
        <w:t>3、标有“★”的地方均被视为重要的采购需求，投标人要特别加以注意，必须对此响应并完全满足这些要求，否则若有一项带“★”的要求未响应或不满足，将按无效投标处理。</w:t>
      </w:r>
    </w:p>
    <w:p>
      <w:pPr>
        <w:pStyle w:val="null3"/>
      </w:pPr>
      <w:r>
        <w:rPr>
          <w:sz w:val="24"/>
          <w:color w:val="191B1F"/>
          <w:shd w:fill="FFFFFF" w:val="clear"/>
        </w:rPr>
        <w:t>4、标有“▲”符号的内容为采购需求重点技术参数，若未能响应，则在评标过程中根据评审内容作扣分处理。</w:t>
      </w:r>
    </w:p>
    <w:p>
      <w:pPr>
        <w:pStyle w:val="null3"/>
      </w:pPr>
      <w:r>
        <w:rPr>
          <w:sz w:val="24"/>
          <w:color w:val="191B1F"/>
          <w:shd w:fill="FFFFFF" w:val="clear"/>
        </w:rPr>
        <w:t>5、如本项目响应的产品属于中国国家强制性产品认证（CCC）产品的，投标人须在投标文件中承诺在交货时能提供对应产品具有中国国家强制性产品认证（CCC）证书（如涉及，承诺函格式自拟）。</w:t>
      </w:r>
    </w:p>
    <w:p>
      <w:pPr>
        <w:pStyle w:val="null3"/>
      </w:pPr>
      <w:r>
        <w:rPr>
          <w:sz w:val="24"/>
          <w:color w:val="191B1F"/>
          <w:shd w:fill="FFFFFF" w:val="clear"/>
        </w:rPr>
        <w:t>6、采购的产品属于品目清单范围的，将依据国家确定的认证机构出具的、处于有效期之内的节能产品、环境标志产品认证证书，对获得证书的产品实施政府优先采购或强制采购，具体按照本招标文件相关要求执行。相关认证机构和获证产品信息以市场监管总局组织建立的节能产品、环境标志产品认证结果信息发布平台公布为准。</w:t>
      </w:r>
    </w:p>
    <w:p>
      <w:pPr>
        <w:pStyle w:val="null3"/>
      </w:pPr>
      <w:r>
        <w:rPr>
          <w:sz w:val="24"/>
          <w:color w:val="191B1F"/>
          <w:shd w:fill="FFFFFF" w:val="clear"/>
        </w:rPr>
        <w:t>7、投标报价中不得包含招标文件要求以外的内容，否则，在评标时不予核减。若投标报价有缺漏项的，缺漏项部分的价格视为已包含在投标报价中，中标后不作任何调整。</w:t>
      </w:r>
    </w:p>
    <w:p>
      <w:pPr>
        <w:pStyle w:val="null3"/>
      </w:pPr>
      <w:r>
        <w:rPr>
          <w:sz w:val="24"/>
          <w:shd w:fill="FFFFFF" w:val="clear"/>
        </w:rPr>
        <w:t>（</w:t>
      </w:r>
      <w:r>
        <w:rPr>
          <w:sz w:val="24"/>
          <w:shd w:fill="FFFFFF" w:val="clear"/>
        </w:rPr>
        <w:t>三</w:t>
      </w:r>
      <w:r>
        <w:rPr>
          <w:sz w:val="24"/>
          <w:shd w:fill="FFFFFF" w:val="clear"/>
        </w:rPr>
        <w:t>）采购</w:t>
      </w:r>
      <w:r>
        <w:rPr>
          <w:sz w:val="24"/>
          <w:shd w:fill="FFFFFF" w:val="clear"/>
        </w:rPr>
        <w:t>设备</w:t>
      </w:r>
      <w:r>
        <w:rPr>
          <w:sz w:val="24"/>
          <w:shd w:fill="FFFFFF" w:val="clear"/>
        </w:rPr>
        <w:t>汇总表</w:t>
      </w:r>
    </w:p>
    <w:tbl>
      <w:tblPr>
        <w:tblW w:w="0" w:type="auto"/>
        <w:tblBorders>
          <w:top w:val="none" w:color="000000" w:sz="4"/>
          <w:left w:val="none" w:color="000000" w:sz="4"/>
          <w:bottom w:val="none" w:color="000000" w:sz="4"/>
          <w:right w:val="none" w:color="000000" w:sz="4"/>
          <w:insideH w:val="none"/>
          <w:insideV w:val="none"/>
        </w:tblBorders>
      </w:tblPr>
      <w:tblGrid>
        <w:gridCol w:w="770"/>
        <w:gridCol w:w="3849"/>
        <w:gridCol w:w="1297"/>
        <w:gridCol w:w="986"/>
        <w:gridCol w:w="1405"/>
      </w:tblGrid>
      <w:tr>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3"/>
                <w:color w:val="191B1F"/>
              </w:rPr>
              <w:t>序号</w:t>
            </w:r>
          </w:p>
        </w:tc>
        <w:tc>
          <w:tcPr>
            <w:tcW w:type="dxa" w:w="38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3"/>
                <w:color w:val="191B1F"/>
              </w:rPr>
              <w:t>标的名称</w:t>
            </w:r>
          </w:p>
        </w:tc>
        <w:tc>
          <w:tcPr>
            <w:tcW w:type="dxa" w:w="1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3"/>
                <w:color w:val="191B1F"/>
              </w:rPr>
              <w:t>计量单位</w:t>
            </w:r>
          </w:p>
        </w:tc>
        <w:tc>
          <w:tcPr>
            <w:tcW w:type="dxa" w:w="9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3"/>
                <w:color w:val="191B1F"/>
              </w:rPr>
              <w:t>数量</w:t>
            </w:r>
          </w:p>
        </w:tc>
        <w:tc>
          <w:tcPr>
            <w:tcW w:type="dxa" w:w="1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3"/>
                <w:color w:val="191B1F"/>
              </w:rPr>
              <w:t>是否进口</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2"/>
                <w:color w:val="000000"/>
              </w:rPr>
              <w:t>动作捕捉系统</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否</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MR交互终端</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否</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多媒体系统</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套</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w:t>
            </w: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否</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交换机</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台</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w:t>
            </w: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否</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8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VR技术开发工作站</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r>
              <w:rPr>
                <w:sz w:val="22"/>
                <w:color w:val="000000"/>
              </w:rPr>
              <w:t>1</w:t>
            </w: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否</w:t>
            </w:r>
          </w:p>
        </w:tc>
      </w:tr>
    </w:tbl>
    <w:p>
      <w:pPr>
        <w:pStyle w:val="null3"/>
      </w:pPr>
      <w:r>
        <w:rPr>
          <w:sz w:val="24"/>
          <w:shd w:fill="FFFFFF" w:val="clear"/>
        </w:rPr>
        <w:t>（</w:t>
      </w:r>
      <w:r>
        <w:rPr>
          <w:sz w:val="24"/>
          <w:shd w:fill="FFFFFF" w:val="clear"/>
        </w:rPr>
        <w:t>四</w:t>
      </w:r>
      <w:r>
        <w:rPr>
          <w:sz w:val="24"/>
          <w:shd w:fill="FFFFFF" w:val="clear"/>
        </w:rPr>
        <w:t>）技术要求</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28"/>
        <w:gridCol w:w="1289"/>
        <w:gridCol w:w="883"/>
        <w:gridCol w:w="835"/>
        <w:gridCol w:w="4571"/>
      </w:tblGrid>
      <w:tr>
        <w:tc>
          <w:tcPr>
            <w:tcW w:type="dxa" w:w="7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1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标的名称</w:t>
            </w:r>
          </w:p>
        </w:tc>
        <w:tc>
          <w:tcPr>
            <w:tcW w:type="dxa" w:w="8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单位</w:t>
            </w:r>
          </w:p>
        </w:tc>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c>
          <w:tcPr>
            <w:tcW w:type="dxa" w:w="4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技术参数</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r>
              <w:rPr>
                <w:sz w:val="22"/>
                <w:color w:val="000000"/>
              </w:rPr>
              <w:t>动作捕捉系统</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4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一、技术参数要求：</w:t>
            </w:r>
          </w:p>
          <w:p>
            <w:pPr>
              <w:pStyle w:val="null3"/>
              <w:jc w:val="left"/>
            </w:pPr>
            <w:r>
              <w:rPr>
                <w:sz w:val="22"/>
                <w:color w:val="000000"/>
              </w:rPr>
              <w:t>1.光学动作捕捉镜头：</w:t>
            </w:r>
          </w:p>
          <w:p>
            <w:pPr>
              <w:pStyle w:val="null3"/>
              <w:jc w:val="left"/>
            </w:pPr>
            <w:r>
              <w:rPr>
                <w:sz w:val="22"/>
                <w:color w:val="000000"/>
              </w:rPr>
              <w:t>1.1 ★光学动作捕捉镜头：≥12个。</w:t>
            </w:r>
          </w:p>
          <w:p>
            <w:pPr>
              <w:pStyle w:val="null3"/>
              <w:jc w:val="left"/>
            </w:pPr>
            <w:r>
              <w:rPr>
                <w:sz w:val="22"/>
                <w:color w:val="000000"/>
              </w:rPr>
              <w:t>1.2 ★最大分辨率：≥900万像素（4250×2160）。（提供产品彩页，彩页上须表明产品参数</w:t>
            </w:r>
            <w:r>
              <w:rPr>
                <w:sz w:val="22"/>
                <w:color w:val="000000"/>
              </w:rPr>
              <w:t>并加盖投标人公章</w:t>
            </w:r>
            <w:r>
              <w:rPr>
                <w:sz w:val="22"/>
                <w:color w:val="000000"/>
              </w:rPr>
              <w:t>）</w:t>
            </w:r>
          </w:p>
          <w:p>
            <w:pPr>
              <w:pStyle w:val="null3"/>
              <w:jc w:val="left"/>
            </w:pPr>
            <w:r>
              <w:rPr>
                <w:sz w:val="22"/>
                <w:color w:val="000000"/>
              </w:rPr>
              <w:t>1.3 ▲最大分辨率下的最大采集频率：≥300Hz。（提供产品彩页，彩页上须表明产品参数</w:t>
            </w:r>
            <w:r>
              <w:rPr>
                <w:sz w:val="22"/>
                <w:color w:val="000000"/>
              </w:rPr>
              <w:t>并加盖投标人公章</w:t>
            </w:r>
            <w:r>
              <w:rPr>
                <w:sz w:val="22"/>
                <w:color w:val="000000"/>
              </w:rPr>
              <w:t>）</w:t>
            </w:r>
          </w:p>
          <w:p>
            <w:pPr>
              <w:pStyle w:val="null3"/>
              <w:jc w:val="left"/>
            </w:pPr>
            <w:r>
              <w:rPr>
                <w:sz w:val="22"/>
                <w:color w:val="000000"/>
              </w:rPr>
              <w:t>1.4 采集频率可调节。</w:t>
            </w:r>
          </w:p>
          <w:p>
            <w:pPr>
              <w:pStyle w:val="null3"/>
              <w:jc w:val="left"/>
            </w:pPr>
            <w:r>
              <w:rPr>
                <w:sz w:val="22"/>
                <w:color w:val="000000"/>
              </w:rPr>
              <w:t>1.5 光圈可调。</w:t>
            </w:r>
          </w:p>
          <w:p>
            <w:pPr>
              <w:pStyle w:val="null3"/>
              <w:jc w:val="left"/>
            </w:pPr>
            <w:r>
              <w:rPr>
                <w:sz w:val="22"/>
                <w:color w:val="000000"/>
              </w:rPr>
              <w:t>1.6 对焦可调。</w:t>
            </w:r>
          </w:p>
          <w:p>
            <w:pPr>
              <w:pStyle w:val="null3"/>
              <w:jc w:val="left"/>
            </w:pPr>
            <w:r>
              <w:rPr>
                <w:sz w:val="22"/>
                <w:color w:val="000000"/>
              </w:rPr>
              <w:t>1.7 镜头固定装置套件：镜头固定装置套件，包含三向云台。</w:t>
            </w:r>
          </w:p>
          <w:p>
            <w:pPr>
              <w:pStyle w:val="null3"/>
              <w:jc w:val="left"/>
            </w:pPr>
            <w:r>
              <w:rPr>
                <w:sz w:val="22"/>
                <w:color w:val="000000"/>
              </w:rPr>
              <w:t>1.8 最大镜头组合数量：不限。</w:t>
            </w:r>
          </w:p>
          <w:p>
            <w:pPr>
              <w:pStyle w:val="null3"/>
              <w:jc w:val="left"/>
            </w:pPr>
            <w:r>
              <w:rPr>
                <w:sz w:val="22"/>
                <w:color w:val="000000"/>
              </w:rPr>
              <w:t>1.9 供电方式：POE。</w:t>
            </w:r>
          </w:p>
          <w:p>
            <w:pPr>
              <w:pStyle w:val="null3"/>
              <w:jc w:val="left"/>
            </w:pPr>
            <w:r>
              <w:rPr>
                <w:sz w:val="22"/>
                <w:color w:val="000000"/>
              </w:rPr>
              <w:t>1.10 连线数量（每镜头）：≤1根，数据传输线。</w:t>
            </w:r>
          </w:p>
          <w:p>
            <w:pPr>
              <w:pStyle w:val="null3"/>
              <w:jc w:val="left"/>
            </w:pPr>
            <w:r>
              <w:rPr>
                <w:sz w:val="22"/>
                <w:color w:val="000000"/>
              </w:rPr>
              <w:t>1.11 镜头接口类型 ：GigE/POE。</w:t>
            </w:r>
          </w:p>
          <w:p>
            <w:pPr>
              <w:pStyle w:val="null3"/>
              <w:jc w:val="left"/>
            </w:pPr>
            <w:r>
              <w:rPr>
                <w:sz w:val="22"/>
                <w:color w:val="000000"/>
              </w:rPr>
              <w:t>1.12 曝光方式 ：全局曝光。</w:t>
            </w:r>
          </w:p>
          <w:p>
            <w:pPr>
              <w:pStyle w:val="null3"/>
              <w:jc w:val="left"/>
            </w:pPr>
            <w:r>
              <w:rPr>
                <w:sz w:val="22"/>
                <w:color w:val="000000"/>
              </w:rPr>
              <w:t>1.13 镜头视场角 ：68°×37°。</w:t>
            </w:r>
          </w:p>
          <w:p>
            <w:pPr>
              <w:pStyle w:val="null3"/>
              <w:jc w:val="left"/>
            </w:pPr>
            <w:r>
              <w:rPr>
                <w:sz w:val="22"/>
                <w:color w:val="000000"/>
              </w:rPr>
              <w:t>1.14 观测距离：≥28米。</w:t>
            </w:r>
          </w:p>
          <w:p>
            <w:pPr>
              <w:pStyle w:val="null3"/>
              <w:jc w:val="left"/>
            </w:pPr>
            <w:r>
              <w:rPr>
                <w:sz w:val="22"/>
                <w:color w:val="000000"/>
              </w:rPr>
              <w:t>1.15 散热方式 ：无需风扇的被动式散热结构，不易积灰积热，无噪音。</w:t>
            </w:r>
          </w:p>
          <w:p>
            <w:pPr>
              <w:pStyle w:val="null3"/>
              <w:jc w:val="left"/>
            </w:pPr>
            <w:r>
              <w:rPr>
                <w:sz w:val="22"/>
                <w:color w:val="000000"/>
              </w:rPr>
              <w:t>1.16 功率 （瓦特）： ≤25。</w:t>
            </w:r>
          </w:p>
          <w:p>
            <w:pPr>
              <w:pStyle w:val="null3"/>
              <w:jc w:val="left"/>
            </w:pPr>
            <w:r>
              <w:rPr>
                <w:sz w:val="22"/>
                <w:color w:val="000000"/>
              </w:rPr>
              <w:t>▲1.17</w:t>
            </w:r>
            <w:r>
              <w:rPr>
                <w:sz w:val="22"/>
              </w:rPr>
              <w:t>制造商</w:t>
            </w:r>
            <w:r>
              <w:rPr>
                <w:sz w:val="22"/>
                <w:color w:val="000000"/>
              </w:rPr>
              <w:t>通过</w:t>
            </w:r>
            <w:r>
              <w:rPr>
                <w:sz w:val="22"/>
                <w:color w:val="000000"/>
              </w:rPr>
              <w:t>ISO9001:2015认证，并提供认证证书复印件。</w:t>
            </w:r>
          </w:p>
          <w:p>
            <w:pPr>
              <w:pStyle w:val="null3"/>
              <w:jc w:val="left"/>
            </w:pPr>
            <w:r>
              <w:rPr>
                <w:sz w:val="22"/>
                <w:color w:val="000000"/>
              </w:rPr>
              <w:t>▲1.18重复性精度表现良好，偏差须≤0.02mm；投标人应在投标文件中提供计量检定机构出具的针对本次投标品牌产品的检测报告或测试报告复印件；且该检测报告/测试报告须明确体现重复性偏差测量结果(以mm为单位)，投标人须同时在投标文件中提供该检测报告/测试报告出具机构的由国家质量监督检验检疫总局或国家市场监督管理总局颁发的《法定计量检定机构计量授权证书》。</w:t>
            </w:r>
          </w:p>
          <w:p>
            <w:pPr>
              <w:pStyle w:val="null3"/>
              <w:jc w:val="left"/>
            </w:pPr>
            <w:r>
              <w:rPr>
                <w:sz w:val="22"/>
                <w:color w:val="000000"/>
              </w:rPr>
              <w:t>1.19▲在温度45摄氏度和湿度96%RH的环境下可连续正常工作至少48小时(须在投标文件中提供由具有CMA资质的检测机构出具的针对本次投标品牌产品的检测报告，检测标准须依据GB/T2423.3-2016或等效国家标准，且该检测报告须明确体现送检样品所检项目符合GB/T2423.3-2016或等效国家标准的要求，检测报告须有CMA标志。投标人须同时在投标文件中提供该检测报告出具机构的CMA资质认定证书、含认可的检测能力范围附件)。</w:t>
            </w:r>
          </w:p>
          <w:p>
            <w:pPr>
              <w:pStyle w:val="null3"/>
              <w:jc w:val="left"/>
            </w:pPr>
            <w:r>
              <w:rPr>
                <w:sz w:val="22"/>
                <w:color w:val="000000"/>
              </w:rPr>
              <w:t>1.20▲在-20摄氏度环境温度下可连续正常工作至少16小时；在-30摄氏度环境温度下可连续低温贮存至少16小时；在65摄氏度环境温度下可连续正常工作至少16小时；在85摄氏度环境温度下可连续高温贮存至少16小时。（须在投标文件中提供由具有CMA资质的检测机构出具的针对本次投标品牌产品的检测报告，检测标准须依据GB/T 2423.1-2008或等效国家标准，且该检测报告须明确体现送检样品所检项目符合GB/T 2423.1-2008或等效国家标准的要求，检测报告须有CMA标志。投标人须同时在投标文件中提供该检测报告出具机构的CMA资质认定证书）</w:t>
            </w:r>
          </w:p>
          <w:p>
            <w:pPr>
              <w:pStyle w:val="null3"/>
              <w:jc w:val="left"/>
            </w:pPr>
            <w:r>
              <w:rPr>
                <w:sz w:val="22"/>
                <w:color w:val="000000"/>
              </w:rPr>
              <w:t>1.21▲动作捕捉镜头在标准包装条件下，可耐受频率范围为1Hz-200Hz、加速度范围为0.00001g2/Hz-0.01g2/Hz的三向(沿X、Y、Z轴)随机振动至少0.5小时而不影响其外观、结构和功能正常。(须在投标文件中提供针对本次投标品牌产品的检测报告，检测标准须依据GB/T4857.23-2003或等效国家标准，且该检测报告须明确体现送检样品所检项目符合GB/T4857.23-2003或等效国家标准的要求)</w:t>
            </w:r>
          </w:p>
          <w:p>
            <w:pPr>
              <w:pStyle w:val="null3"/>
              <w:jc w:val="left"/>
            </w:pPr>
            <w:r>
              <w:rPr>
                <w:sz w:val="22"/>
                <w:color w:val="000000"/>
              </w:rPr>
              <w:t>1.22▲通过ROHS认证，需出具第三方检测报告。</w:t>
            </w:r>
          </w:p>
          <w:p>
            <w:pPr>
              <w:pStyle w:val="null3"/>
              <w:jc w:val="left"/>
            </w:pPr>
            <w:r>
              <w:rPr>
                <w:sz w:val="22"/>
                <w:color w:val="000000"/>
              </w:rPr>
              <w:t>1.23▲分辨率不小于4250*2160，且在4250*2160分辨率下的帧率不小于300FPS。(须在投标文件中提供由具有CMA资质的检测机构出具的针对本次投标品牌产品的检测报告，检测标准须依据GB/T36480-2018或等效国家标准，且该检测报告须明确体现送检样品所检项目符合GB/T36480-2018或等效国家标准的要求，检测报告须有CMA标志)</w:t>
            </w:r>
          </w:p>
          <w:p>
            <w:pPr>
              <w:pStyle w:val="null3"/>
              <w:jc w:val="left"/>
            </w:pPr>
            <w:r>
              <w:rPr>
                <w:sz w:val="22"/>
                <w:color w:val="000000"/>
              </w:rPr>
              <w:t>1.24▲通过EMC电磁兼容检测认证，需出具第三方检测报告。</w:t>
            </w:r>
          </w:p>
          <w:p>
            <w:pPr>
              <w:pStyle w:val="null3"/>
              <w:jc w:val="left"/>
            </w:pPr>
            <w:r>
              <w:rPr>
                <w:sz w:val="22"/>
                <w:color w:val="000000"/>
              </w:rPr>
              <w:t>2.光学标定系统（1套）：</w:t>
            </w:r>
          </w:p>
          <w:p>
            <w:pPr>
              <w:pStyle w:val="null3"/>
              <w:jc w:val="left"/>
            </w:pPr>
            <w:r>
              <w:rPr>
                <w:sz w:val="22"/>
                <w:color w:val="000000"/>
              </w:rPr>
              <w:t>2.1 含T型标定校正器、L型标定校正器各一套。</w:t>
            </w:r>
          </w:p>
          <w:p>
            <w:pPr>
              <w:pStyle w:val="null3"/>
              <w:jc w:val="left"/>
            </w:pPr>
            <w:r>
              <w:rPr>
                <w:sz w:val="22"/>
                <w:color w:val="000000"/>
              </w:rPr>
              <w:t>2.2 反光标识点50个：小巧轻便且无线无源，不发光，不发热，无辐射且不易损坏。</w:t>
            </w:r>
          </w:p>
          <w:p>
            <w:pPr>
              <w:pStyle w:val="null3"/>
              <w:jc w:val="left"/>
            </w:pPr>
            <w:r>
              <w:rPr>
                <w:sz w:val="22"/>
                <w:color w:val="000000"/>
              </w:rPr>
              <w:t>3.其他硬件（1套）：</w:t>
            </w:r>
          </w:p>
          <w:p>
            <w:pPr>
              <w:pStyle w:val="null3"/>
              <w:jc w:val="left"/>
            </w:pPr>
            <w:r>
              <w:rPr>
                <w:sz w:val="22"/>
                <w:color w:val="000000"/>
              </w:rPr>
              <w:t>3.1工作站1台，（包含桌椅）配置不低于：CPU :17-14700K；显卡：RTX 4080-16G；内存：128G；硬盘：1TM.2 SSD+1块4TB硬盘。</w:t>
            </w:r>
          </w:p>
          <w:p>
            <w:pPr>
              <w:pStyle w:val="null3"/>
              <w:jc w:val="left"/>
            </w:pPr>
            <w:r>
              <w:rPr>
                <w:sz w:val="22"/>
                <w:color w:val="000000"/>
              </w:rPr>
              <w:t>3.2≥27寸显示器2台。</w:t>
            </w:r>
          </w:p>
          <w:p>
            <w:pPr>
              <w:pStyle w:val="null3"/>
              <w:jc w:val="left"/>
            </w:pPr>
            <w:r>
              <w:rPr>
                <w:sz w:val="22"/>
                <w:color w:val="000000"/>
              </w:rPr>
              <w:t>3.3≥65寸显示屏1台。</w:t>
            </w:r>
          </w:p>
          <w:p>
            <w:pPr>
              <w:pStyle w:val="null3"/>
              <w:jc w:val="left"/>
            </w:pPr>
            <w:r>
              <w:rPr>
                <w:sz w:val="22"/>
                <w:color w:val="000000"/>
              </w:rPr>
              <w:t>二、软件技术要求：</w:t>
            </w:r>
          </w:p>
          <w:p>
            <w:pPr>
              <w:pStyle w:val="null3"/>
              <w:jc w:val="left"/>
            </w:pPr>
            <w:r>
              <w:rPr>
                <w:sz w:val="22"/>
                <w:color w:val="000000"/>
              </w:rPr>
              <w:t>1 .硬件控制及系统校准等基础功能要求（1套）</w:t>
            </w:r>
          </w:p>
          <w:p>
            <w:pPr>
              <w:pStyle w:val="null3"/>
              <w:jc w:val="left"/>
            </w:pPr>
            <w:r>
              <w:rPr>
                <w:sz w:val="22"/>
                <w:color w:val="000000"/>
              </w:rPr>
              <w:t>1.1▲可在软件中直接控制镜头的连接和断开，并可对动作捕捉镜头的帧率、曝光、阈值、亮度参数进行调节；操作软件需支持麒麟系统，可在麒麟系统下进行可视化操作，且通过麒麟软件认证。（投标人须在投标文件中提供产品具备此功能的书面证明材料及麒麟软件认证报告</w:t>
            </w:r>
            <w:r>
              <w:rPr>
                <w:sz w:val="22"/>
                <w:color w:val="000000"/>
              </w:rPr>
              <w:t>并加盖投标人公章</w:t>
            </w:r>
            <w:r>
              <w:rPr>
                <w:sz w:val="22"/>
                <w:color w:val="000000"/>
              </w:rPr>
              <w:t>）</w:t>
            </w:r>
          </w:p>
          <w:p>
            <w:pPr>
              <w:pStyle w:val="null3"/>
              <w:jc w:val="left"/>
            </w:pPr>
            <w:r>
              <w:rPr>
                <w:sz w:val="22"/>
                <w:color w:val="000000"/>
              </w:rPr>
              <w:t>1.2 ▲在标定结束后，软件自动给出标定结果的评估意见，该评估意见应直观、定性，如“差、正常、好、非常好”等评级式意见。（投标人须在投标文件中提供软件对应功能模块的截图作为本项的证明材料</w:t>
            </w:r>
            <w:r>
              <w:rPr>
                <w:sz w:val="22"/>
                <w:color w:val="000000"/>
              </w:rPr>
              <w:t>并加盖投标人公章</w:t>
            </w:r>
            <w:r>
              <w:rPr>
                <w:sz w:val="22"/>
                <w:color w:val="000000"/>
              </w:rPr>
              <w:t>）</w:t>
            </w:r>
          </w:p>
          <w:p>
            <w:pPr>
              <w:pStyle w:val="null3"/>
              <w:jc w:val="left"/>
            </w:pPr>
            <w:r>
              <w:rPr>
                <w:sz w:val="22"/>
                <w:color w:val="000000"/>
              </w:rPr>
              <w:t>1.3软件支持锚点标定，即标定完成后，可通过固定靶球对系统自动更新标定，长时间使用无需重复标定操作也能保证系统运行稳定。投标人须在投标文件中提供软件对应功能模块的截图作为本项的证明材料。</w:t>
            </w:r>
          </w:p>
          <w:p>
            <w:pPr>
              <w:pStyle w:val="null3"/>
              <w:jc w:val="left"/>
            </w:pPr>
            <w:r>
              <w:rPr>
                <w:sz w:val="22"/>
                <w:color w:val="000000"/>
              </w:rPr>
              <w:t>1.4软件2D视图实时显示镜头IP、镜头型号、镜头程序版本信息等重要硬件参数。</w:t>
            </w:r>
          </w:p>
          <w:p>
            <w:pPr>
              <w:pStyle w:val="null3"/>
              <w:jc w:val="left"/>
            </w:pPr>
            <w:r>
              <w:rPr>
                <w:sz w:val="22"/>
                <w:color w:val="000000"/>
              </w:rPr>
              <w:t>1.5 鼠标移至镜头2D视图上时，软件可显示鼠标所在的坐标信息(pixel)，该信息显示支持自定义打开或关闭。</w:t>
            </w:r>
          </w:p>
          <w:p>
            <w:pPr>
              <w:pStyle w:val="null3"/>
              <w:jc w:val="left"/>
            </w:pPr>
            <w:r>
              <w:rPr>
                <w:sz w:val="22"/>
                <w:color w:val="000000"/>
              </w:rPr>
              <w:t>1.6 支持在3D视图中显示镜头和与该镜头相关的标志点(Marker)的连接线支持在3D视图中标志点(Marker)的直径设置。</w:t>
            </w:r>
          </w:p>
          <w:p>
            <w:pPr>
              <w:pStyle w:val="null3"/>
              <w:jc w:val="left"/>
            </w:pPr>
            <w:r>
              <w:rPr>
                <w:sz w:val="22"/>
                <w:color w:val="000000"/>
              </w:rPr>
              <w:t>1.7▲可一键连续自动遮蔽场地内所有干扰噪点(即具备连续自动噪点遮蔽功能)，同时也支持手动遮蔽操作。（投标人须在投标文件中提供软件对应功能模块的截图作为本项的证明材料</w:t>
            </w:r>
            <w:r>
              <w:rPr>
                <w:sz w:val="22"/>
                <w:color w:val="000000"/>
              </w:rPr>
              <w:t>并加盖投标人公章</w:t>
            </w:r>
            <w:r>
              <w:rPr>
                <w:sz w:val="22"/>
                <w:color w:val="000000"/>
              </w:rPr>
              <w:t>）</w:t>
            </w:r>
          </w:p>
          <w:p>
            <w:pPr>
              <w:pStyle w:val="null3"/>
              <w:jc w:val="left"/>
            </w:pPr>
            <w:r>
              <w:rPr>
                <w:sz w:val="22"/>
                <w:color w:val="000000"/>
              </w:rPr>
              <w:t>1.8▲可以语音控制软件采集数据等，如"连接镜头"、"断开镜头"等；同时，操作软件后可以听到电脑对应发出指定词，如开始播放等。（投标人须在投标文件中提供软件对应功能模块的截图作为本项的书面证明材料</w:t>
            </w:r>
            <w:r>
              <w:rPr>
                <w:sz w:val="22"/>
                <w:color w:val="000000"/>
              </w:rPr>
              <w:t>并加盖投标人公章</w:t>
            </w:r>
            <w:r>
              <w:rPr>
                <w:sz w:val="22"/>
                <w:color w:val="000000"/>
              </w:rPr>
              <w:t>）</w:t>
            </w:r>
          </w:p>
          <w:p>
            <w:pPr>
              <w:pStyle w:val="null3"/>
              <w:jc w:val="left"/>
            </w:pPr>
            <w:r>
              <w:rPr>
                <w:sz w:val="22"/>
                <w:color w:val="000000"/>
              </w:rPr>
              <w:t>1.9软件须至少有中文和英文两种版本。投标人须在投标文件中提供软件对应功能模块的截图作为本项的书面证明材料。</w:t>
            </w:r>
          </w:p>
          <w:p>
            <w:pPr>
              <w:pStyle w:val="null3"/>
              <w:jc w:val="left"/>
            </w:pPr>
            <w:r>
              <w:rPr>
                <w:sz w:val="22"/>
                <w:color w:val="000000"/>
              </w:rPr>
              <w:t>1.10软件支持实时(LiveMode)与后处理(PostProcess)两种模式。</w:t>
            </w:r>
          </w:p>
          <w:p>
            <w:pPr>
              <w:pStyle w:val="null3"/>
              <w:jc w:val="left"/>
            </w:pPr>
            <w:r>
              <w:rPr>
                <w:sz w:val="22"/>
                <w:color w:val="000000"/>
              </w:rPr>
              <w:t>1.11投标产品应具有2D图像显示软件、3D图像显示软件、数据采集软件的自主知识产权。</w:t>
            </w:r>
          </w:p>
          <w:p>
            <w:pPr>
              <w:pStyle w:val="null3"/>
              <w:jc w:val="left"/>
            </w:pPr>
            <w:r>
              <w:rPr>
                <w:sz w:val="22"/>
                <w:color w:val="000000"/>
              </w:rPr>
              <w:t>1.12支持安卓终端系统的手机安装控制APP，无需经过PC、可直接与动作捕捉镜头通讯支持通过APP对动作捕捉镜头进行参数调节(亮度、阈值、帧率等)，支持灰度图的采集和显示。</w:t>
            </w:r>
          </w:p>
          <w:p>
            <w:pPr>
              <w:pStyle w:val="null3"/>
              <w:jc w:val="left"/>
            </w:pPr>
            <w:r>
              <w:rPr>
                <w:sz w:val="22"/>
                <w:color w:val="000000"/>
              </w:rPr>
              <w:t>1.13支持远程控制，支持通过第三方软件对软件的播放、录制、停止等进行控制。</w:t>
            </w:r>
          </w:p>
          <w:p>
            <w:pPr>
              <w:pStyle w:val="null3"/>
              <w:jc w:val="left"/>
            </w:pPr>
            <w:r>
              <w:rPr>
                <w:sz w:val="22"/>
                <w:color w:val="000000"/>
              </w:rPr>
              <w:t>1.14▲软件支持局部标定，即部分镜头移动的情况下，只需在被移动镜头前挥T型杆，即可快速重新标定。（投标人须在投标文件中提供产品具备此功能的书面证明材料</w:t>
            </w:r>
            <w:r>
              <w:rPr>
                <w:sz w:val="22"/>
                <w:color w:val="000000"/>
              </w:rPr>
              <w:t>并加盖投标人公章</w:t>
            </w:r>
            <w:r>
              <w:rPr>
                <w:sz w:val="22"/>
                <w:color w:val="000000"/>
              </w:rPr>
              <w:t>）</w:t>
            </w:r>
          </w:p>
          <w:p>
            <w:pPr>
              <w:pStyle w:val="null3"/>
              <w:jc w:val="left"/>
            </w:pPr>
            <w:r>
              <w:rPr>
                <w:sz w:val="22"/>
                <w:color w:val="000000"/>
              </w:rPr>
              <w:t>2.数据采集及刚体建立等功能要求</w:t>
            </w:r>
          </w:p>
          <w:p>
            <w:pPr>
              <w:pStyle w:val="null3"/>
              <w:jc w:val="left"/>
            </w:pPr>
            <w:r>
              <w:rPr>
                <w:sz w:val="22"/>
                <w:color w:val="000000"/>
              </w:rPr>
              <w:t>2.1▲支持通过软件直接连接视频摄像机及工业相机，实时显示当前场地中的场景，支持直接通过USB接口连接视频摄像机。（投标人须在投标文件中提供软件对应功能模块的截图作为本项的证明材料</w:t>
            </w:r>
            <w:r>
              <w:rPr>
                <w:sz w:val="22"/>
                <w:color w:val="000000"/>
              </w:rPr>
              <w:t>并加盖投标人公章</w:t>
            </w:r>
            <w:r>
              <w:rPr>
                <w:sz w:val="22"/>
                <w:color w:val="000000"/>
              </w:rPr>
              <w:t>）</w:t>
            </w:r>
          </w:p>
          <w:p>
            <w:pPr>
              <w:pStyle w:val="null3"/>
              <w:jc w:val="left"/>
            </w:pPr>
            <w:r>
              <w:rPr>
                <w:sz w:val="22"/>
                <w:color w:val="000000"/>
              </w:rPr>
              <w:t>2.2▲支持显示选中的一个或多个marker点的位置、速度、加速度、两个Marker点间的距离，支持显示选中的一组或多组角度的数据，且该位置、速度、加速度、点点间距、角度等数据可导出。（投标人须在投标文件中提供该导出数据的数据格式后缀名、软件对应功能模块截图及数据样例</w:t>
            </w:r>
            <w:r>
              <w:rPr>
                <w:sz w:val="22"/>
                <w:color w:val="000000"/>
              </w:rPr>
              <w:t>并加盖投标人公章</w:t>
            </w:r>
            <w:r>
              <w:rPr>
                <w:sz w:val="22"/>
                <w:color w:val="000000"/>
              </w:rPr>
              <w:t>）</w:t>
            </w:r>
          </w:p>
          <w:p>
            <w:pPr>
              <w:pStyle w:val="null3"/>
              <w:jc w:val="left"/>
            </w:pPr>
            <w:r>
              <w:rPr>
                <w:sz w:val="22"/>
                <w:color w:val="000000"/>
              </w:rPr>
              <w:t>2.3支持显示选中的标志点(Marker)的三维运行轨迹，同时显示帧数可设置。</w:t>
            </w:r>
          </w:p>
          <w:p>
            <w:pPr>
              <w:pStyle w:val="null3"/>
              <w:jc w:val="left"/>
            </w:pPr>
            <w:r>
              <w:rPr>
                <w:sz w:val="22"/>
                <w:color w:val="000000"/>
              </w:rPr>
              <w:t>2.4▲软件支持在实时状态下，一键创建刚体及探针模型，且最大刚体创建数量不小于100个。软件支持在实时采集模式下选中多个标志点(Marker)后可一键生成由选中的多个标志点(Marker)构成的刚体。投标人须在投标文件中提供产品具备此功能的书面证明材料。同时该软件应具有自主知识产权。（投标人须在投标文件中提供带有快速模型建立字样的上述软件的由国家版权局颁布的</w:t>
            </w:r>
            <w:r>
              <w:rPr>
                <w:sz w:val="22"/>
              </w:rPr>
              <w:t>著作权人为制造商的</w:t>
            </w:r>
            <w:r>
              <w:rPr>
                <w:sz w:val="22"/>
                <w:color w:val="000000"/>
              </w:rPr>
              <w:t>计算机软件著作权登记证书</w:t>
            </w:r>
            <w:r>
              <w:rPr>
                <w:sz w:val="22"/>
                <w:color w:val="000000"/>
              </w:rPr>
              <w:t>并加盖投标人公章</w:t>
            </w:r>
            <w:r>
              <w:rPr>
                <w:sz w:val="22"/>
                <w:color w:val="000000"/>
              </w:rPr>
              <w:t>）</w:t>
            </w:r>
          </w:p>
          <w:p>
            <w:pPr>
              <w:pStyle w:val="null3"/>
              <w:jc w:val="left"/>
            </w:pPr>
            <w:r>
              <w:rPr>
                <w:sz w:val="22"/>
                <w:color w:val="000000"/>
              </w:rPr>
              <w:t>2.5支持显示选中的一个或多个骨骼的四元数运动数据及6自由度运动数据的基本分析数据(位移，速度，加速度)，且该四元数运动数据和该基本分析数据可导出。</w:t>
            </w:r>
          </w:p>
          <w:p>
            <w:pPr>
              <w:pStyle w:val="null3"/>
              <w:jc w:val="left"/>
            </w:pPr>
            <w:r>
              <w:rPr>
                <w:sz w:val="22"/>
                <w:color w:val="000000"/>
              </w:rPr>
              <w:t>2.6软件支持根据空间中的标志点(Marker)构建虚拟标志点(即虚拟Marker或VMarker)，该虚拟Marker在3D界面中显示时可通过颜色与真实Marker有所区分。</w:t>
            </w:r>
          </w:p>
          <w:p>
            <w:pPr>
              <w:pStyle w:val="null3"/>
              <w:jc w:val="left"/>
            </w:pPr>
            <w:r>
              <w:rPr>
                <w:sz w:val="22"/>
                <w:color w:val="000000"/>
              </w:rPr>
              <w:t>2.7可选择视图显示个数和方式(单个视图或是多个视图)，可选择和切换视图类型应包括参考视频、2D视图、3D视图、MarkerXYZ图表、模拟图表、骨骼图表、分析图表、Vmarker图表、空白视图。投标人须在投标文件中提供软件对应功能模块和上述视图的截图作为本项的证明材料。</w:t>
            </w:r>
          </w:p>
          <w:p>
            <w:pPr>
              <w:pStyle w:val="null3"/>
              <w:jc w:val="left"/>
            </w:pPr>
            <w:r>
              <w:rPr>
                <w:sz w:val="22"/>
                <w:color w:val="000000"/>
              </w:rPr>
              <w:t>2.8软件支持在实时状态下，冻结当前动捕帧的功能，同时支持在实时冻结状态下属性的修改。</w:t>
            </w:r>
          </w:p>
          <w:p>
            <w:pPr>
              <w:pStyle w:val="null3"/>
              <w:jc w:val="left"/>
            </w:pPr>
            <w:r>
              <w:rPr>
                <w:sz w:val="22"/>
                <w:color w:val="000000"/>
              </w:rPr>
              <w:t>2.9动捕软件系统支持多个相邻或不相邻场地，异形场地的拼接融合。</w:t>
            </w:r>
          </w:p>
          <w:p>
            <w:pPr>
              <w:pStyle w:val="null3"/>
              <w:jc w:val="left"/>
            </w:pPr>
            <w:r>
              <w:rPr>
                <w:sz w:val="22"/>
                <w:color w:val="000000"/>
              </w:rPr>
              <w:t>2.10▲软件支持视频影像叠加功能，投标人须在投标文件中提供产品具备此功能的书面证明材料。且该软件应具有自主知识产权。（投标人须在投标文件中提供带有视频叠加字样的上述软件的由国家版权局颁布的</w:t>
            </w:r>
            <w:r>
              <w:rPr>
                <w:sz w:val="22"/>
              </w:rPr>
              <w:t>著作权人为制造商的</w:t>
            </w:r>
            <w:r>
              <w:rPr>
                <w:sz w:val="22"/>
                <w:color w:val="000000"/>
              </w:rPr>
              <w:t>计算机软件著作权登记证书</w:t>
            </w:r>
            <w:r>
              <w:rPr>
                <w:sz w:val="22"/>
                <w:color w:val="000000"/>
              </w:rPr>
              <w:t>并加盖投标人公章</w:t>
            </w:r>
            <w:r>
              <w:rPr>
                <w:sz w:val="22"/>
                <w:color w:val="000000"/>
              </w:rPr>
              <w:t>）</w:t>
            </w:r>
          </w:p>
          <w:p>
            <w:pPr>
              <w:pStyle w:val="null3"/>
              <w:jc w:val="left"/>
            </w:pPr>
            <w:r>
              <w:rPr>
                <w:sz w:val="22"/>
                <w:color w:val="000000"/>
              </w:rPr>
              <w:t>3.数据分析处理及导出等功能要求</w:t>
            </w:r>
          </w:p>
          <w:p>
            <w:pPr>
              <w:pStyle w:val="null3"/>
              <w:jc w:val="left"/>
            </w:pPr>
            <w:r>
              <w:rPr>
                <w:sz w:val="22"/>
                <w:color w:val="000000"/>
              </w:rPr>
              <w:t>3.1数据处理模式中，数据播放器功能丰富操作快捷，具有向前/向后播放、跳至首帧/末帧、向前/向后逐帧播放、按照设定的倍速快放或慢放等等。</w:t>
            </w:r>
          </w:p>
          <w:p>
            <w:pPr>
              <w:pStyle w:val="null3"/>
              <w:jc w:val="left"/>
            </w:pPr>
            <w:r>
              <w:rPr>
                <w:sz w:val="22"/>
                <w:color w:val="000000"/>
              </w:rPr>
              <w:t>3.2在软件数据处理模式中，可以快速对数据各帧进行选择、反选、剪切、删除、快速命名、撤销上一步操作等操作。</w:t>
            </w:r>
          </w:p>
          <w:p>
            <w:pPr>
              <w:pStyle w:val="null3"/>
              <w:jc w:val="left"/>
            </w:pPr>
            <w:r>
              <w:rPr>
                <w:sz w:val="22"/>
                <w:color w:val="000000"/>
              </w:rPr>
              <w:t>3.3▲对于数据采集时因不可避免的环境遮挡而丢失的标志点(Marker)数据，可在软件后处理模式中一键修补完整，且该修补功能应提供两种修补模式。（投标人须在投标文件中提供软件对应功能模块的截图作为本项的证明材料</w:t>
            </w:r>
            <w:r>
              <w:rPr>
                <w:sz w:val="22"/>
                <w:color w:val="000000"/>
              </w:rPr>
              <w:t>并加盖投标人公章</w:t>
            </w:r>
            <w:r>
              <w:rPr>
                <w:sz w:val="22"/>
                <w:color w:val="000000"/>
              </w:rPr>
              <w:t>）</w:t>
            </w:r>
          </w:p>
          <w:p>
            <w:pPr>
              <w:pStyle w:val="null3"/>
              <w:jc w:val="left"/>
            </w:pPr>
            <w:r>
              <w:rPr>
                <w:sz w:val="22"/>
                <w:color w:val="000000"/>
              </w:rPr>
              <w:t>3.4▲对于数据采集时因环境等因素造成标志点(Marker)数据存在抖动的，当使用者有对数据平滑处理之需要时，可在软件后处理模式中一键平滑处理，且该平滑处理功能应提供两种平滑模式。（投标人须在投标文件中提供软件对应功能模块的截图作为本项的证明材料</w:t>
            </w:r>
            <w:r>
              <w:rPr>
                <w:sz w:val="22"/>
                <w:color w:val="000000"/>
              </w:rPr>
              <w:t>并加盖投标人公章</w:t>
            </w:r>
            <w:r>
              <w:rPr>
                <w:sz w:val="22"/>
                <w:color w:val="000000"/>
              </w:rPr>
              <w:t>）</w:t>
            </w:r>
          </w:p>
          <w:p>
            <w:pPr>
              <w:pStyle w:val="null3"/>
              <w:jc w:val="left"/>
            </w:pPr>
            <w:r>
              <w:rPr>
                <w:sz w:val="22"/>
                <w:color w:val="000000"/>
              </w:rPr>
              <w:t>3.5支持在后处理模式下直接修改选中的标志点(Marker)的坐标。</w:t>
            </w:r>
          </w:p>
          <w:p>
            <w:pPr>
              <w:pStyle w:val="null3"/>
              <w:jc w:val="left"/>
            </w:pPr>
            <w:r>
              <w:rPr>
                <w:sz w:val="22"/>
                <w:color w:val="000000"/>
              </w:rPr>
              <w:t>3.6支持在后处理模式下快速跳转到指定帧，同时可以对异常数据进行醒目提示，并且有快捷键能够进行异常数据的快速定位。</w:t>
            </w:r>
          </w:p>
          <w:p>
            <w:pPr>
              <w:pStyle w:val="null3"/>
              <w:jc w:val="left"/>
            </w:pPr>
            <w:r>
              <w:rPr>
                <w:sz w:val="22"/>
                <w:color w:val="000000"/>
              </w:rPr>
              <w:t>3.7▲软件可保存或导出的文件格式应包括:.cap, .vc, .trb, .trc, .C3D, .anb, .ANC,.fbx,.BVH,.xrb,xrs,.htr,.kin,.force,同时，软件对于C3D格式的文件应同时支持导出和导入。（投标人须在投标文件中提供软件对应功能模块的截图作为本项的证明材料</w:t>
            </w:r>
            <w:r>
              <w:rPr>
                <w:sz w:val="22"/>
                <w:color w:val="000000"/>
              </w:rPr>
              <w:t>并加盖投标人公章</w:t>
            </w:r>
            <w:r>
              <w:rPr>
                <w:sz w:val="22"/>
                <w:color w:val="000000"/>
              </w:rPr>
              <w:t>）</w:t>
            </w:r>
          </w:p>
          <w:p>
            <w:pPr>
              <w:pStyle w:val="null3"/>
              <w:jc w:val="left"/>
            </w:pPr>
            <w:r>
              <w:rPr>
                <w:sz w:val="22"/>
                <w:color w:val="000000"/>
              </w:rPr>
              <w:t>3.8软件数据处理模式中，须提供两种手动创建骨骼的方式，一种为根据标志点创建骨骼，一种为先调出骨骼再通过标志点绑定。投标人须在投标文件中提供两种骨骼创建方式分别在其软件中的功能名称、软件对应功能模块截图。</w:t>
            </w:r>
          </w:p>
          <w:p>
            <w:pPr>
              <w:pStyle w:val="null3"/>
              <w:jc w:val="left"/>
            </w:pPr>
            <w:r>
              <w:rPr>
                <w:sz w:val="22"/>
                <w:color w:val="000000"/>
              </w:rPr>
              <w:t>4.实时SDK工具包等相关功能要求</w:t>
            </w:r>
          </w:p>
          <w:p>
            <w:pPr>
              <w:pStyle w:val="null3"/>
              <w:jc w:val="left"/>
            </w:pPr>
            <w:r>
              <w:rPr>
                <w:sz w:val="22"/>
                <w:color w:val="000000"/>
              </w:rPr>
              <w:t>4.1提供实时SDK，可通过SDK将marker点，骨骼，测力台等数据广播发送出去，供第三方使用。</w:t>
            </w:r>
          </w:p>
          <w:p>
            <w:pPr>
              <w:pStyle w:val="null3"/>
              <w:jc w:val="left"/>
            </w:pPr>
            <w:r>
              <w:rPr>
                <w:sz w:val="22"/>
                <w:color w:val="000000"/>
              </w:rPr>
              <w:t>4.2 SDK支持可向"单个或多个"电脑发送SDK数据。</w:t>
            </w:r>
          </w:p>
          <w:p>
            <w:pPr>
              <w:pStyle w:val="null3"/>
              <w:jc w:val="left"/>
            </w:pPr>
            <w:r>
              <w:rPr>
                <w:sz w:val="22"/>
                <w:color w:val="000000"/>
              </w:rPr>
              <w:t>4.3投标人须提供接口函数及应用文档，包含实时SDK实例并提供实例源代码。</w:t>
            </w:r>
          </w:p>
          <w:p>
            <w:pPr>
              <w:pStyle w:val="null3"/>
              <w:jc w:val="left"/>
            </w:pPr>
            <w:r>
              <w:rPr>
                <w:sz w:val="22"/>
                <w:color w:val="000000"/>
              </w:rPr>
              <w:t>4.4投标人提供的SDK应支持包括Windows、Mac、Linux、安卓等操作系统；支持包括VRPN数据传输、Mavlink、FreeD等协议；支持包括ROs、Matlab、Simulink、 Labview、UE、Unity、Maya、MotionBuilder、iClone、 Aximmetry虚拟演播室软件、Crazyswarm等软件平台；支持包括树莓派、Pixhawk飞控等硬件平台；同时投标人提供的操作软件应有C/C++、C#、Python等语言的SDK，且通过投标人提供的SDK实时获取到的数据应包括命名的标志点(Marker)坐标、未命名的标志点坐标,以及刚体的名称、坐标、四元数据、以及刚体包含的Marker的数量和Marker坐标，SMPTE时间码格式的TimeCode编码及镜头曝光到Client接收到该帧数据的延迟,同时支持模拟通道数据传输。</w:t>
            </w:r>
          </w:p>
          <w:p>
            <w:pPr>
              <w:pStyle w:val="null3"/>
              <w:jc w:val="left"/>
            </w:pPr>
            <w:r>
              <w:rPr>
                <w:sz w:val="22"/>
                <w:color w:val="000000"/>
              </w:rPr>
              <w:t>4.5▲动捕软件系统支持VRPN协议，并且能通过VRPN协议传输标记点和刚体的速度和加速度信息和手柄按键信息。（投标人须在投标文件中提供软件对应功能模块的截图作为本项的证明材料</w:t>
            </w:r>
            <w:r>
              <w:rPr>
                <w:sz w:val="22"/>
                <w:color w:val="000000"/>
              </w:rPr>
              <w:t>并加盖投标人公章</w:t>
            </w:r>
            <w:r>
              <w:rPr>
                <w:sz w:val="22"/>
                <w:color w:val="000000"/>
              </w:rPr>
              <w:t>）</w:t>
            </w:r>
          </w:p>
          <w:p>
            <w:pPr>
              <w:pStyle w:val="null3"/>
              <w:jc w:val="left"/>
            </w:pPr>
            <w:r>
              <w:rPr>
                <w:sz w:val="22"/>
                <w:color w:val="000000"/>
              </w:rPr>
              <w:t>4.6▲软件系统支持VRPN协议、并且能通过VRPN协议传输标记点和刚体的速度和加速度信息和手柄按键信息的软件功能应具有自主知识产权。（投标人须在投标文件中提供带有VRPN集成模块字样的上述软件的由国家版权局颁布的</w:t>
            </w:r>
            <w:r>
              <w:rPr>
                <w:sz w:val="22"/>
              </w:rPr>
              <w:t>著作权人为制造商的</w:t>
            </w:r>
            <w:r>
              <w:rPr>
                <w:sz w:val="22"/>
                <w:color w:val="000000"/>
              </w:rPr>
              <w:t>计算机软件著作权登记证书</w:t>
            </w:r>
            <w:r>
              <w:rPr>
                <w:sz w:val="22"/>
                <w:color w:val="000000"/>
              </w:rPr>
              <w:t>并加盖投标人公章</w:t>
            </w:r>
            <w:r>
              <w:rPr>
                <w:sz w:val="22"/>
                <w:color w:val="000000"/>
              </w:rPr>
              <w:t>）</w:t>
            </w:r>
          </w:p>
          <w:p>
            <w:pPr>
              <w:pStyle w:val="null3"/>
              <w:jc w:val="left"/>
            </w:pPr>
            <w:r>
              <w:rPr>
                <w:sz w:val="22"/>
                <w:color w:val="000000"/>
              </w:rPr>
              <w:t>4.7▲软件应能与Matlab软件进行动捕数据的交互通信,并提供软件开发工具包。(投标人须在投标文件中提供由国家版权局颁布的</w:t>
            </w:r>
            <w:r>
              <w:rPr>
                <w:sz w:val="22"/>
              </w:rPr>
              <w:t>著作权人为制造商的</w:t>
            </w:r>
            <w:r>
              <w:rPr>
                <w:sz w:val="22"/>
                <w:color w:val="000000"/>
              </w:rPr>
              <w:t>计算机软件著作权登记证书并加盖投标人公章</w:t>
            </w:r>
            <w:r>
              <w:rPr>
                <w:sz w:val="22"/>
                <w:color w:val="000000"/>
              </w:rPr>
              <w:t>)</w:t>
            </w:r>
          </w:p>
          <w:p>
            <w:pPr>
              <w:pStyle w:val="null3"/>
              <w:jc w:val="left"/>
            </w:pPr>
            <w:r>
              <w:rPr>
                <w:sz w:val="22"/>
                <w:color w:val="000000"/>
              </w:rPr>
              <w:t>4.8▲软件应能与Simulink软件进行动捕数据的交互通信，并提供软件开发工具包。(投标人须在投标文件中提供由国家版权局颁布的</w:t>
            </w:r>
            <w:r>
              <w:rPr>
                <w:sz w:val="22"/>
              </w:rPr>
              <w:t>著作权人为制造商的</w:t>
            </w:r>
            <w:r>
              <w:rPr>
                <w:sz w:val="22"/>
                <w:color w:val="000000"/>
              </w:rPr>
              <w:t>计算机软件著作权登记证书并加盖投标人公章</w:t>
            </w:r>
            <w:r>
              <w:rPr>
                <w:sz w:val="22"/>
                <w:color w:val="000000"/>
              </w:rPr>
              <w:t>)</w:t>
            </w:r>
          </w:p>
          <w:p>
            <w:pPr>
              <w:pStyle w:val="null3"/>
              <w:jc w:val="left"/>
            </w:pPr>
            <w:r>
              <w:rPr>
                <w:sz w:val="22"/>
                <w:color w:val="000000"/>
              </w:rPr>
              <w:t>4.9软件应能与MAYA软件进行动捕数据的交互通信，并提供软件开发工具包，</w:t>
            </w:r>
          </w:p>
          <w:p>
            <w:pPr>
              <w:pStyle w:val="null3"/>
              <w:jc w:val="left"/>
            </w:pPr>
            <w:r>
              <w:rPr>
                <w:sz w:val="22"/>
                <w:color w:val="000000"/>
              </w:rPr>
              <w:t>4.10软件应能与iClone软件进行动捕数据的交互通信，实现动捕实时驱动iclone模型。</w:t>
            </w:r>
          </w:p>
          <w:p>
            <w:pPr>
              <w:pStyle w:val="null3"/>
              <w:jc w:val="left"/>
            </w:pPr>
            <w:r>
              <w:rPr>
                <w:sz w:val="22"/>
                <w:color w:val="000000"/>
              </w:rPr>
              <w:t>4.11软件应能与UE 4.26、UE 4.27、UE 5.0、UE 5.1、UE 5.2、UE 5.3四个版本实现动捕。支持Marker追踪、刚体追踪。</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MR交互终端</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4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一、技术参数要求：</w:t>
            </w:r>
          </w:p>
          <w:p>
            <w:pPr>
              <w:pStyle w:val="null3"/>
              <w:jc w:val="left"/>
            </w:pPr>
            <w:r>
              <w:rPr>
                <w:sz w:val="22"/>
                <w:color w:val="000000"/>
              </w:rPr>
              <w:t>1.▲CPU：八核64位处理器，最高主频2.84GHz或以上。（需提供能体现参数功能的第三方检测机构出具的检测报告或相关证明文件并加盖投标人公章）</w:t>
            </w:r>
          </w:p>
          <w:p>
            <w:pPr>
              <w:pStyle w:val="null3"/>
              <w:jc w:val="left"/>
            </w:pPr>
            <w:r>
              <w:rPr>
                <w:sz w:val="22"/>
                <w:color w:val="000000"/>
              </w:rPr>
              <w:t>2.GPU：≥频率587MHz。</w:t>
            </w:r>
          </w:p>
          <w:p>
            <w:pPr>
              <w:pStyle w:val="null3"/>
              <w:jc w:val="left"/>
            </w:pPr>
            <w:r>
              <w:rPr>
                <w:sz w:val="22"/>
                <w:color w:val="000000"/>
              </w:rPr>
              <w:t>3.▲内存：≥8G，类型不低于LPDDR5。（需提供能体现参数功能的第三方检测机构出具的检测报告或相关证明文件并加盖投标人公章）</w:t>
            </w:r>
          </w:p>
          <w:p>
            <w:pPr>
              <w:pStyle w:val="null3"/>
              <w:jc w:val="left"/>
            </w:pPr>
            <w:r>
              <w:rPr>
                <w:sz w:val="22"/>
                <w:color w:val="000000"/>
              </w:rPr>
              <w:t>4.▲存储：≥128G Flash高速闪存。（需提供能体现参数功能的第三方检测机构出具的检测报告或相关证明文件并加盖投标人公章）</w:t>
            </w:r>
          </w:p>
          <w:p>
            <w:pPr>
              <w:pStyle w:val="null3"/>
              <w:jc w:val="left"/>
            </w:pPr>
            <w:r>
              <w:rPr>
                <w:sz w:val="22"/>
                <w:color w:val="000000"/>
              </w:rPr>
              <w:t>5.光学显示：</w:t>
            </w:r>
          </w:p>
          <w:p>
            <w:pPr>
              <w:pStyle w:val="null3"/>
              <w:jc w:val="left"/>
            </w:pPr>
            <w:r>
              <w:rPr>
                <w:sz w:val="22"/>
                <w:color w:val="000000"/>
              </w:rPr>
              <w:t>1）双屏，单屏尺寸≤2.89英寸。</w:t>
            </w:r>
          </w:p>
          <w:p>
            <w:pPr>
              <w:pStyle w:val="null3"/>
              <w:jc w:val="left"/>
            </w:pPr>
            <w:r>
              <w:rPr>
                <w:sz w:val="22"/>
                <w:color w:val="000000"/>
              </w:rPr>
              <w:t>2）▲视场角，垂直视场角≥50°，水平视场角≥60°。（需提供能体现参数功能的第三方检测机构出具的检测报告或相关证明文件并加盖投标人公章）</w:t>
            </w:r>
          </w:p>
          <w:p>
            <w:pPr>
              <w:pStyle w:val="null3"/>
              <w:jc w:val="left"/>
            </w:pPr>
            <w:r>
              <w:rPr>
                <w:sz w:val="22"/>
                <w:color w:val="000000"/>
              </w:rPr>
              <w:t>6.支持拆卸式镜片，支持机镜分离。（提供制造商官网截图）</w:t>
            </w:r>
          </w:p>
          <w:p>
            <w:pPr>
              <w:pStyle w:val="null3"/>
              <w:jc w:val="left"/>
            </w:pPr>
            <w:r>
              <w:rPr>
                <w:sz w:val="22"/>
                <w:color w:val="000000"/>
              </w:rPr>
              <w:t>7.支持拆卸式电池，支持电池更换。（提供制造商官网截图）</w:t>
            </w:r>
          </w:p>
          <w:p>
            <w:pPr>
              <w:pStyle w:val="null3"/>
              <w:jc w:val="left"/>
            </w:pPr>
            <w:r>
              <w:rPr>
                <w:sz w:val="22"/>
                <w:color w:val="000000"/>
              </w:rPr>
              <w:t>8.USB接口：Type-C USB 3.0 OTG≥1 和 micro USB 2.0 Host≥1。</w:t>
            </w:r>
          </w:p>
          <w:p>
            <w:pPr>
              <w:pStyle w:val="null3"/>
              <w:jc w:val="left"/>
            </w:pPr>
            <w:r>
              <w:rPr>
                <w:sz w:val="22"/>
                <w:color w:val="000000"/>
              </w:rPr>
              <w:t>9.支持TF卡扩展存储。</w:t>
            </w:r>
          </w:p>
          <w:p>
            <w:pPr>
              <w:pStyle w:val="null3"/>
              <w:jc w:val="left"/>
            </w:pPr>
            <w:r>
              <w:rPr>
                <w:sz w:val="22"/>
                <w:color w:val="000000"/>
              </w:rPr>
              <w:t>10.支持Wi-Fi 6及蓝牙5.1。</w:t>
            </w:r>
          </w:p>
          <w:p>
            <w:pPr>
              <w:pStyle w:val="null3"/>
              <w:jc w:val="left"/>
            </w:pPr>
            <w:r>
              <w:rPr>
                <w:sz w:val="22"/>
                <w:color w:val="000000"/>
              </w:rPr>
              <w:t>11.图像传感器</w:t>
            </w:r>
          </w:p>
          <w:p>
            <w:pPr>
              <w:pStyle w:val="null3"/>
              <w:jc w:val="left"/>
            </w:pPr>
            <w:r>
              <w:rPr>
                <w:sz w:val="22"/>
                <w:color w:val="000000"/>
              </w:rPr>
              <w:t>1）彩色高清摄像头个数≥1 ，分辨率≥1300万，帧率≥30。</w:t>
            </w:r>
          </w:p>
          <w:p>
            <w:pPr>
              <w:pStyle w:val="null3"/>
              <w:jc w:val="left"/>
            </w:pPr>
            <w:r>
              <w:rPr>
                <w:sz w:val="22"/>
                <w:color w:val="000000"/>
              </w:rPr>
              <w:t>2) 黑白摄像机≥2，分辨率≥100万，帧率≥60。</w:t>
            </w:r>
          </w:p>
          <w:p>
            <w:pPr>
              <w:pStyle w:val="null3"/>
              <w:jc w:val="left"/>
            </w:pPr>
            <w:r>
              <w:rPr>
                <w:sz w:val="22"/>
                <w:color w:val="000000"/>
              </w:rPr>
              <w:t>3）红外摄像机≥1，分辨率≥100万，帧率≥60。</w:t>
            </w:r>
          </w:p>
          <w:p>
            <w:pPr>
              <w:pStyle w:val="null3"/>
              <w:jc w:val="left"/>
            </w:pPr>
            <w:r>
              <w:rPr>
                <w:sz w:val="22"/>
                <w:color w:val="000000"/>
              </w:rPr>
              <w:t>12.跟踪交互：</w:t>
            </w:r>
          </w:p>
          <w:p>
            <w:pPr>
              <w:pStyle w:val="null3"/>
              <w:jc w:val="left"/>
            </w:pPr>
            <w:r>
              <w:rPr>
                <w:sz w:val="22"/>
                <w:color w:val="000000"/>
              </w:rPr>
              <w:t>1）▲支持头戴式设备实时双环形手柄跟踪交互，跟踪距离≥1m，跟踪帧率≥60 Hz，跟踪精度≤1mm，角度≤0.1度。（需提供能体现参数功能的第三方检测机构出具的检测报告或相关证明文件并加盖投标人公章）</w:t>
            </w:r>
          </w:p>
          <w:p>
            <w:pPr>
              <w:pStyle w:val="null3"/>
              <w:jc w:val="left"/>
            </w:pPr>
            <w:r>
              <w:rPr>
                <w:sz w:val="22"/>
                <w:color w:val="000000"/>
              </w:rPr>
              <w:t>2）具有标记物定位跟踪模块。</w:t>
            </w:r>
          </w:p>
          <w:p>
            <w:pPr>
              <w:pStyle w:val="null3"/>
              <w:jc w:val="left"/>
            </w:pPr>
            <w:r>
              <w:rPr>
                <w:sz w:val="22"/>
                <w:color w:val="000000"/>
              </w:rPr>
              <w:t>3）▲支持手势识别功能。（需提供能体现参数功能的第三方检测机构出具的检测报告或相关证明文件并加盖投标人公章）</w:t>
            </w:r>
          </w:p>
          <w:p>
            <w:pPr>
              <w:pStyle w:val="null3"/>
              <w:jc w:val="left"/>
            </w:pPr>
            <w:r>
              <w:rPr>
                <w:sz w:val="22"/>
                <w:color w:val="000000"/>
              </w:rPr>
              <w:t>13.空间定位：</w:t>
            </w:r>
          </w:p>
          <w:p>
            <w:pPr>
              <w:pStyle w:val="null3"/>
              <w:jc w:val="left"/>
            </w:pPr>
            <w:r>
              <w:rPr>
                <w:sz w:val="22"/>
                <w:color w:val="000000"/>
              </w:rPr>
              <w:t>1）支持无需架设外部摄像头，在只依靠头戴式设备自身的空间定位功能的情况下，实现空间定位功能。（需提供相关检测报告扫描件）</w:t>
            </w:r>
          </w:p>
          <w:p>
            <w:pPr>
              <w:pStyle w:val="null3"/>
              <w:jc w:val="left"/>
            </w:pPr>
            <w:r>
              <w:rPr>
                <w:sz w:val="22"/>
                <w:color w:val="000000"/>
              </w:rPr>
              <w:t>2）▲支持在不小于50平方米的空间内，在无需提前预扫描空间环境的前提下，定位用户在空间中的位置，用户可自由活动，进行虚拟仿真实训。</w:t>
            </w:r>
            <w:r>
              <w:rPr>
                <w:sz w:val="22"/>
              </w:rPr>
              <w:t>（需提供能体现参数功能的第三方检测机构出具的检测报告或相关证明文件并加盖投标人公章）</w:t>
            </w:r>
          </w:p>
          <w:p>
            <w:pPr>
              <w:pStyle w:val="null3"/>
              <w:jc w:val="left"/>
            </w:pPr>
            <w:r>
              <w:rPr>
                <w:sz w:val="22"/>
                <w:color w:val="000000"/>
              </w:rPr>
              <w:t>14.支持有线串流。</w:t>
            </w:r>
          </w:p>
          <w:p>
            <w:pPr>
              <w:pStyle w:val="null3"/>
              <w:jc w:val="left"/>
            </w:pPr>
            <w:r>
              <w:rPr>
                <w:sz w:val="22"/>
                <w:color w:val="000000"/>
              </w:rPr>
              <w:t>15.包含电源适配器≥1，电池≥1，USB充电线≥1。</w:t>
            </w:r>
          </w:p>
          <w:p>
            <w:pPr>
              <w:pStyle w:val="null3"/>
              <w:jc w:val="left"/>
            </w:pPr>
            <w:r>
              <w:rPr>
                <w:sz w:val="22"/>
                <w:color w:val="000000"/>
              </w:rPr>
              <w:t>二、软件系统</w:t>
            </w:r>
          </w:p>
          <w:p>
            <w:pPr>
              <w:pStyle w:val="null3"/>
              <w:jc w:val="left"/>
            </w:pPr>
            <w:r>
              <w:rPr>
                <w:sz w:val="22"/>
                <w:color w:val="000000"/>
              </w:rPr>
              <w:t>1.操作系统版本支持Android 10.0及以上版本。</w:t>
            </w:r>
          </w:p>
          <w:p>
            <w:pPr>
              <w:pStyle w:val="null3"/>
              <w:jc w:val="left"/>
            </w:pPr>
            <w:r>
              <w:rPr>
                <w:sz w:val="22"/>
                <w:color w:val="000000"/>
              </w:rPr>
              <w:t>2.Launcher界面支持显示设备电量、音量、亮度、系统信息与时间日期，支持提供无线网络、蓝牙连接，外设管理，系统版本更新功能。</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多媒体系统</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4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color w:val="000000"/>
              </w:rPr>
              <w:t>1.多媒体系统1套（包含：有线话筒1个，无线话筒1套、功放1台、音箱1套）。</w:t>
            </w:r>
          </w:p>
          <w:p>
            <w:pPr>
              <w:pStyle w:val="null3"/>
              <w:jc w:val="left"/>
            </w:pPr>
            <w:r>
              <w:rPr>
                <w:sz w:val="22"/>
                <w:color w:val="000000"/>
              </w:rPr>
              <w:t>2.分频器1个。</w:t>
            </w:r>
          </w:p>
          <w:p>
            <w:pPr>
              <w:pStyle w:val="null3"/>
              <w:jc w:val="left"/>
            </w:pPr>
            <w:r>
              <w:rPr>
                <w:sz w:val="22"/>
                <w:color w:val="000000"/>
              </w:rPr>
              <w:t>3.50套实训桌椅。</w:t>
            </w:r>
          </w:p>
          <w:p>
            <w:pPr>
              <w:pStyle w:val="null3"/>
              <w:jc w:val="left"/>
            </w:pPr>
            <w:r>
              <w:rPr>
                <w:sz w:val="22"/>
                <w:color w:val="000000"/>
              </w:rPr>
              <w:t>4.1套讲台桌椅。</w:t>
            </w:r>
          </w:p>
          <w:p>
            <w:pPr>
              <w:pStyle w:val="null3"/>
              <w:jc w:val="left"/>
            </w:pPr>
            <w:r>
              <w:rPr>
                <w:sz w:val="22"/>
                <w:color w:val="000000"/>
              </w:rPr>
              <w:t>5.设备存放定制柜1个。</w:t>
            </w:r>
          </w:p>
          <w:p>
            <w:pPr>
              <w:pStyle w:val="null3"/>
              <w:jc w:val="left"/>
            </w:pPr>
            <w:r>
              <w:rPr>
                <w:sz w:val="22"/>
                <w:color w:val="000000"/>
              </w:rPr>
              <w:t>6.网络机柜1台。</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交换机</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4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color w:val="000000"/>
              </w:rPr>
              <w:t>1.48个10/100/1000BASE-T以太网端口,4个千兆SFP,交流供电。</w:t>
            </w:r>
          </w:p>
          <w:p>
            <w:pPr>
              <w:pStyle w:val="null3"/>
              <w:jc w:val="left"/>
            </w:pPr>
            <w:r>
              <w:rPr>
                <w:sz w:val="22"/>
                <w:color w:val="000000"/>
              </w:rPr>
              <w:t>2.交换容量432Gbps/4.32Tbps，包转发率87/166Mpps。</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VR技术开发工作站</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r>
              <w:rPr>
                <w:sz w:val="22"/>
                <w:color w:val="000000"/>
              </w:rPr>
              <w:t>1</w:t>
            </w:r>
          </w:p>
        </w:tc>
        <w:tc>
          <w:tcPr>
            <w:tcW w:type="dxa" w:w="457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color w:val="000000"/>
              </w:rPr>
              <w:t>一、技术参数要求：</w:t>
            </w:r>
          </w:p>
          <w:p>
            <w:pPr>
              <w:pStyle w:val="null3"/>
              <w:jc w:val="left"/>
            </w:pPr>
            <w:r>
              <w:rPr>
                <w:sz w:val="22"/>
                <w:color w:val="000000"/>
              </w:rPr>
              <w:t>1.处理器: ≥3纳米技术，二十核20线程。</w:t>
            </w:r>
          </w:p>
          <w:p>
            <w:pPr>
              <w:pStyle w:val="null3"/>
              <w:jc w:val="left"/>
            </w:pPr>
            <w:r>
              <w:rPr>
                <w:sz w:val="22"/>
                <w:color w:val="000000"/>
              </w:rPr>
              <w:t>2.主板芯片组：工作站专用系列主板，性能稳定。</w:t>
            </w:r>
          </w:p>
          <w:p>
            <w:pPr>
              <w:pStyle w:val="null3"/>
              <w:jc w:val="left"/>
            </w:pPr>
            <w:r>
              <w:rPr>
                <w:sz w:val="22"/>
                <w:color w:val="000000"/>
              </w:rPr>
              <w:t xml:space="preserve">3.内存：≥32GB DDR5 5600Mhz，4个DIMM插槽最大支持128G。  </w:t>
            </w:r>
          </w:p>
          <w:p>
            <w:pPr>
              <w:pStyle w:val="null3"/>
              <w:jc w:val="left"/>
            </w:pPr>
            <w:r>
              <w:rPr>
                <w:sz w:val="22"/>
                <w:color w:val="000000"/>
              </w:rPr>
              <w:t>4.硬盘：≥1TB PCleNVMermM.2固态硬盘。</w:t>
            </w:r>
          </w:p>
          <w:p>
            <w:pPr>
              <w:pStyle w:val="null3"/>
              <w:jc w:val="left"/>
            </w:pPr>
            <w:r>
              <w:rPr>
                <w:sz w:val="22"/>
                <w:color w:val="000000"/>
              </w:rPr>
              <w:t>5.显卡：</w:t>
            </w:r>
            <w:r>
              <w:rPr>
                <w:sz w:val="22"/>
              </w:rPr>
              <w:t xml:space="preserve"> </w:t>
            </w:r>
            <w:r>
              <w:rPr>
                <w:sz w:val="22"/>
              </w:rPr>
              <w:t>CUDA≥3072个，基础频率≥1800MHz，显存频率≥2502MHz,显存容量≥8GB。</w:t>
            </w:r>
          </w:p>
          <w:p>
            <w:pPr>
              <w:pStyle w:val="null3"/>
              <w:jc w:val="left"/>
            </w:pPr>
            <w:r>
              <w:rPr>
                <w:sz w:val="22"/>
                <w:color w:val="000000"/>
              </w:rPr>
              <w:t>6.工作温度:-20℃~65℃(60小时)；工作条件下相对湿度:19%-95%(48小时)；储存运输条件下相对湿度:19%-95%(120小时)，正常工作运行。</w:t>
            </w:r>
          </w:p>
          <w:p>
            <w:pPr>
              <w:pStyle w:val="null3"/>
              <w:jc w:val="left"/>
            </w:pPr>
            <w:r>
              <w:rPr>
                <w:sz w:val="22"/>
                <w:color w:val="000000"/>
              </w:rPr>
              <w:t>7.有线键盘一套，键盘上有一键关机、睡眠和唤醒键，可靠性应符合GB/T14081的相关规定，防泼溅，键盘按键寿命 ≥1200万次，键盘回报率≥800Hz。</w:t>
            </w:r>
          </w:p>
          <w:p>
            <w:pPr>
              <w:pStyle w:val="null3"/>
              <w:jc w:val="left"/>
            </w:pPr>
            <w:r>
              <w:rPr>
                <w:sz w:val="22"/>
                <w:color w:val="000000"/>
              </w:rPr>
              <w:t>8.有线鼠标一套，鼠标按键寿命 ≥600万次，鼠标每英寸点数（DPI）≥1000，鼠标键盘通过大肠杆菌、葡萄球菌抗菌检测。</w:t>
            </w:r>
          </w:p>
          <w:p>
            <w:pPr>
              <w:pStyle w:val="null3"/>
              <w:jc w:val="left"/>
            </w:pPr>
            <w:r>
              <w:rPr>
                <w:sz w:val="22"/>
                <w:color w:val="000000"/>
              </w:rPr>
              <w:t>9.整机三年质保，制造商商品售后服务能力符合GB/T27922-2011服务评价体系标准规定的要求，不小于十星级售后服务能力，可在国家认证认可监督管理委员会官方网站查询。</w:t>
            </w:r>
          </w:p>
          <w:p>
            <w:pPr>
              <w:pStyle w:val="null3"/>
              <w:jc w:val="left"/>
            </w:pPr>
            <w:r>
              <w:rPr>
                <w:sz w:val="22"/>
                <w:color w:val="000000"/>
              </w:rPr>
              <w:t>二、管理平台：</w:t>
            </w:r>
          </w:p>
          <w:p>
            <w:pPr>
              <w:pStyle w:val="null3"/>
              <w:jc w:val="left"/>
            </w:pPr>
            <w:r>
              <w:rPr>
                <w:sz w:val="22"/>
                <w:color w:val="000000"/>
              </w:rPr>
              <w:t>1.服务器支持飞腾、海光、龙芯、申威等主流国产硬件，支持银河麒麟、UOS、中科方德、Loongnix-Server 等服务器操作系统。</w:t>
            </w:r>
          </w:p>
          <w:p>
            <w:pPr>
              <w:pStyle w:val="null3"/>
              <w:jc w:val="left"/>
            </w:pPr>
            <w:r>
              <w:rPr>
                <w:sz w:val="22"/>
                <w:color w:val="000000"/>
              </w:rPr>
              <w:t>2.管理平台支持虚拟机、物理PC、容器多种环境部署管理平台。</w:t>
            </w:r>
          </w:p>
          <w:p>
            <w:pPr>
              <w:pStyle w:val="null3"/>
              <w:jc w:val="left"/>
            </w:pPr>
            <w:r>
              <w:rPr>
                <w:sz w:val="22"/>
                <w:color w:val="000000"/>
              </w:rPr>
              <w:t>3.终端支持飞腾、海光、龙芯、兆芯、海思等主流国产硬件，支持银河麒麟、UOS、中科方德等桌面操作系统。</w:t>
            </w:r>
          </w:p>
          <w:p>
            <w:pPr>
              <w:pStyle w:val="null3"/>
              <w:jc w:val="left"/>
            </w:pPr>
            <w:r>
              <w:rPr>
                <w:sz w:val="22"/>
                <w:color w:val="000000"/>
              </w:rPr>
              <w:t>4.终端支持intel、AMD芯片，支持windows7、windows10、windows11等主流windows操作系统。</w:t>
            </w:r>
          </w:p>
          <w:p>
            <w:pPr>
              <w:pStyle w:val="null3"/>
              <w:jc w:val="left"/>
            </w:pPr>
            <w:r>
              <w:rPr>
                <w:sz w:val="22"/>
                <w:color w:val="000000"/>
              </w:rPr>
              <w:t>5.采用B/S架构，无需安装客户端，管理员可以在任意地点使用PC、手机、平板电脑等设备访问WEB页面即可进行终端和桌面的管理，具备中/英文界面切换、字体大小调整功能，支持账号密码动态口令、扫码多种登录方式，支持密码找回。</w:t>
            </w:r>
          </w:p>
          <w:p>
            <w:pPr>
              <w:pStyle w:val="null3"/>
              <w:jc w:val="left"/>
            </w:pPr>
            <w:r>
              <w:rPr>
                <w:sz w:val="22"/>
                <w:color w:val="000000"/>
              </w:rPr>
              <w:t>6.支持对服务器 CPU（型号、核数、使用率）、内存（总容量、可用容量、使用率）、磁盘（总容量、可用容量、使用率）、网络（上传速率、下载速率）实时监控，并按多维度及多图形呈现，如按1个月为周期，以折线图对活跃度统计。</w:t>
            </w:r>
          </w:p>
          <w:p>
            <w:pPr>
              <w:pStyle w:val="null3"/>
              <w:jc w:val="left"/>
            </w:pPr>
            <w:r>
              <w:rPr>
                <w:sz w:val="22"/>
                <w:color w:val="000000"/>
              </w:rPr>
              <w:t>7.支持单模板多个子镜像的分支管理模式，还可以创建新快照，并基于任意快照点创建新分支，快照前进与回退操作均留存记录，可追溯任意时间点快照；多快照场景下，不仅支持快照合并，同时支持镜像恢复至任意时间点快照，且保留该时间点之后创建的所有快照；快照点数量支持不少于18个。</w:t>
            </w:r>
          </w:p>
          <w:p>
            <w:pPr>
              <w:pStyle w:val="null3"/>
              <w:jc w:val="left"/>
            </w:pPr>
            <w:r>
              <w:rPr>
                <w:sz w:val="22"/>
                <w:color w:val="000000"/>
              </w:rPr>
              <w:t>8.支持查看终端状态（包括终端名称、状态、MAC 地址、IP、当前桌面、实时流量、汇总流量、网卡速率（低于 1000Mbps 时自动红色字体提示）、时长、同步状态（进度条显示）、操作系统、数据盘使用情况、更新速度及策略状态（时间同步、外设控制、注册表导入等））及硬件信息（显示器、鼠标、键盘、摄像头、主板型号、内存大小、CPU 型号等）；支持终端设备存储可视化统计；支持终端批量远程开机、关机、重启。</w:t>
            </w:r>
          </w:p>
          <w:p>
            <w:pPr>
              <w:pStyle w:val="null3"/>
              <w:jc w:val="left"/>
            </w:pPr>
            <w:r>
              <w:rPr>
                <w:sz w:val="22"/>
                <w:color w:val="000000"/>
              </w:rPr>
              <w:t>9.支持设置终端启动模式：无盘启动和本地硬盘启动。</w:t>
            </w:r>
          </w:p>
          <w:p>
            <w:pPr>
              <w:pStyle w:val="null3"/>
              <w:jc w:val="left"/>
            </w:pPr>
            <w:r>
              <w:rPr>
                <w:sz w:val="22"/>
                <w:color w:val="000000"/>
              </w:rPr>
              <w:t>10.支持通过excel导入模式批量修改终端配置（终端名称、状态、MAC、IP地址）。</w:t>
            </w:r>
          </w:p>
          <w:p>
            <w:pPr>
              <w:pStyle w:val="null3"/>
              <w:jc w:val="left"/>
            </w:pPr>
            <w:r>
              <w:rPr>
                <w:sz w:val="22"/>
                <w:color w:val="000000"/>
              </w:rPr>
              <w:t>11.支持两种远程协助方式（独立客户端远程控制、 web 远程控制），可远程截图、文件传输、远程对话、查看模式、ping 测试、SSH链接（Linux系统）；支持 Boot 同步时远程协助，可查看同步进度、更新量、网卡速率（低于 1000Mbps 时自动红色字体提示）、速度等；终端同步或更新过程中管理平台可远程至终端，查看同步进度；支持通过快捷键打开功能菜单（帮助、日志、任务管理器等）。</w:t>
            </w:r>
          </w:p>
          <w:p>
            <w:pPr>
              <w:pStyle w:val="null3"/>
              <w:jc w:val="left"/>
            </w:pPr>
            <w:r>
              <w:rPr>
                <w:sz w:val="22"/>
                <w:color w:val="000000"/>
              </w:rPr>
              <w:t>12.支持平台服务管理，包括启动、重启、停止及定时重启，以及调试日志下载；支持健康检测（服务器状态、端口状态、终端状态、数据库状态、文件系统状态，SSD 硬盘性能状态），生成详细检测报告，并可实现一键修复；支持设置管理平台系统时间及管理NTP服务；支持管理动态口令功能及设置有效时长。</w:t>
            </w:r>
          </w:p>
          <w:p>
            <w:pPr>
              <w:pStyle w:val="null3"/>
              <w:jc w:val="left"/>
            </w:pPr>
            <w:r>
              <w:rPr>
                <w:sz w:val="22"/>
                <w:color w:val="000000"/>
              </w:rPr>
              <w:t>13.平台支持AI模型私化部署，具备 AI设备助手、AI办公助手、AI会议助手、AI服务助手等应用，实现AI资源搜索、AI文档、AI教案编写、AI讲义编写、AI课件、知识问答、会议纪要、设备调优、AI换机、AI服务等功能。</w:t>
            </w:r>
          </w:p>
          <w:p>
            <w:pPr>
              <w:pStyle w:val="null3"/>
              <w:jc w:val="left"/>
            </w:pPr>
            <w:r>
              <w:rPr>
                <w:sz w:val="22"/>
                <w:color w:val="000000"/>
              </w:rPr>
              <w:t>14.支持无盘或有盘启动，且可设置还原/不还原属性。</w:t>
            </w:r>
          </w:p>
          <w:p>
            <w:pPr>
              <w:pStyle w:val="null3"/>
              <w:jc w:val="left"/>
            </w:pPr>
            <w:r>
              <w:rPr>
                <w:sz w:val="22"/>
                <w:color w:val="000000"/>
              </w:rPr>
              <w:t>15.无盘启动时，支持不还原模式，并且多服务器环境下，无盘启动支持负载均衡。</w:t>
            </w:r>
          </w:p>
          <w:p>
            <w:pPr>
              <w:pStyle w:val="null3"/>
              <w:jc w:val="left"/>
            </w:pPr>
            <w:r>
              <w:rPr>
                <w:sz w:val="22"/>
                <w:color w:val="000000"/>
              </w:rPr>
              <w:t>16.支持通过 PXE 或 U 盘引导，实现终端设备自动加入或选择已有机器名加入管理平台设备列表，并自动获取终端设备信息。</w:t>
            </w:r>
          </w:p>
          <w:p>
            <w:pPr>
              <w:pStyle w:val="null3"/>
              <w:jc w:val="left"/>
            </w:pPr>
            <w:r>
              <w:rPr>
                <w:sz w:val="22"/>
                <w:color w:val="000000"/>
              </w:rPr>
              <w:t>17.支持硬盘引导配置PXE引导，可配置服务器与终端本地IP，硬盘引导无盘系统启动。</w:t>
            </w:r>
          </w:p>
          <w:p>
            <w:pPr>
              <w:pStyle w:val="null3"/>
              <w:jc w:val="left"/>
            </w:pPr>
            <w:r>
              <w:rPr>
                <w:sz w:val="22"/>
                <w:color w:val="000000"/>
              </w:rPr>
              <w:t>18.支持不同芯片（国产及非国产化）终端统一管理，并可实现同一品牌不同型号（国产及非国产化）芯片共用同一系统镜像，包括龙芯 3A5000/3A6000 支持共用一个镜像，飞腾 FT2000/D2000/D3000 支持共用一个镜像，海光和兆芯支持共用一个镜像。</w:t>
            </w:r>
          </w:p>
          <w:p>
            <w:pPr>
              <w:pStyle w:val="null3"/>
              <w:jc w:val="left"/>
            </w:pPr>
            <w:r>
              <w:rPr>
                <w:sz w:val="22"/>
                <w:color w:val="000000"/>
              </w:rPr>
              <w:t>19.支持多种模板更新模式，包括无盘系统更新、本地更新上传（非还原模式）、网络镜像映射更新；在终端系统还原及非还原模式下，均可实现本地更新上传，并可提供创建新快照或与上级快照合并。</w:t>
            </w:r>
          </w:p>
          <w:p>
            <w:pPr>
              <w:pStyle w:val="null3"/>
              <w:jc w:val="left"/>
            </w:pPr>
            <w:r>
              <w:rPr>
                <w:sz w:val="22"/>
                <w:color w:val="000000"/>
              </w:rPr>
              <w:t>20.支持非还原模式下，可对本地安装软件或驱动设置独立还原保护，不影响其他终端系统。</w:t>
            </w:r>
          </w:p>
          <w:p>
            <w:pPr>
              <w:pStyle w:val="null3"/>
              <w:jc w:val="left"/>
            </w:pPr>
            <w:r>
              <w:rPr>
                <w:sz w:val="22"/>
                <w:color w:val="000000"/>
              </w:rPr>
              <w:t>21.支持多种同步模式（PXE 同步、BOOT 同步、灰度同步），同步过程显示进度条、更新量及更新速度，并且完成首次同步后，后续更新仍支持boot同步模式。模板更新后，PXE网络启动进入最后更新系统并同时使用最新应用软件环境。</w:t>
            </w:r>
          </w:p>
          <w:p>
            <w:pPr>
              <w:pStyle w:val="null3"/>
              <w:jc w:val="left"/>
            </w:pPr>
            <w:r>
              <w:rPr>
                <w:sz w:val="22"/>
                <w:color w:val="000000"/>
              </w:rPr>
              <w:t>22.支持终端创建多数据盘（支持不少于4个分区），满足系统盘更新时，数据盘的数据保留，同时也支持数据盘数据与服务器端个人存储空间双向同步备份；数据盘从不还原模式转为还原模式时，数据盘数据不清空，保留转换前数据盘最后状态。</w:t>
            </w:r>
          </w:p>
          <w:p>
            <w:pPr>
              <w:pStyle w:val="null3"/>
              <w:jc w:val="left"/>
            </w:pPr>
            <w:r>
              <w:rPr>
                <w:sz w:val="22"/>
                <w:color w:val="000000"/>
              </w:rPr>
              <w:t>23.支持终端系统无法启动、系统异常时，可通过快捷键操作将镜像系统恢复至正常启动状态。</w:t>
            </w:r>
          </w:p>
          <w:p>
            <w:pPr>
              <w:pStyle w:val="null3"/>
              <w:jc w:val="left"/>
            </w:pPr>
            <w:r>
              <w:rPr>
                <w:sz w:val="22"/>
                <w:color w:val="000000"/>
              </w:rPr>
              <w:t>24.支持广告弹窗拦截功能，开启后自动拦截桌面弹窗广告，并可自定义添加广告关键词。</w:t>
            </w:r>
          </w:p>
          <w:p>
            <w:pPr>
              <w:pStyle w:val="null3"/>
              <w:jc w:val="left"/>
            </w:pPr>
            <w:r>
              <w:rPr>
                <w:sz w:val="22"/>
                <w:color w:val="000000"/>
              </w:rPr>
              <w:t>25.支持对局域网内其他 PC 统一纳管，可查看纳管 PC 的硬件信息（IP 地址、MAC 地址、硬盘信息、CPU 型号、内存容量），外设管控、信息公告集中管理。</w:t>
            </w:r>
          </w:p>
          <w:p>
            <w:pPr>
              <w:pStyle w:val="null3"/>
              <w:jc w:val="left"/>
            </w:pPr>
            <w:r>
              <w:rPr>
                <w:sz w:val="22"/>
                <w:color w:val="000000"/>
              </w:rPr>
              <w:t>26.支持已部署桌面系统时开启 PXE、BOOT 代理，提供跨网络、同网段批量 PXE 部署桌面系统。</w:t>
            </w:r>
          </w:p>
          <w:p>
            <w:pPr>
              <w:pStyle w:val="null3"/>
              <w:jc w:val="left"/>
            </w:pPr>
            <w:r>
              <w:rPr>
                <w:sz w:val="22"/>
                <w:color w:val="000000"/>
              </w:rPr>
              <w:t>27.支持ARM 架构终端运行 Windows操作系统，并实现与物理机一致的设备信息，包括mac、ip等，并支持接收平台信息公告；也支持单台ARM架构终端部署多系统（Windows与国产系统），并支持批量部署。</w:t>
            </w:r>
          </w:p>
        </w:tc>
      </w:tr>
    </w:tbl>
    <w:p>
      <w:pPr>
        <w:pStyle w:val="null3"/>
      </w:pPr>
      <w:r>
        <w:rPr/>
        <w:t>采购包1（VR数字技术实训室设备采购项目）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签订合同后35个日历日内到货、安装调试完毕验收合格并交予采购人正常使用。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1期：支付比例30%,签订合同后10个工作日内，付至合同金额的30%，中标人向采购人请款及提供等额有效发票，采购人收到前述材料后10个工作日内向中标人支付合同总价的30%；</w:t>
            </w:r>
          </w:p>
          <w:p>
            <w:pPr>
              <w:pStyle w:val="null3"/>
            </w:pPr>
            <w:r>
              <w:rPr/>
              <w:t>2期：支付比例40%,合同签订后，中标人制定有效的工作计划方案，主要设备到货并经采购人确认后，中标人向采购人请款及提供等额有效发票，采购人收到前述材料后10个工作日内向中标人支付合同总价的40%；</w:t>
            </w:r>
          </w:p>
          <w:p>
            <w:pPr>
              <w:pStyle w:val="null3"/>
            </w:pPr>
            <w:r>
              <w:rPr/>
              <w:t>3期：支付比例30%,经采购人最终验收合格并办理完全部验收手续，中标人向采购人请款并提供等额有效发票，采购人收到前述材料后10个工作日内向中标人支付至合同总价的30%。 注：1、中标人凭以下有效文件与采购人结算：（1）合同；（2）中标人开具的正式发票；（3）验收报告（预付款及进度款除外）。 2、付款前，中标人应向采购人提交请款申请及所需的材料和等额发票。如果中标人怠于或者拒绝提供资料或者办理手续的，则因此产生的付款迟延的责任全部由中标人承担。 3、本合同的经费由政府拨款，如因政策或政府采购付款流程影响，导致拨款未能及时到位，采购人不承担逾期付款责任，且中标人不得以此为由而不履行本合同约定的义务。否则，采购人有权追究中标人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1期：1.中标人必须依照招标文件的要求和投标文件的承诺，将设备、系统安装并调试至正常运行的最佳状态。 2.中标人安装时不应影响安装场地内的其它设备、设施等。 3.设备的验收： 3.1中标设备安装调试完成正常工作15个工作日内进行验收，验收应在采购人和中标人双方共同参加下进行。 3.2货物须为原制造商制造的全新产品，整机无污染，无侵权行为、表面无划损、无任何缺陷隐患，在中国境内可依常规安全合法使用。 3.3 验收时如发现所交付的设备有短缺、次品、损坏或其它不符合合同规定之情形者，采购人应做出详尽的现场记录，或由采购人和中标人双方签署备忘录。此现场记录或备忘录可用作补充、缺失和更换损坏部件的有效证据。由此产生的有关费用由中标人承担。 3.4如果合同设备运输和安装调试过程中因事故造成货物短缺、损坏，中标人应及时安排换货，以保证合同设备安装调试的成功完成。换货的相关费用由中标人承担。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账号：中标后提供</w:t>
            </w:r>
          </w:p>
          <w:p>
            <w:pPr>
              <w:pStyle w:val="null3"/>
            </w:pPr>
            <w:r>
              <w:rPr/>
              <w:t>户名：中标后提供</w:t>
            </w:r>
          </w:p>
          <w:p>
            <w:pPr>
              <w:pStyle w:val="null3"/>
            </w:pPr>
            <w:r>
              <w:rPr/>
              <w:t>开户行：中标后提供</w:t>
            </w:r>
          </w:p>
          <w:p>
            <w:pPr>
              <w:pStyle w:val="null3"/>
            </w:pPr>
            <w:r>
              <w:rPr/>
              <w:t>说明：中标人在签订合同前7日内向采购人提交合同金额的5%作为项目履约保证金，履约保证金可以支票、汇票、本票、保函等非现金形式缴纳或提交。合同期满后中标人没有违约行为，履约保证金在合同期满后10个工作日内无息退还或自动失效。在本项目合同执行期间，如因中标人的过失或工作不配合的原因造成采购人经济损失的，采购人有权根据损失的数额直接在履约保证金中扣除并书面通知中标人。</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1.投标人的投标总价报价不得超过本采购包的预算总价，否则视为投标无效。 2.报价应包含货物及所需附件的购置费、包装费、运输费、安装调试费、培训费、人工费、保险费、各种税费、验收费、售后服务费及合同实施过程中的应预见和不可预见费用等完成合同规定责任和义务、达到合同目的的一切费用。</w:t>
            </w:r>
          </w:p>
        </w:tc>
      </w:tr>
      <w:tr>
        <w:tc>
          <w:tcPr>
            <w:tcW w:type="dxa" w:w="2076"/>
          </w:tcP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1.质保期1年，采购需求中另有要求的，按采购需求要求执行，从项目验收合格之日开始计算。超出正常保修范围的，采购人需向中标人购买；未在投标报价表中单列其费用的，视为免费提供。质保期内所有设备维护等要求免费上门服务。 2.在免费质保期内因中标人责任而产生的质量问题，由其负责无偿返修。不能维修的，整件免费更换。人为原因造成的损坏只收配件费不收人工费。如货物经中标人两次维修仍不能达到合同约定的质量标准，采购人有权退货。</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1.电话咨询：中标人应当为采购人提供技术援助电话，解答采购人在使用中遇到的问题，及时为采购人提出解决问题的建议。 2.现场响应：采购人遇到使用及技术问题，电话咨询不能解决的，中标人应在8小时内到达现场进行处理，确保产品正常工作；无法在8小时内解决的，应在24小时内提供备用产品，使采购人能够正常使用。 3.在质保期内，如果中标人的产品技术升级，中标人应及时通知采购人，如采购人有相应要求，中标人对采购人购买的产品进行免费升级服务。</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中标人提供详细技术资料并免费按采购人要求进行技术培训，培训人数由采购人确定。培训的内容及方案应由双方协商制定。中标人前来进行技术培训人员的费用包括在合同总价中。</w:t>
            </w:r>
          </w:p>
        </w:tc>
      </w:tr>
      <w:tr>
        <w:tc>
          <w:tcPr>
            <w:tcW w:type="dxa" w:w="2076"/>
          </w:tcPr>
          <w:p/>
        </w:tc>
        <w:tc>
          <w:tcPr>
            <w:tcW w:type="dxa" w:w="2076"/>
          </w:tcPr>
          <w:p>
            <w:pPr>
              <w:pStyle w:val="null3"/>
              <w:jc w:val="center"/>
            </w:pPr>
            <w:r>
              <w:rPr/>
              <w:t>5</w:t>
            </w:r>
          </w:p>
        </w:tc>
        <w:tc>
          <w:tcPr>
            <w:tcW w:type="dxa" w:w="2076"/>
          </w:tcPr>
          <w:p>
            <w:pPr>
              <w:pStyle w:val="null3"/>
              <w:jc w:val="left"/>
            </w:pPr>
            <w:r>
              <w:rPr/>
              <w:t>合同条款</w:t>
            </w:r>
          </w:p>
        </w:tc>
        <w:tc>
          <w:tcPr>
            <w:tcW w:type="dxa" w:w="2076"/>
          </w:tcPr>
          <w:p>
            <w:pPr>
              <w:pStyle w:val="null3"/>
              <w:jc w:val="left"/>
            </w:pPr>
            <w:r>
              <w:rPr/>
              <w:t>投标人实质响应合同各条款。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动作捕捉系统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990,000.00</w:t>
            </w:r>
          </w:p>
        </w:tc>
        <w:tc>
          <w:tcPr>
            <w:tcW w:type="dxa" w:w="831"/>
          </w:tcPr>
          <w:p>
            <w:pPr>
              <w:pStyle w:val="null3"/>
              <w:jc w:val="right"/>
            </w:pPr>
            <w:r>
              <w:rPr/>
              <w:t>990,000.00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VR数字技术实训室设备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1,690,445.00</w:t>
            </w:r>
          </w:p>
        </w:tc>
        <w:tc>
          <w:tcPr>
            <w:tcW w:type="dxa" w:w="831"/>
          </w:tcPr>
          <w:p>
            <w:pPr>
              <w:pStyle w:val="null3"/>
              <w:jc w:val="right"/>
            </w:pPr>
            <w:r>
              <w:rPr/>
              <w:t>1,690,445.00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动作捕捉系统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w:t>
            </w:r>
            <w:r>
              <w:rPr>
                <w:sz w:val="21"/>
              </w:rPr>
              <w:t>“</w:t>
            </w:r>
            <w:r>
              <w:rPr>
                <w:sz w:val="21"/>
              </w:rPr>
              <w:t>第二章 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VR数字技术实训室设备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w:t>
            </w:r>
            <w:r>
              <w:rPr>
                <w:sz w:val="21"/>
              </w:rPr>
              <w:t>“</w:t>
            </w:r>
            <w:r>
              <w:rPr>
                <w:sz w:val="21"/>
              </w:rPr>
              <w:t>第二章 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1.采购代理机构：本项目是指东莞市聚福招标代理有限公司，负责整个采购活动的组织，依法负责编制和发布招标文件，对招标文件拥有最终的解释权，不以任何身份出任评标委员会成员。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东莞职业技术学院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以《中标（成交）通知书》中的中标（成交）金额作为收费的计算基数。2、代理服务费收费标准根据国家发展和改革委员会文件“发改价格[2011]534号]”及“国家计委[计价格[2002]1980号]文”相关规定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中小微企业供应商在中标（成交）后如需要融资，可凭借中标（成交）通知书或政府采购合同，通过“广东省政府采购智慧云平台”中的“金融服务中心”申请政府采购合同融资。</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30分钟。如遇特殊情况（平台故障等），则按开标时现场代理机构人员设置为准。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东莞市聚福招标代理有限公司</w:t>
      </w:r>
      <w:r>
        <w:rPr/>
        <w:t>代收。具体操作要求详见</w:t>
      </w:r>
      <w:r>
        <w:rPr/>
        <w:t>东莞市聚福招标代理有限公司</w:t>
      </w:r>
      <w:r>
        <w:rPr/>
        <w:t>有关指引，递交事宜请自行咨询</w:t>
      </w:r>
      <w:r>
        <w:rPr/>
        <w:t>东莞市聚福招标代理有限公司</w:t>
      </w:r>
      <w:r>
        <w:rPr/>
        <w:t>；请各投标人在投标文件递交截止时间前按须知前附表规定的金额递交至</w:t>
      </w:r>
      <w:r>
        <w:rPr/>
        <w:t>东莞市聚福招标代理有限公司</w:t>
      </w:r>
      <w:r>
        <w:rPr/>
        <w:t>，到账情况以开标时</w:t>
      </w:r>
      <w:r>
        <w:rPr/>
        <w:t>东莞市聚福招标代理有限公司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李郭洪</w:t>
      </w:r>
    </w:p>
    <w:p>
      <w:pPr>
        <w:pStyle w:val="null3"/>
        <w:ind w:firstLine="480"/>
      </w:pPr>
      <w:r>
        <w:rPr/>
        <w:t>电话：</w:t>
      </w:r>
      <w:r>
        <w:rPr/>
        <w:t>0769-88871018</w:t>
      </w:r>
    </w:p>
    <w:p>
      <w:pPr>
        <w:pStyle w:val="null3"/>
        <w:ind w:firstLine="480"/>
      </w:pPr>
      <w:r>
        <w:rPr/>
        <w:t>传真：</w:t>
      </w:r>
      <w:r>
        <w:rPr/>
        <w:t>0769-88870738</w:t>
      </w:r>
    </w:p>
    <w:p>
      <w:pPr>
        <w:pStyle w:val="null3"/>
        <w:ind w:firstLine="480"/>
      </w:pPr>
      <w:r>
        <w:rPr/>
        <w:t>邮箱：</w:t>
      </w:r>
      <w:r>
        <w:rPr/>
        <w:t>1718513888@qq.com</w:t>
      </w:r>
    </w:p>
    <w:p>
      <w:pPr>
        <w:pStyle w:val="null3"/>
        <w:ind w:firstLine="480"/>
      </w:pPr>
      <w:r>
        <w:rPr/>
        <w:t>地址：</w:t>
      </w:r>
      <w:r>
        <w:rPr/>
        <w:t>东莞市东城街道东城路219号轻出商业大厦902室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VR数字技术实训室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东莞市聚福招标代理有限公司</w:t>
      </w:r>
      <w:r>
        <w:rPr/>
        <w:t>统一对外发布。</w:t>
      </w:r>
    </w:p>
    <w:p>
      <w:pPr>
        <w:pStyle w:val="null3"/>
        <w:ind w:firstLine="480"/>
      </w:pPr>
      <w:r>
        <w:rPr/>
        <w:t>（2）对</w:t>
      </w:r>
      <w:r>
        <w:rPr/>
        <w:t>东莞市聚福招标代理有限公司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采购包1（VR数字技术实训室设备采购项目）：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供应商提供的货物既有中小企业制造货物，也有大型企业制造货物的，不享受中小企业扶持政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采购包1（VR数字技术实训室设备采购项目）：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提供投标截止日前6个月内任意1个月依法缴纳税收和社会保障资金的相关材料，或者提供相关承诺函（参照资格承诺函格式）。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提供2024年度财务状况报告，或者提供相关承诺函（参照资格承诺函格式）。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按投标（响应）文件格式填报设备及专业技术能力情况，或者提供相关承诺函（参照资格承诺函格式）。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三年内，在经营活动中没有重大违法记录（可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本项目不允许分公司投标。</w:t>
            </w:r>
          </w:p>
        </w:tc>
        <w:tc>
          <w:tcPr>
            <w:tcW w:type="dxa" w:w="4238"/>
          </w:tcPr>
          <w:p>
            <w:pPr>
              <w:pStyle w:val="null3"/>
            </w:pPr>
            <w:r>
              <w:rPr/>
              <w:t>本项目不允许分公司投标。</w:t>
            </w:r>
          </w:p>
        </w:tc>
      </w:tr>
    </w:tbl>
    <w:p>
      <w:pPr>
        <w:pStyle w:val="null3"/>
        <w:ind w:firstLine="480"/>
      </w:pPr>
      <w:r>
        <w:rPr/>
        <w:t>表二符合性审查表：</w:t>
      </w:r>
    </w:p>
    <w:p>
      <w:pPr>
        <w:pStyle w:val="null3"/>
      </w:pPr>
      <w:r>
        <w:rPr/>
        <w:t>采购包1（VR数字技术实训室设备采购项目）：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投标报价符合要求</w:t>
            </w:r>
          </w:p>
        </w:tc>
        <w:tc>
          <w:tcPr>
            <w:tcW w:type="dxa" w:w="4238"/>
          </w:tcPr>
          <w:p>
            <w:pPr>
              <w:pStyle w:val="null3"/>
            </w:pPr>
            <w:r>
              <w:rPr/>
              <w:t>投标报价未超出财政批复预算或最高限价（如有），并且满足投标报价要求。</w:t>
            </w:r>
          </w:p>
        </w:tc>
      </w:tr>
      <w:tr>
        <w:tc>
          <w:tcPr>
            <w:tcW w:type="dxa" w:w="890"/>
          </w:tcPr>
          <w:p>
            <w:pPr>
              <w:pStyle w:val="null3"/>
            </w:pPr>
            <w:r>
              <w:rPr/>
              <w:t>2</w:t>
            </w:r>
          </w:p>
        </w:tc>
        <w:tc>
          <w:tcPr>
            <w:tcW w:type="dxa" w:w="3178"/>
          </w:tcPr>
          <w:p>
            <w:pPr>
              <w:pStyle w:val="null3"/>
            </w:pPr>
            <w:r>
              <w:rPr/>
              <w:t>投标文件的签名和盖章符合要求</w:t>
            </w:r>
          </w:p>
        </w:tc>
        <w:tc>
          <w:tcPr>
            <w:tcW w:type="dxa" w:w="4238"/>
          </w:tcPr>
          <w:p>
            <w:pPr>
              <w:pStyle w:val="null3"/>
            </w:pPr>
            <w:r>
              <w:rPr/>
              <w:t>投标文件按招标文件的要求签名和盖章。</w:t>
            </w:r>
          </w:p>
        </w:tc>
      </w:tr>
      <w:tr>
        <w:tc>
          <w:tcPr>
            <w:tcW w:type="dxa" w:w="890"/>
          </w:tcPr>
          <w:p>
            <w:pPr>
              <w:pStyle w:val="null3"/>
            </w:pPr>
            <w:r>
              <w:rPr/>
              <w:t>3</w:t>
            </w:r>
          </w:p>
        </w:tc>
        <w:tc>
          <w:tcPr>
            <w:tcW w:type="dxa" w:w="3178"/>
          </w:tcPr>
          <w:p>
            <w:pPr>
              <w:pStyle w:val="null3"/>
            </w:pPr>
            <w:r>
              <w:rPr/>
              <w:t>投标有效期符合要求</w:t>
            </w:r>
          </w:p>
        </w:tc>
        <w:tc>
          <w:tcPr>
            <w:tcW w:type="dxa" w:w="4238"/>
          </w:tcPr>
          <w:p>
            <w:pPr>
              <w:pStyle w:val="null3"/>
            </w:pPr>
            <w:r>
              <w:rPr/>
              <w:t>投标有效期满足招标文件要求。</w:t>
            </w:r>
          </w:p>
        </w:tc>
      </w:tr>
      <w:tr>
        <w:tc>
          <w:tcPr>
            <w:tcW w:type="dxa" w:w="890"/>
          </w:tcPr>
          <w:p>
            <w:pPr>
              <w:pStyle w:val="null3"/>
            </w:pPr>
            <w:r>
              <w:rPr/>
              <w:t>4</w:t>
            </w:r>
          </w:p>
        </w:tc>
        <w:tc>
          <w:tcPr>
            <w:tcW w:type="dxa" w:w="3178"/>
          </w:tcPr>
          <w:p>
            <w:pPr>
              <w:pStyle w:val="null3"/>
            </w:pPr>
            <w:r>
              <w:rPr/>
              <w:t>实质性响应招标文件商务要求</w:t>
            </w:r>
          </w:p>
        </w:tc>
        <w:tc>
          <w:tcPr>
            <w:tcW w:type="dxa" w:w="4238"/>
          </w:tcPr>
          <w:p>
            <w:pPr>
              <w:pStyle w:val="null3"/>
            </w:pPr>
            <w:r>
              <w:rPr/>
              <w:t>投标文件商务要求未出现以下情况：①招标文件商务要求带“★”的条款有负偏离的；②《商务条件响应表》未按招标文件要求填写；③其它未实质性响应招标文件商务要求的。</w:t>
            </w:r>
          </w:p>
        </w:tc>
      </w:tr>
      <w:tr>
        <w:tc>
          <w:tcPr>
            <w:tcW w:type="dxa" w:w="890"/>
          </w:tcPr>
          <w:p>
            <w:pPr>
              <w:pStyle w:val="null3"/>
            </w:pPr>
            <w:r>
              <w:rPr/>
              <w:t>5</w:t>
            </w:r>
          </w:p>
        </w:tc>
        <w:tc>
          <w:tcPr>
            <w:tcW w:type="dxa" w:w="3178"/>
          </w:tcPr>
          <w:p>
            <w:pPr>
              <w:pStyle w:val="null3"/>
            </w:pPr>
            <w:r>
              <w:rPr/>
              <w:t>实质性响应招标文件技术要求</w:t>
            </w:r>
          </w:p>
        </w:tc>
        <w:tc>
          <w:tcPr>
            <w:tcW w:type="dxa" w:w="4238"/>
          </w:tcPr>
          <w:p>
            <w:pPr>
              <w:pStyle w:val="null3"/>
            </w:pPr>
            <w:r>
              <w:rPr/>
              <w:t>投标文件技术要求未出现以下情况：①招标文件技术要求带“★”的条款有负偏离的；②《技术和服务要求响应表》未按招标文件要求填写；③其它未实质性响应招标文件技术要求的。</w:t>
            </w:r>
          </w:p>
        </w:tc>
      </w:tr>
      <w:tr>
        <w:tc>
          <w:tcPr>
            <w:tcW w:type="dxa" w:w="890"/>
          </w:tcPr>
          <w:p>
            <w:pPr>
              <w:pStyle w:val="null3"/>
            </w:pPr>
            <w:r>
              <w:rPr/>
              <w:t>6</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r>
        <w:tc>
          <w:tcPr>
            <w:tcW w:type="dxa" w:w="890"/>
          </w:tcPr>
          <w:p>
            <w:pPr>
              <w:pStyle w:val="null3"/>
            </w:pPr>
            <w:r>
              <w:rPr/>
              <w:t>7</w:t>
            </w:r>
          </w:p>
        </w:tc>
        <w:tc>
          <w:tcPr>
            <w:tcW w:type="dxa" w:w="3178"/>
          </w:tcPr>
          <w:p>
            <w:pPr>
              <w:pStyle w:val="null3"/>
            </w:pPr>
            <w:r>
              <w:rPr/>
              <w:t>其它</w:t>
            </w:r>
          </w:p>
        </w:tc>
        <w:tc>
          <w:tcPr>
            <w:tcW w:type="dxa" w:w="4238"/>
          </w:tcPr>
          <w:p>
            <w:pPr>
              <w:pStyle w:val="null3"/>
            </w:pPr>
            <w:r>
              <w:rPr/>
              <w:t>未出现法律、法规或招标文件中规定投标无效的其它情形。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采购包1(VR数字技术实训室设备采购项目):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重要指标响应情况 (32.0分)</w:t>
            </w:r>
          </w:p>
        </w:tc>
        <w:tc>
          <w:tcPr>
            <w:tcW w:type="dxa" w:w="5076"/>
          </w:tcPr>
          <w:p>
            <w:pPr>
              <w:pStyle w:val="null3"/>
              <w:jc w:val="left"/>
            </w:pPr>
            <w:r>
              <w:rPr/>
              <w:t>根据投标人对重要技术（参数）要求（▲号）（共32条）响应情况进行评审：完全满足或优于全部要求的得32分，每有一条不满足或负偏离扣1分，扣完为止。注：如采购需求中有明确要求证明材料的，未按要求提供证明材料的视为负偏离；如采购需求中未明确要求证明材料的，则以投标人提供的《技术和服务要求响应表》的响应情况进行评审。</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根据投标人提供的项目实施方案（包括但不限于项目总体计划、项目总体进度以及服务承诺等）进行综合评审： 1、项目实施方案合理、可行、保障性高的，方案详尽性、实用性、专业性强的，得8分； 2、项目实施方案合理、较可行、保障性较高的，方案较详尽、专业性较强的，得6分； 3、项目实施方案基本合理、基本可行、保障性一般的，方案基本详尽、专业性一般的，得4分； 4、项目实施方案不合理性、不可行性、保障性差的，方案详尽性、实用性、专业性较差的，，得2分；5、没有提供的不得分。</w:t>
            </w:r>
          </w:p>
        </w:tc>
      </w:tr>
      <w:tr>
        <w:tc>
          <w:tcPr>
            <w:tcW w:type="dxa" w:w="922"/>
            <w:gridSpan w:val="2"/>
            <w:vMerge/>
          </w:tcPr>
          <w:p/>
        </w:tc>
        <w:tc>
          <w:tcPr>
            <w:tcW w:type="dxa" w:w="2307"/>
          </w:tcPr>
          <w:p>
            <w:pPr>
              <w:pStyle w:val="null3"/>
              <w:jc w:val="left"/>
            </w:pPr>
            <w:r>
              <w:rPr/>
              <w:t>供货方案 (8.0分)</w:t>
            </w:r>
          </w:p>
        </w:tc>
        <w:tc>
          <w:tcPr>
            <w:tcW w:type="dxa" w:w="5076"/>
          </w:tcPr>
          <w:p>
            <w:pPr>
              <w:pStyle w:val="null3"/>
              <w:jc w:val="left"/>
            </w:pPr>
            <w:r>
              <w:rPr/>
              <w:t>根据投标人提供的供货方案（包括但不限于供货期，供货流程，包装运输方案等）进行综合评审。1、供货方案完整（至少包含上述所列全部内容），且投标人提供的供货方案具体细则完全满足采购需求的，得8分； 2、供货方案完整（至少包含上述所列全部内容），且投标人提供的供货方案具体细则部分满足采购需求的，得5分； 3、供货方案不够完整（缺少上述所列内容一项或以上），且投标人提供的供货方案具体细则部分满足采购需求的，得2分； 4、没有提供的不得分。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根据投标人提供的操作培训、维护培训及提供其他培训形式的方案情况，包含不限于方式、内容、地点、时间、准备资料、承诺达到的效果等进行综合评审。1、培训方案完整（至少包含上述所列全部内容），且投标人提供的培训方案具体细则完全满足采购需求的，得7分； 2、培训方案完整（至少包含上述所列全部内容），且投标人提供的培训方案具体细则部分满足采购需求的，得4分； 3、培训方案不够完整（缺少上述所列内容一项或以上），且投标人提供的培训方案具体细则部分满足采购需求的，得1分； 4、没有提供的不得分。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(9.0分)</w:t>
            </w:r>
          </w:p>
        </w:tc>
        <w:tc>
          <w:tcPr>
            <w:tcW w:type="dxa" w:w="5076"/>
          </w:tcPr>
          <w:p>
            <w:pPr>
              <w:pStyle w:val="null3"/>
              <w:jc w:val="left"/>
            </w:pPr>
            <w:r>
              <w:rPr/>
              <w:t>投标人具有类似实训室或实验室业绩的，每提供1个得3分，最多得9分。（需提供合同复印件，且合同需体现项目内容，以上材料加盖投标人公章。）</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根据投标人提供的售后服务措施承诺及售后服务方案（包括但不限于服务响应时间、修复时间、响应内容情况）进行综合评审。 1、售后服务方案完整（至少包含上述所列全部内容），且投标人提供的售后服务方案具体细则完全满足采购需求的，得6分； 2、售后服务方案完整（至少包含上述所列全部内容），且投标人提供的售后服务方案具体细则部分满足采购需求的，得3分； 3、售后服务方案不够完整（缺少上述所列内容一项或以上），且投标人提供的售后服务方案具体细则部分满足采购需求的，得1分； 4、没有提供的不得分。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东莞职业技术学院</w:t>
      </w:r>
    </w:p>
    <w:p>
      <w:pPr>
        <w:pStyle w:val="null3"/>
        <w:jc w:val="center"/>
      </w:pPr>
      <w:r>
        <w:rPr>
          <w:sz w:val="72"/>
          <w:b/>
        </w:rPr>
        <w:t>采</w:t>
      </w:r>
    </w:p>
    <w:p>
      <w:pPr>
        <w:pStyle w:val="null3"/>
        <w:jc w:val="center"/>
      </w:pPr>
      <w:r>
        <w:rPr>
          <w:sz w:val="72"/>
          <w:b/>
        </w:rPr>
        <w:t>购</w:t>
      </w:r>
    </w:p>
    <w:p>
      <w:pPr>
        <w:pStyle w:val="null3"/>
        <w:jc w:val="center"/>
      </w:pPr>
      <w:r>
        <w:rPr>
          <w:sz w:val="72"/>
          <w:b/>
        </w:rPr>
        <w:t>项</w:t>
      </w:r>
    </w:p>
    <w:p>
      <w:pPr>
        <w:pStyle w:val="null3"/>
        <w:jc w:val="center"/>
      </w:pPr>
      <w:r>
        <w:rPr>
          <w:sz w:val="72"/>
          <w:b/>
        </w:rPr>
        <w:t>目</w:t>
      </w:r>
    </w:p>
    <w:p>
      <w:pPr>
        <w:pStyle w:val="null3"/>
        <w:jc w:val="center"/>
      </w:pPr>
      <w:r>
        <w:rPr>
          <w:sz w:val="72"/>
          <w:b/>
        </w:rPr>
        <w:t>合</w:t>
      </w:r>
    </w:p>
    <w:p>
      <w:pPr>
        <w:pStyle w:val="null3"/>
        <w:jc w:val="center"/>
      </w:pPr>
      <w:r>
        <w:rPr>
          <w:sz w:val="72"/>
          <w:b/>
        </w:rPr>
        <w:t>同</w:t>
      </w:r>
    </w:p>
    <w:p>
      <w:pPr>
        <w:pStyle w:val="null3"/>
        <w:ind w:firstLine="420"/>
        <w:jc w:val="both"/>
      </w:pPr>
      <w:r>
        <w:rPr>
          <w:sz w:val="30"/>
          <w:b/>
        </w:rPr>
        <w:t>项目名称：</w:t>
      </w:r>
    </w:p>
    <w:p>
      <w:pPr>
        <w:pStyle w:val="null3"/>
        <w:ind w:firstLine="420"/>
        <w:jc w:val="both"/>
      </w:pPr>
      <w:r>
        <w:rPr>
          <w:sz w:val="30"/>
          <w:b/>
        </w:rPr>
        <w:t>采购编号：</w:t>
      </w:r>
    </w:p>
    <w:p>
      <w:pPr>
        <w:pStyle w:val="null3"/>
        <w:ind w:firstLine="420"/>
        <w:jc w:val="both"/>
      </w:pPr>
      <w:r>
        <w:rPr>
          <w:sz w:val="30"/>
          <w:b/>
        </w:rPr>
        <w:t>供货方：</w:t>
      </w:r>
    </w:p>
    <w:p>
      <w:pPr>
        <w:pStyle w:val="null3"/>
        <w:ind w:firstLine="420"/>
        <w:jc w:val="both"/>
      </w:pPr>
      <w:r>
        <w:rPr>
          <w:sz w:val="30"/>
          <w:b/>
        </w:rPr>
        <w:t>合同编号：</w:t>
      </w:r>
    </w:p>
    <w:p>
      <w:pPr>
        <w:pStyle w:val="null3"/>
        <w:ind w:firstLine="420"/>
        <w:jc w:val="both"/>
      </w:pPr>
      <w:r>
        <w:rPr>
          <w:sz w:val="30"/>
          <w:b/>
        </w:rPr>
        <w:t>合同签订日期：</w:t>
      </w:r>
    </w:p>
    <w:p>
      <w:pPr>
        <w:pStyle w:val="null3"/>
        <w:jc w:val="both"/>
      </w:pPr>
      <w:r>
        <w:rPr/>
        <w:t xml:space="preserve"> </w:t>
      </w:r>
    </w:p>
    <w:p>
      <w:pPr>
        <w:pStyle w:val="null3"/>
        <w:spacing w:after="60"/>
      </w:pPr>
      <w:r>
        <w:rPr>
          <w:sz w:val="21"/>
          <w:b/>
        </w:rPr>
        <w:t>甲方：东莞职业技术学院</w:t>
      </w:r>
    </w:p>
    <w:p>
      <w:pPr>
        <w:pStyle w:val="null3"/>
      </w:pPr>
      <w:r>
        <w:rPr/>
        <w:t xml:space="preserve"> </w:t>
      </w:r>
    </w:p>
    <w:p>
      <w:pPr>
        <w:pStyle w:val="null3"/>
        <w:spacing w:after="60"/>
      </w:pPr>
      <w:r>
        <w:rPr>
          <w:sz w:val="21"/>
          <w:b/>
        </w:rPr>
        <w:t>乙方：</w:t>
      </w:r>
    </w:p>
    <w:p>
      <w:pPr>
        <w:pStyle w:val="null3"/>
        <w:ind w:firstLine="440"/>
        <w:jc w:val="both"/>
      </w:pPr>
      <w:r>
        <w:rPr>
          <w:sz w:val="21"/>
        </w:rPr>
        <w:t>甲方以招标方式确定乙方为东莞职业技术学院</w:t>
      </w:r>
      <w:r>
        <w:rPr>
          <w:u w:val="single"/>
        </w:rPr>
        <w:t xml:space="preserve">   </w:t>
      </w:r>
      <w:r>
        <w:rPr>
          <w:sz w:val="21"/>
          <w:u w:val="single"/>
        </w:rPr>
        <w:t>（项目编号）</w:t>
      </w:r>
      <w:r>
        <w:rPr>
          <w:sz w:val="21"/>
        </w:rPr>
        <w:t>（招标编号：</w:t>
      </w:r>
      <w:r>
        <w:rPr>
          <w:u w:val="single"/>
        </w:rPr>
        <w:t xml:space="preserve">   </w:t>
      </w:r>
      <w:r>
        <w:rPr>
          <w:sz w:val="21"/>
        </w:rPr>
        <w:t>）的中标人，根据招标文件、投标文件，依据《中华人民共和国民法典》，结合项目实际，经双方协商，签订本合同。</w:t>
      </w:r>
    </w:p>
    <w:p>
      <w:pPr>
        <w:pStyle w:val="null3"/>
        <w:ind w:firstLine="440"/>
        <w:jc w:val="both"/>
      </w:pPr>
      <w:r>
        <w:rPr>
          <w:sz w:val="21"/>
        </w:rPr>
        <w:t>一、产品及服务：</w:t>
      </w:r>
    </w:p>
    <w:p>
      <w:pPr>
        <w:pStyle w:val="null3"/>
        <w:ind w:firstLine="440"/>
        <w:jc w:val="both"/>
      </w:pPr>
      <w:r>
        <w:rPr>
          <w:sz w:val="21"/>
        </w:rPr>
        <w:t xml:space="preserve">1. </w:t>
      </w:r>
      <w:r>
        <w:rPr>
          <w:sz w:val="21"/>
        </w:rPr>
        <w:t>乙方提供整个项目货物（详见合同附件设备明细表）。</w:t>
      </w:r>
    </w:p>
    <w:p>
      <w:pPr>
        <w:pStyle w:val="null3"/>
        <w:ind w:firstLine="440"/>
        <w:jc w:val="both"/>
      </w:pPr>
      <w:r>
        <w:rPr>
          <w:sz w:val="21"/>
        </w:rPr>
        <w:t xml:space="preserve">2. </w:t>
      </w:r>
      <w:r>
        <w:rPr>
          <w:sz w:val="21"/>
        </w:rPr>
        <w:t>乙方按其投标或报价文件提供的设备、机械和</w:t>
      </w:r>
      <w:r>
        <w:rPr>
          <w:sz w:val="21"/>
        </w:rPr>
        <w:t>/</w:t>
      </w:r>
      <w:r>
        <w:rPr>
          <w:sz w:val="21"/>
        </w:rPr>
        <w:t>或其他材料，数量及技术性能必须满足招标文件或询价文件的各项要求。</w:t>
      </w:r>
    </w:p>
    <w:p>
      <w:pPr>
        <w:pStyle w:val="null3"/>
        <w:ind w:firstLine="440"/>
        <w:jc w:val="both"/>
      </w:pPr>
      <w:r>
        <w:rPr>
          <w:sz w:val="21"/>
        </w:rPr>
        <w:t xml:space="preserve">3. </w:t>
      </w:r>
      <w:r>
        <w:rPr>
          <w:sz w:val="21"/>
        </w:rPr>
        <w:t>乙方提供的安装、调试、人员培训、技术援助等服务不得低于投标或报价文件承诺的标准。</w:t>
      </w:r>
    </w:p>
    <w:p>
      <w:pPr>
        <w:pStyle w:val="null3"/>
        <w:ind w:firstLine="440"/>
        <w:jc w:val="both"/>
      </w:pPr>
      <w:r>
        <w:rPr>
          <w:sz w:val="21"/>
        </w:rPr>
        <w:t xml:space="preserve">4. </w:t>
      </w:r>
      <w:r>
        <w:rPr>
          <w:sz w:val="21"/>
        </w:rPr>
        <w:t>乙方负责办理所有货物的进口及商检手续（国内生产设备无需办理）。</w:t>
      </w:r>
    </w:p>
    <w:p>
      <w:pPr>
        <w:pStyle w:val="null3"/>
        <w:ind w:firstLine="440"/>
        <w:jc w:val="both"/>
      </w:pPr>
      <w:r>
        <w:rPr>
          <w:sz w:val="21"/>
        </w:rPr>
        <w:t xml:space="preserve">5. </w:t>
      </w:r>
      <w:r>
        <w:rPr>
          <w:sz w:val="21"/>
        </w:rPr>
        <w:t>所有货物及一切必需的辅材，均需上门交货、安装、调试，均需提供包修、包退、包换等售后服务。</w:t>
      </w:r>
    </w:p>
    <w:p>
      <w:pPr>
        <w:pStyle w:val="null3"/>
        <w:ind w:firstLine="440"/>
        <w:jc w:val="both"/>
      </w:pPr>
      <w:r>
        <w:rPr>
          <w:sz w:val="21"/>
        </w:rPr>
        <w:t xml:space="preserve">6. </w:t>
      </w:r>
      <w:r>
        <w:rPr>
          <w:sz w:val="21"/>
        </w:rPr>
        <w:t>验收后</w:t>
      </w:r>
      <w:r>
        <w:rPr>
          <w:sz w:val="21"/>
        </w:rPr>
        <w:t>30</w:t>
      </w:r>
      <w:r>
        <w:rPr>
          <w:sz w:val="21"/>
        </w:rPr>
        <w:t>天内，出现质量问题的设备可无条件更换或退货（乙方退回该设备的货款给甲方）。</w:t>
      </w:r>
    </w:p>
    <w:p>
      <w:pPr>
        <w:pStyle w:val="null3"/>
        <w:ind w:firstLine="440"/>
        <w:jc w:val="both"/>
      </w:pPr>
      <w:r>
        <w:rPr>
          <w:sz w:val="21"/>
        </w:rPr>
        <w:t xml:space="preserve">7. </w:t>
      </w:r>
      <w:r>
        <w:rPr>
          <w:sz w:val="21"/>
        </w:rPr>
        <w:t>乙方须为相关设备提供现场培训，并为甲方培训</w:t>
      </w:r>
      <w:r>
        <w:rPr>
          <w:sz w:val="21"/>
        </w:rPr>
        <w:t>1-3</w:t>
      </w:r>
      <w:r>
        <w:rPr>
          <w:sz w:val="21"/>
        </w:rPr>
        <w:t>名的技术维护人员，期间涉及的费用由乙方承担。</w:t>
      </w:r>
    </w:p>
    <w:p>
      <w:pPr>
        <w:pStyle w:val="null3"/>
        <w:ind w:firstLine="440"/>
        <w:jc w:val="both"/>
      </w:pPr>
      <w:r>
        <w:rPr>
          <w:sz w:val="21"/>
        </w:rPr>
        <w:t>二、价格：</w:t>
      </w:r>
    </w:p>
    <w:p>
      <w:pPr>
        <w:pStyle w:val="null3"/>
        <w:ind w:firstLine="440"/>
        <w:jc w:val="both"/>
      </w:pPr>
      <w:r>
        <w:rPr>
          <w:sz w:val="21"/>
        </w:rPr>
        <w:t>本合同价款总额为：</w:t>
      </w:r>
      <w:r>
        <w:rPr>
          <w:sz w:val="21"/>
        </w:rPr>
        <w:t>RMB</w:t>
      </w:r>
      <w:r>
        <w:rPr>
          <w:sz w:val="21"/>
          <w:b/>
        </w:rPr>
        <w:t>￥</w:t>
      </w:r>
      <w:r>
        <w:rPr>
          <w:b/>
          <w:u w:val="single"/>
        </w:rPr>
        <w:t xml:space="preserve">    </w:t>
      </w:r>
      <w:r>
        <w:rPr>
          <w:sz w:val="21"/>
          <w:b/>
        </w:rPr>
        <w:t>元</w:t>
      </w:r>
      <w:r>
        <w:rPr>
          <w:sz w:val="21"/>
        </w:rPr>
        <w:t>（大写人民币</w:t>
      </w:r>
      <w:r>
        <w:rPr>
          <w:b/>
          <w:u w:val="single"/>
        </w:rPr>
        <w:t xml:space="preserve">    </w:t>
      </w:r>
      <w:r>
        <w:rPr>
          <w:sz w:val="21"/>
        </w:rPr>
        <w:t>）。</w:t>
      </w:r>
    </w:p>
    <w:p>
      <w:pPr>
        <w:pStyle w:val="null3"/>
        <w:ind w:firstLine="440"/>
        <w:jc w:val="both"/>
      </w:pPr>
      <w:r>
        <w:rPr>
          <w:sz w:val="21"/>
        </w:rPr>
        <w:t xml:space="preserve">1. </w:t>
      </w:r>
      <w:r>
        <w:rPr>
          <w:sz w:val="21"/>
        </w:rPr>
        <w:t>以上价格包含货物及所需附件的购置费、包装费、运输费、安装调试费、培训费、人工费、保险费、各种税费、验收费、售后服务费及合同实施过程中的应预见和不可预见费用等完成合同规定责任和义务、达到合同目的的一切费用。</w:t>
      </w:r>
    </w:p>
    <w:p>
      <w:pPr>
        <w:pStyle w:val="null3"/>
        <w:ind w:firstLine="440"/>
        <w:jc w:val="both"/>
      </w:pPr>
      <w:r>
        <w:rPr>
          <w:sz w:val="21"/>
        </w:rPr>
        <w:t xml:space="preserve">2. </w:t>
      </w:r>
      <w:r>
        <w:rPr>
          <w:sz w:val="21"/>
        </w:rPr>
        <w:t>在合同执行期间，材料市场价格出现变化，由此引发的费用，由乙方自行承担，甲方一概不再支付相关费用。</w:t>
      </w:r>
    </w:p>
    <w:p>
      <w:pPr>
        <w:pStyle w:val="null3"/>
        <w:ind w:firstLine="440"/>
        <w:jc w:val="both"/>
      </w:pPr>
      <w:r>
        <w:rPr>
          <w:sz w:val="21"/>
        </w:rPr>
        <w:t>三、付款结算方式：</w:t>
      </w:r>
    </w:p>
    <w:p>
      <w:pPr>
        <w:pStyle w:val="null3"/>
        <w:ind w:firstLine="440"/>
        <w:jc w:val="both"/>
      </w:pPr>
      <w:r>
        <w:rPr>
          <w:sz w:val="21"/>
        </w:rPr>
        <w:t xml:space="preserve">1. </w:t>
      </w:r>
      <w:r>
        <w:rPr>
          <w:sz w:val="21"/>
        </w:rPr>
        <w:t>甲方通过以下方式以人民币为结算币种支付合同款项给乙方：</w:t>
      </w:r>
    </w:p>
    <w:p>
      <w:pPr>
        <w:pStyle w:val="null3"/>
        <w:ind w:firstLine="440"/>
        <w:jc w:val="both"/>
      </w:pPr>
      <w:r>
        <w:rPr>
          <w:sz w:val="21"/>
        </w:rPr>
        <w:t>付款方式：中标人凭以下有效文件与采购人结算：（</w:t>
      </w:r>
      <w:r>
        <w:rPr>
          <w:sz w:val="21"/>
        </w:rPr>
        <w:t>1</w:t>
      </w:r>
      <w:r>
        <w:rPr>
          <w:sz w:val="21"/>
        </w:rPr>
        <w:t>）合同；（</w:t>
      </w:r>
      <w:r>
        <w:rPr>
          <w:sz w:val="21"/>
        </w:rPr>
        <w:t>2</w:t>
      </w:r>
      <w:r>
        <w:rPr>
          <w:sz w:val="21"/>
        </w:rPr>
        <w:t>）</w:t>
      </w:r>
      <w:r>
        <w:rPr>
          <w:sz w:val="21"/>
        </w:rPr>
        <w:t>乙方</w:t>
      </w:r>
      <w:r>
        <w:rPr>
          <w:sz w:val="21"/>
        </w:rPr>
        <w:t>开具的正式发票；（</w:t>
      </w:r>
      <w:r>
        <w:rPr>
          <w:sz w:val="21"/>
        </w:rPr>
        <w:t>3</w:t>
      </w:r>
      <w:r>
        <w:rPr>
          <w:sz w:val="21"/>
        </w:rPr>
        <w:t>）验收报告（预付款及进度款除外）。</w:t>
      </w:r>
    </w:p>
    <w:p>
      <w:pPr>
        <w:pStyle w:val="null3"/>
        <w:ind w:firstLine="420"/>
        <w:jc w:val="both"/>
      </w:pPr>
      <w:r>
        <w:rPr>
          <w:sz w:val="21"/>
        </w:rPr>
        <w:t>支付期次如下：</w:t>
      </w:r>
    </w:p>
    <w:p>
      <w:pPr>
        <w:pStyle w:val="null3"/>
        <w:ind w:firstLine="440"/>
        <w:jc w:val="both"/>
      </w:pPr>
      <w:r>
        <w:rPr>
          <w:sz w:val="21"/>
        </w:rPr>
        <w:t>1</w:t>
      </w:r>
      <w:r>
        <w:rPr>
          <w:sz w:val="21"/>
        </w:rPr>
        <w:t>期：支付比例</w:t>
      </w:r>
      <w:r>
        <w:rPr>
          <w:sz w:val="21"/>
        </w:rPr>
        <w:t>30</w:t>
      </w:r>
      <w:r>
        <w:rPr>
          <w:sz w:val="21"/>
        </w:rPr>
        <w:t>%,</w:t>
      </w:r>
      <w:r>
        <w:rPr>
          <w:sz w:val="21"/>
        </w:rPr>
        <w:t>签订合同后</w:t>
      </w:r>
      <w:r>
        <w:rPr>
          <w:sz w:val="21"/>
        </w:rPr>
        <w:t>10</w:t>
      </w:r>
      <w:r>
        <w:rPr>
          <w:sz w:val="21"/>
        </w:rPr>
        <w:t>个工作日内，付至合同金额的</w:t>
      </w:r>
      <w:r>
        <w:rPr>
          <w:sz w:val="21"/>
        </w:rPr>
        <w:t>30</w:t>
      </w:r>
      <w:r>
        <w:rPr>
          <w:sz w:val="21"/>
        </w:rPr>
        <w:t>%</w:t>
      </w:r>
      <w:r>
        <w:rPr>
          <w:sz w:val="21"/>
        </w:rPr>
        <w:t>，</w:t>
      </w:r>
      <w:r>
        <w:rPr>
          <w:sz w:val="21"/>
        </w:rPr>
        <w:t>乙方</w:t>
      </w:r>
      <w:r>
        <w:rPr>
          <w:sz w:val="21"/>
        </w:rPr>
        <w:t>向</w:t>
      </w:r>
      <w:r>
        <w:rPr>
          <w:sz w:val="21"/>
        </w:rPr>
        <w:t>甲方</w:t>
      </w:r>
      <w:r>
        <w:rPr>
          <w:sz w:val="21"/>
        </w:rPr>
        <w:t>请款及提供等额有效发票，</w:t>
      </w:r>
      <w:r>
        <w:rPr>
          <w:sz w:val="21"/>
        </w:rPr>
        <w:t>甲方</w:t>
      </w:r>
      <w:r>
        <w:rPr>
          <w:sz w:val="21"/>
        </w:rPr>
        <w:t>收到前述材料后</w:t>
      </w:r>
      <w:r>
        <w:rPr>
          <w:sz w:val="21"/>
        </w:rPr>
        <w:t>10</w:t>
      </w:r>
      <w:r>
        <w:rPr>
          <w:sz w:val="21"/>
        </w:rPr>
        <w:t>个工作日内向</w:t>
      </w:r>
      <w:r>
        <w:rPr>
          <w:sz w:val="21"/>
        </w:rPr>
        <w:t>乙方</w:t>
      </w:r>
      <w:r>
        <w:rPr>
          <w:sz w:val="21"/>
        </w:rPr>
        <w:t>支付合同总价的</w:t>
      </w:r>
      <w:r>
        <w:rPr>
          <w:sz w:val="21"/>
        </w:rPr>
        <w:t>30</w:t>
      </w:r>
      <w:r>
        <w:rPr>
          <w:sz w:val="21"/>
        </w:rPr>
        <w:t>%</w:t>
      </w:r>
      <w:r>
        <w:rPr>
          <w:sz w:val="21"/>
        </w:rPr>
        <w:t>；</w:t>
      </w:r>
    </w:p>
    <w:p>
      <w:pPr>
        <w:pStyle w:val="null3"/>
        <w:ind w:firstLine="440"/>
        <w:jc w:val="both"/>
      </w:pPr>
      <w:r>
        <w:rPr>
          <w:sz w:val="21"/>
        </w:rPr>
        <w:t>2</w:t>
      </w:r>
      <w:r>
        <w:rPr>
          <w:sz w:val="21"/>
        </w:rPr>
        <w:t>期：支付比例</w:t>
      </w:r>
      <w:r>
        <w:rPr>
          <w:sz w:val="21"/>
        </w:rPr>
        <w:t>4</w:t>
      </w:r>
      <w:r>
        <w:rPr>
          <w:sz w:val="21"/>
        </w:rPr>
        <w:t>0%,</w:t>
      </w:r>
      <w:r>
        <w:rPr>
          <w:sz w:val="21"/>
        </w:rPr>
        <w:t>合同签订后，</w:t>
      </w:r>
      <w:r>
        <w:rPr>
          <w:sz w:val="21"/>
        </w:rPr>
        <w:t>乙方</w:t>
      </w:r>
      <w:r>
        <w:rPr>
          <w:sz w:val="21"/>
        </w:rPr>
        <w:t>制定有效的工作计划方案，主要设备到货并经</w:t>
      </w:r>
      <w:r>
        <w:rPr>
          <w:sz w:val="21"/>
        </w:rPr>
        <w:t>甲方</w:t>
      </w:r>
      <w:r>
        <w:rPr>
          <w:sz w:val="21"/>
        </w:rPr>
        <w:t>确认后，</w:t>
      </w:r>
      <w:r>
        <w:rPr>
          <w:sz w:val="21"/>
        </w:rPr>
        <w:t>乙方</w:t>
      </w:r>
      <w:r>
        <w:rPr>
          <w:sz w:val="21"/>
        </w:rPr>
        <w:t>向</w:t>
      </w:r>
      <w:r>
        <w:rPr>
          <w:sz w:val="21"/>
        </w:rPr>
        <w:t>甲方</w:t>
      </w:r>
      <w:r>
        <w:rPr>
          <w:sz w:val="21"/>
        </w:rPr>
        <w:t>请款及提供等额有效发票，</w:t>
      </w:r>
      <w:r>
        <w:rPr>
          <w:sz w:val="21"/>
        </w:rPr>
        <w:t>甲方</w:t>
      </w:r>
      <w:r>
        <w:rPr>
          <w:sz w:val="21"/>
        </w:rPr>
        <w:t>收到前述材料后</w:t>
      </w:r>
      <w:r>
        <w:rPr>
          <w:sz w:val="21"/>
        </w:rPr>
        <w:t>10</w:t>
      </w:r>
      <w:r>
        <w:rPr>
          <w:sz w:val="21"/>
        </w:rPr>
        <w:t>个工作日内向</w:t>
      </w:r>
      <w:r>
        <w:rPr>
          <w:sz w:val="21"/>
        </w:rPr>
        <w:t>乙方</w:t>
      </w:r>
      <w:r>
        <w:rPr>
          <w:sz w:val="21"/>
        </w:rPr>
        <w:t>支付合同总价的</w:t>
      </w:r>
      <w:r>
        <w:rPr>
          <w:sz w:val="21"/>
        </w:rPr>
        <w:t>40</w:t>
      </w:r>
      <w:r>
        <w:rPr>
          <w:sz w:val="21"/>
        </w:rPr>
        <w:t>%</w:t>
      </w:r>
      <w:r>
        <w:rPr>
          <w:sz w:val="21"/>
        </w:rPr>
        <w:t>；</w:t>
      </w:r>
    </w:p>
    <w:p>
      <w:pPr>
        <w:pStyle w:val="null3"/>
        <w:ind w:firstLine="440"/>
        <w:jc w:val="both"/>
      </w:pPr>
      <w:r>
        <w:rPr>
          <w:sz w:val="21"/>
        </w:rPr>
        <w:t>3</w:t>
      </w:r>
      <w:r>
        <w:rPr>
          <w:sz w:val="21"/>
        </w:rPr>
        <w:t>期：</w:t>
      </w:r>
      <w:r>
        <w:rPr>
          <w:sz w:val="21"/>
        </w:rPr>
        <w:t>支付比例</w:t>
      </w:r>
      <w:r>
        <w:rPr>
          <w:sz w:val="21"/>
        </w:rPr>
        <w:t>30</w:t>
      </w:r>
      <w:r>
        <w:rPr>
          <w:sz w:val="21"/>
        </w:rPr>
        <w:t>%,</w:t>
      </w:r>
      <w:r>
        <w:rPr>
          <w:sz w:val="21"/>
        </w:rPr>
        <w:t>经</w:t>
      </w:r>
      <w:r>
        <w:rPr>
          <w:sz w:val="21"/>
        </w:rPr>
        <w:t>甲方</w:t>
      </w:r>
      <w:r>
        <w:rPr>
          <w:sz w:val="21"/>
        </w:rPr>
        <w:t>最终验收合格并办理完全部验收手续，</w:t>
      </w:r>
      <w:r>
        <w:rPr>
          <w:sz w:val="21"/>
        </w:rPr>
        <w:t>乙方</w:t>
      </w:r>
      <w:r>
        <w:rPr>
          <w:sz w:val="21"/>
        </w:rPr>
        <w:t>向</w:t>
      </w:r>
      <w:r>
        <w:rPr>
          <w:sz w:val="21"/>
        </w:rPr>
        <w:t>甲方</w:t>
      </w:r>
      <w:r>
        <w:rPr>
          <w:sz w:val="21"/>
        </w:rPr>
        <w:t>请款并提供等额有效发票，</w:t>
      </w:r>
      <w:r>
        <w:rPr>
          <w:sz w:val="21"/>
        </w:rPr>
        <w:t>甲方</w:t>
      </w:r>
      <w:r>
        <w:rPr>
          <w:sz w:val="21"/>
        </w:rPr>
        <w:t>收到前述材料后</w:t>
      </w:r>
      <w:r>
        <w:rPr>
          <w:sz w:val="21"/>
        </w:rPr>
        <w:t>10</w:t>
      </w:r>
      <w:r>
        <w:rPr>
          <w:sz w:val="21"/>
        </w:rPr>
        <w:t>个工作日内向</w:t>
      </w:r>
      <w:r>
        <w:rPr>
          <w:sz w:val="21"/>
        </w:rPr>
        <w:t>乙方</w:t>
      </w:r>
      <w:r>
        <w:rPr>
          <w:sz w:val="21"/>
        </w:rPr>
        <w:t>支付至合同总价的</w:t>
      </w:r>
      <w:r>
        <w:rPr>
          <w:sz w:val="21"/>
        </w:rPr>
        <w:t>30</w:t>
      </w:r>
      <w:r>
        <w:rPr>
          <w:sz w:val="21"/>
        </w:rPr>
        <w:t>%</w:t>
      </w:r>
      <w:r>
        <w:rPr>
          <w:sz w:val="21"/>
        </w:rPr>
        <w:t>。</w:t>
      </w:r>
    </w:p>
    <w:p>
      <w:pPr>
        <w:pStyle w:val="null3"/>
        <w:ind w:firstLine="440"/>
        <w:jc w:val="both"/>
      </w:pPr>
      <w:r>
        <w:rPr>
          <w:sz w:val="21"/>
        </w:rPr>
        <w:t>2.</w:t>
      </w:r>
      <w:r>
        <w:rPr>
          <w:sz w:val="21"/>
        </w:rPr>
        <w:t>付款前，乙方应向甲方提交请款申请及所需的材料和等额发票。如果乙方怠于或者拒绝提供资料或者办理手续的，则因此产生的付款迟延的责任全部由乙方承担。</w:t>
      </w:r>
    </w:p>
    <w:p>
      <w:pPr>
        <w:pStyle w:val="null3"/>
        <w:ind w:firstLine="440"/>
        <w:jc w:val="both"/>
      </w:pPr>
      <w:r>
        <w:rPr>
          <w:sz w:val="21"/>
        </w:rPr>
        <w:t>3.</w:t>
      </w:r>
      <w:r>
        <w:rPr>
          <w:sz w:val="21"/>
        </w:rPr>
        <w:t>本合同的经费由政府拨款，如因政策或政府采购付款流程影响，导致拨款未能及时到位，甲方不承担逾期付款责任，且乙方不得以此为由而不履行本合同约定的义务。否则，甲方有权追究乙方的违约责任。</w:t>
      </w:r>
    </w:p>
    <w:p>
      <w:pPr>
        <w:pStyle w:val="null3"/>
        <w:ind w:firstLine="440"/>
        <w:jc w:val="both"/>
      </w:pPr>
      <w:r>
        <w:rPr>
          <w:sz w:val="21"/>
        </w:rPr>
        <w:t>四、交货期、质保期：</w:t>
      </w:r>
    </w:p>
    <w:p>
      <w:pPr>
        <w:pStyle w:val="null3"/>
        <w:ind w:firstLine="440"/>
        <w:jc w:val="both"/>
      </w:pPr>
      <w:r>
        <w:rPr>
          <w:sz w:val="21"/>
        </w:rPr>
        <w:t xml:space="preserve">1. </w:t>
      </w:r>
      <w:r>
        <w:rPr>
          <w:sz w:val="21"/>
        </w:rPr>
        <w:t>合同签订日起</w:t>
      </w:r>
      <w:r>
        <w:rPr>
          <w:u w:val="single"/>
        </w:rPr>
        <w:t xml:space="preserve">    </w:t>
      </w:r>
      <w:r>
        <w:rPr>
          <w:sz w:val="21"/>
        </w:rPr>
        <w:t>个日历日内完成项目供货、安装、调试。甲方根据整体工程进度的情况，有权提出对部分设备或全部设备提前或延迟交货，但应在前述交货期前</w:t>
      </w:r>
      <w:r>
        <w:rPr>
          <w:sz w:val="21"/>
        </w:rPr>
        <w:t>5</w:t>
      </w:r>
      <w:r>
        <w:rPr>
          <w:sz w:val="21"/>
        </w:rPr>
        <w:t>天告知乙方。</w:t>
      </w:r>
    </w:p>
    <w:p>
      <w:pPr>
        <w:pStyle w:val="null3"/>
        <w:ind w:firstLine="440"/>
        <w:jc w:val="both"/>
      </w:pPr>
      <w:r>
        <w:rPr>
          <w:sz w:val="21"/>
        </w:rPr>
        <w:t>2</w:t>
      </w:r>
      <w:r>
        <w:rPr>
          <w:sz w:val="21"/>
        </w:rPr>
        <w:t>．质保期</w:t>
      </w:r>
      <w:r>
        <w:rPr>
          <w:u w:val="single"/>
        </w:rPr>
        <w:t xml:space="preserve">   </w:t>
      </w:r>
      <w:r>
        <w:rPr>
          <w:sz w:val="21"/>
        </w:rPr>
        <w:t>年，质保期自验收合格之日起计算。在质保期内，更新资源及设备维修所需费用由乙方承担。</w:t>
      </w:r>
    </w:p>
    <w:p>
      <w:pPr>
        <w:pStyle w:val="null3"/>
        <w:ind w:firstLine="440"/>
        <w:jc w:val="both"/>
      </w:pPr>
      <w:r>
        <w:rPr>
          <w:sz w:val="21"/>
        </w:rPr>
        <w:t>五、产品的质量保证和权利担保：</w:t>
      </w:r>
    </w:p>
    <w:p>
      <w:pPr>
        <w:pStyle w:val="null3"/>
        <w:ind w:firstLine="440"/>
        <w:jc w:val="both"/>
      </w:pPr>
      <w:r>
        <w:rPr>
          <w:sz w:val="21"/>
        </w:rPr>
        <w:t xml:space="preserve">1. </w:t>
      </w:r>
      <w:r>
        <w:rPr>
          <w:sz w:val="21"/>
        </w:rPr>
        <w:t>乙方保证所提供货物均为全新的未使用过的，并完全符合甲方招标文件要求及乙方投标文件承诺的质量、规格标准。</w:t>
      </w:r>
    </w:p>
    <w:p>
      <w:pPr>
        <w:pStyle w:val="null3"/>
        <w:ind w:firstLine="440"/>
        <w:jc w:val="both"/>
      </w:pPr>
      <w:r>
        <w:rPr>
          <w:sz w:val="21"/>
        </w:rPr>
        <w:t xml:space="preserve">2. </w:t>
      </w:r>
      <w:r>
        <w:rPr>
          <w:sz w:val="21"/>
        </w:rPr>
        <w:t>乙方提供的货物与装箱清单一致。</w:t>
      </w:r>
    </w:p>
    <w:p>
      <w:pPr>
        <w:pStyle w:val="null3"/>
        <w:ind w:firstLine="440"/>
        <w:jc w:val="both"/>
      </w:pPr>
      <w:r>
        <w:rPr>
          <w:sz w:val="21"/>
        </w:rPr>
        <w:t xml:space="preserve">3. </w:t>
      </w:r>
      <w:r>
        <w:rPr>
          <w:sz w:val="21"/>
        </w:rPr>
        <w:t>乙方提供的货物必须保证通过竣工验收。</w:t>
      </w:r>
    </w:p>
    <w:p>
      <w:pPr>
        <w:pStyle w:val="null3"/>
        <w:ind w:firstLine="440"/>
        <w:jc w:val="both"/>
      </w:pPr>
      <w:r>
        <w:rPr>
          <w:sz w:val="21"/>
        </w:rPr>
        <w:t xml:space="preserve">4. </w:t>
      </w:r>
      <w:r>
        <w:rPr>
          <w:sz w:val="21"/>
        </w:rPr>
        <w:t>乙方保证，甲方在使用本合同项下设备时，免受第三方提出的侵犯其专利权、商标权、著作权或其他知识产权的起诉。</w:t>
      </w:r>
    </w:p>
    <w:p>
      <w:pPr>
        <w:pStyle w:val="null3"/>
        <w:ind w:firstLine="440"/>
        <w:jc w:val="both"/>
      </w:pPr>
      <w:r>
        <w:rPr>
          <w:sz w:val="21"/>
        </w:rPr>
        <w:t xml:space="preserve">5. </w:t>
      </w:r>
      <w:r>
        <w:rPr>
          <w:sz w:val="21"/>
        </w:rPr>
        <w:t>在项目最终验收合格之日起</w:t>
      </w:r>
      <w:r>
        <w:rPr>
          <w:sz w:val="21"/>
          <w:u w:val="single"/>
        </w:rPr>
        <w:t xml:space="preserve">     </w:t>
      </w:r>
      <w:r>
        <w:rPr>
          <w:sz w:val="21"/>
          <w:u w:val="single"/>
        </w:rPr>
        <w:t>年</w:t>
      </w:r>
      <w:r>
        <w:rPr>
          <w:sz w:val="21"/>
        </w:rPr>
        <w:t>的免费质保期内，乙方应对由于设计、工艺或材料等缺陷或其他影响设备正常运转的故障负责。设备出现严重缺陷乙方应予以退换，相关费用乙方承担。免费质保期自甲方在货物质量最终验收单上签字之日起计算，保修费用已计入总价。免费质保期内，所有服务由乙方上门进行，不得收取任何费用。免费质保期满后终身维护，免费质保期后，零配件只收取成本费。</w:t>
      </w:r>
    </w:p>
    <w:p>
      <w:pPr>
        <w:pStyle w:val="null3"/>
        <w:ind w:firstLine="440"/>
        <w:jc w:val="both"/>
      </w:pPr>
      <w:r>
        <w:rPr>
          <w:sz w:val="21"/>
        </w:rPr>
        <w:t>六、技术资料：乙方需将甲方在使用和维护设备过程中所需的技术资料在供货时交给甲方，有关完工资料的收集和整理由乙方负责，甲方予以配合。</w:t>
      </w:r>
    </w:p>
    <w:p>
      <w:pPr>
        <w:pStyle w:val="null3"/>
        <w:ind w:firstLine="440"/>
        <w:jc w:val="both"/>
      </w:pPr>
      <w:r>
        <w:rPr>
          <w:sz w:val="21"/>
        </w:rPr>
        <w:t>七、设备包装：</w:t>
      </w:r>
    </w:p>
    <w:p>
      <w:pPr>
        <w:pStyle w:val="null3"/>
        <w:ind w:firstLine="440"/>
        <w:jc w:val="both"/>
      </w:pPr>
      <w:r>
        <w:rPr>
          <w:sz w:val="21"/>
        </w:rPr>
        <w:t xml:space="preserve">1. </w:t>
      </w:r>
      <w:r>
        <w:rPr>
          <w:sz w:val="21"/>
        </w:rPr>
        <w:t>由乙方提供符合本合同项下设备运输的必要包装方式，防潮物品箱内提供防潮遮盖物，箱外有明显的起吊及其他招标文件要求的标志，如果甲方要求箱外加刷其他标志，应于合同签订时通知乙方，包装物不予回收。</w:t>
      </w:r>
    </w:p>
    <w:p>
      <w:pPr>
        <w:pStyle w:val="null3"/>
        <w:ind w:firstLine="440"/>
        <w:jc w:val="both"/>
      </w:pPr>
      <w:r>
        <w:rPr>
          <w:sz w:val="21"/>
        </w:rPr>
        <w:t xml:space="preserve">2. </w:t>
      </w:r>
      <w:r>
        <w:rPr>
          <w:sz w:val="21"/>
        </w:rPr>
        <w:t>包装物材料及包装方式必须同时符合国家有关强制性要求，否则可能导致的延误由乙方承担违约责任。</w:t>
      </w:r>
    </w:p>
    <w:p>
      <w:pPr>
        <w:pStyle w:val="null3"/>
        <w:ind w:firstLine="440"/>
        <w:jc w:val="both"/>
      </w:pPr>
      <w:r>
        <w:rPr>
          <w:sz w:val="21"/>
        </w:rPr>
        <w:t>八、运输、交货地点和保险：</w:t>
      </w:r>
    </w:p>
    <w:p>
      <w:pPr>
        <w:pStyle w:val="null3"/>
        <w:ind w:firstLine="440"/>
        <w:jc w:val="both"/>
      </w:pPr>
      <w:r>
        <w:rPr>
          <w:sz w:val="21"/>
        </w:rPr>
        <w:t xml:space="preserve">1. </w:t>
      </w:r>
      <w:r>
        <w:rPr>
          <w:sz w:val="21"/>
        </w:rPr>
        <w:t>乙方在下列地址交货：</w:t>
      </w:r>
    </w:p>
    <w:p>
      <w:pPr>
        <w:pStyle w:val="null3"/>
        <w:ind w:firstLine="440"/>
        <w:jc w:val="both"/>
      </w:pPr>
      <w:r>
        <w:rPr>
          <w:sz w:val="21"/>
        </w:rPr>
        <w:t>收货单位：东莞职业技术学院</w:t>
      </w:r>
      <w:r>
        <w:rPr>
          <w:sz w:val="21"/>
        </w:rPr>
        <w:t xml:space="preserve">       </w:t>
      </w:r>
      <w:r>
        <w:rPr>
          <w:sz w:val="21"/>
        </w:rPr>
        <w:t>邮编：</w:t>
      </w:r>
      <w:r>
        <w:rPr>
          <w:sz w:val="21"/>
        </w:rPr>
        <w:t>523808</w:t>
      </w:r>
    </w:p>
    <w:p>
      <w:pPr>
        <w:pStyle w:val="null3"/>
        <w:ind w:firstLine="440"/>
        <w:jc w:val="both"/>
      </w:pPr>
      <w:r>
        <w:rPr>
          <w:sz w:val="21"/>
        </w:rPr>
        <w:t>收货地址：（卸货交货地点由甲方根据工程情况指定）。</w:t>
      </w:r>
    </w:p>
    <w:p>
      <w:pPr>
        <w:pStyle w:val="null3"/>
        <w:ind w:firstLine="440"/>
        <w:jc w:val="both"/>
      </w:pPr>
      <w:r>
        <w:rPr>
          <w:sz w:val="21"/>
        </w:rPr>
        <w:t>甲方联系人：</w:t>
      </w:r>
      <w:r>
        <w:rPr>
          <w:sz w:val="21"/>
        </w:rPr>
        <w:t xml:space="preserve">         </w:t>
      </w:r>
      <w:r>
        <w:rPr>
          <w:sz w:val="21"/>
        </w:rPr>
        <w:t>联系电话：</w:t>
      </w:r>
      <w:r>
        <w:rPr>
          <w:sz w:val="21"/>
        </w:rPr>
        <w:t xml:space="preserve">     </w:t>
      </w:r>
    </w:p>
    <w:p>
      <w:pPr>
        <w:pStyle w:val="null3"/>
        <w:ind w:firstLine="440"/>
        <w:jc w:val="both"/>
      </w:pPr>
      <w:r>
        <w:rPr>
          <w:sz w:val="21"/>
        </w:rPr>
        <w:t>甲方项目负责人：</w:t>
      </w:r>
      <w:r>
        <w:rPr>
          <w:sz w:val="21"/>
        </w:rPr>
        <w:t xml:space="preserve">      </w:t>
      </w:r>
      <w:r>
        <w:rPr>
          <w:sz w:val="21"/>
        </w:rPr>
        <w:t>联系电话：</w:t>
      </w:r>
    </w:p>
    <w:p>
      <w:pPr>
        <w:pStyle w:val="null3"/>
        <w:ind w:firstLine="440"/>
        <w:jc w:val="both"/>
      </w:pPr>
      <w:r>
        <w:rPr>
          <w:sz w:val="21"/>
        </w:rPr>
        <w:t>乙方联系人：</w:t>
      </w:r>
      <w:r>
        <w:rPr>
          <w:sz w:val="21"/>
        </w:rPr>
        <w:t xml:space="preserve">        </w:t>
      </w:r>
      <w:r>
        <w:rPr>
          <w:sz w:val="21"/>
        </w:rPr>
        <w:t>联系电话：</w:t>
      </w:r>
    </w:p>
    <w:p>
      <w:pPr>
        <w:pStyle w:val="null3"/>
        <w:ind w:firstLine="440"/>
        <w:jc w:val="both"/>
      </w:pPr>
      <w:r>
        <w:rPr>
          <w:sz w:val="21"/>
        </w:rPr>
        <w:t xml:space="preserve">2. </w:t>
      </w:r>
      <w:r>
        <w:rPr>
          <w:sz w:val="21"/>
        </w:rPr>
        <w:t>乙方应当购买运输保险并承担运输风险。</w:t>
      </w:r>
    </w:p>
    <w:p>
      <w:pPr>
        <w:pStyle w:val="null3"/>
        <w:ind w:firstLine="440"/>
        <w:jc w:val="both"/>
      </w:pPr>
      <w:r>
        <w:rPr>
          <w:sz w:val="21"/>
        </w:rPr>
        <w:t xml:space="preserve">3. </w:t>
      </w:r>
      <w:r>
        <w:rPr>
          <w:sz w:val="21"/>
        </w:rPr>
        <w:t>乙方负责将设备卸至甲方指定地点，费用由乙方承担。</w:t>
      </w:r>
    </w:p>
    <w:p>
      <w:pPr>
        <w:pStyle w:val="null3"/>
        <w:ind w:firstLine="440"/>
        <w:jc w:val="both"/>
      </w:pPr>
      <w:r>
        <w:rPr>
          <w:sz w:val="21"/>
        </w:rPr>
        <w:t>九、货物验收：</w:t>
      </w:r>
    </w:p>
    <w:p>
      <w:pPr>
        <w:pStyle w:val="null3"/>
        <w:ind w:firstLine="440"/>
        <w:jc w:val="both"/>
      </w:pPr>
      <w:r>
        <w:rPr>
          <w:sz w:val="21"/>
        </w:rPr>
        <w:t xml:space="preserve">1. </w:t>
      </w:r>
      <w:r>
        <w:rPr>
          <w:sz w:val="21"/>
        </w:rPr>
        <w:t>验收工作由甲方（或甲方指定的单位）组织。</w:t>
      </w:r>
    </w:p>
    <w:p>
      <w:pPr>
        <w:pStyle w:val="null3"/>
        <w:ind w:firstLine="440"/>
        <w:jc w:val="both"/>
      </w:pPr>
      <w:r>
        <w:rPr>
          <w:sz w:val="21"/>
        </w:rPr>
        <w:t xml:space="preserve">2. </w:t>
      </w:r>
      <w:r>
        <w:rPr>
          <w:sz w:val="21"/>
        </w:rPr>
        <w:t>在验收时，乙方应向甲方提供货物的出厂合格证书、出厂检测报告、厂家装箱清单、使用说明、操作手册、随机附件及其他相关资料。</w:t>
      </w:r>
    </w:p>
    <w:p>
      <w:pPr>
        <w:pStyle w:val="null3"/>
        <w:ind w:firstLine="440"/>
        <w:jc w:val="both"/>
      </w:pPr>
      <w:r>
        <w:rPr>
          <w:sz w:val="21"/>
        </w:rPr>
        <w:t xml:space="preserve">3. </w:t>
      </w:r>
      <w:r>
        <w:rPr>
          <w:sz w:val="21"/>
        </w:rPr>
        <w:t>由甲方对货物的质量、规格、数量和运行状况及其他进行检验。如发现质量、规格、数量和运行状况等任何一项与招标采购要求规定不符，甲方有权拒绝验收。</w:t>
      </w:r>
    </w:p>
    <w:p>
      <w:pPr>
        <w:pStyle w:val="null3"/>
        <w:ind w:firstLine="440"/>
        <w:jc w:val="both"/>
      </w:pPr>
      <w:r>
        <w:rPr>
          <w:sz w:val="21"/>
        </w:rPr>
        <w:t>十、产品的保管：</w:t>
      </w:r>
    </w:p>
    <w:p>
      <w:pPr>
        <w:pStyle w:val="null3"/>
        <w:ind w:firstLine="440"/>
        <w:jc w:val="both"/>
      </w:pPr>
      <w:r>
        <w:rPr>
          <w:sz w:val="21"/>
        </w:rPr>
        <w:t>产品运抵现场后至进场安装前，甲方负责或指定设备安装施工单位保管，乙方予以配合，保管条件及方案由乙方指导和确认。</w:t>
      </w:r>
    </w:p>
    <w:p>
      <w:pPr>
        <w:pStyle w:val="null3"/>
        <w:ind w:firstLine="440"/>
        <w:jc w:val="both"/>
      </w:pPr>
      <w:r>
        <w:rPr>
          <w:sz w:val="21"/>
        </w:rPr>
        <w:t>十一、设备的安装调试及培训：</w:t>
      </w:r>
    </w:p>
    <w:p>
      <w:pPr>
        <w:pStyle w:val="null3"/>
        <w:ind w:firstLine="440"/>
        <w:jc w:val="both"/>
      </w:pPr>
      <w:r>
        <w:rPr>
          <w:sz w:val="21"/>
        </w:rPr>
        <w:t xml:space="preserve">1. </w:t>
      </w:r>
      <w:r>
        <w:rPr>
          <w:sz w:val="21"/>
        </w:rPr>
        <w:t>乙方应在交货期前对设备进行安装和调试，对设备所要求的各项指标进行测试，保证通过竣工验收。</w:t>
      </w:r>
    </w:p>
    <w:p>
      <w:pPr>
        <w:pStyle w:val="null3"/>
        <w:ind w:firstLine="440"/>
        <w:jc w:val="both"/>
      </w:pPr>
      <w:r>
        <w:rPr>
          <w:sz w:val="21"/>
        </w:rPr>
        <w:t xml:space="preserve">2. </w:t>
      </w:r>
      <w:r>
        <w:rPr>
          <w:sz w:val="21"/>
        </w:rPr>
        <w:t>培训服务要求：</w:t>
      </w:r>
    </w:p>
    <w:p>
      <w:pPr>
        <w:pStyle w:val="null3"/>
        <w:ind w:firstLine="440"/>
        <w:jc w:val="both"/>
      </w:pPr>
      <w:r>
        <w:rPr>
          <w:sz w:val="21"/>
        </w:rPr>
        <w:t>2.1.</w:t>
      </w:r>
      <w:r>
        <w:rPr>
          <w:sz w:val="21"/>
        </w:rPr>
        <w:t>乙方所提供的培训授课人必须是经过厂家认证工程师、技术员等。</w:t>
      </w:r>
    </w:p>
    <w:p>
      <w:pPr>
        <w:pStyle w:val="null3"/>
        <w:ind w:firstLine="440"/>
        <w:jc w:val="both"/>
      </w:pPr>
      <w:r>
        <w:rPr>
          <w:sz w:val="21"/>
        </w:rPr>
        <w:t>2.2.</w:t>
      </w:r>
      <w:r>
        <w:rPr>
          <w:sz w:val="21"/>
        </w:rPr>
        <w:t>乙方必须为所有被培训人员提供培训用文字资料和讲义等相关用品。所有的资料必须是中文书写或提供中文译本。</w:t>
      </w:r>
    </w:p>
    <w:p>
      <w:pPr>
        <w:pStyle w:val="null3"/>
        <w:ind w:firstLine="440"/>
        <w:jc w:val="both"/>
      </w:pPr>
      <w:r>
        <w:rPr>
          <w:sz w:val="21"/>
        </w:rPr>
        <w:t>十二、售后服务：</w:t>
      </w:r>
    </w:p>
    <w:p>
      <w:pPr>
        <w:pStyle w:val="null3"/>
        <w:ind w:firstLine="440"/>
        <w:jc w:val="both"/>
      </w:pPr>
      <w:r>
        <w:rPr>
          <w:sz w:val="21"/>
        </w:rPr>
        <w:t xml:space="preserve">1. </w:t>
      </w:r>
      <w:r>
        <w:rPr>
          <w:sz w:val="21"/>
        </w:rPr>
        <w:t>乙方负责设备质量保证期内的正常使用，承担技术支持。在合同规定的质保期内，如有故障设备故障报修的响应时间：提供</w:t>
      </w:r>
      <w:r>
        <w:rPr>
          <w:sz w:val="21"/>
        </w:rPr>
        <w:t>7</w:t>
      </w:r>
      <w:r>
        <w:rPr>
          <w:sz w:val="21"/>
        </w:rPr>
        <w:t>×</w:t>
      </w:r>
      <w:r>
        <w:rPr>
          <w:sz w:val="21"/>
        </w:rPr>
        <w:t>24</w:t>
      </w:r>
      <w:r>
        <w:rPr>
          <w:sz w:val="21"/>
        </w:rPr>
        <w:t>服务；接到报修电话半小时内作出响应、</w:t>
      </w:r>
      <w:r>
        <w:rPr>
          <w:sz w:val="21"/>
        </w:rPr>
        <w:t>24</w:t>
      </w:r>
      <w:r>
        <w:rPr>
          <w:sz w:val="21"/>
        </w:rPr>
        <w:t>小时内处理故障。</w:t>
      </w:r>
    </w:p>
    <w:p>
      <w:pPr>
        <w:pStyle w:val="null3"/>
        <w:ind w:firstLine="440"/>
        <w:jc w:val="both"/>
      </w:pPr>
      <w:r>
        <w:rPr>
          <w:sz w:val="21"/>
        </w:rPr>
        <w:t xml:space="preserve">2. </w:t>
      </w:r>
      <w:r>
        <w:rPr>
          <w:sz w:val="21"/>
        </w:rPr>
        <w:t>保修期内非甲方的人为原因而出现产品质量问题，由乙方负责包修、包换或包退，并承担因此而产生的一切费用。</w:t>
      </w:r>
    </w:p>
    <w:p>
      <w:pPr>
        <w:pStyle w:val="null3"/>
        <w:ind w:firstLine="440"/>
        <w:jc w:val="both"/>
      </w:pPr>
      <w:r>
        <w:rPr>
          <w:sz w:val="21"/>
        </w:rPr>
        <w:t xml:space="preserve">3. </w:t>
      </w:r>
      <w:r>
        <w:rPr>
          <w:sz w:val="21"/>
        </w:rPr>
        <w:t>下列情况乙方不负责免费保修：</w:t>
      </w:r>
    </w:p>
    <w:p>
      <w:pPr>
        <w:pStyle w:val="null3"/>
        <w:ind w:firstLine="440"/>
        <w:jc w:val="both"/>
      </w:pPr>
      <w:r>
        <w:rPr>
          <w:sz w:val="21"/>
        </w:rPr>
        <w:t>3.1.</w:t>
      </w:r>
      <w:r>
        <w:rPr>
          <w:sz w:val="21"/>
        </w:rPr>
        <w:t>甲方不按照乙方提供的正确使用方法而引致货物故障损坏。</w:t>
      </w:r>
    </w:p>
    <w:p>
      <w:pPr>
        <w:pStyle w:val="null3"/>
        <w:ind w:firstLine="440"/>
        <w:jc w:val="both"/>
      </w:pPr>
      <w:r>
        <w:rPr>
          <w:sz w:val="21"/>
        </w:rPr>
        <w:t>3.2.</w:t>
      </w:r>
      <w:r>
        <w:rPr>
          <w:sz w:val="21"/>
        </w:rPr>
        <w:t>擅自改装货物。</w:t>
      </w:r>
    </w:p>
    <w:p>
      <w:pPr>
        <w:pStyle w:val="null3"/>
        <w:ind w:firstLine="440"/>
        <w:jc w:val="both"/>
      </w:pPr>
      <w:r>
        <w:rPr>
          <w:sz w:val="21"/>
        </w:rPr>
        <w:t>3.3.</w:t>
      </w:r>
      <w:r>
        <w:rPr>
          <w:sz w:val="21"/>
        </w:rPr>
        <w:t>各种人为因素或非抗力因素造成的损坏。</w:t>
      </w:r>
    </w:p>
    <w:p>
      <w:pPr>
        <w:pStyle w:val="null3"/>
        <w:ind w:firstLine="440"/>
        <w:jc w:val="both"/>
      </w:pPr>
      <w:r>
        <w:rPr>
          <w:sz w:val="21"/>
        </w:rPr>
        <w:t>4.</w:t>
      </w:r>
      <w:r>
        <w:rPr>
          <w:sz w:val="21"/>
        </w:rPr>
        <w:t>所有设备保修服务方式均为乙方上门保修，即由乙方或原厂派员到用户设备使用现场维修。由此产生的一切费用均由乙方承担。</w:t>
      </w:r>
    </w:p>
    <w:p>
      <w:pPr>
        <w:pStyle w:val="null3"/>
        <w:ind w:firstLine="440"/>
        <w:jc w:val="both"/>
      </w:pPr>
      <w:r>
        <w:rPr>
          <w:sz w:val="21"/>
        </w:rPr>
        <w:t xml:space="preserve">5. </w:t>
      </w:r>
      <w:r>
        <w:rPr>
          <w:sz w:val="21"/>
        </w:rPr>
        <w:t>乙方负责整个系统运行的稳定性，负责免费更换故障部件。</w:t>
      </w:r>
    </w:p>
    <w:p>
      <w:pPr>
        <w:pStyle w:val="null3"/>
        <w:ind w:firstLine="440"/>
        <w:jc w:val="both"/>
      </w:pPr>
      <w:r>
        <w:rPr>
          <w:sz w:val="21"/>
        </w:rPr>
        <w:t xml:space="preserve">6. </w:t>
      </w:r>
      <w:r>
        <w:rPr>
          <w:sz w:val="21"/>
        </w:rPr>
        <w:t>乙方将于验收后向用户提供设备接线与安装图、设备使用手册与设备维修保养手册等。</w:t>
      </w:r>
    </w:p>
    <w:p>
      <w:pPr>
        <w:pStyle w:val="null3"/>
        <w:ind w:firstLine="440"/>
        <w:jc w:val="both"/>
      </w:pPr>
      <w:r>
        <w:rPr>
          <w:sz w:val="21"/>
        </w:rPr>
        <w:t xml:space="preserve">7. </w:t>
      </w:r>
      <w:r>
        <w:rPr>
          <w:sz w:val="21"/>
        </w:rPr>
        <w:t>因货物的质量问题而发生争议，由广东省或东莞市质检部门进行质量鉴定。货物符合质量标准的，鉴定费用由甲方承担；货物不符合质量标准的，鉴定费用由乙方承担，乙方并行承担相关责任和义务。</w:t>
      </w:r>
    </w:p>
    <w:p>
      <w:pPr>
        <w:pStyle w:val="null3"/>
        <w:ind w:firstLine="440"/>
        <w:jc w:val="both"/>
      </w:pPr>
      <w:r>
        <w:rPr>
          <w:sz w:val="21"/>
        </w:rPr>
        <w:t xml:space="preserve">8. </w:t>
      </w:r>
      <w:r>
        <w:rPr>
          <w:sz w:val="21"/>
        </w:rPr>
        <w:t>保修期后设备维护服务：</w:t>
      </w:r>
    </w:p>
    <w:p>
      <w:pPr>
        <w:pStyle w:val="null3"/>
        <w:ind w:firstLine="440"/>
        <w:jc w:val="both"/>
      </w:pPr>
      <w:r>
        <w:rPr>
          <w:sz w:val="21"/>
        </w:rPr>
        <w:t>8.1.</w:t>
      </w:r>
      <w:r>
        <w:rPr>
          <w:sz w:val="21"/>
        </w:rPr>
        <w:t>质保期满后，若有零部件出现故障，经权威部门鉴定属于寿命异常问题（明显短于该零部件正常寿命）时，则由乙方负责免费更换及维修。</w:t>
      </w:r>
    </w:p>
    <w:p>
      <w:pPr>
        <w:pStyle w:val="null3"/>
        <w:ind w:firstLine="440"/>
        <w:jc w:val="both"/>
      </w:pPr>
      <w:r>
        <w:rPr>
          <w:sz w:val="21"/>
        </w:rPr>
        <w:t>8.2.</w:t>
      </w:r>
      <w:r>
        <w:rPr>
          <w:sz w:val="21"/>
        </w:rPr>
        <w:t>质保期满后，乙方仍有责任保障机器正常运作，如需维修，乙方将（参考当时的市场价格）按优惠价格提供用户所需零配件。</w:t>
      </w:r>
    </w:p>
    <w:p>
      <w:pPr>
        <w:pStyle w:val="null3"/>
        <w:ind w:firstLine="440"/>
        <w:jc w:val="both"/>
      </w:pPr>
      <w:r>
        <w:rPr>
          <w:sz w:val="21"/>
        </w:rPr>
        <w:t>8.3.</w:t>
      </w:r>
      <w:r>
        <w:rPr>
          <w:sz w:val="21"/>
        </w:rPr>
        <w:t>遇设备（或配件）即将停产，乙方有义务提前通知甲方，使甲方有足够的时间采购所需备件。</w:t>
      </w:r>
    </w:p>
    <w:p>
      <w:pPr>
        <w:pStyle w:val="null3"/>
        <w:ind w:firstLine="440"/>
        <w:jc w:val="both"/>
      </w:pPr>
      <w:r>
        <w:rPr>
          <w:sz w:val="21"/>
        </w:rPr>
        <w:t>十三、违约责任：</w:t>
      </w:r>
    </w:p>
    <w:p>
      <w:pPr>
        <w:pStyle w:val="null3"/>
        <w:ind w:firstLine="440"/>
        <w:jc w:val="both"/>
      </w:pPr>
      <w:r>
        <w:rPr>
          <w:sz w:val="21"/>
        </w:rPr>
        <w:t xml:space="preserve">1. </w:t>
      </w:r>
      <w:r>
        <w:rPr>
          <w:sz w:val="21"/>
        </w:rPr>
        <w:t>合同生效后，乙方不能交货或不能依约提供技术服务或单方中止合同，则乙方按合同总价的</w:t>
      </w:r>
      <w:r>
        <w:rPr>
          <w:sz w:val="21"/>
        </w:rPr>
        <w:t>10</w:t>
      </w:r>
      <w:r>
        <w:rPr>
          <w:sz w:val="21"/>
        </w:rPr>
        <w:t>％支付违约金给甲方；如因乙方原因导致延迟交货，每逾期一天乙方则按合同总价的万分之五支付违约金给甲方；如逾期超过</w:t>
      </w:r>
      <w:r>
        <w:rPr>
          <w:sz w:val="21"/>
        </w:rPr>
        <w:t>60</w:t>
      </w:r>
      <w:r>
        <w:rPr>
          <w:sz w:val="21"/>
        </w:rPr>
        <w:t>天，甲方有权终止合同并追究乙方责任（包含由此造成的一切损失）。如因乙方技术服务原因导致设备安装调试及竣工验收延迟，则乙方按合同总价的</w:t>
      </w:r>
      <w:r>
        <w:rPr>
          <w:sz w:val="21"/>
        </w:rPr>
        <w:t>5</w:t>
      </w:r>
      <w:r>
        <w:rPr>
          <w:sz w:val="21"/>
        </w:rPr>
        <w:t>％向甲方支付违约金。</w:t>
      </w:r>
    </w:p>
    <w:p>
      <w:pPr>
        <w:pStyle w:val="null3"/>
        <w:ind w:firstLine="440"/>
        <w:jc w:val="both"/>
      </w:pPr>
      <w:r>
        <w:rPr>
          <w:sz w:val="21"/>
        </w:rPr>
        <w:t xml:space="preserve">2. </w:t>
      </w:r>
      <w:r>
        <w:rPr>
          <w:sz w:val="21"/>
        </w:rPr>
        <w:t>由于不可抗力因素（指火灾、地震、洪水、战争等）使乙方不能在合同规定的期限内交货时，乙方必须立即以书面形式通知甲方，并以书面形式向甲方提供有关政府机关所出具的不可抗力因素证明。</w:t>
      </w:r>
    </w:p>
    <w:p>
      <w:pPr>
        <w:pStyle w:val="null3"/>
        <w:ind w:firstLine="440"/>
        <w:jc w:val="both"/>
      </w:pPr>
      <w:r>
        <w:rPr>
          <w:sz w:val="21"/>
        </w:rPr>
        <w:t xml:space="preserve">3. </w:t>
      </w:r>
      <w:r>
        <w:rPr>
          <w:sz w:val="21"/>
        </w:rPr>
        <w:t>在不可抗力发生时，乙方应尽快以书面形式将不可抗力的情况和原因通知甲方。除非甲方书面另有要求，乙方应尽可能减少损失，以及寻求合理的方案履行未受不可抗力影响的其它事项。如因不可抗力导致合同不能履约，并在</w:t>
      </w:r>
      <w:r>
        <w:rPr>
          <w:sz w:val="21"/>
        </w:rPr>
        <w:t>30</w:t>
      </w:r>
      <w:r>
        <w:rPr>
          <w:sz w:val="21"/>
        </w:rPr>
        <w:t>天内不能恢复履约，则任何一方可提出终止合同。在这种情况下，双方应协商解决合同终止以前双方应得的利益问题。</w:t>
      </w:r>
    </w:p>
    <w:p>
      <w:pPr>
        <w:pStyle w:val="null3"/>
        <w:ind w:firstLine="440"/>
        <w:jc w:val="both"/>
      </w:pPr>
      <w:r>
        <w:rPr>
          <w:sz w:val="21"/>
        </w:rPr>
        <w:t xml:space="preserve">4. </w:t>
      </w:r>
      <w:r>
        <w:rPr>
          <w:sz w:val="21"/>
        </w:rPr>
        <w:t>在合同执行过程中，乙方所供货物质量不符合合同要求或国家与行业标准，甲方有权单方面中止合同，因此造成的所有损失由乙方承担，同时按合同总价的</w:t>
      </w:r>
      <w:r>
        <w:rPr>
          <w:sz w:val="21"/>
        </w:rPr>
        <w:t>10</w:t>
      </w:r>
      <w:r>
        <w:rPr>
          <w:sz w:val="21"/>
        </w:rPr>
        <w:t>％支付违约金给甲方。</w:t>
      </w:r>
    </w:p>
    <w:p>
      <w:pPr>
        <w:pStyle w:val="null3"/>
        <w:ind w:firstLine="440"/>
        <w:jc w:val="both"/>
      </w:pPr>
      <w:r>
        <w:rPr>
          <w:sz w:val="21"/>
        </w:rPr>
        <w:t xml:space="preserve">5. </w:t>
      </w:r>
      <w:r>
        <w:rPr>
          <w:sz w:val="21"/>
        </w:rPr>
        <w:t>因甲方原因导致乙方无法正常交货，甲方需以书面形式提前通知乙方，因此导致的交货延期责任，乙方不需承担。</w:t>
      </w:r>
    </w:p>
    <w:p>
      <w:pPr>
        <w:pStyle w:val="null3"/>
        <w:ind w:firstLine="440"/>
        <w:jc w:val="both"/>
      </w:pPr>
      <w:r>
        <w:rPr>
          <w:sz w:val="21"/>
        </w:rPr>
        <w:t xml:space="preserve">6. </w:t>
      </w:r>
      <w:r>
        <w:rPr>
          <w:sz w:val="21"/>
        </w:rPr>
        <w:t>合同生效后，甲方单方中止合同，甲方需支付乙方已经交货设备的总价，同时按合同总价的</w:t>
      </w:r>
      <w:r>
        <w:rPr>
          <w:sz w:val="21"/>
        </w:rPr>
        <w:t>10</w:t>
      </w:r>
      <w:r>
        <w:rPr>
          <w:sz w:val="21"/>
        </w:rPr>
        <w:t>％支付违约金给乙方。</w:t>
      </w:r>
    </w:p>
    <w:p>
      <w:pPr>
        <w:pStyle w:val="null3"/>
        <w:ind w:firstLine="440"/>
        <w:jc w:val="both"/>
      </w:pPr>
      <w:r>
        <w:rPr>
          <w:sz w:val="21"/>
        </w:rPr>
        <w:t xml:space="preserve">7. </w:t>
      </w:r>
      <w:r>
        <w:rPr>
          <w:sz w:val="21"/>
        </w:rPr>
        <w:t>甲方原因导致延迟付款，每逾期一天甲方则按合同总价的万分之五支付违约金给乙方。</w:t>
      </w:r>
    </w:p>
    <w:p>
      <w:pPr>
        <w:pStyle w:val="null3"/>
        <w:ind w:firstLine="440"/>
        <w:jc w:val="both"/>
      </w:pPr>
      <w:r>
        <w:rPr>
          <w:sz w:val="21"/>
        </w:rPr>
        <w:t>十四、争议解决：</w:t>
      </w:r>
    </w:p>
    <w:p>
      <w:pPr>
        <w:pStyle w:val="null3"/>
        <w:ind w:firstLine="440"/>
        <w:jc w:val="both"/>
      </w:pPr>
      <w:r>
        <w:rPr>
          <w:sz w:val="21"/>
        </w:rPr>
        <w:t>凡有关本合同或执行本合同而发生的一切争执应通过双方友好协商解决，如不能解决，双方均可将争议提交合同履行地的法院进行裁决。</w:t>
      </w:r>
    </w:p>
    <w:p>
      <w:pPr>
        <w:pStyle w:val="null3"/>
        <w:ind w:firstLine="440"/>
        <w:jc w:val="both"/>
      </w:pPr>
      <w:r>
        <w:rPr>
          <w:sz w:val="21"/>
        </w:rPr>
        <w:t>十五、合同构成</w:t>
      </w:r>
    </w:p>
    <w:p>
      <w:pPr>
        <w:pStyle w:val="null3"/>
        <w:ind w:firstLine="440"/>
        <w:jc w:val="both"/>
      </w:pPr>
      <w:r>
        <w:rPr>
          <w:sz w:val="21"/>
        </w:rPr>
        <w:t>下述文件是构成合同不可分割的部分，应一并阅读和理解。</w:t>
      </w:r>
    </w:p>
    <w:p>
      <w:pPr>
        <w:pStyle w:val="null3"/>
        <w:ind w:firstLine="440"/>
        <w:jc w:val="both"/>
      </w:pPr>
      <w:r>
        <w:rPr>
          <w:sz w:val="21"/>
        </w:rPr>
        <w:t>本合同协议书；</w:t>
      </w:r>
    </w:p>
    <w:p>
      <w:pPr>
        <w:pStyle w:val="null3"/>
        <w:ind w:firstLine="440"/>
        <w:jc w:val="both"/>
      </w:pPr>
      <w:r>
        <w:rPr>
          <w:sz w:val="21"/>
        </w:rPr>
        <w:t>中标通知书；</w:t>
      </w:r>
    </w:p>
    <w:p>
      <w:pPr>
        <w:pStyle w:val="null3"/>
        <w:ind w:firstLine="440"/>
        <w:jc w:val="both"/>
      </w:pPr>
      <w:r>
        <w:rPr>
          <w:sz w:val="21"/>
        </w:rPr>
        <w:t>招标文件及附件；</w:t>
      </w:r>
    </w:p>
    <w:p>
      <w:pPr>
        <w:pStyle w:val="null3"/>
        <w:ind w:firstLine="440"/>
        <w:jc w:val="both"/>
      </w:pPr>
      <w:r>
        <w:rPr>
          <w:sz w:val="21"/>
        </w:rPr>
        <w:t>投标文件及附件；</w:t>
      </w:r>
    </w:p>
    <w:p>
      <w:pPr>
        <w:pStyle w:val="null3"/>
        <w:ind w:firstLine="440"/>
        <w:jc w:val="both"/>
      </w:pPr>
      <w:r>
        <w:rPr>
          <w:sz w:val="21"/>
        </w:rPr>
        <w:t>经双方协商一致达成的补充协议。</w:t>
      </w:r>
    </w:p>
    <w:p>
      <w:pPr>
        <w:pStyle w:val="null3"/>
        <w:jc w:val="both"/>
      </w:pPr>
      <w:r>
        <w:rPr>
          <w:sz w:val="21"/>
        </w:rPr>
        <w:t>本合同一式五份，甲方执两份、乙方执两份、政府采购相关监管单位执一份。在双方法定代表人或其授权的代理人签署并加盖公章后正式生效。</w:t>
      </w:r>
    </w:p>
    <w:p>
      <w:pPr>
        <w:pStyle w:val="null3"/>
      </w:pPr>
      <w:r>
        <w:rPr>
          <w:sz w:val="21"/>
        </w:rPr>
        <w:t>甲方：东莞职业技术学院</w:t>
      </w:r>
    </w:p>
    <w:p>
      <w:pPr>
        <w:pStyle w:val="null3"/>
        <w:jc w:val="both"/>
      </w:pPr>
      <w:r>
        <w:rPr>
          <w:sz w:val="21"/>
        </w:rPr>
        <w:t>甲方代表人：</w:t>
      </w:r>
    </w:p>
    <w:p>
      <w:pPr>
        <w:pStyle w:val="null3"/>
        <w:jc w:val="both"/>
      </w:pPr>
      <w:r>
        <w:rPr>
          <w:sz w:val="21"/>
        </w:rPr>
        <w:t>签订日期：</w:t>
      </w:r>
    </w:p>
    <w:p>
      <w:pPr>
        <w:pStyle w:val="null3"/>
        <w:jc w:val="both"/>
      </w:pPr>
      <w:r>
        <w:rPr>
          <w:sz w:val="21"/>
        </w:rPr>
        <w:t>地址：东莞市松山湖区大学路</w:t>
      </w:r>
      <w:r>
        <w:rPr>
          <w:sz w:val="21"/>
        </w:rPr>
        <w:t>3</w:t>
      </w:r>
      <w:r>
        <w:rPr>
          <w:sz w:val="21"/>
        </w:rPr>
        <w:t>号</w:t>
      </w:r>
    </w:p>
    <w:p>
      <w:pPr>
        <w:pStyle w:val="null3"/>
        <w:jc w:val="both"/>
      </w:pPr>
      <w:r>
        <w:rPr>
          <w:sz w:val="21"/>
        </w:rPr>
        <w:t>邮编：</w:t>
      </w:r>
      <w:r>
        <w:rPr>
          <w:sz w:val="21"/>
        </w:rPr>
        <w:t>523808</w:t>
      </w:r>
    </w:p>
    <w:p>
      <w:pPr>
        <w:pStyle w:val="null3"/>
        <w:jc w:val="both"/>
      </w:pPr>
      <w:r>
        <w:rPr>
          <w:sz w:val="21"/>
        </w:rPr>
        <w:t>电话：</w:t>
      </w:r>
    </w:p>
    <w:p>
      <w:pPr>
        <w:pStyle w:val="null3"/>
        <w:jc w:val="both"/>
      </w:pPr>
      <w:r>
        <w:rPr>
          <w:sz w:val="21"/>
        </w:rPr>
        <w:t>乙方：</w:t>
      </w:r>
    </w:p>
    <w:p>
      <w:pPr>
        <w:pStyle w:val="null3"/>
        <w:jc w:val="both"/>
      </w:pPr>
      <w:r>
        <w:rPr>
          <w:sz w:val="21"/>
        </w:rPr>
        <w:t>乙方代表人：</w:t>
      </w:r>
    </w:p>
    <w:p>
      <w:pPr>
        <w:pStyle w:val="null3"/>
        <w:jc w:val="both"/>
      </w:pPr>
      <w:r>
        <w:rPr>
          <w:sz w:val="21"/>
        </w:rPr>
        <w:t>签订日期：</w:t>
      </w:r>
    </w:p>
    <w:p>
      <w:pPr>
        <w:pStyle w:val="null3"/>
        <w:jc w:val="both"/>
      </w:pPr>
      <w:r>
        <w:rPr>
          <w:sz w:val="21"/>
        </w:rPr>
        <w:t>地址：</w:t>
      </w:r>
      <w:r>
        <w:rPr>
          <w:sz w:val="21"/>
        </w:rPr>
        <w:t xml:space="preserve">  </w:t>
      </w:r>
    </w:p>
    <w:p>
      <w:pPr>
        <w:pStyle w:val="null3"/>
        <w:jc w:val="both"/>
      </w:pPr>
      <w:r>
        <w:rPr>
          <w:sz w:val="21"/>
        </w:rPr>
        <w:t>邮编：</w:t>
      </w:r>
    </w:p>
    <w:p>
      <w:pPr>
        <w:pStyle w:val="null3"/>
      </w:pPr>
      <w:r>
        <w:rPr>
          <w:sz w:val="21"/>
        </w:rPr>
        <w:t>电话：</w:t>
      </w:r>
    </w:p>
    <w:p>
      <w:pPr>
        <w:pStyle w:val="null3"/>
      </w:pPr>
      <w:r>
        <w:rPr>
          <w:sz w:val="21"/>
        </w:rPr>
        <w:t>开户银行：</w:t>
      </w:r>
    </w:p>
    <w:p>
      <w:pPr>
        <w:pStyle w:val="null3"/>
      </w:pPr>
      <w:r>
        <w:rPr>
          <w:sz w:val="21"/>
        </w:rPr>
        <w:t>帐户名称：</w:t>
      </w:r>
    </w:p>
    <w:p>
      <w:pPr>
        <w:pStyle w:val="null3"/>
      </w:pPr>
      <w:r>
        <w:rPr>
          <w:sz w:val="21"/>
        </w:rPr>
        <w:t>开户帐号：</w:t>
      </w:r>
    </w:p>
    <w:p>
      <w:pPr>
        <w:pStyle w:val="null3"/>
      </w:pPr>
      <w:r>
        <w:rPr>
          <w:sz w:val="21"/>
          <w:b/>
        </w:rPr>
        <w:t>合同附件：设备明细表</w:t>
      </w:r>
    </w:p>
    <w:tbl>
      <w:tblPr>
        <w:tblW w:w="0" w:type="auto"/>
        <w:tblBorders>
          <w:top w:val="none" w:color="000000" w:sz="4"/>
          <w:left w:val="none" w:color="000000" w:sz="4"/>
          <w:bottom w:val="none" w:color="000000" w:sz="4"/>
          <w:right w:val="none" w:color="000000" w:sz="4"/>
          <w:insideH w:val="none"/>
          <w:insideV w:val="none"/>
        </w:tblBorders>
      </w:tblPr>
      <w:tblGrid>
        <w:gridCol w:w="338"/>
        <w:gridCol w:w="676"/>
        <w:gridCol w:w="749"/>
        <w:gridCol w:w="724"/>
        <w:gridCol w:w="881"/>
        <w:gridCol w:w="423"/>
        <w:gridCol w:w="531"/>
        <w:gridCol w:w="592"/>
        <w:gridCol w:w="3392"/>
      </w:tblGrid>
      <w:tr>
        <w:tc>
          <w:tcPr>
            <w:tcW w:type="dxa" w:w="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品牌及原产地</w:t>
            </w:r>
          </w:p>
        </w:tc>
        <w:tc>
          <w:tcPr>
            <w:tcW w:type="dxa" w:w="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制造商</w:t>
            </w:r>
          </w:p>
        </w:tc>
        <w:tc>
          <w:tcPr>
            <w:tcW w:type="dxa" w:w="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4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5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c>
          <w:tcPr>
            <w:tcW w:type="dxa" w:w="3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技术参数</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总计</w:t>
            </w:r>
          </w:p>
        </w:tc>
        <w:tc>
          <w:tcPr>
            <w:tcW w:type="dxa" w:w="7292"/>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 xml:space="preserve">     </w:t>
            </w:r>
            <w:r>
              <w:rPr>
                <w:sz w:val="21"/>
              </w:rPr>
              <w:t>元（人民币</w:t>
            </w:r>
            <w:r>
              <w:rPr>
                <w:sz w:val="21"/>
              </w:rPr>
              <w:t xml:space="preserve">      </w:t>
            </w:r>
            <w:r>
              <w:rPr>
                <w:sz w:val="21"/>
              </w:rPr>
              <w:t>整）</w:t>
            </w:r>
          </w:p>
        </w:tc>
      </w:tr>
    </w:tbl>
    <w:p>
      <w:pPr>
        <w:pStyle w:val="null3"/>
        <w:jc w:val="center"/>
      </w:pPr>
      <w:r>
        <w:rPr/>
        <w:t xml:space="preserve"> </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441901-2026-01234</w:t>
      </w:r>
    </w:p>
    <w:p>
      <w:pPr>
        <w:pStyle w:val="null3"/>
        <w:jc w:val="center"/>
        <w:outlineLvl w:val="3"/>
      </w:pPr>
      <w:r>
        <w:rPr>
          <w:sz w:val="24"/>
          <w:b/>
        </w:rPr>
        <w:t>采购项目编号：</w:t>
      </w:r>
      <w:r>
        <w:rPr>
          <w:sz w:val="24"/>
          <w:b/>
        </w:rPr>
        <w:t>441901-2026-01234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东莞市聚福招标代理有限公司</w:t>
      </w:r>
    </w:p>
    <w:p>
      <w:pPr>
        <w:pStyle w:val="null3"/>
        <w:ind w:firstLine="480"/>
      </w:pPr>
      <w:r>
        <w:rPr/>
        <w:t xml:space="preserve"> 你方组织的</w:t>
      </w:r>
      <w:r>
        <w:rPr>
          <w:u w:val="single"/>
        </w:rPr>
        <w:t>“</w:t>
      </w:r>
      <w:r>
        <w:rPr>
          <w:u w:val="single"/>
        </w:rPr>
        <w:t>VR数字技术实训室设备采购项目</w:t>
      </w:r>
      <w:r>
        <w:rPr>
          <w:u w:val="single"/>
        </w:rPr>
        <w:t>”</w:t>
      </w:r>
      <w:r>
        <w:rPr/>
        <w:t>项目的招标[采购项目编号为：</w:t>
      </w:r>
      <w:r>
        <w:rPr>
          <w:u w:val="single"/>
        </w:rPr>
        <w:t>441901-2026-01234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VR数字技术实训室设备采购项目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东莞市聚福招标代理有限公司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VR数字技术实训室设备采购项目</w:t>
      </w:r>
      <w:r>
        <w:rPr/>
        <w:t>”项目采购[采购项目编号为</w:t>
      </w:r>
      <w:r>
        <w:rPr/>
        <w:t>441901-2026-01234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东莞职业技术学院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东莞市聚福招标代理有限公司</w:t>
      </w:r>
    </w:p>
    <w:p>
      <w:pPr>
        <w:pStyle w:val="null3"/>
        <w:ind w:firstLine="480"/>
      </w:pPr>
      <w:r>
        <w:rPr/>
        <w:t xml:space="preserve"> 如果我方在贵采购代理机构组织的</w:t>
      </w:r>
      <w:r>
        <w:rPr/>
        <w:t>VR数字技术实训室设备采购项目</w:t>
      </w:r>
      <w:r>
        <w:rPr/>
        <w:t>招标中获中标（采购项目编号：</w:t>
      </w:r>
      <w:r>
        <w:rPr/>
        <w:t>441901-2026-01234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东莞市聚福招标代理有限公司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东莞市聚福招标代理有限公司</w:t>
      </w:r>
    </w:p>
    <w:p>
      <w:pPr>
        <w:pStyle w:val="null3"/>
        <w:ind w:firstLine="480"/>
      </w:pPr>
      <w:r>
        <w:rPr/>
        <w:t>我单位已登记并准备参与“</w:t>
      </w:r>
      <w:r>
        <w:rPr/>
        <w:t>VR数字技术实训室设备采购项目</w:t>
      </w:r>
      <w:r>
        <w:rPr/>
        <w:t>”项目（采购项目编号：</w:t>
      </w:r>
      <w:r>
        <w:rPr/>
        <w:t>441901-2026-01234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