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版本号：ZHZB2025-008-120250517001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宜君县2025年城市更新部分征收房屋拆除项目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ZHZB2025-008-1</w:t>
      </w:r>
      <w:r>
        <w:br/>
      </w:r>
      <w:r>
        <w:br/>
      </w:r>
      <w:r>
        <w:br/>
      </w:r>
    </w:p>
    <w:p>
      <w:pPr>
        <w:pStyle w:val="null3"/>
        <w:jc w:val="center"/>
        <w:outlineLvl w:val="2"/>
      </w:pPr>
      <w:r>
        <w:rPr>
          <w:rFonts w:ascii="仿宋_GB2312" w:hAnsi="仿宋_GB2312" w:cs="仿宋_GB2312" w:eastAsia="仿宋_GB2312"/>
          <w:sz w:val="28"/>
          <w:b/>
        </w:rPr>
        <w:t>宜君县房屋征收管理中心</w:t>
      </w:r>
    </w:p>
    <w:p>
      <w:pPr>
        <w:pStyle w:val="null3"/>
        <w:jc w:val="center"/>
        <w:outlineLvl w:val="2"/>
      </w:pPr>
      <w:r>
        <w:rPr>
          <w:rFonts w:ascii="仿宋_GB2312" w:hAnsi="仿宋_GB2312" w:cs="仿宋_GB2312" w:eastAsia="仿宋_GB2312"/>
          <w:sz w:val="28"/>
          <w:b/>
        </w:rPr>
        <w:t>中昊泰达咨询集团有限公司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中昊泰达咨询集团有限公司</w:t>
      </w:r>
      <w:r>
        <w:rPr>
          <w:rFonts w:ascii="仿宋_GB2312" w:hAnsi="仿宋_GB2312" w:cs="仿宋_GB2312" w:eastAsia="仿宋_GB2312"/>
        </w:rPr>
        <w:t>（以下简称“代理机构”）受</w:t>
      </w:r>
      <w:r>
        <w:rPr>
          <w:rFonts w:ascii="仿宋_GB2312" w:hAnsi="仿宋_GB2312" w:cs="仿宋_GB2312" w:eastAsia="仿宋_GB2312"/>
        </w:rPr>
        <w:t>宜君县房屋征收管理中心</w:t>
      </w:r>
      <w:r>
        <w:rPr>
          <w:rFonts w:ascii="仿宋_GB2312" w:hAnsi="仿宋_GB2312" w:cs="仿宋_GB2312" w:eastAsia="仿宋_GB2312"/>
        </w:rPr>
        <w:t>委托，拟对</w:t>
      </w:r>
      <w:r>
        <w:rPr>
          <w:rFonts w:ascii="仿宋_GB2312" w:hAnsi="仿宋_GB2312" w:cs="仿宋_GB2312" w:eastAsia="仿宋_GB2312"/>
        </w:rPr>
        <w:t>宜君县2025年城市更新部分征收房屋拆除项目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ZHZB2025-008-1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宜君县2025年城市更新部分征收房屋拆除项目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宜君县人民政府《关于宜君县城市更新重点区域部分房屋征收有关事项的决定》(君政发〔2022]8号)文件要求，宜君县房屋征收管理中心负责实施宜君县城市更新重点区域征收规划红线范围内部分房屋及附属构筑物的征收工作，目前已与该片区范围内石油公司、中医院、图书馆达成拆迁安置协议，现需对该建筑进行拆除，尽快推进该区域城市提升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采购包1（宜君县2025年城市更新部分征收房屋拆除项目）：属于专门面向中小企业采购。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须具备建筑工程施工总承包乙级及以上资质(根据2021年施行的新工程资质审核标准核发)(原施工总承包三级及以上资质仍适用)，同时具备建筑施工企业安全生产许可证，并在人员、设备、资金等方面具备相应的施工能力。</w:t>
      </w:r>
    </w:p>
    <w:p>
      <w:pPr>
        <w:pStyle w:val="null3"/>
      </w:pPr>
      <w:r>
        <w:rPr>
          <w:rFonts w:ascii="仿宋_GB2312" w:hAnsi="仿宋_GB2312" w:cs="仿宋_GB2312" w:eastAsia="仿宋_GB2312"/>
        </w:rPr>
        <w:t>2、拟派项目经理资质和专业要求：拟派项目经理须具备建筑工程专业注册建造师二级及以上资质和有效的安全生产考核合格证，且在本单位注册，未担任其他在建工程项目的项目经理。</w:t>
      </w:r>
    </w:p>
    <w:p>
      <w:pPr>
        <w:pStyle w:val="null3"/>
      </w:pPr>
      <w:r>
        <w:rPr>
          <w:rFonts w:ascii="仿宋_GB2312" w:hAnsi="仿宋_GB2312" w:cs="仿宋_GB2312" w:eastAsia="仿宋_GB2312"/>
        </w:rPr>
        <w:t>3、法定代表人授权书：法定代表人直接参加投标的，须出具法定代表人身份证明书，并与营业执照上信息一致。法定代表人授权代表参加投标的，须出具法定代表人授权书及授权代表身份证复印件。</w:t>
      </w:r>
    </w:p>
    <w:p>
      <w:pPr>
        <w:pStyle w:val="null3"/>
      </w:pPr>
      <w:r>
        <w:rPr>
          <w:rFonts w:ascii="仿宋_GB2312" w:hAnsi="仿宋_GB2312" w:cs="仿宋_GB2312" w:eastAsia="仿宋_GB2312"/>
        </w:rPr>
        <w:t>4、供应商信誉要求：不得为“信用中国”网站(http://ww w.creditchina.gov.cn)列入“失信被执行人、重大税收违法失信主体 、政府采购严重违法失信行为记录名单”的供应商；不得为中国政府采购网(http://w ww.ccgp.gov.cn)“政府采购严重违法失信行为 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宜君县房屋征收管理中心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陕西省铜川市宜君县宜阳北街96号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赵江涛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0919-8172986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中昊泰达咨询集团有限公司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西安市未央区未央路中环大厦A座北梯24层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张俊姣、郭雅楠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029-86686703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采购包1：1,750,194.41元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宜君县房屋征收管理中心</w:t>
      </w:r>
      <w:r>
        <w:rPr>
          <w:rFonts w:ascii="仿宋_GB2312" w:hAnsi="仿宋_GB2312" w:cs="仿宋_GB2312" w:eastAsia="仿宋_GB2312"/>
        </w:rPr>
        <w:t>和</w:t>
      </w:r>
      <w:r>
        <w:rPr>
          <w:rFonts w:ascii="仿宋_GB2312" w:hAnsi="仿宋_GB2312" w:cs="仿宋_GB2312" w:eastAsia="仿宋_GB2312"/>
        </w:rPr>
        <w:t>中昊泰达咨询集团有限公司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宜君县房屋征收管理中心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中昊泰达咨询集团有限公司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宜君县房屋征收管理中心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中昊泰达咨询集团有限公司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中昊泰达咨询集团有限公司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联系人：张俊姣、郭雅楠</w:t>
      </w:r>
    </w:p>
    <w:p>
      <w:pPr>
        <w:pStyle w:val="null3"/>
      </w:pPr>
      <w:r>
        <w:rPr>
          <w:rFonts w:ascii="仿宋_GB2312" w:hAnsi="仿宋_GB2312" w:cs="仿宋_GB2312" w:eastAsia="仿宋_GB2312"/>
        </w:rPr>
        <w:t>联系电话：029-86686703</w:t>
      </w:r>
    </w:p>
    <w:p>
      <w:pPr>
        <w:pStyle w:val="null3"/>
      </w:pPr>
      <w:r>
        <w:rPr>
          <w:rFonts w:ascii="仿宋_GB2312" w:hAnsi="仿宋_GB2312" w:cs="仿宋_GB2312" w:eastAsia="仿宋_GB2312"/>
        </w:rPr>
        <w:t>地址：西安市未央区未央路中环大厦A座北梯24层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1,750,194.41</w:t>
      </w:r>
    </w:p>
    <w:p>
      <w:pPr>
        <w:pStyle w:val="null3"/>
      </w:pPr>
      <w:r>
        <w:rPr>
          <w:rFonts w:ascii="仿宋_GB2312" w:hAnsi="仿宋_GB2312" w:cs="仿宋_GB2312" w:eastAsia="仿宋_GB2312"/>
        </w:rPr>
        <w:t>采购包最高限价（元）: 1,750,194.41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征收房屋拆除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1,750,194.41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标的名称：征收房屋拆除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工程所包括房屋征收范围内所有的建筑物、构筑物拆除</w:t>
            </w:r>
            <w:r>
              <w:rPr>
                <w:rFonts w:ascii="仿宋_GB2312" w:hAnsi="仿宋_GB2312" w:cs="仿宋_GB2312" w:eastAsia="仿宋_GB2312"/>
                <w:sz w:val="22"/>
              </w:rPr>
              <w:t>、</w:t>
            </w:r>
            <w:r>
              <w:rPr>
                <w:rFonts w:ascii="仿宋_GB2312" w:hAnsi="仿宋_GB2312" w:cs="仿宋_GB2312" w:eastAsia="仿宋_GB2312"/>
                <w:sz w:val="22"/>
              </w:rPr>
              <w:t>地上附着物拆除清运、建筑垃圾及生活垃圾清运、渣土清运、安全文明施工、治污减霾、后勤保障、安保、疑难问题处理、协调处理各类与拆迁有关事宜等，并配合甲方及相关单位做好拆迁工作。</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达到国家及省市相关建设工程质量标准的规定，达到“合格”要求。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1.工期：3个月。 2.工程质量：达到国家及省市相关建设工程质量标准的规定，达到“合格”要求。 3.支付方式： （1）双方签订合作协议后，迁动工作开始前支付合同总价的20%； （2）拆迁完成总任务量的90%以上，支付合同总价的60%； （3）工程全面结束，并共同验收合格后，20个工作日内一次性支付剩余20%。 4.成交供应商在开标结束后3个工作日内向代理机构提供纸质版投标文件，投标文件为正本一份，副本二份，电子U盘二份 （U盘内容包括Word版本、签字盖章扫描后的PDF版本投标文件）。纸质投标文件均须A4纸打印，分别各自装订成册并编制目录和页码。与电子竞争性磋商响应文件一致的签字、盖章的完整版本。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1、有效的主体资格证明：具有独立承担民事责任能力，并出具合法有效的营业执照或国家规定的相关证明。 2、税收缴纳证明：提供磋商截止时间前6个月内至少一个月的纳税证明或完税证明（任意税种），依法免税的单位应提供相关证明材料。 3、社会保障资金缴纳证明：提供磋商截止时间前6个月内至少一个月的社会保障资金缴存单据或社保机构开具的社会保险参保缴费情况证明，依法不需要缴纳社会保障资金的单位应提供相关证明材料。 4、书面声明：参加政府采购活动前3年内在经营活动中没有重大违法记录的书面声明。 5、证明材料或承诺：具备履行合同所必需的设备和专业技术能力的证明材料(由供应商根据项目需求提供说明材料或者承诺)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的财务审计报告（至少包括资产负债表和利润表，成立时间至提交响应文件截止时间不足一年的可提供成立后任意时段的资产负债表），或其基本存款账户开户银行出具的资信证明及基本存款账户开户许可证（基本账户信息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乙级及以上资质(根据2021年施行的新工程资质审核标准核发)(原施工总承包三级及以上资质仍适用)，同时具备建筑施工企业安全生产许可证，并在人员、设备、资金等方面具备相应的施工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拟派项目经理须具备建筑工程专业注册建造师二级及以上资质和有效的安全生产考核合格证，且在本单位注册，未担任其他在建工程项目的项目经理。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 项目管理机构组成表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法定代表人直接参加投标的，须出具法定代表人身份证明书，并与营业执照上信息一致。法定代表人授权代表参加投标的，须出具法定代表人授权书及授权代表身份证复印件。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不得为“信用中国”网站(http://ww w.creditchina.gov.cn)列入“失信被执行人、重大税收违法失信主体 、政府采购严重违法失信行为记录名单”的供应商；不得为中国政府采购网(http://w ww.ccgp.gov.cn)“政府采购严重违法失信行为 记录名单”中的供应商。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（1）响应文件的签字盖章：应符合磋商文件要求; （2）响应文件格式：应符合磋商文件要求； （3）报价唯一：只能有一个有效报价，不得提交选择性报价，且报价不超过最高限价。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供应商应提交的相关资格证明材料.docx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投标方案.docx 已标价工程量清单 中小企业声明函 响应偏离表.docx 强制优先采购产品承诺函 响应文件封面 分项报价表.docx 供应商应提交的相关资格证明材料.docx 项目管理机构组成表 残疾人福利性单位声明函 拒绝政府采购领域商业贿赂承诺书.docx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（1）对磋商文件响应程度：要求全面响应，不能有任何采购人不能接受的附加条件；（2）工期：应满足磋商文件中要求；（3）工程质量：应满足磋商文件中要求；（4）磋商有效期：应满足磋商文件中的规定。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1、施工方案详细、合理可行：（7-10]分； 2、施工方案基本全面，合理性、可行性一般：[3-7]分； 3、施工方案不完整，不合理：[0-3）分。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1、人员配备合理，完全满足工作要求：（5-7]分； 2、人员配备较合理，基本满足工作要求：[3-5]分； 3、人员配备不满足要求：[0-3）分。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确保工程工期的技术组织措施</w:t>
            </w:r>
          </w:p>
        </w:tc>
        <w:tc>
          <w:tcPr>
            <w:tcW w:type="dxa" w:w="2492"/>
          </w:tcPr>
          <w:p>
            <w:pPr>
              <w:pStyle w:val="null3"/>
            </w:pPr>
            <w:r>
              <w:rPr>
                <w:rFonts w:ascii="仿宋_GB2312" w:hAnsi="仿宋_GB2312" w:cs="仿宋_GB2312" w:eastAsia="仿宋_GB2312"/>
              </w:rPr>
              <w:t>1、措施合理，可行性强：（4-6]分；2、措施较合理，可行性较强：[2-4]分；3、措施不合理，可行性较差：[0-2）分。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1、措施合理，可行性强：（4-6]分；2、措施较合理，可行性较强：[2-4]分；3、措施不合理，可行性较差：[0-2）分。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确保工程安全生产及文明施工技术组织措施</w:t>
            </w:r>
          </w:p>
        </w:tc>
        <w:tc>
          <w:tcPr>
            <w:tcW w:type="dxa" w:w="2492"/>
          </w:tcPr>
          <w:p>
            <w:pPr>
              <w:pStyle w:val="null3"/>
            </w:pPr>
            <w:r>
              <w:rPr>
                <w:rFonts w:ascii="仿宋_GB2312" w:hAnsi="仿宋_GB2312" w:cs="仿宋_GB2312" w:eastAsia="仿宋_GB2312"/>
              </w:rPr>
              <w:t>1、措施合理，可行性强：（5-7]分；2、措施较合理，可行性较强：[3-5]分；3、措施不合理，可行性较差：[0-3）分。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确保工程防治污减霾 的技术组织措施</w:t>
            </w:r>
          </w:p>
        </w:tc>
        <w:tc>
          <w:tcPr>
            <w:tcW w:type="dxa" w:w="2492"/>
          </w:tcPr>
          <w:p>
            <w:pPr>
              <w:pStyle w:val="null3"/>
            </w:pPr>
            <w:r>
              <w:rPr>
                <w:rFonts w:ascii="仿宋_GB2312" w:hAnsi="仿宋_GB2312" w:cs="仿宋_GB2312" w:eastAsia="仿宋_GB2312"/>
              </w:rPr>
              <w:t>1、措施合理，可行性强：（5-7]分；2、措施较合理，可行性较强：[3-5]分；3、措施不合理，可行性较差：[0-3）分。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1、科学合理，可行性强：（4-6]分；2、较合理，可行性较强：[2-4]分；3、不合理，可行性较差：[0-2）分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主要机具、设备和劳动力配备情况</w:t>
            </w:r>
          </w:p>
        </w:tc>
        <w:tc>
          <w:tcPr>
            <w:tcW w:type="dxa" w:w="2492"/>
          </w:tcPr>
          <w:p>
            <w:pPr>
              <w:pStyle w:val="null3"/>
            </w:pPr>
            <w:r>
              <w:rPr>
                <w:rFonts w:ascii="仿宋_GB2312" w:hAnsi="仿宋_GB2312" w:cs="仿宋_GB2312" w:eastAsia="仿宋_GB2312"/>
              </w:rPr>
              <w:t>1、主要机具、设备和劳动力配备投入合理、可行：（4-6]分；2、主要机具、设备和劳动力配备投入基本合理可行：[2-4]分；3、主要机具、设备和劳动力配备投入不合理、有缺漏：[0-2）分。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供应商提供2022年1月至今的类似项目业绩，业绩证明应提供合同（加盖公章的复印件）。每一个类似项目业绩计3分，满分9分。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依据服务承诺的详尽、可行情况赋分。 1、详尽、可行：（4-6]分；2、一般：[2-4]分； 3、较差：[0-2）分。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响应偏离表.docx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价格分采用低价优先法计算，即满足磋商文件要求且投标价格最低的投标报价为评审基准价，其价格分为满分。其他投标人的价格分统一按照下列公式计算：投标报价得分 =（评审基准价/磋商报价）×价格权值×100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详见附件：拆迁合同（上传）.docx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