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numId w:val="0"/>
        </w:numPr>
        <w:ind w:leftChars="0"/>
        <w:jc w:val="center"/>
        <w:rPr>
          <w:rFonts w:hAnsi="宋体" w:cs="黑体"/>
          <w:b/>
          <w:bCs/>
          <w:sz w:val="32"/>
        </w:rPr>
      </w:pPr>
      <w:bookmarkStart w:id="0" w:name="_Toc376848273"/>
      <w:bookmarkStart w:id="1" w:name="_Toc3946"/>
      <w:bookmarkStart w:id="2" w:name="_Toc4666"/>
      <w:bookmarkStart w:id="3" w:name="_Toc111213925"/>
      <w:r>
        <w:rPr>
          <w:rFonts w:hint="eastAsia" w:hAnsi="宋体" w:cs="黑体"/>
          <w:b/>
          <w:sz w:val="36"/>
          <w:szCs w:val="36"/>
        </w:rPr>
        <w:t>采购需求</w:t>
      </w:r>
      <w:bookmarkEnd w:id="0"/>
      <w:bookmarkEnd w:id="1"/>
      <w:bookmarkEnd w:id="2"/>
      <w:bookmarkEnd w:id="3"/>
    </w:p>
    <w:p>
      <w:pPr>
        <w:adjustRightInd w:val="0"/>
        <w:snapToGrid w:val="0"/>
        <w:spacing w:line="432" w:lineRule="auto"/>
        <w:rPr>
          <w:rFonts w:ascii="宋体" w:hAnsi="宋体" w:cs="黑体"/>
        </w:rPr>
      </w:pPr>
    </w:p>
    <w:tbl>
      <w:tblPr>
        <w:tblStyle w:val="5"/>
        <w:tblW w:w="98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1431"/>
        <w:gridCol w:w="7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9889" w:type="dxa"/>
            <w:gridSpan w:val="3"/>
            <w:vAlign w:val="center"/>
          </w:tcPr>
          <w:p>
            <w:pPr>
              <w:pStyle w:val="7"/>
              <w:spacing w:line="360" w:lineRule="auto"/>
              <w:ind w:left="420" w:firstLine="0"/>
              <w:jc w:val="center"/>
              <w:rPr>
                <w:rFonts w:ascii="宋体" w:hAnsi="宋体" w:eastAsia="宋体" w:cs="宋体"/>
                <w:b/>
                <w:kern w:val="0"/>
                <w:sz w:val="24"/>
              </w:rPr>
            </w:pPr>
            <w:bookmarkStart w:id="4" w:name="_GoBack"/>
            <w:bookmarkEnd w:id="4"/>
            <w:r>
              <w:rPr>
                <w:rFonts w:hint="eastAsia" w:ascii="宋体" w:hAnsi="宋体" w:eastAsia="宋体" w:cs="宋体"/>
                <w:b/>
                <w:kern w:val="0"/>
                <w:sz w:val="24"/>
              </w:rPr>
              <w:t>第1部分：系统总体技术参数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szCs w:val="24"/>
              </w:rPr>
              <w:t>基础环境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支持SQL Server主流数据库，支持 Windows 操作系统（正版）和多种服务器平台操作系统；</w:t>
            </w:r>
          </w:p>
          <w:p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支持在文档解析、文档检测和智能写作帮助等功能模块运行时调用全文内容资源库，在资源规模达到千万级记录时选取Kbase管理服务来保证系统响应时间；</w:t>
            </w:r>
          </w:p>
          <w:p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采用“负载均衡”技术，为系统使用提供更好的灵活性和可用性；</w:t>
            </w:r>
          </w:p>
          <w:p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支持IE8（含）以上浏览器及各种浏览器工具。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总体结构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采用浏览器/服务器模式（Browser/Server模式，即B/S模式）架构；</w:t>
            </w:r>
          </w:p>
          <w:p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提供PC端、微信小程序服务（支持安卓、IOS系统）。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系统安全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具有安全机制、安全策略和权限设置，以保证服务器上的数据安全；</w:t>
            </w:r>
          </w:p>
          <w:p>
            <w:pPr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建立视图机制，针对不同的用户，提供访问相应授权的视图权限，并设置了多种访问控制策略；</w:t>
            </w:r>
          </w:p>
          <w:p>
            <w:pPr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采用服务器分离部署机制；</w:t>
            </w:r>
          </w:p>
          <w:p>
            <w:pPr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采用数据和文件的加密和解密机制；</w:t>
            </w:r>
          </w:p>
          <w:p>
            <w:pPr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采用系统长期使用的大量数据安全备份机制。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系统扩展性</w:t>
            </w:r>
          </w:p>
        </w:tc>
        <w:tc>
          <w:tcPr>
            <w:tcW w:w="7695" w:type="dxa"/>
            <w:vAlign w:val="center"/>
          </w:tcPr>
          <w:p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遵循严格科学的软件架构并采用国际最新的技术、规范和接口标准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总体功能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支持实现学生毕设完整流程的在线监控和管理工作，并提供：</w:t>
            </w:r>
          </w:p>
          <w:p>
            <w:pPr>
              <w:numPr>
                <w:ilvl w:val="0"/>
                <w:numId w:val="5"/>
              </w:num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业务流程的选择项设置和启用与禁用；</w:t>
            </w:r>
          </w:p>
          <w:p>
            <w:pPr>
              <w:numPr>
                <w:ilvl w:val="0"/>
                <w:numId w:val="5"/>
              </w:num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各类文档模板的自定义配置；</w:t>
            </w:r>
          </w:p>
          <w:p>
            <w:pPr>
              <w:numPr>
                <w:ilvl w:val="0"/>
                <w:numId w:val="5"/>
              </w:num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各环节审核功能的自定义配置；</w:t>
            </w:r>
          </w:p>
          <w:p>
            <w:pPr>
              <w:numPr>
                <w:ilvl w:val="0"/>
                <w:numId w:val="5"/>
              </w:num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设定对应的处理节点时间、人员或角色信息、操作权限等。</w:t>
            </w:r>
          </w:p>
          <w:p>
            <w:pPr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完整的流程日志，并支持系统日志管理，实现对系统各项操作的监控；</w:t>
            </w:r>
          </w:p>
          <w:p>
            <w:pPr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对接学术不端论文检测模块；</w:t>
            </w:r>
          </w:p>
          <w:p>
            <w:pPr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对接学术诚信在线学习和教育平台模块；</w:t>
            </w:r>
          </w:p>
          <w:p>
            <w:pPr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对接文献管理分析模块；</w:t>
            </w:r>
          </w:p>
          <w:p>
            <w:pPr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历史数据的云端永久保存及导出；</w:t>
            </w:r>
          </w:p>
          <w:p>
            <w:pPr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支持在初稿、论文过程版、论文最终版、论文盲审版、论文抽检版等涉及论文上传的多个模块，导出固定格式论文，完全符合教育部抽检要求。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9889" w:type="dxa"/>
            <w:gridSpan w:val="3"/>
            <w:vAlign w:val="center"/>
          </w:tcPr>
          <w:p>
            <w:pPr>
              <w:pStyle w:val="7"/>
              <w:spacing w:line="360" w:lineRule="auto"/>
              <w:ind w:left="420" w:firstLine="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</w:rPr>
              <w:t>第2部分：系统功能技术参数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用户管理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管理员（院系管理员）可为全校（全院系）毕业生、教师自主创建账号；</w:t>
            </w:r>
          </w:p>
          <w:p>
            <w:pPr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管理员可对“院系和专业”信息进行维护；</w:t>
            </w:r>
          </w:p>
          <w:p>
            <w:pPr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管理员可对教师账号赋予以下角色：指导教师、专业负责人、教学秘书、院长、督导专家、评阅专家、答辩录入员、第二导师；</w:t>
            </w:r>
          </w:p>
          <w:p>
            <w:pPr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管理员可设置专业负责人、教学秘书、督导专家负责的专业；</w:t>
            </w:r>
          </w:p>
          <w:p>
            <w:pPr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管理员可设置督导专家管理的范围，提供“全校”“多院系”“单独院系”等不同范围；</w:t>
            </w:r>
          </w:p>
          <w:p>
            <w:pPr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支持对角色名称进行自定义配置，在用户端展示配置的自定义角色名称。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7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权限分级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具有统一的用户及权限管理机制，能够很方便地对系统进行全面的权限管理；</w:t>
            </w:r>
          </w:p>
          <w:p>
            <w:pPr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权限可以从具体人、具体部门、具体角色、具体安全级别等多个维度进行管控；</w:t>
            </w:r>
          </w:p>
          <w:p>
            <w:pPr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提供分权管理机制，系统管理员可以分权给各院系、部门的管理人员；</w:t>
            </w:r>
          </w:p>
          <w:p>
            <w:pPr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各级角色根据权限，可以对所在部门的流程、检测结果等进行管控。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系统设置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管理员可自由设置学年，可设置工作流程中各模块的起止时间；可允许二级单位各自独立设置起止时间；</w:t>
            </w:r>
          </w:p>
          <w:p>
            <w:pPr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管理员可进行业务流程相关多个项目的系统设置，包括但不限于：课题类型、课题来源、成果类型、学生和教师申报课题权限、申报课题和选题数量限制、课题修改模式和权限、任务书审核模式和权限、指导记录提交权限、评审和成绩有关设置、评分权重、“盲评”设置等；并支持二级单位对必要项目进行单独设置；</w:t>
            </w:r>
          </w:p>
          <w:p>
            <w:pPr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管理员可设置学生检测次数、学生和教师查看检测结果的权限；可选择设置学生提交检测的时间范围要求，并可下放二级单位单独设置。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9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通知公告模块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支持自定义设置通知公告显示名称；</w:t>
            </w:r>
          </w:p>
          <w:p>
            <w:pPr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支持选择不同的通知公告显示模式；</w:t>
            </w:r>
          </w:p>
          <w:p>
            <w:pPr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支持发布公告时可选发布范围；</w:t>
            </w:r>
          </w:p>
          <w:p>
            <w:pPr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支持管理员选择二级单位发布的通知公告经审定后在系统首页显示。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10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师生双选模块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支持以下四种形式的课题申报流程：（1）盲选；（2）指定学生；（3）学生提交课题；（4）管理人员分配课题；</w:t>
            </w:r>
          </w:p>
          <w:p>
            <w:pPr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支持“单独课题”和“团队课题”类型；</w:t>
            </w:r>
          </w:p>
          <w:p>
            <w:pPr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支持“草稿课题”功能；；</w:t>
            </w:r>
          </w:p>
          <w:p>
            <w:pPr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支持对课题进行修改、审核功能，并保留各个版本的历史记录；</w:t>
            </w:r>
          </w:p>
          <w:p>
            <w:pPr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支持管理员和各角色教师对课题信息各版本文档进行查看。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11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选题分析功能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11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提供课题相关学术文献的分析推荐及管理功能，包括但不限于：课题价值分析、相关期刊、硕博文献推荐、提纲推荐、关联分析等；</w:t>
            </w:r>
          </w:p>
          <w:p>
            <w:pPr>
              <w:numPr>
                <w:ilvl w:val="0"/>
                <w:numId w:val="11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提供历史选题分析记录功能；</w:t>
            </w:r>
          </w:p>
          <w:p>
            <w:pPr>
              <w:numPr>
                <w:ilvl w:val="0"/>
                <w:numId w:val="11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提供文献收藏管理功能。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12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课题排重功能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12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支持当前学年全校课题的排重；</w:t>
            </w:r>
          </w:p>
          <w:p>
            <w:pPr>
              <w:numPr>
                <w:ilvl w:val="0"/>
                <w:numId w:val="12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支持当前学年提交课题与近N年（具体年份可根据学校需要进行设定）全校课题的排重；</w:t>
            </w:r>
          </w:p>
          <w:p>
            <w:pPr>
              <w:numPr>
                <w:ilvl w:val="0"/>
                <w:numId w:val="12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课题排重支持自定义设置需要监控的关键性条件，如课题重复率、年限范围等；</w:t>
            </w:r>
          </w:p>
          <w:p>
            <w:pPr>
              <w:numPr>
                <w:ilvl w:val="0"/>
                <w:numId w:val="12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支持对中文、英文、小语种、民文等多种语言文字的课题题目进行排重。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13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任务书模块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1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支持教师或学生提交任务书模式；</w:t>
            </w:r>
          </w:p>
          <w:p>
            <w:pPr>
              <w:numPr>
                <w:ilvl w:val="0"/>
                <w:numId w:val="1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支持审核或不审核任务书模式；</w:t>
            </w:r>
          </w:p>
          <w:p>
            <w:pPr>
              <w:numPr>
                <w:ilvl w:val="0"/>
                <w:numId w:val="1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支持对任务书进行修改、审核功能，并保留各个版本的历史记录；</w:t>
            </w:r>
          </w:p>
          <w:p>
            <w:pPr>
              <w:numPr>
                <w:ilvl w:val="0"/>
                <w:numId w:val="1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支持管理员和各角色教师对任务书各版本文档进行查看。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14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过程文档管理模块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14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提供开题报告、中期检查、指导记录、写作记录卡、外文译文、文献综述和毕业论文（设计）七大过程文档功能模块；</w:t>
            </w:r>
          </w:p>
          <w:p>
            <w:pPr>
              <w:numPr>
                <w:ilvl w:val="0"/>
                <w:numId w:val="14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支持学生提交和修改各类过程文档，并保留历史记录；</w:t>
            </w:r>
          </w:p>
          <w:p>
            <w:pPr>
              <w:numPr>
                <w:ilvl w:val="0"/>
                <w:numId w:val="14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支持自定义配置各级审核；</w:t>
            </w:r>
          </w:p>
          <w:p>
            <w:pPr>
              <w:numPr>
                <w:ilvl w:val="0"/>
                <w:numId w:val="14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支持管理员和各角色教师对各类过程文档进行查看。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15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划词批注功能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15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支持各角色对过程文档内容进行划词批注；</w:t>
            </w:r>
          </w:p>
          <w:p>
            <w:pPr>
              <w:numPr>
                <w:ilvl w:val="0"/>
                <w:numId w:val="15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保留各次批注内容信息和历史记录；</w:t>
            </w:r>
          </w:p>
          <w:p>
            <w:pPr>
              <w:numPr>
                <w:ilvl w:val="0"/>
                <w:numId w:val="15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支持毕业论文（设计）批注内容的导出。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16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评审答辩和成绩模块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1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支持设置按全校、按院系、按专业、按课题类型设置评分权重；</w:t>
            </w:r>
          </w:p>
          <w:p>
            <w:pPr>
              <w:numPr>
                <w:ilvl w:val="0"/>
                <w:numId w:val="1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支持各类成绩配置和使用分项打分表；</w:t>
            </w:r>
          </w:p>
          <w:p>
            <w:pPr>
              <w:numPr>
                <w:ilvl w:val="0"/>
                <w:numId w:val="1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可选分数或等级模式显示成绩结果，并支持设置等级和分数的对应关系；</w:t>
            </w:r>
          </w:p>
          <w:p>
            <w:pPr>
              <w:numPr>
                <w:ilvl w:val="0"/>
                <w:numId w:val="1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可选设置成绩分数显示为整数或小数模式；</w:t>
            </w:r>
          </w:p>
          <w:p>
            <w:pPr>
              <w:numPr>
                <w:ilvl w:val="0"/>
                <w:numId w:val="1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支持多人评阅、盲评、交叉评阅等多种评审模式；</w:t>
            </w:r>
          </w:p>
          <w:p>
            <w:pPr>
              <w:numPr>
                <w:ilvl w:val="0"/>
                <w:numId w:val="1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支持一键安排、单独安排评阅人方式；</w:t>
            </w:r>
          </w:p>
          <w:p>
            <w:pPr>
              <w:numPr>
                <w:ilvl w:val="0"/>
                <w:numId w:val="1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支持安排多次答辩组并提供已安排答辩组信息的excel导出；</w:t>
            </w:r>
          </w:p>
          <w:p>
            <w:pPr>
              <w:numPr>
                <w:ilvl w:val="0"/>
                <w:numId w:val="1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支持在线安排、在线查看、在线评审、在线录入成绩功能；</w:t>
            </w:r>
          </w:p>
          <w:p>
            <w:pPr>
              <w:numPr>
                <w:ilvl w:val="0"/>
                <w:numId w:val="1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支持答辩组教师录入成绩或答辩录入员录入成绩2种可选模式；</w:t>
            </w:r>
          </w:p>
          <w:p>
            <w:pPr>
              <w:numPr>
                <w:ilvl w:val="0"/>
                <w:numId w:val="1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支持学生成绩的在线查看、修改和excel导出功能；</w:t>
            </w:r>
          </w:p>
          <w:p>
            <w:pPr>
              <w:numPr>
                <w:ilvl w:val="0"/>
                <w:numId w:val="1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支持对完成一轮评阅的学生安排二轮评阅。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17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优秀推荐模块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17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支持优秀论文管理功能，可区分院级，校级优秀论文；</w:t>
            </w:r>
          </w:p>
          <w:p>
            <w:pPr>
              <w:numPr>
                <w:ilvl w:val="0"/>
                <w:numId w:val="17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可对优秀论文进行分级分类，可分配专家线上进行优秀论文的评审打分；</w:t>
            </w:r>
          </w:p>
          <w:p>
            <w:pPr>
              <w:numPr>
                <w:ilvl w:val="0"/>
                <w:numId w:val="17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校级优秀论文可推送到系统首页展示。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18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工作检查模块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18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提供前期、中期、后期等各环节的工作检查功能模块；</w:t>
            </w:r>
          </w:p>
          <w:p>
            <w:pPr>
              <w:numPr>
                <w:ilvl w:val="0"/>
                <w:numId w:val="18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提供工作总结功能模块。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19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信息统计模块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19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支持多角度、全方位的信息统计，提供可视化图、表等多种展示方式；</w:t>
            </w:r>
          </w:p>
          <w:p>
            <w:pPr>
              <w:numPr>
                <w:ilvl w:val="0"/>
                <w:numId w:val="19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支持各项工作完成度和进度展示和提醒功能；</w:t>
            </w:r>
          </w:p>
          <w:p>
            <w:pPr>
              <w:numPr>
                <w:ilvl w:val="0"/>
                <w:numId w:val="19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支持各类统计信息的excel导出；</w:t>
            </w:r>
          </w:p>
          <w:p>
            <w:pPr>
              <w:numPr>
                <w:ilvl w:val="0"/>
                <w:numId w:val="19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提供年度统计报表。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20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文档导出模块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支持自定义文档导出，包括但不限于以下文档类型：课题、任务书、开题报告、中期检查、指导记录、写作记录卡、文献综述、导师评阅成绩表、评阅人评阅成绩表、答辩成绩表等；</w:t>
            </w:r>
          </w:p>
          <w:p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管理员可设置导出权限及导出类型；</w:t>
            </w:r>
          </w:p>
          <w:p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支持配置的文档、学生提交的毕设（论文）和提交的附件多类文档的导出；</w:t>
            </w:r>
          </w:p>
          <w:p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提供小程序导出工具，针对较大的导出文档提供稳定的下载服务；</w:t>
            </w:r>
          </w:p>
          <w:p>
            <w:pPr>
              <w:numPr>
                <w:ilvl w:val="0"/>
                <w:numId w:val="20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支持按照教育部抽检要求，导出符合教育部上报要求的数据结构表以及论文原文与检测报告单。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21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学术不端检测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21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支持多种检测模式；</w:t>
            </w:r>
          </w:p>
          <w:p>
            <w:pPr>
              <w:numPr>
                <w:ilvl w:val="0"/>
                <w:numId w:val="21"/>
              </w:numPr>
              <w:spacing w:line="360" w:lineRule="auto"/>
              <w:ind w:left="0" w:firstLine="0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提供检测结果报告单和excel的导出和下载（至少提供4种类型的报告单供选择，且必须包含去除本人已发表文献复制比报告单，要求结果准确）；</w:t>
            </w:r>
          </w:p>
          <w:p>
            <w:pPr>
              <w:numPr>
                <w:ilvl w:val="0"/>
                <w:numId w:val="21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支持检测次数和检测版本控制，支持校内互检，支持管理员抽检。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22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检测结果信息统计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22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支持检测结果按不同复制比区间段统计；</w:t>
            </w:r>
          </w:p>
          <w:p>
            <w:pPr>
              <w:numPr>
                <w:ilvl w:val="0"/>
                <w:numId w:val="22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支持检测结果按年横向比较统计。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9889" w:type="dxa"/>
            <w:gridSpan w:val="3"/>
            <w:vAlign w:val="center"/>
          </w:tcPr>
          <w:p>
            <w:pPr>
              <w:pStyle w:val="7"/>
              <w:spacing w:line="360" w:lineRule="auto"/>
              <w:ind w:left="420" w:firstLine="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</w:rPr>
              <w:t>第3部分：学术不端检测技术和资源参数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23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检测技术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2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采用语义级检测技术：不仅可以发现简单的抄袭行为，如文字照搬、部分词语替换、增删文句等，还加深对语义层面的文本分析，提取语义级别的文本特征，发现更复杂的抄袭行为，无漏检和错检；</w:t>
            </w:r>
          </w:p>
          <w:p>
            <w:pPr>
              <w:numPr>
                <w:ilvl w:val="0"/>
                <w:numId w:val="2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检测算法（V6.0）：优化机器降重甄别、扩充引用内容识别、增强语义比对判别；</w:t>
            </w:r>
          </w:p>
          <w:p>
            <w:pPr>
              <w:numPr>
                <w:ilvl w:val="0"/>
                <w:numId w:val="2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支持doc,docx,pdf,wps等多种文档格式的识别和上传检测；</w:t>
            </w:r>
          </w:p>
          <w:p>
            <w:pPr>
              <w:numPr>
                <w:ilvl w:val="0"/>
                <w:numId w:val="2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支持中文、英文、小语种、民文等多种语言文字的文献内容进行检测；</w:t>
            </w:r>
          </w:p>
          <w:p>
            <w:pPr>
              <w:numPr>
                <w:ilvl w:val="0"/>
                <w:numId w:val="2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支持跨语言检测（中英互译内容识别），支持OCR识别图片文字检测；</w:t>
            </w:r>
          </w:p>
          <w:p>
            <w:pPr>
              <w:numPr>
                <w:ilvl w:val="0"/>
                <w:numId w:val="2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支持表格、公式自动抽取检测，并提供单独检测复制比；</w:t>
            </w:r>
          </w:p>
          <w:p>
            <w:pPr>
              <w:numPr>
                <w:ilvl w:val="0"/>
                <w:numId w:val="2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支持单篇最大重复文献的检测和结果单独展示；</w:t>
            </w:r>
          </w:p>
          <w:p>
            <w:pPr>
              <w:numPr>
                <w:ilvl w:val="0"/>
                <w:numId w:val="2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支持引用、非引用区分检测，对去除引用文献后的内容进行检测，并对结果单独展示；</w:t>
            </w:r>
          </w:p>
          <w:p>
            <w:pPr>
              <w:numPr>
                <w:ilvl w:val="0"/>
                <w:numId w:val="2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支持去除本人已发表文献的检测和结果单独展示；</w:t>
            </w:r>
          </w:p>
          <w:p>
            <w:pPr>
              <w:numPr>
                <w:ilvl w:val="0"/>
                <w:numId w:val="2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支持对“观点内容”进行检测分析和结果单独展示；</w:t>
            </w:r>
          </w:p>
          <w:p>
            <w:pPr>
              <w:numPr>
                <w:ilvl w:val="0"/>
                <w:numId w:val="2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基于《学术不端行为界定标准》自动生成检测指标，包括疑似剽窃观点、疑似自我剽窃、过度引用、疑似整体剽窃和疑似剽窃文字表述等内容，有效减少使用部门通过组织专家进行判别所耗费的时间和成本；</w:t>
            </w:r>
          </w:p>
          <w:p>
            <w:pPr>
              <w:numPr>
                <w:ilvl w:val="0"/>
                <w:numId w:val="2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提供文献溯源功能，帮助发现某一段文字的最早重合文献来源及历史重合文献来源；</w:t>
            </w:r>
          </w:p>
          <w:p>
            <w:pPr>
              <w:numPr>
                <w:ilvl w:val="0"/>
                <w:numId w:val="23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支持校内互检功能，帮助预防和发现校内学生间论文互相抄袭的情况。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24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比对库资源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24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数据库资源具有全面性及权威性，资源建设途径公开、规范且来源清晰，符合相关法律要求。文献数据需经过深度加工处理，形成专业数据库，内容连续、规范且系统，可验证，能够保证数据的全面性、准确性和权威性，这是提供检测服务的基础之一（此点必须满足，不采用来源不清晰，无版权的文献数据）；</w:t>
            </w:r>
          </w:p>
          <w:p>
            <w:pPr>
              <w:numPr>
                <w:ilvl w:val="0"/>
                <w:numId w:val="24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涵盖国内主要学术期刊8000种以上，总量约6000万篇；</w:t>
            </w:r>
          </w:p>
          <w:p>
            <w:pPr>
              <w:numPr>
                <w:ilvl w:val="0"/>
                <w:numId w:val="24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涵盖国内主要高校的硕博论文，实时总量约600万篇；</w:t>
            </w:r>
          </w:p>
          <w:p>
            <w:pPr>
              <w:numPr>
                <w:ilvl w:val="0"/>
                <w:numId w:val="24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涵盖国内外学术会议论文，实时总量约300万篇；</w:t>
            </w:r>
          </w:p>
          <w:p>
            <w:pPr>
              <w:numPr>
                <w:ilvl w:val="0"/>
                <w:numId w:val="24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涵盖中国专利数据库，实时总量约4000万篇；</w:t>
            </w:r>
          </w:p>
          <w:p>
            <w:pPr>
              <w:numPr>
                <w:ilvl w:val="0"/>
                <w:numId w:val="24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包括“本科生毕业论文联合比对库”，其比对资源应涵盖全国绝大部分普通本科院校的本科毕业论文，帮助预防和发现跨校、同校上下级学生间的论文抄袭情况；</w:t>
            </w:r>
          </w:p>
          <w:p>
            <w:pPr>
              <w:numPr>
                <w:ilvl w:val="0"/>
                <w:numId w:val="24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包括互联网资源、小语种资源、图书资源等其他类型比对资源；</w:t>
            </w:r>
          </w:p>
          <w:p>
            <w:pPr>
              <w:numPr>
                <w:ilvl w:val="0"/>
                <w:numId w:val="24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为保证数据库的可靠性及权威性，供应商必须有自建可对接、可单独销售的学校图书馆的完整数据库资源。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25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检测结果展示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25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提供快速准确的检测结果查找和自动定位功能，可迅速定位到某段文字的对应检测结果；</w:t>
            </w:r>
          </w:p>
          <w:p>
            <w:pPr>
              <w:numPr>
                <w:ilvl w:val="0"/>
                <w:numId w:val="25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采用不同颜色区分标识方式，将重复内容、引用内容等进行区别标注，方便查找、查看；</w:t>
            </w:r>
          </w:p>
          <w:p>
            <w:pPr>
              <w:numPr>
                <w:ilvl w:val="0"/>
                <w:numId w:val="25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提供检测结果表格、检测结果网页展示、检测结果报告单等不同展示方式；</w:t>
            </w:r>
          </w:p>
          <w:p>
            <w:pPr>
              <w:numPr>
                <w:ilvl w:val="0"/>
                <w:numId w:val="25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支持不同种类检测结果的切换查看；</w:t>
            </w:r>
          </w:p>
          <w:p>
            <w:pPr>
              <w:numPr>
                <w:ilvl w:val="0"/>
                <w:numId w:val="25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提供多种类型报告单。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9889" w:type="dxa"/>
            <w:gridSpan w:val="3"/>
            <w:vAlign w:val="center"/>
          </w:tcPr>
          <w:p>
            <w:pPr>
              <w:pStyle w:val="7"/>
              <w:spacing w:line="360" w:lineRule="auto"/>
              <w:ind w:left="420" w:firstLine="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</w:rPr>
              <w:t>第4部分：其他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26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数据来源清晰符合要求</w:t>
            </w:r>
          </w:p>
        </w:tc>
        <w:tc>
          <w:tcPr>
            <w:tcW w:w="7695" w:type="dxa"/>
            <w:vAlign w:val="center"/>
          </w:tcPr>
          <w:p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数据库资源具有全面性及权威性，资源建设途径公开、规范且来源清晰，系统采用的比对资源库及各项技术等内容符合相关法律要求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27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易用性</w:t>
            </w:r>
          </w:p>
        </w:tc>
        <w:tc>
          <w:tcPr>
            <w:tcW w:w="7695" w:type="dxa"/>
            <w:vAlign w:val="center"/>
          </w:tcPr>
          <w:p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用户界面友好，操作简洁易用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9" w:hRule="atLeast"/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28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科研诚信与学术规范在线学习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2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支持选择和开启科研诚信与学术规范在线学习功能；</w:t>
            </w:r>
          </w:p>
          <w:p>
            <w:pPr>
              <w:numPr>
                <w:ilvl w:val="0"/>
                <w:numId w:val="2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支持在线学习科研诚信与学术规范相关知识（专题学习、知识点学习）；</w:t>
            </w:r>
          </w:p>
          <w:p>
            <w:pPr>
              <w:numPr>
                <w:ilvl w:val="0"/>
                <w:numId w:val="2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支持在线测试科研诚信与学术规范相关知识（随堂测试、模块测试）；</w:t>
            </w:r>
          </w:p>
          <w:p>
            <w:pPr>
              <w:numPr>
                <w:ilvl w:val="0"/>
                <w:numId w:val="2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支持学术不端典型案例学习；</w:t>
            </w:r>
          </w:p>
          <w:p>
            <w:pPr>
              <w:numPr>
                <w:ilvl w:val="0"/>
                <w:numId w:val="26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支持有关规则制度学习。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29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写作检查、格式检查等辅助功能</w:t>
            </w:r>
          </w:p>
        </w:tc>
        <w:tc>
          <w:tcPr>
            <w:tcW w:w="7695" w:type="dxa"/>
            <w:vAlign w:val="center"/>
          </w:tcPr>
          <w:p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支持对论文内容进行智能化写作检查并返回各项检查结果，包括但不限于：长句提醒、中英文关键词提醒、参考文献提醒等。</w:t>
            </w:r>
          </w:p>
          <w:p>
            <w:pPr>
              <w:spacing w:line="360" w:lineRule="auto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（一）写作检查</w:t>
            </w:r>
          </w:p>
          <w:p>
            <w:pPr>
              <w:numPr>
                <w:ilvl w:val="0"/>
                <w:numId w:val="27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支持选择和开启错别字等内容检查功能；</w:t>
            </w:r>
          </w:p>
          <w:p>
            <w:pPr>
              <w:numPr>
                <w:ilvl w:val="0"/>
                <w:numId w:val="27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支持错别字检校功能：辅助检校常见易混淆的错误用词和书写笔误、标点检查；</w:t>
            </w:r>
          </w:p>
          <w:p>
            <w:pPr>
              <w:numPr>
                <w:ilvl w:val="0"/>
                <w:numId w:val="27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支持语句表达不通顺、用词不恰当等语法语义检查；</w:t>
            </w:r>
          </w:p>
          <w:p>
            <w:pPr>
              <w:numPr>
                <w:ilvl w:val="0"/>
                <w:numId w:val="27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支持英文拼写检查、标点错误等的自动校对；</w:t>
            </w:r>
          </w:p>
          <w:p>
            <w:pPr>
              <w:numPr>
                <w:ilvl w:val="0"/>
                <w:numId w:val="27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支持对复杂长句、重复文字和句子检查；</w:t>
            </w:r>
          </w:p>
          <w:p>
            <w:pPr>
              <w:numPr>
                <w:ilvl w:val="0"/>
                <w:numId w:val="27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支持关键词推荐、致谢检查、引用建议等功能。</w:t>
            </w:r>
          </w:p>
          <w:p>
            <w:pPr>
              <w:spacing w:line="360" w:lineRule="auto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（二）格式检查</w:t>
            </w:r>
          </w:p>
          <w:p>
            <w:pPr>
              <w:numPr>
                <w:ilvl w:val="0"/>
                <w:numId w:val="28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支持选择和开启格式检查功能（默认不启用）；</w:t>
            </w:r>
          </w:p>
          <w:p>
            <w:pPr>
              <w:numPr>
                <w:ilvl w:val="0"/>
                <w:numId w:val="28"/>
              </w:numPr>
              <w:spacing w:line="360" w:lineRule="auto"/>
              <w:ind w:left="0" w:firstLine="0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支持按照格式要求，对学生论文的封面、目录、摘要、正文、图表、参考文献、致谢等模块进行全文段落、字符的格式检查。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30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内容智能审校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29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支持选择和开启内容智能审校功能；</w:t>
            </w:r>
          </w:p>
          <w:p>
            <w:pPr>
              <w:numPr>
                <w:ilvl w:val="0"/>
                <w:numId w:val="29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支持内容合规性审读功能：精准识别国家统一、主权和领土完整、国内政治、民族宗教、国际关系、法律法规、英文翻译等内容相关不恰当、不合适的表述，避免出现政治性差错；</w:t>
            </w:r>
          </w:p>
          <w:p>
            <w:pPr>
              <w:numPr>
                <w:ilvl w:val="0"/>
                <w:numId w:val="29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支持内容观点检查功能：判断观点是否存在引用不准、逻辑错误、不符合事实等问题，对问题观点进行提示；</w:t>
            </w:r>
          </w:p>
          <w:p>
            <w:pPr>
              <w:numPr>
                <w:ilvl w:val="0"/>
                <w:numId w:val="29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支持讲话一致性比对功能：精准检测出版内容中引用政要讲话内容是否精准，是否做到一字不差。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31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人工智能生成内容（AIGC）检测</w:t>
            </w:r>
          </w:p>
        </w:tc>
        <w:tc>
          <w:tcPr>
            <w:tcW w:w="7695" w:type="dxa"/>
            <w:vAlign w:val="center"/>
          </w:tcPr>
          <w:p>
            <w:pPr>
              <w:numPr>
                <w:ilvl w:val="0"/>
                <w:numId w:val="30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嵌入AIGC检测功能，覆盖主流大模型；</w:t>
            </w:r>
          </w:p>
          <w:p>
            <w:pPr>
              <w:numPr>
                <w:ilvl w:val="0"/>
                <w:numId w:val="30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提供可视化呈现全文检测结果和疑似内容片段；</w:t>
            </w:r>
          </w:p>
          <w:p>
            <w:pPr>
              <w:numPr>
                <w:ilvl w:val="0"/>
                <w:numId w:val="30"/>
              </w:numPr>
              <w:spacing w:line="360" w:lineRule="auto"/>
              <w:ind w:left="0" w:firstLine="0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标示整体和片段的AIGC值；</w:t>
            </w:r>
          </w:p>
          <w:p>
            <w:pPr>
              <w:numPr>
                <w:ilvl w:val="0"/>
                <w:numId w:val="30"/>
              </w:numPr>
              <w:spacing w:line="360" w:lineRule="auto"/>
              <w:ind w:left="0" w:firstLine="0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智能生成AIGC检测服务报告单。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4AB9A6"/>
    <w:multiLevelType w:val="singleLevel"/>
    <w:tmpl w:val="804AB9A6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8EC2DC51"/>
    <w:multiLevelType w:val="singleLevel"/>
    <w:tmpl w:val="8EC2DC51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90A1FF91"/>
    <w:multiLevelType w:val="singleLevel"/>
    <w:tmpl w:val="90A1FF91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92BC1E3F"/>
    <w:multiLevelType w:val="singleLevel"/>
    <w:tmpl w:val="92BC1E3F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941979F8"/>
    <w:multiLevelType w:val="singleLevel"/>
    <w:tmpl w:val="941979F8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A032D73F"/>
    <w:multiLevelType w:val="singleLevel"/>
    <w:tmpl w:val="A032D73F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A6868208"/>
    <w:multiLevelType w:val="singleLevel"/>
    <w:tmpl w:val="A6868208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A6A035C2"/>
    <w:multiLevelType w:val="singleLevel"/>
    <w:tmpl w:val="A6A035C2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8">
    <w:nsid w:val="C68CD861"/>
    <w:multiLevelType w:val="singleLevel"/>
    <w:tmpl w:val="C68CD861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9">
    <w:nsid w:val="CEE10036"/>
    <w:multiLevelType w:val="singleLevel"/>
    <w:tmpl w:val="CEE10036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10">
    <w:nsid w:val="DB8FF59D"/>
    <w:multiLevelType w:val="singleLevel"/>
    <w:tmpl w:val="DB8FF59D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11">
    <w:nsid w:val="F79EE07F"/>
    <w:multiLevelType w:val="singleLevel"/>
    <w:tmpl w:val="F79EE07F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12">
    <w:nsid w:val="00D238F6"/>
    <w:multiLevelType w:val="singleLevel"/>
    <w:tmpl w:val="00D238F6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13">
    <w:nsid w:val="02328C67"/>
    <w:multiLevelType w:val="singleLevel"/>
    <w:tmpl w:val="02328C67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14">
    <w:nsid w:val="06A27A38"/>
    <w:multiLevelType w:val="singleLevel"/>
    <w:tmpl w:val="06A27A38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15">
    <w:nsid w:val="0F66C5EA"/>
    <w:multiLevelType w:val="singleLevel"/>
    <w:tmpl w:val="0F66C5EA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16">
    <w:nsid w:val="2231CA36"/>
    <w:multiLevelType w:val="singleLevel"/>
    <w:tmpl w:val="2231CA36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17">
    <w:nsid w:val="27FF77EF"/>
    <w:multiLevelType w:val="singleLevel"/>
    <w:tmpl w:val="27FF77EF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18">
    <w:nsid w:val="2921C611"/>
    <w:multiLevelType w:val="singleLevel"/>
    <w:tmpl w:val="2921C611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19">
    <w:nsid w:val="35273E98"/>
    <w:multiLevelType w:val="singleLevel"/>
    <w:tmpl w:val="35273E98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20">
    <w:nsid w:val="3CED80CE"/>
    <w:multiLevelType w:val="singleLevel"/>
    <w:tmpl w:val="3CED80CE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21">
    <w:nsid w:val="44B77F4B"/>
    <w:multiLevelType w:val="singleLevel"/>
    <w:tmpl w:val="44B77F4B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22">
    <w:nsid w:val="46F8A866"/>
    <w:multiLevelType w:val="singleLevel"/>
    <w:tmpl w:val="46F8A866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23">
    <w:nsid w:val="4A99FA27"/>
    <w:multiLevelType w:val="singleLevel"/>
    <w:tmpl w:val="4A99FA27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24">
    <w:nsid w:val="4AF4266C"/>
    <w:multiLevelType w:val="singleLevel"/>
    <w:tmpl w:val="4AF4266C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25">
    <w:nsid w:val="4B3F2FA1"/>
    <w:multiLevelType w:val="singleLevel"/>
    <w:tmpl w:val="4B3F2FA1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26">
    <w:nsid w:val="5070FE3E"/>
    <w:multiLevelType w:val="singleLevel"/>
    <w:tmpl w:val="5070FE3E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27">
    <w:nsid w:val="5999D64E"/>
    <w:multiLevelType w:val="singleLevel"/>
    <w:tmpl w:val="5999D64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8">
    <w:nsid w:val="5F7C5813"/>
    <w:multiLevelType w:val="singleLevel"/>
    <w:tmpl w:val="5F7C5813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29">
    <w:nsid w:val="6FBEB183"/>
    <w:multiLevelType w:val="singleLevel"/>
    <w:tmpl w:val="6FBEB183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2"/>
  </w:num>
  <w:num w:numId="2">
    <w:abstractNumId w:val="0"/>
  </w:num>
  <w:num w:numId="3">
    <w:abstractNumId w:val="26"/>
  </w:num>
  <w:num w:numId="4">
    <w:abstractNumId w:val="5"/>
  </w:num>
  <w:num w:numId="5">
    <w:abstractNumId w:val="27"/>
  </w:num>
  <w:num w:numId="6">
    <w:abstractNumId w:val="21"/>
  </w:num>
  <w:num w:numId="7">
    <w:abstractNumId w:val="17"/>
  </w:num>
  <w:num w:numId="8">
    <w:abstractNumId w:val="22"/>
  </w:num>
  <w:num w:numId="9">
    <w:abstractNumId w:val="9"/>
  </w:num>
  <w:num w:numId="10">
    <w:abstractNumId w:val="2"/>
  </w:num>
  <w:num w:numId="11">
    <w:abstractNumId w:val="4"/>
  </w:num>
  <w:num w:numId="12">
    <w:abstractNumId w:val="16"/>
  </w:num>
  <w:num w:numId="13">
    <w:abstractNumId w:val="29"/>
  </w:num>
  <w:num w:numId="14">
    <w:abstractNumId w:val="3"/>
  </w:num>
  <w:num w:numId="15">
    <w:abstractNumId w:val="25"/>
  </w:num>
  <w:num w:numId="16">
    <w:abstractNumId w:val="13"/>
  </w:num>
  <w:num w:numId="17">
    <w:abstractNumId w:val="18"/>
  </w:num>
  <w:num w:numId="18">
    <w:abstractNumId w:val="28"/>
  </w:num>
  <w:num w:numId="19">
    <w:abstractNumId w:val="20"/>
  </w:num>
  <w:num w:numId="20">
    <w:abstractNumId w:val="6"/>
  </w:num>
  <w:num w:numId="21">
    <w:abstractNumId w:val="23"/>
  </w:num>
  <w:num w:numId="22">
    <w:abstractNumId w:val="24"/>
  </w:num>
  <w:num w:numId="23">
    <w:abstractNumId w:val="14"/>
  </w:num>
  <w:num w:numId="24">
    <w:abstractNumId w:val="11"/>
  </w:num>
  <w:num w:numId="25">
    <w:abstractNumId w:val="15"/>
  </w:num>
  <w:num w:numId="26">
    <w:abstractNumId w:val="19"/>
  </w:num>
  <w:num w:numId="27">
    <w:abstractNumId w:val="10"/>
  </w:num>
  <w:num w:numId="28">
    <w:abstractNumId w:val="1"/>
  </w:num>
  <w:num w:numId="29">
    <w:abstractNumId w:val="7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VlZWI4NjQxNDdjNTU3NzJmMWI2ZGI4MGM4Y2RlZWIifQ=="/>
  </w:docVars>
  <w:rsids>
    <w:rsidRoot w:val="68A438F0"/>
    <w:rsid w:val="68A4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keepNext/>
      <w:outlineLvl w:val="0"/>
    </w:pPr>
    <w:rPr>
      <w:rFonts w:ascii="宋体"/>
      <w:sz w:val="28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99"/>
    <w:pPr>
      <w:spacing w:after="120" w:line="480" w:lineRule="auto"/>
      <w:ind w:left="420"/>
    </w:p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List Paragraph"/>
    <w:basedOn w:val="1"/>
    <w:qFormat/>
    <w:uiPriority w:val="34"/>
    <w:pPr>
      <w:ind w:firstLine="420"/>
    </w:pPr>
    <w:rPr>
      <w:rFonts w:eastAsia="仿宋_GB231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2024-09-16T14:44:00Z</dcterms:created>
  <dc:creator>Administrator</dc:creator>
  <cp:lastModifiedBy>Administrator</cp:lastModifiedBy>
  <dcterms:modified xsi:type="dcterms:W3CDTF">2024-09-16T14:45:41Z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359CB13D5F80463AB9C0916ACAD0A4AF_11</vt:lpwstr>
  </property>
</Properties>
</file>