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65F1B0">
      <w:pPr>
        <w:adjustRightInd w:val="0"/>
        <w:snapToGrid w:val="0"/>
        <w:spacing w:before="936" w:beforeLines="300"/>
        <w:jc w:val="center"/>
        <w:rPr>
          <w:rFonts w:ascii="黑体" w:eastAsia="黑体"/>
          <w:b/>
          <w:kern w:val="44"/>
          <w:sz w:val="48"/>
          <w:szCs w:val="20"/>
        </w:rPr>
      </w:pPr>
      <w:bookmarkStart w:id="0" w:name="_GoBack"/>
      <w:bookmarkEnd w:id="0"/>
    </w:p>
    <w:p w14:paraId="2D076312">
      <w:pPr>
        <w:numPr>
          <w:ilvl w:val="2"/>
          <w:numId w:val="1"/>
        </w:num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货物需求一览表</w:t>
      </w:r>
    </w:p>
    <w:p w14:paraId="530B05BC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tbl>
      <w:tblPr>
        <w:tblStyle w:val="10"/>
        <w:tblW w:w="79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2001"/>
        <w:gridCol w:w="1170"/>
        <w:gridCol w:w="2004"/>
        <w:gridCol w:w="1897"/>
      </w:tblGrid>
      <w:tr w14:paraId="5CC112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vAlign w:val="center"/>
          </w:tcPr>
          <w:p w14:paraId="4C4DED45">
            <w:pPr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包号</w:t>
            </w:r>
          </w:p>
        </w:tc>
        <w:tc>
          <w:tcPr>
            <w:tcW w:w="2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vAlign w:val="center"/>
          </w:tcPr>
          <w:p w14:paraId="5EB93694">
            <w:pPr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货物名称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vAlign w:val="center"/>
          </w:tcPr>
          <w:p w14:paraId="5EEF9A1C">
            <w:pPr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数量</w:t>
            </w: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vAlign w:val="center"/>
          </w:tcPr>
          <w:p w14:paraId="3067D6D4">
            <w:pPr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交货期</w:t>
            </w:r>
          </w:p>
        </w:tc>
        <w:tc>
          <w:tcPr>
            <w:tcW w:w="1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vAlign w:val="center"/>
          </w:tcPr>
          <w:p w14:paraId="73E7F6D4">
            <w:pPr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项目现场</w:t>
            </w:r>
          </w:p>
          <w:p w14:paraId="0ED7B794">
            <w:pPr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（交货地点）</w:t>
            </w:r>
          </w:p>
        </w:tc>
      </w:tr>
      <w:tr w14:paraId="48BD7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6" w:hRule="atLeast"/>
          <w:jc w:val="center"/>
        </w:trPr>
        <w:tc>
          <w:tcPr>
            <w:tcW w:w="8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9E4BD16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2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F9155">
            <w:pPr>
              <w:pStyle w:val="5"/>
              <w:spacing w:line="240" w:lineRule="auto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高分辨核磁共振波谱仪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AD422">
            <w:pPr>
              <w:pStyle w:val="5"/>
              <w:spacing w:line="240" w:lineRule="auto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1套</w:t>
            </w: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259E04">
            <w:pPr>
              <w:ind w:right="25" w:rightChars="12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2025年12月</w:t>
            </w:r>
          </w:p>
        </w:tc>
        <w:tc>
          <w:tcPr>
            <w:tcW w:w="1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98FD8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采购人指定地点</w:t>
            </w:r>
          </w:p>
        </w:tc>
      </w:tr>
    </w:tbl>
    <w:p w14:paraId="66C6752D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4830CABA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146F74C1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4C93500F">
      <w:pPr>
        <w:rPr>
          <w:sz w:val="24"/>
        </w:rPr>
      </w:pPr>
      <w:r>
        <w:rPr>
          <w:rFonts w:hint="eastAsia"/>
          <w:sz w:val="24"/>
        </w:rPr>
        <w:t>注：</w:t>
      </w:r>
    </w:p>
    <w:p w14:paraId="08CC702D">
      <w:pPr>
        <w:rPr>
          <w:sz w:val="24"/>
        </w:rPr>
      </w:pPr>
      <w:r>
        <w:rPr>
          <w:rFonts w:hint="eastAsia"/>
          <w:sz w:val="24"/>
        </w:rPr>
        <w:t>1、投标人须对上述投标内容中完整的一包进行投标，不完整的投标将视为非响应性投标予以拒绝。</w:t>
      </w:r>
    </w:p>
    <w:p w14:paraId="12C94F97">
      <w:pPr>
        <w:adjustRightInd w:val="0"/>
        <w:snapToGrid w:val="0"/>
        <w:rPr>
          <w:rFonts w:ascii="宋体" w:hAnsi="宋体"/>
          <w:szCs w:val="21"/>
        </w:rPr>
      </w:pPr>
    </w:p>
    <w:p w14:paraId="54F7FF95">
      <w:pPr>
        <w:adjustRightInd w:val="0"/>
        <w:snapToGrid w:val="0"/>
        <w:rPr>
          <w:rFonts w:ascii="宋体" w:hAnsi="宋体"/>
          <w:szCs w:val="21"/>
        </w:rPr>
      </w:pPr>
    </w:p>
    <w:p w14:paraId="0E3DC983">
      <w:pPr>
        <w:adjustRightInd w:val="0"/>
        <w:snapToGrid w:val="0"/>
        <w:rPr>
          <w:rFonts w:ascii="宋体" w:hAnsi="宋体"/>
          <w:szCs w:val="21"/>
        </w:rPr>
      </w:pPr>
    </w:p>
    <w:p w14:paraId="08739942">
      <w:pPr>
        <w:adjustRightInd w:val="0"/>
        <w:snapToGrid w:val="0"/>
        <w:rPr>
          <w:rFonts w:ascii="宋体" w:hAnsi="宋体"/>
          <w:szCs w:val="21"/>
        </w:rPr>
      </w:pPr>
    </w:p>
    <w:p w14:paraId="469BA557">
      <w:pPr>
        <w:adjustRightInd w:val="0"/>
        <w:snapToGrid w:val="0"/>
        <w:rPr>
          <w:rFonts w:ascii="宋体" w:hAnsi="宋体"/>
          <w:szCs w:val="21"/>
        </w:rPr>
      </w:pPr>
    </w:p>
    <w:p w14:paraId="6BB44193">
      <w:pPr>
        <w:adjustRightInd w:val="0"/>
        <w:snapToGrid w:val="0"/>
        <w:rPr>
          <w:rFonts w:ascii="宋体" w:hAnsi="宋体"/>
          <w:szCs w:val="21"/>
        </w:rPr>
      </w:pPr>
    </w:p>
    <w:p w14:paraId="07E3B85C">
      <w:pPr>
        <w:adjustRightInd w:val="0"/>
        <w:snapToGrid w:val="0"/>
        <w:rPr>
          <w:rFonts w:ascii="宋体" w:hAnsi="宋体"/>
          <w:szCs w:val="21"/>
        </w:rPr>
      </w:pPr>
    </w:p>
    <w:p w14:paraId="4522AF5E">
      <w:pPr>
        <w:adjustRightInd w:val="0"/>
        <w:snapToGrid w:val="0"/>
        <w:rPr>
          <w:rFonts w:ascii="宋体" w:hAnsi="宋体"/>
          <w:szCs w:val="21"/>
        </w:rPr>
      </w:pPr>
    </w:p>
    <w:p w14:paraId="500E68C9">
      <w:pPr>
        <w:spacing w:line="360" w:lineRule="auto"/>
        <w:ind w:left="600" w:hanging="600"/>
        <w:jc w:val="center"/>
        <w:rPr>
          <w:rFonts w:ascii="宋体" w:hAnsi="宋体" w:cs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  <w:r>
        <w:rPr>
          <w:rFonts w:hint="eastAsia" w:ascii="宋体" w:hAnsi="宋体" w:cs="宋体"/>
          <w:b/>
          <w:sz w:val="30"/>
          <w:szCs w:val="30"/>
        </w:rPr>
        <w:t>二、总  则</w:t>
      </w:r>
    </w:p>
    <w:p w14:paraId="47D7B73F">
      <w:pPr>
        <w:spacing w:before="156" w:beforeLines="50" w:after="156" w:afterLines="50" w:line="360" w:lineRule="auto"/>
        <w:ind w:left="601" w:hanging="601"/>
        <w:rPr>
          <w:rFonts w:ascii="宋体" w:hAnsi="宋体" w:cs="宋体"/>
          <w:b/>
          <w:sz w:val="28"/>
        </w:rPr>
      </w:pPr>
      <w:r>
        <w:rPr>
          <w:rFonts w:hint="eastAsia" w:ascii="宋体" w:hAnsi="宋体" w:cs="宋体"/>
          <w:b/>
          <w:sz w:val="28"/>
        </w:rPr>
        <w:t>1、投标要求</w:t>
      </w:r>
    </w:p>
    <w:p w14:paraId="052256C1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1.1  投标人在准备投标书时，务必在所提供的商品的技术规格文件中，标明型号、商标名称、目录号。</w:t>
      </w:r>
    </w:p>
    <w:p w14:paraId="2109CD0E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1.2  投标人提供的货物的技术规格，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04CD3183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1.3  </w:t>
      </w:r>
      <w:r>
        <w:rPr>
          <w:rFonts w:hint="eastAsia" w:ascii="宋体" w:hAnsi="宋体" w:cs="宋体"/>
          <w:b/>
          <w:bCs/>
          <w:sz w:val="24"/>
        </w:rPr>
        <w:t>投标人提供的所有货物或系统均要求为全新，符合国家质量检测标准和招标文件的要求。</w:t>
      </w:r>
      <w:r>
        <w:rPr>
          <w:rFonts w:hint="eastAsia" w:ascii="宋体" w:hAnsi="宋体" w:cs="宋体"/>
          <w:sz w:val="24"/>
        </w:rPr>
        <w:t>投标人提供的产品样本，必须是“原件”而非复印件，图表、简图、电路图以及印刷电路板图等都应清晰易读。买方有权不付任何附加费用复制这些资料以供参考。</w:t>
      </w:r>
    </w:p>
    <w:p w14:paraId="3DFD413E">
      <w:pPr>
        <w:spacing w:before="156" w:beforeLines="50" w:after="156" w:afterLines="50" w:line="360" w:lineRule="auto"/>
        <w:ind w:left="601" w:hanging="601"/>
        <w:rPr>
          <w:rFonts w:ascii="宋体" w:hAnsi="宋体" w:cs="宋体"/>
          <w:b/>
          <w:sz w:val="28"/>
        </w:rPr>
      </w:pPr>
      <w:r>
        <w:rPr>
          <w:rFonts w:hint="eastAsia" w:ascii="宋体" w:hAnsi="宋体" w:cs="宋体"/>
          <w:b/>
          <w:sz w:val="28"/>
        </w:rPr>
        <w:t>2、评标标准</w:t>
      </w:r>
    </w:p>
    <w:p w14:paraId="4332B3FD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2.1  除招标文件中指定的附件和专用工具外，投标人应提供仪器设备的正常运行和常规保养所需的全套标准附件、专用工具和消耗品。投标人在投标书中需列出这些附件和工具的数量和单价的清单，这些附件和工具的报价的总值需计入投标价中。</w:t>
      </w:r>
    </w:p>
    <w:p w14:paraId="54FAB6ED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2.2  对于标书技术规范中已列出的作为查询选件的附件、零配件、专用工具和消耗品，投标书中应列明其数量、单价、总价供买方参考。投标人也可推荐买方没有要求的附件或专用工具作为选件，并列明其数量、单价、总价供买方参考。选件价格不计入评标价中。选件一旦为用户接受，其费用将加入合同价中。</w:t>
      </w:r>
    </w:p>
    <w:p w14:paraId="2D33AD9E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2.3  为便于用户进行接收仪器的准备工作，卖方应在合同生效后</w:t>
      </w:r>
      <w:r>
        <w:rPr>
          <w:rFonts w:hint="eastAsia" w:ascii="宋体" w:hAnsi="宋体" w:cs="宋体"/>
          <w:b/>
          <w:sz w:val="24"/>
        </w:rPr>
        <w:t>60</w:t>
      </w:r>
      <w:r>
        <w:rPr>
          <w:rFonts w:hint="eastAsia" w:ascii="宋体" w:hAnsi="宋体" w:cs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01EE60F2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2.4 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0E297A67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2.5  制造厂家或其国内代理提供的培训指的是涉及货物的基本原理、操作使用和保养维修等有关内容的培训。培训教员的培训费、旅费、食宿费等费用和培训场地费及培训资料费均应由卖方支付。</w:t>
      </w:r>
    </w:p>
    <w:p w14:paraId="6E7F9930">
      <w:pPr>
        <w:spacing w:before="156" w:beforeLines="50" w:after="156" w:afterLines="50" w:line="360" w:lineRule="auto"/>
        <w:ind w:left="601" w:hanging="601"/>
        <w:rPr>
          <w:rFonts w:ascii="宋体" w:hAnsi="宋体" w:cs="宋体"/>
          <w:b/>
          <w:sz w:val="28"/>
        </w:rPr>
      </w:pPr>
      <w:r>
        <w:rPr>
          <w:rFonts w:hint="eastAsia" w:ascii="宋体" w:hAnsi="宋体" w:cs="宋体"/>
          <w:b/>
          <w:sz w:val="28"/>
        </w:rPr>
        <w:t>3、工作条件</w:t>
      </w:r>
    </w:p>
    <w:p w14:paraId="2777DE1B">
      <w:pPr>
        <w:spacing w:after="312" w:afterLines="10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除非在技术规格中另有说明，所有仪器、设备和系统都应符合下列要求： </w:t>
      </w:r>
    </w:p>
    <w:p w14:paraId="145D5810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3.1  适于在气温为摄氏</w:t>
      </w:r>
      <w:r>
        <w:rPr>
          <w:rFonts w:hint="eastAsia" w:ascii="宋体" w:hAnsi="宋体" w:cs="宋体"/>
          <w:b/>
          <w:sz w:val="24"/>
        </w:rPr>
        <w:t>-40℃～＋50℃</w:t>
      </w:r>
      <w:r>
        <w:rPr>
          <w:rFonts w:hint="eastAsia" w:ascii="宋体" w:hAnsi="宋体" w:cs="宋体"/>
          <w:sz w:val="24"/>
        </w:rPr>
        <w:t>的环境条件下运输和贮存。</w:t>
      </w:r>
    </w:p>
    <w:p w14:paraId="274FB758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3.2  适于在电源</w:t>
      </w:r>
      <w:r>
        <w:rPr>
          <w:rFonts w:hint="eastAsia" w:ascii="宋体" w:hAnsi="宋体" w:cs="宋体"/>
          <w:b/>
          <w:sz w:val="24"/>
        </w:rPr>
        <w:t>220V（</w:t>
      </w:r>
      <w:r>
        <w:rPr>
          <w:rFonts w:hint="eastAsia" w:ascii="宋体" w:hAnsi="宋体" w:cs="宋体"/>
          <w:b/>
          <w:sz w:val="24"/>
        </w:rPr>
        <w:sym w:font="Symbol" w:char="F0B1"/>
      </w:r>
      <w:r>
        <w:rPr>
          <w:rFonts w:hint="eastAsia" w:ascii="宋体" w:hAnsi="宋体" w:cs="宋体"/>
          <w:b/>
          <w:sz w:val="24"/>
        </w:rPr>
        <w:t>10％）/50Hz</w:t>
      </w:r>
      <w:r>
        <w:rPr>
          <w:rFonts w:hint="eastAsia" w:ascii="宋体" w:hAnsi="宋体" w:cs="宋体"/>
          <w:sz w:val="24"/>
        </w:rPr>
        <w:t>、气温摄氏</w:t>
      </w:r>
      <w:r>
        <w:rPr>
          <w:rFonts w:hint="eastAsia" w:ascii="宋体" w:hAnsi="宋体" w:cs="宋体"/>
          <w:b/>
          <w:sz w:val="24"/>
        </w:rPr>
        <w:t>+15℃～＋30℃</w:t>
      </w:r>
      <w:r>
        <w:rPr>
          <w:rFonts w:hint="eastAsia" w:ascii="宋体" w:hAnsi="宋体" w:cs="宋体"/>
          <w:sz w:val="24"/>
        </w:rPr>
        <w:t>和相对湿度小于</w:t>
      </w:r>
      <w:r>
        <w:rPr>
          <w:rFonts w:hint="eastAsia" w:ascii="宋体" w:hAnsi="宋体" w:cs="宋体"/>
          <w:b/>
          <w:sz w:val="24"/>
        </w:rPr>
        <w:t>80％</w:t>
      </w:r>
      <w:r>
        <w:rPr>
          <w:rFonts w:hint="eastAsia" w:ascii="宋体" w:hAnsi="宋体" w:cs="宋体"/>
          <w:sz w:val="24"/>
        </w:rPr>
        <w:t>的环境条件下运行。</w:t>
      </w:r>
      <w:r>
        <w:rPr>
          <w:rFonts w:hint="eastAsia" w:ascii="宋体" w:hAnsi="宋体" w:cs="宋体"/>
          <w:b/>
          <w:sz w:val="24"/>
        </w:rPr>
        <w:t>能够连续正常工作。</w:t>
      </w:r>
    </w:p>
    <w:p w14:paraId="2B6E151A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3.3  配置符合中国有关标准要求的插头，如果没有这样的插头，则需提供适当的转换插座。</w:t>
      </w:r>
    </w:p>
    <w:p w14:paraId="1CDEDCC0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2482CB7B">
      <w:pPr>
        <w:rPr>
          <w:rFonts w:ascii="宋体" w:hAnsi="宋体" w:cs="宋体"/>
          <w:b/>
          <w:bCs/>
          <w:kern w:val="44"/>
          <w:sz w:val="24"/>
        </w:rPr>
      </w:pPr>
    </w:p>
    <w:p w14:paraId="5F8A6530">
      <w:pPr>
        <w:spacing w:before="156" w:beforeLines="50" w:after="156" w:afterLines="50" w:line="360" w:lineRule="auto"/>
        <w:ind w:left="601" w:hanging="601"/>
        <w:rPr>
          <w:rFonts w:ascii="宋体" w:hAnsi="宋体" w:cs="宋体"/>
          <w:b/>
          <w:sz w:val="28"/>
        </w:rPr>
      </w:pPr>
      <w:r>
        <w:rPr>
          <w:rFonts w:hint="eastAsia" w:ascii="宋体" w:hAnsi="宋体" w:cs="宋体"/>
          <w:b/>
          <w:sz w:val="28"/>
        </w:rPr>
        <w:t>4、验收标准</w:t>
      </w:r>
    </w:p>
    <w:p w14:paraId="31C5EAAA">
      <w:pPr>
        <w:spacing w:after="312" w:afterLines="10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除非在技术规格中另有说明，所有仪器、设备和系统按下列要求进行验收： </w:t>
      </w:r>
    </w:p>
    <w:p w14:paraId="4D39D0E7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4.1  仪器设备运抵安装现场后，买方将与卖方共同开箱验收, 如卖方届时不派人来, 则验收结果应以买方的验收报告为最终验收结果。验收时发现短缺、破损, 买方有权要求卖方负责更换。</w:t>
      </w:r>
    </w:p>
    <w:p w14:paraId="062CE7AE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4.2  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2F56E9C8">
      <w:pPr>
        <w:spacing w:line="360" w:lineRule="auto"/>
        <w:ind w:left="554" w:hanging="554" w:hangingChars="23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4.3  验收由采购人、中标人及相关人员依国家有关标准、合同及有关附件要求进行，验收完毕由采购人及中标人在验收报告上签名。</w:t>
      </w:r>
    </w:p>
    <w:p w14:paraId="5E9493D1">
      <w:pPr>
        <w:pStyle w:val="6"/>
        <w:spacing w:line="360" w:lineRule="auto"/>
        <w:ind w:left="410" w:hanging="410" w:hangingChars="170"/>
        <w:rPr>
          <w:rFonts w:hAnsi="宋体" w:cs="宋体"/>
          <w:b/>
          <w:sz w:val="24"/>
          <w:szCs w:val="24"/>
        </w:rPr>
      </w:pPr>
    </w:p>
    <w:p w14:paraId="58B55A50">
      <w:pPr>
        <w:spacing w:before="156" w:beforeLines="50" w:after="156" w:afterLines="50" w:line="360" w:lineRule="auto"/>
        <w:ind w:left="601" w:hanging="601"/>
        <w:rPr>
          <w:rFonts w:ascii="宋体" w:hAnsi="宋体" w:cs="宋体"/>
          <w:b/>
          <w:sz w:val="28"/>
        </w:rPr>
      </w:pPr>
      <w:r>
        <w:rPr>
          <w:rFonts w:hint="eastAsia" w:ascii="宋体" w:hAnsi="宋体" w:cs="宋体"/>
          <w:b/>
          <w:sz w:val="28"/>
        </w:rPr>
        <w:t>5、本技术规格书中标注“</w:t>
      </w:r>
      <w:r>
        <w:rPr>
          <w:rFonts w:hint="eastAsia" w:ascii="宋体" w:hAnsi="宋体" w:cs="宋体"/>
          <w:szCs w:val="21"/>
        </w:rPr>
        <w:t>★</w:t>
      </w:r>
      <w:r>
        <w:rPr>
          <w:rFonts w:hint="eastAsia" w:ascii="宋体" w:hAnsi="宋体" w:cs="宋体"/>
          <w:b/>
          <w:sz w:val="28"/>
        </w:rPr>
        <w:t>”号的为关键技术参数，对这些关键技术参数的任何负偏离将导致废标。</w:t>
      </w:r>
    </w:p>
    <w:p w14:paraId="76DD42AB">
      <w:pPr>
        <w:spacing w:before="156" w:beforeLines="50" w:after="156" w:afterLines="50" w:line="360" w:lineRule="auto"/>
        <w:ind w:left="601" w:hanging="601"/>
        <w:rPr>
          <w:rFonts w:ascii="宋体" w:hAnsi="宋体" w:cs="宋体"/>
          <w:b/>
          <w:sz w:val="28"/>
        </w:rPr>
      </w:pPr>
    </w:p>
    <w:p w14:paraId="16014E51">
      <w:pPr>
        <w:spacing w:before="156" w:beforeLines="50" w:after="156" w:afterLines="50" w:line="360" w:lineRule="auto"/>
        <w:ind w:left="601" w:hanging="601"/>
        <w:rPr>
          <w:rFonts w:ascii="宋体" w:hAnsi="宋体" w:cs="宋体"/>
          <w:b/>
          <w:sz w:val="28"/>
        </w:rPr>
      </w:pPr>
      <w:r>
        <w:rPr>
          <w:rFonts w:hint="eastAsia" w:ascii="宋体" w:hAnsi="宋体" w:cs="宋体"/>
          <w:b/>
          <w:sz w:val="28"/>
        </w:rPr>
        <w:t>6、如在具体技术规格中有本总则不一致之处，以具体技术规格中的要求为准。</w:t>
      </w:r>
    </w:p>
    <w:p w14:paraId="0DF503B3">
      <w:pPr>
        <w:spacing w:after="156" w:afterLines="50"/>
        <w:ind w:left="601" w:hanging="601"/>
        <w:jc w:val="center"/>
        <w:rPr>
          <w:rFonts w:cs="宋体"/>
          <w:b/>
          <w:sz w:val="28"/>
        </w:rPr>
      </w:pPr>
      <w:r>
        <w:rPr>
          <w:rFonts w:hint="eastAsia" w:ascii="宋体" w:hAnsi="宋体" w:cs="宋体"/>
          <w:b/>
          <w:sz w:val="28"/>
        </w:rPr>
        <w:br w:type="page"/>
      </w:r>
      <w:r>
        <w:rPr>
          <w:rFonts w:hint="eastAsia" w:ascii="宋体" w:hAnsi="宋体" w:cs="宋体"/>
          <w:b/>
          <w:sz w:val="28"/>
        </w:rPr>
        <w:t>三、具体技术规格</w:t>
      </w:r>
    </w:p>
    <w:p w14:paraId="29B96770">
      <w:pPr>
        <w:widowControl/>
        <w:snapToGrid w:val="0"/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5B06FA5F">
      <w:pPr>
        <w:pStyle w:val="9"/>
        <w:numPr>
          <w:ilvl w:val="0"/>
          <w:numId w:val="2"/>
        </w:numPr>
        <w:spacing w:line="360" w:lineRule="auto"/>
        <w:ind w:right="708" w:rightChars="337" w:hanging="905"/>
        <w:jc w:val="both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招标项目信息</w:t>
      </w:r>
    </w:p>
    <w:tbl>
      <w:tblPr>
        <w:tblStyle w:val="10"/>
        <w:tblW w:w="94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550"/>
        <w:gridCol w:w="681"/>
        <w:gridCol w:w="1091"/>
        <w:gridCol w:w="1651"/>
        <w:gridCol w:w="1238"/>
        <w:gridCol w:w="1260"/>
        <w:gridCol w:w="1260"/>
      </w:tblGrid>
      <w:tr w14:paraId="19DBA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675" w:type="dxa"/>
            <w:vAlign w:val="center"/>
          </w:tcPr>
          <w:p w14:paraId="39E78E72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550" w:type="dxa"/>
            <w:noWrap/>
            <w:vAlign w:val="center"/>
          </w:tcPr>
          <w:p w14:paraId="2B694BFC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设备名称</w:t>
            </w:r>
          </w:p>
        </w:tc>
        <w:tc>
          <w:tcPr>
            <w:tcW w:w="681" w:type="dxa"/>
            <w:vAlign w:val="center"/>
          </w:tcPr>
          <w:p w14:paraId="5A47DD1F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数量</w:t>
            </w:r>
          </w:p>
        </w:tc>
        <w:tc>
          <w:tcPr>
            <w:tcW w:w="1091" w:type="dxa"/>
            <w:noWrap/>
            <w:vAlign w:val="center"/>
          </w:tcPr>
          <w:p w14:paraId="11FBBE76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单位</w:t>
            </w:r>
          </w:p>
        </w:tc>
        <w:tc>
          <w:tcPr>
            <w:tcW w:w="1651" w:type="dxa"/>
            <w:vAlign w:val="center"/>
          </w:tcPr>
          <w:p w14:paraId="403E7C47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是否接受进口设备参与投标</w:t>
            </w:r>
          </w:p>
        </w:tc>
        <w:tc>
          <w:tcPr>
            <w:tcW w:w="1238" w:type="dxa"/>
            <w:vAlign w:val="center"/>
          </w:tcPr>
          <w:p w14:paraId="0BF74287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预算金额</w:t>
            </w:r>
          </w:p>
          <w:p w14:paraId="779082A7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（万元）</w:t>
            </w:r>
          </w:p>
        </w:tc>
        <w:tc>
          <w:tcPr>
            <w:tcW w:w="1260" w:type="dxa"/>
            <w:vAlign w:val="center"/>
          </w:tcPr>
          <w:p w14:paraId="5FC8795F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最高限价（万元）</w:t>
            </w:r>
          </w:p>
        </w:tc>
        <w:tc>
          <w:tcPr>
            <w:tcW w:w="1260" w:type="dxa"/>
            <w:vAlign w:val="center"/>
          </w:tcPr>
          <w:p w14:paraId="289EB439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本项目所属行业</w:t>
            </w:r>
          </w:p>
        </w:tc>
      </w:tr>
      <w:tr w14:paraId="78657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675" w:type="dxa"/>
            <w:vAlign w:val="center"/>
          </w:tcPr>
          <w:p w14:paraId="382A3BEF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一</w:t>
            </w:r>
          </w:p>
        </w:tc>
        <w:tc>
          <w:tcPr>
            <w:tcW w:w="1550" w:type="dxa"/>
            <w:vAlign w:val="center"/>
          </w:tcPr>
          <w:p w14:paraId="37FAF7F7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高分辨核磁共振波谱仪</w:t>
            </w:r>
          </w:p>
        </w:tc>
        <w:tc>
          <w:tcPr>
            <w:tcW w:w="681" w:type="dxa"/>
            <w:vAlign w:val="center"/>
          </w:tcPr>
          <w:p w14:paraId="42869D61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1091" w:type="dxa"/>
            <w:vAlign w:val="center"/>
          </w:tcPr>
          <w:p w14:paraId="0EF296C0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套</w:t>
            </w:r>
          </w:p>
        </w:tc>
        <w:tc>
          <w:tcPr>
            <w:tcW w:w="1651" w:type="dxa"/>
            <w:vAlign w:val="center"/>
          </w:tcPr>
          <w:p w14:paraId="7CA1E2B0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是</w:t>
            </w:r>
          </w:p>
        </w:tc>
        <w:tc>
          <w:tcPr>
            <w:tcW w:w="1238" w:type="dxa"/>
            <w:vAlign w:val="center"/>
          </w:tcPr>
          <w:p w14:paraId="389EA664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580</w:t>
            </w:r>
          </w:p>
        </w:tc>
        <w:tc>
          <w:tcPr>
            <w:tcW w:w="1260" w:type="dxa"/>
            <w:vAlign w:val="center"/>
          </w:tcPr>
          <w:p w14:paraId="5CE7B90A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580</w:t>
            </w:r>
          </w:p>
        </w:tc>
        <w:tc>
          <w:tcPr>
            <w:tcW w:w="1260" w:type="dxa"/>
            <w:vAlign w:val="center"/>
          </w:tcPr>
          <w:p w14:paraId="7DC97DD2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工业</w:t>
            </w:r>
          </w:p>
        </w:tc>
      </w:tr>
    </w:tbl>
    <w:p w14:paraId="65BC80DA">
      <w:pPr>
        <w:pStyle w:val="9"/>
        <w:numPr>
          <w:ilvl w:val="0"/>
          <w:numId w:val="2"/>
        </w:numPr>
        <w:spacing w:line="360" w:lineRule="auto"/>
        <w:ind w:right="708" w:rightChars="337" w:hanging="905"/>
        <w:jc w:val="both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技术部分</w:t>
      </w:r>
    </w:p>
    <w:p w14:paraId="62FC9B9A">
      <w:pPr>
        <w:widowControl/>
        <w:snapToGrid w:val="0"/>
        <w:spacing w:line="360" w:lineRule="auto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1、配置清单及零配件（包括专用工具）：</w:t>
      </w:r>
    </w:p>
    <w:tbl>
      <w:tblPr>
        <w:tblStyle w:val="10"/>
        <w:tblW w:w="91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4409"/>
        <w:gridCol w:w="1810"/>
        <w:gridCol w:w="1570"/>
      </w:tblGrid>
      <w:tr w14:paraId="449B4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</w:tcPr>
          <w:p w14:paraId="76E532B7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4409" w:type="dxa"/>
          </w:tcPr>
          <w:p w14:paraId="11FE563F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名称</w:t>
            </w:r>
          </w:p>
        </w:tc>
        <w:tc>
          <w:tcPr>
            <w:tcW w:w="1810" w:type="dxa"/>
          </w:tcPr>
          <w:p w14:paraId="27D8BDAE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数量</w:t>
            </w:r>
          </w:p>
        </w:tc>
        <w:tc>
          <w:tcPr>
            <w:tcW w:w="1570" w:type="dxa"/>
          </w:tcPr>
          <w:p w14:paraId="5BA5193A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单位</w:t>
            </w:r>
          </w:p>
        </w:tc>
      </w:tr>
      <w:tr w14:paraId="2157F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</w:tcPr>
          <w:p w14:paraId="5B9C112F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一</w:t>
            </w:r>
          </w:p>
        </w:tc>
        <w:tc>
          <w:tcPr>
            <w:tcW w:w="4409" w:type="dxa"/>
          </w:tcPr>
          <w:p w14:paraId="3D5648AB">
            <w:pPr>
              <w:widowControl/>
              <w:snapToGrid w:val="0"/>
              <w:spacing w:before="156" w:beforeLines="50"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超导磁体</w:t>
            </w:r>
          </w:p>
        </w:tc>
        <w:tc>
          <w:tcPr>
            <w:tcW w:w="1810" w:type="dxa"/>
          </w:tcPr>
          <w:p w14:paraId="6AA46A6B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33F77921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台</w:t>
            </w:r>
          </w:p>
        </w:tc>
      </w:tr>
      <w:tr w14:paraId="1456D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</w:tcPr>
          <w:p w14:paraId="70776DD7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二</w:t>
            </w:r>
          </w:p>
        </w:tc>
        <w:tc>
          <w:tcPr>
            <w:tcW w:w="4409" w:type="dxa"/>
          </w:tcPr>
          <w:p w14:paraId="23AB801C">
            <w:pPr>
              <w:widowControl/>
              <w:snapToGrid w:val="0"/>
              <w:spacing w:before="156" w:beforeLines="50"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机柜</w:t>
            </w:r>
          </w:p>
        </w:tc>
        <w:tc>
          <w:tcPr>
            <w:tcW w:w="1810" w:type="dxa"/>
          </w:tcPr>
          <w:p w14:paraId="2E9E574D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5E620DEE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台</w:t>
            </w:r>
          </w:p>
        </w:tc>
      </w:tr>
      <w:tr w14:paraId="038CE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</w:tcPr>
          <w:p w14:paraId="473C2572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三</w:t>
            </w:r>
          </w:p>
        </w:tc>
        <w:tc>
          <w:tcPr>
            <w:tcW w:w="4409" w:type="dxa"/>
          </w:tcPr>
          <w:p w14:paraId="6D2A7C93">
            <w:pPr>
              <w:widowControl/>
              <w:snapToGrid w:val="0"/>
              <w:spacing w:before="156" w:beforeLines="50"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自动进样器</w:t>
            </w:r>
          </w:p>
        </w:tc>
        <w:tc>
          <w:tcPr>
            <w:tcW w:w="1810" w:type="dxa"/>
          </w:tcPr>
          <w:p w14:paraId="6FA9E4DF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07606992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台</w:t>
            </w:r>
          </w:p>
        </w:tc>
      </w:tr>
      <w:tr w14:paraId="280B6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</w:tcPr>
          <w:p w14:paraId="5DADD8AA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四</w:t>
            </w:r>
          </w:p>
        </w:tc>
        <w:tc>
          <w:tcPr>
            <w:tcW w:w="4409" w:type="dxa"/>
          </w:tcPr>
          <w:p w14:paraId="539C43F1">
            <w:pPr>
              <w:widowControl/>
              <w:snapToGrid w:val="0"/>
              <w:spacing w:before="156" w:beforeLines="50"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自动调谐探头</w:t>
            </w:r>
          </w:p>
        </w:tc>
        <w:tc>
          <w:tcPr>
            <w:tcW w:w="1810" w:type="dxa"/>
          </w:tcPr>
          <w:p w14:paraId="40EAD491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34D85CF6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个</w:t>
            </w:r>
          </w:p>
        </w:tc>
      </w:tr>
      <w:tr w14:paraId="29706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</w:tcPr>
          <w:p w14:paraId="54033505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五</w:t>
            </w:r>
          </w:p>
        </w:tc>
        <w:tc>
          <w:tcPr>
            <w:tcW w:w="4409" w:type="dxa"/>
          </w:tcPr>
          <w:p w14:paraId="13438A90">
            <w:pPr>
              <w:widowControl/>
              <w:snapToGrid w:val="0"/>
              <w:spacing w:before="156" w:beforeLines="50"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备用探头</w:t>
            </w:r>
          </w:p>
        </w:tc>
        <w:tc>
          <w:tcPr>
            <w:tcW w:w="1810" w:type="dxa"/>
          </w:tcPr>
          <w:p w14:paraId="0182FF08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0170EDAF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个</w:t>
            </w:r>
          </w:p>
        </w:tc>
      </w:tr>
      <w:tr w14:paraId="22249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</w:tcPr>
          <w:p w14:paraId="39B9F8B7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/>
                <w:sz w:val="24"/>
              </w:rPr>
              <w:t>六</w:t>
            </w:r>
          </w:p>
        </w:tc>
        <w:tc>
          <w:tcPr>
            <w:tcW w:w="4409" w:type="dxa"/>
          </w:tcPr>
          <w:p w14:paraId="7121D8F9">
            <w:pPr>
              <w:widowControl/>
              <w:snapToGrid w:val="0"/>
              <w:spacing w:before="156" w:beforeLines="50"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液氮补加管</w:t>
            </w:r>
          </w:p>
        </w:tc>
        <w:tc>
          <w:tcPr>
            <w:tcW w:w="1810" w:type="dxa"/>
          </w:tcPr>
          <w:p w14:paraId="153304F6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1 </w:t>
            </w:r>
          </w:p>
        </w:tc>
        <w:tc>
          <w:tcPr>
            <w:tcW w:w="1570" w:type="dxa"/>
          </w:tcPr>
          <w:p w14:paraId="78AED5B6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个</w:t>
            </w:r>
          </w:p>
        </w:tc>
      </w:tr>
      <w:tr w14:paraId="5E0FC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408" w:type="dxa"/>
          </w:tcPr>
          <w:p w14:paraId="04A115B0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/>
                <w:sz w:val="24"/>
              </w:rPr>
              <w:t>七</w:t>
            </w:r>
          </w:p>
        </w:tc>
        <w:tc>
          <w:tcPr>
            <w:tcW w:w="4409" w:type="dxa"/>
          </w:tcPr>
          <w:p w14:paraId="65160638">
            <w:pPr>
              <w:widowControl/>
              <w:snapToGrid w:val="0"/>
              <w:spacing w:before="156" w:beforeLines="50"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超导磁体用液氦真空输液管</w:t>
            </w:r>
          </w:p>
        </w:tc>
        <w:tc>
          <w:tcPr>
            <w:tcW w:w="1810" w:type="dxa"/>
          </w:tcPr>
          <w:p w14:paraId="05335AAC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76E7B952">
            <w:pPr>
              <w:widowControl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个</w:t>
            </w:r>
          </w:p>
        </w:tc>
      </w:tr>
    </w:tbl>
    <w:p w14:paraId="631E9B80">
      <w:pPr>
        <w:widowControl/>
        <w:snapToGrid w:val="0"/>
        <w:spacing w:before="468" w:beforeLines="150" w:line="360" w:lineRule="auto"/>
        <w:ind w:firstLine="420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技术要求及参数：</w:t>
      </w:r>
    </w:p>
    <w:p w14:paraId="07942FA1">
      <w:pPr>
        <w:widowControl/>
        <w:snapToGrid w:val="0"/>
        <w:spacing w:line="360" w:lineRule="auto"/>
        <w:ind w:firstLine="420"/>
        <w:rPr>
          <w:rFonts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详细见：技术性能指标表。</w:t>
      </w:r>
    </w:p>
    <w:p w14:paraId="67CEC477">
      <w:pPr>
        <w:widowControl/>
        <w:snapToGrid w:val="0"/>
        <w:spacing w:line="360" w:lineRule="auto"/>
        <w:ind w:firstLine="420"/>
        <w:rPr>
          <w:rFonts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加“</w:t>
      </w:r>
      <w:r>
        <w:rPr>
          <w:rFonts w:hint="eastAsia" w:ascii="宋体" w:hAnsi="宋体" w:cs="宋体"/>
          <w:kern w:val="0"/>
          <w:sz w:val="24"/>
          <w:lang w:val="zh-CN"/>
        </w:rPr>
        <w:t>★</w:t>
      </w:r>
      <w:r>
        <w:rPr>
          <w:rFonts w:hint="eastAsia" w:ascii="宋体" w:hAnsi="宋体" w:cs="宋体"/>
          <w:bCs/>
          <w:sz w:val="24"/>
        </w:rPr>
        <w:t>”条款为必须满足的条款，不得偏离。</w:t>
      </w:r>
    </w:p>
    <w:p w14:paraId="73709F5C">
      <w:pPr>
        <w:widowControl/>
        <w:snapToGrid w:val="0"/>
        <w:spacing w:before="156" w:beforeLines="50" w:after="156" w:afterLines="50"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2、技术性能指标表</w:t>
      </w:r>
    </w:p>
    <w:tbl>
      <w:tblPr>
        <w:tblStyle w:val="10"/>
        <w:tblW w:w="95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8"/>
        <w:gridCol w:w="1051"/>
        <w:gridCol w:w="749"/>
        <w:gridCol w:w="7130"/>
      </w:tblGrid>
      <w:tr w14:paraId="288C0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0" w:hRule="atLeast"/>
          <w:jc w:val="center"/>
        </w:trPr>
        <w:tc>
          <w:tcPr>
            <w:tcW w:w="608" w:type="dxa"/>
            <w:vAlign w:val="center"/>
          </w:tcPr>
          <w:p w14:paraId="358E2F8D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编号</w:t>
            </w:r>
          </w:p>
        </w:tc>
        <w:tc>
          <w:tcPr>
            <w:tcW w:w="1051" w:type="dxa"/>
            <w:vAlign w:val="center"/>
          </w:tcPr>
          <w:p w14:paraId="5B1E8C84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招标技术指标名称</w:t>
            </w:r>
          </w:p>
        </w:tc>
        <w:tc>
          <w:tcPr>
            <w:tcW w:w="7879" w:type="dxa"/>
            <w:gridSpan w:val="2"/>
            <w:vAlign w:val="center"/>
          </w:tcPr>
          <w:p w14:paraId="5ADDA843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招标技术指标值</w:t>
            </w:r>
          </w:p>
        </w:tc>
      </w:tr>
      <w:tr w14:paraId="7966E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08" w:type="dxa"/>
            <w:vAlign w:val="center"/>
          </w:tcPr>
          <w:p w14:paraId="7B2AF2F6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1051" w:type="dxa"/>
            <w:vAlign w:val="center"/>
          </w:tcPr>
          <w:p w14:paraId="5671EBDC">
            <w:pPr>
              <w:widowControl/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应用范围和要求</w:t>
            </w:r>
          </w:p>
        </w:tc>
        <w:tc>
          <w:tcPr>
            <w:tcW w:w="7879" w:type="dxa"/>
            <w:gridSpan w:val="2"/>
            <w:vAlign w:val="center"/>
          </w:tcPr>
          <w:p w14:paraId="076DC32F">
            <w:pPr>
              <w:spacing w:line="360" w:lineRule="auto"/>
              <w:ind w:left="105" w:leftChars="5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谱仪具有最新核磁共振实验功能，应含2个射频发射通道，能以正向、反向方式进行检测。该设备要含有氘核锁场及氘核梯度自动匀场附件、 Z脉冲梯度场，具有高精度变温实验功能，具有获得最佳一维、二维及多维谱图的数据处理速度与存贮能力。</w:t>
            </w:r>
          </w:p>
        </w:tc>
      </w:tr>
      <w:tr w14:paraId="29789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08" w:type="dxa"/>
            <w:vMerge w:val="restart"/>
            <w:vAlign w:val="center"/>
          </w:tcPr>
          <w:p w14:paraId="13711966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1051" w:type="dxa"/>
            <w:vMerge w:val="restart"/>
            <w:vAlign w:val="center"/>
          </w:tcPr>
          <w:p w14:paraId="0B9679C7">
            <w:pPr>
              <w:widowControl/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性能指标</w:t>
            </w:r>
          </w:p>
        </w:tc>
        <w:tc>
          <w:tcPr>
            <w:tcW w:w="7879" w:type="dxa"/>
            <w:gridSpan w:val="2"/>
            <w:vAlign w:val="center"/>
          </w:tcPr>
          <w:p w14:paraId="47F72561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超导磁体</w:t>
            </w:r>
          </w:p>
        </w:tc>
      </w:tr>
      <w:tr w14:paraId="5C03A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08" w:type="dxa"/>
            <w:vMerge w:val="continue"/>
            <w:vAlign w:val="center"/>
          </w:tcPr>
          <w:p w14:paraId="5613EEA3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064B82EB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340F0E0C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▲1</w:t>
            </w:r>
          </w:p>
        </w:tc>
        <w:tc>
          <w:tcPr>
            <w:tcW w:w="7130" w:type="dxa"/>
          </w:tcPr>
          <w:p w14:paraId="2301E008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超自屏蔽磁体14.09T，室温腔直径≥54mm。</w:t>
            </w:r>
          </w:p>
        </w:tc>
      </w:tr>
      <w:tr w14:paraId="2948A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39" w:hRule="atLeast"/>
          <w:jc w:val="center"/>
        </w:trPr>
        <w:tc>
          <w:tcPr>
            <w:tcW w:w="608" w:type="dxa"/>
            <w:vMerge w:val="continue"/>
            <w:vAlign w:val="center"/>
          </w:tcPr>
          <w:p w14:paraId="656DE784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0E62C660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606ABDDB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▲</w:t>
            </w:r>
            <w:r>
              <w:rPr>
                <w:rFonts w:ascii="宋体" w:hAnsi="宋体" w:cs="宋体"/>
                <w:sz w:val="24"/>
              </w:rPr>
              <w:t>2</w:t>
            </w:r>
          </w:p>
        </w:tc>
        <w:tc>
          <w:tcPr>
            <w:tcW w:w="7130" w:type="dxa"/>
          </w:tcPr>
          <w:p w14:paraId="1DCABAAE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/>
                <w:sz w:val="24"/>
              </w:rPr>
              <w:t>磁场漂移</w:t>
            </w:r>
            <w:r>
              <w:rPr>
                <w:rFonts w:hint="eastAsia" w:ascii="宋体" w:hAnsi="宋体"/>
                <w:sz w:val="24"/>
              </w:rPr>
              <w:t>≤</w:t>
            </w:r>
            <w:r>
              <w:rPr>
                <w:rFonts w:ascii="宋体" w:hAnsi="宋体"/>
                <w:sz w:val="24"/>
              </w:rPr>
              <w:t xml:space="preserve"> 6 </w:t>
            </w:r>
            <w:r>
              <w:rPr>
                <w:sz w:val="24"/>
              </w:rPr>
              <w:t>Hz/hr</w:t>
            </w:r>
          </w:p>
        </w:tc>
      </w:tr>
      <w:tr w14:paraId="0C898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8" w:hRule="atLeast"/>
          <w:jc w:val="center"/>
        </w:trPr>
        <w:tc>
          <w:tcPr>
            <w:tcW w:w="608" w:type="dxa"/>
            <w:vMerge w:val="continue"/>
            <w:vAlign w:val="center"/>
          </w:tcPr>
          <w:p w14:paraId="21443753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25342309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1C404DD7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3</w:t>
            </w:r>
          </w:p>
        </w:tc>
        <w:tc>
          <w:tcPr>
            <w:tcW w:w="7130" w:type="dxa"/>
          </w:tcPr>
          <w:p w14:paraId="790833EC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液氦维持时间 </w:t>
            </w:r>
            <w:r>
              <w:rPr>
                <w:rFonts w:hint="eastAsia" w:ascii="宋体" w:hAnsi="宋体"/>
                <w:sz w:val="24"/>
              </w:rPr>
              <w:t>≥</w:t>
            </w:r>
            <w:r>
              <w:rPr>
                <w:rFonts w:ascii="宋体" w:hAnsi="宋体"/>
                <w:sz w:val="24"/>
              </w:rPr>
              <w:t>15</w:t>
            </w:r>
            <w:r>
              <w:rPr>
                <w:rFonts w:hint="eastAsia" w:ascii="宋体" w:hAnsi="宋体"/>
                <w:sz w:val="24"/>
              </w:rPr>
              <w:t xml:space="preserve">0 </w:t>
            </w:r>
            <w:r>
              <w:rPr>
                <w:rFonts w:ascii="宋体" w:hAnsi="宋体"/>
                <w:sz w:val="24"/>
              </w:rPr>
              <w:t>天</w:t>
            </w:r>
          </w:p>
        </w:tc>
      </w:tr>
      <w:tr w14:paraId="7678D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99" w:hRule="atLeast"/>
          <w:jc w:val="center"/>
        </w:trPr>
        <w:tc>
          <w:tcPr>
            <w:tcW w:w="608" w:type="dxa"/>
            <w:vMerge w:val="continue"/>
            <w:vAlign w:val="center"/>
          </w:tcPr>
          <w:p w14:paraId="679CE8D3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1C749130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63D65B14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4</w:t>
            </w:r>
          </w:p>
        </w:tc>
        <w:tc>
          <w:tcPr>
            <w:tcW w:w="7130" w:type="dxa"/>
          </w:tcPr>
          <w:p w14:paraId="2A50CFC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液氮维持时间 </w:t>
            </w:r>
            <w:r>
              <w:rPr>
                <w:rFonts w:hint="eastAsia" w:ascii="宋体" w:hAnsi="宋体"/>
                <w:sz w:val="24"/>
              </w:rPr>
              <w:t>≥1</w:t>
            </w: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>天</w:t>
            </w:r>
          </w:p>
        </w:tc>
      </w:tr>
      <w:tr w14:paraId="2BB50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8" w:hRule="atLeast"/>
          <w:jc w:val="center"/>
        </w:trPr>
        <w:tc>
          <w:tcPr>
            <w:tcW w:w="608" w:type="dxa"/>
            <w:vMerge w:val="continue"/>
            <w:vAlign w:val="center"/>
          </w:tcPr>
          <w:p w14:paraId="04FBEB56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3D92051B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879" w:type="dxa"/>
            <w:gridSpan w:val="2"/>
            <w:vAlign w:val="center"/>
          </w:tcPr>
          <w:p w14:paraId="3542ED5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射频发射系统</w:t>
            </w:r>
          </w:p>
        </w:tc>
      </w:tr>
      <w:tr w14:paraId="48865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18" w:hRule="atLeast"/>
          <w:jc w:val="center"/>
        </w:trPr>
        <w:tc>
          <w:tcPr>
            <w:tcW w:w="608" w:type="dxa"/>
            <w:vMerge w:val="continue"/>
            <w:vAlign w:val="center"/>
          </w:tcPr>
          <w:p w14:paraId="5FE4B9F0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5DBDB061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4282A144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7130" w:type="dxa"/>
          </w:tcPr>
          <w:p w14:paraId="62676A59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两</w:t>
            </w:r>
            <w:r>
              <w:rPr>
                <w:rFonts w:ascii="宋体" w:hAnsi="宋体"/>
                <w:sz w:val="24"/>
              </w:rPr>
              <w:t>组</w:t>
            </w:r>
            <w:r>
              <w:rPr>
                <w:sz w:val="24"/>
              </w:rPr>
              <w:t>RF</w:t>
            </w:r>
            <w:r>
              <w:rPr>
                <w:rFonts w:ascii="宋体" w:hAnsi="宋体"/>
                <w:sz w:val="24"/>
              </w:rPr>
              <w:t>射频通道</w:t>
            </w:r>
          </w:p>
        </w:tc>
      </w:tr>
      <w:tr w14:paraId="3CFA6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8" w:hRule="atLeast"/>
          <w:jc w:val="center"/>
        </w:trPr>
        <w:tc>
          <w:tcPr>
            <w:tcW w:w="608" w:type="dxa"/>
            <w:vMerge w:val="continue"/>
            <w:vAlign w:val="center"/>
          </w:tcPr>
          <w:p w14:paraId="3CB7087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62FD4627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5A55CB1F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7130" w:type="dxa"/>
          </w:tcPr>
          <w:p w14:paraId="4B744622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/>
                <w:sz w:val="24"/>
              </w:rPr>
              <w:t>各通道配有频率发生器、传输通道和放大器</w:t>
            </w:r>
            <w:r>
              <w:rPr>
                <w:rFonts w:hint="eastAsia" w:ascii="宋体" w:hAnsi="宋体"/>
                <w:sz w:val="24"/>
              </w:rPr>
              <w:t>。各通道有独立的观测、去偶、信号接收、模数转换功能。</w:t>
            </w:r>
          </w:p>
        </w:tc>
      </w:tr>
      <w:tr w14:paraId="37032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37EA4C39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1F8E1FD8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00E052F3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7130" w:type="dxa"/>
          </w:tcPr>
          <w:p w14:paraId="58C1A181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>频率分辨率</w:t>
            </w:r>
            <w:r>
              <w:rPr>
                <w:rFonts w:hint="eastAsia" w:ascii="宋体" w:hAnsi="宋体"/>
                <w:sz w:val="24"/>
              </w:rPr>
              <w:t>：≤</w:t>
            </w:r>
            <w:r>
              <w:rPr>
                <w:rFonts w:ascii="宋体" w:hAnsi="宋体"/>
                <w:sz w:val="24"/>
              </w:rPr>
              <w:t>0.001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sz w:val="24"/>
              </w:rPr>
              <w:t>Hz</w:t>
            </w:r>
          </w:p>
        </w:tc>
      </w:tr>
      <w:tr w14:paraId="0D8D1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7C075622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49D2AE05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063059D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▲4</w:t>
            </w:r>
          </w:p>
        </w:tc>
        <w:tc>
          <w:tcPr>
            <w:tcW w:w="7130" w:type="dxa"/>
          </w:tcPr>
          <w:p w14:paraId="6A8C5BB4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>相位分辨率</w:t>
            </w:r>
            <w:r>
              <w:rPr>
                <w:rFonts w:hint="eastAsia" w:ascii="宋体" w:hAnsi="宋体"/>
                <w:sz w:val="24"/>
              </w:rPr>
              <w:t>：≤</w:t>
            </w:r>
            <w:r>
              <w:rPr>
                <w:rFonts w:ascii="宋体" w:hAnsi="宋体"/>
                <w:sz w:val="24"/>
              </w:rPr>
              <w:t>0.005°</w:t>
            </w:r>
          </w:p>
        </w:tc>
      </w:tr>
      <w:tr w14:paraId="02AC7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4" w:hRule="atLeast"/>
          <w:jc w:val="center"/>
        </w:trPr>
        <w:tc>
          <w:tcPr>
            <w:tcW w:w="608" w:type="dxa"/>
            <w:vMerge w:val="continue"/>
            <w:vAlign w:val="center"/>
          </w:tcPr>
          <w:p w14:paraId="08F0860A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6C67F967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5228C038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▲5</w:t>
            </w:r>
          </w:p>
        </w:tc>
        <w:tc>
          <w:tcPr>
            <w:tcW w:w="7130" w:type="dxa"/>
          </w:tcPr>
          <w:p w14:paraId="425904B6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>幅度</w:t>
            </w:r>
            <w:r>
              <w:rPr>
                <w:rFonts w:hint="eastAsia" w:ascii="宋体" w:hAnsi="宋体"/>
                <w:sz w:val="24"/>
              </w:rPr>
              <w:t>全</w:t>
            </w:r>
            <w:r>
              <w:rPr>
                <w:rFonts w:ascii="宋体" w:hAnsi="宋体"/>
                <w:sz w:val="24"/>
              </w:rPr>
              <w:t>范围</w:t>
            </w:r>
            <w:r>
              <w:rPr>
                <w:rFonts w:hint="eastAsia" w:ascii="宋体" w:hAnsi="宋体"/>
                <w:sz w:val="24"/>
              </w:rPr>
              <w:t>：≥</w:t>
            </w:r>
            <w:r>
              <w:rPr>
                <w:rFonts w:ascii="宋体" w:hAnsi="宋体"/>
                <w:sz w:val="24"/>
              </w:rPr>
              <w:t>12</w:t>
            </w:r>
            <w:r>
              <w:rPr>
                <w:rFonts w:hint="eastAsia" w:ascii="宋体" w:hAnsi="宋体"/>
                <w:sz w:val="24"/>
              </w:rPr>
              <w:t xml:space="preserve">0 </w:t>
            </w:r>
            <w:r>
              <w:rPr>
                <w:sz w:val="24"/>
              </w:rPr>
              <w:t>dB</w:t>
            </w:r>
          </w:p>
        </w:tc>
      </w:tr>
      <w:tr w14:paraId="7816A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4EB088C8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7F8F41C4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55DF9FDC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6</w:t>
            </w:r>
          </w:p>
        </w:tc>
        <w:tc>
          <w:tcPr>
            <w:tcW w:w="7130" w:type="dxa"/>
          </w:tcPr>
          <w:p w14:paraId="6A585E1F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>配有2个线性功率放大器</w:t>
            </w:r>
          </w:p>
        </w:tc>
      </w:tr>
      <w:tr w14:paraId="1D4D9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081629A8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47484923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101C0596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</w:t>
            </w:r>
          </w:p>
        </w:tc>
        <w:tc>
          <w:tcPr>
            <w:tcW w:w="7130" w:type="dxa"/>
          </w:tcPr>
          <w:p w14:paraId="66F01D10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>接收系统： 数字接收器</w:t>
            </w:r>
          </w:p>
        </w:tc>
      </w:tr>
      <w:tr w14:paraId="68E01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66B0764A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192ABC8F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5852F0BE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▲8</w:t>
            </w:r>
          </w:p>
        </w:tc>
        <w:tc>
          <w:tcPr>
            <w:tcW w:w="7130" w:type="dxa"/>
          </w:tcPr>
          <w:p w14:paraId="1984A18B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最大谱宽：≥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9 </w:t>
            </w:r>
            <w:r>
              <w:rPr>
                <w:sz w:val="24"/>
              </w:rPr>
              <w:t>MHz</w:t>
            </w:r>
          </w:p>
        </w:tc>
      </w:tr>
      <w:tr w14:paraId="2BDFA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7943EAEB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788CD8D9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22844EA1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</w:t>
            </w:r>
          </w:p>
        </w:tc>
        <w:tc>
          <w:tcPr>
            <w:tcW w:w="7130" w:type="dxa"/>
          </w:tcPr>
          <w:p w14:paraId="41F399DB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>控温范围：-1</w:t>
            </w:r>
            <w:r>
              <w:rPr>
                <w:rFonts w:hint="eastAsia" w:ascii="宋体" w:hAnsi="宋体"/>
                <w:sz w:val="24"/>
              </w:rPr>
              <w:t>7</w:t>
            </w:r>
            <w:r>
              <w:rPr>
                <w:rFonts w:ascii="宋体" w:hAnsi="宋体"/>
                <w:sz w:val="24"/>
              </w:rPr>
              <w:t>0</w:t>
            </w:r>
            <w:r>
              <w:rPr>
                <w:rFonts w:hint="eastAsia" w:ascii="宋体" w:hAnsi="宋体" w:cs="宋体"/>
                <w:sz w:val="24"/>
              </w:rPr>
              <w:t>℃</w:t>
            </w:r>
            <w:r>
              <w:rPr>
                <w:rFonts w:ascii="宋体" w:hAnsi="宋体"/>
                <w:sz w:val="24"/>
              </w:rPr>
              <w:t xml:space="preserve"> 至 +</w:t>
            </w:r>
            <w:r>
              <w:rPr>
                <w:rFonts w:hint="eastAsia" w:ascii="宋体" w:hAnsi="宋体"/>
                <w:sz w:val="24"/>
              </w:rPr>
              <w:t>25</w:t>
            </w:r>
            <w:r>
              <w:rPr>
                <w:rFonts w:ascii="宋体" w:hAnsi="宋体"/>
                <w:sz w:val="24"/>
              </w:rPr>
              <w:t>0</w:t>
            </w:r>
            <w:r>
              <w:rPr>
                <w:rFonts w:hint="eastAsia" w:ascii="宋体" w:hAnsi="宋体" w:cs="宋体"/>
                <w:sz w:val="24"/>
              </w:rPr>
              <w:t>℃</w:t>
            </w:r>
            <w:r>
              <w:rPr>
                <w:rFonts w:ascii="宋体" w:hAnsi="宋体"/>
                <w:sz w:val="24"/>
              </w:rPr>
              <w:t>，温控精度 0.1</w:t>
            </w:r>
            <w:r>
              <w:rPr>
                <w:rFonts w:hint="eastAsia" w:ascii="宋体" w:hAnsi="宋体" w:cs="宋体"/>
                <w:sz w:val="24"/>
              </w:rPr>
              <w:t>℃</w:t>
            </w:r>
          </w:p>
        </w:tc>
      </w:tr>
      <w:tr w14:paraId="1F791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1C5B5C9A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678E960D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2C72788E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7130" w:type="dxa"/>
          </w:tcPr>
          <w:p w14:paraId="266F38DB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>匀场系统：自动氘梯度匀场</w:t>
            </w:r>
          </w:p>
        </w:tc>
      </w:tr>
      <w:tr w14:paraId="3E75A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046C791F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4C0550BE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0AEBCE66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</w:t>
            </w:r>
          </w:p>
        </w:tc>
        <w:tc>
          <w:tcPr>
            <w:tcW w:w="7130" w:type="dxa"/>
          </w:tcPr>
          <w:p w14:paraId="5BD92293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配有梯度附件</w:t>
            </w:r>
          </w:p>
        </w:tc>
      </w:tr>
      <w:tr w14:paraId="724F1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230CE19A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53E35C8A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879" w:type="dxa"/>
            <w:gridSpan w:val="2"/>
            <w:vAlign w:val="center"/>
          </w:tcPr>
          <w:p w14:paraId="7EE57858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探头</w:t>
            </w:r>
          </w:p>
        </w:tc>
      </w:tr>
      <w:tr w14:paraId="243FB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0BBDDFC3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65170766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42179286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7130" w:type="dxa"/>
            <w:vAlign w:val="center"/>
          </w:tcPr>
          <w:p w14:paraId="646D60E3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 mm 自动调谐宽带探头，具有自屏蔽Z方向梯度场</w:t>
            </w:r>
          </w:p>
        </w:tc>
      </w:tr>
      <w:tr w14:paraId="60E6A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1B6C2D13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1B3E246E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02A2D572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7130" w:type="dxa"/>
            <w:vAlign w:val="center"/>
          </w:tcPr>
          <w:p w14:paraId="7229E2FB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检测核范围：1H；19F；杂核（31P～15N之间所有核）</w:t>
            </w:r>
          </w:p>
        </w:tc>
      </w:tr>
      <w:tr w14:paraId="0D1DF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66CBC023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75914839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6C005C9C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7130" w:type="dxa"/>
            <w:vAlign w:val="center"/>
          </w:tcPr>
          <w:p w14:paraId="08A78519">
            <w:pPr>
              <w:tabs>
                <w:tab w:val="left" w:pos="540"/>
                <w:tab w:val="left" w:pos="851"/>
                <w:tab w:val="left" w:pos="2500"/>
                <w:tab w:val="left" w:pos="7875"/>
                <w:tab w:val="decimal" w:pos="9450"/>
              </w:tabs>
              <w:spacing w:line="360" w:lineRule="auto"/>
              <w:ind w:right="-108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信噪比：</w:t>
            </w:r>
          </w:p>
          <w:p w14:paraId="09620AF9">
            <w:pPr>
              <w:tabs>
                <w:tab w:val="left" w:pos="540"/>
                <w:tab w:val="left" w:pos="851"/>
                <w:tab w:val="left" w:pos="2500"/>
                <w:tab w:val="left" w:pos="7875"/>
                <w:tab w:val="decimal" w:pos="9450"/>
              </w:tabs>
              <w:spacing w:line="360" w:lineRule="auto"/>
              <w:ind w:right="-108"/>
              <w:jc w:val="left"/>
              <w:rPr>
                <w:rFonts w:ascii="宋体" w:hAnsi="宋体"/>
                <w:sz w:val="24"/>
              </w:rPr>
            </w:pPr>
            <w:r>
              <w:rPr>
                <w:sz w:val="24"/>
                <w:vertAlign w:val="superscript"/>
              </w:rPr>
              <w:t>1</w:t>
            </w:r>
            <w:r>
              <w:rPr>
                <w:sz w:val="24"/>
              </w:rPr>
              <w:t xml:space="preserve">H </w:t>
            </w:r>
            <w:r>
              <w:rPr>
                <w:rFonts w:hint="eastAsia" w:ascii="宋体" w:hAnsi="宋体"/>
                <w:sz w:val="24"/>
              </w:rPr>
              <w:t>≥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105</w:t>
            </w:r>
            <w:r>
              <w:rPr>
                <w:rFonts w:ascii="宋体" w:hAnsi="宋体"/>
                <w:sz w:val="24"/>
              </w:rPr>
              <w:t>0:1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>(0.1%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sz w:val="24"/>
              </w:rPr>
              <w:t>EB</w:t>
            </w:r>
            <w:r>
              <w:rPr>
                <w:rFonts w:ascii="宋体" w:hAnsi="宋体"/>
                <w:sz w:val="24"/>
              </w:rPr>
              <w:t>）</w:t>
            </w:r>
          </w:p>
          <w:p w14:paraId="66D013EA">
            <w:pPr>
              <w:tabs>
                <w:tab w:val="left" w:pos="851"/>
              </w:tabs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sz w:val="24"/>
                <w:vertAlign w:val="superscript"/>
              </w:rPr>
              <w:t>13</w:t>
            </w:r>
            <w:r>
              <w:rPr>
                <w:sz w:val="24"/>
              </w:rPr>
              <w:t>C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≥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360</w:t>
            </w:r>
            <w:r>
              <w:rPr>
                <w:rFonts w:ascii="宋体" w:hAnsi="宋体"/>
                <w:sz w:val="24"/>
              </w:rPr>
              <w:t>:1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(</w:t>
            </w:r>
            <w:r>
              <w:rPr>
                <w:rFonts w:hint="eastAsia" w:ascii="宋体" w:hAnsi="宋体"/>
                <w:sz w:val="24"/>
              </w:rPr>
              <w:t>10%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sz w:val="24"/>
              </w:rPr>
              <w:t>EB</w:t>
            </w:r>
            <w:r>
              <w:rPr>
                <w:rFonts w:ascii="宋体" w:hAnsi="宋体"/>
                <w:sz w:val="24"/>
              </w:rPr>
              <w:t>）</w:t>
            </w:r>
          </w:p>
          <w:p w14:paraId="01111E2D">
            <w:pPr>
              <w:tabs>
                <w:tab w:val="left" w:pos="851"/>
              </w:tabs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sz w:val="24"/>
                <w:vertAlign w:val="superscript"/>
              </w:rPr>
              <w:t>31</w:t>
            </w:r>
            <w:r>
              <w:rPr>
                <w:sz w:val="24"/>
              </w:rPr>
              <w:t xml:space="preserve">P </w:t>
            </w:r>
            <w:r>
              <w:rPr>
                <w:rFonts w:hint="eastAsia" w:ascii="宋体" w:hAnsi="宋体"/>
                <w:sz w:val="24"/>
              </w:rPr>
              <w:t>≥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200</w:t>
            </w:r>
            <w:r>
              <w:rPr>
                <w:rFonts w:ascii="宋体" w:hAnsi="宋体"/>
                <w:sz w:val="24"/>
              </w:rPr>
              <w:t xml:space="preserve">:1 </w:t>
            </w:r>
            <w:r>
              <w:rPr>
                <w:rFonts w:hint="eastAsia" w:ascii="宋体" w:hAnsi="宋体"/>
                <w:sz w:val="24"/>
              </w:rPr>
              <w:t xml:space="preserve">  </w:t>
            </w:r>
            <w:r>
              <w:rPr>
                <w:rFonts w:ascii="宋体" w:hAnsi="宋体"/>
                <w:sz w:val="24"/>
              </w:rPr>
              <w:t>(0.0485</w:t>
            </w:r>
            <w:r>
              <w:rPr>
                <w:sz w:val="24"/>
              </w:rPr>
              <w:t>M TPP</w:t>
            </w:r>
            <w:r>
              <w:rPr>
                <w:rFonts w:hint="eastAsia" w:ascii="宋体" w:hAnsi="宋体"/>
                <w:sz w:val="24"/>
              </w:rPr>
              <w:t>)</w:t>
            </w:r>
          </w:p>
          <w:p w14:paraId="74A25E10">
            <w:pPr>
              <w:tabs>
                <w:tab w:val="left" w:pos="851"/>
              </w:tabs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sz w:val="24"/>
                <w:vertAlign w:val="superscript"/>
              </w:rPr>
              <w:t>15</w:t>
            </w:r>
            <w:r>
              <w:rPr>
                <w:sz w:val="24"/>
              </w:rPr>
              <w:t xml:space="preserve">N </w:t>
            </w:r>
            <w:r>
              <w:rPr>
                <w:rFonts w:hint="eastAsia" w:ascii="宋体" w:hAnsi="宋体"/>
                <w:sz w:val="24"/>
              </w:rPr>
              <w:t>≥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45</w:t>
            </w:r>
            <w:r>
              <w:rPr>
                <w:rFonts w:ascii="宋体" w:hAnsi="宋体"/>
                <w:sz w:val="24"/>
              </w:rPr>
              <w:t>:1</w:t>
            </w:r>
            <w:r>
              <w:rPr>
                <w:rFonts w:hint="eastAsia" w:ascii="宋体" w:hAnsi="宋体"/>
                <w:sz w:val="24"/>
              </w:rPr>
              <w:t xml:space="preserve">    </w:t>
            </w:r>
            <w:r>
              <w:rPr>
                <w:rFonts w:ascii="宋体" w:hAnsi="宋体"/>
                <w:sz w:val="24"/>
              </w:rPr>
              <w:t>(90%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sz w:val="24"/>
              </w:rPr>
              <w:t>Formamide</w:t>
            </w:r>
            <w:r>
              <w:rPr>
                <w:rFonts w:ascii="宋体" w:hAnsi="宋体"/>
                <w:sz w:val="24"/>
              </w:rPr>
              <w:t>）</w:t>
            </w:r>
          </w:p>
          <w:p w14:paraId="63411E2B">
            <w:pPr>
              <w:tabs>
                <w:tab w:val="left" w:pos="851"/>
              </w:tabs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sz w:val="24"/>
                <w:vertAlign w:val="superscript"/>
              </w:rPr>
              <w:t>19</w:t>
            </w:r>
            <w:r>
              <w:rPr>
                <w:sz w:val="24"/>
              </w:rPr>
              <w:t xml:space="preserve">F </w:t>
            </w:r>
            <w:r>
              <w:rPr>
                <w:rFonts w:hint="eastAsia" w:ascii="宋体" w:hAnsi="宋体"/>
                <w:sz w:val="24"/>
              </w:rPr>
              <w:t>≥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1050</w:t>
            </w:r>
            <w:r>
              <w:rPr>
                <w:rFonts w:ascii="宋体" w:hAnsi="宋体"/>
                <w:sz w:val="24"/>
              </w:rPr>
              <w:t>:1</w:t>
            </w:r>
            <w:r>
              <w:rPr>
                <w:rFonts w:hint="eastAsia" w:ascii="宋体" w:hAnsi="宋体"/>
                <w:sz w:val="24"/>
              </w:rPr>
              <w:t xml:space="preserve">  </w:t>
            </w:r>
            <w:r>
              <w:rPr>
                <w:rFonts w:ascii="宋体" w:hAnsi="宋体"/>
                <w:sz w:val="24"/>
              </w:rPr>
              <w:t>(0.05%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sz w:val="24"/>
              </w:rPr>
              <w:t>TFT</w:t>
            </w:r>
            <w:r>
              <w:rPr>
                <w:rFonts w:ascii="宋体" w:hAnsi="宋体"/>
                <w:sz w:val="24"/>
              </w:rPr>
              <w:t>）</w:t>
            </w:r>
          </w:p>
        </w:tc>
      </w:tr>
      <w:tr w14:paraId="2A784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143B0EEF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31A35DFA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6D030536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▲4</w:t>
            </w:r>
          </w:p>
        </w:tc>
        <w:tc>
          <w:tcPr>
            <w:tcW w:w="7130" w:type="dxa"/>
            <w:vAlign w:val="center"/>
          </w:tcPr>
          <w:p w14:paraId="60317420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探头变温范围: -100℃～+150℃</w:t>
            </w:r>
          </w:p>
        </w:tc>
      </w:tr>
      <w:tr w14:paraId="40AE4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07280BCC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325B8461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68BC2E86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▲5</w:t>
            </w:r>
          </w:p>
        </w:tc>
        <w:tc>
          <w:tcPr>
            <w:tcW w:w="7130" w:type="dxa"/>
            <w:vAlign w:val="center"/>
          </w:tcPr>
          <w:p w14:paraId="2E1231E6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观测13C谱时，可以对1H 和 19F同时去耦</w:t>
            </w:r>
          </w:p>
        </w:tc>
      </w:tr>
      <w:tr w14:paraId="7B9C6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47274E81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1C9D2A7C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0C977F5A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7130" w:type="dxa"/>
            <w:vAlign w:val="center"/>
          </w:tcPr>
          <w:p w14:paraId="5BCAF915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探头配有所有核种的自动调谐与匹配附件</w:t>
            </w:r>
          </w:p>
        </w:tc>
      </w:tr>
      <w:tr w14:paraId="5FF52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1E353DD2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20E9CF2C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879" w:type="dxa"/>
            <w:gridSpan w:val="2"/>
            <w:vAlign w:val="center"/>
          </w:tcPr>
          <w:p w14:paraId="130677D1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自动进样器</w:t>
            </w:r>
          </w:p>
        </w:tc>
      </w:tr>
      <w:tr w14:paraId="3C22D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38D86439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6AE90080">
            <w:pPr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5A978E73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7130" w:type="dxa"/>
            <w:vAlign w:val="center"/>
          </w:tcPr>
          <w:p w14:paraId="5A085159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样品盘一次可放置的样品位数至少24位，5mm转子不少于3</w:t>
            </w:r>
            <w:r>
              <w:rPr>
                <w:rFonts w:ascii="宋体" w:hAnsi="宋体" w:cs="宋体"/>
                <w:sz w:val="24"/>
              </w:rPr>
              <w:t>6</w:t>
            </w:r>
            <w:r>
              <w:rPr>
                <w:rFonts w:hint="eastAsia" w:ascii="宋体" w:hAnsi="宋体" w:cs="宋体"/>
                <w:sz w:val="24"/>
              </w:rPr>
              <w:t>个；</w:t>
            </w:r>
          </w:p>
        </w:tc>
      </w:tr>
      <w:tr w14:paraId="5DDF0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3F73066E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7A4F8B85">
            <w:pPr>
              <w:widowControl/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879" w:type="dxa"/>
            <w:gridSpan w:val="2"/>
            <w:vAlign w:val="center"/>
          </w:tcPr>
          <w:p w14:paraId="6D9A5979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工作站和软件</w:t>
            </w:r>
          </w:p>
        </w:tc>
      </w:tr>
      <w:tr w14:paraId="2494E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24C00049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6081CB83">
            <w:pPr>
              <w:widowControl/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023BC51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7130" w:type="dxa"/>
            <w:vAlign w:val="center"/>
          </w:tcPr>
          <w:p w14:paraId="1521D529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PC工作站</w:t>
            </w:r>
          </w:p>
        </w:tc>
      </w:tr>
      <w:tr w14:paraId="09A01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4B119CB6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26CD95E4">
            <w:pPr>
              <w:widowControl/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6409DCD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7130" w:type="dxa"/>
            <w:vAlign w:val="center"/>
          </w:tcPr>
          <w:p w14:paraId="52E6B327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运行平台： Windows系统。</w:t>
            </w:r>
          </w:p>
        </w:tc>
      </w:tr>
      <w:tr w14:paraId="227CE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50BF886F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60E6109D">
            <w:pPr>
              <w:widowControl/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62282EF8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7130" w:type="dxa"/>
            <w:vAlign w:val="center"/>
          </w:tcPr>
          <w:p w14:paraId="4E1F2603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配备相应NMR软件，包含常用和最新的核磁实验方法，例如，1H，13C， DEPT， COSY， NOESY，TOCSY，HMBC，HSQC 等各种核磁方法，具有完整的网络功能。</w:t>
            </w:r>
          </w:p>
        </w:tc>
      </w:tr>
      <w:tr w14:paraId="53A90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  <w:jc w:val="center"/>
        </w:trPr>
        <w:tc>
          <w:tcPr>
            <w:tcW w:w="608" w:type="dxa"/>
            <w:vMerge w:val="continue"/>
            <w:vAlign w:val="center"/>
          </w:tcPr>
          <w:p w14:paraId="225EC0C0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029F1ABC">
            <w:pPr>
              <w:widowControl/>
              <w:spacing w:line="360" w:lineRule="auto"/>
              <w:ind w:firstLine="120" w:firstLineChars="5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2593983B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4</w:t>
            </w:r>
          </w:p>
        </w:tc>
        <w:tc>
          <w:tcPr>
            <w:tcW w:w="7130" w:type="dxa"/>
            <w:vAlign w:val="center"/>
          </w:tcPr>
          <w:p w14:paraId="3C8579EE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包括定量核磁软件</w:t>
            </w:r>
          </w:p>
        </w:tc>
      </w:tr>
    </w:tbl>
    <w:p w14:paraId="7220DB08">
      <w:pPr>
        <w:pStyle w:val="9"/>
        <w:numPr>
          <w:ilvl w:val="0"/>
          <w:numId w:val="2"/>
        </w:numPr>
        <w:spacing w:line="360" w:lineRule="auto"/>
        <w:ind w:right="708" w:rightChars="337" w:hanging="905"/>
        <w:jc w:val="both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商务条款</w:t>
      </w:r>
    </w:p>
    <w:p w14:paraId="68593D06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b/>
          <w:bCs/>
          <w:kern w:val="0"/>
          <w:sz w:val="24"/>
          <w:lang w:val="zh-CN"/>
        </w:rPr>
        <w:t>★交货地点：</w:t>
      </w:r>
      <w:r>
        <w:rPr>
          <w:rFonts w:hint="eastAsia" w:ascii="宋体" w:hAnsi="宋体" w:cs="宋体"/>
          <w:kern w:val="0"/>
          <w:sz w:val="24"/>
        </w:rPr>
        <w:t>中国科学院广州能源研究所</w:t>
      </w:r>
      <w:r>
        <w:rPr>
          <w:rFonts w:hint="eastAsia" w:ascii="宋体" w:hAnsi="宋体" w:cs="宋体"/>
          <w:kern w:val="0"/>
          <w:sz w:val="24"/>
          <w:lang w:val="zh-CN"/>
        </w:rPr>
        <w:t>指定地点</w:t>
      </w:r>
    </w:p>
    <w:p w14:paraId="4E8C816B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>
        <w:rPr>
          <w:rFonts w:hint="eastAsia" w:ascii="宋体" w:hAnsi="宋体" w:cs="宋体"/>
          <w:b/>
          <w:bCs/>
          <w:kern w:val="0"/>
          <w:sz w:val="24"/>
          <w:lang w:val="zh-CN"/>
        </w:rPr>
        <w:t>★交货期：</w:t>
      </w:r>
      <w:r>
        <w:rPr>
          <w:rFonts w:hint="eastAsia" w:ascii="宋体" w:hAnsi="宋体" w:cs="宋体"/>
          <w:kern w:val="0"/>
          <w:sz w:val="24"/>
          <w:lang w:val="de-DE"/>
        </w:rPr>
        <w:t>2025年12月</w:t>
      </w:r>
      <w:r>
        <w:rPr>
          <w:rFonts w:hint="eastAsia" w:ascii="宋体" w:hAnsi="宋体" w:cs="宋体"/>
          <w:kern w:val="0"/>
          <w:sz w:val="24"/>
          <w:lang w:val="zh-CN"/>
        </w:rPr>
        <w:t>。</w:t>
      </w:r>
    </w:p>
    <w:p w14:paraId="2D8335CD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b/>
          <w:bCs/>
          <w:kern w:val="0"/>
          <w:sz w:val="24"/>
          <w:lang w:val="zh-CN"/>
        </w:rPr>
        <w:t>★报价方式及要求：</w:t>
      </w:r>
    </w:p>
    <w:p w14:paraId="66A46493">
      <w:pPr>
        <w:numPr>
          <w:ilvl w:val="0"/>
          <w:numId w:val="4"/>
        </w:numPr>
        <w:tabs>
          <w:tab w:val="left" w:pos="420"/>
          <w:tab w:val="clear" w:pos="312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</w:rPr>
        <w:t>本项目允许采购进口产品参与投标，不拒绝投标人选用国产产品参与投标（进口产品是指通过海关验放进入中国境内且产自关境外的进口产品）。</w:t>
      </w:r>
      <w:r>
        <w:rPr>
          <w:rFonts w:hint="eastAsia" w:ascii="宋体" w:hAnsi="宋体" w:cs="仿宋_GB2312"/>
          <w:sz w:val="24"/>
        </w:rPr>
        <w:t>进口产品与服务报CIP指定交货地点人民币价（不含关税、增值税），外贸代理费、清关杂费等由中标人承担；</w:t>
      </w:r>
      <w:r>
        <w:rPr>
          <w:rFonts w:hint="eastAsia" w:ascii="宋体" w:hAnsi="宋体" w:cs="仿宋_GB2312"/>
          <w:bCs/>
          <w:sz w:val="24"/>
        </w:rPr>
        <w:t>对原产于美国的产品，进口时在正常科创免税之外，中国政府加征的特殊关税由中标人承担。</w:t>
      </w:r>
    </w:p>
    <w:p w14:paraId="005AF85D">
      <w:pPr>
        <w:numPr>
          <w:ilvl w:val="0"/>
          <w:numId w:val="4"/>
        </w:numPr>
        <w:tabs>
          <w:tab w:val="left" w:pos="420"/>
          <w:tab w:val="clear" w:pos="312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仿宋_GB2312"/>
          <w:sz w:val="24"/>
        </w:rPr>
        <w:t>国产产品与服务报项目现场交货人民币价。</w:t>
      </w:r>
      <w:r>
        <w:rPr>
          <w:rFonts w:hint="eastAsia" w:ascii="宋体" w:hAnsi="宋体" w:cs="宋体"/>
          <w:sz w:val="24"/>
          <w:lang w:val="zh-CN"/>
        </w:rPr>
        <w:t>投标价包含仪器设备的价款、包装、税费、运输、装卸、安装、调试、技术指导、培训、咨询、服务、保险、检测、验收合格交付使用之前以及技术和售后服务等其他各项有关费用。</w:t>
      </w:r>
    </w:p>
    <w:p w14:paraId="3FC5617F">
      <w:pPr>
        <w:numPr>
          <w:ilvl w:val="0"/>
          <w:numId w:val="4"/>
        </w:numPr>
        <w:tabs>
          <w:tab w:val="left" w:pos="420"/>
          <w:tab w:val="clear" w:pos="312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人报价明显低于其他通过符合性审查投标人报价的，有可能影响产品质量或者不能诚信履约的，评标委员会可以要求其在规定的时间内提供书面说明，必要时提交相关证明材料；投标人不能证明其报价合理性的，评标委员会有权将其作为无效投标处理。</w:t>
      </w:r>
    </w:p>
    <w:p w14:paraId="7CB31675">
      <w:pPr>
        <w:numPr>
          <w:ilvl w:val="0"/>
          <w:numId w:val="4"/>
        </w:numPr>
        <w:tabs>
          <w:tab w:val="left" w:pos="420"/>
          <w:tab w:val="clear" w:pos="312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投标报价不得超过采购预算（如有最高限价则不得超出最高限价）。</w:t>
      </w:r>
    </w:p>
    <w:p w14:paraId="45247378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>
        <w:rPr>
          <w:rFonts w:hint="eastAsia" w:ascii="宋体" w:hAnsi="宋体" w:cs="宋体"/>
          <w:b/>
          <w:bCs/>
          <w:kern w:val="0"/>
          <w:sz w:val="24"/>
          <w:lang w:val="zh-CN"/>
        </w:rPr>
        <w:t>★</w:t>
      </w:r>
      <w:r>
        <w:rPr>
          <w:rFonts w:hint="eastAsia" w:ascii="宋体" w:hAnsi="宋体" w:cs="宋体"/>
          <w:b/>
          <w:bCs/>
          <w:kern w:val="0"/>
          <w:sz w:val="24"/>
        </w:rPr>
        <w:t>进</w:t>
      </w:r>
      <w:r>
        <w:rPr>
          <w:rFonts w:hint="eastAsia" w:ascii="宋体" w:hAnsi="宋体" w:cs="宋体"/>
          <w:b/>
          <w:bCs/>
          <w:kern w:val="0"/>
          <w:sz w:val="24"/>
          <w:lang w:val="zh-CN"/>
        </w:rPr>
        <w:t>口产品必须提供原厂有效授权</w:t>
      </w:r>
      <w:r>
        <w:rPr>
          <w:rFonts w:hint="eastAsia" w:ascii="宋体" w:hAnsi="宋体" w:cs="宋体"/>
          <w:b/>
          <w:bCs/>
          <w:kern w:val="0"/>
          <w:sz w:val="24"/>
        </w:rPr>
        <w:t>书</w:t>
      </w:r>
    </w:p>
    <w:p w14:paraId="6AEBE609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>
        <w:rPr>
          <w:rFonts w:hint="eastAsia" w:ascii="宋体" w:hAnsi="宋体" w:cs="宋体"/>
          <w:b/>
          <w:bCs/>
          <w:kern w:val="0"/>
          <w:sz w:val="24"/>
          <w:lang w:val="zh-CN"/>
        </w:rPr>
        <w:t>★付款方式：</w:t>
      </w:r>
    </w:p>
    <w:p w14:paraId="71851309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对于国产产品，100%凭用户代表签字并加盖单位公章后的验收报告支付；</w:t>
      </w:r>
    </w:p>
    <w:p w14:paraId="3A4AA31B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对于进口产品，采用即期不可撤销信用证等国际贸易支付条件支付：</w:t>
      </w:r>
    </w:p>
    <w:p w14:paraId="7C776881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 xml:space="preserve">      90%凭合同要求单据支付；</w:t>
      </w:r>
    </w:p>
    <w:p w14:paraId="7A352405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sz w:val="24"/>
          <w:lang w:val="zh-CN"/>
        </w:rPr>
        <w:t xml:space="preserve">      10%凭用户代表签字并加盖单位公章后的验收报告支付。</w:t>
      </w:r>
    </w:p>
    <w:p w14:paraId="22D66CA8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>
        <w:rPr>
          <w:rFonts w:hint="eastAsia" w:ascii="宋体" w:hAnsi="宋体" w:cs="宋体"/>
          <w:b/>
          <w:bCs/>
          <w:kern w:val="0"/>
          <w:sz w:val="24"/>
          <w:lang w:val="zh-CN"/>
        </w:rPr>
        <w:t>质保</w:t>
      </w:r>
      <w:r>
        <w:rPr>
          <w:rFonts w:hint="eastAsia" w:ascii="宋体" w:hAnsi="宋体" w:cs="宋体"/>
          <w:b/>
          <w:bCs/>
          <w:kern w:val="0"/>
          <w:sz w:val="24"/>
        </w:rPr>
        <w:t>及</w:t>
      </w:r>
      <w:r>
        <w:rPr>
          <w:rFonts w:hint="eastAsia" w:ascii="宋体" w:hAnsi="宋体" w:cs="宋体"/>
          <w:b/>
          <w:bCs/>
          <w:kern w:val="0"/>
          <w:sz w:val="24"/>
          <w:lang w:val="zh-CN"/>
        </w:rPr>
        <w:t>售后服务</w:t>
      </w:r>
      <w:r>
        <w:rPr>
          <w:rFonts w:hint="eastAsia" w:ascii="宋体" w:hAnsi="宋体" w:cs="宋体"/>
          <w:b/>
          <w:bCs/>
          <w:kern w:val="0"/>
          <w:sz w:val="24"/>
        </w:rPr>
        <w:t>要求</w:t>
      </w:r>
      <w:r>
        <w:rPr>
          <w:rFonts w:hint="eastAsia" w:ascii="宋体" w:hAnsi="宋体" w:cs="宋体"/>
          <w:b/>
          <w:bCs/>
          <w:kern w:val="0"/>
          <w:sz w:val="24"/>
          <w:lang w:val="zh-CN"/>
        </w:rPr>
        <w:t>：</w:t>
      </w:r>
    </w:p>
    <w:p w14:paraId="1A607CB8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投标人需为本项目配备足够的售后服务力量，具有国内本地化的服务团队。</w:t>
      </w:r>
    </w:p>
    <w:p w14:paraId="78EA8457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投标人售后服务响应时间：电话响应时间要求8小时内，到场响应时间要求2个工作日内（指从接到报障至到达故障现场的时间）。</w:t>
      </w:r>
    </w:p>
    <w:p w14:paraId="6EFF8264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投标人免费提供技术支持热线电话，满足24小时热线服务。</w:t>
      </w:r>
    </w:p>
    <w:p w14:paraId="48F8C8AE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投标人免费提供email技术支持，并且在24小时内回复。</w:t>
      </w:r>
    </w:p>
    <w:p w14:paraId="2AFC89D0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  <w:lang w:val="zh-CN"/>
        </w:rPr>
        <w:t>★</w:t>
      </w:r>
      <w:r>
        <w:rPr>
          <w:rFonts w:hint="eastAsia" w:ascii="宋体" w:hAnsi="宋体" w:cs="宋体"/>
          <w:sz w:val="24"/>
        </w:rPr>
        <w:t>投标人提供仪器设备的免费保修期一年（保修期内免费维修并更换除消耗品以外的零部件，维修人员的路费、食宿等自理）。</w:t>
      </w:r>
    </w:p>
    <w:p w14:paraId="60EACF59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投标人提供该设备的技术使用说明书及外购配件仪器说明书，并指导在使用该设备时的操作注意事项等。</w:t>
      </w:r>
    </w:p>
    <w:p w14:paraId="2298BCD0">
      <w:pPr>
        <w:widowControl/>
        <w:numPr>
          <w:ilvl w:val="0"/>
          <w:numId w:val="5"/>
        </w:numPr>
        <w:tabs>
          <w:tab w:val="left" w:pos="420"/>
          <w:tab w:val="clear" w:pos="1500"/>
        </w:tabs>
        <w:spacing w:before="156" w:beforeLines="50" w:line="360" w:lineRule="auto"/>
        <w:ind w:left="42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  <w:lang w:val="zh-CN"/>
        </w:rPr>
        <w:t>★</w:t>
      </w:r>
      <w:r>
        <w:rPr>
          <w:rFonts w:hint="eastAsia" w:ascii="宋体" w:hAnsi="宋体" w:cs="宋体"/>
          <w:sz w:val="24"/>
        </w:rPr>
        <w:t>投标人提供配套软件三年内免费升级服务。</w:t>
      </w:r>
    </w:p>
    <w:p w14:paraId="3715B91F">
      <w:pPr>
        <w:pStyle w:val="2"/>
        <w:spacing w:line="360" w:lineRule="auto"/>
        <w:ind w:firstLine="480"/>
        <w:rPr>
          <w:rFonts w:cs="宋体"/>
          <w:sz w:val="24"/>
          <w:lang w:val="zh-CN"/>
        </w:rPr>
      </w:pPr>
    </w:p>
    <w:p w14:paraId="59D62613">
      <w:pPr>
        <w:widowControl/>
        <w:numPr>
          <w:ilvl w:val="0"/>
          <w:numId w:val="3"/>
        </w:numPr>
        <w:spacing w:line="360" w:lineRule="auto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培训要求：</w:t>
      </w:r>
    </w:p>
    <w:p w14:paraId="3EDF695F">
      <w:pPr>
        <w:widowControl/>
        <w:numPr>
          <w:ilvl w:val="0"/>
          <w:numId w:val="6"/>
        </w:numPr>
        <w:tabs>
          <w:tab w:val="clear" w:pos="1500"/>
        </w:tabs>
        <w:spacing w:before="156" w:beforeLines="50" w:line="360" w:lineRule="auto"/>
        <w:ind w:left="42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为保证投标人所提供的仪器设备安全、可靠运行，便于采购人的运行维护，必须对采购人培训合格的维护和管理人员。</w:t>
      </w:r>
    </w:p>
    <w:p w14:paraId="1BFA6867">
      <w:pPr>
        <w:widowControl/>
        <w:numPr>
          <w:ilvl w:val="0"/>
          <w:numId w:val="6"/>
        </w:numPr>
        <w:tabs>
          <w:tab w:val="clear" w:pos="1500"/>
        </w:tabs>
        <w:spacing w:before="156" w:beforeLines="50" w:line="360" w:lineRule="auto"/>
        <w:ind w:left="42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投标人负责对采购人提供至少一次现场技术培训，以便工作人员在培训后能熟练地掌握系统的维护工作，并能及时排除大部分的系统障碍。</w:t>
      </w:r>
    </w:p>
    <w:p w14:paraId="7B169E3F">
      <w:pPr>
        <w:widowControl/>
        <w:numPr>
          <w:ilvl w:val="0"/>
          <w:numId w:val="6"/>
        </w:numPr>
        <w:tabs>
          <w:tab w:val="clear" w:pos="1500"/>
        </w:tabs>
        <w:spacing w:before="156" w:beforeLines="50" w:line="360" w:lineRule="auto"/>
        <w:ind w:left="42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至少一次厂家工程师到采购人现场免费培训；培训至采购人可以熟练操作为止。</w:t>
      </w:r>
    </w:p>
    <w:p w14:paraId="0CAC43FA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>
        <w:rPr>
          <w:rFonts w:hint="eastAsia" w:ascii="宋体" w:hAnsi="宋体" w:cs="宋体"/>
          <w:b/>
          <w:bCs/>
          <w:kern w:val="0"/>
          <w:sz w:val="24"/>
          <w:lang w:val="zh-CN"/>
        </w:rPr>
        <w:t>运输及包装方式的要求</w:t>
      </w:r>
    </w:p>
    <w:p w14:paraId="4C115043"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zh-CN"/>
        </w:rPr>
        <w:t>设备的包装、运输由投标人负责，应使用崭新坚固的包装（标准包装），适合于空运、或陆运等长途运输方式；适合气候变化；投标人应对任何由于不当包装或防护措施不利而导致的商品损坏、损失、费用增长等后果负责。</w:t>
      </w:r>
    </w:p>
    <w:p w14:paraId="4A5544DB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>
        <w:rPr>
          <w:rFonts w:hint="eastAsia" w:ascii="宋体" w:hAnsi="宋体" w:cs="宋体"/>
          <w:b/>
          <w:bCs/>
          <w:kern w:val="0"/>
          <w:sz w:val="24"/>
          <w:lang w:val="zh-CN"/>
        </w:rPr>
        <w:t>安装、调试及验收：</w:t>
      </w:r>
    </w:p>
    <w:p w14:paraId="247A16FC">
      <w:pPr>
        <w:pStyle w:val="2"/>
        <w:numPr>
          <w:ilvl w:val="0"/>
          <w:numId w:val="7"/>
        </w:numPr>
        <w:spacing w:line="360" w:lineRule="auto"/>
        <w:ind w:left="845" w:firstLineChars="0"/>
        <w:rPr>
          <w:rFonts w:cs="宋体"/>
          <w:bCs/>
          <w:kern w:val="0"/>
          <w:sz w:val="24"/>
          <w:lang w:val="zh-CN"/>
        </w:rPr>
      </w:pPr>
      <w:r>
        <w:rPr>
          <w:rFonts w:cs="宋体"/>
          <w:bCs/>
          <w:kern w:val="0"/>
          <w:sz w:val="24"/>
        </w:rPr>
        <w:t>合同签订后15天内，中标人应</w:t>
      </w:r>
      <w:r>
        <w:rPr>
          <w:rFonts w:cs="宋体"/>
          <w:bCs/>
          <w:kern w:val="0"/>
          <w:sz w:val="24"/>
          <w:lang w:val="zh-CN"/>
        </w:rPr>
        <w:t>提供</w:t>
      </w:r>
      <w:r>
        <w:rPr>
          <w:rFonts w:cs="宋体"/>
          <w:sz w:val="24"/>
        </w:rPr>
        <w:t>仪器安装前对实验室的具体安装</w:t>
      </w:r>
      <w:r>
        <w:rPr>
          <w:rFonts w:cs="宋体"/>
          <w:bCs/>
          <w:kern w:val="0"/>
          <w:sz w:val="24"/>
          <w:lang w:val="zh-CN"/>
        </w:rPr>
        <w:t>条件</w:t>
      </w:r>
      <w:r>
        <w:rPr>
          <w:rFonts w:cs="宋体"/>
          <w:sz w:val="24"/>
        </w:rPr>
        <w:t>要求</w:t>
      </w:r>
      <w:r>
        <w:rPr>
          <w:rFonts w:cs="宋体"/>
          <w:bCs/>
          <w:kern w:val="0"/>
          <w:sz w:val="24"/>
          <w:lang w:val="zh-CN"/>
        </w:rPr>
        <w:t>，</w:t>
      </w:r>
      <w:r>
        <w:rPr>
          <w:rFonts w:cs="宋体"/>
          <w:sz w:val="24"/>
        </w:rPr>
        <w:t>除了在技术规格中提出的要求外，在合同生效后60天之内，为使用户作好准备工作，卖方应给最终用户邮寄一套所供产品的全套技术资料，其中包括操作手册（或应用指南）、维修手册等，另一套完整技术资料应随货物包装发运，这些费用应已包括在该品目的基本报价中。</w:t>
      </w:r>
    </w:p>
    <w:p w14:paraId="0E8A8761">
      <w:pPr>
        <w:pStyle w:val="2"/>
        <w:numPr>
          <w:ilvl w:val="0"/>
          <w:numId w:val="7"/>
        </w:numPr>
        <w:spacing w:line="360" w:lineRule="auto"/>
        <w:ind w:left="845" w:firstLineChars="0"/>
        <w:rPr>
          <w:rFonts w:cs="宋体"/>
          <w:bCs/>
          <w:kern w:val="0"/>
          <w:sz w:val="24"/>
          <w:lang w:val="zh-CN"/>
        </w:rPr>
      </w:pPr>
      <w:r>
        <w:rPr>
          <w:rFonts w:cs="宋体"/>
          <w:bCs/>
          <w:kern w:val="0"/>
          <w:sz w:val="24"/>
          <w:lang w:val="zh-CN"/>
        </w:rPr>
        <w:t>仪器设备运抵安装现场后，采购人将与中标人共同开箱验收, 如中标人届时不派人来, 则验收结果应以采购人和当地商检人员的验收报告为最终验收结果。</w:t>
      </w:r>
      <w:r>
        <w:rPr>
          <w:rFonts w:hint="eastAsia" w:cs="宋体"/>
          <w:bCs/>
          <w:kern w:val="0"/>
          <w:sz w:val="24"/>
          <w:lang w:val="zh-CN"/>
        </w:rPr>
        <w:t>开箱</w:t>
      </w:r>
      <w:r>
        <w:rPr>
          <w:rFonts w:cs="宋体"/>
          <w:bCs/>
          <w:kern w:val="0"/>
          <w:sz w:val="24"/>
          <w:lang w:val="zh-CN"/>
        </w:rPr>
        <w:t>验收时发现短缺、破损, 采购人有权要求中标人立即补发和负责更换。</w:t>
      </w:r>
      <w:r>
        <w:rPr>
          <w:rFonts w:hint="eastAsia" w:cs="宋体"/>
          <w:bCs/>
          <w:kern w:val="0"/>
          <w:sz w:val="24"/>
          <w:lang w:val="zh-CN"/>
        </w:rPr>
        <w:t>中标人提供</w:t>
      </w:r>
      <w:r>
        <w:rPr>
          <w:rFonts w:cs="宋体"/>
          <w:bCs/>
          <w:kern w:val="0"/>
          <w:sz w:val="24"/>
          <w:lang w:val="zh-CN"/>
        </w:rPr>
        <w:t>仪器安装调试期间所需耗材和辅助设备，确保仪器</w:t>
      </w:r>
      <w:r>
        <w:rPr>
          <w:rFonts w:hint="eastAsia" w:cs="宋体"/>
          <w:bCs/>
          <w:kern w:val="0"/>
          <w:sz w:val="24"/>
          <w:lang w:val="zh-CN"/>
        </w:rPr>
        <w:t>交付后整体</w:t>
      </w:r>
      <w:r>
        <w:rPr>
          <w:rFonts w:cs="宋体"/>
          <w:bCs/>
          <w:kern w:val="0"/>
          <w:sz w:val="24"/>
          <w:lang w:val="zh-CN"/>
        </w:rPr>
        <w:t>可正常</w:t>
      </w:r>
      <w:r>
        <w:rPr>
          <w:rFonts w:hint="eastAsia" w:cs="宋体"/>
          <w:bCs/>
          <w:kern w:val="0"/>
          <w:sz w:val="24"/>
          <w:lang w:val="zh-CN"/>
        </w:rPr>
        <w:t>持续稳定</w:t>
      </w:r>
      <w:r>
        <w:rPr>
          <w:rFonts w:cs="宋体"/>
          <w:bCs/>
          <w:kern w:val="0"/>
          <w:sz w:val="24"/>
          <w:lang w:val="zh-CN"/>
        </w:rPr>
        <w:t>运行测试。</w:t>
      </w:r>
    </w:p>
    <w:p w14:paraId="53A9C36D">
      <w:pPr>
        <w:pStyle w:val="2"/>
        <w:numPr>
          <w:ilvl w:val="0"/>
          <w:numId w:val="7"/>
        </w:numPr>
        <w:spacing w:line="360" w:lineRule="auto"/>
        <w:ind w:left="845" w:firstLineChars="0"/>
        <w:rPr>
          <w:rFonts w:cs="宋体"/>
          <w:bCs/>
          <w:kern w:val="0"/>
          <w:sz w:val="24"/>
          <w:lang w:val="zh-CN"/>
        </w:rPr>
      </w:pPr>
      <w:r>
        <w:rPr>
          <w:rFonts w:cs="宋体"/>
          <w:bCs/>
          <w:kern w:val="0"/>
          <w:sz w:val="24"/>
          <w:lang w:val="zh-CN"/>
        </w:rPr>
        <w:t>中标人</w:t>
      </w:r>
      <w:r>
        <w:rPr>
          <w:rFonts w:hint="eastAsia" w:cs="宋体"/>
          <w:bCs/>
          <w:kern w:val="0"/>
          <w:sz w:val="24"/>
          <w:lang w:val="zh-CN"/>
        </w:rPr>
        <w:t>协同</w:t>
      </w:r>
      <w:r>
        <w:rPr>
          <w:rFonts w:cs="宋体"/>
          <w:bCs/>
          <w:kern w:val="0"/>
          <w:sz w:val="24"/>
          <w:lang w:val="zh-CN"/>
        </w:rPr>
        <w:t>采购人提出仪器设备测试的内容、项目、指标和方法,中标人有责任对采购人的技术人员提出的问题作出解答。测试应进行详细记录, 仪器设备测试结束后, 由中标人技术人员签字后交给采购人验收。</w:t>
      </w:r>
    </w:p>
    <w:p w14:paraId="1E440C54">
      <w:pPr>
        <w:pStyle w:val="2"/>
        <w:numPr>
          <w:ilvl w:val="0"/>
          <w:numId w:val="7"/>
        </w:numPr>
        <w:spacing w:line="360" w:lineRule="auto"/>
        <w:ind w:left="845" w:firstLineChars="0"/>
        <w:rPr>
          <w:rFonts w:cs="宋体"/>
          <w:sz w:val="24"/>
          <w:lang w:val="zh-CN"/>
        </w:rPr>
      </w:pPr>
      <w:r>
        <w:rPr>
          <w:rFonts w:cs="宋体"/>
          <w:bCs/>
          <w:kern w:val="0"/>
          <w:sz w:val="24"/>
          <w:lang w:val="zh-CN"/>
        </w:rPr>
        <w:t xml:space="preserve">保修期自最终安装验收合格后开始，保修期内中标人要保修除消耗品以外的所有部件。在保修期内，如果仪器设备发生故障，中标人要调查故障原因并修复直至满足最终验收指标和性能的要求，或者更换整个或部分有缺陷的材料。以上都应是免费的。  </w:t>
      </w:r>
    </w:p>
    <w:p w14:paraId="136E8674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>
        <w:rPr>
          <w:rFonts w:hint="eastAsia" w:ascii="宋体" w:hAnsi="宋体" w:cs="宋体"/>
          <w:b/>
          <w:bCs/>
          <w:kern w:val="0"/>
          <w:sz w:val="24"/>
          <w:lang w:val="zh-CN"/>
        </w:rPr>
        <w:t>质量及知识产权要求</w:t>
      </w:r>
    </w:p>
    <w:p w14:paraId="510DB28F">
      <w:pPr>
        <w:numPr>
          <w:ilvl w:val="0"/>
          <w:numId w:val="8"/>
        </w:numPr>
        <w:tabs>
          <w:tab w:val="left" w:pos="426"/>
          <w:tab w:val="left" w:pos="851"/>
        </w:tabs>
        <w:autoSpaceDE w:val="0"/>
        <w:autoSpaceDN w:val="0"/>
        <w:adjustRightInd w:val="0"/>
        <w:spacing w:line="360" w:lineRule="auto"/>
        <w:jc w:val="left"/>
        <w:rPr>
          <w:rFonts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zh-CN"/>
        </w:rPr>
        <w:t>投标人提供完好、全新的原包装产品（包括零配件），随机技术资料齐全。产品符合国家质量检测标准，必须具有生产日期、厂名、厂址、产品合格证等。进口产品须提供海关进货单（复印件备查）。</w:t>
      </w:r>
    </w:p>
    <w:p w14:paraId="63765FBD">
      <w:pPr>
        <w:numPr>
          <w:ilvl w:val="0"/>
          <w:numId w:val="8"/>
        </w:numPr>
        <w:tabs>
          <w:tab w:val="left" w:pos="426"/>
          <w:tab w:val="left" w:pos="851"/>
        </w:tabs>
        <w:autoSpaceDE w:val="0"/>
        <w:autoSpaceDN w:val="0"/>
        <w:adjustRightInd w:val="0"/>
        <w:spacing w:line="360" w:lineRule="auto"/>
        <w:jc w:val="left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 w:cs="宋体"/>
          <w:kern w:val="0"/>
          <w:sz w:val="24"/>
          <w:lang w:val="zh-CN"/>
        </w:rPr>
        <w:t>采购人在中国使用该货物或货物的任何一部分时，免受第三方提出的侵犯其专利权、商标权或工业设计权等知识产权的起诉或司法干预。如果发生上述起诉或干预，则其法律责任均由投标人负责。</w:t>
      </w:r>
    </w:p>
    <w:p w14:paraId="6B37F376"/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DBD5A9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9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EC467C">
    <w:pPr>
      <w:pStyle w:val="7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101FF9">
    <w:pPr>
      <w:pStyle w:val="8"/>
      <w:jc w:val="both"/>
    </w:pPr>
    <w:r>
      <w:rPr>
        <w:rFonts w:hint="eastAsia"/>
        <w:i/>
      </w:rPr>
      <w:t>中国科学院2024年仪器设备部门批量集中采购项目招标文件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986757"/>
    <w:multiLevelType w:val="singleLevel"/>
    <w:tmpl w:val="0498675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58340A20"/>
    <w:multiLevelType w:val="multilevel"/>
    <w:tmpl w:val="58340A20"/>
    <w:lvl w:ilvl="0" w:tentative="0">
      <w:start w:val="1"/>
      <w:numFmt w:val="decimal"/>
      <w:lvlText w:val="%1)"/>
      <w:lvlJc w:val="left"/>
      <w:pPr>
        <w:tabs>
          <w:tab w:val="left" w:pos="1500"/>
        </w:tabs>
        <w:ind w:left="1500" w:hanging="420"/>
      </w:pPr>
    </w:lvl>
    <w:lvl w:ilvl="1" w:tentative="0">
      <w:start w:val="1"/>
      <w:numFmt w:val="decimal"/>
      <w:lvlText w:val="%2."/>
      <w:lvlJc w:val="left"/>
      <w:pPr>
        <w:tabs>
          <w:tab w:val="left" w:pos="1920"/>
        </w:tabs>
        <w:ind w:left="1920" w:hanging="420"/>
      </w:pPr>
    </w:lvl>
    <w:lvl w:ilvl="2" w:tentative="0">
      <w:start w:val="7"/>
      <w:numFmt w:val="decimal"/>
      <w:lvlText w:val="%3、"/>
      <w:lvlJc w:val="left"/>
      <w:pPr>
        <w:tabs>
          <w:tab w:val="left" w:pos="360"/>
        </w:tabs>
        <w:ind w:left="360" w:hanging="360"/>
      </w:pPr>
      <w:rPr>
        <w:rFonts w:hint="default" w:hAnsi="宋体"/>
      </w:rPr>
    </w:lvl>
    <w:lvl w:ilvl="3" w:tentative="0">
      <w:start w:val="1"/>
      <w:numFmt w:val="decimal"/>
      <w:lvlText w:val="%4)"/>
      <w:lvlJc w:val="left"/>
      <w:pPr>
        <w:tabs>
          <w:tab w:val="left" w:pos="2760"/>
        </w:tabs>
        <w:ind w:left="2760" w:hanging="420"/>
      </w:pPr>
    </w:lvl>
    <w:lvl w:ilvl="4" w:tentative="0">
      <w:start w:val="8"/>
      <w:numFmt w:val="decimal"/>
      <w:lvlText w:val="%5"/>
      <w:lvlJc w:val="left"/>
      <w:pPr>
        <w:tabs>
          <w:tab w:val="left" w:pos="3120"/>
        </w:tabs>
        <w:ind w:left="3120" w:hanging="360"/>
      </w:pPr>
      <w:rPr>
        <w:rFonts w:hint="default" w:hAnsi="宋体" w:eastAsia="宋体"/>
      </w:rPr>
    </w:lvl>
    <w:lvl w:ilvl="5" w:tentative="0">
      <w:start w:val="4"/>
      <w:numFmt w:val="japaneseCounting"/>
      <w:lvlText w:val="%6、"/>
      <w:lvlJc w:val="left"/>
      <w:pPr>
        <w:ind w:left="3600" w:hanging="42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4020"/>
        </w:tabs>
        <w:ind w:left="402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440"/>
        </w:tabs>
        <w:ind w:left="444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860"/>
        </w:tabs>
        <w:ind w:left="4860" w:hanging="420"/>
      </w:pPr>
    </w:lvl>
  </w:abstractNum>
  <w:abstractNum w:abstractNumId="2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6E2E2083"/>
    <w:multiLevelType w:val="multilevel"/>
    <w:tmpl w:val="6E2E2083"/>
    <w:lvl w:ilvl="0" w:tentative="0">
      <w:start w:val="1"/>
      <w:numFmt w:val="decimal"/>
      <w:lvlText w:val="%1)"/>
      <w:lvlJc w:val="left"/>
      <w:pPr>
        <w:tabs>
          <w:tab w:val="left" w:pos="1500"/>
        </w:tabs>
        <w:ind w:left="150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1920"/>
        </w:tabs>
        <w:ind w:left="192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2340"/>
        </w:tabs>
        <w:ind w:left="2340" w:hanging="420"/>
      </w:pPr>
    </w:lvl>
    <w:lvl w:ilvl="3" w:tentative="0">
      <w:start w:val="1"/>
      <w:numFmt w:val="decimal"/>
      <w:lvlText w:val="%4."/>
      <w:lvlJc w:val="left"/>
      <w:pPr>
        <w:tabs>
          <w:tab w:val="left" w:pos="2760"/>
        </w:tabs>
        <w:ind w:left="276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3180"/>
        </w:tabs>
        <w:ind w:left="318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600"/>
        </w:tabs>
        <w:ind w:left="3600" w:hanging="420"/>
      </w:pPr>
    </w:lvl>
    <w:lvl w:ilvl="6" w:tentative="0">
      <w:start w:val="1"/>
      <w:numFmt w:val="decimal"/>
      <w:lvlText w:val="%7."/>
      <w:lvlJc w:val="left"/>
      <w:pPr>
        <w:tabs>
          <w:tab w:val="left" w:pos="4020"/>
        </w:tabs>
        <w:ind w:left="402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440"/>
        </w:tabs>
        <w:ind w:left="444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860"/>
        </w:tabs>
        <w:ind w:left="4860" w:hanging="420"/>
      </w:pPr>
    </w:lvl>
  </w:abstractNum>
  <w:abstractNum w:abstractNumId="4">
    <w:nsid w:val="70816618"/>
    <w:multiLevelType w:val="multilevel"/>
    <w:tmpl w:val="70816618"/>
    <w:lvl w:ilvl="0" w:tentative="0">
      <w:start w:val="1"/>
      <w:numFmt w:val="decimal"/>
      <w:lvlText w:val="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0C68EB4"/>
    <w:multiLevelType w:val="singleLevel"/>
    <w:tmpl w:val="70C68EB4"/>
    <w:lvl w:ilvl="0" w:tentative="0">
      <w:start w:val="1"/>
      <w:numFmt w:val="decimal"/>
      <w:lvlText w:val="%1)"/>
      <w:lvlJc w:val="left"/>
      <w:pPr>
        <w:tabs>
          <w:tab w:val="left" w:pos="312"/>
        </w:tabs>
      </w:pPr>
    </w:lvl>
  </w:abstractNum>
  <w:abstractNum w:abstractNumId="6">
    <w:nsid w:val="77960C54"/>
    <w:multiLevelType w:val="multilevel"/>
    <w:tmpl w:val="77960C54"/>
    <w:lvl w:ilvl="0" w:tentative="0">
      <w:start w:val="1"/>
      <w:numFmt w:val="chineseCounting"/>
      <w:lvlText w:val="%1、"/>
      <w:lvlJc w:val="left"/>
      <w:pPr>
        <w:ind w:left="1047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467" w:hanging="420"/>
      </w:pPr>
    </w:lvl>
    <w:lvl w:ilvl="2" w:tentative="0">
      <w:start w:val="1"/>
      <w:numFmt w:val="lowerRoman"/>
      <w:lvlText w:val="%3."/>
      <w:lvlJc w:val="right"/>
      <w:pPr>
        <w:ind w:left="1887" w:hanging="420"/>
      </w:pPr>
    </w:lvl>
    <w:lvl w:ilvl="3" w:tentative="0">
      <w:start w:val="1"/>
      <w:numFmt w:val="decimal"/>
      <w:lvlText w:val="%4."/>
      <w:lvlJc w:val="left"/>
      <w:pPr>
        <w:ind w:left="2307" w:hanging="420"/>
      </w:pPr>
    </w:lvl>
    <w:lvl w:ilvl="4" w:tentative="0">
      <w:start w:val="1"/>
      <w:numFmt w:val="lowerLetter"/>
      <w:lvlText w:val="%5)"/>
      <w:lvlJc w:val="left"/>
      <w:pPr>
        <w:ind w:left="2727" w:hanging="420"/>
      </w:pPr>
    </w:lvl>
    <w:lvl w:ilvl="5" w:tentative="0">
      <w:start w:val="1"/>
      <w:numFmt w:val="lowerRoman"/>
      <w:lvlText w:val="%6."/>
      <w:lvlJc w:val="right"/>
      <w:pPr>
        <w:ind w:left="3147" w:hanging="420"/>
      </w:pPr>
    </w:lvl>
    <w:lvl w:ilvl="6" w:tentative="0">
      <w:start w:val="1"/>
      <w:numFmt w:val="decimal"/>
      <w:lvlText w:val="%7."/>
      <w:lvlJc w:val="left"/>
      <w:pPr>
        <w:ind w:left="3567" w:hanging="420"/>
      </w:pPr>
    </w:lvl>
    <w:lvl w:ilvl="7" w:tentative="0">
      <w:start w:val="1"/>
      <w:numFmt w:val="lowerLetter"/>
      <w:lvlText w:val="%8)"/>
      <w:lvlJc w:val="left"/>
      <w:pPr>
        <w:ind w:left="3987" w:hanging="420"/>
      </w:pPr>
    </w:lvl>
    <w:lvl w:ilvl="8" w:tentative="0">
      <w:start w:val="1"/>
      <w:numFmt w:val="lowerRoman"/>
      <w:lvlText w:val="%9."/>
      <w:lvlJc w:val="right"/>
      <w:pPr>
        <w:ind w:left="4407" w:hanging="420"/>
      </w:pPr>
    </w:lvl>
  </w:abstractNum>
  <w:abstractNum w:abstractNumId="7">
    <w:nsid w:val="7AE1256C"/>
    <w:multiLevelType w:val="singleLevel"/>
    <w:tmpl w:val="7AE1256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  <w:b/>
        <w:bCs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U0YTA4OWNjYWU4ZGUzNzBhMDg2ZjZmMWU3MDdiNWIifQ=="/>
  </w:docVars>
  <w:rsids>
    <w:rsidRoot w:val="008A2DE8"/>
    <w:rsid w:val="008A2DE8"/>
    <w:rsid w:val="00AB4B56"/>
    <w:rsid w:val="00FD3377"/>
    <w:rsid w:val="726B2191"/>
    <w:rsid w:val="7F70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uiPriority w:val="0"/>
    <w:pPr>
      <w:spacing w:after="120"/>
      <w:ind w:left="420" w:leftChars="200"/>
    </w:p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/>
    </w:rPr>
  </w:style>
  <w:style w:type="paragraph" w:styleId="5">
    <w:name w:val="Body Text"/>
    <w:basedOn w:val="1"/>
    <w:next w:val="1"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Plain Text"/>
    <w:basedOn w:val="1"/>
    <w:uiPriority w:val="0"/>
    <w:rPr>
      <w:rFonts w:ascii="宋体" w:hAnsi="Courier New"/>
      <w:szCs w:val="20"/>
    </w:rPr>
  </w:style>
  <w:style w:type="paragraph" w:styleId="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itle"/>
    <w:basedOn w:val="1"/>
    <w:next w:val="1"/>
    <w:qFormat/>
    <w:uiPriority w:val="0"/>
    <w:pPr>
      <w:jc w:val="center"/>
    </w:pPr>
    <w:rPr>
      <w:sz w:val="3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BF03F-8D2B-4EE9-BE7E-DAFBC91D60F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4092</Words>
  <Characters>4330</Characters>
  <Lines>33</Lines>
  <Paragraphs>9</Paragraphs>
  <TotalTime>0</TotalTime>
  <ScaleCrop>false</ScaleCrop>
  <LinksUpToDate>false</LinksUpToDate>
  <CharactersWithSpaces>4447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2024-07-26T06:38:00Z</dcterms:created>
  <dc:creator>Lenovo</dc:creator>
  <cp:lastModifiedBy>DF</cp:lastModifiedBy>
  <dcterms:modified xsi:type="dcterms:W3CDTF">2024-07-26T06:56:33Z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79301B0E083C4FC2B55D9CE563211A55_12</vt:lpwstr>
  </property>
</Properties>
</file>