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版本号：N513328202600009020260713001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甘孜县2026年教学设施设备采购项目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N5133282026000090</w:t>
      </w:r>
    </w:p>
    <w:p>
      <w:pPr>
        <w:pStyle w:val="null3"/>
        <w:jc w:val="left"/>
        <w:outlineLvl w:val="2"/>
      </w:pPr>
      <w:r>
        <w:rPr>
          <w:rFonts w:ascii="仿宋_GB2312" w:hAnsi="仿宋_GB2312" w:cs="仿宋_GB2312" w:eastAsia="仿宋_GB2312"/>
          <w:sz w:val="28"/>
          <w:b/>
        </w:rPr>
        <w:t>甘孜县教育和体育局</w:t>
      </w:r>
    </w:p>
    <w:p>
      <w:pPr>
        <w:pStyle w:val="null3"/>
        <w:jc w:val="center"/>
        <w:outlineLvl w:val="2"/>
      </w:pPr>
      <w:r>
        <w:rPr>
          <w:rFonts w:ascii="仿宋_GB2312" w:hAnsi="仿宋_GB2312" w:cs="仿宋_GB2312" w:eastAsia="仿宋_GB2312"/>
          <w:sz w:val="28"/>
          <w:b/>
        </w:rPr>
        <w:t>甘孜县人民政府采购中心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甘孜县人民政府采购中心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甘孜县教育和体育局</w:t>
      </w:r>
      <w:r>
        <w:rPr>
          <w:rFonts w:ascii="仿宋_GB2312" w:hAnsi="仿宋_GB2312" w:cs="仿宋_GB2312" w:eastAsia="仿宋_GB2312"/>
        </w:rPr>
        <w:t xml:space="preserve"> 委托，拟对 </w:t>
      </w:r>
      <w:r>
        <w:rPr>
          <w:rFonts w:ascii="仿宋_GB2312" w:hAnsi="仿宋_GB2312" w:cs="仿宋_GB2312" w:eastAsia="仿宋_GB2312"/>
        </w:rPr>
        <w:t>甘孜县2026年教学设施设备采购项目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甘孜藏族自治州甘孜县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N5133282026000090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甘孜县2026年教学设施设备采购项目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甘孜县教育和体育局拟采购教学设施设备一批，本项目共一包。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甘孜县教育和体育局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甘孜县迎宾路15号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626700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山老师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 xml:space="preserve"> 0836-7521710</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甘孜县人民政府采购中心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甘孜县格萨尔王城18-4</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626700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 xml:space="preserve"> 周先生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 xml:space="preserve"> 0836-7526012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采购包1：1,662,493.00元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甘孜县教育和体育局</w:t>
      </w:r>
      <w:r>
        <w:rPr>
          <w:rFonts w:ascii="仿宋_GB2312" w:hAnsi="仿宋_GB2312" w:cs="仿宋_GB2312" w:eastAsia="仿宋_GB2312"/>
        </w:rPr>
        <w:t xml:space="preserve"> 和 </w:t>
      </w:r>
      <w:r>
        <w:rPr>
          <w:rFonts w:ascii="仿宋_GB2312" w:hAnsi="仿宋_GB2312" w:cs="仿宋_GB2312" w:eastAsia="仿宋_GB2312"/>
        </w:rPr>
        <w:t>甘孜县人民政府采购中心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甘孜县教育和体育局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甘孜县人民政府采购中心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供货完成后供应商提出验收申请之日起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按照本项目采购文件、中标供应商的投标文件及承诺、采购合同约定中的技术要求相关内容进行验收。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按照本项目采购文件、中标供应商的投标文件及承诺、采购合同约定中的商务要求相关内容进行验收。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按照《政府采购需求管理办法》（财库〔2021〕22号）、《财政部关于进一步加强政府采购需求和履约验收管理的指导意见》（财库〔2016〕205号）的规定组织验收。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甘孜县教育和体育局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甘孜县人民政府采购中心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甘孜县人民政府采购中心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联系人：山老师</w:t>
      </w:r>
    </w:p>
    <w:p>
      <w:pPr>
        <w:pStyle w:val="null3"/>
        <w:jc w:val="left"/>
      </w:pPr>
      <w:r>
        <w:rPr>
          <w:rFonts w:ascii="仿宋_GB2312" w:hAnsi="仿宋_GB2312" w:cs="仿宋_GB2312" w:eastAsia="仿宋_GB2312"/>
        </w:rPr>
        <w:t>联系电话：0836-7521710</w:t>
      </w:r>
    </w:p>
    <w:p>
      <w:pPr>
        <w:pStyle w:val="null3"/>
        <w:jc w:val="left"/>
      </w:pPr>
      <w:r>
        <w:rPr>
          <w:rFonts w:ascii="仿宋_GB2312" w:hAnsi="仿宋_GB2312" w:cs="仿宋_GB2312" w:eastAsia="仿宋_GB2312"/>
        </w:rPr>
        <w:t>地址：甘孜县迎宾路15号</w:t>
      </w:r>
    </w:p>
    <w:p>
      <w:pPr>
        <w:pStyle w:val="null3"/>
        <w:jc w:val="left"/>
      </w:pPr>
      <w:r>
        <w:rPr>
          <w:rFonts w:ascii="仿宋_GB2312" w:hAnsi="仿宋_GB2312" w:cs="仿宋_GB2312" w:eastAsia="仿宋_GB2312"/>
        </w:rPr>
        <w:t>邮编：626700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联系人：周老师</w:t>
      </w:r>
    </w:p>
    <w:p>
      <w:pPr>
        <w:pStyle w:val="null3"/>
        <w:jc w:val="left"/>
      </w:pPr>
      <w:r>
        <w:rPr>
          <w:rFonts w:ascii="仿宋_GB2312" w:hAnsi="仿宋_GB2312" w:cs="仿宋_GB2312" w:eastAsia="仿宋_GB2312"/>
        </w:rPr>
        <w:t>联系电话：0836-7526012</w:t>
      </w:r>
    </w:p>
    <w:p>
      <w:pPr>
        <w:pStyle w:val="null3"/>
        <w:jc w:val="left"/>
      </w:pPr>
      <w:r>
        <w:rPr>
          <w:rFonts w:ascii="仿宋_GB2312" w:hAnsi="仿宋_GB2312" w:cs="仿宋_GB2312" w:eastAsia="仿宋_GB2312"/>
        </w:rPr>
        <w:t>地址：甘孜县格萨尔王城18-4</w:t>
      </w:r>
    </w:p>
    <w:p>
      <w:pPr>
        <w:pStyle w:val="null3"/>
        <w:jc w:val="left"/>
      </w:pPr>
      <w:r>
        <w:rPr>
          <w:rFonts w:ascii="仿宋_GB2312" w:hAnsi="仿宋_GB2312" w:cs="仿宋_GB2312" w:eastAsia="仿宋_GB2312"/>
        </w:rPr>
        <w:t>邮编：626700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1,662,493.00</w:t>
      </w:r>
    </w:p>
    <w:p>
      <w:pPr>
        <w:pStyle w:val="null3"/>
        <w:jc w:val="left"/>
      </w:pPr>
      <w:r>
        <w:rPr>
          <w:rFonts w:ascii="仿宋_GB2312" w:hAnsi="仿宋_GB2312" w:cs="仿宋_GB2312" w:eastAsia="仿宋_GB2312"/>
        </w:rPr>
        <w:t>采购包最高限价（元）: 1,558,060.20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甘孜县2026年教学设施设备采购项目</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1,558,060.20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甘孜县2026年教学设施设备采购项目</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1,558,060.20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A02021103 LED 显示屏</w:t>
            </w:r>
          </w:p>
        </w:tc>
        <w:tc>
          <w:tcPr>
            <w:tcW w:type="dxa" w:w="2492"/>
          </w:tcPr>
          <w:p>
            <w:pPr>
              <w:pStyle w:val="null3"/>
              <w:jc w:val="left"/>
            </w:pPr>
            <w:r>
              <w:rPr>
                <w:rFonts w:ascii="仿宋_GB2312" w:hAnsi="仿宋_GB2312" w:cs="仿宋_GB2312" w:eastAsia="仿宋_GB2312"/>
              </w:rPr>
              <w:t>甘孜县2026年教学设施设备采购项目</w:t>
            </w:r>
          </w:p>
        </w:tc>
        <w:tc>
          <w:tcPr>
            <w:tcW w:type="dxa" w:w="2492"/>
          </w:tcPr>
          <w:p>
            <w:pPr>
              <w:pStyle w:val="null3"/>
              <w:jc w:val="left"/>
            </w:pPr>
            <w:r>
              <w:rPr>
                <w:rFonts w:ascii="仿宋_GB2312" w:hAnsi="仿宋_GB2312" w:cs="仿宋_GB2312" w:eastAsia="仿宋_GB2312"/>
              </w:rPr>
              <w:t>学生电脑</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A02021103 LED 显示屏</w:t>
            </w:r>
          </w:p>
        </w:tc>
        <w:tc>
          <w:tcPr>
            <w:tcW w:type="dxa" w:w="2492"/>
          </w:tcPr>
          <w:p>
            <w:pPr>
              <w:pStyle w:val="null3"/>
              <w:jc w:val="left"/>
            </w:pPr>
            <w:r>
              <w:rPr>
                <w:rFonts w:ascii="仿宋_GB2312" w:hAnsi="仿宋_GB2312" w:cs="仿宋_GB2312" w:eastAsia="仿宋_GB2312"/>
              </w:rPr>
              <w:t>甘孜县2026年教学设施设备采购项目</w:t>
            </w:r>
          </w:p>
        </w:tc>
        <w:tc>
          <w:tcPr>
            <w:tcW w:type="dxa" w:w="2492"/>
          </w:tcPr>
          <w:p>
            <w:pPr>
              <w:pStyle w:val="null3"/>
              <w:jc w:val="left"/>
            </w:pPr>
            <w:r>
              <w:rPr>
                <w:rFonts w:ascii="仿宋_GB2312" w:hAnsi="仿宋_GB2312" w:cs="仿宋_GB2312" w:eastAsia="仿宋_GB2312"/>
              </w:rPr>
              <w:t>学生电脑</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A02021103 LED 显示屏</w:t>
            </w:r>
          </w:p>
        </w:tc>
        <w:tc>
          <w:tcPr>
            <w:tcW w:type="dxa" w:w="2492"/>
          </w:tcPr>
          <w:p>
            <w:pPr>
              <w:pStyle w:val="null3"/>
              <w:jc w:val="left"/>
            </w:pPr>
            <w:r>
              <w:rPr>
                <w:rFonts w:ascii="仿宋_GB2312" w:hAnsi="仿宋_GB2312" w:cs="仿宋_GB2312" w:eastAsia="仿宋_GB2312"/>
              </w:rPr>
              <w:t>甘孜县2026年教学设施设备采购项目</w:t>
            </w:r>
          </w:p>
        </w:tc>
        <w:tc>
          <w:tcPr>
            <w:tcW w:type="dxa" w:w="2492"/>
          </w:tcPr>
          <w:p>
            <w:pPr>
              <w:pStyle w:val="null3"/>
              <w:jc w:val="left"/>
            </w:pPr>
            <w:r>
              <w:rPr>
                <w:rFonts w:ascii="仿宋_GB2312" w:hAnsi="仿宋_GB2312" w:cs="仿宋_GB2312" w:eastAsia="仿宋_GB2312"/>
              </w:rPr>
              <w:t>学生电脑、电脑桌椅</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标的名称：甘孜县2026年教学设施设备采购项目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采购标的技术参数要求</w:t>
            </w:r>
          </w:p>
        </w:tc>
        <w:tc>
          <w:tcPr>
            <w:tcW w:type="dxa" w:w="5814"/>
          </w:tcPr>
          <w:p>
            <w:pPr>
              <w:pStyle w:val="null3"/>
              <w:jc w:val="left"/>
            </w:pPr>
            <w:r>
              <w:rPr>
                <w:rFonts w:ascii="仿宋_GB2312" w:hAnsi="仿宋_GB2312" w:cs="仿宋_GB2312" w:eastAsia="仿宋_GB2312"/>
                <w:sz w:val="24"/>
              </w:rPr>
              <w:t>详见附件《采购标的技术参数要求》。</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质量要求</w:t>
            </w:r>
          </w:p>
        </w:tc>
        <w:tc>
          <w:tcPr>
            <w:tcW w:type="dxa" w:w="5814"/>
          </w:tcPr>
          <w:p>
            <w:pPr>
              <w:pStyle w:val="null3"/>
              <w:jc w:val="left"/>
            </w:pPr>
            <w:r>
              <w:rPr>
                <w:rFonts w:ascii="仿宋_GB2312" w:hAnsi="仿宋_GB2312" w:cs="仿宋_GB2312" w:eastAsia="仿宋_GB2312"/>
                <w:sz w:val="21"/>
              </w:rPr>
              <w:t>投标人必须保证所投产品为全新、未使用过的产品，收货验收前密封包装不得拆开。若开箱检验中发现有诸如数量、型号和外观尺寸与合同不符，或密封包装物本身的短少和损坏，如产生更换或补货等情形并导致工期延误，采购人有权根据合同有关条款的规定对因此造成的直接经济损失向投标人索赔。</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安全要求</w:t>
            </w:r>
          </w:p>
        </w:tc>
        <w:tc>
          <w:tcPr>
            <w:tcW w:type="dxa" w:w="5814"/>
          </w:tcPr>
          <w:p>
            <w:pPr>
              <w:pStyle w:val="null3"/>
              <w:jc w:val="left"/>
            </w:pPr>
            <w:r>
              <w:rPr>
                <w:rFonts w:ascii="仿宋_GB2312" w:hAnsi="仿宋_GB2312" w:cs="仿宋_GB2312" w:eastAsia="仿宋_GB2312"/>
                <w:sz w:val="21"/>
              </w:rPr>
              <w:t>本项目实施过程中，</w:t>
            </w:r>
            <w:r>
              <w:rPr>
                <w:rFonts w:ascii="仿宋_GB2312" w:hAnsi="仿宋_GB2312" w:cs="仿宋_GB2312" w:eastAsia="仿宋_GB2312"/>
                <w:sz w:val="21"/>
              </w:rPr>
              <w:t>由</w:t>
            </w:r>
            <w:r>
              <w:rPr>
                <w:rFonts w:ascii="仿宋_GB2312" w:hAnsi="仿宋_GB2312" w:cs="仿宋_GB2312" w:eastAsia="仿宋_GB2312"/>
                <w:sz w:val="21"/>
              </w:rPr>
              <w:t>中标人</w:t>
            </w:r>
            <w:r>
              <w:rPr>
                <w:rFonts w:ascii="仿宋_GB2312" w:hAnsi="仿宋_GB2312" w:cs="仿宋_GB2312" w:eastAsia="仿宋_GB2312"/>
                <w:sz w:val="21"/>
              </w:rPr>
              <w:t>引起</w:t>
            </w:r>
            <w:r>
              <w:rPr>
                <w:rFonts w:ascii="仿宋_GB2312" w:hAnsi="仿宋_GB2312" w:cs="仿宋_GB2312" w:eastAsia="仿宋_GB2312"/>
                <w:sz w:val="21"/>
              </w:rPr>
              <w:t>的人身安全、财产安全等一切安全责任</w:t>
            </w:r>
            <w:r>
              <w:rPr>
                <w:rFonts w:ascii="仿宋_GB2312" w:hAnsi="仿宋_GB2312" w:cs="仿宋_GB2312" w:eastAsia="仿宋_GB2312"/>
                <w:sz w:val="21"/>
              </w:rPr>
              <w:t>均由</w:t>
            </w:r>
            <w:r>
              <w:rPr>
                <w:rFonts w:ascii="仿宋_GB2312" w:hAnsi="仿宋_GB2312" w:cs="仿宋_GB2312" w:eastAsia="仿宋_GB2312"/>
                <w:sz w:val="21"/>
              </w:rPr>
              <w:t>中标人</w:t>
            </w:r>
            <w:r>
              <w:rPr>
                <w:rFonts w:ascii="仿宋_GB2312" w:hAnsi="仿宋_GB2312" w:cs="仿宋_GB2312" w:eastAsia="仿宋_GB2312"/>
                <w:sz w:val="21"/>
              </w:rPr>
              <w:t>自行承担</w:t>
            </w:r>
            <w:r>
              <w:rPr>
                <w:rFonts w:ascii="仿宋_GB2312" w:hAnsi="仿宋_GB2312" w:cs="仿宋_GB2312" w:eastAsia="仿宋_GB2312"/>
                <w:sz w:val="21"/>
              </w:rPr>
              <w:t>；在项目实施过程中</w:t>
            </w:r>
            <w:r>
              <w:rPr>
                <w:rFonts w:ascii="仿宋_GB2312" w:hAnsi="仿宋_GB2312" w:cs="仿宋_GB2312" w:eastAsia="仿宋_GB2312"/>
                <w:sz w:val="21"/>
              </w:rPr>
              <w:t>由</w:t>
            </w:r>
            <w:r>
              <w:rPr>
                <w:rFonts w:ascii="仿宋_GB2312" w:hAnsi="仿宋_GB2312" w:cs="仿宋_GB2312" w:eastAsia="仿宋_GB2312"/>
                <w:sz w:val="21"/>
              </w:rPr>
              <w:t>中标人造成的直接或间接损失，均由中标人自行承担。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jc w:val="left"/>
            </w:pPr>
            <w:r>
              <w:rPr>
                <w:rFonts w:ascii="仿宋_GB2312" w:hAnsi="仿宋_GB2312" w:cs="仿宋_GB2312" w:eastAsia="仿宋_GB2312"/>
                <w:sz w:val="21"/>
              </w:rPr>
              <w:t>供应商的报价是供应商响应采购项目要求的全部工作内容的价格体现，应是最终采购人验收合格后的总价，包括实施和完成本项目所需的设备、劳务、管理、材料、</w:t>
            </w:r>
            <w:r>
              <w:rPr>
                <w:rFonts w:ascii="仿宋_GB2312" w:hAnsi="仿宋_GB2312" w:cs="仿宋_GB2312" w:eastAsia="仿宋_GB2312"/>
                <w:sz w:val="21"/>
              </w:rPr>
              <w:t>辅材、安装调试、</w:t>
            </w:r>
            <w:r>
              <w:rPr>
                <w:rFonts w:ascii="仿宋_GB2312" w:hAnsi="仿宋_GB2312" w:cs="仿宋_GB2312" w:eastAsia="仿宋_GB2312"/>
                <w:sz w:val="21"/>
              </w:rPr>
              <w:t>差旅、保险、税金、利润等一切费用，采购人不再支付其他任何费用。</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sz w:val="21"/>
              </w:rPr>
              <w:t>1.技术参数及要求中凡涉及品牌型号的，仅作为参考，不作为招标文件要求。本招标文件中的技术参数及规格中含有或变相含有（参考）品牌、型号、产地等的表述仅起说明作用，并无任何限制性。技术参数可选用其他同档次产品替代，但这些替代的产品要实质上相当于或优于本表中的技术要求。</w:t>
            </w:r>
          </w:p>
          <w:p>
            <w:pPr>
              <w:pStyle w:val="null3"/>
              <w:jc w:val="left"/>
            </w:pPr>
            <w:r>
              <w:rPr>
                <w:rFonts w:ascii="仿宋_GB2312" w:hAnsi="仿宋_GB2312" w:cs="仿宋_GB2312" w:eastAsia="仿宋_GB2312"/>
                <w:sz w:val="21"/>
              </w:rPr>
              <w:t>2.本项目所引用的规范/标准文件，如有最新版本，依照其最新规定执行。</w:t>
            </w:r>
          </w:p>
          <w:p>
            <w:pPr>
              <w:pStyle w:val="null3"/>
              <w:jc w:val="left"/>
            </w:pPr>
            <w:r>
              <w:rPr>
                <w:rFonts w:ascii="仿宋_GB2312" w:hAnsi="仿宋_GB2312" w:cs="仿宋_GB2312" w:eastAsia="仿宋_GB2312"/>
                <w:sz w:val="21"/>
              </w:rPr>
              <w:t>3.投标人所投产品和提供的服务，完全符合法律法规、政府采购政策和行业准入条件，满足强制性国家标准、强制性行业标准和强制性相关部门的标准、认证及规定。【投标时提供承诺函加盖投标人电子签章，格式自拟】</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合同签订之日起60天内。</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甘孜县，采购人指定地点。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预付款，合同签订且收到供应商提供的增值税普通发票后，达到付款条件起10个工作日内，支付合同总金额的40.0%</w:t>
            </w:r>
            <w:r>
              <w:br/>
            </w:r>
            <w:r>
              <w:rPr>
                <w:rFonts w:ascii="仿宋_GB2312" w:hAnsi="仿宋_GB2312" w:cs="仿宋_GB2312" w:eastAsia="仿宋_GB2312"/>
              </w:rPr>
              <w:t>2、</w:t>
            </w:r>
            <w:r>
              <w:rPr>
                <w:rFonts w:ascii="仿宋_GB2312" w:hAnsi="仿宋_GB2312" w:cs="仿宋_GB2312" w:eastAsia="仿宋_GB2312"/>
              </w:rPr>
              <w:t>尾款，全部交货后，完成安装调试且通过验收，收到供应商提供的增值税普通发票后，达到付款条件起10个工作日内，支付合同总金额的60.0%</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验收按照《政府采购需求管理办法》（财库〔2021〕22号）、《财政部关于进一步加强政府采购需求和履约验收管理的指导意见》（财库〔2016〕205号）等政府采购相关法律法规执行，验收内容包含采购文件中的所有技术和商务要求的履约情况，由采购人组织，供应商配合进行，如质量验收合格，双方签署验收报告；验收结果不合格的，采购人不予支付采购资金，还可能会报告本项目同级财政部门按照政府采购法律法规等有关规定给予行政处罚或者以失信行为记入诚信档案。 （2）验收标准：按国家有关规定以及采购文件的质量要求和技术指标、供应商的响应文件及承诺与本合同约定标准进行验收；双方如对质量要求和技术指标的约定标准有相互抵触或异议的事项，由采购人在采购文件和响应文件中按质量要求和技术指标比较优胜的原则确定该项的约定标准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（1）供应商应保证提供的货物完全符合合同规定的质量、规格和性能要求。供应商应保证货物在正确安装、正常使用和保养条件下，在其使用寿命期内具备合同约定的性能。 （2）保修期为货物最终交付验收合格之日起1年（厂家保修期大于1年的，按厂家保修期执行）。 （3）供应商采购人收到通知后，应在3日内以合理的速度免费维修或更换有缺陷的货物或部件。 （4）在保修期内，如果货物的质量或规格与合同不符，或证实货物是有缺陷的，包括潜在的缺陷或使用不符合要求的材料等，采购人可以根据合同规定追究供应商的违约责任。 （5）供应商在约定的时间内未能弥补缺陷，采购人可采取必要的补救措施，但其风险和费用将由供应商承担，采购人根据合同约定对供应商行使的其他权利不受影响。</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（1）违约责任： 1）质量瑕疵的违约责任：供应商提供的服务不符合合同约定的服务要求，采购人有权要求供应商承担修理、重作、更换、退货、减少价款或者报酬等违约责任，并承担由此给采购人造成的损失。具体要求为：供应商应在采购人发出整改通知后3个工作日内启动整改，7个工作日内完成并复验；逾期未整改或复验仍不合格的，每天扣除合同金额的1‰作为违约金，逾期时间超过20⽇，可终止合同，采购人将情况报送当地财政部门，供应商除自行承担损失外还应支付合同金额的10‰作为违约金。 2）迟延履行的违约责任：①供应商应按照本合同规定的时间、地点提供相关服务。在履行合同过程中，如果供应商遇到可能影响按时提供服务的情形时，应及时以书面形式将迟延的事实、可能迟延的期限和理由通知采购人。采购人在收到供应商通知后，应尽快对情况进行评价，并确定是否同意延期提供服务。②如果供应商没有按照合同规定的时间提供相关服务，采购人有权从服务款中扣除误期赔偿费而不影响合同项下的其他补救方法，赔偿费的计算方法为：若供应商逾期提供服务，每天将扣除合同金额的1‰作为违约金，逾期时间超过20日，可终止合同，甲方将情况报送当地财政部门，供应商除自行承担损失外还应支付合同金额的10‰作为违约金。如果涉及公共利益，且赔偿金额无法弥补公共利益损失，采购人可要求继续履行或者采取其他补救措施。 3）迟延支付的违约责任：采购人存在迟延支付供应商合同款项的，应当支付逾期付款利息，计算方法为：每逾期⼀天，按应支付金额的0.5‰作为违约金支付给供应商，直至实际支付之日。 4）违法分包、转包的违约责任：供应商将项目转包、违法分包的，采购人可以解除合同，并要求供应商承担如下违约责任：采购人将情况报送当地财政部门，供应商除自行承担损失外还应支付合同金额的10‰作为违约金。 （2）解决争议的方法：因本项目合同及合同有关事项发生的争议，由采购人和供应商双方友好协商解决。协商不成时，可以向有关组织申请调解。一方或双方不愿调解或调解不成的，可以通过诉讼的方式解决争议。因本项目合同及合同有关事项发生的争议，向项目所在地人民法院起诉。如双方有争议的事项不影响合同其他部分的履行，在争议解决期间，合同其他部分应当继续履行。</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1.为保障项目顺利实施，供应商需在投标文件中提供项目实施方案，内容包含：①货源组织方案及项目管理措施方案；②安装调试及关键节点方案；③项目资源配置及培训方案；④质量及关键节点保障措施。 2.为保障项目顺利实施，供应商需在投标文件中提供售后服务方案，内容包含：①售后服务组织方案；②售后质量保障方案。★3.因系统原因，无法对招标文件3.1采购内容中的标的名称及所属行业内容进行编辑，故进一步解释如下：本项目具体标的名称、所属行业以附件《采购标的清单》为准。 投标人在录入《中小企业声明函》时须按照《采购标的清单》中的标的名称逐一录入所有标的信息。若此表标的名称涉及品类较多的，如存在非同一生产厂商的情况，请投标人在《中小企业声明函》中分别列出。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（1）若供应商为企业法人的，提供具有统一社会信用代码的“营业执照”，未换证的提供“营业执照、税务登记证、组织机构代码证”； （2）若供应商为事业法人的，提供具有统一社会信用代码的“法人登记证书”；未换证的提交“事业法人登记证书、组织机构代码证”； （3）若供应商为其他组织的，提供对应主管部门颁发的准许执业的证明文件或营业执照； （4）若供应商为自然人的，提供相关“身份证明材料”； （5）供应商若为不具备独立法人资格的分公司或分支机构的，应提供总公司的授权书、总公司和分公司（分支机构）的营业执照。 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1）供应商提供2024年度或2025年度的财务报告（包含审计报告和审计报告中所涉及的财务报表和报表附注）或者截至响应文件提交截止之日前一年内银行出具的资信证明。未经审计的提供2024年度或2025年度内部财务报表（包括资产负债表、利润表、现金流量表）。 （2）供应商注册时间截至响应文件提交截止之日前不足一年的，也可提供在相关主管部门备案的公司章程等证明材料。 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3.2.技术要求、3.3.服务要求的响应情况</w:t>
            </w:r>
          </w:p>
        </w:tc>
        <w:tc>
          <w:tcPr>
            <w:tcW w:type="dxa" w:w="3322"/>
          </w:tcPr>
          <w:p>
            <w:pPr>
              <w:pStyle w:val="null3"/>
              <w:jc w:val="left"/>
            </w:pPr>
            <w:r>
              <w:rPr>
                <w:rFonts w:ascii="仿宋_GB2312" w:hAnsi="仿宋_GB2312" w:cs="仿宋_GB2312" w:eastAsia="仿宋_GB2312"/>
              </w:rPr>
              <w:t>投标⼈须对招标⽂件中3.2.技术要求、3.3.服务要求中实质性内容进⾏逐条响应，未如实响应或响应内容不符合招标⽂件对应项要求或不填写响应情况的，其投标⽂件作⽆效处理。招标⽂件中明确要求单独提供承诺函或相关证明材料的，投标⼈须按照招标⽂件要求如实提供。</w:t>
            </w:r>
          </w:p>
        </w:tc>
        <w:tc>
          <w:tcPr>
            <w:tcW w:type="dxa" w:w="1661"/>
          </w:tcPr>
          <w:p>
            <w:pPr>
              <w:pStyle w:val="null3"/>
              <w:jc w:val="left"/>
            </w:pPr>
            <w:r>
              <w:rPr>
                <w:rFonts w:ascii="仿宋_GB2312" w:hAnsi="仿宋_GB2312" w:cs="仿宋_GB2312" w:eastAsia="仿宋_GB2312"/>
              </w:rPr>
              <w:t>投标人应提交的相关证明材料,服务要求及其它要求应答表（公招）.docx,产品技术参数响应表（公招）.docx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其它符合性审查</w:t>
            </w:r>
          </w:p>
        </w:tc>
        <w:tc>
          <w:tcPr>
            <w:tcW w:type="dxa" w:w="3322"/>
          </w:tcPr>
          <w:p>
            <w:pPr>
              <w:pStyle w:val="null3"/>
              <w:jc w:val="left"/>
            </w:pPr>
            <w:r>
              <w:rPr>
                <w:rFonts w:ascii="仿宋_GB2312" w:hAnsi="仿宋_GB2312" w:cs="仿宋_GB2312" w:eastAsia="仿宋_GB2312"/>
              </w:rPr>
              <w:t>未载明或者载明的标的名称、数量、计量单位及其他政府采购合同实质性内容与招标⽂件要求不⼀致，且采购单位⽆法接受的，属于⽆效投标；或采购⽂件规定的其他⽆效投标情形。</w:t>
            </w:r>
          </w:p>
        </w:tc>
        <w:tc>
          <w:tcPr>
            <w:tcW w:type="dxa" w:w="1661"/>
          </w:tcPr>
          <w:p>
            <w:pPr>
              <w:pStyle w:val="null3"/>
              <w:jc w:val="left"/>
            </w:pPr>
            <w:r>
              <w:rPr>
                <w:rFonts w:ascii="仿宋_GB2312" w:hAnsi="仿宋_GB2312" w:cs="仿宋_GB2312" w:eastAsia="仿宋_GB2312"/>
              </w:rPr>
              <w:t>报价明细表,报价表,投标（响应）函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技术参数要求</w:t>
            </w:r>
          </w:p>
        </w:tc>
        <w:tc>
          <w:tcPr>
            <w:tcW w:type="dxa" w:w="2575"/>
          </w:tcPr>
          <w:p>
            <w:pPr>
              <w:pStyle w:val="null3"/>
              <w:jc w:val="left"/>
            </w:pPr>
            <w:r>
              <w:rPr>
                <w:rFonts w:ascii="仿宋_GB2312" w:hAnsi="仿宋_GB2312" w:cs="仿宋_GB2312" w:eastAsia="仿宋_GB2312"/>
              </w:rPr>
              <w:t>1.一般技术参数条款响应得分=（满足一般技术参数条款的数量/一般技术参数条款的总数量）×10分； 2.重要技术参数条款响应得分=（满足重要技术参数条款的数量/重要技术参数条款的总数量）×18分。注：（1）一般技术参数条款是指未标注“▲”或“★”的条款，重要技术参数条款是指“▲”标注的条款。 （2）以“采购标的技术参数要求”中最小阿拉伯数字序号为参数条款1项。 （3）要求提供证明材料的，以证明材料为准，如技术要求内容在证明材料中未对应出现或未提供证明材料的不得分；未要求提供证明材料的，以投标产品技术参数表响应情况为准。 （4）得分保留小数点后两位小数，四舍五入。</w:t>
            </w:r>
          </w:p>
        </w:tc>
        <w:tc>
          <w:tcPr>
            <w:tcW w:type="dxa" w:w="831"/>
          </w:tcPr>
          <w:p>
            <w:pPr>
              <w:pStyle w:val="null3"/>
              <w:jc w:val="center"/>
            </w:pPr>
            <w:r>
              <w:rPr>
                <w:rFonts w:ascii="仿宋_GB2312" w:hAnsi="仿宋_GB2312" w:cs="仿宋_GB2312" w:eastAsia="仿宋_GB2312"/>
              </w:rPr>
              <w:t>28.0000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产品技术参数响应表（公招）.docx</w:t>
            </w:r>
          </w:p>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服务要求及其它要求应答表（公招）.docx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根据供应商提供的针对本项目的项目实施方案进行评审，内容包含：①货源组织方案及项目管理措施方案；②安装调试及关键节点方案；③项目资源配置及培训方案；④质量及关键节点保障措施。 上述内容完整且无缺陷的得28分。方案缺少一项内容扣7分，每有一项内容有以下任一缺陷的扣3.5分，单项扣完为止。 缺陷是指：①方案内容与本项目无关；②方案内容缺少关键节点，或仅有框架、标题；③方案内容交叉混乱；④项目名称错误或实施地点错误；⑤引用的法律法规、规范标准与本项目不相关或失效或错误。</w:t>
            </w:r>
          </w:p>
        </w:tc>
        <w:tc>
          <w:tcPr>
            <w:tcW w:type="dxa" w:w="831"/>
          </w:tcPr>
          <w:p>
            <w:pPr>
              <w:pStyle w:val="null3"/>
              <w:jc w:val="center"/>
            </w:pPr>
            <w:r>
              <w:rPr>
                <w:rFonts w:ascii="仿宋_GB2312" w:hAnsi="仿宋_GB2312" w:cs="仿宋_GB2312" w:eastAsia="仿宋_GB2312"/>
              </w:rPr>
              <w:t>28.0000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项目相关服务方案.docx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供应商提供的针对本项目的售后服务方案进行评审，内容包含：①售后服务组织方案；②售后质量保障方案。上述内容完整且无缺陷的得14分。方案缺少一项内容扣7分，每有一项内容有以下任一缺陷的扣3.5分，单项扣完为止。 缺陷是指：①方案内容与本项目无关；②方案内容缺少关键节点，或仅有框架、标题；③方案内容交叉混乱；④项目名称错误或实施地点错误；⑤引用的法律法规、规范标准与本项目不相关或失效或错误。</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项目相关服务方案.docx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投标人应提交的相关证明材料,投标（响应）函</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详见附件：产品技术参数响应表（公招）.docx</w:t>
      </w:r>
    </w:p>
    <w:p>
      <w:pPr>
        <w:pStyle w:val="null3"/>
        <w:ind w:firstLine="960"/>
        <w:jc w:val="left"/>
      </w:pPr>
      <w:r>
        <w:rPr>
          <w:rFonts w:ascii="仿宋_GB2312" w:hAnsi="仿宋_GB2312" w:cs="仿宋_GB2312" w:eastAsia="仿宋_GB2312"/>
        </w:rPr>
        <w:t>详见附件：服务要求及其它要求应答表（公招）.docx</w:t>
      </w:r>
    </w:p>
    <w:p>
      <w:pPr>
        <w:pStyle w:val="null3"/>
        <w:ind w:firstLine="960"/>
        <w:jc w:val="left"/>
      </w:pPr>
      <w:r>
        <w:rPr>
          <w:rFonts w:ascii="仿宋_GB2312" w:hAnsi="仿宋_GB2312" w:cs="仿宋_GB2312" w:eastAsia="仿宋_GB2312"/>
        </w:rPr>
        <w:t>详见附件：项目相关服务方案.docx</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